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7E1" w:rsidRPr="004A446E" w:rsidRDefault="00E947E1" w:rsidP="00E947E1">
      <w:pPr>
        <w:contextualSpacing/>
        <w:jc w:val="both"/>
        <w:rPr>
          <w:rFonts w:ascii="Arial" w:hAnsi="Arial" w:cs="Arial"/>
          <w:sz w:val="22"/>
          <w:szCs w:val="22"/>
        </w:rPr>
      </w:pPr>
      <w:r w:rsidRPr="004A446E">
        <w:rPr>
          <w:rFonts w:ascii="Arial" w:hAnsi="Arial" w:cs="Arial"/>
          <w:b/>
          <w:sz w:val="22"/>
          <w:szCs w:val="22"/>
        </w:rPr>
        <w:t>CONCILIACIÓN</w:t>
      </w:r>
      <w:r w:rsidR="00211FB1" w:rsidRPr="004A446E">
        <w:rPr>
          <w:rFonts w:ascii="Arial" w:hAnsi="Arial" w:cs="Arial"/>
          <w:b/>
          <w:sz w:val="22"/>
          <w:szCs w:val="22"/>
        </w:rPr>
        <w:t xml:space="preserve"> EXTRAJUDICIAL </w:t>
      </w:r>
      <w:r w:rsidRPr="004A446E">
        <w:rPr>
          <w:rFonts w:ascii="Arial" w:hAnsi="Arial" w:cs="Arial"/>
          <w:b/>
          <w:sz w:val="22"/>
          <w:szCs w:val="22"/>
        </w:rPr>
        <w:t xml:space="preserve">- </w:t>
      </w:r>
      <w:r w:rsidR="00211FB1" w:rsidRPr="004A446E">
        <w:rPr>
          <w:rFonts w:ascii="Arial" w:hAnsi="Arial" w:cs="Arial"/>
          <w:b/>
          <w:sz w:val="22"/>
          <w:szCs w:val="22"/>
        </w:rPr>
        <w:t>D</w:t>
      </w:r>
      <w:r w:rsidRPr="004A446E">
        <w:rPr>
          <w:rFonts w:ascii="Arial" w:hAnsi="Arial" w:cs="Arial"/>
          <w:b/>
          <w:sz w:val="22"/>
          <w:szCs w:val="22"/>
        </w:rPr>
        <w:t xml:space="preserve">esarrollo </w:t>
      </w:r>
      <w:r w:rsidR="00211FB1" w:rsidRPr="004A446E">
        <w:rPr>
          <w:rFonts w:ascii="Arial" w:hAnsi="Arial" w:cs="Arial"/>
          <w:b/>
          <w:sz w:val="22"/>
          <w:szCs w:val="22"/>
        </w:rPr>
        <w:t>legislativo</w:t>
      </w:r>
    </w:p>
    <w:p w:rsidR="00E947E1" w:rsidRPr="004A446E" w:rsidRDefault="00E947E1" w:rsidP="00E947E1">
      <w:pPr>
        <w:contextualSpacing/>
        <w:jc w:val="both"/>
        <w:rPr>
          <w:rFonts w:ascii="Arial" w:hAnsi="Arial" w:cs="Arial"/>
          <w:sz w:val="22"/>
          <w:szCs w:val="22"/>
        </w:rPr>
      </w:pPr>
    </w:p>
    <w:p w:rsidR="00D564D6" w:rsidRPr="004A446E" w:rsidRDefault="00E947E1" w:rsidP="00D564D6">
      <w:pPr>
        <w:contextualSpacing/>
        <w:jc w:val="both"/>
        <w:rPr>
          <w:rFonts w:ascii="Arial" w:hAnsi="Arial" w:cs="Arial"/>
          <w:sz w:val="22"/>
          <w:szCs w:val="22"/>
          <w:lang w:val="es-MX"/>
        </w:rPr>
      </w:pPr>
      <w:r w:rsidRPr="004A446E">
        <w:rPr>
          <w:rFonts w:ascii="Arial" w:hAnsi="Arial" w:cs="Arial"/>
          <w:sz w:val="22"/>
          <w:szCs w:val="22"/>
          <w:lang w:val="es-MX"/>
        </w:rPr>
        <w:t xml:space="preserve">Con la expedición de la Ley 1285 de 2009, la exigencia de la conciliación extrajudicial como requisito de procedibilidad cobró pleno vigor para acudir ante la Jurisdicción de lo Contencioso Administrativo en ejercicio de alguna de las acciones previstas en los artículos 85, 86 y 87 C.C.A., entre ellas, por supuesto, la que ahora se resuelve. Bajo esa égida, en consideración a que la presente acción contractual se impetró cuando ya se encontraba en vigencia la normativa en referencia, la parte actora allegó junto con el libelo introductor la constancia expedida por la Procuraduría Quinta Judicial Administrativa en la cual se registró que el trámite se declaró fallido y que el objeto de la solicitud versó sobre el reconocimiento de mayores costos por la ejecución de obras derivadas del Contrato No. 195. Con todo, lo anotado no equivale a afirmar que en esa constancia se hubieren condensado todas las pretensiones que textualmente y de manera individualizada se formularon en la convocatoria, dado que, en cumplimiento a lo dispuesto por el artículo segundo de la Ley 640 de 2001, al emitirla, el Ministerio Público simplemente debía indicar sucintamente el objeto de conciliación...Resulta de la esencia del agotamiento de la conciliación extrajudicial, como requisito de procedibilidad, que se presente la solicitud respectiva ante el Ministerio Público, con expresa invocación tanto de las pretensiones elevadas por el convocante, como de los supuestos fácticos en que se apoyan. Esto, con el propósito, entre otros, de identificar la coincidencia que debe existir entre los hechos y pretensiones que se contienden tanto en la etapa conciliatoria como en la instancia judicial, pues no de otra forma podría entenderse satisfecha la exigencia legal que consagra la evacuación previa de dicho mecanismo de solución de conflictos. </w:t>
      </w:r>
      <w:r w:rsidR="00D564D6" w:rsidRPr="004A446E">
        <w:rPr>
          <w:rFonts w:ascii="Arial" w:hAnsi="Arial" w:cs="Arial"/>
          <w:sz w:val="22"/>
          <w:szCs w:val="22"/>
          <w:lang w:val="es-MX"/>
        </w:rPr>
        <w:t xml:space="preserve">Pues bien, una vez valorado por la Sala el documento en comento, se concluye que con fundamento en su contenido quedan desvirtuados las consideraciones del </w:t>
      </w:r>
      <w:r w:rsidR="00D564D6" w:rsidRPr="004A446E">
        <w:rPr>
          <w:rFonts w:ascii="Arial" w:hAnsi="Arial" w:cs="Arial"/>
          <w:i/>
          <w:sz w:val="22"/>
          <w:szCs w:val="22"/>
          <w:lang w:val="es-MX"/>
        </w:rPr>
        <w:t>a quo</w:t>
      </w:r>
      <w:r w:rsidR="00D564D6" w:rsidRPr="004A446E">
        <w:rPr>
          <w:rFonts w:ascii="Arial" w:hAnsi="Arial" w:cs="Arial"/>
          <w:sz w:val="22"/>
          <w:szCs w:val="22"/>
          <w:lang w:val="es-MX"/>
        </w:rPr>
        <w:t xml:space="preserve"> en cuanto a que no se agotó el requisito de procedibilidad frente a las pretensiones de liquidación del contrato y la subsidiaria de declaratoria de enriquecimiento sin causa, cuestión que, con independencia de su vocación de prosperidad, impone su estudio de fondo en caso de estimarlo procedente. </w:t>
      </w:r>
    </w:p>
    <w:p w:rsidR="00211FB1" w:rsidRPr="004A446E" w:rsidRDefault="00211FB1" w:rsidP="00D564D6">
      <w:pPr>
        <w:contextualSpacing/>
        <w:jc w:val="both"/>
        <w:rPr>
          <w:rFonts w:ascii="Arial" w:hAnsi="Arial" w:cs="Arial"/>
          <w:sz w:val="22"/>
          <w:szCs w:val="22"/>
          <w:lang w:val="es-MX"/>
        </w:rPr>
      </w:pPr>
    </w:p>
    <w:p w:rsidR="00D564D6" w:rsidRPr="004A446E" w:rsidRDefault="004A446E" w:rsidP="00D564D6">
      <w:pPr>
        <w:contextualSpacing/>
        <w:jc w:val="both"/>
        <w:rPr>
          <w:rFonts w:ascii="Arial" w:hAnsi="Arial" w:cs="Arial"/>
          <w:sz w:val="22"/>
          <w:szCs w:val="22"/>
          <w:lang w:val="es-MX"/>
        </w:rPr>
      </w:pPr>
      <w:r w:rsidRPr="004A446E">
        <w:rPr>
          <w:rFonts w:ascii="Arial" w:hAnsi="Arial" w:cs="Arial"/>
          <w:b/>
          <w:sz w:val="22"/>
          <w:szCs w:val="22"/>
          <w:lang w:val="es-MX"/>
        </w:rPr>
        <w:t>CONTROVERSIAS CONTRACTUALES</w:t>
      </w:r>
      <w:r w:rsidR="00D751F0" w:rsidRPr="004A446E">
        <w:rPr>
          <w:rFonts w:ascii="Arial" w:hAnsi="Arial" w:cs="Arial"/>
          <w:b/>
          <w:sz w:val="22"/>
          <w:szCs w:val="22"/>
          <w:lang w:val="es-MX"/>
        </w:rPr>
        <w:t xml:space="preserve"> </w:t>
      </w:r>
      <w:r w:rsidR="00D564D6" w:rsidRPr="004A446E">
        <w:rPr>
          <w:rFonts w:ascii="Arial" w:hAnsi="Arial" w:cs="Arial"/>
          <w:b/>
          <w:sz w:val="22"/>
          <w:szCs w:val="22"/>
          <w:lang w:val="es-MX"/>
        </w:rPr>
        <w:t xml:space="preserve">- </w:t>
      </w:r>
      <w:r w:rsidR="00D751F0" w:rsidRPr="004A446E">
        <w:rPr>
          <w:rFonts w:ascii="Arial" w:hAnsi="Arial" w:cs="Arial"/>
          <w:b/>
          <w:sz w:val="22"/>
          <w:szCs w:val="22"/>
          <w:lang w:val="es-MX"/>
        </w:rPr>
        <w:t>C</w:t>
      </w:r>
      <w:r w:rsidR="00D564D6" w:rsidRPr="004A446E">
        <w:rPr>
          <w:rFonts w:ascii="Arial" w:hAnsi="Arial" w:cs="Arial"/>
          <w:b/>
          <w:sz w:val="22"/>
          <w:szCs w:val="22"/>
          <w:lang w:val="es-MX"/>
        </w:rPr>
        <w:t xml:space="preserve">aducidad </w:t>
      </w:r>
      <w:r w:rsidRPr="004A446E">
        <w:rPr>
          <w:rFonts w:ascii="Arial" w:hAnsi="Arial" w:cs="Arial"/>
          <w:b/>
          <w:sz w:val="22"/>
          <w:szCs w:val="22"/>
          <w:lang w:val="es-MX"/>
        </w:rPr>
        <w:t>de la acción</w:t>
      </w:r>
    </w:p>
    <w:p w:rsidR="00D564D6" w:rsidRPr="004A446E" w:rsidRDefault="00D564D6" w:rsidP="00D564D6">
      <w:pPr>
        <w:contextualSpacing/>
        <w:jc w:val="both"/>
        <w:rPr>
          <w:rFonts w:ascii="Arial" w:hAnsi="Arial" w:cs="Arial"/>
          <w:sz w:val="22"/>
          <w:szCs w:val="22"/>
          <w:lang w:val="es-MX"/>
        </w:rPr>
      </w:pPr>
    </w:p>
    <w:p w:rsidR="00D564D6" w:rsidRPr="004A446E" w:rsidRDefault="00D564D6" w:rsidP="00D564D6">
      <w:pPr>
        <w:contextualSpacing/>
        <w:jc w:val="both"/>
        <w:rPr>
          <w:rFonts w:ascii="Arial" w:hAnsi="Arial" w:cs="Arial"/>
          <w:sz w:val="22"/>
          <w:szCs w:val="22"/>
        </w:rPr>
      </w:pPr>
      <w:r w:rsidRPr="004A446E">
        <w:rPr>
          <w:rFonts w:ascii="Arial" w:hAnsi="Arial" w:cs="Arial"/>
          <w:sz w:val="22"/>
          <w:szCs w:val="22"/>
        </w:rPr>
        <w:t xml:space="preserve">El otro aspecto central de la apelación apuntó a reprochar la caducidad de la acción decretada por el </w:t>
      </w:r>
      <w:r w:rsidRPr="004A446E">
        <w:rPr>
          <w:rFonts w:ascii="Arial" w:hAnsi="Arial" w:cs="Arial"/>
          <w:i/>
          <w:sz w:val="22"/>
          <w:szCs w:val="22"/>
        </w:rPr>
        <w:t>a quo</w:t>
      </w:r>
      <w:r w:rsidRPr="004A446E">
        <w:rPr>
          <w:rFonts w:ascii="Arial" w:hAnsi="Arial" w:cs="Arial"/>
          <w:sz w:val="22"/>
          <w:szCs w:val="22"/>
        </w:rPr>
        <w:t xml:space="preserve"> respecto de las pretensiones dirigidas a obtener la declaratoria de incumplimiento contractual. En desarrollo de su argumentación, afirmó que para el cómputo inicial debía tomarse como referente la fecha en que se incumplió la obligación de liquidar el Contrato de Obra No. 193. En lo que atañe a esta cuestión, la Sala considera que le asiste la razón al recurrente cuando señala que, en orden a determinar la oportunidad de la acción, habida cuenta de que el negocio jurídico bajo examen se gobernó por las normas de la Ley 80 de 1993, debía seguirse la regla prevista en la letra d) el numeral 10 del artículo 136 del Código Contencioso Administrativo. En consonancia con lo anterior, resulta pertinente destacar que</w:t>
      </w:r>
      <w:r w:rsidRPr="004A446E">
        <w:rPr>
          <w:rFonts w:ascii="Arial" w:hAnsi="Arial" w:cs="Arial"/>
          <w:sz w:val="22"/>
          <w:szCs w:val="22"/>
          <w:lang w:val="es-CO"/>
        </w:rPr>
        <w:t xml:space="preserve"> en la cláusula tercera el Contrato No. 193 de 2005 se acordó que su duración sería de siete meses contados a partir de la firma del acta de inicio de actividades, hecho que tuvo ocurrencia el 4 de septiembre de 2006. Con todo, luego de ser prorrogado el plazo contractual en tres ocasiones, su culminación, según Acta No. 31 A, se produjo el 5 de octubre de 2007. En consideración a que ambas partes coinciden en señalar que el Contrato No. 193 de 2005 no ha sido liquidado, se impone establecer la fecha en que se incumplió la obligación de liquidarlo para, a partir de entonces, precisar la fecha en que empezó el conteo respectivo. Así pues, habiéndose esclarecido que el plazo del Contrato No. 193 finalizó el 5 de octubre de 2007, desde ese momento las partes tenían cuatro meses para lograr la liquidación bilateral del negocio jurídico, y desde entonces, dos meses más para ser liquidado unilateralmente por la entidad. De ahí que el término para su liquidación vencía el 6 de abril 2008.</w:t>
      </w:r>
      <w:r w:rsidRPr="004A446E">
        <w:rPr>
          <w:rFonts w:ascii="Arial" w:hAnsi="Arial" w:cs="Arial"/>
          <w:sz w:val="22"/>
          <w:szCs w:val="22"/>
        </w:rPr>
        <w:t>Así las cosas, el término de caducidad de la acción contractual habría de correr desde el 6 de abril de 2008 hasta el 6 de abril de 2010, siendo este último el plazo máximo para ejercer la correspondiente acción contractual.</w:t>
      </w:r>
    </w:p>
    <w:p w:rsidR="00D564D6" w:rsidRPr="004A446E" w:rsidRDefault="00D564D6" w:rsidP="00D564D6">
      <w:pPr>
        <w:contextualSpacing/>
        <w:jc w:val="both"/>
        <w:rPr>
          <w:rFonts w:ascii="Arial" w:hAnsi="Arial" w:cs="Arial"/>
          <w:b/>
          <w:sz w:val="22"/>
          <w:szCs w:val="22"/>
        </w:rPr>
      </w:pPr>
    </w:p>
    <w:p w:rsidR="00D564D6" w:rsidRPr="004A446E" w:rsidRDefault="004A446E" w:rsidP="00D564D6">
      <w:pPr>
        <w:contextualSpacing/>
        <w:jc w:val="both"/>
        <w:rPr>
          <w:rFonts w:ascii="Arial" w:hAnsi="Arial" w:cs="Arial"/>
          <w:sz w:val="22"/>
          <w:szCs w:val="22"/>
        </w:rPr>
      </w:pPr>
      <w:r w:rsidRPr="004A446E">
        <w:rPr>
          <w:rFonts w:ascii="Arial" w:hAnsi="Arial" w:cs="Arial"/>
          <w:b/>
          <w:sz w:val="22"/>
          <w:szCs w:val="22"/>
        </w:rPr>
        <w:t>CONTROVERSIAS CONTRACTUALES</w:t>
      </w:r>
      <w:r w:rsidR="00D751F0" w:rsidRPr="004A446E">
        <w:rPr>
          <w:rFonts w:ascii="Arial" w:hAnsi="Arial" w:cs="Arial"/>
          <w:b/>
          <w:sz w:val="22"/>
          <w:szCs w:val="22"/>
        </w:rPr>
        <w:t xml:space="preserve"> </w:t>
      </w:r>
      <w:r w:rsidR="00D564D6" w:rsidRPr="004A446E">
        <w:rPr>
          <w:rFonts w:ascii="Arial" w:hAnsi="Arial" w:cs="Arial"/>
          <w:b/>
          <w:sz w:val="22"/>
          <w:szCs w:val="22"/>
        </w:rPr>
        <w:t>-</w:t>
      </w:r>
      <w:r w:rsidR="00D564D6" w:rsidRPr="004A446E">
        <w:rPr>
          <w:rFonts w:ascii="Arial" w:hAnsi="Arial" w:cs="Arial"/>
          <w:sz w:val="22"/>
          <w:szCs w:val="22"/>
        </w:rPr>
        <w:t xml:space="preserve"> </w:t>
      </w:r>
      <w:r w:rsidR="00D751F0" w:rsidRPr="004A446E">
        <w:rPr>
          <w:rFonts w:ascii="Arial" w:hAnsi="Arial" w:cs="Arial"/>
          <w:b/>
          <w:sz w:val="22"/>
          <w:szCs w:val="22"/>
        </w:rPr>
        <w:t>L</w:t>
      </w:r>
      <w:r w:rsidR="00D564D6" w:rsidRPr="004A446E">
        <w:rPr>
          <w:rFonts w:ascii="Arial" w:hAnsi="Arial" w:cs="Arial"/>
          <w:b/>
          <w:sz w:val="22"/>
          <w:szCs w:val="22"/>
        </w:rPr>
        <w:t>egitimación por activa y pasiva</w:t>
      </w:r>
      <w:r w:rsidR="00D564D6" w:rsidRPr="004A446E">
        <w:rPr>
          <w:rFonts w:ascii="Arial" w:hAnsi="Arial" w:cs="Arial"/>
          <w:sz w:val="22"/>
          <w:szCs w:val="22"/>
        </w:rPr>
        <w:t xml:space="preserve"> </w:t>
      </w:r>
    </w:p>
    <w:p w:rsidR="00D564D6" w:rsidRPr="004A446E" w:rsidRDefault="00D564D6" w:rsidP="00D564D6">
      <w:pPr>
        <w:contextualSpacing/>
        <w:jc w:val="both"/>
        <w:rPr>
          <w:rFonts w:ascii="Arial" w:hAnsi="Arial" w:cs="Arial"/>
          <w:sz w:val="22"/>
          <w:szCs w:val="22"/>
        </w:rPr>
      </w:pPr>
    </w:p>
    <w:p w:rsidR="00D564D6" w:rsidRPr="004A446E" w:rsidRDefault="00D564D6" w:rsidP="00D564D6">
      <w:pPr>
        <w:contextualSpacing/>
        <w:jc w:val="both"/>
        <w:rPr>
          <w:rFonts w:ascii="Arial" w:hAnsi="Arial" w:cs="Arial"/>
          <w:b/>
          <w:sz w:val="22"/>
          <w:szCs w:val="22"/>
        </w:rPr>
      </w:pPr>
      <w:r w:rsidRPr="004A446E">
        <w:rPr>
          <w:rFonts w:ascii="Arial" w:hAnsi="Arial" w:cs="Arial"/>
          <w:sz w:val="22"/>
          <w:szCs w:val="22"/>
        </w:rPr>
        <w:t xml:space="preserve">La Sala encuentra que le asiste legitimación en la causa por activa al ingeniero Jaime Carmona Soto para integrar el extremo demandante, en su condición de contratista dentro del negocio jurídico No. 193, en cuyo desarrollo acaeció el incumplimiento y/o desequilibrio </w:t>
      </w:r>
      <w:r w:rsidRPr="004A446E">
        <w:rPr>
          <w:rFonts w:ascii="Arial" w:hAnsi="Arial" w:cs="Arial"/>
          <w:sz w:val="22"/>
          <w:szCs w:val="22"/>
        </w:rPr>
        <w:lastRenderedPageBreak/>
        <w:t>económico que constituye la materia de reclamación. Igualmente, halla la Sala legitimado en la causa por pasiva a</w:t>
      </w:r>
      <w:r w:rsidRPr="004A446E">
        <w:rPr>
          <w:rFonts w:ascii="Arial" w:hAnsi="Arial" w:cs="Arial"/>
          <w:sz w:val="22"/>
          <w:szCs w:val="22"/>
          <w:lang w:val="es-MX"/>
        </w:rPr>
        <w:t>l Instituto de Desarrollo Urbano</w:t>
      </w:r>
      <w:r w:rsidRPr="004A446E">
        <w:rPr>
          <w:rFonts w:ascii="Arial" w:hAnsi="Arial" w:cs="Arial"/>
          <w:sz w:val="22"/>
          <w:szCs w:val="22"/>
          <w:lang w:val="es-CO"/>
        </w:rPr>
        <w:t>, dada su condición de entidad contratante del negocio jurídico presuntamente incumplido y/o alterado por la ruptura de su equilibrio económico.</w:t>
      </w:r>
    </w:p>
    <w:p w:rsidR="00D564D6" w:rsidRPr="004A446E" w:rsidRDefault="00D564D6" w:rsidP="00D564D6">
      <w:pPr>
        <w:contextualSpacing/>
        <w:jc w:val="both"/>
        <w:rPr>
          <w:rFonts w:ascii="Arial" w:hAnsi="Arial" w:cs="Arial"/>
          <w:b/>
          <w:sz w:val="22"/>
          <w:szCs w:val="22"/>
        </w:rPr>
      </w:pPr>
    </w:p>
    <w:p w:rsidR="00D564D6" w:rsidRPr="004A446E" w:rsidRDefault="000E4E22" w:rsidP="00D564D6">
      <w:pPr>
        <w:contextualSpacing/>
        <w:jc w:val="both"/>
        <w:rPr>
          <w:rFonts w:ascii="Arial" w:hAnsi="Arial" w:cs="Arial"/>
          <w:sz w:val="22"/>
          <w:szCs w:val="22"/>
          <w:lang w:val="es-CO"/>
        </w:rPr>
      </w:pPr>
      <w:r w:rsidRPr="004A446E">
        <w:rPr>
          <w:rFonts w:ascii="Arial" w:hAnsi="Arial" w:cs="Arial"/>
          <w:b/>
          <w:sz w:val="22"/>
          <w:szCs w:val="22"/>
          <w:lang w:val="es-CO"/>
        </w:rPr>
        <w:t xml:space="preserve">PERJUICIOS - </w:t>
      </w:r>
      <w:r w:rsidR="00D751F0" w:rsidRPr="004A446E">
        <w:rPr>
          <w:rFonts w:ascii="Arial" w:hAnsi="Arial" w:cs="Arial"/>
          <w:b/>
          <w:sz w:val="22"/>
          <w:szCs w:val="22"/>
          <w:lang w:val="es-CO"/>
        </w:rPr>
        <w:t>M</w:t>
      </w:r>
      <w:r w:rsidRPr="004A446E">
        <w:rPr>
          <w:rFonts w:ascii="Arial" w:hAnsi="Arial" w:cs="Arial"/>
          <w:b/>
          <w:sz w:val="22"/>
          <w:szCs w:val="22"/>
          <w:lang w:val="es-CO"/>
        </w:rPr>
        <w:t>ayor permanencia en obra</w:t>
      </w:r>
      <w:r w:rsidRPr="004A446E">
        <w:rPr>
          <w:rFonts w:ascii="Arial" w:hAnsi="Arial" w:cs="Arial"/>
          <w:sz w:val="22"/>
          <w:szCs w:val="22"/>
          <w:lang w:val="es-CO"/>
        </w:rPr>
        <w:t xml:space="preserve"> </w:t>
      </w:r>
    </w:p>
    <w:p w:rsidR="000E4E22" w:rsidRPr="004A446E" w:rsidRDefault="000E4E22" w:rsidP="00D564D6">
      <w:pPr>
        <w:contextualSpacing/>
        <w:jc w:val="both"/>
        <w:rPr>
          <w:rFonts w:ascii="Arial" w:hAnsi="Arial" w:cs="Arial"/>
          <w:sz w:val="22"/>
          <w:szCs w:val="22"/>
          <w:lang w:val="es-CO"/>
        </w:rPr>
      </w:pPr>
    </w:p>
    <w:p w:rsidR="00004B50" w:rsidRPr="004A446E" w:rsidRDefault="000E4E22" w:rsidP="00004B50">
      <w:pPr>
        <w:contextualSpacing/>
        <w:jc w:val="both"/>
        <w:rPr>
          <w:rFonts w:ascii="Arial" w:hAnsi="Arial" w:cs="Arial"/>
          <w:sz w:val="22"/>
          <w:szCs w:val="22"/>
        </w:rPr>
      </w:pPr>
      <w:r w:rsidRPr="004A446E">
        <w:rPr>
          <w:rFonts w:ascii="Arial" w:hAnsi="Arial" w:cs="Arial"/>
          <w:sz w:val="22"/>
          <w:szCs w:val="22"/>
        </w:rPr>
        <w:t xml:space="preserve">Sostuvo el libelista que mientras el contrato se suscribió el 29 de diciembre de 2005, </w:t>
      </w:r>
      <w:r w:rsidRPr="004A446E">
        <w:rPr>
          <w:rFonts w:ascii="Arial" w:hAnsi="Arial" w:cs="Arial"/>
          <w:sz w:val="22"/>
          <w:szCs w:val="22"/>
          <w:lang w:val="es-CO"/>
        </w:rPr>
        <w:t xml:space="preserve">las partes elevaron el acta de iniciación de actividades </w:t>
      </w:r>
      <w:r w:rsidRPr="004A446E">
        <w:rPr>
          <w:rFonts w:ascii="Arial" w:hAnsi="Arial" w:cs="Arial"/>
          <w:sz w:val="22"/>
          <w:szCs w:val="22"/>
        </w:rPr>
        <w:t xml:space="preserve">el </w:t>
      </w:r>
      <w:r w:rsidRPr="004A446E">
        <w:rPr>
          <w:rFonts w:ascii="Arial" w:hAnsi="Arial" w:cs="Arial"/>
          <w:sz w:val="22"/>
          <w:szCs w:val="22"/>
          <w:lang w:val="es-CO"/>
        </w:rPr>
        <w:t>4 de septiembre de 2006</w:t>
      </w:r>
      <w:r w:rsidRPr="004A446E">
        <w:rPr>
          <w:rFonts w:ascii="Arial" w:hAnsi="Arial" w:cs="Arial"/>
          <w:sz w:val="22"/>
          <w:szCs w:val="22"/>
        </w:rPr>
        <w:t xml:space="preserve">, circunstancia que comprometía la responsabilidad del ente estatal, debido a que durante esos nueve meses de retraso en el comienzo de las obras se le generaron perjuicios al contratista por causas que no le resultaban atribuibles. Al respecto, la Sala encuentra que, en efecto, la suscripción del Contrato de Obra No. 193 data del 29 de diciembre de 2005, en tanto que el acta de inicio se elevó el </w:t>
      </w:r>
      <w:r w:rsidRPr="004A446E">
        <w:rPr>
          <w:rFonts w:ascii="Arial" w:hAnsi="Arial" w:cs="Arial"/>
          <w:sz w:val="22"/>
          <w:szCs w:val="22"/>
          <w:lang w:val="es-CO"/>
        </w:rPr>
        <w:t xml:space="preserve">4 de septiembre de 2006, cuestión que pone de relieve que entre los dos referidos sucesos transcurrió un lapso de ocho meses y cinco días.  </w:t>
      </w:r>
      <w:r w:rsidRPr="004A446E">
        <w:rPr>
          <w:rFonts w:ascii="Arial" w:hAnsi="Arial" w:cs="Arial"/>
          <w:sz w:val="22"/>
          <w:szCs w:val="22"/>
        </w:rPr>
        <w:t>Ahora bien, de conformidad con el parágrafo segundo de la cláusula quinta del texto contractual se desprende que el acta de inicio debía suscribirse durante los diez (10) días hábiles siguientes al cumplimiento de los requisitos de perfeccionamiento y legalización del contrato, así como de aquellos establecidos en el pliego de condiciones. En armonía con dicha previsión, en la letra f) de la cláusula séptima del Contrato No. 193 se plasmó que entre las obligaciones asumidas por el contratista se encontraba la de presentar al inicio de las obras los documentos exigidos por el pliego de condiciones. En este punto, se advierte que aun cuando en el plenario no reposa el pliego de condiciones que sirvió de base al procedimiento de licitación que dio origen al contrato, de las comunicaciones suscritas por la entidad convocante IDU y la correspondencia sostenida entre las partes en las que se hace expresa referencia a las exigencias que allí se introdujeron, resulta viable inferir la naturaleza y clase de los documentos requeridos por el pliego para dar inicio a las obras.</w:t>
      </w:r>
      <w:r w:rsidR="00004B50" w:rsidRPr="004A446E">
        <w:rPr>
          <w:rFonts w:ascii="Arial" w:hAnsi="Arial" w:cs="Arial"/>
          <w:sz w:val="22"/>
          <w:szCs w:val="22"/>
        </w:rPr>
        <w:t xml:space="preserve"> En consonancia con lo anotado, en el contenido del acta de inicio se dejó expresa constancia de que la interventoría había constatado la hoja de vida del director de obra y demás integrantes del personal directivo, así como del personal operativo entre quienes se encontraban los residentes, topógrafos, inspectores de obra, residentes ambientales, ingenieros ambientales, ingenieros forestales, residentes siso, residentes maquinaria y residentes social. La situación descrita reveló la necesidad de proceder a la verificación y a la aprobación de las hojas de vida del personal destinado por el contratista a la obra, como un requisito previo para dar comienzo a la ejecución de actividades y cuyo cumplimiento correspondía satisfacerlo en gran medida al demandante. Como se observa, en el período comprendido entre la firma del contrato y la suscripción del acta de inicio de la obra se llevaron a cabo trámites que al tenor de las disposiciones contenidas en el documento precontractual, como en las previsiones inmersas en el acuerdo de voluntades incumbían al resorte del contratista en cuanto a su presentación ante la interventoría y al IDU en relación con su aprobación. Sin embargo, la presentación de los mismos por el contratista no fue oportuna, dado que las fechas de radicación de varios de los documentos enlistados en el escrito al que se hizo mención datan de septiembre de 2006, mes en que se dio comienzo a la obra. Para la Sala, la circunstancia señalada impide considerar de recibo los argumentos del apelante, en cuanto a que la tardanza en la suscripción del acta de inicio se produjo por causas imputables a la entidad estatal. Por el contrario, se concluyó que la demora para empezar la obra estribó en la tardanza para allegar las hojas de vida del personal presentadas por el contratista, cuestión que se opone a la posibilidad de reclamar a su contraparte el reconocimiento de perjuicios derivados de una situación que concernía a la órbita de acción propia del demandante.</w:t>
      </w:r>
    </w:p>
    <w:p w:rsidR="00004B50" w:rsidRPr="004A446E" w:rsidRDefault="00004B50" w:rsidP="00004B50">
      <w:pPr>
        <w:contextualSpacing/>
        <w:jc w:val="both"/>
        <w:rPr>
          <w:rFonts w:ascii="Arial" w:hAnsi="Arial" w:cs="Arial"/>
          <w:sz w:val="22"/>
          <w:szCs w:val="22"/>
        </w:rPr>
      </w:pPr>
    </w:p>
    <w:p w:rsidR="000E4E22" w:rsidRPr="004A446E" w:rsidRDefault="00004B50" w:rsidP="000E4E22">
      <w:pPr>
        <w:contextualSpacing/>
        <w:jc w:val="both"/>
        <w:rPr>
          <w:rFonts w:ascii="Arial" w:hAnsi="Arial" w:cs="Arial"/>
          <w:b/>
          <w:sz w:val="22"/>
          <w:szCs w:val="22"/>
        </w:rPr>
      </w:pPr>
      <w:r w:rsidRPr="004A446E">
        <w:rPr>
          <w:rFonts w:ascii="Arial" w:hAnsi="Arial" w:cs="Arial"/>
          <w:b/>
          <w:sz w:val="22"/>
          <w:szCs w:val="22"/>
          <w:lang w:val="es-CO"/>
        </w:rPr>
        <w:t>PERJUICIOS</w:t>
      </w:r>
      <w:r w:rsidR="004A446E" w:rsidRPr="004A446E">
        <w:rPr>
          <w:rFonts w:ascii="Arial" w:hAnsi="Arial" w:cs="Arial"/>
          <w:b/>
          <w:sz w:val="22"/>
          <w:szCs w:val="22"/>
          <w:lang w:val="es-CO"/>
        </w:rPr>
        <w:t xml:space="preserve"> -</w:t>
      </w:r>
      <w:r w:rsidRPr="004A446E">
        <w:rPr>
          <w:rFonts w:ascii="Arial" w:hAnsi="Arial" w:cs="Arial"/>
          <w:b/>
          <w:sz w:val="22"/>
          <w:szCs w:val="22"/>
          <w:lang w:val="es-CO"/>
        </w:rPr>
        <w:t xml:space="preserve"> </w:t>
      </w:r>
      <w:r w:rsidR="004A446E" w:rsidRPr="004A446E">
        <w:rPr>
          <w:rFonts w:ascii="Arial" w:hAnsi="Arial" w:cs="Arial"/>
          <w:b/>
          <w:sz w:val="22"/>
          <w:szCs w:val="22"/>
        </w:rPr>
        <w:t>Ampliación del plazo - S</w:t>
      </w:r>
      <w:r w:rsidRPr="004A446E">
        <w:rPr>
          <w:rFonts w:ascii="Arial" w:hAnsi="Arial" w:cs="Arial"/>
          <w:b/>
          <w:sz w:val="22"/>
          <w:szCs w:val="22"/>
        </w:rPr>
        <w:t>uscripción de tres contratos adicionales</w:t>
      </w:r>
    </w:p>
    <w:p w:rsidR="00004B50" w:rsidRPr="004A446E" w:rsidRDefault="00004B50" w:rsidP="000E4E22">
      <w:pPr>
        <w:contextualSpacing/>
        <w:jc w:val="both"/>
        <w:rPr>
          <w:rFonts w:ascii="Arial" w:hAnsi="Arial" w:cs="Arial"/>
          <w:sz w:val="22"/>
          <w:szCs w:val="22"/>
        </w:rPr>
      </w:pPr>
    </w:p>
    <w:p w:rsidR="00004B50" w:rsidRPr="004A446E" w:rsidRDefault="00004B50" w:rsidP="000E4E22">
      <w:pPr>
        <w:contextualSpacing/>
        <w:jc w:val="both"/>
        <w:rPr>
          <w:rFonts w:ascii="Arial" w:hAnsi="Arial" w:cs="Arial"/>
          <w:sz w:val="22"/>
          <w:szCs w:val="22"/>
        </w:rPr>
      </w:pPr>
      <w:r w:rsidRPr="004A446E">
        <w:rPr>
          <w:rFonts w:ascii="Arial" w:hAnsi="Arial" w:cs="Arial"/>
          <w:bCs/>
          <w:sz w:val="22"/>
          <w:szCs w:val="22"/>
          <w:lang w:val="es-MX"/>
        </w:rPr>
        <w:t>Se expuso en la demanda que las tres prórrogas que sufrió el Contrato de Obra No. 193 se originaron, en suma, por las necesidades de cambiar los diseños iniciales, debido a que en las inmediaciones de los tramos a intervenir residían adultos mayores, quienes, para su acceso, requerían vías vehiculares y no peatonales como originalmente se previó, hecho que generó al contratista sobrecostos por la mayor permanencia en obra</w:t>
      </w:r>
      <w:r w:rsidR="00D751F0" w:rsidRPr="004A446E">
        <w:rPr>
          <w:rFonts w:ascii="Arial" w:hAnsi="Arial" w:cs="Arial"/>
          <w:bCs/>
          <w:sz w:val="22"/>
          <w:szCs w:val="22"/>
          <w:lang w:val="es-MX"/>
        </w:rPr>
        <w:t>…</w:t>
      </w:r>
      <w:r w:rsidRPr="004A446E">
        <w:rPr>
          <w:rFonts w:ascii="Arial" w:hAnsi="Arial" w:cs="Arial"/>
          <w:bCs/>
          <w:sz w:val="22"/>
          <w:szCs w:val="22"/>
          <w:lang w:val="es-MX"/>
        </w:rPr>
        <w:t xml:space="preserve">Con todo, lo expuesto, en criterio de la Sala, no resulta suficiente para concluir que la modificación en cuestión generó perjuicios al contratista por causa de la mayor permanencia, pues no se </w:t>
      </w:r>
      <w:r w:rsidRPr="004A446E">
        <w:rPr>
          <w:rFonts w:ascii="Arial" w:hAnsi="Arial" w:cs="Arial"/>
          <w:bCs/>
          <w:sz w:val="22"/>
          <w:szCs w:val="22"/>
          <w:lang w:val="es-MX"/>
        </w:rPr>
        <w:lastRenderedPageBreak/>
        <w:t>puede perder de vista que la ampliación en el plazo del contrato que supuestamente lo hizo incurrir en mayores costos administrativos, como lo subrayó en la alzada, estuvo acompañada de un incremento en el valor del contrato acordado en cuantía de $765’665.315.De ahí es claro que los costos de la mayor permanencia en obra por el plazo prorrogado en el documento adicional No. 1 hallaron sustento económico por cuenta del aumento del precio en la suma señalada. Si bien la parte actora considera que esta mayor permanencia en obra generó costos directos e indirectos superiores a los estimados, no puede eludirse el hecho de que estos costos directos debían encontrarse incorporados en el precio ofrecido por el contratista en su propuesta inicial, de manera que al adicionar el precio del contrato en los mismos términos del contrato primigenio, en cuanto a la conformación y agregación del mismo, se impone destacar que en la adición debía estar contenido el costo directo e indirecto y</w:t>
      </w:r>
      <w:r w:rsidRPr="004A446E">
        <w:rPr>
          <w:rFonts w:ascii="Arial" w:hAnsi="Arial" w:cs="Arial"/>
          <w:sz w:val="22"/>
          <w:szCs w:val="22"/>
          <w:lang w:val="es-ES_tradnl"/>
        </w:rPr>
        <w:t xml:space="preserve">, por tanto, no habría lugar a reclamar nuevamente este valor por lo que correspondía al tiempo de la primera prórroga. </w:t>
      </w:r>
      <w:r w:rsidRPr="004A446E">
        <w:rPr>
          <w:rFonts w:ascii="Arial" w:hAnsi="Arial" w:cs="Arial"/>
          <w:bCs/>
          <w:sz w:val="22"/>
          <w:szCs w:val="22"/>
          <w:lang w:val="es-MX"/>
        </w:rPr>
        <w:t xml:space="preserve">Adicionalmente, subraya la Sala que, como lo ha sostenido la jurisprudencia de la Sección Tercera, el solo transcurso del tiempo por sí mismo no genera ruptura del equilibrio económico del contrato, por cuanto se requiere acreditar los mayores costos en los cuales el contratista incurrió, producto de la mayor permanencia lo cual, en este caso, no se </w:t>
      </w:r>
      <w:r w:rsidR="00F97C15" w:rsidRPr="004A446E">
        <w:rPr>
          <w:rFonts w:ascii="Arial" w:hAnsi="Arial" w:cs="Arial"/>
          <w:bCs/>
          <w:sz w:val="22"/>
          <w:szCs w:val="22"/>
          <w:lang w:val="es-MX"/>
        </w:rPr>
        <w:t>probó. Así</w:t>
      </w:r>
      <w:r w:rsidRPr="004A446E">
        <w:rPr>
          <w:rFonts w:ascii="Arial" w:hAnsi="Arial" w:cs="Arial"/>
          <w:bCs/>
          <w:sz w:val="22"/>
          <w:szCs w:val="22"/>
          <w:lang w:val="es-MX"/>
        </w:rPr>
        <w:t xml:space="preserve"> mismo, si se trata de incumplimiento contractual también en ese evento se deben probar los perjuicios ocasionados, los cuales, en este proceso, tampoco se acreditaron.</w:t>
      </w:r>
    </w:p>
    <w:p w:rsidR="00F97C15" w:rsidRPr="004A446E" w:rsidRDefault="00F97C15" w:rsidP="00F97C15">
      <w:pPr>
        <w:contextualSpacing/>
        <w:jc w:val="both"/>
        <w:rPr>
          <w:rFonts w:ascii="Arial" w:hAnsi="Arial" w:cs="Arial"/>
          <w:sz w:val="22"/>
          <w:szCs w:val="22"/>
        </w:rPr>
      </w:pPr>
    </w:p>
    <w:p w:rsidR="00F97C15" w:rsidRPr="004A446E" w:rsidRDefault="00F97C15" w:rsidP="00F97C15">
      <w:pPr>
        <w:contextualSpacing/>
        <w:jc w:val="both"/>
        <w:rPr>
          <w:rFonts w:ascii="Arial" w:hAnsi="Arial" w:cs="Arial"/>
          <w:b/>
          <w:sz w:val="22"/>
          <w:szCs w:val="22"/>
          <w:lang w:val="es-CO"/>
        </w:rPr>
      </w:pPr>
      <w:r w:rsidRPr="004A446E">
        <w:rPr>
          <w:rFonts w:ascii="Arial" w:hAnsi="Arial" w:cs="Arial"/>
          <w:b/>
          <w:sz w:val="22"/>
          <w:szCs w:val="22"/>
          <w:lang w:val="es-CO"/>
        </w:rPr>
        <w:t>PERJUICIOS</w:t>
      </w:r>
      <w:r w:rsidR="004A446E" w:rsidRPr="004A446E">
        <w:rPr>
          <w:rFonts w:ascii="Arial" w:hAnsi="Arial" w:cs="Arial"/>
          <w:b/>
          <w:sz w:val="22"/>
          <w:szCs w:val="22"/>
          <w:lang w:val="es-CO"/>
        </w:rPr>
        <w:t xml:space="preserve"> </w:t>
      </w:r>
      <w:r w:rsidRPr="004A446E">
        <w:rPr>
          <w:rFonts w:ascii="Arial" w:hAnsi="Arial" w:cs="Arial"/>
          <w:b/>
          <w:sz w:val="22"/>
          <w:szCs w:val="22"/>
          <w:lang w:val="es-CO"/>
        </w:rPr>
        <w:t>-</w:t>
      </w:r>
      <w:r w:rsidR="004A446E" w:rsidRPr="004A446E">
        <w:rPr>
          <w:rFonts w:ascii="Arial" w:hAnsi="Arial" w:cs="Arial"/>
          <w:sz w:val="22"/>
          <w:szCs w:val="22"/>
          <w:lang w:val="es-CO" w:eastAsia="es-CO"/>
        </w:rPr>
        <w:t xml:space="preserve"> </w:t>
      </w:r>
      <w:r w:rsidR="004A446E" w:rsidRPr="004A446E">
        <w:rPr>
          <w:rFonts w:ascii="Arial" w:hAnsi="Arial" w:cs="Arial"/>
          <w:b/>
          <w:sz w:val="22"/>
          <w:szCs w:val="22"/>
          <w:lang w:val="es-CO" w:eastAsia="es-CO"/>
        </w:rPr>
        <w:t>R</w:t>
      </w:r>
      <w:r w:rsidRPr="004A446E">
        <w:rPr>
          <w:rFonts w:ascii="Arial" w:hAnsi="Arial" w:cs="Arial"/>
          <w:b/>
          <w:sz w:val="22"/>
          <w:szCs w:val="22"/>
          <w:lang w:val="es-CO"/>
        </w:rPr>
        <w:t xml:space="preserve">econocimiento de obras </w:t>
      </w:r>
      <w:r w:rsidR="00DE0431">
        <w:rPr>
          <w:rFonts w:ascii="Arial" w:hAnsi="Arial" w:cs="Arial"/>
          <w:b/>
          <w:sz w:val="22"/>
          <w:szCs w:val="22"/>
          <w:lang w:val="es-CO"/>
        </w:rPr>
        <w:t>- E</w:t>
      </w:r>
      <w:r w:rsidRPr="004A446E">
        <w:rPr>
          <w:rFonts w:ascii="Arial" w:hAnsi="Arial" w:cs="Arial"/>
          <w:b/>
          <w:sz w:val="22"/>
          <w:szCs w:val="22"/>
          <w:lang w:val="es-CO"/>
        </w:rPr>
        <w:t>jecutadas dentro del Contrato</w:t>
      </w:r>
    </w:p>
    <w:p w:rsidR="00D751F0" w:rsidRPr="004A446E" w:rsidRDefault="00D751F0" w:rsidP="00F97C15">
      <w:pPr>
        <w:contextualSpacing/>
        <w:jc w:val="both"/>
        <w:rPr>
          <w:rFonts w:ascii="Arial" w:hAnsi="Arial" w:cs="Arial"/>
          <w:b/>
          <w:sz w:val="22"/>
          <w:szCs w:val="22"/>
        </w:rPr>
      </w:pPr>
    </w:p>
    <w:p w:rsidR="00F97C15" w:rsidRPr="004A446E" w:rsidRDefault="00F97C15" w:rsidP="00F97C15">
      <w:pPr>
        <w:contextualSpacing/>
        <w:jc w:val="both"/>
        <w:rPr>
          <w:rFonts w:ascii="Arial" w:hAnsi="Arial" w:cs="Arial"/>
          <w:sz w:val="22"/>
          <w:szCs w:val="22"/>
        </w:rPr>
      </w:pPr>
      <w:r w:rsidRPr="004A446E">
        <w:rPr>
          <w:rFonts w:ascii="Arial" w:hAnsi="Arial" w:cs="Arial"/>
          <w:sz w:val="22"/>
          <w:szCs w:val="22"/>
        </w:rPr>
        <w:t>Sostuvo el libelista que durante la ejecución contractual se presentaron modificaciones a los diseños y materiales exigidos inicialmente motivadas por las exigencias elevadas por los habitantes de la zona, situación que, en criterio del actor, supuso la ejecución de actividades no previstas en cuantía de $904’796.634 que la entidad contratante no ha reconocido en su favor. Para resolver este punto, la Sala parte por señalar que de la formulación de esta pretensión no surge con claridad la naturaleza de la actividad cuyo pago se reclama. En otras palabras, no se desprende con certeza si respecto de las obras referidas por el demandante como “obras no previstas ejecutadas”, en las que basa su aspiración, existió un acuerdo entre las partes sobre su objeto y precio o, si no mediando el mismo, se ejecutaron sin amparo convencional por resultar necesarias para la culminación del proyecto, evento en el cual se justificaría la procedencia de analizar la pretensión subsidiaria consistente en la declaratoria de enriquecimiento sin causa</w:t>
      </w:r>
      <w:r w:rsidR="00D751F0" w:rsidRPr="004A446E">
        <w:rPr>
          <w:rFonts w:ascii="Arial" w:hAnsi="Arial" w:cs="Arial"/>
          <w:sz w:val="22"/>
          <w:szCs w:val="22"/>
        </w:rPr>
        <w:t>…</w:t>
      </w:r>
      <w:r w:rsidRPr="004A446E">
        <w:rPr>
          <w:rFonts w:ascii="Arial" w:hAnsi="Arial" w:cs="Arial"/>
          <w:sz w:val="22"/>
          <w:szCs w:val="22"/>
        </w:rPr>
        <w:t>Como es bien sabido, al tenor de lo dispuesto en el artículo 177 del Código de Procedimiento Civil, incumbe a las partes probar el supuesto de hecho de las normas que consagran el efecto jurídico que ellas persiguen, carga que no fue  debidamente satisfecha por la parte demandante. Ciertamente, la incertidumbre que se deja plasmada y que estriba en el desconocimiento -en cuanto a la naturaleza, descripción y cantidad- de las obras ejecutadas que ya fueron objeto de reconocimiento y su posible correspondencia con aquellas que constituyen la materia de reclamación, a todas luces se opone al reconocimiento de algún tipo de condena en favor del contratista por concepto de “</w:t>
      </w:r>
      <w:r w:rsidRPr="004A446E">
        <w:rPr>
          <w:rFonts w:ascii="Arial" w:hAnsi="Arial" w:cs="Arial"/>
          <w:i/>
          <w:sz w:val="22"/>
          <w:szCs w:val="22"/>
        </w:rPr>
        <w:t>obras no previstas ejecutadas dentro del contrato No. 193</w:t>
      </w:r>
      <w:r w:rsidRPr="004A446E">
        <w:rPr>
          <w:rFonts w:ascii="Arial" w:hAnsi="Arial" w:cs="Arial"/>
          <w:sz w:val="22"/>
          <w:szCs w:val="22"/>
        </w:rPr>
        <w:t xml:space="preserve">”. Proceder en el sentido opuesto podría, incluso, dar lugar </w:t>
      </w:r>
      <w:r w:rsidRPr="004A446E">
        <w:rPr>
          <w:rFonts w:ascii="Arial" w:hAnsi="Arial" w:cs="Arial"/>
          <w:sz w:val="22"/>
          <w:szCs w:val="22"/>
          <w:lang w:val="es-CO"/>
        </w:rPr>
        <w:t xml:space="preserve">a un doble reconocimiento económico por un mismo objeto situación que desde ningún ángulo puede ser prohijada por esta instancia. </w:t>
      </w:r>
    </w:p>
    <w:p w:rsidR="00D751F0" w:rsidRPr="004A446E" w:rsidRDefault="00D751F0" w:rsidP="00F97C15">
      <w:pPr>
        <w:contextualSpacing/>
        <w:jc w:val="both"/>
        <w:rPr>
          <w:rFonts w:ascii="Arial" w:hAnsi="Arial" w:cs="Arial"/>
          <w:sz w:val="22"/>
          <w:szCs w:val="22"/>
        </w:rPr>
      </w:pPr>
    </w:p>
    <w:p w:rsidR="00F97C15" w:rsidRPr="004A446E" w:rsidRDefault="00F97C15" w:rsidP="00F97C15">
      <w:pPr>
        <w:contextualSpacing/>
        <w:jc w:val="both"/>
        <w:rPr>
          <w:rFonts w:ascii="Arial" w:hAnsi="Arial" w:cs="Arial"/>
          <w:b/>
          <w:sz w:val="22"/>
          <w:szCs w:val="22"/>
        </w:rPr>
      </w:pPr>
      <w:r w:rsidRPr="004A446E">
        <w:rPr>
          <w:rFonts w:ascii="Arial" w:hAnsi="Arial" w:cs="Arial"/>
          <w:b/>
          <w:sz w:val="22"/>
          <w:szCs w:val="22"/>
        </w:rPr>
        <w:t>CONTRATACIÓN ESTATAL</w:t>
      </w:r>
      <w:r w:rsidR="00D751F0" w:rsidRPr="004A446E">
        <w:rPr>
          <w:rFonts w:ascii="Arial" w:hAnsi="Arial" w:cs="Arial"/>
          <w:b/>
          <w:sz w:val="22"/>
          <w:szCs w:val="22"/>
        </w:rPr>
        <w:t xml:space="preserve"> </w:t>
      </w:r>
      <w:bookmarkStart w:id="0" w:name="_GoBack"/>
      <w:r w:rsidRPr="004A446E">
        <w:rPr>
          <w:rFonts w:ascii="Arial" w:hAnsi="Arial" w:cs="Arial"/>
          <w:b/>
          <w:sz w:val="22"/>
          <w:szCs w:val="22"/>
        </w:rPr>
        <w:t>-</w:t>
      </w:r>
      <w:r w:rsidR="004A446E" w:rsidRPr="004A446E">
        <w:rPr>
          <w:rFonts w:ascii="Arial" w:hAnsi="Arial" w:cs="Arial"/>
          <w:b/>
          <w:sz w:val="22"/>
          <w:szCs w:val="22"/>
        </w:rPr>
        <w:t xml:space="preserve"> Pretensión - L</w:t>
      </w:r>
      <w:r w:rsidRPr="004A446E">
        <w:rPr>
          <w:rFonts w:ascii="Arial" w:hAnsi="Arial" w:cs="Arial"/>
          <w:b/>
          <w:sz w:val="22"/>
          <w:szCs w:val="22"/>
        </w:rPr>
        <w:t>iquidación judicial del contrato</w:t>
      </w:r>
    </w:p>
    <w:bookmarkEnd w:id="0"/>
    <w:p w:rsidR="00F97C15" w:rsidRPr="004A446E" w:rsidRDefault="00F97C15" w:rsidP="00F97C15">
      <w:pPr>
        <w:contextualSpacing/>
        <w:jc w:val="both"/>
        <w:rPr>
          <w:rFonts w:ascii="Arial" w:hAnsi="Arial" w:cs="Arial"/>
          <w:b/>
          <w:sz w:val="22"/>
          <w:szCs w:val="22"/>
        </w:rPr>
      </w:pPr>
    </w:p>
    <w:p w:rsidR="00E947E1" w:rsidRPr="004A446E" w:rsidRDefault="00F97C15" w:rsidP="00FA587B">
      <w:pPr>
        <w:contextualSpacing/>
        <w:jc w:val="both"/>
        <w:rPr>
          <w:rFonts w:ascii="Arial" w:hAnsi="Arial" w:cs="Arial"/>
          <w:sz w:val="22"/>
          <w:szCs w:val="22"/>
        </w:rPr>
      </w:pPr>
      <w:r w:rsidRPr="004A446E">
        <w:rPr>
          <w:rFonts w:ascii="Arial" w:hAnsi="Arial" w:cs="Arial"/>
          <w:sz w:val="22"/>
          <w:szCs w:val="22"/>
        </w:rPr>
        <w:t>La Sala estima necesario precisar que en la demanda se formuló expresamente la pretensión encaminada a obtener la liquidación judicial del contrato y al no existir constancia de su liquidación por las partes o por la entidad contratante, esta petición, en principio, resultaría procedente.</w:t>
      </w:r>
      <w:r w:rsidR="00D751F0" w:rsidRPr="004A446E">
        <w:rPr>
          <w:rFonts w:ascii="Arial" w:hAnsi="Arial" w:cs="Arial"/>
          <w:sz w:val="22"/>
          <w:szCs w:val="22"/>
        </w:rPr>
        <w:t xml:space="preserve"> </w:t>
      </w:r>
      <w:r w:rsidRPr="004A446E">
        <w:rPr>
          <w:rFonts w:ascii="Arial" w:hAnsi="Arial" w:cs="Arial"/>
          <w:sz w:val="22"/>
          <w:szCs w:val="22"/>
        </w:rPr>
        <w:t>Sin embargo, esta instancia no cuenta con elementos de juicio suficientes para determinar el cruce final de cuentas del Contrato No. 193 de 2005, pues, se desconoce en qué proporción fue ejecutado el objeto contractual y qué sumas verdaderamente se adeudan entre las partes. Por esta razón, la Sala se abstendrá de liquidarlo judicialmente.</w:t>
      </w:r>
    </w:p>
    <w:p w:rsidR="00E947E1" w:rsidRDefault="00E947E1" w:rsidP="00FA587B">
      <w:pPr>
        <w:contextualSpacing/>
        <w:jc w:val="both"/>
        <w:rPr>
          <w:rFonts w:ascii="Arial" w:hAnsi="Arial" w:cs="Arial"/>
        </w:rPr>
      </w:pPr>
    </w:p>
    <w:p w:rsidR="00E947E1" w:rsidRPr="00E947E1" w:rsidRDefault="00E947E1" w:rsidP="00FA587B">
      <w:pPr>
        <w:contextualSpacing/>
        <w:jc w:val="both"/>
        <w:rPr>
          <w:rFonts w:ascii="Arial" w:hAnsi="Arial" w:cs="Arial"/>
        </w:rPr>
      </w:pPr>
    </w:p>
    <w:p w:rsidR="00C4783A" w:rsidRPr="00FA587B" w:rsidRDefault="00C4783A" w:rsidP="00FA587B">
      <w:pPr>
        <w:tabs>
          <w:tab w:val="left" w:pos="810"/>
          <w:tab w:val="left" w:pos="2085"/>
          <w:tab w:val="center" w:pos="4420"/>
          <w:tab w:val="left" w:pos="6570"/>
        </w:tabs>
        <w:jc w:val="both"/>
        <w:rPr>
          <w:rFonts w:ascii="Arial" w:hAnsi="Arial" w:cs="Arial"/>
          <w:b/>
        </w:rPr>
      </w:pPr>
    </w:p>
    <w:p w:rsidR="003C1A94" w:rsidRPr="00FA587B" w:rsidRDefault="0062090C" w:rsidP="00FA587B">
      <w:pPr>
        <w:tabs>
          <w:tab w:val="left" w:pos="810"/>
          <w:tab w:val="left" w:pos="2085"/>
          <w:tab w:val="center" w:pos="4420"/>
          <w:tab w:val="left" w:pos="6570"/>
        </w:tabs>
        <w:jc w:val="center"/>
        <w:rPr>
          <w:rFonts w:ascii="Arial" w:hAnsi="Arial" w:cs="Arial"/>
          <w:b/>
        </w:rPr>
      </w:pPr>
      <w:r w:rsidRPr="00FA587B">
        <w:rPr>
          <w:rFonts w:ascii="Arial" w:hAnsi="Arial" w:cs="Arial"/>
          <w:b/>
        </w:rPr>
        <w:t>C</w:t>
      </w:r>
      <w:r w:rsidR="003C1A94" w:rsidRPr="00FA587B">
        <w:rPr>
          <w:rFonts w:ascii="Arial" w:hAnsi="Arial" w:cs="Arial"/>
          <w:b/>
        </w:rPr>
        <w:t>ONSEJO DE ESTADO</w:t>
      </w:r>
    </w:p>
    <w:p w:rsidR="00CB7F3C" w:rsidRPr="00FA587B" w:rsidRDefault="00CB7F3C" w:rsidP="00FA587B">
      <w:pPr>
        <w:jc w:val="center"/>
        <w:rPr>
          <w:rFonts w:ascii="Arial" w:hAnsi="Arial" w:cs="Arial"/>
          <w:b/>
        </w:rPr>
      </w:pPr>
    </w:p>
    <w:p w:rsidR="003C1A94" w:rsidRPr="00FA587B" w:rsidRDefault="003C1A94" w:rsidP="00FA587B">
      <w:pPr>
        <w:jc w:val="center"/>
        <w:rPr>
          <w:rFonts w:ascii="Arial" w:hAnsi="Arial" w:cs="Arial"/>
          <w:b/>
        </w:rPr>
      </w:pPr>
      <w:r w:rsidRPr="00FA587B">
        <w:rPr>
          <w:rFonts w:ascii="Arial" w:hAnsi="Arial" w:cs="Arial"/>
          <w:b/>
        </w:rPr>
        <w:t>SALA DE LO CONTENCIOSO ADMINISTRATIVO</w:t>
      </w:r>
    </w:p>
    <w:p w:rsidR="00CB7F3C" w:rsidRPr="00FA587B" w:rsidRDefault="00CB7F3C" w:rsidP="00FA587B">
      <w:pPr>
        <w:jc w:val="center"/>
        <w:rPr>
          <w:rFonts w:ascii="Arial" w:hAnsi="Arial" w:cs="Arial"/>
          <w:b/>
        </w:rPr>
      </w:pPr>
    </w:p>
    <w:p w:rsidR="00CB7F3C" w:rsidRPr="00FA587B" w:rsidRDefault="000655F0" w:rsidP="00FA587B">
      <w:pPr>
        <w:jc w:val="center"/>
        <w:rPr>
          <w:rFonts w:ascii="Arial" w:hAnsi="Arial" w:cs="Arial"/>
          <w:b/>
        </w:rPr>
      </w:pPr>
      <w:r w:rsidRPr="00FA587B">
        <w:rPr>
          <w:rFonts w:ascii="Arial" w:hAnsi="Arial" w:cs="Arial"/>
          <w:b/>
        </w:rPr>
        <w:t>SECCIÓ</w:t>
      </w:r>
      <w:r w:rsidR="003C1A94" w:rsidRPr="00FA587B">
        <w:rPr>
          <w:rFonts w:ascii="Arial" w:hAnsi="Arial" w:cs="Arial"/>
          <w:b/>
        </w:rPr>
        <w:t>N TERCERA</w:t>
      </w:r>
    </w:p>
    <w:p w:rsidR="00CB7F3C" w:rsidRPr="00FA587B" w:rsidRDefault="00CB7F3C" w:rsidP="00FA587B">
      <w:pPr>
        <w:jc w:val="center"/>
        <w:rPr>
          <w:rFonts w:ascii="Arial" w:hAnsi="Arial" w:cs="Arial"/>
          <w:b/>
        </w:rPr>
      </w:pPr>
    </w:p>
    <w:p w:rsidR="00F526A5" w:rsidRPr="00FA587B" w:rsidRDefault="000655F0" w:rsidP="00FA587B">
      <w:pPr>
        <w:tabs>
          <w:tab w:val="center" w:pos="4420"/>
          <w:tab w:val="left" w:pos="6060"/>
        </w:tabs>
        <w:jc w:val="center"/>
        <w:rPr>
          <w:rFonts w:ascii="Arial" w:hAnsi="Arial" w:cs="Arial"/>
          <w:b/>
        </w:rPr>
      </w:pPr>
      <w:r w:rsidRPr="00FA587B">
        <w:rPr>
          <w:rFonts w:ascii="Arial" w:hAnsi="Arial" w:cs="Arial"/>
          <w:b/>
        </w:rPr>
        <w:t>SUBSECCIÓ</w:t>
      </w:r>
      <w:r w:rsidR="003C1A94" w:rsidRPr="00FA587B">
        <w:rPr>
          <w:rFonts w:ascii="Arial" w:hAnsi="Arial" w:cs="Arial"/>
          <w:b/>
        </w:rPr>
        <w:t>N A</w:t>
      </w:r>
    </w:p>
    <w:p w:rsidR="004B2766" w:rsidRPr="00FA587B" w:rsidRDefault="004B2766" w:rsidP="00FA587B">
      <w:pPr>
        <w:jc w:val="center"/>
        <w:rPr>
          <w:rFonts w:ascii="Arial" w:hAnsi="Arial" w:cs="Arial"/>
          <w:b/>
        </w:rPr>
      </w:pPr>
    </w:p>
    <w:p w:rsidR="00F526A5" w:rsidRPr="00FA587B" w:rsidRDefault="00842AC5" w:rsidP="00FA587B">
      <w:pPr>
        <w:jc w:val="center"/>
        <w:rPr>
          <w:rFonts w:ascii="Arial" w:hAnsi="Arial" w:cs="Arial"/>
          <w:b/>
        </w:rPr>
      </w:pPr>
      <w:r w:rsidRPr="00FA587B">
        <w:rPr>
          <w:rFonts w:ascii="Arial" w:hAnsi="Arial" w:cs="Arial"/>
          <w:b/>
        </w:rPr>
        <w:t>Consejera</w:t>
      </w:r>
      <w:r w:rsidR="000655F0" w:rsidRPr="00FA587B">
        <w:rPr>
          <w:rFonts w:ascii="Arial" w:hAnsi="Arial" w:cs="Arial"/>
          <w:b/>
        </w:rPr>
        <w:t xml:space="preserve"> ponente: MARTA NUBIA VELÁ</w:t>
      </w:r>
      <w:r w:rsidR="00CB7F3C" w:rsidRPr="00FA587B">
        <w:rPr>
          <w:rFonts w:ascii="Arial" w:hAnsi="Arial" w:cs="Arial"/>
          <w:b/>
        </w:rPr>
        <w:t>SQUEZ RICO</w:t>
      </w:r>
    </w:p>
    <w:p w:rsidR="00CB7F3C" w:rsidRPr="00FA587B" w:rsidRDefault="00CB7F3C" w:rsidP="00FA587B">
      <w:pPr>
        <w:jc w:val="center"/>
        <w:rPr>
          <w:rFonts w:ascii="Arial" w:hAnsi="Arial" w:cs="Arial"/>
          <w:b/>
        </w:rPr>
      </w:pPr>
    </w:p>
    <w:p w:rsidR="00EE1AAA" w:rsidRPr="00FA587B" w:rsidRDefault="006220A5" w:rsidP="00FA587B">
      <w:pPr>
        <w:jc w:val="both"/>
        <w:rPr>
          <w:rFonts w:ascii="Arial" w:hAnsi="Arial" w:cs="Arial"/>
          <w:lang w:val="es-CO"/>
        </w:rPr>
      </w:pPr>
      <w:r w:rsidRPr="00FA587B">
        <w:rPr>
          <w:rFonts w:ascii="Arial" w:hAnsi="Arial" w:cs="Arial"/>
          <w:lang w:val="es-CO"/>
        </w:rPr>
        <w:t>Bogotá</w:t>
      </w:r>
      <w:r w:rsidR="00CC2FCB" w:rsidRPr="00FA587B">
        <w:rPr>
          <w:rFonts w:ascii="Arial" w:hAnsi="Arial" w:cs="Arial"/>
          <w:lang w:val="es-CO"/>
        </w:rPr>
        <w:t>,</w:t>
      </w:r>
      <w:r w:rsidRPr="00FA587B">
        <w:rPr>
          <w:rFonts w:ascii="Arial" w:hAnsi="Arial" w:cs="Arial"/>
          <w:lang w:val="es-CO"/>
        </w:rPr>
        <w:t xml:space="preserve"> D.C., </w:t>
      </w:r>
      <w:r w:rsidR="00883354" w:rsidRPr="00FA587B">
        <w:rPr>
          <w:rFonts w:ascii="Arial" w:hAnsi="Arial" w:cs="Arial"/>
          <w:lang w:val="es-CO"/>
        </w:rPr>
        <w:t xml:space="preserve">veintiséis (26) de abril </w:t>
      </w:r>
      <w:r w:rsidR="00BB2C71" w:rsidRPr="00FA587B">
        <w:rPr>
          <w:rFonts w:ascii="Arial" w:hAnsi="Arial" w:cs="Arial"/>
          <w:lang w:val="es-CO"/>
        </w:rPr>
        <w:t>de dos mil diecisiete</w:t>
      </w:r>
      <w:r w:rsidR="002C4848" w:rsidRPr="00FA587B">
        <w:rPr>
          <w:rFonts w:ascii="Arial" w:hAnsi="Arial" w:cs="Arial"/>
          <w:lang w:val="es-CO"/>
        </w:rPr>
        <w:t xml:space="preserve"> </w:t>
      </w:r>
      <w:r w:rsidR="00BB2C71" w:rsidRPr="00FA587B">
        <w:rPr>
          <w:rFonts w:ascii="Arial" w:hAnsi="Arial" w:cs="Arial"/>
          <w:lang w:val="es-CO"/>
        </w:rPr>
        <w:t>(2017</w:t>
      </w:r>
      <w:r w:rsidR="00EE1AAA" w:rsidRPr="00FA587B">
        <w:rPr>
          <w:rFonts w:ascii="Arial" w:hAnsi="Arial" w:cs="Arial"/>
          <w:lang w:val="es-CO"/>
        </w:rPr>
        <w:t>)</w:t>
      </w:r>
      <w:r w:rsidR="00CB7F3C" w:rsidRPr="00FA587B">
        <w:rPr>
          <w:rFonts w:ascii="Arial" w:hAnsi="Arial" w:cs="Arial"/>
          <w:lang w:val="es-CO"/>
        </w:rPr>
        <w:t>.</w:t>
      </w:r>
    </w:p>
    <w:p w:rsidR="00CB7F3C" w:rsidRPr="00FA587B" w:rsidRDefault="00CB7F3C" w:rsidP="00FA587B">
      <w:pPr>
        <w:jc w:val="both"/>
        <w:rPr>
          <w:rFonts w:ascii="Arial" w:hAnsi="Arial" w:cs="Arial"/>
          <w:lang w:val="es-CO"/>
        </w:rPr>
      </w:pPr>
    </w:p>
    <w:p w:rsidR="00B60B29" w:rsidRPr="00FA587B" w:rsidRDefault="00B60B29" w:rsidP="00FA587B">
      <w:pPr>
        <w:jc w:val="both"/>
        <w:rPr>
          <w:rFonts w:ascii="Arial" w:hAnsi="Arial" w:cs="Arial"/>
          <w:b/>
        </w:rPr>
      </w:pPr>
      <w:r w:rsidRPr="00FA587B">
        <w:rPr>
          <w:rFonts w:ascii="Arial" w:hAnsi="Arial" w:cs="Arial"/>
          <w:b/>
        </w:rPr>
        <w:t>Radicación</w:t>
      </w:r>
      <w:r w:rsidR="00CB7F3C" w:rsidRPr="00FA587B">
        <w:rPr>
          <w:rFonts w:ascii="Arial" w:hAnsi="Arial" w:cs="Arial"/>
          <w:b/>
        </w:rPr>
        <w:t xml:space="preserve"> número</w:t>
      </w:r>
      <w:r w:rsidR="00CE3B84" w:rsidRPr="00FA587B">
        <w:rPr>
          <w:rFonts w:ascii="Arial" w:hAnsi="Arial" w:cs="Arial"/>
          <w:b/>
        </w:rPr>
        <w:t xml:space="preserve">: </w:t>
      </w:r>
      <w:r w:rsidR="00390707" w:rsidRPr="00FA587B">
        <w:rPr>
          <w:rFonts w:ascii="Arial" w:hAnsi="Arial" w:cs="Arial"/>
          <w:b/>
        </w:rPr>
        <w:t>25000</w:t>
      </w:r>
      <w:r w:rsidR="00CB7F3C" w:rsidRPr="00FA587B">
        <w:rPr>
          <w:rFonts w:ascii="Arial" w:hAnsi="Arial" w:cs="Arial"/>
          <w:b/>
        </w:rPr>
        <w:t>-</w:t>
      </w:r>
      <w:r w:rsidR="00B0418F" w:rsidRPr="00FA587B">
        <w:rPr>
          <w:rFonts w:ascii="Arial" w:hAnsi="Arial" w:cs="Arial"/>
          <w:b/>
        </w:rPr>
        <w:t>23</w:t>
      </w:r>
      <w:r w:rsidR="00CB7F3C" w:rsidRPr="00FA587B">
        <w:rPr>
          <w:rFonts w:ascii="Arial" w:hAnsi="Arial" w:cs="Arial"/>
          <w:b/>
        </w:rPr>
        <w:t>-</w:t>
      </w:r>
      <w:r w:rsidR="00390707" w:rsidRPr="00FA587B">
        <w:rPr>
          <w:rFonts w:ascii="Arial" w:hAnsi="Arial" w:cs="Arial"/>
          <w:b/>
        </w:rPr>
        <w:t>26</w:t>
      </w:r>
      <w:r w:rsidR="00CB7F3C" w:rsidRPr="00FA587B">
        <w:rPr>
          <w:rFonts w:ascii="Arial" w:hAnsi="Arial" w:cs="Arial"/>
          <w:b/>
        </w:rPr>
        <w:t>-</w:t>
      </w:r>
      <w:r w:rsidR="00CC2FCB" w:rsidRPr="00FA587B">
        <w:rPr>
          <w:rFonts w:ascii="Arial" w:hAnsi="Arial" w:cs="Arial"/>
          <w:b/>
        </w:rPr>
        <w:t>000-2010-00049-01</w:t>
      </w:r>
      <w:r w:rsidR="002A3AFD" w:rsidRPr="00FA587B">
        <w:rPr>
          <w:rFonts w:ascii="Arial" w:hAnsi="Arial" w:cs="Arial"/>
          <w:b/>
        </w:rPr>
        <w:t>(</w:t>
      </w:r>
      <w:r w:rsidR="00BB2C71" w:rsidRPr="00FA587B">
        <w:rPr>
          <w:rFonts w:ascii="Arial" w:hAnsi="Arial" w:cs="Arial"/>
          <w:b/>
        </w:rPr>
        <w:t>50762</w:t>
      </w:r>
      <w:r w:rsidR="00CB7F3C" w:rsidRPr="00FA587B">
        <w:rPr>
          <w:rFonts w:ascii="Arial" w:hAnsi="Arial" w:cs="Arial"/>
          <w:b/>
        </w:rPr>
        <w:t>)</w:t>
      </w:r>
    </w:p>
    <w:p w:rsidR="00CB7F3C" w:rsidRPr="00FA587B" w:rsidRDefault="00CB7F3C" w:rsidP="00FA587B">
      <w:pPr>
        <w:jc w:val="both"/>
        <w:rPr>
          <w:rFonts w:ascii="Arial" w:hAnsi="Arial" w:cs="Arial"/>
          <w:b/>
        </w:rPr>
      </w:pPr>
    </w:p>
    <w:p w:rsidR="00B60B29" w:rsidRPr="00FA587B" w:rsidRDefault="00B60B29" w:rsidP="00BD68AD">
      <w:pPr>
        <w:jc w:val="both"/>
        <w:rPr>
          <w:rFonts w:ascii="Arial" w:hAnsi="Arial" w:cs="Arial"/>
          <w:b/>
        </w:rPr>
      </w:pPr>
      <w:r w:rsidRPr="00FA587B">
        <w:rPr>
          <w:rFonts w:ascii="Arial" w:hAnsi="Arial" w:cs="Arial"/>
          <w:b/>
        </w:rPr>
        <w:t>Actor</w:t>
      </w:r>
      <w:r w:rsidR="00CE3B84" w:rsidRPr="00FA587B">
        <w:rPr>
          <w:rFonts w:ascii="Arial" w:hAnsi="Arial" w:cs="Arial"/>
          <w:b/>
        </w:rPr>
        <w:t xml:space="preserve">: </w:t>
      </w:r>
      <w:r w:rsidR="00463E02" w:rsidRPr="00FA587B">
        <w:rPr>
          <w:rFonts w:ascii="Arial" w:hAnsi="Arial" w:cs="Arial"/>
          <w:b/>
        </w:rPr>
        <w:t xml:space="preserve">JAIME CARMONA SOTO </w:t>
      </w:r>
    </w:p>
    <w:p w:rsidR="00CB7F3C" w:rsidRPr="00FA587B" w:rsidRDefault="00CB7F3C" w:rsidP="00BD68AD">
      <w:pPr>
        <w:jc w:val="both"/>
        <w:rPr>
          <w:rFonts w:ascii="Arial" w:hAnsi="Arial" w:cs="Arial"/>
          <w:b/>
        </w:rPr>
      </w:pPr>
    </w:p>
    <w:p w:rsidR="00CB7F3C" w:rsidRPr="00FA587B" w:rsidRDefault="00B60B29" w:rsidP="00BD68AD">
      <w:pPr>
        <w:jc w:val="both"/>
        <w:rPr>
          <w:rFonts w:ascii="Arial" w:hAnsi="Arial" w:cs="Arial"/>
          <w:b/>
        </w:rPr>
      </w:pPr>
      <w:r w:rsidRPr="00FA587B">
        <w:rPr>
          <w:rFonts w:ascii="Arial" w:hAnsi="Arial" w:cs="Arial"/>
          <w:b/>
        </w:rPr>
        <w:t>Demandado</w:t>
      </w:r>
      <w:r w:rsidR="00CE3B84" w:rsidRPr="00FA587B">
        <w:rPr>
          <w:rFonts w:ascii="Arial" w:hAnsi="Arial" w:cs="Arial"/>
          <w:b/>
        </w:rPr>
        <w:t>:</w:t>
      </w:r>
      <w:r w:rsidR="002A3AFD" w:rsidRPr="00FA587B">
        <w:rPr>
          <w:rFonts w:ascii="Arial" w:hAnsi="Arial" w:cs="Arial"/>
          <w:b/>
          <w:bCs/>
        </w:rPr>
        <w:t xml:space="preserve"> IN</w:t>
      </w:r>
      <w:r w:rsidR="00FA587B" w:rsidRPr="00FA587B">
        <w:rPr>
          <w:rFonts w:ascii="Arial" w:hAnsi="Arial" w:cs="Arial"/>
          <w:b/>
          <w:bCs/>
        </w:rPr>
        <w:t>STITUTO DE DESARROLLO URBANO</w:t>
      </w:r>
    </w:p>
    <w:p w:rsidR="00CE3B84" w:rsidRPr="00FA587B" w:rsidRDefault="00CE3B84" w:rsidP="00BD68AD">
      <w:pPr>
        <w:jc w:val="both"/>
        <w:rPr>
          <w:rFonts w:ascii="Arial" w:hAnsi="Arial" w:cs="Arial"/>
          <w:b/>
        </w:rPr>
      </w:pPr>
    </w:p>
    <w:p w:rsidR="00CC2FCB" w:rsidRPr="00FA587B" w:rsidRDefault="00CC2FCB" w:rsidP="00BD68AD">
      <w:pPr>
        <w:jc w:val="both"/>
        <w:rPr>
          <w:rFonts w:ascii="Arial" w:hAnsi="Arial" w:cs="Arial"/>
          <w:b/>
        </w:rPr>
      </w:pPr>
    </w:p>
    <w:p w:rsidR="00CC2FCB" w:rsidRPr="00FA587B" w:rsidRDefault="00CC2FCB" w:rsidP="00BD68AD">
      <w:pPr>
        <w:jc w:val="both"/>
        <w:rPr>
          <w:rFonts w:ascii="Arial" w:hAnsi="Arial" w:cs="Arial"/>
          <w:b/>
        </w:rPr>
      </w:pPr>
    </w:p>
    <w:p w:rsidR="000C4B12" w:rsidRPr="00FA587B" w:rsidRDefault="00CE3B84" w:rsidP="00FA587B">
      <w:pPr>
        <w:jc w:val="both"/>
        <w:rPr>
          <w:rFonts w:ascii="Arial" w:hAnsi="Arial" w:cs="Arial"/>
          <w:b/>
          <w:bCs/>
        </w:rPr>
      </w:pPr>
      <w:r w:rsidRPr="00FA587B">
        <w:rPr>
          <w:rFonts w:ascii="Arial" w:hAnsi="Arial" w:cs="Arial"/>
          <w:b/>
        </w:rPr>
        <w:t xml:space="preserve">Referencia: </w:t>
      </w:r>
      <w:r w:rsidR="00CC2FCB" w:rsidRPr="00FA587B">
        <w:rPr>
          <w:rFonts w:ascii="Arial" w:hAnsi="Arial" w:cs="Arial"/>
          <w:b/>
        </w:rPr>
        <w:t xml:space="preserve">APELACIÓN SENTENCIA - </w:t>
      </w:r>
      <w:r w:rsidR="000655F0" w:rsidRPr="00FA587B">
        <w:rPr>
          <w:rFonts w:ascii="Arial" w:hAnsi="Arial" w:cs="Arial"/>
          <w:b/>
          <w:bCs/>
        </w:rPr>
        <w:t>ACCIÓ</w:t>
      </w:r>
      <w:r w:rsidR="00CB24F6" w:rsidRPr="00FA587B">
        <w:rPr>
          <w:rFonts w:ascii="Arial" w:hAnsi="Arial" w:cs="Arial"/>
          <w:b/>
          <w:bCs/>
        </w:rPr>
        <w:t xml:space="preserve">N </w:t>
      </w:r>
      <w:r w:rsidR="00CC2FCB" w:rsidRPr="00FA587B">
        <w:rPr>
          <w:rFonts w:ascii="Arial" w:hAnsi="Arial" w:cs="Arial"/>
          <w:b/>
          <w:bCs/>
        </w:rPr>
        <w:t xml:space="preserve">DE CONTROVERSIAS </w:t>
      </w:r>
      <w:r w:rsidR="00CB24F6" w:rsidRPr="00FA587B">
        <w:rPr>
          <w:rFonts w:ascii="Arial" w:hAnsi="Arial" w:cs="Arial"/>
          <w:b/>
          <w:bCs/>
        </w:rPr>
        <w:t>CONTRACTUAL</w:t>
      </w:r>
      <w:r w:rsidR="00CC2FCB" w:rsidRPr="00FA587B">
        <w:rPr>
          <w:rFonts w:ascii="Arial" w:hAnsi="Arial" w:cs="Arial"/>
          <w:b/>
          <w:bCs/>
        </w:rPr>
        <w:t>ES</w:t>
      </w:r>
    </w:p>
    <w:p w:rsidR="00CE3B84" w:rsidRPr="00FA587B" w:rsidRDefault="00CE3B84" w:rsidP="00FA587B">
      <w:pPr>
        <w:jc w:val="both"/>
        <w:rPr>
          <w:rFonts w:ascii="Arial" w:hAnsi="Arial" w:cs="Arial"/>
          <w:b/>
          <w:bCs/>
        </w:rPr>
      </w:pPr>
    </w:p>
    <w:p w:rsidR="004926C9" w:rsidRPr="00FA587B" w:rsidRDefault="004926C9" w:rsidP="00FA587B">
      <w:pPr>
        <w:jc w:val="both"/>
        <w:rPr>
          <w:rFonts w:ascii="Arial" w:hAnsi="Arial" w:cs="Arial"/>
          <w:b/>
          <w:bCs/>
        </w:rPr>
      </w:pPr>
    </w:p>
    <w:p w:rsidR="00CE3B84" w:rsidRPr="00FA587B" w:rsidRDefault="00CE3B84" w:rsidP="00FA587B">
      <w:pPr>
        <w:jc w:val="both"/>
        <w:rPr>
          <w:rFonts w:ascii="Arial" w:hAnsi="Arial" w:cs="Arial"/>
          <w:b/>
          <w:bCs/>
        </w:rPr>
      </w:pPr>
    </w:p>
    <w:p w:rsidR="00593CAA" w:rsidRPr="00FA587B" w:rsidRDefault="00124515" w:rsidP="00FA587B">
      <w:pPr>
        <w:jc w:val="both"/>
        <w:rPr>
          <w:rFonts w:ascii="Arial" w:hAnsi="Arial" w:cs="Arial"/>
          <w:lang w:val="es-CO"/>
        </w:rPr>
      </w:pPr>
      <w:r w:rsidRPr="00FA587B">
        <w:rPr>
          <w:rFonts w:ascii="Arial" w:hAnsi="Arial" w:cs="Arial"/>
        </w:rPr>
        <w:t>Tema</w:t>
      </w:r>
      <w:r w:rsidR="00CB24F6" w:rsidRPr="00FA587B">
        <w:rPr>
          <w:rFonts w:ascii="Arial" w:hAnsi="Arial" w:cs="Arial"/>
        </w:rPr>
        <w:t xml:space="preserve">s: </w:t>
      </w:r>
      <w:r w:rsidR="00D96ED2" w:rsidRPr="00FA587B">
        <w:rPr>
          <w:rFonts w:ascii="Arial" w:hAnsi="Arial" w:cs="Arial"/>
        </w:rPr>
        <w:t>CONCILIACIÓ</w:t>
      </w:r>
      <w:r w:rsidR="008D0E20" w:rsidRPr="00FA587B">
        <w:rPr>
          <w:rFonts w:ascii="Arial" w:hAnsi="Arial" w:cs="Arial"/>
        </w:rPr>
        <w:t xml:space="preserve">N EXTRAJUDICIAL /requisito de procedibilidad - </w:t>
      </w:r>
      <w:r w:rsidR="008D0E20" w:rsidRPr="00FA587B">
        <w:rPr>
          <w:rFonts w:ascii="Arial" w:hAnsi="Arial" w:cs="Arial"/>
          <w:lang w:val="es-CO"/>
        </w:rPr>
        <w:t>MAYOR PERMANENCIA EN OBRA / inicio tardío de obras y ampliación de plazo contractual – OBRAS NO PREVISTAS / PAGO DEL PRECIO TOTAL DEL CONTRATO.</w:t>
      </w:r>
    </w:p>
    <w:p w:rsidR="00CB24F6" w:rsidRPr="00FA587B" w:rsidRDefault="00CB24F6" w:rsidP="00FA587B">
      <w:pPr>
        <w:jc w:val="both"/>
        <w:rPr>
          <w:rFonts w:ascii="Arial" w:hAnsi="Arial" w:cs="Arial"/>
          <w:lang w:val="es-CO"/>
        </w:rPr>
      </w:pPr>
    </w:p>
    <w:p w:rsidR="00390707" w:rsidRPr="00FA587B" w:rsidRDefault="00390707" w:rsidP="00FA587B">
      <w:pPr>
        <w:widowControl w:val="0"/>
        <w:autoSpaceDE w:val="0"/>
        <w:autoSpaceDN w:val="0"/>
        <w:adjustRightInd w:val="0"/>
        <w:spacing w:line="360" w:lineRule="auto"/>
        <w:jc w:val="both"/>
        <w:rPr>
          <w:rFonts w:ascii="Arial" w:hAnsi="Arial" w:cs="Arial"/>
        </w:rPr>
      </w:pPr>
      <w:r w:rsidRPr="00FA587B">
        <w:rPr>
          <w:rFonts w:ascii="Arial" w:hAnsi="Arial" w:cs="Arial"/>
        </w:rPr>
        <w:t xml:space="preserve">Conoce </w:t>
      </w:r>
      <w:smartTag w:uri="urn:schemas-microsoft-com:office:smarttags" w:element="PersonName">
        <w:smartTagPr>
          <w:attr w:name="ProductID" w:val="la Sala"/>
        </w:smartTagPr>
        <w:r w:rsidRPr="00FA587B">
          <w:rPr>
            <w:rFonts w:ascii="Arial" w:hAnsi="Arial" w:cs="Arial"/>
          </w:rPr>
          <w:t>la Sala</w:t>
        </w:r>
      </w:smartTag>
      <w:r w:rsidRPr="00FA587B">
        <w:rPr>
          <w:rFonts w:ascii="Arial" w:hAnsi="Arial" w:cs="Arial"/>
        </w:rPr>
        <w:t xml:space="preserve"> del recurso de apelación interpuesto por la parte demandan</w:t>
      </w:r>
      <w:r w:rsidR="00463E02" w:rsidRPr="00FA587B">
        <w:rPr>
          <w:rFonts w:ascii="Arial" w:hAnsi="Arial" w:cs="Arial"/>
        </w:rPr>
        <w:t>te, contra la sentencia del treinta (30</w:t>
      </w:r>
      <w:r w:rsidRPr="00FA587B">
        <w:rPr>
          <w:rFonts w:ascii="Arial" w:hAnsi="Arial" w:cs="Arial"/>
        </w:rPr>
        <w:t xml:space="preserve">) de </w:t>
      </w:r>
      <w:r w:rsidR="00463E02" w:rsidRPr="00FA587B">
        <w:rPr>
          <w:rFonts w:ascii="Arial" w:hAnsi="Arial" w:cs="Arial"/>
        </w:rPr>
        <w:t xml:space="preserve">enero </w:t>
      </w:r>
      <w:r w:rsidR="002A3AFD" w:rsidRPr="00FA587B">
        <w:rPr>
          <w:rFonts w:ascii="Arial" w:hAnsi="Arial" w:cs="Arial"/>
        </w:rPr>
        <w:t>de dos mil catorce (2014</w:t>
      </w:r>
      <w:r w:rsidRPr="00FA587B">
        <w:rPr>
          <w:rFonts w:ascii="Arial" w:hAnsi="Arial" w:cs="Arial"/>
        </w:rPr>
        <w:t xml:space="preserve">), dictada por el Tribunal Administrativo de Cundinamarca </w:t>
      </w:r>
      <w:r w:rsidR="00463E02" w:rsidRPr="00FA587B">
        <w:rPr>
          <w:rFonts w:ascii="Arial" w:hAnsi="Arial" w:cs="Arial"/>
        </w:rPr>
        <w:t>– Sección Tercera – Subsección C de Descongestión</w:t>
      </w:r>
      <w:r w:rsidRPr="00FA587B">
        <w:rPr>
          <w:rFonts w:ascii="Arial" w:hAnsi="Arial" w:cs="Arial"/>
        </w:rPr>
        <w:t>, mediante la cual se dispuso:</w:t>
      </w:r>
    </w:p>
    <w:p w:rsidR="00390707" w:rsidRPr="00FA587B" w:rsidRDefault="00390707" w:rsidP="00FA587B">
      <w:pPr>
        <w:overflowPunct w:val="0"/>
        <w:autoSpaceDE w:val="0"/>
        <w:autoSpaceDN w:val="0"/>
        <w:adjustRightInd w:val="0"/>
        <w:spacing w:line="360" w:lineRule="auto"/>
        <w:ind w:firstLine="1418"/>
        <w:jc w:val="both"/>
        <w:textAlignment w:val="baseline"/>
        <w:rPr>
          <w:rFonts w:ascii="Arial" w:hAnsi="Arial" w:cs="Arial"/>
          <w:b/>
        </w:rPr>
      </w:pPr>
    </w:p>
    <w:p w:rsidR="002A3AFD" w:rsidRPr="00FA587B" w:rsidRDefault="00390707" w:rsidP="00FA587B">
      <w:pPr>
        <w:spacing w:line="276" w:lineRule="auto"/>
        <w:jc w:val="both"/>
        <w:rPr>
          <w:rFonts w:ascii="Arial" w:hAnsi="Arial" w:cs="Arial"/>
          <w:i/>
          <w:lang w:val="es-MX"/>
        </w:rPr>
      </w:pPr>
      <w:r w:rsidRPr="00FA587B">
        <w:rPr>
          <w:rFonts w:ascii="Arial" w:hAnsi="Arial" w:cs="Arial"/>
          <w:i/>
          <w:lang w:val="es-MX"/>
        </w:rPr>
        <w:t>“</w:t>
      </w:r>
      <w:r w:rsidR="002A3AFD" w:rsidRPr="00FA587B">
        <w:rPr>
          <w:rFonts w:ascii="Arial" w:hAnsi="Arial" w:cs="Arial"/>
          <w:i/>
          <w:lang w:val="es-MX"/>
        </w:rPr>
        <w:t xml:space="preserve">PRIMERO. </w:t>
      </w:r>
      <w:r w:rsidR="00463E02" w:rsidRPr="00FA587B">
        <w:rPr>
          <w:rFonts w:ascii="Arial" w:hAnsi="Arial" w:cs="Arial"/>
          <w:i/>
          <w:lang w:val="es-MX"/>
        </w:rPr>
        <w:t>–</w:t>
      </w:r>
      <w:r w:rsidR="002A3AFD" w:rsidRPr="00FA587B">
        <w:rPr>
          <w:rFonts w:ascii="Arial" w:hAnsi="Arial" w:cs="Arial"/>
          <w:i/>
          <w:lang w:val="es-MX"/>
        </w:rPr>
        <w:t xml:space="preserve"> </w:t>
      </w:r>
      <w:r w:rsidR="00463E02" w:rsidRPr="00FA587B">
        <w:rPr>
          <w:rFonts w:ascii="Arial" w:hAnsi="Arial" w:cs="Arial"/>
          <w:i/>
          <w:lang w:val="es-MX"/>
        </w:rPr>
        <w:t>INHIBIRSE de fallar de fondo respecto de las pretensiones de (i) liquidación del Contrato de Obra No. 193 de 2005 y sus adicionales, y de (ii) declaratoria de enriquecimiento sin justa causa a favor del INSTITUTO DE DESARROLLO URBANO – ID</w:t>
      </w:r>
      <w:r w:rsidR="00D96ED2" w:rsidRPr="00FA587B">
        <w:rPr>
          <w:rFonts w:ascii="Arial" w:hAnsi="Arial" w:cs="Arial"/>
          <w:i/>
          <w:lang w:val="es-MX"/>
        </w:rPr>
        <w:t>U y a costa del señor JAIME CARM</w:t>
      </w:r>
      <w:r w:rsidR="00463E02" w:rsidRPr="00FA587B">
        <w:rPr>
          <w:rFonts w:ascii="Arial" w:hAnsi="Arial" w:cs="Arial"/>
          <w:i/>
          <w:lang w:val="es-MX"/>
        </w:rPr>
        <w:t xml:space="preserve">ONA SOTO, por no haberse realizado la audiencia de conciliación como requisito de procedibilidad conforme al artículo 13 de la Ley 1285 de 2009. </w:t>
      </w:r>
    </w:p>
    <w:p w:rsidR="00463E02" w:rsidRPr="00FA587B" w:rsidRDefault="00463E02" w:rsidP="00FA587B">
      <w:pPr>
        <w:spacing w:line="276" w:lineRule="auto"/>
        <w:jc w:val="both"/>
        <w:rPr>
          <w:rFonts w:ascii="Arial" w:hAnsi="Arial" w:cs="Arial"/>
          <w:i/>
          <w:lang w:val="es-MX"/>
        </w:rPr>
      </w:pPr>
    </w:p>
    <w:p w:rsidR="00463E02" w:rsidRPr="00FA587B" w:rsidRDefault="00D96ED2" w:rsidP="00FA587B">
      <w:pPr>
        <w:spacing w:line="276" w:lineRule="auto"/>
        <w:jc w:val="both"/>
        <w:rPr>
          <w:rFonts w:ascii="Arial" w:hAnsi="Arial" w:cs="Arial"/>
          <w:i/>
          <w:lang w:val="es-MX"/>
        </w:rPr>
      </w:pPr>
      <w:r w:rsidRPr="00FA587B">
        <w:rPr>
          <w:rFonts w:ascii="Arial" w:hAnsi="Arial" w:cs="Arial"/>
          <w:i/>
          <w:lang w:val="es-MX"/>
        </w:rPr>
        <w:t>“SEGUNDO: D</w:t>
      </w:r>
      <w:r w:rsidR="00463E02" w:rsidRPr="00FA587B">
        <w:rPr>
          <w:rFonts w:ascii="Arial" w:hAnsi="Arial" w:cs="Arial"/>
          <w:i/>
          <w:lang w:val="es-MX"/>
        </w:rPr>
        <w:t xml:space="preserve">eclarar de oficio la </w:t>
      </w:r>
      <w:r w:rsidR="00137360" w:rsidRPr="00FA587B">
        <w:rPr>
          <w:rFonts w:ascii="Arial" w:hAnsi="Arial" w:cs="Arial"/>
          <w:i/>
          <w:lang w:val="es-MX"/>
        </w:rPr>
        <w:t>caducidad de la acción.</w:t>
      </w:r>
    </w:p>
    <w:p w:rsidR="00137360" w:rsidRPr="00FA587B" w:rsidRDefault="00137360" w:rsidP="00FA587B">
      <w:pPr>
        <w:spacing w:line="276" w:lineRule="auto"/>
        <w:jc w:val="both"/>
        <w:rPr>
          <w:rFonts w:ascii="Arial" w:hAnsi="Arial" w:cs="Arial"/>
          <w:i/>
          <w:lang w:val="es-MX"/>
        </w:rPr>
      </w:pPr>
    </w:p>
    <w:p w:rsidR="00137360" w:rsidRPr="00FA587B" w:rsidRDefault="00137360" w:rsidP="00FA587B">
      <w:pPr>
        <w:spacing w:line="276" w:lineRule="auto"/>
        <w:jc w:val="both"/>
        <w:rPr>
          <w:rFonts w:ascii="Arial" w:hAnsi="Arial" w:cs="Arial"/>
          <w:i/>
          <w:lang w:val="es-MX"/>
        </w:rPr>
      </w:pPr>
      <w:r w:rsidRPr="00FA587B">
        <w:rPr>
          <w:rFonts w:ascii="Arial" w:hAnsi="Arial" w:cs="Arial"/>
          <w:i/>
          <w:lang w:val="es-MX"/>
        </w:rPr>
        <w:t xml:space="preserve">“TERCERO: RECONOCER personería al abogado JONNY RICARDO CASTRO RICO, identificado con cédula de </w:t>
      </w:r>
      <w:r w:rsidR="00957570" w:rsidRPr="00FA587B">
        <w:rPr>
          <w:rFonts w:ascii="Arial" w:hAnsi="Arial" w:cs="Arial"/>
          <w:i/>
          <w:lang w:val="es-MX"/>
        </w:rPr>
        <w:t>ciudadanía</w:t>
      </w:r>
      <w:r w:rsidRPr="00FA587B">
        <w:rPr>
          <w:rFonts w:ascii="Arial" w:hAnsi="Arial" w:cs="Arial"/>
          <w:i/>
          <w:lang w:val="es-MX"/>
        </w:rPr>
        <w:t xml:space="preserve"> No. 79’794.457 y tarjeta profesional No. 153.598 del Consejo Superior de Judicatura, como apoderado del INSTITUTO DE DESARROLLO URBANO – IDU conforme al poder visible a folio 199 del cuaderno principal al tenor de los artículos 74 y 75 del Código General del Proceso. </w:t>
      </w:r>
    </w:p>
    <w:p w:rsidR="00137360" w:rsidRPr="00FA587B" w:rsidRDefault="00137360" w:rsidP="00FA587B">
      <w:pPr>
        <w:spacing w:line="276" w:lineRule="auto"/>
        <w:jc w:val="both"/>
        <w:rPr>
          <w:rFonts w:ascii="Arial" w:hAnsi="Arial" w:cs="Arial"/>
          <w:i/>
          <w:lang w:val="es-MX"/>
        </w:rPr>
      </w:pPr>
    </w:p>
    <w:p w:rsidR="00137360" w:rsidRPr="00FA587B" w:rsidRDefault="00137360" w:rsidP="00FA587B">
      <w:pPr>
        <w:spacing w:line="276" w:lineRule="auto"/>
        <w:jc w:val="both"/>
        <w:rPr>
          <w:rFonts w:ascii="Arial" w:hAnsi="Arial" w:cs="Arial"/>
          <w:i/>
          <w:lang w:val="es-MX"/>
        </w:rPr>
      </w:pPr>
      <w:r w:rsidRPr="00FA587B">
        <w:rPr>
          <w:rFonts w:ascii="Arial" w:hAnsi="Arial" w:cs="Arial"/>
          <w:i/>
          <w:lang w:val="es-MX"/>
        </w:rPr>
        <w:t xml:space="preserve">“CUARTO: Sin codena en costas. </w:t>
      </w:r>
    </w:p>
    <w:p w:rsidR="00137360" w:rsidRPr="00FA587B" w:rsidRDefault="00137360" w:rsidP="00FA587B">
      <w:pPr>
        <w:spacing w:line="276" w:lineRule="auto"/>
        <w:jc w:val="both"/>
        <w:rPr>
          <w:rFonts w:ascii="Arial" w:hAnsi="Arial" w:cs="Arial"/>
          <w:i/>
          <w:lang w:val="es-MX"/>
        </w:rPr>
      </w:pPr>
    </w:p>
    <w:p w:rsidR="00137360" w:rsidRPr="00FA587B" w:rsidRDefault="00137360" w:rsidP="00FA587B">
      <w:pPr>
        <w:spacing w:line="276" w:lineRule="auto"/>
        <w:jc w:val="both"/>
        <w:rPr>
          <w:rFonts w:ascii="Arial" w:hAnsi="Arial" w:cs="Arial"/>
          <w:i/>
          <w:lang w:val="es-MX"/>
        </w:rPr>
      </w:pPr>
      <w:r w:rsidRPr="00FA587B">
        <w:rPr>
          <w:rFonts w:ascii="Arial" w:hAnsi="Arial" w:cs="Arial"/>
          <w:i/>
          <w:lang w:val="es-MX"/>
        </w:rPr>
        <w:lastRenderedPageBreak/>
        <w:t>“QUINTO: Ejecutoria</w:t>
      </w:r>
      <w:r w:rsidR="00CE6C65" w:rsidRPr="00FA587B">
        <w:rPr>
          <w:rFonts w:ascii="Arial" w:hAnsi="Arial" w:cs="Arial"/>
          <w:i/>
          <w:lang w:val="es-MX"/>
        </w:rPr>
        <w:t>da</w:t>
      </w:r>
      <w:r w:rsidRPr="00FA587B">
        <w:rPr>
          <w:rFonts w:ascii="Arial" w:hAnsi="Arial" w:cs="Arial"/>
          <w:i/>
          <w:lang w:val="es-MX"/>
        </w:rPr>
        <w:t xml:space="preserve"> la presente providencia, por Secretaría liquídense los gastos del proceso y devuélvase los remanentes al interesado. Pasados 2 años sin que hubieran sido reclamados dichos remanentes, se considerarán prescritos a favor de la rama judicial”. </w:t>
      </w:r>
    </w:p>
    <w:p w:rsidR="002A3AFD" w:rsidRPr="00FA587B" w:rsidRDefault="002A3AFD" w:rsidP="00FA587B">
      <w:pPr>
        <w:spacing w:line="276" w:lineRule="auto"/>
        <w:jc w:val="both"/>
        <w:rPr>
          <w:rFonts w:ascii="Arial" w:hAnsi="Arial" w:cs="Arial"/>
          <w:i/>
          <w:lang w:val="es-MX"/>
        </w:rPr>
      </w:pPr>
    </w:p>
    <w:p w:rsidR="00390707" w:rsidRPr="00FA587B" w:rsidRDefault="002A3AFD" w:rsidP="00FA587B">
      <w:pPr>
        <w:spacing w:line="276" w:lineRule="auto"/>
        <w:jc w:val="both"/>
        <w:rPr>
          <w:rFonts w:ascii="Arial" w:hAnsi="Arial" w:cs="Arial"/>
          <w:i/>
          <w:lang w:val="es-MX"/>
        </w:rPr>
      </w:pPr>
      <w:r w:rsidRPr="00FA587B">
        <w:rPr>
          <w:rFonts w:ascii="Arial" w:hAnsi="Arial" w:cs="Arial"/>
          <w:i/>
          <w:lang w:val="es-MX"/>
        </w:rPr>
        <w:t xml:space="preserve"> </w:t>
      </w:r>
    </w:p>
    <w:p w:rsidR="00390707" w:rsidRPr="00FA587B" w:rsidRDefault="00390707" w:rsidP="00FA587B">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lang w:val="es-ES_tradnl"/>
        </w:rPr>
      </w:pPr>
    </w:p>
    <w:p w:rsidR="00390707" w:rsidRPr="00FA587B" w:rsidRDefault="00390707" w:rsidP="00FA587B">
      <w:pPr>
        <w:widowControl w:val="0"/>
        <w:numPr>
          <w:ilvl w:val="0"/>
          <w:numId w:val="2"/>
        </w:numPr>
        <w:autoSpaceDE w:val="0"/>
        <w:autoSpaceDN w:val="0"/>
        <w:adjustRightInd w:val="0"/>
        <w:spacing w:line="360" w:lineRule="auto"/>
        <w:ind w:left="0"/>
        <w:jc w:val="center"/>
        <w:rPr>
          <w:rFonts w:ascii="Arial" w:hAnsi="Arial" w:cs="Arial"/>
          <w:b/>
        </w:rPr>
      </w:pPr>
      <w:r w:rsidRPr="00FA587B">
        <w:rPr>
          <w:rFonts w:ascii="Arial" w:hAnsi="Arial" w:cs="Arial"/>
          <w:b/>
        </w:rPr>
        <w:t>A N T E C E D E N T E S</w:t>
      </w:r>
    </w:p>
    <w:p w:rsidR="00390707" w:rsidRPr="00FA587B" w:rsidRDefault="00390707" w:rsidP="00FA587B">
      <w:pPr>
        <w:widowControl w:val="0"/>
        <w:autoSpaceDE w:val="0"/>
        <w:autoSpaceDN w:val="0"/>
        <w:adjustRightInd w:val="0"/>
        <w:spacing w:line="360" w:lineRule="auto"/>
        <w:jc w:val="both"/>
        <w:rPr>
          <w:rFonts w:ascii="Arial" w:hAnsi="Arial" w:cs="Arial"/>
          <w:b/>
        </w:rPr>
      </w:pPr>
    </w:p>
    <w:p w:rsidR="007526DC" w:rsidRPr="00FA587B" w:rsidRDefault="00390707" w:rsidP="00FA587B">
      <w:pPr>
        <w:numPr>
          <w:ilvl w:val="0"/>
          <w:numId w:val="14"/>
        </w:numPr>
        <w:spacing w:line="360" w:lineRule="auto"/>
        <w:ind w:left="0"/>
        <w:jc w:val="both"/>
        <w:rPr>
          <w:rFonts w:ascii="Arial" w:hAnsi="Arial" w:cs="Arial"/>
          <w:b/>
        </w:rPr>
      </w:pPr>
      <w:r w:rsidRPr="00FA587B">
        <w:rPr>
          <w:rFonts w:ascii="Arial" w:hAnsi="Arial" w:cs="Arial"/>
          <w:b/>
        </w:rPr>
        <w:t>La demanda</w:t>
      </w:r>
      <w:r w:rsidR="007526DC" w:rsidRPr="00FA587B">
        <w:rPr>
          <w:rFonts w:ascii="Arial" w:hAnsi="Arial" w:cs="Arial"/>
          <w:b/>
        </w:rPr>
        <w:t xml:space="preserve"> y su complementación </w:t>
      </w:r>
    </w:p>
    <w:p w:rsidR="007526DC" w:rsidRPr="00FA587B" w:rsidRDefault="007526DC" w:rsidP="00FA587B">
      <w:pPr>
        <w:spacing w:line="360" w:lineRule="auto"/>
        <w:jc w:val="both"/>
        <w:rPr>
          <w:rFonts w:ascii="Arial" w:hAnsi="Arial" w:cs="Arial"/>
          <w:b/>
        </w:rPr>
      </w:pPr>
    </w:p>
    <w:p w:rsidR="00816961" w:rsidRPr="00FA587B" w:rsidRDefault="00137360" w:rsidP="00FA587B">
      <w:pPr>
        <w:widowControl w:val="0"/>
        <w:autoSpaceDE w:val="0"/>
        <w:autoSpaceDN w:val="0"/>
        <w:adjustRightInd w:val="0"/>
        <w:spacing w:line="360" w:lineRule="auto"/>
        <w:jc w:val="both"/>
        <w:rPr>
          <w:rFonts w:ascii="Arial" w:hAnsi="Arial" w:cs="Arial"/>
        </w:rPr>
      </w:pPr>
      <w:r w:rsidRPr="00FA587B">
        <w:rPr>
          <w:rFonts w:ascii="Arial" w:hAnsi="Arial" w:cs="Arial"/>
        </w:rPr>
        <w:t>El 5 de febrero de 2010</w:t>
      </w:r>
      <w:r w:rsidR="00F946C2" w:rsidRPr="00FA587B">
        <w:rPr>
          <w:rFonts w:ascii="Arial" w:hAnsi="Arial" w:cs="Arial"/>
        </w:rPr>
        <w:t>,</w:t>
      </w:r>
      <w:r w:rsidR="008B5222" w:rsidRPr="00FA587B">
        <w:rPr>
          <w:rFonts w:ascii="Arial" w:hAnsi="Arial" w:cs="Arial"/>
          <w:lang w:val="es-MX"/>
        </w:rPr>
        <w:t xml:space="preserve"> el señor Jaime Carmona Soto presentó </w:t>
      </w:r>
      <w:r w:rsidR="00390707" w:rsidRPr="00FA587B">
        <w:rPr>
          <w:rFonts w:ascii="Arial" w:hAnsi="Arial" w:cs="Arial"/>
          <w:lang w:val="es-MX"/>
        </w:rPr>
        <w:t xml:space="preserve">demanda, </w:t>
      </w:r>
      <w:r w:rsidR="00390707" w:rsidRPr="00FA587B">
        <w:rPr>
          <w:rFonts w:ascii="Arial" w:hAnsi="Arial" w:cs="Arial"/>
        </w:rPr>
        <w:t>en ejercicio de la acción contractual,</w:t>
      </w:r>
      <w:r w:rsidR="00816961" w:rsidRPr="00FA587B">
        <w:rPr>
          <w:rFonts w:ascii="Arial" w:hAnsi="Arial" w:cs="Arial"/>
        </w:rPr>
        <w:t xml:space="preserve"> en contra del Instituto de Desarrollo </w:t>
      </w:r>
      <w:r w:rsidR="00CD3B57" w:rsidRPr="00FA587B">
        <w:rPr>
          <w:rFonts w:ascii="Arial" w:hAnsi="Arial" w:cs="Arial"/>
        </w:rPr>
        <w:t>Urbano</w:t>
      </w:r>
      <w:r w:rsidR="00F946C2" w:rsidRPr="00FA587B">
        <w:rPr>
          <w:rFonts w:ascii="Arial" w:hAnsi="Arial" w:cs="Arial"/>
        </w:rPr>
        <w:t>,</w:t>
      </w:r>
      <w:r w:rsidR="00CD3B57" w:rsidRPr="00FA587B">
        <w:rPr>
          <w:rFonts w:ascii="Arial" w:hAnsi="Arial" w:cs="Arial"/>
        </w:rPr>
        <w:t xml:space="preserve"> </w:t>
      </w:r>
      <w:r w:rsidR="007526DC" w:rsidRPr="00FA587B">
        <w:rPr>
          <w:rFonts w:ascii="Arial" w:hAnsi="Arial" w:cs="Arial"/>
        </w:rPr>
        <w:t xml:space="preserve">la cual fue corregida </w:t>
      </w:r>
      <w:r w:rsidR="00D96ED2" w:rsidRPr="00FA587B">
        <w:rPr>
          <w:rFonts w:ascii="Arial" w:hAnsi="Arial" w:cs="Arial"/>
        </w:rPr>
        <w:t xml:space="preserve">mediante </w:t>
      </w:r>
      <w:r w:rsidR="007526DC" w:rsidRPr="00FA587B">
        <w:rPr>
          <w:rFonts w:ascii="Arial" w:hAnsi="Arial" w:cs="Arial"/>
        </w:rPr>
        <w:t>escrito al</w:t>
      </w:r>
      <w:r w:rsidR="00B91E62" w:rsidRPr="00FA587B">
        <w:rPr>
          <w:rFonts w:ascii="Arial" w:hAnsi="Arial" w:cs="Arial"/>
        </w:rPr>
        <w:t>l</w:t>
      </w:r>
      <w:r w:rsidR="007526DC" w:rsidRPr="00FA587B">
        <w:rPr>
          <w:rFonts w:ascii="Arial" w:hAnsi="Arial" w:cs="Arial"/>
        </w:rPr>
        <w:t xml:space="preserve">egado el 25 de abril de 2011. </w:t>
      </w:r>
      <w:r w:rsidR="00442756" w:rsidRPr="00FA587B">
        <w:rPr>
          <w:rFonts w:ascii="Arial" w:hAnsi="Arial" w:cs="Arial"/>
        </w:rPr>
        <w:t xml:space="preserve">A través de su formulación </w:t>
      </w:r>
      <w:r w:rsidR="008B5222" w:rsidRPr="00FA587B">
        <w:rPr>
          <w:rFonts w:ascii="Arial" w:hAnsi="Arial" w:cs="Arial"/>
        </w:rPr>
        <w:t>solicitó</w:t>
      </w:r>
      <w:r w:rsidR="00390707" w:rsidRPr="00FA587B">
        <w:rPr>
          <w:rFonts w:ascii="Arial" w:hAnsi="Arial" w:cs="Arial"/>
        </w:rPr>
        <w:t xml:space="preserve"> que s</w:t>
      </w:r>
      <w:r w:rsidR="009F39AA" w:rsidRPr="00FA587B">
        <w:rPr>
          <w:rFonts w:ascii="Arial" w:hAnsi="Arial" w:cs="Arial"/>
        </w:rPr>
        <w:t>e efectuaran las siguientes declaraciones y condenas</w:t>
      </w:r>
      <w:r w:rsidR="00816961" w:rsidRPr="00FA587B">
        <w:rPr>
          <w:rFonts w:ascii="Arial" w:hAnsi="Arial" w:cs="Arial"/>
        </w:rPr>
        <w:t xml:space="preserve">: </w:t>
      </w:r>
    </w:p>
    <w:p w:rsidR="009F39AA" w:rsidRPr="00FA587B" w:rsidRDefault="009F39AA" w:rsidP="00FA587B">
      <w:pPr>
        <w:widowControl w:val="0"/>
        <w:autoSpaceDE w:val="0"/>
        <w:autoSpaceDN w:val="0"/>
        <w:adjustRightInd w:val="0"/>
        <w:spacing w:line="360" w:lineRule="auto"/>
        <w:jc w:val="both"/>
        <w:rPr>
          <w:rFonts w:ascii="Arial" w:hAnsi="Arial" w:cs="Arial"/>
        </w:rPr>
      </w:pPr>
    </w:p>
    <w:p w:rsidR="008B5222" w:rsidRPr="00FA587B" w:rsidRDefault="008B5222" w:rsidP="00FA587B">
      <w:pPr>
        <w:widowControl w:val="0"/>
        <w:numPr>
          <w:ilvl w:val="0"/>
          <w:numId w:val="12"/>
        </w:numPr>
        <w:autoSpaceDE w:val="0"/>
        <w:autoSpaceDN w:val="0"/>
        <w:adjustRightInd w:val="0"/>
        <w:spacing w:line="360" w:lineRule="auto"/>
        <w:ind w:left="0"/>
        <w:jc w:val="both"/>
        <w:rPr>
          <w:rFonts w:ascii="Arial" w:hAnsi="Arial" w:cs="Arial"/>
        </w:rPr>
      </w:pPr>
      <w:r w:rsidRPr="00FA587B">
        <w:rPr>
          <w:rFonts w:ascii="Arial" w:hAnsi="Arial" w:cs="Arial"/>
        </w:rPr>
        <w:t xml:space="preserve">Que </w:t>
      </w:r>
      <w:r w:rsidR="0055385E" w:rsidRPr="00FA587B">
        <w:rPr>
          <w:rFonts w:ascii="Arial" w:hAnsi="Arial" w:cs="Arial"/>
        </w:rPr>
        <w:t xml:space="preserve">se declarara que </w:t>
      </w:r>
      <w:r w:rsidRPr="00FA587B">
        <w:rPr>
          <w:rFonts w:ascii="Arial" w:hAnsi="Arial" w:cs="Arial"/>
        </w:rPr>
        <w:t xml:space="preserve">el Instituto de Desarrollo Urbano IDU incumplió el Contrato </w:t>
      </w:r>
      <w:r w:rsidR="009F39AA" w:rsidRPr="00FA587B">
        <w:rPr>
          <w:rFonts w:ascii="Arial" w:hAnsi="Arial" w:cs="Arial"/>
        </w:rPr>
        <w:t xml:space="preserve">de Obra </w:t>
      </w:r>
      <w:r w:rsidRPr="00FA587B">
        <w:rPr>
          <w:rFonts w:ascii="Arial" w:hAnsi="Arial" w:cs="Arial"/>
        </w:rPr>
        <w:t>No. 193 de 2005</w:t>
      </w:r>
      <w:r w:rsidR="00D96ED2" w:rsidRPr="00FA587B">
        <w:rPr>
          <w:rFonts w:ascii="Arial" w:hAnsi="Arial" w:cs="Arial"/>
        </w:rPr>
        <w:t>,</w:t>
      </w:r>
      <w:r w:rsidRPr="00FA587B">
        <w:rPr>
          <w:rFonts w:ascii="Arial" w:hAnsi="Arial" w:cs="Arial"/>
        </w:rPr>
        <w:t xml:space="preserve"> </w:t>
      </w:r>
      <w:r w:rsidR="009F39AA" w:rsidRPr="00FA587B">
        <w:rPr>
          <w:rFonts w:ascii="Arial" w:hAnsi="Arial" w:cs="Arial"/>
        </w:rPr>
        <w:t>celebrado entre esa entidad y el demandante</w:t>
      </w:r>
      <w:r w:rsidRPr="00FA587B">
        <w:rPr>
          <w:rFonts w:ascii="Arial" w:hAnsi="Arial" w:cs="Arial"/>
        </w:rPr>
        <w:t xml:space="preserve">, por no haber reconocido a favor del </w:t>
      </w:r>
      <w:r w:rsidR="00442756" w:rsidRPr="00FA587B">
        <w:rPr>
          <w:rFonts w:ascii="Arial" w:hAnsi="Arial" w:cs="Arial"/>
        </w:rPr>
        <w:t>contratista los</w:t>
      </w:r>
      <w:r w:rsidR="009F6A7B" w:rsidRPr="00FA587B">
        <w:rPr>
          <w:rFonts w:ascii="Arial" w:hAnsi="Arial" w:cs="Arial"/>
        </w:rPr>
        <w:t xml:space="preserve"> valores</w:t>
      </w:r>
      <w:r w:rsidR="009F39AA" w:rsidRPr="00FA587B">
        <w:rPr>
          <w:rFonts w:ascii="Arial" w:hAnsi="Arial" w:cs="Arial"/>
        </w:rPr>
        <w:t xml:space="preserve"> que debió asumir por la </w:t>
      </w:r>
      <w:r w:rsidR="00442756" w:rsidRPr="00FA587B">
        <w:rPr>
          <w:rFonts w:ascii="Arial" w:hAnsi="Arial" w:cs="Arial"/>
        </w:rPr>
        <w:t xml:space="preserve">mayor permanencia en obra derivada de la </w:t>
      </w:r>
      <w:r w:rsidR="009F39AA" w:rsidRPr="00FA587B">
        <w:rPr>
          <w:rFonts w:ascii="Arial" w:hAnsi="Arial" w:cs="Arial"/>
        </w:rPr>
        <w:t>ampliación del plazo inicialmente previsto</w:t>
      </w:r>
      <w:r w:rsidR="00E83EEC" w:rsidRPr="00FA587B">
        <w:rPr>
          <w:rFonts w:ascii="Arial" w:hAnsi="Arial" w:cs="Arial"/>
        </w:rPr>
        <w:t xml:space="preserve"> y</w:t>
      </w:r>
      <w:r w:rsidR="007526DC" w:rsidRPr="00FA587B">
        <w:rPr>
          <w:rFonts w:ascii="Arial" w:hAnsi="Arial" w:cs="Arial"/>
        </w:rPr>
        <w:t xml:space="preserve"> por</w:t>
      </w:r>
      <w:r w:rsidR="00E83EEC" w:rsidRPr="00FA587B">
        <w:rPr>
          <w:rFonts w:ascii="Arial" w:hAnsi="Arial" w:cs="Arial"/>
        </w:rPr>
        <w:t xml:space="preserve"> la ejecución de obras </w:t>
      </w:r>
      <w:r w:rsidR="00D96ED2" w:rsidRPr="00FA587B">
        <w:rPr>
          <w:rFonts w:ascii="Arial" w:hAnsi="Arial" w:cs="Arial"/>
        </w:rPr>
        <w:t xml:space="preserve">no previstas </w:t>
      </w:r>
      <w:r w:rsidR="009F6A7B" w:rsidRPr="00FA587B">
        <w:rPr>
          <w:rFonts w:ascii="Arial" w:hAnsi="Arial" w:cs="Arial"/>
        </w:rPr>
        <w:t>originalmente</w:t>
      </w:r>
      <w:r w:rsidR="009F39AA" w:rsidRPr="00FA587B">
        <w:rPr>
          <w:rFonts w:ascii="Arial" w:hAnsi="Arial" w:cs="Arial"/>
        </w:rPr>
        <w:t xml:space="preserve">. </w:t>
      </w:r>
    </w:p>
    <w:p w:rsidR="009F39AA" w:rsidRPr="00FA587B" w:rsidRDefault="0055385E" w:rsidP="00FA587B">
      <w:pPr>
        <w:widowControl w:val="0"/>
        <w:numPr>
          <w:ilvl w:val="0"/>
          <w:numId w:val="12"/>
        </w:numPr>
        <w:autoSpaceDE w:val="0"/>
        <w:autoSpaceDN w:val="0"/>
        <w:adjustRightInd w:val="0"/>
        <w:spacing w:line="360" w:lineRule="auto"/>
        <w:ind w:left="0"/>
        <w:jc w:val="both"/>
        <w:rPr>
          <w:rFonts w:ascii="Arial" w:hAnsi="Arial" w:cs="Arial"/>
        </w:rPr>
      </w:pPr>
      <w:r w:rsidRPr="00FA587B">
        <w:rPr>
          <w:rFonts w:ascii="Arial" w:hAnsi="Arial" w:cs="Arial"/>
        </w:rPr>
        <w:t>Como consecuencia,</w:t>
      </w:r>
      <w:r w:rsidR="009F39AA" w:rsidRPr="00FA587B">
        <w:rPr>
          <w:rFonts w:ascii="Arial" w:hAnsi="Arial" w:cs="Arial"/>
        </w:rPr>
        <w:t xml:space="preserve"> que se condenara al IDU a pagar al de</w:t>
      </w:r>
      <w:r w:rsidR="007526DC" w:rsidRPr="00FA587B">
        <w:rPr>
          <w:rFonts w:ascii="Arial" w:hAnsi="Arial" w:cs="Arial"/>
        </w:rPr>
        <w:t>mandante la suma de $1.682’200.031</w:t>
      </w:r>
      <w:r w:rsidR="009F39AA" w:rsidRPr="00FA587B">
        <w:rPr>
          <w:rFonts w:ascii="Arial" w:hAnsi="Arial" w:cs="Arial"/>
        </w:rPr>
        <w:t>,</w:t>
      </w:r>
      <w:r w:rsidR="009F6A7B" w:rsidRPr="00FA587B">
        <w:rPr>
          <w:rFonts w:ascii="Arial" w:hAnsi="Arial" w:cs="Arial"/>
        </w:rPr>
        <w:t xml:space="preserve"> por concepto de </w:t>
      </w:r>
      <w:r w:rsidR="00442756" w:rsidRPr="00FA587B">
        <w:rPr>
          <w:rFonts w:ascii="Arial" w:hAnsi="Arial" w:cs="Arial"/>
        </w:rPr>
        <w:t>sobrecostos causado</w:t>
      </w:r>
      <w:r w:rsidR="00B91E62" w:rsidRPr="00FA587B">
        <w:rPr>
          <w:rFonts w:ascii="Arial" w:hAnsi="Arial" w:cs="Arial"/>
        </w:rPr>
        <w:t>s</w:t>
      </w:r>
      <w:r w:rsidR="00442756" w:rsidRPr="00FA587B">
        <w:rPr>
          <w:rFonts w:ascii="Arial" w:hAnsi="Arial" w:cs="Arial"/>
        </w:rPr>
        <w:t xml:space="preserve"> por la mayor permanencia en obra y por la ejecución </w:t>
      </w:r>
      <w:r w:rsidR="00B91E62" w:rsidRPr="00FA587B">
        <w:rPr>
          <w:rFonts w:ascii="Arial" w:hAnsi="Arial" w:cs="Arial"/>
        </w:rPr>
        <w:t xml:space="preserve">de </w:t>
      </w:r>
      <w:r w:rsidR="009F6A7B" w:rsidRPr="00FA587B">
        <w:rPr>
          <w:rFonts w:ascii="Arial" w:hAnsi="Arial" w:cs="Arial"/>
        </w:rPr>
        <w:t xml:space="preserve">obras no </w:t>
      </w:r>
      <w:r w:rsidR="00E83EEC" w:rsidRPr="00FA587B">
        <w:rPr>
          <w:rFonts w:ascii="Arial" w:hAnsi="Arial" w:cs="Arial"/>
        </w:rPr>
        <w:t>previstas</w:t>
      </w:r>
      <w:r w:rsidR="00442756" w:rsidRPr="00FA587B">
        <w:rPr>
          <w:rFonts w:ascii="Arial" w:hAnsi="Arial" w:cs="Arial"/>
        </w:rPr>
        <w:t>,</w:t>
      </w:r>
      <w:r w:rsidR="00E83EEC" w:rsidRPr="00FA587B">
        <w:rPr>
          <w:rFonts w:ascii="Arial" w:hAnsi="Arial" w:cs="Arial"/>
        </w:rPr>
        <w:t xml:space="preserve"> más</w:t>
      </w:r>
      <w:r w:rsidR="009F39AA" w:rsidRPr="00FA587B">
        <w:rPr>
          <w:rFonts w:ascii="Arial" w:hAnsi="Arial" w:cs="Arial"/>
        </w:rPr>
        <w:t xml:space="preserve"> los intereses moratorios</w:t>
      </w:r>
      <w:r w:rsidR="00442409" w:rsidRPr="00FA587B">
        <w:rPr>
          <w:rFonts w:ascii="Arial" w:hAnsi="Arial" w:cs="Arial"/>
        </w:rPr>
        <w:t xml:space="preserve"> y remuneratorios</w:t>
      </w:r>
      <w:r w:rsidR="009F39AA" w:rsidRPr="00FA587B">
        <w:rPr>
          <w:rFonts w:ascii="Arial" w:hAnsi="Arial" w:cs="Arial"/>
        </w:rPr>
        <w:t xml:space="preserve"> </w:t>
      </w:r>
      <w:r w:rsidR="008279DC" w:rsidRPr="00FA587B">
        <w:rPr>
          <w:rFonts w:ascii="Arial" w:hAnsi="Arial" w:cs="Arial"/>
        </w:rPr>
        <w:t>correspondientes.</w:t>
      </w:r>
      <w:r w:rsidR="00957570" w:rsidRPr="00FA587B">
        <w:rPr>
          <w:rFonts w:ascii="Arial" w:hAnsi="Arial" w:cs="Arial"/>
        </w:rPr>
        <w:t xml:space="preserve"> </w:t>
      </w:r>
    </w:p>
    <w:p w:rsidR="00B91E62" w:rsidRPr="00FA587B" w:rsidRDefault="0055385E" w:rsidP="00FA587B">
      <w:pPr>
        <w:widowControl w:val="0"/>
        <w:numPr>
          <w:ilvl w:val="0"/>
          <w:numId w:val="12"/>
        </w:numPr>
        <w:autoSpaceDE w:val="0"/>
        <w:autoSpaceDN w:val="0"/>
        <w:adjustRightInd w:val="0"/>
        <w:spacing w:line="360" w:lineRule="auto"/>
        <w:ind w:left="0"/>
        <w:jc w:val="both"/>
        <w:rPr>
          <w:rFonts w:ascii="Arial" w:hAnsi="Arial" w:cs="Arial"/>
        </w:rPr>
      </w:pPr>
      <w:r w:rsidRPr="00FA587B">
        <w:rPr>
          <w:rFonts w:ascii="Arial" w:hAnsi="Arial" w:cs="Arial"/>
        </w:rPr>
        <w:t>Q</w:t>
      </w:r>
      <w:r w:rsidR="00B91E62" w:rsidRPr="00FA587B">
        <w:rPr>
          <w:rFonts w:ascii="Arial" w:hAnsi="Arial" w:cs="Arial"/>
        </w:rPr>
        <w:t>ue se condenara al IDU a pagar en favor del contratista la suma de $137’840.954</w:t>
      </w:r>
      <w:r w:rsidR="00D96ED2" w:rsidRPr="00FA587B">
        <w:rPr>
          <w:rFonts w:ascii="Arial" w:hAnsi="Arial" w:cs="Arial"/>
        </w:rPr>
        <w:t>,</w:t>
      </w:r>
      <w:r w:rsidR="00B91E62" w:rsidRPr="00FA587B">
        <w:rPr>
          <w:rFonts w:ascii="Arial" w:hAnsi="Arial" w:cs="Arial"/>
        </w:rPr>
        <w:t xml:space="preserve"> correspondiente al 5% del valor </w:t>
      </w:r>
      <w:r w:rsidR="00D96ED2" w:rsidRPr="00FA587B">
        <w:rPr>
          <w:rFonts w:ascii="Arial" w:hAnsi="Arial" w:cs="Arial"/>
        </w:rPr>
        <w:t>del contrato, en cumplimiento a</w:t>
      </w:r>
      <w:r w:rsidR="00B91E62" w:rsidRPr="00FA587B">
        <w:rPr>
          <w:rFonts w:ascii="Arial" w:hAnsi="Arial" w:cs="Arial"/>
        </w:rPr>
        <w:t xml:space="preserve"> lo dispuesto en la letra b) de la cláusula tercera del Contrato No. 193.</w:t>
      </w:r>
    </w:p>
    <w:p w:rsidR="0055385E" w:rsidRPr="00FA587B" w:rsidRDefault="0055385E" w:rsidP="00FA587B">
      <w:pPr>
        <w:widowControl w:val="0"/>
        <w:numPr>
          <w:ilvl w:val="0"/>
          <w:numId w:val="12"/>
        </w:numPr>
        <w:autoSpaceDE w:val="0"/>
        <w:autoSpaceDN w:val="0"/>
        <w:adjustRightInd w:val="0"/>
        <w:spacing w:line="360" w:lineRule="auto"/>
        <w:ind w:left="0"/>
        <w:jc w:val="both"/>
        <w:rPr>
          <w:rFonts w:ascii="Arial" w:hAnsi="Arial" w:cs="Arial"/>
        </w:rPr>
      </w:pPr>
      <w:r w:rsidRPr="00FA587B">
        <w:rPr>
          <w:rFonts w:ascii="Arial" w:hAnsi="Arial" w:cs="Arial"/>
        </w:rPr>
        <w:t>Que se liquidara judicialmente el Contrato No. 193 de 2005</w:t>
      </w:r>
      <w:r w:rsidR="00FB5A2C" w:rsidRPr="00FA587B">
        <w:rPr>
          <w:rFonts w:ascii="Arial" w:hAnsi="Arial" w:cs="Arial"/>
        </w:rPr>
        <w:t>.</w:t>
      </w:r>
    </w:p>
    <w:p w:rsidR="00957570" w:rsidRPr="00FA587B" w:rsidRDefault="00957570" w:rsidP="00FA587B">
      <w:pPr>
        <w:widowControl w:val="0"/>
        <w:numPr>
          <w:ilvl w:val="0"/>
          <w:numId w:val="12"/>
        </w:numPr>
        <w:autoSpaceDE w:val="0"/>
        <w:autoSpaceDN w:val="0"/>
        <w:adjustRightInd w:val="0"/>
        <w:spacing w:line="360" w:lineRule="auto"/>
        <w:ind w:left="0"/>
        <w:jc w:val="both"/>
        <w:rPr>
          <w:rFonts w:ascii="Arial" w:hAnsi="Arial" w:cs="Arial"/>
        </w:rPr>
      </w:pPr>
      <w:r w:rsidRPr="00FA587B">
        <w:rPr>
          <w:rFonts w:ascii="Arial" w:hAnsi="Arial" w:cs="Arial"/>
        </w:rPr>
        <w:t>Subsidiariamente, pretendió que se declarara la ruptura del equilibrio económico del Contrato de Obra No. 193 de 200</w:t>
      </w:r>
      <w:r w:rsidR="00D96ED2" w:rsidRPr="00FA587B">
        <w:rPr>
          <w:rFonts w:ascii="Arial" w:hAnsi="Arial" w:cs="Arial"/>
        </w:rPr>
        <w:t>5,</w:t>
      </w:r>
      <w:r w:rsidRPr="00FA587B">
        <w:rPr>
          <w:rFonts w:ascii="Arial" w:hAnsi="Arial" w:cs="Arial"/>
        </w:rPr>
        <w:t xml:space="preserve"> por la ocurrencia de circunstancias imprevistas no imputables al contratista o que se declarara que por los mismos hechos constitutivos de incumplimiento existió un enriquecimiento sin justa causa por parte de la entidad contratante a costa del correlativo empobrecimiento del contratista. En ambos casos solicitó que se condenara a la entidad a pagar en favor del contratista </w:t>
      </w:r>
      <w:r w:rsidR="00D96ED2" w:rsidRPr="00FA587B">
        <w:rPr>
          <w:rFonts w:ascii="Arial" w:hAnsi="Arial" w:cs="Arial"/>
        </w:rPr>
        <w:t xml:space="preserve">las </w:t>
      </w:r>
      <w:r w:rsidRPr="00FA587B">
        <w:rPr>
          <w:rFonts w:ascii="Arial" w:hAnsi="Arial" w:cs="Arial"/>
        </w:rPr>
        <w:t>suma</w:t>
      </w:r>
      <w:r w:rsidR="0074566E" w:rsidRPr="00FA587B">
        <w:rPr>
          <w:rFonts w:ascii="Arial" w:hAnsi="Arial" w:cs="Arial"/>
        </w:rPr>
        <w:t>s</w:t>
      </w:r>
      <w:r w:rsidRPr="00FA587B">
        <w:rPr>
          <w:rFonts w:ascii="Arial" w:hAnsi="Arial" w:cs="Arial"/>
        </w:rPr>
        <w:t xml:space="preserve"> anteriormente referida</w:t>
      </w:r>
      <w:r w:rsidR="0074566E" w:rsidRPr="00FA587B">
        <w:rPr>
          <w:rFonts w:ascii="Arial" w:hAnsi="Arial" w:cs="Arial"/>
        </w:rPr>
        <w:t>s</w:t>
      </w:r>
      <w:r w:rsidRPr="00FA587B">
        <w:rPr>
          <w:rFonts w:ascii="Arial" w:hAnsi="Arial" w:cs="Arial"/>
        </w:rPr>
        <w:t xml:space="preserve">, a título de perjuicios. </w:t>
      </w:r>
    </w:p>
    <w:p w:rsidR="009A7A93" w:rsidRPr="00FA587B" w:rsidRDefault="009A7A93" w:rsidP="00FA587B">
      <w:pPr>
        <w:jc w:val="both"/>
        <w:rPr>
          <w:rFonts w:ascii="Arial" w:hAnsi="Arial" w:cs="Arial"/>
          <w:b/>
          <w:bCs/>
          <w:iCs/>
        </w:rPr>
      </w:pPr>
    </w:p>
    <w:p w:rsidR="00390707" w:rsidRPr="00FA587B" w:rsidRDefault="00390707" w:rsidP="00FA587B">
      <w:pPr>
        <w:spacing w:line="360" w:lineRule="auto"/>
        <w:jc w:val="both"/>
        <w:rPr>
          <w:rFonts w:ascii="Arial" w:hAnsi="Arial" w:cs="Arial"/>
          <w:b/>
          <w:bCs/>
        </w:rPr>
      </w:pPr>
      <w:r w:rsidRPr="00FA587B">
        <w:rPr>
          <w:rFonts w:ascii="Arial" w:hAnsi="Arial" w:cs="Arial"/>
          <w:b/>
          <w:bCs/>
          <w:iCs/>
        </w:rPr>
        <w:t>2. Los hechos</w:t>
      </w:r>
    </w:p>
    <w:p w:rsidR="00390707" w:rsidRPr="00FA587B" w:rsidRDefault="00390707" w:rsidP="00FA587B">
      <w:pPr>
        <w:widowControl w:val="0"/>
        <w:autoSpaceDE w:val="0"/>
        <w:autoSpaceDN w:val="0"/>
        <w:adjustRightInd w:val="0"/>
        <w:spacing w:line="360" w:lineRule="auto"/>
        <w:jc w:val="both"/>
        <w:rPr>
          <w:rFonts w:ascii="Arial" w:hAnsi="Arial" w:cs="Arial"/>
          <w:lang w:val="es-MX"/>
        </w:rPr>
      </w:pPr>
    </w:p>
    <w:p w:rsidR="00390707" w:rsidRPr="00FA587B" w:rsidRDefault="00D96ED2" w:rsidP="00FA587B">
      <w:pPr>
        <w:widowControl w:val="0"/>
        <w:autoSpaceDE w:val="0"/>
        <w:autoSpaceDN w:val="0"/>
        <w:adjustRightInd w:val="0"/>
        <w:spacing w:line="360" w:lineRule="auto"/>
        <w:jc w:val="both"/>
        <w:rPr>
          <w:rFonts w:ascii="Arial" w:hAnsi="Arial" w:cs="Arial"/>
        </w:rPr>
      </w:pPr>
      <w:r w:rsidRPr="00FA587B">
        <w:rPr>
          <w:rFonts w:ascii="Arial" w:hAnsi="Arial" w:cs="Arial"/>
          <w:lang w:val="es-CO"/>
        </w:rPr>
        <w:lastRenderedPageBreak/>
        <w:t>Tanto e</w:t>
      </w:r>
      <w:r w:rsidR="00390707" w:rsidRPr="00FA587B">
        <w:rPr>
          <w:rFonts w:ascii="Arial" w:hAnsi="Arial" w:cs="Arial"/>
        </w:rPr>
        <w:t>n el escrito de demanda</w:t>
      </w:r>
      <w:r w:rsidR="007526DC" w:rsidRPr="00FA587B">
        <w:rPr>
          <w:rFonts w:ascii="Arial" w:hAnsi="Arial" w:cs="Arial"/>
        </w:rPr>
        <w:t xml:space="preserve"> como en el de complementación</w:t>
      </w:r>
      <w:r w:rsidR="00390707" w:rsidRPr="00FA587B">
        <w:rPr>
          <w:rFonts w:ascii="Arial" w:hAnsi="Arial" w:cs="Arial"/>
        </w:rPr>
        <w:t>, en síntesis, la parte actora narró los siguientes hechos:</w:t>
      </w:r>
    </w:p>
    <w:p w:rsidR="00390707" w:rsidRPr="00FA587B" w:rsidRDefault="00390707" w:rsidP="00FA587B">
      <w:pPr>
        <w:widowControl w:val="0"/>
        <w:autoSpaceDE w:val="0"/>
        <w:autoSpaceDN w:val="0"/>
        <w:adjustRightInd w:val="0"/>
        <w:spacing w:line="360" w:lineRule="auto"/>
        <w:jc w:val="both"/>
        <w:rPr>
          <w:rFonts w:ascii="Arial" w:hAnsi="Arial" w:cs="Arial"/>
        </w:rPr>
      </w:pPr>
    </w:p>
    <w:p w:rsidR="00057315" w:rsidRPr="00FA587B" w:rsidRDefault="00390707" w:rsidP="00FA587B">
      <w:pPr>
        <w:widowControl w:val="0"/>
        <w:autoSpaceDE w:val="0"/>
        <w:autoSpaceDN w:val="0"/>
        <w:adjustRightInd w:val="0"/>
        <w:spacing w:line="360" w:lineRule="auto"/>
        <w:jc w:val="both"/>
        <w:rPr>
          <w:rFonts w:ascii="Arial" w:hAnsi="Arial" w:cs="Arial"/>
          <w:lang w:val="es-MX"/>
        </w:rPr>
      </w:pPr>
      <w:r w:rsidRPr="00FA587B">
        <w:rPr>
          <w:rFonts w:ascii="Arial" w:hAnsi="Arial" w:cs="Arial"/>
          <w:b/>
          <w:lang w:val="es-MX"/>
        </w:rPr>
        <w:t>2.1.</w:t>
      </w:r>
      <w:r w:rsidR="009A7A93" w:rsidRPr="00FA587B">
        <w:rPr>
          <w:rFonts w:ascii="Arial" w:hAnsi="Arial" w:cs="Arial"/>
          <w:b/>
          <w:lang w:val="es-MX"/>
        </w:rPr>
        <w:t xml:space="preserve"> </w:t>
      </w:r>
      <w:r w:rsidR="009A7A93" w:rsidRPr="00FA587B">
        <w:rPr>
          <w:rFonts w:ascii="Arial" w:hAnsi="Arial" w:cs="Arial"/>
          <w:lang w:val="es-MX"/>
        </w:rPr>
        <w:t xml:space="preserve">Como resultado de la </w:t>
      </w:r>
      <w:r w:rsidR="00F946C2" w:rsidRPr="00FA587B">
        <w:rPr>
          <w:rFonts w:ascii="Arial" w:hAnsi="Arial" w:cs="Arial"/>
          <w:lang w:val="es-MX"/>
        </w:rPr>
        <w:t>participación y posterior adjudicación</w:t>
      </w:r>
      <w:r w:rsidR="00D96ED2" w:rsidRPr="00FA587B">
        <w:rPr>
          <w:rFonts w:ascii="Arial" w:hAnsi="Arial" w:cs="Arial"/>
          <w:lang w:val="es-MX"/>
        </w:rPr>
        <w:t xml:space="preserve"> de la</w:t>
      </w:r>
      <w:r w:rsidR="00F946C2" w:rsidRPr="00FA587B">
        <w:rPr>
          <w:rFonts w:ascii="Arial" w:hAnsi="Arial" w:cs="Arial"/>
          <w:lang w:val="es-MX"/>
        </w:rPr>
        <w:t xml:space="preserve"> </w:t>
      </w:r>
      <w:r w:rsidR="00856CC7" w:rsidRPr="00FA587B">
        <w:rPr>
          <w:rFonts w:ascii="Arial" w:hAnsi="Arial" w:cs="Arial"/>
          <w:lang w:val="es-MX"/>
        </w:rPr>
        <w:t>Licitación IDU-LP-DTMV-030-2005, el 29</w:t>
      </w:r>
      <w:r w:rsidR="009A7A93" w:rsidRPr="00FA587B">
        <w:rPr>
          <w:rFonts w:ascii="Arial" w:hAnsi="Arial" w:cs="Arial"/>
          <w:lang w:val="es-MX"/>
        </w:rPr>
        <w:t xml:space="preserve"> de diciembre de </w:t>
      </w:r>
      <w:r w:rsidR="00856CC7" w:rsidRPr="00FA587B">
        <w:rPr>
          <w:rFonts w:ascii="Arial" w:hAnsi="Arial" w:cs="Arial"/>
          <w:lang w:val="es-MX"/>
        </w:rPr>
        <w:t>2005</w:t>
      </w:r>
      <w:r w:rsidR="00F946C2" w:rsidRPr="00FA587B">
        <w:rPr>
          <w:rFonts w:ascii="Arial" w:hAnsi="Arial" w:cs="Arial"/>
          <w:lang w:val="es-MX"/>
        </w:rPr>
        <w:t>,</w:t>
      </w:r>
      <w:r w:rsidR="007A7C2E" w:rsidRPr="00FA587B">
        <w:rPr>
          <w:rFonts w:ascii="Arial" w:hAnsi="Arial" w:cs="Arial"/>
          <w:lang w:val="es-MX"/>
        </w:rPr>
        <w:t xml:space="preserve"> el Instituto de Desarrollo Urbano y el </w:t>
      </w:r>
      <w:r w:rsidR="002A1AFF" w:rsidRPr="00FA587B">
        <w:rPr>
          <w:rFonts w:ascii="Arial" w:hAnsi="Arial" w:cs="Arial"/>
          <w:lang w:val="es-MX"/>
        </w:rPr>
        <w:t xml:space="preserve">ingeniero Jaime Carmona Soto </w:t>
      </w:r>
      <w:r w:rsidR="00D44FFD" w:rsidRPr="00FA587B">
        <w:rPr>
          <w:rFonts w:ascii="Arial" w:hAnsi="Arial" w:cs="Arial"/>
          <w:lang w:val="es-MX"/>
        </w:rPr>
        <w:t xml:space="preserve">celebraron el Contrato </w:t>
      </w:r>
      <w:r w:rsidR="00C9734D" w:rsidRPr="00FA587B">
        <w:rPr>
          <w:rFonts w:ascii="Arial" w:hAnsi="Arial" w:cs="Arial"/>
          <w:lang w:val="es-MX"/>
        </w:rPr>
        <w:t xml:space="preserve">de Obra </w:t>
      </w:r>
      <w:r w:rsidR="002A1AFF" w:rsidRPr="00FA587B">
        <w:rPr>
          <w:rFonts w:ascii="Arial" w:hAnsi="Arial" w:cs="Arial"/>
          <w:lang w:val="es-MX"/>
        </w:rPr>
        <w:t>No. 193 de 2005</w:t>
      </w:r>
      <w:r w:rsidR="00F946C2" w:rsidRPr="00FA587B">
        <w:rPr>
          <w:rFonts w:ascii="Arial" w:hAnsi="Arial" w:cs="Arial"/>
          <w:lang w:val="es-MX"/>
        </w:rPr>
        <w:t>,</w:t>
      </w:r>
      <w:r w:rsidR="00D44FFD" w:rsidRPr="00FA587B">
        <w:rPr>
          <w:rFonts w:ascii="Arial" w:hAnsi="Arial" w:cs="Arial"/>
          <w:lang w:val="es-MX"/>
        </w:rPr>
        <w:t xml:space="preserve"> </w:t>
      </w:r>
      <w:r w:rsidR="00271472" w:rsidRPr="00FA587B">
        <w:rPr>
          <w:rFonts w:ascii="Arial" w:hAnsi="Arial" w:cs="Arial"/>
          <w:lang w:val="es-MX"/>
        </w:rPr>
        <w:t>con el objeto de realizar</w:t>
      </w:r>
      <w:r w:rsidR="00023936" w:rsidRPr="00FA587B">
        <w:rPr>
          <w:rFonts w:ascii="Arial" w:hAnsi="Arial" w:cs="Arial"/>
          <w:lang w:val="es-MX"/>
        </w:rPr>
        <w:t>,</w:t>
      </w:r>
      <w:r w:rsidR="00271472" w:rsidRPr="00FA587B">
        <w:rPr>
          <w:rFonts w:ascii="Arial" w:hAnsi="Arial" w:cs="Arial"/>
          <w:lang w:val="es-MX"/>
        </w:rPr>
        <w:t xml:space="preserve"> bajo el sistema de precios unitarios</w:t>
      </w:r>
      <w:r w:rsidR="002A1AFF" w:rsidRPr="00FA587B">
        <w:rPr>
          <w:rFonts w:ascii="Arial" w:hAnsi="Arial" w:cs="Arial"/>
          <w:lang w:val="es-MX"/>
        </w:rPr>
        <w:t xml:space="preserve">, las obras requeridas </w:t>
      </w:r>
      <w:r w:rsidR="00D91555" w:rsidRPr="00FA587B">
        <w:rPr>
          <w:rFonts w:ascii="Arial" w:hAnsi="Arial" w:cs="Arial"/>
          <w:lang w:val="es-MX"/>
        </w:rPr>
        <w:t>para la “</w:t>
      </w:r>
      <w:r w:rsidR="00D91555" w:rsidRPr="00FA587B">
        <w:rPr>
          <w:rFonts w:ascii="Arial" w:hAnsi="Arial" w:cs="Arial"/>
          <w:i/>
          <w:lang w:val="es-MX"/>
        </w:rPr>
        <w:t>CONSTRUCCIÓN DE ACCESOS A BARRIOS Y</w:t>
      </w:r>
      <w:r w:rsidR="00B30DF4" w:rsidRPr="00FA587B">
        <w:rPr>
          <w:rFonts w:ascii="Arial" w:hAnsi="Arial" w:cs="Arial"/>
          <w:i/>
          <w:lang w:val="es-MX"/>
        </w:rPr>
        <w:t xml:space="preserve"> PAVIMENTOS LOCALES, PROGRAMA D</w:t>
      </w:r>
      <w:r w:rsidR="00D91555" w:rsidRPr="00FA587B">
        <w:rPr>
          <w:rFonts w:ascii="Arial" w:hAnsi="Arial" w:cs="Arial"/>
          <w:i/>
          <w:lang w:val="es-MX"/>
        </w:rPr>
        <w:t>E</w:t>
      </w:r>
      <w:r w:rsidR="00B30DF4" w:rsidRPr="00FA587B">
        <w:rPr>
          <w:rFonts w:ascii="Arial" w:hAnsi="Arial" w:cs="Arial"/>
          <w:i/>
          <w:lang w:val="es-MX"/>
        </w:rPr>
        <w:t xml:space="preserve"> GESTIÓ</w:t>
      </w:r>
      <w:r w:rsidR="00D96ED2" w:rsidRPr="00FA587B">
        <w:rPr>
          <w:rFonts w:ascii="Arial" w:hAnsi="Arial" w:cs="Arial"/>
          <w:i/>
          <w:lang w:val="es-MX"/>
        </w:rPr>
        <w:t>N COMPARTIDA BARRIO JERUSALEN</w:t>
      </w:r>
      <w:r w:rsidR="00D91555" w:rsidRPr="00FA587B">
        <w:rPr>
          <w:rFonts w:ascii="Arial" w:hAnsi="Arial" w:cs="Arial"/>
          <w:i/>
          <w:lang w:val="es-MX"/>
        </w:rPr>
        <w:t xml:space="preserve"> EN LA LOCALIDAD DE CIUDAD BOLÍVAR FASE 3</w:t>
      </w:r>
      <w:r w:rsidR="00D91555" w:rsidRPr="00FA587B">
        <w:rPr>
          <w:rFonts w:ascii="Arial" w:hAnsi="Arial" w:cs="Arial"/>
          <w:lang w:val="es-MX"/>
        </w:rPr>
        <w:t xml:space="preserve">”, de acuerdo con las especificaciones descritas en el pliego de condiciones y en la propuesta presentada por el adjudicatario.  El plazo del contrato se estipuló en </w:t>
      </w:r>
      <w:r w:rsidR="00B30DF4" w:rsidRPr="00FA587B">
        <w:rPr>
          <w:rFonts w:ascii="Arial" w:hAnsi="Arial" w:cs="Arial"/>
          <w:lang w:val="es-MX"/>
        </w:rPr>
        <w:t xml:space="preserve">siete meses y el valor estimado ascendió a $2.756’819.083. </w:t>
      </w:r>
    </w:p>
    <w:p w:rsidR="00D91555" w:rsidRPr="00FA587B" w:rsidRDefault="00D91555" w:rsidP="00FA587B">
      <w:pPr>
        <w:widowControl w:val="0"/>
        <w:autoSpaceDE w:val="0"/>
        <w:autoSpaceDN w:val="0"/>
        <w:adjustRightInd w:val="0"/>
        <w:spacing w:line="360" w:lineRule="auto"/>
        <w:jc w:val="both"/>
        <w:rPr>
          <w:rFonts w:ascii="Arial" w:hAnsi="Arial" w:cs="Arial"/>
          <w:lang w:val="es-MX"/>
        </w:rPr>
      </w:pPr>
    </w:p>
    <w:p w:rsidR="00057315" w:rsidRPr="00FA587B" w:rsidRDefault="00B37D45" w:rsidP="00FA587B">
      <w:pPr>
        <w:widowControl w:val="0"/>
        <w:autoSpaceDE w:val="0"/>
        <w:autoSpaceDN w:val="0"/>
        <w:adjustRightInd w:val="0"/>
        <w:spacing w:line="360" w:lineRule="auto"/>
        <w:jc w:val="both"/>
        <w:rPr>
          <w:rFonts w:ascii="Arial" w:hAnsi="Arial" w:cs="Arial"/>
          <w:lang w:val="es-MX"/>
        </w:rPr>
      </w:pPr>
      <w:r w:rsidRPr="00FA587B">
        <w:rPr>
          <w:rFonts w:ascii="Arial" w:hAnsi="Arial" w:cs="Arial"/>
          <w:b/>
          <w:lang w:val="es-MX"/>
        </w:rPr>
        <w:t>2.2</w:t>
      </w:r>
      <w:r w:rsidR="00057315" w:rsidRPr="00FA587B">
        <w:rPr>
          <w:rFonts w:ascii="Arial" w:hAnsi="Arial" w:cs="Arial"/>
          <w:b/>
          <w:lang w:val="es-MX"/>
        </w:rPr>
        <w:t>.</w:t>
      </w:r>
      <w:r w:rsidR="00057315" w:rsidRPr="00FA587B">
        <w:rPr>
          <w:rFonts w:ascii="Arial" w:hAnsi="Arial" w:cs="Arial"/>
          <w:lang w:val="es-MX"/>
        </w:rPr>
        <w:t xml:space="preserve"> El Acta de Inicia</w:t>
      </w:r>
      <w:r w:rsidR="00781AED" w:rsidRPr="00FA587B">
        <w:rPr>
          <w:rFonts w:ascii="Arial" w:hAnsi="Arial" w:cs="Arial"/>
          <w:lang w:val="es-MX"/>
        </w:rPr>
        <w:t>ción de Obra se suscribió el 4 de septiembre 2006</w:t>
      </w:r>
      <w:r w:rsidR="00057315" w:rsidRPr="00FA587B">
        <w:rPr>
          <w:rFonts w:ascii="Arial" w:hAnsi="Arial" w:cs="Arial"/>
          <w:lang w:val="es-MX"/>
        </w:rPr>
        <w:t xml:space="preserve">. </w:t>
      </w:r>
    </w:p>
    <w:p w:rsidR="004F472E" w:rsidRPr="00FA587B" w:rsidRDefault="004F472E" w:rsidP="00FA587B">
      <w:pPr>
        <w:widowControl w:val="0"/>
        <w:autoSpaceDE w:val="0"/>
        <w:autoSpaceDN w:val="0"/>
        <w:adjustRightInd w:val="0"/>
        <w:spacing w:line="360" w:lineRule="auto"/>
        <w:jc w:val="both"/>
        <w:rPr>
          <w:rFonts w:ascii="Arial" w:hAnsi="Arial" w:cs="Arial"/>
          <w:lang w:val="es-MX"/>
        </w:rPr>
      </w:pPr>
    </w:p>
    <w:p w:rsidR="009F6A7B" w:rsidRPr="00FA587B" w:rsidRDefault="00B37D45" w:rsidP="00FA587B">
      <w:pPr>
        <w:widowControl w:val="0"/>
        <w:autoSpaceDE w:val="0"/>
        <w:autoSpaceDN w:val="0"/>
        <w:adjustRightInd w:val="0"/>
        <w:spacing w:line="360" w:lineRule="auto"/>
        <w:jc w:val="both"/>
        <w:rPr>
          <w:rFonts w:ascii="Arial" w:hAnsi="Arial" w:cs="Arial"/>
          <w:lang w:val="es-MX"/>
        </w:rPr>
      </w:pPr>
      <w:r w:rsidRPr="00FA587B">
        <w:rPr>
          <w:rFonts w:ascii="Arial" w:hAnsi="Arial" w:cs="Arial"/>
          <w:b/>
          <w:lang w:val="es-MX"/>
        </w:rPr>
        <w:t>2.3</w:t>
      </w:r>
      <w:r w:rsidR="004F472E" w:rsidRPr="00FA587B">
        <w:rPr>
          <w:rFonts w:ascii="Arial" w:hAnsi="Arial" w:cs="Arial"/>
          <w:b/>
          <w:lang w:val="es-MX"/>
        </w:rPr>
        <w:t>.</w:t>
      </w:r>
      <w:r w:rsidR="00057315" w:rsidRPr="00FA587B">
        <w:rPr>
          <w:rFonts w:ascii="Arial" w:hAnsi="Arial" w:cs="Arial"/>
          <w:lang w:val="es-MX"/>
        </w:rPr>
        <w:t xml:space="preserve"> </w:t>
      </w:r>
      <w:r w:rsidR="00807EE3" w:rsidRPr="00FA587B">
        <w:rPr>
          <w:rFonts w:ascii="Arial" w:hAnsi="Arial" w:cs="Arial"/>
          <w:lang w:val="es-MX"/>
        </w:rPr>
        <w:t>El 29 de diciembre de 2006, las partes suscribieron el Contrato Adicional No. 01 al Contrato No. 193, por el cu</w:t>
      </w:r>
      <w:r w:rsidR="008E4406" w:rsidRPr="00FA587B">
        <w:rPr>
          <w:rFonts w:ascii="Arial" w:hAnsi="Arial" w:cs="Arial"/>
          <w:lang w:val="es-MX"/>
        </w:rPr>
        <w:t>al se aumentó el valor en $765’</w:t>
      </w:r>
      <w:r w:rsidR="00807EE3" w:rsidRPr="00FA587B">
        <w:rPr>
          <w:rFonts w:ascii="Arial" w:hAnsi="Arial" w:cs="Arial"/>
          <w:lang w:val="es-MX"/>
        </w:rPr>
        <w:t xml:space="preserve">665.315 y se prorrogó el plazo en un mes y medio para la etapa de construcción. </w:t>
      </w:r>
    </w:p>
    <w:p w:rsidR="00807EE3" w:rsidRPr="00FA587B" w:rsidRDefault="00807EE3" w:rsidP="00FA587B">
      <w:pPr>
        <w:widowControl w:val="0"/>
        <w:autoSpaceDE w:val="0"/>
        <w:autoSpaceDN w:val="0"/>
        <w:adjustRightInd w:val="0"/>
        <w:spacing w:line="360" w:lineRule="auto"/>
        <w:jc w:val="both"/>
        <w:rPr>
          <w:rFonts w:ascii="Arial" w:hAnsi="Arial" w:cs="Arial"/>
          <w:lang w:val="es-MX"/>
        </w:rPr>
      </w:pPr>
    </w:p>
    <w:p w:rsidR="00807EE3" w:rsidRPr="00FA587B" w:rsidRDefault="00807EE3" w:rsidP="00FA587B">
      <w:pPr>
        <w:widowControl w:val="0"/>
        <w:autoSpaceDE w:val="0"/>
        <w:autoSpaceDN w:val="0"/>
        <w:adjustRightInd w:val="0"/>
        <w:spacing w:line="360" w:lineRule="auto"/>
        <w:jc w:val="both"/>
        <w:rPr>
          <w:rFonts w:ascii="Arial" w:hAnsi="Arial" w:cs="Arial"/>
          <w:lang w:val="es-MX"/>
        </w:rPr>
      </w:pPr>
      <w:r w:rsidRPr="00FA587B">
        <w:rPr>
          <w:rFonts w:ascii="Arial" w:hAnsi="Arial" w:cs="Arial"/>
          <w:b/>
          <w:lang w:val="es-MX"/>
        </w:rPr>
        <w:t xml:space="preserve">2.4. </w:t>
      </w:r>
      <w:r w:rsidRPr="00FA587B">
        <w:rPr>
          <w:rFonts w:ascii="Arial" w:hAnsi="Arial" w:cs="Arial"/>
          <w:lang w:val="es-MX"/>
        </w:rPr>
        <w:t xml:space="preserve">El 17 de abril de 2007, los </w:t>
      </w:r>
      <w:r w:rsidR="0014246F" w:rsidRPr="00FA587B">
        <w:rPr>
          <w:rFonts w:ascii="Arial" w:hAnsi="Arial" w:cs="Arial"/>
          <w:lang w:val="es-MX"/>
        </w:rPr>
        <w:t xml:space="preserve">extremos </w:t>
      </w:r>
      <w:r w:rsidRPr="00FA587B">
        <w:rPr>
          <w:rFonts w:ascii="Arial" w:hAnsi="Arial" w:cs="Arial"/>
          <w:lang w:val="es-MX"/>
        </w:rPr>
        <w:t>co-contratantes celebraron el Contrato Adicional No. 02 al Contrato No. 193, con el fin de ampliar el término por dos meses y medio.</w:t>
      </w:r>
    </w:p>
    <w:p w:rsidR="00807EE3" w:rsidRPr="00FA587B" w:rsidRDefault="00807EE3" w:rsidP="00FA587B">
      <w:pPr>
        <w:widowControl w:val="0"/>
        <w:autoSpaceDE w:val="0"/>
        <w:autoSpaceDN w:val="0"/>
        <w:adjustRightInd w:val="0"/>
        <w:spacing w:line="360" w:lineRule="auto"/>
        <w:jc w:val="both"/>
        <w:rPr>
          <w:rFonts w:ascii="Arial" w:hAnsi="Arial" w:cs="Arial"/>
          <w:lang w:val="es-MX"/>
        </w:rPr>
      </w:pPr>
    </w:p>
    <w:p w:rsidR="00807EE3" w:rsidRPr="00FA587B" w:rsidRDefault="00807EE3" w:rsidP="00FA587B">
      <w:pPr>
        <w:widowControl w:val="0"/>
        <w:autoSpaceDE w:val="0"/>
        <w:autoSpaceDN w:val="0"/>
        <w:adjustRightInd w:val="0"/>
        <w:spacing w:line="360" w:lineRule="auto"/>
        <w:jc w:val="both"/>
        <w:rPr>
          <w:rFonts w:ascii="Arial" w:hAnsi="Arial" w:cs="Arial"/>
          <w:lang w:val="es-MX"/>
        </w:rPr>
      </w:pPr>
      <w:r w:rsidRPr="00FA587B">
        <w:rPr>
          <w:rFonts w:ascii="Arial" w:hAnsi="Arial" w:cs="Arial"/>
          <w:b/>
          <w:lang w:val="es-MX"/>
        </w:rPr>
        <w:t xml:space="preserve">2.5. </w:t>
      </w:r>
      <w:r w:rsidRPr="00FA587B">
        <w:rPr>
          <w:rFonts w:ascii="Arial" w:hAnsi="Arial" w:cs="Arial"/>
          <w:lang w:val="es-MX"/>
        </w:rPr>
        <w:t>Nuevamente, el 3 de agosto</w:t>
      </w:r>
      <w:r w:rsidR="0014246F" w:rsidRPr="00FA587B">
        <w:rPr>
          <w:rFonts w:ascii="Arial" w:hAnsi="Arial" w:cs="Arial"/>
          <w:lang w:val="es-MX"/>
        </w:rPr>
        <w:t xml:space="preserve"> de 2007, </w:t>
      </w:r>
      <w:r w:rsidRPr="00FA587B">
        <w:rPr>
          <w:rFonts w:ascii="Arial" w:hAnsi="Arial" w:cs="Arial"/>
          <w:lang w:val="es-MX"/>
        </w:rPr>
        <w:t xml:space="preserve">las partes prorrogaron el plazo del Contrato No. 193 </w:t>
      </w:r>
      <w:r w:rsidR="0014246F" w:rsidRPr="00FA587B">
        <w:rPr>
          <w:rFonts w:ascii="Arial" w:hAnsi="Arial" w:cs="Arial"/>
          <w:lang w:val="es-MX"/>
        </w:rPr>
        <w:t>en un mes para la etapa de construcción y en veintinueve día</w:t>
      </w:r>
      <w:r w:rsidR="00D96ED2" w:rsidRPr="00FA587B">
        <w:rPr>
          <w:rFonts w:ascii="Arial" w:hAnsi="Arial" w:cs="Arial"/>
          <w:lang w:val="es-MX"/>
        </w:rPr>
        <w:t>s para el</w:t>
      </w:r>
      <w:r w:rsidR="0014246F" w:rsidRPr="00FA587B">
        <w:rPr>
          <w:rFonts w:ascii="Arial" w:hAnsi="Arial" w:cs="Arial"/>
          <w:lang w:val="es-MX"/>
        </w:rPr>
        <w:t xml:space="preserve"> recibo</w:t>
      </w:r>
      <w:r w:rsidR="00D96ED2" w:rsidRPr="00FA587B">
        <w:rPr>
          <w:rFonts w:ascii="Arial" w:hAnsi="Arial" w:cs="Arial"/>
          <w:lang w:val="es-MX"/>
        </w:rPr>
        <w:t xml:space="preserve"> de las obras</w:t>
      </w:r>
      <w:r w:rsidR="0014246F" w:rsidRPr="00FA587B">
        <w:rPr>
          <w:rFonts w:ascii="Arial" w:hAnsi="Arial" w:cs="Arial"/>
          <w:lang w:val="es-MX"/>
        </w:rPr>
        <w:t xml:space="preserve">. </w:t>
      </w:r>
    </w:p>
    <w:p w:rsidR="0014246F" w:rsidRPr="00FA587B" w:rsidRDefault="0014246F" w:rsidP="00FA587B">
      <w:pPr>
        <w:widowControl w:val="0"/>
        <w:autoSpaceDE w:val="0"/>
        <w:autoSpaceDN w:val="0"/>
        <w:adjustRightInd w:val="0"/>
        <w:spacing w:line="360" w:lineRule="auto"/>
        <w:jc w:val="both"/>
        <w:rPr>
          <w:rFonts w:ascii="Arial" w:hAnsi="Arial" w:cs="Arial"/>
          <w:lang w:val="es-MX"/>
        </w:rPr>
      </w:pPr>
    </w:p>
    <w:p w:rsidR="009F6A7B" w:rsidRPr="00FA587B" w:rsidRDefault="0014246F" w:rsidP="00FA587B">
      <w:pPr>
        <w:widowControl w:val="0"/>
        <w:autoSpaceDE w:val="0"/>
        <w:autoSpaceDN w:val="0"/>
        <w:adjustRightInd w:val="0"/>
        <w:spacing w:line="360" w:lineRule="auto"/>
        <w:jc w:val="both"/>
        <w:rPr>
          <w:rFonts w:ascii="Arial" w:hAnsi="Arial" w:cs="Arial"/>
          <w:lang w:val="es-MX"/>
        </w:rPr>
      </w:pPr>
      <w:r w:rsidRPr="00FA587B">
        <w:rPr>
          <w:rFonts w:ascii="Arial" w:hAnsi="Arial" w:cs="Arial"/>
          <w:b/>
          <w:lang w:val="es-MX"/>
        </w:rPr>
        <w:t xml:space="preserve">2.6. </w:t>
      </w:r>
      <w:r w:rsidRPr="00FA587B">
        <w:rPr>
          <w:rFonts w:ascii="Arial" w:hAnsi="Arial" w:cs="Arial"/>
          <w:lang w:val="es-MX"/>
        </w:rPr>
        <w:t>El 5 de octubre de 2007</w:t>
      </w:r>
      <w:r w:rsidR="00D96ED2" w:rsidRPr="00FA587B">
        <w:rPr>
          <w:rFonts w:ascii="Arial" w:hAnsi="Arial" w:cs="Arial"/>
          <w:lang w:val="es-MX"/>
        </w:rPr>
        <w:t>,</w:t>
      </w:r>
      <w:r w:rsidRPr="00FA587B">
        <w:rPr>
          <w:rFonts w:ascii="Arial" w:hAnsi="Arial" w:cs="Arial"/>
          <w:lang w:val="es-MX"/>
        </w:rPr>
        <w:t xml:space="preserve"> se suscribió el acta de terminación del Contrato No. 193.</w:t>
      </w:r>
    </w:p>
    <w:p w:rsidR="00CE6BA1" w:rsidRPr="00FA587B" w:rsidRDefault="00CE6BA1" w:rsidP="00FA587B">
      <w:pPr>
        <w:widowControl w:val="0"/>
        <w:autoSpaceDE w:val="0"/>
        <w:autoSpaceDN w:val="0"/>
        <w:adjustRightInd w:val="0"/>
        <w:spacing w:line="360" w:lineRule="auto"/>
        <w:jc w:val="both"/>
        <w:rPr>
          <w:rFonts w:ascii="Arial" w:hAnsi="Arial" w:cs="Arial"/>
          <w:lang w:val="es-MX"/>
        </w:rPr>
      </w:pPr>
    </w:p>
    <w:p w:rsidR="00E83EEC" w:rsidRPr="00FA587B" w:rsidRDefault="00CE6BA1" w:rsidP="00FA587B">
      <w:pPr>
        <w:widowControl w:val="0"/>
        <w:autoSpaceDE w:val="0"/>
        <w:autoSpaceDN w:val="0"/>
        <w:adjustRightInd w:val="0"/>
        <w:spacing w:line="360" w:lineRule="auto"/>
        <w:jc w:val="both"/>
        <w:rPr>
          <w:rFonts w:ascii="Arial" w:hAnsi="Arial" w:cs="Arial"/>
          <w:lang w:val="es-MX"/>
        </w:rPr>
      </w:pPr>
      <w:r w:rsidRPr="00FA587B">
        <w:rPr>
          <w:rFonts w:ascii="Arial" w:hAnsi="Arial" w:cs="Arial"/>
          <w:b/>
          <w:lang w:val="es-MX"/>
        </w:rPr>
        <w:t>2.7.</w:t>
      </w:r>
      <w:r w:rsidRPr="00FA587B">
        <w:rPr>
          <w:rFonts w:ascii="Arial" w:hAnsi="Arial" w:cs="Arial"/>
          <w:lang w:val="es-MX"/>
        </w:rPr>
        <w:t xml:space="preserve"> Se indicó en la demanda que la ampliación del plazo contractual se debió a la necesidad de modificar los diseños iniciales para </w:t>
      </w:r>
      <w:r w:rsidR="00E83EEC" w:rsidRPr="00FA587B">
        <w:rPr>
          <w:rFonts w:ascii="Arial" w:hAnsi="Arial" w:cs="Arial"/>
          <w:lang w:val="es-MX"/>
        </w:rPr>
        <w:t>la realización de</w:t>
      </w:r>
      <w:r w:rsidRPr="00FA587B">
        <w:rPr>
          <w:rFonts w:ascii="Arial" w:hAnsi="Arial" w:cs="Arial"/>
          <w:lang w:val="es-MX"/>
        </w:rPr>
        <w:t xml:space="preserve"> obras no previstas en las especificaciones primigenias, todo lo cual se tradujo en </w:t>
      </w:r>
      <w:r w:rsidR="00E83EEC" w:rsidRPr="00FA587B">
        <w:rPr>
          <w:rFonts w:ascii="Arial" w:hAnsi="Arial" w:cs="Arial"/>
          <w:lang w:val="es-MX"/>
        </w:rPr>
        <w:t xml:space="preserve">mayores costos por </w:t>
      </w:r>
      <w:r w:rsidR="00063215" w:rsidRPr="00FA587B">
        <w:rPr>
          <w:rFonts w:ascii="Arial" w:hAnsi="Arial" w:cs="Arial"/>
          <w:lang w:val="es-MX"/>
        </w:rPr>
        <w:t xml:space="preserve">la indicación del </w:t>
      </w:r>
      <w:r w:rsidRPr="00FA587B">
        <w:rPr>
          <w:rFonts w:ascii="Arial" w:hAnsi="Arial" w:cs="Arial"/>
          <w:lang w:val="es-MX"/>
        </w:rPr>
        <w:t xml:space="preserve">cambio de materiales </w:t>
      </w:r>
      <w:r w:rsidR="00E57C1E" w:rsidRPr="00FA587B">
        <w:rPr>
          <w:rFonts w:ascii="Arial" w:hAnsi="Arial" w:cs="Arial"/>
          <w:lang w:val="es-MX"/>
        </w:rPr>
        <w:t>que se requirieron</w:t>
      </w:r>
      <w:r w:rsidR="00E83EEC" w:rsidRPr="00FA587B">
        <w:rPr>
          <w:rFonts w:ascii="Arial" w:hAnsi="Arial" w:cs="Arial"/>
          <w:lang w:val="es-MX"/>
        </w:rPr>
        <w:t xml:space="preserve"> </w:t>
      </w:r>
      <w:r w:rsidRPr="00FA587B">
        <w:rPr>
          <w:rFonts w:ascii="Arial" w:hAnsi="Arial" w:cs="Arial"/>
          <w:lang w:val="es-MX"/>
        </w:rPr>
        <w:t xml:space="preserve">para construir pavimentos </w:t>
      </w:r>
      <w:r w:rsidR="00E57C1E" w:rsidRPr="00FA587B">
        <w:rPr>
          <w:rFonts w:ascii="Arial" w:hAnsi="Arial" w:cs="Arial"/>
          <w:lang w:val="es-MX"/>
        </w:rPr>
        <w:t>destinados</w:t>
      </w:r>
      <w:r w:rsidR="00E83EEC" w:rsidRPr="00FA587B">
        <w:rPr>
          <w:rFonts w:ascii="Arial" w:hAnsi="Arial" w:cs="Arial"/>
          <w:lang w:val="es-MX"/>
        </w:rPr>
        <w:t xml:space="preserve"> al uso vehicular y no peatonal</w:t>
      </w:r>
      <w:r w:rsidR="00063215" w:rsidRPr="00FA587B">
        <w:rPr>
          <w:rFonts w:ascii="Arial" w:hAnsi="Arial" w:cs="Arial"/>
          <w:lang w:val="es-MX"/>
        </w:rPr>
        <w:t>.</w:t>
      </w:r>
    </w:p>
    <w:p w:rsidR="00E83EEC" w:rsidRPr="00FA587B" w:rsidRDefault="00E83EEC" w:rsidP="00FA587B">
      <w:pPr>
        <w:widowControl w:val="0"/>
        <w:autoSpaceDE w:val="0"/>
        <w:autoSpaceDN w:val="0"/>
        <w:adjustRightInd w:val="0"/>
        <w:spacing w:line="360" w:lineRule="auto"/>
        <w:jc w:val="both"/>
        <w:rPr>
          <w:rFonts w:ascii="Arial" w:hAnsi="Arial" w:cs="Arial"/>
          <w:lang w:val="es-MX"/>
        </w:rPr>
      </w:pPr>
    </w:p>
    <w:p w:rsidR="0014246F" w:rsidRPr="00FA587B" w:rsidRDefault="00E83EEC" w:rsidP="00FA587B">
      <w:pPr>
        <w:widowControl w:val="0"/>
        <w:autoSpaceDE w:val="0"/>
        <w:autoSpaceDN w:val="0"/>
        <w:adjustRightInd w:val="0"/>
        <w:spacing w:line="360" w:lineRule="auto"/>
        <w:jc w:val="both"/>
        <w:rPr>
          <w:rFonts w:ascii="Arial" w:hAnsi="Arial" w:cs="Arial"/>
          <w:lang w:val="es-MX"/>
        </w:rPr>
      </w:pPr>
      <w:r w:rsidRPr="00FA587B">
        <w:rPr>
          <w:rFonts w:ascii="Arial" w:hAnsi="Arial" w:cs="Arial"/>
          <w:b/>
          <w:lang w:val="es-MX"/>
        </w:rPr>
        <w:lastRenderedPageBreak/>
        <w:t>2.8.</w:t>
      </w:r>
      <w:r w:rsidRPr="00FA587B">
        <w:rPr>
          <w:rFonts w:ascii="Arial" w:hAnsi="Arial" w:cs="Arial"/>
          <w:lang w:val="es-MX"/>
        </w:rPr>
        <w:t xml:space="preserve"> </w:t>
      </w:r>
      <w:r w:rsidR="005F1377" w:rsidRPr="00FA587B">
        <w:rPr>
          <w:rFonts w:ascii="Arial" w:hAnsi="Arial" w:cs="Arial"/>
          <w:lang w:val="es-MX"/>
        </w:rPr>
        <w:t>L</w:t>
      </w:r>
      <w:r w:rsidRPr="00FA587B">
        <w:rPr>
          <w:rFonts w:ascii="Arial" w:hAnsi="Arial" w:cs="Arial"/>
          <w:lang w:val="es-MX"/>
        </w:rPr>
        <w:t>o expuesto</w:t>
      </w:r>
      <w:r w:rsidR="005F1377" w:rsidRPr="00FA587B">
        <w:rPr>
          <w:rFonts w:ascii="Arial" w:hAnsi="Arial" w:cs="Arial"/>
          <w:lang w:val="es-MX"/>
        </w:rPr>
        <w:t>, en criterio del libelista,</w:t>
      </w:r>
      <w:r w:rsidRPr="00FA587B">
        <w:rPr>
          <w:rFonts w:ascii="Arial" w:hAnsi="Arial" w:cs="Arial"/>
          <w:lang w:val="es-MX"/>
        </w:rPr>
        <w:t xml:space="preserve"> trajo consigo la ejecución de obras adicionales</w:t>
      </w:r>
      <w:r w:rsidR="00D96ED2" w:rsidRPr="00FA587B">
        <w:rPr>
          <w:rFonts w:ascii="Arial" w:hAnsi="Arial" w:cs="Arial"/>
          <w:lang w:val="es-MX"/>
        </w:rPr>
        <w:t>,</w:t>
      </w:r>
      <w:r w:rsidRPr="00FA587B">
        <w:rPr>
          <w:rFonts w:ascii="Arial" w:hAnsi="Arial" w:cs="Arial"/>
          <w:lang w:val="es-MX"/>
        </w:rPr>
        <w:t xml:space="preserve"> cuyo valor no fue reconocido por la entidad estatal </w:t>
      </w:r>
      <w:r w:rsidR="00063215" w:rsidRPr="00FA587B">
        <w:rPr>
          <w:rFonts w:ascii="Arial" w:hAnsi="Arial" w:cs="Arial"/>
          <w:lang w:val="es-MX"/>
        </w:rPr>
        <w:t xml:space="preserve">pese a </w:t>
      </w:r>
      <w:r w:rsidR="005F1377" w:rsidRPr="00FA587B">
        <w:rPr>
          <w:rFonts w:ascii="Arial" w:hAnsi="Arial" w:cs="Arial"/>
          <w:lang w:val="es-MX"/>
        </w:rPr>
        <w:t>haberse elevado</w:t>
      </w:r>
      <w:r w:rsidRPr="00FA587B">
        <w:rPr>
          <w:rFonts w:ascii="Arial" w:hAnsi="Arial" w:cs="Arial"/>
          <w:lang w:val="es-MX"/>
        </w:rPr>
        <w:t xml:space="preserve"> varias solicitudes en ese sentido. </w:t>
      </w:r>
    </w:p>
    <w:p w:rsidR="00063215" w:rsidRPr="00FA587B" w:rsidRDefault="00063215" w:rsidP="00FA587B">
      <w:pPr>
        <w:widowControl w:val="0"/>
        <w:autoSpaceDE w:val="0"/>
        <w:autoSpaceDN w:val="0"/>
        <w:adjustRightInd w:val="0"/>
        <w:spacing w:line="360" w:lineRule="auto"/>
        <w:jc w:val="both"/>
        <w:rPr>
          <w:rFonts w:ascii="Arial" w:hAnsi="Arial" w:cs="Arial"/>
          <w:lang w:val="es-MX"/>
        </w:rPr>
      </w:pPr>
    </w:p>
    <w:p w:rsidR="00063215" w:rsidRPr="00FA587B" w:rsidRDefault="00063215" w:rsidP="00FA587B">
      <w:pPr>
        <w:widowControl w:val="0"/>
        <w:autoSpaceDE w:val="0"/>
        <w:autoSpaceDN w:val="0"/>
        <w:adjustRightInd w:val="0"/>
        <w:spacing w:line="360" w:lineRule="auto"/>
        <w:jc w:val="both"/>
        <w:rPr>
          <w:rFonts w:ascii="Arial" w:hAnsi="Arial" w:cs="Arial"/>
          <w:lang w:val="es-MX"/>
        </w:rPr>
      </w:pPr>
      <w:r w:rsidRPr="00FA587B">
        <w:rPr>
          <w:rFonts w:ascii="Arial" w:hAnsi="Arial" w:cs="Arial"/>
          <w:b/>
          <w:lang w:val="es-MX"/>
        </w:rPr>
        <w:t>2.9.</w:t>
      </w:r>
      <w:r w:rsidRPr="00FA587B">
        <w:rPr>
          <w:rFonts w:ascii="Arial" w:hAnsi="Arial" w:cs="Arial"/>
          <w:lang w:val="es-MX"/>
        </w:rPr>
        <w:t xml:space="preserve"> También señaló que existió un incremento de precios </w:t>
      </w:r>
      <w:r w:rsidR="009C0C9B" w:rsidRPr="00FA587B">
        <w:rPr>
          <w:rFonts w:ascii="Arial" w:hAnsi="Arial" w:cs="Arial"/>
          <w:lang w:val="es-MX"/>
        </w:rPr>
        <w:t xml:space="preserve">por el cambio de vigencia fiscal acaecido </w:t>
      </w:r>
      <w:r w:rsidRPr="00FA587B">
        <w:rPr>
          <w:rFonts w:ascii="Arial" w:hAnsi="Arial" w:cs="Arial"/>
          <w:lang w:val="es-MX"/>
        </w:rPr>
        <w:t>durante la ejecución de las</w:t>
      </w:r>
      <w:r w:rsidR="009C0C9B" w:rsidRPr="00FA587B">
        <w:rPr>
          <w:rFonts w:ascii="Arial" w:hAnsi="Arial" w:cs="Arial"/>
          <w:lang w:val="es-MX"/>
        </w:rPr>
        <w:t xml:space="preserve"> obras</w:t>
      </w:r>
      <w:r w:rsidRPr="00FA587B">
        <w:rPr>
          <w:rFonts w:ascii="Arial" w:hAnsi="Arial" w:cs="Arial"/>
          <w:lang w:val="es-MX"/>
        </w:rPr>
        <w:t xml:space="preserve">, dado que la oferta </w:t>
      </w:r>
      <w:r w:rsidR="009C0C9B" w:rsidRPr="00FA587B">
        <w:rPr>
          <w:rFonts w:ascii="Arial" w:hAnsi="Arial" w:cs="Arial"/>
          <w:lang w:val="es-MX"/>
        </w:rPr>
        <w:t xml:space="preserve">se había estructurado con base en precios del año 2006, mientras que gran parte de la ejecución contractual se llevó a cabo en el año siguiente. </w:t>
      </w:r>
    </w:p>
    <w:p w:rsidR="00CA7D7E" w:rsidRPr="00FA587B" w:rsidRDefault="00CA7D7E" w:rsidP="00FA587B">
      <w:pPr>
        <w:widowControl w:val="0"/>
        <w:autoSpaceDE w:val="0"/>
        <w:autoSpaceDN w:val="0"/>
        <w:adjustRightInd w:val="0"/>
        <w:spacing w:line="360" w:lineRule="auto"/>
        <w:jc w:val="both"/>
        <w:rPr>
          <w:rFonts w:ascii="Arial" w:hAnsi="Arial" w:cs="Arial"/>
          <w:lang w:val="es-MX"/>
        </w:rPr>
      </w:pPr>
    </w:p>
    <w:p w:rsidR="00390707" w:rsidRPr="00FA587B" w:rsidRDefault="00390707" w:rsidP="00FA587B">
      <w:pPr>
        <w:widowControl w:val="0"/>
        <w:autoSpaceDE w:val="0"/>
        <w:autoSpaceDN w:val="0"/>
        <w:adjustRightInd w:val="0"/>
        <w:spacing w:line="360" w:lineRule="auto"/>
        <w:jc w:val="both"/>
        <w:rPr>
          <w:rFonts w:ascii="Arial" w:hAnsi="Arial" w:cs="Arial"/>
          <w:b/>
        </w:rPr>
      </w:pPr>
      <w:r w:rsidRPr="00FA587B">
        <w:rPr>
          <w:rFonts w:ascii="Arial" w:hAnsi="Arial" w:cs="Arial"/>
          <w:b/>
        </w:rPr>
        <w:t>3. Fundamento de derecho</w:t>
      </w:r>
    </w:p>
    <w:p w:rsidR="00390707" w:rsidRPr="00FA587B" w:rsidRDefault="00390707" w:rsidP="00FA587B">
      <w:pPr>
        <w:widowControl w:val="0"/>
        <w:autoSpaceDE w:val="0"/>
        <w:autoSpaceDN w:val="0"/>
        <w:adjustRightInd w:val="0"/>
        <w:spacing w:line="360" w:lineRule="auto"/>
        <w:jc w:val="both"/>
        <w:rPr>
          <w:rFonts w:ascii="Arial" w:hAnsi="Arial" w:cs="Arial"/>
          <w:b/>
        </w:rPr>
      </w:pPr>
    </w:p>
    <w:p w:rsidR="00E06988" w:rsidRPr="00FA587B" w:rsidRDefault="00390707" w:rsidP="00FA587B">
      <w:pPr>
        <w:spacing w:line="360" w:lineRule="auto"/>
        <w:jc w:val="both"/>
        <w:rPr>
          <w:rFonts w:ascii="Arial" w:hAnsi="Arial" w:cs="Arial"/>
        </w:rPr>
      </w:pPr>
      <w:r w:rsidRPr="00FA587B">
        <w:rPr>
          <w:rFonts w:ascii="Arial" w:hAnsi="Arial" w:cs="Arial"/>
        </w:rPr>
        <w:t>Como fundamento de sus pretensiones, la parte actor</w:t>
      </w:r>
      <w:r w:rsidR="00E06988" w:rsidRPr="00FA587B">
        <w:rPr>
          <w:rFonts w:ascii="Arial" w:hAnsi="Arial" w:cs="Arial"/>
        </w:rPr>
        <w:t>a sostuvo que en el caso concreto se había vulnerado el artículo 27 de la Ley 80 de 1993</w:t>
      </w:r>
      <w:r w:rsidR="00E17C2E" w:rsidRPr="00FA587B">
        <w:rPr>
          <w:rFonts w:ascii="Arial" w:hAnsi="Arial" w:cs="Arial"/>
        </w:rPr>
        <w:t>,</w:t>
      </w:r>
      <w:r w:rsidR="00E06988" w:rsidRPr="00FA587B">
        <w:rPr>
          <w:rFonts w:ascii="Arial" w:hAnsi="Arial" w:cs="Arial"/>
        </w:rPr>
        <w:t xml:space="preserve"> que imponía el mantenimiento a lo largo de la ejecución contractual de los derechos y obligaciones surgidos entre las partes al momento de contratar y que la ruptura económica del contrato se había presentado por causas no imputables al contratista. </w:t>
      </w:r>
    </w:p>
    <w:p w:rsidR="00D96ED2" w:rsidRPr="00FA587B" w:rsidRDefault="00D96ED2" w:rsidP="00FA587B">
      <w:pPr>
        <w:spacing w:line="360" w:lineRule="auto"/>
        <w:jc w:val="both"/>
        <w:rPr>
          <w:rFonts w:ascii="Arial" w:hAnsi="Arial" w:cs="Arial"/>
        </w:rPr>
      </w:pPr>
    </w:p>
    <w:p w:rsidR="007526DC" w:rsidRPr="00FA587B" w:rsidRDefault="00390707" w:rsidP="00FA587B">
      <w:pPr>
        <w:spacing w:line="360" w:lineRule="auto"/>
        <w:jc w:val="both"/>
        <w:rPr>
          <w:rFonts w:ascii="Arial" w:hAnsi="Arial" w:cs="Arial"/>
        </w:rPr>
      </w:pPr>
      <w:r w:rsidRPr="00FA587B">
        <w:rPr>
          <w:rFonts w:ascii="Arial" w:hAnsi="Arial" w:cs="Arial"/>
        </w:rPr>
        <w:t>Señaló que la Ley 80 d</w:t>
      </w:r>
      <w:r w:rsidR="002C4848" w:rsidRPr="00FA587B">
        <w:rPr>
          <w:rFonts w:ascii="Arial" w:hAnsi="Arial" w:cs="Arial"/>
        </w:rPr>
        <w:t>e 1993 consagraba el deber</w:t>
      </w:r>
      <w:r w:rsidRPr="00FA587B">
        <w:rPr>
          <w:rFonts w:ascii="Arial" w:hAnsi="Arial" w:cs="Arial"/>
        </w:rPr>
        <w:t xml:space="preserve"> de obtener el restablecimiento de la ecuación económica del contrato cuando sobreviniera una circunstancia que la alterara, situación en la cual la entidad debía adoptar las medi</w:t>
      </w:r>
      <w:r w:rsidR="0059505E" w:rsidRPr="00FA587B">
        <w:rPr>
          <w:rFonts w:ascii="Arial" w:hAnsi="Arial" w:cs="Arial"/>
        </w:rPr>
        <w:t xml:space="preserve">das necesarias para mantenerla. </w:t>
      </w:r>
    </w:p>
    <w:p w:rsidR="00BE76A9" w:rsidRPr="00FA587B" w:rsidRDefault="00BE76A9" w:rsidP="00FA587B">
      <w:pPr>
        <w:spacing w:line="360" w:lineRule="auto"/>
        <w:jc w:val="both"/>
        <w:rPr>
          <w:rFonts w:ascii="Arial" w:hAnsi="Arial" w:cs="Arial"/>
        </w:rPr>
      </w:pPr>
    </w:p>
    <w:p w:rsidR="00390707" w:rsidRPr="00FA587B" w:rsidRDefault="00390707" w:rsidP="00FA587B">
      <w:pPr>
        <w:spacing w:line="360" w:lineRule="auto"/>
        <w:jc w:val="both"/>
        <w:rPr>
          <w:rFonts w:ascii="Arial" w:hAnsi="Arial" w:cs="Arial"/>
          <w:b/>
          <w:bCs/>
          <w:iCs/>
        </w:rPr>
      </w:pPr>
      <w:r w:rsidRPr="00FA587B">
        <w:rPr>
          <w:rFonts w:ascii="Arial" w:hAnsi="Arial" w:cs="Arial"/>
          <w:b/>
          <w:bCs/>
          <w:iCs/>
        </w:rPr>
        <w:t>4. Actuación procesal</w:t>
      </w:r>
    </w:p>
    <w:p w:rsidR="00390707" w:rsidRPr="00FA587B" w:rsidRDefault="00390707" w:rsidP="00FA587B">
      <w:pPr>
        <w:spacing w:line="360" w:lineRule="auto"/>
        <w:jc w:val="both"/>
        <w:rPr>
          <w:rFonts w:ascii="Arial" w:hAnsi="Arial" w:cs="Arial"/>
          <w:bCs/>
          <w:iCs/>
        </w:rPr>
      </w:pPr>
    </w:p>
    <w:p w:rsidR="00390707" w:rsidRPr="00FA587B" w:rsidRDefault="00390707" w:rsidP="00FA587B">
      <w:pPr>
        <w:spacing w:line="360" w:lineRule="auto"/>
        <w:jc w:val="both"/>
        <w:rPr>
          <w:rFonts w:ascii="Arial" w:hAnsi="Arial" w:cs="Arial"/>
          <w:bCs/>
          <w:iCs/>
        </w:rPr>
      </w:pPr>
      <w:r w:rsidRPr="00FA587B">
        <w:rPr>
          <w:rFonts w:ascii="Arial" w:hAnsi="Arial" w:cs="Arial"/>
          <w:b/>
          <w:bCs/>
          <w:iCs/>
        </w:rPr>
        <w:t>4.1.</w:t>
      </w:r>
      <w:r w:rsidRPr="00FA587B">
        <w:rPr>
          <w:rFonts w:ascii="Arial" w:hAnsi="Arial" w:cs="Arial"/>
          <w:bCs/>
          <w:iCs/>
        </w:rPr>
        <w:t xml:space="preserve"> El Tribunal Administrativo de Cundinama</w:t>
      </w:r>
      <w:r w:rsidR="007526DC" w:rsidRPr="00FA587B">
        <w:rPr>
          <w:rFonts w:ascii="Arial" w:hAnsi="Arial" w:cs="Arial"/>
          <w:bCs/>
          <w:iCs/>
        </w:rPr>
        <w:t>rca, mediante providencia del 4 de febrero de 2011</w:t>
      </w:r>
      <w:r w:rsidRPr="00FA587B">
        <w:rPr>
          <w:rFonts w:ascii="Arial" w:hAnsi="Arial" w:cs="Arial"/>
          <w:bCs/>
          <w:iCs/>
        </w:rPr>
        <w:t>, admitió la demanda y ordenó notif</w:t>
      </w:r>
      <w:r w:rsidR="00BC35E5" w:rsidRPr="00FA587B">
        <w:rPr>
          <w:rFonts w:ascii="Arial" w:hAnsi="Arial" w:cs="Arial"/>
          <w:bCs/>
          <w:iCs/>
        </w:rPr>
        <w:t>icar de la misma a la demandada</w:t>
      </w:r>
      <w:r w:rsidRPr="00FA587B">
        <w:rPr>
          <w:rFonts w:ascii="Arial" w:hAnsi="Arial" w:cs="Arial"/>
          <w:bCs/>
          <w:iCs/>
        </w:rPr>
        <w:t>.</w:t>
      </w:r>
      <w:r w:rsidR="00D96ED2" w:rsidRPr="00FA587B">
        <w:rPr>
          <w:rFonts w:ascii="Arial" w:hAnsi="Arial" w:cs="Arial"/>
          <w:bCs/>
          <w:iCs/>
        </w:rPr>
        <w:t xml:space="preserve"> Posteriormente, en proveído del 16 de septiembre de ese año se admitió el escrito de corrección.</w:t>
      </w:r>
    </w:p>
    <w:p w:rsidR="00390707" w:rsidRPr="00FA587B" w:rsidRDefault="00390707" w:rsidP="00FA587B">
      <w:pPr>
        <w:spacing w:line="360" w:lineRule="auto"/>
        <w:jc w:val="both"/>
        <w:rPr>
          <w:rFonts w:ascii="Arial" w:hAnsi="Arial" w:cs="Arial"/>
          <w:bCs/>
          <w:iCs/>
        </w:rPr>
      </w:pPr>
    </w:p>
    <w:p w:rsidR="00390707" w:rsidRPr="00FA587B" w:rsidRDefault="00390707" w:rsidP="00FA587B">
      <w:pPr>
        <w:spacing w:line="360" w:lineRule="auto"/>
        <w:jc w:val="both"/>
        <w:rPr>
          <w:rFonts w:ascii="Arial" w:hAnsi="Arial" w:cs="Arial"/>
          <w:bCs/>
          <w:iCs/>
        </w:rPr>
      </w:pPr>
      <w:r w:rsidRPr="00FA587B">
        <w:rPr>
          <w:rFonts w:ascii="Arial" w:hAnsi="Arial" w:cs="Arial"/>
          <w:b/>
          <w:bCs/>
          <w:iCs/>
        </w:rPr>
        <w:t>4.2.</w:t>
      </w:r>
      <w:r w:rsidR="007F6E0B" w:rsidRPr="00FA587B">
        <w:rPr>
          <w:rFonts w:ascii="Arial" w:hAnsi="Arial" w:cs="Arial"/>
          <w:bCs/>
          <w:iCs/>
        </w:rPr>
        <w:t xml:space="preserve"> Por auto del 27 de enero de 2011</w:t>
      </w:r>
      <w:r w:rsidRPr="00FA587B">
        <w:rPr>
          <w:rFonts w:ascii="Arial" w:hAnsi="Arial" w:cs="Arial"/>
          <w:bCs/>
          <w:iCs/>
        </w:rPr>
        <w:t>, la primera instancia abrió el debate probatorio.</w:t>
      </w:r>
    </w:p>
    <w:p w:rsidR="006D37D5" w:rsidRPr="00FA587B" w:rsidRDefault="006D37D5" w:rsidP="00FA587B">
      <w:pPr>
        <w:spacing w:line="360" w:lineRule="auto"/>
        <w:jc w:val="both"/>
        <w:rPr>
          <w:rFonts w:ascii="Arial" w:hAnsi="Arial" w:cs="Arial"/>
          <w:b/>
          <w:bCs/>
          <w:iCs/>
        </w:rPr>
      </w:pPr>
    </w:p>
    <w:p w:rsidR="00390707" w:rsidRPr="00FA587B" w:rsidRDefault="00390707" w:rsidP="00FA587B">
      <w:pPr>
        <w:spacing w:line="360" w:lineRule="auto"/>
        <w:jc w:val="both"/>
        <w:rPr>
          <w:rFonts w:ascii="Arial" w:hAnsi="Arial" w:cs="Arial"/>
          <w:b/>
          <w:bCs/>
          <w:iCs/>
        </w:rPr>
      </w:pPr>
      <w:r w:rsidRPr="00FA587B">
        <w:rPr>
          <w:rFonts w:ascii="Arial" w:hAnsi="Arial" w:cs="Arial"/>
          <w:b/>
          <w:bCs/>
          <w:iCs/>
        </w:rPr>
        <w:t xml:space="preserve">5. Contestación de la demanda – </w:t>
      </w:r>
      <w:r w:rsidR="00BC35E5" w:rsidRPr="00FA587B">
        <w:rPr>
          <w:rFonts w:ascii="Arial" w:hAnsi="Arial" w:cs="Arial"/>
          <w:b/>
          <w:bCs/>
          <w:iCs/>
        </w:rPr>
        <w:t>Instituto de Desarrollo Urbano</w:t>
      </w:r>
    </w:p>
    <w:p w:rsidR="007F6E0B" w:rsidRPr="00FA587B" w:rsidRDefault="007F6E0B" w:rsidP="00FA587B">
      <w:pPr>
        <w:spacing w:line="360" w:lineRule="auto"/>
        <w:jc w:val="both"/>
        <w:rPr>
          <w:rFonts w:ascii="Arial" w:hAnsi="Arial" w:cs="Arial"/>
          <w:bCs/>
          <w:iCs/>
          <w:u w:val="single"/>
        </w:rPr>
      </w:pPr>
    </w:p>
    <w:p w:rsidR="00390707" w:rsidRPr="00FA587B" w:rsidRDefault="007F6E0B" w:rsidP="00FA587B">
      <w:pPr>
        <w:spacing w:line="360" w:lineRule="auto"/>
        <w:jc w:val="both"/>
        <w:rPr>
          <w:rFonts w:ascii="Arial" w:hAnsi="Arial" w:cs="Arial"/>
          <w:bCs/>
          <w:iCs/>
        </w:rPr>
      </w:pPr>
      <w:r w:rsidRPr="00FA587B">
        <w:rPr>
          <w:rFonts w:ascii="Arial" w:hAnsi="Arial" w:cs="Arial"/>
          <w:bCs/>
          <w:iCs/>
        </w:rPr>
        <w:t>El</w:t>
      </w:r>
      <w:r w:rsidR="00BC35E5" w:rsidRPr="00FA587B">
        <w:rPr>
          <w:rFonts w:ascii="Arial" w:hAnsi="Arial" w:cs="Arial"/>
          <w:bCs/>
          <w:iCs/>
        </w:rPr>
        <w:t xml:space="preserve"> Instituto de Desarrollo Urbano </w:t>
      </w:r>
      <w:r w:rsidR="00390707" w:rsidRPr="00FA587B">
        <w:rPr>
          <w:rFonts w:ascii="Arial" w:hAnsi="Arial" w:cs="Arial"/>
          <w:bCs/>
          <w:iCs/>
        </w:rPr>
        <w:t>ejer</w:t>
      </w:r>
      <w:r w:rsidRPr="00FA587B">
        <w:rPr>
          <w:rFonts w:ascii="Arial" w:hAnsi="Arial" w:cs="Arial"/>
          <w:bCs/>
          <w:iCs/>
        </w:rPr>
        <w:t>ció su derecho de contradicción dentro del término legal.</w:t>
      </w:r>
    </w:p>
    <w:p w:rsidR="00390707" w:rsidRPr="00FA587B" w:rsidRDefault="00390707" w:rsidP="00FA587B">
      <w:pPr>
        <w:spacing w:line="360" w:lineRule="auto"/>
        <w:jc w:val="both"/>
        <w:rPr>
          <w:rFonts w:ascii="Arial" w:hAnsi="Arial" w:cs="Arial"/>
          <w:bCs/>
          <w:iCs/>
        </w:rPr>
      </w:pPr>
    </w:p>
    <w:p w:rsidR="00A33770" w:rsidRPr="00FA587B" w:rsidRDefault="00074009" w:rsidP="00FA587B">
      <w:pPr>
        <w:spacing w:line="360" w:lineRule="auto"/>
        <w:jc w:val="both"/>
        <w:rPr>
          <w:rFonts w:ascii="Arial" w:hAnsi="Arial" w:cs="Arial"/>
          <w:bCs/>
          <w:iCs/>
        </w:rPr>
      </w:pPr>
      <w:r w:rsidRPr="00FA587B">
        <w:rPr>
          <w:rFonts w:ascii="Arial" w:hAnsi="Arial" w:cs="Arial"/>
          <w:bCs/>
          <w:iCs/>
        </w:rPr>
        <w:lastRenderedPageBreak/>
        <w:t>En primer lugar</w:t>
      </w:r>
      <w:r w:rsidR="00390707" w:rsidRPr="00FA587B">
        <w:rPr>
          <w:rFonts w:ascii="Arial" w:hAnsi="Arial" w:cs="Arial"/>
          <w:bCs/>
          <w:iCs/>
        </w:rPr>
        <w:t>, se opuso a las pretension</w:t>
      </w:r>
      <w:r w:rsidR="00DE6D4B" w:rsidRPr="00FA587B">
        <w:rPr>
          <w:rFonts w:ascii="Arial" w:hAnsi="Arial" w:cs="Arial"/>
          <w:bCs/>
          <w:iCs/>
        </w:rPr>
        <w:t>es, por considerar que carecían</w:t>
      </w:r>
      <w:r w:rsidR="009733FC" w:rsidRPr="00FA587B">
        <w:rPr>
          <w:rFonts w:ascii="Arial" w:hAnsi="Arial" w:cs="Arial"/>
          <w:bCs/>
          <w:iCs/>
        </w:rPr>
        <w:t xml:space="preserve"> </w:t>
      </w:r>
      <w:r w:rsidR="00390707" w:rsidRPr="00FA587B">
        <w:rPr>
          <w:rFonts w:ascii="Arial" w:hAnsi="Arial" w:cs="Arial"/>
          <w:bCs/>
          <w:iCs/>
        </w:rPr>
        <w:t>de fundamento</w:t>
      </w:r>
      <w:r w:rsidR="00916410" w:rsidRPr="00FA587B">
        <w:rPr>
          <w:rFonts w:ascii="Arial" w:hAnsi="Arial" w:cs="Arial"/>
          <w:bCs/>
          <w:iCs/>
        </w:rPr>
        <w:t>,</w:t>
      </w:r>
      <w:r w:rsidR="00390707" w:rsidRPr="00FA587B">
        <w:rPr>
          <w:rFonts w:ascii="Arial" w:hAnsi="Arial" w:cs="Arial"/>
          <w:bCs/>
          <w:iCs/>
        </w:rPr>
        <w:t xml:space="preserve"> tanto</w:t>
      </w:r>
      <w:r w:rsidR="00A33770" w:rsidRPr="00FA587B">
        <w:rPr>
          <w:rFonts w:ascii="Arial" w:hAnsi="Arial" w:cs="Arial"/>
          <w:bCs/>
          <w:iCs/>
        </w:rPr>
        <w:t xml:space="preserve"> de orden fáctico como jurídico.</w:t>
      </w:r>
    </w:p>
    <w:p w:rsidR="003207FA" w:rsidRPr="00FA587B" w:rsidRDefault="003207FA" w:rsidP="00FA587B">
      <w:pPr>
        <w:spacing w:line="360" w:lineRule="auto"/>
        <w:jc w:val="both"/>
        <w:rPr>
          <w:rFonts w:ascii="Arial" w:hAnsi="Arial" w:cs="Arial"/>
          <w:bCs/>
          <w:iCs/>
        </w:rPr>
      </w:pPr>
    </w:p>
    <w:p w:rsidR="003207FA" w:rsidRPr="00FA587B" w:rsidRDefault="003207FA" w:rsidP="00FA587B">
      <w:pPr>
        <w:spacing w:line="360" w:lineRule="auto"/>
        <w:jc w:val="both"/>
        <w:rPr>
          <w:rFonts w:ascii="Arial" w:hAnsi="Arial" w:cs="Arial"/>
          <w:bCs/>
          <w:iCs/>
        </w:rPr>
      </w:pPr>
      <w:r w:rsidRPr="00FA587B">
        <w:rPr>
          <w:rFonts w:ascii="Arial" w:hAnsi="Arial" w:cs="Arial"/>
          <w:bCs/>
          <w:iCs/>
        </w:rPr>
        <w:t>Fre</w:t>
      </w:r>
      <w:r w:rsidR="007C3B6C" w:rsidRPr="00FA587B">
        <w:rPr>
          <w:rFonts w:ascii="Arial" w:hAnsi="Arial" w:cs="Arial"/>
          <w:bCs/>
          <w:iCs/>
        </w:rPr>
        <w:t>nte a los hechos que dieron</w:t>
      </w:r>
      <w:r w:rsidR="00867109" w:rsidRPr="00FA587B">
        <w:rPr>
          <w:rFonts w:ascii="Arial" w:hAnsi="Arial" w:cs="Arial"/>
          <w:bCs/>
          <w:iCs/>
        </w:rPr>
        <w:t xml:space="preserve"> sustento</w:t>
      </w:r>
      <w:r w:rsidR="007C3B6C" w:rsidRPr="00FA587B">
        <w:rPr>
          <w:rFonts w:ascii="Arial" w:hAnsi="Arial" w:cs="Arial"/>
          <w:bCs/>
          <w:iCs/>
        </w:rPr>
        <w:t xml:space="preserve"> a</w:t>
      </w:r>
      <w:r w:rsidR="00867109" w:rsidRPr="00FA587B">
        <w:rPr>
          <w:rFonts w:ascii="Arial" w:hAnsi="Arial" w:cs="Arial"/>
          <w:bCs/>
          <w:iCs/>
        </w:rPr>
        <w:t xml:space="preserve"> </w:t>
      </w:r>
      <w:r w:rsidRPr="00FA587B">
        <w:rPr>
          <w:rFonts w:ascii="Arial" w:hAnsi="Arial" w:cs="Arial"/>
          <w:bCs/>
          <w:iCs/>
        </w:rPr>
        <w:t xml:space="preserve">la demanda manifestó que el Contrato No. 193 </w:t>
      </w:r>
      <w:r w:rsidR="00C33A1E" w:rsidRPr="00FA587B">
        <w:rPr>
          <w:rFonts w:ascii="Arial" w:hAnsi="Arial" w:cs="Arial"/>
          <w:bCs/>
          <w:iCs/>
        </w:rPr>
        <w:t>aún no se había liquidado</w:t>
      </w:r>
      <w:r w:rsidR="00393D2A" w:rsidRPr="00FA587B">
        <w:rPr>
          <w:rFonts w:ascii="Arial" w:hAnsi="Arial" w:cs="Arial"/>
          <w:bCs/>
          <w:iCs/>
        </w:rPr>
        <w:t>,</w:t>
      </w:r>
      <w:r w:rsidR="00C33A1E" w:rsidRPr="00FA587B">
        <w:rPr>
          <w:rFonts w:ascii="Arial" w:hAnsi="Arial" w:cs="Arial"/>
          <w:bCs/>
          <w:iCs/>
        </w:rPr>
        <w:t xml:space="preserve"> por cuant</w:t>
      </w:r>
      <w:r w:rsidR="00393D2A" w:rsidRPr="00FA587B">
        <w:rPr>
          <w:rFonts w:ascii="Arial" w:hAnsi="Arial" w:cs="Arial"/>
          <w:bCs/>
          <w:iCs/>
        </w:rPr>
        <w:t>o ni el interventor</w:t>
      </w:r>
      <w:r w:rsidR="00C33A1E" w:rsidRPr="00FA587B">
        <w:rPr>
          <w:rFonts w:ascii="Arial" w:hAnsi="Arial" w:cs="Arial"/>
          <w:bCs/>
          <w:iCs/>
        </w:rPr>
        <w:t xml:space="preserve"> ni el contratista atendieron los requerimientos </w:t>
      </w:r>
      <w:r w:rsidR="00393D2A" w:rsidRPr="00FA587B">
        <w:rPr>
          <w:rFonts w:ascii="Arial" w:hAnsi="Arial" w:cs="Arial"/>
          <w:bCs/>
          <w:iCs/>
        </w:rPr>
        <w:t xml:space="preserve">elevados </w:t>
      </w:r>
      <w:r w:rsidR="007F6E0B" w:rsidRPr="00FA587B">
        <w:rPr>
          <w:rFonts w:ascii="Arial" w:hAnsi="Arial" w:cs="Arial"/>
          <w:bCs/>
          <w:iCs/>
        </w:rPr>
        <w:t>con esa finalidad</w:t>
      </w:r>
      <w:r w:rsidR="00393D2A" w:rsidRPr="00FA587B">
        <w:rPr>
          <w:rFonts w:ascii="Arial" w:hAnsi="Arial" w:cs="Arial"/>
          <w:bCs/>
          <w:iCs/>
        </w:rPr>
        <w:t>.</w:t>
      </w:r>
    </w:p>
    <w:p w:rsidR="007C3B6C" w:rsidRPr="00FA587B" w:rsidRDefault="007C3B6C" w:rsidP="00FA587B">
      <w:pPr>
        <w:spacing w:line="360" w:lineRule="auto"/>
        <w:jc w:val="both"/>
        <w:rPr>
          <w:rFonts w:ascii="Arial" w:hAnsi="Arial" w:cs="Arial"/>
          <w:bCs/>
          <w:iCs/>
        </w:rPr>
      </w:pPr>
    </w:p>
    <w:p w:rsidR="007C3B6C" w:rsidRPr="00FA587B" w:rsidRDefault="007C3B6C" w:rsidP="00FA587B">
      <w:pPr>
        <w:spacing w:line="360" w:lineRule="auto"/>
        <w:jc w:val="both"/>
        <w:rPr>
          <w:rFonts w:ascii="Arial" w:hAnsi="Arial" w:cs="Arial"/>
          <w:bCs/>
          <w:iCs/>
        </w:rPr>
      </w:pPr>
      <w:r w:rsidRPr="00FA587B">
        <w:rPr>
          <w:rFonts w:ascii="Arial" w:hAnsi="Arial" w:cs="Arial"/>
          <w:bCs/>
          <w:iCs/>
        </w:rPr>
        <w:t xml:space="preserve">Agregó que el sector en donde se ejecutó la obra tuvo un desarrollo anormal, desordenado y ajeno a las normas institucionales de planeación, cuestión que no era desconocida por el contratista, </w:t>
      </w:r>
      <w:r w:rsidR="005D5F42" w:rsidRPr="00FA587B">
        <w:rPr>
          <w:rFonts w:ascii="Arial" w:hAnsi="Arial" w:cs="Arial"/>
          <w:bCs/>
          <w:iCs/>
        </w:rPr>
        <w:t xml:space="preserve">a tal </w:t>
      </w:r>
      <w:r w:rsidR="007F6E0B" w:rsidRPr="00FA587B">
        <w:rPr>
          <w:rFonts w:ascii="Arial" w:hAnsi="Arial" w:cs="Arial"/>
          <w:bCs/>
          <w:iCs/>
        </w:rPr>
        <w:t xml:space="preserve">extremo </w:t>
      </w:r>
      <w:r w:rsidRPr="00FA587B">
        <w:rPr>
          <w:rFonts w:ascii="Arial" w:hAnsi="Arial" w:cs="Arial"/>
          <w:bCs/>
          <w:iCs/>
        </w:rPr>
        <w:t xml:space="preserve">que </w:t>
      </w:r>
      <w:r w:rsidR="005D5F42" w:rsidRPr="00FA587B">
        <w:rPr>
          <w:rFonts w:ascii="Arial" w:hAnsi="Arial" w:cs="Arial"/>
          <w:bCs/>
          <w:iCs/>
        </w:rPr>
        <w:t xml:space="preserve">era </w:t>
      </w:r>
      <w:r w:rsidR="007F6E0B" w:rsidRPr="00FA587B">
        <w:rPr>
          <w:rFonts w:ascii="Arial" w:hAnsi="Arial" w:cs="Arial"/>
          <w:bCs/>
          <w:iCs/>
        </w:rPr>
        <w:t>consciente</w:t>
      </w:r>
      <w:r w:rsidRPr="00FA587B">
        <w:rPr>
          <w:rFonts w:ascii="Arial" w:hAnsi="Arial" w:cs="Arial"/>
          <w:bCs/>
          <w:iCs/>
        </w:rPr>
        <w:t xml:space="preserve"> </w:t>
      </w:r>
      <w:r w:rsidR="007F6E0B" w:rsidRPr="00FA587B">
        <w:rPr>
          <w:rFonts w:ascii="Arial" w:hAnsi="Arial" w:cs="Arial"/>
          <w:bCs/>
          <w:iCs/>
        </w:rPr>
        <w:t xml:space="preserve">de </w:t>
      </w:r>
      <w:r w:rsidRPr="00FA587B">
        <w:rPr>
          <w:rFonts w:ascii="Arial" w:hAnsi="Arial" w:cs="Arial"/>
          <w:bCs/>
          <w:iCs/>
        </w:rPr>
        <w:t>las condiciones del lugar antes de celebrar el negocio jurídico</w:t>
      </w:r>
      <w:r w:rsidR="00074009" w:rsidRPr="00FA587B">
        <w:rPr>
          <w:rFonts w:ascii="Arial" w:hAnsi="Arial" w:cs="Arial"/>
          <w:bCs/>
          <w:iCs/>
        </w:rPr>
        <w:t>. Siguiendo ese orden, indicó</w:t>
      </w:r>
      <w:r w:rsidRPr="00FA587B">
        <w:rPr>
          <w:rFonts w:ascii="Arial" w:hAnsi="Arial" w:cs="Arial"/>
          <w:bCs/>
          <w:iCs/>
        </w:rPr>
        <w:t xml:space="preserve"> que las actividades adicionales eran necesari</w:t>
      </w:r>
      <w:r w:rsidR="00CE6C65" w:rsidRPr="00FA587B">
        <w:rPr>
          <w:rFonts w:ascii="Arial" w:hAnsi="Arial" w:cs="Arial"/>
          <w:bCs/>
          <w:iCs/>
        </w:rPr>
        <w:t>as y su ejecución se encontraba</w:t>
      </w:r>
      <w:r w:rsidRPr="00FA587B">
        <w:rPr>
          <w:rFonts w:ascii="Arial" w:hAnsi="Arial" w:cs="Arial"/>
          <w:bCs/>
          <w:iCs/>
        </w:rPr>
        <w:t xml:space="preserve"> inmersa dentro del ál</w:t>
      </w:r>
      <w:r w:rsidR="00CE6C65" w:rsidRPr="00FA587B">
        <w:rPr>
          <w:rFonts w:ascii="Arial" w:hAnsi="Arial" w:cs="Arial"/>
          <w:bCs/>
          <w:iCs/>
        </w:rPr>
        <w:t>ea normal de cualquier</w:t>
      </w:r>
      <w:r w:rsidR="00867109" w:rsidRPr="00FA587B">
        <w:rPr>
          <w:rFonts w:ascii="Arial" w:hAnsi="Arial" w:cs="Arial"/>
          <w:bCs/>
          <w:iCs/>
        </w:rPr>
        <w:t xml:space="preserve"> obra.</w:t>
      </w:r>
    </w:p>
    <w:p w:rsidR="007F6E0B" w:rsidRPr="00FA587B" w:rsidRDefault="007F6E0B" w:rsidP="00FA587B">
      <w:pPr>
        <w:spacing w:line="360" w:lineRule="auto"/>
        <w:jc w:val="both"/>
        <w:rPr>
          <w:rFonts w:ascii="Arial" w:hAnsi="Arial" w:cs="Arial"/>
          <w:bCs/>
          <w:iCs/>
        </w:rPr>
      </w:pPr>
    </w:p>
    <w:p w:rsidR="00867109" w:rsidRPr="00FA587B" w:rsidRDefault="007F6E0B" w:rsidP="00FA587B">
      <w:pPr>
        <w:spacing w:line="360" w:lineRule="auto"/>
        <w:jc w:val="both"/>
        <w:rPr>
          <w:rFonts w:ascii="Arial" w:hAnsi="Arial" w:cs="Arial"/>
          <w:bCs/>
          <w:iCs/>
        </w:rPr>
      </w:pPr>
      <w:r w:rsidRPr="00FA587B">
        <w:rPr>
          <w:rFonts w:ascii="Arial" w:hAnsi="Arial" w:cs="Arial"/>
          <w:bCs/>
          <w:iCs/>
        </w:rPr>
        <w:t>Así mismo</w:t>
      </w:r>
      <w:r w:rsidR="00867109" w:rsidRPr="00FA587B">
        <w:rPr>
          <w:rFonts w:ascii="Arial" w:hAnsi="Arial" w:cs="Arial"/>
          <w:bCs/>
          <w:iCs/>
        </w:rPr>
        <w:t xml:space="preserve">, formuló la excepción de cobro de lo no debido por aplicación del principio de buena fe. </w:t>
      </w:r>
      <w:r w:rsidRPr="00FA587B">
        <w:rPr>
          <w:rFonts w:ascii="Arial" w:hAnsi="Arial" w:cs="Arial"/>
          <w:bCs/>
          <w:iCs/>
        </w:rPr>
        <w:t xml:space="preserve">Para argumentar </w:t>
      </w:r>
      <w:r w:rsidR="00867109" w:rsidRPr="00FA587B">
        <w:rPr>
          <w:rFonts w:ascii="Arial" w:hAnsi="Arial" w:cs="Arial"/>
          <w:bCs/>
          <w:iCs/>
        </w:rPr>
        <w:t>su oposición</w:t>
      </w:r>
      <w:r w:rsidR="00373466" w:rsidRPr="00FA587B">
        <w:rPr>
          <w:rFonts w:ascii="Arial" w:hAnsi="Arial" w:cs="Arial"/>
          <w:bCs/>
          <w:iCs/>
        </w:rPr>
        <w:t>,</w:t>
      </w:r>
      <w:r w:rsidRPr="00FA587B">
        <w:rPr>
          <w:rFonts w:ascii="Arial" w:hAnsi="Arial" w:cs="Arial"/>
          <w:bCs/>
          <w:iCs/>
        </w:rPr>
        <w:t xml:space="preserve"> expresó</w:t>
      </w:r>
      <w:r w:rsidR="00867109" w:rsidRPr="00FA587B">
        <w:rPr>
          <w:rFonts w:ascii="Arial" w:hAnsi="Arial" w:cs="Arial"/>
          <w:bCs/>
          <w:iCs/>
        </w:rPr>
        <w:t xml:space="preserve"> que la entidad </w:t>
      </w:r>
      <w:r w:rsidRPr="00FA587B">
        <w:rPr>
          <w:rFonts w:ascii="Arial" w:hAnsi="Arial" w:cs="Arial"/>
          <w:bCs/>
          <w:iCs/>
        </w:rPr>
        <w:t xml:space="preserve">halló </w:t>
      </w:r>
      <w:r w:rsidR="00867109" w:rsidRPr="00FA587B">
        <w:rPr>
          <w:rFonts w:ascii="Arial" w:hAnsi="Arial" w:cs="Arial"/>
          <w:bCs/>
          <w:iCs/>
        </w:rPr>
        <w:t xml:space="preserve">inconsistencias </w:t>
      </w:r>
      <w:r w:rsidR="00373466" w:rsidRPr="00FA587B">
        <w:rPr>
          <w:rFonts w:ascii="Arial" w:hAnsi="Arial" w:cs="Arial"/>
          <w:bCs/>
          <w:iCs/>
        </w:rPr>
        <w:t>en los ítem</w:t>
      </w:r>
      <w:r w:rsidR="00737F0F" w:rsidRPr="00FA587B">
        <w:rPr>
          <w:rFonts w:ascii="Arial" w:hAnsi="Arial" w:cs="Arial"/>
          <w:bCs/>
          <w:iCs/>
        </w:rPr>
        <w:t>e</w:t>
      </w:r>
      <w:r w:rsidR="00373466" w:rsidRPr="00FA587B">
        <w:rPr>
          <w:rFonts w:ascii="Arial" w:hAnsi="Arial" w:cs="Arial"/>
          <w:bCs/>
          <w:iCs/>
        </w:rPr>
        <w:t xml:space="preserve">s no previstos </w:t>
      </w:r>
      <w:r w:rsidR="00737F0F" w:rsidRPr="00FA587B">
        <w:rPr>
          <w:rFonts w:ascii="Arial" w:hAnsi="Arial" w:cs="Arial"/>
          <w:bCs/>
          <w:iCs/>
        </w:rPr>
        <w:t xml:space="preserve">y </w:t>
      </w:r>
      <w:r w:rsidR="00373466" w:rsidRPr="00FA587B">
        <w:rPr>
          <w:rFonts w:ascii="Arial" w:hAnsi="Arial" w:cs="Arial"/>
          <w:bCs/>
          <w:iCs/>
        </w:rPr>
        <w:t>cuyo</w:t>
      </w:r>
      <w:r w:rsidR="00737F0F" w:rsidRPr="00FA587B">
        <w:rPr>
          <w:rFonts w:ascii="Arial" w:hAnsi="Arial" w:cs="Arial"/>
          <w:bCs/>
          <w:iCs/>
        </w:rPr>
        <w:t xml:space="preserve"> pago</w:t>
      </w:r>
      <w:r w:rsidR="00373466" w:rsidRPr="00FA587B">
        <w:rPr>
          <w:rFonts w:ascii="Arial" w:hAnsi="Arial" w:cs="Arial"/>
          <w:bCs/>
          <w:iCs/>
        </w:rPr>
        <w:t xml:space="preserve"> reclamaba el contratista, p</w:t>
      </w:r>
      <w:r w:rsidR="00737F0F" w:rsidRPr="00FA587B">
        <w:rPr>
          <w:rFonts w:ascii="Arial" w:hAnsi="Arial" w:cs="Arial"/>
          <w:bCs/>
          <w:iCs/>
        </w:rPr>
        <w:t>ues estaba cobrando</w:t>
      </w:r>
      <w:r w:rsidR="00373466" w:rsidRPr="00FA587B">
        <w:rPr>
          <w:rFonts w:ascii="Arial" w:hAnsi="Arial" w:cs="Arial"/>
          <w:bCs/>
          <w:iCs/>
        </w:rPr>
        <w:t xml:space="preserve"> la ejecución de obras medidas en cantidades </w:t>
      </w:r>
      <w:r w:rsidR="007067B0" w:rsidRPr="00FA587B">
        <w:rPr>
          <w:rFonts w:ascii="Arial" w:hAnsi="Arial" w:cs="Arial"/>
          <w:bCs/>
          <w:iCs/>
        </w:rPr>
        <w:t xml:space="preserve">mayores </w:t>
      </w:r>
      <w:r w:rsidR="00373466" w:rsidRPr="00FA587B">
        <w:rPr>
          <w:rFonts w:ascii="Arial" w:hAnsi="Arial" w:cs="Arial"/>
          <w:bCs/>
          <w:iCs/>
        </w:rPr>
        <w:t xml:space="preserve">a las realmente ejecutadas. </w:t>
      </w:r>
      <w:r w:rsidR="00737F0F" w:rsidRPr="00FA587B">
        <w:rPr>
          <w:rFonts w:ascii="Arial" w:hAnsi="Arial" w:cs="Arial"/>
          <w:bCs/>
          <w:iCs/>
        </w:rPr>
        <w:t xml:space="preserve">A ello sumó que el contratista pretendía el pago de unas obras adicionales que no había ejecutado. </w:t>
      </w:r>
    </w:p>
    <w:p w:rsidR="0069011A" w:rsidRPr="00FA587B" w:rsidRDefault="0069011A" w:rsidP="00FA587B">
      <w:pPr>
        <w:spacing w:line="360" w:lineRule="auto"/>
        <w:jc w:val="both"/>
        <w:rPr>
          <w:rFonts w:ascii="Arial" w:hAnsi="Arial" w:cs="Arial"/>
          <w:bCs/>
          <w:iCs/>
        </w:rPr>
      </w:pPr>
    </w:p>
    <w:p w:rsidR="0069011A" w:rsidRPr="00FA587B" w:rsidRDefault="0069011A" w:rsidP="00FA587B">
      <w:pPr>
        <w:spacing w:line="360" w:lineRule="auto"/>
        <w:jc w:val="both"/>
        <w:rPr>
          <w:rFonts w:ascii="Arial" w:hAnsi="Arial" w:cs="Arial"/>
          <w:bCs/>
          <w:iCs/>
        </w:rPr>
      </w:pPr>
      <w:r w:rsidRPr="00FA587B">
        <w:rPr>
          <w:rFonts w:ascii="Arial" w:hAnsi="Arial" w:cs="Arial"/>
          <w:bCs/>
          <w:iCs/>
        </w:rPr>
        <w:t>A la par con lo expuesto, advirtió que no era posible avalar el informe que sobre el particular rindió la interventoría</w:t>
      </w:r>
      <w:r w:rsidR="00CE6C65" w:rsidRPr="00FA587B">
        <w:rPr>
          <w:rFonts w:ascii="Arial" w:hAnsi="Arial" w:cs="Arial"/>
          <w:bCs/>
          <w:iCs/>
        </w:rPr>
        <w:t>,</w:t>
      </w:r>
      <w:r w:rsidRPr="00FA587B">
        <w:rPr>
          <w:rFonts w:ascii="Arial" w:hAnsi="Arial" w:cs="Arial"/>
          <w:bCs/>
          <w:iCs/>
        </w:rPr>
        <w:t xml:space="preserve"> debido a que las cantidades que allí se hacían constar como ejecutadas tampoco coincidían con la medición efectuada en el terreno. </w:t>
      </w:r>
    </w:p>
    <w:p w:rsidR="00F97B55" w:rsidRPr="00FA587B" w:rsidRDefault="00F97B55" w:rsidP="00FA587B">
      <w:pPr>
        <w:spacing w:line="360" w:lineRule="auto"/>
        <w:jc w:val="both"/>
        <w:rPr>
          <w:rFonts w:ascii="Arial" w:hAnsi="Arial" w:cs="Arial"/>
          <w:bCs/>
          <w:iCs/>
        </w:rPr>
      </w:pPr>
    </w:p>
    <w:p w:rsidR="00390707" w:rsidRPr="00FA587B" w:rsidRDefault="00390707" w:rsidP="00FA587B">
      <w:pPr>
        <w:numPr>
          <w:ilvl w:val="12"/>
          <w:numId w:val="0"/>
        </w:numPr>
        <w:spacing w:line="360" w:lineRule="auto"/>
        <w:jc w:val="both"/>
        <w:rPr>
          <w:rFonts w:ascii="Arial" w:hAnsi="Arial" w:cs="Arial"/>
          <w:bCs/>
        </w:rPr>
      </w:pPr>
      <w:r w:rsidRPr="00FA587B">
        <w:rPr>
          <w:rFonts w:ascii="Arial" w:hAnsi="Arial" w:cs="Arial"/>
          <w:b/>
          <w:bCs/>
        </w:rPr>
        <w:t>6. La sentencia impugnada</w:t>
      </w:r>
    </w:p>
    <w:p w:rsidR="00390707" w:rsidRPr="00FA587B" w:rsidRDefault="00390707" w:rsidP="00FA587B">
      <w:pPr>
        <w:numPr>
          <w:ilvl w:val="12"/>
          <w:numId w:val="0"/>
        </w:numPr>
        <w:spacing w:line="360" w:lineRule="auto"/>
        <w:jc w:val="both"/>
        <w:rPr>
          <w:rFonts w:ascii="Arial" w:hAnsi="Arial" w:cs="Arial"/>
          <w:bCs/>
        </w:rPr>
      </w:pPr>
    </w:p>
    <w:p w:rsidR="00390707" w:rsidRPr="00FA587B" w:rsidRDefault="00390707" w:rsidP="00FA587B">
      <w:pPr>
        <w:numPr>
          <w:ilvl w:val="12"/>
          <w:numId w:val="0"/>
        </w:numPr>
        <w:spacing w:line="360" w:lineRule="auto"/>
        <w:jc w:val="both"/>
        <w:rPr>
          <w:rFonts w:ascii="Arial" w:hAnsi="Arial" w:cs="Arial"/>
          <w:bCs/>
        </w:rPr>
      </w:pPr>
      <w:r w:rsidRPr="00FA587B">
        <w:rPr>
          <w:rFonts w:ascii="Arial" w:hAnsi="Arial" w:cs="Arial"/>
          <w:bCs/>
        </w:rPr>
        <w:t xml:space="preserve">El Tribunal Administrativo de Cundinamarca </w:t>
      </w:r>
      <w:r w:rsidR="003B1E50" w:rsidRPr="00FA587B">
        <w:rPr>
          <w:rFonts w:ascii="Arial" w:hAnsi="Arial" w:cs="Arial"/>
          <w:bCs/>
        </w:rPr>
        <w:t xml:space="preserve">resolvió el litigio en los términos transcritos al inicio de esta providencia. </w:t>
      </w:r>
    </w:p>
    <w:p w:rsidR="00390707" w:rsidRPr="00FA587B" w:rsidRDefault="00390707" w:rsidP="00FA587B">
      <w:pPr>
        <w:widowControl w:val="0"/>
        <w:autoSpaceDE w:val="0"/>
        <w:autoSpaceDN w:val="0"/>
        <w:adjustRightInd w:val="0"/>
        <w:spacing w:line="360" w:lineRule="auto"/>
        <w:jc w:val="both"/>
        <w:rPr>
          <w:rFonts w:ascii="Arial" w:hAnsi="Arial" w:cs="Arial"/>
          <w:bCs/>
        </w:rPr>
      </w:pPr>
    </w:p>
    <w:p w:rsidR="003B1E50" w:rsidRPr="00FA587B" w:rsidRDefault="003B1E50" w:rsidP="00FA587B">
      <w:pPr>
        <w:widowControl w:val="0"/>
        <w:autoSpaceDE w:val="0"/>
        <w:autoSpaceDN w:val="0"/>
        <w:adjustRightInd w:val="0"/>
        <w:spacing w:line="360" w:lineRule="auto"/>
        <w:jc w:val="both"/>
        <w:rPr>
          <w:rFonts w:ascii="Arial" w:hAnsi="Arial" w:cs="Arial"/>
          <w:bCs/>
        </w:rPr>
      </w:pPr>
      <w:r w:rsidRPr="00FA587B">
        <w:rPr>
          <w:rFonts w:ascii="Arial" w:hAnsi="Arial" w:cs="Arial"/>
          <w:bCs/>
        </w:rPr>
        <w:t xml:space="preserve">Para arribar a las conclusiones que allí se </w:t>
      </w:r>
      <w:r w:rsidR="007F6E0B" w:rsidRPr="00FA587B">
        <w:rPr>
          <w:rFonts w:ascii="Arial" w:hAnsi="Arial" w:cs="Arial"/>
          <w:bCs/>
        </w:rPr>
        <w:t>plasmaron</w:t>
      </w:r>
      <w:r w:rsidR="00074009" w:rsidRPr="00FA587B">
        <w:rPr>
          <w:rFonts w:ascii="Arial" w:hAnsi="Arial" w:cs="Arial"/>
          <w:bCs/>
        </w:rPr>
        <w:t xml:space="preserve">, </w:t>
      </w:r>
      <w:r w:rsidRPr="00FA587B">
        <w:rPr>
          <w:rFonts w:ascii="Arial" w:hAnsi="Arial" w:cs="Arial"/>
          <w:bCs/>
        </w:rPr>
        <w:t xml:space="preserve">el </w:t>
      </w:r>
      <w:r w:rsidRPr="00FA587B">
        <w:rPr>
          <w:rFonts w:ascii="Arial" w:hAnsi="Arial" w:cs="Arial"/>
          <w:bCs/>
          <w:i/>
        </w:rPr>
        <w:t>a quo</w:t>
      </w:r>
      <w:r w:rsidRPr="00FA587B">
        <w:rPr>
          <w:rFonts w:ascii="Arial" w:hAnsi="Arial" w:cs="Arial"/>
          <w:bCs/>
        </w:rPr>
        <w:t xml:space="preserve"> constató que aun cuando la parte actora adelantó el trámite de conciliación extrajudicial como requisito de procedibilidad de la presente acción contractual</w:t>
      </w:r>
      <w:r w:rsidR="007F6E0B" w:rsidRPr="00FA587B">
        <w:rPr>
          <w:rFonts w:ascii="Arial" w:hAnsi="Arial" w:cs="Arial"/>
          <w:bCs/>
        </w:rPr>
        <w:t>,</w:t>
      </w:r>
      <w:r w:rsidRPr="00FA587B">
        <w:rPr>
          <w:rFonts w:ascii="Arial" w:hAnsi="Arial" w:cs="Arial"/>
          <w:bCs/>
        </w:rPr>
        <w:t xml:space="preserve"> en los términos exigidos por el artículo 13 de la Ley 1285</w:t>
      </w:r>
      <w:r w:rsidR="00286FEF" w:rsidRPr="00FA587B">
        <w:rPr>
          <w:rFonts w:ascii="Arial" w:hAnsi="Arial" w:cs="Arial"/>
          <w:bCs/>
        </w:rPr>
        <w:t xml:space="preserve"> de 2009</w:t>
      </w:r>
      <w:r w:rsidRPr="00FA587B">
        <w:rPr>
          <w:rFonts w:ascii="Arial" w:hAnsi="Arial" w:cs="Arial"/>
          <w:bCs/>
        </w:rPr>
        <w:t xml:space="preserve">, no podía soslayarse el hecho de que en la audiencia de conciliación no se ventilaron las pretensiones relativas a la liquidación del contrato y a la declaratoria de enriquecimiento sin causa. </w:t>
      </w:r>
    </w:p>
    <w:p w:rsidR="007F6E0B" w:rsidRPr="00FA587B" w:rsidRDefault="007F6E0B" w:rsidP="00FA587B">
      <w:pPr>
        <w:widowControl w:val="0"/>
        <w:autoSpaceDE w:val="0"/>
        <w:autoSpaceDN w:val="0"/>
        <w:adjustRightInd w:val="0"/>
        <w:spacing w:line="360" w:lineRule="auto"/>
        <w:jc w:val="both"/>
        <w:rPr>
          <w:rFonts w:ascii="Arial" w:hAnsi="Arial" w:cs="Arial"/>
          <w:bCs/>
        </w:rPr>
      </w:pPr>
    </w:p>
    <w:p w:rsidR="00286FEF" w:rsidRPr="00FA587B" w:rsidRDefault="00286FEF" w:rsidP="00FA587B">
      <w:pPr>
        <w:widowControl w:val="0"/>
        <w:autoSpaceDE w:val="0"/>
        <w:autoSpaceDN w:val="0"/>
        <w:adjustRightInd w:val="0"/>
        <w:spacing w:line="360" w:lineRule="auto"/>
        <w:jc w:val="both"/>
        <w:rPr>
          <w:rFonts w:ascii="Arial" w:hAnsi="Arial" w:cs="Arial"/>
          <w:bCs/>
        </w:rPr>
      </w:pPr>
      <w:r w:rsidRPr="00FA587B">
        <w:rPr>
          <w:rFonts w:ascii="Arial" w:hAnsi="Arial" w:cs="Arial"/>
          <w:bCs/>
        </w:rPr>
        <w:t>Con sujeción a esa premisa</w:t>
      </w:r>
      <w:r w:rsidR="007F6E0B" w:rsidRPr="00FA587B">
        <w:rPr>
          <w:rFonts w:ascii="Arial" w:hAnsi="Arial" w:cs="Arial"/>
          <w:bCs/>
        </w:rPr>
        <w:t>, estimó</w:t>
      </w:r>
      <w:r w:rsidRPr="00FA587B">
        <w:rPr>
          <w:rFonts w:ascii="Arial" w:hAnsi="Arial" w:cs="Arial"/>
          <w:bCs/>
        </w:rPr>
        <w:t xml:space="preserve"> que no se podía entender agotado el requisito de procedibilidad respecto</w:t>
      </w:r>
      <w:r w:rsidR="00372D4F" w:rsidRPr="00FA587B">
        <w:rPr>
          <w:rFonts w:ascii="Arial" w:hAnsi="Arial" w:cs="Arial"/>
          <w:bCs/>
        </w:rPr>
        <w:t xml:space="preserve"> de las aludidas pretensiones, lo que conducía a </w:t>
      </w:r>
      <w:r w:rsidRPr="00FA587B">
        <w:rPr>
          <w:rFonts w:ascii="Arial" w:hAnsi="Arial" w:cs="Arial"/>
          <w:bCs/>
        </w:rPr>
        <w:t xml:space="preserve">emitir un pronunciamiento </w:t>
      </w:r>
      <w:r w:rsidR="00372D4F" w:rsidRPr="00FA587B">
        <w:rPr>
          <w:rFonts w:ascii="Arial" w:hAnsi="Arial" w:cs="Arial"/>
          <w:bCs/>
        </w:rPr>
        <w:t xml:space="preserve">inhibitorio </w:t>
      </w:r>
      <w:r w:rsidR="002A13FB" w:rsidRPr="00FA587B">
        <w:rPr>
          <w:rFonts w:ascii="Arial" w:hAnsi="Arial" w:cs="Arial"/>
          <w:bCs/>
        </w:rPr>
        <w:t>en torno a</w:t>
      </w:r>
      <w:r w:rsidR="00E5037B" w:rsidRPr="00FA587B">
        <w:rPr>
          <w:rFonts w:ascii="Arial" w:hAnsi="Arial" w:cs="Arial"/>
          <w:bCs/>
        </w:rPr>
        <w:t xml:space="preserve"> </w:t>
      </w:r>
      <w:r w:rsidRPr="00FA587B">
        <w:rPr>
          <w:rFonts w:ascii="Arial" w:hAnsi="Arial" w:cs="Arial"/>
          <w:bCs/>
        </w:rPr>
        <w:t xml:space="preserve">las mismas. </w:t>
      </w:r>
    </w:p>
    <w:p w:rsidR="007F0361" w:rsidRPr="00FA587B" w:rsidRDefault="007F0361" w:rsidP="00FA587B">
      <w:pPr>
        <w:widowControl w:val="0"/>
        <w:autoSpaceDE w:val="0"/>
        <w:autoSpaceDN w:val="0"/>
        <w:adjustRightInd w:val="0"/>
        <w:spacing w:line="360" w:lineRule="auto"/>
        <w:jc w:val="both"/>
        <w:rPr>
          <w:rFonts w:ascii="Arial" w:hAnsi="Arial" w:cs="Arial"/>
          <w:bCs/>
        </w:rPr>
      </w:pPr>
    </w:p>
    <w:p w:rsidR="00C80EF0" w:rsidRPr="00FA587B" w:rsidRDefault="007F0361" w:rsidP="00FA587B">
      <w:pPr>
        <w:widowControl w:val="0"/>
        <w:autoSpaceDE w:val="0"/>
        <w:autoSpaceDN w:val="0"/>
        <w:adjustRightInd w:val="0"/>
        <w:spacing w:line="360" w:lineRule="auto"/>
        <w:jc w:val="both"/>
        <w:rPr>
          <w:rFonts w:ascii="Arial" w:hAnsi="Arial" w:cs="Arial"/>
          <w:bCs/>
        </w:rPr>
      </w:pPr>
      <w:r w:rsidRPr="00FA587B">
        <w:rPr>
          <w:rFonts w:ascii="Arial" w:hAnsi="Arial" w:cs="Arial"/>
          <w:bCs/>
        </w:rPr>
        <w:t>Seguidamente</w:t>
      </w:r>
      <w:r w:rsidR="00E5037B" w:rsidRPr="00FA587B">
        <w:rPr>
          <w:rFonts w:ascii="Arial" w:hAnsi="Arial" w:cs="Arial"/>
          <w:bCs/>
        </w:rPr>
        <w:t>,</w:t>
      </w:r>
      <w:r w:rsidRPr="00FA587B">
        <w:rPr>
          <w:rFonts w:ascii="Arial" w:hAnsi="Arial" w:cs="Arial"/>
          <w:bCs/>
        </w:rPr>
        <w:t xml:space="preserve"> abordó el examen relacionado con el presupuesto de la caducidad de la acción. </w:t>
      </w:r>
      <w:r w:rsidR="00E5037B" w:rsidRPr="00FA587B">
        <w:rPr>
          <w:rFonts w:ascii="Arial" w:hAnsi="Arial" w:cs="Arial"/>
          <w:bCs/>
        </w:rPr>
        <w:t>Luego de analizar algunas de las pruebas documentales que obraban en el plenario</w:t>
      </w:r>
      <w:r w:rsidR="002E2CFE" w:rsidRPr="00FA587B">
        <w:rPr>
          <w:rFonts w:ascii="Arial" w:hAnsi="Arial" w:cs="Arial"/>
          <w:bCs/>
        </w:rPr>
        <w:t>,</w:t>
      </w:r>
      <w:r w:rsidR="00074009" w:rsidRPr="00FA587B">
        <w:rPr>
          <w:rFonts w:ascii="Arial" w:hAnsi="Arial" w:cs="Arial"/>
          <w:bCs/>
        </w:rPr>
        <w:t xml:space="preserve"> adujo</w:t>
      </w:r>
      <w:r w:rsidR="00372D4F" w:rsidRPr="00FA587B">
        <w:rPr>
          <w:rFonts w:ascii="Arial" w:hAnsi="Arial" w:cs="Arial"/>
          <w:bCs/>
        </w:rPr>
        <w:t xml:space="preserve"> que el 5 de octubre de 2007 las partes suscribieron el acta de terminación </w:t>
      </w:r>
      <w:r w:rsidR="00B97047" w:rsidRPr="00FA587B">
        <w:rPr>
          <w:rFonts w:ascii="Arial" w:hAnsi="Arial" w:cs="Arial"/>
          <w:bCs/>
        </w:rPr>
        <w:t>del C</w:t>
      </w:r>
      <w:r w:rsidR="00372D4F" w:rsidRPr="00FA587B">
        <w:rPr>
          <w:rFonts w:ascii="Arial" w:hAnsi="Arial" w:cs="Arial"/>
          <w:bCs/>
        </w:rPr>
        <w:t xml:space="preserve">ontrato No. 193 de 2005. </w:t>
      </w:r>
      <w:r w:rsidR="002A13FB" w:rsidRPr="00FA587B">
        <w:rPr>
          <w:rFonts w:ascii="Arial" w:hAnsi="Arial" w:cs="Arial"/>
          <w:bCs/>
        </w:rPr>
        <w:t>Con base en lo dicho, expresó que desde el 6 de octubre de 2007 debía contarse el término de los dos años de caducidad, período</w:t>
      </w:r>
      <w:r w:rsidR="00D9781B" w:rsidRPr="00FA587B">
        <w:rPr>
          <w:rFonts w:ascii="Arial" w:hAnsi="Arial" w:cs="Arial"/>
          <w:bCs/>
        </w:rPr>
        <w:t xml:space="preserve"> que</w:t>
      </w:r>
      <w:r w:rsidR="002E2CFE" w:rsidRPr="00FA587B">
        <w:rPr>
          <w:rFonts w:ascii="Arial" w:hAnsi="Arial" w:cs="Arial"/>
          <w:bCs/>
        </w:rPr>
        <w:t>,</w:t>
      </w:r>
      <w:r w:rsidR="00D9781B" w:rsidRPr="00FA587B">
        <w:rPr>
          <w:rFonts w:ascii="Arial" w:hAnsi="Arial" w:cs="Arial"/>
          <w:bCs/>
        </w:rPr>
        <w:t xml:space="preserve"> inicialmente, vencía</w:t>
      </w:r>
      <w:r w:rsidR="002A13FB" w:rsidRPr="00FA587B">
        <w:rPr>
          <w:rFonts w:ascii="Arial" w:hAnsi="Arial" w:cs="Arial"/>
          <w:bCs/>
        </w:rPr>
        <w:t xml:space="preserve"> el 6 de octubre de 2009. </w:t>
      </w:r>
    </w:p>
    <w:p w:rsidR="00C80EF0" w:rsidRPr="00FA587B" w:rsidRDefault="00C80EF0" w:rsidP="00FA587B">
      <w:pPr>
        <w:widowControl w:val="0"/>
        <w:autoSpaceDE w:val="0"/>
        <w:autoSpaceDN w:val="0"/>
        <w:adjustRightInd w:val="0"/>
        <w:spacing w:line="360" w:lineRule="auto"/>
        <w:jc w:val="both"/>
        <w:rPr>
          <w:rFonts w:ascii="Arial" w:hAnsi="Arial" w:cs="Arial"/>
          <w:bCs/>
        </w:rPr>
      </w:pPr>
    </w:p>
    <w:p w:rsidR="007F0361" w:rsidRPr="00FA587B" w:rsidRDefault="00895EEA" w:rsidP="00FA587B">
      <w:pPr>
        <w:widowControl w:val="0"/>
        <w:autoSpaceDE w:val="0"/>
        <w:autoSpaceDN w:val="0"/>
        <w:adjustRightInd w:val="0"/>
        <w:spacing w:line="360" w:lineRule="auto"/>
        <w:jc w:val="both"/>
        <w:rPr>
          <w:rFonts w:ascii="Arial" w:hAnsi="Arial" w:cs="Arial"/>
          <w:bCs/>
        </w:rPr>
      </w:pPr>
      <w:r w:rsidRPr="00FA587B">
        <w:rPr>
          <w:rFonts w:ascii="Arial" w:hAnsi="Arial" w:cs="Arial"/>
          <w:bCs/>
        </w:rPr>
        <w:t xml:space="preserve">Atendiendo </w:t>
      </w:r>
      <w:r w:rsidR="006F0B32" w:rsidRPr="00FA587B">
        <w:rPr>
          <w:rFonts w:ascii="Arial" w:hAnsi="Arial" w:cs="Arial"/>
          <w:bCs/>
        </w:rPr>
        <w:t>al orden</w:t>
      </w:r>
      <w:r w:rsidR="007F6E0B" w:rsidRPr="00FA587B">
        <w:rPr>
          <w:rFonts w:ascii="Arial" w:hAnsi="Arial" w:cs="Arial"/>
          <w:bCs/>
        </w:rPr>
        <w:t xml:space="preserve"> trazado</w:t>
      </w:r>
      <w:r w:rsidR="006F0B32" w:rsidRPr="00FA587B">
        <w:rPr>
          <w:rFonts w:ascii="Arial" w:hAnsi="Arial" w:cs="Arial"/>
          <w:bCs/>
        </w:rPr>
        <w:t>, la primera instancia</w:t>
      </w:r>
      <w:r w:rsidR="00E40429" w:rsidRPr="00FA587B">
        <w:rPr>
          <w:rFonts w:ascii="Arial" w:hAnsi="Arial" w:cs="Arial"/>
          <w:bCs/>
        </w:rPr>
        <w:t xml:space="preserve"> </w:t>
      </w:r>
      <w:r w:rsidR="006F0B32" w:rsidRPr="00FA587B">
        <w:rPr>
          <w:rFonts w:ascii="Arial" w:hAnsi="Arial" w:cs="Arial"/>
          <w:bCs/>
        </w:rPr>
        <w:t>refirió</w:t>
      </w:r>
      <w:r w:rsidRPr="00FA587B">
        <w:rPr>
          <w:rFonts w:ascii="Arial" w:hAnsi="Arial" w:cs="Arial"/>
          <w:bCs/>
        </w:rPr>
        <w:t xml:space="preserve"> que el 5 de octubre de 2009, faltando un día para que</w:t>
      </w:r>
      <w:r w:rsidR="007F6E0B" w:rsidRPr="00FA587B">
        <w:rPr>
          <w:rFonts w:ascii="Arial" w:hAnsi="Arial" w:cs="Arial"/>
          <w:bCs/>
        </w:rPr>
        <w:t xml:space="preserve"> finalizara el término</w:t>
      </w:r>
      <w:r w:rsidRPr="00FA587B">
        <w:rPr>
          <w:rFonts w:ascii="Arial" w:hAnsi="Arial" w:cs="Arial"/>
          <w:bCs/>
        </w:rPr>
        <w:t>, el actor presentó solicitud de conciliación extrajudicial ante la Procuradur</w:t>
      </w:r>
      <w:r w:rsidR="006F0B32" w:rsidRPr="00FA587B">
        <w:rPr>
          <w:rFonts w:ascii="Arial" w:hAnsi="Arial" w:cs="Arial"/>
          <w:bCs/>
        </w:rPr>
        <w:t>ía, hecho que interrumpió su cómputo hasta el 12 de enero de 2010</w:t>
      </w:r>
      <w:r w:rsidR="00C80EF0" w:rsidRPr="00FA587B">
        <w:rPr>
          <w:rFonts w:ascii="Arial" w:hAnsi="Arial" w:cs="Arial"/>
          <w:bCs/>
        </w:rPr>
        <w:t>,</w:t>
      </w:r>
      <w:r w:rsidR="006F0B32" w:rsidRPr="00FA587B">
        <w:rPr>
          <w:rFonts w:ascii="Arial" w:hAnsi="Arial" w:cs="Arial"/>
          <w:bCs/>
        </w:rPr>
        <w:t xml:space="preserve"> por cuanto</w:t>
      </w:r>
      <w:r w:rsidR="00C80EF0" w:rsidRPr="00FA587B">
        <w:rPr>
          <w:rFonts w:ascii="Arial" w:hAnsi="Arial" w:cs="Arial"/>
          <w:bCs/>
        </w:rPr>
        <w:t>,</w:t>
      </w:r>
      <w:r w:rsidR="006F0B32" w:rsidRPr="00FA587B">
        <w:rPr>
          <w:rFonts w:ascii="Arial" w:hAnsi="Arial" w:cs="Arial"/>
          <w:bCs/>
        </w:rPr>
        <w:t xml:space="preserve"> si bien el 6 de enero de </w:t>
      </w:r>
      <w:r w:rsidR="00C80EF0" w:rsidRPr="00FA587B">
        <w:rPr>
          <w:rFonts w:ascii="Arial" w:hAnsi="Arial" w:cs="Arial"/>
          <w:bCs/>
        </w:rPr>
        <w:t xml:space="preserve">2010 se </w:t>
      </w:r>
      <w:r w:rsidR="006F0B32" w:rsidRPr="00FA587B">
        <w:rPr>
          <w:rFonts w:ascii="Arial" w:hAnsi="Arial" w:cs="Arial"/>
          <w:bCs/>
        </w:rPr>
        <w:t>expidió la constancia de t</w:t>
      </w:r>
      <w:r w:rsidR="00E40429" w:rsidRPr="00FA587B">
        <w:rPr>
          <w:rFonts w:ascii="Arial" w:hAnsi="Arial" w:cs="Arial"/>
          <w:bCs/>
        </w:rPr>
        <w:t>rá</w:t>
      </w:r>
      <w:r w:rsidR="00883354" w:rsidRPr="00FA587B">
        <w:rPr>
          <w:rFonts w:ascii="Arial" w:hAnsi="Arial" w:cs="Arial"/>
          <w:bCs/>
        </w:rPr>
        <w:t xml:space="preserve">mite fallido </w:t>
      </w:r>
      <w:r w:rsidR="006F0B32" w:rsidRPr="00FA587B">
        <w:rPr>
          <w:rFonts w:ascii="Arial" w:hAnsi="Arial" w:cs="Arial"/>
          <w:bCs/>
        </w:rPr>
        <w:t>por ausencia de ánimo conciliatorio</w:t>
      </w:r>
      <w:r w:rsidR="00C80EF0" w:rsidRPr="00FA587B">
        <w:rPr>
          <w:rFonts w:ascii="Arial" w:hAnsi="Arial" w:cs="Arial"/>
          <w:bCs/>
        </w:rPr>
        <w:t xml:space="preserve">, el siguiente día hábil para la rama judicial fue el 12 </w:t>
      </w:r>
      <w:r w:rsidR="00B73FF3" w:rsidRPr="00FA587B">
        <w:rPr>
          <w:rFonts w:ascii="Arial" w:hAnsi="Arial" w:cs="Arial"/>
          <w:bCs/>
        </w:rPr>
        <w:t>de los mismos mes y año.</w:t>
      </w:r>
      <w:r w:rsidR="00C80EF0" w:rsidRPr="00FA587B">
        <w:rPr>
          <w:rFonts w:ascii="Arial" w:hAnsi="Arial" w:cs="Arial"/>
          <w:bCs/>
        </w:rPr>
        <w:t xml:space="preserve"> </w:t>
      </w:r>
    </w:p>
    <w:p w:rsidR="00C80EF0" w:rsidRPr="00FA587B" w:rsidRDefault="00C80EF0" w:rsidP="00FA587B">
      <w:pPr>
        <w:widowControl w:val="0"/>
        <w:autoSpaceDE w:val="0"/>
        <w:autoSpaceDN w:val="0"/>
        <w:adjustRightInd w:val="0"/>
        <w:spacing w:line="360" w:lineRule="auto"/>
        <w:jc w:val="both"/>
        <w:rPr>
          <w:rFonts w:ascii="Arial" w:hAnsi="Arial" w:cs="Arial"/>
          <w:bCs/>
        </w:rPr>
      </w:pPr>
    </w:p>
    <w:p w:rsidR="003B1E50" w:rsidRPr="00FA587B" w:rsidRDefault="00C80EF0" w:rsidP="00FA587B">
      <w:pPr>
        <w:widowControl w:val="0"/>
        <w:autoSpaceDE w:val="0"/>
        <w:autoSpaceDN w:val="0"/>
        <w:adjustRightInd w:val="0"/>
        <w:spacing w:line="360" w:lineRule="auto"/>
        <w:jc w:val="both"/>
        <w:rPr>
          <w:rFonts w:ascii="Arial" w:hAnsi="Arial" w:cs="Arial"/>
          <w:bCs/>
        </w:rPr>
      </w:pPr>
      <w:r w:rsidRPr="00FA587B">
        <w:rPr>
          <w:rFonts w:ascii="Arial" w:hAnsi="Arial" w:cs="Arial"/>
          <w:bCs/>
        </w:rPr>
        <w:t xml:space="preserve">Bajo las anteriores precisiones, al haberse presentado la demanda el 5 de febrero de 2010 coligió que su interposición fue extemporánea. </w:t>
      </w:r>
    </w:p>
    <w:p w:rsidR="001F0B35" w:rsidRPr="00FA587B" w:rsidRDefault="001F0B35" w:rsidP="00FA587B">
      <w:pPr>
        <w:widowControl w:val="0"/>
        <w:autoSpaceDE w:val="0"/>
        <w:autoSpaceDN w:val="0"/>
        <w:adjustRightInd w:val="0"/>
        <w:spacing w:line="360" w:lineRule="auto"/>
        <w:jc w:val="both"/>
        <w:rPr>
          <w:rFonts w:ascii="Arial" w:hAnsi="Arial" w:cs="Arial"/>
          <w:bCs/>
        </w:rPr>
      </w:pPr>
    </w:p>
    <w:p w:rsidR="00390707" w:rsidRPr="00FA587B" w:rsidRDefault="00390707" w:rsidP="00FA587B">
      <w:pPr>
        <w:spacing w:line="360" w:lineRule="auto"/>
        <w:jc w:val="both"/>
        <w:rPr>
          <w:rFonts w:ascii="Arial" w:hAnsi="Arial" w:cs="Arial"/>
          <w:b/>
        </w:rPr>
      </w:pPr>
      <w:r w:rsidRPr="00FA587B">
        <w:rPr>
          <w:rFonts w:ascii="Arial" w:hAnsi="Arial" w:cs="Arial"/>
          <w:b/>
        </w:rPr>
        <w:t>7. El recurso de apelación</w:t>
      </w:r>
    </w:p>
    <w:p w:rsidR="006C2E7E" w:rsidRPr="00FA587B" w:rsidRDefault="006C2E7E" w:rsidP="00FA587B">
      <w:pPr>
        <w:spacing w:line="360" w:lineRule="auto"/>
        <w:jc w:val="both"/>
        <w:rPr>
          <w:rFonts w:ascii="Arial" w:hAnsi="Arial" w:cs="Arial"/>
          <w:b/>
        </w:rPr>
      </w:pPr>
    </w:p>
    <w:p w:rsidR="008960D6" w:rsidRPr="00FA587B" w:rsidRDefault="00390707" w:rsidP="00FA587B">
      <w:pPr>
        <w:spacing w:line="360" w:lineRule="auto"/>
        <w:jc w:val="both"/>
        <w:rPr>
          <w:rFonts w:ascii="Arial" w:hAnsi="Arial" w:cs="Arial"/>
        </w:rPr>
      </w:pPr>
      <w:r w:rsidRPr="00FA587B">
        <w:rPr>
          <w:rFonts w:ascii="Arial" w:hAnsi="Arial" w:cs="Arial"/>
          <w:lang w:val="es-MX"/>
        </w:rPr>
        <w:t xml:space="preserve"> </w:t>
      </w:r>
      <w:r w:rsidR="008960D6" w:rsidRPr="00FA587B">
        <w:rPr>
          <w:rFonts w:ascii="Arial" w:hAnsi="Arial" w:cs="Arial"/>
        </w:rPr>
        <w:t>La parte actora, a través de su apoderado, presentó oportunamente recurso de apelación contra la sentencia de primera instancia.</w:t>
      </w:r>
    </w:p>
    <w:p w:rsidR="008960D6" w:rsidRPr="00FA587B" w:rsidRDefault="008960D6" w:rsidP="00FA587B">
      <w:pPr>
        <w:spacing w:line="360" w:lineRule="auto"/>
        <w:jc w:val="both"/>
        <w:rPr>
          <w:rFonts w:ascii="Arial" w:hAnsi="Arial" w:cs="Arial"/>
        </w:rPr>
      </w:pPr>
    </w:p>
    <w:p w:rsidR="006C2E7E" w:rsidRPr="00FA587B" w:rsidRDefault="006C2E7E" w:rsidP="00FA587B">
      <w:pPr>
        <w:spacing w:line="360" w:lineRule="auto"/>
        <w:jc w:val="both"/>
        <w:rPr>
          <w:rFonts w:ascii="Arial" w:hAnsi="Arial" w:cs="Arial"/>
        </w:rPr>
      </w:pPr>
      <w:r w:rsidRPr="00FA587B">
        <w:rPr>
          <w:rFonts w:ascii="Arial" w:hAnsi="Arial" w:cs="Arial"/>
        </w:rPr>
        <w:t>Su inconformidad se ciment</w:t>
      </w:r>
      <w:r w:rsidR="00E51896" w:rsidRPr="00FA587B">
        <w:rPr>
          <w:rFonts w:ascii="Arial" w:hAnsi="Arial" w:cs="Arial"/>
        </w:rPr>
        <w:t>ó esencialmente en dos argumentos</w:t>
      </w:r>
      <w:r w:rsidRPr="00FA587B">
        <w:rPr>
          <w:rFonts w:ascii="Arial" w:hAnsi="Arial" w:cs="Arial"/>
        </w:rPr>
        <w:t xml:space="preserve">: </w:t>
      </w:r>
    </w:p>
    <w:p w:rsidR="006C2E7E" w:rsidRPr="00FA587B" w:rsidRDefault="006C2E7E" w:rsidP="00FA587B">
      <w:pPr>
        <w:spacing w:line="360" w:lineRule="auto"/>
        <w:jc w:val="both"/>
        <w:rPr>
          <w:rFonts w:ascii="Arial" w:hAnsi="Arial" w:cs="Arial"/>
        </w:rPr>
      </w:pPr>
    </w:p>
    <w:p w:rsidR="00E51896" w:rsidRPr="00FA587B" w:rsidRDefault="00E51896" w:rsidP="00FA587B">
      <w:pPr>
        <w:spacing w:line="360" w:lineRule="auto"/>
        <w:jc w:val="both"/>
        <w:rPr>
          <w:rFonts w:ascii="Arial" w:hAnsi="Arial" w:cs="Arial"/>
        </w:rPr>
      </w:pPr>
      <w:r w:rsidRPr="00FA587B">
        <w:rPr>
          <w:rFonts w:ascii="Arial" w:hAnsi="Arial" w:cs="Arial"/>
        </w:rPr>
        <w:t>El primero de ellos apuntó a cuestionar la inhibición para fallar de fondo</w:t>
      </w:r>
      <w:r w:rsidR="00F50D0A" w:rsidRPr="00FA587B">
        <w:rPr>
          <w:rFonts w:ascii="Arial" w:hAnsi="Arial" w:cs="Arial"/>
        </w:rPr>
        <w:t xml:space="preserve"> sobre</w:t>
      </w:r>
      <w:r w:rsidRPr="00FA587B">
        <w:rPr>
          <w:rFonts w:ascii="Arial" w:hAnsi="Arial" w:cs="Arial"/>
        </w:rPr>
        <w:t xml:space="preserve"> las pretensiones relacionadas con la liquidación judicial del contrato y la declaratoria </w:t>
      </w:r>
      <w:r w:rsidR="009D3014" w:rsidRPr="00FA587B">
        <w:rPr>
          <w:rFonts w:ascii="Arial" w:hAnsi="Arial" w:cs="Arial"/>
        </w:rPr>
        <w:t xml:space="preserve">de </w:t>
      </w:r>
      <w:r w:rsidR="00F50D0A" w:rsidRPr="00FA587B">
        <w:rPr>
          <w:rFonts w:ascii="Arial" w:hAnsi="Arial" w:cs="Arial"/>
        </w:rPr>
        <w:t xml:space="preserve">enriquecimiento sin causa. </w:t>
      </w:r>
      <w:r w:rsidR="00F400CE" w:rsidRPr="00FA587B">
        <w:rPr>
          <w:rFonts w:ascii="Arial" w:hAnsi="Arial" w:cs="Arial"/>
        </w:rPr>
        <w:t>Su cuestionamiento en lo que atañe a este punto se centró</w:t>
      </w:r>
      <w:r w:rsidR="007F6E0B" w:rsidRPr="00FA587B">
        <w:rPr>
          <w:rFonts w:ascii="Arial" w:hAnsi="Arial" w:cs="Arial"/>
        </w:rPr>
        <w:t xml:space="preserve"> en que la regulación en materia de </w:t>
      </w:r>
      <w:r w:rsidR="00F400CE" w:rsidRPr="00FA587B">
        <w:rPr>
          <w:rFonts w:ascii="Arial" w:hAnsi="Arial" w:cs="Arial"/>
        </w:rPr>
        <w:t>la conciliación extrajudicial</w:t>
      </w:r>
      <w:r w:rsidR="0025679B" w:rsidRPr="00FA587B">
        <w:rPr>
          <w:rFonts w:ascii="Arial" w:hAnsi="Arial" w:cs="Arial"/>
        </w:rPr>
        <w:t xml:space="preserve"> como requisito de </w:t>
      </w:r>
      <w:r w:rsidR="00F400CE" w:rsidRPr="00FA587B">
        <w:rPr>
          <w:rFonts w:ascii="Arial" w:hAnsi="Arial" w:cs="Arial"/>
        </w:rPr>
        <w:t xml:space="preserve">procedibilidad de la acción </w:t>
      </w:r>
      <w:r w:rsidR="0025679B" w:rsidRPr="00FA587B">
        <w:rPr>
          <w:rFonts w:ascii="Arial" w:hAnsi="Arial" w:cs="Arial"/>
        </w:rPr>
        <w:t>determinaba</w:t>
      </w:r>
      <w:r w:rsidR="00AF3275" w:rsidRPr="00FA587B">
        <w:rPr>
          <w:rFonts w:ascii="Arial" w:hAnsi="Arial" w:cs="Arial"/>
        </w:rPr>
        <w:t xml:space="preserve"> </w:t>
      </w:r>
      <w:r w:rsidR="0048622E" w:rsidRPr="00FA587B">
        <w:rPr>
          <w:rFonts w:ascii="Arial" w:hAnsi="Arial" w:cs="Arial"/>
        </w:rPr>
        <w:t xml:space="preserve">la obligación de expresar sucintamente </w:t>
      </w:r>
      <w:r w:rsidR="0025679B" w:rsidRPr="00FA587B">
        <w:rPr>
          <w:rFonts w:ascii="Arial" w:hAnsi="Arial" w:cs="Arial"/>
        </w:rPr>
        <w:t>el objeto del asunto a conciliar y no cada una de las pretensiones que se habr</w:t>
      </w:r>
      <w:r w:rsidR="0048622E" w:rsidRPr="00FA587B">
        <w:rPr>
          <w:rFonts w:ascii="Arial" w:hAnsi="Arial" w:cs="Arial"/>
        </w:rPr>
        <w:t>ía</w:t>
      </w:r>
      <w:r w:rsidR="0025679B" w:rsidRPr="00FA587B">
        <w:rPr>
          <w:rFonts w:ascii="Arial" w:hAnsi="Arial" w:cs="Arial"/>
        </w:rPr>
        <w:t>n de formular</w:t>
      </w:r>
      <w:r w:rsidR="0048622E" w:rsidRPr="00FA587B">
        <w:rPr>
          <w:rFonts w:ascii="Arial" w:hAnsi="Arial" w:cs="Arial"/>
        </w:rPr>
        <w:t xml:space="preserve"> a instancia judicial</w:t>
      </w:r>
      <w:r w:rsidR="0025679B" w:rsidRPr="00FA587B">
        <w:rPr>
          <w:rFonts w:ascii="Arial" w:hAnsi="Arial" w:cs="Arial"/>
        </w:rPr>
        <w:t xml:space="preserve">. </w:t>
      </w:r>
    </w:p>
    <w:p w:rsidR="00E17CC0" w:rsidRPr="00FA587B" w:rsidRDefault="00E17CC0" w:rsidP="00FA587B">
      <w:pPr>
        <w:spacing w:line="360" w:lineRule="auto"/>
        <w:jc w:val="both"/>
        <w:rPr>
          <w:rFonts w:ascii="Arial" w:hAnsi="Arial" w:cs="Arial"/>
        </w:rPr>
      </w:pPr>
    </w:p>
    <w:p w:rsidR="00E17CC0" w:rsidRPr="00FA587B" w:rsidRDefault="00E17CC0" w:rsidP="00FA587B">
      <w:pPr>
        <w:spacing w:line="360" w:lineRule="auto"/>
        <w:jc w:val="both"/>
        <w:rPr>
          <w:rFonts w:ascii="Arial" w:hAnsi="Arial" w:cs="Arial"/>
        </w:rPr>
      </w:pPr>
      <w:r w:rsidRPr="00FA587B">
        <w:rPr>
          <w:rFonts w:ascii="Arial" w:hAnsi="Arial" w:cs="Arial"/>
        </w:rPr>
        <w:lastRenderedPageBreak/>
        <w:t xml:space="preserve">Agregó que el actor cumplió con el requisito de procedibilidad al </w:t>
      </w:r>
      <w:r w:rsidR="00D41B5D" w:rsidRPr="00FA587B">
        <w:rPr>
          <w:rFonts w:ascii="Arial" w:hAnsi="Arial" w:cs="Arial"/>
        </w:rPr>
        <w:t>anexar a</w:t>
      </w:r>
      <w:r w:rsidR="008D60CC" w:rsidRPr="00FA587B">
        <w:rPr>
          <w:rFonts w:ascii="Arial" w:hAnsi="Arial" w:cs="Arial"/>
        </w:rPr>
        <w:t xml:space="preserve"> la demanda la constancia expedida por la Procuradur</w:t>
      </w:r>
      <w:r w:rsidR="00D41B5D" w:rsidRPr="00FA587B">
        <w:rPr>
          <w:rFonts w:ascii="Arial" w:hAnsi="Arial" w:cs="Arial"/>
        </w:rPr>
        <w:t>ía en la</w:t>
      </w:r>
      <w:r w:rsidR="008D60CC" w:rsidRPr="00FA587B">
        <w:rPr>
          <w:rFonts w:ascii="Arial" w:hAnsi="Arial" w:cs="Arial"/>
        </w:rPr>
        <w:t xml:space="preserve"> que consta</w:t>
      </w:r>
      <w:r w:rsidR="00AD5EA0" w:rsidRPr="00FA587B">
        <w:rPr>
          <w:rFonts w:ascii="Arial" w:hAnsi="Arial" w:cs="Arial"/>
        </w:rPr>
        <w:t>ba</w:t>
      </w:r>
      <w:r w:rsidR="008D60CC" w:rsidRPr="00FA587B">
        <w:rPr>
          <w:rFonts w:ascii="Arial" w:hAnsi="Arial" w:cs="Arial"/>
        </w:rPr>
        <w:t xml:space="preserve"> que el trámite se declaró fallido por ausencia de </w:t>
      </w:r>
      <w:r w:rsidR="00D41B5D" w:rsidRPr="00FA587B">
        <w:rPr>
          <w:rFonts w:ascii="Arial" w:hAnsi="Arial" w:cs="Arial"/>
        </w:rPr>
        <w:t>ánimo conciliator</w:t>
      </w:r>
      <w:r w:rsidR="007F6E0B" w:rsidRPr="00FA587B">
        <w:rPr>
          <w:rFonts w:ascii="Arial" w:hAnsi="Arial" w:cs="Arial"/>
        </w:rPr>
        <w:t>io, único documento que se requería</w:t>
      </w:r>
      <w:r w:rsidR="00D41B5D" w:rsidRPr="00FA587B">
        <w:rPr>
          <w:rFonts w:ascii="Arial" w:hAnsi="Arial" w:cs="Arial"/>
        </w:rPr>
        <w:t xml:space="preserve"> por la normativa para entender satis</w:t>
      </w:r>
      <w:r w:rsidR="00324C30" w:rsidRPr="00FA587B">
        <w:rPr>
          <w:rFonts w:ascii="Arial" w:hAnsi="Arial" w:cs="Arial"/>
        </w:rPr>
        <w:t>fe</w:t>
      </w:r>
      <w:r w:rsidR="00CB0151" w:rsidRPr="00FA587B">
        <w:rPr>
          <w:rFonts w:ascii="Arial" w:hAnsi="Arial" w:cs="Arial"/>
        </w:rPr>
        <w:t>cho el agotamiento de la gestión</w:t>
      </w:r>
      <w:r w:rsidR="00D41B5D" w:rsidRPr="00FA587B">
        <w:rPr>
          <w:rFonts w:ascii="Arial" w:hAnsi="Arial" w:cs="Arial"/>
        </w:rPr>
        <w:t xml:space="preserve"> prejudicial. </w:t>
      </w:r>
    </w:p>
    <w:p w:rsidR="004F694F" w:rsidRPr="00FA587B" w:rsidRDefault="004F694F" w:rsidP="00FA587B">
      <w:pPr>
        <w:spacing w:line="360" w:lineRule="auto"/>
        <w:jc w:val="both"/>
        <w:rPr>
          <w:rFonts w:ascii="Arial" w:hAnsi="Arial" w:cs="Arial"/>
        </w:rPr>
      </w:pPr>
    </w:p>
    <w:p w:rsidR="004F694F" w:rsidRPr="00FA587B" w:rsidRDefault="004F694F" w:rsidP="00FA587B">
      <w:pPr>
        <w:spacing w:line="360" w:lineRule="auto"/>
        <w:jc w:val="both"/>
        <w:rPr>
          <w:rFonts w:ascii="Arial" w:hAnsi="Arial" w:cs="Arial"/>
        </w:rPr>
      </w:pPr>
      <w:r w:rsidRPr="00FA587B">
        <w:rPr>
          <w:rFonts w:ascii="Arial" w:hAnsi="Arial" w:cs="Arial"/>
        </w:rPr>
        <w:t>Como segundo aspecto de discrepancia, el recurrente manifestó que en el caso no había operado el fenómeno de la caducidad de la acción</w:t>
      </w:r>
      <w:r w:rsidR="007F6E0B" w:rsidRPr="00FA587B">
        <w:rPr>
          <w:rFonts w:ascii="Arial" w:hAnsi="Arial" w:cs="Arial"/>
        </w:rPr>
        <w:t>,</w:t>
      </w:r>
      <w:r w:rsidRPr="00FA587B">
        <w:rPr>
          <w:rFonts w:ascii="Arial" w:hAnsi="Arial" w:cs="Arial"/>
        </w:rPr>
        <w:t xml:space="preserve"> habida consideración</w:t>
      </w:r>
      <w:r w:rsidR="0094276D" w:rsidRPr="00FA587B">
        <w:rPr>
          <w:rFonts w:ascii="Arial" w:hAnsi="Arial" w:cs="Arial"/>
        </w:rPr>
        <w:t xml:space="preserve"> de que para su contabilización resultaba indispensable tomar en cuenta el término legal dispuesto para la liquidación del contrato por tratarse de un negocio de tracto sucesivo sometido a esa etapa final</w:t>
      </w:r>
      <w:r w:rsidR="00E33D95" w:rsidRPr="00FA587B">
        <w:rPr>
          <w:rFonts w:ascii="Arial" w:hAnsi="Arial" w:cs="Arial"/>
        </w:rPr>
        <w:t>, aspecto que fue pasado por alto por la primera instancia</w:t>
      </w:r>
      <w:r w:rsidR="0094276D" w:rsidRPr="00FA587B">
        <w:rPr>
          <w:rFonts w:ascii="Arial" w:hAnsi="Arial" w:cs="Arial"/>
        </w:rPr>
        <w:t xml:space="preserve">. </w:t>
      </w:r>
    </w:p>
    <w:p w:rsidR="00E33D95" w:rsidRPr="00FA587B" w:rsidRDefault="00E33D95" w:rsidP="00FA587B">
      <w:pPr>
        <w:spacing w:line="360" w:lineRule="auto"/>
        <w:jc w:val="both"/>
        <w:rPr>
          <w:rFonts w:ascii="Arial" w:hAnsi="Arial" w:cs="Arial"/>
        </w:rPr>
      </w:pPr>
    </w:p>
    <w:p w:rsidR="006D37D5" w:rsidRPr="00FA587B" w:rsidRDefault="00E33D95" w:rsidP="00FA587B">
      <w:pPr>
        <w:spacing w:line="360" w:lineRule="auto"/>
        <w:jc w:val="both"/>
        <w:rPr>
          <w:rFonts w:ascii="Arial" w:hAnsi="Arial" w:cs="Arial"/>
        </w:rPr>
      </w:pPr>
      <w:r w:rsidRPr="00FA587B">
        <w:rPr>
          <w:rFonts w:ascii="Arial" w:hAnsi="Arial" w:cs="Arial"/>
        </w:rPr>
        <w:t xml:space="preserve">Siguiendo esa lógica adujo que al haber vencido el término para la liquidación del Contrato de Obra No. 193 el 5 de abril de 2008, el plazo para presentar se extendía hasta el 5 de abril de 2010. </w:t>
      </w:r>
    </w:p>
    <w:p w:rsidR="00FE32EF" w:rsidRPr="00FA587B" w:rsidRDefault="00FE32EF" w:rsidP="00FA587B">
      <w:pPr>
        <w:spacing w:line="360" w:lineRule="auto"/>
        <w:jc w:val="both"/>
        <w:rPr>
          <w:rFonts w:ascii="Arial" w:hAnsi="Arial" w:cs="Arial"/>
        </w:rPr>
      </w:pPr>
    </w:p>
    <w:p w:rsidR="00FE32EF" w:rsidRPr="00FA587B" w:rsidRDefault="00FE32EF" w:rsidP="00FA587B">
      <w:pPr>
        <w:spacing w:line="360" w:lineRule="auto"/>
        <w:jc w:val="both"/>
        <w:rPr>
          <w:rFonts w:ascii="Arial" w:hAnsi="Arial" w:cs="Arial"/>
        </w:rPr>
      </w:pPr>
      <w:r w:rsidRPr="00FA587B">
        <w:rPr>
          <w:rFonts w:ascii="Arial" w:hAnsi="Arial" w:cs="Arial"/>
        </w:rPr>
        <w:t xml:space="preserve">Por lo demás, solicitó que la sentencia fuera revocada para </w:t>
      </w:r>
      <w:r w:rsidR="002E2CFE" w:rsidRPr="00FA587B">
        <w:rPr>
          <w:rFonts w:ascii="Arial" w:hAnsi="Arial" w:cs="Arial"/>
        </w:rPr>
        <w:t xml:space="preserve">que, </w:t>
      </w:r>
      <w:r w:rsidRPr="00FA587B">
        <w:rPr>
          <w:rFonts w:ascii="Arial" w:hAnsi="Arial" w:cs="Arial"/>
        </w:rPr>
        <w:t>en su lugar</w:t>
      </w:r>
      <w:r w:rsidR="002E2CFE" w:rsidRPr="00FA587B">
        <w:rPr>
          <w:rFonts w:ascii="Arial" w:hAnsi="Arial" w:cs="Arial"/>
        </w:rPr>
        <w:t>,</w:t>
      </w:r>
      <w:r w:rsidRPr="00FA587B">
        <w:rPr>
          <w:rFonts w:ascii="Arial" w:hAnsi="Arial" w:cs="Arial"/>
        </w:rPr>
        <w:t xml:space="preserve"> se accediera a su</w:t>
      </w:r>
      <w:r w:rsidR="00CB0151" w:rsidRPr="00FA587B">
        <w:rPr>
          <w:rFonts w:ascii="Arial" w:hAnsi="Arial" w:cs="Arial"/>
        </w:rPr>
        <w:t>s</w:t>
      </w:r>
      <w:r w:rsidRPr="00FA587B">
        <w:rPr>
          <w:rFonts w:ascii="Arial" w:hAnsi="Arial" w:cs="Arial"/>
        </w:rPr>
        <w:t xml:space="preserve"> pretensiones. </w:t>
      </w:r>
    </w:p>
    <w:p w:rsidR="00E33D95" w:rsidRPr="00FA587B" w:rsidRDefault="00E33D95" w:rsidP="00FA587B">
      <w:pPr>
        <w:spacing w:line="360" w:lineRule="auto"/>
        <w:jc w:val="both"/>
        <w:rPr>
          <w:rFonts w:ascii="Arial" w:hAnsi="Arial" w:cs="Arial"/>
        </w:rPr>
      </w:pPr>
    </w:p>
    <w:p w:rsidR="008960D6" w:rsidRPr="00FA587B" w:rsidRDefault="008960D6" w:rsidP="00FA587B">
      <w:pPr>
        <w:spacing w:line="360" w:lineRule="auto"/>
        <w:jc w:val="both"/>
        <w:rPr>
          <w:rFonts w:ascii="Arial" w:hAnsi="Arial" w:cs="Arial"/>
          <w:b/>
          <w:bCs/>
          <w:lang w:val="es-MX"/>
        </w:rPr>
      </w:pPr>
      <w:r w:rsidRPr="00FA587B">
        <w:rPr>
          <w:rFonts w:ascii="Arial" w:hAnsi="Arial" w:cs="Arial"/>
          <w:b/>
          <w:bCs/>
          <w:lang w:val="es-MX"/>
        </w:rPr>
        <w:t>8. Actuación en segunda instancia</w:t>
      </w:r>
    </w:p>
    <w:p w:rsidR="008960D6" w:rsidRPr="00FA587B" w:rsidRDefault="008960D6" w:rsidP="00FA587B">
      <w:pPr>
        <w:spacing w:line="360" w:lineRule="auto"/>
        <w:jc w:val="both"/>
        <w:rPr>
          <w:rFonts w:ascii="Arial" w:hAnsi="Arial" w:cs="Arial"/>
          <w:bCs/>
          <w:lang w:val="es-MX"/>
        </w:rPr>
      </w:pPr>
    </w:p>
    <w:p w:rsidR="008960D6" w:rsidRPr="00FA587B" w:rsidRDefault="008960D6" w:rsidP="00FA587B">
      <w:pPr>
        <w:spacing w:line="360" w:lineRule="auto"/>
        <w:jc w:val="both"/>
        <w:rPr>
          <w:rFonts w:ascii="Arial" w:hAnsi="Arial" w:cs="Arial"/>
        </w:rPr>
      </w:pPr>
      <w:r w:rsidRPr="00FA587B">
        <w:rPr>
          <w:rFonts w:ascii="Arial" w:hAnsi="Arial" w:cs="Arial"/>
          <w:b/>
        </w:rPr>
        <w:t>8.1.</w:t>
      </w:r>
      <w:r w:rsidRPr="00FA587B">
        <w:rPr>
          <w:rFonts w:ascii="Arial" w:hAnsi="Arial" w:cs="Arial"/>
        </w:rPr>
        <w:t xml:space="preserve"> Mediante providencia de</w:t>
      </w:r>
      <w:r w:rsidR="00FE32EF" w:rsidRPr="00FA587B">
        <w:rPr>
          <w:rFonts w:ascii="Arial" w:hAnsi="Arial" w:cs="Arial"/>
        </w:rPr>
        <w:t>l 6</w:t>
      </w:r>
      <w:r w:rsidRPr="00FA587B">
        <w:rPr>
          <w:rFonts w:ascii="Arial" w:hAnsi="Arial" w:cs="Arial"/>
        </w:rPr>
        <w:t xml:space="preserve"> de junio de 2014, la Sección Tercera de esta Corporación admitió el recurso de apelación interpuesto por la parte demandante. </w:t>
      </w:r>
    </w:p>
    <w:p w:rsidR="008960D6" w:rsidRPr="00FA587B" w:rsidRDefault="008960D6" w:rsidP="00FA587B">
      <w:pPr>
        <w:widowControl w:val="0"/>
        <w:autoSpaceDE w:val="0"/>
        <w:autoSpaceDN w:val="0"/>
        <w:adjustRightInd w:val="0"/>
        <w:spacing w:line="360" w:lineRule="auto"/>
        <w:jc w:val="both"/>
        <w:rPr>
          <w:rFonts w:ascii="Arial" w:hAnsi="Arial" w:cs="Arial"/>
          <w:b/>
        </w:rPr>
      </w:pPr>
    </w:p>
    <w:p w:rsidR="00FE32EF" w:rsidRPr="00FA587B" w:rsidRDefault="00FE32EF" w:rsidP="00FA587B">
      <w:pPr>
        <w:widowControl w:val="0"/>
        <w:autoSpaceDE w:val="0"/>
        <w:autoSpaceDN w:val="0"/>
        <w:adjustRightInd w:val="0"/>
        <w:spacing w:line="360" w:lineRule="auto"/>
        <w:jc w:val="both"/>
        <w:rPr>
          <w:rFonts w:ascii="Arial" w:hAnsi="Arial" w:cs="Arial"/>
        </w:rPr>
      </w:pPr>
      <w:r w:rsidRPr="00FA587B">
        <w:rPr>
          <w:rFonts w:ascii="Arial" w:hAnsi="Arial" w:cs="Arial"/>
          <w:b/>
        </w:rPr>
        <w:t xml:space="preserve">8.2. </w:t>
      </w:r>
      <w:r w:rsidRPr="00FA587B">
        <w:rPr>
          <w:rFonts w:ascii="Arial" w:hAnsi="Arial" w:cs="Arial"/>
        </w:rPr>
        <w:t>En decisión del 11 de julio de 2014, se resolvió negar la solicitud de decretar pruebas de oficio.</w:t>
      </w:r>
    </w:p>
    <w:p w:rsidR="00CB0151" w:rsidRPr="00FA587B" w:rsidRDefault="00CB0151" w:rsidP="00FA587B">
      <w:pPr>
        <w:widowControl w:val="0"/>
        <w:autoSpaceDE w:val="0"/>
        <w:autoSpaceDN w:val="0"/>
        <w:adjustRightInd w:val="0"/>
        <w:spacing w:line="360" w:lineRule="auto"/>
        <w:jc w:val="both"/>
        <w:rPr>
          <w:rFonts w:ascii="Arial" w:hAnsi="Arial" w:cs="Arial"/>
        </w:rPr>
      </w:pPr>
    </w:p>
    <w:p w:rsidR="008960D6" w:rsidRPr="00FA587B" w:rsidRDefault="00CC2FCB" w:rsidP="00FA587B">
      <w:pPr>
        <w:spacing w:line="360" w:lineRule="auto"/>
        <w:jc w:val="both"/>
        <w:rPr>
          <w:rFonts w:ascii="Arial" w:hAnsi="Arial" w:cs="Arial"/>
          <w:lang w:val="es-MX"/>
        </w:rPr>
      </w:pPr>
      <w:r w:rsidRPr="00FA587B">
        <w:rPr>
          <w:rFonts w:ascii="Arial" w:hAnsi="Arial" w:cs="Arial"/>
          <w:b/>
          <w:lang w:val="es-CO"/>
        </w:rPr>
        <w:t>8.3</w:t>
      </w:r>
      <w:r w:rsidR="008960D6" w:rsidRPr="00FA587B">
        <w:rPr>
          <w:rFonts w:ascii="Arial" w:hAnsi="Arial" w:cs="Arial"/>
          <w:b/>
          <w:lang w:val="es-CO"/>
        </w:rPr>
        <w:t>.</w:t>
      </w:r>
      <w:r w:rsidR="008960D6" w:rsidRPr="00FA587B">
        <w:rPr>
          <w:rFonts w:ascii="Arial" w:hAnsi="Arial" w:cs="Arial"/>
          <w:lang w:val="es-CO"/>
        </w:rPr>
        <w:t xml:space="preserve"> </w:t>
      </w:r>
      <w:r w:rsidR="00FE32EF" w:rsidRPr="00FA587B">
        <w:rPr>
          <w:rFonts w:ascii="Arial" w:hAnsi="Arial" w:cs="Arial"/>
          <w:lang w:val="es-MX"/>
        </w:rPr>
        <w:t xml:space="preserve">Por medio de providencia del 21 de agosto </w:t>
      </w:r>
      <w:r w:rsidR="008960D6" w:rsidRPr="00FA587B">
        <w:rPr>
          <w:rFonts w:ascii="Arial" w:hAnsi="Arial" w:cs="Arial"/>
          <w:lang w:val="es-MX"/>
        </w:rPr>
        <w:t xml:space="preserve">de 2014, se corrió traslado a las partes para que presentaran sus alegaciones finales y al Ministerio Público para que rindiese su concepto.  </w:t>
      </w:r>
    </w:p>
    <w:p w:rsidR="008960D6" w:rsidRPr="00FA587B" w:rsidRDefault="008960D6" w:rsidP="00FA587B">
      <w:pPr>
        <w:spacing w:line="360" w:lineRule="auto"/>
        <w:jc w:val="both"/>
        <w:rPr>
          <w:rFonts w:ascii="Arial" w:hAnsi="Arial" w:cs="Arial"/>
          <w:lang w:val="es-MX"/>
        </w:rPr>
      </w:pPr>
    </w:p>
    <w:p w:rsidR="008960D6" w:rsidRPr="00FA587B" w:rsidRDefault="008960D6" w:rsidP="00FA587B">
      <w:pPr>
        <w:spacing w:line="360" w:lineRule="auto"/>
        <w:jc w:val="both"/>
        <w:rPr>
          <w:rFonts w:ascii="Arial" w:hAnsi="Arial" w:cs="Arial"/>
          <w:lang w:val="es-MX"/>
        </w:rPr>
      </w:pPr>
      <w:r w:rsidRPr="00FA587B">
        <w:rPr>
          <w:rFonts w:ascii="Arial" w:hAnsi="Arial" w:cs="Arial"/>
          <w:lang w:val="es-MX"/>
        </w:rPr>
        <w:t xml:space="preserve">En el término otorgado, tanto la parte actora como la demandada presentaron sus escritos de alegaciones, en los cuales, en esencia, insistieron en los argumentos en que soportaron la causa y la contradicción, respectivamente. </w:t>
      </w:r>
    </w:p>
    <w:p w:rsidR="008960D6" w:rsidRPr="00FA587B" w:rsidRDefault="008960D6" w:rsidP="00FA587B">
      <w:pPr>
        <w:spacing w:line="360" w:lineRule="auto"/>
        <w:jc w:val="both"/>
        <w:rPr>
          <w:rFonts w:ascii="Arial" w:hAnsi="Arial" w:cs="Arial"/>
          <w:lang w:val="es-MX"/>
        </w:rPr>
      </w:pPr>
    </w:p>
    <w:p w:rsidR="008960D6" w:rsidRPr="00FA587B" w:rsidRDefault="00FE32EF" w:rsidP="00FA587B">
      <w:pPr>
        <w:spacing w:line="360" w:lineRule="auto"/>
        <w:jc w:val="both"/>
        <w:rPr>
          <w:rFonts w:ascii="Arial" w:hAnsi="Arial" w:cs="Arial"/>
          <w:lang w:val="es-MX"/>
        </w:rPr>
      </w:pPr>
      <w:r w:rsidRPr="00FA587B">
        <w:rPr>
          <w:rFonts w:ascii="Arial" w:hAnsi="Arial" w:cs="Arial"/>
          <w:lang w:val="es-MX"/>
        </w:rPr>
        <w:lastRenderedPageBreak/>
        <w:t>El Ministerio Público allegó concepto en el cual solicitó acceder a las pretensiones de la demanda, en el sentido de declarar el incumplimiento del contrato tras haberse presentado la ruptura de su equilibrio económico por causas no atribuibles al demandante.</w:t>
      </w:r>
    </w:p>
    <w:p w:rsidR="00CB36AD" w:rsidRPr="00FA587B" w:rsidRDefault="00CB36AD" w:rsidP="00FA587B">
      <w:pPr>
        <w:spacing w:line="360" w:lineRule="auto"/>
        <w:jc w:val="both"/>
        <w:rPr>
          <w:rFonts w:ascii="Arial" w:hAnsi="Arial" w:cs="Arial"/>
          <w:b/>
          <w:bCs/>
          <w:lang w:val="es-MX"/>
        </w:rPr>
      </w:pPr>
    </w:p>
    <w:p w:rsidR="00390707" w:rsidRPr="00FA587B" w:rsidRDefault="00390707" w:rsidP="00FA587B">
      <w:pPr>
        <w:numPr>
          <w:ilvl w:val="0"/>
          <w:numId w:val="14"/>
        </w:numPr>
        <w:spacing w:line="360" w:lineRule="auto"/>
        <w:ind w:left="0"/>
        <w:jc w:val="center"/>
        <w:rPr>
          <w:rFonts w:ascii="Arial" w:hAnsi="Arial" w:cs="Arial"/>
          <w:b/>
        </w:rPr>
      </w:pPr>
      <w:r w:rsidRPr="00FA587B">
        <w:rPr>
          <w:rFonts w:ascii="Arial" w:hAnsi="Arial" w:cs="Arial"/>
          <w:b/>
        </w:rPr>
        <w:t>C O N S I D E R A C I O N E S</w:t>
      </w:r>
    </w:p>
    <w:p w:rsidR="00390707" w:rsidRPr="00FA587B" w:rsidRDefault="00390707" w:rsidP="00FA587B">
      <w:pPr>
        <w:spacing w:line="360" w:lineRule="auto"/>
        <w:jc w:val="both"/>
        <w:rPr>
          <w:rFonts w:ascii="Arial" w:hAnsi="Arial" w:cs="Arial"/>
          <w:b/>
        </w:rPr>
      </w:pPr>
    </w:p>
    <w:p w:rsidR="00FE32EF" w:rsidRPr="00FA587B" w:rsidRDefault="00390707" w:rsidP="00FA587B">
      <w:pPr>
        <w:spacing w:line="360" w:lineRule="auto"/>
        <w:jc w:val="both"/>
        <w:rPr>
          <w:rFonts w:ascii="Arial" w:hAnsi="Arial" w:cs="Arial"/>
        </w:rPr>
      </w:pPr>
      <w:r w:rsidRPr="00FA587B">
        <w:rPr>
          <w:rFonts w:ascii="Arial" w:hAnsi="Arial" w:cs="Arial"/>
        </w:rPr>
        <w:t xml:space="preserve">Para resolver la segunda instancia de la presente litis se abordarán los siguientes temas: </w:t>
      </w:r>
      <w:r w:rsidRPr="00FA587B">
        <w:rPr>
          <w:rFonts w:ascii="Arial" w:hAnsi="Arial" w:cs="Arial"/>
          <w:b/>
        </w:rPr>
        <w:t>1)</w:t>
      </w:r>
      <w:r w:rsidRPr="00FA587B">
        <w:rPr>
          <w:rFonts w:ascii="Arial" w:hAnsi="Arial" w:cs="Arial"/>
        </w:rPr>
        <w:t xml:space="preserve"> competencia del Consejo</w:t>
      </w:r>
      <w:r w:rsidR="00024264" w:rsidRPr="00FA587B">
        <w:rPr>
          <w:rFonts w:ascii="Arial" w:hAnsi="Arial" w:cs="Arial"/>
        </w:rPr>
        <w:t xml:space="preserve"> de Estado</w:t>
      </w:r>
      <w:r w:rsidRPr="00FA587B">
        <w:rPr>
          <w:rFonts w:ascii="Arial" w:hAnsi="Arial" w:cs="Arial"/>
        </w:rPr>
        <w:t xml:space="preserve">; </w:t>
      </w:r>
      <w:r w:rsidRPr="00FA587B">
        <w:rPr>
          <w:rFonts w:ascii="Arial" w:hAnsi="Arial" w:cs="Arial"/>
          <w:b/>
        </w:rPr>
        <w:t xml:space="preserve">2) </w:t>
      </w:r>
      <w:r w:rsidR="00A819BB" w:rsidRPr="00FA587B">
        <w:rPr>
          <w:rFonts w:ascii="Arial" w:hAnsi="Arial" w:cs="Arial"/>
        </w:rPr>
        <w:t>presupuestos procesales:</w:t>
      </w:r>
      <w:r w:rsidRPr="00FA587B">
        <w:rPr>
          <w:rFonts w:ascii="Arial" w:hAnsi="Arial" w:cs="Arial"/>
        </w:rPr>
        <w:t xml:space="preserve"> </w:t>
      </w:r>
      <w:r w:rsidRPr="00FA587B">
        <w:rPr>
          <w:rFonts w:ascii="Arial" w:hAnsi="Arial" w:cs="Arial"/>
          <w:b/>
        </w:rPr>
        <w:t>2.1)</w:t>
      </w:r>
      <w:r w:rsidRPr="00FA587B">
        <w:rPr>
          <w:rFonts w:ascii="Arial" w:hAnsi="Arial" w:cs="Arial"/>
        </w:rPr>
        <w:t xml:space="preserve"> procedencia y oportunidad de la acción; </w:t>
      </w:r>
      <w:r w:rsidRPr="00FA587B">
        <w:rPr>
          <w:rFonts w:ascii="Arial" w:hAnsi="Arial" w:cs="Arial"/>
          <w:b/>
        </w:rPr>
        <w:t xml:space="preserve">2.2) </w:t>
      </w:r>
      <w:r w:rsidRPr="00FA587B">
        <w:rPr>
          <w:rFonts w:ascii="Arial" w:hAnsi="Arial" w:cs="Arial"/>
        </w:rPr>
        <w:t>legitimación en la causa;</w:t>
      </w:r>
      <w:r w:rsidR="00DD0843" w:rsidRPr="00FA587B">
        <w:rPr>
          <w:rFonts w:ascii="Arial" w:hAnsi="Arial" w:cs="Arial"/>
        </w:rPr>
        <w:t xml:space="preserve"> </w:t>
      </w:r>
      <w:r w:rsidR="00DD0843" w:rsidRPr="00FA587B">
        <w:rPr>
          <w:rFonts w:ascii="Arial" w:hAnsi="Arial" w:cs="Arial"/>
          <w:b/>
        </w:rPr>
        <w:t>3)</w:t>
      </w:r>
      <w:r w:rsidR="00AF258C" w:rsidRPr="00FA587B">
        <w:rPr>
          <w:rFonts w:ascii="Arial" w:hAnsi="Arial" w:cs="Arial"/>
          <w:b/>
        </w:rPr>
        <w:t xml:space="preserve"> </w:t>
      </w:r>
      <w:r w:rsidR="00AF258C" w:rsidRPr="00FA587B">
        <w:rPr>
          <w:rFonts w:ascii="Arial" w:hAnsi="Arial" w:cs="Arial"/>
          <w:iCs/>
        </w:rPr>
        <w:t xml:space="preserve">consideraciones probatorias - </w:t>
      </w:r>
      <w:r w:rsidR="00B86CE9" w:rsidRPr="00FA587B">
        <w:rPr>
          <w:rFonts w:ascii="Arial" w:hAnsi="Arial" w:cs="Arial"/>
        </w:rPr>
        <w:t>de la valoración de las actas de c</w:t>
      </w:r>
      <w:r w:rsidR="00AF258C" w:rsidRPr="00FA587B">
        <w:rPr>
          <w:rFonts w:ascii="Arial" w:hAnsi="Arial" w:cs="Arial"/>
        </w:rPr>
        <w:t>onciliación y de las actas del comité de defensa judicial y conciliación;</w:t>
      </w:r>
      <w:r w:rsidR="00AF258C" w:rsidRPr="00FA587B">
        <w:rPr>
          <w:rFonts w:ascii="Arial" w:hAnsi="Arial" w:cs="Arial"/>
          <w:b/>
        </w:rPr>
        <w:t xml:space="preserve"> 4) </w:t>
      </w:r>
      <w:r w:rsidR="00AF258C" w:rsidRPr="00FA587B">
        <w:rPr>
          <w:rFonts w:ascii="Arial" w:hAnsi="Arial" w:cs="Arial"/>
        </w:rPr>
        <w:t xml:space="preserve">análisis del caso: </w:t>
      </w:r>
      <w:r w:rsidR="00AF258C" w:rsidRPr="00FA587B">
        <w:rPr>
          <w:rFonts w:ascii="Arial" w:hAnsi="Arial" w:cs="Arial"/>
          <w:b/>
        </w:rPr>
        <w:t xml:space="preserve">4.1) </w:t>
      </w:r>
      <w:r w:rsidR="00AF258C" w:rsidRPr="00FA587B">
        <w:rPr>
          <w:rFonts w:ascii="Arial" w:hAnsi="Arial" w:cs="Arial"/>
        </w:rPr>
        <w:t>de la mayor permanencia en obra:</w:t>
      </w:r>
      <w:r w:rsidR="00AF258C" w:rsidRPr="00FA587B">
        <w:rPr>
          <w:rFonts w:ascii="Arial" w:hAnsi="Arial" w:cs="Arial"/>
          <w:b/>
        </w:rPr>
        <w:t xml:space="preserve"> 4.1.1)</w:t>
      </w:r>
      <w:r w:rsidR="00AF258C" w:rsidRPr="00FA587B">
        <w:rPr>
          <w:rFonts w:ascii="Arial" w:hAnsi="Arial" w:cs="Arial"/>
        </w:rPr>
        <w:t xml:space="preserve"> de la tardanza en el inicio de las obras; </w:t>
      </w:r>
      <w:r w:rsidR="00AF258C" w:rsidRPr="00FA587B">
        <w:rPr>
          <w:rFonts w:ascii="Arial" w:hAnsi="Arial" w:cs="Arial"/>
          <w:b/>
        </w:rPr>
        <w:t>4.1.2.)</w:t>
      </w:r>
      <w:r w:rsidR="00BD1881" w:rsidRPr="00FA587B">
        <w:rPr>
          <w:rFonts w:ascii="Arial" w:hAnsi="Arial" w:cs="Arial"/>
        </w:rPr>
        <w:t xml:space="preserve"> de la ampliación del plazo derivado de la suscripción de tres contratos adicionales</w:t>
      </w:r>
      <w:r w:rsidR="005A1891" w:rsidRPr="00FA587B">
        <w:rPr>
          <w:rFonts w:ascii="Arial" w:hAnsi="Arial" w:cs="Arial"/>
        </w:rPr>
        <w:t xml:space="preserve">; </w:t>
      </w:r>
      <w:r w:rsidR="005A1891" w:rsidRPr="00FA587B">
        <w:rPr>
          <w:rFonts w:ascii="Arial" w:hAnsi="Arial" w:cs="Arial"/>
          <w:b/>
        </w:rPr>
        <w:t xml:space="preserve">4.1.3) </w:t>
      </w:r>
      <w:r w:rsidR="005A1891" w:rsidRPr="00FA587B">
        <w:rPr>
          <w:rFonts w:ascii="Arial" w:hAnsi="Arial" w:cs="Arial"/>
          <w:bCs/>
          <w:lang w:val="es-MX"/>
        </w:rPr>
        <w:t xml:space="preserve">de la prueba de los sobrecostos por la mayor permanencia en obra originada en la ampliación del plazo contractual; </w:t>
      </w:r>
      <w:r w:rsidR="005A1891" w:rsidRPr="00FA587B">
        <w:rPr>
          <w:rFonts w:ascii="Arial" w:hAnsi="Arial" w:cs="Arial"/>
          <w:b/>
          <w:bCs/>
          <w:lang w:val="es-MX"/>
        </w:rPr>
        <w:t>4.2)</w:t>
      </w:r>
      <w:r w:rsidR="00F5610B" w:rsidRPr="00FA587B">
        <w:rPr>
          <w:rFonts w:ascii="Arial" w:hAnsi="Arial" w:cs="Arial"/>
          <w:b/>
          <w:lang w:val="es-CO" w:eastAsia="es-CO"/>
        </w:rPr>
        <w:t xml:space="preserve"> </w:t>
      </w:r>
      <w:r w:rsidR="00F5610B" w:rsidRPr="00FA587B">
        <w:rPr>
          <w:rFonts w:ascii="Arial" w:hAnsi="Arial" w:cs="Arial"/>
          <w:lang w:val="es-CO" w:eastAsia="es-CO"/>
        </w:rPr>
        <w:t xml:space="preserve">de la ausencia de reconocimiento de “obras no previstas ejecutadas dentro del Contrato No. 193”; </w:t>
      </w:r>
      <w:r w:rsidR="00F5610B" w:rsidRPr="00FA587B">
        <w:rPr>
          <w:rFonts w:ascii="Arial" w:hAnsi="Arial" w:cs="Arial"/>
          <w:b/>
          <w:lang w:val="es-CO" w:eastAsia="es-CO"/>
        </w:rPr>
        <w:t>4.3)</w:t>
      </w:r>
      <w:r w:rsidR="00F5610B" w:rsidRPr="00FA587B">
        <w:rPr>
          <w:rFonts w:ascii="Arial" w:hAnsi="Arial" w:cs="Arial"/>
          <w:lang w:val="es-CO" w:eastAsia="es-CO"/>
        </w:rPr>
        <w:t xml:space="preserve"> </w:t>
      </w:r>
      <w:r w:rsidR="00F5610B" w:rsidRPr="00FA587B">
        <w:rPr>
          <w:rFonts w:ascii="Arial" w:hAnsi="Arial" w:cs="Arial"/>
        </w:rPr>
        <w:t xml:space="preserve">la falta de reconocimiento del 5% del valor del Contrato No. 193; </w:t>
      </w:r>
      <w:r w:rsidR="00F5610B" w:rsidRPr="00FA587B">
        <w:rPr>
          <w:rFonts w:ascii="Arial" w:hAnsi="Arial" w:cs="Arial"/>
          <w:b/>
        </w:rPr>
        <w:t xml:space="preserve">4.4) </w:t>
      </w:r>
      <w:r w:rsidR="00F5610B" w:rsidRPr="00FA587B">
        <w:rPr>
          <w:rFonts w:ascii="Arial" w:hAnsi="Arial" w:cs="Arial"/>
        </w:rPr>
        <w:t>de la pretensión de liquidación judicial del contrato</w:t>
      </w:r>
      <w:r w:rsidR="00DD0843" w:rsidRPr="00FA587B">
        <w:rPr>
          <w:rFonts w:ascii="Arial" w:hAnsi="Arial" w:cs="Arial"/>
          <w:lang w:val="es-CO"/>
        </w:rPr>
        <w:t xml:space="preserve"> </w:t>
      </w:r>
      <w:r w:rsidRPr="00FA587B">
        <w:rPr>
          <w:rFonts w:ascii="Arial" w:hAnsi="Arial" w:cs="Arial"/>
          <w:lang w:val="es-ES_tradnl" w:eastAsia="es-CO"/>
        </w:rPr>
        <w:t>y</w:t>
      </w:r>
      <w:r w:rsidR="005C4A0D" w:rsidRPr="00FA587B">
        <w:rPr>
          <w:rFonts w:ascii="Arial" w:hAnsi="Arial" w:cs="Arial"/>
          <w:b/>
          <w:lang w:val="es-ES_tradnl" w:eastAsia="es-CO"/>
        </w:rPr>
        <w:t xml:space="preserve"> 5</w:t>
      </w:r>
      <w:r w:rsidRPr="00FA587B">
        <w:rPr>
          <w:rFonts w:ascii="Arial" w:hAnsi="Arial" w:cs="Arial"/>
          <w:b/>
          <w:lang w:val="es-ES_tradnl" w:eastAsia="es-CO"/>
        </w:rPr>
        <w:t xml:space="preserve">) </w:t>
      </w:r>
      <w:r w:rsidRPr="00FA587B">
        <w:rPr>
          <w:rFonts w:ascii="Arial" w:hAnsi="Arial" w:cs="Arial"/>
          <w:lang w:val="es-ES_tradnl" w:eastAsia="es-CO"/>
        </w:rPr>
        <w:t>de la</w:t>
      </w:r>
      <w:r w:rsidR="004E3787" w:rsidRPr="00FA587B">
        <w:rPr>
          <w:rFonts w:ascii="Arial" w:hAnsi="Arial" w:cs="Arial"/>
          <w:lang w:val="es-ES_tradnl" w:eastAsia="es-CO"/>
        </w:rPr>
        <w:t>s</w:t>
      </w:r>
      <w:r w:rsidRPr="00FA587B">
        <w:rPr>
          <w:rFonts w:ascii="Arial" w:hAnsi="Arial" w:cs="Arial"/>
          <w:lang w:val="es-ES_tradnl" w:eastAsia="es-CO"/>
        </w:rPr>
        <w:t xml:space="preserve"> costas.</w:t>
      </w:r>
    </w:p>
    <w:p w:rsidR="00FE32EF" w:rsidRPr="00FA587B" w:rsidRDefault="00FE32EF" w:rsidP="00FA587B">
      <w:pPr>
        <w:spacing w:line="360" w:lineRule="auto"/>
        <w:jc w:val="both"/>
        <w:rPr>
          <w:rFonts w:ascii="Arial" w:hAnsi="Arial" w:cs="Arial"/>
        </w:rPr>
      </w:pPr>
    </w:p>
    <w:p w:rsidR="00390707" w:rsidRPr="00FA587B" w:rsidRDefault="00390707" w:rsidP="00FA587B">
      <w:pPr>
        <w:spacing w:line="360" w:lineRule="auto"/>
        <w:jc w:val="both"/>
        <w:rPr>
          <w:rFonts w:ascii="Arial" w:hAnsi="Arial" w:cs="Arial"/>
          <w:b/>
        </w:rPr>
      </w:pPr>
      <w:r w:rsidRPr="00FA587B">
        <w:rPr>
          <w:rFonts w:ascii="Arial" w:hAnsi="Arial" w:cs="Arial"/>
          <w:b/>
        </w:rPr>
        <w:t xml:space="preserve">1.- Competencia del Consejo de Estado </w:t>
      </w:r>
    </w:p>
    <w:p w:rsidR="00390707" w:rsidRPr="00FA587B" w:rsidRDefault="00390707" w:rsidP="00FA587B">
      <w:pPr>
        <w:spacing w:line="360" w:lineRule="auto"/>
        <w:jc w:val="both"/>
        <w:rPr>
          <w:rFonts w:ascii="Arial" w:hAnsi="Arial" w:cs="Arial"/>
        </w:rPr>
      </w:pPr>
    </w:p>
    <w:p w:rsidR="00390707" w:rsidRPr="00FA587B" w:rsidRDefault="00390707" w:rsidP="00FA587B">
      <w:pPr>
        <w:spacing w:line="360" w:lineRule="auto"/>
        <w:jc w:val="both"/>
        <w:rPr>
          <w:rFonts w:ascii="Arial" w:hAnsi="Arial" w:cs="Arial"/>
          <w:lang w:val="es-CO"/>
        </w:rPr>
      </w:pPr>
      <w:r w:rsidRPr="00FA587B">
        <w:rPr>
          <w:rFonts w:ascii="Arial" w:hAnsi="Arial" w:cs="Arial"/>
        </w:rPr>
        <w:t>Esta Corporación es competente para conocer del recurso de apelación en virtud de lo dispuesto por el artículo 75</w:t>
      </w:r>
      <w:r w:rsidRPr="00FA587B">
        <w:rPr>
          <w:rFonts w:ascii="Arial" w:hAnsi="Arial" w:cs="Arial"/>
          <w:vertAlign w:val="superscript"/>
          <w:lang w:val="es-CO"/>
        </w:rPr>
        <w:footnoteReference w:id="1"/>
      </w:r>
      <w:r w:rsidRPr="00FA587B">
        <w:rPr>
          <w:rFonts w:ascii="Arial" w:hAnsi="Arial" w:cs="Arial"/>
        </w:rPr>
        <w:t xml:space="preserve"> de </w:t>
      </w:r>
      <w:smartTag w:uri="urn:schemas-microsoft-com:office:smarttags" w:element="PersonName">
        <w:smartTagPr>
          <w:attr w:name="ProductID" w:val="la Ley"/>
        </w:smartTagPr>
        <w:r w:rsidRPr="00FA587B">
          <w:rPr>
            <w:rFonts w:ascii="Arial" w:hAnsi="Arial" w:cs="Arial"/>
          </w:rPr>
          <w:t>la Ley</w:t>
        </w:r>
      </w:smartTag>
      <w:r w:rsidRPr="00FA587B">
        <w:rPr>
          <w:rFonts w:ascii="Arial" w:hAnsi="Arial" w:cs="Arial"/>
        </w:rPr>
        <w:t xml:space="preserve"> 80, expedida en el año de 1993, el cual </w:t>
      </w:r>
      <w:r w:rsidRPr="00FA587B">
        <w:rPr>
          <w:rFonts w:ascii="Arial" w:hAnsi="Arial" w:cs="Arial"/>
          <w:lang w:val="es-CO"/>
        </w:rPr>
        <w:t xml:space="preserve">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FA587B">
          <w:rPr>
            <w:rFonts w:ascii="Arial" w:hAnsi="Arial" w:cs="Arial"/>
            <w:lang w:val="es-CO"/>
          </w:rPr>
          <w:t>la Jurisdicción</w:t>
        </w:r>
      </w:smartTag>
      <w:r w:rsidRPr="00FA587B">
        <w:rPr>
          <w:rFonts w:ascii="Arial" w:hAnsi="Arial" w:cs="Arial"/>
          <w:lang w:val="es-CO"/>
        </w:rPr>
        <w:t xml:space="preserve"> de lo Contencioso Administrativo.</w:t>
      </w:r>
    </w:p>
    <w:p w:rsidR="00390707" w:rsidRPr="00FA587B" w:rsidRDefault="00390707" w:rsidP="00FA587B">
      <w:pPr>
        <w:spacing w:line="360" w:lineRule="auto"/>
        <w:jc w:val="both"/>
        <w:rPr>
          <w:rFonts w:ascii="Arial" w:hAnsi="Arial" w:cs="Arial"/>
          <w:lang w:val="es-CO"/>
        </w:rPr>
      </w:pPr>
    </w:p>
    <w:p w:rsidR="00390707" w:rsidRPr="00FA587B" w:rsidRDefault="00390707" w:rsidP="00FA587B">
      <w:pPr>
        <w:spacing w:line="360" w:lineRule="auto"/>
        <w:jc w:val="both"/>
        <w:rPr>
          <w:rFonts w:ascii="Arial" w:hAnsi="Arial" w:cs="Arial"/>
          <w:b/>
          <w:bCs/>
        </w:rPr>
      </w:pPr>
      <w:r w:rsidRPr="00FA587B">
        <w:rPr>
          <w:rFonts w:ascii="Arial" w:hAnsi="Arial" w:cs="Arial"/>
          <w:lang w:val="es-CO"/>
        </w:rPr>
        <w:t xml:space="preserve">Por su parte, el </w:t>
      </w:r>
      <w:r w:rsidRPr="00FA587B">
        <w:rPr>
          <w:rFonts w:ascii="Arial" w:hAnsi="Arial" w:cs="Arial"/>
        </w:rPr>
        <w:t xml:space="preserve">artículo 82 del Código Contencioso Administrativo, modificado por el artículo 30 de </w:t>
      </w:r>
      <w:smartTag w:uri="urn:schemas-microsoft-com:office:smarttags" w:element="PersonName">
        <w:smartTagPr>
          <w:attr w:name="ProductID" w:val="la Ley"/>
        </w:smartTagPr>
        <w:r w:rsidRPr="00FA587B">
          <w:rPr>
            <w:rFonts w:ascii="Arial" w:hAnsi="Arial" w:cs="Arial"/>
          </w:rPr>
          <w:t>la Ley</w:t>
        </w:r>
      </w:smartTag>
      <w:r w:rsidRPr="00FA587B">
        <w:rPr>
          <w:rFonts w:ascii="Arial" w:hAnsi="Arial" w:cs="Arial"/>
        </w:rPr>
        <w:t xml:space="preserve"> 446 de 1998, que a su vez fue reformado por el artículo 1 de </w:t>
      </w:r>
      <w:smartTag w:uri="urn:schemas-microsoft-com:office:smarttags" w:element="PersonName">
        <w:smartTagPr>
          <w:attr w:name="ProductID" w:val="la Ley"/>
        </w:smartTagPr>
        <w:r w:rsidRPr="00FA587B">
          <w:rPr>
            <w:rFonts w:ascii="Arial" w:hAnsi="Arial" w:cs="Arial"/>
          </w:rPr>
          <w:t>la Ley</w:t>
        </w:r>
      </w:smartTag>
      <w:r w:rsidRPr="00FA587B">
        <w:rPr>
          <w:rFonts w:ascii="Arial" w:hAnsi="Arial" w:cs="Arial"/>
        </w:rPr>
        <w:t xml:space="preserve"> 1107 de 2006, normas vigentes para la época de presentación de la demanda, consagra</w:t>
      </w:r>
      <w:r w:rsidR="00FA35AF" w:rsidRPr="00FA587B">
        <w:rPr>
          <w:rFonts w:ascii="Arial" w:hAnsi="Arial" w:cs="Arial"/>
        </w:rPr>
        <w:t>ron</w:t>
      </w:r>
      <w:r w:rsidRPr="00FA587B">
        <w:rPr>
          <w:rFonts w:ascii="Arial" w:hAnsi="Arial" w:cs="Arial"/>
        </w:rPr>
        <w:t xml:space="preserve"> que </w:t>
      </w:r>
      <w:smartTag w:uri="urn:schemas-microsoft-com:office:smarttags" w:element="PersonName">
        <w:smartTagPr>
          <w:attr w:name="ProductID" w:val="la Jurisdicción"/>
        </w:smartTagPr>
        <w:r w:rsidRPr="00FA587B">
          <w:rPr>
            <w:rFonts w:ascii="Arial" w:hAnsi="Arial" w:cs="Arial"/>
          </w:rPr>
          <w:t>l</w:t>
        </w:r>
        <w:r w:rsidRPr="00FA587B">
          <w:rPr>
            <w:rFonts w:ascii="Arial" w:hAnsi="Arial" w:cs="Arial"/>
            <w:color w:val="000000"/>
            <w:lang w:val="es-ES_tradnl"/>
          </w:rPr>
          <w:t>a Jurisdicción</w:t>
        </w:r>
      </w:smartTag>
      <w:r w:rsidRPr="00FA587B">
        <w:rPr>
          <w:rFonts w:ascii="Arial" w:hAnsi="Arial" w:cs="Arial"/>
          <w:color w:val="000000"/>
          <w:lang w:val="es-ES_tradnl"/>
        </w:rPr>
        <w:t xml:space="preserve"> de lo Contencioso Administrativo es la competente para decidir las </w:t>
      </w:r>
      <w:r w:rsidRPr="00FA587B">
        <w:rPr>
          <w:rFonts w:ascii="Arial" w:hAnsi="Arial" w:cs="Arial"/>
          <w:lang w:val="es-ES_tradnl"/>
        </w:rPr>
        <w:t>controversi</w:t>
      </w:r>
      <w:r w:rsidRPr="00FA587B">
        <w:rPr>
          <w:rFonts w:ascii="Arial" w:hAnsi="Arial" w:cs="Arial"/>
          <w:color w:val="000000"/>
          <w:lang w:val="es-ES_tradnl"/>
        </w:rPr>
        <w:t>as y litigios originados en la actividad de las entidades públicas.</w:t>
      </w:r>
    </w:p>
    <w:p w:rsidR="00390707" w:rsidRPr="00FA587B" w:rsidRDefault="00390707" w:rsidP="00FA587B">
      <w:pPr>
        <w:spacing w:line="360" w:lineRule="auto"/>
        <w:jc w:val="both"/>
        <w:rPr>
          <w:rFonts w:ascii="Arial" w:hAnsi="Arial" w:cs="Arial"/>
          <w:lang w:val="es-CO"/>
        </w:rPr>
      </w:pPr>
    </w:p>
    <w:p w:rsidR="006E73DE" w:rsidRPr="00FA587B" w:rsidRDefault="006E73DE" w:rsidP="00FA587B">
      <w:pPr>
        <w:spacing w:line="360" w:lineRule="auto"/>
        <w:jc w:val="both"/>
        <w:rPr>
          <w:rFonts w:ascii="Arial" w:hAnsi="Arial" w:cs="Arial"/>
          <w:lang w:val="es-CO"/>
        </w:rPr>
      </w:pPr>
      <w:r w:rsidRPr="00FA587B">
        <w:rPr>
          <w:rFonts w:ascii="Arial" w:hAnsi="Arial" w:cs="Arial"/>
          <w:lang w:val="es-CO"/>
        </w:rPr>
        <w:t>En esta oportunidad se encuentran en controversia circuns</w:t>
      </w:r>
      <w:r w:rsidR="00BB71F9" w:rsidRPr="00FA587B">
        <w:rPr>
          <w:rFonts w:ascii="Arial" w:hAnsi="Arial" w:cs="Arial"/>
          <w:lang w:val="es-CO"/>
        </w:rPr>
        <w:t xml:space="preserve">tancias atinentes al presunto incumplimiento y/o </w:t>
      </w:r>
      <w:r w:rsidRPr="00FA587B">
        <w:rPr>
          <w:rFonts w:ascii="Arial" w:hAnsi="Arial" w:cs="Arial"/>
          <w:lang w:val="es-CO"/>
        </w:rPr>
        <w:t>ruptura del equilibri</w:t>
      </w:r>
      <w:r w:rsidR="00BB71F9" w:rsidRPr="00FA587B">
        <w:rPr>
          <w:rFonts w:ascii="Arial" w:hAnsi="Arial" w:cs="Arial"/>
          <w:lang w:val="es-CO"/>
        </w:rPr>
        <w:t>o económico del Contrato No. 193</w:t>
      </w:r>
      <w:r w:rsidRPr="00FA587B">
        <w:rPr>
          <w:rFonts w:ascii="Arial" w:hAnsi="Arial" w:cs="Arial"/>
          <w:lang w:val="es-CO"/>
        </w:rPr>
        <w:t xml:space="preserve"> de 2005, celebrado entre el</w:t>
      </w:r>
      <w:r w:rsidR="00BB71F9" w:rsidRPr="00FA587B">
        <w:rPr>
          <w:rFonts w:ascii="Arial" w:hAnsi="Arial" w:cs="Arial"/>
          <w:lang w:val="es-CO"/>
        </w:rPr>
        <w:t xml:space="preserve"> Instituto de Desarrollo Urbano y el ingeniero Jaime Carmona Soto</w:t>
      </w:r>
      <w:r w:rsidRPr="00FA587B">
        <w:rPr>
          <w:rFonts w:ascii="Arial" w:hAnsi="Arial" w:cs="Arial"/>
          <w:lang w:val="es-MX"/>
        </w:rPr>
        <w:t>.</w:t>
      </w:r>
    </w:p>
    <w:p w:rsidR="006E73DE" w:rsidRPr="00FA587B" w:rsidRDefault="006E73DE" w:rsidP="00FA587B">
      <w:pPr>
        <w:spacing w:line="360" w:lineRule="auto"/>
        <w:jc w:val="both"/>
        <w:rPr>
          <w:rFonts w:ascii="Arial" w:hAnsi="Arial" w:cs="Arial"/>
          <w:lang w:val="es-CO"/>
        </w:rPr>
      </w:pPr>
    </w:p>
    <w:p w:rsidR="006E73DE" w:rsidRPr="00FA587B" w:rsidRDefault="006E73DE" w:rsidP="00FA587B">
      <w:pPr>
        <w:spacing w:line="360" w:lineRule="auto"/>
        <w:jc w:val="both"/>
        <w:rPr>
          <w:rFonts w:ascii="Arial" w:hAnsi="Arial" w:cs="Arial"/>
          <w:lang w:val="es-CO"/>
        </w:rPr>
      </w:pPr>
      <w:r w:rsidRPr="00FA587B">
        <w:rPr>
          <w:rFonts w:ascii="Arial" w:hAnsi="Arial" w:cs="Arial"/>
          <w:lang w:val="es-CO"/>
        </w:rPr>
        <w:t xml:space="preserve">Así las cosas, se precisa que la entidad contratante, </w:t>
      </w:r>
      <w:r w:rsidR="00BB71F9" w:rsidRPr="00FA587B">
        <w:rPr>
          <w:rFonts w:ascii="Arial" w:hAnsi="Arial" w:cs="Arial"/>
          <w:lang w:val="es-CO"/>
        </w:rPr>
        <w:t>Instituto de Desarrollo Urbano</w:t>
      </w:r>
      <w:r w:rsidRPr="00FA587B">
        <w:rPr>
          <w:rFonts w:ascii="Arial" w:hAnsi="Arial" w:cs="Arial"/>
          <w:lang w:val="es-CO"/>
        </w:rPr>
        <w:t>, de conformidad con lo dispuesto en</w:t>
      </w:r>
      <w:r w:rsidRPr="00FA587B">
        <w:rPr>
          <w:rFonts w:ascii="Arial" w:hAnsi="Arial" w:cs="Arial"/>
        </w:rPr>
        <w:t xml:space="preserve"> la letra a) del numeral primero del artículo 2º de la Ley 80 de 1993</w:t>
      </w:r>
      <w:r w:rsidRPr="00FA587B">
        <w:rPr>
          <w:rFonts w:ascii="Arial" w:hAnsi="Arial" w:cs="Arial"/>
          <w:i/>
          <w:iCs/>
          <w:vertAlign w:val="superscript"/>
        </w:rPr>
        <w:footnoteReference w:id="2"/>
      </w:r>
      <w:r w:rsidR="00BB71F9" w:rsidRPr="00FA587B">
        <w:rPr>
          <w:rFonts w:ascii="Arial" w:hAnsi="Arial" w:cs="Arial"/>
        </w:rPr>
        <w:t>, es un establecimiento público</w:t>
      </w:r>
      <w:r w:rsidRPr="00FA587B">
        <w:rPr>
          <w:rFonts w:ascii="Arial" w:hAnsi="Arial" w:cs="Arial"/>
        </w:rPr>
        <w:t xml:space="preserve"> </w:t>
      </w:r>
      <w:r w:rsidR="00121C97" w:rsidRPr="00FA587B">
        <w:rPr>
          <w:rFonts w:ascii="Arial" w:hAnsi="Arial" w:cs="Arial"/>
        </w:rPr>
        <w:t xml:space="preserve">del orden distrital </w:t>
      </w:r>
      <w:r w:rsidRPr="00FA587B">
        <w:rPr>
          <w:rFonts w:ascii="Arial" w:hAnsi="Arial" w:cs="Arial"/>
        </w:rPr>
        <w:t xml:space="preserve">y, por tanto, </w:t>
      </w:r>
      <w:r w:rsidRPr="00FA587B">
        <w:rPr>
          <w:rFonts w:ascii="Arial" w:hAnsi="Arial" w:cs="Arial"/>
          <w:lang w:val="es-MX"/>
        </w:rPr>
        <w:t xml:space="preserve">tiene el carácter de </w:t>
      </w:r>
      <w:r w:rsidRPr="00FA587B">
        <w:rPr>
          <w:rFonts w:ascii="Arial" w:hAnsi="Arial" w:cs="Arial"/>
        </w:rPr>
        <w:t xml:space="preserve">entidad estatal. </w:t>
      </w:r>
    </w:p>
    <w:p w:rsidR="006E73DE" w:rsidRPr="00FA587B" w:rsidRDefault="006E73DE" w:rsidP="00FA587B">
      <w:pPr>
        <w:spacing w:line="360" w:lineRule="auto"/>
        <w:jc w:val="both"/>
        <w:rPr>
          <w:rFonts w:ascii="Arial" w:hAnsi="Arial" w:cs="Arial"/>
          <w:lang w:val="es-CO"/>
        </w:rPr>
      </w:pPr>
    </w:p>
    <w:p w:rsidR="006E73DE" w:rsidRPr="00FA587B" w:rsidRDefault="006E73DE" w:rsidP="00FA587B">
      <w:pPr>
        <w:spacing w:line="360" w:lineRule="auto"/>
        <w:jc w:val="both"/>
        <w:rPr>
          <w:rFonts w:ascii="Arial" w:hAnsi="Arial" w:cs="Arial"/>
          <w:lang w:val="es-ES_tradnl"/>
        </w:rPr>
      </w:pPr>
      <w:r w:rsidRPr="00FA587B">
        <w:rPr>
          <w:rFonts w:ascii="Arial" w:hAnsi="Arial" w:cs="Arial"/>
          <w:lang w:val="es-ES_tradnl"/>
        </w:rPr>
        <w:t xml:space="preserve">Hechas las anteriores precisiones, se concluye que es esta Jurisdicción la competente para conocer de la presente controversia. </w:t>
      </w:r>
    </w:p>
    <w:p w:rsidR="006E73DE" w:rsidRPr="00FA587B" w:rsidRDefault="006E73DE" w:rsidP="00FA587B">
      <w:pPr>
        <w:rPr>
          <w:rFonts w:ascii="Arial" w:hAnsi="Arial" w:cs="Arial"/>
          <w:lang w:val="es-CO" w:eastAsia="es-CO"/>
        </w:rPr>
      </w:pPr>
    </w:p>
    <w:p w:rsidR="006E73DE" w:rsidRPr="00FA587B" w:rsidRDefault="006E73DE" w:rsidP="00FA587B">
      <w:pPr>
        <w:spacing w:line="360" w:lineRule="auto"/>
        <w:jc w:val="both"/>
        <w:rPr>
          <w:rFonts w:ascii="Arial" w:hAnsi="Arial" w:cs="Arial"/>
          <w:lang w:val="es-CO" w:eastAsia="es-CO"/>
        </w:rPr>
      </w:pPr>
      <w:r w:rsidRPr="00FA587B">
        <w:rPr>
          <w:rFonts w:ascii="Arial" w:hAnsi="Arial" w:cs="Arial"/>
          <w:lang w:val="es-CO" w:eastAsia="es-CO"/>
        </w:rPr>
        <w:t>También le asiste competencia a la Sala para conocer de la presente causa en segunda instancia, toda vez que la mayor de las pretensiones de contenido económico se est</w:t>
      </w:r>
      <w:r w:rsidR="00E72FC9" w:rsidRPr="00FA587B">
        <w:rPr>
          <w:rFonts w:ascii="Arial" w:hAnsi="Arial" w:cs="Arial"/>
          <w:lang w:val="es-CO" w:eastAsia="es-CO"/>
        </w:rPr>
        <w:t>imó en la suma de $910’225.897</w:t>
      </w:r>
      <w:r w:rsidRPr="00FA587B">
        <w:rPr>
          <w:rFonts w:ascii="Arial" w:hAnsi="Arial" w:cs="Arial"/>
          <w:lang w:val="es-CO" w:eastAsia="es-CO"/>
        </w:rPr>
        <w:t>, monto que resulta superior a la suma equivalente a 500 S.M.L.M.V. ($257’500.000)</w:t>
      </w:r>
      <w:r w:rsidRPr="00FA587B">
        <w:rPr>
          <w:rFonts w:ascii="Arial" w:hAnsi="Arial" w:cs="Arial"/>
          <w:vertAlign w:val="superscript"/>
          <w:lang w:val="es-CO" w:eastAsia="es-CO"/>
        </w:rPr>
        <w:footnoteReference w:id="3"/>
      </w:r>
      <w:r w:rsidRPr="00FA587B">
        <w:rPr>
          <w:rFonts w:ascii="Arial" w:hAnsi="Arial" w:cs="Arial"/>
          <w:lang w:val="es-CO" w:eastAsia="es-CO"/>
        </w:rPr>
        <w:t xml:space="preserve">, exigida en la Ley 954, promulgada el 28 de abril de 2005, para que el proceso tuviera vocación de doble instancia. </w:t>
      </w:r>
    </w:p>
    <w:p w:rsidR="0074080E" w:rsidRPr="00FA587B" w:rsidRDefault="0074080E" w:rsidP="00FA587B">
      <w:pPr>
        <w:spacing w:line="360" w:lineRule="auto"/>
        <w:jc w:val="both"/>
        <w:rPr>
          <w:rFonts w:ascii="Arial" w:hAnsi="Arial" w:cs="Arial"/>
          <w:b/>
          <w:lang w:val="es-CO" w:eastAsia="es-CO"/>
        </w:rPr>
      </w:pPr>
    </w:p>
    <w:p w:rsidR="00390707" w:rsidRPr="00FA587B" w:rsidRDefault="00390707" w:rsidP="00FA587B">
      <w:pPr>
        <w:spacing w:line="360" w:lineRule="auto"/>
        <w:jc w:val="both"/>
        <w:rPr>
          <w:rFonts w:ascii="Arial" w:hAnsi="Arial" w:cs="Arial"/>
          <w:b/>
          <w:lang w:val="es-CO" w:eastAsia="es-CO"/>
        </w:rPr>
      </w:pPr>
      <w:r w:rsidRPr="00FA587B">
        <w:rPr>
          <w:rFonts w:ascii="Arial" w:hAnsi="Arial" w:cs="Arial"/>
          <w:b/>
          <w:lang w:val="es-CO" w:eastAsia="es-CO"/>
        </w:rPr>
        <w:t xml:space="preserve">2. </w:t>
      </w:r>
      <w:r w:rsidR="00272BE9" w:rsidRPr="00FA587B">
        <w:rPr>
          <w:rFonts w:ascii="Arial" w:hAnsi="Arial" w:cs="Arial"/>
          <w:b/>
          <w:lang w:val="es-CO" w:eastAsia="es-CO"/>
        </w:rPr>
        <w:t xml:space="preserve">- </w:t>
      </w:r>
      <w:r w:rsidRPr="00FA587B">
        <w:rPr>
          <w:rFonts w:ascii="Arial" w:hAnsi="Arial" w:cs="Arial"/>
          <w:b/>
          <w:lang w:val="es-CO" w:eastAsia="es-CO"/>
        </w:rPr>
        <w:t>Presupuestos procesales</w:t>
      </w:r>
    </w:p>
    <w:p w:rsidR="00390707" w:rsidRPr="00FA587B" w:rsidRDefault="00390707" w:rsidP="00FA587B">
      <w:pPr>
        <w:spacing w:line="360" w:lineRule="auto"/>
        <w:jc w:val="both"/>
        <w:rPr>
          <w:rFonts w:ascii="Arial" w:hAnsi="Arial" w:cs="Arial"/>
          <w:b/>
          <w:lang w:val="es-CO" w:eastAsia="es-CO"/>
        </w:rPr>
      </w:pPr>
      <w:r w:rsidRPr="00FA587B">
        <w:rPr>
          <w:rFonts w:ascii="Arial" w:hAnsi="Arial" w:cs="Arial"/>
          <w:b/>
          <w:lang w:val="es-CO" w:eastAsia="es-CO"/>
        </w:rPr>
        <w:t xml:space="preserve"> </w:t>
      </w:r>
    </w:p>
    <w:p w:rsidR="00390707" w:rsidRPr="00FA587B" w:rsidRDefault="00390707" w:rsidP="00FA587B">
      <w:pPr>
        <w:spacing w:line="360" w:lineRule="auto"/>
        <w:jc w:val="both"/>
        <w:rPr>
          <w:rFonts w:ascii="Arial" w:hAnsi="Arial" w:cs="Arial"/>
          <w:b/>
          <w:lang w:val="es-CO" w:eastAsia="es-CO"/>
        </w:rPr>
      </w:pPr>
      <w:r w:rsidRPr="00FA587B">
        <w:rPr>
          <w:rFonts w:ascii="Arial" w:hAnsi="Arial" w:cs="Arial"/>
          <w:b/>
          <w:lang w:val="es-CO" w:eastAsia="es-CO"/>
        </w:rPr>
        <w:t xml:space="preserve">2.1.- Procedencia y oportunidad de la acción </w:t>
      </w:r>
    </w:p>
    <w:p w:rsidR="00C71827" w:rsidRPr="00FA587B" w:rsidRDefault="00C71827" w:rsidP="00FA587B">
      <w:pPr>
        <w:spacing w:line="360" w:lineRule="auto"/>
        <w:jc w:val="both"/>
        <w:rPr>
          <w:rFonts w:ascii="Arial" w:hAnsi="Arial" w:cs="Arial"/>
          <w:lang w:val="es-CO" w:eastAsia="es-CO"/>
        </w:rPr>
      </w:pPr>
    </w:p>
    <w:p w:rsidR="00C71827" w:rsidRPr="00FA587B" w:rsidRDefault="00C71827" w:rsidP="00FA587B">
      <w:pPr>
        <w:spacing w:line="360" w:lineRule="auto"/>
        <w:jc w:val="both"/>
        <w:rPr>
          <w:rFonts w:ascii="Arial" w:hAnsi="Arial" w:cs="Arial"/>
          <w:lang w:val="es-MX"/>
        </w:rPr>
      </w:pPr>
      <w:r w:rsidRPr="00FA587B">
        <w:rPr>
          <w:rFonts w:ascii="Arial" w:hAnsi="Arial" w:cs="Arial"/>
          <w:lang w:val="es-CO" w:eastAsia="es-CO"/>
        </w:rPr>
        <w:lastRenderedPageBreak/>
        <w:t xml:space="preserve">El presente debate versa sobre el supuesto incumplimiento </w:t>
      </w:r>
      <w:r w:rsidR="00CB0151" w:rsidRPr="00FA587B">
        <w:rPr>
          <w:rFonts w:ascii="Arial" w:hAnsi="Arial" w:cs="Arial"/>
          <w:lang w:val="es-CO" w:eastAsia="es-CO"/>
        </w:rPr>
        <w:t>y/o</w:t>
      </w:r>
      <w:r w:rsidR="002F106B" w:rsidRPr="00FA587B">
        <w:rPr>
          <w:rFonts w:ascii="Arial" w:hAnsi="Arial" w:cs="Arial"/>
          <w:lang w:val="es-CO" w:eastAsia="es-CO"/>
        </w:rPr>
        <w:t xml:space="preserve"> ruptura del equilib</w:t>
      </w:r>
      <w:r w:rsidR="00121C97" w:rsidRPr="00FA587B">
        <w:rPr>
          <w:rFonts w:ascii="Arial" w:hAnsi="Arial" w:cs="Arial"/>
          <w:lang w:val="es-CO" w:eastAsia="es-CO"/>
        </w:rPr>
        <w:t xml:space="preserve">rio económico del Contrato No. </w:t>
      </w:r>
      <w:r w:rsidR="002F106B" w:rsidRPr="00FA587B">
        <w:rPr>
          <w:rFonts w:ascii="Arial" w:hAnsi="Arial" w:cs="Arial"/>
          <w:lang w:val="es-CO" w:eastAsia="es-CO"/>
        </w:rPr>
        <w:t>193</w:t>
      </w:r>
      <w:r w:rsidRPr="00FA587B">
        <w:rPr>
          <w:rFonts w:ascii="Arial" w:hAnsi="Arial" w:cs="Arial"/>
          <w:lang w:val="es-CO" w:eastAsia="es-CO"/>
        </w:rPr>
        <w:t xml:space="preserve"> de 2005</w:t>
      </w:r>
      <w:r w:rsidR="00121C97" w:rsidRPr="00FA587B">
        <w:rPr>
          <w:rFonts w:ascii="Arial" w:hAnsi="Arial" w:cs="Arial"/>
          <w:lang w:val="es-CO" w:eastAsia="es-CO"/>
        </w:rPr>
        <w:t>,</w:t>
      </w:r>
      <w:r w:rsidRPr="00FA587B">
        <w:rPr>
          <w:rFonts w:ascii="Arial" w:hAnsi="Arial" w:cs="Arial"/>
          <w:lang w:val="es-CO" w:eastAsia="es-CO"/>
        </w:rPr>
        <w:t xml:space="preserve"> celebrado entre el</w:t>
      </w:r>
      <w:r w:rsidR="002F106B" w:rsidRPr="00FA587B">
        <w:rPr>
          <w:rFonts w:ascii="Arial" w:hAnsi="Arial" w:cs="Arial"/>
          <w:lang w:val="es-CO" w:eastAsia="es-CO"/>
        </w:rPr>
        <w:t xml:space="preserve"> Instituto de Desarrollo Urbano y el ingeniero Jaime Carmona Soto</w:t>
      </w:r>
      <w:r w:rsidRPr="00FA587B">
        <w:rPr>
          <w:rFonts w:ascii="Arial" w:hAnsi="Arial" w:cs="Arial"/>
          <w:lang w:val="es-MX"/>
        </w:rPr>
        <w:t xml:space="preserve">, aspecto que, al tenor de lo dispuesto en el artículo 87 del C.C.A., corresponde ventilarse a través del cauce de la acción contractual impetrada. </w:t>
      </w:r>
    </w:p>
    <w:p w:rsidR="002F106B" w:rsidRPr="00FA587B" w:rsidRDefault="002F106B" w:rsidP="00FA587B">
      <w:pPr>
        <w:spacing w:line="360" w:lineRule="auto"/>
        <w:jc w:val="both"/>
        <w:rPr>
          <w:rFonts w:ascii="Arial" w:hAnsi="Arial" w:cs="Arial"/>
          <w:lang w:val="es-MX"/>
        </w:rPr>
      </w:pPr>
    </w:p>
    <w:p w:rsidR="002F106B" w:rsidRPr="00FA587B" w:rsidRDefault="002F106B" w:rsidP="00FA587B">
      <w:pPr>
        <w:spacing w:line="360" w:lineRule="auto"/>
        <w:jc w:val="both"/>
        <w:rPr>
          <w:rFonts w:ascii="Arial" w:hAnsi="Arial" w:cs="Arial"/>
          <w:lang w:val="es-MX"/>
        </w:rPr>
      </w:pPr>
      <w:r w:rsidRPr="00FA587B">
        <w:rPr>
          <w:rFonts w:ascii="Arial" w:hAnsi="Arial" w:cs="Arial"/>
          <w:lang w:val="es-MX"/>
        </w:rPr>
        <w:t xml:space="preserve">Recuerda la Sala que </w:t>
      </w:r>
      <w:r w:rsidR="00121C97" w:rsidRPr="00FA587B">
        <w:rPr>
          <w:rFonts w:ascii="Arial" w:hAnsi="Arial" w:cs="Arial"/>
          <w:lang w:val="es-MX"/>
        </w:rPr>
        <w:t>uno de los</w:t>
      </w:r>
      <w:r w:rsidRPr="00FA587B">
        <w:rPr>
          <w:rFonts w:ascii="Arial" w:hAnsi="Arial" w:cs="Arial"/>
          <w:lang w:val="es-MX"/>
        </w:rPr>
        <w:t xml:space="preserve"> rep</w:t>
      </w:r>
      <w:r w:rsidR="008A6CBF" w:rsidRPr="00FA587B">
        <w:rPr>
          <w:rFonts w:ascii="Arial" w:hAnsi="Arial" w:cs="Arial"/>
          <w:lang w:val="es-MX"/>
        </w:rPr>
        <w:t>roche</w:t>
      </w:r>
      <w:r w:rsidR="00121C97" w:rsidRPr="00FA587B">
        <w:rPr>
          <w:rFonts w:ascii="Arial" w:hAnsi="Arial" w:cs="Arial"/>
          <w:lang w:val="es-MX"/>
        </w:rPr>
        <w:t>s</w:t>
      </w:r>
      <w:r w:rsidR="008A6CBF" w:rsidRPr="00FA587B">
        <w:rPr>
          <w:rFonts w:ascii="Arial" w:hAnsi="Arial" w:cs="Arial"/>
          <w:lang w:val="es-MX"/>
        </w:rPr>
        <w:t xml:space="preserve"> esencial</w:t>
      </w:r>
      <w:r w:rsidR="00121C97" w:rsidRPr="00FA587B">
        <w:rPr>
          <w:rFonts w:ascii="Arial" w:hAnsi="Arial" w:cs="Arial"/>
          <w:lang w:val="es-MX"/>
        </w:rPr>
        <w:t>es</w:t>
      </w:r>
      <w:r w:rsidR="008A6CBF" w:rsidRPr="00FA587B">
        <w:rPr>
          <w:rFonts w:ascii="Arial" w:hAnsi="Arial" w:cs="Arial"/>
          <w:lang w:val="es-MX"/>
        </w:rPr>
        <w:t xml:space="preserve"> en que se cimentó</w:t>
      </w:r>
      <w:r w:rsidRPr="00FA587B">
        <w:rPr>
          <w:rFonts w:ascii="Arial" w:hAnsi="Arial" w:cs="Arial"/>
          <w:lang w:val="es-MX"/>
        </w:rPr>
        <w:t xml:space="preserve"> la alzada aludió a</w:t>
      </w:r>
      <w:r w:rsidR="007E2494" w:rsidRPr="00FA587B">
        <w:rPr>
          <w:rFonts w:ascii="Arial" w:hAnsi="Arial" w:cs="Arial"/>
          <w:lang w:val="es-MX"/>
        </w:rPr>
        <w:t xml:space="preserve"> que la parte actora </w:t>
      </w:r>
      <w:r w:rsidRPr="00FA587B">
        <w:rPr>
          <w:rFonts w:ascii="Arial" w:hAnsi="Arial" w:cs="Arial"/>
          <w:lang w:val="es-MX"/>
        </w:rPr>
        <w:t xml:space="preserve">había adelantado la conciliación prejudicial como requisito de procedibilidad respecto de cada una de las pretensiones </w:t>
      </w:r>
      <w:r w:rsidR="007E2494" w:rsidRPr="00FA587B">
        <w:rPr>
          <w:rFonts w:ascii="Arial" w:hAnsi="Arial" w:cs="Arial"/>
          <w:lang w:val="es-MX"/>
        </w:rPr>
        <w:t xml:space="preserve">que </w:t>
      </w:r>
      <w:r w:rsidRPr="00FA587B">
        <w:rPr>
          <w:rFonts w:ascii="Arial" w:hAnsi="Arial" w:cs="Arial"/>
          <w:lang w:val="es-MX"/>
        </w:rPr>
        <w:t xml:space="preserve">en este asunto </w:t>
      </w:r>
      <w:r w:rsidR="00CB0151" w:rsidRPr="00FA587B">
        <w:rPr>
          <w:rFonts w:ascii="Arial" w:hAnsi="Arial" w:cs="Arial"/>
          <w:lang w:val="es-MX"/>
        </w:rPr>
        <w:t>se elevaban</w:t>
      </w:r>
      <w:r w:rsidR="00121C97" w:rsidRPr="00FA587B">
        <w:rPr>
          <w:rFonts w:ascii="Arial" w:hAnsi="Arial" w:cs="Arial"/>
          <w:lang w:val="es-MX"/>
        </w:rPr>
        <w:t>,</w:t>
      </w:r>
      <w:r w:rsidR="007E2494" w:rsidRPr="00FA587B">
        <w:rPr>
          <w:rFonts w:ascii="Arial" w:hAnsi="Arial" w:cs="Arial"/>
          <w:lang w:val="es-MX"/>
        </w:rPr>
        <w:t xml:space="preserve"> </w:t>
      </w:r>
      <w:r w:rsidR="00121C97" w:rsidRPr="00FA587B">
        <w:rPr>
          <w:rFonts w:ascii="Arial" w:hAnsi="Arial" w:cs="Arial"/>
          <w:lang w:val="es-MX"/>
        </w:rPr>
        <w:t xml:space="preserve">premisa </w:t>
      </w:r>
      <w:r w:rsidRPr="00FA587B">
        <w:rPr>
          <w:rFonts w:ascii="Arial" w:hAnsi="Arial" w:cs="Arial"/>
          <w:lang w:val="es-MX"/>
        </w:rPr>
        <w:t xml:space="preserve">que dejaba sin asiento jurídico </w:t>
      </w:r>
      <w:r w:rsidR="00045343" w:rsidRPr="00FA587B">
        <w:rPr>
          <w:rFonts w:ascii="Arial" w:hAnsi="Arial" w:cs="Arial"/>
          <w:lang w:val="es-MX"/>
        </w:rPr>
        <w:t>la inhibición del</w:t>
      </w:r>
      <w:r w:rsidRPr="00FA587B">
        <w:rPr>
          <w:rFonts w:ascii="Arial" w:hAnsi="Arial" w:cs="Arial"/>
          <w:lang w:val="es-MX"/>
        </w:rPr>
        <w:t xml:space="preserve"> Tribunal</w:t>
      </w:r>
      <w:r w:rsidR="00045343" w:rsidRPr="00FA587B">
        <w:rPr>
          <w:rFonts w:ascii="Arial" w:hAnsi="Arial" w:cs="Arial"/>
          <w:lang w:val="es-MX"/>
        </w:rPr>
        <w:t xml:space="preserve"> para pronunciarse de fondo</w:t>
      </w:r>
      <w:r w:rsidRPr="00FA587B">
        <w:rPr>
          <w:rFonts w:ascii="Arial" w:hAnsi="Arial" w:cs="Arial"/>
          <w:lang w:val="es-MX"/>
        </w:rPr>
        <w:t xml:space="preserve"> frente a las pretensiones de liquidación judicial del contrato y </w:t>
      </w:r>
      <w:r w:rsidR="00121C97" w:rsidRPr="00FA587B">
        <w:rPr>
          <w:rFonts w:ascii="Arial" w:hAnsi="Arial" w:cs="Arial"/>
          <w:lang w:val="es-MX"/>
        </w:rPr>
        <w:t xml:space="preserve">de </w:t>
      </w:r>
      <w:r w:rsidRPr="00FA587B">
        <w:rPr>
          <w:rFonts w:ascii="Arial" w:hAnsi="Arial" w:cs="Arial"/>
          <w:lang w:val="es-MX"/>
        </w:rPr>
        <w:t xml:space="preserve">declaratoria de enriquecimiento sin causa. </w:t>
      </w:r>
    </w:p>
    <w:p w:rsidR="007E2494" w:rsidRPr="00FA587B" w:rsidRDefault="007E2494" w:rsidP="00FA587B">
      <w:pPr>
        <w:spacing w:line="360" w:lineRule="auto"/>
        <w:jc w:val="both"/>
        <w:rPr>
          <w:rFonts w:ascii="Arial" w:hAnsi="Arial" w:cs="Arial"/>
          <w:lang w:val="es-MX"/>
        </w:rPr>
      </w:pPr>
    </w:p>
    <w:p w:rsidR="007E2494" w:rsidRPr="00FA587B" w:rsidRDefault="007E2494" w:rsidP="00FA587B">
      <w:pPr>
        <w:spacing w:line="360" w:lineRule="auto"/>
        <w:jc w:val="both"/>
        <w:rPr>
          <w:rFonts w:ascii="Arial" w:hAnsi="Arial" w:cs="Arial"/>
          <w:lang w:val="es-MX"/>
        </w:rPr>
      </w:pPr>
      <w:r w:rsidRPr="00FA587B">
        <w:rPr>
          <w:rFonts w:ascii="Arial" w:hAnsi="Arial" w:cs="Arial"/>
          <w:lang w:val="es-MX"/>
        </w:rPr>
        <w:t>Sobre el particular</w:t>
      </w:r>
      <w:r w:rsidR="00045343" w:rsidRPr="00FA587B">
        <w:rPr>
          <w:rFonts w:ascii="Arial" w:hAnsi="Arial" w:cs="Arial"/>
          <w:lang w:val="es-MX"/>
        </w:rPr>
        <w:t xml:space="preserve">, </w:t>
      </w:r>
      <w:r w:rsidRPr="00FA587B">
        <w:rPr>
          <w:rFonts w:ascii="Arial" w:hAnsi="Arial" w:cs="Arial"/>
          <w:lang w:val="es-MX"/>
        </w:rPr>
        <w:t>se observa</w:t>
      </w:r>
      <w:r w:rsidR="00BC3359" w:rsidRPr="00FA587B">
        <w:rPr>
          <w:rFonts w:ascii="Arial" w:hAnsi="Arial" w:cs="Arial"/>
          <w:lang w:val="es-MX"/>
        </w:rPr>
        <w:t xml:space="preserve"> </w:t>
      </w:r>
      <w:r w:rsidR="00BF7E58" w:rsidRPr="00FA587B">
        <w:rPr>
          <w:rFonts w:ascii="Arial" w:hAnsi="Arial" w:cs="Arial"/>
          <w:lang w:val="es-MX"/>
        </w:rPr>
        <w:t xml:space="preserve">que </w:t>
      </w:r>
      <w:r w:rsidR="00BC3359" w:rsidRPr="00FA587B">
        <w:rPr>
          <w:rFonts w:ascii="Arial" w:hAnsi="Arial" w:cs="Arial"/>
          <w:lang w:val="es-MX"/>
        </w:rPr>
        <w:t xml:space="preserve">el </w:t>
      </w:r>
      <w:r w:rsidR="00121C97" w:rsidRPr="00FA587B">
        <w:rPr>
          <w:rFonts w:ascii="Arial" w:hAnsi="Arial" w:cs="Arial"/>
          <w:lang w:val="es-MX"/>
        </w:rPr>
        <w:t>fallador de primer grado</w:t>
      </w:r>
      <w:r w:rsidR="00BC3359" w:rsidRPr="00FA587B">
        <w:rPr>
          <w:rFonts w:ascii="Arial" w:hAnsi="Arial" w:cs="Arial"/>
          <w:lang w:val="es-MX"/>
        </w:rPr>
        <w:t xml:space="preserve"> bas</w:t>
      </w:r>
      <w:r w:rsidR="00045343" w:rsidRPr="00FA587B">
        <w:rPr>
          <w:rFonts w:ascii="Arial" w:hAnsi="Arial" w:cs="Arial"/>
          <w:lang w:val="es-MX"/>
        </w:rPr>
        <w:t>ó su</w:t>
      </w:r>
      <w:r w:rsidR="00BC3359" w:rsidRPr="00FA587B">
        <w:rPr>
          <w:rFonts w:ascii="Arial" w:hAnsi="Arial" w:cs="Arial"/>
          <w:lang w:val="es-MX"/>
        </w:rPr>
        <w:t xml:space="preserve"> </w:t>
      </w:r>
      <w:r w:rsidR="00045343" w:rsidRPr="00FA587B">
        <w:rPr>
          <w:rFonts w:ascii="Arial" w:hAnsi="Arial" w:cs="Arial"/>
          <w:lang w:val="es-MX"/>
        </w:rPr>
        <w:t xml:space="preserve">decisión </w:t>
      </w:r>
      <w:r w:rsidR="00121C97" w:rsidRPr="00FA587B">
        <w:rPr>
          <w:rFonts w:ascii="Arial" w:hAnsi="Arial" w:cs="Arial"/>
          <w:lang w:val="es-MX"/>
        </w:rPr>
        <w:t>en el hecho de que,</w:t>
      </w:r>
      <w:r w:rsidR="00045343" w:rsidRPr="00FA587B">
        <w:rPr>
          <w:rFonts w:ascii="Arial" w:hAnsi="Arial" w:cs="Arial"/>
          <w:lang w:val="es-MX"/>
        </w:rPr>
        <w:t xml:space="preserve"> según el acta de 26 de enero de 2010, en la que </w:t>
      </w:r>
      <w:r w:rsidR="002E2CFE" w:rsidRPr="00FA587B">
        <w:rPr>
          <w:rFonts w:ascii="Arial" w:hAnsi="Arial" w:cs="Arial"/>
          <w:lang w:val="es-MX"/>
        </w:rPr>
        <w:t xml:space="preserve">la </w:t>
      </w:r>
      <w:r w:rsidR="00045343" w:rsidRPr="00FA587B">
        <w:rPr>
          <w:rFonts w:ascii="Arial" w:hAnsi="Arial" w:cs="Arial"/>
          <w:lang w:val="es-MX"/>
        </w:rPr>
        <w:t xml:space="preserve">Procuraduría Judicial declaró fallida la </w:t>
      </w:r>
      <w:r w:rsidR="00C4783A" w:rsidRPr="00FA587B">
        <w:rPr>
          <w:rFonts w:ascii="Arial" w:hAnsi="Arial" w:cs="Arial"/>
          <w:lang w:val="es-MX"/>
        </w:rPr>
        <w:t>audiencia de conciliación por a</w:t>
      </w:r>
      <w:r w:rsidR="00045343" w:rsidRPr="00FA587B">
        <w:rPr>
          <w:rFonts w:ascii="Arial" w:hAnsi="Arial" w:cs="Arial"/>
          <w:lang w:val="es-MX"/>
        </w:rPr>
        <w:t>u</w:t>
      </w:r>
      <w:r w:rsidR="00C4783A" w:rsidRPr="00FA587B">
        <w:rPr>
          <w:rFonts w:ascii="Arial" w:hAnsi="Arial" w:cs="Arial"/>
          <w:lang w:val="es-MX"/>
        </w:rPr>
        <w:t>s</w:t>
      </w:r>
      <w:r w:rsidR="00045343" w:rsidRPr="00FA587B">
        <w:rPr>
          <w:rFonts w:ascii="Arial" w:hAnsi="Arial" w:cs="Arial"/>
          <w:lang w:val="es-MX"/>
        </w:rPr>
        <w:t>encia de ánimo conciliatorio</w:t>
      </w:r>
      <w:r w:rsidR="00BF7E58" w:rsidRPr="00FA587B">
        <w:rPr>
          <w:rFonts w:ascii="Arial" w:hAnsi="Arial" w:cs="Arial"/>
          <w:lang w:val="es-MX"/>
        </w:rPr>
        <w:t>,</w:t>
      </w:r>
      <w:r w:rsidR="00045343" w:rsidRPr="00FA587B">
        <w:rPr>
          <w:rFonts w:ascii="Arial" w:hAnsi="Arial" w:cs="Arial"/>
          <w:lang w:val="es-MX"/>
        </w:rPr>
        <w:t xml:space="preserve"> no se hizo mención </w:t>
      </w:r>
      <w:r w:rsidR="00121C97" w:rsidRPr="00FA587B">
        <w:rPr>
          <w:rFonts w:ascii="Arial" w:hAnsi="Arial" w:cs="Arial"/>
          <w:lang w:val="es-MX"/>
        </w:rPr>
        <w:t xml:space="preserve">alguna </w:t>
      </w:r>
      <w:r w:rsidR="00045343" w:rsidRPr="00FA587B">
        <w:rPr>
          <w:rFonts w:ascii="Arial" w:hAnsi="Arial" w:cs="Arial"/>
          <w:lang w:val="es-MX"/>
        </w:rPr>
        <w:t xml:space="preserve">a las pretensiones </w:t>
      </w:r>
      <w:r w:rsidR="0016230D" w:rsidRPr="00FA587B">
        <w:rPr>
          <w:rFonts w:ascii="Arial" w:hAnsi="Arial" w:cs="Arial"/>
          <w:lang w:val="es-MX"/>
        </w:rPr>
        <w:t>relativas a la liquidación del contrato y a la existencia de un enriquecimiento sin causa</w:t>
      </w:r>
      <w:r w:rsidR="00BF7E58" w:rsidRPr="00FA587B">
        <w:rPr>
          <w:rFonts w:ascii="Arial" w:hAnsi="Arial" w:cs="Arial"/>
          <w:lang w:val="es-MX"/>
        </w:rPr>
        <w:t>, situación a partir de la cual concluyó que no se agotó el requisito de procedibilidad en lo atinente a dichas aspiraciones</w:t>
      </w:r>
      <w:r w:rsidR="0016230D" w:rsidRPr="00FA587B">
        <w:rPr>
          <w:rFonts w:ascii="Arial" w:hAnsi="Arial" w:cs="Arial"/>
          <w:lang w:val="es-MX"/>
        </w:rPr>
        <w:t xml:space="preserve">. </w:t>
      </w:r>
    </w:p>
    <w:p w:rsidR="00045343" w:rsidRPr="00FA587B" w:rsidRDefault="00045343" w:rsidP="00FA587B">
      <w:pPr>
        <w:spacing w:line="360" w:lineRule="auto"/>
        <w:jc w:val="both"/>
        <w:rPr>
          <w:rFonts w:ascii="Arial" w:hAnsi="Arial" w:cs="Arial"/>
          <w:lang w:val="es-MX"/>
        </w:rPr>
      </w:pPr>
    </w:p>
    <w:p w:rsidR="00CA5BE6" w:rsidRPr="00FA587B" w:rsidRDefault="007E2494" w:rsidP="00FA587B">
      <w:pPr>
        <w:spacing w:line="360" w:lineRule="auto"/>
        <w:jc w:val="both"/>
        <w:rPr>
          <w:rFonts w:ascii="Arial" w:hAnsi="Arial" w:cs="Arial"/>
          <w:i/>
          <w:lang w:val="es-MX"/>
        </w:rPr>
      </w:pPr>
      <w:r w:rsidRPr="00FA587B">
        <w:rPr>
          <w:rFonts w:ascii="Arial" w:hAnsi="Arial" w:cs="Arial"/>
          <w:lang w:val="es-MX"/>
        </w:rPr>
        <w:t xml:space="preserve">Al respecto, la Sala encuentra que en este asunto confluyen circunstancias </w:t>
      </w:r>
      <w:r w:rsidR="00C26F29" w:rsidRPr="00FA587B">
        <w:rPr>
          <w:rFonts w:ascii="Arial" w:hAnsi="Arial" w:cs="Arial"/>
          <w:lang w:val="es-MX"/>
        </w:rPr>
        <w:t xml:space="preserve">por cuyo mérito es menester </w:t>
      </w:r>
      <w:r w:rsidRPr="00FA587B">
        <w:rPr>
          <w:rFonts w:ascii="Arial" w:hAnsi="Arial" w:cs="Arial"/>
          <w:lang w:val="es-MX"/>
        </w:rPr>
        <w:t xml:space="preserve">apartarse de </w:t>
      </w:r>
      <w:r w:rsidR="00121C97" w:rsidRPr="00FA587B">
        <w:rPr>
          <w:rFonts w:ascii="Arial" w:hAnsi="Arial" w:cs="Arial"/>
          <w:lang w:val="es-MX"/>
        </w:rPr>
        <w:t>las reflexiones d</w:t>
      </w:r>
      <w:r w:rsidRPr="00FA587B">
        <w:rPr>
          <w:rFonts w:ascii="Arial" w:hAnsi="Arial" w:cs="Arial"/>
          <w:lang w:val="es-MX"/>
        </w:rPr>
        <w:t xml:space="preserve">el </w:t>
      </w:r>
      <w:r w:rsidRPr="00FA587B">
        <w:rPr>
          <w:rFonts w:ascii="Arial" w:hAnsi="Arial" w:cs="Arial"/>
          <w:i/>
          <w:lang w:val="es-MX"/>
        </w:rPr>
        <w:t>a quo</w:t>
      </w:r>
      <w:r w:rsidR="009374BD" w:rsidRPr="00FA587B">
        <w:rPr>
          <w:rFonts w:ascii="Arial" w:hAnsi="Arial" w:cs="Arial"/>
          <w:i/>
          <w:lang w:val="es-MX"/>
        </w:rPr>
        <w:t xml:space="preserve">. </w:t>
      </w:r>
    </w:p>
    <w:p w:rsidR="00121C97" w:rsidRPr="00FA587B" w:rsidRDefault="00121C97" w:rsidP="00FA587B">
      <w:pPr>
        <w:spacing w:line="360" w:lineRule="auto"/>
        <w:jc w:val="both"/>
        <w:rPr>
          <w:rFonts w:ascii="Arial" w:hAnsi="Arial" w:cs="Arial"/>
          <w:lang w:val="es-MX"/>
        </w:rPr>
      </w:pPr>
    </w:p>
    <w:p w:rsidR="0097668C" w:rsidRPr="00FA587B" w:rsidRDefault="00CA5BE6" w:rsidP="00FA587B">
      <w:pPr>
        <w:spacing w:line="360" w:lineRule="auto"/>
        <w:jc w:val="both"/>
        <w:rPr>
          <w:rFonts w:ascii="Arial" w:hAnsi="Arial" w:cs="Arial"/>
          <w:lang w:val="es-MX"/>
        </w:rPr>
      </w:pPr>
      <w:r w:rsidRPr="00FA587B">
        <w:rPr>
          <w:rFonts w:ascii="Arial" w:hAnsi="Arial" w:cs="Arial"/>
          <w:lang w:val="es-MX"/>
        </w:rPr>
        <w:t xml:space="preserve">Con la expedición de la Ley 1285 de 2009, la </w:t>
      </w:r>
      <w:r w:rsidR="0097668C" w:rsidRPr="00FA587B">
        <w:rPr>
          <w:rFonts w:ascii="Arial" w:hAnsi="Arial" w:cs="Arial"/>
          <w:lang w:val="es-MX"/>
        </w:rPr>
        <w:t xml:space="preserve">exigencia de la </w:t>
      </w:r>
      <w:r w:rsidRPr="00FA587B">
        <w:rPr>
          <w:rFonts w:ascii="Arial" w:hAnsi="Arial" w:cs="Arial"/>
          <w:lang w:val="es-MX"/>
        </w:rPr>
        <w:t xml:space="preserve">conciliación </w:t>
      </w:r>
      <w:r w:rsidR="0097668C" w:rsidRPr="00FA587B">
        <w:rPr>
          <w:rFonts w:ascii="Arial" w:hAnsi="Arial" w:cs="Arial"/>
          <w:lang w:val="es-MX"/>
        </w:rPr>
        <w:t>extrajudicial</w:t>
      </w:r>
      <w:r w:rsidRPr="00FA587B">
        <w:rPr>
          <w:rFonts w:ascii="Arial" w:hAnsi="Arial" w:cs="Arial"/>
          <w:lang w:val="es-MX"/>
        </w:rPr>
        <w:t xml:space="preserve"> como requisito de </w:t>
      </w:r>
      <w:r w:rsidR="0097668C" w:rsidRPr="00FA587B">
        <w:rPr>
          <w:rFonts w:ascii="Arial" w:hAnsi="Arial" w:cs="Arial"/>
          <w:lang w:val="es-MX"/>
        </w:rPr>
        <w:t>procedibilidad cobró pleno vigor para acudir ante la Jurisdicción de lo Contencioso Ad</w:t>
      </w:r>
      <w:r w:rsidR="00121C97" w:rsidRPr="00FA587B">
        <w:rPr>
          <w:rFonts w:ascii="Arial" w:hAnsi="Arial" w:cs="Arial"/>
          <w:lang w:val="es-MX"/>
        </w:rPr>
        <w:t xml:space="preserve">ministrativo en ejercicio de </w:t>
      </w:r>
      <w:r w:rsidR="0097668C" w:rsidRPr="00FA587B">
        <w:rPr>
          <w:rFonts w:ascii="Arial" w:hAnsi="Arial" w:cs="Arial"/>
          <w:lang w:val="es-MX"/>
        </w:rPr>
        <w:t xml:space="preserve">alguna de las acciones previstas en los artículos </w:t>
      </w:r>
      <w:r w:rsidR="00122545" w:rsidRPr="00FA587B">
        <w:rPr>
          <w:rFonts w:ascii="Arial" w:hAnsi="Arial" w:cs="Arial"/>
          <w:lang w:val="es-MX"/>
        </w:rPr>
        <w:t>85, 86 y 87 C.C.A., entre ellas</w:t>
      </w:r>
      <w:r w:rsidR="00121C97" w:rsidRPr="00FA587B">
        <w:rPr>
          <w:rFonts w:ascii="Arial" w:hAnsi="Arial" w:cs="Arial"/>
          <w:lang w:val="es-MX"/>
        </w:rPr>
        <w:t>,</w:t>
      </w:r>
      <w:r w:rsidR="00122545" w:rsidRPr="00FA587B">
        <w:rPr>
          <w:rFonts w:ascii="Arial" w:hAnsi="Arial" w:cs="Arial"/>
          <w:lang w:val="es-MX"/>
        </w:rPr>
        <w:t xml:space="preserve"> por supuesto</w:t>
      </w:r>
      <w:r w:rsidR="00121C97" w:rsidRPr="00FA587B">
        <w:rPr>
          <w:rFonts w:ascii="Arial" w:hAnsi="Arial" w:cs="Arial"/>
          <w:lang w:val="es-MX"/>
        </w:rPr>
        <w:t>,</w:t>
      </w:r>
      <w:r w:rsidR="00122545" w:rsidRPr="00FA587B">
        <w:rPr>
          <w:rFonts w:ascii="Arial" w:hAnsi="Arial" w:cs="Arial"/>
          <w:lang w:val="es-MX"/>
        </w:rPr>
        <w:t xml:space="preserve"> la que ahora se resuelve. </w:t>
      </w:r>
    </w:p>
    <w:p w:rsidR="00122545" w:rsidRPr="00FA587B" w:rsidRDefault="00122545" w:rsidP="00FA587B">
      <w:pPr>
        <w:spacing w:line="360" w:lineRule="auto"/>
        <w:jc w:val="both"/>
        <w:rPr>
          <w:rFonts w:ascii="Arial" w:hAnsi="Arial" w:cs="Arial"/>
          <w:lang w:val="es-MX"/>
        </w:rPr>
      </w:pPr>
    </w:p>
    <w:p w:rsidR="00A06EC8" w:rsidRPr="00FA587B" w:rsidRDefault="002E2CFE" w:rsidP="00FA587B">
      <w:pPr>
        <w:spacing w:line="360" w:lineRule="auto"/>
        <w:jc w:val="both"/>
        <w:rPr>
          <w:rFonts w:ascii="Arial" w:hAnsi="Arial" w:cs="Arial"/>
          <w:lang w:val="es-MX"/>
        </w:rPr>
      </w:pPr>
      <w:r w:rsidRPr="00FA587B">
        <w:rPr>
          <w:rFonts w:ascii="Arial" w:hAnsi="Arial" w:cs="Arial"/>
          <w:lang w:val="es-MX"/>
        </w:rPr>
        <w:t>Bajo esa é</w:t>
      </w:r>
      <w:r w:rsidR="00122545" w:rsidRPr="00FA587B">
        <w:rPr>
          <w:rFonts w:ascii="Arial" w:hAnsi="Arial" w:cs="Arial"/>
          <w:lang w:val="es-MX"/>
        </w:rPr>
        <w:t xml:space="preserve">gida, en consideración </w:t>
      </w:r>
      <w:r w:rsidRPr="00FA587B">
        <w:rPr>
          <w:rFonts w:ascii="Arial" w:hAnsi="Arial" w:cs="Arial"/>
          <w:lang w:val="es-MX"/>
        </w:rPr>
        <w:t xml:space="preserve">a </w:t>
      </w:r>
      <w:r w:rsidR="00122545" w:rsidRPr="00FA587B">
        <w:rPr>
          <w:rFonts w:ascii="Arial" w:hAnsi="Arial" w:cs="Arial"/>
          <w:lang w:val="es-MX"/>
        </w:rPr>
        <w:t>que la presente acción contractual se impetró cuando ya se encontraba en vig</w:t>
      </w:r>
      <w:r w:rsidR="00400A25" w:rsidRPr="00FA587B">
        <w:rPr>
          <w:rFonts w:ascii="Arial" w:hAnsi="Arial" w:cs="Arial"/>
          <w:lang w:val="es-MX"/>
        </w:rPr>
        <w:t xml:space="preserve">encia </w:t>
      </w:r>
      <w:r w:rsidR="008045E6" w:rsidRPr="00FA587B">
        <w:rPr>
          <w:rFonts w:ascii="Arial" w:hAnsi="Arial" w:cs="Arial"/>
          <w:lang w:val="es-MX"/>
        </w:rPr>
        <w:t>la normativa en referenci</w:t>
      </w:r>
      <w:r w:rsidR="00400A25" w:rsidRPr="00FA587B">
        <w:rPr>
          <w:rFonts w:ascii="Arial" w:hAnsi="Arial" w:cs="Arial"/>
          <w:lang w:val="es-MX"/>
        </w:rPr>
        <w:t xml:space="preserve">a, la parte actora allegó junto con el libelo introductor la constancia expedida </w:t>
      </w:r>
      <w:r w:rsidR="00C8408E" w:rsidRPr="00FA587B">
        <w:rPr>
          <w:rFonts w:ascii="Arial" w:hAnsi="Arial" w:cs="Arial"/>
          <w:lang w:val="es-MX"/>
        </w:rPr>
        <w:t xml:space="preserve">por la Procuraduría Quinta Judicial </w:t>
      </w:r>
      <w:r w:rsidR="00121C97" w:rsidRPr="00FA587B">
        <w:rPr>
          <w:rFonts w:ascii="Arial" w:hAnsi="Arial" w:cs="Arial"/>
          <w:lang w:val="es-MX"/>
        </w:rPr>
        <w:t>Administrativa en la cual</w:t>
      </w:r>
      <w:r w:rsidR="0021054E" w:rsidRPr="00FA587B">
        <w:rPr>
          <w:rFonts w:ascii="Arial" w:hAnsi="Arial" w:cs="Arial"/>
          <w:lang w:val="es-MX"/>
        </w:rPr>
        <w:t xml:space="preserve"> se registró</w:t>
      </w:r>
      <w:r w:rsidR="00C8408E" w:rsidRPr="00FA587B">
        <w:rPr>
          <w:rFonts w:ascii="Arial" w:hAnsi="Arial" w:cs="Arial"/>
          <w:lang w:val="es-MX"/>
        </w:rPr>
        <w:t xml:space="preserve"> que el trámite se declaró fallido y que el objeto de la solicitud versó sobre el reconocimiento de mayores costos por la ejecución de obras</w:t>
      </w:r>
      <w:r w:rsidR="00CB0151" w:rsidRPr="00FA587B">
        <w:rPr>
          <w:rFonts w:ascii="Arial" w:hAnsi="Arial" w:cs="Arial"/>
          <w:lang w:val="es-MX"/>
        </w:rPr>
        <w:t xml:space="preserve"> derivadas del Contrato No. </w:t>
      </w:r>
      <w:r w:rsidR="00A06EC8" w:rsidRPr="00FA587B">
        <w:rPr>
          <w:rFonts w:ascii="Arial" w:hAnsi="Arial" w:cs="Arial"/>
          <w:lang w:val="es-MX"/>
        </w:rPr>
        <w:t xml:space="preserve">195. </w:t>
      </w:r>
    </w:p>
    <w:p w:rsidR="0021054E" w:rsidRPr="00FA587B" w:rsidRDefault="0021054E" w:rsidP="00FA587B">
      <w:pPr>
        <w:spacing w:line="360" w:lineRule="auto"/>
        <w:jc w:val="both"/>
        <w:rPr>
          <w:rFonts w:ascii="Arial" w:hAnsi="Arial" w:cs="Arial"/>
          <w:lang w:val="es-MX"/>
        </w:rPr>
      </w:pPr>
    </w:p>
    <w:p w:rsidR="00BD3DF5" w:rsidRPr="00FA587B" w:rsidRDefault="00AE78F6" w:rsidP="00FA587B">
      <w:pPr>
        <w:spacing w:line="360" w:lineRule="auto"/>
        <w:jc w:val="both"/>
        <w:rPr>
          <w:rFonts w:ascii="Arial" w:hAnsi="Arial" w:cs="Arial"/>
          <w:lang w:val="es-MX"/>
        </w:rPr>
      </w:pPr>
      <w:r w:rsidRPr="00FA587B">
        <w:rPr>
          <w:rFonts w:ascii="Arial" w:hAnsi="Arial" w:cs="Arial"/>
          <w:lang w:val="es-MX"/>
        </w:rPr>
        <w:lastRenderedPageBreak/>
        <w:t>Con todo</w:t>
      </w:r>
      <w:r w:rsidR="00BD3DF5" w:rsidRPr="00FA587B">
        <w:rPr>
          <w:rFonts w:ascii="Arial" w:hAnsi="Arial" w:cs="Arial"/>
          <w:lang w:val="es-MX"/>
        </w:rPr>
        <w:t xml:space="preserve">, lo anotado no equivale </w:t>
      </w:r>
      <w:r w:rsidR="002E2CFE" w:rsidRPr="00FA587B">
        <w:rPr>
          <w:rFonts w:ascii="Arial" w:hAnsi="Arial" w:cs="Arial"/>
          <w:lang w:val="es-MX"/>
        </w:rPr>
        <w:t xml:space="preserve">a </w:t>
      </w:r>
      <w:r w:rsidR="00BD3DF5" w:rsidRPr="00FA587B">
        <w:rPr>
          <w:rFonts w:ascii="Arial" w:hAnsi="Arial" w:cs="Arial"/>
          <w:lang w:val="es-MX"/>
        </w:rPr>
        <w:t>afirmar que en esa constancia se</w:t>
      </w:r>
      <w:r w:rsidR="00A7091D" w:rsidRPr="00FA587B">
        <w:rPr>
          <w:rFonts w:ascii="Arial" w:hAnsi="Arial" w:cs="Arial"/>
          <w:lang w:val="es-MX"/>
        </w:rPr>
        <w:t xml:space="preserve"> hubieren</w:t>
      </w:r>
      <w:r w:rsidR="00121C97" w:rsidRPr="00FA587B">
        <w:rPr>
          <w:rFonts w:ascii="Arial" w:hAnsi="Arial" w:cs="Arial"/>
          <w:lang w:val="es-MX"/>
        </w:rPr>
        <w:t xml:space="preserve"> condensado</w:t>
      </w:r>
      <w:r w:rsidR="00BD3DF5" w:rsidRPr="00FA587B">
        <w:rPr>
          <w:rFonts w:ascii="Arial" w:hAnsi="Arial" w:cs="Arial"/>
          <w:lang w:val="es-MX"/>
        </w:rPr>
        <w:t xml:space="preserve"> todas las pretensiones </w:t>
      </w:r>
      <w:r w:rsidR="00502B4E" w:rsidRPr="00FA587B">
        <w:rPr>
          <w:rFonts w:ascii="Arial" w:hAnsi="Arial" w:cs="Arial"/>
          <w:lang w:val="es-MX"/>
        </w:rPr>
        <w:t>que</w:t>
      </w:r>
      <w:r w:rsidR="00BD3DF5" w:rsidRPr="00FA587B">
        <w:rPr>
          <w:rFonts w:ascii="Arial" w:hAnsi="Arial" w:cs="Arial"/>
          <w:lang w:val="es-MX"/>
        </w:rPr>
        <w:t xml:space="preserve"> textualmente </w:t>
      </w:r>
      <w:r w:rsidR="00502B4E" w:rsidRPr="00FA587B">
        <w:rPr>
          <w:rFonts w:ascii="Arial" w:hAnsi="Arial" w:cs="Arial"/>
          <w:lang w:val="es-MX"/>
        </w:rPr>
        <w:t xml:space="preserve">y de manera individualizada </w:t>
      </w:r>
      <w:r w:rsidR="003A4991" w:rsidRPr="00FA587B">
        <w:rPr>
          <w:rFonts w:ascii="Arial" w:hAnsi="Arial" w:cs="Arial"/>
          <w:lang w:val="es-MX"/>
        </w:rPr>
        <w:t>se</w:t>
      </w:r>
      <w:r w:rsidR="00BD3DF5" w:rsidRPr="00FA587B">
        <w:rPr>
          <w:rFonts w:ascii="Arial" w:hAnsi="Arial" w:cs="Arial"/>
          <w:lang w:val="es-MX"/>
        </w:rPr>
        <w:t xml:space="preserve"> </w:t>
      </w:r>
      <w:r w:rsidR="00CB0151" w:rsidRPr="00FA587B">
        <w:rPr>
          <w:rFonts w:ascii="Arial" w:hAnsi="Arial" w:cs="Arial"/>
          <w:lang w:val="es-MX"/>
        </w:rPr>
        <w:t>formularon</w:t>
      </w:r>
      <w:r w:rsidR="0034503D" w:rsidRPr="00FA587B">
        <w:rPr>
          <w:rFonts w:ascii="Arial" w:hAnsi="Arial" w:cs="Arial"/>
          <w:lang w:val="es-MX"/>
        </w:rPr>
        <w:t xml:space="preserve"> </w:t>
      </w:r>
      <w:r w:rsidR="00BD3DF5" w:rsidRPr="00FA587B">
        <w:rPr>
          <w:rFonts w:ascii="Arial" w:hAnsi="Arial" w:cs="Arial"/>
          <w:lang w:val="es-MX"/>
        </w:rPr>
        <w:t>en la convocatoria</w:t>
      </w:r>
      <w:r w:rsidR="00A7091D" w:rsidRPr="00FA587B">
        <w:rPr>
          <w:rFonts w:ascii="Arial" w:hAnsi="Arial" w:cs="Arial"/>
          <w:lang w:val="es-MX"/>
        </w:rPr>
        <w:t>, dado que</w:t>
      </w:r>
      <w:r w:rsidR="002E2CFE" w:rsidRPr="00FA587B">
        <w:rPr>
          <w:rFonts w:ascii="Arial" w:hAnsi="Arial" w:cs="Arial"/>
          <w:lang w:val="es-MX"/>
        </w:rPr>
        <w:t>,</w:t>
      </w:r>
      <w:r w:rsidR="00A7091D" w:rsidRPr="00FA587B">
        <w:rPr>
          <w:rFonts w:ascii="Arial" w:hAnsi="Arial" w:cs="Arial"/>
          <w:lang w:val="es-MX"/>
        </w:rPr>
        <w:t xml:space="preserve"> e</w:t>
      </w:r>
      <w:r w:rsidRPr="00FA587B">
        <w:rPr>
          <w:rFonts w:ascii="Arial" w:hAnsi="Arial" w:cs="Arial"/>
          <w:lang w:val="es-MX"/>
        </w:rPr>
        <w:t>n cumplimiento a lo dispuesto por</w:t>
      </w:r>
      <w:r w:rsidR="00A7091D" w:rsidRPr="00FA587B">
        <w:rPr>
          <w:rFonts w:ascii="Arial" w:hAnsi="Arial" w:cs="Arial"/>
          <w:lang w:val="es-MX"/>
        </w:rPr>
        <w:t xml:space="preserve"> el artículo segundo de la Ley 640 </w:t>
      </w:r>
      <w:r w:rsidR="0034503D" w:rsidRPr="00FA587B">
        <w:rPr>
          <w:rFonts w:ascii="Arial" w:hAnsi="Arial" w:cs="Arial"/>
          <w:lang w:val="es-MX"/>
        </w:rPr>
        <w:t>de 2001, al emitirla</w:t>
      </w:r>
      <w:r w:rsidR="002E2CFE" w:rsidRPr="00FA587B">
        <w:rPr>
          <w:rFonts w:ascii="Arial" w:hAnsi="Arial" w:cs="Arial"/>
          <w:lang w:val="es-MX"/>
        </w:rPr>
        <w:t>,</w:t>
      </w:r>
      <w:r w:rsidR="0034503D" w:rsidRPr="00FA587B">
        <w:rPr>
          <w:rFonts w:ascii="Arial" w:hAnsi="Arial" w:cs="Arial"/>
          <w:lang w:val="es-MX"/>
        </w:rPr>
        <w:t xml:space="preserve"> </w:t>
      </w:r>
      <w:r w:rsidR="00685E33" w:rsidRPr="00FA587B">
        <w:rPr>
          <w:rFonts w:ascii="Arial" w:hAnsi="Arial" w:cs="Arial"/>
          <w:lang w:val="es-MX"/>
        </w:rPr>
        <w:t>el Ministerio P</w:t>
      </w:r>
      <w:r w:rsidRPr="00FA587B">
        <w:rPr>
          <w:rFonts w:ascii="Arial" w:hAnsi="Arial" w:cs="Arial"/>
          <w:lang w:val="es-MX"/>
        </w:rPr>
        <w:t>úblico</w:t>
      </w:r>
      <w:r w:rsidR="00685E33" w:rsidRPr="00FA587B">
        <w:rPr>
          <w:rFonts w:ascii="Arial" w:hAnsi="Arial" w:cs="Arial"/>
          <w:lang w:val="es-MX"/>
        </w:rPr>
        <w:t xml:space="preserve"> simplemente </w:t>
      </w:r>
      <w:r w:rsidR="0034503D" w:rsidRPr="00FA587B">
        <w:rPr>
          <w:rFonts w:ascii="Arial" w:hAnsi="Arial" w:cs="Arial"/>
          <w:lang w:val="es-MX"/>
        </w:rPr>
        <w:t>deb</w:t>
      </w:r>
      <w:r w:rsidR="00685E33" w:rsidRPr="00FA587B">
        <w:rPr>
          <w:rFonts w:ascii="Arial" w:hAnsi="Arial" w:cs="Arial"/>
          <w:lang w:val="es-MX"/>
        </w:rPr>
        <w:t>ía indicar</w:t>
      </w:r>
      <w:r w:rsidR="0034503D" w:rsidRPr="00FA587B">
        <w:rPr>
          <w:rFonts w:ascii="Arial" w:hAnsi="Arial" w:cs="Arial"/>
          <w:lang w:val="es-MX"/>
        </w:rPr>
        <w:t xml:space="preserve"> sucintamente el objeto de conciliación. </w:t>
      </w:r>
    </w:p>
    <w:p w:rsidR="0034503D" w:rsidRPr="00FA587B" w:rsidRDefault="0034503D" w:rsidP="00FA587B">
      <w:pPr>
        <w:spacing w:line="360" w:lineRule="auto"/>
        <w:jc w:val="both"/>
        <w:rPr>
          <w:rFonts w:ascii="Arial" w:hAnsi="Arial" w:cs="Arial"/>
          <w:lang w:val="es-MX"/>
        </w:rPr>
      </w:pPr>
    </w:p>
    <w:p w:rsidR="0034503D" w:rsidRPr="00FA587B" w:rsidRDefault="0034503D" w:rsidP="00FA587B">
      <w:pPr>
        <w:spacing w:line="360" w:lineRule="auto"/>
        <w:jc w:val="both"/>
        <w:rPr>
          <w:rFonts w:ascii="Arial" w:hAnsi="Arial" w:cs="Arial"/>
          <w:lang w:val="es-MX"/>
        </w:rPr>
      </w:pPr>
      <w:r w:rsidRPr="00FA587B">
        <w:rPr>
          <w:rFonts w:ascii="Arial" w:hAnsi="Arial" w:cs="Arial"/>
          <w:lang w:val="es-MX"/>
        </w:rPr>
        <w:t>Esa fue la comprensión dispensada por el Tribunal de primera instancia al admitir la demanda, toda vez que dicho documento le bastó para entender agotado el requisito de procedibilidad</w:t>
      </w:r>
      <w:r w:rsidR="00685E33" w:rsidRPr="00FA587B">
        <w:rPr>
          <w:rFonts w:ascii="Arial" w:hAnsi="Arial" w:cs="Arial"/>
          <w:lang w:val="es-MX"/>
        </w:rPr>
        <w:t xml:space="preserve"> y nada distinto se discutió sobre este asunto</w:t>
      </w:r>
      <w:r w:rsidR="00710BDB" w:rsidRPr="00FA587B">
        <w:rPr>
          <w:rFonts w:ascii="Arial" w:hAnsi="Arial" w:cs="Arial"/>
          <w:lang w:val="es-MX"/>
        </w:rPr>
        <w:t xml:space="preserve"> a lo largo del trámite procesal. </w:t>
      </w:r>
    </w:p>
    <w:p w:rsidR="009518CF" w:rsidRPr="00FA587B" w:rsidRDefault="009518CF" w:rsidP="00FA587B">
      <w:pPr>
        <w:spacing w:line="360" w:lineRule="auto"/>
        <w:jc w:val="both"/>
        <w:rPr>
          <w:rFonts w:ascii="Arial" w:hAnsi="Arial" w:cs="Arial"/>
          <w:i/>
          <w:lang w:val="es-MX"/>
        </w:rPr>
      </w:pPr>
    </w:p>
    <w:p w:rsidR="009518CF" w:rsidRPr="00FA587B" w:rsidRDefault="00D47F00" w:rsidP="00FA587B">
      <w:pPr>
        <w:spacing w:line="360" w:lineRule="auto"/>
        <w:jc w:val="both"/>
        <w:rPr>
          <w:rFonts w:ascii="Arial" w:hAnsi="Arial" w:cs="Arial"/>
          <w:lang w:val="es-MX"/>
        </w:rPr>
      </w:pPr>
      <w:r w:rsidRPr="00FA587B">
        <w:rPr>
          <w:rFonts w:ascii="Arial" w:hAnsi="Arial" w:cs="Arial"/>
          <w:lang w:val="es-MX"/>
        </w:rPr>
        <w:t>Sin perjuicio de lo anotado</w:t>
      </w:r>
      <w:r w:rsidR="003204F2" w:rsidRPr="00FA587B">
        <w:rPr>
          <w:rFonts w:ascii="Arial" w:hAnsi="Arial" w:cs="Arial"/>
          <w:lang w:val="es-MX"/>
        </w:rPr>
        <w:t>, r</w:t>
      </w:r>
      <w:r w:rsidR="009518CF" w:rsidRPr="00FA587B">
        <w:rPr>
          <w:rFonts w:ascii="Arial" w:hAnsi="Arial" w:cs="Arial"/>
          <w:lang w:val="es-MX"/>
        </w:rPr>
        <w:t xml:space="preserve">esulta de la esencia del agotamiento de la conciliación </w:t>
      </w:r>
      <w:r w:rsidR="004F479E" w:rsidRPr="00FA587B">
        <w:rPr>
          <w:rFonts w:ascii="Arial" w:hAnsi="Arial" w:cs="Arial"/>
          <w:lang w:val="es-MX"/>
        </w:rPr>
        <w:t>extrajudicial</w:t>
      </w:r>
      <w:r w:rsidR="002E2CFE" w:rsidRPr="00FA587B">
        <w:rPr>
          <w:rFonts w:ascii="Arial" w:hAnsi="Arial" w:cs="Arial"/>
          <w:lang w:val="es-MX"/>
        </w:rPr>
        <w:t>,</w:t>
      </w:r>
      <w:r w:rsidR="004F479E" w:rsidRPr="00FA587B">
        <w:rPr>
          <w:rFonts w:ascii="Arial" w:hAnsi="Arial" w:cs="Arial"/>
          <w:lang w:val="es-MX"/>
        </w:rPr>
        <w:t xml:space="preserve"> </w:t>
      </w:r>
      <w:r w:rsidR="009518CF" w:rsidRPr="00FA587B">
        <w:rPr>
          <w:rFonts w:ascii="Arial" w:hAnsi="Arial" w:cs="Arial"/>
          <w:lang w:val="es-MX"/>
        </w:rPr>
        <w:t xml:space="preserve">como requisito de </w:t>
      </w:r>
      <w:r w:rsidR="004F479E" w:rsidRPr="00FA587B">
        <w:rPr>
          <w:rFonts w:ascii="Arial" w:hAnsi="Arial" w:cs="Arial"/>
          <w:lang w:val="es-MX"/>
        </w:rPr>
        <w:t>procedibilidad</w:t>
      </w:r>
      <w:r w:rsidR="002E2CFE" w:rsidRPr="00FA587B">
        <w:rPr>
          <w:rFonts w:ascii="Arial" w:hAnsi="Arial" w:cs="Arial"/>
          <w:lang w:val="es-MX"/>
        </w:rPr>
        <w:t>,</w:t>
      </w:r>
      <w:r w:rsidR="009518CF" w:rsidRPr="00FA587B">
        <w:rPr>
          <w:rFonts w:ascii="Arial" w:hAnsi="Arial" w:cs="Arial"/>
          <w:lang w:val="es-MX"/>
        </w:rPr>
        <w:t xml:space="preserve"> que </w:t>
      </w:r>
      <w:r w:rsidR="00BD40A4" w:rsidRPr="00FA587B">
        <w:rPr>
          <w:rFonts w:ascii="Arial" w:hAnsi="Arial" w:cs="Arial"/>
          <w:lang w:val="es-MX"/>
        </w:rPr>
        <w:t>se presente la solicitud</w:t>
      </w:r>
      <w:r w:rsidR="00C26F29" w:rsidRPr="00FA587B">
        <w:rPr>
          <w:rFonts w:ascii="Arial" w:hAnsi="Arial" w:cs="Arial"/>
          <w:lang w:val="es-MX"/>
        </w:rPr>
        <w:t xml:space="preserve"> respectiva ante el Ministerio Público</w:t>
      </w:r>
      <w:r w:rsidR="002E2CFE" w:rsidRPr="00FA587B">
        <w:rPr>
          <w:rFonts w:ascii="Arial" w:hAnsi="Arial" w:cs="Arial"/>
          <w:lang w:val="es-MX"/>
        </w:rPr>
        <w:t>,</w:t>
      </w:r>
      <w:r w:rsidR="00BD40A4" w:rsidRPr="00FA587B">
        <w:rPr>
          <w:rFonts w:ascii="Arial" w:hAnsi="Arial" w:cs="Arial"/>
          <w:lang w:val="es-MX"/>
        </w:rPr>
        <w:t xml:space="preserve"> </w:t>
      </w:r>
      <w:r w:rsidR="004F479E" w:rsidRPr="00FA587B">
        <w:rPr>
          <w:rFonts w:ascii="Arial" w:hAnsi="Arial" w:cs="Arial"/>
          <w:lang w:val="es-MX"/>
        </w:rPr>
        <w:t xml:space="preserve">con expresa invocación </w:t>
      </w:r>
      <w:r w:rsidR="002E2CFE" w:rsidRPr="00FA587B">
        <w:rPr>
          <w:rFonts w:ascii="Arial" w:hAnsi="Arial" w:cs="Arial"/>
          <w:lang w:val="es-MX"/>
        </w:rPr>
        <w:t xml:space="preserve">tanto </w:t>
      </w:r>
      <w:r w:rsidR="004F479E" w:rsidRPr="00FA587B">
        <w:rPr>
          <w:rFonts w:ascii="Arial" w:hAnsi="Arial" w:cs="Arial"/>
          <w:lang w:val="es-MX"/>
        </w:rPr>
        <w:t>de las pretension</w:t>
      </w:r>
      <w:r w:rsidR="00CB0151" w:rsidRPr="00FA587B">
        <w:rPr>
          <w:rFonts w:ascii="Arial" w:hAnsi="Arial" w:cs="Arial"/>
          <w:lang w:val="es-MX"/>
        </w:rPr>
        <w:t>es elevadas</w:t>
      </w:r>
      <w:r w:rsidR="00BD40A4" w:rsidRPr="00FA587B">
        <w:rPr>
          <w:rFonts w:ascii="Arial" w:hAnsi="Arial" w:cs="Arial"/>
          <w:lang w:val="es-MX"/>
        </w:rPr>
        <w:t xml:space="preserve"> por el convocante</w:t>
      </w:r>
      <w:r w:rsidR="004F479E" w:rsidRPr="00FA587B">
        <w:rPr>
          <w:rFonts w:ascii="Arial" w:hAnsi="Arial" w:cs="Arial"/>
          <w:lang w:val="es-MX"/>
        </w:rPr>
        <w:t>, como de los supuestos fácticos en que se apoyan</w:t>
      </w:r>
      <w:r w:rsidR="0011475C" w:rsidRPr="00FA587B">
        <w:rPr>
          <w:rStyle w:val="Refdenotaalpie"/>
          <w:rFonts w:ascii="Arial" w:hAnsi="Arial" w:cs="Arial"/>
          <w:lang w:val="es-MX"/>
        </w:rPr>
        <w:footnoteReference w:id="4"/>
      </w:r>
      <w:r w:rsidR="004F479E" w:rsidRPr="00FA587B">
        <w:rPr>
          <w:rFonts w:ascii="Arial" w:hAnsi="Arial" w:cs="Arial"/>
          <w:lang w:val="es-MX"/>
        </w:rPr>
        <w:t xml:space="preserve">. </w:t>
      </w:r>
      <w:r w:rsidR="00BD40A4" w:rsidRPr="00FA587B">
        <w:rPr>
          <w:rFonts w:ascii="Arial" w:hAnsi="Arial" w:cs="Arial"/>
          <w:lang w:val="es-MX"/>
        </w:rPr>
        <w:t>Esto</w:t>
      </w:r>
      <w:r w:rsidR="00FC5FEB" w:rsidRPr="00FA587B">
        <w:rPr>
          <w:rFonts w:ascii="Arial" w:hAnsi="Arial" w:cs="Arial"/>
          <w:lang w:val="es-MX"/>
        </w:rPr>
        <w:t>,</w:t>
      </w:r>
      <w:r w:rsidR="00BD40A4" w:rsidRPr="00FA587B">
        <w:rPr>
          <w:rFonts w:ascii="Arial" w:hAnsi="Arial" w:cs="Arial"/>
          <w:lang w:val="es-MX"/>
        </w:rPr>
        <w:t xml:space="preserve"> con </w:t>
      </w:r>
      <w:r w:rsidR="00FC5FEB" w:rsidRPr="00FA587B">
        <w:rPr>
          <w:rFonts w:ascii="Arial" w:hAnsi="Arial" w:cs="Arial"/>
          <w:lang w:val="es-MX"/>
        </w:rPr>
        <w:t xml:space="preserve">el </w:t>
      </w:r>
      <w:r w:rsidR="00BD40A4" w:rsidRPr="00FA587B">
        <w:rPr>
          <w:rFonts w:ascii="Arial" w:hAnsi="Arial" w:cs="Arial"/>
          <w:lang w:val="es-MX"/>
        </w:rPr>
        <w:t>propósito</w:t>
      </w:r>
      <w:r w:rsidR="00FC5FEB" w:rsidRPr="00FA587B">
        <w:rPr>
          <w:rFonts w:ascii="Arial" w:hAnsi="Arial" w:cs="Arial"/>
          <w:lang w:val="es-MX"/>
        </w:rPr>
        <w:t>, entre otros,</w:t>
      </w:r>
      <w:r w:rsidR="00BD40A4" w:rsidRPr="00FA587B">
        <w:rPr>
          <w:rFonts w:ascii="Arial" w:hAnsi="Arial" w:cs="Arial"/>
          <w:lang w:val="es-MX"/>
        </w:rPr>
        <w:t xml:space="preserve"> de identificar </w:t>
      </w:r>
      <w:r w:rsidR="00FC5FEB" w:rsidRPr="00FA587B">
        <w:rPr>
          <w:rFonts w:ascii="Arial" w:hAnsi="Arial" w:cs="Arial"/>
          <w:lang w:val="es-MX"/>
        </w:rPr>
        <w:t>la coincidencia que debe existir entre los hechos</w:t>
      </w:r>
      <w:r w:rsidR="00315A3E" w:rsidRPr="00FA587B">
        <w:rPr>
          <w:rFonts w:ascii="Arial" w:hAnsi="Arial" w:cs="Arial"/>
          <w:lang w:val="es-MX"/>
        </w:rPr>
        <w:t xml:space="preserve"> y pretensiones </w:t>
      </w:r>
      <w:r w:rsidR="00C26F29" w:rsidRPr="00FA587B">
        <w:rPr>
          <w:rFonts w:ascii="Arial" w:hAnsi="Arial" w:cs="Arial"/>
          <w:lang w:val="es-MX"/>
        </w:rPr>
        <w:t>que s</w:t>
      </w:r>
      <w:r w:rsidR="00694924" w:rsidRPr="00FA587B">
        <w:rPr>
          <w:rFonts w:ascii="Arial" w:hAnsi="Arial" w:cs="Arial"/>
          <w:lang w:val="es-MX"/>
        </w:rPr>
        <w:t>e contienden</w:t>
      </w:r>
      <w:r w:rsidR="00C26F29" w:rsidRPr="00FA587B">
        <w:rPr>
          <w:rFonts w:ascii="Arial" w:hAnsi="Arial" w:cs="Arial"/>
          <w:lang w:val="es-MX"/>
        </w:rPr>
        <w:t xml:space="preserve"> tanto en la etapa conciliatoria como en la instancia judicial, </w:t>
      </w:r>
      <w:r w:rsidR="00315A3E" w:rsidRPr="00FA587B">
        <w:rPr>
          <w:rFonts w:ascii="Arial" w:hAnsi="Arial" w:cs="Arial"/>
          <w:lang w:val="es-MX"/>
        </w:rPr>
        <w:t xml:space="preserve">pues no de otra forma podría entenderse </w:t>
      </w:r>
      <w:r w:rsidR="00025736" w:rsidRPr="00FA587B">
        <w:rPr>
          <w:rFonts w:ascii="Arial" w:hAnsi="Arial" w:cs="Arial"/>
          <w:lang w:val="es-MX"/>
        </w:rPr>
        <w:t>satisfecha</w:t>
      </w:r>
      <w:r w:rsidR="00694924" w:rsidRPr="00FA587B">
        <w:rPr>
          <w:rFonts w:ascii="Arial" w:hAnsi="Arial" w:cs="Arial"/>
          <w:lang w:val="es-MX"/>
        </w:rPr>
        <w:t xml:space="preserve"> la exigencia legal que consagra</w:t>
      </w:r>
      <w:r w:rsidR="00315A3E" w:rsidRPr="00FA587B">
        <w:rPr>
          <w:rFonts w:ascii="Arial" w:hAnsi="Arial" w:cs="Arial"/>
          <w:lang w:val="es-MX"/>
        </w:rPr>
        <w:t xml:space="preserve"> la </w:t>
      </w:r>
      <w:r w:rsidR="00694924" w:rsidRPr="00FA587B">
        <w:rPr>
          <w:rFonts w:ascii="Arial" w:hAnsi="Arial" w:cs="Arial"/>
          <w:lang w:val="es-MX"/>
        </w:rPr>
        <w:t xml:space="preserve">evacuación </w:t>
      </w:r>
      <w:r w:rsidR="00C26F29" w:rsidRPr="00FA587B">
        <w:rPr>
          <w:rFonts w:ascii="Arial" w:hAnsi="Arial" w:cs="Arial"/>
          <w:lang w:val="es-MX"/>
        </w:rPr>
        <w:t>previa de dicho mecanismo de solución de conflictos</w:t>
      </w:r>
      <w:r w:rsidR="00315A3E" w:rsidRPr="00FA587B">
        <w:rPr>
          <w:rFonts w:ascii="Arial" w:hAnsi="Arial" w:cs="Arial"/>
          <w:lang w:val="es-MX"/>
        </w:rPr>
        <w:t xml:space="preserve">. </w:t>
      </w:r>
    </w:p>
    <w:p w:rsidR="003204F2" w:rsidRPr="00FA587B" w:rsidRDefault="003204F2" w:rsidP="00FA587B">
      <w:pPr>
        <w:spacing w:line="360" w:lineRule="auto"/>
        <w:jc w:val="both"/>
        <w:rPr>
          <w:rFonts w:ascii="Arial" w:hAnsi="Arial" w:cs="Arial"/>
          <w:lang w:val="es-MX"/>
        </w:rPr>
      </w:pPr>
    </w:p>
    <w:p w:rsidR="00D54ABB" w:rsidRPr="00FA587B" w:rsidRDefault="003204F2" w:rsidP="00FA587B">
      <w:pPr>
        <w:spacing w:line="360" w:lineRule="auto"/>
        <w:jc w:val="both"/>
        <w:rPr>
          <w:rFonts w:ascii="Arial" w:hAnsi="Arial" w:cs="Arial"/>
          <w:lang w:val="es-MX"/>
        </w:rPr>
      </w:pPr>
      <w:r w:rsidRPr="00FA587B">
        <w:rPr>
          <w:rFonts w:ascii="Arial" w:hAnsi="Arial" w:cs="Arial"/>
          <w:lang w:val="es-MX"/>
        </w:rPr>
        <w:t xml:space="preserve">Sin </w:t>
      </w:r>
      <w:r w:rsidR="0053234C" w:rsidRPr="00FA587B">
        <w:rPr>
          <w:rFonts w:ascii="Arial" w:hAnsi="Arial" w:cs="Arial"/>
          <w:lang w:val="es-MX"/>
        </w:rPr>
        <w:t>embargo, aun cuando el escrito contentivo de la</w:t>
      </w:r>
      <w:r w:rsidRPr="00FA587B">
        <w:rPr>
          <w:rFonts w:ascii="Arial" w:hAnsi="Arial" w:cs="Arial"/>
          <w:lang w:val="es-MX"/>
        </w:rPr>
        <w:t xml:space="preserve"> solicitud de</w:t>
      </w:r>
      <w:r w:rsidR="0053234C" w:rsidRPr="00FA587B">
        <w:rPr>
          <w:rFonts w:ascii="Arial" w:hAnsi="Arial" w:cs="Arial"/>
          <w:lang w:val="es-MX"/>
        </w:rPr>
        <w:t xml:space="preserve"> conciliación extrajudicial presentada por el ingeniero Jaime Cardona Soto ante la Procuraduría no fue anexada </w:t>
      </w:r>
      <w:r w:rsidR="00584157" w:rsidRPr="00FA587B">
        <w:rPr>
          <w:rFonts w:ascii="Arial" w:hAnsi="Arial" w:cs="Arial"/>
          <w:lang w:val="es-MX"/>
        </w:rPr>
        <w:t>junto</w:t>
      </w:r>
      <w:r w:rsidR="0053234C" w:rsidRPr="00FA587B">
        <w:rPr>
          <w:rFonts w:ascii="Arial" w:hAnsi="Arial" w:cs="Arial"/>
          <w:lang w:val="es-MX"/>
        </w:rPr>
        <w:t xml:space="preserve"> la demanda </w:t>
      </w:r>
      <w:r w:rsidR="00584157" w:rsidRPr="00FA587B">
        <w:rPr>
          <w:rFonts w:ascii="Arial" w:hAnsi="Arial" w:cs="Arial"/>
          <w:lang w:val="es-MX"/>
        </w:rPr>
        <w:t>que dio origen al presente litigio</w:t>
      </w:r>
      <w:r w:rsidR="00630E61" w:rsidRPr="00FA587B">
        <w:rPr>
          <w:rFonts w:ascii="Arial" w:hAnsi="Arial" w:cs="Arial"/>
          <w:lang w:val="es-MX"/>
        </w:rPr>
        <w:t>,</w:t>
      </w:r>
      <w:r w:rsidR="00584157" w:rsidRPr="00FA587B">
        <w:rPr>
          <w:rFonts w:ascii="Arial" w:hAnsi="Arial" w:cs="Arial"/>
          <w:lang w:val="es-MX"/>
        </w:rPr>
        <w:t xml:space="preserve"> </w:t>
      </w:r>
      <w:r w:rsidR="0053234C" w:rsidRPr="00FA587B">
        <w:rPr>
          <w:rFonts w:ascii="Arial" w:hAnsi="Arial" w:cs="Arial"/>
          <w:lang w:val="es-MX"/>
        </w:rPr>
        <w:t xml:space="preserve">en tanto para acreditar el agotamiento de ese requisito </w:t>
      </w:r>
      <w:r w:rsidR="00584157" w:rsidRPr="00FA587B">
        <w:rPr>
          <w:rFonts w:ascii="Arial" w:hAnsi="Arial" w:cs="Arial"/>
          <w:lang w:val="es-MX"/>
        </w:rPr>
        <w:t>se aportó la constancia de</w:t>
      </w:r>
      <w:r w:rsidR="008F2146" w:rsidRPr="00FA587B">
        <w:rPr>
          <w:rFonts w:ascii="Arial" w:hAnsi="Arial" w:cs="Arial"/>
          <w:lang w:val="es-MX"/>
        </w:rPr>
        <w:t>l</w:t>
      </w:r>
      <w:r w:rsidR="00584157" w:rsidRPr="00FA587B">
        <w:rPr>
          <w:rFonts w:ascii="Arial" w:hAnsi="Arial" w:cs="Arial"/>
          <w:lang w:val="es-MX"/>
        </w:rPr>
        <w:t xml:space="preserve"> trámite fallido expedida por el Ministerio</w:t>
      </w:r>
      <w:r w:rsidR="008F2146" w:rsidRPr="00FA587B">
        <w:rPr>
          <w:rFonts w:ascii="Arial" w:hAnsi="Arial" w:cs="Arial"/>
          <w:lang w:val="es-MX"/>
        </w:rPr>
        <w:t xml:space="preserve"> Público en la que se hizo mención sucinta al objeto de conciliación, lo cierto es que junto con el escrito de apelación y como sustento del mismo se aportó </w:t>
      </w:r>
      <w:r w:rsidR="00D54ABB" w:rsidRPr="00FA587B">
        <w:rPr>
          <w:rFonts w:ascii="Arial" w:hAnsi="Arial" w:cs="Arial"/>
          <w:lang w:val="es-MX"/>
        </w:rPr>
        <w:t>copia de la solicitud radicada ante la Procuraduría el 5 de octubre de 2009.</w:t>
      </w:r>
    </w:p>
    <w:p w:rsidR="007244F6" w:rsidRPr="00FA587B" w:rsidRDefault="007244F6" w:rsidP="00FA587B">
      <w:pPr>
        <w:spacing w:line="360" w:lineRule="auto"/>
        <w:jc w:val="both"/>
        <w:rPr>
          <w:rFonts w:ascii="Arial" w:hAnsi="Arial" w:cs="Arial"/>
          <w:lang w:val="es-MX"/>
        </w:rPr>
      </w:pPr>
    </w:p>
    <w:p w:rsidR="007244F6" w:rsidRPr="00FA587B" w:rsidRDefault="00D47F00" w:rsidP="00FA587B">
      <w:pPr>
        <w:spacing w:line="360" w:lineRule="auto"/>
        <w:jc w:val="both"/>
        <w:rPr>
          <w:rFonts w:ascii="Arial" w:hAnsi="Arial" w:cs="Arial"/>
          <w:lang w:val="es-MX"/>
        </w:rPr>
      </w:pPr>
      <w:r w:rsidRPr="00FA587B">
        <w:rPr>
          <w:rFonts w:ascii="Arial" w:hAnsi="Arial" w:cs="Arial"/>
          <w:lang w:val="es-MX"/>
        </w:rPr>
        <w:t>Iniciado el trámite de la segunda instancia</w:t>
      </w:r>
      <w:r w:rsidR="007244F6" w:rsidRPr="00FA587B">
        <w:rPr>
          <w:rFonts w:ascii="Arial" w:hAnsi="Arial" w:cs="Arial"/>
          <w:lang w:val="es-MX"/>
        </w:rPr>
        <w:t xml:space="preserve">, </w:t>
      </w:r>
      <w:r w:rsidRPr="00FA587B">
        <w:rPr>
          <w:rFonts w:ascii="Arial" w:hAnsi="Arial" w:cs="Arial"/>
          <w:lang w:val="es-MX"/>
        </w:rPr>
        <w:t xml:space="preserve">esta Subsección, </w:t>
      </w:r>
      <w:r w:rsidR="007244F6" w:rsidRPr="00FA587B">
        <w:rPr>
          <w:rFonts w:ascii="Arial" w:hAnsi="Arial" w:cs="Arial"/>
          <w:lang w:val="es-MX"/>
        </w:rPr>
        <w:t>mediante auto del 11 de julio de 2014</w:t>
      </w:r>
      <w:r w:rsidRPr="00FA587B">
        <w:rPr>
          <w:rFonts w:ascii="Arial" w:hAnsi="Arial" w:cs="Arial"/>
          <w:lang w:val="es-MX"/>
        </w:rPr>
        <w:t>,</w:t>
      </w:r>
      <w:r w:rsidR="00CB0151" w:rsidRPr="00FA587B">
        <w:rPr>
          <w:rFonts w:ascii="Arial" w:hAnsi="Arial" w:cs="Arial"/>
          <w:lang w:val="es-MX"/>
        </w:rPr>
        <w:t xml:space="preserve"> negó la solicitud impetrada</w:t>
      </w:r>
      <w:r w:rsidR="007244F6" w:rsidRPr="00FA587B">
        <w:rPr>
          <w:rFonts w:ascii="Arial" w:hAnsi="Arial" w:cs="Arial"/>
          <w:lang w:val="es-MX"/>
        </w:rPr>
        <w:t xml:space="preserve"> en el recurso</w:t>
      </w:r>
      <w:r w:rsidRPr="00FA587B">
        <w:rPr>
          <w:rFonts w:ascii="Arial" w:hAnsi="Arial" w:cs="Arial"/>
          <w:lang w:val="es-MX"/>
        </w:rPr>
        <w:t xml:space="preserve"> de apelación</w:t>
      </w:r>
      <w:r w:rsidR="00CB0151" w:rsidRPr="00FA587B">
        <w:rPr>
          <w:rFonts w:ascii="Arial" w:hAnsi="Arial" w:cs="Arial"/>
          <w:lang w:val="es-MX"/>
        </w:rPr>
        <w:t xml:space="preserve"> concerniente</w:t>
      </w:r>
      <w:r w:rsidR="007244F6" w:rsidRPr="00FA587B">
        <w:rPr>
          <w:rFonts w:ascii="Arial" w:hAnsi="Arial" w:cs="Arial"/>
          <w:lang w:val="es-MX"/>
        </w:rPr>
        <w:t xml:space="preserve"> a que </w:t>
      </w:r>
      <w:r w:rsidRPr="00FA587B">
        <w:rPr>
          <w:rFonts w:ascii="Arial" w:hAnsi="Arial" w:cs="Arial"/>
          <w:lang w:val="es-MX"/>
        </w:rPr>
        <w:t xml:space="preserve">se </w:t>
      </w:r>
      <w:r w:rsidR="007244F6" w:rsidRPr="00FA587B">
        <w:rPr>
          <w:rFonts w:ascii="Arial" w:hAnsi="Arial" w:cs="Arial"/>
          <w:lang w:val="es-MX"/>
        </w:rPr>
        <w:t>decretara de oficio una prueba dirigida a oficiar a la Procuraduría para que allegara al proceso la solicitud de conciliación No. 769-2009.</w:t>
      </w:r>
      <w:r w:rsidRPr="00FA587B">
        <w:rPr>
          <w:rFonts w:ascii="Arial" w:hAnsi="Arial" w:cs="Arial"/>
          <w:lang w:val="es-MX"/>
        </w:rPr>
        <w:t xml:space="preserve"> No obstante</w:t>
      </w:r>
      <w:r w:rsidR="007244F6" w:rsidRPr="00FA587B">
        <w:rPr>
          <w:rFonts w:ascii="Arial" w:hAnsi="Arial" w:cs="Arial"/>
          <w:lang w:val="es-MX"/>
        </w:rPr>
        <w:t>, en esa misma providencia se indicó que lo anterior no constituía óbice para que al momento de estudiar el pr</w:t>
      </w:r>
      <w:r w:rsidRPr="00FA587B">
        <w:rPr>
          <w:rFonts w:ascii="Arial" w:hAnsi="Arial" w:cs="Arial"/>
          <w:lang w:val="es-MX"/>
        </w:rPr>
        <w:t>oceso para proferir sentencia se</w:t>
      </w:r>
      <w:r w:rsidR="007244F6" w:rsidRPr="00FA587B">
        <w:rPr>
          <w:rFonts w:ascii="Arial" w:hAnsi="Arial" w:cs="Arial"/>
          <w:lang w:val="es-MX"/>
        </w:rPr>
        <w:t xml:space="preserve"> pudieran ejercer las facultades oficiosas. </w:t>
      </w:r>
    </w:p>
    <w:p w:rsidR="00C9070D" w:rsidRPr="00FA587B" w:rsidRDefault="00C9070D" w:rsidP="00FA587B">
      <w:pPr>
        <w:spacing w:line="360" w:lineRule="auto"/>
        <w:jc w:val="both"/>
        <w:rPr>
          <w:rFonts w:ascii="Arial" w:hAnsi="Arial" w:cs="Arial"/>
          <w:lang w:val="es-MX"/>
        </w:rPr>
      </w:pPr>
    </w:p>
    <w:p w:rsidR="0031317F" w:rsidRPr="00FA587B" w:rsidRDefault="0031317F" w:rsidP="00FA587B">
      <w:pPr>
        <w:spacing w:line="360" w:lineRule="auto"/>
        <w:jc w:val="both"/>
        <w:rPr>
          <w:rFonts w:ascii="Arial" w:hAnsi="Arial" w:cs="Arial"/>
          <w:lang w:val="es-MX"/>
        </w:rPr>
      </w:pPr>
      <w:r w:rsidRPr="00FA587B">
        <w:rPr>
          <w:rFonts w:ascii="Arial" w:hAnsi="Arial" w:cs="Arial"/>
          <w:lang w:val="es-MX"/>
        </w:rPr>
        <w:t xml:space="preserve">Con apoyo en lo anterior, la Sala mediante providencia del 22 de febrero del año en curso resolvió </w:t>
      </w:r>
      <w:r w:rsidRPr="00FA587B">
        <w:rPr>
          <w:rFonts w:ascii="Arial" w:hAnsi="Arial" w:cs="Arial"/>
          <w:lang w:val="es-CO"/>
        </w:rPr>
        <w:t xml:space="preserve">decretar como prueba de oficio el documento contentivo de la solicitud de conciliación prejudicial formulada ante la Procuraduría General de la Nación por el señor Jaime Carmona Soto, como convocante, contra el Instituto de Desarrollo Urbano, </w:t>
      </w:r>
      <w:r w:rsidR="00C94C8B" w:rsidRPr="00FA587B">
        <w:rPr>
          <w:rFonts w:ascii="Arial" w:hAnsi="Arial" w:cs="Arial"/>
          <w:lang w:val="es-CO"/>
        </w:rPr>
        <w:t xml:space="preserve">referente </w:t>
      </w:r>
      <w:r w:rsidRPr="00FA587B">
        <w:rPr>
          <w:rFonts w:ascii="Arial" w:hAnsi="Arial" w:cs="Arial"/>
          <w:lang w:val="es-CO"/>
        </w:rPr>
        <w:t>a las pretensiones que planteó con ocasión de la presente controversia -contrato de obra IDU 193 de 2005-.</w:t>
      </w:r>
    </w:p>
    <w:p w:rsidR="0031317F" w:rsidRPr="00FA587B" w:rsidRDefault="0031317F" w:rsidP="00FA587B">
      <w:pPr>
        <w:spacing w:line="360" w:lineRule="auto"/>
        <w:jc w:val="both"/>
        <w:rPr>
          <w:rFonts w:ascii="Arial" w:hAnsi="Arial" w:cs="Arial"/>
          <w:lang w:val="es-CO"/>
        </w:rPr>
      </w:pPr>
    </w:p>
    <w:p w:rsidR="0031317F" w:rsidRPr="00FA587B" w:rsidRDefault="0031317F" w:rsidP="00FA587B">
      <w:pPr>
        <w:spacing w:line="360" w:lineRule="auto"/>
        <w:jc w:val="both"/>
        <w:rPr>
          <w:rFonts w:ascii="Arial" w:hAnsi="Arial" w:cs="Arial"/>
          <w:lang w:val="es-MX"/>
        </w:rPr>
      </w:pPr>
      <w:r w:rsidRPr="00FA587B">
        <w:rPr>
          <w:rFonts w:ascii="Arial" w:hAnsi="Arial" w:cs="Arial"/>
          <w:lang w:val="es-CO"/>
        </w:rPr>
        <w:t>Al efecto, dispuso tener como prueba el documento que ya obraba en el expediente a folios 278 a 292 del cuaderno de segunda instancia y, como consecuencia, se corrió traslado del mismo a las partes y al Ministerio Público por el término de cinco (5) días para que, si a bien lo tenían</w:t>
      </w:r>
      <w:r w:rsidR="00D60214" w:rsidRPr="00FA587B">
        <w:rPr>
          <w:rFonts w:ascii="Arial" w:hAnsi="Arial" w:cs="Arial"/>
          <w:lang w:val="es-CO"/>
        </w:rPr>
        <w:t>, se pronunciaran</w:t>
      </w:r>
      <w:r w:rsidRPr="00FA587B">
        <w:rPr>
          <w:rFonts w:ascii="Arial" w:hAnsi="Arial" w:cs="Arial"/>
          <w:lang w:val="es-CO"/>
        </w:rPr>
        <w:t xml:space="preserve"> al respecto</w:t>
      </w:r>
      <w:r w:rsidR="00D60214" w:rsidRPr="00FA587B">
        <w:rPr>
          <w:rFonts w:ascii="Arial" w:hAnsi="Arial" w:cs="Arial"/>
          <w:lang w:val="es-CO"/>
        </w:rPr>
        <w:t>.</w:t>
      </w:r>
    </w:p>
    <w:p w:rsidR="0031317F" w:rsidRPr="00FA587B" w:rsidRDefault="0031317F" w:rsidP="00FA587B">
      <w:pPr>
        <w:spacing w:line="360" w:lineRule="auto"/>
        <w:jc w:val="both"/>
        <w:rPr>
          <w:rFonts w:ascii="Arial" w:hAnsi="Arial" w:cs="Arial"/>
          <w:lang w:val="es-MX"/>
        </w:rPr>
      </w:pPr>
    </w:p>
    <w:p w:rsidR="0031317F" w:rsidRPr="00FA587B" w:rsidRDefault="0031317F" w:rsidP="00FA587B">
      <w:pPr>
        <w:spacing w:line="360" w:lineRule="auto"/>
        <w:jc w:val="both"/>
        <w:rPr>
          <w:rFonts w:ascii="Arial" w:hAnsi="Arial" w:cs="Arial"/>
          <w:lang w:val="es-MX"/>
        </w:rPr>
      </w:pPr>
      <w:r w:rsidRPr="00FA587B">
        <w:rPr>
          <w:rFonts w:ascii="Arial" w:hAnsi="Arial" w:cs="Arial"/>
          <w:lang w:val="es-MX"/>
        </w:rPr>
        <w:t xml:space="preserve">La providencia en comento se notificó por estado fijado el 14 de marzo de 2007 y el terminó concedido transcurrió entre el 15 y el 22 de marzo de la misma calenda, sin que dentro del mismo las </w:t>
      </w:r>
      <w:r w:rsidR="00D60214" w:rsidRPr="00FA587B">
        <w:rPr>
          <w:rFonts w:ascii="Arial" w:hAnsi="Arial" w:cs="Arial"/>
          <w:lang w:val="es-MX"/>
        </w:rPr>
        <w:t>partes</w:t>
      </w:r>
      <w:r w:rsidRPr="00FA587B">
        <w:rPr>
          <w:rFonts w:ascii="Arial" w:hAnsi="Arial" w:cs="Arial"/>
          <w:lang w:val="es-MX"/>
        </w:rPr>
        <w:t xml:space="preserve"> hubieran manifestado reparo frente al mencionado texto. </w:t>
      </w:r>
    </w:p>
    <w:p w:rsidR="0031317F" w:rsidRPr="00FA587B" w:rsidRDefault="0031317F" w:rsidP="00FA587B">
      <w:pPr>
        <w:spacing w:line="360" w:lineRule="auto"/>
        <w:jc w:val="both"/>
        <w:rPr>
          <w:rFonts w:ascii="Arial" w:hAnsi="Arial" w:cs="Arial"/>
          <w:lang w:val="es-MX"/>
        </w:rPr>
      </w:pPr>
    </w:p>
    <w:p w:rsidR="007244F6" w:rsidRPr="00FA587B" w:rsidRDefault="007244F6" w:rsidP="00FA587B">
      <w:pPr>
        <w:spacing w:line="360" w:lineRule="auto"/>
        <w:jc w:val="both"/>
        <w:rPr>
          <w:rFonts w:ascii="Arial" w:hAnsi="Arial" w:cs="Arial"/>
          <w:lang w:val="es-MX"/>
        </w:rPr>
      </w:pPr>
      <w:r w:rsidRPr="00FA587B">
        <w:rPr>
          <w:rFonts w:ascii="Arial" w:hAnsi="Arial" w:cs="Arial"/>
          <w:lang w:val="es-MX"/>
        </w:rPr>
        <w:t xml:space="preserve">Pues bien, </w:t>
      </w:r>
      <w:r w:rsidR="0031317F" w:rsidRPr="00FA587B">
        <w:rPr>
          <w:rFonts w:ascii="Arial" w:hAnsi="Arial" w:cs="Arial"/>
          <w:lang w:val="es-MX"/>
        </w:rPr>
        <w:t xml:space="preserve">una vez valorado por </w:t>
      </w:r>
      <w:r w:rsidRPr="00FA587B">
        <w:rPr>
          <w:rFonts w:ascii="Arial" w:hAnsi="Arial" w:cs="Arial"/>
          <w:lang w:val="es-MX"/>
        </w:rPr>
        <w:t xml:space="preserve">la Sala </w:t>
      </w:r>
      <w:r w:rsidR="0031317F" w:rsidRPr="00FA587B">
        <w:rPr>
          <w:rFonts w:ascii="Arial" w:hAnsi="Arial" w:cs="Arial"/>
          <w:lang w:val="es-MX"/>
        </w:rPr>
        <w:t>el documento en comento, se</w:t>
      </w:r>
      <w:r w:rsidR="00D60214" w:rsidRPr="00FA587B">
        <w:rPr>
          <w:rFonts w:ascii="Arial" w:hAnsi="Arial" w:cs="Arial"/>
          <w:lang w:val="es-MX"/>
        </w:rPr>
        <w:t xml:space="preserve"> concluye que</w:t>
      </w:r>
      <w:r w:rsidRPr="00FA587B">
        <w:rPr>
          <w:rFonts w:ascii="Arial" w:hAnsi="Arial" w:cs="Arial"/>
          <w:lang w:val="es-MX"/>
        </w:rPr>
        <w:t xml:space="preserve"> con fundamento en su contenido quedan desvirtuados las consideraciones del </w:t>
      </w:r>
      <w:r w:rsidRPr="00FA587B">
        <w:rPr>
          <w:rFonts w:ascii="Arial" w:hAnsi="Arial" w:cs="Arial"/>
          <w:i/>
          <w:lang w:val="es-MX"/>
        </w:rPr>
        <w:t>a quo</w:t>
      </w:r>
      <w:r w:rsidRPr="00FA587B">
        <w:rPr>
          <w:rFonts w:ascii="Arial" w:hAnsi="Arial" w:cs="Arial"/>
          <w:lang w:val="es-MX"/>
        </w:rPr>
        <w:t xml:space="preserve"> en cuanto a que no se agotó el requisito de procedibilid</w:t>
      </w:r>
      <w:r w:rsidR="00D60214" w:rsidRPr="00FA587B">
        <w:rPr>
          <w:rFonts w:ascii="Arial" w:hAnsi="Arial" w:cs="Arial"/>
          <w:lang w:val="es-MX"/>
        </w:rPr>
        <w:t>ad frente a las pretensiones de</w:t>
      </w:r>
      <w:r w:rsidRPr="00FA587B">
        <w:rPr>
          <w:rFonts w:ascii="Arial" w:hAnsi="Arial" w:cs="Arial"/>
          <w:lang w:val="es-MX"/>
        </w:rPr>
        <w:t xml:space="preserve"> liquidación del contrato y la subsidiaria de declaratoria de enriquecimiento sin causa, cuestión que, con independencia de su vocación de prosperidad, impone </w:t>
      </w:r>
      <w:r w:rsidR="00012FE4" w:rsidRPr="00FA587B">
        <w:rPr>
          <w:rFonts w:ascii="Arial" w:hAnsi="Arial" w:cs="Arial"/>
          <w:lang w:val="es-MX"/>
        </w:rPr>
        <w:t xml:space="preserve">su estudio de fondo en caso de estimarlo </w:t>
      </w:r>
      <w:r w:rsidRPr="00FA587B">
        <w:rPr>
          <w:rFonts w:ascii="Arial" w:hAnsi="Arial" w:cs="Arial"/>
          <w:lang w:val="es-MX"/>
        </w:rPr>
        <w:t xml:space="preserve">procedente. </w:t>
      </w:r>
    </w:p>
    <w:p w:rsidR="00D54ABB" w:rsidRPr="00FA587B" w:rsidRDefault="00D54ABB" w:rsidP="00FA587B">
      <w:pPr>
        <w:spacing w:line="360" w:lineRule="auto"/>
        <w:jc w:val="both"/>
        <w:rPr>
          <w:rFonts w:ascii="Arial" w:hAnsi="Arial" w:cs="Arial"/>
          <w:lang w:val="es-MX"/>
        </w:rPr>
      </w:pPr>
    </w:p>
    <w:p w:rsidR="003204F2" w:rsidRPr="00FA587B" w:rsidRDefault="007244F6" w:rsidP="00FA587B">
      <w:pPr>
        <w:spacing w:line="360" w:lineRule="auto"/>
        <w:jc w:val="both"/>
        <w:rPr>
          <w:rFonts w:ascii="Arial" w:hAnsi="Arial" w:cs="Arial"/>
          <w:lang w:val="es-MX"/>
        </w:rPr>
      </w:pPr>
      <w:r w:rsidRPr="00FA587B">
        <w:rPr>
          <w:rFonts w:ascii="Arial" w:hAnsi="Arial" w:cs="Arial"/>
          <w:lang w:val="es-MX"/>
        </w:rPr>
        <w:t>Ciertamente, e</w:t>
      </w:r>
      <w:r w:rsidR="00D54ABB" w:rsidRPr="00FA587B">
        <w:rPr>
          <w:rFonts w:ascii="Arial" w:hAnsi="Arial" w:cs="Arial"/>
          <w:lang w:val="es-MX"/>
        </w:rPr>
        <w:t>n su texto se evidencia que l</w:t>
      </w:r>
      <w:r w:rsidR="001756A9" w:rsidRPr="00FA587B">
        <w:rPr>
          <w:rFonts w:ascii="Arial" w:hAnsi="Arial" w:cs="Arial"/>
          <w:lang w:val="es-MX"/>
        </w:rPr>
        <w:t>as pretensiones invocadas en aquella</w:t>
      </w:r>
      <w:r w:rsidR="00D54ABB" w:rsidRPr="00FA587B">
        <w:rPr>
          <w:rFonts w:ascii="Arial" w:hAnsi="Arial" w:cs="Arial"/>
          <w:lang w:val="es-MX"/>
        </w:rPr>
        <w:t xml:space="preserve"> oportunidad se relacionaron igualmente con la liquidación del contrato y con la declaratoria de enriquecimiento sin causa, </w:t>
      </w:r>
      <w:r w:rsidR="0071257A" w:rsidRPr="00FA587B">
        <w:rPr>
          <w:rFonts w:ascii="Arial" w:hAnsi="Arial" w:cs="Arial"/>
          <w:lang w:val="es-MX"/>
        </w:rPr>
        <w:t xml:space="preserve">aspiraciones </w:t>
      </w:r>
      <w:r w:rsidR="00D54ABB" w:rsidRPr="00FA587B">
        <w:rPr>
          <w:rFonts w:ascii="Arial" w:hAnsi="Arial" w:cs="Arial"/>
          <w:lang w:val="es-MX"/>
        </w:rPr>
        <w:t>que tanto ech</w:t>
      </w:r>
      <w:r w:rsidRPr="00FA587B">
        <w:rPr>
          <w:rFonts w:ascii="Arial" w:hAnsi="Arial" w:cs="Arial"/>
          <w:lang w:val="es-MX"/>
        </w:rPr>
        <w:t xml:space="preserve">ó de menos </w:t>
      </w:r>
      <w:r w:rsidRPr="00FA587B">
        <w:rPr>
          <w:rFonts w:ascii="Arial" w:hAnsi="Arial" w:cs="Arial"/>
          <w:lang w:val="es-MX"/>
        </w:rPr>
        <w:lastRenderedPageBreak/>
        <w:t xml:space="preserve">la primera instancia y en virtud de lo cual ahora </w:t>
      </w:r>
      <w:r w:rsidR="00C94C8B" w:rsidRPr="00FA587B">
        <w:rPr>
          <w:rFonts w:ascii="Arial" w:hAnsi="Arial" w:cs="Arial"/>
          <w:lang w:val="es-MX"/>
        </w:rPr>
        <w:t>quedan carentes de vigor</w:t>
      </w:r>
      <w:r w:rsidRPr="00FA587B">
        <w:rPr>
          <w:rFonts w:ascii="Arial" w:hAnsi="Arial" w:cs="Arial"/>
          <w:lang w:val="es-MX"/>
        </w:rPr>
        <w:t xml:space="preserve"> los fundamentos de su decisión. </w:t>
      </w:r>
    </w:p>
    <w:p w:rsidR="00C71827" w:rsidRPr="00FA587B" w:rsidRDefault="00C71827" w:rsidP="00FA587B">
      <w:pPr>
        <w:spacing w:line="360" w:lineRule="auto"/>
        <w:jc w:val="both"/>
        <w:rPr>
          <w:rFonts w:ascii="Arial" w:hAnsi="Arial" w:cs="Arial"/>
        </w:rPr>
      </w:pPr>
    </w:p>
    <w:p w:rsidR="0088516C" w:rsidRPr="00FA587B" w:rsidRDefault="00C94C8B" w:rsidP="00FA587B">
      <w:pPr>
        <w:spacing w:line="360" w:lineRule="auto"/>
        <w:jc w:val="both"/>
        <w:rPr>
          <w:rFonts w:ascii="Arial" w:hAnsi="Arial" w:cs="Arial"/>
        </w:rPr>
      </w:pPr>
      <w:r w:rsidRPr="00FA587B">
        <w:rPr>
          <w:rFonts w:ascii="Arial" w:hAnsi="Arial" w:cs="Arial"/>
        </w:rPr>
        <w:t>El otro aspecto</w:t>
      </w:r>
      <w:r w:rsidR="002F106B" w:rsidRPr="00FA587B">
        <w:rPr>
          <w:rFonts w:ascii="Arial" w:hAnsi="Arial" w:cs="Arial"/>
        </w:rPr>
        <w:t xml:space="preserve"> central</w:t>
      </w:r>
      <w:r w:rsidR="0088516C" w:rsidRPr="00FA587B">
        <w:rPr>
          <w:rFonts w:ascii="Arial" w:hAnsi="Arial" w:cs="Arial"/>
        </w:rPr>
        <w:t xml:space="preserve"> de la apelación apuntó a reprochar la caducidad de la acción decretada por el </w:t>
      </w:r>
      <w:r w:rsidR="0088516C" w:rsidRPr="00FA587B">
        <w:rPr>
          <w:rFonts w:ascii="Arial" w:hAnsi="Arial" w:cs="Arial"/>
          <w:i/>
        </w:rPr>
        <w:t>a quo</w:t>
      </w:r>
      <w:r w:rsidR="00012FE4" w:rsidRPr="00FA587B">
        <w:rPr>
          <w:rFonts w:ascii="Arial" w:hAnsi="Arial" w:cs="Arial"/>
        </w:rPr>
        <w:t xml:space="preserve"> respecto de</w:t>
      </w:r>
      <w:r w:rsidR="0088516C" w:rsidRPr="00FA587B">
        <w:rPr>
          <w:rFonts w:ascii="Arial" w:hAnsi="Arial" w:cs="Arial"/>
        </w:rPr>
        <w:t xml:space="preserve"> las pretensiones dirigidas a obtener la declaratoria de incumplimiento contractual. En desarrollo de su argumentación, afirmó que para el cómputo inicial debía tomarse como referente la fecha en que se incumplió la obligación de liquidar el Contrato de Obra No. 193. </w:t>
      </w:r>
    </w:p>
    <w:p w:rsidR="0088516C" w:rsidRPr="00FA587B" w:rsidRDefault="0088516C" w:rsidP="00FA587B">
      <w:pPr>
        <w:spacing w:line="360" w:lineRule="auto"/>
        <w:jc w:val="both"/>
        <w:rPr>
          <w:rFonts w:ascii="Arial" w:hAnsi="Arial" w:cs="Arial"/>
        </w:rPr>
      </w:pPr>
    </w:p>
    <w:p w:rsidR="0088516C" w:rsidRPr="00FA587B" w:rsidRDefault="0088516C" w:rsidP="00FA587B">
      <w:pPr>
        <w:spacing w:line="360" w:lineRule="auto"/>
        <w:jc w:val="both"/>
        <w:rPr>
          <w:rFonts w:ascii="Arial" w:hAnsi="Arial" w:cs="Arial"/>
        </w:rPr>
      </w:pPr>
      <w:r w:rsidRPr="00FA587B">
        <w:rPr>
          <w:rFonts w:ascii="Arial" w:hAnsi="Arial" w:cs="Arial"/>
        </w:rPr>
        <w:t>En lo que atañe a esta cuestión, la Sala considera que le asiste la razón al recurrente cuando señala que</w:t>
      </w:r>
      <w:r w:rsidR="00012FE4" w:rsidRPr="00FA587B">
        <w:rPr>
          <w:rFonts w:ascii="Arial" w:hAnsi="Arial" w:cs="Arial"/>
        </w:rPr>
        <w:t>,</w:t>
      </w:r>
      <w:r w:rsidRPr="00FA587B">
        <w:rPr>
          <w:rFonts w:ascii="Arial" w:hAnsi="Arial" w:cs="Arial"/>
        </w:rPr>
        <w:t xml:space="preserve"> </w:t>
      </w:r>
      <w:r w:rsidR="0046034A" w:rsidRPr="00FA587B">
        <w:rPr>
          <w:rFonts w:ascii="Arial" w:hAnsi="Arial" w:cs="Arial"/>
        </w:rPr>
        <w:t>en orden a determinar la oportunidad</w:t>
      </w:r>
      <w:r w:rsidRPr="00FA587B">
        <w:rPr>
          <w:rFonts w:ascii="Arial" w:hAnsi="Arial" w:cs="Arial"/>
        </w:rPr>
        <w:t xml:space="preserve"> de la acción</w:t>
      </w:r>
      <w:r w:rsidR="00C94C8B" w:rsidRPr="00FA587B">
        <w:rPr>
          <w:rFonts w:ascii="Arial" w:hAnsi="Arial" w:cs="Arial"/>
        </w:rPr>
        <w:t>, habida cuenta de</w:t>
      </w:r>
      <w:r w:rsidR="0046034A" w:rsidRPr="00FA587B">
        <w:rPr>
          <w:rFonts w:ascii="Arial" w:hAnsi="Arial" w:cs="Arial"/>
        </w:rPr>
        <w:t xml:space="preserve"> que el negocio jurídico bajo examen se gobernó por las normas de la Ley 80 de 1993</w:t>
      </w:r>
      <w:r w:rsidR="00965ADB" w:rsidRPr="00FA587B">
        <w:rPr>
          <w:rStyle w:val="Refdenotaalpie"/>
          <w:rFonts w:ascii="Arial" w:hAnsi="Arial" w:cs="Arial"/>
        </w:rPr>
        <w:footnoteReference w:id="5"/>
      </w:r>
      <w:r w:rsidR="0046034A" w:rsidRPr="00FA587B">
        <w:rPr>
          <w:rFonts w:ascii="Arial" w:hAnsi="Arial" w:cs="Arial"/>
        </w:rPr>
        <w:t>, debía seguirse la regla prevista</w:t>
      </w:r>
      <w:r w:rsidRPr="00FA587B">
        <w:rPr>
          <w:rFonts w:ascii="Arial" w:hAnsi="Arial" w:cs="Arial"/>
        </w:rPr>
        <w:t xml:space="preserve"> en la letra d) el numeral 10 del artículo 136 del Código Contencioso Administrativo</w:t>
      </w:r>
      <w:r w:rsidRPr="00FA587B">
        <w:rPr>
          <w:rStyle w:val="Refdenotaalpie"/>
          <w:rFonts w:ascii="Arial" w:hAnsi="Arial" w:cs="Arial"/>
        </w:rPr>
        <w:footnoteReference w:id="6"/>
      </w:r>
      <w:r w:rsidRPr="00FA587B">
        <w:rPr>
          <w:rFonts w:ascii="Arial" w:hAnsi="Arial" w:cs="Arial"/>
        </w:rPr>
        <w:t xml:space="preserve">. </w:t>
      </w:r>
    </w:p>
    <w:p w:rsidR="0088516C" w:rsidRPr="00FA587B" w:rsidRDefault="0088516C" w:rsidP="00FA587B">
      <w:pPr>
        <w:spacing w:line="360" w:lineRule="auto"/>
        <w:jc w:val="both"/>
        <w:rPr>
          <w:rFonts w:ascii="Arial" w:hAnsi="Arial" w:cs="Arial"/>
        </w:rPr>
      </w:pPr>
    </w:p>
    <w:p w:rsidR="0088516C" w:rsidRPr="00FA587B" w:rsidRDefault="0088516C" w:rsidP="00FA587B">
      <w:pPr>
        <w:spacing w:line="360" w:lineRule="auto"/>
        <w:jc w:val="both"/>
        <w:rPr>
          <w:rFonts w:ascii="Arial" w:hAnsi="Arial" w:cs="Arial"/>
          <w:lang w:val="es-CO"/>
        </w:rPr>
      </w:pPr>
      <w:r w:rsidRPr="00FA587B">
        <w:rPr>
          <w:rFonts w:ascii="Arial" w:hAnsi="Arial" w:cs="Arial"/>
        </w:rPr>
        <w:t>En consonancia con lo anterior, resulta pertinente destacar que</w:t>
      </w:r>
      <w:r w:rsidR="0046034A" w:rsidRPr="00FA587B">
        <w:rPr>
          <w:rFonts w:ascii="Arial" w:hAnsi="Arial" w:cs="Arial"/>
          <w:lang w:val="es-CO"/>
        </w:rPr>
        <w:t xml:space="preserve"> en la cl</w:t>
      </w:r>
      <w:r w:rsidR="00003C98" w:rsidRPr="00FA587B">
        <w:rPr>
          <w:rFonts w:ascii="Arial" w:hAnsi="Arial" w:cs="Arial"/>
          <w:lang w:val="es-CO"/>
        </w:rPr>
        <w:t xml:space="preserve">áusula tercera el Contrato No. </w:t>
      </w:r>
      <w:r w:rsidR="00630E61" w:rsidRPr="00FA587B">
        <w:rPr>
          <w:rFonts w:ascii="Arial" w:hAnsi="Arial" w:cs="Arial"/>
          <w:lang w:val="es-CO"/>
        </w:rPr>
        <w:t>193 de 2005</w:t>
      </w:r>
      <w:r w:rsidR="0046034A" w:rsidRPr="00FA587B">
        <w:rPr>
          <w:rFonts w:ascii="Arial" w:hAnsi="Arial" w:cs="Arial"/>
          <w:lang w:val="es-CO"/>
        </w:rPr>
        <w:t xml:space="preserve"> </w:t>
      </w:r>
      <w:r w:rsidRPr="00FA587B">
        <w:rPr>
          <w:rFonts w:ascii="Arial" w:hAnsi="Arial" w:cs="Arial"/>
          <w:lang w:val="es-CO"/>
        </w:rPr>
        <w:t>se acor</w:t>
      </w:r>
      <w:r w:rsidR="0046034A" w:rsidRPr="00FA587B">
        <w:rPr>
          <w:rFonts w:ascii="Arial" w:hAnsi="Arial" w:cs="Arial"/>
          <w:lang w:val="es-CO"/>
        </w:rPr>
        <w:t>dó que su duración sería de siete meses contados a partir de la firma del acta de inicio de actividades,</w:t>
      </w:r>
      <w:r w:rsidRPr="00FA587B">
        <w:rPr>
          <w:rFonts w:ascii="Arial" w:hAnsi="Arial" w:cs="Arial"/>
          <w:lang w:val="es-CO"/>
        </w:rPr>
        <w:t xml:space="preserve"> hecho que tuvo ocurre</w:t>
      </w:r>
      <w:r w:rsidR="0014661B" w:rsidRPr="00FA587B">
        <w:rPr>
          <w:rFonts w:ascii="Arial" w:hAnsi="Arial" w:cs="Arial"/>
          <w:lang w:val="es-CO"/>
        </w:rPr>
        <w:t>ncia el 4</w:t>
      </w:r>
      <w:r w:rsidRPr="00FA587B">
        <w:rPr>
          <w:rFonts w:ascii="Arial" w:hAnsi="Arial" w:cs="Arial"/>
          <w:lang w:val="es-CO"/>
        </w:rPr>
        <w:t xml:space="preserve"> de septiembre de 2006</w:t>
      </w:r>
      <w:r w:rsidR="0014661B" w:rsidRPr="00FA587B">
        <w:rPr>
          <w:rFonts w:ascii="Arial" w:hAnsi="Arial" w:cs="Arial"/>
          <w:lang w:val="es-CO"/>
        </w:rPr>
        <w:t>. Con todo, luego de ser prorrogado</w:t>
      </w:r>
      <w:r w:rsidR="008D73A8" w:rsidRPr="00FA587B">
        <w:rPr>
          <w:rFonts w:ascii="Arial" w:hAnsi="Arial" w:cs="Arial"/>
          <w:lang w:val="es-CO"/>
        </w:rPr>
        <w:t xml:space="preserve"> el plazo contractual</w:t>
      </w:r>
      <w:r w:rsidR="0014661B" w:rsidRPr="00FA587B">
        <w:rPr>
          <w:rFonts w:ascii="Arial" w:hAnsi="Arial" w:cs="Arial"/>
          <w:lang w:val="es-CO"/>
        </w:rPr>
        <w:t xml:space="preserve"> en tres ocasiones, su culminación, según Acta No. 31 A</w:t>
      </w:r>
      <w:r w:rsidRPr="00FA587B">
        <w:rPr>
          <w:rFonts w:ascii="Arial" w:hAnsi="Arial" w:cs="Arial"/>
          <w:lang w:val="es-CO"/>
        </w:rPr>
        <w:t xml:space="preserve">, </w:t>
      </w:r>
      <w:r w:rsidR="0014661B" w:rsidRPr="00FA587B">
        <w:rPr>
          <w:rFonts w:ascii="Arial" w:hAnsi="Arial" w:cs="Arial"/>
          <w:lang w:val="es-CO"/>
        </w:rPr>
        <w:t xml:space="preserve">se produjo el 5 de octubre de 2007. </w:t>
      </w:r>
    </w:p>
    <w:p w:rsidR="0088516C" w:rsidRPr="00FA587B" w:rsidRDefault="0088516C" w:rsidP="00FA587B">
      <w:pPr>
        <w:spacing w:line="360" w:lineRule="auto"/>
        <w:jc w:val="both"/>
        <w:rPr>
          <w:rFonts w:ascii="Arial" w:hAnsi="Arial" w:cs="Arial"/>
          <w:lang w:val="es-CO"/>
        </w:rPr>
      </w:pPr>
    </w:p>
    <w:p w:rsidR="0088516C" w:rsidRPr="00FA587B" w:rsidRDefault="00003C98" w:rsidP="00FA587B">
      <w:pPr>
        <w:spacing w:line="360" w:lineRule="auto"/>
        <w:jc w:val="both"/>
        <w:rPr>
          <w:rFonts w:ascii="Arial" w:hAnsi="Arial" w:cs="Arial"/>
          <w:lang w:val="es-CO"/>
        </w:rPr>
      </w:pPr>
      <w:r w:rsidRPr="00FA587B">
        <w:rPr>
          <w:rFonts w:ascii="Arial" w:hAnsi="Arial" w:cs="Arial"/>
          <w:lang w:val="es-CO"/>
        </w:rPr>
        <w:t>En consideración a</w:t>
      </w:r>
      <w:r w:rsidR="008D73A8" w:rsidRPr="00FA587B">
        <w:rPr>
          <w:rFonts w:ascii="Arial" w:hAnsi="Arial" w:cs="Arial"/>
          <w:lang w:val="es-CO"/>
        </w:rPr>
        <w:t xml:space="preserve"> que ambas partes coinciden </w:t>
      </w:r>
      <w:r w:rsidRPr="00FA587B">
        <w:rPr>
          <w:rFonts w:ascii="Arial" w:hAnsi="Arial" w:cs="Arial"/>
          <w:lang w:val="es-CO"/>
        </w:rPr>
        <w:t xml:space="preserve">en señalar que el Contrato No. </w:t>
      </w:r>
      <w:r w:rsidR="008D73A8" w:rsidRPr="00FA587B">
        <w:rPr>
          <w:rFonts w:ascii="Arial" w:hAnsi="Arial" w:cs="Arial"/>
          <w:lang w:val="es-CO"/>
        </w:rPr>
        <w:t>193 de 2005 no ha sido liquidado</w:t>
      </w:r>
      <w:r w:rsidR="0088516C" w:rsidRPr="00FA587B">
        <w:rPr>
          <w:rFonts w:ascii="Arial" w:hAnsi="Arial" w:cs="Arial"/>
          <w:lang w:val="es-CO"/>
        </w:rPr>
        <w:t xml:space="preserve">, se impone establecer la fecha en que se incumplió la </w:t>
      </w:r>
      <w:r w:rsidR="0088516C" w:rsidRPr="00FA587B">
        <w:rPr>
          <w:rFonts w:ascii="Arial" w:hAnsi="Arial" w:cs="Arial"/>
          <w:lang w:val="es-CO"/>
        </w:rPr>
        <w:lastRenderedPageBreak/>
        <w:t>obligación de liquidar</w:t>
      </w:r>
      <w:r w:rsidRPr="00FA587B">
        <w:rPr>
          <w:rFonts w:ascii="Arial" w:hAnsi="Arial" w:cs="Arial"/>
          <w:lang w:val="es-CO"/>
        </w:rPr>
        <w:t>lo</w:t>
      </w:r>
      <w:r w:rsidR="0088516C" w:rsidRPr="00FA587B">
        <w:rPr>
          <w:rFonts w:ascii="Arial" w:hAnsi="Arial" w:cs="Arial"/>
          <w:lang w:val="es-CO"/>
        </w:rPr>
        <w:t xml:space="preserve"> para, a partir de entonces, precisar la f</w:t>
      </w:r>
      <w:r w:rsidR="00C94C8B" w:rsidRPr="00FA587B">
        <w:rPr>
          <w:rFonts w:ascii="Arial" w:hAnsi="Arial" w:cs="Arial"/>
          <w:lang w:val="es-CO"/>
        </w:rPr>
        <w:t>echa en que empezó el conteo</w:t>
      </w:r>
      <w:r w:rsidR="0088516C" w:rsidRPr="00FA587B">
        <w:rPr>
          <w:rFonts w:ascii="Arial" w:hAnsi="Arial" w:cs="Arial"/>
          <w:lang w:val="es-CO"/>
        </w:rPr>
        <w:t xml:space="preserve"> respectivo. </w:t>
      </w:r>
    </w:p>
    <w:p w:rsidR="0088516C" w:rsidRPr="00FA587B" w:rsidRDefault="0088516C" w:rsidP="00FA587B">
      <w:pPr>
        <w:spacing w:line="360" w:lineRule="auto"/>
        <w:jc w:val="both"/>
        <w:rPr>
          <w:rFonts w:ascii="Arial" w:hAnsi="Arial" w:cs="Arial"/>
          <w:lang w:val="es-CO"/>
        </w:rPr>
      </w:pPr>
    </w:p>
    <w:p w:rsidR="0088516C" w:rsidRPr="00FA587B" w:rsidRDefault="0088516C" w:rsidP="00FA587B">
      <w:pPr>
        <w:spacing w:line="360" w:lineRule="auto"/>
        <w:jc w:val="both"/>
        <w:rPr>
          <w:rFonts w:ascii="Arial" w:hAnsi="Arial" w:cs="Arial"/>
          <w:lang w:val="es-CO"/>
        </w:rPr>
      </w:pPr>
      <w:r w:rsidRPr="00FA587B">
        <w:rPr>
          <w:rFonts w:ascii="Arial" w:hAnsi="Arial" w:cs="Arial"/>
          <w:lang w:val="es-CO"/>
        </w:rPr>
        <w:t>Así pues, habiéndose esclarecido q</w:t>
      </w:r>
      <w:r w:rsidR="00003C98" w:rsidRPr="00FA587B">
        <w:rPr>
          <w:rFonts w:ascii="Arial" w:hAnsi="Arial" w:cs="Arial"/>
          <w:lang w:val="es-CO"/>
        </w:rPr>
        <w:t xml:space="preserve">ue el plazo del Contrato No. </w:t>
      </w:r>
      <w:r w:rsidR="00C92445" w:rsidRPr="00FA587B">
        <w:rPr>
          <w:rFonts w:ascii="Arial" w:hAnsi="Arial" w:cs="Arial"/>
          <w:lang w:val="es-CO"/>
        </w:rPr>
        <w:t>193 finalizó el 5 de octubre de 2007</w:t>
      </w:r>
      <w:r w:rsidRPr="00FA587B">
        <w:rPr>
          <w:rFonts w:ascii="Arial" w:hAnsi="Arial" w:cs="Arial"/>
          <w:lang w:val="es-CO"/>
        </w:rPr>
        <w:t>, desde ese momento las partes tenían cuatro meses para lograr la liquidación bilateral del negocio jurídico, y desde entonces, dos meses más para ser liquidado unilateralmente por la entidad. De ahí</w:t>
      </w:r>
      <w:r w:rsidR="00003C98" w:rsidRPr="00FA587B">
        <w:rPr>
          <w:rFonts w:ascii="Arial" w:hAnsi="Arial" w:cs="Arial"/>
          <w:lang w:val="es-CO"/>
        </w:rPr>
        <w:t xml:space="preserve"> que</w:t>
      </w:r>
      <w:r w:rsidRPr="00FA587B">
        <w:rPr>
          <w:rFonts w:ascii="Arial" w:hAnsi="Arial" w:cs="Arial"/>
          <w:lang w:val="es-CO"/>
        </w:rPr>
        <w:t xml:space="preserve"> el término p</w:t>
      </w:r>
      <w:r w:rsidR="00C92445" w:rsidRPr="00FA587B">
        <w:rPr>
          <w:rFonts w:ascii="Arial" w:hAnsi="Arial" w:cs="Arial"/>
          <w:lang w:val="es-CO"/>
        </w:rPr>
        <w:t>ara su liquidación vencía el 6 de abril 2008</w:t>
      </w:r>
      <w:r w:rsidRPr="00FA587B">
        <w:rPr>
          <w:rFonts w:ascii="Arial" w:hAnsi="Arial" w:cs="Arial"/>
          <w:lang w:val="es-CO"/>
        </w:rPr>
        <w:t>.</w:t>
      </w:r>
    </w:p>
    <w:p w:rsidR="0088516C" w:rsidRPr="00FA587B" w:rsidRDefault="0088516C" w:rsidP="00FA587B">
      <w:pPr>
        <w:spacing w:line="360" w:lineRule="auto"/>
        <w:jc w:val="both"/>
        <w:rPr>
          <w:rFonts w:ascii="Arial" w:hAnsi="Arial" w:cs="Arial"/>
        </w:rPr>
      </w:pPr>
    </w:p>
    <w:p w:rsidR="0088516C" w:rsidRPr="00FA587B" w:rsidRDefault="0088516C" w:rsidP="00FA587B">
      <w:pPr>
        <w:spacing w:line="360" w:lineRule="auto"/>
        <w:jc w:val="both"/>
        <w:rPr>
          <w:rFonts w:ascii="Arial" w:hAnsi="Arial" w:cs="Arial"/>
        </w:rPr>
      </w:pPr>
      <w:r w:rsidRPr="00FA587B">
        <w:rPr>
          <w:rFonts w:ascii="Arial" w:hAnsi="Arial" w:cs="Arial"/>
        </w:rPr>
        <w:t>Así las cosas, el término de caducidad de la acción contract</w:t>
      </w:r>
      <w:r w:rsidR="00965ADB" w:rsidRPr="00FA587B">
        <w:rPr>
          <w:rFonts w:ascii="Arial" w:hAnsi="Arial" w:cs="Arial"/>
        </w:rPr>
        <w:t xml:space="preserve">ual habría de correr desde el 6 de abril de 2008 </w:t>
      </w:r>
      <w:r w:rsidRPr="00FA587B">
        <w:rPr>
          <w:rFonts w:ascii="Arial" w:hAnsi="Arial" w:cs="Arial"/>
        </w:rPr>
        <w:t xml:space="preserve">hasta </w:t>
      </w:r>
      <w:r w:rsidR="00965ADB" w:rsidRPr="00FA587B">
        <w:rPr>
          <w:rFonts w:ascii="Arial" w:hAnsi="Arial" w:cs="Arial"/>
        </w:rPr>
        <w:t xml:space="preserve">el </w:t>
      </w:r>
      <w:r w:rsidR="00883354" w:rsidRPr="00FA587B">
        <w:rPr>
          <w:rFonts w:ascii="Arial" w:hAnsi="Arial" w:cs="Arial"/>
        </w:rPr>
        <w:t>6</w:t>
      </w:r>
      <w:r w:rsidR="00965ADB" w:rsidRPr="00FA587B">
        <w:rPr>
          <w:rFonts w:ascii="Arial" w:hAnsi="Arial" w:cs="Arial"/>
        </w:rPr>
        <w:t xml:space="preserve"> de abril de 2010</w:t>
      </w:r>
      <w:r w:rsidRPr="00FA587B">
        <w:rPr>
          <w:rFonts w:ascii="Arial" w:hAnsi="Arial" w:cs="Arial"/>
        </w:rPr>
        <w:t>, siendo este último el plazo máximo para ejercer la correspondiente acción contractual.</w:t>
      </w:r>
    </w:p>
    <w:p w:rsidR="0088516C" w:rsidRPr="00FA587B" w:rsidRDefault="0088516C" w:rsidP="00FA587B">
      <w:pPr>
        <w:spacing w:line="360" w:lineRule="auto"/>
        <w:jc w:val="both"/>
        <w:rPr>
          <w:rFonts w:ascii="Arial" w:hAnsi="Arial" w:cs="Arial"/>
          <w:lang w:val="es-ES_tradnl"/>
        </w:rPr>
      </w:pPr>
    </w:p>
    <w:p w:rsidR="0088516C" w:rsidRPr="00FA587B" w:rsidRDefault="0088516C" w:rsidP="00FA587B">
      <w:pPr>
        <w:spacing w:line="360" w:lineRule="auto"/>
        <w:jc w:val="both"/>
        <w:rPr>
          <w:rFonts w:ascii="Arial" w:hAnsi="Arial" w:cs="Arial"/>
          <w:lang w:val="es-ES_tradnl"/>
        </w:rPr>
      </w:pPr>
      <w:r w:rsidRPr="00FA587B">
        <w:rPr>
          <w:rFonts w:ascii="Arial" w:hAnsi="Arial" w:cs="Arial"/>
          <w:lang w:val="es-ES_tradnl"/>
        </w:rPr>
        <w:t xml:space="preserve">Como consecuencia, al haberse interpuesto la demanda el </w:t>
      </w:r>
      <w:r w:rsidR="00965ADB" w:rsidRPr="00FA587B">
        <w:rPr>
          <w:rFonts w:ascii="Arial" w:hAnsi="Arial" w:cs="Arial"/>
          <w:u w:val="single"/>
          <w:lang w:val="es-ES_tradnl"/>
        </w:rPr>
        <w:t>5 de febrero</w:t>
      </w:r>
      <w:r w:rsidRPr="00FA587B">
        <w:rPr>
          <w:rFonts w:ascii="Arial" w:hAnsi="Arial" w:cs="Arial"/>
          <w:u w:val="single"/>
          <w:lang w:val="es-ES_tradnl"/>
        </w:rPr>
        <w:t xml:space="preserve"> de 201</w:t>
      </w:r>
      <w:r w:rsidR="00965ADB" w:rsidRPr="00FA587B">
        <w:rPr>
          <w:rFonts w:ascii="Arial" w:hAnsi="Arial" w:cs="Arial"/>
          <w:u w:val="single"/>
          <w:lang w:val="es-ES_tradnl"/>
        </w:rPr>
        <w:t>0</w:t>
      </w:r>
      <w:r w:rsidRPr="00FA587B">
        <w:rPr>
          <w:rFonts w:ascii="Arial" w:hAnsi="Arial" w:cs="Arial"/>
          <w:lang w:val="es-ES_tradnl"/>
        </w:rPr>
        <w:t>, la Sala</w:t>
      </w:r>
      <w:r w:rsidR="00360D20" w:rsidRPr="00FA587B">
        <w:rPr>
          <w:rFonts w:ascii="Arial" w:hAnsi="Arial" w:cs="Arial"/>
          <w:lang w:val="es-ES_tradnl"/>
        </w:rPr>
        <w:t>, contrario a lo considerado por el fallador de primer grado,</w:t>
      </w:r>
      <w:r w:rsidRPr="00FA587B">
        <w:rPr>
          <w:rFonts w:ascii="Arial" w:hAnsi="Arial" w:cs="Arial"/>
          <w:lang w:val="es-ES_tradnl"/>
        </w:rPr>
        <w:t xml:space="preserve"> concluye que la acción se ejerció dentro del término legalmente establecido. </w:t>
      </w:r>
    </w:p>
    <w:p w:rsidR="0088516C" w:rsidRPr="00FA587B" w:rsidRDefault="0088516C" w:rsidP="00FA587B">
      <w:pPr>
        <w:spacing w:line="360" w:lineRule="auto"/>
        <w:jc w:val="both"/>
        <w:rPr>
          <w:rFonts w:ascii="Arial" w:hAnsi="Arial" w:cs="Arial"/>
          <w:lang w:val="es-CO" w:eastAsia="es-CO"/>
        </w:rPr>
      </w:pPr>
    </w:p>
    <w:p w:rsidR="00390707" w:rsidRPr="00FA587B" w:rsidRDefault="00390707" w:rsidP="00FA587B">
      <w:pPr>
        <w:spacing w:line="360" w:lineRule="auto"/>
        <w:jc w:val="both"/>
        <w:rPr>
          <w:rFonts w:ascii="Arial" w:hAnsi="Arial" w:cs="Arial"/>
        </w:rPr>
      </w:pPr>
      <w:r w:rsidRPr="00FA587B">
        <w:rPr>
          <w:rFonts w:ascii="Arial" w:hAnsi="Arial" w:cs="Arial"/>
          <w:b/>
        </w:rPr>
        <w:t>2.2</w:t>
      </w:r>
      <w:r w:rsidR="00272BE9" w:rsidRPr="00FA587B">
        <w:rPr>
          <w:rFonts w:ascii="Arial" w:hAnsi="Arial" w:cs="Arial"/>
          <w:b/>
        </w:rPr>
        <w:t>.-</w:t>
      </w:r>
      <w:r w:rsidRPr="00FA587B">
        <w:rPr>
          <w:rFonts w:ascii="Arial" w:hAnsi="Arial" w:cs="Arial"/>
          <w:b/>
        </w:rPr>
        <w:t xml:space="preserve"> Legitimación en la causa</w:t>
      </w:r>
      <w:r w:rsidRPr="00FA587B">
        <w:rPr>
          <w:rFonts w:ascii="Arial" w:hAnsi="Arial" w:cs="Arial"/>
        </w:rPr>
        <w:t xml:space="preserve"> </w:t>
      </w:r>
    </w:p>
    <w:p w:rsidR="00390707" w:rsidRPr="00FA587B" w:rsidRDefault="00390707" w:rsidP="00FA587B">
      <w:pPr>
        <w:spacing w:line="360" w:lineRule="auto"/>
        <w:jc w:val="both"/>
        <w:rPr>
          <w:rFonts w:ascii="Arial" w:hAnsi="Arial" w:cs="Arial"/>
        </w:rPr>
      </w:pPr>
    </w:p>
    <w:p w:rsidR="00390707" w:rsidRPr="00FA587B" w:rsidRDefault="00390707" w:rsidP="00FA587B">
      <w:pPr>
        <w:spacing w:line="360" w:lineRule="auto"/>
        <w:jc w:val="both"/>
        <w:rPr>
          <w:rFonts w:ascii="Arial" w:hAnsi="Arial" w:cs="Arial"/>
        </w:rPr>
      </w:pPr>
      <w:r w:rsidRPr="00FA587B">
        <w:rPr>
          <w:rFonts w:ascii="Arial" w:hAnsi="Arial" w:cs="Arial"/>
        </w:rPr>
        <w:t>La Sala encuentra que le asiste legitimac</w:t>
      </w:r>
      <w:r w:rsidR="00511339" w:rsidRPr="00FA587B">
        <w:rPr>
          <w:rFonts w:ascii="Arial" w:hAnsi="Arial" w:cs="Arial"/>
        </w:rPr>
        <w:t xml:space="preserve">ión en la causa por activa al ingeniero Jaime Carmona Soto </w:t>
      </w:r>
      <w:r w:rsidR="00EF6ABE" w:rsidRPr="00FA587B">
        <w:rPr>
          <w:rFonts w:ascii="Arial" w:hAnsi="Arial" w:cs="Arial"/>
        </w:rPr>
        <w:t>p</w:t>
      </w:r>
      <w:r w:rsidRPr="00FA587B">
        <w:rPr>
          <w:rFonts w:ascii="Arial" w:hAnsi="Arial" w:cs="Arial"/>
        </w:rPr>
        <w:t>ara integrar el extremo demandante, en su condición de contratista den</w:t>
      </w:r>
      <w:r w:rsidR="00511339" w:rsidRPr="00FA587B">
        <w:rPr>
          <w:rFonts w:ascii="Arial" w:hAnsi="Arial" w:cs="Arial"/>
        </w:rPr>
        <w:t>tro del negocio jurídico No. 193</w:t>
      </w:r>
      <w:r w:rsidRPr="00FA587B">
        <w:rPr>
          <w:rFonts w:ascii="Arial" w:hAnsi="Arial" w:cs="Arial"/>
        </w:rPr>
        <w:t xml:space="preserve">, </w:t>
      </w:r>
      <w:r w:rsidR="00F45062" w:rsidRPr="00FA587B">
        <w:rPr>
          <w:rFonts w:ascii="Arial" w:hAnsi="Arial" w:cs="Arial"/>
        </w:rPr>
        <w:t xml:space="preserve">en cuyo desarrollo </w:t>
      </w:r>
      <w:r w:rsidR="00C94C8B" w:rsidRPr="00FA587B">
        <w:rPr>
          <w:rFonts w:ascii="Arial" w:hAnsi="Arial" w:cs="Arial"/>
        </w:rPr>
        <w:t xml:space="preserve">acaeció </w:t>
      </w:r>
      <w:r w:rsidR="00511339" w:rsidRPr="00FA587B">
        <w:rPr>
          <w:rFonts w:ascii="Arial" w:hAnsi="Arial" w:cs="Arial"/>
        </w:rPr>
        <w:t xml:space="preserve">el incumplimiento y/o desequilibrio económico </w:t>
      </w:r>
      <w:r w:rsidRPr="00FA587B">
        <w:rPr>
          <w:rFonts w:ascii="Arial" w:hAnsi="Arial" w:cs="Arial"/>
        </w:rPr>
        <w:t>que constituye la materia de reclamación</w:t>
      </w:r>
      <w:r w:rsidR="00EF6ABE" w:rsidRPr="00FA587B">
        <w:rPr>
          <w:rFonts w:ascii="Arial" w:hAnsi="Arial" w:cs="Arial"/>
        </w:rPr>
        <w:t xml:space="preserve">. </w:t>
      </w:r>
    </w:p>
    <w:p w:rsidR="006D2B3D" w:rsidRPr="00FA587B" w:rsidRDefault="006D2B3D" w:rsidP="00FA587B">
      <w:pPr>
        <w:spacing w:line="360" w:lineRule="auto"/>
        <w:jc w:val="both"/>
        <w:rPr>
          <w:rFonts w:ascii="Arial" w:hAnsi="Arial" w:cs="Arial"/>
        </w:rPr>
      </w:pPr>
    </w:p>
    <w:p w:rsidR="00390707" w:rsidRPr="00FA587B" w:rsidRDefault="00390707" w:rsidP="00FA587B">
      <w:pPr>
        <w:spacing w:line="360" w:lineRule="auto"/>
        <w:jc w:val="both"/>
        <w:rPr>
          <w:rFonts w:ascii="Arial" w:hAnsi="Arial" w:cs="Arial"/>
          <w:lang w:val="es-CO"/>
        </w:rPr>
      </w:pPr>
      <w:r w:rsidRPr="00FA587B">
        <w:rPr>
          <w:rFonts w:ascii="Arial" w:hAnsi="Arial" w:cs="Arial"/>
        </w:rPr>
        <w:t>Igualmente, halla la Sala legitimado en la causa por pasiva a</w:t>
      </w:r>
      <w:r w:rsidRPr="00FA587B">
        <w:rPr>
          <w:rFonts w:ascii="Arial" w:hAnsi="Arial" w:cs="Arial"/>
          <w:lang w:val="es-MX"/>
        </w:rPr>
        <w:t>l</w:t>
      </w:r>
      <w:r w:rsidR="00306AA3" w:rsidRPr="00FA587B">
        <w:rPr>
          <w:rFonts w:ascii="Arial" w:hAnsi="Arial" w:cs="Arial"/>
          <w:lang w:val="es-MX"/>
        </w:rPr>
        <w:t xml:space="preserve"> Instituto de Desarrollo Urbano</w:t>
      </w:r>
      <w:r w:rsidRPr="00FA587B">
        <w:rPr>
          <w:rFonts w:ascii="Arial" w:hAnsi="Arial" w:cs="Arial"/>
          <w:lang w:val="es-CO"/>
        </w:rPr>
        <w:t xml:space="preserve">, dada su condición de entidad contratante del negocio jurídico presuntamente </w:t>
      </w:r>
      <w:r w:rsidR="00F45062" w:rsidRPr="00FA587B">
        <w:rPr>
          <w:rFonts w:ascii="Arial" w:hAnsi="Arial" w:cs="Arial"/>
          <w:lang w:val="es-CO"/>
        </w:rPr>
        <w:t xml:space="preserve">incumplido y/o </w:t>
      </w:r>
      <w:r w:rsidRPr="00FA587B">
        <w:rPr>
          <w:rFonts w:ascii="Arial" w:hAnsi="Arial" w:cs="Arial"/>
          <w:lang w:val="es-CO"/>
        </w:rPr>
        <w:t>alterado por la ruptura de su equilibrio económico</w:t>
      </w:r>
      <w:r w:rsidR="00F45062" w:rsidRPr="00FA587B">
        <w:rPr>
          <w:rFonts w:ascii="Arial" w:hAnsi="Arial" w:cs="Arial"/>
          <w:lang w:val="es-CO"/>
        </w:rPr>
        <w:t>.</w:t>
      </w:r>
    </w:p>
    <w:p w:rsidR="008B1A4A" w:rsidRPr="00FA587B" w:rsidRDefault="008B1A4A" w:rsidP="00FA587B">
      <w:pPr>
        <w:spacing w:line="360" w:lineRule="auto"/>
        <w:jc w:val="both"/>
        <w:rPr>
          <w:rFonts w:ascii="Arial" w:hAnsi="Arial" w:cs="Arial"/>
          <w:b/>
        </w:rPr>
      </w:pPr>
    </w:p>
    <w:p w:rsidR="008B1A4A" w:rsidRPr="00FA587B" w:rsidRDefault="00CA5D4D" w:rsidP="00FA587B">
      <w:pPr>
        <w:spacing w:line="360" w:lineRule="auto"/>
        <w:jc w:val="both"/>
        <w:rPr>
          <w:rFonts w:ascii="Arial" w:hAnsi="Arial" w:cs="Arial"/>
          <w:b/>
        </w:rPr>
      </w:pPr>
      <w:r w:rsidRPr="00FA587B">
        <w:rPr>
          <w:rFonts w:ascii="Arial" w:hAnsi="Arial" w:cs="Arial"/>
          <w:b/>
        </w:rPr>
        <w:t>3</w:t>
      </w:r>
      <w:r w:rsidR="008B1A4A" w:rsidRPr="00FA587B">
        <w:rPr>
          <w:rFonts w:ascii="Arial" w:hAnsi="Arial" w:cs="Arial"/>
          <w:b/>
        </w:rPr>
        <w:t>.</w:t>
      </w:r>
      <w:r w:rsidR="00272BE9" w:rsidRPr="00FA587B">
        <w:rPr>
          <w:rFonts w:ascii="Arial" w:hAnsi="Arial" w:cs="Arial"/>
          <w:b/>
        </w:rPr>
        <w:t>-</w:t>
      </w:r>
      <w:r w:rsidR="008B1A4A" w:rsidRPr="00FA587B">
        <w:rPr>
          <w:rFonts w:ascii="Arial" w:hAnsi="Arial" w:cs="Arial"/>
          <w:b/>
        </w:rPr>
        <w:t xml:space="preserve"> </w:t>
      </w:r>
      <w:r w:rsidR="008B1A4A" w:rsidRPr="00FA587B">
        <w:rPr>
          <w:rFonts w:ascii="Arial" w:hAnsi="Arial" w:cs="Arial"/>
          <w:b/>
          <w:iCs/>
        </w:rPr>
        <w:t xml:space="preserve">Consideraciones probatorias - </w:t>
      </w:r>
      <w:r w:rsidR="009F26A2" w:rsidRPr="00FA587B">
        <w:rPr>
          <w:rFonts w:ascii="Arial" w:hAnsi="Arial" w:cs="Arial"/>
          <w:b/>
        </w:rPr>
        <w:t>De la valoración de las actas de c</w:t>
      </w:r>
      <w:r w:rsidR="008B1A4A" w:rsidRPr="00FA587B">
        <w:rPr>
          <w:rFonts w:ascii="Arial" w:hAnsi="Arial" w:cs="Arial"/>
          <w:b/>
        </w:rPr>
        <w:t>onciliación y de las actas del comité de defensa judicial y conciliación</w:t>
      </w:r>
    </w:p>
    <w:p w:rsidR="008B1A4A" w:rsidRPr="00FA587B" w:rsidRDefault="008B1A4A" w:rsidP="00FA587B">
      <w:pPr>
        <w:spacing w:line="360" w:lineRule="auto"/>
        <w:jc w:val="both"/>
        <w:rPr>
          <w:rFonts w:ascii="Arial" w:hAnsi="Arial" w:cs="Arial"/>
          <w:b/>
          <w:iCs/>
          <w:u w:val="single"/>
        </w:rPr>
      </w:pPr>
    </w:p>
    <w:p w:rsidR="008B1A4A" w:rsidRPr="00FA587B" w:rsidRDefault="009F26A2" w:rsidP="00FA587B">
      <w:pPr>
        <w:spacing w:line="360" w:lineRule="auto"/>
        <w:jc w:val="both"/>
        <w:rPr>
          <w:rFonts w:ascii="Arial" w:hAnsi="Arial" w:cs="Arial"/>
          <w:iCs/>
        </w:rPr>
      </w:pPr>
      <w:r w:rsidRPr="00FA587B">
        <w:rPr>
          <w:rFonts w:ascii="Arial" w:hAnsi="Arial" w:cs="Arial"/>
          <w:iCs/>
        </w:rPr>
        <w:t xml:space="preserve">Se reitera </w:t>
      </w:r>
      <w:r w:rsidR="008B1A4A" w:rsidRPr="00FA587B">
        <w:rPr>
          <w:rFonts w:ascii="Arial" w:hAnsi="Arial" w:cs="Arial"/>
          <w:iCs/>
        </w:rPr>
        <w:t>que la presente controversia fue sometida a</w:t>
      </w:r>
      <w:r w:rsidRPr="00FA587B">
        <w:rPr>
          <w:rFonts w:ascii="Arial" w:hAnsi="Arial" w:cs="Arial"/>
          <w:iCs/>
        </w:rPr>
        <w:t>l</w:t>
      </w:r>
      <w:r w:rsidR="008B1A4A" w:rsidRPr="00FA587B">
        <w:rPr>
          <w:rFonts w:ascii="Arial" w:hAnsi="Arial" w:cs="Arial"/>
          <w:iCs/>
        </w:rPr>
        <w:t xml:space="preserve"> </w:t>
      </w:r>
      <w:r w:rsidR="00194D02" w:rsidRPr="00FA587B">
        <w:rPr>
          <w:rFonts w:ascii="Arial" w:hAnsi="Arial" w:cs="Arial"/>
          <w:iCs/>
        </w:rPr>
        <w:t xml:space="preserve">trámite </w:t>
      </w:r>
      <w:r w:rsidRPr="00FA587B">
        <w:rPr>
          <w:rFonts w:ascii="Arial" w:hAnsi="Arial" w:cs="Arial"/>
          <w:iCs/>
        </w:rPr>
        <w:t>de conciliación extra</w:t>
      </w:r>
      <w:r w:rsidR="008B1A4A" w:rsidRPr="00FA587B">
        <w:rPr>
          <w:rFonts w:ascii="Arial" w:hAnsi="Arial" w:cs="Arial"/>
          <w:iCs/>
        </w:rPr>
        <w:t>judi</w:t>
      </w:r>
      <w:r w:rsidRPr="00FA587B">
        <w:rPr>
          <w:rFonts w:ascii="Arial" w:hAnsi="Arial" w:cs="Arial"/>
          <w:iCs/>
        </w:rPr>
        <w:t>cial</w:t>
      </w:r>
      <w:r w:rsidR="00194D02" w:rsidRPr="00FA587B">
        <w:rPr>
          <w:rFonts w:ascii="Arial" w:hAnsi="Arial" w:cs="Arial"/>
          <w:iCs/>
        </w:rPr>
        <w:t xml:space="preserve"> ante la Procuraduría. </w:t>
      </w:r>
      <w:r w:rsidRPr="00FA587B">
        <w:rPr>
          <w:rFonts w:ascii="Arial" w:hAnsi="Arial" w:cs="Arial"/>
          <w:iCs/>
        </w:rPr>
        <w:t xml:space="preserve">Es por eso que al plenario </w:t>
      </w:r>
      <w:r w:rsidR="008B1A4A" w:rsidRPr="00FA587B">
        <w:rPr>
          <w:rFonts w:ascii="Arial" w:hAnsi="Arial" w:cs="Arial"/>
          <w:iCs/>
        </w:rPr>
        <w:t xml:space="preserve">se allegaron las actas del comité de </w:t>
      </w:r>
      <w:r w:rsidR="00194D02" w:rsidRPr="00FA587B">
        <w:rPr>
          <w:rFonts w:ascii="Arial" w:hAnsi="Arial" w:cs="Arial"/>
          <w:iCs/>
        </w:rPr>
        <w:t xml:space="preserve">defensa judicial y </w:t>
      </w:r>
      <w:r w:rsidR="008B1A4A" w:rsidRPr="00FA587B">
        <w:rPr>
          <w:rFonts w:ascii="Arial" w:hAnsi="Arial" w:cs="Arial"/>
          <w:iCs/>
        </w:rPr>
        <w:t xml:space="preserve">conciliación del </w:t>
      </w:r>
      <w:r w:rsidR="00194D02" w:rsidRPr="00FA587B">
        <w:rPr>
          <w:rFonts w:ascii="Arial" w:hAnsi="Arial" w:cs="Arial"/>
          <w:iCs/>
        </w:rPr>
        <w:t>IDU en el</w:t>
      </w:r>
      <w:r w:rsidR="008B1A4A" w:rsidRPr="00FA587B">
        <w:rPr>
          <w:rFonts w:ascii="Arial" w:hAnsi="Arial" w:cs="Arial"/>
          <w:iCs/>
        </w:rPr>
        <w:t xml:space="preserve"> que la entidad</w:t>
      </w:r>
      <w:r w:rsidR="00194D02" w:rsidRPr="00FA587B">
        <w:rPr>
          <w:rFonts w:ascii="Arial" w:hAnsi="Arial" w:cs="Arial"/>
          <w:iCs/>
        </w:rPr>
        <w:t xml:space="preserve"> se refirió a varios conceptos técnicos</w:t>
      </w:r>
      <w:r w:rsidRPr="00FA587B">
        <w:rPr>
          <w:rFonts w:ascii="Arial" w:hAnsi="Arial" w:cs="Arial"/>
          <w:iCs/>
        </w:rPr>
        <w:t>,</w:t>
      </w:r>
      <w:r w:rsidR="00194D02" w:rsidRPr="00FA587B">
        <w:rPr>
          <w:rFonts w:ascii="Arial" w:hAnsi="Arial" w:cs="Arial"/>
          <w:iCs/>
        </w:rPr>
        <w:t xml:space="preserve"> en mérito de los cuales se abstenía de proponer fórmulas </w:t>
      </w:r>
      <w:r w:rsidR="00194D02" w:rsidRPr="00FA587B">
        <w:rPr>
          <w:rFonts w:ascii="Arial" w:hAnsi="Arial" w:cs="Arial"/>
          <w:iCs/>
        </w:rPr>
        <w:lastRenderedPageBreak/>
        <w:t>de acuerdo</w:t>
      </w:r>
      <w:r w:rsidR="008B1A4A" w:rsidRPr="00FA587B">
        <w:rPr>
          <w:rFonts w:ascii="Arial" w:hAnsi="Arial" w:cs="Arial"/>
          <w:iCs/>
        </w:rPr>
        <w:t xml:space="preserve">, así </w:t>
      </w:r>
      <w:r w:rsidR="00194D02" w:rsidRPr="00FA587B">
        <w:rPr>
          <w:rFonts w:ascii="Arial" w:hAnsi="Arial" w:cs="Arial"/>
          <w:iCs/>
        </w:rPr>
        <w:t>como el acta de co</w:t>
      </w:r>
      <w:r w:rsidRPr="00FA587B">
        <w:rPr>
          <w:rFonts w:ascii="Arial" w:hAnsi="Arial" w:cs="Arial"/>
          <w:iCs/>
        </w:rPr>
        <w:t xml:space="preserve">nciliación en la que se reprodujeron </w:t>
      </w:r>
      <w:r w:rsidR="00CA5D4D" w:rsidRPr="00FA587B">
        <w:rPr>
          <w:rFonts w:ascii="Arial" w:hAnsi="Arial" w:cs="Arial"/>
          <w:iCs/>
        </w:rPr>
        <w:t>algunos apartes del documento</w:t>
      </w:r>
      <w:r w:rsidR="00194D02" w:rsidRPr="00FA587B">
        <w:rPr>
          <w:rFonts w:ascii="Arial" w:hAnsi="Arial" w:cs="Arial"/>
          <w:iCs/>
        </w:rPr>
        <w:t xml:space="preserve"> citado</w:t>
      </w:r>
      <w:r w:rsidR="008B1A4A" w:rsidRPr="00FA587B">
        <w:rPr>
          <w:rFonts w:ascii="Arial" w:hAnsi="Arial" w:cs="Arial"/>
          <w:iCs/>
        </w:rPr>
        <w:t xml:space="preserve">. </w:t>
      </w:r>
    </w:p>
    <w:p w:rsidR="008B1A4A" w:rsidRPr="00FA587B" w:rsidRDefault="008B1A4A" w:rsidP="00FA587B">
      <w:pPr>
        <w:spacing w:line="360" w:lineRule="auto"/>
        <w:jc w:val="both"/>
        <w:rPr>
          <w:rFonts w:ascii="Arial" w:hAnsi="Arial" w:cs="Arial"/>
          <w:b/>
          <w:iCs/>
        </w:rPr>
      </w:pPr>
    </w:p>
    <w:p w:rsidR="008B1A4A" w:rsidRPr="00FA587B" w:rsidRDefault="008B1A4A" w:rsidP="00FA587B">
      <w:pPr>
        <w:spacing w:line="360" w:lineRule="auto"/>
        <w:jc w:val="both"/>
        <w:rPr>
          <w:rFonts w:ascii="Arial" w:hAnsi="Arial" w:cs="Arial"/>
        </w:rPr>
      </w:pPr>
      <w:r w:rsidRPr="00FA587B">
        <w:rPr>
          <w:rFonts w:ascii="Arial" w:hAnsi="Arial" w:cs="Arial"/>
        </w:rPr>
        <w:t>Al respecto, merece la pena señalar que esta Subsección ha sentado su postura acerca de la imposibilidad de valorar las actas de conciliación extrajudicial o las actas del comité de defensa y conciliación de las entidades públicas, como una prueba documental con la virtualidad de acreditar, por cuenta de su contenido, la efectiva ocurrencia de los supuestos de hecho en que se fundamentan las pretensiones</w:t>
      </w:r>
      <w:r w:rsidR="00EB0FEA" w:rsidRPr="00FA587B">
        <w:rPr>
          <w:rFonts w:ascii="Arial" w:hAnsi="Arial" w:cs="Arial"/>
        </w:rPr>
        <w:t xml:space="preserve"> o en las que se apoya su defensa</w:t>
      </w:r>
      <w:r w:rsidRPr="00FA587B">
        <w:rPr>
          <w:rFonts w:ascii="Arial" w:hAnsi="Arial" w:cs="Arial"/>
        </w:rPr>
        <w:t>, consideraciones que en este caso y por las mismas razones que allí se han expuesto deben hacerse extensivas al caso concreto</w:t>
      </w:r>
      <w:r w:rsidRPr="00FA587B">
        <w:rPr>
          <w:rFonts w:ascii="Arial" w:hAnsi="Arial" w:cs="Arial"/>
          <w:vertAlign w:val="superscript"/>
        </w:rPr>
        <w:footnoteReference w:id="7"/>
      </w:r>
      <w:r w:rsidRPr="00FA587B">
        <w:rPr>
          <w:rFonts w:ascii="Arial" w:hAnsi="Arial" w:cs="Arial"/>
        </w:rPr>
        <w:t xml:space="preserve">. </w:t>
      </w:r>
    </w:p>
    <w:p w:rsidR="008B1A4A" w:rsidRPr="00FA587B" w:rsidRDefault="008B1A4A" w:rsidP="00FA587B">
      <w:pPr>
        <w:spacing w:line="360" w:lineRule="auto"/>
        <w:jc w:val="both"/>
        <w:rPr>
          <w:rFonts w:ascii="Arial" w:hAnsi="Arial" w:cs="Arial"/>
        </w:rPr>
      </w:pPr>
      <w:r w:rsidRPr="00FA587B">
        <w:rPr>
          <w:rFonts w:ascii="Arial" w:hAnsi="Arial" w:cs="Arial"/>
        </w:rPr>
        <w:lastRenderedPageBreak/>
        <w:t>Con fundamento en la línea jurisprudencial que impera sobre la materia, la Sala se abstendrá de otorgar mérito probatorio al contenido y a las manifestaciones de la entidad pública, recogidas e</w:t>
      </w:r>
      <w:r w:rsidR="00EB0FEA" w:rsidRPr="00FA587B">
        <w:rPr>
          <w:rFonts w:ascii="Arial" w:hAnsi="Arial" w:cs="Arial"/>
        </w:rPr>
        <w:t xml:space="preserve">n el acta de conciliación del 26 de enero de 2010 </w:t>
      </w:r>
      <w:r w:rsidRPr="00FA587B">
        <w:rPr>
          <w:rFonts w:ascii="Arial" w:hAnsi="Arial" w:cs="Arial"/>
        </w:rPr>
        <w:t xml:space="preserve">y </w:t>
      </w:r>
      <w:r w:rsidR="00EB0FEA" w:rsidRPr="00FA587B">
        <w:rPr>
          <w:rFonts w:ascii="Arial" w:hAnsi="Arial" w:cs="Arial"/>
        </w:rPr>
        <w:t>al</w:t>
      </w:r>
      <w:r w:rsidRPr="00FA587B">
        <w:rPr>
          <w:rFonts w:ascii="Arial" w:hAnsi="Arial" w:cs="Arial"/>
        </w:rPr>
        <w:t xml:space="preserve"> acta del comité de comité de defensa judi</w:t>
      </w:r>
      <w:r w:rsidR="00EB0FEA" w:rsidRPr="00FA587B">
        <w:rPr>
          <w:rFonts w:ascii="Arial" w:hAnsi="Arial" w:cs="Arial"/>
        </w:rPr>
        <w:t xml:space="preserve">cial y conciliaciones de IDU </w:t>
      </w:r>
      <w:r w:rsidR="002937F4" w:rsidRPr="00FA587B">
        <w:rPr>
          <w:rFonts w:ascii="Arial" w:hAnsi="Arial" w:cs="Arial"/>
        </w:rPr>
        <w:t>que les sirvieron de sostén</w:t>
      </w:r>
      <w:r w:rsidR="003376E9" w:rsidRPr="00FA587B">
        <w:rPr>
          <w:rFonts w:ascii="Arial" w:hAnsi="Arial" w:cs="Arial"/>
        </w:rPr>
        <w:t>, ya que</w:t>
      </w:r>
      <w:r w:rsidRPr="00FA587B">
        <w:rPr>
          <w:rFonts w:ascii="Arial" w:hAnsi="Arial" w:cs="Arial"/>
        </w:rPr>
        <w:t xml:space="preserve"> en virtud de su contenido no se pueden tener por demostrados los supuestos de hecho</w:t>
      </w:r>
      <w:r w:rsidR="00EB0FEA" w:rsidRPr="00FA587B">
        <w:rPr>
          <w:rFonts w:ascii="Arial" w:hAnsi="Arial" w:cs="Arial"/>
        </w:rPr>
        <w:t xml:space="preserve"> en los cuales se funda su oposición. </w:t>
      </w:r>
    </w:p>
    <w:p w:rsidR="00407919" w:rsidRPr="00FA587B" w:rsidRDefault="00407919" w:rsidP="00FA587B">
      <w:pPr>
        <w:jc w:val="both"/>
        <w:rPr>
          <w:rFonts w:ascii="Arial" w:hAnsi="Arial" w:cs="Arial"/>
          <w:b/>
          <w:lang w:val="es-CO"/>
        </w:rPr>
      </w:pPr>
    </w:p>
    <w:p w:rsidR="009F01A5" w:rsidRPr="00FA587B" w:rsidRDefault="00CA5D4D" w:rsidP="00FA587B">
      <w:pPr>
        <w:jc w:val="both"/>
        <w:rPr>
          <w:rFonts w:ascii="Arial" w:hAnsi="Arial" w:cs="Arial"/>
          <w:b/>
          <w:lang w:val="es-CO"/>
        </w:rPr>
      </w:pPr>
      <w:r w:rsidRPr="00FA587B">
        <w:rPr>
          <w:rFonts w:ascii="Arial" w:hAnsi="Arial" w:cs="Arial"/>
          <w:b/>
          <w:lang w:val="es-CO"/>
        </w:rPr>
        <w:t>4</w:t>
      </w:r>
      <w:r w:rsidR="00A819BB" w:rsidRPr="00FA587B">
        <w:rPr>
          <w:rFonts w:ascii="Arial" w:hAnsi="Arial" w:cs="Arial"/>
          <w:b/>
          <w:lang w:val="es-CO"/>
        </w:rPr>
        <w:t>.</w:t>
      </w:r>
      <w:r w:rsidR="00272BE9" w:rsidRPr="00FA587B">
        <w:rPr>
          <w:rFonts w:ascii="Arial" w:hAnsi="Arial" w:cs="Arial"/>
          <w:b/>
          <w:lang w:val="es-CO"/>
        </w:rPr>
        <w:t>-</w:t>
      </w:r>
      <w:r w:rsidR="00A819BB" w:rsidRPr="00FA587B">
        <w:rPr>
          <w:rFonts w:ascii="Arial" w:hAnsi="Arial" w:cs="Arial"/>
          <w:b/>
          <w:lang w:val="es-CO"/>
        </w:rPr>
        <w:t xml:space="preserve"> Análisis del caso</w:t>
      </w:r>
    </w:p>
    <w:p w:rsidR="00897BE8" w:rsidRPr="00FA587B" w:rsidRDefault="00897BE8" w:rsidP="00FA587B">
      <w:pPr>
        <w:spacing w:line="360" w:lineRule="auto"/>
        <w:jc w:val="both"/>
        <w:rPr>
          <w:rFonts w:ascii="Arial" w:hAnsi="Arial" w:cs="Arial"/>
          <w:lang w:val="es-CO"/>
        </w:rPr>
      </w:pPr>
    </w:p>
    <w:p w:rsidR="007131D6" w:rsidRPr="00FA587B" w:rsidRDefault="003376E9" w:rsidP="00FA587B">
      <w:pPr>
        <w:spacing w:line="360" w:lineRule="auto"/>
        <w:jc w:val="both"/>
        <w:rPr>
          <w:rFonts w:ascii="Arial" w:hAnsi="Arial" w:cs="Arial"/>
          <w:b/>
        </w:rPr>
      </w:pPr>
      <w:r w:rsidRPr="00FA587B">
        <w:rPr>
          <w:rFonts w:ascii="Arial" w:hAnsi="Arial" w:cs="Arial"/>
          <w:lang w:val="es-CO"/>
        </w:rPr>
        <w:t>Superado</w:t>
      </w:r>
      <w:r w:rsidR="00CD0672" w:rsidRPr="00FA587B">
        <w:rPr>
          <w:rFonts w:ascii="Arial" w:hAnsi="Arial" w:cs="Arial"/>
          <w:lang w:val="es-CO"/>
        </w:rPr>
        <w:t xml:space="preserve"> el estudio de los aspectos procesales que impidieron al </w:t>
      </w:r>
      <w:r w:rsidR="00CD0672" w:rsidRPr="00FA587B">
        <w:rPr>
          <w:rFonts w:ascii="Arial" w:hAnsi="Arial" w:cs="Arial"/>
          <w:i/>
          <w:lang w:val="es-CO"/>
        </w:rPr>
        <w:t>a quo</w:t>
      </w:r>
      <w:r w:rsidR="00CD0672" w:rsidRPr="00FA587B">
        <w:rPr>
          <w:rFonts w:ascii="Arial" w:hAnsi="Arial" w:cs="Arial"/>
          <w:lang w:val="es-CO"/>
        </w:rPr>
        <w:t xml:space="preserve"> proferir una decisión de fondo, procede la Sala a resolver </w:t>
      </w:r>
      <w:r w:rsidR="00762E71" w:rsidRPr="00FA587B">
        <w:rPr>
          <w:rFonts w:ascii="Arial" w:hAnsi="Arial" w:cs="Arial"/>
          <w:lang w:val="es-CO"/>
        </w:rPr>
        <w:t xml:space="preserve">la materia de debate </w:t>
      </w:r>
      <w:r w:rsidR="003C15AF" w:rsidRPr="00FA587B">
        <w:rPr>
          <w:rFonts w:ascii="Arial" w:hAnsi="Arial" w:cs="Arial"/>
          <w:lang w:val="es-CO"/>
        </w:rPr>
        <w:t>que puede concre</w:t>
      </w:r>
      <w:r w:rsidR="001A1C6A" w:rsidRPr="00FA587B">
        <w:rPr>
          <w:rFonts w:ascii="Arial" w:hAnsi="Arial" w:cs="Arial"/>
          <w:lang w:val="es-CO"/>
        </w:rPr>
        <w:t>tarse en los siguientes puntos: perjuicios derivados de la mayor permanencia en obra por causa del retardo en el inicio de actividades y por la ampliación del plazo de que fue objeto el contrato; falta de reconocimiento de obras no previstas ejecutadas</w:t>
      </w:r>
      <w:r w:rsidRPr="00FA587B">
        <w:rPr>
          <w:rFonts w:ascii="Arial" w:hAnsi="Arial" w:cs="Arial"/>
          <w:lang w:val="es-CO"/>
        </w:rPr>
        <w:t xml:space="preserve"> dentro del C</w:t>
      </w:r>
      <w:r w:rsidR="006D149C" w:rsidRPr="00FA587B">
        <w:rPr>
          <w:rFonts w:ascii="Arial" w:hAnsi="Arial" w:cs="Arial"/>
          <w:lang w:val="es-CO"/>
        </w:rPr>
        <w:t>ontrato No. 193;</w:t>
      </w:r>
      <w:r w:rsidR="006D149C" w:rsidRPr="00FA587B">
        <w:rPr>
          <w:rFonts w:ascii="Arial" w:hAnsi="Arial" w:cs="Arial"/>
        </w:rPr>
        <w:t xml:space="preserve"> falta de recon</w:t>
      </w:r>
      <w:r w:rsidRPr="00FA587B">
        <w:rPr>
          <w:rFonts w:ascii="Arial" w:hAnsi="Arial" w:cs="Arial"/>
        </w:rPr>
        <w:t>ocimiento del 5% del valor del C</w:t>
      </w:r>
      <w:r w:rsidR="006D149C" w:rsidRPr="00FA587B">
        <w:rPr>
          <w:rFonts w:ascii="Arial" w:hAnsi="Arial" w:cs="Arial"/>
        </w:rPr>
        <w:t>ontrato</w:t>
      </w:r>
      <w:r w:rsidRPr="00FA587B">
        <w:rPr>
          <w:rFonts w:ascii="Arial" w:hAnsi="Arial" w:cs="Arial"/>
        </w:rPr>
        <w:t xml:space="preserve"> No. 193</w:t>
      </w:r>
      <w:r w:rsidR="007131D6" w:rsidRPr="00FA587B">
        <w:rPr>
          <w:rFonts w:ascii="Arial" w:hAnsi="Arial" w:cs="Arial"/>
        </w:rPr>
        <w:t>; y la liquidación judicial del contrato.</w:t>
      </w:r>
      <w:r w:rsidR="007131D6" w:rsidRPr="00FA587B">
        <w:rPr>
          <w:rFonts w:ascii="Arial" w:hAnsi="Arial" w:cs="Arial"/>
          <w:b/>
        </w:rPr>
        <w:t xml:space="preserve"> </w:t>
      </w:r>
    </w:p>
    <w:p w:rsidR="007131D6" w:rsidRPr="00FA587B" w:rsidRDefault="007131D6" w:rsidP="00FA587B">
      <w:pPr>
        <w:spacing w:line="360" w:lineRule="auto"/>
        <w:jc w:val="both"/>
        <w:rPr>
          <w:rFonts w:ascii="Arial" w:hAnsi="Arial" w:cs="Arial"/>
          <w:b/>
        </w:rPr>
      </w:pPr>
    </w:p>
    <w:p w:rsidR="00BC3D90" w:rsidRPr="00FA587B" w:rsidRDefault="000C33FD" w:rsidP="00FA587B">
      <w:pPr>
        <w:autoSpaceDN w:val="0"/>
        <w:spacing w:line="360" w:lineRule="auto"/>
        <w:jc w:val="both"/>
        <w:rPr>
          <w:rFonts w:ascii="Arial" w:hAnsi="Arial" w:cs="Arial"/>
        </w:rPr>
      </w:pPr>
      <w:r w:rsidRPr="00FA587B">
        <w:rPr>
          <w:rFonts w:ascii="Arial" w:hAnsi="Arial" w:cs="Arial"/>
        </w:rPr>
        <w:t xml:space="preserve">Se advierte demás que </w:t>
      </w:r>
      <w:r w:rsidR="0071609B" w:rsidRPr="00FA587B">
        <w:rPr>
          <w:rFonts w:ascii="Arial" w:hAnsi="Arial" w:cs="Arial"/>
        </w:rPr>
        <w:t>la</w:t>
      </w:r>
      <w:r w:rsidR="00F37058" w:rsidRPr="00FA587B">
        <w:rPr>
          <w:rFonts w:ascii="Arial" w:hAnsi="Arial" w:cs="Arial"/>
        </w:rPr>
        <w:t>s</w:t>
      </w:r>
      <w:r w:rsidR="0071609B" w:rsidRPr="00FA587B">
        <w:rPr>
          <w:rFonts w:ascii="Arial" w:hAnsi="Arial" w:cs="Arial"/>
        </w:rPr>
        <w:t xml:space="preserve"> pretensiones que se formulan giran alrededor de un presunto incumplimiento contractual y </w:t>
      </w:r>
      <w:r w:rsidR="003376E9" w:rsidRPr="00FA587B">
        <w:rPr>
          <w:rFonts w:ascii="Arial" w:hAnsi="Arial" w:cs="Arial"/>
        </w:rPr>
        <w:t>simultáneamente y con base en los mismos hechos se alega la</w:t>
      </w:r>
      <w:r w:rsidR="0071609B" w:rsidRPr="00FA587B">
        <w:rPr>
          <w:rFonts w:ascii="Arial" w:hAnsi="Arial" w:cs="Arial"/>
        </w:rPr>
        <w:t xml:space="preserve"> ruptura del equilibrio económico del negocio jurídico</w:t>
      </w:r>
      <w:r w:rsidR="00F37058" w:rsidRPr="00FA587B">
        <w:rPr>
          <w:rFonts w:ascii="Arial" w:hAnsi="Arial" w:cs="Arial"/>
        </w:rPr>
        <w:t>, conceptos que como lo ha sostenido en línea esta Subsección distan de ser lo mismo</w:t>
      </w:r>
      <w:r w:rsidR="00BC3D90" w:rsidRPr="00FA587B">
        <w:rPr>
          <w:rFonts w:ascii="Arial" w:hAnsi="Arial" w:cs="Arial"/>
        </w:rPr>
        <w:t>.</w:t>
      </w:r>
      <w:r w:rsidR="00F37058" w:rsidRPr="00FA587B">
        <w:rPr>
          <w:rFonts w:ascii="Arial" w:hAnsi="Arial" w:cs="Arial"/>
        </w:rPr>
        <w:t xml:space="preserve"> No obstante</w:t>
      </w:r>
      <w:r w:rsidR="003376E9" w:rsidRPr="00FA587B">
        <w:rPr>
          <w:rFonts w:ascii="Arial" w:hAnsi="Arial" w:cs="Arial"/>
        </w:rPr>
        <w:t>, a partir de</w:t>
      </w:r>
      <w:r w:rsidR="00BC3D90" w:rsidRPr="00FA587B">
        <w:rPr>
          <w:rFonts w:ascii="Arial" w:hAnsi="Arial" w:cs="Arial"/>
        </w:rPr>
        <w:t xml:space="preserve"> l</w:t>
      </w:r>
      <w:r w:rsidR="00F37058" w:rsidRPr="00FA587B">
        <w:rPr>
          <w:rFonts w:ascii="Arial" w:hAnsi="Arial" w:cs="Arial"/>
        </w:rPr>
        <w:t xml:space="preserve">a revisión de las pruebas </w:t>
      </w:r>
      <w:r w:rsidR="003376E9" w:rsidRPr="00FA587B">
        <w:rPr>
          <w:rFonts w:ascii="Arial" w:hAnsi="Arial" w:cs="Arial"/>
        </w:rPr>
        <w:t xml:space="preserve">en </w:t>
      </w:r>
      <w:r w:rsidR="00F37058" w:rsidRPr="00FA587B">
        <w:rPr>
          <w:rFonts w:ascii="Arial" w:hAnsi="Arial" w:cs="Arial"/>
        </w:rPr>
        <w:t>que</w:t>
      </w:r>
      <w:r w:rsidR="003376E9" w:rsidRPr="00FA587B">
        <w:rPr>
          <w:rFonts w:ascii="Arial" w:hAnsi="Arial" w:cs="Arial"/>
        </w:rPr>
        <w:t xml:space="preserve"> se edifican</w:t>
      </w:r>
      <w:r w:rsidR="00BC3D90" w:rsidRPr="00FA587B">
        <w:rPr>
          <w:rFonts w:ascii="Arial" w:hAnsi="Arial" w:cs="Arial"/>
        </w:rPr>
        <w:t xml:space="preserve"> </w:t>
      </w:r>
      <w:r w:rsidR="00F37058" w:rsidRPr="00FA587B">
        <w:rPr>
          <w:rFonts w:ascii="Arial" w:hAnsi="Arial" w:cs="Arial"/>
        </w:rPr>
        <w:t xml:space="preserve">los cargos </w:t>
      </w:r>
      <w:r w:rsidR="003376E9" w:rsidRPr="00FA587B">
        <w:rPr>
          <w:rFonts w:ascii="Arial" w:hAnsi="Arial" w:cs="Arial"/>
        </w:rPr>
        <w:t>de censura</w:t>
      </w:r>
      <w:r w:rsidR="00630E61" w:rsidRPr="00FA587B">
        <w:rPr>
          <w:rFonts w:ascii="Arial" w:hAnsi="Arial" w:cs="Arial"/>
        </w:rPr>
        <w:t>,</w:t>
      </w:r>
      <w:r w:rsidR="003376E9" w:rsidRPr="00FA587B">
        <w:rPr>
          <w:rFonts w:ascii="Arial" w:hAnsi="Arial" w:cs="Arial"/>
        </w:rPr>
        <w:t xml:space="preserve"> </w:t>
      </w:r>
      <w:r w:rsidR="00BC3D90" w:rsidRPr="00FA587B">
        <w:rPr>
          <w:rFonts w:ascii="Arial" w:hAnsi="Arial" w:cs="Arial"/>
        </w:rPr>
        <w:t xml:space="preserve">la Sala procederá a realizar su análisis desde la óptica que corresponda. </w:t>
      </w:r>
    </w:p>
    <w:p w:rsidR="000C33FD" w:rsidRPr="00FA587B" w:rsidRDefault="000C33FD" w:rsidP="00FA587B">
      <w:pPr>
        <w:spacing w:line="360" w:lineRule="auto"/>
        <w:jc w:val="both"/>
        <w:rPr>
          <w:rFonts w:ascii="Arial" w:hAnsi="Arial" w:cs="Arial"/>
          <w:b/>
        </w:rPr>
      </w:pPr>
    </w:p>
    <w:p w:rsidR="001E0776" w:rsidRPr="00FA587B" w:rsidRDefault="007131D6" w:rsidP="00FA587B">
      <w:pPr>
        <w:autoSpaceDN w:val="0"/>
        <w:spacing w:line="360" w:lineRule="auto"/>
        <w:jc w:val="both"/>
        <w:rPr>
          <w:rFonts w:ascii="Arial" w:hAnsi="Arial" w:cs="Arial"/>
        </w:rPr>
      </w:pPr>
      <w:r w:rsidRPr="00FA587B">
        <w:rPr>
          <w:rFonts w:ascii="Arial" w:hAnsi="Arial" w:cs="Arial"/>
        </w:rPr>
        <w:t>En el orden planteado ser</w:t>
      </w:r>
      <w:r w:rsidR="000C33FD" w:rsidRPr="00FA587B">
        <w:rPr>
          <w:rFonts w:ascii="Arial" w:hAnsi="Arial" w:cs="Arial"/>
        </w:rPr>
        <w:t>án resue</w:t>
      </w:r>
      <w:r w:rsidR="001E0776" w:rsidRPr="00FA587B">
        <w:rPr>
          <w:rFonts w:ascii="Arial" w:hAnsi="Arial" w:cs="Arial"/>
        </w:rPr>
        <w:t>ltos los punto</w:t>
      </w:r>
      <w:r w:rsidR="00630E61" w:rsidRPr="00FA587B">
        <w:rPr>
          <w:rFonts w:ascii="Arial" w:hAnsi="Arial" w:cs="Arial"/>
        </w:rPr>
        <w:t>s de controversia, no sin antes</w:t>
      </w:r>
      <w:r w:rsidR="001E0776" w:rsidRPr="00FA587B">
        <w:rPr>
          <w:rFonts w:ascii="Arial" w:hAnsi="Arial" w:cs="Arial"/>
        </w:rPr>
        <w:t xml:space="preserve"> referirse, de manera general, a:</w:t>
      </w:r>
    </w:p>
    <w:p w:rsidR="001E0776" w:rsidRPr="00FA587B" w:rsidRDefault="001E0776" w:rsidP="00FA587B">
      <w:pPr>
        <w:autoSpaceDN w:val="0"/>
        <w:spacing w:line="360" w:lineRule="auto"/>
        <w:jc w:val="both"/>
        <w:rPr>
          <w:rFonts w:ascii="Arial" w:hAnsi="Arial" w:cs="Arial"/>
        </w:rPr>
      </w:pPr>
    </w:p>
    <w:p w:rsidR="001E0776" w:rsidRPr="00FA587B" w:rsidRDefault="001E0776" w:rsidP="00FA587B">
      <w:pPr>
        <w:autoSpaceDN w:val="0"/>
        <w:spacing w:line="360" w:lineRule="auto"/>
        <w:jc w:val="both"/>
        <w:rPr>
          <w:rFonts w:ascii="Arial" w:hAnsi="Arial" w:cs="Arial"/>
        </w:rPr>
      </w:pPr>
      <w:r w:rsidRPr="00FA587B">
        <w:rPr>
          <w:rFonts w:ascii="Arial" w:hAnsi="Arial" w:cs="Arial"/>
        </w:rPr>
        <w:t>Lo probado en el proceso:</w:t>
      </w:r>
    </w:p>
    <w:p w:rsidR="006E1B80" w:rsidRPr="00FA587B" w:rsidRDefault="006E1B80" w:rsidP="00FA587B">
      <w:pPr>
        <w:spacing w:line="360" w:lineRule="auto"/>
        <w:jc w:val="both"/>
        <w:rPr>
          <w:rFonts w:ascii="Arial" w:hAnsi="Arial" w:cs="Arial"/>
          <w:lang w:val="es-CO"/>
        </w:rPr>
      </w:pPr>
    </w:p>
    <w:p w:rsidR="006E1B80" w:rsidRPr="00FA587B" w:rsidRDefault="006E1B80" w:rsidP="00FA587B">
      <w:pPr>
        <w:spacing w:line="360" w:lineRule="auto"/>
        <w:jc w:val="both"/>
        <w:rPr>
          <w:rFonts w:ascii="Arial" w:hAnsi="Arial" w:cs="Arial"/>
          <w:lang w:val="es-CO"/>
        </w:rPr>
      </w:pPr>
      <w:r w:rsidRPr="00FA587B">
        <w:rPr>
          <w:rFonts w:ascii="Arial" w:hAnsi="Arial" w:cs="Arial"/>
          <w:lang w:val="es-CO"/>
        </w:rPr>
        <w:t>-. El 29 de diciembre de 2005, el Instituto de Desarrollo Urbano IDU y el ingeniero Jaime Carmona Soto celebraron el Contrato de Obra No. 193 de 2005</w:t>
      </w:r>
      <w:r w:rsidRPr="00FA587B">
        <w:rPr>
          <w:rStyle w:val="Refdenotaalpie"/>
          <w:rFonts w:ascii="Arial" w:hAnsi="Arial" w:cs="Arial"/>
          <w:lang w:val="es-CO"/>
        </w:rPr>
        <w:footnoteReference w:id="8"/>
      </w:r>
      <w:r w:rsidR="00630E61" w:rsidRPr="00FA587B">
        <w:rPr>
          <w:rFonts w:ascii="Arial" w:hAnsi="Arial" w:cs="Arial"/>
          <w:lang w:val="es-CO"/>
        </w:rPr>
        <w:t>,</w:t>
      </w:r>
      <w:r w:rsidR="003376E9" w:rsidRPr="00FA587B">
        <w:rPr>
          <w:rFonts w:ascii="Arial" w:hAnsi="Arial" w:cs="Arial"/>
          <w:lang w:val="es-CO"/>
        </w:rPr>
        <w:t xml:space="preserve"> cuyo objeto quedó delimitado</w:t>
      </w:r>
      <w:r w:rsidRPr="00FA587B">
        <w:rPr>
          <w:rFonts w:ascii="Arial" w:hAnsi="Arial" w:cs="Arial"/>
          <w:lang w:val="es-CO"/>
        </w:rPr>
        <w:t xml:space="preserve"> en la cláusula primera al siguiente tenor: </w:t>
      </w:r>
    </w:p>
    <w:p w:rsidR="006E1B80" w:rsidRPr="00FA587B" w:rsidRDefault="006E1B80" w:rsidP="00FA587B">
      <w:pPr>
        <w:spacing w:line="360" w:lineRule="auto"/>
        <w:jc w:val="both"/>
        <w:rPr>
          <w:rFonts w:ascii="Arial" w:hAnsi="Arial" w:cs="Arial"/>
          <w:lang w:val="es-CO"/>
        </w:rPr>
      </w:pPr>
    </w:p>
    <w:p w:rsidR="006E1B80" w:rsidRPr="00FA587B" w:rsidRDefault="006E1B80" w:rsidP="00FA587B">
      <w:pPr>
        <w:spacing w:line="276" w:lineRule="auto"/>
        <w:jc w:val="both"/>
        <w:rPr>
          <w:rFonts w:ascii="Arial" w:hAnsi="Arial" w:cs="Arial"/>
          <w:lang w:val="es-CO"/>
        </w:rPr>
      </w:pPr>
      <w:r w:rsidRPr="00FA587B">
        <w:rPr>
          <w:rFonts w:ascii="Arial" w:hAnsi="Arial" w:cs="Arial"/>
          <w:lang w:val="es-CO"/>
        </w:rPr>
        <w:t>“</w:t>
      </w:r>
      <w:r w:rsidRPr="00FA587B">
        <w:rPr>
          <w:rFonts w:ascii="Arial" w:hAnsi="Arial" w:cs="Arial"/>
          <w:i/>
          <w:lang w:val="es-CO"/>
        </w:rPr>
        <w:t xml:space="preserve">El CONTRATISTA se compromete para con el IDU, a ejecutar a precios unitarios, las obras requeridas para la CONSTRUCCIÓN DE ACCESOS A BARRIOS Y PAVIMENTOS LOCALES, PROGRAMA DE GESTIÓN COMPARTIDA, BARRIO JERUSALEN EN LA LOCALIDAD DE CIUDAD BOLIVAR FASE 3, EN BOGOTÁ </w:t>
      </w:r>
      <w:r w:rsidRPr="00FA587B">
        <w:rPr>
          <w:rFonts w:ascii="Arial" w:hAnsi="Arial" w:cs="Arial"/>
          <w:i/>
          <w:lang w:val="es-CO"/>
        </w:rPr>
        <w:lastRenderedPageBreak/>
        <w:t>D.C., de acuerdo con la descripción de las especificaciones y demás condiciones establecidas en el pliego de condiciones en especial, lo dispuesto en los capítulos 4, la propuesta presentada el 22 de noviembre de 2005 y los apéndices, los cuales hacen parte integral de este contrato</w:t>
      </w:r>
      <w:r w:rsidRPr="00FA587B">
        <w:rPr>
          <w:rFonts w:ascii="Arial" w:hAnsi="Arial" w:cs="Arial"/>
          <w:lang w:val="es-CO"/>
        </w:rPr>
        <w:t>”.</w:t>
      </w:r>
    </w:p>
    <w:p w:rsidR="006E1B80" w:rsidRPr="00FA587B" w:rsidRDefault="006E1B80" w:rsidP="00FA587B">
      <w:pPr>
        <w:spacing w:line="276" w:lineRule="auto"/>
        <w:jc w:val="both"/>
        <w:rPr>
          <w:rFonts w:ascii="Arial" w:hAnsi="Arial" w:cs="Arial"/>
          <w:lang w:val="es-CO"/>
        </w:rPr>
      </w:pPr>
    </w:p>
    <w:p w:rsidR="006E1B80" w:rsidRPr="00FA587B" w:rsidRDefault="006E1B80" w:rsidP="00FA587B">
      <w:pPr>
        <w:spacing w:line="360" w:lineRule="auto"/>
        <w:jc w:val="both"/>
        <w:rPr>
          <w:rFonts w:ascii="Arial" w:hAnsi="Arial" w:cs="Arial"/>
          <w:lang w:val="es-CO"/>
        </w:rPr>
      </w:pPr>
      <w:r w:rsidRPr="00FA587B">
        <w:rPr>
          <w:rFonts w:ascii="Arial" w:hAnsi="Arial" w:cs="Arial"/>
          <w:lang w:val="es-CO"/>
        </w:rPr>
        <w:t>El valor del negocio</w:t>
      </w:r>
      <w:r w:rsidR="00630E61" w:rsidRPr="00FA587B">
        <w:rPr>
          <w:rFonts w:ascii="Arial" w:hAnsi="Arial" w:cs="Arial"/>
          <w:lang w:val="es-CO"/>
        </w:rPr>
        <w:t xml:space="preserve"> se acordó en la suma de $2.756’</w:t>
      </w:r>
      <w:r w:rsidRPr="00FA587B">
        <w:rPr>
          <w:rFonts w:ascii="Arial" w:hAnsi="Arial" w:cs="Arial"/>
          <w:lang w:val="es-CO"/>
        </w:rPr>
        <w:t xml:space="preserve">819.083,00, incluido A.I.U, discriminada como sigue: </w:t>
      </w:r>
    </w:p>
    <w:p w:rsidR="006E1B80" w:rsidRPr="00FA587B" w:rsidRDefault="006E1B80" w:rsidP="00FA587B">
      <w:pPr>
        <w:spacing w:line="360" w:lineRule="auto"/>
        <w:jc w:val="both"/>
        <w:rPr>
          <w:rFonts w:ascii="Arial" w:hAnsi="Arial" w:cs="Arial"/>
          <w:lang w:val="es-CO"/>
        </w:rPr>
      </w:pPr>
    </w:p>
    <w:p w:rsidR="006E1B80" w:rsidRPr="00FA587B" w:rsidRDefault="006E1B80" w:rsidP="00FA587B">
      <w:pPr>
        <w:numPr>
          <w:ilvl w:val="0"/>
          <w:numId w:val="15"/>
        </w:numPr>
        <w:spacing w:line="360" w:lineRule="auto"/>
        <w:ind w:left="0"/>
        <w:jc w:val="both"/>
        <w:rPr>
          <w:rFonts w:ascii="Arial" w:hAnsi="Arial" w:cs="Arial"/>
          <w:lang w:val="es-CO"/>
        </w:rPr>
      </w:pPr>
      <w:r w:rsidRPr="00FA587B">
        <w:rPr>
          <w:rFonts w:ascii="Arial" w:hAnsi="Arial" w:cs="Arial"/>
          <w:lang w:val="es-CO"/>
        </w:rPr>
        <w:t>$2.490’689</w:t>
      </w:r>
      <w:r w:rsidR="003376E9" w:rsidRPr="00FA587B">
        <w:rPr>
          <w:rFonts w:ascii="Arial" w:hAnsi="Arial" w:cs="Arial"/>
          <w:lang w:val="es-CO"/>
        </w:rPr>
        <w:t>.691</w:t>
      </w:r>
      <w:r w:rsidRPr="00FA587B">
        <w:rPr>
          <w:rFonts w:ascii="Arial" w:hAnsi="Arial" w:cs="Arial"/>
          <w:lang w:val="es-CO"/>
        </w:rPr>
        <w:t>, incluido A.I.U. como valor de las obras de construcción.</w:t>
      </w:r>
    </w:p>
    <w:p w:rsidR="006E1B80" w:rsidRPr="00FA587B" w:rsidRDefault="006E1B80" w:rsidP="00FA587B">
      <w:pPr>
        <w:numPr>
          <w:ilvl w:val="0"/>
          <w:numId w:val="15"/>
        </w:numPr>
        <w:spacing w:line="360" w:lineRule="auto"/>
        <w:ind w:left="0"/>
        <w:jc w:val="both"/>
        <w:rPr>
          <w:rFonts w:ascii="Arial" w:hAnsi="Arial" w:cs="Arial"/>
          <w:lang w:val="es-CO"/>
        </w:rPr>
      </w:pPr>
      <w:r w:rsidRPr="00FA587B">
        <w:rPr>
          <w:rFonts w:ascii="Arial" w:hAnsi="Arial" w:cs="Arial"/>
          <w:lang w:val="es-CO"/>
        </w:rPr>
        <w:t>$211’447.725, como suma global ambiental y de gestión social en la etapa de construcción.</w:t>
      </w:r>
    </w:p>
    <w:p w:rsidR="006E1B80" w:rsidRPr="00FA587B" w:rsidRDefault="006E1B80" w:rsidP="00FA587B">
      <w:pPr>
        <w:numPr>
          <w:ilvl w:val="0"/>
          <w:numId w:val="15"/>
        </w:numPr>
        <w:spacing w:line="360" w:lineRule="auto"/>
        <w:ind w:left="0"/>
        <w:jc w:val="both"/>
        <w:rPr>
          <w:rFonts w:ascii="Arial" w:hAnsi="Arial" w:cs="Arial"/>
          <w:lang w:val="es-CO"/>
        </w:rPr>
      </w:pPr>
      <w:r w:rsidRPr="00FA587B">
        <w:rPr>
          <w:rFonts w:ascii="Arial" w:hAnsi="Arial" w:cs="Arial"/>
          <w:lang w:val="es-CO"/>
        </w:rPr>
        <w:t xml:space="preserve">$54’681.397, correspondiente al manejo de tráfico, señalización y desvíos durante la etapa de construcción. </w:t>
      </w:r>
    </w:p>
    <w:p w:rsidR="006E1B80" w:rsidRPr="00FA587B" w:rsidRDefault="006E1B80" w:rsidP="00FA587B">
      <w:pPr>
        <w:spacing w:line="360" w:lineRule="auto"/>
        <w:jc w:val="both"/>
        <w:rPr>
          <w:rFonts w:ascii="Arial" w:hAnsi="Arial" w:cs="Arial"/>
          <w:lang w:val="es-CO"/>
        </w:rPr>
      </w:pPr>
    </w:p>
    <w:p w:rsidR="006E1B80" w:rsidRPr="00FA587B" w:rsidRDefault="006E1B80" w:rsidP="00FA587B">
      <w:pPr>
        <w:spacing w:line="360" w:lineRule="auto"/>
        <w:jc w:val="both"/>
        <w:rPr>
          <w:rFonts w:ascii="Arial" w:hAnsi="Arial" w:cs="Arial"/>
          <w:lang w:val="es-CO"/>
        </w:rPr>
      </w:pPr>
      <w:r w:rsidRPr="00FA587B">
        <w:rPr>
          <w:rFonts w:ascii="Arial" w:hAnsi="Arial" w:cs="Arial"/>
          <w:lang w:val="es-CO"/>
        </w:rPr>
        <w:t xml:space="preserve">La forma de pago se planteó de la siguiente manera: </w:t>
      </w:r>
    </w:p>
    <w:p w:rsidR="006E1B80" w:rsidRPr="00FA587B" w:rsidRDefault="006E1B80" w:rsidP="00FA587B">
      <w:pPr>
        <w:spacing w:line="360" w:lineRule="auto"/>
        <w:jc w:val="both"/>
        <w:rPr>
          <w:rFonts w:ascii="Arial" w:hAnsi="Arial" w:cs="Arial"/>
          <w:lang w:val="es-CO"/>
        </w:rPr>
      </w:pPr>
    </w:p>
    <w:p w:rsidR="006E1B80" w:rsidRPr="00FA587B" w:rsidRDefault="006E1B80" w:rsidP="00FA587B">
      <w:pPr>
        <w:spacing w:line="360" w:lineRule="auto"/>
        <w:jc w:val="both"/>
        <w:rPr>
          <w:rFonts w:ascii="Arial" w:hAnsi="Arial" w:cs="Arial"/>
          <w:lang w:val="es-CO"/>
        </w:rPr>
      </w:pPr>
      <w:r w:rsidRPr="00FA587B">
        <w:rPr>
          <w:rFonts w:ascii="Arial" w:hAnsi="Arial" w:cs="Arial"/>
          <w:lang w:val="es-CO"/>
        </w:rPr>
        <w:t xml:space="preserve">El 95% del valor se pagaría mediante actas mensuales de obra ejecutada, a satisfacción del IDU y previa valoración de la interventoría. El 5% restante se pagaría una vez se efectuara el recibo a satisfacción </w:t>
      </w:r>
      <w:r w:rsidR="00163DFD" w:rsidRPr="00FA587B">
        <w:rPr>
          <w:rFonts w:ascii="Arial" w:hAnsi="Arial" w:cs="Arial"/>
          <w:lang w:val="es-CO"/>
        </w:rPr>
        <w:t>parte de la interventoría de la obra construida</w:t>
      </w:r>
      <w:r w:rsidRPr="00FA587B">
        <w:rPr>
          <w:rFonts w:ascii="Arial" w:hAnsi="Arial" w:cs="Arial"/>
          <w:lang w:val="es-CO"/>
        </w:rPr>
        <w:t xml:space="preserve">. </w:t>
      </w:r>
    </w:p>
    <w:p w:rsidR="006E1B80" w:rsidRPr="00FA587B" w:rsidRDefault="006E1B80" w:rsidP="00FA587B">
      <w:pPr>
        <w:spacing w:line="360" w:lineRule="auto"/>
        <w:jc w:val="both"/>
        <w:rPr>
          <w:rFonts w:ascii="Arial" w:hAnsi="Arial" w:cs="Arial"/>
          <w:lang w:val="es-CO"/>
        </w:rPr>
      </w:pPr>
    </w:p>
    <w:p w:rsidR="006E1B80" w:rsidRPr="00FA587B" w:rsidRDefault="006E1B80" w:rsidP="00FA587B">
      <w:pPr>
        <w:spacing w:line="360" w:lineRule="auto"/>
        <w:jc w:val="both"/>
        <w:rPr>
          <w:rFonts w:ascii="Arial" w:hAnsi="Arial" w:cs="Arial"/>
          <w:lang w:val="es-CO"/>
        </w:rPr>
      </w:pPr>
      <w:r w:rsidRPr="00FA587B">
        <w:rPr>
          <w:rFonts w:ascii="Arial" w:hAnsi="Arial" w:cs="Arial"/>
          <w:lang w:val="es-CO"/>
        </w:rPr>
        <w:t xml:space="preserve">El plazo estipulado fue de siete meses contados </w:t>
      </w:r>
      <w:r w:rsidR="003376E9" w:rsidRPr="00FA587B">
        <w:rPr>
          <w:rFonts w:ascii="Arial" w:hAnsi="Arial" w:cs="Arial"/>
          <w:lang w:val="es-CO"/>
        </w:rPr>
        <w:t>desde</w:t>
      </w:r>
      <w:r w:rsidRPr="00FA587B">
        <w:rPr>
          <w:rFonts w:ascii="Arial" w:hAnsi="Arial" w:cs="Arial"/>
          <w:lang w:val="es-CO"/>
        </w:rPr>
        <w:t xml:space="preserve"> la fecha de suscripción del acta de inicio, distribuidos así: i) un mes para la pre construcción; ii) cinco meses para la construcción, y iii) un mes para la entrega y recibo de las obras. </w:t>
      </w:r>
    </w:p>
    <w:p w:rsidR="006E1B80" w:rsidRPr="00FA587B" w:rsidRDefault="006E1B80" w:rsidP="00FA587B">
      <w:pPr>
        <w:spacing w:line="360" w:lineRule="auto"/>
        <w:jc w:val="both"/>
        <w:rPr>
          <w:rFonts w:ascii="Arial" w:hAnsi="Arial" w:cs="Arial"/>
          <w:lang w:val="es-CO"/>
        </w:rPr>
      </w:pPr>
    </w:p>
    <w:p w:rsidR="006E1B80" w:rsidRPr="00FA587B" w:rsidRDefault="006E1B80" w:rsidP="00FA587B">
      <w:pPr>
        <w:spacing w:line="360" w:lineRule="auto"/>
        <w:jc w:val="both"/>
        <w:rPr>
          <w:rFonts w:ascii="Arial" w:hAnsi="Arial" w:cs="Arial"/>
          <w:lang w:val="es-CO"/>
        </w:rPr>
      </w:pPr>
      <w:r w:rsidRPr="00FA587B">
        <w:rPr>
          <w:rFonts w:ascii="Arial" w:hAnsi="Arial" w:cs="Arial"/>
          <w:lang w:val="es-CO"/>
        </w:rPr>
        <w:t>-. El 4 de septiembre de 2006 las partes elevaron el acta de iniciación del contrato</w:t>
      </w:r>
      <w:r w:rsidRPr="00FA587B">
        <w:rPr>
          <w:rStyle w:val="Refdenotaalpie"/>
          <w:rFonts w:ascii="Arial" w:hAnsi="Arial" w:cs="Arial"/>
          <w:lang w:val="es-CO"/>
        </w:rPr>
        <w:footnoteReference w:id="9"/>
      </w:r>
      <w:r w:rsidRPr="00FA587B">
        <w:rPr>
          <w:rFonts w:ascii="Arial" w:hAnsi="Arial" w:cs="Arial"/>
          <w:lang w:val="es-CO"/>
        </w:rPr>
        <w:t xml:space="preserve">. </w:t>
      </w:r>
    </w:p>
    <w:p w:rsidR="00AB04E3" w:rsidRPr="00FA587B" w:rsidRDefault="00AB04E3" w:rsidP="00FA587B">
      <w:pPr>
        <w:spacing w:line="360" w:lineRule="auto"/>
        <w:jc w:val="both"/>
        <w:rPr>
          <w:rFonts w:ascii="Arial" w:hAnsi="Arial" w:cs="Arial"/>
          <w:lang w:val="es-CO"/>
        </w:rPr>
      </w:pPr>
    </w:p>
    <w:p w:rsidR="00AB04E3" w:rsidRPr="00FA587B" w:rsidRDefault="00AB04E3" w:rsidP="00FA587B">
      <w:pPr>
        <w:spacing w:line="360" w:lineRule="auto"/>
        <w:jc w:val="both"/>
        <w:rPr>
          <w:rFonts w:ascii="Arial" w:hAnsi="Arial" w:cs="Arial"/>
          <w:lang w:val="es-CO"/>
        </w:rPr>
      </w:pPr>
      <w:r w:rsidRPr="00FA587B">
        <w:rPr>
          <w:rFonts w:ascii="Arial" w:hAnsi="Arial" w:cs="Arial"/>
          <w:lang w:val="es-CO"/>
        </w:rPr>
        <w:t>-. El 29 de diciembre de 2006, las partes celebraron el Contrato Adicional No. 01</w:t>
      </w:r>
      <w:r w:rsidRPr="00FA587B">
        <w:rPr>
          <w:rStyle w:val="Refdenotaalpie"/>
          <w:rFonts w:ascii="Arial" w:hAnsi="Arial" w:cs="Arial"/>
          <w:lang w:val="es-CO"/>
        </w:rPr>
        <w:footnoteReference w:id="10"/>
      </w:r>
      <w:r w:rsidR="003376E9" w:rsidRPr="00FA587B">
        <w:rPr>
          <w:rFonts w:ascii="Arial" w:hAnsi="Arial" w:cs="Arial"/>
          <w:lang w:val="es-CO"/>
        </w:rPr>
        <w:t xml:space="preserve"> al Contrato de Obra No. 193</w:t>
      </w:r>
      <w:r w:rsidRPr="00FA587B">
        <w:rPr>
          <w:rFonts w:ascii="Arial" w:hAnsi="Arial" w:cs="Arial"/>
          <w:lang w:val="es-CO"/>
        </w:rPr>
        <w:t xml:space="preserve">, con el propósito de aumentar el valor en la suma de $765’665.315 y prorrogar el plazo para la etapa de construcción en un mes y medio. </w:t>
      </w:r>
    </w:p>
    <w:p w:rsidR="007131D6" w:rsidRPr="00FA587B" w:rsidRDefault="007131D6" w:rsidP="00FA587B">
      <w:pPr>
        <w:spacing w:line="360" w:lineRule="auto"/>
        <w:jc w:val="both"/>
        <w:rPr>
          <w:rFonts w:ascii="Arial" w:hAnsi="Arial" w:cs="Arial"/>
        </w:rPr>
      </w:pPr>
    </w:p>
    <w:p w:rsidR="00312343" w:rsidRPr="00FA587B" w:rsidRDefault="00312343" w:rsidP="00FA587B">
      <w:pPr>
        <w:spacing w:line="360" w:lineRule="auto"/>
        <w:jc w:val="both"/>
        <w:rPr>
          <w:rFonts w:ascii="Arial" w:hAnsi="Arial" w:cs="Arial"/>
          <w:lang w:val="es-CO"/>
        </w:rPr>
      </w:pPr>
      <w:r w:rsidRPr="00FA587B">
        <w:rPr>
          <w:rFonts w:ascii="Arial" w:hAnsi="Arial" w:cs="Arial"/>
          <w:lang w:val="es-CO"/>
        </w:rPr>
        <w:t>-. El 17 de abril de 2007, el IDU y el ingeniero Jaime Carmona Soto firmaron el Contrato Adicional No. 02</w:t>
      </w:r>
      <w:r w:rsidRPr="00FA587B">
        <w:rPr>
          <w:rStyle w:val="Refdenotaalpie"/>
          <w:rFonts w:ascii="Arial" w:hAnsi="Arial" w:cs="Arial"/>
          <w:lang w:val="es-CO"/>
        </w:rPr>
        <w:footnoteReference w:id="11"/>
      </w:r>
      <w:r w:rsidRPr="00FA587B">
        <w:rPr>
          <w:rFonts w:ascii="Arial" w:hAnsi="Arial" w:cs="Arial"/>
          <w:lang w:val="es-CO"/>
        </w:rPr>
        <w:t xml:space="preserve">, en el que decidieron prorrogar el plazo contractual en dos meses y medio. </w:t>
      </w:r>
    </w:p>
    <w:p w:rsidR="00A2296A" w:rsidRPr="00FA587B" w:rsidRDefault="00A2296A" w:rsidP="00FA587B">
      <w:pPr>
        <w:spacing w:line="360" w:lineRule="auto"/>
        <w:jc w:val="both"/>
        <w:rPr>
          <w:rFonts w:ascii="Arial" w:hAnsi="Arial" w:cs="Arial"/>
          <w:lang w:val="es-CO"/>
        </w:rPr>
      </w:pPr>
    </w:p>
    <w:p w:rsidR="00A2296A" w:rsidRPr="00FA587B" w:rsidRDefault="00A2296A" w:rsidP="00FA587B">
      <w:pPr>
        <w:spacing w:line="360" w:lineRule="auto"/>
        <w:jc w:val="both"/>
        <w:rPr>
          <w:rFonts w:ascii="Arial" w:hAnsi="Arial" w:cs="Arial"/>
          <w:lang w:val="es-CO"/>
        </w:rPr>
      </w:pPr>
      <w:r w:rsidRPr="00FA587B">
        <w:rPr>
          <w:rFonts w:ascii="Arial" w:hAnsi="Arial" w:cs="Arial"/>
          <w:lang w:val="es-CO"/>
        </w:rPr>
        <w:lastRenderedPageBreak/>
        <w:t>-. El 3 de julio de 2007, las partes suscribieron el Otrosí No. 01</w:t>
      </w:r>
      <w:r w:rsidRPr="00FA587B">
        <w:rPr>
          <w:rStyle w:val="Refdenotaalpie"/>
          <w:rFonts w:ascii="Arial" w:hAnsi="Arial" w:cs="Arial"/>
          <w:lang w:val="es-CO"/>
        </w:rPr>
        <w:footnoteReference w:id="12"/>
      </w:r>
      <w:r w:rsidRPr="00FA587B">
        <w:rPr>
          <w:rFonts w:ascii="Arial" w:hAnsi="Arial" w:cs="Arial"/>
          <w:lang w:val="es-CO"/>
        </w:rPr>
        <w:t xml:space="preserve"> al Contrato No. 193 de 2005, a través del cual se modificó el plazo del contrato</w:t>
      </w:r>
      <w:r w:rsidR="000C0FE7" w:rsidRPr="00FA587B">
        <w:rPr>
          <w:rFonts w:ascii="Arial" w:hAnsi="Arial" w:cs="Arial"/>
          <w:lang w:val="es-CO"/>
        </w:rPr>
        <w:t>,</w:t>
      </w:r>
      <w:r w:rsidRPr="00FA587B">
        <w:rPr>
          <w:rFonts w:ascii="Arial" w:hAnsi="Arial" w:cs="Arial"/>
          <w:lang w:val="es-CO"/>
        </w:rPr>
        <w:t xml:space="preserve"> en el sentido de señalar que el período de construcción sería de cinco meses y veintinueve días y un día más para el recibo de las obras. </w:t>
      </w:r>
    </w:p>
    <w:p w:rsidR="00642958" w:rsidRPr="00FA587B" w:rsidRDefault="00642958" w:rsidP="00FA587B">
      <w:pPr>
        <w:spacing w:line="360" w:lineRule="auto"/>
        <w:jc w:val="both"/>
        <w:rPr>
          <w:rFonts w:ascii="Arial" w:hAnsi="Arial" w:cs="Arial"/>
          <w:lang w:val="es-CO"/>
        </w:rPr>
      </w:pPr>
    </w:p>
    <w:p w:rsidR="00642958" w:rsidRPr="00FA587B" w:rsidRDefault="003376E9" w:rsidP="00FA587B">
      <w:pPr>
        <w:spacing w:line="360" w:lineRule="auto"/>
        <w:jc w:val="both"/>
        <w:rPr>
          <w:rFonts w:ascii="Arial" w:hAnsi="Arial" w:cs="Arial"/>
          <w:lang w:val="es-CO"/>
        </w:rPr>
      </w:pPr>
      <w:r w:rsidRPr="00FA587B">
        <w:rPr>
          <w:rFonts w:ascii="Arial" w:hAnsi="Arial" w:cs="Arial"/>
          <w:lang w:val="es-CO"/>
        </w:rPr>
        <w:t>-. El</w:t>
      </w:r>
      <w:r w:rsidR="00642958" w:rsidRPr="00FA587B">
        <w:rPr>
          <w:rFonts w:ascii="Arial" w:hAnsi="Arial" w:cs="Arial"/>
          <w:lang w:val="es-CO"/>
        </w:rPr>
        <w:t xml:space="preserve"> 3 de agosto de 2007, las partes celebraron el Contrato Adicional No. 03, a través del cual extendieron el plazo por un mes en la etapa de construcción y 29 días en la etapa de recibo de obras. </w:t>
      </w:r>
    </w:p>
    <w:p w:rsidR="00A2296A" w:rsidRPr="00FA587B" w:rsidRDefault="00A2296A" w:rsidP="00FA587B">
      <w:pPr>
        <w:spacing w:line="360" w:lineRule="auto"/>
        <w:jc w:val="both"/>
        <w:rPr>
          <w:rFonts w:ascii="Arial" w:hAnsi="Arial" w:cs="Arial"/>
          <w:lang w:val="es-CO"/>
        </w:rPr>
      </w:pPr>
    </w:p>
    <w:p w:rsidR="00A2296A" w:rsidRPr="00FA587B" w:rsidRDefault="00A2296A" w:rsidP="00FA587B">
      <w:pPr>
        <w:spacing w:line="360" w:lineRule="auto"/>
        <w:jc w:val="both"/>
        <w:rPr>
          <w:rFonts w:ascii="Arial" w:hAnsi="Arial" w:cs="Arial"/>
          <w:lang w:val="es-CO"/>
        </w:rPr>
      </w:pPr>
      <w:r w:rsidRPr="00FA587B">
        <w:rPr>
          <w:rFonts w:ascii="Arial" w:hAnsi="Arial" w:cs="Arial"/>
          <w:lang w:val="es-CO"/>
        </w:rPr>
        <w:t xml:space="preserve">-. El 5 de octubre de 2007, </w:t>
      </w:r>
      <w:r w:rsidR="003376E9" w:rsidRPr="00FA587B">
        <w:rPr>
          <w:rFonts w:ascii="Arial" w:hAnsi="Arial" w:cs="Arial"/>
          <w:lang w:val="es-CO"/>
        </w:rPr>
        <w:t xml:space="preserve">los extremos contratantes </w:t>
      </w:r>
      <w:r w:rsidRPr="00FA587B">
        <w:rPr>
          <w:rFonts w:ascii="Arial" w:hAnsi="Arial" w:cs="Arial"/>
          <w:lang w:val="es-CO"/>
        </w:rPr>
        <w:t>elevaron el acta No. 31A</w:t>
      </w:r>
      <w:r w:rsidRPr="00FA587B">
        <w:rPr>
          <w:rStyle w:val="Refdenotaalpie"/>
          <w:rFonts w:ascii="Arial" w:hAnsi="Arial" w:cs="Arial"/>
          <w:lang w:val="es-CO"/>
        </w:rPr>
        <w:footnoteReference w:id="13"/>
      </w:r>
      <w:r w:rsidR="003376E9" w:rsidRPr="00FA587B">
        <w:rPr>
          <w:rFonts w:ascii="Arial" w:hAnsi="Arial" w:cs="Arial"/>
          <w:lang w:val="es-CO"/>
        </w:rPr>
        <w:t xml:space="preserve"> de terminación del Contrato de Obra No. 193</w:t>
      </w:r>
      <w:r w:rsidRPr="00FA587B">
        <w:rPr>
          <w:rFonts w:ascii="Arial" w:hAnsi="Arial" w:cs="Arial"/>
          <w:lang w:val="es-CO"/>
        </w:rPr>
        <w:t xml:space="preserve">. </w:t>
      </w:r>
    </w:p>
    <w:p w:rsidR="007131D6" w:rsidRPr="00FA587B" w:rsidRDefault="007131D6" w:rsidP="00FA587B">
      <w:pPr>
        <w:spacing w:line="360" w:lineRule="auto"/>
        <w:jc w:val="both"/>
        <w:rPr>
          <w:rFonts w:ascii="Arial" w:hAnsi="Arial" w:cs="Arial"/>
        </w:rPr>
      </w:pPr>
    </w:p>
    <w:p w:rsidR="00A2296A" w:rsidRPr="00FA587B" w:rsidRDefault="00A2296A" w:rsidP="00FA587B">
      <w:pPr>
        <w:spacing w:line="360" w:lineRule="auto"/>
        <w:jc w:val="both"/>
        <w:rPr>
          <w:rFonts w:ascii="Arial" w:hAnsi="Arial" w:cs="Arial"/>
        </w:rPr>
      </w:pPr>
      <w:r w:rsidRPr="00FA587B">
        <w:rPr>
          <w:rFonts w:ascii="Arial" w:hAnsi="Arial" w:cs="Arial"/>
        </w:rPr>
        <w:t>-. El contrato No. 193 no se ha liquidado.</w:t>
      </w:r>
    </w:p>
    <w:p w:rsidR="00D60214" w:rsidRPr="00FA587B" w:rsidRDefault="00D60214" w:rsidP="00FA587B">
      <w:pPr>
        <w:spacing w:line="360" w:lineRule="auto"/>
        <w:jc w:val="both"/>
        <w:rPr>
          <w:rFonts w:ascii="Arial" w:hAnsi="Arial" w:cs="Arial"/>
        </w:rPr>
      </w:pPr>
    </w:p>
    <w:p w:rsidR="00C56E21" w:rsidRPr="00FA587B" w:rsidRDefault="00CA5D4D" w:rsidP="00FA587B">
      <w:pPr>
        <w:spacing w:line="360" w:lineRule="auto"/>
        <w:jc w:val="both"/>
        <w:rPr>
          <w:rFonts w:ascii="Arial" w:hAnsi="Arial" w:cs="Arial"/>
          <w:b/>
          <w:lang w:val="es-CO"/>
        </w:rPr>
      </w:pPr>
      <w:r w:rsidRPr="00FA587B">
        <w:rPr>
          <w:rFonts w:ascii="Arial" w:hAnsi="Arial" w:cs="Arial"/>
          <w:b/>
          <w:lang w:val="es-CO"/>
        </w:rPr>
        <w:t xml:space="preserve">4.1.- </w:t>
      </w:r>
      <w:r w:rsidR="00C56E21" w:rsidRPr="00FA587B">
        <w:rPr>
          <w:rFonts w:ascii="Arial" w:hAnsi="Arial" w:cs="Arial"/>
          <w:b/>
          <w:lang w:val="es-CO"/>
        </w:rPr>
        <w:t>De la mayor permanencia en obra</w:t>
      </w:r>
    </w:p>
    <w:p w:rsidR="00C56E21" w:rsidRPr="00FA587B" w:rsidRDefault="00C56E21" w:rsidP="00FA587B">
      <w:pPr>
        <w:spacing w:line="360" w:lineRule="auto"/>
        <w:jc w:val="both"/>
        <w:rPr>
          <w:rFonts w:ascii="Arial" w:hAnsi="Arial" w:cs="Arial"/>
          <w:lang w:val="es-CO"/>
        </w:rPr>
      </w:pPr>
    </w:p>
    <w:p w:rsidR="00C56E21" w:rsidRPr="00FA587B" w:rsidRDefault="00C56E21" w:rsidP="00FA587B">
      <w:pPr>
        <w:spacing w:line="360" w:lineRule="auto"/>
        <w:jc w:val="both"/>
        <w:rPr>
          <w:rFonts w:ascii="Arial" w:hAnsi="Arial" w:cs="Arial"/>
          <w:lang w:val="es-CO"/>
        </w:rPr>
      </w:pPr>
      <w:r w:rsidRPr="00FA587B">
        <w:rPr>
          <w:rFonts w:ascii="Arial" w:hAnsi="Arial" w:cs="Arial"/>
          <w:lang w:val="es-CO"/>
        </w:rPr>
        <w:t>Este cargo de inconformidad se centró en los sobrecostos que debió asumir el contratista por la permanencia en la obra durante un período superior al previsto que se generó por dos causas. La primera de ellas consistió en la demora que se produjo entre la fecha de suscripción del contrato y la fecha en que inició la obra. La seg</w:t>
      </w:r>
      <w:r w:rsidR="00552F30" w:rsidRPr="00FA587B">
        <w:rPr>
          <w:rFonts w:ascii="Arial" w:hAnsi="Arial" w:cs="Arial"/>
          <w:lang w:val="es-CO"/>
        </w:rPr>
        <w:t>unda radicó en las distintas pró</w:t>
      </w:r>
      <w:r w:rsidRPr="00FA587B">
        <w:rPr>
          <w:rFonts w:ascii="Arial" w:hAnsi="Arial" w:cs="Arial"/>
          <w:lang w:val="es-CO"/>
        </w:rPr>
        <w:t xml:space="preserve">rrogas de que fue objeto el negocio jurídico por causas no imputables al contratista. </w:t>
      </w:r>
    </w:p>
    <w:p w:rsidR="00CA5D4D" w:rsidRPr="00FA587B" w:rsidRDefault="00CA5D4D" w:rsidP="00FA587B">
      <w:pPr>
        <w:spacing w:line="360" w:lineRule="auto"/>
        <w:jc w:val="both"/>
        <w:rPr>
          <w:rFonts w:ascii="Arial" w:hAnsi="Arial" w:cs="Arial"/>
          <w:lang w:val="es-CO"/>
        </w:rPr>
      </w:pPr>
    </w:p>
    <w:p w:rsidR="00C56E21" w:rsidRPr="00FA587B" w:rsidRDefault="00CA5D4D" w:rsidP="00FA587B">
      <w:pPr>
        <w:autoSpaceDN w:val="0"/>
        <w:spacing w:line="360" w:lineRule="auto"/>
        <w:jc w:val="both"/>
        <w:rPr>
          <w:rFonts w:ascii="Arial" w:hAnsi="Arial" w:cs="Arial"/>
          <w:u w:val="single"/>
        </w:rPr>
      </w:pPr>
      <w:r w:rsidRPr="00FA587B">
        <w:rPr>
          <w:rFonts w:ascii="Arial" w:hAnsi="Arial" w:cs="Arial"/>
        </w:rPr>
        <w:t>4.1.1.</w:t>
      </w:r>
      <w:r w:rsidR="00C56E21" w:rsidRPr="00FA587B">
        <w:rPr>
          <w:rFonts w:ascii="Arial" w:hAnsi="Arial" w:cs="Arial"/>
        </w:rPr>
        <w:t xml:space="preserve"> - </w:t>
      </w:r>
      <w:r w:rsidRPr="00FA587B">
        <w:rPr>
          <w:rFonts w:ascii="Arial" w:hAnsi="Arial" w:cs="Arial"/>
          <w:u w:val="single"/>
        </w:rPr>
        <w:t>D</w:t>
      </w:r>
      <w:r w:rsidR="00C56E21" w:rsidRPr="00FA587B">
        <w:rPr>
          <w:rFonts w:ascii="Arial" w:hAnsi="Arial" w:cs="Arial"/>
          <w:u w:val="single"/>
        </w:rPr>
        <w:t>e la tardanza en el inicio de las obras</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 xml:space="preserve">Sostuvo el libelista que mientras el contrato se suscribió el 29 de diciembre de 2005, </w:t>
      </w:r>
      <w:r w:rsidRPr="00FA587B">
        <w:rPr>
          <w:rFonts w:ascii="Arial" w:hAnsi="Arial" w:cs="Arial"/>
          <w:lang w:val="es-CO"/>
        </w:rPr>
        <w:t xml:space="preserve">las partes elevaron el acta de iniciación </w:t>
      </w:r>
      <w:r w:rsidR="00267007" w:rsidRPr="00FA587B">
        <w:rPr>
          <w:rFonts w:ascii="Arial" w:hAnsi="Arial" w:cs="Arial"/>
          <w:lang w:val="es-CO"/>
        </w:rPr>
        <w:t xml:space="preserve">de actividades </w:t>
      </w:r>
      <w:r w:rsidRPr="00FA587B">
        <w:rPr>
          <w:rFonts w:ascii="Arial" w:hAnsi="Arial" w:cs="Arial"/>
        </w:rPr>
        <w:t xml:space="preserve">el </w:t>
      </w:r>
      <w:r w:rsidRPr="00FA587B">
        <w:rPr>
          <w:rFonts w:ascii="Arial" w:hAnsi="Arial" w:cs="Arial"/>
          <w:lang w:val="es-CO"/>
        </w:rPr>
        <w:t>4 de septiembre de 2006</w:t>
      </w:r>
      <w:r w:rsidRPr="00FA587B">
        <w:rPr>
          <w:rFonts w:ascii="Arial" w:hAnsi="Arial" w:cs="Arial"/>
        </w:rPr>
        <w:t>, circunstancia que comprometía la responsabilidad del ente estatal</w:t>
      </w:r>
      <w:r w:rsidR="00346CE2" w:rsidRPr="00FA587B">
        <w:rPr>
          <w:rFonts w:ascii="Arial" w:hAnsi="Arial" w:cs="Arial"/>
        </w:rPr>
        <w:t>,</w:t>
      </w:r>
      <w:r w:rsidRPr="00FA587B">
        <w:rPr>
          <w:rFonts w:ascii="Arial" w:hAnsi="Arial" w:cs="Arial"/>
        </w:rPr>
        <w:t xml:space="preserve"> </w:t>
      </w:r>
      <w:r w:rsidR="00346CE2" w:rsidRPr="00FA587B">
        <w:rPr>
          <w:rFonts w:ascii="Arial" w:hAnsi="Arial" w:cs="Arial"/>
        </w:rPr>
        <w:t xml:space="preserve">debido a que </w:t>
      </w:r>
      <w:r w:rsidRPr="00FA587B">
        <w:rPr>
          <w:rFonts w:ascii="Arial" w:hAnsi="Arial" w:cs="Arial"/>
        </w:rPr>
        <w:t xml:space="preserve">durante esos nueve meses de retraso en el comienzo </w:t>
      </w:r>
      <w:r w:rsidR="00346CE2" w:rsidRPr="00FA587B">
        <w:rPr>
          <w:rFonts w:ascii="Arial" w:hAnsi="Arial" w:cs="Arial"/>
        </w:rPr>
        <w:t xml:space="preserve">de las obras </w:t>
      </w:r>
      <w:r w:rsidRPr="00FA587B">
        <w:rPr>
          <w:rFonts w:ascii="Arial" w:hAnsi="Arial" w:cs="Arial"/>
        </w:rPr>
        <w:t xml:space="preserve">se le generaron perjuicios al contratista por causas que no le resultaban atribuibles. </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lang w:val="es-CO"/>
        </w:rPr>
      </w:pPr>
      <w:r w:rsidRPr="00FA587B">
        <w:rPr>
          <w:rFonts w:ascii="Arial" w:hAnsi="Arial" w:cs="Arial"/>
        </w:rPr>
        <w:t>Al respecto, la Sala encuentra que, en efecto, la suscripción del Contrato de Obra No. 193 data del 29 de diciembre de 2005</w:t>
      </w:r>
      <w:r w:rsidR="00346CE2" w:rsidRPr="00FA587B">
        <w:rPr>
          <w:rFonts w:ascii="Arial" w:hAnsi="Arial" w:cs="Arial"/>
        </w:rPr>
        <w:t>,</w:t>
      </w:r>
      <w:r w:rsidRPr="00FA587B">
        <w:rPr>
          <w:rFonts w:ascii="Arial" w:hAnsi="Arial" w:cs="Arial"/>
        </w:rPr>
        <w:t xml:space="preserve"> en tanto que el acta de inicio se elevó el </w:t>
      </w:r>
      <w:r w:rsidRPr="00FA587B">
        <w:rPr>
          <w:rFonts w:ascii="Arial" w:hAnsi="Arial" w:cs="Arial"/>
          <w:lang w:val="es-CO"/>
        </w:rPr>
        <w:lastRenderedPageBreak/>
        <w:t>4 de septiembre de 2006</w:t>
      </w:r>
      <w:r w:rsidRPr="00FA587B">
        <w:rPr>
          <w:rStyle w:val="Refdenotaalpie"/>
          <w:rFonts w:ascii="Arial" w:hAnsi="Arial" w:cs="Arial"/>
          <w:lang w:val="es-CO"/>
        </w:rPr>
        <w:footnoteReference w:id="14"/>
      </w:r>
      <w:r w:rsidRPr="00FA587B">
        <w:rPr>
          <w:rFonts w:ascii="Arial" w:hAnsi="Arial" w:cs="Arial"/>
          <w:lang w:val="es-CO"/>
        </w:rPr>
        <w:t xml:space="preserve">, cuestión que pone de relieve que entre los dos referidos sucesos transcurrió un lapso de ocho meses y cinco días.  </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 xml:space="preserve">Ahora bien, de conformidad con el parágrafo segundo de la cláusula quinta del texto contractual se desprende que el acta de inicio debía suscribirse durante los diez (10) días hábiles siguientes al cumplimiento de los requisitos de perfeccionamiento y legalización del contrato, así como de aquellos establecidos en el pliego de condiciones. </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 xml:space="preserve">En armonía con dicha previsión, en la letra f) de la cláusula séptima del Contrato No. 193 se plasmó que entre las obligaciones asumidas por el contratista se encontraba la de presentar al inicio de las obras los documentos exigidos por el pliego de condiciones. </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En este punto, se advierte que aun cuando en el plenario no reposa el pliego de condiciones</w:t>
      </w:r>
      <w:r w:rsidRPr="00FA587B">
        <w:rPr>
          <w:rStyle w:val="Refdenotaalpie"/>
          <w:rFonts w:ascii="Arial" w:hAnsi="Arial" w:cs="Arial"/>
        </w:rPr>
        <w:footnoteReference w:id="15"/>
      </w:r>
      <w:r w:rsidRPr="00FA587B">
        <w:rPr>
          <w:rFonts w:ascii="Arial" w:hAnsi="Arial" w:cs="Arial"/>
        </w:rPr>
        <w:t xml:space="preserve"> que sirvió de base al procedimiento de licitación que dio origen al contrato, de las comunicaciones suscritas por la entidad convocante IDU y la correspondencia sostenida entre las partes en las que se hace expresa referencia a las exigencias que allí se introdujeron, resulta viable inferir la naturaleza y clase de los documentos requeridos por el pliego para dar inicio a las obras.</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Una muestra de ello la ofrece el oficio No. IDU-119192 del 6 de junio de 2008, firmado por el Director Técnico de Malla Vial y dirigido al contratista. En ese escrito se puso de presente que, según se consignó en el capítulo 2.4 “</w:t>
      </w:r>
      <w:r w:rsidRPr="00FA587B">
        <w:rPr>
          <w:rFonts w:ascii="Arial" w:hAnsi="Arial" w:cs="Arial"/>
          <w:i/>
        </w:rPr>
        <w:t>otros documentos</w:t>
      </w:r>
      <w:r w:rsidRPr="00FA587B">
        <w:rPr>
          <w:rFonts w:ascii="Arial" w:hAnsi="Arial" w:cs="Arial"/>
        </w:rPr>
        <w:t>”, numeral 2.4.1 “</w:t>
      </w:r>
      <w:r w:rsidRPr="00FA587B">
        <w:rPr>
          <w:rFonts w:ascii="Arial" w:hAnsi="Arial" w:cs="Arial"/>
          <w:i/>
        </w:rPr>
        <w:t>información personal del proyecto</w:t>
      </w:r>
      <w:r w:rsidRPr="00FA587B">
        <w:rPr>
          <w:rFonts w:ascii="Arial" w:hAnsi="Arial" w:cs="Arial"/>
        </w:rPr>
        <w:t>”, del pliego de condiciones, para efectos de la suscripción del acta de inicio, el contratista debía presentar ante el interventor para aprobación por la entidad, los documentos que acreditaran las calidades del siguiente personal:</w:t>
      </w:r>
    </w:p>
    <w:p w:rsidR="00C56E21" w:rsidRPr="00FA587B" w:rsidRDefault="00C56E21" w:rsidP="00FA587B">
      <w:pPr>
        <w:autoSpaceDN w:val="0"/>
        <w:spacing w:line="360" w:lineRule="auto"/>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tblGrid>
      <w:tr w:rsidR="00C56E21" w:rsidRPr="00FA587B" w:rsidTr="00CC2FCB">
        <w:tc>
          <w:tcPr>
            <w:tcW w:w="0" w:type="auto"/>
            <w:shd w:val="clear" w:color="auto" w:fill="auto"/>
          </w:tcPr>
          <w:p w:rsidR="00C56E21" w:rsidRPr="00FA587B" w:rsidRDefault="00C56E21" w:rsidP="00FA587B">
            <w:pPr>
              <w:autoSpaceDN w:val="0"/>
              <w:spacing w:line="360" w:lineRule="auto"/>
              <w:rPr>
                <w:rFonts w:ascii="Arial" w:hAnsi="Arial" w:cs="Arial"/>
              </w:rPr>
            </w:pPr>
            <w:r w:rsidRPr="00FA587B">
              <w:rPr>
                <w:rFonts w:ascii="Arial" w:hAnsi="Arial" w:cs="Arial"/>
              </w:rPr>
              <w:t>Cargo</w:t>
            </w:r>
          </w:p>
        </w:tc>
      </w:tr>
      <w:tr w:rsidR="00C56E21" w:rsidRPr="00FA587B" w:rsidTr="00CC2FCB">
        <w:tc>
          <w:tcPr>
            <w:tcW w:w="0" w:type="auto"/>
            <w:shd w:val="clear" w:color="auto" w:fill="auto"/>
          </w:tcPr>
          <w:p w:rsidR="00C56E21" w:rsidRPr="00FA587B" w:rsidRDefault="00C56E21" w:rsidP="00FA587B">
            <w:pPr>
              <w:autoSpaceDN w:val="0"/>
              <w:spacing w:line="360" w:lineRule="auto"/>
              <w:rPr>
                <w:rFonts w:ascii="Arial" w:hAnsi="Arial" w:cs="Arial"/>
              </w:rPr>
            </w:pPr>
            <w:r w:rsidRPr="00FA587B">
              <w:rPr>
                <w:rFonts w:ascii="Arial" w:hAnsi="Arial" w:cs="Arial"/>
              </w:rPr>
              <w:t>Director de obra</w:t>
            </w:r>
          </w:p>
          <w:p w:rsidR="00C56E21" w:rsidRPr="00FA587B" w:rsidRDefault="00C56E21" w:rsidP="00FA587B">
            <w:pPr>
              <w:autoSpaceDN w:val="0"/>
              <w:spacing w:line="360" w:lineRule="auto"/>
              <w:rPr>
                <w:rFonts w:ascii="Arial" w:hAnsi="Arial" w:cs="Arial"/>
              </w:rPr>
            </w:pPr>
            <w:r w:rsidRPr="00FA587B">
              <w:rPr>
                <w:rFonts w:ascii="Arial" w:hAnsi="Arial" w:cs="Arial"/>
              </w:rPr>
              <w:t>Uno (1) para construcción</w:t>
            </w:r>
          </w:p>
          <w:p w:rsidR="00C56E21" w:rsidRPr="00FA587B" w:rsidRDefault="00C56E21" w:rsidP="00FA587B">
            <w:pPr>
              <w:autoSpaceDN w:val="0"/>
              <w:spacing w:line="360" w:lineRule="auto"/>
              <w:rPr>
                <w:rFonts w:ascii="Arial" w:hAnsi="Arial" w:cs="Arial"/>
              </w:rPr>
            </w:pPr>
            <w:r w:rsidRPr="00FA587B">
              <w:rPr>
                <w:rFonts w:ascii="Arial" w:hAnsi="Arial" w:cs="Arial"/>
              </w:rPr>
              <w:t>Uno (1) para mantenimiento</w:t>
            </w:r>
          </w:p>
        </w:tc>
      </w:tr>
      <w:tr w:rsidR="00C56E21" w:rsidRPr="00FA587B" w:rsidTr="00CC2FCB">
        <w:tc>
          <w:tcPr>
            <w:tcW w:w="0" w:type="auto"/>
            <w:shd w:val="clear" w:color="auto" w:fill="auto"/>
          </w:tcPr>
          <w:p w:rsidR="00C56E21" w:rsidRPr="00FA587B" w:rsidRDefault="00C56E21" w:rsidP="00FA587B">
            <w:pPr>
              <w:autoSpaceDN w:val="0"/>
              <w:spacing w:line="360" w:lineRule="auto"/>
              <w:rPr>
                <w:rFonts w:ascii="Arial" w:hAnsi="Arial" w:cs="Arial"/>
              </w:rPr>
            </w:pPr>
            <w:r w:rsidRPr="00FA587B">
              <w:rPr>
                <w:rFonts w:ascii="Arial" w:hAnsi="Arial" w:cs="Arial"/>
              </w:rPr>
              <w:t>Residente de obra</w:t>
            </w:r>
          </w:p>
          <w:p w:rsidR="00C56E21" w:rsidRPr="00FA587B" w:rsidRDefault="00C56E21" w:rsidP="00FA587B">
            <w:pPr>
              <w:autoSpaceDN w:val="0"/>
              <w:spacing w:line="360" w:lineRule="auto"/>
              <w:rPr>
                <w:rFonts w:ascii="Arial" w:hAnsi="Arial" w:cs="Arial"/>
              </w:rPr>
            </w:pPr>
            <w:r w:rsidRPr="00FA587B">
              <w:rPr>
                <w:rFonts w:ascii="Arial" w:hAnsi="Arial" w:cs="Arial"/>
              </w:rPr>
              <w:lastRenderedPageBreak/>
              <w:t>Dos (2) para construcción</w:t>
            </w:r>
          </w:p>
          <w:p w:rsidR="00C56E21" w:rsidRPr="00FA587B" w:rsidRDefault="00C56E21" w:rsidP="00FA587B">
            <w:pPr>
              <w:autoSpaceDN w:val="0"/>
              <w:spacing w:line="360" w:lineRule="auto"/>
              <w:rPr>
                <w:rFonts w:ascii="Arial" w:hAnsi="Arial" w:cs="Arial"/>
              </w:rPr>
            </w:pPr>
            <w:r w:rsidRPr="00FA587B">
              <w:rPr>
                <w:rFonts w:ascii="Arial" w:hAnsi="Arial" w:cs="Arial"/>
              </w:rPr>
              <w:t>Uno (1) para mantenimiento</w:t>
            </w:r>
          </w:p>
        </w:tc>
      </w:tr>
      <w:tr w:rsidR="00C56E21" w:rsidRPr="00FA587B" w:rsidTr="00CC2FCB">
        <w:tc>
          <w:tcPr>
            <w:tcW w:w="0" w:type="auto"/>
            <w:shd w:val="clear" w:color="auto" w:fill="auto"/>
          </w:tcPr>
          <w:p w:rsidR="00C56E21" w:rsidRPr="00FA587B" w:rsidRDefault="00C56E21" w:rsidP="00FA587B">
            <w:pPr>
              <w:autoSpaceDN w:val="0"/>
              <w:spacing w:line="360" w:lineRule="auto"/>
              <w:rPr>
                <w:rFonts w:ascii="Arial" w:hAnsi="Arial" w:cs="Arial"/>
              </w:rPr>
            </w:pPr>
            <w:r w:rsidRPr="00FA587B">
              <w:rPr>
                <w:rFonts w:ascii="Arial" w:hAnsi="Arial" w:cs="Arial"/>
              </w:rPr>
              <w:lastRenderedPageBreak/>
              <w:t>Topógrafo inspector</w:t>
            </w:r>
          </w:p>
          <w:p w:rsidR="00C56E21" w:rsidRPr="00FA587B" w:rsidRDefault="00C56E21" w:rsidP="00FA587B">
            <w:pPr>
              <w:autoSpaceDN w:val="0"/>
              <w:spacing w:line="360" w:lineRule="auto"/>
              <w:rPr>
                <w:rFonts w:ascii="Arial" w:hAnsi="Arial" w:cs="Arial"/>
              </w:rPr>
            </w:pPr>
            <w:r w:rsidRPr="00FA587B">
              <w:rPr>
                <w:rFonts w:ascii="Arial" w:hAnsi="Arial" w:cs="Arial"/>
              </w:rPr>
              <w:t>Uno (1) para la construcción</w:t>
            </w:r>
          </w:p>
          <w:p w:rsidR="00C56E21" w:rsidRPr="00FA587B" w:rsidRDefault="00C56E21" w:rsidP="00FA587B">
            <w:pPr>
              <w:autoSpaceDN w:val="0"/>
              <w:spacing w:line="360" w:lineRule="auto"/>
              <w:rPr>
                <w:rFonts w:ascii="Arial" w:hAnsi="Arial" w:cs="Arial"/>
              </w:rPr>
            </w:pPr>
            <w:r w:rsidRPr="00FA587B">
              <w:rPr>
                <w:rFonts w:ascii="Arial" w:hAnsi="Arial" w:cs="Arial"/>
              </w:rPr>
              <w:t>Uno (1) para mantenimiento</w:t>
            </w:r>
          </w:p>
        </w:tc>
      </w:tr>
      <w:tr w:rsidR="00C56E21" w:rsidRPr="00FA587B" w:rsidTr="00CC2FCB">
        <w:tc>
          <w:tcPr>
            <w:tcW w:w="0" w:type="auto"/>
            <w:shd w:val="clear" w:color="auto" w:fill="auto"/>
          </w:tcPr>
          <w:p w:rsidR="00C56E21" w:rsidRPr="00FA587B" w:rsidRDefault="00C56E21" w:rsidP="00FA587B">
            <w:pPr>
              <w:autoSpaceDN w:val="0"/>
              <w:spacing w:line="360" w:lineRule="auto"/>
              <w:rPr>
                <w:rFonts w:ascii="Arial" w:hAnsi="Arial" w:cs="Arial"/>
              </w:rPr>
            </w:pPr>
            <w:r w:rsidRPr="00FA587B">
              <w:rPr>
                <w:rFonts w:ascii="Arial" w:hAnsi="Arial" w:cs="Arial"/>
              </w:rPr>
              <w:t>Inspectores de obra</w:t>
            </w:r>
          </w:p>
          <w:p w:rsidR="00C56E21" w:rsidRPr="00FA587B" w:rsidRDefault="00C56E21" w:rsidP="00FA587B">
            <w:pPr>
              <w:autoSpaceDN w:val="0"/>
              <w:spacing w:line="360" w:lineRule="auto"/>
              <w:rPr>
                <w:rFonts w:ascii="Arial" w:hAnsi="Arial" w:cs="Arial"/>
              </w:rPr>
            </w:pPr>
            <w:r w:rsidRPr="00FA587B">
              <w:rPr>
                <w:rFonts w:ascii="Arial" w:hAnsi="Arial" w:cs="Arial"/>
              </w:rPr>
              <w:t>Dos (2) para la construcción</w:t>
            </w:r>
          </w:p>
        </w:tc>
      </w:tr>
      <w:tr w:rsidR="00C56E21" w:rsidRPr="00FA587B" w:rsidTr="00CC2FCB">
        <w:tc>
          <w:tcPr>
            <w:tcW w:w="0" w:type="auto"/>
            <w:shd w:val="clear" w:color="auto" w:fill="auto"/>
          </w:tcPr>
          <w:p w:rsidR="00C56E21" w:rsidRPr="00FA587B" w:rsidRDefault="00C56E21" w:rsidP="00FA587B">
            <w:pPr>
              <w:autoSpaceDN w:val="0"/>
              <w:spacing w:line="360" w:lineRule="auto"/>
              <w:rPr>
                <w:rFonts w:ascii="Arial" w:hAnsi="Arial" w:cs="Arial"/>
              </w:rPr>
            </w:pPr>
            <w:r w:rsidRPr="00FA587B">
              <w:rPr>
                <w:rFonts w:ascii="Arial" w:hAnsi="Arial" w:cs="Arial"/>
              </w:rPr>
              <w:t>Residente ambiental</w:t>
            </w:r>
          </w:p>
        </w:tc>
      </w:tr>
      <w:tr w:rsidR="00C56E21" w:rsidRPr="00FA587B" w:rsidTr="00CC2FCB">
        <w:tc>
          <w:tcPr>
            <w:tcW w:w="0" w:type="auto"/>
            <w:shd w:val="clear" w:color="auto" w:fill="auto"/>
          </w:tcPr>
          <w:p w:rsidR="00C56E21" w:rsidRPr="00FA587B" w:rsidRDefault="00C56E21" w:rsidP="00FA587B">
            <w:pPr>
              <w:autoSpaceDN w:val="0"/>
              <w:spacing w:line="360" w:lineRule="auto"/>
              <w:rPr>
                <w:rFonts w:ascii="Arial" w:hAnsi="Arial" w:cs="Arial"/>
              </w:rPr>
            </w:pPr>
            <w:r w:rsidRPr="00FA587B">
              <w:rPr>
                <w:rFonts w:ascii="Arial" w:hAnsi="Arial" w:cs="Arial"/>
              </w:rPr>
              <w:t>Ingeniero forestal</w:t>
            </w:r>
          </w:p>
        </w:tc>
      </w:tr>
      <w:tr w:rsidR="00C56E21" w:rsidRPr="00FA587B" w:rsidTr="00CC2FCB">
        <w:tc>
          <w:tcPr>
            <w:tcW w:w="0" w:type="auto"/>
            <w:shd w:val="clear" w:color="auto" w:fill="auto"/>
          </w:tcPr>
          <w:p w:rsidR="00C56E21" w:rsidRPr="00FA587B" w:rsidRDefault="00C56E21" w:rsidP="00FA587B">
            <w:pPr>
              <w:autoSpaceDN w:val="0"/>
              <w:spacing w:line="360" w:lineRule="auto"/>
              <w:rPr>
                <w:rFonts w:ascii="Arial" w:hAnsi="Arial" w:cs="Arial"/>
              </w:rPr>
            </w:pPr>
            <w:r w:rsidRPr="00FA587B">
              <w:rPr>
                <w:rFonts w:ascii="Arial" w:hAnsi="Arial" w:cs="Arial"/>
              </w:rPr>
              <w:t>Residente seguridad industrial y salud ocupación – siso</w:t>
            </w:r>
          </w:p>
        </w:tc>
      </w:tr>
      <w:tr w:rsidR="00C56E21" w:rsidRPr="00FA587B" w:rsidTr="00CC2FCB">
        <w:tc>
          <w:tcPr>
            <w:tcW w:w="0" w:type="auto"/>
            <w:shd w:val="clear" w:color="auto" w:fill="auto"/>
          </w:tcPr>
          <w:p w:rsidR="00C56E21" w:rsidRPr="00FA587B" w:rsidRDefault="00C56E21" w:rsidP="00FA587B">
            <w:pPr>
              <w:autoSpaceDN w:val="0"/>
              <w:spacing w:line="360" w:lineRule="auto"/>
              <w:rPr>
                <w:rFonts w:ascii="Arial" w:hAnsi="Arial" w:cs="Arial"/>
              </w:rPr>
            </w:pPr>
            <w:r w:rsidRPr="00FA587B">
              <w:rPr>
                <w:rFonts w:ascii="Arial" w:hAnsi="Arial" w:cs="Arial"/>
              </w:rPr>
              <w:t>Residente de maquinaria, equipos y vehículos</w:t>
            </w:r>
          </w:p>
        </w:tc>
      </w:tr>
      <w:tr w:rsidR="00C56E21" w:rsidRPr="00FA587B" w:rsidTr="00CC2FCB">
        <w:tc>
          <w:tcPr>
            <w:tcW w:w="0" w:type="auto"/>
            <w:shd w:val="clear" w:color="auto" w:fill="auto"/>
          </w:tcPr>
          <w:p w:rsidR="00C56E21" w:rsidRPr="00FA587B" w:rsidRDefault="00C56E21" w:rsidP="00FA587B">
            <w:pPr>
              <w:autoSpaceDN w:val="0"/>
              <w:spacing w:line="360" w:lineRule="auto"/>
              <w:rPr>
                <w:rFonts w:ascii="Arial" w:hAnsi="Arial" w:cs="Arial"/>
              </w:rPr>
            </w:pPr>
            <w:r w:rsidRPr="00FA587B">
              <w:rPr>
                <w:rFonts w:ascii="Arial" w:hAnsi="Arial" w:cs="Arial"/>
              </w:rPr>
              <w:t>Residente social</w:t>
            </w:r>
          </w:p>
        </w:tc>
      </w:tr>
    </w:tbl>
    <w:p w:rsidR="00C56E21" w:rsidRPr="00FA587B" w:rsidRDefault="00C56E21" w:rsidP="00FA587B">
      <w:pPr>
        <w:autoSpaceDN w:val="0"/>
        <w:spacing w:line="360" w:lineRule="auto"/>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En el citado oficio se indicó que</w:t>
      </w:r>
      <w:r w:rsidR="000C0FE7" w:rsidRPr="00FA587B">
        <w:rPr>
          <w:rFonts w:ascii="Arial" w:hAnsi="Arial" w:cs="Arial"/>
        </w:rPr>
        <w:t>,</w:t>
      </w:r>
      <w:r w:rsidRPr="00FA587B">
        <w:rPr>
          <w:rFonts w:ascii="Arial" w:hAnsi="Arial" w:cs="Arial"/>
        </w:rPr>
        <w:t xml:space="preserve"> en cumplimiento de dicha obligación, se radicaron las hojas de vida del mencionado personal entre los meses de febrero de 2006 y septiembre del </w:t>
      </w:r>
      <w:r w:rsidR="00182A58" w:rsidRPr="00FA587B">
        <w:rPr>
          <w:rFonts w:ascii="Arial" w:hAnsi="Arial" w:cs="Arial"/>
        </w:rPr>
        <w:t>mismo año. Tal cual se deriva</w:t>
      </w:r>
      <w:r w:rsidRPr="00FA587B">
        <w:rPr>
          <w:rFonts w:ascii="Arial" w:hAnsi="Arial" w:cs="Arial"/>
        </w:rPr>
        <w:t xml:space="preserve"> del siguiente aparte: </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i/>
        </w:rPr>
      </w:pPr>
      <w:r w:rsidRPr="00FA587B">
        <w:rPr>
          <w:rFonts w:ascii="Arial" w:hAnsi="Arial" w:cs="Arial"/>
          <w:i/>
        </w:rPr>
        <w:t>“Solamente hasta el 4 de septiembre de 2006 mediante los oficios con radicado IDU-70357 del 4 de septiembre de 2006 e IDU -70358 del 4 de septiembre de 2006 emitidos por la interventoría CONSORCIO PAVIMENTOS SANTA FE 2005, se presentaron las hojas de vida del residente SISO, Javier Alexander Valbuena Saldaña y del topógrafo inspector Carlos Alberto Muñoz Guzmán para aprobación del IDU y mediante el memorando OGA-0150-37681 del 4 de septiembre de 2006 se aprobó la hoja de vida del residente en salud ocupacional requerido en los pliegos poniéndose en conocimiento tal aprobación por parte del IDU a la interventoría mediante el oficio IDU-59570 del 6 de septiembre de 2006”</w:t>
      </w:r>
      <w:r w:rsidRPr="00FA587B">
        <w:rPr>
          <w:rStyle w:val="Refdenotaalpie"/>
          <w:rFonts w:ascii="Arial" w:hAnsi="Arial" w:cs="Arial"/>
          <w:i/>
        </w:rPr>
        <w:footnoteReference w:id="16"/>
      </w:r>
      <w:r w:rsidRPr="00FA587B">
        <w:rPr>
          <w:rFonts w:ascii="Arial" w:hAnsi="Arial" w:cs="Arial"/>
          <w:i/>
        </w:rPr>
        <w:t>.</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 xml:space="preserve">La información que se extrae del mencionado documento fue reiterada en similares </w:t>
      </w:r>
      <w:r w:rsidR="00182A58" w:rsidRPr="00FA587B">
        <w:rPr>
          <w:rFonts w:ascii="Arial" w:hAnsi="Arial" w:cs="Arial"/>
        </w:rPr>
        <w:t xml:space="preserve">términos </w:t>
      </w:r>
      <w:r w:rsidRPr="00FA587B">
        <w:rPr>
          <w:rFonts w:ascii="Arial" w:hAnsi="Arial" w:cs="Arial"/>
        </w:rPr>
        <w:t>en el memorando No. STCC-6500-28617</w:t>
      </w:r>
      <w:r w:rsidR="000C0FE7" w:rsidRPr="00FA587B">
        <w:rPr>
          <w:rFonts w:ascii="Arial" w:hAnsi="Arial" w:cs="Arial"/>
        </w:rPr>
        <w:t>,</w:t>
      </w:r>
      <w:r w:rsidRPr="00FA587B">
        <w:rPr>
          <w:rFonts w:ascii="Arial" w:hAnsi="Arial" w:cs="Arial"/>
        </w:rPr>
        <w:t xml:space="preserve"> s</w:t>
      </w:r>
      <w:r w:rsidR="000C0FE7" w:rsidRPr="00FA587B">
        <w:rPr>
          <w:rFonts w:ascii="Arial" w:hAnsi="Arial" w:cs="Arial"/>
        </w:rPr>
        <w:t>uscrito el 8 de julio de 2008</w:t>
      </w:r>
      <w:r w:rsidRPr="00FA587B">
        <w:rPr>
          <w:rFonts w:ascii="Arial" w:hAnsi="Arial" w:cs="Arial"/>
        </w:rPr>
        <w:t xml:space="preserve"> por la Dirección Técnica Legal del IDU</w:t>
      </w:r>
      <w:r w:rsidRPr="00FA587B">
        <w:rPr>
          <w:rStyle w:val="Refdenotaalpie"/>
          <w:rFonts w:ascii="Arial" w:hAnsi="Arial" w:cs="Arial"/>
        </w:rPr>
        <w:footnoteReference w:id="17"/>
      </w:r>
      <w:r w:rsidRPr="00FA587B">
        <w:rPr>
          <w:rFonts w:ascii="Arial" w:hAnsi="Arial" w:cs="Arial"/>
        </w:rPr>
        <w:t>.</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 xml:space="preserve">En consonancia con lo anotado, en el contenido del acta de inicio se dejó expresa constancia de que la interventoría había constatado la hoja de vida del director de obra y demás integrantes del personal directivo, así como del personal operativo entre quienes se encontraban los residentes, topógrafos, inspectores de obra, </w:t>
      </w:r>
      <w:r w:rsidRPr="00FA587B">
        <w:rPr>
          <w:rFonts w:ascii="Arial" w:hAnsi="Arial" w:cs="Arial"/>
        </w:rPr>
        <w:lastRenderedPageBreak/>
        <w:t xml:space="preserve">residentes ambientales, ingenieros ambientales, ingenieros forestales, residentes siso, residentes maquinaria y residentes social. </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 xml:space="preserve">La situación descrita reveló la necesidad de proceder a la verificación y a la aprobación de las hojas </w:t>
      </w:r>
      <w:r w:rsidR="00163DFD" w:rsidRPr="00FA587B">
        <w:rPr>
          <w:rFonts w:ascii="Arial" w:hAnsi="Arial" w:cs="Arial"/>
        </w:rPr>
        <w:t xml:space="preserve">de vida </w:t>
      </w:r>
      <w:r w:rsidRPr="00FA587B">
        <w:rPr>
          <w:rFonts w:ascii="Arial" w:hAnsi="Arial" w:cs="Arial"/>
        </w:rPr>
        <w:t xml:space="preserve">del personal destinado por el contratista a la obra, como un requisito previo para dar comienzo a la ejecución de actividades y cuyo cumplimiento correspondía satisfacerlo en gran medida al demandante. </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Como se observa, en el período comprendido entre la firma del contrato y la suscripción de</w:t>
      </w:r>
      <w:r w:rsidR="00163DFD" w:rsidRPr="00FA587B">
        <w:rPr>
          <w:rFonts w:ascii="Arial" w:hAnsi="Arial" w:cs="Arial"/>
        </w:rPr>
        <w:t>l</w:t>
      </w:r>
      <w:r w:rsidRPr="00FA587B">
        <w:rPr>
          <w:rFonts w:ascii="Arial" w:hAnsi="Arial" w:cs="Arial"/>
        </w:rPr>
        <w:t xml:space="preserve"> acta de inicio de </w:t>
      </w:r>
      <w:r w:rsidR="00CE5D59" w:rsidRPr="00FA587B">
        <w:rPr>
          <w:rFonts w:ascii="Arial" w:hAnsi="Arial" w:cs="Arial"/>
        </w:rPr>
        <w:t xml:space="preserve">la </w:t>
      </w:r>
      <w:r w:rsidRPr="00FA587B">
        <w:rPr>
          <w:rFonts w:ascii="Arial" w:hAnsi="Arial" w:cs="Arial"/>
        </w:rPr>
        <w:t>obra se llevaron a cabo trámites que al tenor de las disposiciones contenidas en el documento precontractual</w:t>
      </w:r>
      <w:r w:rsidR="00182A58" w:rsidRPr="00FA587B">
        <w:rPr>
          <w:rFonts w:ascii="Arial" w:hAnsi="Arial" w:cs="Arial"/>
        </w:rPr>
        <w:t>,</w:t>
      </w:r>
      <w:r w:rsidRPr="00FA587B">
        <w:rPr>
          <w:rFonts w:ascii="Arial" w:hAnsi="Arial" w:cs="Arial"/>
        </w:rPr>
        <w:t xml:space="preserve"> como en las previsiones inmersas en el acuerdo de voluntades incumbían al resorte del contratista en cuanto a su presentación ante la interventoría y al IDU en relación con su aprobación. Sin embargo, la presentación de los mismos por el c</w:t>
      </w:r>
      <w:r w:rsidR="00182A58" w:rsidRPr="00FA587B">
        <w:rPr>
          <w:rFonts w:ascii="Arial" w:hAnsi="Arial" w:cs="Arial"/>
        </w:rPr>
        <w:t>ontratista no fue oportuna, dado que</w:t>
      </w:r>
      <w:r w:rsidRPr="00FA587B">
        <w:rPr>
          <w:rFonts w:ascii="Arial" w:hAnsi="Arial" w:cs="Arial"/>
        </w:rPr>
        <w:t xml:space="preserve"> las fechas de radicación de varios de los documentos enlistados en el escrito al que se hizo mención datan de septiembre de 2006, mes en que se dio comienzo a la obra. </w:t>
      </w:r>
    </w:p>
    <w:p w:rsidR="00C56E21" w:rsidRPr="00FA587B" w:rsidRDefault="00C56E21" w:rsidP="00FA587B">
      <w:pPr>
        <w:autoSpaceDN w:val="0"/>
        <w:spacing w:line="360" w:lineRule="auto"/>
        <w:jc w:val="both"/>
        <w:rPr>
          <w:rFonts w:ascii="Arial" w:hAnsi="Arial" w:cs="Arial"/>
        </w:rPr>
      </w:pPr>
    </w:p>
    <w:p w:rsidR="00C56E21" w:rsidRPr="00FA587B" w:rsidRDefault="00C56E21" w:rsidP="00FA587B">
      <w:pPr>
        <w:autoSpaceDN w:val="0"/>
        <w:spacing w:line="360" w:lineRule="auto"/>
        <w:jc w:val="both"/>
        <w:rPr>
          <w:rFonts w:ascii="Arial" w:hAnsi="Arial" w:cs="Arial"/>
        </w:rPr>
      </w:pPr>
      <w:r w:rsidRPr="00FA587B">
        <w:rPr>
          <w:rFonts w:ascii="Arial" w:hAnsi="Arial" w:cs="Arial"/>
        </w:rPr>
        <w:t>Para la Sala, la circunstancia señalada impide considerar de recibo los argumentos del apelante, en cuanto a que la tardanza en la suscripción del acta de inicio se produjo por causas imputables a la entidad estatal</w:t>
      </w:r>
      <w:r w:rsidR="00182A58" w:rsidRPr="00FA587B">
        <w:rPr>
          <w:rFonts w:ascii="Arial" w:hAnsi="Arial" w:cs="Arial"/>
        </w:rPr>
        <w:t>. Por el contrario, se concluyó</w:t>
      </w:r>
      <w:r w:rsidRPr="00FA587B">
        <w:rPr>
          <w:rFonts w:ascii="Arial" w:hAnsi="Arial" w:cs="Arial"/>
        </w:rPr>
        <w:t xml:space="preserve"> que la demora para empezar la </w:t>
      </w:r>
      <w:r w:rsidR="000C0FE7" w:rsidRPr="00FA587B">
        <w:rPr>
          <w:rFonts w:ascii="Arial" w:hAnsi="Arial" w:cs="Arial"/>
        </w:rPr>
        <w:t>obra estribó en la</w:t>
      </w:r>
      <w:r w:rsidRPr="00FA587B">
        <w:rPr>
          <w:rFonts w:ascii="Arial" w:hAnsi="Arial" w:cs="Arial"/>
        </w:rPr>
        <w:t xml:space="preserve"> </w:t>
      </w:r>
      <w:r w:rsidR="00182A58" w:rsidRPr="00FA587B">
        <w:rPr>
          <w:rFonts w:ascii="Arial" w:hAnsi="Arial" w:cs="Arial"/>
        </w:rPr>
        <w:t xml:space="preserve">tardanza para allegar </w:t>
      </w:r>
      <w:r w:rsidRPr="00FA587B">
        <w:rPr>
          <w:rFonts w:ascii="Arial" w:hAnsi="Arial" w:cs="Arial"/>
        </w:rPr>
        <w:t>las hojas de vida del personal presentadas por el contratista, cuestión que se opone a la posibilidad de reclamar a su contraparte el reconocimiento de perjuicios derivados de una situación que concernía a la órbita de acción propia del demandante.</w:t>
      </w:r>
    </w:p>
    <w:p w:rsidR="00C56E21" w:rsidRPr="00FA587B" w:rsidRDefault="00C56E21" w:rsidP="00FA587B">
      <w:pPr>
        <w:autoSpaceDN w:val="0"/>
        <w:spacing w:line="360" w:lineRule="auto"/>
        <w:jc w:val="both"/>
        <w:rPr>
          <w:rFonts w:ascii="Arial" w:hAnsi="Arial" w:cs="Arial"/>
        </w:rPr>
      </w:pPr>
    </w:p>
    <w:p w:rsidR="00C56E21" w:rsidRPr="00FA587B" w:rsidRDefault="006E3C52" w:rsidP="00FA587B">
      <w:pPr>
        <w:autoSpaceDN w:val="0"/>
        <w:spacing w:line="360" w:lineRule="auto"/>
        <w:jc w:val="both"/>
        <w:rPr>
          <w:rFonts w:ascii="Arial" w:hAnsi="Arial" w:cs="Arial"/>
          <w:u w:val="single"/>
        </w:rPr>
      </w:pPr>
      <w:r w:rsidRPr="00FA587B">
        <w:rPr>
          <w:rFonts w:ascii="Arial" w:hAnsi="Arial" w:cs="Arial"/>
        </w:rPr>
        <w:t xml:space="preserve">4.1.2.- </w:t>
      </w:r>
      <w:r w:rsidR="007E17C6" w:rsidRPr="00FA587B">
        <w:rPr>
          <w:rFonts w:ascii="Arial" w:hAnsi="Arial" w:cs="Arial"/>
          <w:u w:val="single"/>
        </w:rPr>
        <w:t>D</w:t>
      </w:r>
      <w:r w:rsidR="00C56E21" w:rsidRPr="00FA587B">
        <w:rPr>
          <w:rFonts w:ascii="Arial" w:hAnsi="Arial" w:cs="Arial"/>
          <w:u w:val="single"/>
        </w:rPr>
        <w:t>e la ampliación del plazo derivado de la suscr</w:t>
      </w:r>
      <w:r w:rsidR="007E17C6" w:rsidRPr="00FA587B">
        <w:rPr>
          <w:rFonts w:ascii="Arial" w:hAnsi="Arial" w:cs="Arial"/>
          <w:u w:val="single"/>
        </w:rPr>
        <w:t>ipción de tres contratos adicion</w:t>
      </w:r>
      <w:r w:rsidR="00C56E21" w:rsidRPr="00FA587B">
        <w:rPr>
          <w:rFonts w:ascii="Arial" w:hAnsi="Arial" w:cs="Arial"/>
          <w:u w:val="single"/>
        </w:rPr>
        <w:t>ales</w:t>
      </w:r>
    </w:p>
    <w:p w:rsidR="00C56E21" w:rsidRPr="00FA587B" w:rsidRDefault="00C56E21" w:rsidP="00FA587B">
      <w:pPr>
        <w:spacing w:line="360" w:lineRule="auto"/>
        <w:jc w:val="both"/>
        <w:rPr>
          <w:rFonts w:ascii="Arial" w:hAnsi="Arial" w:cs="Arial"/>
          <w:bCs/>
          <w:lang w:val="es-MX"/>
        </w:rPr>
      </w:pPr>
    </w:p>
    <w:p w:rsidR="00C56E21" w:rsidRPr="00FA587B" w:rsidRDefault="00C56E21" w:rsidP="00FA587B">
      <w:pPr>
        <w:spacing w:line="360" w:lineRule="auto"/>
        <w:jc w:val="both"/>
        <w:rPr>
          <w:rFonts w:ascii="Arial" w:hAnsi="Arial" w:cs="Arial"/>
          <w:bCs/>
          <w:lang w:val="es-MX"/>
        </w:rPr>
      </w:pPr>
      <w:r w:rsidRPr="00FA587B">
        <w:rPr>
          <w:rFonts w:ascii="Arial" w:hAnsi="Arial" w:cs="Arial"/>
          <w:bCs/>
          <w:lang w:val="es-MX"/>
        </w:rPr>
        <w:t>Se expuso en la demanda que las tres prórrogas que sufrió el Contrato de Obra No. 193 se originaron, en suma, por las necesidades de cambiar los diseños iniciales, debido a que en las inmediaciones de los tramos a intervenir residían adultos mayores</w:t>
      </w:r>
      <w:r w:rsidR="00444305" w:rsidRPr="00FA587B">
        <w:rPr>
          <w:rFonts w:ascii="Arial" w:hAnsi="Arial" w:cs="Arial"/>
          <w:bCs/>
          <w:lang w:val="es-MX"/>
        </w:rPr>
        <w:t>,</w:t>
      </w:r>
      <w:r w:rsidRPr="00FA587B">
        <w:rPr>
          <w:rFonts w:ascii="Arial" w:hAnsi="Arial" w:cs="Arial"/>
          <w:bCs/>
          <w:lang w:val="es-MX"/>
        </w:rPr>
        <w:t xml:space="preserve"> quienes</w:t>
      </w:r>
      <w:r w:rsidR="00444305" w:rsidRPr="00FA587B">
        <w:rPr>
          <w:rFonts w:ascii="Arial" w:hAnsi="Arial" w:cs="Arial"/>
          <w:bCs/>
          <w:lang w:val="es-MX"/>
        </w:rPr>
        <w:t>,</w:t>
      </w:r>
      <w:r w:rsidRPr="00FA587B">
        <w:rPr>
          <w:rFonts w:ascii="Arial" w:hAnsi="Arial" w:cs="Arial"/>
          <w:bCs/>
          <w:lang w:val="es-MX"/>
        </w:rPr>
        <w:t xml:space="preserve"> para su acceso</w:t>
      </w:r>
      <w:r w:rsidR="00444305" w:rsidRPr="00FA587B">
        <w:rPr>
          <w:rFonts w:ascii="Arial" w:hAnsi="Arial" w:cs="Arial"/>
          <w:bCs/>
          <w:lang w:val="es-MX"/>
        </w:rPr>
        <w:t>,</w:t>
      </w:r>
      <w:r w:rsidRPr="00FA587B">
        <w:rPr>
          <w:rFonts w:ascii="Arial" w:hAnsi="Arial" w:cs="Arial"/>
          <w:bCs/>
          <w:lang w:val="es-MX"/>
        </w:rPr>
        <w:t xml:space="preserve"> requerían vías vehiculares y no peatonales como originalmente se previó, </w:t>
      </w:r>
      <w:r w:rsidR="00444305" w:rsidRPr="00FA587B">
        <w:rPr>
          <w:rFonts w:ascii="Arial" w:hAnsi="Arial" w:cs="Arial"/>
          <w:bCs/>
          <w:lang w:val="es-MX"/>
        </w:rPr>
        <w:t>hecho</w:t>
      </w:r>
      <w:r w:rsidRPr="00FA587B">
        <w:rPr>
          <w:rFonts w:ascii="Arial" w:hAnsi="Arial" w:cs="Arial"/>
          <w:bCs/>
          <w:lang w:val="es-MX"/>
        </w:rPr>
        <w:t xml:space="preserve"> que generó al contratista sobrecostos por la mayor permanencia en obra. </w:t>
      </w:r>
    </w:p>
    <w:p w:rsidR="00C56E21" w:rsidRPr="00FA587B" w:rsidRDefault="00C56E21" w:rsidP="00FA587B">
      <w:pPr>
        <w:spacing w:line="360" w:lineRule="auto"/>
        <w:jc w:val="both"/>
        <w:rPr>
          <w:rFonts w:ascii="Arial" w:hAnsi="Arial" w:cs="Arial"/>
          <w:bCs/>
          <w:lang w:val="es-MX"/>
        </w:rPr>
      </w:pPr>
    </w:p>
    <w:p w:rsidR="00C56E21" w:rsidRPr="00FA587B" w:rsidRDefault="00C56E21" w:rsidP="00FA587B">
      <w:pPr>
        <w:spacing w:line="360" w:lineRule="auto"/>
        <w:jc w:val="both"/>
        <w:rPr>
          <w:rFonts w:ascii="Arial" w:hAnsi="Arial" w:cs="Arial"/>
          <w:bCs/>
          <w:lang w:val="es-MX"/>
        </w:rPr>
      </w:pPr>
      <w:r w:rsidRPr="00FA587B">
        <w:rPr>
          <w:rFonts w:ascii="Arial" w:hAnsi="Arial" w:cs="Arial"/>
          <w:bCs/>
          <w:lang w:val="es-MX"/>
        </w:rPr>
        <w:lastRenderedPageBreak/>
        <w:t>Par</w:t>
      </w:r>
      <w:r w:rsidR="000C0FE7" w:rsidRPr="00FA587B">
        <w:rPr>
          <w:rFonts w:ascii="Arial" w:hAnsi="Arial" w:cs="Arial"/>
          <w:bCs/>
          <w:lang w:val="es-MX"/>
        </w:rPr>
        <w:t>a</w:t>
      </w:r>
      <w:r w:rsidRPr="00FA587B">
        <w:rPr>
          <w:rFonts w:ascii="Arial" w:hAnsi="Arial" w:cs="Arial"/>
          <w:bCs/>
          <w:lang w:val="es-MX"/>
        </w:rPr>
        <w:t xml:space="preserve"> resolver este cargo de inconformidad</w:t>
      </w:r>
      <w:r w:rsidR="00444305" w:rsidRPr="00FA587B">
        <w:rPr>
          <w:rFonts w:ascii="Arial" w:hAnsi="Arial" w:cs="Arial"/>
          <w:bCs/>
          <w:lang w:val="es-MX"/>
        </w:rPr>
        <w:t>,</w:t>
      </w:r>
      <w:r w:rsidRPr="00FA587B">
        <w:rPr>
          <w:rFonts w:ascii="Arial" w:hAnsi="Arial" w:cs="Arial"/>
          <w:bCs/>
          <w:lang w:val="es-MX"/>
        </w:rPr>
        <w:t xml:space="preserve"> la Sala analizará la</w:t>
      </w:r>
      <w:r w:rsidR="00444305" w:rsidRPr="00FA587B">
        <w:rPr>
          <w:rFonts w:ascii="Arial" w:hAnsi="Arial" w:cs="Arial"/>
          <w:bCs/>
          <w:lang w:val="es-MX"/>
        </w:rPr>
        <w:t>s tres prórrogas que sufrió el C</w:t>
      </w:r>
      <w:r w:rsidRPr="00FA587B">
        <w:rPr>
          <w:rFonts w:ascii="Arial" w:hAnsi="Arial" w:cs="Arial"/>
          <w:bCs/>
          <w:lang w:val="es-MX"/>
        </w:rPr>
        <w:t xml:space="preserve">ontrato No. 193, así como las causas que las fundamentaron y las consecuencias que de allí se derivaron. </w:t>
      </w:r>
    </w:p>
    <w:p w:rsidR="00C56E21" w:rsidRPr="00FA587B" w:rsidRDefault="00C56E21" w:rsidP="00FA587B">
      <w:pPr>
        <w:spacing w:line="360" w:lineRule="auto"/>
        <w:jc w:val="both"/>
        <w:rPr>
          <w:rFonts w:ascii="Arial" w:hAnsi="Arial" w:cs="Arial"/>
          <w:bCs/>
          <w:u w:val="single"/>
          <w:lang w:val="es-MX"/>
        </w:rPr>
      </w:pPr>
    </w:p>
    <w:p w:rsidR="00C56E21" w:rsidRPr="00FA587B" w:rsidRDefault="00C413B7" w:rsidP="00FA587B">
      <w:pPr>
        <w:spacing w:line="360" w:lineRule="auto"/>
        <w:jc w:val="both"/>
        <w:rPr>
          <w:rFonts w:ascii="Arial" w:hAnsi="Arial" w:cs="Arial"/>
          <w:bCs/>
          <w:u w:val="single"/>
          <w:lang w:val="es-MX"/>
        </w:rPr>
      </w:pPr>
      <w:r w:rsidRPr="00FA587B">
        <w:rPr>
          <w:rFonts w:ascii="Arial" w:hAnsi="Arial" w:cs="Arial"/>
          <w:bCs/>
          <w:u w:val="single"/>
          <w:lang w:val="es-MX"/>
        </w:rPr>
        <w:t>Contrato A</w:t>
      </w:r>
      <w:r w:rsidR="00C56E21" w:rsidRPr="00FA587B">
        <w:rPr>
          <w:rFonts w:ascii="Arial" w:hAnsi="Arial" w:cs="Arial"/>
          <w:bCs/>
          <w:u w:val="single"/>
          <w:lang w:val="es-MX"/>
        </w:rPr>
        <w:t>dicional No. 01</w:t>
      </w:r>
    </w:p>
    <w:p w:rsidR="00C56E21" w:rsidRPr="00FA587B" w:rsidRDefault="00C56E21" w:rsidP="00FA587B">
      <w:pPr>
        <w:spacing w:line="360" w:lineRule="auto"/>
        <w:jc w:val="both"/>
        <w:rPr>
          <w:rFonts w:ascii="Arial" w:hAnsi="Arial" w:cs="Arial"/>
          <w:lang w:val="es-CO"/>
        </w:rPr>
      </w:pPr>
    </w:p>
    <w:p w:rsidR="00C56E21" w:rsidRPr="00FA587B" w:rsidRDefault="00C56E21" w:rsidP="00FA587B">
      <w:pPr>
        <w:spacing w:line="360" w:lineRule="auto"/>
        <w:jc w:val="both"/>
        <w:rPr>
          <w:rFonts w:ascii="Arial" w:hAnsi="Arial" w:cs="Arial"/>
          <w:lang w:val="es-CO"/>
        </w:rPr>
      </w:pPr>
      <w:r w:rsidRPr="00FA587B">
        <w:rPr>
          <w:rFonts w:ascii="Arial" w:hAnsi="Arial" w:cs="Arial"/>
          <w:lang w:val="es-CO"/>
        </w:rPr>
        <w:t>Se encuentra demostrado en el proceso que el 29 de diciembre de 2006, un año después de haber perfeccionado el acuerdo negocial No. 193, las partes celebraron el Contrato Adicional No. 01</w:t>
      </w:r>
      <w:r w:rsidRPr="00FA587B">
        <w:rPr>
          <w:rStyle w:val="Refdenotaalpie"/>
          <w:rFonts w:ascii="Arial" w:hAnsi="Arial" w:cs="Arial"/>
          <w:lang w:val="es-CO"/>
        </w:rPr>
        <w:footnoteReference w:id="18"/>
      </w:r>
      <w:r w:rsidRPr="00FA587B">
        <w:rPr>
          <w:rFonts w:ascii="Arial" w:hAnsi="Arial" w:cs="Arial"/>
          <w:lang w:val="es-CO"/>
        </w:rPr>
        <w:t xml:space="preserve"> al Contrato de Obra</w:t>
      </w:r>
      <w:r w:rsidR="000C0FE7" w:rsidRPr="00FA587B">
        <w:rPr>
          <w:rFonts w:ascii="Arial" w:hAnsi="Arial" w:cs="Arial"/>
          <w:lang w:val="es-CO"/>
        </w:rPr>
        <w:t>,</w:t>
      </w:r>
      <w:r w:rsidRPr="00FA587B">
        <w:rPr>
          <w:rFonts w:ascii="Arial" w:hAnsi="Arial" w:cs="Arial"/>
          <w:lang w:val="es-CO"/>
        </w:rPr>
        <w:t xml:space="preserve"> con el propósito de aumentar el valor en la suma de $765’665.315 y prorrogar el plazo para la etapa de construcción en un mes y medio. </w:t>
      </w:r>
    </w:p>
    <w:p w:rsidR="00C56E21" w:rsidRPr="00FA587B" w:rsidRDefault="00C56E21" w:rsidP="00FA587B">
      <w:pPr>
        <w:spacing w:line="360" w:lineRule="auto"/>
        <w:jc w:val="both"/>
        <w:rPr>
          <w:rFonts w:ascii="Arial" w:hAnsi="Arial" w:cs="Arial"/>
          <w:lang w:val="es-CO"/>
        </w:rPr>
      </w:pPr>
    </w:p>
    <w:p w:rsidR="00C56E21" w:rsidRPr="00FA587B" w:rsidRDefault="00C56E21" w:rsidP="00FA587B">
      <w:pPr>
        <w:spacing w:line="360" w:lineRule="auto"/>
        <w:jc w:val="both"/>
        <w:rPr>
          <w:rFonts w:ascii="Arial" w:hAnsi="Arial" w:cs="Arial"/>
          <w:lang w:val="es-CO"/>
        </w:rPr>
      </w:pPr>
      <w:r w:rsidRPr="00FA587B">
        <w:rPr>
          <w:rFonts w:ascii="Arial" w:hAnsi="Arial" w:cs="Arial"/>
          <w:lang w:val="es-CO"/>
        </w:rPr>
        <w:t>La motivación que se expuso para su suscripción consistió en que la interventoría manifestó que debían ejecutarse actividades no previstas pero que eran indispensables</w:t>
      </w:r>
      <w:r w:rsidR="000C0FE7" w:rsidRPr="00FA587B">
        <w:rPr>
          <w:rFonts w:ascii="Arial" w:hAnsi="Arial" w:cs="Arial"/>
          <w:lang w:val="es-CO"/>
        </w:rPr>
        <w:t>,</w:t>
      </w:r>
      <w:r w:rsidRPr="00FA587B">
        <w:rPr>
          <w:rFonts w:ascii="Arial" w:hAnsi="Arial" w:cs="Arial"/>
          <w:lang w:val="es-CO"/>
        </w:rPr>
        <w:t xml:space="preserve"> dada la necesidad de reponer parte de la red hidrosanitaria existente. Sobre ese punto se explicó que durante el desarrollo de la actividad de inspección de las redes de alcantarillado</w:t>
      </w:r>
      <w:r w:rsidR="00C413B7" w:rsidRPr="00FA587B">
        <w:rPr>
          <w:rFonts w:ascii="Arial" w:hAnsi="Arial" w:cs="Arial"/>
          <w:lang w:val="es-CO"/>
        </w:rPr>
        <w:t>,</w:t>
      </w:r>
      <w:r w:rsidRPr="00FA587B">
        <w:rPr>
          <w:rFonts w:ascii="Arial" w:hAnsi="Arial" w:cs="Arial"/>
          <w:lang w:val="es-CO"/>
        </w:rPr>
        <w:t xml:space="preserve"> desplegada con el fin de determinar su estado inicial</w:t>
      </w:r>
      <w:r w:rsidR="00C413B7" w:rsidRPr="00FA587B">
        <w:rPr>
          <w:rFonts w:ascii="Arial" w:hAnsi="Arial" w:cs="Arial"/>
          <w:lang w:val="es-CO"/>
        </w:rPr>
        <w:t>,</w:t>
      </w:r>
      <w:r w:rsidRPr="00FA587B">
        <w:rPr>
          <w:rFonts w:ascii="Arial" w:hAnsi="Arial" w:cs="Arial"/>
          <w:lang w:val="es-CO"/>
        </w:rPr>
        <w:t xml:space="preserve"> se concluyó que se requería un cambio en algunos tramos de tubería, lo cual demandaba un tiempo adicional para la ejecución de estas obras.  </w:t>
      </w:r>
    </w:p>
    <w:p w:rsidR="00D93B95" w:rsidRPr="00FA587B" w:rsidRDefault="00D93B95" w:rsidP="00FA587B">
      <w:pPr>
        <w:spacing w:line="360" w:lineRule="auto"/>
        <w:jc w:val="both"/>
        <w:rPr>
          <w:rFonts w:ascii="Arial" w:hAnsi="Arial" w:cs="Arial"/>
          <w:bCs/>
          <w:u w:val="single"/>
          <w:lang w:val="es-MX"/>
        </w:rPr>
      </w:pPr>
    </w:p>
    <w:p w:rsidR="006A0EE4" w:rsidRPr="00FA587B" w:rsidRDefault="00C56E21" w:rsidP="00FA587B">
      <w:pPr>
        <w:spacing w:line="360" w:lineRule="auto"/>
        <w:jc w:val="both"/>
        <w:rPr>
          <w:rFonts w:ascii="Arial" w:hAnsi="Arial" w:cs="Arial"/>
          <w:bCs/>
          <w:lang w:val="es-MX"/>
        </w:rPr>
      </w:pPr>
      <w:r w:rsidRPr="00FA587B">
        <w:rPr>
          <w:rFonts w:ascii="Arial" w:hAnsi="Arial" w:cs="Arial"/>
          <w:bCs/>
          <w:lang w:val="es-MX"/>
        </w:rPr>
        <w:t>Según se evidencia, la primera ampliación del plazo</w:t>
      </w:r>
      <w:r w:rsidR="006A0EE4" w:rsidRPr="00FA587B">
        <w:rPr>
          <w:rFonts w:ascii="Arial" w:hAnsi="Arial" w:cs="Arial"/>
          <w:bCs/>
          <w:lang w:val="es-MX"/>
        </w:rPr>
        <w:t xml:space="preserve"> </w:t>
      </w:r>
      <w:r w:rsidRPr="00FA587B">
        <w:rPr>
          <w:rFonts w:ascii="Arial" w:hAnsi="Arial" w:cs="Arial"/>
          <w:bCs/>
          <w:lang w:val="es-MX"/>
        </w:rPr>
        <w:t>obedeció</w:t>
      </w:r>
      <w:r w:rsidR="00CA6E74" w:rsidRPr="00FA587B">
        <w:rPr>
          <w:rFonts w:ascii="Arial" w:hAnsi="Arial" w:cs="Arial"/>
          <w:bCs/>
          <w:lang w:val="es-MX"/>
        </w:rPr>
        <w:t xml:space="preserve"> </w:t>
      </w:r>
      <w:r w:rsidR="00671785" w:rsidRPr="00FA587B">
        <w:rPr>
          <w:rFonts w:ascii="Arial" w:hAnsi="Arial" w:cs="Arial"/>
          <w:bCs/>
          <w:lang w:val="es-MX"/>
        </w:rPr>
        <w:t xml:space="preserve">a la necesidad de ejecutar </w:t>
      </w:r>
      <w:r w:rsidR="00C413B7" w:rsidRPr="00FA587B">
        <w:rPr>
          <w:rFonts w:ascii="Arial" w:hAnsi="Arial" w:cs="Arial"/>
          <w:bCs/>
          <w:lang w:val="es-MX"/>
        </w:rPr>
        <w:t>obra</w:t>
      </w:r>
      <w:r w:rsidR="00432C1A" w:rsidRPr="00FA587B">
        <w:rPr>
          <w:rFonts w:ascii="Arial" w:hAnsi="Arial" w:cs="Arial"/>
          <w:bCs/>
          <w:lang w:val="es-MX"/>
        </w:rPr>
        <w:t>s</w:t>
      </w:r>
      <w:r w:rsidR="006A0EE4" w:rsidRPr="00FA587B">
        <w:rPr>
          <w:rFonts w:ascii="Arial" w:hAnsi="Arial" w:cs="Arial"/>
          <w:bCs/>
          <w:lang w:val="es-MX"/>
        </w:rPr>
        <w:t xml:space="preserve"> </w:t>
      </w:r>
      <w:r w:rsidR="00CA6E74" w:rsidRPr="00FA587B">
        <w:rPr>
          <w:rFonts w:ascii="Arial" w:hAnsi="Arial" w:cs="Arial"/>
          <w:bCs/>
          <w:lang w:val="es-MX"/>
        </w:rPr>
        <w:t xml:space="preserve">adicionales </w:t>
      </w:r>
      <w:r w:rsidR="006A0EE4" w:rsidRPr="00FA587B">
        <w:rPr>
          <w:rFonts w:ascii="Arial" w:hAnsi="Arial" w:cs="Arial"/>
          <w:bCs/>
          <w:lang w:val="es-MX"/>
        </w:rPr>
        <w:t>a</w:t>
      </w:r>
      <w:r w:rsidR="00671785" w:rsidRPr="00FA587B">
        <w:rPr>
          <w:rFonts w:ascii="Arial" w:hAnsi="Arial" w:cs="Arial"/>
          <w:bCs/>
          <w:lang w:val="es-MX"/>
        </w:rPr>
        <w:t xml:space="preserve"> las previstas, lo cual surgió de la revisión de los diseños iniciales. </w:t>
      </w:r>
      <w:r w:rsidR="00735EDB" w:rsidRPr="00FA587B">
        <w:rPr>
          <w:rFonts w:ascii="Arial" w:hAnsi="Arial" w:cs="Arial"/>
          <w:bCs/>
          <w:lang w:val="es-MX"/>
        </w:rPr>
        <w:t>E</w:t>
      </w:r>
      <w:r w:rsidR="00D26D92" w:rsidRPr="00FA587B">
        <w:rPr>
          <w:rFonts w:ascii="Arial" w:hAnsi="Arial" w:cs="Arial"/>
          <w:bCs/>
          <w:lang w:val="es-MX"/>
        </w:rPr>
        <w:t>s pertinente advertir que el anexo</w:t>
      </w:r>
      <w:r w:rsidR="00C413B7" w:rsidRPr="00FA587B">
        <w:rPr>
          <w:rFonts w:ascii="Arial" w:hAnsi="Arial" w:cs="Arial"/>
          <w:bCs/>
          <w:lang w:val="es-MX"/>
        </w:rPr>
        <w:t xml:space="preserve"> No.1</w:t>
      </w:r>
      <w:r w:rsidR="00D26D92" w:rsidRPr="00FA587B">
        <w:rPr>
          <w:rFonts w:ascii="Arial" w:hAnsi="Arial" w:cs="Arial"/>
          <w:bCs/>
          <w:lang w:val="es-MX"/>
        </w:rPr>
        <w:t xml:space="preserve"> al que se hace referencia </w:t>
      </w:r>
      <w:r w:rsidR="00C413B7" w:rsidRPr="00FA587B">
        <w:rPr>
          <w:rFonts w:ascii="Arial" w:hAnsi="Arial" w:cs="Arial"/>
          <w:bCs/>
          <w:lang w:val="es-MX"/>
        </w:rPr>
        <w:t>como</w:t>
      </w:r>
      <w:r w:rsidR="00B228E4" w:rsidRPr="00FA587B">
        <w:rPr>
          <w:rFonts w:ascii="Arial" w:hAnsi="Arial" w:cs="Arial"/>
          <w:bCs/>
          <w:lang w:val="es-MX"/>
        </w:rPr>
        <w:t xml:space="preserve"> documento adjunto del contrato adicional </w:t>
      </w:r>
      <w:r w:rsidR="00D26D92" w:rsidRPr="00FA587B">
        <w:rPr>
          <w:rFonts w:ascii="Arial" w:hAnsi="Arial" w:cs="Arial"/>
          <w:bCs/>
          <w:lang w:val="es-MX"/>
        </w:rPr>
        <w:t>no reposa en el plenario, de tal suerte que no se conoce con certeza la descripción de las obras a la</w:t>
      </w:r>
      <w:r w:rsidR="00B228E4" w:rsidRPr="00FA587B">
        <w:rPr>
          <w:rFonts w:ascii="Arial" w:hAnsi="Arial" w:cs="Arial"/>
          <w:bCs/>
          <w:lang w:val="es-MX"/>
        </w:rPr>
        <w:t>s</w:t>
      </w:r>
      <w:r w:rsidR="00D26D92" w:rsidRPr="00FA587B">
        <w:rPr>
          <w:rFonts w:ascii="Arial" w:hAnsi="Arial" w:cs="Arial"/>
          <w:bCs/>
          <w:lang w:val="es-MX"/>
        </w:rPr>
        <w:t xml:space="preserve"> que se hace referencia </w:t>
      </w:r>
      <w:r w:rsidR="00B228E4" w:rsidRPr="00FA587B">
        <w:rPr>
          <w:rFonts w:ascii="Arial" w:hAnsi="Arial" w:cs="Arial"/>
          <w:bCs/>
          <w:lang w:val="es-MX"/>
        </w:rPr>
        <w:t xml:space="preserve">en la prórroga </w:t>
      </w:r>
      <w:r w:rsidR="00D26D92" w:rsidRPr="00FA587B">
        <w:rPr>
          <w:rFonts w:ascii="Arial" w:hAnsi="Arial" w:cs="Arial"/>
          <w:bCs/>
          <w:lang w:val="es-MX"/>
        </w:rPr>
        <w:t>No. 1.</w:t>
      </w:r>
    </w:p>
    <w:p w:rsidR="00D93B95" w:rsidRPr="00FA587B" w:rsidRDefault="00D93B95" w:rsidP="00FA587B">
      <w:pPr>
        <w:spacing w:line="360" w:lineRule="auto"/>
        <w:jc w:val="both"/>
        <w:rPr>
          <w:rFonts w:ascii="Arial" w:hAnsi="Arial" w:cs="Arial"/>
          <w:bCs/>
          <w:lang w:val="es-MX"/>
        </w:rPr>
      </w:pPr>
    </w:p>
    <w:p w:rsidR="00C56E21" w:rsidRPr="00FA587B" w:rsidRDefault="00333B04" w:rsidP="00FA587B">
      <w:pPr>
        <w:spacing w:line="360" w:lineRule="auto"/>
        <w:jc w:val="both"/>
        <w:rPr>
          <w:rFonts w:ascii="Arial" w:hAnsi="Arial" w:cs="Arial"/>
          <w:bCs/>
          <w:lang w:val="es-MX"/>
        </w:rPr>
      </w:pPr>
      <w:r w:rsidRPr="00FA587B">
        <w:rPr>
          <w:rFonts w:ascii="Arial" w:hAnsi="Arial" w:cs="Arial"/>
          <w:bCs/>
          <w:lang w:val="es-MX"/>
        </w:rPr>
        <w:t>Se refirió también</w:t>
      </w:r>
      <w:r w:rsidR="00D93B95" w:rsidRPr="00FA587B">
        <w:rPr>
          <w:rFonts w:ascii="Arial" w:hAnsi="Arial" w:cs="Arial"/>
          <w:bCs/>
          <w:lang w:val="es-MX"/>
        </w:rPr>
        <w:t>,</w:t>
      </w:r>
      <w:r w:rsidR="009518FB" w:rsidRPr="00FA587B">
        <w:rPr>
          <w:rFonts w:ascii="Arial" w:hAnsi="Arial" w:cs="Arial"/>
          <w:bCs/>
          <w:lang w:val="es-MX"/>
        </w:rPr>
        <w:t xml:space="preserve"> aunque aparentemente ligado con lo anterior</w:t>
      </w:r>
      <w:r w:rsidR="00ED4905" w:rsidRPr="00FA587B">
        <w:rPr>
          <w:rStyle w:val="Refdenotaalpie"/>
          <w:rFonts w:ascii="Arial" w:hAnsi="Arial" w:cs="Arial"/>
          <w:bCs/>
          <w:lang w:val="es-MX"/>
        </w:rPr>
        <w:footnoteReference w:id="19"/>
      </w:r>
      <w:r w:rsidR="009518FB" w:rsidRPr="00FA587B">
        <w:rPr>
          <w:rFonts w:ascii="Arial" w:hAnsi="Arial" w:cs="Arial"/>
          <w:bCs/>
          <w:lang w:val="es-MX"/>
        </w:rPr>
        <w:t>,</w:t>
      </w:r>
      <w:r w:rsidR="00D93B95" w:rsidRPr="00FA587B">
        <w:rPr>
          <w:rFonts w:ascii="Arial" w:hAnsi="Arial" w:cs="Arial"/>
          <w:bCs/>
          <w:lang w:val="es-MX"/>
        </w:rPr>
        <w:t xml:space="preserve"> </w:t>
      </w:r>
      <w:r w:rsidR="000C0FE7" w:rsidRPr="00FA587B">
        <w:rPr>
          <w:rFonts w:ascii="Arial" w:hAnsi="Arial" w:cs="Arial"/>
          <w:bCs/>
          <w:lang w:val="es-MX"/>
        </w:rPr>
        <w:t xml:space="preserve">a </w:t>
      </w:r>
      <w:r w:rsidRPr="00FA587B">
        <w:rPr>
          <w:rFonts w:ascii="Arial" w:hAnsi="Arial" w:cs="Arial"/>
          <w:bCs/>
          <w:lang w:val="es-MX"/>
        </w:rPr>
        <w:t xml:space="preserve">que </w:t>
      </w:r>
      <w:r w:rsidR="006A0EE4" w:rsidRPr="00FA587B">
        <w:rPr>
          <w:rFonts w:ascii="Arial" w:hAnsi="Arial" w:cs="Arial"/>
          <w:bCs/>
          <w:lang w:val="es-MX"/>
        </w:rPr>
        <w:t>l</w:t>
      </w:r>
      <w:r w:rsidR="00C56E21" w:rsidRPr="00FA587B">
        <w:rPr>
          <w:rFonts w:ascii="Arial" w:hAnsi="Arial" w:cs="Arial"/>
          <w:bCs/>
          <w:lang w:val="es-MX"/>
        </w:rPr>
        <w:t xml:space="preserve">a </w:t>
      </w:r>
      <w:r w:rsidR="006A0EE4" w:rsidRPr="00FA587B">
        <w:rPr>
          <w:rFonts w:ascii="Arial" w:hAnsi="Arial" w:cs="Arial"/>
          <w:bCs/>
          <w:lang w:val="es-MX"/>
        </w:rPr>
        <w:t xml:space="preserve">celebración de la adición No. 01 se originó en </w:t>
      </w:r>
      <w:r w:rsidR="00C56E21" w:rsidRPr="00FA587B">
        <w:rPr>
          <w:rFonts w:ascii="Arial" w:hAnsi="Arial" w:cs="Arial"/>
          <w:bCs/>
          <w:lang w:val="es-MX"/>
        </w:rPr>
        <w:t>la indicación técnica de realizar obras no previstas en el contrato</w:t>
      </w:r>
      <w:r w:rsidR="000C0FE7" w:rsidRPr="00FA587B">
        <w:rPr>
          <w:rFonts w:ascii="Arial" w:hAnsi="Arial" w:cs="Arial"/>
          <w:bCs/>
          <w:lang w:val="es-MX"/>
        </w:rPr>
        <w:t>,</w:t>
      </w:r>
      <w:r w:rsidR="00C56E21" w:rsidRPr="00FA587B">
        <w:rPr>
          <w:rFonts w:ascii="Arial" w:hAnsi="Arial" w:cs="Arial"/>
          <w:bCs/>
          <w:lang w:val="es-MX"/>
        </w:rPr>
        <w:t xml:space="preserve"> pero que resultaban necesarias para la viabilidad y ap</w:t>
      </w:r>
      <w:r w:rsidR="00432C1A" w:rsidRPr="00FA587B">
        <w:rPr>
          <w:rFonts w:ascii="Arial" w:hAnsi="Arial" w:cs="Arial"/>
          <w:bCs/>
          <w:lang w:val="es-MX"/>
        </w:rPr>
        <w:t>rovechamiento del proyecto, toda vez</w:t>
      </w:r>
      <w:r w:rsidR="00C56E21" w:rsidRPr="00FA587B">
        <w:rPr>
          <w:rFonts w:ascii="Arial" w:hAnsi="Arial" w:cs="Arial"/>
          <w:bCs/>
          <w:lang w:val="es-MX"/>
        </w:rPr>
        <w:t xml:space="preserve"> que, como se verá más adelante, su ejecución contribuiría a lograr la estabilidad del terreno en donde se llevarían a cabo las labores de pavimentación de las vías.</w:t>
      </w:r>
    </w:p>
    <w:p w:rsidR="00C56E21" w:rsidRPr="00FA587B" w:rsidRDefault="00C56E21" w:rsidP="00FA587B">
      <w:pPr>
        <w:spacing w:line="360" w:lineRule="auto"/>
        <w:jc w:val="both"/>
        <w:rPr>
          <w:rFonts w:ascii="Arial" w:hAnsi="Arial" w:cs="Arial"/>
          <w:bCs/>
          <w:lang w:val="es-MX"/>
        </w:rPr>
      </w:pPr>
    </w:p>
    <w:p w:rsidR="00C56E21" w:rsidRPr="00FA587B" w:rsidRDefault="00C56E21" w:rsidP="00FA587B">
      <w:pPr>
        <w:spacing w:line="360" w:lineRule="auto"/>
        <w:jc w:val="both"/>
        <w:rPr>
          <w:rFonts w:ascii="Arial" w:hAnsi="Arial" w:cs="Arial"/>
          <w:bCs/>
          <w:lang w:val="es-MX"/>
        </w:rPr>
      </w:pPr>
      <w:r w:rsidRPr="00FA587B">
        <w:rPr>
          <w:rFonts w:ascii="Arial" w:hAnsi="Arial" w:cs="Arial"/>
          <w:bCs/>
          <w:lang w:val="es-MX"/>
        </w:rPr>
        <w:t>Si bien, ante la ausencia del pliego de condiciones no es posible determinar si la</w:t>
      </w:r>
      <w:r w:rsidR="00333B04" w:rsidRPr="00FA587B">
        <w:rPr>
          <w:rFonts w:ascii="Arial" w:hAnsi="Arial" w:cs="Arial"/>
          <w:bCs/>
          <w:lang w:val="es-MX"/>
        </w:rPr>
        <w:t>s</w:t>
      </w:r>
      <w:r w:rsidRPr="00FA587B">
        <w:rPr>
          <w:rFonts w:ascii="Arial" w:hAnsi="Arial" w:cs="Arial"/>
          <w:bCs/>
          <w:lang w:val="es-MX"/>
        </w:rPr>
        <w:t xml:space="preserve"> labor</w:t>
      </w:r>
      <w:r w:rsidR="00333B04" w:rsidRPr="00FA587B">
        <w:rPr>
          <w:rFonts w:ascii="Arial" w:hAnsi="Arial" w:cs="Arial"/>
          <w:bCs/>
          <w:lang w:val="es-MX"/>
        </w:rPr>
        <w:t>es</w:t>
      </w:r>
      <w:r w:rsidRPr="00FA587B">
        <w:rPr>
          <w:rFonts w:ascii="Arial" w:hAnsi="Arial" w:cs="Arial"/>
          <w:bCs/>
          <w:lang w:val="es-MX"/>
        </w:rPr>
        <w:t xml:space="preserve"> de inspección de las redes fue contemplada inicialmente con la finalidad de verificar sus condiciones para que a partir del resultado hallado se procediera a su intervención, lo cierto es que con independencia de esa cir</w:t>
      </w:r>
      <w:r w:rsidR="00D93B95" w:rsidRPr="00FA587B">
        <w:rPr>
          <w:rFonts w:ascii="Arial" w:hAnsi="Arial" w:cs="Arial"/>
          <w:bCs/>
          <w:lang w:val="es-MX"/>
        </w:rPr>
        <w:t>cunstancia, en todo caso</w:t>
      </w:r>
      <w:r w:rsidR="00B228E4" w:rsidRPr="00FA587B">
        <w:rPr>
          <w:rFonts w:ascii="Arial" w:hAnsi="Arial" w:cs="Arial"/>
          <w:bCs/>
          <w:lang w:val="es-MX"/>
        </w:rPr>
        <w:t xml:space="preserve"> las partes al suscribir el Contrato A</w:t>
      </w:r>
      <w:r w:rsidRPr="00FA587B">
        <w:rPr>
          <w:rFonts w:ascii="Arial" w:hAnsi="Arial" w:cs="Arial"/>
          <w:bCs/>
          <w:lang w:val="es-MX"/>
        </w:rPr>
        <w:t xml:space="preserve">dicional No. 01 acordaron el cambio de algunos tramos de tubería y previeron la extensión del término contractual para </w:t>
      </w:r>
      <w:r w:rsidR="00297E17" w:rsidRPr="00FA587B">
        <w:rPr>
          <w:rFonts w:ascii="Arial" w:hAnsi="Arial" w:cs="Arial"/>
          <w:bCs/>
          <w:lang w:val="es-MX"/>
        </w:rPr>
        <w:t>ese propósito.</w:t>
      </w:r>
      <w:r w:rsidRPr="00FA587B">
        <w:rPr>
          <w:rFonts w:ascii="Arial" w:hAnsi="Arial" w:cs="Arial"/>
          <w:bCs/>
          <w:lang w:val="es-MX"/>
        </w:rPr>
        <w:t xml:space="preserve"> </w:t>
      </w:r>
    </w:p>
    <w:p w:rsidR="00C56E21" w:rsidRPr="00FA587B" w:rsidRDefault="00C56E21" w:rsidP="00FA587B">
      <w:pPr>
        <w:spacing w:line="360" w:lineRule="auto"/>
        <w:jc w:val="both"/>
        <w:rPr>
          <w:rFonts w:ascii="Arial" w:hAnsi="Arial" w:cs="Arial"/>
          <w:bCs/>
          <w:lang w:val="es-MX"/>
        </w:rPr>
      </w:pPr>
    </w:p>
    <w:p w:rsidR="00C56E21" w:rsidRPr="00FA587B" w:rsidRDefault="00C56E21" w:rsidP="00FA587B">
      <w:pPr>
        <w:spacing w:line="360" w:lineRule="auto"/>
        <w:jc w:val="both"/>
        <w:rPr>
          <w:rFonts w:ascii="Arial" w:hAnsi="Arial" w:cs="Arial"/>
          <w:bCs/>
          <w:lang w:val="es-MX"/>
        </w:rPr>
      </w:pPr>
      <w:r w:rsidRPr="00FA587B">
        <w:rPr>
          <w:rFonts w:ascii="Arial" w:hAnsi="Arial" w:cs="Arial"/>
          <w:bCs/>
          <w:lang w:val="es-MX"/>
        </w:rPr>
        <w:t>Con todo</w:t>
      </w:r>
      <w:r w:rsidR="00D93B95" w:rsidRPr="00FA587B">
        <w:rPr>
          <w:rFonts w:ascii="Arial" w:hAnsi="Arial" w:cs="Arial"/>
          <w:bCs/>
          <w:lang w:val="es-MX"/>
        </w:rPr>
        <w:t>,</w:t>
      </w:r>
      <w:r w:rsidRPr="00FA587B">
        <w:rPr>
          <w:rFonts w:ascii="Arial" w:hAnsi="Arial" w:cs="Arial"/>
          <w:bCs/>
          <w:lang w:val="es-MX"/>
        </w:rPr>
        <w:t xml:space="preserve"> lo expuesto, en criterio de la Sala, no resulta suficiente para concluir que la modificación en cuestión generó perjuicios al contratista por causa de la mayor permanencia, pues no se puede perder de vista que la ampliación en el plazo del contrato que supuestamente lo hizo incurrir en mayores costos administrativos, como lo subrayó en la alzada, estuvo acompañada de un incremento en el valor del contrato acordado en cuantía de $765’665.315.</w:t>
      </w:r>
    </w:p>
    <w:p w:rsidR="00C56E21" w:rsidRPr="00FA587B" w:rsidRDefault="00C56E21" w:rsidP="00FA587B">
      <w:pPr>
        <w:spacing w:line="360" w:lineRule="auto"/>
        <w:jc w:val="both"/>
        <w:rPr>
          <w:rFonts w:ascii="Arial" w:hAnsi="Arial" w:cs="Arial"/>
          <w:bCs/>
          <w:lang w:val="es-MX"/>
        </w:rPr>
      </w:pPr>
    </w:p>
    <w:p w:rsidR="00C56E21" w:rsidRPr="00FA587B" w:rsidRDefault="00C56E21" w:rsidP="00FA587B">
      <w:pPr>
        <w:spacing w:line="360" w:lineRule="auto"/>
        <w:jc w:val="both"/>
        <w:rPr>
          <w:rFonts w:ascii="Arial" w:hAnsi="Arial" w:cs="Arial"/>
          <w:bCs/>
          <w:lang w:val="es-MX"/>
        </w:rPr>
      </w:pPr>
      <w:r w:rsidRPr="00FA587B">
        <w:rPr>
          <w:rFonts w:ascii="Arial" w:hAnsi="Arial" w:cs="Arial"/>
          <w:bCs/>
          <w:lang w:val="es-MX"/>
        </w:rPr>
        <w:t>De ahí es claro que los costos de la mayor permanencia en obra por el plazo prorrogado en el documento adicional</w:t>
      </w:r>
      <w:r w:rsidR="00432C1A" w:rsidRPr="00FA587B">
        <w:rPr>
          <w:rFonts w:ascii="Arial" w:hAnsi="Arial" w:cs="Arial"/>
          <w:bCs/>
          <w:lang w:val="es-MX"/>
        </w:rPr>
        <w:t xml:space="preserve"> No. 1</w:t>
      </w:r>
      <w:r w:rsidRPr="00FA587B">
        <w:rPr>
          <w:rFonts w:ascii="Arial" w:hAnsi="Arial" w:cs="Arial"/>
          <w:bCs/>
          <w:lang w:val="es-MX"/>
        </w:rPr>
        <w:t xml:space="preserve"> hallaron sustento económico por cuenta del aumento del precio en la suma señalada. </w:t>
      </w:r>
    </w:p>
    <w:p w:rsidR="00C56E21" w:rsidRPr="00FA587B" w:rsidRDefault="00C56E21" w:rsidP="00FA587B">
      <w:pPr>
        <w:spacing w:line="360" w:lineRule="auto"/>
        <w:jc w:val="both"/>
        <w:rPr>
          <w:rFonts w:ascii="Arial" w:hAnsi="Arial" w:cs="Arial"/>
          <w:bCs/>
          <w:lang w:val="es-MX"/>
        </w:rPr>
      </w:pPr>
    </w:p>
    <w:p w:rsidR="00C56E21" w:rsidRPr="00FA587B" w:rsidRDefault="00C56E21" w:rsidP="00FA587B">
      <w:pPr>
        <w:spacing w:line="360" w:lineRule="auto"/>
        <w:jc w:val="both"/>
        <w:rPr>
          <w:rFonts w:ascii="Arial" w:hAnsi="Arial" w:cs="Arial"/>
          <w:bCs/>
          <w:lang w:val="es-MX"/>
        </w:rPr>
      </w:pPr>
      <w:r w:rsidRPr="00FA587B">
        <w:rPr>
          <w:rFonts w:ascii="Arial" w:hAnsi="Arial" w:cs="Arial"/>
          <w:bCs/>
          <w:lang w:val="es-MX"/>
        </w:rPr>
        <w:t xml:space="preserve">Si bien la parte actora considera que esta mayor permanencia en obra generó costos directos e indirectos superiores a los estimados, </w:t>
      </w:r>
      <w:r w:rsidR="00CE5D59" w:rsidRPr="00FA587B">
        <w:rPr>
          <w:rFonts w:ascii="Arial" w:hAnsi="Arial" w:cs="Arial"/>
          <w:bCs/>
          <w:lang w:val="es-MX"/>
        </w:rPr>
        <w:t>no puede eludirse</w:t>
      </w:r>
      <w:r w:rsidRPr="00FA587B">
        <w:rPr>
          <w:rFonts w:ascii="Arial" w:hAnsi="Arial" w:cs="Arial"/>
          <w:bCs/>
          <w:lang w:val="es-MX"/>
        </w:rPr>
        <w:t xml:space="preserve"> el</w:t>
      </w:r>
      <w:r w:rsidR="0019253D" w:rsidRPr="00FA587B">
        <w:rPr>
          <w:rFonts w:ascii="Arial" w:hAnsi="Arial" w:cs="Arial"/>
          <w:bCs/>
          <w:lang w:val="es-MX"/>
        </w:rPr>
        <w:t xml:space="preserve"> hecho</w:t>
      </w:r>
      <w:r w:rsidRPr="00FA587B">
        <w:rPr>
          <w:rFonts w:ascii="Arial" w:hAnsi="Arial" w:cs="Arial"/>
          <w:bCs/>
          <w:lang w:val="es-MX"/>
        </w:rPr>
        <w:t xml:space="preserve"> de que estos costos directos </w:t>
      </w:r>
      <w:r w:rsidR="00B73DD4" w:rsidRPr="00FA587B">
        <w:rPr>
          <w:rFonts w:ascii="Arial" w:hAnsi="Arial" w:cs="Arial"/>
          <w:bCs/>
          <w:lang w:val="es-MX"/>
        </w:rPr>
        <w:t>debían encontrarse</w:t>
      </w:r>
      <w:r w:rsidRPr="00FA587B">
        <w:rPr>
          <w:rFonts w:ascii="Arial" w:hAnsi="Arial" w:cs="Arial"/>
          <w:bCs/>
          <w:lang w:val="es-MX"/>
        </w:rPr>
        <w:t xml:space="preserve"> incorporados en el precio ofrecido por el contratista en su propuesta inicial, de manera que al adicionar el precio del contrato en los mismos términos del contrato primigenio, en cuanto a la conformación y agregación del mismo, se impone destacar que en la adición debía estar contenido el costo directo e indirecto y</w:t>
      </w:r>
      <w:r w:rsidRPr="00FA587B">
        <w:rPr>
          <w:rFonts w:ascii="Arial" w:hAnsi="Arial" w:cs="Arial"/>
          <w:lang w:val="es-ES_tradnl"/>
        </w:rPr>
        <w:t xml:space="preserve">, por tanto, no habría lugar a reclamar nuevamente este valor por lo que correspondía al tiempo de la primera prórroga. </w:t>
      </w:r>
    </w:p>
    <w:p w:rsidR="00C56E21" w:rsidRPr="00FA587B" w:rsidRDefault="00C56E21" w:rsidP="00FA587B">
      <w:pPr>
        <w:spacing w:line="360" w:lineRule="auto"/>
        <w:jc w:val="both"/>
        <w:rPr>
          <w:rFonts w:ascii="Arial" w:hAnsi="Arial" w:cs="Arial"/>
          <w:bCs/>
          <w:lang w:val="es-MX"/>
        </w:rPr>
      </w:pPr>
    </w:p>
    <w:p w:rsidR="00C56E21" w:rsidRPr="00FA587B" w:rsidRDefault="00C56E21" w:rsidP="00FA587B">
      <w:pPr>
        <w:spacing w:line="360" w:lineRule="auto"/>
        <w:jc w:val="both"/>
        <w:rPr>
          <w:rFonts w:ascii="Arial" w:hAnsi="Arial" w:cs="Arial"/>
          <w:bCs/>
          <w:lang w:val="es-MX"/>
        </w:rPr>
      </w:pPr>
      <w:r w:rsidRPr="00FA587B">
        <w:rPr>
          <w:rFonts w:ascii="Arial" w:hAnsi="Arial" w:cs="Arial"/>
          <w:bCs/>
          <w:lang w:val="es-MX"/>
        </w:rPr>
        <w:t>Adicionalmente, subraya la Sala que, como lo ha sostenido la jurisprudencia de la Sección Tercera, el solo transcurso del tiempo por sí mismo no genera ruptura del equilibrio económico del contrato, por cuanto se requiere acreditar los mayores costos en los cuales el contratista incurrió, producto de la mayor permanencia lo cual, en este caso, no se probó</w:t>
      </w:r>
      <w:r w:rsidRPr="00FA587B">
        <w:rPr>
          <w:rFonts w:ascii="Arial" w:hAnsi="Arial" w:cs="Arial"/>
          <w:bCs/>
          <w:vertAlign w:val="superscript"/>
          <w:lang w:val="es-MX"/>
        </w:rPr>
        <w:footnoteReference w:id="20"/>
      </w:r>
      <w:r w:rsidRPr="00FA587B">
        <w:rPr>
          <w:rFonts w:ascii="Arial" w:hAnsi="Arial" w:cs="Arial"/>
          <w:bCs/>
          <w:lang w:val="es-MX"/>
        </w:rPr>
        <w:t>.</w:t>
      </w:r>
    </w:p>
    <w:p w:rsidR="00C56E21" w:rsidRPr="00FA587B" w:rsidRDefault="00C56E21" w:rsidP="00FA587B">
      <w:pPr>
        <w:spacing w:line="360" w:lineRule="auto"/>
        <w:jc w:val="both"/>
        <w:rPr>
          <w:rFonts w:ascii="Arial" w:hAnsi="Arial" w:cs="Arial"/>
          <w:bCs/>
          <w:lang w:val="es-MX"/>
        </w:rPr>
      </w:pPr>
    </w:p>
    <w:p w:rsidR="00C56E21" w:rsidRPr="00FA587B" w:rsidRDefault="00C56E21" w:rsidP="00FA587B">
      <w:pPr>
        <w:spacing w:line="360" w:lineRule="auto"/>
        <w:jc w:val="both"/>
        <w:rPr>
          <w:rFonts w:ascii="Arial" w:hAnsi="Arial" w:cs="Arial"/>
          <w:bCs/>
          <w:lang w:val="es-MX"/>
        </w:rPr>
      </w:pPr>
      <w:r w:rsidRPr="00FA587B">
        <w:rPr>
          <w:rFonts w:ascii="Arial" w:hAnsi="Arial" w:cs="Arial"/>
          <w:bCs/>
          <w:lang w:val="es-MX"/>
        </w:rPr>
        <w:t>Así mismo, si se trata de incumplimiento contractual también en ese evento se deben probar los perjuicios ocasionados, los cuales, en este proceso, tampoco se acreditaron</w:t>
      </w:r>
      <w:r w:rsidR="00FF3632" w:rsidRPr="00FA587B">
        <w:rPr>
          <w:rFonts w:ascii="Arial" w:hAnsi="Arial" w:cs="Arial"/>
          <w:bCs/>
          <w:lang w:val="es-MX"/>
        </w:rPr>
        <w:t>.</w:t>
      </w:r>
    </w:p>
    <w:p w:rsidR="009F01A5" w:rsidRPr="00FA587B" w:rsidRDefault="00FF3632" w:rsidP="00FA587B">
      <w:pPr>
        <w:autoSpaceDN w:val="0"/>
        <w:spacing w:line="360" w:lineRule="auto"/>
        <w:jc w:val="both"/>
        <w:rPr>
          <w:rFonts w:ascii="Arial" w:hAnsi="Arial" w:cs="Arial"/>
          <w:lang w:val="es-ES_tradnl" w:eastAsia="es-CO"/>
        </w:rPr>
      </w:pPr>
      <w:r w:rsidRPr="00FA587B">
        <w:rPr>
          <w:rFonts w:ascii="Arial" w:hAnsi="Arial" w:cs="Arial"/>
          <w:lang w:val="es-ES_tradnl" w:eastAsia="es-CO"/>
        </w:rPr>
        <w:t>Con todo, este asunto será retomado luego de indagar acerca de las demás ampliaciones que produjeron la mayor permanencia en obra discutida en la demanda.</w:t>
      </w:r>
    </w:p>
    <w:p w:rsidR="00C56E21" w:rsidRPr="00FA587B" w:rsidRDefault="00C56E21" w:rsidP="00FA587B">
      <w:pPr>
        <w:spacing w:line="360" w:lineRule="auto"/>
        <w:jc w:val="both"/>
        <w:rPr>
          <w:rFonts w:ascii="Arial" w:hAnsi="Arial" w:cs="Arial"/>
          <w:u w:val="single"/>
        </w:rPr>
      </w:pPr>
      <w:r w:rsidRPr="00FA587B">
        <w:rPr>
          <w:rFonts w:ascii="Arial" w:hAnsi="Arial" w:cs="Arial"/>
          <w:u w:val="single"/>
        </w:rPr>
        <w:t>Contrato adicional No. 02</w:t>
      </w:r>
    </w:p>
    <w:p w:rsidR="00C56E21" w:rsidRPr="00FA587B" w:rsidRDefault="00C56E21" w:rsidP="00FA587B">
      <w:pPr>
        <w:spacing w:line="360" w:lineRule="auto"/>
        <w:jc w:val="both"/>
        <w:rPr>
          <w:rFonts w:ascii="Arial" w:hAnsi="Arial" w:cs="Arial"/>
          <w:u w:val="single"/>
        </w:rPr>
      </w:pPr>
    </w:p>
    <w:p w:rsidR="00C56E21" w:rsidRPr="00FA587B" w:rsidRDefault="00C56E21" w:rsidP="00FA587B">
      <w:pPr>
        <w:spacing w:line="360" w:lineRule="auto"/>
        <w:jc w:val="both"/>
        <w:rPr>
          <w:rFonts w:ascii="Arial" w:hAnsi="Arial" w:cs="Arial"/>
          <w:lang w:val="es-CO"/>
        </w:rPr>
      </w:pPr>
      <w:r w:rsidRPr="00FA587B">
        <w:rPr>
          <w:rFonts w:ascii="Arial" w:hAnsi="Arial" w:cs="Arial"/>
          <w:lang w:val="es-CO"/>
        </w:rPr>
        <w:t>El 17 de abril de 2007, el IDU y el ingeniero Jaime Carmona Soto signaron el Contrato Adicional No. 02</w:t>
      </w:r>
      <w:r w:rsidRPr="00FA587B">
        <w:rPr>
          <w:rStyle w:val="Refdenotaalpie"/>
          <w:rFonts w:ascii="Arial" w:hAnsi="Arial" w:cs="Arial"/>
          <w:lang w:val="es-CO"/>
        </w:rPr>
        <w:footnoteReference w:id="21"/>
      </w:r>
      <w:r w:rsidRPr="00FA587B">
        <w:rPr>
          <w:rFonts w:ascii="Arial" w:hAnsi="Arial" w:cs="Arial"/>
          <w:lang w:val="es-CO"/>
        </w:rPr>
        <w:t xml:space="preserve">, por cuya virtud decidieron prorrogar el plazo contractual en dos meses y medio. </w:t>
      </w:r>
    </w:p>
    <w:p w:rsidR="00C56E21" w:rsidRPr="00FA587B" w:rsidRDefault="00C56E21" w:rsidP="00FA587B">
      <w:pPr>
        <w:spacing w:line="360" w:lineRule="auto"/>
        <w:jc w:val="both"/>
        <w:rPr>
          <w:rFonts w:ascii="Arial" w:hAnsi="Arial" w:cs="Arial"/>
          <w:lang w:val="es-CO"/>
        </w:rPr>
      </w:pPr>
    </w:p>
    <w:p w:rsidR="004A0791" w:rsidRPr="00FA587B" w:rsidRDefault="00C56E21" w:rsidP="00FA587B">
      <w:pPr>
        <w:spacing w:line="360" w:lineRule="auto"/>
        <w:jc w:val="both"/>
        <w:rPr>
          <w:rFonts w:ascii="Arial" w:hAnsi="Arial" w:cs="Arial"/>
          <w:lang w:val="es-CO"/>
        </w:rPr>
      </w:pPr>
      <w:r w:rsidRPr="00FA587B">
        <w:rPr>
          <w:rFonts w:ascii="Arial" w:hAnsi="Arial" w:cs="Arial"/>
          <w:lang w:val="es-CO"/>
        </w:rPr>
        <w:t xml:space="preserve">Como fundamento de ese convenio </w:t>
      </w:r>
      <w:r w:rsidR="004A0791" w:rsidRPr="00FA587B">
        <w:rPr>
          <w:rFonts w:ascii="Arial" w:hAnsi="Arial" w:cs="Arial"/>
          <w:lang w:val="es-CO"/>
        </w:rPr>
        <w:t xml:space="preserve">se expusieron dos razones: </w:t>
      </w:r>
    </w:p>
    <w:p w:rsidR="004A0791" w:rsidRPr="00FA587B" w:rsidRDefault="004A0791" w:rsidP="00FA587B">
      <w:pPr>
        <w:spacing w:line="360" w:lineRule="auto"/>
        <w:jc w:val="both"/>
        <w:rPr>
          <w:rFonts w:ascii="Arial" w:hAnsi="Arial" w:cs="Arial"/>
          <w:lang w:val="es-CO"/>
        </w:rPr>
      </w:pPr>
    </w:p>
    <w:p w:rsidR="004A0791" w:rsidRPr="00FA587B" w:rsidRDefault="004A0791" w:rsidP="00FA587B">
      <w:pPr>
        <w:spacing w:line="360" w:lineRule="auto"/>
        <w:jc w:val="both"/>
        <w:rPr>
          <w:rFonts w:ascii="Arial" w:hAnsi="Arial" w:cs="Arial"/>
          <w:lang w:val="es-CO"/>
        </w:rPr>
      </w:pPr>
      <w:r w:rsidRPr="00FA587B">
        <w:rPr>
          <w:rFonts w:ascii="Arial" w:hAnsi="Arial" w:cs="Arial"/>
          <w:lang w:val="es-CO"/>
        </w:rPr>
        <w:t xml:space="preserve">La primera de ellas se cimentó en la extensión del término dedicado a la inspección de las redes </w:t>
      </w:r>
      <w:r w:rsidR="00B228E4" w:rsidRPr="00FA587B">
        <w:rPr>
          <w:rFonts w:ascii="Arial" w:hAnsi="Arial" w:cs="Arial"/>
          <w:lang w:val="es-CO"/>
        </w:rPr>
        <w:t xml:space="preserve">hidrosanitarias </w:t>
      </w:r>
      <w:r w:rsidRPr="00FA587B">
        <w:rPr>
          <w:rFonts w:ascii="Arial" w:hAnsi="Arial" w:cs="Arial"/>
          <w:lang w:val="es-CO"/>
        </w:rPr>
        <w:t>y la segunda se fundó en la existencia de inconvenientes respecto de</w:t>
      </w:r>
      <w:r w:rsidR="00AE4EFE" w:rsidRPr="00FA587B">
        <w:rPr>
          <w:rFonts w:ascii="Arial" w:hAnsi="Arial" w:cs="Arial"/>
          <w:lang w:val="es-CO"/>
        </w:rPr>
        <w:t xml:space="preserve"> los diseños iniciales.</w:t>
      </w:r>
    </w:p>
    <w:p w:rsidR="00435B4C" w:rsidRPr="00FA587B" w:rsidRDefault="00435B4C" w:rsidP="00FA587B">
      <w:pPr>
        <w:spacing w:line="360" w:lineRule="auto"/>
        <w:jc w:val="both"/>
        <w:rPr>
          <w:rFonts w:ascii="Arial" w:hAnsi="Arial" w:cs="Arial"/>
          <w:lang w:val="es-CO"/>
        </w:rPr>
      </w:pPr>
    </w:p>
    <w:p w:rsidR="00C56E21" w:rsidRPr="00FA587B" w:rsidRDefault="004A0791" w:rsidP="00FA587B">
      <w:pPr>
        <w:spacing w:line="360" w:lineRule="auto"/>
        <w:jc w:val="both"/>
        <w:rPr>
          <w:rFonts w:ascii="Arial" w:hAnsi="Arial" w:cs="Arial"/>
          <w:lang w:val="es-CO"/>
        </w:rPr>
      </w:pPr>
      <w:r w:rsidRPr="00FA587B">
        <w:rPr>
          <w:rFonts w:ascii="Arial" w:hAnsi="Arial" w:cs="Arial"/>
          <w:lang w:val="es-CO"/>
        </w:rPr>
        <w:t xml:space="preserve">En relación con el primer punto </w:t>
      </w:r>
      <w:r w:rsidR="004736A1" w:rsidRPr="00FA587B">
        <w:rPr>
          <w:rFonts w:ascii="Arial" w:hAnsi="Arial" w:cs="Arial"/>
          <w:lang w:val="es-CO"/>
        </w:rPr>
        <w:t xml:space="preserve">se argumentó </w:t>
      </w:r>
      <w:r w:rsidRPr="00FA587B">
        <w:rPr>
          <w:rFonts w:ascii="Arial" w:hAnsi="Arial" w:cs="Arial"/>
          <w:lang w:val="es-CO"/>
        </w:rPr>
        <w:t xml:space="preserve">que a </w:t>
      </w:r>
      <w:r w:rsidR="004736A1" w:rsidRPr="00FA587B">
        <w:rPr>
          <w:rFonts w:ascii="Arial" w:hAnsi="Arial" w:cs="Arial"/>
          <w:lang w:val="es-CO"/>
        </w:rPr>
        <w:t xml:space="preserve">partir del 4 de octubre de 2006, el contratista </w:t>
      </w:r>
      <w:r w:rsidR="00C56E21" w:rsidRPr="00FA587B">
        <w:rPr>
          <w:rFonts w:ascii="Arial" w:hAnsi="Arial" w:cs="Arial"/>
          <w:lang w:val="es-CO"/>
        </w:rPr>
        <w:t xml:space="preserve">dio comienzo </w:t>
      </w:r>
      <w:r w:rsidR="004736A1" w:rsidRPr="00FA587B">
        <w:rPr>
          <w:rFonts w:ascii="Arial" w:hAnsi="Arial" w:cs="Arial"/>
          <w:lang w:val="es-CO"/>
        </w:rPr>
        <w:t xml:space="preserve">a </w:t>
      </w:r>
      <w:r w:rsidR="00C56E21" w:rsidRPr="00FA587B">
        <w:rPr>
          <w:rFonts w:ascii="Arial" w:hAnsi="Arial" w:cs="Arial"/>
          <w:lang w:val="es-CO"/>
        </w:rPr>
        <w:t>una actividad que contemplaba la inspección con cámara y sondeo de las tuberías de alcantarillado en los tramos a intervenir</w:t>
      </w:r>
      <w:r w:rsidR="00B228E4" w:rsidRPr="00FA587B">
        <w:rPr>
          <w:rFonts w:ascii="Arial" w:hAnsi="Arial" w:cs="Arial"/>
          <w:lang w:val="es-CO"/>
        </w:rPr>
        <w:t>,</w:t>
      </w:r>
      <w:r w:rsidR="00C56E21" w:rsidRPr="00FA587B">
        <w:rPr>
          <w:rFonts w:ascii="Arial" w:hAnsi="Arial" w:cs="Arial"/>
          <w:lang w:val="es-CO"/>
        </w:rPr>
        <w:t xml:space="preserve"> con el fin de restituir o rehabilitar las redes en orden a garantizar la estabilidad en la estructura del pavimento.</w:t>
      </w:r>
      <w:r w:rsidR="00AE4EFE" w:rsidRPr="00FA587B">
        <w:rPr>
          <w:rFonts w:ascii="Arial" w:hAnsi="Arial" w:cs="Arial"/>
          <w:lang w:val="es-CO"/>
        </w:rPr>
        <w:t xml:space="preserve"> Se consignó que el contratista requirió 45 días para la realiz</w:t>
      </w:r>
      <w:r w:rsidR="00B228E4" w:rsidRPr="00FA587B">
        <w:rPr>
          <w:rFonts w:ascii="Arial" w:hAnsi="Arial" w:cs="Arial"/>
          <w:lang w:val="es-CO"/>
        </w:rPr>
        <w:t xml:space="preserve">ación de esa actividad, situación que condujo a </w:t>
      </w:r>
      <w:r w:rsidR="00AE4EFE" w:rsidRPr="00FA587B">
        <w:rPr>
          <w:rFonts w:ascii="Arial" w:hAnsi="Arial" w:cs="Arial"/>
          <w:lang w:val="es-CO"/>
        </w:rPr>
        <w:t>que el</w:t>
      </w:r>
      <w:r w:rsidR="00432C1A" w:rsidRPr="00FA587B">
        <w:rPr>
          <w:rFonts w:ascii="Arial" w:hAnsi="Arial" w:cs="Arial"/>
          <w:lang w:val="es-CO"/>
        </w:rPr>
        <w:t xml:space="preserve"> inicio de la obra se llevar</w:t>
      </w:r>
      <w:r w:rsidR="0075654C" w:rsidRPr="00FA587B">
        <w:rPr>
          <w:rFonts w:ascii="Arial" w:hAnsi="Arial" w:cs="Arial"/>
          <w:lang w:val="es-CO"/>
        </w:rPr>
        <w:t>a</w:t>
      </w:r>
      <w:r w:rsidR="00432C1A" w:rsidRPr="00FA587B">
        <w:rPr>
          <w:rFonts w:ascii="Arial" w:hAnsi="Arial" w:cs="Arial"/>
          <w:lang w:val="es-CO"/>
        </w:rPr>
        <w:t xml:space="preserve"> a</w:t>
      </w:r>
      <w:r w:rsidR="00AE4EFE" w:rsidRPr="00FA587B">
        <w:rPr>
          <w:rFonts w:ascii="Arial" w:hAnsi="Arial" w:cs="Arial"/>
          <w:lang w:val="es-CO"/>
        </w:rPr>
        <w:t xml:space="preserve"> cabo el 20 de noviembre con el tramo 110. </w:t>
      </w:r>
    </w:p>
    <w:p w:rsidR="00C56E21" w:rsidRPr="00FA587B" w:rsidRDefault="00C56E21" w:rsidP="00FA587B">
      <w:pPr>
        <w:spacing w:line="360" w:lineRule="auto"/>
        <w:jc w:val="both"/>
        <w:rPr>
          <w:rFonts w:ascii="Arial" w:hAnsi="Arial" w:cs="Arial"/>
          <w:lang w:val="es-CO"/>
        </w:rPr>
      </w:pPr>
    </w:p>
    <w:p w:rsidR="00C56E21" w:rsidRPr="00FA587B" w:rsidRDefault="00AE4EFE" w:rsidP="00FA587B">
      <w:pPr>
        <w:spacing w:line="360" w:lineRule="auto"/>
        <w:jc w:val="both"/>
        <w:rPr>
          <w:rFonts w:ascii="Arial" w:hAnsi="Arial" w:cs="Arial"/>
          <w:lang w:val="es-CO"/>
        </w:rPr>
      </w:pPr>
      <w:r w:rsidRPr="00FA587B">
        <w:rPr>
          <w:rFonts w:ascii="Arial" w:hAnsi="Arial" w:cs="Arial"/>
          <w:lang w:val="es-CO"/>
        </w:rPr>
        <w:t xml:space="preserve">En segundo lugar, </w:t>
      </w:r>
      <w:r w:rsidR="00C56E21" w:rsidRPr="00FA587B">
        <w:rPr>
          <w:rFonts w:ascii="Arial" w:hAnsi="Arial" w:cs="Arial"/>
          <w:lang w:val="es-CO"/>
        </w:rPr>
        <w:t xml:space="preserve">se indicó que el IDU, impulsado por los inconvenientes presentados en la comunidad respecto de los cambios de materiales, solicitó priorizar la intervención de los tramos de uso vehicular y dejar la intervención de los tramos peatonales para una segunda etapa. </w:t>
      </w:r>
    </w:p>
    <w:p w:rsidR="00C56E21" w:rsidRPr="00FA587B" w:rsidRDefault="00C56E21" w:rsidP="00FA587B">
      <w:pPr>
        <w:spacing w:line="360" w:lineRule="auto"/>
        <w:jc w:val="both"/>
        <w:rPr>
          <w:rFonts w:ascii="Arial" w:hAnsi="Arial" w:cs="Arial"/>
          <w:lang w:val="es-CO"/>
        </w:rPr>
      </w:pPr>
    </w:p>
    <w:p w:rsidR="00C56E21" w:rsidRPr="00FA587B" w:rsidRDefault="00AE4EFE" w:rsidP="00FA587B">
      <w:pPr>
        <w:spacing w:line="360" w:lineRule="auto"/>
        <w:jc w:val="both"/>
        <w:rPr>
          <w:rFonts w:ascii="Arial" w:hAnsi="Arial" w:cs="Arial"/>
          <w:lang w:val="es-CO"/>
        </w:rPr>
      </w:pPr>
      <w:r w:rsidRPr="00FA587B">
        <w:rPr>
          <w:rFonts w:ascii="Arial" w:hAnsi="Arial" w:cs="Arial"/>
          <w:lang w:val="es-CO"/>
        </w:rPr>
        <w:t>A su turno</w:t>
      </w:r>
      <w:r w:rsidR="00C56E21" w:rsidRPr="00FA587B">
        <w:rPr>
          <w:rFonts w:ascii="Arial" w:hAnsi="Arial" w:cs="Arial"/>
          <w:lang w:val="es-CO"/>
        </w:rPr>
        <w:t>, en el parágrafo de la cláusula primera del documento adicional se dejó expresa constancia de que “</w:t>
      </w:r>
      <w:r w:rsidR="00C56E21" w:rsidRPr="00FA587B">
        <w:rPr>
          <w:rFonts w:ascii="Arial" w:hAnsi="Arial" w:cs="Arial"/>
          <w:i/>
          <w:lang w:val="es-CO"/>
        </w:rPr>
        <w:t>La presente prórroga no genera costos para el IDU</w:t>
      </w:r>
      <w:r w:rsidR="00C56E21" w:rsidRPr="00FA587B">
        <w:rPr>
          <w:rFonts w:ascii="Arial" w:hAnsi="Arial" w:cs="Arial"/>
          <w:lang w:val="es-CO"/>
        </w:rPr>
        <w:t>”.</w:t>
      </w:r>
    </w:p>
    <w:p w:rsidR="006C0662" w:rsidRPr="00FA587B" w:rsidRDefault="006C0662" w:rsidP="00FA587B">
      <w:pPr>
        <w:spacing w:line="360" w:lineRule="auto"/>
        <w:jc w:val="both"/>
        <w:rPr>
          <w:rFonts w:ascii="Arial" w:hAnsi="Arial" w:cs="Arial"/>
        </w:rPr>
      </w:pPr>
    </w:p>
    <w:p w:rsidR="001C251A" w:rsidRPr="00FA587B" w:rsidRDefault="00C83A8E" w:rsidP="00FA587B">
      <w:pPr>
        <w:spacing w:line="360" w:lineRule="auto"/>
        <w:jc w:val="both"/>
        <w:rPr>
          <w:rFonts w:ascii="Arial" w:hAnsi="Arial" w:cs="Arial"/>
          <w:bCs/>
          <w:lang w:val="es-MX"/>
        </w:rPr>
      </w:pPr>
      <w:r w:rsidRPr="00FA587B">
        <w:rPr>
          <w:rFonts w:ascii="Arial" w:hAnsi="Arial" w:cs="Arial"/>
          <w:bCs/>
          <w:lang w:val="es-MX"/>
        </w:rPr>
        <w:lastRenderedPageBreak/>
        <w:t>Del contenido de la modificación No. 2 s</w:t>
      </w:r>
      <w:r w:rsidR="009553DB" w:rsidRPr="00FA587B">
        <w:rPr>
          <w:rFonts w:ascii="Arial" w:hAnsi="Arial" w:cs="Arial"/>
          <w:bCs/>
          <w:lang w:val="es-MX"/>
        </w:rPr>
        <w:t xml:space="preserve">e aprecia </w:t>
      </w:r>
      <w:r w:rsidR="00AE4EFE" w:rsidRPr="00FA587B">
        <w:rPr>
          <w:rFonts w:ascii="Arial" w:hAnsi="Arial" w:cs="Arial"/>
          <w:bCs/>
          <w:lang w:val="es-MX"/>
        </w:rPr>
        <w:t xml:space="preserve">que </w:t>
      </w:r>
      <w:r w:rsidR="009553DB" w:rsidRPr="00FA587B">
        <w:rPr>
          <w:rFonts w:ascii="Arial" w:hAnsi="Arial" w:cs="Arial"/>
          <w:bCs/>
          <w:lang w:val="es-MX"/>
        </w:rPr>
        <w:t>l</w:t>
      </w:r>
      <w:r w:rsidR="001C251A" w:rsidRPr="00FA587B">
        <w:rPr>
          <w:rFonts w:ascii="Arial" w:hAnsi="Arial" w:cs="Arial"/>
          <w:bCs/>
          <w:lang w:val="es-MX"/>
        </w:rPr>
        <w:t>a necesidad de ampliar el plazo</w:t>
      </w:r>
      <w:r w:rsidR="009553DB" w:rsidRPr="00FA587B">
        <w:rPr>
          <w:rFonts w:ascii="Arial" w:hAnsi="Arial" w:cs="Arial"/>
          <w:bCs/>
          <w:lang w:val="es-MX"/>
        </w:rPr>
        <w:t xml:space="preserve"> en esa oportunidad se justificó</w:t>
      </w:r>
      <w:r w:rsidR="001C251A" w:rsidRPr="00FA587B">
        <w:rPr>
          <w:rFonts w:ascii="Arial" w:hAnsi="Arial" w:cs="Arial"/>
          <w:bCs/>
          <w:lang w:val="es-MX"/>
        </w:rPr>
        <w:t>,</w:t>
      </w:r>
      <w:r w:rsidR="009553DB" w:rsidRPr="00FA587B">
        <w:rPr>
          <w:rFonts w:ascii="Arial" w:hAnsi="Arial" w:cs="Arial"/>
          <w:bCs/>
          <w:lang w:val="es-MX"/>
        </w:rPr>
        <w:t xml:space="preserve"> en </w:t>
      </w:r>
      <w:r w:rsidR="001C251A" w:rsidRPr="00FA587B">
        <w:rPr>
          <w:rFonts w:ascii="Arial" w:hAnsi="Arial" w:cs="Arial"/>
          <w:bCs/>
          <w:lang w:val="es-MX"/>
        </w:rPr>
        <w:t>parte,</w:t>
      </w:r>
      <w:r w:rsidR="00C54621" w:rsidRPr="00FA587B">
        <w:rPr>
          <w:rFonts w:ascii="Arial" w:hAnsi="Arial" w:cs="Arial"/>
          <w:bCs/>
          <w:lang w:val="es-MX"/>
        </w:rPr>
        <w:t xml:space="preserve"> en</w:t>
      </w:r>
      <w:r w:rsidR="001C251A" w:rsidRPr="00FA587B">
        <w:rPr>
          <w:rFonts w:ascii="Arial" w:hAnsi="Arial" w:cs="Arial"/>
          <w:bCs/>
          <w:lang w:val="es-MX"/>
        </w:rPr>
        <w:t xml:space="preserve"> la misma razón que sustentó la primera ampliación, esto es, por la realización de las labores de inspección y rehabilitación de las redes de alcantarillado.</w:t>
      </w:r>
    </w:p>
    <w:p w:rsidR="001C251A" w:rsidRPr="00FA587B" w:rsidRDefault="001C251A" w:rsidP="00FA587B">
      <w:pPr>
        <w:spacing w:line="360" w:lineRule="auto"/>
        <w:jc w:val="both"/>
        <w:rPr>
          <w:rFonts w:ascii="Arial" w:hAnsi="Arial" w:cs="Arial"/>
          <w:bCs/>
          <w:lang w:val="es-MX"/>
        </w:rPr>
      </w:pPr>
    </w:p>
    <w:p w:rsidR="001C251A" w:rsidRPr="00FA587B" w:rsidRDefault="00883354" w:rsidP="00FA587B">
      <w:pPr>
        <w:spacing w:line="360" w:lineRule="auto"/>
        <w:jc w:val="both"/>
        <w:rPr>
          <w:rFonts w:ascii="Arial" w:hAnsi="Arial" w:cs="Arial"/>
          <w:bCs/>
          <w:lang w:val="es-MX"/>
        </w:rPr>
      </w:pPr>
      <w:r w:rsidRPr="00FA587B">
        <w:rPr>
          <w:rFonts w:ascii="Arial" w:hAnsi="Arial" w:cs="Arial"/>
          <w:bCs/>
          <w:lang w:val="es-MX"/>
        </w:rPr>
        <w:t>Ha d</w:t>
      </w:r>
      <w:r w:rsidR="00C54621" w:rsidRPr="00FA587B">
        <w:rPr>
          <w:rFonts w:ascii="Arial" w:hAnsi="Arial" w:cs="Arial"/>
          <w:bCs/>
          <w:lang w:val="es-MX"/>
        </w:rPr>
        <w:t>e sumarse a lo anterior que su</w:t>
      </w:r>
      <w:r w:rsidR="001C251A" w:rsidRPr="00FA587B">
        <w:rPr>
          <w:rFonts w:ascii="Arial" w:hAnsi="Arial" w:cs="Arial"/>
          <w:bCs/>
          <w:lang w:val="es-MX"/>
        </w:rPr>
        <w:t xml:space="preserve"> celebración</w:t>
      </w:r>
      <w:r w:rsidR="009518FB" w:rsidRPr="00FA587B">
        <w:rPr>
          <w:rFonts w:ascii="Arial" w:hAnsi="Arial" w:cs="Arial"/>
          <w:bCs/>
          <w:lang w:val="es-MX"/>
        </w:rPr>
        <w:t>,</w:t>
      </w:r>
      <w:r w:rsidR="00C54621" w:rsidRPr="00FA587B">
        <w:rPr>
          <w:rFonts w:ascii="Arial" w:hAnsi="Arial" w:cs="Arial"/>
          <w:bCs/>
          <w:lang w:val="es-MX"/>
        </w:rPr>
        <w:t xml:space="preserve"> así mismo</w:t>
      </w:r>
      <w:r w:rsidR="009518FB" w:rsidRPr="00FA587B">
        <w:rPr>
          <w:rFonts w:ascii="Arial" w:hAnsi="Arial" w:cs="Arial"/>
          <w:bCs/>
          <w:lang w:val="es-MX"/>
        </w:rPr>
        <w:t>,</w:t>
      </w:r>
      <w:r w:rsidR="00C54621" w:rsidRPr="00FA587B">
        <w:rPr>
          <w:rFonts w:ascii="Arial" w:hAnsi="Arial" w:cs="Arial"/>
          <w:bCs/>
          <w:lang w:val="es-MX"/>
        </w:rPr>
        <w:t xml:space="preserve"> </w:t>
      </w:r>
      <w:r w:rsidR="004736A1" w:rsidRPr="00FA587B">
        <w:rPr>
          <w:rFonts w:ascii="Arial" w:hAnsi="Arial" w:cs="Arial"/>
          <w:bCs/>
          <w:lang w:val="es-MX"/>
        </w:rPr>
        <w:t xml:space="preserve">se fundó </w:t>
      </w:r>
      <w:r w:rsidR="00C54621" w:rsidRPr="00FA587B">
        <w:rPr>
          <w:rFonts w:ascii="Arial" w:hAnsi="Arial" w:cs="Arial"/>
          <w:bCs/>
          <w:lang w:val="es-MX"/>
        </w:rPr>
        <w:t>en la determinación sobre el</w:t>
      </w:r>
      <w:r w:rsidR="001C251A" w:rsidRPr="00FA587B">
        <w:rPr>
          <w:rFonts w:ascii="Arial" w:hAnsi="Arial" w:cs="Arial"/>
          <w:bCs/>
          <w:lang w:val="es-MX"/>
        </w:rPr>
        <w:t xml:space="preserve"> cambio de uso de la vía a pavimentar, dado que </w:t>
      </w:r>
      <w:r w:rsidR="00C54621" w:rsidRPr="00FA587B">
        <w:rPr>
          <w:rFonts w:ascii="Arial" w:hAnsi="Arial" w:cs="Arial"/>
          <w:bCs/>
          <w:lang w:val="es-MX"/>
        </w:rPr>
        <w:t>los</w:t>
      </w:r>
      <w:r w:rsidR="001C251A" w:rsidRPr="00FA587B">
        <w:rPr>
          <w:rFonts w:ascii="Arial" w:hAnsi="Arial" w:cs="Arial"/>
          <w:bCs/>
          <w:lang w:val="es-MX"/>
        </w:rPr>
        <w:t xml:space="preserve"> habitante</w:t>
      </w:r>
      <w:r w:rsidR="00C54621" w:rsidRPr="00FA587B">
        <w:rPr>
          <w:rFonts w:ascii="Arial" w:hAnsi="Arial" w:cs="Arial"/>
          <w:bCs/>
          <w:lang w:val="es-MX"/>
        </w:rPr>
        <w:t>s del sector</w:t>
      </w:r>
      <w:r w:rsidR="001C251A" w:rsidRPr="00FA587B">
        <w:rPr>
          <w:rFonts w:ascii="Arial" w:hAnsi="Arial" w:cs="Arial"/>
          <w:bCs/>
          <w:lang w:val="es-MX"/>
        </w:rPr>
        <w:t xml:space="preserve"> </w:t>
      </w:r>
      <w:r w:rsidR="00C54621" w:rsidRPr="00FA587B">
        <w:rPr>
          <w:rFonts w:ascii="Arial" w:hAnsi="Arial" w:cs="Arial"/>
          <w:bCs/>
          <w:lang w:val="es-MX"/>
        </w:rPr>
        <w:t>ejercieron</w:t>
      </w:r>
      <w:r w:rsidR="001C251A" w:rsidRPr="00FA587B">
        <w:rPr>
          <w:rFonts w:ascii="Arial" w:hAnsi="Arial" w:cs="Arial"/>
          <w:bCs/>
          <w:lang w:val="es-MX"/>
        </w:rPr>
        <w:t xml:space="preserve"> presión para que el acceso al lugar fuera prevalentemente vehicular y no peatonal</w:t>
      </w:r>
      <w:r w:rsidR="00432C1A" w:rsidRPr="00FA587B">
        <w:rPr>
          <w:rFonts w:ascii="Arial" w:hAnsi="Arial" w:cs="Arial"/>
          <w:bCs/>
          <w:lang w:val="es-MX"/>
        </w:rPr>
        <w:t>,</w:t>
      </w:r>
      <w:r w:rsidR="00C54621" w:rsidRPr="00FA587B">
        <w:rPr>
          <w:rFonts w:ascii="Arial" w:hAnsi="Arial" w:cs="Arial"/>
          <w:bCs/>
          <w:lang w:val="es-MX"/>
        </w:rPr>
        <w:t xml:space="preserve"> por el alto porcentaje de personas discapacitadas residentes en la zona</w:t>
      </w:r>
      <w:r w:rsidR="009553DB" w:rsidRPr="00FA587B">
        <w:rPr>
          <w:rFonts w:ascii="Arial" w:hAnsi="Arial" w:cs="Arial"/>
          <w:bCs/>
          <w:lang w:val="es-MX"/>
        </w:rPr>
        <w:t xml:space="preserve">, </w:t>
      </w:r>
      <w:r w:rsidR="00B228E4" w:rsidRPr="00FA587B">
        <w:rPr>
          <w:rFonts w:ascii="Arial" w:hAnsi="Arial" w:cs="Arial"/>
          <w:bCs/>
          <w:lang w:val="es-MX"/>
        </w:rPr>
        <w:t xml:space="preserve">lo </w:t>
      </w:r>
      <w:r w:rsidR="009553DB" w:rsidRPr="00FA587B">
        <w:rPr>
          <w:rFonts w:ascii="Arial" w:hAnsi="Arial" w:cs="Arial"/>
          <w:bCs/>
          <w:lang w:val="es-MX"/>
        </w:rPr>
        <w:t xml:space="preserve">que </w:t>
      </w:r>
      <w:r w:rsidR="00B228E4" w:rsidRPr="00FA587B">
        <w:rPr>
          <w:rFonts w:ascii="Arial" w:hAnsi="Arial" w:cs="Arial"/>
          <w:bCs/>
          <w:lang w:val="es-MX"/>
        </w:rPr>
        <w:t xml:space="preserve">de suyo </w:t>
      </w:r>
      <w:r w:rsidR="009553DB" w:rsidRPr="00FA587B">
        <w:rPr>
          <w:rFonts w:ascii="Arial" w:hAnsi="Arial" w:cs="Arial"/>
          <w:bCs/>
          <w:lang w:val="es-MX"/>
        </w:rPr>
        <w:t>dem</w:t>
      </w:r>
      <w:r w:rsidR="001C251A" w:rsidRPr="00FA587B">
        <w:rPr>
          <w:rFonts w:ascii="Arial" w:hAnsi="Arial" w:cs="Arial"/>
          <w:bCs/>
          <w:lang w:val="es-MX"/>
        </w:rPr>
        <w:t>andaría mayor tiempo</w:t>
      </w:r>
      <w:r w:rsidR="009518FB" w:rsidRPr="00FA587B">
        <w:rPr>
          <w:rFonts w:ascii="Arial" w:hAnsi="Arial" w:cs="Arial"/>
          <w:bCs/>
          <w:lang w:val="es-MX"/>
        </w:rPr>
        <w:t xml:space="preserve"> </w:t>
      </w:r>
      <w:r w:rsidR="00B228E4" w:rsidRPr="00FA587B">
        <w:rPr>
          <w:rFonts w:ascii="Arial" w:hAnsi="Arial" w:cs="Arial"/>
          <w:bCs/>
          <w:lang w:val="es-MX"/>
        </w:rPr>
        <w:t xml:space="preserve">para </w:t>
      </w:r>
      <w:r w:rsidR="009518FB" w:rsidRPr="00FA587B">
        <w:rPr>
          <w:rFonts w:ascii="Arial" w:hAnsi="Arial" w:cs="Arial"/>
          <w:bCs/>
          <w:lang w:val="es-MX"/>
        </w:rPr>
        <w:t>su ejecución</w:t>
      </w:r>
      <w:r w:rsidR="00B228E4" w:rsidRPr="00FA587B">
        <w:rPr>
          <w:rFonts w:ascii="Arial" w:hAnsi="Arial" w:cs="Arial"/>
          <w:bCs/>
          <w:lang w:val="es-MX"/>
        </w:rPr>
        <w:t xml:space="preserve"> que el</w:t>
      </w:r>
      <w:r w:rsidR="001C251A" w:rsidRPr="00FA587B">
        <w:rPr>
          <w:rFonts w:ascii="Arial" w:hAnsi="Arial" w:cs="Arial"/>
          <w:bCs/>
          <w:lang w:val="es-MX"/>
        </w:rPr>
        <w:t xml:space="preserve"> previsto. </w:t>
      </w:r>
    </w:p>
    <w:p w:rsidR="001C251A" w:rsidRPr="00FA587B" w:rsidRDefault="001C251A" w:rsidP="00FA587B">
      <w:pPr>
        <w:spacing w:line="360" w:lineRule="auto"/>
        <w:jc w:val="both"/>
        <w:rPr>
          <w:rFonts w:ascii="Arial" w:hAnsi="Arial" w:cs="Arial"/>
          <w:bCs/>
          <w:lang w:val="es-MX"/>
        </w:rPr>
      </w:pPr>
    </w:p>
    <w:p w:rsidR="009553DB" w:rsidRPr="00FA587B" w:rsidRDefault="001C251A" w:rsidP="00FA587B">
      <w:pPr>
        <w:spacing w:line="360" w:lineRule="auto"/>
        <w:jc w:val="both"/>
        <w:rPr>
          <w:rFonts w:ascii="Arial" w:hAnsi="Arial" w:cs="Arial"/>
          <w:bCs/>
          <w:lang w:val="es-MX"/>
        </w:rPr>
      </w:pPr>
      <w:r w:rsidRPr="00FA587B">
        <w:rPr>
          <w:rFonts w:ascii="Arial" w:hAnsi="Arial" w:cs="Arial"/>
          <w:bCs/>
          <w:lang w:val="es-MX"/>
        </w:rPr>
        <w:t xml:space="preserve">Para la Sala, es claro que </w:t>
      </w:r>
      <w:r w:rsidR="00C54621" w:rsidRPr="00FA587B">
        <w:rPr>
          <w:rFonts w:ascii="Arial" w:hAnsi="Arial" w:cs="Arial"/>
          <w:bCs/>
          <w:lang w:val="es-MX"/>
        </w:rPr>
        <w:t>esta última situación</w:t>
      </w:r>
      <w:r w:rsidRPr="00FA587B">
        <w:rPr>
          <w:rFonts w:ascii="Arial" w:hAnsi="Arial" w:cs="Arial"/>
          <w:bCs/>
          <w:lang w:val="es-MX"/>
        </w:rPr>
        <w:t xml:space="preserve"> no resulta atribuible al contratista, pues el cam</w:t>
      </w:r>
      <w:r w:rsidR="00C54621" w:rsidRPr="00FA587B">
        <w:rPr>
          <w:rFonts w:ascii="Arial" w:hAnsi="Arial" w:cs="Arial"/>
          <w:bCs/>
          <w:lang w:val="es-MX"/>
        </w:rPr>
        <w:t>bio de los diseños para adaptar</w:t>
      </w:r>
      <w:r w:rsidRPr="00FA587B">
        <w:rPr>
          <w:rFonts w:ascii="Arial" w:hAnsi="Arial" w:cs="Arial"/>
          <w:bCs/>
          <w:lang w:val="es-MX"/>
        </w:rPr>
        <w:t xml:space="preserve"> la obra a las nuevas condiciones</w:t>
      </w:r>
      <w:r w:rsidR="00C54621" w:rsidRPr="00FA587B">
        <w:rPr>
          <w:rFonts w:ascii="Arial" w:hAnsi="Arial" w:cs="Arial"/>
          <w:bCs/>
          <w:lang w:val="es-MX"/>
        </w:rPr>
        <w:t xml:space="preserve"> de accesibilidad</w:t>
      </w:r>
      <w:r w:rsidRPr="00FA587B">
        <w:rPr>
          <w:rFonts w:ascii="Arial" w:hAnsi="Arial" w:cs="Arial"/>
          <w:bCs/>
          <w:lang w:val="es-MX"/>
        </w:rPr>
        <w:t xml:space="preserve"> fue generado por circunstancias ajenas a su voluntad y</w:t>
      </w:r>
      <w:r w:rsidR="009518FB" w:rsidRPr="00FA587B">
        <w:rPr>
          <w:rFonts w:ascii="Arial" w:hAnsi="Arial" w:cs="Arial"/>
          <w:bCs/>
          <w:lang w:val="es-MX"/>
        </w:rPr>
        <w:t>, probablemente,</w:t>
      </w:r>
      <w:r w:rsidRPr="00FA587B">
        <w:rPr>
          <w:rFonts w:ascii="Arial" w:hAnsi="Arial" w:cs="Arial"/>
          <w:bCs/>
          <w:lang w:val="es-MX"/>
        </w:rPr>
        <w:t xml:space="preserve"> imputables a una indebida </w:t>
      </w:r>
      <w:r w:rsidR="00C54621" w:rsidRPr="00FA587B">
        <w:rPr>
          <w:rFonts w:ascii="Arial" w:hAnsi="Arial" w:cs="Arial"/>
          <w:bCs/>
          <w:lang w:val="es-MX"/>
        </w:rPr>
        <w:t xml:space="preserve">planeación </w:t>
      </w:r>
      <w:r w:rsidRPr="00FA587B">
        <w:rPr>
          <w:rFonts w:ascii="Arial" w:hAnsi="Arial" w:cs="Arial"/>
          <w:bCs/>
          <w:lang w:val="es-MX"/>
        </w:rPr>
        <w:t>contractual por parte de la entidad</w:t>
      </w:r>
      <w:r w:rsidR="00C54621" w:rsidRPr="00FA587B">
        <w:rPr>
          <w:rFonts w:ascii="Arial" w:hAnsi="Arial" w:cs="Arial"/>
          <w:bCs/>
          <w:lang w:val="es-MX"/>
        </w:rPr>
        <w:t xml:space="preserve"> estatal</w:t>
      </w:r>
      <w:r w:rsidRPr="00FA587B">
        <w:rPr>
          <w:rFonts w:ascii="Arial" w:hAnsi="Arial" w:cs="Arial"/>
          <w:bCs/>
          <w:lang w:val="es-MX"/>
        </w:rPr>
        <w:t>,</w:t>
      </w:r>
      <w:r w:rsidR="00C54621" w:rsidRPr="00FA587B">
        <w:rPr>
          <w:rFonts w:ascii="Arial" w:hAnsi="Arial" w:cs="Arial"/>
          <w:bCs/>
          <w:lang w:val="es-MX"/>
        </w:rPr>
        <w:t xml:space="preserve"> </w:t>
      </w:r>
      <w:r w:rsidR="00B228E4" w:rsidRPr="00FA587B">
        <w:rPr>
          <w:rFonts w:ascii="Arial" w:hAnsi="Arial" w:cs="Arial"/>
          <w:bCs/>
          <w:lang w:val="es-MX"/>
        </w:rPr>
        <w:t xml:space="preserve">organismo que </w:t>
      </w:r>
      <w:r w:rsidR="00C54621" w:rsidRPr="00FA587B">
        <w:rPr>
          <w:rFonts w:ascii="Arial" w:hAnsi="Arial" w:cs="Arial"/>
          <w:bCs/>
          <w:lang w:val="es-MX"/>
        </w:rPr>
        <w:t xml:space="preserve">en la etapa previa al procedimiento </w:t>
      </w:r>
      <w:r w:rsidR="00B228E4" w:rsidRPr="00FA587B">
        <w:rPr>
          <w:rFonts w:ascii="Arial" w:hAnsi="Arial" w:cs="Arial"/>
          <w:bCs/>
          <w:lang w:val="es-MX"/>
        </w:rPr>
        <w:t>de selección debió adelantar</w:t>
      </w:r>
      <w:r w:rsidR="00C54621" w:rsidRPr="00FA587B">
        <w:rPr>
          <w:rFonts w:ascii="Arial" w:hAnsi="Arial" w:cs="Arial"/>
          <w:bCs/>
          <w:lang w:val="es-MX"/>
        </w:rPr>
        <w:t xml:space="preserve"> estudios pertinentes </w:t>
      </w:r>
      <w:r w:rsidR="00B228E4" w:rsidRPr="00FA587B">
        <w:rPr>
          <w:rFonts w:ascii="Arial" w:hAnsi="Arial" w:cs="Arial"/>
          <w:bCs/>
          <w:lang w:val="es-MX"/>
        </w:rPr>
        <w:t xml:space="preserve">dirigidos a </w:t>
      </w:r>
      <w:r w:rsidR="00C54621" w:rsidRPr="00FA587B">
        <w:rPr>
          <w:rFonts w:ascii="Arial" w:hAnsi="Arial" w:cs="Arial"/>
          <w:bCs/>
          <w:lang w:val="es-MX"/>
        </w:rPr>
        <w:t xml:space="preserve">establecer que las especificaciones posteriormente requeridas </w:t>
      </w:r>
      <w:r w:rsidR="00A20A29" w:rsidRPr="00FA587B">
        <w:rPr>
          <w:rFonts w:ascii="Arial" w:hAnsi="Arial" w:cs="Arial"/>
          <w:bCs/>
          <w:lang w:val="es-MX"/>
        </w:rPr>
        <w:t xml:space="preserve">consultaran y </w:t>
      </w:r>
      <w:r w:rsidR="00C54621" w:rsidRPr="00FA587B">
        <w:rPr>
          <w:rFonts w:ascii="Arial" w:hAnsi="Arial" w:cs="Arial"/>
          <w:bCs/>
          <w:lang w:val="es-MX"/>
        </w:rPr>
        <w:t xml:space="preserve">se ajustaran a las necesidades que se pretendían satisfacer </w:t>
      </w:r>
      <w:r w:rsidR="002D7BA2" w:rsidRPr="00FA587B">
        <w:rPr>
          <w:rFonts w:ascii="Arial" w:hAnsi="Arial" w:cs="Arial"/>
          <w:bCs/>
          <w:lang w:val="es-MX"/>
        </w:rPr>
        <w:t xml:space="preserve">a través de </w:t>
      </w:r>
      <w:r w:rsidR="00C54621" w:rsidRPr="00FA587B">
        <w:rPr>
          <w:rFonts w:ascii="Arial" w:hAnsi="Arial" w:cs="Arial"/>
          <w:bCs/>
          <w:lang w:val="es-MX"/>
        </w:rPr>
        <w:t xml:space="preserve">la ejecución del proyecto. </w:t>
      </w:r>
    </w:p>
    <w:p w:rsidR="00B73DD4" w:rsidRPr="00FA587B" w:rsidRDefault="00B73DD4" w:rsidP="00FA587B">
      <w:pPr>
        <w:autoSpaceDN w:val="0"/>
        <w:spacing w:line="360" w:lineRule="auto"/>
        <w:jc w:val="both"/>
        <w:rPr>
          <w:rFonts w:ascii="Arial" w:hAnsi="Arial" w:cs="Arial"/>
          <w:lang w:val="es-ES_tradnl" w:eastAsia="es-CO"/>
        </w:rPr>
      </w:pPr>
      <w:r w:rsidRPr="00FA587B">
        <w:rPr>
          <w:rFonts w:ascii="Arial" w:hAnsi="Arial" w:cs="Arial"/>
          <w:lang w:val="es-ES_tradnl" w:eastAsia="es-CO"/>
        </w:rPr>
        <w:t>Sin embargo, para decidir esta cuestión viene al caso recordar que al suscribir el acuerdo modificat</w:t>
      </w:r>
      <w:r w:rsidR="00C54621" w:rsidRPr="00FA587B">
        <w:rPr>
          <w:rFonts w:ascii="Arial" w:hAnsi="Arial" w:cs="Arial"/>
          <w:lang w:val="es-ES_tradnl" w:eastAsia="es-CO"/>
        </w:rPr>
        <w:t>orio No. 2</w:t>
      </w:r>
      <w:r w:rsidRPr="00FA587B">
        <w:rPr>
          <w:rFonts w:ascii="Arial" w:hAnsi="Arial" w:cs="Arial"/>
          <w:lang w:val="es-ES_tradnl" w:eastAsia="es-CO"/>
        </w:rPr>
        <w:t>, expresamente se incorporó en su texto que su suscripción no</w:t>
      </w:r>
      <w:r w:rsidR="0011365D" w:rsidRPr="00FA587B">
        <w:rPr>
          <w:rFonts w:ascii="Arial" w:hAnsi="Arial" w:cs="Arial"/>
          <w:lang w:val="es-ES_tradnl" w:eastAsia="es-CO"/>
        </w:rPr>
        <w:t xml:space="preserve"> generaría costos para el IDU</w:t>
      </w:r>
      <w:r w:rsidRPr="00FA587B">
        <w:rPr>
          <w:rFonts w:ascii="Arial" w:hAnsi="Arial" w:cs="Arial"/>
          <w:lang w:val="es-ES_tradnl" w:eastAsia="es-CO"/>
        </w:rPr>
        <w:t xml:space="preserve">. </w:t>
      </w:r>
    </w:p>
    <w:p w:rsidR="00B73DD4" w:rsidRPr="00FA587B" w:rsidRDefault="00B73DD4" w:rsidP="00FA587B">
      <w:pPr>
        <w:autoSpaceDN w:val="0"/>
        <w:spacing w:line="360" w:lineRule="auto"/>
        <w:jc w:val="both"/>
        <w:rPr>
          <w:rFonts w:ascii="Arial" w:hAnsi="Arial" w:cs="Arial"/>
          <w:lang w:val="es-ES_tradnl" w:eastAsia="es-CO"/>
        </w:rPr>
      </w:pPr>
      <w:r w:rsidRPr="00FA587B">
        <w:rPr>
          <w:rFonts w:ascii="Arial" w:hAnsi="Arial" w:cs="Arial"/>
          <w:lang w:val="es-ES_tradnl" w:eastAsia="es-CO"/>
        </w:rPr>
        <w:t>Siendo ello así y no habiéndose cuestionado la legalidad del acuerdo en comento, debe concluirse que el mismo goza de validez y las estipulaciones allí contenidas están llamadas a producir plenos efectos. En ese orden, no resulta ajustado que en sede judicial se desconozca el libre consentimiento que en dicho acuerdo se depositó frente a la</w:t>
      </w:r>
      <w:r w:rsidR="0019253D" w:rsidRPr="00FA587B">
        <w:rPr>
          <w:rFonts w:ascii="Arial" w:hAnsi="Arial" w:cs="Arial"/>
          <w:lang w:val="es-ES_tradnl" w:eastAsia="es-CO"/>
        </w:rPr>
        <w:t xml:space="preserve"> ausencia de costos a cargo del ente contratante</w:t>
      </w:r>
      <w:r w:rsidR="00B228E4" w:rsidRPr="00FA587B">
        <w:rPr>
          <w:rFonts w:ascii="Arial" w:hAnsi="Arial" w:cs="Arial"/>
          <w:lang w:val="es-ES_tradnl" w:eastAsia="es-CO"/>
        </w:rPr>
        <w:t xml:space="preserve"> por causa de la ampliación del plazo</w:t>
      </w:r>
      <w:r w:rsidRPr="00FA587B">
        <w:rPr>
          <w:rFonts w:ascii="Arial" w:hAnsi="Arial" w:cs="Arial"/>
          <w:vertAlign w:val="superscript"/>
          <w:lang w:val="es-ES_tradnl" w:eastAsia="es-CO"/>
        </w:rPr>
        <w:footnoteReference w:id="22"/>
      </w:r>
      <w:r w:rsidRPr="00FA587B">
        <w:rPr>
          <w:rFonts w:ascii="Arial" w:hAnsi="Arial" w:cs="Arial"/>
          <w:lang w:val="es-ES_tradnl" w:eastAsia="es-CO"/>
        </w:rPr>
        <w:t xml:space="preserve">. </w:t>
      </w:r>
    </w:p>
    <w:p w:rsidR="00D60214" w:rsidRPr="00FA587B" w:rsidRDefault="00B73DD4" w:rsidP="00FA587B">
      <w:pPr>
        <w:autoSpaceDN w:val="0"/>
        <w:spacing w:line="360" w:lineRule="auto"/>
        <w:jc w:val="both"/>
        <w:rPr>
          <w:rFonts w:ascii="Arial" w:hAnsi="Arial" w:cs="Arial"/>
          <w:lang w:val="es-ES_tradnl" w:eastAsia="es-CO"/>
        </w:rPr>
      </w:pPr>
      <w:r w:rsidRPr="00FA587B">
        <w:rPr>
          <w:rFonts w:ascii="Arial" w:hAnsi="Arial" w:cs="Arial"/>
          <w:lang w:val="es-ES_tradnl" w:eastAsia="es-CO"/>
        </w:rPr>
        <w:lastRenderedPageBreak/>
        <w:t>Ante el panorama expuesto, la Sala estima que no es posible acceder al reconocimiento de los perjuicios por concepto de la mayor permanencia en ob</w:t>
      </w:r>
      <w:r w:rsidR="00C54621" w:rsidRPr="00FA587B">
        <w:rPr>
          <w:rFonts w:ascii="Arial" w:hAnsi="Arial" w:cs="Arial"/>
          <w:lang w:val="es-ES_tradnl" w:eastAsia="es-CO"/>
        </w:rPr>
        <w:t>ra derivada de la prórroga No. 2</w:t>
      </w:r>
      <w:r w:rsidRPr="00FA587B">
        <w:rPr>
          <w:rFonts w:ascii="Arial" w:hAnsi="Arial" w:cs="Arial"/>
          <w:lang w:val="es-ES_tradnl" w:eastAsia="es-CO"/>
        </w:rPr>
        <w:t xml:space="preserve">. </w:t>
      </w:r>
    </w:p>
    <w:p w:rsidR="006C0662" w:rsidRPr="00FA587B" w:rsidRDefault="006A16E6" w:rsidP="00FA587B">
      <w:pPr>
        <w:spacing w:line="360" w:lineRule="auto"/>
        <w:jc w:val="both"/>
        <w:rPr>
          <w:rFonts w:ascii="Arial" w:hAnsi="Arial" w:cs="Arial"/>
          <w:u w:val="single"/>
        </w:rPr>
      </w:pPr>
      <w:r w:rsidRPr="00FA587B">
        <w:rPr>
          <w:rFonts w:ascii="Arial" w:hAnsi="Arial" w:cs="Arial"/>
          <w:u w:val="single"/>
        </w:rPr>
        <w:t>Contrato adicional No. 3</w:t>
      </w:r>
    </w:p>
    <w:p w:rsidR="00D47198" w:rsidRPr="00FA587B" w:rsidRDefault="00D47198" w:rsidP="00FA587B">
      <w:pPr>
        <w:spacing w:line="360" w:lineRule="auto"/>
        <w:jc w:val="both"/>
        <w:rPr>
          <w:rFonts w:ascii="Arial" w:hAnsi="Arial" w:cs="Arial"/>
          <w:u w:val="single"/>
        </w:rPr>
      </w:pPr>
    </w:p>
    <w:p w:rsidR="00D47198" w:rsidRPr="00FA587B" w:rsidRDefault="00D47198" w:rsidP="00FA587B">
      <w:pPr>
        <w:spacing w:line="360" w:lineRule="auto"/>
        <w:jc w:val="both"/>
        <w:rPr>
          <w:rFonts w:ascii="Arial" w:hAnsi="Arial" w:cs="Arial"/>
          <w:lang w:val="es-CO"/>
        </w:rPr>
      </w:pPr>
      <w:r w:rsidRPr="00FA587B">
        <w:rPr>
          <w:rFonts w:ascii="Arial" w:hAnsi="Arial" w:cs="Arial"/>
          <w:lang w:val="es-CO"/>
        </w:rPr>
        <w:t>El 3 de agosto de 2007</w:t>
      </w:r>
      <w:r w:rsidR="006C19FA" w:rsidRPr="00FA587B">
        <w:rPr>
          <w:rFonts w:ascii="Arial" w:hAnsi="Arial" w:cs="Arial"/>
          <w:lang w:val="es-CO"/>
        </w:rPr>
        <w:t>,</w:t>
      </w:r>
      <w:r w:rsidRPr="00FA587B">
        <w:rPr>
          <w:rFonts w:ascii="Arial" w:hAnsi="Arial" w:cs="Arial"/>
          <w:lang w:val="es-CO"/>
        </w:rPr>
        <w:t xml:space="preserve"> las partes celebraron el Contrato Adicional No. 03, a través del cual extendieron el plazo por un mes en la etapa de construcción y 29 días en la etapa de recibo de obras. </w:t>
      </w:r>
    </w:p>
    <w:p w:rsidR="00D47198" w:rsidRPr="00FA587B" w:rsidRDefault="00D47198" w:rsidP="00FA587B">
      <w:pPr>
        <w:spacing w:line="360" w:lineRule="auto"/>
        <w:jc w:val="both"/>
        <w:rPr>
          <w:rFonts w:ascii="Arial" w:hAnsi="Arial" w:cs="Arial"/>
          <w:lang w:val="es-CO"/>
        </w:rPr>
      </w:pPr>
    </w:p>
    <w:p w:rsidR="00CA557A" w:rsidRPr="00FA587B" w:rsidRDefault="00D47198" w:rsidP="00FA587B">
      <w:pPr>
        <w:spacing w:line="360" w:lineRule="auto"/>
        <w:jc w:val="both"/>
        <w:rPr>
          <w:rFonts w:ascii="Arial" w:hAnsi="Arial" w:cs="Arial"/>
          <w:lang w:val="es-CO"/>
        </w:rPr>
      </w:pPr>
      <w:r w:rsidRPr="00FA587B">
        <w:rPr>
          <w:rFonts w:ascii="Arial" w:hAnsi="Arial" w:cs="Arial"/>
          <w:lang w:val="es-CO"/>
        </w:rPr>
        <w:t xml:space="preserve">En el documento firmado </w:t>
      </w:r>
      <w:r w:rsidR="00CA557A" w:rsidRPr="00FA587B">
        <w:rPr>
          <w:rFonts w:ascii="Arial" w:hAnsi="Arial" w:cs="Arial"/>
          <w:lang w:val="es-CO"/>
        </w:rPr>
        <w:t xml:space="preserve">en esa misma fecha y </w:t>
      </w:r>
      <w:r w:rsidRPr="00FA587B">
        <w:rPr>
          <w:rFonts w:ascii="Arial" w:hAnsi="Arial" w:cs="Arial"/>
          <w:lang w:val="es-CO"/>
        </w:rPr>
        <w:t xml:space="preserve">que </w:t>
      </w:r>
      <w:r w:rsidR="00CA557A" w:rsidRPr="00FA587B">
        <w:rPr>
          <w:rFonts w:ascii="Arial" w:hAnsi="Arial" w:cs="Arial"/>
          <w:lang w:val="es-CO"/>
        </w:rPr>
        <w:t>brindó soporte a</w:t>
      </w:r>
      <w:r w:rsidRPr="00FA587B">
        <w:rPr>
          <w:rFonts w:ascii="Arial" w:hAnsi="Arial" w:cs="Arial"/>
          <w:lang w:val="es-CO"/>
        </w:rPr>
        <w:t xml:space="preserve"> la referida prórroga, conjuntamente las partes y el interventor expresaron que en el tramo 118 la ejecución se produjo en un período superior al est</w:t>
      </w:r>
      <w:r w:rsidR="00435591" w:rsidRPr="00FA587B">
        <w:rPr>
          <w:rFonts w:ascii="Arial" w:hAnsi="Arial" w:cs="Arial"/>
          <w:lang w:val="es-CO"/>
        </w:rPr>
        <w:t>imado por razón de</w:t>
      </w:r>
      <w:r w:rsidRPr="00FA587B">
        <w:rPr>
          <w:rFonts w:ascii="Arial" w:hAnsi="Arial" w:cs="Arial"/>
          <w:lang w:val="es-CO"/>
        </w:rPr>
        <w:t>l inconformismo de la comunidad frente</w:t>
      </w:r>
      <w:r w:rsidR="000841BE" w:rsidRPr="00FA587B">
        <w:rPr>
          <w:rFonts w:ascii="Arial" w:hAnsi="Arial" w:cs="Arial"/>
          <w:lang w:val="es-CO"/>
        </w:rPr>
        <w:t xml:space="preserve"> a los diseños iniciales.</w:t>
      </w:r>
    </w:p>
    <w:p w:rsidR="00CC2FCB" w:rsidRPr="00FA587B" w:rsidRDefault="00CC2FCB" w:rsidP="00FA587B">
      <w:pPr>
        <w:spacing w:line="360" w:lineRule="auto"/>
        <w:jc w:val="both"/>
        <w:rPr>
          <w:rFonts w:ascii="Arial" w:hAnsi="Arial" w:cs="Arial"/>
          <w:lang w:val="es-CO"/>
        </w:rPr>
      </w:pPr>
    </w:p>
    <w:p w:rsidR="00D47198" w:rsidRPr="00FA587B" w:rsidRDefault="00D47198" w:rsidP="00FA587B">
      <w:pPr>
        <w:spacing w:line="360" w:lineRule="auto"/>
        <w:jc w:val="both"/>
        <w:rPr>
          <w:rFonts w:ascii="Arial" w:hAnsi="Arial" w:cs="Arial"/>
          <w:lang w:val="es-CO"/>
        </w:rPr>
      </w:pPr>
      <w:r w:rsidRPr="00FA587B">
        <w:rPr>
          <w:rFonts w:ascii="Arial" w:hAnsi="Arial" w:cs="Arial"/>
          <w:lang w:val="es-CO"/>
        </w:rPr>
        <w:lastRenderedPageBreak/>
        <w:t xml:space="preserve">Las divergencias existentes </w:t>
      </w:r>
      <w:r w:rsidR="00871661" w:rsidRPr="00FA587B">
        <w:rPr>
          <w:rFonts w:ascii="Arial" w:hAnsi="Arial" w:cs="Arial"/>
          <w:lang w:val="es-CO"/>
        </w:rPr>
        <w:t>gravitaron en torno a los requerimientos formulados por la comunidad acerca d</w:t>
      </w:r>
      <w:r w:rsidR="00435591" w:rsidRPr="00FA587B">
        <w:rPr>
          <w:rFonts w:ascii="Arial" w:hAnsi="Arial" w:cs="Arial"/>
          <w:lang w:val="es-CO"/>
        </w:rPr>
        <w:t>e la necesidad de cambiar el</w:t>
      </w:r>
      <w:r w:rsidRPr="00FA587B">
        <w:rPr>
          <w:rFonts w:ascii="Arial" w:hAnsi="Arial" w:cs="Arial"/>
          <w:lang w:val="es-CO"/>
        </w:rPr>
        <w:t xml:space="preserve"> uso peatonal de la vía por </w:t>
      </w:r>
      <w:r w:rsidR="00435591" w:rsidRPr="00FA587B">
        <w:rPr>
          <w:rFonts w:ascii="Arial" w:hAnsi="Arial" w:cs="Arial"/>
          <w:lang w:val="es-CO"/>
        </w:rPr>
        <w:t xml:space="preserve">el </w:t>
      </w:r>
      <w:r w:rsidRPr="00FA587B">
        <w:rPr>
          <w:rFonts w:ascii="Arial" w:hAnsi="Arial" w:cs="Arial"/>
          <w:lang w:val="es-CO"/>
        </w:rPr>
        <w:t>uso vehicular</w:t>
      </w:r>
      <w:r w:rsidR="00435591" w:rsidRPr="00FA587B">
        <w:rPr>
          <w:rFonts w:ascii="Arial" w:hAnsi="Arial" w:cs="Arial"/>
          <w:lang w:val="es-CO"/>
        </w:rPr>
        <w:t xml:space="preserve"> en procura de</w:t>
      </w:r>
      <w:r w:rsidRPr="00FA587B">
        <w:rPr>
          <w:rFonts w:ascii="Arial" w:hAnsi="Arial" w:cs="Arial"/>
          <w:lang w:val="es-CO"/>
        </w:rPr>
        <w:t xml:space="preserve"> garantizar el acceso de las personas discapacitadas a sus viviendas. La situación narrada </w:t>
      </w:r>
      <w:r w:rsidR="000F6C29" w:rsidRPr="00FA587B">
        <w:rPr>
          <w:rFonts w:ascii="Arial" w:hAnsi="Arial" w:cs="Arial"/>
          <w:lang w:val="es-CO"/>
        </w:rPr>
        <w:t>llevó a la readecuación</w:t>
      </w:r>
      <w:r w:rsidRPr="00FA587B">
        <w:rPr>
          <w:rFonts w:ascii="Arial" w:hAnsi="Arial" w:cs="Arial"/>
          <w:lang w:val="es-CO"/>
        </w:rPr>
        <w:t xml:space="preserve"> la vía para lograr la</w:t>
      </w:r>
      <w:r w:rsidR="000841BE" w:rsidRPr="00FA587B">
        <w:rPr>
          <w:rFonts w:ascii="Arial" w:hAnsi="Arial" w:cs="Arial"/>
          <w:lang w:val="es-CO"/>
        </w:rPr>
        <w:t xml:space="preserve"> accesibilidad de los residentes</w:t>
      </w:r>
      <w:r w:rsidRPr="00FA587B">
        <w:rPr>
          <w:rFonts w:ascii="Arial" w:hAnsi="Arial" w:cs="Arial"/>
          <w:lang w:val="es-CO"/>
        </w:rPr>
        <w:t xml:space="preserve"> con problemas de movilidad. </w:t>
      </w:r>
    </w:p>
    <w:p w:rsidR="00D47198" w:rsidRPr="00FA587B" w:rsidRDefault="00D47198" w:rsidP="00FA587B">
      <w:pPr>
        <w:spacing w:line="360" w:lineRule="auto"/>
        <w:jc w:val="both"/>
        <w:rPr>
          <w:rFonts w:ascii="Arial" w:hAnsi="Arial" w:cs="Arial"/>
          <w:lang w:val="es-CO"/>
        </w:rPr>
      </w:pPr>
    </w:p>
    <w:p w:rsidR="00D47198" w:rsidRPr="00FA587B" w:rsidRDefault="00D47198" w:rsidP="00FA587B">
      <w:pPr>
        <w:spacing w:line="360" w:lineRule="auto"/>
        <w:jc w:val="both"/>
        <w:rPr>
          <w:rFonts w:ascii="Arial" w:hAnsi="Arial" w:cs="Arial"/>
          <w:lang w:val="es-CO"/>
        </w:rPr>
      </w:pPr>
      <w:r w:rsidRPr="00FA587B">
        <w:rPr>
          <w:rFonts w:ascii="Arial" w:hAnsi="Arial" w:cs="Arial"/>
          <w:lang w:val="es-CO"/>
        </w:rPr>
        <w:t>En rel</w:t>
      </w:r>
      <w:r w:rsidR="000841BE" w:rsidRPr="00FA587B">
        <w:rPr>
          <w:rFonts w:ascii="Arial" w:hAnsi="Arial" w:cs="Arial"/>
          <w:lang w:val="es-CO"/>
        </w:rPr>
        <w:t>ación con el tramo 113</w:t>
      </w:r>
      <w:r w:rsidR="00990DB8" w:rsidRPr="00FA587B">
        <w:rPr>
          <w:rFonts w:ascii="Arial" w:hAnsi="Arial" w:cs="Arial"/>
          <w:lang w:val="es-CO"/>
        </w:rPr>
        <w:t>,</w:t>
      </w:r>
      <w:r w:rsidR="000841BE" w:rsidRPr="00FA587B">
        <w:rPr>
          <w:rFonts w:ascii="Arial" w:hAnsi="Arial" w:cs="Arial"/>
          <w:lang w:val="es-CO"/>
        </w:rPr>
        <w:t xml:space="preserve"> señalaron</w:t>
      </w:r>
      <w:r w:rsidRPr="00FA587B">
        <w:rPr>
          <w:rFonts w:ascii="Arial" w:hAnsi="Arial" w:cs="Arial"/>
          <w:lang w:val="es-CO"/>
        </w:rPr>
        <w:t xml:space="preserve"> que la construcción de estructuras de más de 4 mts de altura generó inestabilidad en el terreno, lo cual provocó retrasos en la ejecución de las obras. A la par</w:t>
      </w:r>
      <w:r w:rsidR="00F36CDD" w:rsidRPr="00FA587B">
        <w:rPr>
          <w:rFonts w:ascii="Arial" w:hAnsi="Arial" w:cs="Arial"/>
          <w:lang w:val="es-CO"/>
        </w:rPr>
        <w:t>,</w:t>
      </w:r>
      <w:r w:rsidRPr="00FA587B">
        <w:rPr>
          <w:rFonts w:ascii="Arial" w:hAnsi="Arial" w:cs="Arial"/>
          <w:lang w:val="es-CO"/>
        </w:rPr>
        <w:t xml:space="preserve"> se añadió que por ser un tramo de alta complejidad de acceso por la inestabilidad del terreno</w:t>
      </w:r>
      <w:r w:rsidR="00CA557A" w:rsidRPr="00FA587B">
        <w:rPr>
          <w:rFonts w:ascii="Arial" w:hAnsi="Arial" w:cs="Arial"/>
          <w:lang w:val="es-CO"/>
        </w:rPr>
        <w:t>,</w:t>
      </w:r>
      <w:r w:rsidRPr="00FA587B">
        <w:rPr>
          <w:rFonts w:ascii="Arial" w:hAnsi="Arial" w:cs="Arial"/>
          <w:lang w:val="es-CO"/>
        </w:rPr>
        <w:t xml:space="preserve"> se solicitó un cambio en la especificación de los materiales para la construcción de los pozos de inspección de la red sanitaria, por no ser procedente la construcción de estructuras convencionales. Se anotó que este cambio requería un trámite de autorización por parte de la EAAB que se produjo formalmente en julio. </w:t>
      </w:r>
    </w:p>
    <w:p w:rsidR="00D47198" w:rsidRPr="00FA587B" w:rsidRDefault="00D47198" w:rsidP="00FA587B">
      <w:pPr>
        <w:spacing w:line="360" w:lineRule="auto"/>
        <w:jc w:val="both"/>
        <w:rPr>
          <w:rFonts w:ascii="Arial" w:hAnsi="Arial" w:cs="Arial"/>
          <w:lang w:val="es-CO"/>
        </w:rPr>
      </w:pPr>
    </w:p>
    <w:p w:rsidR="00D47198" w:rsidRPr="00FA587B" w:rsidRDefault="00D47198" w:rsidP="00FA587B">
      <w:pPr>
        <w:spacing w:line="360" w:lineRule="auto"/>
        <w:jc w:val="both"/>
        <w:rPr>
          <w:rFonts w:ascii="Arial" w:hAnsi="Arial" w:cs="Arial"/>
          <w:lang w:val="es-CO"/>
        </w:rPr>
      </w:pPr>
      <w:r w:rsidRPr="00FA587B">
        <w:rPr>
          <w:rFonts w:ascii="Arial" w:hAnsi="Arial" w:cs="Arial"/>
          <w:lang w:val="es-CO"/>
        </w:rPr>
        <w:t>También, se hizo alu</w:t>
      </w:r>
      <w:r w:rsidR="000B1EE4" w:rsidRPr="00FA587B">
        <w:rPr>
          <w:rFonts w:ascii="Arial" w:hAnsi="Arial" w:cs="Arial"/>
          <w:lang w:val="es-CO"/>
        </w:rPr>
        <w:t>sión a la necesidad de reubicar</w:t>
      </w:r>
      <w:r w:rsidRPr="00FA587B">
        <w:rPr>
          <w:rFonts w:ascii="Arial" w:hAnsi="Arial" w:cs="Arial"/>
          <w:lang w:val="es-CO"/>
        </w:rPr>
        <w:t xml:space="preserve"> unos postes de energía que intervenían con la construcción del tramo, los cuales no habían sido trasladados por CODENSA</w:t>
      </w:r>
      <w:r w:rsidR="00432C1A" w:rsidRPr="00FA587B">
        <w:rPr>
          <w:rFonts w:ascii="Arial" w:hAnsi="Arial" w:cs="Arial"/>
          <w:lang w:val="es-CO"/>
        </w:rPr>
        <w:t>,</w:t>
      </w:r>
      <w:r w:rsidRPr="00FA587B">
        <w:rPr>
          <w:rFonts w:ascii="Arial" w:hAnsi="Arial" w:cs="Arial"/>
          <w:lang w:val="es-CO"/>
        </w:rPr>
        <w:t xml:space="preserve"> dada la complejidad para el ingreso de la grúa a ese tramo. Igualmente se presentaron problemas de orden público que impidieron el traslado oportuno de unos postes a cargo de la EAAB.</w:t>
      </w:r>
    </w:p>
    <w:p w:rsidR="002B7405" w:rsidRPr="00FA587B" w:rsidRDefault="002B7405" w:rsidP="00FA587B">
      <w:pPr>
        <w:spacing w:line="360" w:lineRule="auto"/>
        <w:jc w:val="both"/>
        <w:rPr>
          <w:rFonts w:ascii="Arial" w:hAnsi="Arial" w:cs="Arial"/>
        </w:rPr>
      </w:pPr>
    </w:p>
    <w:p w:rsidR="000841BE" w:rsidRPr="00FA587B" w:rsidRDefault="000841BE" w:rsidP="00FA587B">
      <w:pPr>
        <w:spacing w:line="360" w:lineRule="auto"/>
        <w:jc w:val="both"/>
        <w:rPr>
          <w:rFonts w:ascii="Arial" w:hAnsi="Arial" w:cs="Arial"/>
        </w:rPr>
      </w:pPr>
      <w:r w:rsidRPr="00FA587B">
        <w:rPr>
          <w:rFonts w:ascii="Arial" w:hAnsi="Arial" w:cs="Arial"/>
        </w:rPr>
        <w:t xml:space="preserve">De conformidad con lo relatado, para la Sala </w:t>
      </w:r>
      <w:r w:rsidR="00CA557A" w:rsidRPr="00FA587B">
        <w:rPr>
          <w:rFonts w:ascii="Arial" w:hAnsi="Arial" w:cs="Arial"/>
        </w:rPr>
        <w:t xml:space="preserve">surge con nitidez </w:t>
      </w:r>
      <w:r w:rsidRPr="00FA587B">
        <w:rPr>
          <w:rFonts w:ascii="Arial" w:hAnsi="Arial" w:cs="Arial"/>
        </w:rPr>
        <w:t xml:space="preserve">que la celebración </w:t>
      </w:r>
      <w:r w:rsidR="00EF374E" w:rsidRPr="00FA587B">
        <w:rPr>
          <w:rFonts w:ascii="Arial" w:hAnsi="Arial" w:cs="Arial"/>
        </w:rPr>
        <w:t xml:space="preserve">del Contrato Adicional No. 03 fue producto de la prolongación </w:t>
      </w:r>
      <w:r w:rsidR="009C0042" w:rsidRPr="00FA587B">
        <w:rPr>
          <w:rFonts w:ascii="Arial" w:hAnsi="Arial" w:cs="Arial"/>
        </w:rPr>
        <w:t>en el término de</w:t>
      </w:r>
      <w:r w:rsidR="00EF374E" w:rsidRPr="00FA587B">
        <w:rPr>
          <w:rFonts w:ascii="Arial" w:hAnsi="Arial" w:cs="Arial"/>
        </w:rPr>
        <w:t xml:space="preserve"> ejecución de las obras derivada</w:t>
      </w:r>
      <w:r w:rsidR="00345E9D" w:rsidRPr="00FA587B">
        <w:rPr>
          <w:rFonts w:ascii="Arial" w:hAnsi="Arial" w:cs="Arial"/>
        </w:rPr>
        <w:t>s</w:t>
      </w:r>
      <w:r w:rsidR="00EF374E" w:rsidRPr="00FA587B">
        <w:rPr>
          <w:rFonts w:ascii="Arial" w:hAnsi="Arial" w:cs="Arial"/>
        </w:rPr>
        <w:t xml:space="preserve"> de la adaptación de las vías</w:t>
      </w:r>
      <w:r w:rsidR="009C0042" w:rsidRPr="00FA587B">
        <w:rPr>
          <w:rFonts w:ascii="Arial" w:hAnsi="Arial" w:cs="Arial"/>
        </w:rPr>
        <w:t xml:space="preserve"> para </w:t>
      </w:r>
      <w:r w:rsidR="00345E9D" w:rsidRPr="00FA587B">
        <w:rPr>
          <w:rFonts w:ascii="Arial" w:hAnsi="Arial" w:cs="Arial"/>
        </w:rPr>
        <w:t>garantizar</w:t>
      </w:r>
      <w:r w:rsidR="009C0042" w:rsidRPr="00FA587B">
        <w:rPr>
          <w:rFonts w:ascii="Arial" w:hAnsi="Arial" w:cs="Arial"/>
        </w:rPr>
        <w:t xml:space="preserve"> el acceso vehicular</w:t>
      </w:r>
      <w:r w:rsidR="00FB34EC" w:rsidRPr="00FA587B">
        <w:rPr>
          <w:rFonts w:ascii="Arial" w:hAnsi="Arial" w:cs="Arial"/>
        </w:rPr>
        <w:t xml:space="preserve">, cuya realización a pesar de ser convenida desde la suscripción de la prorroga No. 2 el plazo dispuesto para esa finalidad no fue suficiente. </w:t>
      </w:r>
    </w:p>
    <w:p w:rsidR="00E874E6" w:rsidRPr="00FA587B" w:rsidRDefault="00E874E6" w:rsidP="00FA587B">
      <w:pPr>
        <w:spacing w:line="360" w:lineRule="auto"/>
        <w:jc w:val="both"/>
        <w:rPr>
          <w:rFonts w:ascii="Arial" w:hAnsi="Arial" w:cs="Arial"/>
        </w:rPr>
      </w:pPr>
    </w:p>
    <w:p w:rsidR="00CA24AC" w:rsidRPr="00FA587B" w:rsidRDefault="00E874E6" w:rsidP="00FA587B">
      <w:pPr>
        <w:spacing w:line="360" w:lineRule="auto"/>
        <w:jc w:val="both"/>
        <w:rPr>
          <w:rFonts w:ascii="Arial" w:hAnsi="Arial" w:cs="Arial"/>
        </w:rPr>
      </w:pPr>
      <w:r w:rsidRPr="00FA587B">
        <w:rPr>
          <w:rFonts w:ascii="Arial" w:hAnsi="Arial" w:cs="Arial"/>
        </w:rPr>
        <w:t xml:space="preserve">Confluyeron además otras complicaciones </w:t>
      </w:r>
      <w:r w:rsidR="00735EDB" w:rsidRPr="00FA587B">
        <w:rPr>
          <w:rFonts w:ascii="Arial" w:hAnsi="Arial" w:cs="Arial"/>
        </w:rPr>
        <w:t xml:space="preserve">de tipo </w:t>
      </w:r>
      <w:r w:rsidR="00CA24AC" w:rsidRPr="00FA587B">
        <w:rPr>
          <w:rFonts w:ascii="Arial" w:hAnsi="Arial" w:cs="Arial"/>
        </w:rPr>
        <w:t xml:space="preserve">constructivo surgidas por la inestabilidad del terreno que se generaron por el peso de la estructura. Esto a su turno motivó un cambio en las especificaciones de algunos materiales. </w:t>
      </w:r>
    </w:p>
    <w:p w:rsidR="00CA24AC" w:rsidRPr="00FA587B" w:rsidRDefault="00CA24AC" w:rsidP="00FA587B">
      <w:pPr>
        <w:spacing w:line="360" w:lineRule="auto"/>
        <w:jc w:val="both"/>
        <w:rPr>
          <w:rFonts w:ascii="Arial" w:hAnsi="Arial" w:cs="Arial"/>
        </w:rPr>
      </w:pPr>
    </w:p>
    <w:p w:rsidR="00E874E6" w:rsidRPr="00FA587B" w:rsidRDefault="00CA24AC" w:rsidP="00FA587B">
      <w:pPr>
        <w:spacing w:line="360" w:lineRule="auto"/>
        <w:jc w:val="both"/>
        <w:rPr>
          <w:rFonts w:ascii="Arial" w:hAnsi="Arial" w:cs="Arial"/>
        </w:rPr>
      </w:pPr>
      <w:r w:rsidRPr="00FA587B">
        <w:rPr>
          <w:rFonts w:ascii="Arial" w:hAnsi="Arial" w:cs="Arial"/>
        </w:rPr>
        <w:t xml:space="preserve">Otras de las dificultades que se afrontaron durante esa etapa </w:t>
      </w:r>
      <w:r w:rsidR="00990DB8" w:rsidRPr="00FA587B">
        <w:rPr>
          <w:rFonts w:ascii="Arial" w:hAnsi="Arial" w:cs="Arial"/>
        </w:rPr>
        <w:t>y que</w:t>
      </w:r>
      <w:r w:rsidR="000B1EE4" w:rsidRPr="00FA587B">
        <w:rPr>
          <w:rFonts w:ascii="Arial" w:hAnsi="Arial" w:cs="Arial"/>
        </w:rPr>
        <w:t xml:space="preserve"> incidieron en el retardo de las actividades </w:t>
      </w:r>
      <w:r w:rsidRPr="00FA587B">
        <w:rPr>
          <w:rFonts w:ascii="Arial" w:hAnsi="Arial" w:cs="Arial"/>
        </w:rPr>
        <w:t>estribaron en los trámites y gestiones que debieron adelantarse ante las empresas de servicios públicos</w:t>
      </w:r>
      <w:r w:rsidR="000B1EE4" w:rsidRPr="00FA587B">
        <w:rPr>
          <w:rFonts w:ascii="Arial" w:hAnsi="Arial" w:cs="Arial"/>
        </w:rPr>
        <w:t xml:space="preserve"> domiciliaros. </w:t>
      </w:r>
    </w:p>
    <w:p w:rsidR="000B1EE4" w:rsidRPr="00FA587B" w:rsidRDefault="000B1EE4" w:rsidP="00FA587B">
      <w:pPr>
        <w:spacing w:line="360" w:lineRule="auto"/>
        <w:jc w:val="both"/>
        <w:rPr>
          <w:rFonts w:ascii="Arial" w:hAnsi="Arial" w:cs="Arial"/>
        </w:rPr>
      </w:pPr>
    </w:p>
    <w:p w:rsidR="000B1EE4" w:rsidRPr="00FA587B" w:rsidRDefault="0018260C" w:rsidP="00FA587B">
      <w:pPr>
        <w:spacing w:line="360" w:lineRule="auto"/>
        <w:jc w:val="both"/>
        <w:rPr>
          <w:rFonts w:ascii="Arial" w:hAnsi="Arial" w:cs="Arial"/>
        </w:rPr>
      </w:pPr>
      <w:r w:rsidRPr="00FA587B">
        <w:rPr>
          <w:rFonts w:ascii="Arial" w:hAnsi="Arial" w:cs="Arial"/>
        </w:rPr>
        <w:t xml:space="preserve">Se reitera en este punto que aun cuando no milita en el plenario el pliego de condiciones </w:t>
      </w:r>
      <w:r w:rsidR="00CA557A" w:rsidRPr="00FA587B">
        <w:rPr>
          <w:rFonts w:ascii="Arial" w:hAnsi="Arial" w:cs="Arial"/>
        </w:rPr>
        <w:t xml:space="preserve">en </w:t>
      </w:r>
      <w:r w:rsidRPr="00FA587B">
        <w:rPr>
          <w:rFonts w:ascii="Arial" w:hAnsi="Arial" w:cs="Arial"/>
        </w:rPr>
        <w:t xml:space="preserve">que </w:t>
      </w:r>
      <w:r w:rsidR="00AA2B10" w:rsidRPr="00FA587B">
        <w:rPr>
          <w:rFonts w:ascii="Arial" w:hAnsi="Arial" w:cs="Arial"/>
        </w:rPr>
        <w:t xml:space="preserve">se estructuró </w:t>
      </w:r>
      <w:r w:rsidR="009A56C2" w:rsidRPr="00FA587B">
        <w:rPr>
          <w:rFonts w:ascii="Arial" w:hAnsi="Arial" w:cs="Arial"/>
        </w:rPr>
        <w:t>la convocatoria génesis el negocio jurídico</w:t>
      </w:r>
      <w:r w:rsidRPr="00FA587B">
        <w:rPr>
          <w:rFonts w:ascii="Arial" w:hAnsi="Arial" w:cs="Arial"/>
        </w:rPr>
        <w:t xml:space="preserve"> y se </w:t>
      </w:r>
      <w:r w:rsidRPr="00FA587B">
        <w:rPr>
          <w:rFonts w:ascii="Arial" w:hAnsi="Arial" w:cs="Arial"/>
        </w:rPr>
        <w:lastRenderedPageBreak/>
        <w:t>integr</w:t>
      </w:r>
      <w:r w:rsidR="00871661" w:rsidRPr="00FA587B">
        <w:rPr>
          <w:rFonts w:ascii="Arial" w:hAnsi="Arial" w:cs="Arial"/>
        </w:rPr>
        <w:t>ó al C</w:t>
      </w:r>
      <w:r w:rsidR="0017758F" w:rsidRPr="00FA587B">
        <w:rPr>
          <w:rFonts w:ascii="Arial" w:hAnsi="Arial" w:cs="Arial"/>
        </w:rPr>
        <w:t>ontrato N</w:t>
      </w:r>
      <w:r w:rsidRPr="00FA587B">
        <w:rPr>
          <w:rFonts w:ascii="Arial" w:hAnsi="Arial" w:cs="Arial"/>
        </w:rPr>
        <w:t xml:space="preserve">o. 193, </w:t>
      </w:r>
      <w:r w:rsidR="0017758F" w:rsidRPr="00FA587B">
        <w:rPr>
          <w:rFonts w:ascii="Arial" w:hAnsi="Arial" w:cs="Arial"/>
        </w:rPr>
        <w:t>ausencia que</w:t>
      </w:r>
      <w:r w:rsidRPr="00FA587B">
        <w:rPr>
          <w:rFonts w:ascii="Arial" w:hAnsi="Arial" w:cs="Arial"/>
        </w:rPr>
        <w:t xml:space="preserve"> no deja de representar una enorme</w:t>
      </w:r>
      <w:r w:rsidR="0017758F" w:rsidRPr="00FA587B">
        <w:rPr>
          <w:rFonts w:ascii="Arial" w:hAnsi="Arial" w:cs="Arial"/>
        </w:rPr>
        <w:t xml:space="preserve"> dificultad a la hora de</w:t>
      </w:r>
      <w:r w:rsidRPr="00FA587B">
        <w:rPr>
          <w:rFonts w:ascii="Arial" w:hAnsi="Arial" w:cs="Arial"/>
        </w:rPr>
        <w:t xml:space="preserve"> establecer las cargas y obligaciones asumidas por cada de los extremos contratantes, </w:t>
      </w:r>
      <w:r w:rsidR="0017758F" w:rsidRPr="00FA587B">
        <w:rPr>
          <w:rFonts w:ascii="Arial" w:hAnsi="Arial" w:cs="Arial"/>
        </w:rPr>
        <w:t xml:space="preserve">ello no obsta </w:t>
      </w:r>
      <w:r w:rsidRPr="00FA587B">
        <w:rPr>
          <w:rFonts w:ascii="Arial" w:hAnsi="Arial" w:cs="Arial"/>
        </w:rPr>
        <w:t xml:space="preserve">para </w:t>
      </w:r>
      <w:r w:rsidR="0017758F" w:rsidRPr="00FA587B">
        <w:rPr>
          <w:rFonts w:ascii="Arial" w:hAnsi="Arial" w:cs="Arial"/>
        </w:rPr>
        <w:t xml:space="preserve">concluir que en </w:t>
      </w:r>
      <w:r w:rsidR="000B1EE4" w:rsidRPr="00FA587B">
        <w:rPr>
          <w:rFonts w:ascii="Arial" w:hAnsi="Arial" w:cs="Arial"/>
        </w:rPr>
        <w:t xml:space="preserve">la extensión del término contractual dispuesta a través de la </w:t>
      </w:r>
      <w:r w:rsidR="0017758F" w:rsidRPr="00FA587B">
        <w:rPr>
          <w:rFonts w:ascii="Arial" w:hAnsi="Arial" w:cs="Arial"/>
        </w:rPr>
        <w:t>adición No. 3 convergió</w:t>
      </w:r>
      <w:r w:rsidR="00555C23" w:rsidRPr="00FA587B">
        <w:rPr>
          <w:rFonts w:ascii="Arial" w:hAnsi="Arial" w:cs="Arial"/>
        </w:rPr>
        <w:t>,</w:t>
      </w:r>
      <w:r w:rsidR="0017758F" w:rsidRPr="00FA587B">
        <w:rPr>
          <w:rFonts w:ascii="Arial" w:hAnsi="Arial" w:cs="Arial"/>
        </w:rPr>
        <w:t xml:space="preserve"> al menos</w:t>
      </w:r>
      <w:r w:rsidR="00555C23" w:rsidRPr="00FA587B">
        <w:rPr>
          <w:rFonts w:ascii="Arial" w:hAnsi="Arial" w:cs="Arial"/>
        </w:rPr>
        <w:t>,</w:t>
      </w:r>
      <w:r w:rsidR="0017758F" w:rsidRPr="00FA587B">
        <w:rPr>
          <w:rFonts w:ascii="Arial" w:hAnsi="Arial" w:cs="Arial"/>
        </w:rPr>
        <w:t xml:space="preserve"> una causa imputable a la entidad pública</w:t>
      </w:r>
      <w:r w:rsidR="00597E61" w:rsidRPr="00FA587B">
        <w:rPr>
          <w:rFonts w:ascii="Arial" w:hAnsi="Arial" w:cs="Arial"/>
        </w:rPr>
        <w:t xml:space="preserve"> consistente en el retardo de las obras por el cambio de diseños y materiales</w:t>
      </w:r>
      <w:r w:rsidR="00871661" w:rsidRPr="00FA587B">
        <w:rPr>
          <w:rFonts w:ascii="Arial" w:hAnsi="Arial" w:cs="Arial"/>
        </w:rPr>
        <w:t xml:space="preserve"> resultante del inconformismo de la comunidad respecto de la accesibilidad de personas discapacitadas. </w:t>
      </w:r>
      <w:r w:rsidR="00597E61" w:rsidRPr="00FA587B">
        <w:rPr>
          <w:rFonts w:ascii="Arial" w:hAnsi="Arial" w:cs="Arial"/>
        </w:rPr>
        <w:t xml:space="preserve"> </w:t>
      </w:r>
    </w:p>
    <w:p w:rsidR="00CC2FCB" w:rsidRPr="00FA587B" w:rsidRDefault="00CC2FCB" w:rsidP="00FA587B">
      <w:pPr>
        <w:spacing w:line="360" w:lineRule="auto"/>
        <w:jc w:val="both"/>
        <w:rPr>
          <w:rFonts w:ascii="Arial" w:hAnsi="Arial" w:cs="Arial"/>
        </w:rPr>
      </w:pPr>
    </w:p>
    <w:p w:rsidR="00DA29D2" w:rsidRPr="00FA587B" w:rsidRDefault="004B53D9" w:rsidP="00FA587B">
      <w:pPr>
        <w:autoSpaceDN w:val="0"/>
        <w:spacing w:line="360" w:lineRule="auto"/>
        <w:jc w:val="both"/>
        <w:rPr>
          <w:rFonts w:ascii="Arial" w:hAnsi="Arial" w:cs="Arial"/>
          <w:lang w:val="es-ES_tradnl" w:eastAsia="es-CO"/>
        </w:rPr>
      </w:pPr>
      <w:r w:rsidRPr="00FA587B">
        <w:rPr>
          <w:rFonts w:ascii="Arial" w:hAnsi="Arial" w:cs="Arial"/>
          <w:lang w:val="es-CO" w:eastAsia="es-CO"/>
        </w:rPr>
        <w:t>Desde esa perspectiva</w:t>
      </w:r>
      <w:r w:rsidR="00DA29D2" w:rsidRPr="00FA587B">
        <w:rPr>
          <w:rFonts w:ascii="Arial" w:hAnsi="Arial" w:cs="Arial"/>
          <w:lang w:val="es-CO" w:eastAsia="es-CO"/>
        </w:rPr>
        <w:t xml:space="preserve">, en el </w:t>
      </w:r>
      <w:r w:rsidR="00DA29D2" w:rsidRPr="00FA587B">
        <w:rPr>
          <w:rFonts w:ascii="Arial" w:hAnsi="Arial" w:cs="Arial"/>
          <w:i/>
          <w:lang w:val="es-CO" w:eastAsia="es-CO"/>
        </w:rPr>
        <w:t>sub lite</w:t>
      </w:r>
      <w:r w:rsidR="00DA29D2" w:rsidRPr="00FA587B">
        <w:rPr>
          <w:rFonts w:ascii="Arial" w:hAnsi="Arial" w:cs="Arial"/>
          <w:lang w:val="es-CO" w:eastAsia="es-CO"/>
        </w:rPr>
        <w:t xml:space="preserve"> se</w:t>
      </w:r>
      <w:r w:rsidR="00DA29D2" w:rsidRPr="00FA587B">
        <w:rPr>
          <w:rFonts w:ascii="Arial" w:hAnsi="Arial" w:cs="Arial"/>
          <w:lang w:val="es-ES_tradnl" w:eastAsia="es-CO"/>
        </w:rPr>
        <w:t xml:space="preserve"> encuentra demostrado que la </w:t>
      </w:r>
      <w:r w:rsidR="00990DB8" w:rsidRPr="00FA587B">
        <w:rPr>
          <w:rFonts w:ascii="Arial" w:hAnsi="Arial" w:cs="Arial"/>
          <w:lang w:val="es-ES_tradnl" w:eastAsia="es-CO"/>
        </w:rPr>
        <w:t xml:space="preserve">ampliación </w:t>
      </w:r>
      <w:r w:rsidR="00DA29D2" w:rsidRPr="00FA587B">
        <w:rPr>
          <w:rFonts w:ascii="Arial" w:hAnsi="Arial" w:cs="Arial"/>
          <w:lang w:val="es-ES_tradnl" w:eastAsia="es-CO"/>
        </w:rPr>
        <w:t>del plazo contractual de que fue obj</w:t>
      </w:r>
      <w:r w:rsidRPr="00FA587B">
        <w:rPr>
          <w:rFonts w:ascii="Arial" w:hAnsi="Arial" w:cs="Arial"/>
          <w:lang w:val="es-ES_tradnl" w:eastAsia="es-CO"/>
        </w:rPr>
        <w:t xml:space="preserve">eto </w:t>
      </w:r>
      <w:r w:rsidR="00990DB8" w:rsidRPr="00FA587B">
        <w:rPr>
          <w:rFonts w:ascii="Arial" w:hAnsi="Arial" w:cs="Arial"/>
          <w:lang w:val="es-ES_tradnl" w:eastAsia="es-CO"/>
        </w:rPr>
        <w:t>el Contrato de O</w:t>
      </w:r>
      <w:r w:rsidR="00DA29D2" w:rsidRPr="00FA587B">
        <w:rPr>
          <w:rFonts w:ascii="Arial" w:hAnsi="Arial" w:cs="Arial"/>
          <w:lang w:val="es-ES_tradnl" w:eastAsia="es-CO"/>
        </w:rPr>
        <w:t xml:space="preserve">bra No. 193/2005, adoptada a través de la </w:t>
      </w:r>
      <w:r w:rsidR="00096EA3" w:rsidRPr="00FA587B">
        <w:rPr>
          <w:rFonts w:ascii="Arial" w:hAnsi="Arial" w:cs="Arial"/>
          <w:lang w:val="es-ES_tradnl" w:eastAsia="es-CO"/>
        </w:rPr>
        <w:t xml:space="preserve">prórroga </w:t>
      </w:r>
      <w:r w:rsidR="00DA29D2" w:rsidRPr="00FA587B">
        <w:rPr>
          <w:rFonts w:ascii="Arial" w:hAnsi="Arial" w:cs="Arial"/>
          <w:lang w:val="es-ES_tradnl" w:eastAsia="es-CO"/>
        </w:rPr>
        <w:t xml:space="preserve">No. 3, invadió </w:t>
      </w:r>
      <w:r w:rsidR="00F54F25" w:rsidRPr="00FA587B">
        <w:rPr>
          <w:rFonts w:ascii="Arial" w:hAnsi="Arial" w:cs="Arial"/>
          <w:lang w:val="es-ES_tradnl" w:eastAsia="es-CO"/>
        </w:rPr>
        <w:t xml:space="preserve">en alguna medida </w:t>
      </w:r>
      <w:r w:rsidR="00DA29D2" w:rsidRPr="00FA587B">
        <w:rPr>
          <w:rFonts w:ascii="Arial" w:hAnsi="Arial" w:cs="Arial"/>
          <w:lang w:val="es-ES_tradnl" w:eastAsia="es-CO"/>
        </w:rPr>
        <w:t>la órbita de responsabilidad de la entidad pública. Empero, no se acordó un valor adicional para cubrir los gastos que generar</w:t>
      </w:r>
      <w:r w:rsidR="00990DB8" w:rsidRPr="00FA587B">
        <w:rPr>
          <w:rFonts w:ascii="Arial" w:hAnsi="Arial" w:cs="Arial"/>
          <w:lang w:val="es-ES_tradnl" w:eastAsia="es-CO"/>
        </w:rPr>
        <w:t>í</w:t>
      </w:r>
      <w:r w:rsidR="00DA29D2" w:rsidRPr="00FA587B">
        <w:rPr>
          <w:rFonts w:ascii="Arial" w:hAnsi="Arial" w:cs="Arial"/>
          <w:lang w:val="es-ES_tradnl" w:eastAsia="es-CO"/>
        </w:rPr>
        <w:t xml:space="preserve">a la permanencia de la obra por un período superior al previsto en la modificación No. 01. </w:t>
      </w:r>
    </w:p>
    <w:p w:rsidR="00CC2FCB" w:rsidRPr="00FA587B" w:rsidRDefault="00CC2FCB" w:rsidP="00FA587B">
      <w:pPr>
        <w:autoSpaceDN w:val="0"/>
        <w:spacing w:line="360" w:lineRule="auto"/>
        <w:jc w:val="both"/>
        <w:rPr>
          <w:rFonts w:ascii="Arial" w:hAnsi="Arial" w:cs="Arial"/>
          <w:lang w:val="es-ES_tradnl" w:eastAsia="es-CO"/>
        </w:rPr>
      </w:pPr>
    </w:p>
    <w:p w:rsidR="00990DB8" w:rsidRPr="00FA587B" w:rsidRDefault="00DA29D2" w:rsidP="00FA587B">
      <w:pPr>
        <w:autoSpaceDN w:val="0"/>
        <w:spacing w:line="360" w:lineRule="auto"/>
        <w:jc w:val="both"/>
        <w:rPr>
          <w:rFonts w:ascii="Arial" w:hAnsi="Arial" w:cs="Arial"/>
          <w:lang w:val="es-ES_tradnl" w:eastAsia="es-CO"/>
        </w:rPr>
      </w:pPr>
      <w:r w:rsidRPr="00FA587B">
        <w:rPr>
          <w:rFonts w:ascii="Arial" w:hAnsi="Arial" w:cs="Arial"/>
          <w:lang w:val="es-ES_tradnl" w:eastAsia="es-CO"/>
        </w:rPr>
        <w:t xml:space="preserve">Ahora, aun cuando tales circunstancias determinarían, en principio, la viabilidad de efectuar el reconocimiento de perjuicios a favor del contratista, quien por causas ajenas a su voluntad se vio obligado a permanecer en la obra por mayor tiempo del previsto en el contrato original, ocurre que tal evidencia no resulta suficiente para proceder al reconocimiento de los sobrecostos en que dice haber incurrido, toda vez que además se requiere que el demandante demuestre </w:t>
      </w:r>
      <w:r w:rsidRPr="00FA587B">
        <w:rPr>
          <w:rFonts w:ascii="Arial" w:hAnsi="Arial" w:cs="Arial"/>
          <w:bCs/>
          <w:lang w:val="es-ES_tradnl" w:eastAsia="es-CO"/>
        </w:rPr>
        <w:t>que sufrió efectivamente los perjuicios</w:t>
      </w:r>
      <w:r w:rsidRPr="00FA587B">
        <w:rPr>
          <w:rFonts w:ascii="Arial" w:hAnsi="Arial" w:cs="Arial"/>
          <w:lang w:val="es-ES_tradnl" w:eastAsia="es-CO"/>
        </w:rPr>
        <w:t xml:space="preserve"> a que alude en los hechos y pretensiones de su demanda.</w:t>
      </w:r>
    </w:p>
    <w:p w:rsidR="00AA2B10" w:rsidRPr="00FA587B" w:rsidRDefault="00AA2B10" w:rsidP="00FA587B">
      <w:pPr>
        <w:autoSpaceDN w:val="0"/>
        <w:spacing w:line="360" w:lineRule="auto"/>
        <w:jc w:val="both"/>
        <w:rPr>
          <w:rFonts w:ascii="Arial" w:hAnsi="Arial" w:cs="Arial"/>
          <w:lang w:val="es-ES_tradnl" w:eastAsia="es-CO"/>
        </w:rPr>
      </w:pPr>
    </w:p>
    <w:p w:rsidR="00205CA8" w:rsidRPr="00FA587B" w:rsidRDefault="007E17C6" w:rsidP="00FA587B">
      <w:pPr>
        <w:spacing w:line="360" w:lineRule="auto"/>
        <w:jc w:val="both"/>
        <w:rPr>
          <w:rFonts w:ascii="Arial" w:hAnsi="Arial" w:cs="Arial"/>
          <w:bCs/>
          <w:u w:val="single"/>
          <w:lang w:val="es-MX"/>
        </w:rPr>
      </w:pPr>
      <w:r w:rsidRPr="00FA587B">
        <w:rPr>
          <w:rFonts w:ascii="Arial" w:hAnsi="Arial" w:cs="Arial"/>
          <w:bCs/>
          <w:lang w:val="es-MX"/>
        </w:rPr>
        <w:t>4.1.3.</w:t>
      </w:r>
      <w:r w:rsidR="00272BE9" w:rsidRPr="00FA587B">
        <w:rPr>
          <w:rFonts w:ascii="Arial" w:hAnsi="Arial" w:cs="Arial"/>
          <w:bCs/>
          <w:lang w:val="es-MX"/>
        </w:rPr>
        <w:t>-</w:t>
      </w:r>
      <w:r w:rsidRPr="00FA587B">
        <w:rPr>
          <w:rFonts w:ascii="Arial" w:hAnsi="Arial" w:cs="Arial"/>
          <w:bCs/>
          <w:lang w:val="es-MX"/>
        </w:rPr>
        <w:t xml:space="preserve"> </w:t>
      </w:r>
      <w:r w:rsidR="00205CA8" w:rsidRPr="00FA587B">
        <w:rPr>
          <w:rFonts w:ascii="Arial" w:hAnsi="Arial" w:cs="Arial"/>
          <w:bCs/>
          <w:u w:val="single"/>
          <w:lang w:val="es-MX"/>
        </w:rPr>
        <w:t>De la prueba de los sobrecostos por la mayor permanencia en obra originada en la ampliación del plazo contractual</w:t>
      </w:r>
    </w:p>
    <w:p w:rsidR="00CC2FCB" w:rsidRPr="00FA587B" w:rsidRDefault="00CC2FCB" w:rsidP="00FA587B">
      <w:pPr>
        <w:spacing w:line="360" w:lineRule="auto"/>
        <w:jc w:val="both"/>
        <w:rPr>
          <w:rFonts w:ascii="Arial" w:hAnsi="Arial" w:cs="Arial"/>
          <w:bCs/>
          <w:u w:val="single"/>
          <w:lang w:val="es-MX"/>
        </w:rPr>
      </w:pPr>
    </w:p>
    <w:p w:rsidR="00311438" w:rsidRPr="00FA587B" w:rsidRDefault="00311438" w:rsidP="00FA587B">
      <w:pPr>
        <w:autoSpaceDN w:val="0"/>
        <w:spacing w:line="360" w:lineRule="auto"/>
        <w:jc w:val="both"/>
        <w:rPr>
          <w:rFonts w:ascii="Arial" w:hAnsi="Arial" w:cs="Arial"/>
          <w:bCs/>
          <w:color w:val="000000"/>
          <w:lang w:val="es-MX"/>
        </w:rPr>
      </w:pPr>
      <w:r w:rsidRPr="00FA587B">
        <w:rPr>
          <w:rFonts w:ascii="Arial" w:hAnsi="Arial" w:cs="Arial"/>
          <w:bCs/>
          <w:color w:val="000000"/>
          <w:lang w:val="es-MX"/>
        </w:rPr>
        <w:t xml:space="preserve">Verificado el material probatorio que reposa en el plenario como soporte de la reclamación, es de concluir que la causación de los valores reclamados por mayor permanencia en obra no se encuentra acreditada. </w:t>
      </w:r>
    </w:p>
    <w:p w:rsidR="00CC2FCB" w:rsidRPr="00FA587B" w:rsidRDefault="00CC2FCB" w:rsidP="00FA587B">
      <w:pPr>
        <w:autoSpaceDN w:val="0"/>
        <w:spacing w:line="360" w:lineRule="auto"/>
        <w:jc w:val="both"/>
        <w:rPr>
          <w:rFonts w:ascii="Arial" w:hAnsi="Arial" w:cs="Arial"/>
          <w:bCs/>
          <w:color w:val="000000"/>
          <w:lang w:val="es-MX"/>
        </w:rPr>
      </w:pPr>
    </w:p>
    <w:p w:rsidR="00205CA8" w:rsidRPr="00FA587B" w:rsidRDefault="00311438" w:rsidP="00FA587B">
      <w:pPr>
        <w:autoSpaceDN w:val="0"/>
        <w:spacing w:line="360" w:lineRule="auto"/>
        <w:jc w:val="both"/>
        <w:rPr>
          <w:rFonts w:ascii="Arial" w:hAnsi="Arial" w:cs="Arial"/>
          <w:lang w:val="es-CO" w:eastAsia="es-CO"/>
        </w:rPr>
      </w:pPr>
      <w:r w:rsidRPr="00FA587B">
        <w:rPr>
          <w:rFonts w:ascii="Arial" w:hAnsi="Arial" w:cs="Arial"/>
          <w:lang w:val="es-ES_tradnl" w:eastAsia="es-CO"/>
        </w:rPr>
        <w:t xml:space="preserve">Se advierte que la parte actora, </w:t>
      </w:r>
      <w:r w:rsidR="004B53D9" w:rsidRPr="00FA587B">
        <w:rPr>
          <w:rFonts w:ascii="Arial" w:hAnsi="Arial" w:cs="Arial"/>
          <w:lang w:val="es-CO" w:eastAsia="es-CO"/>
        </w:rPr>
        <w:t>con el fin de acreditar los perjuicios deprecados</w:t>
      </w:r>
      <w:r w:rsidRPr="00FA587B">
        <w:rPr>
          <w:rFonts w:ascii="Arial" w:hAnsi="Arial" w:cs="Arial"/>
          <w:lang w:val="es-CO" w:eastAsia="es-CO"/>
        </w:rPr>
        <w:t>, solicitó la práctica de un peritazgo</w:t>
      </w:r>
      <w:r w:rsidR="004B53D9" w:rsidRPr="00FA587B">
        <w:rPr>
          <w:rFonts w:ascii="Arial" w:hAnsi="Arial" w:cs="Arial"/>
          <w:lang w:val="es-CO" w:eastAsia="es-CO"/>
        </w:rPr>
        <w:t xml:space="preserve"> a cargo de un ingeniero civil</w:t>
      </w:r>
      <w:r w:rsidRPr="00FA587B">
        <w:rPr>
          <w:rFonts w:ascii="Arial" w:hAnsi="Arial" w:cs="Arial"/>
          <w:lang w:val="es-CO" w:eastAsia="es-CO"/>
        </w:rPr>
        <w:t xml:space="preserve">, prueba que fue ordenada por el Tribunal en la providencia que abrió el debate probatorio y </w:t>
      </w:r>
      <w:r w:rsidR="004B53D9" w:rsidRPr="00FA587B">
        <w:rPr>
          <w:rFonts w:ascii="Arial" w:hAnsi="Arial" w:cs="Arial"/>
          <w:lang w:val="es-CO" w:eastAsia="es-CO"/>
        </w:rPr>
        <w:t xml:space="preserve">posteriormente fue </w:t>
      </w:r>
      <w:r w:rsidRPr="00FA587B">
        <w:rPr>
          <w:rFonts w:ascii="Arial" w:hAnsi="Arial" w:cs="Arial"/>
          <w:lang w:val="es-CO" w:eastAsia="es-CO"/>
        </w:rPr>
        <w:t>practicada por el ingeniero Ricardo Malagón.</w:t>
      </w:r>
    </w:p>
    <w:p w:rsidR="00CC2FCB" w:rsidRPr="00FA587B" w:rsidRDefault="00CC2FCB" w:rsidP="00FA587B">
      <w:pPr>
        <w:autoSpaceDN w:val="0"/>
        <w:spacing w:line="360" w:lineRule="auto"/>
        <w:jc w:val="both"/>
        <w:rPr>
          <w:rFonts w:ascii="Arial" w:hAnsi="Arial" w:cs="Arial"/>
          <w:lang w:val="es-CO" w:eastAsia="es-CO"/>
        </w:rPr>
      </w:pPr>
    </w:p>
    <w:p w:rsidR="00205CA8" w:rsidRPr="00FA587B" w:rsidRDefault="00311438" w:rsidP="00FA587B">
      <w:pPr>
        <w:spacing w:line="360" w:lineRule="auto"/>
        <w:jc w:val="both"/>
        <w:rPr>
          <w:rFonts w:ascii="Arial" w:hAnsi="Arial" w:cs="Arial"/>
          <w:bCs/>
          <w:lang w:val="es-MX"/>
        </w:rPr>
      </w:pPr>
      <w:r w:rsidRPr="00FA587B">
        <w:rPr>
          <w:rFonts w:ascii="Arial" w:hAnsi="Arial" w:cs="Arial"/>
          <w:bCs/>
          <w:lang w:val="es-MX"/>
        </w:rPr>
        <w:lastRenderedPageBreak/>
        <w:t>Una vez revisado el contenido del peritazgo, la Sala concluye que</w:t>
      </w:r>
      <w:r w:rsidR="00205CA8" w:rsidRPr="00FA587B">
        <w:rPr>
          <w:rFonts w:ascii="Arial" w:hAnsi="Arial" w:cs="Arial"/>
          <w:bCs/>
          <w:lang w:val="es-MX"/>
        </w:rPr>
        <w:t xml:space="preserve"> la experticia no aportó elementos de juicio que brindaran certeza al fallador </w:t>
      </w:r>
      <w:r w:rsidR="004B53D9" w:rsidRPr="00FA587B">
        <w:rPr>
          <w:rFonts w:ascii="Arial" w:hAnsi="Arial" w:cs="Arial"/>
          <w:bCs/>
          <w:lang w:val="es-MX"/>
        </w:rPr>
        <w:t xml:space="preserve">acerca de </w:t>
      </w:r>
      <w:r w:rsidR="00205CA8" w:rsidRPr="00FA587B">
        <w:rPr>
          <w:rFonts w:ascii="Arial" w:hAnsi="Arial" w:cs="Arial"/>
          <w:bCs/>
          <w:lang w:val="es-MX"/>
        </w:rPr>
        <w:t xml:space="preserve">la correspondencia con la realidad de las conclusiones que allí se adoptaron. </w:t>
      </w:r>
    </w:p>
    <w:p w:rsidR="00205CA8" w:rsidRPr="00FA587B" w:rsidRDefault="00205CA8" w:rsidP="00FA587B">
      <w:pPr>
        <w:spacing w:line="360" w:lineRule="auto"/>
        <w:jc w:val="both"/>
        <w:rPr>
          <w:rFonts w:ascii="Arial" w:hAnsi="Arial" w:cs="Arial"/>
          <w:bCs/>
          <w:lang w:val="es-MX"/>
        </w:rPr>
      </w:pPr>
    </w:p>
    <w:p w:rsidR="00205CA8" w:rsidRPr="00FA587B" w:rsidRDefault="004B53D9" w:rsidP="00FA587B">
      <w:pPr>
        <w:spacing w:line="360" w:lineRule="auto"/>
        <w:jc w:val="both"/>
        <w:rPr>
          <w:rFonts w:ascii="Arial" w:hAnsi="Arial" w:cs="Arial"/>
          <w:bCs/>
          <w:lang w:val="es-MX"/>
        </w:rPr>
      </w:pPr>
      <w:r w:rsidRPr="00FA587B">
        <w:rPr>
          <w:rFonts w:ascii="Arial" w:hAnsi="Arial" w:cs="Arial"/>
          <w:bCs/>
          <w:lang w:val="es-MX"/>
        </w:rPr>
        <w:t>E</w:t>
      </w:r>
      <w:r w:rsidR="00205CA8" w:rsidRPr="00FA587B">
        <w:rPr>
          <w:rFonts w:ascii="Arial" w:hAnsi="Arial" w:cs="Arial"/>
          <w:bCs/>
          <w:lang w:val="es-MX"/>
        </w:rPr>
        <w:t>s preciso indicar que el perito solicitó al Tribunal de primera instancia que permitiera el acceso a los documentos que reposaban en el IDU referentes “</w:t>
      </w:r>
      <w:r w:rsidR="00205CA8" w:rsidRPr="00FA587B">
        <w:rPr>
          <w:rFonts w:ascii="Arial" w:hAnsi="Arial" w:cs="Arial"/>
          <w:bCs/>
          <w:i/>
          <w:lang w:val="es-MX"/>
        </w:rPr>
        <w:t xml:space="preserve">al índice de información de los contratos similares </w:t>
      </w:r>
      <w:r w:rsidRPr="00FA587B">
        <w:rPr>
          <w:rFonts w:ascii="Arial" w:hAnsi="Arial" w:cs="Arial"/>
          <w:bCs/>
          <w:i/>
          <w:lang w:val="es-MX"/>
        </w:rPr>
        <w:t xml:space="preserve">del </w:t>
      </w:r>
      <w:r w:rsidR="00205CA8" w:rsidRPr="00FA587B">
        <w:rPr>
          <w:rFonts w:ascii="Arial" w:hAnsi="Arial" w:cs="Arial"/>
          <w:bCs/>
          <w:i/>
          <w:lang w:val="es-MX"/>
        </w:rPr>
        <w:t>2005 al 2007</w:t>
      </w:r>
      <w:r w:rsidR="00205CA8" w:rsidRPr="00FA587B">
        <w:rPr>
          <w:rFonts w:ascii="Arial" w:hAnsi="Arial" w:cs="Arial"/>
          <w:bCs/>
          <w:lang w:val="es-MX"/>
        </w:rPr>
        <w:t xml:space="preserve">”, petición que fue denegada por el </w:t>
      </w:r>
      <w:r w:rsidR="00205CA8" w:rsidRPr="00FA587B">
        <w:rPr>
          <w:rFonts w:ascii="Arial" w:hAnsi="Arial" w:cs="Arial"/>
          <w:bCs/>
          <w:i/>
          <w:lang w:val="es-MX"/>
        </w:rPr>
        <w:t>a quo</w:t>
      </w:r>
      <w:r w:rsidR="00205CA8" w:rsidRPr="00FA587B">
        <w:rPr>
          <w:rFonts w:ascii="Arial" w:hAnsi="Arial" w:cs="Arial"/>
          <w:bCs/>
          <w:lang w:val="es-MX"/>
        </w:rPr>
        <w:t xml:space="preserve"> a través del proveído del 4 de septiembre de 2012</w:t>
      </w:r>
      <w:r w:rsidR="00432C1A" w:rsidRPr="00FA587B">
        <w:rPr>
          <w:rFonts w:ascii="Arial" w:hAnsi="Arial" w:cs="Arial"/>
          <w:bCs/>
          <w:lang w:val="es-MX"/>
        </w:rPr>
        <w:t>,</w:t>
      </w:r>
      <w:r w:rsidR="00205CA8" w:rsidRPr="00FA587B">
        <w:rPr>
          <w:rFonts w:ascii="Arial" w:hAnsi="Arial" w:cs="Arial"/>
          <w:bCs/>
          <w:lang w:val="es-MX"/>
        </w:rPr>
        <w:t xml:space="preserve"> por encontrar improcedente la práctica de la experticia</w:t>
      </w:r>
      <w:r w:rsidR="00311438" w:rsidRPr="00FA587B">
        <w:rPr>
          <w:rFonts w:ascii="Arial" w:hAnsi="Arial" w:cs="Arial"/>
          <w:bCs/>
          <w:lang w:val="es-MX"/>
        </w:rPr>
        <w:t xml:space="preserve"> sobre documentos que no reposab</w:t>
      </w:r>
      <w:r w:rsidR="00205CA8" w:rsidRPr="00FA587B">
        <w:rPr>
          <w:rFonts w:ascii="Arial" w:hAnsi="Arial" w:cs="Arial"/>
          <w:bCs/>
          <w:lang w:val="es-MX"/>
        </w:rPr>
        <w:t>an en el expediente.</w:t>
      </w:r>
    </w:p>
    <w:p w:rsidR="00205CA8" w:rsidRPr="00FA587B" w:rsidRDefault="00205CA8" w:rsidP="00FA587B">
      <w:pPr>
        <w:spacing w:line="360" w:lineRule="auto"/>
        <w:jc w:val="both"/>
        <w:rPr>
          <w:rFonts w:ascii="Arial" w:hAnsi="Arial" w:cs="Arial"/>
          <w:bCs/>
          <w:lang w:val="es-MX"/>
        </w:rPr>
      </w:pPr>
    </w:p>
    <w:p w:rsidR="00205CA8" w:rsidRPr="00FA587B" w:rsidRDefault="00205CA8" w:rsidP="00FA587B">
      <w:pPr>
        <w:spacing w:line="360" w:lineRule="auto"/>
        <w:jc w:val="both"/>
        <w:rPr>
          <w:rFonts w:ascii="Arial" w:hAnsi="Arial" w:cs="Arial"/>
          <w:bCs/>
          <w:lang w:val="es-MX"/>
        </w:rPr>
      </w:pPr>
      <w:r w:rsidRPr="00FA587B">
        <w:rPr>
          <w:rFonts w:ascii="Arial" w:hAnsi="Arial" w:cs="Arial"/>
          <w:bCs/>
          <w:lang w:val="es-MX"/>
        </w:rPr>
        <w:t>Con todo, aun de haberse accedido a dicha solicitud</w:t>
      </w:r>
      <w:r w:rsidR="004B53D9" w:rsidRPr="00FA587B">
        <w:rPr>
          <w:rFonts w:ascii="Arial" w:hAnsi="Arial" w:cs="Arial"/>
          <w:bCs/>
          <w:lang w:val="es-MX"/>
        </w:rPr>
        <w:t>,</w:t>
      </w:r>
      <w:r w:rsidRPr="00FA587B">
        <w:rPr>
          <w:rFonts w:ascii="Arial" w:hAnsi="Arial" w:cs="Arial"/>
          <w:bCs/>
          <w:lang w:val="es-MX"/>
        </w:rPr>
        <w:t xml:space="preserve"> </w:t>
      </w:r>
      <w:r w:rsidR="00AA2B10" w:rsidRPr="00FA587B">
        <w:rPr>
          <w:rFonts w:ascii="Arial" w:hAnsi="Arial" w:cs="Arial"/>
          <w:bCs/>
          <w:lang w:val="es-MX"/>
        </w:rPr>
        <w:t xml:space="preserve">la Sala observa que </w:t>
      </w:r>
      <w:r w:rsidRPr="00FA587B">
        <w:rPr>
          <w:rFonts w:ascii="Arial" w:hAnsi="Arial" w:cs="Arial"/>
          <w:bCs/>
          <w:lang w:val="es-MX"/>
        </w:rPr>
        <w:t>la práctica del dictamen no habría recaído sobre la revisión de elementos asociados al proyecto que ocupa la atención</w:t>
      </w:r>
      <w:r w:rsidR="00AA2B10" w:rsidRPr="00FA587B">
        <w:rPr>
          <w:rFonts w:ascii="Arial" w:hAnsi="Arial" w:cs="Arial"/>
          <w:bCs/>
          <w:lang w:val="es-MX"/>
        </w:rPr>
        <w:t xml:space="preserve"> de esta instancia</w:t>
      </w:r>
      <w:r w:rsidRPr="00FA587B">
        <w:rPr>
          <w:rFonts w:ascii="Arial" w:hAnsi="Arial" w:cs="Arial"/>
          <w:bCs/>
          <w:lang w:val="es-MX"/>
        </w:rPr>
        <w:t xml:space="preserve">, sino sobre otros similares que pretendían ser utilizados, tal vez, como parámetros comparativos sobre los términos económicos de su ejecución, </w:t>
      </w:r>
      <w:r w:rsidR="004B53D9" w:rsidRPr="00FA587B">
        <w:rPr>
          <w:rFonts w:ascii="Arial" w:hAnsi="Arial" w:cs="Arial"/>
          <w:bCs/>
          <w:lang w:val="es-MX"/>
        </w:rPr>
        <w:t xml:space="preserve">gestión </w:t>
      </w:r>
      <w:r w:rsidRPr="00FA587B">
        <w:rPr>
          <w:rFonts w:ascii="Arial" w:hAnsi="Arial" w:cs="Arial"/>
          <w:bCs/>
          <w:lang w:val="es-MX"/>
        </w:rPr>
        <w:t xml:space="preserve">que nada pertinente habría aportado a la resolución del presente conflicto, en cuanto en manera alguna </w:t>
      </w:r>
      <w:r w:rsidR="00911599" w:rsidRPr="00FA587B">
        <w:rPr>
          <w:rFonts w:ascii="Arial" w:hAnsi="Arial" w:cs="Arial"/>
          <w:bCs/>
          <w:lang w:val="es-MX"/>
        </w:rPr>
        <w:t>reflejaría</w:t>
      </w:r>
      <w:r w:rsidRPr="00FA587B">
        <w:rPr>
          <w:rFonts w:ascii="Arial" w:hAnsi="Arial" w:cs="Arial"/>
          <w:bCs/>
          <w:lang w:val="es-MX"/>
        </w:rPr>
        <w:t xml:space="preserve"> las verdaderas circunstancias que rodearon la realización de esta obra. </w:t>
      </w:r>
    </w:p>
    <w:p w:rsidR="00205CA8" w:rsidRPr="00FA587B" w:rsidRDefault="00205CA8" w:rsidP="00FA587B">
      <w:pPr>
        <w:spacing w:line="360" w:lineRule="auto"/>
        <w:jc w:val="both"/>
        <w:rPr>
          <w:rFonts w:ascii="Arial" w:hAnsi="Arial" w:cs="Arial"/>
          <w:bCs/>
          <w:lang w:val="es-MX"/>
        </w:rPr>
      </w:pPr>
    </w:p>
    <w:p w:rsidR="00205CA8" w:rsidRPr="00FA587B" w:rsidRDefault="00205CA8" w:rsidP="00FA587B">
      <w:pPr>
        <w:spacing w:line="360" w:lineRule="auto"/>
        <w:contextualSpacing/>
        <w:jc w:val="both"/>
        <w:rPr>
          <w:rFonts w:ascii="Arial" w:hAnsi="Arial" w:cs="Arial"/>
          <w:bCs/>
          <w:lang w:val="es-MX"/>
        </w:rPr>
      </w:pPr>
      <w:r w:rsidRPr="00FA587B">
        <w:rPr>
          <w:rFonts w:ascii="Arial" w:hAnsi="Arial" w:cs="Arial"/>
          <w:bCs/>
          <w:lang w:val="es-MX"/>
        </w:rPr>
        <w:t>Ahora, aun cuando la práctica de la experticia se ciñó al cuestionario suministrado para esa finalidad por el actor y su elaboración se llevó a cabo, según se anunció, con sustento en la informació</w:t>
      </w:r>
      <w:r w:rsidR="00AA2B10" w:rsidRPr="00FA587B">
        <w:rPr>
          <w:rFonts w:ascii="Arial" w:hAnsi="Arial" w:cs="Arial"/>
          <w:bCs/>
          <w:lang w:val="es-MX"/>
        </w:rPr>
        <w:t>n contable aportada por el accionante</w:t>
      </w:r>
      <w:r w:rsidRPr="00FA587B">
        <w:rPr>
          <w:rFonts w:ascii="Arial" w:hAnsi="Arial" w:cs="Arial"/>
          <w:bCs/>
          <w:lang w:val="es-MX"/>
        </w:rPr>
        <w:t xml:space="preserve"> junto con la demanda, la lectura de la experticia no arroja datos concretos y constatables </w:t>
      </w:r>
      <w:r w:rsidR="00104D8A" w:rsidRPr="00FA587B">
        <w:rPr>
          <w:rFonts w:ascii="Arial" w:hAnsi="Arial" w:cs="Arial"/>
          <w:bCs/>
          <w:lang w:val="es-MX"/>
        </w:rPr>
        <w:t xml:space="preserve">encausados </w:t>
      </w:r>
      <w:r w:rsidRPr="00FA587B">
        <w:rPr>
          <w:rFonts w:ascii="Arial" w:hAnsi="Arial" w:cs="Arial"/>
          <w:bCs/>
          <w:lang w:val="es-MX"/>
        </w:rPr>
        <w:t xml:space="preserve">a determinar con vigor los mayores costos reclamados. </w:t>
      </w:r>
    </w:p>
    <w:p w:rsidR="00205CA8" w:rsidRPr="00FA587B" w:rsidRDefault="00205CA8" w:rsidP="00FA587B">
      <w:pPr>
        <w:spacing w:line="360" w:lineRule="auto"/>
        <w:contextualSpacing/>
        <w:jc w:val="both"/>
        <w:rPr>
          <w:rFonts w:ascii="Arial" w:hAnsi="Arial" w:cs="Arial"/>
          <w:bCs/>
          <w:lang w:val="es-MX"/>
        </w:rPr>
      </w:pPr>
    </w:p>
    <w:p w:rsidR="00205CA8" w:rsidRPr="00FA587B" w:rsidRDefault="00205CA8" w:rsidP="00FA587B">
      <w:pPr>
        <w:spacing w:line="360" w:lineRule="auto"/>
        <w:contextualSpacing/>
        <w:jc w:val="both"/>
        <w:rPr>
          <w:rFonts w:ascii="Arial" w:hAnsi="Arial" w:cs="Arial"/>
        </w:rPr>
      </w:pPr>
      <w:r w:rsidRPr="00FA587B">
        <w:rPr>
          <w:rFonts w:ascii="Arial" w:hAnsi="Arial" w:cs="Arial"/>
          <w:bCs/>
          <w:lang w:val="es-MX"/>
        </w:rPr>
        <w:t>En ese sentido se advierte que la meto</w:t>
      </w:r>
      <w:r w:rsidR="00432C1A" w:rsidRPr="00FA587B">
        <w:rPr>
          <w:rFonts w:ascii="Arial" w:hAnsi="Arial" w:cs="Arial"/>
          <w:bCs/>
          <w:lang w:val="es-MX"/>
        </w:rPr>
        <w:t>do</w:t>
      </w:r>
      <w:r w:rsidRPr="00FA587B">
        <w:rPr>
          <w:rFonts w:ascii="Arial" w:hAnsi="Arial" w:cs="Arial"/>
          <w:bCs/>
          <w:lang w:val="es-MX"/>
        </w:rPr>
        <w:t>logía empleada</w:t>
      </w:r>
      <w:r w:rsidRPr="00FA587B">
        <w:rPr>
          <w:rFonts w:ascii="Arial" w:hAnsi="Arial" w:cs="Arial"/>
        </w:rPr>
        <w:t xml:space="preserve"> consistió en proyectar el porcentaje correspondiente a los costos socioambientales, manejo de tráfico</w:t>
      </w:r>
      <w:r w:rsidR="00104D8A" w:rsidRPr="00FA587B">
        <w:rPr>
          <w:rFonts w:ascii="Arial" w:hAnsi="Arial" w:cs="Arial"/>
        </w:rPr>
        <w:t>, señalización,</w:t>
      </w:r>
      <w:r w:rsidR="00E17891" w:rsidRPr="00FA587B">
        <w:rPr>
          <w:rFonts w:ascii="Arial" w:hAnsi="Arial" w:cs="Arial"/>
        </w:rPr>
        <w:t xml:space="preserve"> desvío</w:t>
      </w:r>
      <w:r w:rsidRPr="00FA587B">
        <w:rPr>
          <w:rFonts w:ascii="Arial" w:hAnsi="Arial" w:cs="Arial"/>
        </w:rPr>
        <w:t xml:space="preserve"> y administración por el ti</w:t>
      </w:r>
      <w:r w:rsidR="00104D8A" w:rsidRPr="00FA587B">
        <w:rPr>
          <w:rFonts w:ascii="Arial" w:hAnsi="Arial" w:cs="Arial"/>
        </w:rPr>
        <w:t>empo calculado como</w:t>
      </w:r>
      <w:r w:rsidRPr="00FA587B">
        <w:rPr>
          <w:rFonts w:ascii="Arial" w:hAnsi="Arial" w:cs="Arial"/>
        </w:rPr>
        <w:t xml:space="preserve"> mayor permanencia, sin atender a </w:t>
      </w:r>
      <w:r w:rsidR="00104D8A" w:rsidRPr="00FA587B">
        <w:rPr>
          <w:rFonts w:ascii="Arial" w:hAnsi="Arial" w:cs="Arial"/>
        </w:rPr>
        <w:t xml:space="preserve">los </w:t>
      </w:r>
      <w:r w:rsidRPr="00FA587B">
        <w:rPr>
          <w:rFonts w:ascii="Arial" w:hAnsi="Arial" w:cs="Arial"/>
        </w:rPr>
        <w:t>datos reales en los que debía apoyarse su cálculo.</w:t>
      </w:r>
      <w:r w:rsidR="00311438" w:rsidRPr="00FA587B">
        <w:rPr>
          <w:rFonts w:ascii="Arial" w:hAnsi="Arial" w:cs="Arial"/>
        </w:rPr>
        <w:t xml:space="preserve"> A lo dicho se añade que los</w:t>
      </w:r>
      <w:r w:rsidRPr="00FA587B">
        <w:rPr>
          <w:rFonts w:ascii="Arial" w:hAnsi="Arial" w:cs="Arial"/>
        </w:rPr>
        <w:t xml:space="preserve"> documentos aportados con l</w:t>
      </w:r>
      <w:r w:rsidR="00104D8A" w:rsidRPr="00FA587B">
        <w:rPr>
          <w:rFonts w:ascii="Arial" w:hAnsi="Arial" w:cs="Arial"/>
        </w:rPr>
        <w:t>a demanda en los que se respaldó</w:t>
      </w:r>
      <w:r w:rsidRPr="00FA587B">
        <w:rPr>
          <w:rFonts w:ascii="Arial" w:hAnsi="Arial" w:cs="Arial"/>
        </w:rPr>
        <w:t xml:space="preserve"> el peritazgo dan cuenta de la causación de gastos ocurrida entre </w:t>
      </w:r>
      <w:r w:rsidR="00911599" w:rsidRPr="00FA587B">
        <w:rPr>
          <w:rFonts w:ascii="Arial" w:hAnsi="Arial" w:cs="Arial"/>
        </w:rPr>
        <w:t xml:space="preserve">febrero a </w:t>
      </w:r>
      <w:r w:rsidRPr="00FA587B">
        <w:rPr>
          <w:rFonts w:ascii="Arial" w:hAnsi="Arial" w:cs="Arial"/>
        </w:rPr>
        <w:t>noviembre</w:t>
      </w:r>
      <w:r w:rsidR="00911599" w:rsidRPr="00FA587B">
        <w:rPr>
          <w:rFonts w:ascii="Arial" w:hAnsi="Arial" w:cs="Arial"/>
        </w:rPr>
        <w:t xml:space="preserve"> de</w:t>
      </w:r>
      <w:r w:rsidRPr="00FA587B">
        <w:rPr>
          <w:rFonts w:ascii="Arial" w:hAnsi="Arial" w:cs="Arial"/>
        </w:rPr>
        <w:t xml:space="preserve"> </w:t>
      </w:r>
      <w:r w:rsidR="00911599" w:rsidRPr="00FA587B">
        <w:rPr>
          <w:rFonts w:ascii="Arial" w:hAnsi="Arial" w:cs="Arial"/>
        </w:rPr>
        <w:t>2006</w:t>
      </w:r>
      <w:r w:rsidRPr="00FA587B">
        <w:rPr>
          <w:rFonts w:ascii="Arial" w:hAnsi="Arial" w:cs="Arial"/>
        </w:rPr>
        <w:t xml:space="preserve">, lapso que no corresponde a aquel en que se extendió el </w:t>
      </w:r>
      <w:r w:rsidR="00096EA3" w:rsidRPr="00FA587B">
        <w:rPr>
          <w:rFonts w:ascii="Arial" w:hAnsi="Arial" w:cs="Arial"/>
        </w:rPr>
        <w:t>plazo por cuenta de las tres pró</w:t>
      </w:r>
      <w:r w:rsidRPr="00FA587B">
        <w:rPr>
          <w:rFonts w:ascii="Arial" w:hAnsi="Arial" w:cs="Arial"/>
        </w:rPr>
        <w:t xml:space="preserve">rrogas de que fue objeto el negocio jurídico. </w:t>
      </w:r>
    </w:p>
    <w:p w:rsidR="00205CA8" w:rsidRPr="00FA587B" w:rsidRDefault="00205CA8" w:rsidP="00FA587B">
      <w:pPr>
        <w:spacing w:line="360" w:lineRule="auto"/>
        <w:contextualSpacing/>
        <w:jc w:val="both"/>
        <w:rPr>
          <w:rFonts w:ascii="Arial" w:hAnsi="Arial" w:cs="Arial"/>
        </w:rPr>
      </w:pPr>
    </w:p>
    <w:p w:rsidR="00205CA8" w:rsidRPr="00FA587B" w:rsidRDefault="00205CA8" w:rsidP="00FA587B">
      <w:pPr>
        <w:spacing w:line="360" w:lineRule="auto"/>
        <w:contextualSpacing/>
        <w:jc w:val="both"/>
        <w:rPr>
          <w:rFonts w:ascii="Arial" w:hAnsi="Arial" w:cs="Arial"/>
        </w:rPr>
      </w:pPr>
      <w:r w:rsidRPr="00FA587B">
        <w:rPr>
          <w:rFonts w:ascii="Arial" w:hAnsi="Arial" w:cs="Arial"/>
        </w:rPr>
        <w:t xml:space="preserve">Además, en su análisis el auxiliar de la justicia no tuvo en consideración las sumas que según el acta de terminación se reconocieron al contratista por concepto de ajustes en cuantía de $345’830.198 y mayores cantidades de obra por valor de </w:t>
      </w:r>
      <w:r w:rsidRPr="00FA587B">
        <w:rPr>
          <w:rFonts w:ascii="Arial" w:hAnsi="Arial" w:cs="Arial"/>
        </w:rPr>
        <w:lastRenderedPageBreak/>
        <w:t>$328’499.263</w:t>
      </w:r>
      <w:r w:rsidR="00911599" w:rsidRPr="00FA587B">
        <w:rPr>
          <w:rFonts w:ascii="Arial" w:hAnsi="Arial" w:cs="Arial"/>
        </w:rPr>
        <w:t xml:space="preserve">, como tampoco el hecho de que </w:t>
      </w:r>
      <w:r w:rsidR="00B21153" w:rsidRPr="00FA587B">
        <w:rPr>
          <w:rFonts w:ascii="Arial" w:hAnsi="Arial" w:cs="Arial"/>
        </w:rPr>
        <w:t>al suscribir el contrato adicional No. 02 se dejó expresa constancia por las partes de que esa prolongación no ge</w:t>
      </w:r>
      <w:r w:rsidR="00003BF7" w:rsidRPr="00FA587B">
        <w:rPr>
          <w:rFonts w:ascii="Arial" w:hAnsi="Arial" w:cs="Arial"/>
        </w:rPr>
        <w:t>neraría costos para el IDU</w:t>
      </w:r>
      <w:r w:rsidR="00B21153" w:rsidRPr="00FA587B">
        <w:rPr>
          <w:rFonts w:ascii="Arial" w:hAnsi="Arial" w:cs="Arial"/>
        </w:rPr>
        <w:t>, hecho que fue consentido por el contratista al signar el documento sin reserva alguna</w:t>
      </w:r>
    </w:p>
    <w:p w:rsidR="00CC2FCB" w:rsidRPr="00FA587B" w:rsidRDefault="00CC2FCB" w:rsidP="00FA587B">
      <w:pPr>
        <w:spacing w:line="360" w:lineRule="auto"/>
        <w:contextualSpacing/>
        <w:jc w:val="both"/>
        <w:rPr>
          <w:rFonts w:ascii="Arial" w:hAnsi="Arial" w:cs="Arial"/>
        </w:rPr>
      </w:pPr>
    </w:p>
    <w:p w:rsidR="001B3EC9" w:rsidRPr="00FA587B" w:rsidRDefault="001B3EC9" w:rsidP="00FA587B">
      <w:pPr>
        <w:autoSpaceDN w:val="0"/>
        <w:spacing w:line="360" w:lineRule="auto"/>
        <w:jc w:val="both"/>
        <w:rPr>
          <w:rFonts w:ascii="Arial" w:hAnsi="Arial" w:cs="Arial"/>
        </w:rPr>
      </w:pPr>
      <w:r w:rsidRPr="00FA587B">
        <w:rPr>
          <w:rFonts w:ascii="Arial" w:hAnsi="Arial" w:cs="Arial"/>
        </w:rPr>
        <w:t xml:space="preserve">Por lo demás, no reposan en el plenario otros medios de prueba dirigidos a demostrar los perjuicios solicitados por esa causa. </w:t>
      </w:r>
    </w:p>
    <w:p w:rsidR="00CC2FCB" w:rsidRPr="00FA587B" w:rsidRDefault="00CC2FCB" w:rsidP="00FA587B">
      <w:pPr>
        <w:autoSpaceDN w:val="0"/>
        <w:spacing w:line="360" w:lineRule="auto"/>
        <w:jc w:val="both"/>
        <w:rPr>
          <w:rFonts w:ascii="Arial" w:hAnsi="Arial" w:cs="Arial"/>
        </w:rPr>
      </w:pPr>
    </w:p>
    <w:p w:rsidR="006F1A49" w:rsidRPr="00FA587B" w:rsidRDefault="00692849" w:rsidP="00FA587B">
      <w:pPr>
        <w:autoSpaceDN w:val="0"/>
        <w:spacing w:line="360" w:lineRule="auto"/>
        <w:jc w:val="both"/>
        <w:rPr>
          <w:rFonts w:ascii="Arial" w:hAnsi="Arial" w:cs="Arial"/>
        </w:rPr>
      </w:pPr>
      <w:r w:rsidRPr="00FA587B">
        <w:rPr>
          <w:rFonts w:ascii="Arial" w:hAnsi="Arial" w:cs="Arial"/>
        </w:rPr>
        <w:t>O</w:t>
      </w:r>
      <w:r w:rsidR="001B3EC9" w:rsidRPr="00FA587B">
        <w:rPr>
          <w:rFonts w:ascii="Arial" w:hAnsi="Arial" w:cs="Arial"/>
        </w:rPr>
        <w:t xml:space="preserve">tro de </w:t>
      </w:r>
      <w:r w:rsidR="00104D8A" w:rsidRPr="00FA587B">
        <w:rPr>
          <w:rFonts w:ascii="Arial" w:hAnsi="Arial" w:cs="Arial"/>
        </w:rPr>
        <w:t>los conceptos en los que se estructuró</w:t>
      </w:r>
      <w:r w:rsidR="001B3EC9" w:rsidRPr="00FA587B">
        <w:rPr>
          <w:rFonts w:ascii="Arial" w:hAnsi="Arial" w:cs="Arial"/>
        </w:rPr>
        <w:t xml:space="preserve"> la pretensión condenatoria correspondió a </w:t>
      </w:r>
      <w:r w:rsidR="00F85978" w:rsidRPr="00FA587B">
        <w:rPr>
          <w:rFonts w:ascii="Arial" w:hAnsi="Arial" w:cs="Arial"/>
        </w:rPr>
        <w:t xml:space="preserve">la mayor onerosidad que conllevó la ejecución del contrato </w:t>
      </w:r>
      <w:r w:rsidR="006F1A49" w:rsidRPr="00FA587B">
        <w:rPr>
          <w:rFonts w:ascii="Arial" w:hAnsi="Arial" w:cs="Arial"/>
        </w:rPr>
        <w:t xml:space="preserve">por el cambio de vigencia </w:t>
      </w:r>
      <w:r w:rsidR="00395CEF" w:rsidRPr="00FA587B">
        <w:rPr>
          <w:rFonts w:ascii="Arial" w:hAnsi="Arial" w:cs="Arial"/>
        </w:rPr>
        <w:t>fiscal derivada de la ampliación del plazo contractual. Explicó que la obra debía ejecutarse en 2006 con los precios unitarios previstos para esa anualidad y no en el 2007.</w:t>
      </w:r>
    </w:p>
    <w:p w:rsidR="006F1A49" w:rsidRPr="00FA587B" w:rsidRDefault="006F1A49" w:rsidP="00FA587B">
      <w:pPr>
        <w:autoSpaceDN w:val="0"/>
        <w:spacing w:line="360" w:lineRule="auto"/>
        <w:jc w:val="both"/>
        <w:rPr>
          <w:rFonts w:ascii="Arial" w:hAnsi="Arial" w:cs="Arial"/>
        </w:rPr>
      </w:pPr>
    </w:p>
    <w:p w:rsidR="00D07138" w:rsidRPr="00FA587B" w:rsidRDefault="003B0EF7" w:rsidP="00FA587B">
      <w:pPr>
        <w:spacing w:line="360" w:lineRule="auto"/>
        <w:jc w:val="both"/>
        <w:rPr>
          <w:rFonts w:ascii="Arial" w:hAnsi="Arial" w:cs="Arial"/>
        </w:rPr>
      </w:pPr>
      <w:r w:rsidRPr="00FA587B">
        <w:rPr>
          <w:rFonts w:ascii="Arial" w:hAnsi="Arial" w:cs="Arial"/>
        </w:rPr>
        <w:t xml:space="preserve">Al respecto, la Sala no evidencia elemento </w:t>
      </w:r>
      <w:r w:rsidR="00104D8A" w:rsidRPr="00FA587B">
        <w:rPr>
          <w:rFonts w:ascii="Arial" w:hAnsi="Arial" w:cs="Arial"/>
        </w:rPr>
        <w:t>tendiente a demostrar que entre la fecha en la que</w:t>
      </w:r>
      <w:r w:rsidRPr="00FA587B">
        <w:rPr>
          <w:rFonts w:ascii="Arial" w:hAnsi="Arial" w:cs="Arial"/>
        </w:rPr>
        <w:t xml:space="preserve"> se suscribió el contrat</w:t>
      </w:r>
      <w:r w:rsidR="00104D8A" w:rsidRPr="00FA587B">
        <w:rPr>
          <w:rFonts w:ascii="Arial" w:hAnsi="Arial" w:cs="Arial"/>
        </w:rPr>
        <w:t>o y la fecha en la que</w:t>
      </w:r>
      <w:r w:rsidRPr="00FA587B">
        <w:rPr>
          <w:rFonts w:ascii="Arial" w:hAnsi="Arial" w:cs="Arial"/>
        </w:rPr>
        <w:t xml:space="preserve"> terminaron las actividades hubiera ocurrido un aumento de costos de insumos y materiales por cuenta del cual </w:t>
      </w:r>
      <w:r w:rsidR="00D07138" w:rsidRPr="00FA587B">
        <w:rPr>
          <w:rFonts w:ascii="Arial" w:hAnsi="Arial" w:cs="Arial"/>
        </w:rPr>
        <w:t>se hubiera impactado</w:t>
      </w:r>
      <w:r w:rsidRPr="00FA587B">
        <w:rPr>
          <w:rFonts w:ascii="Arial" w:hAnsi="Arial" w:cs="Arial"/>
        </w:rPr>
        <w:t xml:space="preserve"> nocivamente la econom</w:t>
      </w:r>
      <w:r w:rsidR="00D07138" w:rsidRPr="00FA587B">
        <w:rPr>
          <w:rFonts w:ascii="Arial" w:hAnsi="Arial" w:cs="Arial"/>
        </w:rPr>
        <w:t>ía del contrato,</w:t>
      </w:r>
      <w:r w:rsidRPr="00FA587B">
        <w:rPr>
          <w:rFonts w:ascii="Arial" w:hAnsi="Arial" w:cs="Arial"/>
        </w:rPr>
        <w:t xml:space="preserve"> </w:t>
      </w:r>
      <w:r w:rsidR="00D07138" w:rsidRPr="00FA587B">
        <w:rPr>
          <w:rFonts w:ascii="Arial" w:hAnsi="Arial" w:cs="Arial"/>
        </w:rPr>
        <w:t xml:space="preserve">toda vez que no existe prueba de los costos directos en que, de manera efectiva, debió incurrir el contratista para ejecutar la obra encomendada. </w:t>
      </w:r>
    </w:p>
    <w:p w:rsidR="00D07138" w:rsidRPr="00FA587B" w:rsidRDefault="00D07138" w:rsidP="00FA587B">
      <w:pPr>
        <w:spacing w:line="360" w:lineRule="auto"/>
        <w:jc w:val="both"/>
        <w:rPr>
          <w:rFonts w:ascii="Arial" w:hAnsi="Arial" w:cs="Arial"/>
        </w:rPr>
      </w:pPr>
    </w:p>
    <w:p w:rsidR="00D07138" w:rsidRPr="00FA587B" w:rsidRDefault="00D07138" w:rsidP="00FA587B">
      <w:pPr>
        <w:spacing w:line="360" w:lineRule="auto"/>
        <w:jc w:val="both"/>
        <w:rPr>
          <w:rFonts w:ascii="Arial" w:hAnsi="Arial" w:cs="Arial"/>
        </w:rPr>
      </w:pPr>
      <w:r w:rsidRPr="00FA587B">
        <w:rPr>
          <w:rFonts w:ascii="Arial" w:hAnsi="Arial" w:cs="Arial"/>
        </w:rPr>
        <w:t xml:space="preserve">Para ese propósito no bastaba </w:t>
      </w:r>
      <w:r w:rsidR="00096EA3" w:rsidRPr="00FA587B">
        <w:rPr>
          <w:rFonts w:ascii="Arial" w:hAnsi="Arial" w:cs="Arial"/>
        </w:rPr>
        <w:t xml:space="preserve">con sostener </w:t>
      </w:r>
      <w:r w:rsidRPr="00FA587B">
        <w:rPr>
          <w:rFonts w:ascii="Arial" w:hAnsi="Arial" w:cs="Arial"/>
        </w:rPr>
        <w:t>que</w:t>
      </w:r>
      <w:r w:rsidR="00096EA3" w:rsidRPr="00FA587B">
        <w:rPr>
          <w:rFonts w:ascii="Arial" w:hAnsi="Arial" w:cs="Arial"/>
        </w:rPr>
        <w:t xml:space="preserve"> el simple paso del tiempo comportó</w:t>
      </w:r>
      <w:r w:rsidRPr="00FA587B">
        <w:rPr>
          <w:rFonts w:ascii="Arial" w:hAnsi="Arial" w:cs="Arial"/>
        </w:rPr>
        <w:t xml:space="preserve"> un incremento de precios de construcción superior al proyectado en la propuesta. Resultaba indispensable demostrar el costo real de su ejecución</w:t>
      </w:r>
      <w:r w:rsidRPr="00FA587B">
        <w:rPr>
          <w:rFonts w:ascii="Arial" w:hAnsi="Arial" w:cs="Arial"/>
          <w:vertAlign w:val="superscript"/>
        </w:rPr>
        <w:footnoteReference w:id="23"/>
      </w:r>
      <w:r w:rsidRPr="00FA587B">
        <w:rPr>
          <w:rFonts w:ascii="Arial" w:hAnsi="Arial" w:cs="Arial"/>
        </w:rPr>
        <w:t xml:space="preserve"> y que éste excedió de manera considerable el precio formulado en la propuesta, actividad probatoria que en el caso no se llevó a cabo</w:t>
      </w:r>
      <w:r w:rsidR="001B7124" w:rsidRPr="00FA587B">
        <w:rPr>
          <w:rFonts w:ascii="Arial" w:hAnsi="Arial" w:cs="Arial"/>
        </w:rPr>
        <w:t>, habida cuenta de que</w:t>
      </w:r>
      <w:r w:rsidRPr="00FA587B">
        <w:rPr>
          <w:rFonts w:ascii="Arial" w:hAnsi="Arial" w:cs="Arial"/>
        </w:rPr>
        <w:t xml:space="preserve"> no se aportó ni la oferta contentiva de los respectivos valores como tampoco prueba documental</w:t>
      </w:r>
      <w:r w:rsidR="001B7124" w:rsidRPr="00FA587B">
        <w:rPr>
          <w:rFonts w:ascii="Arial" w:hAnsi="Arial" w:cs="Arial"/>
        </w:rPr>
        <w:t xml:space="preserve"> alguna dirigida a demostrar cuá</w:t>
      </w:r>
      <w:r w:rsidRPr="00FA587B">
        <w:rPr>
          <w:rFonts w:ascii="Arial" w:hAnsi="Arial" w:cs="Arial"/>
        </w:rPr>
        <w:t xml:space="preserve">l </w:t>
      </w:r>
      <w:r w:rsidR="001B7124" w:rsidRPr="00FA587B">
        <w:rPr>
          <w:rFonts w:ascii="Arial" w:hAnsi="Arial" w:cs="Arial"/>
        </w:rPr>
        <w:t xml:space="preserve">fue </w:t>
      </w:r>
      <w:r w:rsidRPr="00FA587B">
        <w:rPr>
          <w:rFonts w:ascii="Arial" w:hAnsi="Arial" w:cs="Arial"/>
        </w:rPr>
        <w:t xml:space="preserve">su costo real en el año 2007. </w:t>
      </w:r>
    </w:p>
    <w:p w:rsidR="00D07138" w:rsidRPr="00FA587B" w:rsidRDefault="00D07138" w:rsidP="00FA587B">
      <w:pPr>
        <w:spacing w:line="360" w:lineRule="auto"/>
        <w:jc w:val="both"/>
        <w:rPr>
          <w:rFonts w:ascii="Arial" w:hAnsi="Arial" w:cs="Arial"/>
        </w:rPr>
      </w:pPr>
    </w:p>
    <w:p w:rsidR="00D60214" w:rsidRPr="00FA587B" w:rsidRDefault="00D07138" w:rsidP="00FA587B">
      <w:pPr>
        <w:spacing w:line="360" w:lineRule="auto"/>
        <w:jc w:val="both"/>
        <w:rPr>
          <w:rFonts w:ascii="Arial" w:hAnsi="Arial" w:cs="Arial"/>
        </w:rPr>
      </w:pPr>
      <w:r w:rsidRPr="00FA587B">
        <w:rPr>
          <w:rFonts w:ascii="Arial" w:hAnsi="Arial" w:cs="Arial"/>
        </w:rPr>
        <w:lastRenderedPageBreak/>
        <w:t xml:space="preserve">Así las cosas, la Sala no accederá al reconocimiento de los valores pretendidos por concepto </w:t>
      </w:r>
      <w:r w:rsidR="006F17AA" w:rsidRPr="00FA587B">
        <w:rPr>
          <w:rFonts w:ascii="Arial" w:hAnsi="Arial" w:cs="Arial"/>
        </w:rPr>
        <w:t>de mayor permanencia en obra</w:t>
      </w:r>
      <w:r w:rsidR="00692849" w:rsidRPr="00FA587B">
        <w:rPr>
          <w:rFonts w:ascii="Arial" w:hAnsi="Arial" w:cs="Arial"/>
        </w:rPr>
        <w:t xml:space="preserve">. </w:t>
      </w:r>
    </w:p>
    <w:p w:rsidR="00CC2FCB" w:rsidRPr="00FA587B" w:rsidRDefault="00CC2FCB" w:rsidP="00FA587B">
      <w:pPr>
        <w:spacing w:line="360" w:lineRule="auto"/>
        <w:jc w:val="both"/>
        <w:rPr>
          <w:rFonts w:ascii="Arial" w:hAnsi="Arial" w:cs="Arial"/>
        </w:rPr>
      </w:pPr>
    </w:p>
    <w:p w:rsidR="001B3EC9" w:rsidRPr="00FA587B" w:rsidRDefault="004449AE" w:rsidP="00FA587B">
      <w:pPr>
        <w:autoSpaceDN w:val="0"/>
        <w:spacing w:line="360" w:lineRule="auto"/>
        <w:jc w:val="both"/>
        <w:rPr>
          <w:rFonts w:ascii="Arial" w:hAnsi="Arial" w:cs="Arial"/>
          <w:b/>
          <w:lang w:val="es-CO" w:eastAsia="es-CO"/>
        </w:rPr>
      </w:pPr>
      <w:r w:rsidRPr="00FA587B">
        <w:rPr>
          <w:rFonts w:ascii="Arial" w:hAnsi="Arial" w:cs="Arial"/>
          <w:b/>
          <w:lang w:val="es-CO" w:eastAsia="es-CO"/>
        </w:rPr>
        <w:t>4.2.</w:t>
      </w:r>
      <w:r w:rsidR="00272BE9" w:rsidRPr="00FA587B">
        <w:rPr>
          <w:rFonts w:ascii="Arial" w:hAnsi="Arial" w:cs="Arial"/>
          <w:b/>
          <w:lang w:val="es-CO" w:eastAsia="es-CO"/>
        </w:rPr>
        <w:t>-</w:t>
      </w:r>
      <w:r w:rsidRPr="00FA587B">
        <w:rPr>
          <w:rFonts w:ascii="Arial" w:hAnsi="Arial" w:cs="Arial"/>
          <w:b/>
          <w:lang w:val="es-CO" w:eastAsia="es-CO"/>
        </w:rPr>
        <w:t xml:space="preserve"> </w:t>
      </w:r>
      <w:r w:rsidR="0004528C" w:rsidRPr="00FA587B">
        <w:rPr>
          <w:rFonts w:ascii="Arial" w:hAnsi="Arial" w:cs="Arial"/>
          <w:b/>
          <w:lang w:val="es-CO" w:eastAsia="es-CO"/>
        </w:rPr>
        <w:t>De la ausencia</w:t>
      </w:r>
      <w:r w:rsidR="00C80A42" w:rsidRPr="00FA587B">
        <w:rPr>
          <w:rFonts w:ascii="Arial" w:hAnsi="Arial" w:cs="Arial"/>
          <w:b/>
          <w:lang w:val="es-CO" w:eastAsia="es-CO"/>
        </w:rPr>
        <w:t xml:space="preserve"> de </w:t>
      </w:r>
      <w:r w:rsidR="0004528C" w:rsidRPr="00FA587B">
        <w:rPr>
          <w:rFonts w:ascii="Arial" w:hAnsi="Arial" w:cs="Arial"/>
          <w:b/>
          <w:lang w:val="es-CO" w:eastAsia="es-CO"/>
        </w:rPr>
        <w:t>reconocimiento</w:t>
      </w:r>
      <w:r w:rsidR="00C80A42" w:rsidRPr="00FA587B">
        <w:rPr>
          <w:rFonts w:ascii="Arial" w:hAnsi="Arial" w:cs="Arial"/>
          <w:b/>
          <w:lang w:val="es-CO" w:eastAsia="es-CO"/>
        </w:rPr>
        <w:t xml:space="preserve"> de </w:t>
      </w:r>
      <w:r w:rsidR="0004528C" w:rsidRPr="00FA587B">
        <w:rPr>
          <w:rFonts w:ascii="Arial" w:hAnsi="Arial" w:cs="Arial"/>
          <w:b/>
          <w:lang w:val="es-CO" w:eastAsia="es-CO"/>
        </w:rPr>
        <w:t>“</w:t>
      </w:r>
      <w:r w:rsidR="00C80A42" w:rsidRPr="00FA587B">
        <w:rPr>
          <w:rFonts w:ascii="Arial" w:hAnsi="Arial" w:cs="Arial"/>
          <w:b/>
          <w:lang w:val="es-CO" w:eastAsia="es-CO"/>
        </w:rPr>
        <w:t xml:space="preserve">obras no previstas ejecutadas dentro del </w:t>
      </w:r>
      <w:r w:rsidR="00F5610B" w:rsidRPr="00FA587B">
        <w:rPr>
          <w:rFonts w:ascii="Arial" w:hAnsi="Arial" w:cs="Arial"/>
          <w:b/>
          <w:lang w:val="es-CO" w:eastAsia="es-CO"/>
        </w:rPr>
        <w:t>Contrato N</w:t>
      </w:r>
      <w:r w:rsidR="0004528C" w:rsidRPr="00FA587B">
        <w:rPr>
          <w:rFonts w:ascii="Arial" w:hAnsi="Arial" w:cs="Arial"/>
          <w:b/>
          <w:lang w:val="es-CO" w:eastAsia="es-CO"/>
        </w:rPr>
        <w:t>o. 193”</w:t>
      </w:r>
    </w:p>
    <w:p w:rsidR="00CC2FCB" w:rsidRPr="00FA587B" w:rsidRDefault="00CC2FCB" w:rsidP="00FA587B">
      <w:pPr>
        <w:autoSpaceDN w:val="0"/>
        <w:spacing w:line="360" w:lineRule="auto"/>
        <w:jc w:val="both"/>
        <w:rPr>
          <w:rFonts w:ascii="Arial" w:hAnsi="Arial" w:cs="Arial"/>
          <w:b/>
          <w:lang w:val="es-CO" w:eastAsia="es-CO"/>
        </w:rPr>
      </w:pPr>
    </w:p>
    <w:p w:rsidR="001B7124" w:rsidRPr="00FA587B" w:rsidRDefault="00F9579F" w:rsidP="00FA587B">
      <w:pPr>
        <w:spacing w:line="360" w:lineRule="auto"/>
        <w:jc w:val="both"/>
        <w:rPr>
          <w:rFonts w:ascii="Arial" w:hAnsi="Arial" w:cs="Arial"/>
        </w:rPr>
      </w:pPr>
      <w:r w:rsidRPr="00FA587B">
        <w:rPr>
          <w:rFonts w:ascii="Arial" w:hAnsi="Arial" w:cs="Arial"/>
        </w:rPr>
        <w:t xml:space="preserve">Sostuvo el libelista que </w:t>
      </w:r>
      <w:r w:rsidR="001B7124" w:rsidRPr="00FA587B">
        <w:rPr>
          <w:rFonts w:ascii="Arial" w:hAnsi="Arial" w:cs="Arial"/>
        </w:rPr>
        <w:t xml:space="preserve">durante la ejecución contractual se presentaron modificaciones a los diseños y materiales exigidos inicialmente </w:t>
      </w:r>
      <w:r w:rsidR="00AF00CE" w:rsidRPr="00FA587B">
        <w:rPr>
          <w:rFonts w:ascii="Arial" w:hAnsi="Arial" w:cs="Arial"/>
        </w:rPr>
        <w:t>motivadas por las exigencias elevadas por los habitantes de la zona, situación que, en criterio del actor, supuso la ejecución de actividades no previstas en cuantía de $904’796.634</w:t>
      </w:r>
      <w:r w:rsidR="00026464" w:rsidRPr="00FA587B">
        <w:rPr>
          <w:rFonts w:ascii="Arial" w:hAnsi="Arial" w:cs="Arial"/>
        </w:rPr>
        <w:t xml:space="preserve"> que la entidad contratante no ha reconocido en su favor</w:t>
      </w:r>
      <w:r w:rsidR="00AF00CE" w:rsidRPr="00FA587B">
        <w:rPr>
          <w:rFonts w:ascii="Arial" w:hAnsi="Arial" w:cs="Arial"/>
        </w:rPr>
        <w:t>.</w:t>
      </w:r>
    </w:p>
    <w:p w:rsidR="00AF00CE" w:rsidRPr="00FA587B" w:rsidRDefault="00AF00CE" w:rsidP="00FA587B">
      <w:pPr>
        <w:spacing w:line="360" w:lineRule="auto"/>
        <w:jc w:val="both"/>
        <w:rPr>
          <w:rFonts w:ascii="Arial" w:hAnsi="Arial" w:cs="Arial"/>
        </w:rPr>
      </w:pPr>
    </w:p>
    <w:p w:rsidR="00AF00CE" w:rsidRPr="00FA587B" w:rsidRDefault="00AF00CE" w:rsidP="00FA587B">
      <w:pPr>
        <w:spacing w:line="360" w:lineRule="auto"/>
        <w:jc w:val="both"/>
        <w:rPr>
          <w:rFonts w:ascii="Arial" w:hAnsi="Arial" w:cs="Arial"/>
        </w:rPr>
      </w:pPr>
      <w:r w:rsidRPr="00FA587B">
        <w:rPr>
          <w:rFonts w:ascii="Arial" w:hAnsi="Arial" w:cs="Arial"/>
        </w:rPr>
        <w:t xml:space="preserve">De esa cifra discriminó los siguientes valores: </w:t>
      </w:r>
    </w:p>
    <w:p w:rsidR="00BD74AA" w:rsidRPr="00FA587B" w:rsidRDefault="00BD74AA" w:rsidP="00FA587B">
      <w:pPr>
        <w:spacing w:line="36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1"/>
        <w:gridCol w:w="1671"/>
      </w:tblGrid>
      <w:tr w:rsidR="00BD74AA" w:rsidRPr="00FA587B" w:rsidTr="00CC2FCB">
        <w:tc>
          <w:tcPr>
            <w:tcW w:w="7196" w:type="dxa"/>
            <w:shd w:val="clear" w:color="auto" w:fill="auto"/>
          </w:tcPr>
          <w:p w:rsidR="00BD74AA" w:rsidRPr="00FA587B" w:rsidRDefault="00BD74AA" w:rsidP="00FA587B">
            <w:pPr>
              <w:spacing w:line="360" w:lineRule="auto"/>
              <w:jc w:val="both"/>
              <w:rPr>
                <w:rFonts w:ascii="Arial" w:hAnsi="Arial" w:cs="Arial"/>
              </w:rPr>
            </w:pPr>
            <w:r w:rsidRPr="00FA587B">
              <w:rPr>
                <w:rFonts w:ascii="Arial" w:hAnsi="Arial" w:cs="Arial"/>
              </w:rPr>
              <w:t xml:space="preserve">Valor total en costo directo de las obras </w:t>
            </w:r>
          </w:p>
          <w:p w:rsidR="00BD74AA" w:rsidRPr="00FA587B" w:rsidRDefault="00BD74AA" w:rsidP="00FA587B">
            <w:pPr>
              <w:spacing w:line="360" w:lineRule="auto"/>
              <w:jc w:val="both"/>
              <w:rPr>
                <w:rFonts w:ascii="Arial" w:hAnsi="Arial" w:cs="Arial"/>
              </w:rPr>
            </w:pPr>
          </w:p>
        </w:tc>
        <w:tc>
          <w:tcPr>
            <w:tcW w:w="0" w:type="auto"/>
            <w:shd w:val="clear" w:color="auto" w:fill="auto"/>
          </w:tcPr>
          <w:p w:rsidR="00BD74AA" w:rsidRPr="00FA587B" w:rsidRDefault="00BD74AA" w:rsidP="00FA587B">
            <w:pPr>
              <w:spacing w:line="360" w:lineRule="auto"/>
              <w:jc w:val="right"/>
              <w:rPr>
                <w:rFonts w:ascii="Arial" w:hAnsi="Arial" w:cs="Arial"/>
              </w:rPr>
            </w:pPr>
            <w:r w:rsidRPr="00FA587B">
              <w:rPr>
                <w:rFonts w:ascii="Arial" w:hAnsi="Arial" w:cs="Arial"/>
              </w:rPr>
              <w:t>$578’692.815</w:t>
            </w:r>
          </w:p>
        </w:tc>
      </w:tr>
      <w:tr w:rsidR="00BD74AA" w:rsidRPr="00FA587B" w:rsidTr="00CC2FCB">
        <w:tc>
          <w:tcPr>
            <w:tcW w:w="7196" w:type="dxa"/>
            <w:shd w:val="clear" w:color="auto" w:fill="auto"/>
          </w:tcPr>
          <w:p w:rsidR="00BD74AA" w:rsidRPr="00FA587B" w:rsidRDefault="00BD74AA" w:rsidP="00FA587B">
            <w:pPr>
              <w:spacing w:line="360" w:lineRule="auto"/>
              <w:jc w:val="both"/>
              <w:rPr>
                <w:rFonts w:ascii="Arial" w:hAnsi="Arial" w:cs="Arial"/>
              </w:rPr>
            </w:pPr>
            <w:r w:rsidRPr="00FA587B">
              <w:rPr>
                <w:rFonts w:ascii="Arial" w:hAnsi="Arial" w:cs="Arial"/>
              </w:rPr>
              <w:t xml:space="preserve">Valor del A.I.U. – 30.30% </w:t>
            </w:r>
          </w:p>
        </w:tc>
        <w:tc>
          <w:tcPr>
            <w:tcW w:w="0" w:type="auto"/>
            <w:shd w:val="clear" w:color="auto" w:fill="auto"/>
          </w:tcPr>
          <w:p w:rsidR="00BD74AA" w:rsidRPr="00FA587B" w:rsidRDefault="00BD74AA" w:rsidP="00FA587B">
            <w:pPr>
              <w:spacing w:line="360" w:lineRule="auto"/>
              <w:jc w:val="right"/>
              <w:rPr>
                <w:rFonts w:ascii="Arial" w:hAnsi="Arial" w:cs="Arial"/>
              </w:rPr>
            </w:pPr>
            <w:r w:rsidRPr="00FA587B">
              <w:rPr>
                <w:rFonts w:ascii="Arial" w:hAnsi="Arial" w:cs="Arial"/>
              </w:rPr>
              <w:t>$175’343.923</w:t>
            </w:r>
          </w:p>
        </w:tc>
      </w:tr>
      <w:tr w:rsidR="00BD74AA" w:rsidRPr="00FA587B" w:rsidTr="00CC2FCB">
        <w:tc>
          <w:tcPr>
            <w:tcW w:w="7196" w:type="dxa"/>
            <w:shd w:val="clear" w:color="auto" w:fill="auto"/>
          </w:tcPr>
          <w:p w:rsidR="00BD74AA" w:rsidRPr="00FA587B" w:rsidRDefault="00BD74AA" w:rsidP="00FA587B">
            <w:pPr>
              <w:spacing w:line="360" w:lineRule="auto"/>
              <w:jc w:val="both"/>
              <w:rPr>
                <w:rFonts w:ascii="Arial" w:hAnsi="Arial" w:cs="Arial"/>
              </w:rPr>
            </w:pPr>
            <w:r w:rsidRPr="00FA587B">
              <w:rPr>
                <w:rFonts w:ascii="Arial" w:hAnsi="Arial" w:cs="Arial"/>
              </w:rPr>
              <w:t xml:space="preserve">Valor costo ambiental </w:t>
            </w:r>
          </w:p>
        </w:tc>
        <w:tc>
          <w:tcPr>
            <w:tcW w:w="0" w:type="auto"/>
            <w:shd w:val="clear" w:color="auto" w:fill="auto"/>
          </w:tcPr>
          <w:p w:rsidR="00BD74AA" w:rsidRPr="00FA587B" w:rsidRDefault="00BD74AA" w:rsidP="00FA587B">
            <w:pPr>
              <w:spacing w:line="360" w:lineRule="auto"/>
              <w:jc w:val="right"/>
              <w:rPr>
                <w:rFonts w:ascii="Arial" w:hAnsi="Arial" w:cs="Arial"/>
              </w:rPr>
            </w:pPr>
            <w:r w:rsidRPr="00FA587B">
              <w:rPr>
                <w:rFonts w:ascii="Arial" w:hAnsi="Arial" w:cs="Arial"/>
              </w:rPr>
              <w:t>$32’696.148</w:t>
            </w:r>
          </w:p>
        </w:tc>
      </w:tr>
      <w:tr w:rsidR="00BD74AA" w:rsidRPr="00FA587B" w:rsidTr="00CC2FCB">
        <w:tc>
          <w:tcPr>
            <w:tcW w:w="7196" w:type="dxa"/>
            <w:shd w:val="clear" w:color="auto" w:fill="auto"/>
          </w:tcPr>
          <w:p w:rsidR="00BD74AA" w:rsidRPr="00FA587B" w:rsidRDefault="005A49D0" w:rsidP="00FA587B">
            <w:pPr>
              <w:spacing w:line="360" w:lineRule="auto"/>
              <w:jc w:val="both"/>
              <w:rPr>
                <w:rFonts w:ascii="Arial" w:hAnsi="Arial" w:cs="Arial"/>
              </w:rPr>
            </w:pPr>
            <w:r w:rsidRPr="00FA587B">
              <w:rPr>
                <w:rFonts w:ascii="Arial" w:hAnsi="Arial" w:cs="Arial"/>
              </w:rPr>
              <w:t xml:space="preserve">Valor costo social </w:t>
            </w:r>
          </w:p>
        </w:tc>
        <w:tc>
          <w:tcPr>
            <w:tcW w:w="0" w:type="auto"/>
            <w:shd w:val="clear" w:color="auto" w:fill="auto"/>
          </w:tcPr>
          <w:p w:rsidR="00BD74AA" w:rsidRPr="00FA587B" w:rsidRDefault="005A49D0" w:rsidP="00FA587B">
            <w:pPr>
              <w:spacing w:line="360" w:lineRule="auto"/>
              <w:jc w:val="right"/>
              <w:rPr>
                <w:rFonts w:ascii="Arial" w:hAnsi="Arial" w:cs="Arial"/>
              </w:rPr>
            </w:pPr>
            <w:r w:rsidRPr="00FA587B">
              <w:rPr>
                <w:rFonts w:ascii="Arial" w:hAnsi="Arial" w:cs="Arial"/>
              </w:rPr>
              <w:t>$31’317.983</w:t>
            </w:r>
          </w:p>
        </w:tc>
      </w:tr>
      <w:tr w:rsidR="00BD74AA" w:rsidRPr="00FA587B" w:rsidTr="00CC2FCB">
        <w:tc>
          <w:tcPr>
            <w:tcW w:w="7196" w:type="dxa"/>
            <w:shd w:val="clear" w:color="auto" w:fill="auto"/>
          </w:tcPr>
          <w:p w:rsidR="00BD74AA" w:rsidRPr="00FA587B" w:rsidRDefault="005A49D0" w:rsidP="00FA587B">
            <w:pPr>
              <w:spacing w:line="360" w:lineRule="auto"/>
              <w:jc w:val="both"/>
              <w:rPr>
                <w:rFonts w:ascii="Arial" w:hAnsi="Arial" w:cs="Arial"/>
              </w:rPr>
            </w:pPr>
            <w:r w:rsidRPr="00FA587B">
              <w:rPr>
                <w:rFonts w:ascii="Arial" w:hAnsi="Arial" w:cs="Arial"/>
              </w:rPr>
              <w:t xml:space="preserve">Valor costo siso </w:t>
            </w:r>
          </w:p>
        </w:tc>
        <w:tc>
          <w:tcPr>
            <w:tcW w:w="0" w:type="auto"/>
            <w:shd w:val="clear" w:color="auto" w:fill="auto"/>
          </w:tcPr>
          <w:p w:rsidR="00BD74AA" w:rsidRPr="00FA587B" w:rsidRDefault="005A49D0" w:rsidP="00FA587B">
            <w:pPr>
              <w:spacing w:line="360" w:lineRule="auto"/>
              <w:jc w:val="right"/>
              <w:rPr>
                <w:rFonts w:ascii="Arial" w:hAnsi="Arial" w:cs="Arial"/>
              </w:rPr>
            </w:pPr>
            <w:r w:rsidRPr="00FA587B">
              <w:rPr>
                <w:rFonts w:ascii="Arial" w:hAnsi="Arial" w:cs="Arial"/>
              </w:rPr>
              <w:t>$16’554.362</w:t>
            </w:r>
          </w:p>
        </w:tc>
      </w:tr>
      <w:tr w:rsidR="00BD74AA" w:rsidRPr="00FA587B" w:rsidTr="00CC2FCB">
        <w:tc>
          <w:tcPr>
            <w:tcW w:w="7196" w:type="dxa"/>
            <w:shd w:val="clear" w:color="auto" w:fill="auto"/>
          </w:tcPr>
          <w:p w:rsidR="00BD74AA" w:rsidRPr="00FA587B" w:rsidRDefault="005A49D0" w:rsidP="00FA587B">
            <w:pPr>
              <w:spacing w:line="360" w:lineRule="auto"/>
              <w:jc w:val="both"/>
              <w:rPr>
                <w:rFonts w:ascii="Arial" w:hAnsi="Arial" w:cs="Arial"/>
              </w:rPr>
            </w:pPr>
            <w:r w:rsidRPr="00FA587B">
              <w:rPr>
                <w:rFonts w:ascii="Arial" w:hAnsi="Arial" w:cs="Arial"/>
              </w:rPr>
              <w:t>Valor proyectado de los ajustes al mes de septiembre de 2009</w:t>
            </w:r>
          </w:p>
        </w:tc>
        <w:tc>
          <w:tcPr>
            <w:tcW w:w="0" w:type="auto"/>
            <w:shd w:val="clear" w:color="auto" w:fill="auto"/>
          </w:tcPr>
          <w:p w:rsidR="00BD74AA" w:rsidRPr="00FA587B" w:rsidRDefault="005A49D0" w:rsidP="00FA587B">
            <w:pPr>
              <w:spacing w:line="360" w:lineRule="auto"/>
              <w:jc w:val="right"/>
              <w:rPr>
                <w:rFonts w:ascii="Arial" w:hAnsi="Arial" w:cs="Arial"/>
              </w:rPr>
            </w:pPr>
            <w:r w:rsidRPr="00FA587B">
              <w:rPr>
                <w:rFonts w:ascii="Arial" w:hAnsi="Arial" w:cs="Arial"/>
              </w:rPr>
              <w:t>$75’620.666</w:t>
            </w:r>
          </w:p>
        </w:tc>
      </w:tr>
      <w:tr w:rsidR="00BD74AA" w:rsidRPr="00FA587B" w:rsidTr="00CC2FCB">
        <w:tc>
          <w:tcPr>
            <w:tcW w:w="7196" w:type="dxa"/>
            <w:shd w:val="clear" w:color="auto" w:fill="auto"/>
          </w:tcPr>
          <w:p w:rsidR="00BD74AA" w:rsidRPr="00FA587B" w:rsidRDefault="005A49D0" w:rsidP="00FA587B">
            <w:pPr>
              <w:spacing w:line="360" w:lineRule="auto"/>
              <w:jc w:val="both"/>
              <w:rPr>
                <w:rFonts w:ascii="Arial" w:hAnsi="Arial" w:cs="Arial"/>
              </w:rPr>
            </w:pPr>
            <w:r w:rsidRPr="00FA587B">
              <w:rPr>
                <w:rFonts w:ascii="Arial" w:hAnsi="Arial" w:cs="Arial"/>
              </w:rPr>
              <w:t xml:space="preserve">Valor total de las obras no previstas – pendientes por pagar al contratista </w:t>
            </w:r>
          </w:p>
        </w:tc>
        <w:tc>
          <w:tcPr>
            <w:tcW w:w="0" w:type="auto"/>
            <w:shd w:val="clear" w:color="auto" w:fill="auto"/>
          </w:tcPr>
          <w:p w:rsidR="00BD74AA" w:rsidRPr="00FA587B" w:rsidRDefault="005A49D0" w:rsidP="00FA587B">
            <w:pPr>
              <w:spacing w:line="360" w:lineRule="auto"/>
              <w:jc w:val="right"/>
              <w:rPr>
                <w:rFonts w:ascii="Arial" w:hAnsi="Arial" w:cs="Arial"/>
              </w:rPr>
            </w:pPr>
            <w:r w:rsidRPr="00FA587B">
              <w:rPr>
                <w:rFonts w:ascii="Arial" w:hAnsi="Arial" w:cs="Arial"/>
              </w:rPr>
              <w:t>$910’225.897</w:t>
            </w:r>
          </w:p>
        </w:tc>
      </w:tr>
      <w:tr w:rsidR="00BD74AA" w:rsidRPr="00FA587B" w:rsidTr="00CC2FCB">
        <w:tc>
          <w:tcPr>
            <w:tcW w:w="7196" w:type="dxa"/>
            <w:shd w:val="clear" w:color="auto" w:fill="auto"/>
          </w:tcPr>
          <w:p w:rsidR="00BD74AA" w:rsidRPr="00FA587B" w:rsidRDefault="005A49D0" w:rsidP="00FA587B">
            <w:pPr>
              <w:spacing w:line="360" w:lineRule="auto"/>
              <w:jc w:val="both"/>
              <w:rPr>
                <w:rFonts w:ascii="Arial" w:hAnsi="Arial" w:cs="Arial"/>
              </w:rPr>
            </w:pPr>
            <w:r w:rsidRPr="00FA587B">
              <w:rPr>
                <w:rFonts w:ascii="Arial" w:hAnsi="Arial" w:cs="Arial"/>
              </w:rPr>
              <w:t xml:space="preserve">Menos índice de Reversión </w:t>
            </w:r>
          </w:p>
        </w:tc>
        <w:tc>
          <w:tcPr>
            <w:tcW w:w="0" w:type="auto"/>
            <w:shd w:val="clear" w:color="auto" w:fill="auto"/>
          </w:tcPr>
          <w:p w:rsidR="00BD74AA" w:rsidRPr="00FA587B" w:rsidRDefault="005A49D0" w:rsidP="00FA587B">
            <w:pPr>
              <w:spacing w:line="360" w:lineRule="auto"/>
              <w:jc w:val="right"/>
              <w:rPr>
                <w:rFonts w:ascii="Arial" w:hAnsi="Arial" w:cs="Arial"/>
              </w:rPr>
            </w:pPr>
            <w:r w:rsidRPr="00FA587B">
              <w:rPr>
                <w:rFonts w:ascii="Arial" w:hAnsi="Arial" w:cs="Arial"/>
              </w:rPr>
              <w:t>$5’429.263</w:t>
            </w:r>
          </w:p>
        </w:tc>
      </w:tr>
      <w:tr w:rsidR="00BD74AA" w:rsidRPr="00FA587B" w:rsidTr="00CC2FCB">
        <w:tc>
          <w:tcPr>
            <w:tcW w:w="7196" w:type="dxa"/>
            <w:shd w:val="clear" w:color="auto" w:fill="auto"/>
          </w:tcPr>
          <w:p w:rsidR="00BD74AA" w:rsidRPr="00FA587B" w:rsidRDefault="005A49D0" w:rsidP="00FA587B">
            <w:pPr>
              <w:spacing w:line="360" w:lineRule="auto"/>
              <w:jc w:val="both"/>
              <w:rPr>
                <w:rFonts w:ascii="Arial" w:hAnsi="Arial" w:cs="Arial"/>
              </w:rPr>
            </w:pPr>
            <w:r w:rsidRPr="00FA587B">
              <w:rPr>
                <w:rFonts w:ascii="Arial" w:hAnsi="Arial" w:cs="Arial"/>
              </w:rPr>
              <w:t xml:space="preserve">Total a reconocer </w:t>
            </w:r>
          </w:p>
        </w:tc>
        <w:tc>
          <w:tcPr>
            <w:tcW w:w="0" w:type="auto"/>
            <w:shd w:val="clear" w:color="auto" w:fill="auto"/>
          </w:tcPr>
          <w:p w:rsidR="00BD74AA" w:rsidRPr="00FA587B" w:rsidRDefault="005A49D0" w:rsidP="00FA587B">
            <w:pPr>
              <w:spacing w:line="360" w:lineRule="auto"/>
              <w:jc w:val="right"/>
              <w:rPr>
                <w:rFonts w:ascii="Arial" w:hAnsi="Arial" w:cs="Arial"/>
              </w:rPr>
            </w:pPr>
            <w:r w:rsidRPr="00FA587B">
              <w:rPr>
                <w:rFonts w:ascii="Arial" w:hAnsi="Arial" w:cs="Arial"/>
              </w:rPr>
              <w:t>$904’796.634</w:t>
            </w:r>
          </w:p>
        </w:tc>
      </w:tr>
    </w:tbl>
    <w:p w:rsidR="001B7124" w:rsidRPr="00FA587B" w:rsidRDefault="001B7124" w:rsidP="00FA587B">
      <w:pPr>
        <w:spacing w:line="360" w:lineRule="auto"/>
        <w:jc w:val="both"/>
        <w:rPr>
          <w:rFonts w:ascii="Arial" w:hAnsi="Arial" w:cs="Arial"/>
        </w:rPr>
      </w:pPr>
    </w:p>
    <w:p w:rsidR="005A49D0" w:rsidRPr="00FA587B" w:rsidRDefault="005A49D0" w:rsidP="00FA587B">
      <w:pPr>
        <w:spacing w:line="360" w:lineRule="auto"/>
        <w:jc w:val="both"/>
        <w:rPr>
          <w:rFonts w:ascii="Arial" w:hAnsi="Arial" w:cs="Arial"/>
        </w:rPr>
      </w:pPr>
      <w:r w:rsidRPr="00FA587B">
        <w:rPr>
          <w:rFonts w:ascii="Arial" w:hAnsi="Arial" w:cs="Arial"/>
        </w:rPr>
        <w:t>Adicionalmente</w:t>
      </w:r>
      <w:r w:rsidR="00104D8A" w:rsidRPr="00FA587B">
        <w:rPr>
          <w:rFonts w:ascii="Arial" w:hAnsi="Arial" w:cs="Arial"/>
        </w:rPr>
        <w:t>,</w:t>
      </w:r>
      <w:r w:rsidRPr="00FA587B">
        <w:rPr>
          <w:rFonts w:ascii="Arial" w:hAnsi="Arial" w:cs="Arial"/>
        </w:rPr>
        <w:t xml:space="preserve"> manifestó que la ejecución de dichas obras se encontraba soportada en el </w:t>
      </w:r>
      <w:r w:rsidR="00BC0A3B" w:rsidRPr="00FA587B">
        <w:rPr>
          <w:rFonts w:ascii="Arial" w:hAnsi="Arial" w:cs="Arial"/>
        </w:rPr>
        <w:t>“</w:t>
      </w:r>
      <w:r w:rsidRPr="00FA587B">
        <w:rPr>
          <w:rFonts w:ascii="Arial" w:hAnsi="Arial" w:cs="Arial"/>
          <w:i/>
        </w:rPr>
        <w:t xml:space="preserve">cuadro de cuantificación y valoración de las obras no previstas </w:t>
      </w:r>
      <w:r w:rsidR="00BC0A3B" w:rsidRPr="00FA587B">
        <w:rPr>
          <w:rFonts w:ascii="Arial" w:hAnsi="Arial" w:cs="Arial"/>
          <w:i/>
        </w:rPr>
        <w:t>ejecutadas en el contrato No. 193</w:t>
      </w:r>
      <w:r w:rsidR="00BC0A3B" w:rsidRPr="00FA587B">
        <w:rPr>
          <w:rFonts w:ascii="Arial" w:hAnsi="Arial" w:cs="Arial"/>
        </w:rPr>
        <w:t xml:space="preserve">” </w:t>
      </w:r>
      <w:r w:rsidR="00FC73CF" w:rsidRPr="00FA587B">
        <w:rPr>
          <w:rFonts w:ascii="Arial" w:hAnsi="Arial" w:cs="Arial"/>
        </w:rPr>
        <w:t xml:space="preserve">que se encontraba suscrito por </w:t>
      </w:r>
      <w:r w:rsidRPr="00FA587B">
        <w:rPr>
          <w:rFonts w:ascii="Arial" w:hAnsi="Arial" w:cs="Arial"/>
        </w:rPr>
        <w:t>el interventor</w:t>
      </w:r>
      <w:r w:rsidR="00FC73CF" w:rsidRPr="00FA587B">
        <w:rPr>
          <w:rFonts w:ascii="Arial" w:hAnsi="Arial" w:cs="Arial"/>
        </w:rPr>
        <w:t xml:space="preserve"> </w:t>
      </w:r>
      <w:r w:rsidR="00BC0A3B" w:rsidRPr="00FA587B">
        <w:rPr>
          <w:rFonts w:ascii="Arial" w:hAnsi="Arial" w:cs="Arial"/>
        </w:rPr>
        <w:t xml:space="preserve">consorcio Alpha </w:t>
      </w:r>
      <w:r w:rsidR="00FC73CF" w:rsidRPr="00FA587B">
        <w:rPr>
          <w:rFonts w:ascii="Arial" w:hAnsi="Arial" w:cs="Arial"/>
        </w:rPr>
        <w:t xml:space="preserve">y </w:t>
      </w:r>
      <w:r w:rsidRPr="00FA587B">
        <w:rPr>
          <w:rFonts w:ascii="Arial" w:hAnsi="Arial" w:cs="Arial"/>
        </w:rPr>
        <w:t xml:space="preserve">cuyo texto se anexó con la demanda. </w:t>
      </w:r>
    </w:p>
    <w:p w:rsidR="005A49D0" w:rsidRPr="00FA587B" w:rsidRDefault="005A49D0" w:rsidP="00FA587B">
      <w:pPr>
        <w:spacing w:line="360" w:lineRule="auto"/>
        <w:jc w:val="both"/>
        <w:rPr>
          <w:rFonts w:ascii="Arial" w:hAnsi="Arial" w:cs="Arial"/>
        </w:rPr>
      </w:pPr>
    </w:p>
    <w:p w:rsidR="00F977A0" w:rsidRPr="00FA587B" w:rsidRDefault="00F977A0" w:rsidP="00FA587B">
      <w:pPr>
        <w:spacing w:line="360" w:lineRule="auto"/>
        <w:jc w:val="both"/>
        <w:rPr>
          <w:rFonts w:ascii="Arial" w:hAnsi="Arial" w:cs="Arial"/>
        </w:rPr>
      </w:pPr>
      <w:r w:rsidRPr="00FA587B">
        <w:rPr>
          <w:rFonts w:ascii="Arial" w:hAnsi="Arial" w:cs="Arial"/>
        </w:rPr>
        <w:t>Para resolver este punto, la Sala parte</w:t>
      </w:r>
      <w:r w:rsidR="009F42D1" w:rsidRPr="00FA587B">
        <w:rPr>
          <w:rFonts w:ascii="Arial" w:hAnsi="Arial" w:cs="Arial"/>
        </w:rPr>
        <w:t xml:space="preserve"> por señalar que</w:t>
      </w:r>
      <w:r w:rsidR="00DF18AB" w:rsidRPr="00FA587B">
        <w:rPr>
          <w:rFonts w:ascii="Arial" w:hAnsi="Arial" w:cs="Arial"/>
        </w:rPr>
        <w:t xml:space="preserve"> de</w:t>
      </w:r>
      <w:r w:rsidRPr="00FA587B">
        <w:rPr>
          <w:rFonts w:ascii="Arial" w:hAnsi="Arial" w:cs="Arial"/>
        </w:rPr>
        <w:t xml:space="preserve"> la formulación de esta pretensión no </w:t>
      </w:r>
      <w:r w:rsidR="00DF18AB" w:rsidRPr="00FA587B">
        <w:rPr>
          <w:rFonts w:ascii="Arial" w:hAnsi="Arial" w:cs="Arial"/>
        </w:rPr>
        <w:t xml:space="preserve">surge con claridad </w:t>
      </w:r>
      <w:r w:rsidR="009F42D1" w:rsidRPr="00FA587B">
        <w:rPr>
          <w:rFonts w:ascii="Arial" w:hAnsi="Arial" w:cs="Arial"/>
        </w:rPr>
        <w:t>la natura</w:t>
      </w:r>
      <w:r w:rsidR="00BC0A3B" w:rsidRPr="00FA587B">
        <w:rPr>
          <w:rFonts w:ascii="Arial" w:hAnsi="Arial" w:cs="Arial"/>
        </w:rPr>
        <w:t xml:space="preserve">leza de la actividad cuyo pago se reclama. En otras palabras, </w:t>
      </w:r>
      <w:r w:rsidRPr="00FA587B">
        <w:rPr>
          <w:rFonts w:ascii="Arial" w:hAnsi="Arial" w:cs="Arial"/>
        </w:rPr>
        <w:t xml:space="preserve">no se desprende con certeza </w:t>
      </w:r>
      <w:r w:rsidR="009F42D1" w:rsidRPr="00FA587B">
        <w:rPr>
          <w:rFonts w:ascii="Arial" w:hAnsi="Arial" w:cs="Arial"/>
        </w:rPr>
        <w:t>si</w:t>
      </w:r>
      <w:r w:rsidR="00B3533C" w:rsidRPr="00FA587B">
        <w:rPr>
          <w:rFonts w:ascii="Arial" w:hAnsi="Arial" w:cs="Arial"/>
        </w:rPr>
        <w:t xml:space="preserve"> respecto de las obras referidas por el demandante como “obras no previstas ejecutadas”</w:t>
      </w:r>
      <w:r w:rsidR="009F42D1" w:rsidRPr="00FA587B">
        <w:rPr>
          <w:rFonts w:ascii="Arial" w:hAnsi="Arial" w:cs="Arial"/>
        </w:rPr>
        <w:t>,</w:t>
      </w:r>
      <w:r w:rsidR="00B3533C" w:rsidRPr="00FA587B">
        <w:rPr>
          <w:rFonts w:ascii="Arial" w:hAnsi="Arial" w:cs="Arial"/>
        </w:rPr>
        <w:t xml:space="preserve"> en las que </w:t>
      </w:r>
      <w:r w:rsidR="00BC0A3B" w:rsidRPr="00FA587B">
        <w:rPr>
          <w:rFonts w:ascii="Arial" w:hAnsi="Arial" w:cs="Arial"/>
        </w:rPr>
        <w:t xml:space="preserve">basa </w:t>
      </w:r>
      <w:r w:rsidR="00B3533C" w:rsidRPr="00FA587B">
        <w:rPr>
          <w:rFonts w:ascii="Arial" w:hAnsi="Arial" w:cs="Arial"/>
        </w:rPr>
        <w:t xml:space="preserve">su </w:t>
      </w:r>
      <w:r w:rsidR="009F42D1" w:rsidRPr="00FA587B">
        <w:rPr>
          <w:rFonts w:ascii="Arial" w:hAnsi="Arial" w:cs="Arial"/>
        </w:rPr>
        <w:t xml:space="preserve">aspiración, </w:t>
      </w:r>
      <w:r w:rsidR="00B3533C" w:rsidRPr="00FA587B">
        <w:rPr>
          <w:rFonts w:ascii="Arial" w:hAnsi="Arial" w:cs="Arial"/>
        </w:rPr>
        <w:t>existió un acuerdo entre las partes sobre su objeto y precio o</w:t>
      </w:r>
      <w:r w:rsidR="009F42D1" w:rsidRPr="00FA587B">
        <w:rPr>
          <w:rFonts w:ascii="Arial" w:hAnsi="Arial" w:cs="Arial"/>
        </w:rPr>
        <w:t>,</w:t>
      </w:r>
      <w:r w:rsidR="00B3533C" w:rsidRPr="00FA587B">
        <w:rPr>
          <w:rFonts w:ascii="Arial" w:hAnsi="Arial" w:cs="Arial"/>
        </w:rPr>
        <w:t xml:space="preserve"> si no mediando el mismo</w:t>
      </w:r>
      <w:r w:rsidR="009F42D1" w:rsidRPr="00FA587B">
        <w:rPr>
          <w:rFonts w:ascii="Arial" w:hAnsi="Arial" w:cs="Arial"/>
        </w:rPr>
        <w:t>,</w:t>
      </w:r>
      <w:r w:rsidR="00B3533C" w:rsidRPr="00FA587B">
        <w:rPr>
          <w:rFonts w:ascii="Arial" w:hAnsi="Arial" w:cs="Arial"/>
        </w:rPr>
        <w:t xml:space="preserve"> se ejecutaron</w:t>
      </w:r>
      <w:r w:rsidR="009F42D1" w:rsidRPr="00FA587B">
        <w:rPr>
          <w:rFonts w:ascii="Arial" w:hAnsi="Arial" w:cs="Arial"/>
        </w:rPr>
        <w:t xml:space="preserve"> sin amparo convencional</w:t>
      </w:r>
      <w:r w:rsidR="00B3533C" w:rsidRPr="00FA587B">
        <w:rPr>
          <w:rFonts w:ascii="Arial" w:hAnsi="Arial" w:cs="Arial"/>
        </w:rPr>
        <w:t xml:space="preserve"> por resultar necesarias </w:t>
      </w:r>
      <w:r w:rsidR="00B3533C" w:rsidRPr="00FA587B">
        <w:rPr>
          <w:rFonts w:ascii="Arial" w:hAnsi="Arial" w:cs="Arial"/>
        </w:rPr>
        <w:lastRenderedPageBreak/>
        <w:t xml:space="preserve">para la culminación </w:t>
      </w:r>
      <w:r w:rsidR="009F42D1" w:rsidRPr="00FA587B">
        <w:rPr>
          <w:rFonts w:ascii="Arial" w:hAnsi="Arial" w:cs="Arial"/>
        </w:rPr>
        <w:t>del proyecto</w:t>
      </w:r>
      <w:r w:rsidR="00B3533C" w:rsidRPr="00FA587B">
        <w:rPr>
          <w:rFonts w:ascii="Arial" w:hAnsi="Arial" w:cs="Arial"/>
        </w:rPr>
        <w:t xml:space="preserve">, evento en el cual se justificaría la procedencia de </w:t>
      </w:r>
      <w:r w:rsidR="009F42D1" w:rsidRPr="00FA587B">
        <w:rPr>
          <w:rFonts w:ascii="Arial" w:hAnsi="Arial" w:cs="Arial"/>
        </w:rPr>
        <w:t xml:space="preserve">analizar </w:t>
      </w:r>
      <w:r w:rsidR="00B3533C" w:rsidRPr="00FA587B">
        <w:rPr>
          <w:rFonts w:ascii="Arial" w:hAnsi="Arial" w:cs="Arial"/>
        </w:rPr>
        <w:t xml:space="preserve">la pretensión subsidiaria consistente en la declaratoria de enriquecimiento sin causa. </w:t>
      </w:r>
    </w:p>
    <w:p w:rsidR="009F42D1" w:rsidRPr="00FA587B" w:rsidRDefault="009F42D1" w:rsidP="00FA587B">
      <w:pPr>
        <w:spacing w:line="360" w:lineRule="auto"/>
        <w:jc w:val="both"/>
        <w:rPr>
          <w:rFonts w:ascii="Arial" w:hAnsi="Arial" w:cs="Arial"/>
        </w:rPr>
      </w:pPr>
    </w:p>
    <w:p w:rsidR="009F42D1" w:rsidRPr="00FA587B" w:rsidRDefault="009F42D1" w:rsidP="00FA587B">
      <w:pPr>
        <w:spacing w:line="360" w:lineRule="auto"/>
        <w:jc w:val="both"/>
        <w:rPr>
          <w:rFonts w:ascii="Arial" w:hAnsi="Arial" w:cs="Arial"/>
        </w:rPr>
      </w:pPr>
      <w:r w:rsidRPr="00FA587B">
        <w:rPr>
          <w:rFonts w:ascii="Arial" w:hAnsi="Arial" w:cs="Arial"/>
        </w:rPr>
        <w:t xml:space="preserve">Con </w:t>
      </w:r>
      <w:r w:rsidR="000A46CE" w:rsidRPr="00FA587B">
        <w:rPr>
          <w:rFonts w:ascii="Arial" w:hAnsi="Arial" w:cs="Arial"/>
        </w:rPr>
        <w:t>todo, del listado denominado “</w:t>
      </w:r>
      <w:r w:rsidR="000A46CE" w:rsidRPr="00FA587B">
        <w:rPr>
          <w:rFonts w:ascii="Arial" w:hAnsi="Arial" w:cs="Arial"/>
          <w:i/>
        </w:rPr>
        <w:t>cuadro de cuantificación y valoración de las obras no previstas ejecutadas en el contrato IDU -193 de 2005</w:t>
      </w:r>
      <w:r w:rsidR="000A46CE" w:rsidRPr="00FA587B">
        <w:rPr>
          <w:rFonts w:ascii="Arial" w:hAnsi="Arial" w:cs="Arial"/>
        </w:rPr>
        <w:t>”, el cual se encuentra rubricado por el representante de la firma consorcio Alpha que asumió la interventoría del negocio jurídico en su etapa final, la Sala evidencia que una de las column</w:t>
      </w:r>
      <w:r w:rsidR="00BC0A3B" w:rsidRPr="00FA587B">
        <w:rPr>
          <w:rFonts w:ascii="Arial" w:hAnsi="Arial" w:cs="Arial"/>
        </w:rPr>
        <w:t xml:space="preserve">as insertadas en su texto </w:t>
      </w:r>
      <w:r w:rsidR="000A46CE" w:rsidRPr="00FA587B">
        <w:rPr>
          <w:rFonts w:ascii="Arial" w:hAnsi="Arial" w:cs="Arial"/>
        </w:rPr>
        <w:t>se rotuló como “</w:t>
      </w:r>
      <w:r w:rsidR="000A46CE" w:rsidRPr="00FA587B">
        <w:rPr>
          <w:rFonts w:ascii="Arial" w:hAnsi="Arial" w:cs="Arial"/>
          <w:i/>
        </w:rPr>
        <w:t>Precio aprobado por el IDU en costo directo</w:t>
      </w:r>
      <w:r w:rsidR="000A46CE" w:rsidRPr="00FA587B">
        <w:rPr>
          <w:rFonts w:ascii="Arial" w:hAnsi="Arial" w:cs="Arial"/>
        </w:rPr>
        <w:t>”.</w:t>
      </w:r>
    </w:p>
    <w:p w:rsidR="000A46CE" w:rsidRPr="00FA587B" w:rsidRDefault="000A46CE" w:rsidP="00FA587B">
      <w:pPr>
        <w:spacing w:line="360" w:lineRule="auto"/>
        <w:jc w:val="both"/>
        <w:rPr>
          <w:rFonts w:ascii="Arial" w:hAnsi="Arial" w:cs="Arial"/>
        </w:rPr>
      </w:pPr>
    </w:p>
    <w:p w:rsidR="000A46CE" w:rsidRPr="00FA587B" w:rsidRDefault="000A46CE" w:rsidP="00FA587B">
      <w:pPr>
        <w:spacing w:line="360" w:lineRule="auto"/>
        <w:jc w:val="both"/>
        <w:rPr>
          <w:rFonts w:ascii="Arial" w:hAnsi="Arial" w:cs="Arial"/>
        </w:rPr>
      </w:pPr>
      <w:r w:rsidRPr="00FA587B">
        <w:rPr>
          <w:rFonts w:ascii="Arial" w:hAnsi="Arial" w:cs="Arial"/>
        </w:rPr>
        <w:t>La circunstancia descrita permite a la Sala inferir que</w:t>
      </w:r>
      <w:r w:rsidR="00BC0A3B" w:rsidRPr="00FA587B">
        <w:rPr>
          <w:rFonts w:ascii="Arial" w:hAnsi="Arial" w:cs="Arial"/>
        </w:rPr>
        <w:t>,</w:t>
      </w:r>
      <w:r w:rsidRPr="00FA587B">
        <w:rPr>
          <w:rFonts w:ascii="Arial" w:hAnsi="Arial" w:cs="Arial"/>
        </w:rPr>
        <w:t xml:space="preserve"> en efecto</w:t>
      </w:r>
      <w:r w:rsidR="00BC0A3B" w:rsidRPr="00FA587B">
        <w:rPr>
          <w:rFonts w:ascii="Arial" w:hAnsi="Arial" w:cs="Arial"/>
        </w:rPr>
        <w:t>,</w:t>
      </w:r>
      <w:r w:rsidRPr="00FA587B">
        <w:rPr>
          <w:rFonts w:ascii="Arial" w:hAnsi="Arial" w:cs="Arial"/>
        </w:rPr>
        <w:t xml:space="preserve"> se trató de obras adicional</w:t>
      </w:r>
      <w:r w:rsidR="007E2B96" w:rsidRPr="00FA587B">
        <w:rPr>
          <w:rFonts w:ascii="Arial" w:hAnsi="Arial" w:cs="Arial"/>
        </w:rPr>
        <w:t>es en relación con</w:t>
      </w:r>
      <w:r w:rsidRPr="00FA587B">
        <w:rPr>
          <w:rFonts w:ascii="Arial" w:hAnsi="Arial" w:cs="Arial"/>
        </w:rPr>
        <w:t xml:space="preserve"> las cuales existió acuerdo sobre su precio y ejecución</w:t>
      </w:r>
      <w:r w:rsidR="007E2B96" w:rsidRPr="00FA587B">
        <w:rPr>
          <w:rFonts w:ascii="Arial" w:hAnsi="Arial" w:cs="Arial"/>
        </w:rPr>
        <w:t xml:space="preserve"> y, por tanto, se encontraban respaldadas por el consenso de las partes acerca de su realización. </w:t>
      </w:r>
    </w:p>
    <w:p w:rsidR="007E2B96" w:rsidRPr="00FA587B" w:rsidRDefault="007E2B96" w:rsidP="00FA587B">
      <w:pPr>
        <w:spacing w:line="360" w:lineRule="auto"/>
        <w:jc w:val="both"/>
        <w:rPr>
          <w:rFonts w:ascii="Arial" w:hAnsi="Arial" w:cs="Arial"/>
        </w:rPr>
      </w:pPr>
    </w:p>
    <w:p w:rsidR="005B2A4F" w:rsidRPr="00FA587B" w:rsidRDefault="007E2B96" w:rsidP="00FA587B">
      <w:pPr>
        <w:spacing w:line="360" w:lineRule="auto"/>
        <w:jc w:val="both"/>
        <w:rPr>
          <w:rFonts w:ascii="Arial" w:hAnsi="Arial" w:cs="Arial"/>
        </w:rPr>
      </w:pPr>
      <w:r w:rsidRPr="00FA587B">
        <w:rPr>
          <w:rFonts w:ascii="Arial" w:hAnsi="Arial" w:cs="Arial"/>
        </w:rPr>
        <w:t>Una razón adicional que vigoriza la anterior conclusión radica en el hecho de que d</w:t>
      </w:r>
      <w:r w:rsidR="00905B81" w:rsidRPr="00FA587B">
        <w:rPr>
          <w:rFonts w:ascii="Arial" w:hAnsi="Arial" w:cs="Arial"/>
        </w:rPr>
        <w:t>e la revisión de las ítemes</w:t>
      </w:r>
      <w:r w:rsidR="00AD5E9A" w:rsidRPr="00FA587B">
        <w:rPr>
          <w:rFonts w:ascii="Arial" w:hAnsi="Arial" w:cs="Arial"/>
        </w:rPr>
        <w:t xml:space="preserve"> </w:t>
      </w:r>
      <w:r w:rsidRPr="00FA587B">
        <w:rPr>
          <w:rFonts w:ascii="Arial" w:hAnsi="Arial" w:cs="Arial"/>
        </w:rPr>
        <w:t xml:space="preserve">enlistados en el mencionado cuadro </w:t>
      </w:r>
      <w:r w:rsidR="00905B81" w:rsidRPr="00FA587B">
        <w:rPr>
          <w:rFonts w:ascii="Arial" w:hAnsi="Arial" w:cs="Arial"/>
        </w:rPr>
        <w:t>que supuestamente se ejecutaron pero que</w:t>
      </w:r>
      <w:r w:rsidRPr="00FA587B">
        <w:rPr>
          <w:rFonts w:ascii="Arial" w:hAnsi="Arial" w:cs="Arial"/>
        </w:rPr>
        <w:t xml:space="preserve"> no estuvieron previstos en el C</w:t>
      </w:r>
      <w:r w:rsidR="00905B81" w:rsidRPr="00FA587B">
        <w:rPr>
          <w:rFonts w:ascii="Arial" w:hAnsi="Arial" w:cs="Arial"/>
        </w:rPr>
        <w:t>ontrato</w:t>
      </w:r>
      <w:r w:rsidR="005B2A4F" w:rsidRPr="00FA587B">
        <w:rPr>
          <w:rFonts w:ascii="Arial" w:hAnsi="Arial" w:cs="Arial"/>
        </w:rPr>
        <w:t xml:space="preserve"> No. 193</w:t>
      </w:r>
      <w:r w:rsidR="00905B81" w:rsidRPr="00FA587B">
        <w:rPr>
          <w:rFonts w:ascii="Arial" w:hAnsi="Arial" w:cs="Arial"/>
        </w:rPr>
        <w:t>,</w:t>
      </w:r>
      <w:r w:rsidR="00AD5E9A" w:rsidRPr="00FA587B">
        <w:rPr>
          <w:rFonts w:ascii="Arial" w:hAnsi="Arial" w:cs="Arial"/>
        </w:rPr>
        <w:t xml:space="preserve"> </w:t>
      </w:r>
      <w:r w:rsidR="00905B81" w:rsidRPr="00FA587B">
        <w:rPr>
          <w:rFonts w:ascii="Arial" w:hAnsi="Arial" w:cs="Arial"/>
        </w:rPr>
        <w:t xml:space="preserve">se </w:t>
      </w:r>
      <w:r w:rsidRPr="00FA587B">
        <w:rPr>
          <w:rFonts w:ascii="Arial" w:hAnsi="Arial" w:cs="Arial"/>
        </w:rPr>
        <w:t xml:space="preserve">observa </w:t>
      </w:r>
      <w:r w:rsidR="00905B81" w:rsidRPr="00FA587B">
        <w:rPr>
          <w:rFonts w:ascii="Arial" w:hAnsi="Arial" w:cs="Arial"/>
        </w:rPr>
        <w:t>que en su gran mayoría se asocian a las actividades h</w:t>
      </w:r>
      <w:r w:rsidRPr="00FA587B">
        <w:rPr>
          <w:rFonts w:ascii="Arial" w:hAnsi="Arial" w:cs="Arial"/>
        </w:rPr>
        <w:t>idrosanitarias de inspección, reposición y rehabilitación de redes de acueducto y alcantarillado</w:t>
      </w:r>
      <w:r w:rsidR="00BC0A3B" w:rsidRPr="00FA587B">
        <w:rPr>
          <w:rFonts w:ascii="Arial" w:hAnsi="Arial" w:cs="Arial"/>
        </w:rPr>
        <w:t>,</w:t>
      </w:r>
      <w:r w:rsidRPr="00FA587B">
        <w:rPr>
          <w:rFonts w:ascii="Arial" w:hAnsi="Arial" w:cs="Arial"/>
        </w:rPr>
        <w:t xml:space="preserve"> cuya realización</w:t>
      </w:r>
      <w:r w:rsidR="00905B81" w:rsidRPr="00FA587B">
        <w:rPr>
          <w:rFonts w:ascii="Arial" w:hAnsi="Arial" w:cs="Arial"/>
        </w:rPr>
        <w:t xml:space="preserve"> </w:t>
      </w:r>
      <w:r w:rsidR="005B2A4F" w:rsidRPr="00FA587B">
        <w:rPr>
          <w:rFonts w:ascii="Arial" w:hAnsi="Arial" w:cs="Arial"/>
        </w:rPr>
        <w:t>sirvió de</w:t>
      </w:r>
      <w:r w:rsidR="00096EA3" w:rsidRPr="00FA587B">
        <w:rPr>
          <w:rFonts w:ascii="Arial" w:hAnsi="Arial" w:cs="Arial"/>
        </w:rPr>
        <w:t xml:space="preserve"> </w:t>
      </w:r>
      <w:r w:rsidR="00905B81" w:rsidRPr="00FA587B">
        <w:rPr>
          <w:rFonts w:ascii="Arial" w:hAnsi="Arial" w:cs="Arial"/>
        </w:rPr>
        <w:t>f</w:t>
      </w:r>
      <w:r w:rsidR="006226CC" w:rsidRPr="00FA587B">
        <w:rPr>
          <w:rFonts w:ascii="Arial" w:hAnsi="Arial" w:cs="Arial"/>
        </w:rPr>
        <w:t>undamento</w:t>
      </w:r>
      <w:r w:rsidR="00905B81" w:rsidRPr="00FA587B">
        <w:rPr>
          <w:rFonts w:ascii="Arial" w:hAnsi="Arial" w:cs="Arial"/>
        </w:rPr>
        <w:t xml:space="preserve"> </w:t>
      </w:r>
      <w:r w:rsidR="005B2A4F" w:rsidRPr="00FA587B">
        <w:rPr>
          <w:rFonts w:ascii="Arial" w:hAnsi="Arial" w:cs="Arial"/>
        </w:rPr>
        <w:t>para la celebración del Contrato Adicional No. 01</w:t>
      </w:r>
      <w:r w:rsidR="005B2A4F" w:rsidRPr="00FA587B">
        <w:rPr>
          <w:rStyle w:val="Refdenotaalpie"/>
          <w:rFonts w:ascii="Arial" w:hAnsi="Arial" w:cs="Arial"/>
        </w:rPr>
        <w:footnoteReference w:id="24"/>
      </w:r>
      <w:r w:rsidR="00950347" w:rsidRPr="00FA587B">
        <w:rPr>
          <w:rFonts w:ascii="Arial" w:hAnsi="Arial" w:cs="Arial"/>
        </w:rPr>
        <w:t>,</w:t>
      </w:r>
      <w:r w:rsidR="005B2A4F" w:rsidRPr="00FA587B">
        <w:rPr>
          <w:rFonts w:ascii="Arial" w:hAnsi="Arial" w:cs="Arial"/>
        </w:rPr>
        <w:t xml:space="preserve"> a través del cual se aumentó el valor en la suma de $</w:t>
      </w:r>
      <w:r w:rsidR="000C538A" w:rsidRPr="00FA587B">
        <w:rPr>
          <w:rFonts w:ascii="Arial" w:hAnsi="Arial" w:cs="Arial"/>
        </w:rPr>
        <w:t xml:space="preserve">765’665.315. </w:t>
      </w:r>
    </w:p>
    <w:p w:rsidR="005B2A4F" w:rsidRPr="00FA587B" w:rsidRDefault="005B2A4F" w:rsidP="00FA587B">
      <w:pPr>
        <w:spacing w:line="360" w:lineRule="auto"/>
        <w:jc w:val="both"/>
        <w:rPr>
          <w:rFonts w:ascii="Arial" w:hAnsi="Arial" w:cs="Arial"/>
        </w:rPr>
      </w:pPr>
    </w:p>
    <w:p w:rsidR="00905B81" w:rsidRPr="00FA587B" w:rsidRDefault="00BC0A3B" w:rsidP="00FA587B">
      <w:pPr>
        <w:spacing w:line="360" w:lineRule="auto"/>
        <w:jc w:val="both"/>
        <w:rPr>
          <w:rFonts w:ascii="Arial" w:hAnsi="Arial" w:cs="Arial"/>
        </w:rPr>
      </w:pPr>
      <w:r w:rsidRPr="00FA587B">
        <w:rPr>
          <w:rFonts w:ascii="Arial" w:hAnsi="Arial" w:cs="Arial"/>
        </w:rPr>
        <w:t>De hecho</w:t>
      </w:r>
      <w:r w:rsidR="00B33E77" w:rsidRPr="00FA587B">
        <w:rPr>
          <w:rFonts w:ascii="Arial" w:hAnsi="Arial" w:cs="Arial"/>
        </w:rPr>
        <w:t>,</w:t>
      </w:r>
      <w:r w:rsidR="00905B81" w:rsidRPr="00FA587B">
        <w:rPr>
          <w:rFonts w:ascii="Arial" w:hAnsi="Arial" w:cs="Arial"/>
        </w:rPr>
        <w:t xml:space="preserve"> dentro de las </w:t>
      </w:r>
      <w:r w:rsidR="003556F9" w:rsidRPr="00FA587B">
        <w:rPr>
          <w:rFonts w:ascii="Arial" w:hAnsi="Arial" w:cs="Arial"/>
        </w:rPr>
        <w:t>“</w:t>
      </w:r>
      <w:r w:rsidR="00905B81" w:rsidRPr="00FA587B">
        <w:rPr>
          <w:rFonts w:ascii="Arial" w:hAnsi="Arial" w:cs="Arial"/>
        </w:rPr>
        <w:t>obras no previstas</w:t>
      </w:r>
      <w:r w:rsidR="003556F9" w:rsidRPr="00FA587B">
        <w:rPr>
          <w:rFonts w:ascii="Arial" w:hAnsi="Arial" w:cs="Arial"/>
        </w:rPr>
        <w:t>”</w:t>
      </w:r>
      <w:r w:rsidR="00905B81" w:rsidRPr="00FA587B">
        <w:rPr>
          <w:rFonts w:ascii="Arial" w:hAnsi="Arial" w:cs="Arial"/>
        </w:rPr>
        <w:t xml:space="preserve"> consignadas en el cuadro de cuantificación y valoración suscrito por el interven</w:t>
      </w:r>
      <w:r w:rsidR="003556F9" w:rsidRPr="00FA587B">
        <w:rPr>
          <w:rFonts w:ascii="Arial" w:hAnsi="Arial" w:cs="Arial"/>
        </w:rPr>
        <w:t xml:space="preserve">tor y el contratista se enunciaron </w:t>
      </w:r>
      <w:r w:rsidR="00905B81" w:rsidRPr="00FA587B">
        <w:rPr>
          <w:rFonts w:ascii="Arial" w:hAnsi="Arial" w:cs="Arial"/>
        </w:rPr>
        <w:t xml:space="preserve"> las siguientes: </w:t>
      </w:r>
    </w:p>
    <w:p w:rsidR="00BC0A3B" w:rsidRPr="00FA587B" w:rsidRDefault="00BC0A3B" w:rsidP="00FA587B">
      <w:pPr>
        <w:spacing w:line="360" w:lineRule="auto"/>
        <w:jc w:val="both"/>
        <w:rPr>
          <w:rFonts w:ascii="Arial" w:hAnsi="Arial" w:cs="Arial"/>
        </w:rPr>
      </w:pPr>
    </w:p>
    <w:p w:rsidR="00EA7C7F" w:rsidRPr="00FA587B" w:rsidRDefault="00827F62" w:rsidP="00FA587B">
      <w:pPr>
        <w:spacing w:line="360" w:lineRule="auto"/>
        <w:jc w:val="both"/>
        <w:rPr>
          <w:rFonts w:ascii="Arial" w:hAnsi="Arial" w:cs="Arial"/>
        </w:rPr>
      </w:pPr>
      <w:r w:rsidRPr="00FA587B">
        <w:rPr>
          <w:rFonts w:ascii="Arial" w:hAnsi="Arial" w:cs="Arial"/>
        </w:rPr>
        <w:t xml:space="preserve">Limpieza de pozos de inspección, limpieza, sondeo e inspección con cámara de redes de alcantarillado D=10” a D=15”, </w:t>
      </w:r>
      <w:r w:rsidR="00EA7C7F" w:rsidRPr="00FA587B">
        <w:rPr>
          <w:rFonts w:ascii="Arial" w:hAnsi="Arial" w:cs="Arial"/>
        </w:rPr>
        <w:t>cárcamo</w:t>
      </w:r>
      <w:r w:rsidRPr="00FA587B">
        <w:rPr>
          <w:rFonts w:ascii="Arial" w:hAnsi="Arial" w:cs="Arial"/>
        </w:rPr>
        <w:t xml:space="preserve"> en ladrillo tolete para tubería de alcantarillado </w:t>
      </w:r>
      <w:r w:rsidR="00D82487" w:rsidRPr="00FA587B">
        <w:rPr>
          <w:rFonts w:ascii="Arial" w:hAnsi="Arial" w:cs="Arial"/>
        </w:rPr>
        <w:t>(1,0M X 0,70 mts</w:t>
      </w:r>
      <w:r w:rsidR="00EA7C7F" w:rsidRPr="00FA587B">
        <w:rPr>
          <w:rFonts w:ascii="Arial" w:hAnsi="Arial" w:cs="Arial"/>
        </w:rPr>
        <w:t>), construcción de solado en concreto pobre para estructuras de alcantarillado, construcción de cajas de inspección para aguas negras, demolición, trasiego y retiro a escombrera autorizada por el DAMA</w:t>
      </w:r>
      <w:r w:rsidR="00EE24C9" w:rsidRPr="00FA587B">
        <w:rPr>
          <w:rFonts w:ascii="Arial" w:hAnsi="Arial" w:cs="Arial"/>
        </w:rPr>
        <w:t xml:space="preserve"> de tuberías de </w:t>
      </w:r>
      <w:r w:rsidR="000F5F78" w:rsidRPr="00FA587B">
        <w:rPr>
          <w:rFonts w:ascii="Arial" w:hAnsi="Arial" w:cs="Arial"/>
        </w:rPr>
        <w:t>alcantarillado</w:t>
      </w:r>
      <w:r w:rsidR="00EE24C9" w:rsidRPr="00FA587B">
        <w:rPr>
          <w:rFonts w:ascii="Arial" w:hAnsi="Arial" w:cs="Arial"/>
        </w:rPr>
        <w:t xml:space="preserve">, construcción de caja de paso para aguas lluvias, </w:t>
      </w:r>
      <w:r w:rsidR="00B33E77" w:rsidRPr="00FA587B">
        <w:rPr>
          <w:rFonts w:ascii="Arial" w:hAnsi="Arial" w:cs="Arial"/>
        </w:rPr>
        <w:t xml:space="preserve">demolición de pozo de inspección existente, construcción de cárcamo para tubería </w:t>
      </w:r>
      <w:r w:rsidR="00B33E77" w:rsidRPr="00FA587B">
        <w:rPr>
          <w:rFonts w:ascii="Arial" w:hAnsi="Arial" w:cs="Arial"/>
        </w:rPr>
        <w:lastRenderedPageBreak/>
        <w:t xml:space="preserve">en acueducto de 3* de sección (0,90 X0,65 mts), recubrimiento para tubería de alcantarillado en concreto </w:t>
      </w:r>
      <w:r w:rsidR="00D82487" w:rsidRPr="00FA587B">
        <w:rPr>
          <w:rFonts w:ascii="Arial" w:hAnsi="Arial" w:cs="Arial"/>
        </w:rPr>
        <w:t xml:space="preserve"> de FY=2,500 PSI, empate de red de tubería </w:t>
      </w:r>
      <w:r w:rsidR="00E9772C" w:rsidRPr="00FA587B">
        <w:rPr>
          <w:rFonts w:ascii="Arial" w:hAnsi="Arial" w:cs="Arial"/>
        </w:rPr>
        <w:t>a pozo existente de alcantarillado</w:t>
      </w:r>
      <w:r w:rsidR="00714E25" w:rsidRPr="00FA587B">
        <w:rPr>
          <w:rFonts w:ascii="Arial" w:hAnsi="Arial" w:cs="Arial"/>
        </w:rPr>
        <w:t xml:space="preserve">, concreto para anclaje de 4,000 PSI para empates de la red de acueducto, </w:t>
      </w:r>
      <w:r w:rsidR="00801A0A" w:rsidRPr="00FA587B">
        <w:rPr>
          <w:rFonts w:ascii="Arial" w:hAnsi="Arial" w:cs="Arial"/>
        </w:rPr>
        <w:t xml:space="preserve">suministro e instalación de cajilla para medidor de acueducto, suministro e instalación de cajilla para válvula de acueducto, construcción de caja de alcantarillado, </w:t>
      </w:r>
      <w:r w:rsidR="00400234" w:rsidRPr="00FA587B">
        <w:rPr>
          <w:rFonts w:ascii="Arial" w:hAnsi="Arial" w:cs="Arial"/>
        </w:rPr>
        <w:t>construcción de pozo de instrucción prefabricado</w:t>
      </w:r>
      <w:r w:rsidR="00CB77FB" w:rsidRPr="00FA587B">
        <w:rPr>
          <w:rFonts w:ascii="Arial" w:hAnsi="Arial" w:cs="Arial"/>
        </w:rPr>
        <w:t>, punto sanitario (acople de aguas negras a caja de inspección)</w:t>
      </w:r>
      <w:r w:rsidR="00FD70FE" w:rsidRPr="00FA587B">
        <w:rPr>
          <w:rFonts w:ascii="Arial" w:hAnsi="Arial" w:cs="Arial"/>
        </w:rPr>
        <w:t>, punto hidráulico (acople hidráulico de cajilla de acueducto), nive</w:t>
      </w:r>
      <w:r w:rsidR="009F42D1" w:rsidRPr="00FA587B">
        <w:rPr>
          <w:rFonts w:ascii="Arial" w:hAnsi="Arial" w:cs="Arial"/>
        </w:rPr>
        <w:t>lación de cajilla de acueducto,</w:t>
      </w:r>
      <w:r w:rsidR="00FD70FE" w:rsidRPr="00FA587B">
        <w:rPr>
          <w:rFonts w:ascii="Arial" w:hAnsi="Arial" w:cs="Arial"/>
        </w:rPr>
        <w:t xml:space="preserve"> construcción de caja d</w:t>
      </w:r>
      <w:r w:rsidR="009F42D1" w:rsidRPr="00FA587B">
        <w:rPr>
          <w:rFonts w:ascii="Arial" w:hAnsi="Arial" w:cs="Arial"/>
        </w:rPr>
        <w:t xml:space="preserve">e inspección para aguas negras y suministro e instalaciones de tuberías, codos y uniones, </w:t>
      </w:r>
      <w:r w:rsidR="00FD70FE" w:rsidRPr="00FA587B">
        <w:rPr>
          <w:rFonts w:ascii="Arial" w:hAnsi="Arial" w:cs="Arial"/>
        </w:rPr>
        <w:t>entre otras.</w:t>
      </w:r>
    </w:p>
    <w:p w:rsidR="003556F9" w:rsidRPr="00FA587B" w:rsidRDefault="003556F9" w:rsidP="00FA587B">
      <w:pPr>
        <w:spacing w:line="360" w:lineRule="auto"/>
        <w:jc w:val="both"/>
        <w:rPr>
          <w:rFonts w:ascii="Arial" w:hAnsi="Arial" w:cs="Arial"/>
        </w:rPr>
      </w:pPr>
    </w:p>
    <w:p w:rsidR="009C2315" w:rsidRPr="00FA587B" w:rsidRDefault="002F43F5" w:rsidP="00FA587B">
      <w:pPr>
        <w:spacing w:line="360" w:lineRule="auto"/>
        <w:jc w:val="both"/>
        <w:rPr>
          <w:rFonts w:ascii="Arial" w:hAnsi="Arial" w:cs="Arial"/>
        </w:rPr>
      </w:pPr>
      <w:r w:rsidRPr="00FA587B">
        <w:rPr>
          <w:rFonts w:ascii="Arial" w:hAnsi="Arial" w:cs="Arial"/>
        </w:rPr>
        <w:t>Como se observa, al estar todas las actividades que</w:t>
      </w:r>
      <w:r w:rsidR="00324970" w:rsidRPr="00FA587B">
        <w:rPr>
          <w:rFonts w:ascii="Arial" w:hAnsi="Arial" w:cs="Arial"/>
        </w:rPr>
        <w:t xml:space="preserve"> allí</w:t>
      </w:r>
      <w:r w:rsidRPr="00FA587B">
        <w:rPr>
          <w:rFonts w:ascii="Arial" w:hAnsi="Arial" w:cs="Arial"/>
        </w:rPr>
        <w:t xml:space="preserve"> se describen </w:t>
      </w:r>
      <w:r w:rsidR="00324970" w:rsidRPr="00FA587B">
        <w:rPr>
          <w:rFonts w:ascii="Arial" w:hAnsi="Arial" w:cs="Arial"/>
        </w:rPr>
        <w:t xml:space="preserve">estrechamente relacionadas </w:t>
      </w:r>
      <w:r w:rsidRPr="00FA587B">
        <w:rPr>
          <w:rFonts w:ascii="Arial" w:hAnsi="Arial" w:cs="Arial"/>
        </w:rPr>
        <w:t xml:space="preserve">con la </w:t>
      </w:r>
      <w:r w:rsidR="00324970" w:rsidRPr="00FA587B">
        <w:rPr>
          <w:rFonts w:ascii="Arial" w:hAnsi="Arial" w:cs="Arial"/>
        </w:rPr>
        <w:t xml:space="preserve">inspección y </w:t>
      </w:r>
      <w:r w:rsidRPr="00FA587B">
        <w:rPr>
          <w:rFonts w:ascii="Arial" w:hAnsi="Arial" w:cs="Arial"/>
        </w:rPr>
        <w:t>reposición de la infraestructura hidrosanitaria</w:t>
      </w:r>
      <w:r w:rsidR="00324970" w:rsidRPr="00FA587B">
        <w:rPr>
          <w:rFonts w:ascii="Arial" w:hAnsi="Arial" w:cs="Arial"/>
        </w:rPr>
        <w:t xml:space="preserve">, labor que </w:t>
      </w:r>
      <w:r w:rsidR="00B22C09" w:rsidRPr="00FA587B">
        <w:rPr>
          <w:rFonts w:ascii="Arial" w:hAnsi="Arial" w:cs="Arial"/>
        </w:rPr>
        <w:t xml:space="preserve">fue </w:t>
      </w:r>
      <w:r w:rsidR="00324970" w:rsidRPr="00FA587B">
        <w:rPr>
          <w:rFonts w:ascii="Arial" w:hAnsi="Arial" w:cs="Arial"/>
        </w:rPr>
        <w:t>precisamente la que motivó la adición No. 01</w:t>
      </w:r>
      <w:r w:rsidR="00950347" w:rsidRPr="00FA587B">
        <w:rPr>
          <w:rFonts w:ascii="Arial" w:hAnsi="Arial" w:cs="Arial"/>
        </w:rPr>
        <w:t>,</w:t>
      </w:r>
      <w:r w:rsidR="00324970" w:rsidRPr="00FA587B">
        <w:rPr>
          <w:rFonts w:ascii="Arial" w:hAnsi="Arial" w:cs="Arial"/>
        </w:rPr>
        <w:t xml:space="preserve"> resulta </w:t>
      </w:r>
      <w:r w:rsidR="00B22C09" w:rsidRPr="00FA587B">
        <w:rPr>
          <w:rFonts w:ascii="Arial" w:hAnsi="Arial" w:cs="Arial"/>
        </w:rPr>
        <w:t>viable colegir</w:t>
      </w:r>
      <w:r w:rsidR="00324970" w:rsidRPr="00FA587B">
        <w:rPr>
          <w:rFonts w:ascii="Arial" w:hAnsi="Arial" w:cs="Arial"/>
        </w:rPr>
        <w:t xml:space="preserve"> que las obras supuestamente no previstas, en efecto</w:t>
      </w:r>
      <w:r w:rsidR="00B22C09" w:rsidRPr="00FA587B">
        <w:rPr>
          <w:rFonts w:ascii="Arial" w:hAnsi="Arial" w:cs="Arial"/>
        </w:rPr>
        <w:t>,</w:t>
      </w:r>
      <w:r w:rsidR="00324970" w:rsidRPr="00FA587B">
        <w:rPr>
          <w:rFonts w:ascii="Arial" w:hAnsi="Arial" w:cs="Arial"/>
        </w:rPr>
        <w:t xml:space="preserve"> fueron </w:t>
      </w:r>
      <w:r w:rsidR="00E511C7" w:rsidRPr="00FA587B">
        <w:rPr>
          <w:rFonts w:ascii="Arial" w:hAnsi="Arial" w:cs="Arial"/>
        </w:rPr>
        <w:t xml:space="preserve">amparadas </w:t>
      </w:r>
      <w:r w:rsidR="00324970" w:rsidRPr="00FA587B">
        <w:rPr>
          <w:rFonts w:ascii="Arial" w:hAnsi="Arial" w:cs="Arial"/>
        </w:rPr>
        <w:t>por la entidad</w:t>
      </w:r>
      <w:r w:rsidR="00BC0A3B" w:rsidRPr="00FA587B">
        <w:rPr>
          <w:rFonts w:ascii="Arial" w:hAnsi="Arial" w:cs="Arial"/>
        </w:rPr>
        <w:t>,</w:t>
      </w:r>
      <w:r w:rsidR="00324970" w:rsidRPr="00FA587B">
        <w:rPr>
          <w:rFonts w:ascii="Arial" w:hAnsi="Arial" w:cs="Arial"/>
        </w:rPr>
        <w:t xml:space="preserve"> al punto que dispuso del aumento presupuestal en comento para respaldar financieramente su ejecución. </w:t>
      </w:r>
    </w:p>
    <w:p w:rsidR="009C2315" w:rsidRPr="00FA587B" w:rsidRDefault="009C2315" w:rsidP="00FA587B">
      <w:pPr>
        <w:spacing w:line="360" w:lineRule="auto"/>
        <w:jc w:val="both"/>
        <w:rPr>
          <w:rFonts w:ascii="Arial" w:hAnsi="Arial" w:cs="Arial"/>
        </w:rPr>
      </w:pPr>
    </w:p>
    <w:p w:rsidR="00606969" w:rsidRPr="00FA587B" w:rsidRDefault="009C2315" w:rsidP="00FA587B">
      <w:pPr>
        <w:spacing w:line="360" w:lineRule="auto"/>
        <w:jc w:val="both"/>
        <w:rPr>
          <w:rFonts w:ascii="Arial" w:hAnsi="Arial" w:cs="Arial"/>
        </w:rPr>
      </w:pPr>
      <w:r w:rsidRPr="00FA587B">
        <w:rPr>
          <w:rFonts w:ascii="Arial" w:hAnsi="Arial" w:cs="Arial"/>
        </w:rPr>
        <w:t xml:space="preserve">Ahora, </w:t>
      </w:r>
      <w:r w:rsidR="00606969" w:rsidRPr="00FA587B">
        <w:rPr>
          <w:rFonts w:ascii="Arial" w:hAnsi="Arial" w:cs="Arial"/>
        </w:rPr>
        <w:t>atendiendo a que la meto</w:t>
      </w:r>
      <w:r w:rsidR="00950347" w:rsidRPr="00FA587B">
        <w:rPr>
          <w:rFonts w:ascii="Arial" w:hAnsi="Arial" w:cs="Arial"/>
        </w:rPr>
        <w:t>do</w:t>
      </w:r>
      <w:r w:rsidR="00606969" w:rsidRPr="00FA587B">
        <w:rPr>
          <w:rFonts w:ascii="Arial" w:hAnsi="Arial" w:cs="Arial"/>
        </w:rPr>
        <w:t xml:space="preserve">logía implantada en la adición No. 01 </w:t>
      </w:r>
      <w:r w:rsidR="00351915" w:rsidRPr="00FA587B">
        <w:rPr>
          <w:rFonts w:ascii="Arial" w:hAnsi="Arial" w:cs="Arial"/>
        </w:rPr>
        <w:t>siguió</w:t>
      </w:r>
      <w:r w:rsidR="00606969" w:rsidRPr="00FA587B">
        <w:rPr>
          <w:rFonts w:ascii="Arial" w:hAnsi="Arial" w:cs="Arial"/>
        </w:rPr>
        <w:t xml:space="preserve"> las mismas reglas en cuanto al valor del contrato inicial, </w:t>
      </w:r>
      <w:r w:rsidR="00351915" w:rsidRPr="00FA587B">
        <w:rPr>
          <w:rFonts w:ascii="Arial" w:hAnsi="Arial" w:cs="Arial"/>
        </w:rPr>
        <w:t>es decir, el precio pactado continuaba</w:t>
      </w:r>
      <w:r w:rsidR="00606969" w:rsidRPr="00FA587B">
        <w:rPr>
          <w:rFonts w:ascii="Arial" w:hAnsi="Arial" w:cs="Arial"/>
        </w:rPr>
        <w:t xml:space="preserve"> obedeciendo a la modalidad de </w:t>
      </w:r>
      <w:r w:rsidR="00E13BAE" w:rsidRPr="00FA587B">
        <w:rPr>
          <w:rFonts w:ascii="Arial" w:hAnsi="Arial" w:cs="Arial"/>
        </w:rPr>
        <w:t xml:space="preserve">precios unitarios, </w:t>
      </w:r>
      <w:r w:rsidR="00B268A1" w:rsidRPr="00FA587B">
        <w:rPr>
          <w:rFonts w:ascii="Arial" w:hAnsi="Arial" w:cs="Arial"/>
        </w:rPr>
        <w:t xml:space="preserve">la diferencia entre el valor de las obras ejecutadas según el interventor y el contratista y aquel correspondiente a la suma en que se aumentó el precio por cuenta de la adición, </w:t>
      </w:r>
      <w:r w:rsidR="00DE7285" w:rsidRPr="00FA587B">
        <w:rPr>
          <w:rFonts w:ascii="Arial" w:hAnsi="Arial" w:cs="Arial"/>
        </w:rPr>
        <w:t xml:space="preserve">bien </w:t>
      </w:r>
      <w:r w:rsidR="00B268A1" w:rsidRPr="00FA587B">
        <w:rPr>
          <w:rFonts w:ascii="Arial" w:hAnsi="Arial" w:cs="Arial"/>
        </w:rPr>
        <w:t xml:space="preserve">pudo estribar en la necesidad de ejecutar mayores cantidades </w:t>
      </w:r>
      <w:r w:rsidR="00F46714" w:rsidRPr="00FA587B">
        <w:rPr>
          <w:rFonts w:ascii="Arial" w:hAnsi="Arial" w:cs="Arial"/>
        </w:rPr>
        <w:t xml:space="preserve">de </w:t>
      </w:r>
      <w:r w:rsidR="00B268A1" w:rsidRPr="00FA587B">
        <w:rPr>
          <w:rFonts w:ascii="Arial" w:hAnsi="Arial" w:cs="Arial"/>
        </w:rPr>
        <w:t xml:space="preserve">las obras </w:t>
      </w:r>
      <w:r w:rsidR="00F46714" w:rsidRPr="00FA587B">
        <w:rPr>
          <w:rFonts w:ascii="Arial" w:hAnsi="Arial" w:cs="Arial"/>
        </w:rPr>
        <w:t xml:space="preserve">adicionales </w:t>
      </w:r>
      <w:r w:rsidR="00B268A1" w:rsidRPr="00FA587B">
        <w:rPr>
          <w:rFonts w:ascii="Arial" w:hAnsi="Arial" w:cs="Arial"/>
        </w:rPr>
        <w:t xml:space="preserve">previstas </w:t>
      </w:r>
      <w:r w:rsidR="00F46714" w:rsidRPr="00FA587B">
        <w:rPr>
          <w:rFonts w:ascii="Arial" w:hAnsi="Arial" w:cs="Arial"/>
        </w:rPr>
        <w:t>a partir de la celebración del Contrato Adicional No. 01</w:t>
      </w:r>
      <w:r w:rsidR="00DE7285" w:rsidRPr="00FA587B">
        <w:rPr>
          <w:rFonts w:ascii="Arial" w:hAnsi="Arial" w:cs="Arial"/>
        </w:rPr>
        <w:t>. Esta cuestión tampoco rebasaría el marco contractual dentro del cual tuvo lugar su ejecución; simplemente constituiría una cons</w:t>
      </w:r>
      <w:r w:rsidR="00BE0D0F" w:rsidRPr="00FA587B">
        <w:rPr>
          <w:rFonts w:ascii="Arial" w:hAnsi="Arial" w:cs="Arial"/>
        </w:rPr>
        <w:t>ecuencia natural del sistema</w:t>
      </w:r>
      <w:r w:rsidR="00DE7285" w:rsidRPr="00FA587B">
        <w:rPr>
          <w:rFonts w:ascii="Arial" w:hAnsi="Arial" w:cs="Arial"/>
        </w:rPr>
        <w:t xml:space="preserve"> de remuneración pactada. </w:t>
      </w:r>
    </w:p>
    <w:p w:rsidR="00BE0D0F" w:rsidRPr="00FA587B" w:rsidRDefault="00BE0D0F" w:rsidP="00FA587B">
      <w:pPr>
        <w:spacing w:line="360" w:lineRule="auto"/>
        <w:jc w:val="both"/>
        <w:rPr>
          <w:rFonts w:ascii="Arial" w:hAnsi="Arial" w:cs="Arial"/>
        </w:rPr>
      </w:pPr>
    </w:p>
    <w:p w:rsidR="00DA0AE5" w:rsidRPr="00FA587B" w:rsidRDefault="00DA0AE5" w:rsidP="00FA587B">
      <w:pPr>
        <w:spacing w:line="360" w:lineRule="auto"/>
        <w:jc w:val="both"/>
        <w:rPr>
          <w:rFonts w:ascii="Arial" w:hAnsi="Arial" w:cs="Arial"/>
        </w:rPr>
      </w:pPr>
      <w:r w:rsidRPr="00FA587B">
        <w:rPr>
          <w:rFonts w:ascii="Arial" w:hAnsi="Arial" w:cs="Arial"/>
        </w:rPr>
        <w:t>En consonancia con lo anterior</w:t>
      </w:r>
      <w:r w:rsidR="00BE0D0F" w:rsidRPr="00FA587B">
        <w:rPr>
          <w:rFonts w:ascii="Arial" w:hAnsi="Arial" w:cs="Arial"/>
        </w:rPr>
        <w:t xml:space="preserve">, </w:t>
      </w:r>
      <w:r w:rsidR="004664F1" w:rsidRPr="00FA587B">
        <w:rPr>
          <w:rFonts w:ascii="Arial" w:hAnsi="Arial" w:cs="Arial"/>
        </w:rPr>
        <w:t xml:space="preserve">de conformidad con lo consignado en el memorando </w:t>
      </w:r>
      <w:r w:rsidRPr="00FA587B">
        <w:rPr>
          <w:rFonts w:ascii="Arial" w:hAnsi="Arial" w:cs="Arial"/>
        </w:rPr>
        <w:t xml:space="preserve">No. </w:t>
      </w:r>
      <w:r w:rsidR="004664F1" w:rsidRPr="00FA587B">
        <w:rPr>
          <w:rFonts w:ascii="Arial" w:hAnsi="Arial" w:cs="Arial"/>
        </w:rPr>
        <w:t>STOL -4300-38262</w:t>
      </w:r>
      <w:r w:rsidR="00950347" w:rsidRPr="00FA587B">
        <w:rPr>
          <w:rFonts w:ascii="Arial" w:hAnsi="Arial" w:cs="Arial"/>
        </w:rPr>
        <w:t>,</w:t>
      </w:r>
      <w:r w:rsidR="004664F1" w:rsidRPr="00FA587B">
        <w:rPr>
          <w:rFonts w:ascii="Arial" w:hAnsi="Arial" w:cs="Arial"/>
        </w:rPr>
        <w:t xml:space="preserve"> </w:t>
      </w:r>
      <w:r w:rsidRPr="00FA587B">
        <w:rPr>
          <w:rFonts w:ascii="Arial" w:hAnsi="Arial" w:cs="Arial"/>
        </w:rPr>
        <w:t xml:space="preserve">suscrito </w:t>
      </w:r>
      <w:r w:rsidR="004664F1" w:rsidRPr="00FA587B">
        <w:rPr>
          <w:rFonts w:ascii="Arial" w:hAnsi="Arial" w:cs="Arial"/>
        </w:rPr>
        <w:t xml:space="preserve">el </w:t>
      </w:r>
      <w:r w:rsidRPr="00FA587B">
        <w:rPr>
          <w:rFonts w:ascii="Arial" w:hAnsi="Arial" w:cs="Arial"/>
        </w:rPr>
        <w:t>8 de septiembre de 2008 por la Dirección Té</w:t>
      </w:r>
      <w:r w:rsidR="00791206" w:rsidRPr="00FA587B">
        <w:rPr>
          <w:rFonts w:ascii="Arial" w:hAnsi="Arial" w:cs="Arial"/>
        </w:rPr>
        <w:t>cnica de Malla Vial del IDU</w:t>
      </w:r>
      <w:r w:rsidR="006059DD" w:rsidRPr="00FA587B">
        <w:rPr>
          <w:rFonts w:ascii="Arial" w:hAnsi="Arial" w:cs="Arial"/>
        </w:rPr>
        <w:t>,</w:t>
      </w:r>
      <w:r w:rsidR="00791206" w:rsidRPr="00FA587B">
        <w:rPr>
          <w:rFonts w:ascii="Arial" w:hAnsi="Arial" w:cs="Arial"/>
        </w:rPr>
        <w:t xml:space="preserve"> se extrae </w:t>
      </w:r>
      <w:r w:rsidRPr="00FA587B">
        <w:rPr>
          <w:rFonts w:ascii="Arial" w:hAnsi="Arial" w:cs="Arial"/>
        </w:rPr>
        <w:t xml:space="preserve">que en el </w:t>
      </w:r>
      <w:r w:rsidR="00950347" w:rsidRPr="00FA587B">
        <w:rPr>
          <w:rFonts w:ascii="Arial" w:hAnsi="Arial" w:cs="Arial"/>
        </w:rPr>
        <w:t>mes de agosto de 2007 la firma</w:t>
      </w:r>
      <w:r w:rsidRPr="00FA587B">
        <w:rPr>
          <w:rFonts w:ascii="Arial" w:hAnsi="Arial" w:cs="Arial"/>
        </w:rPr>
        <w:t xml:space="preserve"> interventora consorcio Alpha</w:t>
      </w:r>
      <w:r w:rsidR="00791206" w:rsidRPr="00FA587B">
        <w:rPr>
          <w:rFonts w:ascii="Arial" w:hAnsi="Arial" w:cs="Arial"/>
        </w:rPr>
        <w:t>, apoyada</w:t>
      </w:r>
      <w:r w:rsidRPr="00FA587B">
        <w:rPr>
          <w:rFonts w:ascii="Arial" w:hAnsi="Arial" w:cs="Arial"/>
        </w:rPr>
        <w:t xml:space="preserve"> en el balance </w:t>
      </w:r>
      <w:r w:rsidR="00E11788" w:rsidRPr="00FA587B">
        <w:rPr>
          <w:rFonts w:ascii="Arial" w:hAnsi="Arial" w:cs="Arial"/>
        </w:rPr>
        <w:t>financiero presentado por la anterior interventoría</w:t>
      </w:r>
      <w:r w:rsidR="00950347" w:rsidRPr="00FA587B">
        <w:rPr>
          <w:rFonts w:ascii="Arial" w:hAnsi="Arial" w:cs="Arial"/>
        </w:rPr>
        <w:t>,</w:t>
      </w:r>
      <w:r w:rsidR="00E11788" w:rsidRPr="00FA587B">
        <w:rPr>
          <w:rFonts w:ascii="Arial" w:hAnsi="Arial" w:cs="Arial"/>
        </w:rPr>
        <w:t xml:space="preserve"> ejercida </w:t>
      </w:r>
      <w:r w:rsidR="00950347" w:rsidRPr="00FA587B">
        <w:rPr>
          <w:rFonts w:ascii="Arial" w:hAnsi="Arial" w:cs="Arial"/>
        </w:rPr>
        <w:t>hasta agosto</w:t>
      </w:r>
      <w:r w:rsidR="00791206" w:rsidRPr="00FA587B">
        <w:rPr>
          <w:rFonts w:ascii="Arial" w:hAnsi="Arial" w:cs="Arial"/>
        </w:rPr>
        <w:t xml:space="preserve"> de 2007 </w:t>
      </w:r>
      <w:r w:rsidR="00E11788" w:rsidRPr="00FA587B">
        <w:rPr>
          <w:rFonts w:ascii="Arial" w:hAnsi="Arial" w:cs="Arial"/>
        </w:rPr>
        <w:t>por el consorcio Pavimentos San</w:t>
      </w:r>
      <w:r w:rsidR="00791206" w:rsidRPr="00FA587B">
        <w:rPr>
          <w:rFonts w:ascii="Arial" w:hAnsi="Arial" w:cs="Arial"/>
        </w:rPr>
        <w:t>ta F</w:t>
      </w:r>
      <w:r w:rsidR="00E11788" w:rsidRPr="00FA587B">
        <w:rPr>
          <w:rFonts w:ascii="Arial" w:hAnsi="Arial" w:cs="Arial"/>
        </w:rPr>
        <w:t>e 2005</w:t>
      </w:r>
      <w:r w:rsidR="00791206" w:rsidRPr="00FA587B">
        <w:rPr>
          <w:rFonts w:ascii="Arial" w:hAnsi="Arial" w:cs="Arial"/>
        </w:rPr>
        <w:t>,</w:t>
      </w:r>
      <w:r w:rsidR="00E11788" w:rsidRPr="00FA587B">
        <w:rPr>
          <w:rFonts w:ascii="Arial" w:hAnsi="Arial" w:cs="Arial"/>
        </w:rPr>
        <w:t xml:space="preserve"> solicitó al IDU recursos por valor de $328’499.263 discriminados de la siguiente manera: </w:t>
      </w:r>
    </w:p>
    <w:p w:rsidR="00E202F8" w:rsidRPr="00FA587B" w:rsidRDefault="00E202F8" w:rsidP="00FA587B">
      <w:pPr>
        <w:spacing w:line="360" w:lineRule="auto"/>
        <w:jc w:val="both"/>
        <w:rPr>
          <w:rFonts w:ascii="Arial" w:hAnsi="Arial"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051"/>
      </w:tblGrid>
      <w:tr w:rsidR="00E11788" w:rsidRPr="00FA587B" w:rsidTr="00CC2FCB">
        <w:tc>
          <w:tcPr>
            <w:tcW w:w="0" w:type="auto"/>
            <w:shd w:val="clear" w:color="auto" w:fill="auto"/>
          </w:tcPr>
          <w:p w:rsidR="00E11788" w:rsidRPr="00FA587B" w:rsidRDefault="00E11788" w:rsidP="00FA587B">
            <w:pPr>
              <w:spacing w:line="360" w:lineRule="auto"/>
              <w:jc w:val="both"/>
              <w:rPr>
                <w:rFonts w:ascii="Arial" w:hAnsi="Arial" w:cs="Arial"/>
              </w:rPr>
            </w:pPr>
            <w:r w:rsidRPr="00FA587B">
              <w:rPr>
                <w:rFonts w:ascii="Arial" w:hAnsi="Arial" w:cs="Arial"/>
              </w:rPr>
              <w:lastRenderedPageBreak/>
              <w:t>$324’053.500</w:t>
            </w:r>
          </w:p>
        </w:tc>
        <w:tc>
          <w:tcPr>
            <w:tcW w:w="7051" w:type="dxa"/>
            <w:shd w:val="clear" w:color="auto" w:fill="auto"/>
          </w:tcPr>
          <w:p w:rsidR="00E11788" w:rsidRPr="00FA587B" w:rsidRDefault="00E11788" w:rsidP="00FA587B">
            <w:pPr>
              <w:spacing w:line="360" w:lineRule="auto"/>
              <w:jc w:val="both"/>
              <w:rPr>
                <w:rFonts w:ascii="Arial" w:hAnsi="Arial" w:cs="Arial"/>
              </w:rPr>
            </w:pPr>
            <w:r w:rsidRPr="00FA587B">
              <w:rPr>
                <w:rFonts w:ascii="Arial" w:hAnsi="Arial" w:cs="Arial"/>
              </w:rPr>
              <w:t xml:space="preserve">Solicitados por el consorcio Pavimentos Santa Fe 2005 mediante oficio radicado IDU-060908 del 6/07/2007, por concepto de valor total de cantidades no previstas, obras de tramo en ejecución valor ambiental, gestión social </w:t>
            </w:r>
            <w:r w:rsidR="006630DD" w:rsidRPr="00FA587B">
              <w:rPr>
                <w:rFonts w:ascii="Arial" w:hAnsi="Arial" w:cs="Arial"/>
              </w:rPr>
              <w:t>y manejo de tráfico.</w:t>
            </w:r>
          </w:p>
        </w:tc>
      </w:tr>
      <w:tr w:rsidR="00E11788" w:rsidRPr="00FA587B" w:rsidTr="00CC2FCB">
        <w:tc>
          <w:tcPr>
            <w:tcW w:w="0" w:type="auto"/>
            <w:shd w:val="clear" w:color="auto" w:fill="auto"/>
          </w:tcPr>
          <w:p w:rsidR="00E11788" w:rsidRPr="00FA587B" w:rsidRDefault="006630DD" w:rsidP="00FA587B">
            <w:pPr>
              <w:spacing w:line="360" w:lineRule="auto"/>
              <w:jc w:val="both"/>
              <w:rPr>
                <w:rFonts w:ascii="Arial" w:hAnsi="Arial" w:cs="Arial"/>
              </w:rPr>
            </w:pPr>
            <w:r w:rsidRPr="00FA587B">
              <w:rPr>
                <w:rFonts w:ascii="Arial" w:hAnsi="Arial" w:cs="Arial"/>
              </w:rPr>
              <w:t>$161’.033.811</w:t>
            </w:r>
          </w:p>
        </w:tc>
        <w:tc>
          <w:tcPr>
            <w:tcW w:w="7051" w:type="dxa"/>
            <w:shd w:val="clear" w:color="auto" w:fill="auto"/>
          </w:tcPr>
          <w:p w:rsidR="00E11788" w:rsidRPr="00FA587B" w:rsidRDefault="006630DD" w:rsidP="00FA587B">
            <w:pPr>
              <w:spacing w:line="360" w:lineRule="auto"/>
              <w:jc w:val="both"/>
              <w:rPr>
                <w:rFonts w:ascii="Arial" w:hAnsi="Arial" w:cs="Arial"/>
              </w:rPr>
            </w:pPr>
            <w:r w:rsidRPr="00FA587B">
              <w:rPr>
                <w:rFonts w:ascii="Arial" w:hAnsi="Arial" w:cs="Arial"/>
              </w:rPr>
              <w:t xml:space="preserve">Cuantificado por el consorcio Pavimentos Santa Fe 2005 mediante oficio radicado No. IDU-075632 del 17/08/2007 </w:t>
            </w:r>
          </w:p>
        </w:tc>
      </w:tr>
      <w:tr w:rsidR="00E11788" w:rsidRPr="00FA587B" w:rsidTr="00CC2FCB">
        <w:tc>
          <w:tcPr>
            <w:tcW w:w="0" w:type="auto"/>
            <w:shd w:val="clear" w:color="auto" w:fill="auto"/>
          </w:tcPr>
          <w:p w:rsidR="00E11788" w:rsidRPr="00FA587B" w:rsidRDefault="006630DD" w:rsidP="00FA587B">
            <w:pPr>
              <w:spacing w:line="360" w:lineRule="auto"/>
              <w:jc w:val="both"/>
              <w:rPr>
                <w:rFonts w:ascii="Arial" w:hAnsi="Arial" w:cs="Arial"/>
              </w:rPr>
            </w:pPr>
            <w:r w:rsidRPr="00FA587B">
              <w:rPr>
                <w:rFonts w:ascii="Arial" w:hAnsi="Arial" w:cs="Arial"/>
              </w:rPr>
              <w:t>$485’087.311</w:t>
            </w:r>
          </w:p>
        </w:tc>
        <w:tc>
          <w:tcPr>
            <w:tcW w:w="7051" w:type="dxa"/>
            <w:shd w:val="clear" w:color="auto" w:fill="auto"/>
          </w:tcPr>
          <w:p w:rsidR="00E11788" w:rsidRPr="00FA587B" w:rsidRDefault="006630DD" w:rsidP="00FA587B">
            <w:pPr>
              <w:spacing w:line="360" w:lineRule="auto"/>
              <w:jc w:val="both"/>
              <w:rPr>
                <w:rFonts w:ascii="Arial" w:hAnsi="Arial" w:cs="Arial"/>
              </w:rPr>
            </w:pPr>
            <w:r w:rsidRPr="00FA587B">
              <w:rPr>
                <w:rFonts w:ascii="Arial" w:hAnsi="Arial" w:cs="Arial"/>
              </w:rPr>
              <w:t>Subtotal consorcio Pavimentos Santa Fe 2005</w:t>
            </w:r>
          </w:p>
        </w:tc>
      </w:tr>
      <w:tr w:rsidR="00E11788" w:rsidRPr="00FA587B" w:rsidTr="00CC2FCB">
        <w:tc>
          <w:tcPr>
            <w:tcW w:w="0" w:type="auto"/>
            <w:shd w:val="clear" w:color="auto" w:fill="auto"/>
          </w:tcPr>
          <w:p w:rsidR="00E11788" w:rsidRPr="00FA587B" w:rsidRDefault="00E202F8" w:rsidP="00FA587B">
            <w:pPr>
              <w:spacing w:line="360" w:lineRule="auto"/>
              <w:jc w:val="both"/>
              <w:rPr>
                <w:rFonts w:ascii="Arial" w:hAnsi="Arial" w:cs="Arial"/>
              </w:rPr>
            </w:pPr>
            <w:r w:rsidRPr="00FA587B">
              <w:rPr>
                <w:rFonts w:ascii="Arial" w:hAnsi="Arial" w:cs="Arial"/>
              </w:rPr>
              <w:t>$156’588.048</w:t>
            </w:r>
          </w:p>
        </w:tc>
        <w:tc>
          <w:tcPr>
            <w:tcW w:w="7051" w:type="dxa"/>
            <w:shd w:val="clear" w:color="auto" w:fill="auto"/>
          </w:tcPr>
          <w:p w:rsidR="00E11788" w:rsidRPr="00FA587B" w:rsidRDefault="00E202F8" w:rsidP="00FA587B">
            <w:pPr>
              <w:spacing w:line="360" w:lineRule="auto"/>
              <w:jc w:val="both"/>
              <w:rPr>
                <w:rFonts w:ascii="Arial" w:hAnsi="Arial" w:cs="Arial"/>
              </w:rPr>
            </w:pPr>
            <w:r w:rsidRPr="00FA587B">
              <w:rPr>
                <w:rFonts w:ascii="Arial" w:hAnsi="Arial" w:cs="Arial"/>
              </w:rPr>
              <w:t>Menos valor por no ejecución del tramo 118B, por problemas de orden público con la comunidad.</w:t>
            </w:r>
          </w:p>
        </w:tc>
      </w:tr>
      <w:tr w:rsidR="00E11788" w:rsidRPr="00FA587B" w:rsidTr="00CC2FCB">
        <w:tc>
          <w:tcPr>
            <w:tcW w:w="0" w:type="auto"/>
            <w:shd w:val="clear" w:color="auto" w:fill="auto"/>
          </w:tcPr>
          <w:p w:rsidR="00E11788" w:rsidRPr="00FA587B" w:rsidRDefault="00E202F8" w:rsidP="00FA587B">
            <w:pPr>
              <w:spacing w:line="360" w:lineRule="auto"/>
              <w:jc w:val="both"/>
              <w:rPr>
                <w:rFonts w:ascii="Arial" w:hAnsi="Arial" w:cs="Arial"/>
              </w:rPr>
            </w:pPr>
            <w:r w:rsidRPr="00FA587B">
              <w:rPr>
                <w:rFonts w:ascii="Arial" w:hAnsi="Arial" w:cs="Arial"/>
              </w:rPr>
              <w:t>$328’499.263</w:t>
            </w:r>
          </w:p>
        </w:tc>
        <w:tc>
          <w:tcPr>
            <w:tcW w:w="7051" w:type="dxa"/>
            <w:shd w:val="clear" w:color="auto" w:fill="auto"/>
          </w:tcPr>
          <w:p w:rsidR="00E11788" w:rsidRPr="00FA587B" w:rsidRDefault="00E202F8" w:rsidP="00FA587B">
            <w:pPr>
              <w:spacing w:line="360" w:lineRule="auto"/>
              <w:jc w:val="both"/>
              <w:rPr>
                <w:rFonts w:ascii="Arial" w:hAnsi="Arial" w:cs="Arial"/>
              </w:rPr>
            </w:pPr>
            <w:r w:rsidRPr="00FA587B">
              <w:rPr>
                <w:rFonts w:ascii="Arial" w:hAnsi="Arial" w:cs="Arial"/>
              </w:rPr>
              <w:t>Total solicitud adición No. 02</w:t>
            </w:r>
          </w:p>
        </w:tc>
      </w:tr>
    </w:tbl>
    <w:p w:rsidR="00E11788" w:rsidRPr="00FA587B" w:rsidRDefault="00E11788" w:rsidP="00FA587B">
      <w:pPr>
        <w:spacing w:line="360" w:lineRule="auto"/>
        <w:jc w:val="both"/>
        <w:rPr>
          <w:rFonts w:ascii="Arial" w:hAnsi="Arial" w:cs="Arial"/>
        </w:rPr>
      </w:pPr>
    </w:p>
    <w:p w:rsidR="00E11788" w:rsidRPr="00FA587B" w:rsidRDefault="002A0C85" w:rsidP="00FA587B">
      <w:pPr>
        <w:spacing w:line="360" w:lineRule="auto"/>
        <w:jc w:val="both"/>
        <w:rPr>
          <w:rFonts w:ascii="Arial" w:hAnsi="Arial" w:cs="Arial"/>
        </w:rPr>
      </w:pPr>
      <w:r w:rsidRPr="00FA587B">
        <w:rPr>
          <w:rFonts w:ascii="Arial" w:hAnsi="Arial" w:cs="Arial"/>
        </w:rPr>
        <w:t>Como consecuencia de lo anterior, se generó el CDP No. 6409 del 11 de septiembre de 2007 y se suscribió el acta No.</w:t>
      </w:r>
      <w:r w:rsidR="008F5EE1" w:rsidRPr="00FA587B">
        <w:rPr>
          <w:rFonts w:ascii="Arial" w:hAnsi="Arial" w:cs="Arial"/>
        </w:rPr>
        <w:t xml:space="preserve"> </w:t>
      </w:r>
      <w:r w:rsidR="00791206" w:rsidRPr="00FA587B">
        <w:rPr>
          <w:rFonts w:ascii="Arial" w:hAnsi="Arial" w:cs="Arial"/>
        </w:rPr>
        <w:t>34 de mayores</w:t>
      </w:r>
      <w:r w:rsidRPr="00FA587B">
        <w:rPr>
          <w:rFonts w:ascii="Arial" w:hAnsi="Arial" w:cs="Arial"/>
        </w:rPr>
        <w:t xml:space="preserve"> cantidad</w:t>
      </w:r>
      <w:r w:rsidR="00791206" w:rsidRPr="00FA587B">
        <w:rPr>
          <w:rFonts w:ascii="Arial" w:hAnsi="Arial" w:cs="Arial"/>
        </w:rPr>
        <w:t>es</w:t>
      </w:r>
      <w:r w:rsidRPr="00FA587B">
        <w:rPr>
          <w:rFonts w:ascii="Arial" w:hAnsi="Arial" w:cs="Arial"/>
        </w:rPr>
        <w:t xml:space="preserve"> por cuantía de $328’499.263. </w:t>
      </w:r>
    </w:p>
    <w:p w:rsidR="00943939" w:rsidRPr="00FA587B" w:rsidRDefault="00943939" w:rsidP="00FA587B">
      <w:pPr>
        <w:spacing w:line="360" w:lineRule="auto"/>
        <w:jc w:val="both"/>
        <w:rPr>
          <w:rFonts w:ascii="Arial" w:hAnsi="Arial" w:cs="Arial"/>
        </w:rPr>
      </w:pPr>
    </w:p>
    <w:p w:rsidR="00943939" w:rsidRPr="00FA587B" w:rsidRDefault="00943939" w:rsidP="00FA587B">
      <w:pPr>
        <w:spacing w:line="360" w:lineRule="auto"/>
        <w:jc w:val="both"/>
        <w:rPr>
          <w:rFonts w:ascii="Arial" w:hAnsi="Arial" w:cs="Arial"/>
        </w:rPr>
      </w:pPr>
      <w:r w:rsidRPr="00FA587B">
        <w:rPr>
          <w:rFonts w:ascii="Arial" w:hAnsi="Arial" w:cs="Arial"/>
        </w:rPr>
        <w:t xml:space="preserve">Así pues, se tiene que existió una adición en plazo y </w:t>
      </w:r>
      <w:r w:rsidR="006C46AC" w:rsidRPr="00FA587B">
        <w:rPr>
          <w:rFonts w:ascii="Arial" w:hAnsi="Arial" w:cs="Arial"/>
        </w:rPr>
        <w:t xml:space="preserve">en </w:t>
      </w:r>
      <w:r w:rsidRPr="00FA587B">
        <w:rPr>
          <w:rFonts w:ascii="Arial" w:hAnsi="Arial" w:cs="Arial"/>
        </w:rPr>
        <w:t xml:space="preserve">precio </w:t>
      </w:r>
      <w:r w:rsidR="006C46AC" w:rsidRPr="00FA587B">
        <w:rPr>
          <w:rFonts w:ascii="Arial" w:hAnsi="Arial" w:cs="Arial"/>
        </w:rPr>
        <w:t xml:space="preserve">en la suma de 765’665.315 </w:t>
      </w:r>
      <w:r w:rsidRPr="00FA587B">
        <w:rPr>
          <w:rFonts w:ascii="Arial" w:hAnsi="Arial" w:cs="Arial"/>
        </w:rPr>
        <w:t>para la ejecución de obras de inspección y rehabilitación de las redes hidrosanitarias, las cuales se encuentran íntimamente relacionadas con aquellas descritas en el cuadro que se allega como soporte de la pretensión de reconocimiento de obras no previstas</w:t>
      </w:r>
      <w:r w:rsidR="008F5EE1" w:rsidRPr="00FA587B">
        <w:rPr>
          <w:rFonts w:ascii="Arial" w:hAnsi="Arial" w:cs="Arial"/>
        </w:rPr>
        <w:t xml:space="preserve">. También se evidencia que existió un reconocimiento de mayores cantidades </w:t>
      </w:r>
      <w:r w:rsidR="006C46AC" w:rsidRPr="00FA587B">
        <w:rPr>
          <w:rFonts w:ascii="Arial" w:hAnsi="Arial" w:cs="Arial"/>
        </w:rPr>
        <w:t>por valor de $328’499.263</w:t>
      </w:r>
      <w:r w:rsidR="00D11053" w:rsidRPr="00FA587B">
        <w:rPr>
          <w:rFonts w:ascii="Arial" w:hAnsi="Arial" w:cs="Arial"/>
        </w:rPr>
        <w:t>, aun cuando no se conoce con certeza sobre cuáles obras recayó ese aumento</w:t>
      </w:r>
      <w:r w:rsidR="005A2942" w:rsidRPr="00FA587B">
        <w:rPr>
          <w:rFonts w:ascii="Arial" w:hAnsi="Arial" w:cs="Arial"/>
        </w:rPr>
        <w:t>. Ambos conceptos suman un total de $</w:t>
      </w:r>
      <w:r w:rsidR="00B7402C" w:rsidRPr="00FA587B">
        <w:rPr>
          <w:rFonts w:ascii="Arial" w:hAnsi="Arial" w:cs="Arial"/>
        </w:rPr>
        <w:t>1.094’165.578.</w:t>
      </w:r>
    </w:p>
    <w:p w:rsidR="00BE0D0F" w:rsidRPr="00FA587B" w:rsidRDefault="00BE0D0F" w:rsidP="00FA587B">
      <w:pPr>
        <w:spacing w:line="360" w:lineRule="auto"/>
        <w:jc w:val="both"/>
        <w:rPr>
          <w:rFonts w:ascii="Arial" w:hAnsi="Arial" w:cs="Arial"/>
        </w:rPr>
      </w:pPr>
    </w:p>
    <w:p w:rsidR="00B7402C" w:rsidRPr="00FA587B" w:rsidRDefault="00B7402C" w:rsidP="00FA587B">
      <w:pPr>
        <w:spacing w:line="360" w:lineRule="auto"/>
        <w:jc w:val="both"/>
        <w:rPr>
          <w:rFonts w:ascii="Arial" w:hAnsi="Arial" w:cs="Arial"/>
        </w:rPr>
      </w:pPr>
      <w:r w:rsidRPr="00FA587B">
        <w:rPr>
          <w:rFonts w:ascii="Arial" w:hAnsi="Arial" w:cs="Arial"/>
        </w:rPr>
        <w:t>Ahora</w:t>
      </w:r>
      <w:r w:rsidR="00DE7285" w:rsidRPr="00FA587B">
        <w:rPr>
          <w:rFonts w:ascii="Arial" w:hAnsi="Arial" w:cs="Arial"/>
        </w:rPr>
        <w:t xml:space="preserve">, </w:t>
      </w:r>
      <w:r w:rsidR="009C2315" w:rsidRPr="00FA587B">
        <w:rPr>
          <w:rFonts w:ascii="Arial" w:hAnsi="Arial" w:cs="Arial"/>
        </w:rPr>
        <w:t xml:space="preserve">el material probatorio que reposa en el expediente no ofrece elementos de juicio </w:t>
      </w:r>
      <w:r w:rsidR="00606969" w:rsidRPr="00FA587B">
        <w:rPr>
          <w:rFonts w:ascii="Arial" w:hAnsi="Arial" w:cs="Arial"/>
        </w:rPr>
        <w:t xml:space="preserve">encaminados a determinar </w:t>
      </w:r>
      <w:r w:rsidR="00DE7285" w:rsidRPr="00FA587B">
        <w:rPr>
          <w:rFonts w:ascii="Arial" w:hAnsi="Arial" w:cs="Arial"/>
        </w:rPr>
        <w:t xml:space="preserve">las cantidades de </w:t>
      </w:r>
      <w:r w:rsidR="00083399" w:rsidRPr="00FA587B">
        <w:rPr>
          <w:rFonts w:ascii="Arial" w:hAnsi="Arial" w:cs="Arial"/>
        </w:rPr>
        <w:t>obra hidrosanitaria</w:t>
      </w:r>
      <w:r w:rsidR="00606969" w:rsidRPr="00FA587B">
        <w:rPr>
          <w:rFonts w:ascii="Arial" w:hAnsi="Arial" w:cs="Arial"/>
        </w:rPr>
        <w:t xml:space="preserve"> </w:t>
      </w:r>
      <w:r w:rsidR="00BE0D0F" w:rsidRPr="00FA587B">
        <w:rPr>
          <w:rFonts w:ascii="Arial" w:hAnsi="Arial" w:cs="Arial"/>
        </w:rPr>
        <w:t xml:space="preserve">y demás obras adicionales </w:t>
      </w:r>
      <w:r w:rsidR="00DE7285" w:rsidRPr="00FA587B">
        <w:rPr>
          <w:rFonts w:ascii="Arial" w:hAnsi="Arial" w:cs="Arial"/>
        </w:rPr>
        <w:t xml:space="preserve">ejecutadas en virtud de </w:t>
      </w:r>
      <w:r w:rsidR="00606969" w:rsidRPr="00FA587B">
        <w:rPr>
          <w:rFonts w:ascii="Arial" w:hAnsi="Arial" w:cs="Arial"/>
        </w:rPr>
        <w:t xml:space="preserve">la adición </w:t>
      </w:r>
      <w:r w:rsidR="00454A3A" w:rsidRPr="00FA587B">
        <w:rPr>
          <w:rFonts w:ascii="Arial" w:hAnsi="Arial" w:cs="Arial"/>
        </w:rPr>
        <w:t>No. 01 y la falta de correspondencia entre aquellas y</w:t>
      </w:r>
      <w:r w:rsidR="00E00CE4" w:rsidRPr="00FA587B">
        <w:rPr>
          <w:rFonts w:ascii="Arial" w:hAnsi="Arial" w:cs="Arial"/>
        </w:rPr>
        <w:t xml:space="preserve"> las descritas en el cuadro </w:t>
      </w:r>
      <w:r w:rsidR="00D54988" w:rsidRPr="00FA587B">
        <w:rPr>
          <w:rFonts w:ascii="Arial" w:hAnsi="Arial" w:cs="Arial"/>
        </w:rPr>
        <w:t>de cuantificación y valoración de obras no previstas</w:t>
      </w:r>
      <w:r w:rsidR="00454A3A" w:rsidRPr="00FA587B">
        <w:rPr>
          <w:rFonts w:ascii="Arial" w:hAnsi="Arial" w:cs="Arial"/>
        </w:rPr>
        <w:t xml:space="preserve">. </w:t>
      </w:r>
    </w:p>
    <w:p w:rsidR="00B7402C" w:rsidRPr="00FA587B" w:rsidRDefault="00B7402C" w:rsidP="00FA587B">
      <w:pPr>
        <w:spacing w:line="360" w:lineRule="auto"/>
        <w:jc w:val="both"/>
        <w:rPr>
          <w:rFonts w:ascii="Arial" w:hAnsi="Arial" w:cs="Arial"/>
        </w:rPr>
      </w:pPr>
    </w:p>
    <w:p w:rsidR="000C3E4B" w:rsidRPr="00FA587B" w:rsidRDefault="00454A3A" w:rsidP="00FA587B">
      <w:pPr>
        <w:spacing w:line="360" w:lineRule="auto"/>
        <w:jc w:val="both"/>
        <w:rPr>
          <w:rFonts w:ascii="Arial" w:hAnsi="Arial" w:cs="Arial"/>
        </w:rPr>
      </w:pPr>
      <w:r w:rsidRPr="00FA587B">
        <w:rPr>
          <w:rFonts w:ascii="Arial" w:hAnsi="Arial" w:cs="Arial"/>
        </w:rPr>
        <w:t xml:space="preserve">Lo mismo ocurre </w:t>
      </w:r>
      <w:r w:rsidR="00324970" w:rsidRPr="00FA587B">
        <w:rPr>
          <w:rFonts w:ascii="Arial" w:hAnsi="Arial" w:cs="Arial"/>
        </w:rPr>
        <w:t>en lo concerniente a su pago</w:t>
      </w:r>
      <w:r w:rsidR="00B22C09" w:rsidRPr="00FA587B">
        <w:rPr>
          <w:rFonts w:ascii="Arial" w:hAnsi="Arial" w:cs="Arial"/>
        </w:rPr>
        <w:t xml:space="preserve"> en favor del contratista</w:t>
      </w:r>
      <w:r w:rsidRPr="00FA587B">
        <w:rPr>
          <w:rFonts w:ascii="Arial" w:hAnsi="Arial" w:cs="Arial"/>
        </w:rPr>
        <w:t xml:space="preserve"> de cara a la ausencia de pruebas </w:t>
      </w:r>
      <w:r w:rsidR="00324970" w:rsidRPr="00FA587B">
        <w:rPr>
          <w:rFonts w:ascii="Arial" w:hAnsi="Arial" w:cs="Arial"/>
        </w:rPr>
        <w:t xml:space="preserve">que permitan </w:t>
      </w:r>
      <w:r w:rsidR="00B22C09" w:rsidRPr="00FA587B">
        <w:rPr>
          <w:rFonts w:ascii="Arial" w:hAnsi="Arial" w:cs="Arial"/>
        </w:rPr>
        <w:t xml:space="preserve">aproximarse al devenir financiero del contrato, </w:t>
      </w:r>
      <w:r w:rsidR="004B6E58" w:rsidRPr="00FA587B">
        <w:rPr>
          <w:rFonts w:ascii="Arial" w:hAnsi="Arial" w:cs="Arial"/>
        </w:rPr>
        <w:t xml:space="preserve">en tanto </w:t>
      </w:r>
      <w:r w:rsidR="00B22C09" w:rsidRPr="00FA587B">
        <w:rPr>
          <w:rFonts w:ascii="Arial" w:hAnsi="Arial" w:cs="Arial"/>
        </w:rPr>
        <w:t>no militan en el plenario las actas parciales de obra con la indicación de los desemb</w:t>
      </w:r>
      <w:r w:rsidRPr="00FA587B">
        <w:rPr>
          <w:rFonts w:ascii="Arial" w:hAnsi="Arial" w:cs="Arial"/>
        </w:rPr>
        <w:t>olsos efectuados al contratista y los conceptos a los que atendi</w:t>
      </w:r>
      <w:r w:rsidR="00791206" w:rsidRPr="00FA587B">
        <w:rPr>
          <w:rFonts w:ascii="Arial" w:hAnsi="Arial" w:cs="Arial"/>
        </w:rPr>
        <w:t>ó cada uno</w:t>
      </w:r>
      <w:r w:rsidR="008515EC" w:rsidRPr="00FA587B">
        <w:rPr>
          <w:rFonts w:ascii="Arial" w:hAnsi="Arial" w:cs="Arial"/>
        </w:rPr>
        <w:t xml:space="preserve">. </w:t>
      </w:r>
    </w:p>
    <w:p w:rsidR="002851B3" w:rsidRPr="00FA587B" w:rsidRDefault="002851B3" w:rsidP="00FA587B">
      <w:pPr>
        <w:spacing w:line="360" w:lineRule="auto"/>
        <w:jc w:val="both"/>
        <w:rPr>
          <w:rFonts w:ascii="Arial" w:hAnsi="Arial" w:cs="Arial"/>
        </w:rPr>
      </w:pPr>
    </w:p>
    <w:p w:rsidR="00B273FA" w:rsidRPr="00FA587B" w:rsidRDefault="002851B3" w:rsidP="00FA587B">
      <w:pPr>
        <w:spacing w:line="360" w:lineRule="auto"/>
        <w:jc w:val="both"/>
        <w:rPr>
          <w:rFonts w:ascii="Arial" w:hAnsi="Arial" w:cs="Arial"/>
        </w:rPr>
      </w:pPr>
      <w:r w:rsidRPr="00FA587B">
        <w:rPr>
          <w:rFonts w:ascii="Arial" w:hAnsi="Arial" w:cs="Arial"/>
        </w:rPr>
        <w:t xml:space="preserve">En igual sentido, debe añadirse a lo dicho que aun cuando no desconoce la Sala que el cuadro de cuantificación </w:t>
      </w:r>
      <w:r w:rsidR="00B273FA" w:rsidRPr="00FA587B">
        <w:rPr>
          <w:rFonts w:ascii="Arial" w:hAnsi="Arial" w:cs="Arial"/>
        </w:rPr>
        <w:t>y valoración de obras no previstas</w:t>
      </w:r>
      <w:r w:rsidR="00290EAF" w:rsidRPr="00FA587B">
        <w:rPr>
          <w:rFonts w:ascii="Arial" w:hAnsi="Arial" w:cs="Arial"/>
        </w:rPr>
        <w:t>,</w:t>
      </w:r>
      <w:r w:rsidR="00B273FA" w:rsidRPr="00FA587B">
        <w:rPr>
          <w:rFonts w:ascii="Arial" w:hAnsi="Arial" w:cs="Arial"/>
        </w:rPr>
        <w:t xml:space="preserve"> </w:t>
      </w:r>
      <w:r w:rsidR="00290EAF" w:rsidRPr="00FA587B">
        <w:rPr>
          <w:rFonts w:ascii="Arial" w:hAnsi="Arial" w:cs="Arial"/>
        </w:rPr>
        <w:t>a</w:t>
      </w:r>
      <w:r w:rsidR="004B6E58" w:rsidRPr="00FA587B">
        <w:rPr>
          <w:rFonts w:ascii="Arial" w:hAnsi="Arial" w:cs="Arial"/>
        </w:rPr>
        <w:t>porta</w:t>
      </w:r>
      <w:r w:rsidR="00290EAF" w:rsidRPr="00FA587B">
        <w:rPr>
          <w:rFonts w:ascii="Arial" w:hAnsi="Arial" w:cs="Arial"/>
        </w:rPr>
        <w:t xml:space="preserve">do como </w:t>
      </w:r>
      <w:r w:rsidR="00290EAF" w:rsidRPr="00FA587B">
        <w:rPr>
          <w:rFonts w:ascii="Arial" w:hAnsi="Arial" w:cs="Arial"/>
        </w:rPr>
        <w:lastRenderedPageBreak/>
        <w:t xml:space="preserve">soporte de </w:t>
      </w:r>
      <w:r w:rsidR="00B273FA" w:rsidRPr="00FA587B">
        <w:rPr>
          <w:rFonts w:ascii="Arial" w:hAnsi="Arial" w:cs="Arial"/>
        </w:rPr>
        <w:t>esta pretensión</w:t>
      </w:r>
      <w:r w:rsidR="00290EAF" w:rsidRPr="00FA587B">
        <w:rPr>
          <w:rFonts w:ascii="Arial" w:hAnsi="Arial" w:cs="Arial"/>
        </w:rPr>
        <w:t>,</w:t>
      </w:r>
      <w:r w:rsidR="00B273FA" w:rsidRPr="00FA587B">
        <w:rPr>
          <w:rFonts w:ascii="Arial" w:hAnsi="Arial" w:cs="Arial"/>
        </w:rPr>
        <w:t xml:space="preserve"> fue suscrito igualmente por el interventor consorcio Alpha, lo cierto es que</w:t>
      </w:r>
      <w:r w:rsidR="00290EAF" w:rsidRPr="00FA587B">
        <w:rPr>
          <w:rFonts w:ascii="Arial" w:hAnsi="Arial" w:cs="Arial"/>
        </w:rPr>
        <w:t>,</w:t>
      </w:r>
      <w:r w:rsidR="00B273FA" w:rsidRPr="00FA587B">
        <w:rPr>
          <w:rFonts w:ascii="Arial" w:hAnsi="Arial" w:cs="Arial"/>
        </w:rPr>
        <w:t xml:space="preserve"> </w:t>
      </w:r>
      <w:r w:rsidR="00791206" w:rsidRPr="00FA587B">
        <w:rPr>
          <w:rFonts w:ascii="Arial" w:hAnsi="Arial" w:cs="Arial"/>
        </w:rPr>
        <w:t xml:space="preserve">según lo afirmó </w:t>
      </w:r>
      <w:r w:rsidR="00B273FA" w:rsidRPr="00FA587B">
        <w:rPr>
          <w:rFonts w:ascii="Arial" w:hAnsi="Arial" w:cs="Arial"/>
        </w:rPr>
        <w:t>esa misma</w:t>
      </w:r>
      <w:r w:rsidR="00824D18" w:rsidRPr="00FA587B">
        <w:rPr>
          <w:rFonts w:ascii="Arial" w:hAnsi="Arial" w:cs="Arial"/>
        </w:rPr>
        <w:t xml:space="preserve"> agrupación</w:t>
      </w:r>
      <w:r w:rsidR="00B273FA" w:rsidRPr="00FA587B">
        <w:rPr>
          <w:rStyle w:val="Refdenotaalpie"/>
          <w:rFonts w:ascii="Arial" w:hAnsi="Arial" w:cs="Arial"/>
        </w:rPr>
        <w:footnoteReference w:id="25"/>
      </w:r>
      <w:r w:rsidR="00290EAF" w:rsidRPr="00FA587B">
        <w:rPr>
          <w:rFonts w:ascii="Arial" w:hAnsi="Arial" w:cs="Arial"/>
        </w:rPr>
        <w:t>,</w:t>
      </w:r>
      <w:r w:rsidR="00B273FA" w:rsidRPr="00FA587B">
        <w:rPr>
          <w:rFonts w:ascii="Arial" w:hAnsi="Arial" w:cs="Arial"/>
        </w:rPr>
        <w:t xml:space="preserve"> las obras que allí se enlistaron se generaron dentro de la interventoría anterior, labor que fue ejercida por el consorcio Pavimentos Santa Fe 2005. De ahí es claro que </w:t>
      </w:r>
      <w:r w:rsidR="005962E1" w:rsidRPr="00FA587B">
        <w:rPr>
          <w:rFonts w:ascii="Arial" w:hAnsi="Arial" w:cs="Arial"/>
        </w:rPr>
        <w:t xml:space="preserve">el conocimiento sobre su ejecución no fue directo, sino que estuvo precedido de otra firma supervisora. </w:t>
      </w:r>
    </w:p>
    <w:p w:rsidR="00A57AA9" w:rsidRPr="00FA587B" w:rsidRDefault="00A57AA9" w:rsidP="00FA587B">
      <w:pPr>
        <w:spacing w:line="360" w:lineRule="auto"/>
        <w:jc w:val="both"/>
        <w:rPr>
          <w:rFonts w:ascii="Arial" w:hAnsi="Arial" w:cs="Arial"/>
        </w:rPr>
      </w:pPr>
    </w:p>
    <w:p w:rsidR="00A57AA9" w:rsidRPr="00FA587B" w:rsidRDefault="00A57AA9" w:rsidP="00FA587B">
      <w:pPr>
        <w:spacing w:line="360" w:lineRule="auto"/>
        <w:jc w:val="both"/>
        <w:rPr>
          <w:rStyle w:val="st"/>
          <w:rFonts w:ascii="Arial" w:hAnsi="Arial" w:cs="Arial"/>
        </w:rPr>
      </w:pPr>
      <w:r w:rsidRPr="00FA587B">
        <w:rPr>
          <w:rFonts w:ascii="Arial" w:hAnsi="Arial" w:cs="Arial"/>
        </w:rPr>
        <w:t xml:space="preserve">Como es bien sabido, al tenor de lo dispuesto en el artículo 177 del Código de Procedimiento Civil, </w:t>
      </w:r>
      <w:r w:rsidRPr="00FA587B">
        <w:rPr>
          <w:rStyle w:val="st"/>
          <w:rFonts w:ascii="Arial" w:hAnsi="Arial" w:cs="Arial"/>
        </w:rPr>
        <w:t xml:space="preserve">incumbe a las partes probar el supuesto de hecho de las normas que consagran el efecto jurídico que ellas persiguen, carga que no fue  debidamente satisfecha por la parte demandante. </w:t>
      </w:r>
    </w:p>
    <w:p w:rsidR="00A57AA9" w:rsidRPr="00FA587B" w:rsidRDefault="00A57AA9" w:rsidP="00FA587B">
      <w:pPr>
        <w:spacing w:line="360" w:lineRule="auto"/>
        <w:jc w:val="both"/>
        <w:rPr>
          <w:rFonts w:ascii="Arial" w:hAnsi="Arial" w:cs="Arial"/>
        </w:rPr>
      </w:pPr>
    </w:p>
    <w:p w:rsidR="002851B3" w:rsidRPr="00FA587B" w:rsidRDefault="00A57AA9" w:rsidP="00FA587B">
      <w:pPr>
        <w:spacing w:line="360" w:lineRule="auto"/>
        <w:jc w:val="both"/>
        <w:rPr>
          <w:rFonts w:ascii="Arial" w:eastAsia="Calibri" w:hAnsi="Arial" w:cs="Arial"/>
          <w:lang w:val="es-CO" w:eastAsia="en-US"/>
        </w:rPr>
      </w:pPr>
      <w:r w:rsidRPr="00FA587B">
        <w:rPr>
          <w:rFonts w:ascii="Arial" w:hAnsi="Arial" w:cs="Arial"/>
        </w:rPr>
        <w:t>Ciertamente, l</w:t>
      </w:r>
      <w:r w:rsidR="002851B3" w:rsidRPr="00FA587B">
        <w:rPr>
          <w:rFonts w:ascii="Arial" w:hAnsi="Arial" w:cs="Arial"/>
        </w:rPr>
        <w:t>a incertidumbre que se deja plasmada</w:t>
      </w:r>
      <w:r w:rsidR="008325FB" w:rsidRPr="00FA587B">
        <w:rPr>
          <w:rFonts w:ascii="Arial" w:hAnsi="Arial" w:cs="Arial"/>
        </w:rPr>
        <w:t xml:space="preserve"> y que estriba en el desconocimiento -</w:t>
      </w:r>
      <w:r w:rsidRPr="00FA587B">
        <w:rPr>
          <w:rFonts w:ascii="Arial" w:hAnsi="Arial" w:cs="Arial"/>
        </w:rPr>
        <w:t>en cuanto a la</w:t>
      </w:r>
      <w:r w:rsidR="008325FB" w:rsidRPr="00FA587B">
        <w:rPr>
          <w:rFonts w:ascii="Arial" w:hAnsi="Arial" w:cs="Arial"/>
        </w:rPr>
        <w:t xml:space="preserve"> naturaleza, descripción y cantidad- de las obras ejecutadas que ya fueron objeto de reconocimiento y su posible correspondencia con aquellas que constituyen la materia de reclamación,</w:t>
      </w:r>
      <w:r w:rsidR="002851B3" w:rsidRPr="00FA587B">
        <w:rPr>
          <w:rFonts w:ascii="Arial" w:hAnsi="Arial" w:cs="Arial"/>
        </w:rPr>
        <w:t xml:space="preserve"> a todas luces se opone al reconocimiento de algún tipo de condena en favor del contratista por concepto de “</w:t>
      </w:r>
      <w:r w:rsidR="002851B3" w:rsidRPr="00FA587B">
        <w:rPr>
          <w:rFonts w:ascii="Arial" w:hAnsi="Arial" w:cs="Arial"/>
          <w:i/>
        </w:rPr>
        <w:t>obras no previstas ejecutadas dentro del contrato No. 193</w:t>
      </w:r>
      <w:r w:rsidR="002851B3" w:rsidRPr="00FA587B">
        <w:rPr>
          <w:rFonts w:ascii="Arial" w:hAnsi="Arial" w:cs="Arial"/>
        </w:rPr>
        <w:t xml:space="preserve">”. Proceder en el sentido opuesto podría, incluso, dar lugar </w:t>
      </w:r>
      <w:r w:rsidR="002851B3" w:rsidRPr="00FA587B">
        <w:rPr>
          <w:rFonts w:ascii="Arial" w:eastAsia="Calibri" w:hAnsi="Arial" w:cs="Arial"/>
          <w:lang w:val="es-CO" w:eastAsia="en-US"/>
        </w:rPr>
        <w:t>a un doble reconocimiento económico por un mismo objeto</w:t>
      </w:r>
      <w:r w:rsidR="008325FB" w:rsidRPr="00FA587B">
        <w:rPr>
          <w:rFonts w:ascii="Arial" w:eastAsia="Calibri" w:hAnsi="Arial" w:cs="Arial"/>
          <w:lang w:val="es-CO" w:eastAsia="en-US"/>
        </w:rPr>
        <w:t xml:space="preserve"> situación que desde ningún ángulo </w:t>
      </w:r>
      <w:r w:rsidR="002851B3" w:rsidRPr="00FA587B">
        <w:rPr>
          <w:rFonts w:ascii="Arial" w:eastAsia="Calibri" w:hAnsi="Arial" w:cs="Arial"/>
          <w:lang w:val="es-CO" w:eastAsia="en-US"/>
        </w:rPr>
        <w:t xml:space="preserve">puede ser prohijada por esta instancia. </w:t>
      </w:r>
    </w:p>
    <w:p w:rsidR="00D60214" w:rsidRPr="00FA587B" w:rsidRDefault="00D60214" w:rsidP="00FA587B">
      <w:pPr>
        <w:spacing w:line="360" w:lineRule="auto"/>
        <w:jc w:val="both"/>
        <w:rPr>
          <w:rFonts w:ascii="Arial" w:hAnsi="Arial" w:cs="Arial"/>
        </w:rPr>
      </w:pPr>
    </w:p>
    <w:p w:rsidR="00F62F90" w:rsidRPr="00FA587B" w:rsidRDefault="00BB0CA8" w:rsidP="00FA587B">
      <w:pPr>
        <w:spacing w:line="360" w:lineRule="auto"/>
        <w:jc w:val="both"/>
        <w:rPr>
          <w:rFonts w:ascii="Arial" w:hAnsi="Arial" w:cs="Arial"/>
          <w:b/>
        </w:rPr>
      </w:pPr>
      <w:r w:rsidRPr="00FA587B">
        <w:rPr>
          <w:rFonts w:ascii="Arial" w:hAnsi="Arial" w:cs="Arial"/>
          <w:b/>
        </w:rPr>
        <w:t>4.3.</w:t>
      </w:r>
      <w:r w:rsidR="00272BE9" w:rsidRPr="00FA587B">
        <w:rPr>
          <w:rFonts w:ascii="Arial" w:hAnsi="Arial" w:cs="Arial"/>
          <w:b/>
        </w:rPr>
        <w:t>-</w:t>
      </w:r>
      <w:r w:rsidRPr="00FA587B">
        <w:rPr>
          <w:rFonts w:ascii="Arial" w:hAnsi="Arial" w:cs="Arial"/>
          <w:b/>
        </w:rPr>
        <w:t xml:space="preserve"> </w:t>
      </w:r>
      <w:r w:rsidR="00F62F90" w:rsidRPr="00FA587B">
        <w:rPr>
          <w:rFonts w:ascii="Arial" w:hAnsi="Arial" w:cs="Arial"/>
          <w:b/>
        </w:rPr>
        <w:t xml:space="preserve">La falta de reconocimiento del 5% del valor del </w:t>
      </w:r>
      <w:r w:rsidRPr="00FA587B">
        <w:rPr>
          <w:rFonts w:ascii="Arial" w:hAnsi="Arial" w:cs="Arial"/>
          <w:b/>
        </w:rPr>
        <w:t>C</w:t>
      </w:r>
      <w:r w:rsidR="00F62F90" w:rsidRPr="00FA587B">
        <w:rPr>
          <w:rFonts w:ascii="Arial" w:hAnsi="Arial" w:cs="Arial"/>
          <w:b/>
        </w:rPr>
        <w:t xml:space="preserve">ontrato </w:t>
      </w:r>
      <w:r w:rsidRPr="00FA587B">
        <w:rPr>
          <w:rFonts w:ascii="Arial" w:hAnsi="Arial" w:cs="Arial"/>
          <w:b/>
        </w:rPr>
        <w:t>No. 193</w:t>
      </w:r>
    </w:p>
    <w:p w:rsidR="00F62F90" w:rsidRPr="00FA587B" w:rsidRDefault="00F62F90" w:rsidP="00FA587B">
      <w:pPr>
        <w:spacing w:line="360" w:lineRule="auto"/>
        <w:jc w:val="both"/>
        <w:rPr>
          <w:rFonts w:ascii="Arial" w:hAnsi="Arial" w:cs="Arial"/>
          <w:u w:val="single"/>
        </w:rPr>
      </w:pPr>
    </w:p>
    <w:p w:rsidR="00F9579F" w:rsidRPr="00FA587B" w:rsidRDefault="00F9579F" w:rsidP="00FA587B">
      <w:pPr>
        <w:spacing w:line="360" w:lineRule="auto"/>
        <w:jc w:val="both"/>
        <w:rPr>
          <w:rFonts w:ascii="Arial" w:hAnsi="Arial" w:cs="Arial"/>
        </w:rPr>
      </w:pPr>
      <w:r w:rsidRPr="00FA587B">
        <w:rPr>
          <w:rFonts w:ascii="Arial" w:hAnsi="Arial" w:cs="Arial"/>
        </w:rPr>
        <w:t>En cuanto a</w:t>
      </w:r>
      <w:r w:rsidR="00C43C2C" w:rsidRPr="00FA587B">
        <w:rPr>
          <w:rFonts w:ascii="Arial" w:hAnsi="Arial" w:cs="Arial"/>
        </w:rPr>
        <w:t xml:space="preserve"> </w:t>
      </w:r>
      <w:r w:rsidRPr="00FA587B">
        <w:rPr>
          <w:rFonts w:ascii="Arial" w:hAnsi="Arial" w:cs="Arial"/>
        </w:rPr>
        <w:t>l</w:t>
      </w:r>
      <w:r w:rsidR="00C43C2C" w:rsidRPr="00FA587B">
        <w:rPr>
          <w:rFonts w:ascii="Arial" w:hAnsi="Arial" w:cs="Arial"/>
        </w:rPr>
        <w:t xml:space="preserve">a pretensión </w:t>
      </w:r>
      <w:r w:rsidR="00CB576B" w:rsidRPr="00FA587B">
        <w:rPr>
          <w:rFonts w:ascii="Arial" w:hAnsi="Arial" w:cs="Arial"/>
        </w:rPr>
        <w:t>consistente en la falta de</w:t>
      </w:r>
      <w:r w:rsidRPr="00FA587B">
        <w:rPr>
          <w:rFonts w:ascii="Arial" w:hAnsi="Arial" w:cs="Arial"/>
        </w:rPr>
        <w:t xml:space="preserve"> pago del cinco</w:t>
      </w:r>
      <w:r w:rsidR="00CB576B" w:rsidRPr="00FA587B">
        <w:rPr>
          <w:rFonts w:ascii="Arial" w:hAnsi="Arial" w:cs="Arial"/>
        </w:rPr>
        <w:t xml:space="preserve"> por ciento</w:t>
      </w:r>
      <w:r w:rsidRPr="00FA587B">
        <w:rPr>
          <w:rFonts w:ascii="Arial" w:hAnsi="Arial" w:cs="Arial"/>
        </w:rPr>
        <w:t xml:space="preserve"> (5%) restante </w:t>
      </w:r>
      <w:r w:rsidR="00CB576B" w:rsidRPr="00FA587B">
        <w:rPr>
          <w:rFonts w:ascii="Arial" w:hAnsi="Arial" w:cs="Arial"/>
        </w:rPr>
        <w:t xml:space="preserve">del valor del contrato que debía efectuarse </w:t>
      </w:r>
      <w:r w:rsidRPr="00FA587B">
        <w:rPr>
          <w:rFonts w:ascii="Arial" w:hAnsi="Arial" w:cs="Arial"/>
        </w:rPr>
        <w:t xml:space="preserve">una vez se </w:t>
      </w:r>
      <w:r w:rsidR="00CB576B" w:rsidRPr="00FA587B">
        <w:rPr>
          <w:rFonts w:ascii="Arial" w:hAnsi="Arial" w:cs="Arial"/>
        </w:rPr>
        <w:t xml:space="preserve">recibiera a </w:t>
      </w:r>
      <w:r w:rsidRPr="00FA587B">
        <w:rPr>
          <w:rFonts w:ascii="Arial" w:hAnsi="Arial" w:cs="Arial"/>
        </w:rPr>
        <w:t>satisfacción</w:t>
      </w:r>
      <w:r w:rsidR="008E71D3" w:rsidRPr="00FA587B">
        <w:rPr>
          <w:rFonts w:ascii="Arial" w:hAnsi="Arial" w:cs="Arial"/>
        </w:rPr>
        <w:t xml:space="preserve"> la obra, se pone de presente</w:t>
      </w:r>
      <w:r w:rsidR="00C43C2C" w:rsidRPr="00FA587B">
        <w:rPr>
          <w:rFonts w:ascii="Arial" w:hAnsi="Arial" w:cs="Arial"/>
        </w:rPr>
        <w:t xml:space="preserve"> que de conformidad con la cláusula tercera del contrato, las partes estipularon: </w:t>
      </w:r>
    </w:p>
    <w:p w:rsidR="00C43C2C" w:rsidRPr="00FA587B" w:rsidRDefault="00C43C2C" w:rsidP="00FA587B">
      <w:pPr>
        <w:spacing w:line="360" w:lineRule="auto"/>
        <w:jc w:val="both"/>
        <w:rPr>
          <w:rFonts w:ascii="Arial" w:hAnsi="Arial" w:cs="Arial"/>
        </w:rPr>
      </w:pPr>
    </w:p>
    <w:p w:rsidR="00C43C2C" w:rsidRPr="00FA587B" w:rsidRDefault="00C43C2C" w:rsidP="00FA587B">
      <w:pPr>
        <w:spacing w:line="276" w:lineRule="auto"/>
        <w:jc w:val="both"/>
        <w:rPr>
          <w:rFonts w:ascii="Arial" w:hAnsi="Arial" w:cs="Arial"/>
          <w:i/>
        </w:rPr>
      </w:pPr>
      <w:r w:rsidRPr="00FA587B">
        <w:rPr>
          <w:rFonts w:ascii="Arial" w:hAnsi="Arial" w:cs="Arial"/>
          <w:i/>
        </w:rPr>
        <w:t>“EL IDU pagará al CONTRATISTA el valor de este contrato de la siguiente manera… b) el cinco por ciento (5%) restante una vez se efectúe el recibo a satisfacción de la obra construida, por parte de la interventoría y de las empresas de servicios p</w:t>
      </w:r>
      <w:r w:rsidR="00BE1F0F" w:rsidRPr="00FA587B">
        <w:rPr>
          <w:rFonts w:ascii="Arial" w:hAnsi="Arial" w:cs="Arial"/>
          <w:i/>
        </w:rPr>
        <w:t xml:space="preserve">úblicos, competente y suscrita, el acta de recibo final, además del cruce de cuentas con la ESP y/o la obtención de paz y salvo, además obtención de los cierres social y ambiental en la etapa de </w:t>
      </w:r>
      <w:r w:rsidR="00066FB3" w:rsidRPr="00FA587B">
        <w:rPr>
          <w:rFonts w:ascii="Arial" w:hAnsi="Arial" w:cs="Arial"/>
          <w:i/>
        </w:rPr>
        <w:t>construcción...</w:t>
      </w:r>
      <w:r w:rsidR="00BE1F0F" w:rsidRPr="00FA587B">
        <w:rPr>
          <w:rFonts w:ascii="Arial" w:hAnsi="Arial" w:cs="Arial"/>
          <w:i/>
        </w:rPr>
        <w:t>”</w:t>
      </w:r>
      <w:r w:rsidR="00714C7B" w:rsidRPr="00FA587B">
        <w:rPr>
          <w:rFonts w:ascii="Arial" w:hAnsi="Arial" w:cs="Arial"/>
          <w:i/>
        </w:rPr>
        <w:t>.</w:t>
      </w:r>
    </w:p>
    <w:p w:rsidR="0028435A" w:rsidRPr="00FA587B" w:rsidRDefault="0028435A" w:rsidP="00FA587B">
      <w:pPr>
        <w:autoSpaceDN w:val="0"/>
        <w:spacing w:line="276" w:lineRule="auto"/>
        <w:jc w:val="both"/>
        <w:rPr>
          <w:rFonts w:ascii="Arial" w:hAnsi="Arial" w:cs="Arial"/>
          <w:b/>
        </w:rPr>
      </w:pPr>
    </w:p>
    <w:p w:rsidR="00066FB3" w:rsidRPr="00FA587B" w:rsidRDefault="00066FB3" w:rsidP="00FA587B">
      <w:pPr>
        <w:spacing w:line="360" w:lineRule="auto"/>
        <w:contextualSpacing/>
        <w:jc w:val="both"/>
        <w:rPr>
          <w:rFonts w:ascii="Arial" w:hAnsi="Arial" w:cs="Arial"/>
        </w:rPr>
      </w:pPr>
      <w:r w:rsidRPr="00FA587B">
        <w:rPr>
          <w:rFonts w:ascii="Arial" w:hAnsi="Arial" w:cs="Arial"/>
        </w:rPr>
        <w:lastRenderedPageBreak/>
        <w:t xml:space="preserve">Se desprende de la cláusula en comento que la viabilidad del pago del 5% restante del </w:t>
      </w:r>
      <w:r w:rsidR="001B08D0" w:rsidRPr="00FA587B">
        <w:rPr>
          <w:rFonts w:ascii="Arial" w:hAnsi="Arial" w:cs="Arial"/>
        </w:rPr>
        <w:t xml:space="preserve">precio del </w:t>
      </w:r>
      <w:r w:rsidRPr="00FA587B">
        <w:rPr>
          <w:rFonts w:ascii="Arial" w:hAnsi="Arial" w:cs="Arial"/>
        </w:rPr>
        <w:t>contrato a favor del contratista, por acuerdo de las partes</w:t>
      </w:r>
      <w:r w:rsidR="004B6E58" w:rsidRPr="00FA587B">
        <w:rPr>
          <w:rFonts w:ascii="Arial" w:hAnsi="Arial" w:cs="Arial"/>
        </w:rPr>
        <w:t>,</w:t>
      </w:r>
      <w:r w:rsidRPr="00FA587B">
        <w:rPr>
          <w:rFonts w:ascii="Arial" w:hAnsi="Arial" w:cs="Arial"/>
        </w:rPr>
        <w:t xml:space="preserve"> se supeditó no solo al hecho de que existiera recibo a satisfacción de la obra por parte de la interventoría. También se sujetó al recibo las obras por parte de las empresas de servicios públicos,</w:t>
      </w:r>
      <w:r w:rsidR="001B08D0" w:rsidRPr="00FA587B">
        <w:rPr>
          <w:rFonts w:ascii="Arial" w:hAnsi="Arial" w:cs="Arial"/>
        </w:rPr>
        <w:t xml:space="preserve"> seguramente en lo que guardara </w:t>
      </w:r>
      <w:r w:rsidRPr="00FA587B">
        <w:rPr>
          <w:rFonts w:ascii="Arial" w:hAnsi="Arial" w:cs="Arial"/>
        </w:rPr>
        <w:t>conexidad con este tipo de servicios, y de la obtención de paz y salvos expedidos por las mismas.</w:t>
      </w:r>
    </w:p>
    <w:p w:rsidR="00A83619" w:rsidRPr="00FA587B" w:rsidRDefault="00A83619" w:rsidP="00FA587B">
      <w:pPr>
        <w:spacing w:line="360" w:lineRule="auto"/>
        <w:contextualSpacing/>
        <w:jc w:val="both"/>
        <w:rPr>
          <w:rFonts w:ascii="Arial" w:hAnsi="Arial" w:cs="Arial"/>
        </w:rPr>
      </w:pPr>
    </w:p>
    <w:p w:rsidR="00A83619" w:rsidRPr="00FA587B" w:rsidRDefault="00A83619" w:rsidP="00FA587B">
      <w:pPr>
        <w:spacing w:line="360" w:lineRule="auto"/>
        <w:contextualSpacing/>
        <w:jc w:val="both"/>
        <w:rPr>
          <w:rFonts w:ascii="Arial" w:hAnsi="Arial" w:cs="Arial"/>
        </w:rPr>
      </w:pPr>
      <w:r w:rsidRPr="00FA587B">
        <w:rPr>
          <w:rFonts w:ascii="Arial" w:hAnsi="Arial" w:cs="Arial"/>
        </w:rPr>
        <w:t>Esta última previsión se acompasa con aquella introducida en el texto contractual</w:t>
      </w:r>
      <w:r w:rsidR="001B08D0" w:rsidRPr="00FA587B">
        <w:rPr>
          <w:rFonts w:ascii="Arial" w:hAnsi="Arial" w:cs="Arial"/>
        </w:rPr>
        <w:t>,</w:t>
      </w:r>
      <w:r w:rsidRPr="00FA587B">
        <w:rPr>
          <w:rFonts w:ascii="Arial" w:hAnsi="Arial" w:cs="Arial"/>
        </w:rPr>
        <w:t xml:space="preserve"> a cuyo tenor las partes concertaron como oblig</w:t>
      </w:r>
      <w:r w:rsidR="005452BA" w:rsidRPr="00FA587B">
        <w:rPr>
          <w:rFonts w:ascii="Arial" w:hAnsi="Arial" w:cs="Arial"/>
        </w:rPr>
        <w:t>ación</w:t>
      </w:r>
      <w:r w:rsidR="003D4062" w:rsidRPr="00FA587B">
        <w:rPr>
          <w:rFonts w:ascii="Arial" w:hAnsi="Arial" w:cs="Arial"/>
        </w:rPr>
        <w:t xml:space="preserve"> a cargo del contratista, la siguiente: </w:t>
      </w:r>
    </w:p>
    <w:p w:rsidR="003D4062" w:rsidRPr="00FA587B" w:rsidRDefault="003D4062" w:rsidP="00FA587B">
      <w:pPr>
        <w:spacing w:line="360" w:lineRule="auto"/>
        <w:contextualSpacing/>
        <w:jc w:val="both"/>
        <w:rPr>
          <w:rFonts w:ascii="Arial" w:hAnsi="Arial" w:cs="Arial"/>
        </w:rPr>
      </w:pPr>
    </w:p>
    <w:p w:rsidR="00066FB3" w:rsidRPr="00FA587B" w:rsidRDefault="003D4062" w:rsidP="00FA587B">
      <w:pPr>
        <w:spacing w:line="276" w:lineRule="auto"/>
        <w:contextualSpacing/>
        <w:jc w:val="both"/>
        <w:rPr>
          <w:rFonts w:ascii="Arial" w:hAnsi="Arial" w:cs="Arial"/>
          <w:i/>
        </w:rPr>
      </w:pPr>
      <w:r w:rsidRPr="00FA587B">
        <w:rPr>
          <w:rFonts w:ascii="Arial" w:hAnsi="Arial" w:cs="Arial"/>
          <w:i/>
        </w:rPr>
        <w:t xml:space="preserve">“6) EL CONTRATISTA se obliga a presentar constancia de recibo y aprobación de las respectivas Empresas de Servicios Públicos </w:t>
      </w:r>
      <w:r w:rsidR="005452BA" w:rsidRPr="00FA587B">
        <w:rPr>
          <w:rFonts w:ascii="Arial" w:hAnsi="Arial" w:cs="Arial"/>
          <w:i/>
        </w:rPr>
        <w:t>y Telecomunicaciones a las cuales se les haya ejecutado obra durante la ejecución del contrato donde conste la construcción de los distintos servicios públicos para el caso en que existan redes en la zona de ejecución del contrato que no hayan sido intervenidas</w:t>
      </w:r>
      <w:r w:rsidR="00F62F90" w:rsidRPr="00FA587B">
        <w:rPr>
          <w:rFonts w:ascii="Arial" w:hAnsi="Arial" w:cs="Arial"/>
          <w:i/>
        </w:rPr>
        <w:t>, se obliga a presentar el paz y salvo respectivo donde conste que no fueron afectadas. Esta certificación es requisito previo para la suscripción del acta de inicio”.</w:t>
      </w:r>
    </w:p>
    <w:p w:rsidR="00113948" w:rsidRPr="00FA587B" w:rsidRDefault="00113948" w:rsidP="00FA587B">
      <w:pPr>
        <w:spacing w:line="360" w:lineRule="auto"/>
        <w:contextualSpacing/>
        <w:jc w:val="both"/>
        <w:rPr>
          <w:rFonts w:ascii="Arial" w:hAnsi="Arial" w:cs="Arial"/>
        </w:rPr>
      </w:pPr>
    </w:p>
    <w:p w:rsidR="00714C7B" w:rsidRPr="00FA587B" w:rsidRDefault="00714C7B" w:rsidP="00FA587B">
      <w:pPr>
        <w:spacing w:line="360" w:lineRule="auto"/>
        <w:contextualSpacing/>
        <w:jc w:val="both"/>
        <w:rPr>
          <w:rFonts w:ascii="Arial" w:hAnsi="Arial" w:cs="Arial"/>
        </w:rPr>
      </w:pPr>
      <w:r w:rsidRPr="00FA587B">
        <w:rPr>
          <w:rFonts w:ascii="Arial" w:hAnsi="Arial" w:cs="Arial"/>
        </w:rPr>
        <w:t xml:space="preserve">En cumplimiento de esta previsión </w:t>
      </w:r>
      <w:r w:rsidR="00A575D5" w:rsidRPr="00FA587B">
        <w:rPr>
          <w:rFonts w:ascii="Arial" w:hAnsi="Arial" w:cs="Arial"/>
        </w:rPr>
        <w:t>y por requerimiento del IDU</w:t>
      </w:r>
      <w:r w:rsidRPr="00FA587B">
        <w:rPr>
          <w:rFonts w:ascii="Arial" w:hAnsi="Arial" w:cs="Arial"/>
        </w:rPr>
        <w:t xml:space="preserve">, </w:t>
      </w:r>
      <w:r w:rsidR="00A575D5" w:rsidRPr="00FA587B">
        <w:rPr>
          <w:rFonts w:ascii="Arial" w:hAnsi="Arial" w:cs="Arial"/>
        </w:rPr>
        <w:t>el interventor</w:t>
      </w:r>
      <w:r w:rsidR="001B08D0" w:rsidRPr="00FA587B">
        <w:rPr>
          <w:rFonts w:ascii="Arial" w:hAnsi="Arial" w:cs="Arial"/>
        </w:rPr>
        <w:t>,</w:t>
      </w:r>
      <w:r w:rsidR="00A575D5" w:rsidRPr="00FA587B">
        <w:rPr>
          <w:rFonts w:ascii="Arial" w:hAnsi="Arial" w:cs="Arial"/>
        </w:rPr>
        <w:t xml:space="preserve"> </w:t>
      </w:r>
      <w:r w:rsidRPr="00FA587B">
        <w:rPr>
          <w:rFonts w:ascii="Arial" w:hAnsi="Arial" w:cs="Arial"/>
        </w:rPr>
        <w:t>a través de oficio del 21 de enero de 200</w:t>
      </w:r>
      <w:r w:rsidR="00BE422F" w:rsidRPr="00FA587B">
        <w:rPr>
          <w:rFonts w:ascii="Arial" w:hAnsi="Arial" w:cs="Arial"/>
        </w:rPr>
        <w:t>8</w:t>
      </w:r>
      <w:r w:rsidR="001B08D0" w:rsidRPr="00FA587B">
        <w:rPr>
          <w:rFonts w:ascii="Arial" w:hAnsi="Arial" w:cs="Arial"/>
        </w:rPr>
        <w:t>,</w:t>
      </w:r>
      <w:r w:rsidRPr="00FA587B">
        <w:rPr>
          <w:rFonts w:ascii="Arial" w:hAnsi="Arial" w:cs="Arial"/>
        </w:rPr>
        <w:t xml:space="preserve"> solicitó al contratista que presentara ent</w:t>
      </w:r>
      <w:r w:rsidR="001B08D0" w:rsidRPr="00FA587B">
        <w:rPr>
          <w:rFonts w:ascii="Arial" w:hAnsi="Arial" w:cs="Arial"/>
        </w:rPr>
        <w:t>r</w:t>
      </w:r>
      <w:r w:rsidRPr="00FA587B">
        <w:rPr>
          <w:rFonts w:ascii="Arial" w:hAnsi="Arial" w:cs="Arial"/>
        </w:rPr>
        <w:t xml:space="preserve">e </w:t>
      </w:r>
      <w:r w:rsidR="001B08D0" w:rsidRPr="00FA587B">
        <w:rPr>
          <w:rFonts w:ascii="Arial" w:hAnsi="Arial" w:cs="Arial"/>
        </w:rPr>
        <w:t>otros documentos el paz y salvo expedido por</w:t>
      </w:r>
      <w:r w:rsidRPr="00FA587B">
        <w:rPr>
          <w:rFonts w:ascii="Arial" w:hAnsi="Arial" w:cs="Arial"/>
        </w:rPr>
        <w:t xml:space="preserve"> la EAAB, los plano</w:t>
      </w:r>
      <w:r w:rsidR="00996589" w:rsidRPr="00FA587B">
        <w:rPr>
          <w:rFonts w:ascii="Arial" w:hAnsi="Arial" w:cs="Arial"/>
        </w:rPr>
        <w:t>s de obras de la EAAB, las actas</w:t>
      </w:r>
      <w:r w:rsidRPr="00FA587B">
        <w:rPr>
          <w:rFonts w:ascii="Arial" w:hAnsi="Arial" w:cs="Arial"/>
        </w:rPr>
        <w:t xml:space="preserve"> de cruce de cuentas, actas de recibo de obras expedidas por esa empresa</w:t>
      </w:r>
      <w:r w:rsidR="00BE422F" w:rsidRPr="00FA587B">
        <w:rPr>
          <w:rFonts w:ascii="Arial" w:hAnsi="Arial" w:cs="Arial"/>
        </w:rPr>
        <w:t>. También s</w:t>
      </w:r>
      <w:r w:rsidR="001B08D0" w:rsidRPr="00FA587B">
        <w:rPr>
          <w:rFonts w:ascii="Arial" w:hAnsi="Arial" w:cs="Arial"/>
        </w:rPr>
        <w:t>e solicitó la información de la</w:t>
      </w:r>
      <w:r w:rsidR="00BE422F" w:rsidRPr="00FA587B">
        <w:rPr>
          <w:rFonts w:ascii="Arial" w:hAnsi="Arial" w:cs="Arial"/>
        </w:rPr>
        <w:t xml:space="preserve"> gestión y los resultados obtenidos y el paz y salvo expedido por </w:t>
      </w:r>
      <w:r w:rsidR="001B08D0" w:rsidRPr="00FA587B">
        <w:rPr>
          <w:rFonts w:ascii="Arial" w:hAnsi="Arial" w:cs="Arial"/>
        </w:rPr>
        <w:t xml:space="preserve">la </w:t>
      </w:r>
      <w:r w:rsidR="00BE422F" w:rsidRPr="00FA587B">
        <w:rPr>
          <w:rFonts w:ascii="Arial" w:hAnsi="Arial" w:cs="Arial"/>
        </w:rPr>
        <w:t>ETB</w:t>
      </w:r>
      <w:r w:rsidR="00C939F6" w:rsidRPr="00FA587B">
        <w:rPr>
          <w:rStyle w:val="Refdenotaalpie"/>
          <w:rFonts w:ascii="Arial" w:hAnsi="Arial" w:cs="Arial"/>
        </w:rPr>
        <w:footnoteReference w:id="26"/>
      </w:r>
      <w:r w:rsidR="00092DAD" w:rsidRPr="00FA587B">
        <w:rPr>
          <w:rFonts w:ascii="Arial" w:hAnsi="Arial" w:cs="Arial"/>
        </w:rPr>
        <w:t>.</w:t>
      </w:r>
    </w:p>
    <w:p w:rsidR="00D254F6" w:rsidRPr="00FA587B" w:rsidRDefault="00D254F6" w:rsidP="00FA587B">
      <w:pPr>
        <w:spacing w:line="360" w:lineRule="auto"/>
        <w:contextualSpacing/>
        <w:jc w:val="both"/>
        <w:rPr>
          <w:rFonts w:ascii="Arial" w:hAnsi="Arial" w:cs="Arial"/>
        </w:rPr>
      </w:pPr>
    </w:p>
    <w:p w:rsidR="00996589" w:rsidRPr="00FA587B" w:rsidRDefault="00BE422F" w:rsidP="00FA587B">
      <w:pPr>
        <w:spacing w:line="360" w:lineRule="auto"/>
        <w:contextualSpacing/>
        <w:jc w:val="both"/>
        <w:rPr>
          <w:rFonts w:ascii="Arial" w:hAnsi="Arial" w:cs="Arial"/>
        </w:rPr>
      </w:pPr>
      <w:r w:rsidRPr="00FA587B">
        <w:rPr>
          <w:rFonts w:ascii="Arial" w:hAnsi="Arial" w:cs="Arial"/>
        </w:rPr>
        <w:t>Igualmente</w:t>
      </w:r>
      <w:r w:rsidR="00EB43B0" w:rsidRPr="00FA587B">
        <w:rPr>
          <w:rFonts w:ascii="Arial" w:hAnsi="Arial" w:cs="Arial"/>
        </w:rPr>
        <w:t>,</w:t>
      </w:r>
      <w:r w:rsidRPr="00FA587B">
        <w:rPr>
          <w:rFonts w:ascii="Arial" w:hAnsi="Arial" w:cs="Arial"/>
        </w:rPr>
        <w:t xml:space="preserve"> se observa que </w:t>
      </w:r>
      <w:r w:rsidR="00EB43B0" w:rsidRPr="00FA587B">
        <w:rPr>
          <w:rFonts w:ascii="Arial" w:hAnsi="Arial" w:cs="Arial"/>
        </w:rPr>
        <w:t>la ETB</w:t>
      </w:r>
      <w:r w:rsidR="001B08D0" w:rsidRPr="00FA587B">
        <w:rPr>
          <w:rFonts w:ascii="Arial" w:hAnsi="Arial" w:cs="Arial"/>
        </w:rPr>
        <w:t>,</w:t>
      </w:r>
      <w:r w:rsidR="00EB43B0" w:rsidRPr="00FA587B">
        <w:rPr>
          <w:rFonts w:ascii="Arial" w:hAnsi="Arial" w:cs="Arial"/>
        </w:rPr>
        <w:t xml:space="preserve"> mediante escrito del 3 de junio de 2008</w:t>
      </w:r>
      <w:r w:rsidR="00602709" w:rsidRPr="00FA587B">
        <w:rPr>
          <w:rStyle w:val="Refdenotaalpie"/>
          <w:rFonts w:ascii="Arial" w:hAnsi="Arial" w:cs="Arial"/>
        </w:rPr>
        <w:footnoteReference w:id="27"/>
      </w:r>
      <w:r w:rsidR="00EB43B0" w:rsidRPr="00FA587B">
        <w:rPr>
          <w:rFonts w:ascii="Arial" w:hAnsi="Arial" w:cs="Arial"/>
        </w:rPr>
        <w:t>, manifestó al interventor del Contrato No. 193-2005</w:t>
      </w:r>
      <w:r w:rsidR="003D4CB0" w:rsidRPr="00FA587B">
        <w:rPr>
          <w:rFonts w:ascii="Arial" w:hAnsi="Arial" w:cs="Arial"/>
        </w:rPr>
        <w:t xml:space="preserve"> que la</w:t>
      </w:r>
      <w:r w:rsidR="00996589" w:rsidRPr="00FA587B">
        <w:rPr>
          <w:rFonts w:ascii="Arial" w:hAnsi="Arial" w:cs="Arial"/>
        </w:rPr>
        <w:t xml:space="preserve"> Empresa</w:t>
      </w:r>
      <w:r w:rsidR="003D4CB0" w:rsidRPr="00FA587B">
        <w:rPr>
          <w:rFonts w:ascii="Arial" w:hAnsi="Arial" w:cs="Arial"/>
        </w:rPr>
        <w:t xml:space="preserve"> efectuó una revisión en terreno y ha</w:t>
      </w:r>
      <w:r w:rsidR="00996589" w:rsidRPr="00FA587B">
        <w:rPr>
          <w:rFonts w:ascii="Arial" w:hAnsi="Arial" w:cs="Arial"/>
        </w:rPr>
        <w:t>l</w:t>
      </w:r>
      <w:r w:rsidR="003D4CB0" w:rsidRPr="00FA587B">
        <w:rPr>
          <w:rFonts w:ascii="Arial" w:hAnsi="Arial" w:cs="Arial"/>
        </w:rPr>
        <w:t>ló que las cámaras localizadas en la calle 46B calle 72 fueron real</w:t>
      </w:r>
      <w:r w:rsidR="00996589" w:rsidRPr="00FA587B">
        <w:rPr>
          <w:rFonts w:ascii="Arial" w:hAnsi="Arial" w:cs="Arial"/>
        </w:rPr>
        <w:t>zadas</w:t>
      </w:r>
      <w:r w:rsidR="003D4CB0" w:rsidRPr="00FA587B">
        <w:rPr>
          <w:rFonts w:ascii="Arial" w:hAnsi="Arial" w:cs="Arial"/>
        </w:rPr>
        <w:t xml:space="preserve"> y no las dejaron cumpliendo especificaciones “ETB”. </w:t>
      </w:r>
    </w:p>
    <w:p w:rsidR="00996589" w:rsidRPr="00FA587B" w:rsidRDefault="00996589" w:rsidP="00FA587B">
      <w:pPr>
        <w:spacing w:line="360" w:lineRule="auto"/>
        <w:contextualSpacing/>
        <w:jc w:val="both"/>
        <w:rPr>
          <w:rFonts w:ascii="Arial" w:hAnsi="Arial" w:cs="Arial"/>
        </w:rPr>
      </w:pPr>
    </w:p>
    <w:p w:rsidR="00996589" w:rsidRPr="00FA587B" w:rsidRDefault="003D4CB0" w:rsidP="00FA587B">
      <w:pPr>
        <w:spacing w:line="360" w:lineRule="auto"/>
        <w:contextualSpacing/>
        <w:jc w:val="both"/>
        <w:rPr>
          <w:rFonts w:ascii="Arial" w:hAnsi="Arial" w:cs="Arial"/>
        </w:rPr>
      </w:pPr>
      <w:r w:rsidRPr="00FA587B">
        <w:rPr>
          <w:rFonts w:ascii="Arial" w:hAnsi="Arial" w:cs="Arial"/>
        </w:rPr>
        <w:t>A</w:t>
      </w:r>
      <w:r w:rsidR="008E71D3" w:rsidRPr="00FA587B">
        <w:rPr>
          <w:rFonts w:ascii="Arial" w:hAnsi="Arial" w:cs="Arial"/>
        </w:rPr>
        <w:t>l mismo tiempo, puso de relieve</w:t>
      </w:r>
      <w:r w:rsidRPr="00FA587B">
        <w:rPr>
          <w:rFonts w:ascii="Arial" w:hAnsi="Arial" w:cs="Arial"/>
        </w:rPr>
        <w:t xml:space="preserve"> </w:t>
      </w:r>
      <w:r w:rsidR="00A12DE3" w:rsidRPr="00FA587B">
        <w:rPr>
          <w:rFonts w:ascii="Arial" w:hAnsi="Arial" w:cs="Arial"/>
        </w:rPr>
        <w:t>que la totalidad de la ductería existente en el área de afectación de la obra debía entregarla hilada y probada “</w:t>
      </w:r>
      <w:r w:rsidR="00A12DE3" w:rsidRPr="00FA587B">
        <w:rPr>
          <w:rFonts w:ascii="Arial" w:hAnsi="Arial" w:cs="Arial"/>
          <w:i/>
        </w:rPr>
        <w:t>con testigo de 70% del diámetro de la tubería a probar</w:t>
      </w:r>
      <w:r w:rsidR="00A12DE3" w:rsidRPr="00FA587B">
        <w:rPr>
          <w:rFonts w:ascii="Arial" w:hAnsi="Arial" w:cs="Arial"/>
        </w:rPr>
        <w:t xml:space="preserve">”. </w:t>
      </w:r>
      <w:r w:rsidR="001B08D0" w:rsidRPr="00FA587B">
        <w:rPr>
          <w:rFonts w:ascii="Arial" w:hAnsi="Arial" w:cs="Arial"/>
        </w:rPr>
        <w:t>Añadió</w:t>
      </w:r>
      <w:r w:rsidR="00996589" w:rsidRPr="00FA587B">
        <w:rPr>
          <w:rFonts w:ascii="Arial" w:hAnsi="Arial" w:cs="Arial"/>
        </w:rPr>
        <w:t xml:space="preserve"> que los marcos y tapas de las cámaras intervenidas debían tener el número del contrato, lo cual no se había cumplido. </w:t>
      </w:r>
    </w:p>
    <w:p w:rsidR="008E71D3" w:rsidRPr="00FA587B" w:rsidRDefault="008E71D3" w:rsidP="00FA587B">
      <w:pPr>
        <w:spacing w:line="360" w:lineRule="auto"/>
        <w:contextualSpacing/>
        <w:jc w:val="both"/>
        <w:rPr>
          <w:rFonts w:ascii="Arial" w:hAnsi="Arial" w:cs="Arial"/>
        </w:rPr>
      </w:pPr>
    </w:p>
    <w:p w:rsidR="00996589" w:rsidRPr="00FA587B" w:rsidRDefault="00996589" w:rsidP="00FA587B">
      <w:pPr>
        <w:spacing w:line="360" w:lineRule="auto"/>
        <w:contextualSpacing/>
        <w:jc w:val="both"/>
        <w:rPr>
          <w:rFonts w:ascii="Arial" w:hAnsi="Arial" w:cs="Arial"/>
        </w:rPr>
      </w:pPr>
      <w:r w:rsidRPr="00FA587B">
        <w:rPr>
          <w:rFonts w:ascii="Arial" w:hAnsi="Arial" w:cs="Arial"/>
        </w:rPr>
        <w:lastRenderedPageBreak/>
        <w:t>Finalmente</w:t>
      </w:r>
      <w:r w:rsidR="004B6E58" w:rsidRPr="00FA587B">
        <w:rPr>
          <w:rFonts w:ascii="Arial" w:hAnsi="Arial" w:cs="Arial"/>
        </w:rPr>
        <w:t>,</w:t>
      </w:r>
      <w:r w:rsidRPr="00FA587B">
        <w:rPr>
          <w:rFonts w:ascii="Arial" w:hAnsi="Arial" w:cs="Arial"/>
        </w:rPr>
        <w:t xml:space="preserve"> indicó que </w:t>
      </w:r>
      <w:r w:rsidR="00EF2227" w:rsidRPr="00FA587B">
        <w:rPr>
          <w:rFonts w:ascii="Arial" w:hAnsi="Arial" w:cs="Arial"/>
        </w:rPr>
        <w:t xml:space="preserve">la Empresa quedaba a la espera de la documentación solicitada y de los arreglos de la totalidad </w:t>
      </w:r>
      <w:r w:rsidR="00A575D5" w:rsidRPr="00FA587B">
        <w:rPr>
          <w:rFonts w:ascii="Arial" w:hAnsi="Arial" w:cs="Arial"/>
        </w:rPr>
        <w:t>de los detalles para programar visita conjunta de verificación</w:t>
      </w:r>
      <w:r w:rsidR="00602709" w:rsidRPr="00FA587B">
        <w:rPr>
          <w:rFonts w:ascii="Arial" w:hAnsi="Arial" w:cs="Arial"/>
        </w:rPr>
        <w:t>.</w:t>
      </w:r>
    </w:p>
    <w:p w:rsidR="00BE422F" w:rsidRPr="00FA587B" w:rsidRDefault="00BE422F" w:rsidP="00FA587B">
      <w:pPr>
        <w:spacing w:line="360" w:lineRule="auto"/>
        <w:contextualSpacing/>
        <w:jc w:val="both"/>
        <w:rPr>
          <w:rFonts w:ascii="Arial" w:hAnsi="Arial" w:cs="Arial"/>
        </w:rPr>
      </w:pPr>
    </w:p>
    <w:p w:rsidR="00205CA8" w:rsidRPr="00FA587B" w:rsidRDefault="002E7B60" w:rsidP="00FA587B">
      <w:pPr>
        <w:tabs>
          <w:tab w:val="left" w:pos="4493"/>
        </w:tabs>
        <w:spacing w:line="360" w:lineRule="auto"/>
        <w:contextualSpacing/>
        <w:jc w:val="both"/>
        <w:rPr>
          <w:rFonts w:ascii="Arial" w:hAnsi="Arial" w:cs="Arial"/>
        </w:rPr>
      </w:pPr>
      <w:r w:rsidRPr="00FA587B">
        <w:rPr>
          <w:rFonts w:ascii="Arial" w:hAnsi="Arial" w:cs="Arial"/>
        </w:rPr>
        <w:t>A los pocos días, el 18 de junio de 2008</w:t>
      </w:r>
      <w:r w:rsidR="007D6FAB" w:rsidRPr="00FA587B">
        <w:rPr>
          <w:rFonts w:ascii="Arial" w:hAnsi="Arial" w:cs="Arial"/>
        </w:rPr>
        <w:t>,</w:t>
      </w:r>
      <w:r w:rsidRPr="00FA587B">
        <w:rPr>
          <w:rFonts w:ascii="Arial" w:hAnsi="Arial" w:cs="Arial"/>
        </w:rPr>
        <w:t xml:space="preserve"> el consorcio</w:t>
      </w:r>
      <w:r w:rsidR="007D6FAB" w:rsidRPr="00FA587B">
        <w:rPr>
          <w:rFonts w:ascii="Arial" w:hAnsi="Arial" w:cs="Arial"/>
        </w:rPr>
        <w:t xml:space="preserve"> interventor comunicó </w:t>
      </w:r>
      <w:r w:rsidRPr="00FA587B">
        <w:rPr>
          <w:rFonts w:ascii="Arial" w:hAnsi="Arial" w:cs="Arial"/>
        </w:rPr>
        <w:t>al contratista que p</w:t>
      </w:r>
      <w:r w:rsidR="007D6FAB" w:rsidRPr="00FA587B">
        <w:rPr>
          <w:rFonts w:ascii="Arial" w:hAnsi="Arial" w:cs="Arial"/>
        </w:rPr>
        <w:t>ara darle el trámite necesario para</w:t>
      </w:r>
      <w:r w:rsidRPr="00FA587B">
        <w:rPr>
          <w:rFonts w:ascii="Arial" w:hAnsi="Arial" w:cs="Arial"/>
        </w:rPr>
        <w:t xml:space="preserve"> la obtención del paz y salvo ante la empresa Gas Natural</w:t>
      </w:r>
      <w:r w:rsidR="007D6FAB" w:rsidRPr="00FA587B">
        <w:rPr>
          <w:rFonts w:ascii="Arial" w:hAnsi="Arial" w:cs="Arial"/>
        </w:rPr>
        <w:t>,</w:t>
      </w:r>
      <w:r w:rsidR="00521381" w:rsidRPr="00FA587B">
        <w:rPr>
          <w:rFonts w:ascii="Arial" w:hAnsi="Arial" w:cs="Arial"/>
        </w:rPr>
        <w:t xml:space="preserve"> debía efectuar el pago correspondiente por daños causados a la red </w:t>
      </w:r>
      <w:r w:rsidR="008E71D3" w:rsidRPr="00FA587B">
        <w:rPr>
          <w:rFonts w:ascii="Arial" w:hAnsi="Arial" w:cs="Arial"/>
        </w:rPr>
        <w:t xml:space="preserve">durante </w:t>
      </w:r>
      <w:r w:rsidR="00521381" w:rsidRPr="00FA587B">
        <w:rPr>
          <w:rFonts w:ascii="Arial" w:hAnsi="Arial" w:cs="Arial"/>
        </w:rPr>
        <w:t>la mayor brevedad posible</w:t>
      </w:r>
      <w:r w:rsidR="00E24FB0" w:rsidRPr="00FA587B">
        <w:rPr>
          <w:rStyle w:val="Refdenotaalpie"/>
          <w:rFonts w:ascii="Arial" w:hAnsi="Arial" w:cs="Arial"/>
        </w:rPr>
        <w:footnoteReference w:id="28"/>
      </w:r>
      <w:r w:rsidR="00E24FB0" w:rsidRPr="00FA587B">
        <w:rPr>
          <w:rFonts w:ascii="Arial" w:hAnsi="Arial" w:cs="Arial"/>
        </w:rPr>
        <w:t>.</w:t>
      </w:r>
    </w:p>
    <w:p w:rsidR="00A75C3F" w:rsidRPr="00FA587B" w:rsidRDefault="00A75C3F" w:rsidP="00FA587B">
      <w:pPr>
        <w:tabs>
          <w:tab w:val="left" w:pos="4493"/>
        </w:tabs>
        <w:spacing w:line="360" w:lineRule="auto"/>
        <w:contextualSpacing/>
        <w:jc w:val="both"/>
        <w:rPr>
          <w:rFonts w:ascii="Arial" w:hAnsi="Arial" w:cs="Arial"/>
        </w:rPr>
      </w:pPr>
    </w:p>
    <w:p w:rsidR="00A75C3F" w:rsidRPr="00FA587B" w:rsidRDefault="00A75C3F" w:rsidP="00FA587B">
      <w:pPr>
        <w:tabs>
          <w:tab w:val="left" w:pos="4493"/>
        </w:tabs>
        <w:spacing w:line="360" w:lineRule="auto"/>
        <w:contextualSpacing/>
        <w:jc w:val="both"/>
        <w:rPr>
          <w:rFonts w:ascii="Arial" w:hAnsi="Arial" w:cs="Arial"/>
        </w:rPr>
      </w:pPr>
      <w:r w:rsidRPr="00FA587B">
        <w:rPr>
          <w:rFonts w:ascii="Arial" w:hAnsi="Arial" w:cs="Arial"/>
        </w:rPr>
        <w:t>El 27 de junio de 2008</w:t>
      </w:r>
      <w:r w:rsidR="00867F7C" w:rsidRPr="00FA587B">
        <w:rPr>
          <w:rStyle w:val="Refdenotaalpie"/>
          <w:rFonts w:ascii="Arial" w:hAnsi="Arial" w:cs="Arial"/>
        </w:rPr>
        <w:footnoteReference w:id="29"/>
      </w:r>
      <w:r w:rsidRPr="00FA587B">
        <w:rPr>
          <w:rFonts w:ascii="Arial" w:hAnsi="Arial" w:cs="Arial"/>
        </w:rPr>
        <w:t xml:space="preserve">, el interventor requirió nuevamente al contratista para que allegara los documentos correspondientes </w:t>
      </w:r>
      <w:r w:rsidR="007D6FAB" w:rsidRPr="00FA587B">
        <w:rPr>
          <w:rFonts w:ascii="Arial" w:hAnsi="Arial" w:cs="Arial"/>
        </w:rPr>
        <w:t>al cruce de cuentas con la EAAB y</w:t>
      </w:r>
      <w:r w:rsidRPr="00FA587B">
        <w:rPr>
          <w:rFonts w:ascii="Arial" w:hAnsi="Arial" w:cs="Arial"/>
        </w:rPr>
        <w:t xml:space="preserve"> el documento de cierre ambienta</w:t>
      </w:r>
      <w:r w:rsidR="007D6FAB" w:rsidRPr="00FA587B">
        <w:rPr>
          <w:rFonts w:ascii="Arial" w:hAnsi="Arial" w:cs="Arial"/>
        </w:rPr>
        <w:t>l</w:t>
      </w:r>
      <w:r w:rsidR="004B6E58" w:rsidRPr="00FA587B">
        <w:rPr>
          <w:rFonts w:ascii="Arial" w:hAnsi="Arial" w:cs="Arial"/>
        </w:rPr>
        <w:t>. En</w:t>
      </w:r>
      <w:r w:rsidRPr="00FA587B">
        <w:rPr>
          <w:rFonts w:ascii="Arial" w:hAnsi="Arial" w:cs="Arial"/>
        </w:rPr>
        <w:t xml:space="preserve"> escrito</w:t>
      </w:r>
      <w:r w:rsidR="00E47854" w:rsidRPr="00FA587B">
        <w:rPr>
          <w:rStyle w:val="Refdenotaalpie"/>
          <w:rFonts w:ascii="Arial" w:hAnsi="Arial" w:cs="Arial"/>
        </w:rPr>
        <w:footnoteReference w:id="30"/>
      </w:r>
      <w:r w:rsidRPr="00FA587B">
        <w:rPr>
          <w:rFonts w:ascii="Arial" w:hAnsi="Arial" w:cs="Arial"/>
        </w:rPr>
        <w:t xml:space="preserve"> separado</w:t>
      </w:r>
      <w:r w:rsidR="00283CCB" w:rsidRPr="00FA587B">
        <w:rPr>
          <w:rFonts w:ascii="Arial" w:hAnsi="Arial" w:cs="Arial"/>
        </w:rPr>
        <w:t xml:space="preserve"> de</w:t>
      </w:r>
      <w:r w:rsidR="00E47854" w:rsidRPr="00FA587B">
        <w:rPr>
          <w:rFonts w:ascii="Arial" w:hAnsi="Arial" w:cs="Arial"/>
        </w:rPr>
        <w:t xml:space="preserve"> </w:t>
      </w:r>
      <w:r w:rsidR="00283CCB" w:rsidRPr="00FA587B">
        <w:rPr>
          <w:rFonts w:ascii="Arial" w:hAnsi="Arial" w:cs="Arial"/>
        </w:rPr>
        <w:t>l</w:t>
      </w:r>
      <w:r w:rsidR="00E47854" w:rsidRPr="00FA587B">
        <w:rPr>
          <w:rFonts w:ascii="Arial" w:hAnsi="Arial" w:cs="Arial"/>
        </w:rPr>
        <w:t>a</w:t>
      </w:r>
      <w:r w:rsidR="00283CCB" w:rsidRPr="00FA587B">
        <w:rPr>
          <w:rFonts w:ascii="Arial" w:hAnsi="Arial" w:cs="Arial"/>
        </w:rPr>
        <w:t xml:space="preserve"> mism</w:t>
      </w:r>
      <w:r w:rsidR="007D6FAB" w:rsidRPr="00FA587B">
        <w:rPr>
          <w:rFonts w:ascii="Arial" w:hAnsi="Arial" w:cs="Arial"/>
        </w:rPr>
        <w:t>a fecha, el interventor pidió</w:t>
      </w:r>
      <w:r w:rsidR="00283CCB" w:rsidRPr="00FA587B">
        <w:rPr>
          <w:rFonts w:ascii="Arial" w:hAnsi="Arial" w:cs="Arial"/>
        </w:rPr>
        <w:t xml:space="preserve"> al contratista que </w:t>
      </w:r>
      <w:r w:rsidR="00867F7C" w:rsidRPr="00FA587B">
        <w:rPr>
          <w:rFonts w:ascii="Arial" w:hAnsi="Arial" w:cs="Arial"/>
        </w:rPr>
        <w:t xml:space="preserve">realizara los arreglos </w:t>
      </w:r>
      <w:r w:rsidR="00E47854" w:rsidRPr="00FA587B">
        <w:rPr>
          <w:rFonts w:ascii="Arial" w:hAnsi="Arial" w:cs="Arial"/>
        </w:rPr>
        <w:t xml:space="preserve">concernientes </w:t>
      </w:r>
      <w:r w:rsidR="00867F7C" w:rsidRPr="00FA587B">
        <w:rPr>
          <w:rFonts w:ascii="Arial" w:hAnsi="Arial" w:cs="Arial"/>
        </w:rPr>
        <w:t xml:space="preserve">a las cámaras y que </w:t>
      </w:r>
      <w:r w:rsidR="00283CCB" w:rsidRPr="00FA587B">
        <w:rPr>
          <w:rFonts w:ascii="Arial" w:hAnsi="Arial" w:cs="Arial"/>
        </w:rPr>
        <w:t>remitiera los documentos para que la ETB llevara a cabo la verificación de las obra</w:t>
      </w:r>
      <w:r w:rsidR="00867F7C" w:rsidRPr="00FA587B">
        <w:rPr>
          <w:rFonts w:ascii="Arial" w:hAnsi="Arial" w:cs="Arial"/>
        </w:rPr>
        <w:t>s</w:t>
      </w:r>
      <w:r w:rsidR="00283CCB" w:rsidRPr="00FA587B">
        <w:rPr>
          <w:rFonts w:ascii="Arial" w:hAnsi="Arial" w:cs="Arial"/>
        </w:rPr>
        <w:t xml:space="preserve"> y procediera a expedir el paz y salvo.</w:t>
      </w:r>
    </w:p>
    <w:p w:rsidR="00AB565D" w:rsidRPr="00FA587B" w:rsidRDefault="00AB565D" w:rsidP="00FA587B">
      <w:pPr>
        <w:tabs>
          <w:tab w:val="left" w:pos="4493"/>
        </w:tabs>
        <w:spacing w:line="360" w:lineRule="auto"/>
        <w:contextualSpacing/>
        <w:jc w:val="both"/>
        <w:rPr>
          <w:rFonts w:ascii="Arial" w:hAnsi="Arial" w:cs="Arial"/>
        </w:rPr>
      </w:pPr>
    </w:p>
    <w:p w:rsidR="00AB565D" w:rsidRPr="00FA587B" w:rsidRDefault="00AB565D" w:rsidP="00FA587B">
      <w:pPr>
        <w:tabs>
          <w:tab w:val="left" w:pos="4493"/>
        </w:tabs>
        <w:spacing w:line="360" w:lineRule="auto"/>
        <w:contextualSpacing/>
        <w:jc w:val="both"/>
        <w:rPr>
          <w:rFonts w:ascii="Arial" w:hAnsi="Arial" w:cs="Arial"/>
        </w:rPr>
      </w:pPr>
      <w:r w:rsidRPr="00FA587B">
        <w:rPr>
          <w:rFonts w:ascii="Arial" w:hAnsi="Arial" w:cs="Arial"/>
        </w:rPr>
        <w:t xml:space="preserve">Con todo, a pesar de las distintas solicitudes elevadas para que </w:t>
      </w:r>
      <w:r w:rsidR="00B85342" w:rsidRPr="00FA587B">
        <w:rPr>
          <w:rFonts w:ascii="Arial" w:hAnsi="Arial" w:cs="Arial"/>
        </w:rPr>
        <w:t>adelantara los trámites necesarios para obtener las constancias y documentos exigidos de par</w:t>
      </w:r>
      <w:r w:rsidR="00485C65" w:rsidRPr="00FA587B">
        <w:rPr>
          <w:rFonts w:ascii="Arial" w:hAnsi="Arial" w:cs="Arial"/>
        </w:rPr>
        <w:t>t</w:t>
      </w:r>
      <w:r w:rsidR="00B85342" w:rsidRPr="00FA587B">
        <w:rPr>
          <w:rFonts w:ascii="Arial" w:hAnsi="Arial" w:cs="Arial"/>
        </w:rPr>
        <w:t xml:space="preserve">e de las </w:t>
      </w:r>
      <w:r w:rsidR="00485C65" w:rsidRPr="00FA587B">
        <w:rPr>
          <w:rFonts w:ascii="Arial" w:hAnsi="Arial" w:cs="Arial"/>
        </w:rPr>
        <w:t>e</w:t>
      </w:r>
      <w:r w:rsidR="00B85342" w:rsidRPr="00FA587B">
        <w:rPr>
          <w:rFonts w:ascii="Arial" w:hAnsi="Arial" w:cs="Arial"/>
        </w:rPr>
        <w:t xml:space="preserve">mpresas de servicios públicos, no obra en el expediente elemento probatorio dirigido a demostrar que el contratista se </w:t>
      </w:r>
      <w:r w:rsidR="00485C65" w:rsidRPr="00FA587B">
        <w:rPr>
          <w:rFonts w:ascii="Arial" w:hAnsi="Arial" w:cs="Arial"/>
        </w:rPr>
        <w:t xml:space="preserve">hubiera </w:t>
      </w:r>
      <w:r w:rsidR="00B85342" w:rsidRPr="00FA587B">
        <w:rPr>
          <w:rFonts w:ascii="Arial" w:hAnsi="Arial" w:cs="Arial"/>
        </w:rPr>
        <w:t>allan</w:t>
      </w:r>
      <w:r w:rsidR="00485C65" w:rsidRPr="00FA587B">
        <w:rPr>
          <w:rFonts w:ascii="Arial" w:hAnsi="Arial" w:cs="Arial"/>
        </w:rPr>
        <w:t>ado</w:t>
      </w:r>
      <w:r w:rsidR="00B85342" w:rsidRPr="00FA587B">
        <w:rPr>
          <w:rFonts w:ascii="Arial" w:hAnsi="Arial" w:cs="Arial"/>
        </w:rPr>
        <w:t xml:space="preserve"> a su </w:t>
      </w:r>
      <w:r w:rsidR="00485C65" w:rsidRPr="00FA587B">
        <w:rPr>
          <w:rFonts w:ascii="Arial" w:hAnsi="Arial" w:cs="Arial"/>
        </w:rPr>
        <w:t>cumplimiento</w:t>
      </w:r>
      <w:r w:rsidR="00B85342" w:rsidRPr="00FA587B">
        <w:rPr>
          <w:rFonts w:ascii="Arial" w:hAnsi="Arial" w:cs="Arial"/>
        </w:rPr>
        <w:t xml:space="preserve">. </w:t>
      </w:r>
    </w:p>
    <w:p w:rsidR="00485C65" w:rsidRPr="00FA587B" w:rsidRDefault="00485C65" w:rsidP="00FA587B">
      <w:pPr>
        <w:tabs>
          <w:tab w:val="left" w:pos="4493"/>
        </w:tabs>
        <w:spacing w:line="360" w:lineRule="auto"/>
        <w:contextualSpacing/>
        <w:jc w:val="both"/>
        <w:rPr>
          <w:rFonts w:ascii="Arial" w:hAnsi="Arial" w:cs="Arial"/>
        </w:rPr>
      </w:pPr>
    </w:p>
    <w:p w:rsidR="00485C65" w:rsidRPr="00FA587B" w:rsidRDefault="00485C65" w:rsidP="00FA587B">
      <w:pPr>
        <w:tabs>
          <w:tab w:val="left" w:pos="4493"/>
        </w:tabs>
        <w:spacing w:line="360" w:lineRule="auto"/>
        <w:contextualSpacing/>
        <w:jc w:val="both"/>
        <w:rPr>
          <w:rFonts w:ascii="Arial" w:hAnsi="Arial" w:cs="Arial"/>
        </w:rPr>
      </w:pPr>
      <w:r w:rsidRPr="00FA587B">
        <w:rPr>
          <w:rFonts w:ascii="Arial" w:hAnsi="Arial" w:cs="Arial"/>
        </w:rPr>
        <w:t xml:space="preserve">Así pues, la Sala no encuentra que en el sublite se hubiera configurado el supuesto fáctico previsto contractualmente por las partes, cuya satisfacción </w:t>
      </w:r>
      <w:r w:rsidR="007131D6" w:rsidRPr="00FA587B">
        <w:rPr>
          <w:rFonts w:ascii="Arial" w:hAnsi="Arial" w:cs="Arial"/>
        </w:rPr>
        <w:t xml:space="preserve">concernía </w:t>
      </w:r>
      <w:r w:rsidRPr="00FA587B">
        <w:rPr>
          <w:rFonts w:ascii="Arial" w:hAnsi="Arial" w:cs="Arial"/>
        </w:rPr>
        <w:t>al contratista, para exigir al IDU el reconocimiento y pago del 5% del valor final del contrato, por lo que la pretensión que en es</w:t>
      </w:r>
      <w:r w:rsidR="007D6FAB" w:rsidRPr="00FA587B">
        <w:rPr>
          <w:rFonts w:ascii="Arial" w:hAnsi="Arial" w:cs="Arial"/>
        </w:rPr>
        <w:t>e sentido se invocó está llamada</w:t>
      </w:r>
      <w:r w:rsidRPr="00FA587B">
        <w:rPr>
          <w:rFonts w:ascii="Arial" w:hAnsi="Arial" w:cs="Arial"/>
        </w:rPr>
        <w:t xml:space="preserve"> al fracaso.  </w:t>
      </w:r>
    </w:p>
    <w:p w:rsidR="007131D6" w:rsidRPr="00FA587B" w:rsidRDefault="007131D6" w:rsidP="00FA587B">
      <w:pPr>
        <w:spacing w:line="360" w:lineRule="auto"/>
        <w:jc w:val="both"/>
        <w:rPr>
          <w:rFonts w:ascii="Arial" w:hAnsi="Arial" w:cs="Arial"/>
          <w:b/>
        </w:rPr>
      </w:pPr>
    </w:p>
    <w:p w:rsidR="007131D6" w:rsidRPr="00FA587B" w:rsidRDefault="00431E59" w:rsidP="00FA587B">
      <w:pPr>
        <w:spacing w:line="360" w:lineRule="auto"/>
        <w:jc w:val="both"/>
        <w:rPr>
          <w:rFonts w:ascii="Arial" w:hAnsi="Arial" w:cs="Arial"/>
          <w:b/>
        </w:rPr>
      </w:pPr>
      <w:r w:rsidRPr="00FA587B">
        <w:rPr>
          <w:rFonts w:ascii="Arial" w:hAnsi="Arial" w:cs="Arial"/>
          <w:b/>
        </w:rPr>
        <w:t>4.4</w:t>
      </w:r>
      <w:r w:rsidR="00272BE9" w:rsidRPr="00FA587B">
        <w:rPr>
          <w:rFonts w:ascii="Arial" w:hAnsi="Arial" w:cs="Arial"/>
          <w:b/>
        </w:rPr>
        <w:t>.-</w:t>
      </w:r>
      <w:r w:rsidRPr="00FA587B">
        <w:rPr>
          <w:rFonts w:ascii="Arial" w:hAnsi="Arial" w:cs="Arial"/>
          <w:b/>
        </w:rPr>
        <w:t xml:space="preserve"> </w:t>
      </w:r>
      <w:r w:rsidR="007131D6" w:rsidRPr="00FA587B">
        <w:rPr>
          <w:rFonts w:ascii="Arial" w:hAnsi="Arial" w:cs="Arial"/>
          <w:b/>
        </w:rPr>
        <w:t>De la pretensión de liquidación judicial del contrato</w:t>
      </w:r>
    </w:p>
    <w:p w:rsidR="007131D6" w:rsidRPr="00FA587B" w:rsidRDefault="007131D6" w:rsidP="00FA587B">
      <w:pPr>
        <w:spacing w:line="360" w:lineRule="auto"/>
        <w:jc w:val="both"/>
        <w:rPr>
          <w:rFonts w:ascii="Arial" w:hAnsi="Arial" w:cs="Arial"/>
          <w:b/>
        </w:rPr>
      </w:pPr>
    </w:p>
    <w:p w:rsidR="007131D6" w:rsidRPr="00FA587B" w:rsidRDefault="007131D6" w:rsidP="00FA587B">
      <w:pPr>
        <w:spacing w:line="360" w:lineRule="auto"/>
        <w:jc w:val="both"/>
        <w:rPr>
          <w:rFonts w:ascii="Arial" w:hAnsi="Arial" w:cs="Arial"/>
        </w:rPr>
      </w:pPr>
      <w:r w:rsidRPr="00FA587B">
        <w:rPr>
          <w:rFonts w:ascii="Arial" w:hAnsi="Arial" w:cs="Arial"/>
        </w:rPr>
        <w:t xml:space="preserve">La Sala estima necesario precisar que en la demanda se formuló expresamente la pretensión encaminada a obtener la liquidación judicial del </w:t>
      </w:r>
      <w:r w:rsidR="00011697" w:rsidRPr="00FA587B">
        <w:rPr>
          <w:rFonts w:ascii="Arial" w:hAnsi="Arial" w:cs="Arial"/>
        </w:rPr>
        <w:t>contrato</w:t>
      </w:r>
      <w:r w:rsidRPr="00FA587B">
        <w:rPr>
          <w:rFonts w:ascii="Arial" w:hAnsi="Arial" w:cs="Arial"/>
        </w:rPr>
        <w:t xml:space="preserve"> y al no existir constancia de su liquidación por las partes o por la entidad contratante, esta petición, en principio, resultaría procedente.</w:t>
      </w:r>
    </w:p>
    <w:p w:rsidR="007131D6" w:rsidRPr="00FA587B" w:rsidRDefault="007131D6" w:rsidP="00FA587B">
      <w:pPr>
        <w:spacing w:line="360" w:lineRule="auto"/>
        <w:jc w:val="both"/>
        <w:rPr>
          <w:rFonts w:ascii="Arial" w:hAnsi="Arial" w:cs="Arial"/>
        </w:rPr>
      </w:pPr>
    </w:p>
    <w:p w:rsidR="007131D6" w:rsidRPr="00FA587B" w:rsidRDefault="007131D6" w:rsidP="00FA587B">
      <w:pPr>
        <w:spacing w:line="360" w:lineRule="auto"/>
        <w:jc w:val="both"/>
        <w:rPr>
          <w:rFonts w:ascii="Arial" w:hAnsi="Arial" w:cs="Arial"/>
        </w:rPr>
      </w:pPr>
      <w:r w:rsidRPr="00FA587B">
        <w:rPr>
          <w:rFonts w:ascii="Arial" w:hAnsi="Arial" w:cs="Arial"/>
        </w:rPr>
        <w:lastRenderedPageBreak/>
        <w:t>Sin embargo, esta instancia no cuenta con elementos de juicio suficientes para determinar el cru</w:t>
      </w:r>
      <w:r w:rsidR="00011697" w:rsidRPr="00FA587B">
        <w:rPr>
          <w:rFonts w:ascii="Arial" w:hAnsi="Arial" w:cs="Arial"/>
        </w:rPr>
        <w:t>ce final de cuentas del Contrato No. 193 de 2005</w:t>
      </w:r>
      <w:r w:rsidRPr="00FA587B">
        <w:rPr>
          <w:rFonts w:ascii="Arial" w:hAnsi="Arial" w:cs="Arial"/>
        </w:rPr>
        <w:t>, pues, se desconoce en qué proporción fue ejecutado el objeto contractual y qué sumas verdaderamente se adeudan entre las partes. Por esta razón, la Sala se abstendrá de liquidarlo judicialmente.</w:t>
      </w:r>
    </w:p>
    <w:p w:rsidR="00113948" w:rsidRPr="00FA587B" w:rsidRDefault="00113948" w:rsidP="00FA587B">
      <w:pPr>
        <w:spacing w:line="360" w:lineRule="auto"/>
        <w:contextualSpacing/>
        <w:jc w:val="both"/>
        <w:rPr>
          <w:rFonts w:ascii="Arial" w:hAnsi="Arial" w:cs="Arial"/>
          <w:u w:val="single"/>
        </w:rPr>
      </w:pPr>
    </w:p>
    <w:p w:rsidR="00011697" w:rsidRPr="00FA587B" w:rsidRDefault="00011697" w:rsidP="00FA587B">
      <w:pPr>
        <w:spacing w:line="360" w:lineRule="auto"/>
        <w:contextualSpacing/>
        <w:jc w:val="both"/>
        <w:rPr>
          <w:rFonts w:ascii="Arial" w:hAnsi="Arial" w:cs="Arial"/>
          <w:u w:val="single"/>
        </w:rPr>
      </w:pPr>
      <w:r w:rsidRPr="00FA587B">
        <w:rPr>
          <w:rFonts w:ascii="Arial" w:hAnsi="Arial" w:cs="Arial"/>
          <w:u w:val="single"/>
        </w:rPr>
        <w:t>Conclusión</w:t>
      </w:r>
    </w:p>
    <w:p w:rsidR="008E71D3" w:rsidRPr="00FA587B" w:rsidRDefault="008E71D3" w:rsidP="00FA587B">
      <w:pPr>
        <w:spacing w:line="360" w:lineRule="auto"/>
        <w:contextualSpacing/>
        <w:jc w:val="both"/>
        <w:rPr>
          <w:rFonts w:ascii="Arial" w:hAnsi="Arial" w:cs="Arial"/>
          <w:u w:val="single"/>
        </w:rPr>
      </w:pPr>
    </w:p>
    <w:p w:rsidR="00011697" w:rsidRPr="00FA587B" w:rsidRDefault="00011697" w:rsidP="00FA587B">
      <w:pPr>
        <w:spacing w:line="360" w:lineRule="auto"/>
        <w:contextualSpacing/>
        <w:jc w:val="both"/>
        <w:rPr>
          <w:rFonts w:ascii="Arial" w:hAnsi="Arial" w:cs="Arial"/>
        </w:rPr>
      </w:pPr>
      <w:r w:rsidRPr="00FA587B">
        <w:rPr>
          <w:rFonts w:ascii="Arial" w:hAnsi="Arial" w:cs="Arial"/>
        </w:rPr>
        <w:t>Como consecuencia de todo lo expuesto, la Sala revocará la sentencia de primera instancia</w:t>
      </w:r>
      <w:r w:rsidR="00B85CCA" w:rsidRPr="00FA587B">
        <w:rPr>
          <w:rFonts w:ascii="Arial" w:hAnsi="Arial" w:cs="Arial"/>
        </w:rPr>
        <w:t>,</w:t>
      </w:r>
      <w:r w:rsidRPr="00FA587B">
        <w:rPr>
          <w:rFonts w:ascii="Arial" w:hAnsi="Arial" w:cs="Arial"/>
        </w:rPr>
        <w:t xml:space="preserve"> para en su lugar negar las pretensiones de la demanda. </w:t>
      </w:r>
    </w:p>
    <w:p w:rsidR="007131D6" w:rsidRPr="00FA587B" w:rsidRDefault="007131D6" w:rsidP="00FA587B">
      <w:pPr>
        <w:spacing w:line="360" w:lineRule="auto"/>
        <w:contextualSpacing/>
        <w:jc w:val="both"/>
        <w:rPr>
          <w:rFonts w:ascii="Arial" w:hAnsi="Arial" w:cs="Arial"/>
          <w:b/>
        </w:rPr>
      </w:pPr>
    </w:p>
    <w:p w:rsidR="00390707" w:rsidRPr="00FA587B" w:rsidRDefault="00A31153" w:rsidP="00FA587B">
      <w:pPr>
        <w:spacing w:line="360" w:lineRule="auto"/>
        <w:contextualSpacing/>
        <w:jc w:val="both"/>
        <w:rPr>
          <w:rFonts w:ascii="Arial" w:hAnsi="Arial" w:cs="Arial"/>
        </w:rPr>
      </w:pPr>
      <w:r w:rsidRPr="00FA587B">
        <w:rPr>
          <w:rFonts w:ascii="Arial" w:hAnsi="Arial" w:cs="Arial"/>
          <w:b/>
        </w:rPr>
        <w:t>5</w:t>
      </w:r>
      <w:r w:rsidR="00431E59" w:rsidRPr="00FA587B">
        <w:rPr>
          <w:rFonts w:ascii="Arial" w:hAnsi="Arial" w:cs="Arial"/>
          <w:b/>
        </w:rPr>
        <w:t>.-</w:t>
      </w:r>
      <w:r w:rsidR="00390707" w:rsidRPr="00FA587B">
        <w:rPr>
          <w:rFonts w:ascii="Arial" w:hAnsi="Arial" w:cs="Arial"/>
          <w:b/>
        </w:rPr>
        <w:t xml:space="preserve"> Costas </w:t>
      </w:r>
    </w:p>
    <w:p w:rsidR="00390707" w:rsidRPr="00FA587B" w:rsidRDefault="00390707" w:rsidP="00FA587B">
      <w:pPr>
        <w:spacing w:line="360" w:lineRule="auto"/>
        <w:jc w:val="both"/>
        <w:rPr>
          <w:rFonts w:ascii="Arial" w:hAnsi="Arial" w:cs="Arial"/>
          <w:bCs/>
        </w:rPr>
      </w:pPr>
    </w:p>
    <w:p w:rsidR="00390707" w:rsidRPr="00FA587B" w:rsidRDefault="00390707" w:rsidP="00FA587B">
      <w:pPr>
        <w:spacing w:line="360" w:lineRule="auto"/>
        <w:jc w:val="both"/>
        <w:rPr>
          <w:rFonts w:ascii="Arial" w:hAnsi="Arial" w:cs="Arial"/>
          <w:bCs/>
        </w:rPr>
      </w:pPr>
      <w:r w:rsidRPr="00FA587B">
        <w:rPr>
          <w:rFonts w:ascii="Arial" w:hAnsi="Arial" w:cs="Arial"/>
          <w:bCs/>
        </w:rPr>
        <w:t>De conformidad con lo previsto en la Ley 446 de 1998, en este asunto no hay lugar a la imposición de costas</w:t>
      </w:r>
      <w:r w:rsidR="002C07E4" w:rsidRPr="00FA587B">
        <w:rPr>
          <w:rFonts w:ascii="Arial" w:hAnsi="Arial" w:cs="Arial"/>
          <w:bCs/>
        </w:rPr>
        <w:t>,</w:t>
      </w:r>
      <w:r w:rsidRPr="00FA587B">
        <w:rPr>
          <w:rFonts w:ascii="Arial" w:hAnsi="Arial" w:cs="Arial"/>
          <w:bCs/>
        </w:rPr>
        <w:t xml:space="preserve"> por cuanto no se evidencia en el subexamine que alguna de las partes hubiere actuado temerariamente.</w:t>
      </w:r>
    </w:p>
    <w:p w:rsidR="00390707" w:rsidRPr="00FA587B" w:rsidRDefault="00390707" w:rsidP="00FA587B">
      <w:pPr>
        <w:autoSpaceDN w:val="0"/>
        <w:spacing w:line="360" w:lineRule="auto"/>
        <w:jc w:val="both"/>
        <w:rPr>
          <w:rFonts w:ascii="Arial" w:hAnsi="Arial" w:cs="Arial"/>
          <w:u w:val="single"/>
        </w:rPr>
      </w:pPr>
    </w:p>
    <w:p w:rsidR="00390707" w:rsidRPr="00FA587B" w:rsidRDefault="00390707" w:rsidP="00FA587B">
      <w:pPr>
        <w:numPr>
          <w:ilvl w:val="12"/>
          <w:numId w:val="0"/>
        </w:numPr>
        <w:spacing w:line="360" w:lineRule="auto"/>
        <w:jc w:val="both"/>
        <w:rPr>
          <w:rFonts w:ascii="Arial" w:hAnsi="Arial" w:cs="Arial"/>
        </w:rPr>
      </w:pPr>
      <w:r w:rsidRPr="00FA587B">
        <w:rPr>
          <w:rFonts w:ascii="Arial" w:hAnsi="Arial" w:cs="Arial"/>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FA587B">
          <w:rPr>
            <w:rFonts w:ascii="Arial" w:hAnsi="Arial" w:cs="Arial"/>
          </w:rPr>
          <w:t>la República</w:t>
        </w:r>
      </w:smartTag>
      <w:r w:rsidRPr="00FA587B">
        <w:rPr>
          <w:rFonts w:ascii="Arial" w:hAnsi="Arial" w:cs="Arial"/>
        </w:rPr>
        <w:t xml:space="preserve"> de Colombia y por autoridad de la ley,</w:t>
      </w:r>
    </w:p>
    <w:p w:rsidR="002557D1" w:rsidRPr="00FA587B" w:rsidRDefault="002557D1" w:rsidP="00FA587B">
      <w:pPr>
        <w:spacing w:line="360" w:lineRule="auto"/>
        <w:jc w:val="both"/>
        <w:rPr>
          <w:rFonts w:ascii="Arial" w:hAnsi="Arial" w:cs="Arial"/>
          <w:lang w:val="es-CO"/>
        </w:rPr>
      </w:pPr>
    </w:p>
    <w:p w:rsidR="00390707" w:rsidRPr="00FA587B" w:rsidRDefault="00390707" w:rsidP="00FA587B">
      <w:pPr>
        <w:keepNext/>
        <w:spacing w:line="360" w:lineRule="auto"/>
        <w:jc w:val="center"/>
        <w:outlineLvl w:val="4"/>
        <w:rPr>
          <w:rFonts w:ascii="Arial" w:hAnsi="Arial" w:cs="Arial"/>
          <w:b/>
          <w:bCs/>
          <w:lang w:val="x-none"/>
        </w:rPr>
      </w:pPr>
      <w:r w:rsidRPr="00FA587B">
        <w:rPr>
          <w:rFonts w:ascii="Arial" w:hAnsi="Arial" w:cs="Arial"/>
          <w:b/>
          <w:bCs/>
          <w:lang w:val="x-none"/>
        </w:rPr>
        <w:t>F A L L A</w:t>
      </w:r>
    </w:p>
    <w:p w:rsidR="00B85CCA" w:rsidRPr="00FA587B" w:rsidRDefault="00B85CCA" w:rsidP="00FA587B">
      <w:pPr>
        <w:keepNext/>
        <w:spacing w:line="360" w:lineRule="auto"/>
        <w:jc w:val="center"/>
        <w:outlineLvl w:val="4"/>
        <w:rPr>
          <w:rFonts w:ascii="Arial" w:hAnsi="Arial" w:cs="Arial"/>
          <w:b/>
          <w:bCs/>
          <w:lang w:val="x-none"/>
        </w:rPr>
      </w:pPr>
    </w:p>
    <w:p w:rsidR="00390707" w:rsidRPr="00FA587B" w:rsidRDefault="001143BC" w:rsidP="00FA587B">
      <w:pPr>
        <w:widowControl w:val="0"/>
        <w:autoSpaceDE w:val="0"/>
        <w:autoSpaceDN w:val="0"/>
        <w:adjustRightInd w:val="0"/>
        <w:spacing w:line="360" w:lineRule="auto"/>
        <w:jc w:val="both"/>
        <w:rPr>
          <w:rFonts w:ascii="Arial" w:hAnsi="Arial" w:cs="Arial"/>
        </w:rPr>
      </w:pPr>
      <w:r w:rsidRPr="00FA587B">
        <w:rPr>
          <w:rFonts w:ascii="Arial" w:hAnsi="Arial" w:cs="Arial"/>
          <w:b/>
        </w:rPr>
        <w:t xml:space="preserve">1.- </w:t>
      </w:r>
      <w:r w:rsidR="0000349F" w:rsidRPr="00FA587B">
        <w:rPr>
          <w:rFonts w:ascii="Arial" w:hAnsi="Arial" w:cs="Arial"/>
          <w:b/>
        </w:rPr>
        <w:t>REVOCAR</w:t>
      </w:r>
      <w:r w:rsidR="00390707" w:rsidRPr="00FA587B">
        <w:rPr>
          <w:rFonts w:ascii="Arial" w:hAnsi="Arial" w:cs="Arial"/>
        </w:rPr>
        <w:t>,</w:t>
      </w:r>
      <w:r w:rsidR="00390707" w:rsidRPr="00FA587B">
        <w:rPr>
          <w:rFonts w:ascii="Arial" w:hAnsi="Arial" w:cs="Arial"/>
          <w:b/>
        </w:rPr>
        <w:t xml:space="preserve"> </w:t>
      </w:r>
      <w:r w:rsidR="00390707" w:rsidRPr="00FA587B">
        <w:rPr>
          <w:rFonts w:ascii="Arial" w:hAnsi="Arial" w:cs="Arial"/>
        </w:rPr>
        <w:t>por las razones expuestas,</w:t>
      </w:r>
      <w:r w:rsidR="00390707" w:rsidRPr="00FA587B">
        <w:rPr>
          <w:rFonts w:ascii="Arial" w:hAnsi="Arial" w:cs="Arial"/>
          <w:b/>
        </w:rPr>
        <w:t xml:space="preserve"> </w:t>
      </w:r>
      <w:r w:rsidR="00390707" w:rsidRPr="00FA587B">
        <w:rPr>
          <w:rFonts w:ascii="Arial" w:hAnsi="Arial" w:cs="Arial"/>
        </w:rPr>
        <w:t>la sentencia prof</w:t>
      </w:r>
      <w:r w:rsidR="0000349F" w:rsidRPr="00FA587B">
        <w:rPr>
          <w:rFonts w:ascii="Arial" w:hAnsi="Arial" w:cs="Arial"/>
        </w:rPr>
        <w:t xml:space="preserve">erida el treinta (30) de enero </w:t>
      </w:r>
      <w:r w:rsidR="00C72577" w:rsidRPr="00FA587B">
        <w:rPr>
          <w:rFonts w:ascii="Arial" w:hAnsi="Arial" w:cs="Arial"/>
        </w:rPr>
        <w:t>de dos mil catorce (2014</w:t>
      </w:r>
      <w:r w:rsidR="00390707" w:rsidRPr="00FA587B">
        <w:rPr>
          <w:rFonts w:ascii="Arial" w:hAnsi="Arial" w:cs="Arial"/>
        </w:rPr>
        <w:t>) por el Tribunal Administrativo de Cundinamarc</w:t>
      </w:r>
      <w:r w:rsidR="00F06822" w:rsidRPr="00FA587B">
        <w:rPr>
          <w:rFonts w:ascii="Arial" w:hAnsi="Arial" w:cs="Arial"/>
        </w:rPr>
        <w:t>a- Sección Tercera- Subsección C de Descongestión y en su lugar se dispone</w:t>
      </w:r>
      <w:r w:rsidR="002C07E4" w:rsidRPr="00FA587B">
        <w:rPr>
          <w:rFonts w:ascii="Arial" w:hAnsi="Arial" w:cs="Arial"/>
        </w:rPr>
        <w:t>.</w:t>
      </w:r>
    </w:p>
    <w:p w:rsidR="00390707" w:rsidRPr="00FA587B" w:rsidRDefault="00390707" w:rsidP="00FA587B">
      <w:pPr>
        <w:widowControl w:val="0"/>
        <w:autoSpaceDE w:val="0"/>
        <w:autoSpaceDN w:val="0"/>
        <w:adjustRightInd w:val="0"/>
        <w:spacing w:line="276" w:lineRule="auto"/>
        <w:jc w:val="both"/>
        <w:rPr>
          <w:rFonts w:ascii="Arial" w:hAnsi="Arial" w:cs="Arial"/>
          <w:b/>
          <w:i/>
        </w:rPr>
      </w:pPr>
    </w:p>
    <w:p w:rsidR="0000349F" w:rsidRPr="00FA587B" w:rsidRDefault="001143BC" w:rsidP="00FA587B">
      <w:pPr>
        <w:widowControl w:val="0"/>
        <w:autoSpaceDE w:val="0"/>
        <w:autoSpaceDN w:val="0"/>
        <w:adjustRightInd w:val="0"/>
        <w:spacing w:line="276" w:lineRule="auto"/>
        <w:jc w:val="both"/>
        <w:rPr>
          <w:rFonts w:ascii="Arial" w:hAnsi="Arial" w:cs="Arial"/>
          <w:i/>
        </w:rPr>
      </w:pPr>
      <w:r w:rsidRPr="00FA587B">
        <w:rPr>
          <w:rFonts w:ascii="Arial" w:hAnsi="Arial" w:cs="Arial"/>
          <w:i/>
        </w:rPr>
        <w:t>“NEGAR LAS PRETENSIONES DE LA DEMANDA”.</w:t>
      </w:r>
    </w:p>
    <w:p w:rsidR="00F06822" w:rsidRPr="00FA587B" w:rsidRDefault="00F06822" w:rsidP="00FA587B">
      <w:pPr>
        <w:widowControl w:val="0"/>
        <w:autoSpaceDE w:val="0"/>
        <w:autoSpaceDN w:val="0"/>
        <w:adjustRightInd w:val="0"/>
        <w:spacing w:line="276" w:lineRule="auto"/>
        <w:jc w:val="both"/>
        <w:rPr>
          <w:rFonts w:ascii="Arial" w:hAnsi="Arial" w:cs="Arial"/>
          <w:b/>
        </w:rPr>
      </w:pPr>
    </w:p>
    <w:p w:rsidR="00390707" w:rsidRPr="00FA587B" w:rsidRDefault="00390707" w:rsidP="00FA587B">
      <w:pPr>
        <w:widowControl w:val="0"/>
        <w:autoSpaceDE w:val="0"/>
        <w:autoSpaceDN w:val="0"/>
        <w:adjustRightInd w:val="0"/>
        <w:spacing w:line="276" w:lineRule="auto"/>
        <w:jc w:val="both"/>
        <w:rPr>
          <w:rFonts w:ascii="Arial" w:hAnsi="Arial" w:cs="Arial"/>
        </w:rPr>
      </w:pPr>
      <w:r w:rsidRPr="00FA587B">
        <w:rPr>
          <w:rFonts w:ascii="Arial" w:hAnsi="Arial" w:cs="Arial"/>
          <w:b/>
        </w:rPr>
        <w:t>2.-</w:t>
      </w:r>
      <w:r w:rsidR="001032CE" w:rsidRPr="00FA587B">
        <w:rPr>
          <w:rFonts w:ascii="Arial" w:hAnsi="Arial" w:cs="Arial"/>
          <w:b/>
        </w:rPr>
        <w:t xml:space="preserve"> </w:t>
      </w:r>
      <w:r w:rsidRPr="00FA587B">
        <w:rPr>
          <w:rFonts w:ascii="Arial" w:hAnsi="Arial" w:cs="Arial"/>
        </w:rPr>
        <w:t xml:space="preserve">Sin condena en costas. </w:t>
      </w:r>
    </w:p>
    <w:p w:rsidR="00E91A66" w:rsidRPr="00FA587B" w:rsidRDefault="00E91A66" w:rsidP="00FA587B">
      <w:pPr>
        <w:widowControl w:val="0"/>
        <w:autoSpaceDE w:val="0"/>
        <w:autoSpaceDN w:val="0"/>
        <w:adjustRightInd w:val="0"/>
        <w:spacing w:line="360" w:lineRule="auto"/>
        <w:jc w:val="both"/>
        <w:rPr>
          <w:rFonts w:ascii="Arial" w:hAnsi="Arial" w:cs="Arial"/>
          <w:b/>
        </w:rPr>
      </w:pPr>
    </w:p>
    <w:p w:rsidR="00390707" w:rsidRPr="00FA587B" w:rsidRDefault="00390707" w:rsidP="00FA587B">
      <w:pPr>
        <w:widowControl w:val="0"/>
        <w:autoSpaceDE w:val="0"/>
        <w:autoSpaceDN w:val="0"/>
        <w:adjustRightInd w:val="0"/>
        <w:spacing w:line="360" w:lineRule="auto"/>
        <w:jc w:val="both"/>
        <w:rPr>
          <w:rFonts w:ascii="Arial" w:hAnsi="Arial" w:cs="Arial"/>
        </w:rPr>
      </w:pPr>
      <w:r w:rsidRPr="00FA587B">
        <w:rPr>
          <w:rFonts w:ascii="Arial" w:hAnsi="Arial" w:cs="Arial"/>
          <w:b/>
        </w:rPr>
        <w:t xml:space="preserve">3.- </w:t>
      </w:r>
      <w:r w:rsidRPr="00FA587B">
        <w:rPr>
          <w:rFonts w:ascii="Arial" w:hAnsi="Arial" w:cs="Arial"/>
        </w:rPr>
        <w:t>En firme esta providencia, devuélvase el expediente al Tribunal de origen.</w:t>
      </w:r>
    </w:p>
    <w:p w:rsidR="0089009B" w:rsidRPr="00FA587B" w:rsidRDefault="0089009B" w:rsidP="00FA587B">
      <w:pPr>
        <w:widowControl w:val="0"/>
        <w:autoSpaceDE w:val="0"/>
        <w:autoSpaceDN w:val="0"/>
        <w:adjustRightInd w:val="0"/>
        <w:spacing w:line="360" w:lineRule="auto"/>
        <w:jc w:val="both"/>
        <w:rPr>
          <w:rFonts w:ascii="Arial" w:hAnsi="Arial" w:cs="Arial"/>
        </w:rPr>
      </w:pPr>
    </w:p>
    <w:p w:rsidR="00390707" w:rsidRPr="00FA587B" w:rsidRDefault="00390707" w:rsidP="00FA587B">
      <w:pPr>
        <w:jc w:val="center"/>
        <w:rPr>
          <w:rFonts w:ascii="Arial" w:hAnsi="Arial" w:cs="Arial"/>
          <w:b/>
          <w:bCs/>
          <w:noProof/>
        </w:rPr>
      </w:pPr>
      <w:r w:rsidRPr="00FA587B">
        <w:rPr>
          <w:rFonts w:ascii="Arial" w:hAnsi="Arial" w:cs="Arial"/>
          <w:b/>
          <w:bCs/>
          <w:noProof/>
        </w:rPr>
        <w:t>CÓPIESE, NOTIFÍQUESE, PUBLÍQUESE Y CÚMPLASE</w:t>
      </w:r>
    </w:p>
    <w:p w:rsidR="00390707" w:rsidRPr="00FA587B" w:rsidRDefault="00390707" w:rsidP="00FA587B">
      <w:pPr>
        <w:widowControl w:val="0"/>
        <w:autoSpaceDE w:val="0"/>
        <w:autoSpaceDN w:val="0"/>
        <w:adjustRightInd w:val="0"/>
        <w:jc w:val="center"/>
        <w:rPr>
          <w:rFonts w:ascii="Arial" w:hAnsi="Arial" w:cs="Arial"/>
          <w:b/>
        </w:rPr>
      </w:pPr>
    </w:p>
    <w:p w:rsidR="00390707" w:rsidRPr="00FA587B" w:rsidRDefault="00390707" w:rsidP="00FA587B">
      <w:pPr>
        <w:widowControl w:val="0"/>
        <w:autoSpaceDE w:val="0"/>
        <w:autoSpaceDN w:val="0"/>
        <w:adjustRightInd w:val="0"/>
        <w:jc w:val="center"/>
        <w:rPr>
          <w:rFonts w:ascii="Arial" w:hAnsi="Arial" w:cs="Arial"/>
          <w:b/>
        </w:rPr>
      </w:pPr>
    </w:p>
    <w:p w:rsidR="00CC2FCB" w:rsidRPr="00FA587B" w:rsidRDefault="00CC2FCB" w:rsidP="00FA587B">
      <w:pPr>
        <w:widowControl w:val="0"/>
        <w:autoSpaceDE w:val="0"/>
        <w:autoSpaceDN w:val="0"/>
        <w:adjustRightInd w:val="0"/>
        <w:jc w:val="center"/>
        <w:rPr>
          <w:rFonts w:ascii="Arial" w:hAnsi="Arial" w:cs="Arial"/>
          <w:b/>
        </w:rPr>
      </w:pPr>
    </w:p>
    <w:p w:rsidR="00CC2FCB" w:rsidRPr="00FA587B" w:rsidRDefault="00390707" w:rsidP="00FA587B">
      <w:pPr>
        <w:widowControl w:val="0"/>
        <w:autoSpaceDE w:val="0"/>
        <w:autoSpaceDN w:val="0"/>
        <w:adjustRightInd w:val="0"/>
        <w:jc w:val="center"/>
        <w:rPr>
          <w:rFonts w:ascii="Arial" w:hAnsi="Arial" w:cs="Arial"/>
          <w:b/>
        </w:rPr>
      </w:pPr>
      <w:r w:rsidRPr="00FA587B">
        <w:rPr>
          <w:rFonts w:ascii="Arial" w:hAnsi="Arial" w:cs="Arial"/>
          <w:b/>
        </w:rPr>
        <w:t>HERNÁN ANDRADE RINCÓN</w:t>
      </w:r>
    </w:p>
    <w:p w:rsidR="00CC2FCB" w:rsidRPr="00FA587B" w:rsidRDefault="00CC2FCB" w:rsidP="00FA587B">
      <w:pPr>
        <w:widowControl w:val="0"/>
        <w:autoSpaceDE w:val="0"/>
        <w:autoSpaceDN w:val="0"/>
        <w:adjustRightInd w:val="0"/>
        <w:jc w:val="center"/>
        <w:rPr>
          <w:rFonts w:ascii="Arial" w:hAnsi="Arial" w:cs="Arial"/>
          <w:b/>
        </w:rPr>
      </w:pPr>
    </w:p>
    <w:p w:rsidR="00CC2FCB" w:rsidRPr="00FA587B" w:rsidRDefault="00CC2FCB" w:rsidP="00FA587B">
      <w:pPr>
        <w:widowControl w:val="0"/>
        <w:autoSpaceDE w:val="0"/>
        <w:autoSpaceDN w:val="0"/>
        <w:adjustRightInd w:val="0"/>
        <w:jc w:val="center"/>
        <w:rPr>
          <w:rFonts w:ascii="Arial" w:hAnsi="Arial" w:cs="Arial"/>
          <w:b/>
        </w:rPr>
      </w:pPr>
    </w:p>
    <w:p w:rsidR="00CC2FCB" w:rsidRPr="00FA587B" w:rsidRDefault="00CC2FCB" w:rsidP="00FA587B">
      <w:pPr>
        <w:widowControl w:val="0"/>
        <w:autoSpaceDE w:val="0"/>
        <w:autoSpaceDN w:val="0"/>
        <w:adjustRightInd w:val="0"/>
        <w:jc w:val="center"/>
        <w:rPr>
          <w:rFonts w:ascii="Arial" w:hAnsi="Arial" w:cs="Arial"/>
          <w:b/>
        </w:rPr>
      </w:pPr>
    </w:p>
    <w:p w:rsidR="00390707" w:rsidRPr="00FA587B" w:rsidRDefault="00390707" w:rsidP="00FA587B">
      <w:pPr>
        <w:widowControl w:val="0"/>
        <w:autoSpaceDE w:val="0"/>
        <w:autoSpaceDN w:val="0"/>
        <w:adjustRightInd w:val="0"/>
        <w:jc w:val="center"/>
        <w:rPr>
          <w:rFonts w:ascii="Arial" w:hAnsi="Arial" w:cs="Arial"/>
          <w:b/>
        </w:rPr>
      </w:pPr>
      <w:r w:rsidRPr="00FA587B">
        <w:rPr>
          <w:rFonts w:ascii="Arial" w:hAnsi="Arial" w:cs="Arial"/>
          <w:b/>
        </w:rPr>
        <w:t>MARTA NUBIA VELÁSQUEZ RICO</w:t>
      </w:r>
    </w:p>
    <w:p w:rsidR="00390707" w:rsidRPr="00FA587B" w:rsidRDefault="00390707" w:rsidP="00FA587B">
      <w:pPr>
        <w:widowControl w:val="0"/>
        <w:autoSpaceDE w:val="0"/>
        <w:autoSpaceDN w:val="0"/>
        <w:adjustRightInd w:val="0"/>
        <w:jc w:val="center"/>
        <w:rPr>
          <w:rFonts w:ascii="Arial" w:hAnsi="Arial" w:cs="Arial"/>
          <w:b/>
        </w:rPr>
      </w:pPr>
    </w:p>
    <w:p w:rsidR="00CC2FCB" w:rsidRPr="00FA587B" w:rsidRDefault="00CC2FCB" w:rsidP="00FA587B">
      <w:pPr>
        <w:widowControl w:val="0"/>
        <w:autoSpaceDE w:val="0"/>
        <w:autoSpaceDN w:val="0"/>
        <w:adjustRightInd w:val="0"/>
        <w:jc w:val="center"/>
        <w:rPr>
          <w:rFonts w:ascii="Arial" w:hAnsi="Arial" w:cs="Arial"/>
          <w:b/>
        </w:rPr>
      </w:pPr>
    </w:p>
    <w:p w:rsidR="00390707" w:rsidRPr="00FA587B" w:rsidRDefault="00390707" w:rsidP="00FA587B">
      <w:pPr>
        <w:widowControl w:val="0"/>
        <w:autoSpaceDE w:val="0"/>
        <w:autoSpaceDN w:val="0"/>
        <w:adjustRightInd w:val="0"/>
        <w:jc w:val="center"/>
        <w:rPr>
          <w:rFonts w:ascii="Arial" w:hAnsi="Arial" w:cs="Arial"/>
          <w:b/>
        </w:rPr>
      </w:pPr>
    </w:p>
    <w:p w:rsidR="00113948" w:rsidRPr="00FA587B" w:rsidRDefault="00390707" w:rsidP="00FA587B">
      <w:pPr>
        <w:widowControl w:val="0"/>
        <w:autoSpaceDE w:val="0"/>
        <w:autoSpaceDN w:val="0"/>
        <w:adjustRightInd w:val="0"/>
        <w:jc w:val="center"/>
        <w:rPr>
          <w:rFonts w:ascii="Arial" w:hAnsi="Arial" w:cs="Arial"/>
          <w:lang w:val="es-CO"/>
        </w:rPr>
      </w:pPr>
      <w:r w:rsidRPr="00FA587B">
        <w:rPr>
          <w:rFonts w:ascii="Arial" w:hAnsi="Arial" w:cs="Arial"/>
          <w:b/>
        </w:rPr>
        <w:t>CARLOS ALBERTO ZAMBRANO BARRERA</w:t>
      </w:r>
    </w:p>
    <w:sectPr w:rsidR="00113948" w:rsidRPr="00FA587B" w:rsidSect="00FA587B">
      <w:footerReference w:type="first" r:id="rId11"/>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F7" w:rsidRDefault="00EC17F7">
      <w:r>
        <w:separator/>
      </w:r>
    </w:p>
  </w:endnote>
  <w:endnote w:type="continuationSeparator" w:id="0">
    <w:p w:rsidR="00EC17F7" w:rsidRDefault="00EC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AA" w:rsidRDefault="00CD3DAA">
    <w:pPr>
      <w:pStyle w:val="Piedepgina"/>
      <w:jc w:val="right"/>
      <w:rPr>
        <w:rFonts w:ascii="Arial" w:hAnsi="Arial" w:cs="Arial"/>
        <w:sz w:val="22"/>
        <w:szCs w:val="22"/>
      </w:rPr>
    </w:pPr>
  </w:p>
  <w:p w:rsidR="00CD3DAA" w:rsidRPr="00A42B1F" w:rsidRDefault="00CD3DAA">
    <w:pPr>
      <w:pStyle w:val="Piedepgina"/>
      <w:jc w:val="right"/>
      <w:rPr>
        <w:rFonts w:ascii="Arial" w:hAnsi="Arial" w:cs="Arial"/>
        <w:sz w:val="22"/>
        <w:szCs w:val="22"/>
      </w:rPr>
    </w:pPr>
    <w:r w:rsidRPr="00A42B1F">
      <w:rPr>
        <w:rFonts w:ascii="Arial" w:hAnsi="Arial" w:cs="Arial"/>
        <w:sz w:val="22"/>
        <w:szCs w:val="22"/>
      </w:rPr>
      <w:fldChar w:fldCharType="begin"/>
    </w:r>
    <w:r w:rsidRPr="00A42B1F">
      <w:rPr>
        <w:rFonts w:ascii="Arial" w:hAnsi="Arial" w:cs="Arial"/>
        <w:sz w:val="22"/>
        <w:szCs w:val="22"/>
      </w:rPr>
      <w:instrText>PAGE   \* MERGEFORMAT</w:instrText>
    </w:r>
    <w:r w:rsidRPr="00A42B1F">
      <w:rPr>
        <w:rFonts w:ascii="Arial" w:hAnsi="Arial" w:cs="Arial"/>
        <w:sz w:val="22"/>
        <w:szCs w:val="22"/>
      </w:rPr>
      <w:fldChar w:fldCharType="separate"/>
    </w:r>
    <w:r w:rsidR="00CC2FCB">
      <w:rPr>
        <w:rFonts w:ascii="Arial" w:hAnsi="Arial" w:cs="Arial"/>
        <w:noProof/>
        <w:sz w:val="22"/>
        <w:szCs w:val="22"/>
      </w:rPr>
      <w:t>1</w:t>
    </w:r>
    <w:r w:rsidRPr="00A42B1F">
      <w:rPr>
        <w:rFonts w:ascii="Arial" w:hAnsi="Arial" w:cs="Arial"/>
        <w:sz w:val="22"/>
        <w:szCs w:val="22"/>
      </w:rPr>
      <w:fldChar w:fldCharType="end"/>
    </w:r>
  </w:p>
  <w:p w:rsidR="00CD3DAA" w:rsidRDefault="00CD3D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F7" w:rsidRDefault="00EC17F7">
      <w:r>
        <w:separator/>
      </w:r>
    </w:p>
  </w:footnote>
  <w:footnote w:type="continuationSeparator" w:id="0">
    <w:p w:rsidR="00EC17F7" w:rsidRDefault="00EC17F7">
      <w:r>
        <w:continuationSeparator/>
      </w:r>
    </w:p>
  </w:footnote>
  <w:footnote w:id="1">
    <w:p w:rsidR="00CD3DAA" w:rsidRPr="00CB36AD" w:rsidRDefault="00CD3DAA" w:rsidP="00CB36AD">
      <w:pPr>
        <w:jc w:val="both"/>
        <w:rPr>
          <w:rFonts w:ascii="Arial" w:hAnsi="Arial" w:cs="Arial"/>
          <w:i/>
          <w:iCs/>
          <w:sz w:val="20"/>
          <w:szCs w:val="20"/>
        </w:rPr>
      </w:pPr>
      <w:r w:rsidRPr="00CB36AD">
        <w:rPr>
          <w:rStyle w:val="Refdenotaalpie"/>
          <w:rFonts w:ascii="Arial" w:hAnsi="Arial" w:cs="Arial"/>
          <w:sz w:val="20"/>
          <w:szCs w:val="20"/>
        </w:rPr>
        <w:footnoteRef/>
      </w:r>
      <w:r w:rsidRPr="00CB36AD">
        <w:rPr>
          <w:rFonts w:ascii="Arial" w:hAnsi="Arial" w:cs="Arial"/>
          <w:sz w:val="20"/>
          <w:szCs w:val="20"/>
        </w:rPr>
        <w:t xml:space="preserve"> </w:t>
      </w:r>
      <w:r w:rsidRPr="00CB36AD">
        <w:rPr>
          <w:rFonts w:ascii="Arial" w:hAnsi="Arial" w:cs="Arial"/>
          <w:sz w:val="20"/>
          <w:szCs w:val="20"/>
          <w:lang w:val="es-ES_tradnl"/>
        </w:rPr>
        <w:t xml:space="preserve">Artículo 75, Ley 80 de 1993. </w:t>
      </w:r>
      <w:r w:rsidRPr="00CB36AD">
        <w:rPr>
          <w:rFonts w:ascii="Arial" w:hAnsi="Arial" w:cs="Arial"/>
          <w:i/>
          <w:iCs/>
          <w:sz w:val="20"/>
          <w:szCs w:val="20"/>
          <w:lang w:val="es-ES_tradnl"/>
        </w:rPr>
        <w:t>“</w:t>
      </w:r>
      <w:r w:rsidRPr="00CB36AD">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2">
    <w:p w:rsidR="00121C97" w:rsidRDefault="00121C97" w:rsidP="006E73DE">
      <w:pPr>
        <w:jc w:val="both"/>
        <w:rPr>
          <w:rStyle w:val="Nmerodepgina"/>
          <w:rFonts w:ascii="Arial" w:hAnsi="Arial" w:cs="Arial"/>
          <w:sz w:val="20"/>
          <w:szCs w:val="20"/>
        </w:rPr>
      </w:pPr>
    </w:p>
    <w:p w:rsidR="00CD3DAA" w:rsidRPr="00CB36AD" w:rsidRDefault="00CD3DAA" w:rsidP="006E73DE">
      <w:pPr>
        <w:jc w:val="both"/>
        <w:rPr>
          <w:rStyle w:val="Nmerodepgina"/>
          <w:rFonts w:ascii="Arial" w:hAnsi="Arial" w:cs="Arial"/>
          <w:sz w:val="20"/>
          <w:szCs w:val="20"/>
        </w:rPr>
      </w:pPr>
      <w:r w:rsidRPr="00CB36AD">
        <w:rPr>
          <w:rStyle w:val="Nmerodepgina"/>
          <w:rFonts w:ascii="Arial" w:hAnsi="Arial" w:cs="Arial"/>
          <w:sz w:val="20"/>
          <w:szCs w:val="20"/>
        </w:rPr>
        <w:footnoteRef/>
      </w:r>
      <w:r w:rsidRPr="00CB36AD">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rsidR="00CD3DAA" w:rsidRDefault="00CD3DAA" w:rsidP="006E73DE">
      <w:pPr>
        <w:jc w:val="both"/>
        <w:rPr>
          <w:rStyle w:val="Nmerodepgina"/>
          <w:rFonts w:ascii="Arial" w:hAnsi="Arial" w:cs="Arial"/>
          <w:i/>
          <w:iCs/>
          <w:sz w:val="20"/>
          <w:szCs w:val="20"/>
        </w:rPr>
      </w:pPr>
    </w:p>
    <w:p w:rsidR="00CD3DAA" w:rsidRPr="00CB36AD" w:rsidRDefault="00CD3DAA" w:rsidP="006E73DE">
      <w:pPr>
        <w:jc w:val="both"/>
        <w:rPr>
          <w:rStyle w:val="Nmerodepgina"/>
          <w:rFonts w:ascii="Arial" w:hAnsi="Arial" w:cs="Arial"/>
          <w:i/>
          <w:iCs/>
          <w:sz w:val="20"/>
          <w:szCs w:val="20"/>
        </w:rPr>
      </w:pPr>
      <w:r w:rsidRPr="00CB36AD">
        <w:rPr>
          <w:rStyle w:val="Nmerodepgina"/>
          <w:rFonts w:ascii="Arial" w:hAnsi="Arial" w:cs="Arial"/>
          <w:i/>
          <w:iCs/>
          <w:sz w:val="20"/>
          <w:szCs w:val="20"/>
        </w:rPr>
        <w:t xml:space="preserve">“Para los solos efectos de esta ley: </w:t>
      </w:r>
    </w:p>
    <w:p w:rsidR="00CD3DAA" w:rsidRPr="00CB36AD" w:rsidRDefault="00CD3DAA" w:rsidP="006E73DE">
      <w:pPr>
        <w:jc w:val="both"/>
        <w:rPr>
          <w:rStyle w:val="Nmerodepgina"/>
          <w:rFonts w:ascii="Arial" w:hAnsi="Arial" w:cs="Arial"/>
          <w:i/>
          <w:iCs/>
          <w:sz w:val="20"/>
          <w:szCs w:val="20"/>
        </w:rPr>
      </w:pPr>
    </w:p>
    <w:p w:rsidR="00CD3DAA" w:rsidRPr="00CB36AD" w:rsidRDefault="00CD3DAA" w:rsidP="006E73DE">
      <w:pPr>
        <w:jc w:val="both"/>
        <w:rPr>
          <w:rStyle w:val="Nmerodepgina"/>
          <w:rFonts w:ascii="Arial" w:hAnsi="Arial" w:cs="Arial"/>
          <w:i/>
          <w:iCs/>
          <w:sz w:val="20"/>
          <w:szCs w:val="20"/>
        </w:rPr>
      </w:pPr>
      <w:r w:rsidRPr="00CB36AD">
        <w:rPr>
          <w:rStyle w:val="Nmerodepgina"/>
          <w:rFonts w:ascii="Arial" w:hAnsi="Arial" w:cs="Arial"/>
          <w:i/>
          <w:iCs/>
          <w:sz w:val="20"/>
          <w:szCs w:val="20"/>
        </w:rPr>
        <w:t xml:space="preserve">“1o. Se denominan entidades estatales: </w:t>
      </w:r>
    </w:p>
    <w:p w:rsidR="00CD3DAA" w:rsidRPr="00CB36AD" w:rsidRDefault="00CD3DAA" w:rsidP="006E73DE">
      <w:pPr>
        <w:jc w:val="both"/>
        <w:rPr>
          <w:rStyle w:val="Nmerodepgina"/>
          <w:rFonts w:ascii="Arial" w:hAnsi="Arial" w:cs="Arial"/>
          <w:i/>
          <w:iCs/>
          <w:sz w:val="20"/>
          <w:szCs w:val="20"/>
        </w:rPr>
      </w:pPr>
    </w:p>
    <w:p w:rsidR="00CD3DAA" w:rsidRPr="00CB36AD" w:rsidRDefault="00CD3DAA" w:rsidP="006E73DE">
      <w:pPr>
        <w:jc w:val="both"/>
        <w:rPr>
          <w:rStyle w:val="Nmerodepgina"/>
          <w:rFonts w:ascii="Arial" w:hAnsi="Arial" w:cs="Arial"/>
          <w:i/>
          <w:iCs/>
          <w:sz w:val="20"/>
          <w:szCs w:val="20"/>
        </w:rPr>
      </w:pPr>
      <w:r w:rsidRPr="00CB36AD">
        <w:rPr>
          <w:rStyle w:val="Nmerodepgina"/>
          <w:rFonts w:ascii="Arial" w:hAnsi="Arial" w:cs="Arial"/>
          <w:i/>
          <w:iCs/>
          <w:sz w:val="20"/>
          <w:szCs w:val="20"/>
        </w:rPr>
        <w:t>“a) La Nación, las regiones, los2 departamentos, las provincias</w:t>
      </w:r>
      <w:r w:rsidRPr="00E1607E">
        <w:rPr>
          <w:rStyle w:val="Nmerodepgina"/>
          <w:rFonts w:ascii="Arial" w:hAnsi="Arial" w:cs="Arial"/>
          <w:i/>
          <w:iCs/>
          <w:sz w:val="20"/>
          <w:szCs w:val="20"/>
        </w:rPr>
        <w:t>, el distrito capital</w:t>
      </w:r>
      <w:r w:rsidRPr="00CB36AD">
        <w:rPr>
          <w:rStyle w:val="Nmerodepgina"/>
          <w:rFonts w:ascii="Arial" w:hAnsi="Arial" w:cs="Arial"/>
          <w:i/>
          <w:iCs/>
          <w:sz w:val="20"/>
          <w:szCs w:val="20"/>
        </w:rPr>
        <w:t xml:space="preserve"> y los distritos especiales, las áreas metropolitanas, las asociaciones de municipios, los territorios indígenas y los municipios; </w:t>
      </w:r>
      <w:r w:rsidRPr="00E1607E">
        <w:rPr>
          <w:rStyle w:val="Nmerodepgina"/>
          <w:rFonts w:ascii="Arial" w:hAnsi="Arial" w:cs="Arial"/>
          <w:i/>
          <w:iCs/>
          <w:sz w:val="20"/>
          <w:szCs w:val="20"/>
          <w:u w:val="single"/>
        </w:rPr>
        <w:t>los establecimientos públicos</w:t>
      </w:r>
      <w:r w:rsidRPr="00CB36AD">
        <w:rPr>
          <w:rStyle w:val="Nmerodepgina"/>
          <w:rFonts w:ascii="Arial" w:hAnsi="Arial" w:cs="Arial"/>
          <w:i/>
          <w:iCs/>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CD3DAA" w:rsidRPr="00CB36AD" w:rsidRDefault="00CD3DAA" w:rsidP="006E73DE">
      <w:pPr>
        <w:jc w:val="both"/>
        <w:rPr>
          <w:rStyle w:val="Nmerodepgina"/>
          <w:rFonts w:ascii="Arial" w:hAnsi="Arial" w:cs="Arial"/>
          <w:i/>
          <w:iCs/>
          <w:sz w:val="20"/>
          <w:szCs w:val="20"/>
        </w:rPr>
      </w:pPr>
    </w:p>
    <w:p w:rsidR="00CD3DAA" w:rsidRPr="00CB36AD" w:rsidRDefault="00CD3DAA" w:rsidP="006E73DE">
      <w:pPr>
        <w:jc w:val="both"/>
        <w:rPr>
          <w:rFonts w:ascii="Arial" w:hAnsi="Arial" w:cs="Arial"/>
          <w:sz w:val="20"/>
          <w:szCs w:val="20"/>
        </w:rPr>
      </w:pPr>
      <w:r>
        <w:rPr>
          <w:rStyle w:val="Nmerodepgina"/>
          <w:rFonts w:ascii="Arial" w:hAnsi="Arial" w:cs="Arial"/>
          <w:i/>
          <w:iCs/>
          <w:sz w:val="20"/>
          <w:szCs w:val="20"/>
        </w:rPr>
        <w:t xml:space="preserve"> “(…)</w:t>
      </w:r>
      <w:r w:rsidRPr="00CB36AD">
        <w:rPr>
          <w:rStyle w:val="Nmerodepgina"/>
          <w:rFonts w:ascii="Arial" w:hAnsi="Arial" w:cs="Arial"/>
          <w:i/>
          <w:iCs/>
          <w:sz w:val="20"/>
          <w:szCs w:val="20"/>
        </w:rPr>
        <w:t>”</w:t>
      </w:r>
      <w:r>
        <w:rPr>
          <w:rStyle w:val="Nmerodepgina"/>
          <w:rFonts w:ascii="Arial" w:hAnsi="Arial" w:cs="Arial"/>
          <w:i/>
          <w:iCs/>
          <w:sz w:val="20"/>
          <w:szCs w:val="20"/>
        </w:rPr>
        <w:t>.</w:t>
      </w:r>
    </w:p>
    <w:p w:rsidR="00CD3DAA" w:rsidRPr="00CB36AD" w:rsidRDefault="00CD3DAA" w:rsidP="006E73DE">
      <w:pPr>
        <w:jc w:val="both"/>
        <w:rPr>
          <w:rFonts w:ascii="Arial" w:hAnsi="Arial" w:cs="Arial"/>
          <w:sz w:val="16"/>
          <w:szCs w:val="16"/>
        </w:rPr>
      </w:pPr>
    </w:p>
  </w:footnote>
  <w:footnote w:id="3">
    <w:p w:rsidR="00CD3DAA" w:rsidRPr="00CB36AD" w:rsidRDefault="00CD3DAA" w:rsidP="006E73DE">
      <w:pPr>
        <w:pStyle w:val="Textonotapie"/>
        <w:jc w:val="both"/>
        <w:rPr>
          <w:rFonts w:ascii="Arial" w:hAnsi="Arial" w:cs="Arial"/>
          <w:lang w:val="es-CO"/>
        </w:rPr>
      </w:pPr>
      <w:r w:rsidRPr="00CB36AD">
        <w:rPr>
          <w:rStyle w:val="Refdenotaalpie"/>
          <w:rFonts w:ascii="Arial" w:hAnsi="Arial" w:cs="Arial"/>
        </w:rPr>
        <w:footnoteRef/>
      </w:r>
      <w:r w:rsidRPr="00CB36AD">
        <w:rPr>
          <w:rFonts w:ascii="Arial" w:hAnsi="Arial" w:cs="Arial"/>
        </w:rPr>
        <w:t xml:space="preserve"> </w:t>
      </w:r>
      <w:r w:rsidRPr="00CB36AD">
        <w:rPr>
          <w:rFonts w:ascii="Arial" w:hAnsi="Arial" w:cs="Arial"/>
          <w:lang w:val="es-CO"/>
        </w:rPr>
        <w:t>El salario mínimo legal para la fecha d</w:t>
      </w:r>
      <w:r>
        <w:rPr>
          <w:rFonts w:ascii="Arial" w:hAnsi="Arial" w:cs="Arial"/>
          <w:lang w:val="es-CO"/>
        </w:rPr>
        <w:t>e presentación de la demanda, 5 de febrero</w:t>
      </w:r>
      <w:r w:rsidRPr="00CB36AD">
        <w:rPr>
          <w:rFonts w:ascii="Arial" w:hAnsi="Arial" w:cs="Arial"/>
          <w:lang w:val="es-CO"/>
        </w:rPr>
        <w:t xml:space="preserve"> de 2010, correspondió a $</w:t>
      </w:r>
      <w:r w:rsidR="00121C97" w:rsidRPr="00CB36AD">
        <w:rPr>
          <w:rFonts w:ascii="Arial" w:hAnsi="Arial" w:cs="Arial"/>
          <w:lang w:val="es-CO"/>
        </w:rPr>
        <w:t>515. 700.oo</w:t>
      </w:r>
      <w:r w:rsidRPr="00CB36AD">
        <w:rPr>
          <w:rFonts w:ascii="Arial" w:hAnsi="Arial" w:cs="Arial"/>
          <w:lang w:val="es-CO"/>
        </w:rPr>
        <w:t xml:space="preserve">. </w:t>
      </w:r>
    </w:p>
  </w:footnote>
  <w:footnote w:id="4">
    <w:p w:rsidR="00CD3DAA" w:rsidRPr="006418DF" w:rsidRDefault="00CD3DAA" w:rsidP="001661EE">
      <w:pPr>
        <w:pStyle w:val="Textonotapie"/>
        <w:jc w:val="both"/>
        <w:rPr>
          <w:rFonts w:ascii="Arial" w:hAnsi="Arial" w:cs="Arial"/>
        </w:rPr>
      </w:pPr>
      <w:r w:rsidRPr="006418DF">
        <w:rPr>
          <w:rStyle w:val="Refdenotaalpie"/>
          <w:rFonts w:ascii="Arial" w:hAnsi="Arial" w:cs="Arial"/>
        </w:rPr>
        <w:footnoteRef/>
      </w:r>
      <w:r w:rsidRPr="006418DF">
        <w:rPr>
          <w:rFonts w:ascii="Arial" w:hAnsi="Arial" w:cs="Arial"/>
        </w:rPr>
        <w:t xml:space="preserve"> Así lo prescribe el Decreto 1716 de 2009, reglamentario de la Ley 1285 de 2009, en su </w:t>
      </w:r>
      <w:r w:rsidRPr="006418DF">
        <w:rPr>
          <w:rFonts w:ascii="Arial" w:hAnsi="Arial" w:cs="Arial"/>
          <w:bCs/>
        </w:rPr>
        <w:t xml:space="preserve">artículo 6°. </w:t>
      </w:r>
      <w:r w:rsidRPr="006418DF">
        <w:rPr>
          <w:rFonts w:ascii="Arial" w:hAnsi="Arial" w:cs="Arial"/>
          <w:i/>
          <w:iCs/>
        </w:rPr>
        <w:t xml:space="preserve">Petición de conciliación extrajudicial. </w:t>
      </w:r>
      <w:r w:rsidRPr="006418DF">
        <w:rPr>
          <w:rFonts w:ascii="Arial" w:hAnsi="Arial" w:cs="Arial"/>
        </w:rPr>
        <w:t>La petición de conciliación o extrajudicial podrá presentarse en forma individual o conjunta por los interesados, ante el agente del Ministerio Público (reparto) correspondiente, y deberá contener los siguientes requisitos:</w:t>
      </w:r>
    </w:p>
    <w:p w:rsidR="00CD3DAA" w:rsidRPr="006418DF" w:rsidRDefault="00CD3DAA" w:rsidP="001661EE">
      <w:pPr>
        <w:pStyle w:val="NormalWeb"/>
        <w:jc w:val="both"/>
        <w:rPr>
          <w:rFonts w:ascii="Arial" w:hAnsi="Arial" w:cs="Arial"/>
          <w:sz w:val="20"/>
          <w:szCs w:val="20"/>
        </w:rPr>
      </w:pPr>
      <w:r w:rsidRPr="006418DF">
        <w:rPr>
          <w:rFonts w:ascii="Arial" w:hAnsi="Arial" w:cs="Arial"/>
          <w:sz w:val="20"/>
          <w:szCs w:val="20"/>
        </w:rPr>
        <w:t xml:space="preserve">“(…). </w:t>
      </w:r>
    </w:p>
    <w:p w:rsidR="00CD3DAA" w:rsidRPr="006418DF" w:rsidRDefault="00CD3DAA" w:rsidP="001661EE">
      <w:pPr>
        <w:pStyle w:val="NormalWeb"/>
        <w:jc w:val="both"/>
        <w:rPr>
          <w:rFonts w:ascii="Arial" w:hAnsi="Arial" w:cs="Arial"/>
          <w:sz w:val="20"/>
          <w:szCs w:val="20"/>
        </w:rPr>
      </w:pPr>
      <w:r w:rsidRPr="006418DF">
        <w:rPr>
          <w:rFonts w:ascii="Arial" w:hAnsi="Arial" w:cs="Arial"/>
          <w:sz w:val="20"/>
          <w:szCs w:val="20"/>
        </w:rPr>
        <w:t xml:space="preserve">“c) Los aspectos que se quieren conciliar y los hechos en que se fundamentan; </w:t>
      </w:r>
    </w:p>
    <w:p w:rsidR="00CD3DAA" w:rsidRPr="006418DF" w:rsidRDefault="00CD3DAA" w:rsidP="001661EE">
      <w:pPr>
        <w:pStyle w:val="NormalWeb"/>
        <w:jc w:val="both"/>
        <w:rPr>
          <w:rFonts w:ascii="Arial" w:hAnsi="Arial" w:cs="Arial"/>
          <w:sz w:val="20"/>
          <w:szCs w:val="20"/>
        </w:rPr>
      </w:pPr>
      <w:r w:rsidRPr="006418DF">
        <w:rPr>
          <w:rFonts w:ascii="Arial" w:hAnsi="Arial" w:cs="Arial"/>
          <w:sz w:val="20"/>
          <w:szCs w:val="20"/>
        </w:rPr>
        <w:t xml:space="preserve">“d) Las pretensiones que formula el convocante;” </w:t>
      </w:r>
    </w:p>
    <w:p w:rsidR="00CD3DAA" w:rsidRPr="006418DF" w:rsidRDefault="00CD3DAA">
      <w:pPr>
        <w:pStyle w:val="Textonotapie"/>
        <w:rPr>
          <w:rFonts w:ascii="Arial" w:hAnsi="Arial" w:cs="Arial"/>
          <w:lang w:val="es-CO"/>
        </w:rPr>
      </w:pPr>
    </w:p>
  </w:footnote>
  <w:footnote w:id="5">
    <w:p w:rsidR="00CD3DAA" w:rsidRPr="001661EE" w:rsidRDefault="00CD3DAA" w:rsidP="00965ADB">
      <w:pPr>
        <w:pStyle w:val="Textonotapie"/>
        <w:jc w:val="both"/>
        <w:rPr>
          <w:rFonts w:ascii="Arial" w:hAnsi="Arial" w:cs="Arial"/>
          <w:lang w:val="es-CO"/>
        </w:rPr>
      </w:pPr>
      <w:r w:rsidRPr="001661EE">
        <w:rPr>
          <w:rStyle w:val="Refdenotaalpie"/>
          <w:rFonts w:ascii="Arial" w:hAnsi="Arial" w:cs="Arial"/>
        </w:rPr>
        <w:footnoteRef/>
      </w:r>
      <w:r w:rsidRPr="001661EE">
        <w:rPr>
          <w:rFonts w:ascii="Arial" w:hAnsi="Arial" w:cs="Arial"/>
        </w:rPr>
        <w:t xml:space="preserve"> El </w:t>
      </w:r>
      <w:r w:rsidR="00012FE4">
        <w:rPr>
          <w:rFonts w:ascii="Arial" w:hAnsi="Arial" w:cs="Arial"/>
        </w:rPr>
        <w:t>Contrato 0193 de 2005 se rigió</w:t>
      </w:r>
      <w:r w:rsidRPr="001661EE">
        <w:rPr>
          <w:rFonts w:ascii="Arial" w:hAnsi="Arial" w:cs="Arial"/>
        </w:rPr>
        <w:t xml:space="preserve"> por las normas de la Ley 80 de 1993</w:t>
      </w:r>
      <w:r w:rsidR="00630E61">
        <w:rPr>
          <w:rFonts w:ascii="Arial" w:hAnsi="Arial" w:cs="Arial"/>
        </w:rPr>
        <w:t>,</w:t>
      </w:r>
      <w:r w:rsidRPr="001661EE">
        <w:rPr>
          <w:rFonts w:ascii="Arial" w:hAnsi="Arial" w:cs="Arial"/>
        </w:rPr>
        <w:t xml:space="preserve"> debido a que fue celebrado entre el Instituto de Desarrollo Urbano, establecimiento público cuyas relaciones negociales se encuentra sometidas al rigor dicho estatuto como ente contratante y una persona natural como contratista, a lo cual se suma que en este asunto no concurre ningún supuesto que lo sitúe en un evento que se encuentre exceptuado de su cobertura. </w:t>
      </w:r>
    </w:p>
    <w:p w:rsidR="00CD3DAA" w:rsidRPr="001661EE" w:rsidRDefault="00CD3DAA">
      <w:pPr>
        <w:pStyle w:val="Textonotapie"/>
        <w:rPr>
          <w:rFonts w:ascii="Arial" w:hAnsi="Arial" w:cs="Arial"/>
          <w:lang w:val="es-CO"/>
        </w:rPr>
      </w:pPr>
    </w:p>
  </w:footnote>
  <w:footnote w:id="6">
    <w:p w:rsidR="00CD3DAA" w:rsidRPr="001661EE" w:rsidRDefault="00CD3DAA" w:rsidP="0088516C">
      <w:pPr>
        <w:jc w:val="both"/>
        <w:rPr>
          <w:rFonts w:ascii="Arial" w:hAnsi="Arial" w:cs="Arial"/>
          <w:i/>
          <w:sz w:val="20"/>
          <w:szCs w:val="20"/>
          <w:lang w:val="es-CO"/>
        </w:rPr>
      </w:pPr>
      <w:r w:rsidRPr="001661EE">
        <w:rPr>
          <w:rStyle w:val="Refdenotaalpie"/>
          <w:rFonts w:ascii="Arial" w:hAnsi="Arial" w:cs="Arial"/>
          <w:sz w:val="20"/>
          <w:szCs w:val="20"/>
        </w:rPr>
        <w:footnoteRef/>
      </w:r>
      <w:r w:rsidRPr="001661EE">
        <w:rPr>
          <w:rFonts w:ascii="Arial" w:hAnsi="Arial" w:cs="Arial"/>
          <w:sz w:val="20"/>
          <w:szCs w:val="20"/>
        </w:rPr>
        <w:t xml:space="preserve"> </w:t>
      </w:r>
      <w:r w:rsidRPr="001661EE">
        <w:rPr>
          <w:rFonts w:ascii="Arial" w:hAnsi="Arial" w:cs="Arial"/>
          <w:sz w:val="20"/>
          <w:szCs w:val="20"/>
          <w:lang w:val="es-CO"/>
        </w:rPr>
        <w:t>“</w:t>
      </w:r>
      <w:r w:rsidRPr="001661EE">
        <w:rPr>
          <w:rFonts w:ascii="Arial" w:hAnsi="Arial" w:cs="Arial"/>
          <w:i/>
          <w:sz w:val="20"/>
          <w:szCs w:val="20"/>
          <w:lang w:val="es-CO"/>
        </w:rPr>
        <w:t>10. En las relativas a contratos, el término de caducidad será de dos (2) años que se contará a partir del día siguiente a la ocurrencia de los motivos de hecho o de derecho que les sirvan de fundamento.</w:t>
      </w:r>
    </w:p>
    <w:p w:rsidR="00CD3DAA" w:rsidRPr="001661EE" w:rsidRDefault="00CD3DAA" w:rsidP="0088516C">
      <w:pPr>
        <w:jc w:val="both"/>
        <w:rPr>
          <w:rFonts w:ascii="Arial" w:hAnsi="Arial" w:cs="Arial"/>
          <w:i/>
          <w:sz w:val="20"/>
          <w:szCs w:val="20"/>
          <w:lang w:val="es-CO"/>
        </w:rPr>
      </w:pPr>
    </w:p>
    <w:p w:rsidR="00CD3DAA" w:rsidRPr="001661EE" w:rsidRDefault="00CD3DAA" w:rsidP="0088516C">
      <w:pPr>
        <w:jc w:val="both"/>
        <w:rPr>
          <w:rFonts w:ascii="Arial" w:hAnsi="Arial" w:cs="Arial"/>
          <w:i/>
          <w:sz w:val="20"/>
          <w:szCs w:val="20"/>
          <w:lang w:val="es-CO"/>
        </w:rPr>
      </w:pPr>
      <w:r w:rsidRPr="001661EE">
        <w:rPr>
          <w:rFonts w:ascii="Arial" w:hAnsi="Arial" w:cs="Arial"/>
          <w:sz w:val="20"/>
          <w:szCs w:val="20"/>
          <w:lang w:val="es-CO"/>
        </w:rPr>
        <w:t>“</w:t>
      </w:r>
      <w:r w:rsidRPr="001661EE">
        <w:rPr>
          <w:rFonts w:ascii="Arial" w:hAnsi="Arial" w:cs="Arial"/>
          <w:i/>
          <w:sz w:val="20"/>
          <w:szCs w:val="20"/>
          <w:lang w:val="es-CO"/>
        </w:rPr>
        <w:t>En los siguientes contratos, el término de caducidad se contará así:</w:t>
      </w:r>
    </w:p>
    <w:p w:rsidR="00CD3DAA" w:rsidRPr="001661EE" w:rsidRDefault="00CD3DAA" w:rsidP="0088516C">
      <w:pPr>
        <w:jc w:val="both"/>
        <w:rPr>
          <w:rFonts w:ascii="Arial" w:hAnsi="Arial" w:cs="Arial"/>
          <w:i/>
          <w:sz w:val="20"/>
          <w:szCs w:val="20"/>
          <w:lang w:val="es-CO"/>
        </w:rPr>
      </w:pPr>
    </w:p>
    <w:p w:rsidR="00CD3DAA" w:rsidRPr="001661EE" w:rsidRDefault="00CD3DAA" w:rsidP="0088516C">
      <w:pPr>
        <w:jc w:val="both"/>
        <w:rPr>
          <w:rFonts w:ascii="Arial" w:hAnsi="Arial" w:cs="Arial"/>
          <w:i/>
          <w:sz w:val="20"/>
          <w:szCs w:val="20"/>
          <w:lang w:val="es-CO"/>
        </w:rPr>
      </w:pPr>
      <w:r w:rsidRPr="001661EE">
        <w:rPr>
          <w:rFonts w:ascii="Arial" w:hAnsi="Arial" w:cs="Arial"/>
          <w:i/>
          <w:sz w:val="20"/>
          <w:szCs w:val="20"/>
          <w:lang w:val="es-CO"/>
        </w:rPr>
        <w:t>“(…).</w:t>
      </w:r>
    </w:p>
    <w:p w:rsidR="00CD3DAA" w:rsidRPr="001661EE" w:rsidRDefault="00CD3DAA" w:rsidP="0088516C">
      <w:pPr>
        <w:jc w:val="both"/>
        <w:rPr>
          <w:rFonts w:ascii="Arial" w:hAnsi="Arial" w:cs="Arial"/>
          <w:i/>
          <w:sz w:val="20"/>
          <w:szCs w:val="20"/>
          <w:lang w:val="es-CO"/>
        </w:rPr>
      </w:pPr>
    </w:p>
    <w:p w:rsidR="00CD3DAA" w:rsidRPr="00BD61E8" w:rsidRDefault="00CD3DAA" w:rsidP="0088516C">
      <w:pPr>
        <w:jc w:val="both"/>
        <w:rPr>
          <w:rFonts w:ascii="Arial" w:hAnsi="Arial" w:cs="Arial"/>
          <w:i/>
          <w:sz w:val="20"/>
          <w:szCs w:val="20"/>
          <w:lang w:val="es-CO"/>
        </w:rPr>
      </w:pPr>
      <w:r w:rsidRPr="00BD61E8">
        <w:rPr>
          <w:rFonts w:ascii="Arial" w:hAnsi="Arial" w:cs="Arial"/>
          <w:i/>
          <w:sz w:val="20"/>
          <w:szCs w:val="20"/>
          <w:lang w:val="es-CO"/>
        </w:rPr>
        <w:t>“</w:t>
      </w:r>
      <w:r w:rsidRPr="00BD61E8">
        <w:rPr>
          <w:rFonts w:ascii="Arial" w:hAnsi="Arial" w:cs="Arial"/>
          <w:i/>
          <w:sz w:val="20"/>
          <w:szCs w:val="20"/>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BD61E8">
        <w:rPr>
          <w:rFonts w:ascii="Arial" w:hAnsi="Arial" w:cs="Arial"/>
          <w:i/>
          <w:sz w:val="20"/>
          <w:szCs w:val="20"/>
          <w:lang w:val="es-CO"/>
        </w:rPr>
        <w:t>; (…)”.</w:t>
      </w:r>
    </w:p>
    <w:p w:rsidR="00CD3DAA" w:rsidRPr="00BD61E8" w:rsidRDefault="00CD3DAA" w:rsidP="0088516C">
      <w:pPr>
        <w:pStyle w:val="Textonotapie"/>
        <w:rPr>
          <w:lang w:val="es-CO"/>
        </w:rPr>
      </w:pPr>
    </w:p>
  </w:footnote>
  <w:footnote w:id="7">
    <w:p w:rsidR="00CD3DAA" w:rsidRPr="00AA0324" w:rsidRDefault="00CD3DAA" w:rsidP="008B1A4A">
      <w:pPr>
        <w:tabs>
          <w:tab w:val="left" w:pos="6226"/>
        </w:tabs>
        <w:jc w:val="both"/>
        <w:rPr>
          <w:rFonts w:ascii="Arial" w:hAnsi="Arial" w:cs="Arial"/>
          <w:sz w:val="20"/>
          <w:szCs w:val="20"/>
        </w:rPr>
      </w:pPr>
      <w:r w:rsidRPr="00AA0324">
        <w:rPr>
          <w:rStyle w:val="Refdenotaalpie"/>
          <w:rFonts w:ascii="Arial" w:hAnsi="Arial" w:cs="Arial"/>
          <w:sz w:val="20"/>
          <w:szCs w:val="20"/>
        </w:rPr>
        <w:footnoteRef/>
      </w:r>
      <w:r w:rsidRPr="00AA0324">
        <w:rPr>
          <w:rFonts w:ascii="Arial" w:hAnsi="Arial" w:cs="Arial"/>
          <w:sz w:val="20"/>
          <w:szCs w:val="20"/>
        </w:rPr>
        <w:t xml:space="preserve"> Ver sentencia proferida por la Subsección A, de la Sección Tercera, 30 de octubre de 2013, expediente 32556, C.P. Mauricio Fajardo Gómez. Posición reiterada por la Subsección en sentencia del 15 de abril de 2015, proferido dentro del expediente número 33.173, C.P. (E) Hernán Andrade Rincón. </w:t>
      </w:r>
    </w:p>
    <w:p w:rsidR="00CD3DAA" w:rsidRPr="00AA0324" w:rsidRDefault="00CD3DAA" w:rsidP="008B1A4A">
      <w:pPr>
        <w:tabs>
          <w:tab w:val="left" w:pos="6226"/>
        </w:tabs>
        <w:jc w:val="both"/>
        <w:rPr>
          <w:rFonts w:ascii="Arial" w:hAnsi="Arial" w:cs="Arial"/>
          <w:sz w:val="20"/>
          <w:szCs w:val="20"/>
        </w:rPr>
      </w:pPr>
    </w:p>
    <w:p w:rsidR="00CD3DAA" w:rsidRPr="00AA0324" w:rsidRDefault="00CD3DAA" w:rsidP="008B1A4A">
      <w:pPr>
        <w:tabs>
          <w:tab w:val="left" w:pos="6226"/>
        </w:tabs>
        <w:jc w:val="both"/>
        <w:rPr>
          <w:rFonts w:ascii="Arial" w:hAnsi="Arial" w:cs="Arial"/>
          <w:i/>
          <w:sz w:val="20"/>
          <w:szCs w:val="20"/>
        </w:rPr>
      </w:pPr>
      <w:r w:rsidRPr="00AA0324">
        <w:rPr>
          <w:rFonts w:ascii="Arial" w:hAnsi="Arial" w:cs="Arial"/>
          <w:i/>
          <w:sz w:val="20"/>
          <w:szCs w:val="20"/>
        </w:rPr>
        <w:t xml:space="preserve"> “Al plenario se aportaron dos actas que corresponden a las sesiones de Comité de Defensa Judicial y Conciliación de la entidad demandada, una de fecha 16 de mayo de 2000 (fl. 158-161 c1), y la otra del 12 de julio de 2001 (fs. 228-234 c1) en las cuales la entidad proyectó un acuerdo conciliatorio con el objeto de reconocer y pagar a la sociedad demandante una suma de dinero por concepto de almacenamiento de mercancías aprehendidas, decomisadas y abandonadas en favor de la Nación.</w:t>
      </w:r>
    </w:p>
    <w:p w:rsidR="00CD3DAA" w:rsidRPr="00AA0324" w:rsidRDefault="00CD3DAA" w:rsidP="008B1A4A">
      <w:pPr>
        <w:tabs>
          <w:tab w:val="left" w:pos="6226"/>
        </w:tabs>
        <w:jc w:val="both"/>
        <w:rPr>
          <w:rFonts w:ascii="Arial" w:hAnsi="Arial" w:cs="Arial"/>
          <w:i/>
          <w:sz w:val="20"/>
          <w:szCs w:val="20"/>
        </w:rPr>
      </w:pPr>
    </w:p>
    <w:p w:rsidR="00CD3DAA" w:rsidRPr="00AA0324" w:rsidRDefault="00CD3DAA" w:rsidP="008B1A4A">
      <w:pPr>
        <w:tabs>
          <w:tab w:val="left" w:pos="6226"/>
        </w:tabs>
        <w:jc w:val="both"/>
        <w:rPr>
          <w:rFonts w:ascii="Arial" w:hAnsi="Arial" w:cs="Arial"/>
          <w:i/>
          <w:sz w:val="20"/>
          <w:szCs w:val="20"/>
        </w:rPr>
      </w:pPr>
      <w:r w:rsidRPr="00AA0324">
        <w:rPr>
          <w:rFonts w:ascii="Arial" w:hAnsi="Arial" w:cs="Arial"/>
          <w:i/>
          <w:sz w:val="20"/>
          <w:szCs w:val="20"/>
        </w:rPr>
        <w:t xml:space="preserve">“Al respecto, la Sala considera que el contenido de dichos documentos no es pasible de ser valorado como prueba en contra de la entidad de la cual emanan, puesto que si bien la conciliación se instituye como un mecanismo alternativo de solución de conflictos en virtud del cual las partes libremente intentan un acercamiento como medio para resolver sus discrepancias, lo cierto es que  lo que en desarrollo de dicho trámite extrajudicial se ventile no puede ser utilizado por las partes como prueba de la responsabilidad que se endilga a su futuro opositor en el debate judicial. </w:t>
      </w:r>
    </w:p>
    <w:p w:rsidR="00CD3DAA" w:rsidRPr="00AA0324" w:rsidRDefault="00CD3DAA" w:rsidP="008B1A4A">
      <w:pPr>
        <w:tabs>
          <w:tab w:val="left" w:pos="6226"/>
        </w:tabs>
        <w:jc w:val="both"/>
        <w:rPr>
          <w:rFonts w:ascii="Arial" w:hAnsi="Arial" w:cs="Arial"/>
          <w:i/>
          <w:sz w:val="20"/>
          <w:szCs w:val="20"/>
        </w:rPr>
      </w:pPr>
    </w:p>
    <w:p w:rsidR="00CD3DAA" w:rsidRPr="00AA0324" w:rsidRDefault="00CD3DAA" w:rsidP="008B1A4A">
      <w:pPr>
        <w:tabs>
          <w:tab w:val="left" w:pos="6226"/>
        </w:tabs>
        <w:jc w:val="both"/>
        <w:rPr>
          <w:rFonts w:ascii="Arial" w:hAnsi="Arial" w:cs="Arial"/>
          <w:i/>
          <w:sz w:val="20"/>
          <w:szCs w:val="20"/>
        </w:rPr>
      </w:pPr>
      <w:r w:rsidRPr="00AA0324">
        <w:rPr>
          <w:rFonts w:ascii="Arial" w:hAnsi="Arial" w:cs="Arial"/>
          <w:i/>
          <w:sz w:val="20"/>
          <w:szCs w:val="20"/>
        </w:rPr>
        <w:t xml:space="preserve">“Aceptar un planteamiento contrario constituiría sin duda un desestimulo para en lo sucesivo llevar avante practicas conciliatorias, ante el temor que generaría el hecho de que una vez se intente lograr una conciliación sin que se llegue a acuerdo, el camino recorrido en ese procedimiento materializado en la aproximación libre y voluntaria de las partes, así como la proposición de fórmulas para un eventual arreglo, posteriormente se convierta en un arma en contra de la entidad a partir de la cual se le condene o se le enjuicie, sin más prueba que la sola intención de intentar un arreglo directo sin acudir a los estrados judiciales. </w:t>
      </w:r>
    </w:p>
    <w:p w:rsidR="00CD3DAA" w:rsidRPr="00AA0324" w:rsidRDefault="00CD3DAA" w:rsidP="008B1A4A">
      <w:pPr>
        <w:tabs>
          <w:tab w:val="left" w:pos="6226"/>
        </w:tabs>
        <w:jc w:val="both"/>
        <w:rPr>
          <w:rFonts w:ascii="Arial" w:hAnsi="Arial" w:cs="Arial"/>
          <w:i/>
          <w:sz w:val="20"/>
          <w:szCs w:val="20"/>
        </w:rPr>
      </w:pPr>
    </w:p>
    <w:p w:rsidR="00CD3DAA" w:rsidRPr="00AA0324" w:rsidRDefault="00CD3DAA" w:rsidP="008B1A4A">
      <w:pPr>
        <w:tabs>
          <w:tab w:val="left" w:pos="6226"/>
        </w:tabs>
        <w:jc w:val="both"/>
        <w:rPr>
          <w:rFonts w:ascii="Arial" w:hAnsi="Arial" w:cs="Arial"/>
          <w:i/>
          <w:sz w:val="20"/>
          <w:szCs w:val="20"/>
        </w:rPr>
      </w:pPr>
      <w:r w:rsidRPr="00AA0324">
        <w:rPr>
          <w:rFonts w:ascii="Arial" w:hAnsi="Arial" w:cs="Arial"/>
          <w:i/>
          <w:sz w:val="20"/>
          <w:szCs w:val="20"/>
        </w:rPr>
        <w:t xml:space="preserve">“En esa medida si uno de los fines que se persigue con la conciliación prejudicial como requisito de procedibilidad es precisamente el de descongestionar la actividad jurisdiccional, tal propósito quedaría anulado por completo en el evento de otorgar mérito probatorio en contra de la entidad a las actas del comité de conciliación de esas mimas entidades públicas. </w:t>
      </w:r>
    </w:p>
    <w:p w:rsidR="00CD3DAA" w:rsidRPr="00AA0324" w:rsidRDefault="00CD3DAA" w:rsidP="008B1A4A">
      <w:pPr>
        <w:tabs>
          <w:tab w:val="left" w:pos="6226"/>
        </w:tabs>
        <w:jc w:val="both"/>
        <w:rPr>
          <w:rFonts w:ascii="Arial" w:hAnsi="Arial" w:cs="Arial"/>
          <w:i/>
          <w:sz w:val="20"/>
          <w:szCs w:val="20"/>
        </w:rPr>
      </w:pPr>
    </w:p>
    <w:p w:rsidR="00CD3DAA" w:rsidRPr="00AA0324" w:rsidRDefault="00CD3DAA" w:rsidP="008B1A4A">
      <w:pPr>
        <w:tabs>
          <w:tab w:val="left" w:pos="6226"/>
        </w:tabs>
        <w:jc w:val="both"/>
        <w:rPr>
          <w:rFonts w:ascii="Arial" w:hAnsi="Arial" w:cs="Arial"/>
          <w:i/>
          <w:sz w:val="20"/>
          <w:szCs w:val="20"/>
        </w:rPr>
      </w:pPr>
      <w:r w:rsidRPr="00AA0324">
        <w:rPr>
          <w:rFonts w:ascii="Arial" w:hAnsi="Arial" w:cs="Arial"/>
          <w:i/>
          <w:sz w:val="20"/>
          <w:szCs w:val="20"/>
        </w:rPr>
        <w:t xml:space="preserve">“Además de lo anterior, cabe agregar que la naturaleza vinculante de un pacto conciliatorio en materia contenciosa no emana de la simple manifestación de las partes de obligarse a cumplirlo, sino de que el mismo sea aprobado por la autoridad judicial competente para conocer la acción que correspondiese ejercer en el caso de no haberlo logrado, aprobación que además de la exigencia sobre la existencia misma del acuerdo y de la facultad con que cuentan las partes para realizarlo, debe sustentarse en la verificación de las pruebas que soporten la viabilidad jurídica del mismo en términos, tanto de oportunidad, como de ausencia de lesividad para el patrimonio público. </w:t>
      </w:r>
    </w:p>
    <w:p w:rsidR="00CD3DAA" w:rsidRPr="00AA0324" w:rsidRDefault="00CD3DAA" w:rsidP="008B1A4A">
      <w:pPr>
        <w:tabs>
          <w:tab w:val="left" w:pos="6226"/>
        </w:tabs>
        <w:jc w:val="both"/>
        <w:rPr>
          <w:rFonts w:ascii="Arial" w:hAnsi="Arial" w:cs="Arial"/>
          <w:i/>
          <w:sz w:val="20"/>
          <w:szCs w:val="20"/>
        </w:rPr>
      </w:pPr>
    </w:p>
    <w:p w:rsidR="00CD3DAA" w:rsidRPr="00AA0324" w:rsidRDefault="00CD3DAA" w:rsidP="008B1A4A">
      <w:pPr>
        <w:pStyle w:val="Textonotapie"/>
        <w:jc w:val="both"/>
        <w:rPr>
          <w:rFonts w:ascii="Arial" w:hAnsi="Arial" w:cs="Arial"/>
        </w:rPr>
      </w:pPr>
      <w:r w:rsidRPr="00AA0324">
        <w:rPr>
          <w:rFonts w:ascii="Arial" w:hAnsi="Arial" w:cs="Arial"/>
          <w:i/>
        </w:rPr>
        <w:t>“En consecuencia, por las razones puestas de presente, la Sala estima que no hay lugar a valorar como prueba de la alegada responsabilidad de la entidad demandada las actas de su Comité de Conciliación aportadas al  plenario, como tampoco podrían serlo las fórmulas, propuestas, argumentaciones o reflexiones que acerca de un eventual arreglo conciliatorio hubieren examinado, expuesto o planteado en sede de conciliación  -extrajudicial o incluso judicial-, las partes del litigio o solo una de ellas“.</w:t>
      </w:r>
    </w:p>
  </w:footnote>
  <w:footnote w:id="8">
    <w:p w:rsidR="006E1B80" w:rsidRPr="00CE6C65" w:rsidRDefault="006E1B80" w:rsidP="006E1B80">
      <w:pPr>
        <w:pStyle w:val="Textonotapie"/>
        <w:rPr>
          <w:rFonts w:ascii="Arial" w:hAnsi="Arial" w:cs="Arial"/>
          <w:lang w:val="en-US"/>
        </w:rPr>
      </w:pPr>
      <w:r w:rsidRPr="00AE6FF5">
        <w:rPr>
          <w:rStyle w:val="Refdenotaalpie"/>
          <w:rFonts w:ascii="Arial" w:hAnsi="Arial" w:cs="Arial"/>
        </w:rPr>
        <w:footnoteRef/>
      </w:r>
      <w:r w:rsidRPr="00CE6C65">
        <w:rPr>
          <w:rFonts w:ascii="Arial" w:hAnsi="Arial" w:cs="Arial"/>
          <w:lang w:val="en-US"/>
        </w:rPr>
        <w:t xml:space="preserve"> Fls. 20-33 C2. </w:t>
      </w:r>
    </w:p>
  </w:footnote>
  <w:footnote w:id="9">
    <w:p w:rsidR="006E1B80" w:rsidRPr="00CE6C65" w:rsidRDefault="006E1B80" w:rsidP="006E1B80">
      <w:pPr>
        <w:pStyle w:val="Textonotapie"/>
        <w:rPr>
          <w:rFonts w:ascii="Arial" w:hAnsi="Arial" w:cs="Arial"/>
          <w:lang w:val="en-US"/>
        </w:rPr>
      </w:pPr>
      <w:r w:rsidRPr="00DF09B3">
        <w:rPr>
          <w:rStyle w:val="Refdenotaalpie"/>
          <w:rFonts w:ascii="Arial" w:hAnsi="Arial" w:cs="Arial"/>
        </w:rPr>
        <w:footnoteRef/>
      </w:r>
      <w:r w:rsidRPr="00CE6C65">
        <w:rPr>
          <w:rFonts w:ascii="Arial" w:hAnsi="Arial" w:cs="Arial"/>
          <w:lang w:val="en-US"/>
        </w:rPr>
        <w:t xml:space="preserve"> Fls. 54-55 C2.</w:t>
      </w:r>
    </w:p>
  </w:footnote>
  <w:footnote w:id="10">
    <w:p w:rsidR="00AB04E3" w:rsidRPr="00CE6C65" w:rsidRDefault="00AB04E3" w:rsidP="00AB04E3">
      <w:pPr>
        <w:pStyle w:val="Textonotapie"/>
        <w:rPr>
          <w:rFonts w:ascii="Arial" w:hAnsi="Arial" w:cs="Arial"/>
          <w:lang w:val="en-US"/>
        </w:rPr>
      </w:pPr>
      <w:r w:rsidRPr="00DF09B3">
        <w:rPr>
          <w:rStyle w:val="Refdenotaalpie"/>
          <w:rFonts w:ascii="Arial" w:hAnsi="Arial" w:cs="Arial"/>
        </w:rPr>
        <w:footnoteRef/>
      </w:r>
      <w:r w:rsidRPr="00CE6C65">
        <w:rPr>
          <w:rFonts w:ascii="Arial" w:hAnsi="Arial" w:cs="Arial"/>
          <w:lang w:val="en-US"/>
        </w:rPr>
        <w:t xml:space="preserve"> Fls. 34-36 C2. </w:t>
      </w:r>
    </w:p>
  </w:footnote>
  <w:footnote w:id="11">
    <w:p w:rsidR="00312343" w:rsidRPr="00CE6C65" w:rsidRDefault="00312343" w:rsidP="00312343">
      <w:pPr>
        <w:pStyle w:val="Textonotapie"/>
        <w:rPr>
          <w:lang w:val="en-US"/>
        </w:rPr>
      </w:pPr>
      <w:r w:rsidRPr="00DF09B3">
        <w:rPr>
          <w:rStyle w:val="Refdenotaalpie"/>
          <w:rFonts w:ascii="Arial" w:hAnsi="Arial" w:cs="Arial"/>
        </w:rPr>
        <w:footnoteRef/>
      </w:r>
      <w:r w:rsidRPr="00CE6C65">
        <w:rPr>
          <w:rFonts w:ascii="Arial" w:hAnsi="Arial" w:cs="Arial"/>
          <w:lang w:val="en-US"/>
        </w:rPr>
        <w:t xml:space="preserve"> Fls. 36-37 C2. </w:t>
      </w:r>
    </w:p>
  </w:footnote>
  <w:footnote w:id="12">
    <w:p w:rsidR="00A2296A" w:rsidRPr="00CE6C65" w:rsidRDefault="00A2296A" w:rsidP="00A2296A">
      <w:pPr>
        <w:pStyle w:val="Textonotapie"/>
        <w:rPr>
          <w:rFonts w:ascii="Arial" w:hAnsi="Arial" w:cs="Arial"/>
          <w:lang w:val="en-US"/>
        </w:rPr>
      </w:pPr>
      <w:r w:rsidRPr="009B548D">
        <w:rPr>
          <w:rStyle w:val="Refdenotaalpie"/>
          <w:rFonts w:ascii="Arial" w:hAnsi="Arial" w:cs="Arial"/>
        </w:rPr>
        <w:footnoteRef/>
      </w:r>
      <w:r w:rsidRPr="00CE6C65">
        <w:rPr>
          <w:rFonts w:ascii="Arial" w:hAnsi="Arial" w:cs="Arial"/>
          <w:lang w:val="en-US"/>
        </w:rPr>
        <w:t xml:space="preserve"> Fl. 44 C2. </w:t>
      </w:r>
    </w:p>
  </w:footnote>
  <w:footnote w:id="13">
    <w:p w:rsidR="00A2296A" w:rsidRPr="00CE6C65" w:rsidRDefault="00A2296A" w:rsidP="00A2296A">
      <w:pPr>
        <w:pStyle w:val="Textonotapie"/>
        <w:rPr>
          <w:rFonts w:ascii="Arial" w:hAnsi="Arial" w:cs="Arial"/>
          <w:lang w:val="en-US"/>
        </w:rPr>
      </w:pPr>
      <w:r w:rsidRPr="009B548D">
        <w:rPr>
          <w:rStyle w:val="Refdenotaalpie"/>
          <w:rFonts w:ascii="Arial" w:hAnsi="Arial" w:cs="Arial"/>
        </w:rPr>
        <w:footnoteRef/>
      </w:r>
      <w:r w:rsidRPr="00CE6C65">
        <w:rPr>
          <w:rFonts w:ascii="Arial" w:hAnsi="Arial" w:cs="Arial"/>
          <w:lang w:val="en-US"/>
        </w:rPr>
        <w:t xml:space="preserve"> Fl. 53 C2.</w:t>
      </w:r>
    </w:p>
  </w:footnote>
  <w:footnote w:id="14">
    <w:p w:rsidR="00CD3DAA" w:rsidRPr="00DF09B3" w:rsidRDefault="00CD3DAA" w:rsidP="00C56E21">
      <w:pPr>
        <w:pStyle w:val="Textonotapie"/>
        <w:rPr>
          <w:rFonts w:ascii="Arial" w:hAnsi="Arial" w:cs="Arial"/>
          <w:lang w:val="es-CO"/>
        </w:rPr>
      </w:pPr>
      <w:r w:rsidRPr="00DF09B3">
        <w:rPr>
          <w:rStyle w:val="Refdenotaalpie"/>
          <w:rFonts w:ascii="Arial" w:hAnsi="Arial" w:cs="Arial"/>
        </w:rPr>
        <w:footnoteRef/>
      </w:r>
      <w:r w:rsidRPr="00DF09B3">
        <w:rPr>
          <w:rFonts w:ascii="Arial" w:hAnsi="Arial" w:cs="Arial"/>
        </w:rPr>
        <w:t xml:space="preserve"> </w:t>
      </w:r>
      <w:r w:rsidRPr="00DF09B3">
        <w:rPr>
          <w:rFonts w:ascii="Arial" w:hAnsi="Arial" w:cs="Arial"/>
          <w:lang w:val="es-CO"/>
        </w:rPr>
        <w:t>Fls. 54-55 C2.</w:t>
      </w:r>
    </w:p>
  </w:footnote>
  <w:footnote w:id="15">
    <w:p w:rsidR="00CD3DAA" w:rsidRPr="008C70CF" w:rsidRDefault="00CD3DAA" w:rsidP="00C56E21">
      <w:pPr>
        <w:pStyle w:val="Textonotapie"/>
        <w:rPr>
          <w:rFonts w:ascii="Arial" w:hAnsi="Arial" w:cs="Arial"/>
          <w:lang w:val="es-CO"/>
        </w:rPr>
      </w:pPr>
      <w:r w:rsidRPr="008C70CF">
        <w:rPr>
          <w:rStyle w:val="Refdenotaalpie"/>
          <w:rFonts w:ascii="Arial" w:hAnsi="Arial" w:cs="Arial"/>
        </w:rPr>
        <w:footnoteRef/>
      </w:r>
      <w:r w:rsidRPr="008C70CF">
        <w:rPr>
          <w:rFonts w:ascii="Arial" w:hAnsi="Arial" w:cs="Arial"/>
        </w:rPr>
        <w:t xml:space="preserve"> </w:t>
      </w:r>
      <w:r w:rsidRPr="008C70CF">
        <w:rPr>
          <w:rFonts w:ascii="Arial" w:hAnsi="Arial" w:cs="Arial"/>
          <w:lang w:val="es-CO"/>
        </w:rPr>
        <w:t>La presentación de dicho documento al plenario no fue objeto de petición</w:t>
      </w:r>
      <w:r>
        <w:rPr>
          <w:rFonts w:ascii="Arial" w:hAnsi="Arial" w:cs="Arial"/>
          <w:lang w:val="es-CO"/>
        </w:rPr>
        <w:t xml:space="preserve"> probatoria</w:t>
      </w:r>
      <w:r w:rsidRPr="008C70CF">
        <w:rPr>
          <w:rFonts w:ascii="Arial" w:hAnsi="Arial" w:cs="Arial"/>
          <w:lang w:val="es-CO"/>
        </w:rPr>
        <w:t xml:space="preserve"> por la parte actora ni en la demanda, ni en el escrito que la complementó. </w:t>
      </w:r>
    </w:p>
  </w:footnote>
  <w:footnote w:id="16">
    <w:p w:rsidR="00CD3DAA" w:rsidRPr="00CE6C65" w:rsidRDefault="00CD3DAA" w:rsidP="00C56E21">
      <w:pPr>
        <w:pStyle w:val="Textonotapie"/>
        <w:rPr>
          <w:rFonts w:ascii="Arial" w:hAnsi="Arial" w:cs="Arial"/>
          <w:lang w:val="en-US"/>
        </w:rPr>
      </w:pPr>
      <w:r w:rsidRPr="00B16673">
        <w:rPr>
          <w:rStyle w:val="Refdenotaalpie"/>
          <w:rFonts w:ascii="Arial" w:hAnsi="Arial" w:cs="Arial"/>
        </w:rPr>
        <w:footnoteRef/>
      </w:r>
      <w:r w:rsidRPr="00CE6C65">
        <w:rPr>
          <w:rFonts w:ascii="Arial" w:hAnsi="Arial" w:cs="Arial"/>
          <w:lang w:val="en-US"/>
        </w:rPr>
        <w:t xml:space="preserve"> Fls. 119-131 C2. </w:t>
      </w:r>
    </w:p>
  </w:footnote>
  <w:footnote w:id="17">
    <w:p w:rsidR="00CD3DAA" w:rsidRPr="00CE6C65" w:rsidRDefault="00CD3DAA" w:rsidP="00C56E21">
      <w:pPr>
        <w:pStyle w:val="Textonotapie"/>
        <w:rPr>
          <w:rFonts w:ascii="Arial" w:hAnsi="Arial" w:cs="Arial"/>
          <w:lang w:val="en-US"/>
        </w:rPr>
      </w:pPr>
      <w:r w:rsidRPr="00F85D21">
        <w:rPr>
          <w:rStyle w:val="Refdenotaalpie"/>
          <w:rFonts w:ascii="Arial" w:hAnsi="Arial" w:cs="Arial"/>
        </w:rPr>
        <w:footnoteRef/>
      </w:r>
      <w:r w:rsidRPr="00CE6C65">
        <w:rPr>
          <w:rFonts w:ascii="Arial" w:hAnsi="Arial" w:cs="Arial"/>
          <w:lang w:val="en-US"/>
        </w:rPr>
        <w:t xml:space="preserve"> Fl. 33-55 C3. </w:t>
      </w:r>
    </w:p>
  </w:footnote>
  <w:footnote w:id="18">
    <w:p w:rsidR="00CD3DAA" w:rsidRPr="00CE6C65" w:rsidRDefault="00CD3DAA" w:rsidP="00C56E21">
      <w:pPr>
        <w:pStyle w:val="Textonotapie"/>
        <w:rPr>
          <w:rFonts w:ascii="Arial" w:hAnsi="Arial" w:cs="Arial"/>
          <w:lang w:val="en-US"/>
        </w:rPr>
      </w:pPr>
      <w:r w:rsidRPr="00DF09B3">
        <w:rPr>
          <w:rStyle w:val="Refdenotaalpie"/>
          <w:rFonts w:ascii="Arial" w:hAnsi="Arial" w:cs="Arial"/>
        </w:rPr>
        <w:footnoteRef/>
      </w:r>
      <w:r w:rsidRPr="00CE6C65">
        <w:rPr>
          <w:rFonts w:ascii="Arial" w:hAnsi="Arial" w:cs="Arial"/>
          <w:lang w:val="en-US"/>
        </w:rPr>
        <w:t xml:space="preserve"> Fls. 34-36 C2. </w:t>
      </w:r>
    </w:p>
  </w:footnote>
  <w:footnote w:id="19">
    <w:p w:rsidR="00CD3DAA" w:rsidRPr="00ED4905" w:rsidRDefault="00CD3DAA" w:rsidP="00D26D92">
      <w:pPr>
        <w:pStyle w:val="Textonotapie"/>
        <w:jc w:val="both"/>
        <w:rPr>
          <w:rFonts w:ascii="Arial" w:hAnsi="Arial" w:cs="Arial"/>
          <w:lang w:val="es-CO"/>
        </w:rPr>
      </w:pPr>
      <w:r w:rsidRPr="00ED4905">
        <w:rPr>
          <w:rStyle w:val="Refdenotaalpie"/>
          <w:rFonts w:ascii="Arial" w:hAnsi="Arial" w:cs="Arial"/>
        </w:rPr>
        <w:footnoteRef/>
      </w:r>
      <w:r w:rsidRPr="00ED4905">
        <w:rPr>
          <w:rFonts w:ascii="Arial" w:hAnsi="Arial" w:cs="Arial"/>
        </w:rPr>
        <w:t xml:space="preserve"> </w:t>
      </w:r>
      <w:r w:rsidRPr="00ED4905">
        <w:rPr>
          <w:rFonts w:ascii="Arial" w:hAnsi="Arial" w:cs="Arial"/>
          <w:lang w:val="es-CO"/>
        </w:rPr>
        <w:t xml:space="preserve">Se dice en el texto de la adición </w:t>
      </w:r>
      <w:r>
        <w:rPr>
          <w:rFonts w:ascii="Arial" w:hAnsi="Arial" w:cs="Arial"/>
          <w:lang w:val="es-CO"/>
        </w:rPr>
        <w:t xml:space="preserve">No. 01 </w:t>
      </w:r>
      <w:r w:rsidRPr="00ED4905">
        <w:rPr>
          <w:rFonts w:ascii="Arial" w:hAnsi="Arial" w:cs="Arial"/>
          <w:lang w:val="es-CO"/>
        </w:rPr>
        <w:t>que las mayores cantidades de obra surgieron principalmente por la necesidad de reponer parte de la red hidrosanitaria</w:t>
      </w:r>
      <w:r>
        <w:rPr>
          <w:rFonts w:ascii="Arial" w:hAnsi="Arial" w:cs="Arial"/>
          <w:lang w:val="es-CO"/>
        </w:rPr>
        <w:t xml:space="preserve">, cuestión que releva que en realidad no se trató de mayores cantidades de obra sino de obras adicionales a las previstas originalmente y que consistieron en la reposición de las redes de alcantarillado. </w:t>
      </w:r>
    </w:p>
  </w:footnote>
  <w:footnote w:id="20">
    <w:p w:rsidR="00CD3DAA" w:rsidRPr="00B334D8" w:rsidRDefault="00CD3DAA" w:rsidP="00C56E21">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sidRPr="00B334D8">
        <w:rPr>
          <w:rFonts w:ascii="Arial" w:hAnsi="Arial" w:cs="Arial"/>
          <w:lang w:val="es-CO"/>
        </w:rPr>
        <w:t xml:space="preserve">Subsección C de la Sección Tercera del Consejo de Estado, 20 de octubre de 2014, Exp. 24.809, C.P. Jaime Orlando Santofimio Gamboa. </w:t>
      </w:r>
    </w:p>
    <w:p w:rsidR="00CD3DAA" w:rsidRPr="00B334D8" w:rsidRDefault="00CD3DAA" w:rsidP="00C56E21">
      <w:pPr>
        <w:pStyle w:val="Textonotapie"/>
        <w:jc w:val="both"/>
        <w:rPr>
          <w:rFonts w:ascii="Arial" w:hAnsi="Arial" w:cs="Arial"/>
          <w:lang w:val="es-CO"/>
        </w:rPr>
      </w:pPr>
    </w:p>
  </w:footnote>
  <w:footnote w:id="21">
    <w:p w:rsidR="00CD3DAA" w:rsidRPr="003316D7" w:rsidRDefault="00CD3DAA" w:rsidP="00C56E21">
      <w:pPr>
        <w:pStyle w:val="Textonotapie"/>
        <w:rPr>
          <w:lang w:val="es-CO"/>
        </w:rPr>
      </w:pPr>
      <w:r w:rsidRPr="00DF09B3">
        <w:rPr>
          <w:rStyle w:val="Refdenotaalpie"/>
          <w:rFonts w:ascii="Arial" w:hAnsi="Arial" w:cs="Arial"/>
        </w:rPr>
        <w:footnoteRef/>
      </w:r>
      <w:r w:rsidRPr="00DF09B3">
        <w:rPr>
          <w:rFonts w:ascii="Arial" w:hAnsi="Arial" w:cs="Arial"/>
        </w:rPr>
        <w:t xml:space="preserve"> </w:t>
      </w:r>
      <w:r w:rsidRPr="00DF09B3">
        <w:rPr>
          <w:rFonts w:ascii="Arial" w:hAnsi="Arial" w:cs="Arial"/>
          <w:lang w:val="es-CO"/>
        </w:rPr>
        <w:t>Fls. 36-37 C2.</w:t>
      </w:r>
      <w:r w:rsidRPr="003460FB">
        <w:rPr>
          <w:rFonts w:ascii="Arial" w:hAnsi="Arial" w:cs="Arial"/>
          <w:lang w:val="es-CO"/>
        </w:rPr>
        <w:t xml:space="preserve"> </w:t>
      </w:r>
    </w:p>
  </w:footnote>
  <w:footnote w:id="22">
    <w:p w:rsidR="00CD3DAA" w:rsidRPr="00B334D8" w:rsidRDefault="00CD3DAA" w:rsidP="00B73DD4">
      <w:pPr>
        <w:jc w:val="both"/>
        <w:rPr>
          <w:rFonts w:ascii="Arial" w:hAnsi="Arial" w:cs="Arial"/>
          <w:sz w:val="20"/>
          <w:szCs w:val="20"/>
          <w:lang w:val="es-CO" w:eastAsia="es-CO"/>
        </w:rPr>
      </w:pPr>
      <w:r w:rsidRPr="00B334D8">
        <w:rPr>
          <w:rStyle w:val="Refdenotaalpie"/>
          <w:rFonts w:ascii="Arial" w:hAnsi="Arial" w:cs="Arial"/>
          <w:sz w:val="20"/>
          <w:szCs w:val="20"/>
        </w:rPr>
        <w:footnoteRef/>
      </w:r>
      <w:r w:rsidRPr="00B334D8">
        <w:rPr>
          <w:rFonts w:ascii="Arial" w:hAnsi="Arial" w:cs="Arial"/>
          <w:sz w:val="20"/>
          <w:szCs w:val="20"/>
        </w:rPr>
        <w:t xml:space="preserve"> Sobre el particular ver sentencia</w:t>
      </w:r>
      <w:r w:rsidRPr="00B334D8">
        <w:rPr>
          <w:rFonts w:ascii="Arial" w:hAnsi="Arial" w:cs="Arial"/>
          <w:sz w:val="20"/>
          <w:szCs w:val="20"/>
          <w:lang w:val="es-CO" w:eastAsia="es-CO"/>
        </w:rPr>
        <w:t xml:space="preserve"> del Consejo de Estado, Sección Tercera, Subsección B, sentencia del 29 de octubre de 2012, exp. 21.429, M.P. Danilo Rojas Betancourth. </w:t>
      </w:r>
    </w:p>
    <w:p w:rsidR="00CD3DAA" w:rsidRPr="00B334D8" w:rsidRDefault="00CD3DAA" w:rsidP="00B73DD4">
      <w:pPr>
        <w:jc w:val="both"/>
        <w:rPr>
          <w:rFonts w:ascii="Arial" w:hAnsi="Arial" w:cs="Arial"/>
          <w:sz w:val="20"/>
          <w:szCs w:val="20"/>
        </w:rPr>
      </w:pPr>
    </w:p>
    <w:p w:rsidR="00CD3DAA" w:rsidRPr="00B334D8" w:rsidRDefault="00CD3DAA" w:rsidP="00B73DD4">
      <w:pPr>
        <w:jc w:val="both"/>
        <w:rPr>
          <w:rFonts w:ascii="Arial" w:hAnsi="Arial" w:cs="Arial"/>
          <w:i/>
          <w:sz w:val="20"/>
          <w:szCs w:val="20"/>
          <w:lang w:val="es-CO" w:eastAsia="es-CO"/>
        </w:rPr>
      </w:pPr>
      <w:r w:rsidRPr="00B334D8">
        <w:rPr>
          <w:rFonts w:ascii="Arial" w:hAnsi="Arial" w:cs="Arial"/>
          <w:i/>
          <w:sz w:val="20"/>
          <w:szCs w:val="20"/>
        </w:rPr>
        <w:t>“</w:t>
      </w:r>
      <w:r w:rsidRPr="00B334D8">
        <w:rPr>
          <w:rFonts w:ascii="Arial" w:hAnsi="Arial" w:cs="Arial"/>
          <w:i/>
          <w:sz w:val="20"/>
          <w:szCs w:val="20"/>
          <w:lang w:val="es-CO" w:eastAsia="es-CO"/>
        </w:rPr>
        <w:t>Por manera que la ahora demandante, en ejercicio de su autonomía privada y sin contrariar las normas imperativas, renunció a cualquier reconocimiento con ocasión de la extensión del plazo hasta el 20 de julio de 1990, acto dispositivo que resulta congruente con el artículo 15 del Código Civil, según el cual ‘podrán renunciarse los derechos conferidos por las leyes, con tal que solo miren el interés individual del renunciante, y que no esté prohibida la renuncia’.</w:t>
      </w:r>
    </w:p>
    <w:p w:rsidR="00CD3DAA" w:rsidRPr="00B334D8" w:rsidRDefault="00CD3DAA" w:rsidP="00B73DD4">
      <w:pPr>
        <w:jc w:val="both"/>
        <w:rPr>
          <w:rFonts w:ascii="Arial" w:hAnsi="Arial" w:cs="Arial"/>
          <w:i/>
          <w:sz w:val="20"/>
          <w:szCs w:val="20"/>
          <w:lang w:val="es-CO" w:eastAsia="es-CO"/>
        </w:rPr>
      </w:pPr>
    </w:p>
    <w:p w:rsidR="00CD3DAA" w:rsidRPr="00B334D8" w:rsidRDefault="00CD3DAA" w:rsidP="00B73DD4">
      <w:pPr>
        <w:jc w:val="both"/>
        <w:rPr>
          <w:rFonts w:ascii="Arial" w:hAnsi="Arial" w:cs="Arial"/>
          <w:i/>
          <w:sz w:val="20"/>
          <w:szCs w:val="20"/>
          <w:lang w:val="es-CO" w:eastAsia="es-CO"/>
        </w:rPr>
      </w:pPr>
      <w:r w:rsidRPr="00B334D8">
        <w:rPr>
          <w:rFonts w:ascii="Arial" w:hAnsi="Arial" w:cs="Arial"/>
          <w:i/>
          <w:sz w:val="20"/>
          <w:szCs w:val="20"/>
          <w:lang w:val="es-CO" w:eastAsia="es-CO"/>
        </w:rPr>
        <w:t>“58. Es decir, conjuntamente y de mutuo acuerdo Ecopetrol y Ley co Co. Ltda. hicieron los arreglos y tomaron las medidas que permitieron conjurar, superar y subsanar los hechos ajenos a ellas e imponderables que implicaron el retardo de la obra, sin que al realizar las respectivas prórrogas al contrato, la contratista hubiese reclamado en ellas los conceptos que ahora demanda como causantes de sobrecostos y de un desequilibrio económico del contrato. Esa es la intención común de las partes que se desprende de los acuerdos que sin reparos ni salvedades suscribieron para sobrellevar las dificultades acaecidas en el desarrollo de la relación negocial, de manera que no resultan procedentes reclamaciones posteriores para obtener reconocimientos de prestaciones emanadas del contrato, cuando no aparecen o no se hicieron en dichos actos.</w:t>
      </w:r>
    </w:p>
    <w:p w:rsidR="00CD3DAA" w:rsidRPr="00B334D8" w:rsidRDefault="00CD3DAA" w:rsidP="00B73DD4">
      <w:pPr>
        <w:jc w:val="both"/>
        <w:rPr>
          <w:rFonts w:ascii="Arial" w:hAnsi="Arial" w:cs="Arial"/>
          <w:i/>
          <w:sz w:val="20"/>
          <w:szCs w:val="20"/>
          <w:lang w:val="es-CO" w:eastAsia="es-CO"/>
        </w:rPr>
      </w:pPr>
    </w:p>
    <w:p w:rsidR="00CD3DAA" w:rsidRPr="00B334D8" w:rsidRDefault="00CD3DAA" w:rsidP="00B73DD4">
      <w:pPr>
        <w:jc w:val="both"/>
        <w:rPr>
          <w:rFonts w:ascii="Arial" w:hAnsi="Arial" w:cs="Arial"/>
          <w:i/>
          <w:sz w:val="20"/>
          <w:szCs w:val="20"/>
          <w:lang w:val="es-CO" w:eastAsia="es-CO"/>
        </w:rPr>
      </w:pPr>
      <w:r w:rsidRPr="00B334D8">
        <w:rPr>
          <w:rFonts w:ascii="Arial" w:hAnsi="Arial" w:cs="Arial"/>
          <w:i/>
          <w:sz w:val="20"/>
          <w:szCs w:val="20"/>
          <w:lang w:val="es-CO" w:eastAsia="es-CO"/>
        </w:rPr>
        <w:t>“(…)</w:t>
      </w:r>
      <w:r>
        <w:rPr>
          <w:rFonts w:ascii="Arial" w:hAnsi="Arial" w:cs="Arial"/>
          <w:i/>
          <w:sz w:val="20"/>
          <w:szCs w:val="20"/>
          <w:lang w:val="es-CO" w:eastAsia="es-CO"/>
        </w:rPr>
        <w:t>”</w:t>
      </w:r>
      <w:r w:rsidRPr="00B334D8">
        <w:rPr>
          <w:rFonts w:ascii="Arial" w:hAnsi="Arial" w:cs="Arial"/>
          <w:i/>
          <w:sz w:val="20"/>
          <w:szCs w:val="20"/>
          <w:lang w:val="es-CO" w:eastAsia="es-CO"/>
        </w:rPr>
        <w:t>.</w:t>
      </w:r>
    </w:p>
    <w:p w:rsidR="00CD3DAA" w:rsidRPr="00B334D8" w:rsidRDefault="00CD3DAA" w:rsidP="00B73DD4">
      <w:pPr>
        <w:jc w:val="both"/>
        <w:rPr>
          <w:rFonts w:ascii="Arial" w:hAnsi="Arial" w:cs="Arial"/>
          <w:i/>
          <w:sz w:val="20"/>
          <w:szCs w:val="20"/>
          <w:lang w:val="es-CO" w:eastAsia="es-CO"/>
        </w:rPr>
      </w:pPr>
    </w:p>
    <w:p w:rsidR="00CD3DAA" w:rsidRPr="00B334D8" w:rsidRDefault="00CD3DAA" w:rsidP="00B73DD4">
      <w:pPr>
        <w:jc w:val="both"/>
        <w:rPr>
          <w:rFonts w:ascii="Arial" w:hAnsi="Arial" w:cs="Arial"/>
          <w:i/>
          <w:sz w:val="20"/>
          <w:szCs w:val="20"/>
          <w:lang w:val="es-CO" w:eastAsia="es-CO"/>
        </w:rPr>
      </w:pPr>
      <w:r w:rsidRPr="00B334D8">
        <w:rPr>
          <w:rFonts w:ascii="Arial" w:hAnsi="Arial" w:cs="Arial"/>
          <w:i/>
          <w:sz w:val="20"/>
          <w:szCs w:val="20"/>
          <w:lang w:val="es-CO" w:eastAsia="es-CO"/>
        </w:rPr>
        <w:t>“61. Y en sentencia de 31 de agosto de 2011, indicó:</w:t>
      </w:r>
    </w:p>
    <w:p w:rsidR="00CD3DAA" w:rsidRPr="00B334D8" w:rsidRDefault="00CD3DAA" w:rsidP="00B73DD4">
      <w:pPr>
        <w:jc w:val="both"/>
        <w:rPr>
          <w:rFonts w:ascii="Arial" w:hAnsi="Arial" w:cs="Arial"/>
          <w:i/>
          <w:sz w:val="20"/>
          <w:szCs w:val="20"/>
          <w:lang w:val="es-CO" w:eastAsia="es-CO"/>
        </w:rPr>
      </w:pPr>
    </w:p>
    <w:p w:rsidR="00CD3DAA" w:rsidRPr="00B334D8" w:rsidRDefault="00CD3DAA" w:rsidP="00B73DD4">
      <w:pPr>
        <w:jc w:val="both"/>
        <w:rPr>
          <w:rFonts w:ascii="Arial" w:hAnsi="Arial" w:cs="Arial"/>
          <w:i/>
          <w:sz w:val="20"/>
          <w:szCs w:val="20"/>
          <w:lang w:val="es-CO" w:eastAsia="es-CO"/>
        </w:rPr>
      </w:pPr>
      <w:r w:rsidRPr="00B334D8">
        <w:rPr>
          <w:rFonts w:ascii="Arial" w:hAnsi="Arial" w:cs="Arial"/>
          <w:i/>
          <w:sz w:val="20"/>
          <w:szCs w:val="20"/>
          <w:lang w:val="es-CO" w:eastAsia="es-CO"/>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w:t>
      </w:r>
    </w:p>
    <w:p w:rsidR="00CD3DAA" w:rsidRPr="00B334D8" w:rsidRDefault="00CD3DAA" w:rsidP="00B73DD4">
      <w:pPr>
        <w:jc w:val="both"/>
        <w:rPr>
          <w:rFonts w:ascii="Arial" w:hAnsi="Arial" w:cs="Arial"/>
          <w:i/>
          <w:sz w:val="20"/>
          <w:szCs w:val="20"/>
          <w:lang w:val="es-CO" w:eastAsia="es-CO"/>
        </w:rPr>
      </w:pPr>
    </w:p>
    <w:p w:rsidR="00CD3DAA" w:rsidRPr="00B334D8" w:rsidRDefault="00CD3DAA" w:rsidP="00B73DD4">
      <w:pPr>
        <w:jc w:val="both"/>
        <w:rPr>
          <w:rFonts w:ascii="Arial" w:hAnsi="Arial" w:cs="Arial"/>
          <w:i/>
          <w:sz w:val="20"/>
          <w:szCs w:val="20"/>
          <w:lang w:val="es-CO" w:eastAsia="es-CO"/>
        </w:rPr>
      </w:pPr>
      <w:r w:rsidRPr="00B334D8">
        <w:rPr>
          <w:rFonts w:ascii="Arial" w:hAnsi="Arial" w:cs="Arial"/>
          <w:i/>
          <w:sz w:val="20"/>
          <w:szCs w:val="20"/>
          <w:lang w:val="es-CO" w:eastAsia="es-CO"/>
        </w:rPr>
        <w:t xml:space="preserve">‘Recuérdese que la aplicación de la buena fe en materia negocial implica para las partes la observancia de una conducta enmarcada dentro del contexto de los deberes de corrección, claridad recíproca lealtad que se deben los contratantes, para permitir la realización de los efectos finales buscados con el contrato’. </w:t>
      </w:r>
    </w:p>
    <w:p w:rsidR="00CD3DAA" w:rsidRPr="00B334D8" w:rsidRDefault="00CD3DAA" w:rsidP="00B73DD4">
      <w:pPr>
        <w:jc w:val="both"/>
        <w:rPr>
          <w:rFonts w:ascii="Arial" w:hAnsi="Arial" w:cs="Arial"/>
          <w:i/>
          <w:sz w:val="20"/>
          <w:szCs w:val="20"/>
          <w:lang w:val="es-CO" w:eastAsia="es-CO"/>
        </w:rPr>
      </w:pPr>
    </w:p>
    <w:p w:rsidR="00CD3DAA" w:rsidRPr="00B334D8" w:rsidRDefault="00CD3DAA" w:rsidP="00B73DD4">
      <w:pPr>
        <w:jc w:val="both"/>
        <w:rPr>
          <w:rFonts w:ascii="Arial" w:hAnsi="Arial" w:cs="Arial"/>
          <w:i/>
          <w:sz w:val="20"/>
          <w:szCs w:val="20"/>
          <w:lang w:val="es-CO" w:eastAsia="es-CO"/>
        </w:rPr>
      </w:pPr>
      <w:r w:rsidRPr="00B334D8">
        <w:rPr>
          <w:rFonts w:ascii="Arial" w:hAnsi="Arial" w:cs="Arial"/>
          <w:i/>
          <w:sz w:val="20"/>
          <w:szCs w:val="20"/>
          <w:lang w:val="es-CO" w:eastAsia="es-CO"/>
        </w:rPr>
        <w:t xml:space="preserve">“62. De acuerdo con el criterio jurisprudencial expuesto, la omisión o silencio en torno a las reclamaciones, reconocimientos, observaciones o salvedades por hechos previos conocidos a la fecha de suscripción de un contrato modificatorio, adicional o un acta de suspensión tiene por efecto el finiquito de los asuntos pendientes para las partes, no siendo posible discutir posteriormente esos hechos anteriores (excepto por vicios en el consentimiento), toda vez que no es lícito a las partes venir contra sus propios actos, o sea ‘venire contra factum propium non valet’, que se sustenta en la buena fe que debe imperar en las relaciones jurídicas. </w:t>
      </w:r>
    </w:p>
    <w:p w:rsidR="00CD3DAA" w:rsidRPr="00B334D8" w:rsidRDefault="00CD3DAA" w:rsidP="00B73DD4">
      <w:pPr>
        <w:jc w:val="both"/>
        <w:rPr>
          <w:rFonts w:ascii="Arial" w:hAnsi="Arial" w:cs="Arial"/>
          <w:i/>
          <w:sz w:val="20"/>
          <w:szCs w:val="20"/>
          <w:lang w:val="es-CO" w:eastAsia="es-CO"/>
        </w:rPr>
      </w:pPr>
    </w:p>
    <w:p w:rsidR="00CD3DAA" w:rsidRPr="00B334D8" w:rsidRDefault="00CD3DAA" w:rsidP="00B73DD4">
      <w:pPr>
        <w:jc w:val="both"/>
        <w:rPr>
          <w:rFonts w:ascii="Arial" w:hAnsi="Arial" w:cs="Arial"/>
          <w:i/>
          <w:sz w:val="20"/>
          <w:szCs w:val="20"/>
          <w:lang w:val="es-CO" w:eastAsia="es-CO"/>
        </w:rPr>
      </w:pPr>
      <w:r w:rsidRPr="00B334D8">
        <w:rPr>
          <w:rFonts w:ascii="Arial" w:hAnsi="Arial" w:cs="Arial"/>
          <w:i/>
          <w:sz w:val="20"/>
          <w:szCs w:val="20"/>
          <w:lang w:val="es-CO" w:eastAsia="es-CO"/>
        </w:rPr>
        <w:t xml:space="preserve">“63. Por lo tanto, respecto a los sobrecostos reclamados por una mayor permanencia en obra, considera la Sala que no pueden prosperar las pretensiones de la actora, dado que, como ya se observó, la ampliación del plazo, así como los motivos y causas que originaron el mayor tiempo del contrato quedaron consignados en negocios jurídicos adicionales que concretaron las postergaciones de las cuales pretende ahora percibir beneficios indemnizatorios y de los que sólo vino a dar cuenta luego de su perfeccionamiento y a cuantificar una vez finalizado el plazo de ejecución del contrato, máxime cuando en los mismos hizo expresa renuncia de reclamaciones por los hechos que dieron lugar a su celebración”. </w:t>
      </w:r>
    </w:p>
    <w:p w:rsidR="00CD3DAA" w:rsidRPr="008B1EC2" w:rsidRDefault="00CD3DAA" w:rsidP="00B73DD4">
      <w:pPr>
        <w:pStyle w:val="Textonotapie"/>
        <w:rPr>
          <w:lang w:val="es-CO"/>
        </w:rPr>
      </w:pPr>
    </w:p>
  </w:footnote>
  <w:footnote w:id="23">
    <w:p w:rsidR="00CD3DAA" w:rsidRPr="0096141A" w:rsidRDefault="00CD3DAA" w:rsidP="00CC2FCB">
      <w:pPr>
        <w:pStyle w:val="NormalWeb"/>
        <w:jc w:val="both"/>
        <w:rPr>
          <w:rFonts w:ascii="Arial" w:hAnsi="Arial" w:cs="Arial"/>
        </w:rPr>
      </w:pPr>
      <w:r w:rsidRPr="0096141A">
        <w:rPr>
          <w:rStyle w:val="Refdenotaalpie"/>
          <w:rFonts w:ascii="Arial" w:hAnsi="Arial" w:cs="Arial"/>
          <w:sz w:val="20"/>
          <w:szCs w:val="20"/>
        </w:rPr>
        <w:footnoteRef/>
      </w:r>
      <w:r w:rsidRPr="0096141A">
        <w:rPr>
          <w:rFonts w:ascii="Arial" w:hAnsi="Arial" w:cs="Arial"/>
          <w:sz w:val="20"/>
          <w:szCs w:val="20"/>
        </w:rPr>
        <w:t xml:space="preserve"> Sentencia proferida por la Subsección A del Consejo de Estado, el 29 de julio de 2015, dentro del expediente No. 41.008, C.P. (E) Hernán Andrade Rincón. “</w:t>
      </w:r>
      <w:r w:rsidRPr="0096141A">
        <w:rPr>
          <w:rFonts w:ascii="Arial" w:hAnsi="Arial" w:cs="Arial"/>
          <w:i/>
          <w:sz w:val="20"/>
          <w:szCs w:val="20"/>
        </w:rPr>
        <w:t>Sin embargo, las anteriores evidencias por si solas no acreditan que para el caso concreto del negocio jurídico identificado con el número 233, el demandante se hubiera visto afectado por el alto incremento de los costos del asfalto sólido presentado en el año 2000, pues para la demostración del grado de impacto en la economía del referido contrato por cuenta del aumento de precios, era indispe</w:t>
      </w:r>
      <w:r>
        <w:rPr>
          <w:rFonts w:ascii="Arial" w:hAnsi="Arial" w:cs="Arial"/>
          <w:i/>
          <w:sz w:val="20"/>
          <w:szCs w:val="20"/>
        </w:rPr>
        <w:t>nsable acreditar</w:t>
      </w:r>
      <w:r w:rsidRPr="0096141A">
        <w:rPr>
          <w:rFonts w:ascii="Arial" w:hAnsi="Arial" w:cs="Arial"/>
          <w:i/>
          <w:sz w:val="20"/>
          <w:szCs w:val="20"/>
        </w:rPr>
        <w:t xml:space="preserve"> el valor real que le costó la adquisición de ese producto. En otras palabras, no bastaba con acreditar, a través de los listados de precios oficiales el valor del asfalto para esa fecha, sino que debía demostrarse cuánto pagó el contratista por el mismo</w:t>
      </w:r>
      <w:r w:rsidRPr="0096141A">
        <w:rPr>
          <w:rFonts w:ascii="Arial" w:hAnsi="Arial" w:cs="Arial"/>
          <w:sz w:val="20"/>
          <w:szCs w:val="20"/>
        </w:rPr>
        <w:t xml:space="preserve">”. </w:t>
      </w:r>
    </w:p>
  </w:footnote>
  <w:footnote w:id="24">
    <w:p w:rsidR="00CD3DAA" w:rsidRPr="00DE44FC" w:rsidRDefault="00CD3DAA" w:rsidP="00DE44FC">
      <w:pPr>
        <w:pStyle w:val="Textonotapie"/>
        <w:jc w:val="both"/>
        <w:rPr>
          <w:rFonts w:ascii="Arial" w:hAnsi="Arial" w:cs="Arial"/>
          <w:lang w:val="es-CO"/>
        </w:rPr>
      </w:pPr>
      <w:r w:rsidRPr="00DE44FC">
        <w:rPr>
          <w:rStyle w:val="Refdenotaalpie"/>
          <w:rFonts w:ascii="Arial" w:hAnsi="Arial" w:cs="Arial"/>
        </w:rPr>
        <w:footnoteRef/>
      </w:r>
      <w:r w:rsidRPr="00DE44FC">
        <w:rPr>
          <w:rFonts w:ascii="Arial" w:hAnsi="Arial" w:cs="Arial"/>
        </w:rPr>
        <w:t xml:space="preserve"> </w:t>
      </w:r>
      <w:r w:rsidRPr="00DE44FC">
        <w:rPr>
          <w:rFonts w:ascii="Arial" w:hAnsi="Arial" w:cs="Arial"/>
          <w:lang w:val="es-CO"/>
        </w:rPr>
        <w:t>Se recuerda que en la motivación del Contrato Adicional No. 01 se anotó que la adic</w:t>
      </w:r>
      <w:r w:rsidR="00950347">
        <w:rPr>
          <w:rFonts w:ascii="Arial" w:hAnsi="Arial" w:cs="Arial"/>
          <w:lang w:val="es-CO"/>
        </w:rPr>
        <w:t>ión surgió principalmente por “l</w:t>
      </w:r>
      <w:r w:rsidRPr="00DE44FC">
        <w:rPr>
          <w:rFonts w:ascii="Arial" w:hAnsi="Arial" w:cs="Arial"/>
          <w:lang w:val="es-CO"/>
        </w:rPr>
        <w:t>a necesidad de reponer parte de la red hidrosanitaria existente”.</w:t>
      </w:r>
    </w:p>
  </w:footnote>
  <w:footnote w:id="25">
    <w:p w:rsidR="00CD3DAA" w:rsidRPr="00CE6C65" w:rsidRDefault="00CD3DAA">
      <w:pPr>
        <w:pStyle w:val="Textonotapie"/>
        <w:rPr>
          <w:rFonts w:ascii="Arial" w:hAnsi="Arial" w:cs="Arial"/>
          <w:lang w:val="en-US"/>
        </w:rPr>
      </w:pPr>
      <w:r w:rsidRPr="008325FB">
        <w:rPr>
          <w:rStyle w:val="Refdenotaalpie"/>
          <w:rFonts w:ascii="Arial" w:hAnsi="Arial" w:cs="Arial"/>
        </w:rPr>
        <w:footnoteRef/>
      </w:r>
      <w:r w:rsidRPr="00CE6C65">
        <w:rPr>
          <w:rFonts w:ascii="Arial" w:hAnsi="Arial" w:cs="Arial"/>
          <w:lang w:val="en-US"/>
        </w:rPr>
        <w:t xml:space="preserve"> Fls. 72-77 C2. </w:t>
      </w:r>
    </w:p>
  </w:footnote>
  <w:footnote w:id="26">
    <w:p w:rsidR="00CD3DAA" w:rsidRPr="00CE6C65" w:rsidRDefault="00CD3DAA">
      <w:pPr>
        <w:pStyle w:val="Textonotapie"/>
        <w:rPr>
          <w:rFonts w:ascii="Arial" w:hAnsi="Arial" w:cs="Arial"/>
          <w:lang w:val="en-US"/>
        </w:rPr>
      </w:pPr>
      <w:r w:rsidRPr="00EB43B0">
        <w:rPr>
          <w:rStyle w:val="Refdenotaalpie"/>
          <w:rFonts w:ascii="Arial" w:hAnsi="Arial" w:cs="Arial"/>
        </w:rPr>
        <w:footnoteRef/>
      </w:r>
      <w:r w:rsidRPr="00CE6C65">
        <w:rPr>
          <w:rFonts w:ascii="Arial" w:hAnsi="Arial" w:cs="Arial"/>
          <w:lang w:val="en-US"/>
        </w:rPr>
        <w:t xml:space="preserve"> Fl. 6 C3. </w:t>
      </w:r>
    </w:p>
  </w:footnote>
  <w:footnote w:id="27">
    <w:p w:rsidR="00CD3DAA" w:rsidRPr="00CE6C65" w:rsidRDefault="00CD3DAA">
      <w:pPr>
        <w:pStyle w:val="Textonotapie"/>
        <w:rPr>
          <w:rFonts w:ascii="Arial" w:hAnsi="Arial" w:cs="Arial"/>
          <w:lang w:val="en-US"/>
        </w:rPr>
      </w:pPr>
      <w:r w:rsidRPr="00A351FD">
        <w:rPr>
          <w:rStyle w:val="Refdenotaalpie"/>
          <w:rFonts w:ascii="Arial" w:hAnsi="Arial" w:cs="Arial"/>
        </w:rPr>
        <w:footnoteRef/>
      </w:r>
      <w:r w:rsidRPr="00CE6C65">
        <w:rPr>
          <w:rFonts w:ascii="Arial" w:hAnsi="Arial" w:cs="Arial"/>
          <w:lang w:val="en-US"/>
        </w:rPr>
        <w:t xml:space="preserve"> Fls. 10-11 C3. </w:t>
      </w:r>
    </w:p>
  </w:footnote>
  <w:footnote w:id="28">
    <w:p w:rsidR="00CD3DAA" w:rsidRPr="00CE6C65" w:rsidRDefault="00CD3DAA">
      <w:pPr>
        <w:pStyle w:val="Textonotapie"/>
        <w:rPr>
          <w:rFonts w:ascii="Arial" w:hAnsi="Arial" w:cs="Arial"/>
          <w:lang w:val="en-US"/>
        </w:rPr>
      </w:pPr>
      <w:r w:rsidRPr="00A351FD">
        <w:rPr>
          <w:rStyle w:val="Refdenotaalpie"/>
          <w:rFonts w:ascii="Arial" w:hAnsi="Arial" w:cs="Arial"/>
        </w:rPr>
        <w:footnoteRef/>
      </w:r>
      <w:r w:rsidRPr="00CE6C65">
        <w:rPr>
          <w:rFonts w:ascii="Arial" w:hAnsi="Arial" w:cs="Arial"/>
          <w:lang w:val="en-US"/>
        </w:rPr>
        <w:t xml:space="preserve"> Fls. 17 C3. </w:t>
      </w:r>
    </w:p>
  </w:footnote>
  <w:footnote w:id="29">
    <w:p w:rsidR="00CD3DAA" w:rsidRPr="00CE6C65" w:rsidRDefault="00CD3DAA">
      <w:pPr>
        <w:pStyle w:val="Textonotapie"/>
        <w:rPr>
          <w:rFonts w:ascii="Arial" w:hAnsi="Arial" w:cs="Arial"/>
          <w:lang w:val="en-US"/>
        </w:rPr>
      </w:pPr>
      <w:r w:rsidRPr="00A351FD">
        <w:rPr>
          <w:rStyle w:val="Refdenotaalpie"/>
          <w:rFonts w:ascii="Arial" w:hAnsi="Arial" w:cs="Arial"/>
        </w:rPr>
        <w:footnoteRef/>
      </w:r>
      <w:r w:rsidRPr="00CE6C65">
        <w:rPr>
          <w:rFonts w:ascii="Arial" w:hAnsi="Arial" w:cs="Arial"/>
          <w:lang w:val="en-US"/>
        </w:rPr>
        <w:t xml:space="preserve"> Fl. 21 C3. </w:t>
      </w:r>
    </w:p>
  </w:footnote>
  <w:footnote w:id="30">
    <w:p w:rsidR="00CD3DAA" w:rsidRPr="00CE6C65" w:rsidRDefault="00CD3DAA">
      <w:pPr>
        <w:pStyle w:val="Textonotapie"/>
        <w:rPr>
          <w:lang w:val="en-US"/>
        </w:rPr>
      </w:pPr>
      <w:r w:rsidRPr="00A351FD">
        <w:rPr>
          <w:rStyle w:val="Refdenotaalpie"/>
          <w:rFonts w:ascii="Arial" w:hAnsi="Arial" w:cs="Arial"/>
        </w:rPr>
        <w:footnoteRef/>
      </w:r>
      <w:r w:rsidRPr="00CE6C65">
        <w:rPr>
          <w:rFonts w:ascii="Arial" w:hAnsi="Arial" w:cs="Arial"/>
          <w:lang w:val="en-US"/>
        </w:rPr>
        <w:t xml:space="preserve"> Fl. 22 C3.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46F3C"/>
    <w:multiLevelType w:val="hybridMultilevel"/>
    <w:tmpl w:val="1B283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6A778E"/>
    <w:multiLevelType w:val="hybridMultilevel"/>
    <w:tmpl w:val="32DA449C"/>
    <w:lvl w:ilvl="0" w:tplc="BC2C8EA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34316688"/>
    <w:multiLevelType w:val="hybridMultilevel"/>
    <w:tmpl w:val="7FAA1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7146CA"/>
    <w:multiLevelType w:val="hybridMultilevel"/>
    <w:tmpl w:val="4A809EDA"/>
    <w:lvl w:ilvl="0" w:tplc="F104A6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2077AA"/>
    <w:multiLevelType w:val="hybridMultilevel"/>
    <w:tmpl w:val="02BC2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843792"/>
    <w:multiLevelType w:val="hybridMultilevel"/>
    <w:tmpl w:val="41AE0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7852DDB"/>
    <w:multiLevelType w:val="hybridMultilevel"/>
    <w:tmpl w:val="D864058A"/>
    <w:lvl w:ilvl="0" w:tplc="39EC9B06">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A10244"/>
    <w:multiLevelType w:val="hybridMultilevel"/>
    <w:tmpl w:val="E77882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F37126"/>
    <w:multiLevelType w:val="hybridMultilevel"/>
    <w:tmpl w:val="D3249532"/>
    <w:lvl w:ilvl="0" w:tplc="240A0017">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3" w15:restartNumberingAfterBreak="0">
    <w:nsid w:val="75201F23"/>
    <w:multiLevelType w:val="hybridMultilevel"/>
    <w:tmpl w:val="5AA02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72B7D0F"/>
    <w:multiLevelType w:val="hybridMultilevel"/>
    <w:tmpl w:val="848C9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1"/>
  </w:num>
  <w:num w:numId="5">
    <w:abstractNumId w:val="13"/>
  </w:num>
  <w:num w:numId="6">
    <w:abstractNumId w:val="12"/>
  </w:num>
  <w:num w:numId="7">
    <w:abstractNumId w:val="10"/>
  </w:num>
  <w:num w:numId="8">
    <w:abstractNumId w:val="9"/>
  </w:num>
  <w:num w:numId="9">
    <w:abstractNumId w:val="4"/>
  </w:num>
  <w:num w:numId="10">
    <w:abstractNumId w:val="2"/>
  </w:num>
  <w:num w:numId="11">
    <w:abstractNumId w:val="6"/>
  </w:num>
  <w:num w:numId="12">
    <w:abstractNumId w:val="5"/>
  </w:num>
  <w:num w:numId="13">
    <w:abstractNumId w:val="7"/>
  </w:num>
  <w:num w:numId="14">
    <w:abstractNumId w:val="14"/>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40"/>
    <w:rsid w:val="000008D7"/>
    <w:rsid w:val="00000B75"/>
    <w:rsid w:val="00000BE9"/>
    <w:rsid w:val="0000349F"/>
    <w:rsid w:val="000035F0"/>
    <w:rsid w:val="00003640"/>
    <w:rsid w:val="00003BF7"/>
    <w:rsid w:val="00003C98"/>
    <w:rsid w:val="00004B50"/>
    <w:rsid w:val="00005097"/>
    <w:rsid w:val="00006CE6"/>
    <w:rsid w:val="000079E7"/>
    <w:rsid w:val="000105E2"/>
    <w:rsid w:val="0001137D"/>
    <w:rsid w:val="00011697"/>
    <w:rsid w:val="00012182"/>
    <w:rsid w:val="00012637"/>
    <w:rsid w:val="0001274D"/>
    <w:rsid w:val="0001289B"/>
    <w:rsid w:val="00012BC8"/>
    <w:rsid w:val="00012FE4"/>
    <w:rsid w:val="00015789"/>
    <w:rsid w:val="00015CFC"/>
    <w:rsid w:val="00015F04"/>
    <w:rsid w:val="00016034"/>
    <w:rsid w:val="00016B3C"/>
    <w:rsid w:val="00016F08"/>
    <w:rsid w:val="00017251"/>
    <w:rsid w:val="00017515"/>
    <w:rsid w:val="0001768B"/>
    <w:rsid w:val="000210EF"/>
    <w:rsid w:val="00022B06"/>
    <w:rsid w:val="00023936"/>
    <w:rsid w:val="00024264"/>
    <w:rsid w:val="00025157"/>
    <w:rsid w:val="00025736"/>
    <w:rsid w:val="00026464"/>
    <w:rsid w:val="00030185"/>
    <w:rsid w:val="00030F45"/>
    <w:rsid w:val="00032EA7"/>
    <w:rsid w:val="00033179"/>
    <w:rsid w:val="000340E8"/>
    <w:rsid w:val="00034146"/>
    <w:rsid w:val="00034370"/>
    <w:rsid w:val="000403D1"/>
    <w:rsid w:val="00042FAF"/>
    <w:rsid w:val="00043EC0"/>
    <w:rsid w:val="00043ED9"/>
    <w:rsid w:val="00044873"/>
    <w:rsid w:val="00044B23"/>
    <w:rsid w:val="00044EF9"/>
    <w:rsid w:val="0004528C"/>
    <w:rsid w:val="00045343"/>
    <w:rsid w:val="00045D7B"/>
    <w:rsid w:val="0004665D"/>
    <w:rsid w:val="000479A0"/>
    <w:rsid w:val="00047A5F"/>
    <w:rsid w:val="00051619"/>
    <w:rsid w:val="00051800"/>
    <w:rsid w:val="000539DF"/>
    <w:rsid w:val="00054617"/>
    <w:rsid w:val="00054F05"/>
    <w:rsid w:val="00055A0D"/>
    <w:rsid w:val="00056025"/>
    <w:rsid w:val="0005670C"/>
    <w:rsid w:val="00057315"/>
    <w:rsid w:val="00060173"/>
    <w:rsid w:val="00061C60"/>
    <w:rsid w:val="00061F71"/>
    <w:rsid w:val="00063215"/>
    <w:rsid w:val="00064C50"/>
    <w:rsid w:val="000651C4"/>
    <w:rsid w:val="000655F0"/>
    <w:rsid w:val="00066372"/>
    <w:rsid w:val="0006651F"/>
    <w:rsid w:val="000667E9"/>
    <w:rsid w:val="00066FB3"/>
    <w:rsid w:val="0007015B"/>
    <w:rsid w:val="0007076F"/>
    <w:rsid w:val="00071B2F"/>
    <w:rsid w:val="00071B61"/>
    <w:rsid w:val="00071C34"/>
    <w:rsid w:val="00072F28"/>
    <w:rsid w:val="00072F48"/>
    <w:rsid w:val="000732E4"/>
    <w:rsid w:val="00074009"/>
    <w:rsid w:val="000741BA"/>
    <w:rsid w:val="00074782"/>
    <w:rsid w:val="00075AD4"/>
    <w:rsid w:val="0007607F"/>
    <w:rsid w:val="0007733C"/>
    <w:rsid w:val="0008053E"/>
    <w:rsid w:val="000825C9"/>
    <w:rsid w:val="00083399"/>
    <w:rsid w:val="00083DD4"/>
    <w:rsid w:val="000841BE"/>
    <w:rsid w:val="00084675"/>
    <w:rsid w:val="000864B3"/>
    <w:rsid w:val="0008680F"/>
    <w:rsid w:val="00091098"/>
    <w:rsid w:val="00092CC8"/>
    <w:rsid w:val="00092DAD"/>
    <w:rsid w:val="00093626"/>
    <w:rsid w:val="00095039"/>
    <w:rsid w:val="00095152"/>
    <w:rsid w:val="00096244"/>
    <w:rsid w:val="00096EA3"/>
    <w:rsid w:val="00097BE6"/>
    <w:rsid w:val="000A178C"/>
    <w:rsid w:val="000A17EF"/>
    <w:rsid w:val="000A28E5"/>
    <w:rsid w:val="000A31F1"/>
    <w:rsid w:val="000A39C9"/>
    <w:rsid w:val="000A3E88"/>
    <w:rsid w:val="000A3F60"/>
    <w:rsid w:val="000A46CE"/>
    <w:rsid w:val="000A4E0E"/>
    <w:rsid w:val="000A5507"/>
    <w:rsid w:val="000A5C74"/>
    <w:rsid w:val="000A649E"/>
    <w:rsid w:val="000B1EE4"/>
    <w:rsid w:val="000B487C"/>
    <w:rsid w:val="000C0FE7"/>
    <w:rsid w:val="000C2CE6"/>
    <w:rsid w:val="000C2E5C"/>
    <w:rsid w:val="000C33FD"/>
    <w:rsid w:val="000C3E4B"/>
    <w:rsid w:val="000C4B12"/>
    <w:rsid w:val="000C4B44"/>
    <w:rsid w:val="000C538A"/>
    <w:rsid w:val="000C591A"/>
    <w:rsid w:val="000C60EC"/>
    <w:rsid w:val="000C7074"/>
    <w:rsid w:val="000D1368"/>
    <w:rsid w:val="000D19A4"/>
    <w:rsid w:val="000D1B28"/>
    <w:rsid w:val="000D3A06"/>
    <w:rsid w:val="000D402F"/>
    <w:rsid w:val="000D6EF2"/>
    <w:rsid w:val="000D7676"/>
    <w:rsid w:val="000E25AD"/>
    <w:rsid w:val="000E3002"/>
    <w:rsid w:val="000E34D1"/>
    <w:rsid w:val="000E3887"/>
    <w:rsid w:val="000E45FC"/>
    <w:rsid w:val="000E4E22"/>
    <w:rsid w:val="000E5204"/>
    <w:rsid w:val="000E58AF"/>
    <w:rsid w:val="000E636D"/>
    <w:rsid w:val="000E66B4"/>
    <w:rsid w:val="000E6DDD"/>
    <w:rsid w:val="000E73DC"/>
    <w:rsid w:val="000E7426"/>
    <w:rsid w:val="000F0273"/>
    <w:rsid w:val="000F04DF"/>
    <w:rsid w:val="000F10DB"/>
    <w:rsid w:val="000F21A5"/>
    <w:rsid w:val="000F23D0"/>
    <w:rsid w:val="000F3E2E"/>
    <w:rsid w:val="000F3F2A"/>
    <w:rsid w:val="000F4ECB"/>
    <w:rsid w:val="000F539E"/>
    <w:rsid w:val="000F5F78"/>
    <w:rsid w:val="000F6C29"/>
    <w:rsid w:val="00101138"/>
    <w:rsid w:val="001025D1"/>
    <w:rsid w:val="001032CE"/>
    <w:rsid w:val="001038BF"/>
    <w:rsid w:val="00104D8A"/>
    <w:rsid w:val="001052F2"/>
    <w:rsid w:val="00105784"/>
    <w:rsid w:val="00105D76"/>
    <w:rsid w:val="00106326"/>
    <w:rsid w:val="00107850"/>
    <w:rsid w:val="00111D02"/>
    <w:rsid w:val="0011365D"/>
    <w:rsid w:val="00113948"/>
    <w:rsid w:val="001143BC"/>
    <w:rsid w:val="0011475C"/>
    <w:rsid w:val="00115B20"/>
    <w:rsid w:val="00120152"/>
    <w:rsid w:val="00120696"/>
    <w:rsid w:val="00121C97"/>
    <w:rsid w:val="00122545"/>
    <w:rsid w:val="001235F3"/>
    <w:rsid w:val="00124515"/>
    <w:rsid w:val="00127A1B"/>
    <w:rsid w:val="0013209E"/>
    <w:rsid w:val="00132550"/>
    <w:rsid w:val="001329A9"/>
    <w:rsid w:val="001337AC"/>
    <w:rsid w:val="00133CDD"/>
    <w:rsid w:val="0013506A"/>
    <w:rsid w:val="0013588D"/>
    <w:rsid w:val="00135F13"/>
    <w:rsid w:val="00137360"/>
    <w:rsid w:val="00137F92"/>
    <w:rsid w:val="0014062C"/>
    <w:rsid w:val="00141FD7"/>
    <w:rsid w:val="0014246F"/>
    <w:rsid w:val="0014278C"/>
    <w:rsid w:val="00143ABE"/>
    <w:rsid w:val="001454F5"/>
    <w:rsid w:val="0014661B"/>
    <w:rsid w:val="0014763F"/>
    <w:rsid w:val="00153451"/>
    <w:rsid w:val="00153538"/>
    <w:rsid w:val="001536A6"/>
    <w:rsid w:val="001539A1"/>
    <w:rsid w:val="00154D37"/>
    <w:rsid w:val="0015646A"/>
    <w:rsid w:val="00156479"/>
    <w:rsid w:val="001569B0"/>
    <w:rsid w:val="00157CE4"/>
    <w:rsid w:val="0016123E"/>
    <w:rsid w:val="00161AE9"/>
    <w:rsid w:val="0016230D"/>
    <w:rsid w:val="00162595"/>
    <w:rsid w:val="001632B5"/>
    <w:rsid w:val="00163DFD"/>
    <w:rsid w:val="00163EE2"/>
    <w:rsid w:val="0016404C"/>
    <w:rsid w:val="00164275"/>
    <w:rsid w:val="001648A2"/>
    <w:rsid w:val="00165FCF"/>
    <w:rsid w:val="001661EE"/>
    <w:rsid w:val="00166250"/>
    <w:rsid w:val="00167088"/>
    <w:rsid w:val="00170FEA"/>
    <w:rsid w:val="00171921"/>
    <w:rsid w:val="00171D9B"/>
    <w:rsid w:val="001756A9"/>
    <w:rsid w:val="00175A8A"/>
    <w:rsid w:val="00175D5C"/>
    <w:rsid w:val="00176B9A"/>
    <w:rsid w:val="0017758F"/>
    <w:rsid w:val="0018260C"/>
    <w:rsid w:val="00182A58"/>
    <w:rsid w:val="00185DB8"/>
    <w:rsid w:val="001863C6"/>
    <w:rsid w:val="0019253D"/>
    <w:rsid w:val="001927CB"/>
    <w:rsid w:val="00193A02"/>
    <w:rsid w:val="00194D02"/>
    <w:rsid w:val="00197BBB"/>
    <w:rsid w:val="00197D94"/>
    <w:rsid w:val="001A01CC"/>
    <w:rsid w:val="001A0FA5"/>
    <w:rsid w:val="001A1C6A"/>
    <w:rsid w:val="001A2A94"/>
    <w:rsid w:val="001A3BCD"/>
    <w:rsid w:val="001A520C"/>
    <w:rsid w:val="001A52E5"/>
    <w:rsid w:val="001A5517"/>
    <w:rsid w:val="001A57AD"/>
    <w:rsid w:val="001A7869"/>
    <w:rsid w:val="001A7CA0"/>
    <w:rsid w:val="001B0194"/>
    <w:rsid w:val="001B071B"/>
    <w:rsid w:val="001B08D0"/>
    <w:rsid w:val="001B1E62"/>
    <w:rsid w:val="001B2E18"/>
    <w:rsid w:val="001B2F52"/>
    <w:rsid w:val="001B2FD6"/>
    <w:rsid w:val="001B30A1"/>
    <w:rsid w:val="001B33FE"/>
    <w:rsid w:val="001B3A19"/>
    <w:rsid w:val="001B3EC9"/>
    <w:rsid w:val="001B4A6F"/>
    <w:rsid w:val="001B5B5A"/>
    <w:rsid w:val="001B6E22"/>
    <w:rsid w:val="001B7124"/>
    <w:rsid w:val="001B7A72"/>
    <w:rsid w:val="001C234D"/>
    <w:rsid w:val="001C251A"/>
    <w:rsid w:val="001C359D"/>
    <w:rsid w:val="001C44B4"/>
    <w:rsid w:val="001C5D29"/>
    <w:rsid w:val="001C5D95"/>
    <w:rsid w:val="001C788D"/>
    <w:rsid w:val="001C79A5"/>
    <w:rsid w:val="001D3DB0"/>
    <w:rsid w:val="001D3FAB"/>
    <w:rsid w:val="001D742D"/>
    <w:rsid w:val="001E0776"/>
    <w:rsid w:val="001E14D2"/>
    <w:rsid w:val="001E1717"/>
    <w:rsid w:val="001E3311"/>
    <w:rsid w:val="001E3F32"/>
    <w:rsid w:val="001E412A"/>
    <w:rsid w:val="001E51AD"/>
    <w:rsid w:val="001E6A1A"/>
    <w:rsid w:val="001E7C01"/>
    <w:rsid w:val="001F0B35"/>
    <w:rsid w:val="001F3263"/>
    <w:rsid w:val="001F3D42"/>
    <w:rsid w:val="001F40F6"/>
    <w:rsid w:val="001F4E8A"/>
    <w:rsid w:val="001F5491"/>
    <w:rsid w:val="001F618F"/>
    <w:rsid w:val="001F61CE"/>
    <w:rsid w:val="001F65AD"/>
    <w:rsid w:val="001F6A4D"/>
    <w:rsid w:val="002000FC"/>
    <w:rsid w:val="00201009"/>
    <w:rsid w:val="002010C1"/>
    <w:rsid w:val="00201742"/>
    <w:rsid w:val="002029D2"/>
    <w:rsid w:val="002042BE"/>
    <w:rsid w:val="00205CA8"/>
    <w:rsid w:val="0020682F"/>
    <w:rsid w:val="00207977"/>
    <w:rsid w:val="00207BDD"/>
    <w:rsid w:val="002101E1"/>
    <w:rsid w:val="0021054E"/>
    <w:rsid w:val="00211F62"/>
    <w:rsid w:val="00211FB1"/>
    <w:rsid w:val="00212EB0"/>
    <w:rsid w:val="00213298"/>
    <w:rsid w:val="00214134"/>
    <w:rsid w:val="00214D27"/>
    <w:rsid w:val="00215423"/>
    <w:rsid w:val="00215AD1"/>
    <w:rsid w:val="002167E9"/>
    <w:rsid w:val="00216FFD"/>
    <w:rsid w:val="00220EBE"/>
    <w:rsid w:val="00220F5D"/>
    <w:rsid w:val="00221CE0"/>
    <w:rsid w:val="00222532"/>
    <w:rsid w:val="002234EE"/>
    <w:rsid w:val="00223774"/>
    <w:rsid w:val="00223888"/>
    <w:rsid w:val="00224A6B"/>
    <w:rsid w:val="0022537C"/>
    <w:rsid w:val="00225703"/>
    <w:rsid w:val="002258C4"/>
    <w:rsid w:val="002262A4"/>
    <w:rsid w:val="00226C1C"/>
    <w:rsid w:val="00230DB3"/>
    <w:rsid w:val="0023182E"/>
    <w:rsid w:val="002320AD"/>
    <w:rsid w:val="00232562"/>
    <w:rsid w:val="0023266B"/>
    <w:rsid w:val="00233C57"/>
    <w:rsid w:val="00234536"/>
    <w:rsid w:val="00235454"/>
    <w:rsid w:val="00236126"/>
    <w:rsid w:val="00237309"/>
    <w:rsid w:val="00241062"/>
    <w:rsid w:val="00241067"/>
    <w:rsid w:val="002417C6"/>
    <w:rsid w:val="00243AB1"/>
    <w:rsid w:val="00244324"/>
    <w:rsid w:val="00245AF0"/>
    <w:rsid w:val="00246674"/>
    <w:rsid w:val="00246677"/>
    <w:rsid w:val="00246EDB"/>
    <w:rsid w:val="002515E5"/>
    <w:rsid w:val="002522CA"/>
    <w:rsid w:val="002523D3"/>
    <w:rsid w:val="00252B95"/>
    <w:rsid w:val="00254343"/>
    <w:rsid w:val="00254A83"/>
    <w:rsid w:val="0025559A"/>
    <w:rsid w:val="002557D1"/>
    <w:rsid w:val="002561BE"/>
    <w:rsid w:val="00256519"/>
    <w:rsid w:val="0025679B"/>
    <w:rsid w:val="00257623"/>
    <w:rsid w:val="002609A1"/>
    <w:rsid w:val="00260EB9"/>
    <w:rsid w:val="002622CE"/>
    <w:rsid w:val="00262968"/>
    <w:rsid w:val="00262BCB"/>
    <w:rsid w:val="00264DC7"/>
    <w:rsid w:val="00267007"/>
    <w:rsid w:val="00267163"/>
    <w:rsid w:val="002677AA"/>
    <w:rsid w:val="00267BC4"/>
    <w:rsid w:val="0027041B"/>
    <w:rsid w:val="002711C9"/>
    <w:rsid w:val="00271472"/>
    <w:rsid w:val="00272BE9"/>
    <w:rsid w:val="00272D3E"/>
    <w:rsid w:val="00272F9F"/>
    <w:rsid w:val="00275E8B"/>
    <w:rsid w:val="002763DA"/>
    <w:rsid w:val="00276550"/>
    <w:rsid w:val="00276DD7"/>
    <w:rsid w:val="00277A44"/>
    <w:rsid w:val="00280343"/>
    <w:rsid w:val="0028096D"/>
    <w:rsid w:val="002821C8"/>
    <w:rsid w:val="00282B33"/>
    <w:rsid w:val="00282BE2"/>
    <w:rsid w:val="00283C6F"/>
    <w:rsid w:val="00283CCB"/>
    <w:rsid w:val="0028435A"/>
    <w:rsid w:val="002847BD"/>
    <w:rsid w:val="00284C10"/>
    <w:rsid w:val="00285178"/>
    <w:rsid w:val="002851B3"/>
    <w:rsid w:val="00286164"/>
    <w:rsid w:val="00286A0E"/>
    <w:rsid w:val="00286FEF"/>
    <w:rsid w:val="00290EAF"/>
    <w:rsid w:val="0029107C"/>
    <w:rsid w:val="002935FB"/>
    <w:rsid w:val="002937F4"/>
    <w:rsid w:val="00293E66"/>
    <w:rsid w:val="00293E8B"/>
    <w:rsid w:val="002944F9"/>
    <w:rsid w:val="002952D8"/>
    <w:rsid w:val="00296374"/>
    <w:rsid w:val="00296F46"/>
    <w:rsid w:val="00297050"/>
    <w:rsid w:val="00297E17"/>
    <w:rsid w:val="002A0722"/>
    <w:rsid w:val="002A0C85"/>
    <w:rsid w:val="002A13FB"/>
    <w:rsid w:val="002A1755"/>
    <w:rsid w:val="002A1AFF"/>
    <w:rsid w:val="002A3AFD"/>
    <w:rsid w:val="002A3EF8"/>
    <w:rsid w:val="002A42B7"/>
    <w:rsid w:val="002A5F29"/>
    <w:rsid w:val="002A64EE"/>
    <w:rsid w:val="002A6A1D"/>
    <w:rsid w:val="002B0CCB"/>
    <w:rsid w:val="002B2334"/>
    <w:rsid w:val="002B28CA"/>
    <w:rsid w:val="002B2F6B"/>
    <w:rsid w:val="002B3EFB"/>
    <w:rsid w:val="002B7405"/>
    <w:rsid w:val="002B7675"/>
    <w:rsid w:val="002C07E4"/>
    <w:rsid w:val="002C19F3"/>
    <w:rsid w:val="002C3266"/>
    <w:rsid w:val="002C3BC6"/>
    <w:rsid w:val="002C3CEE"/>
    <w:rsid w:val="002C4848"/>
    <w:rsid w:val="002C5232"/>
    <w:rsid w:val="002C62BA"/>
    <w:rsid w:val="002C69E8"/>
    <w:rsid w:val="002C6FEB"/>
    <w:rsid w:val="002C7B29"/>
    <w:rsid w:val="002D0C2B"/>
    <w:rsid w:val="002D0CBB"/>
    <w:rsid w:val="002D165D"/>
    <w:rsid w:val="002D23B1"/>
    <w:rsid w:val="002D23F3"/>
    <w:rsid w:val="002D25DF"/>
    <w:rsid w:val="002D6687"/>
    <w:rsid w:val="002D69E7"/>
    <w:rsid w:val="002D6D4F"/>
    <w:rsid w:val="002D7035"/>
    <w:rsid w:val="002D7BA2"/>
    <w:rsid w:val="002E03F1"/>
    <w:rsid w:val="002E28CC"/>
    <w:rsid w:val="002E2CF1"/>
    <w:rsid w:val="002E2CFE"/>
    <w:rsid w:val="002E4620"/>
    <w:rsid w:val="002E57D1"/>
    <w:rsid w:val="002E65BB"/>
    <w:rsid w:val="002E7B60"/>
    <w:rsid w:val="002F0D9A"/>
    <w:rsid w:val="002F106B"/>
    <w:rsid w:val="002F1F74"/>
    <w:rsid w:val="002F25AA"/>
    <w:rsid w:val="002F2DB1"/>
    <w:rsid w:val="002F3643"/>
    <w:rsid w:val="002F43F5"/>
    <w:rsid w:val="002F70DC"/>
    <w:rsid w:val="002F7111"/>
    <w:rsid w:val="00301B57"/>
    <w:rsid w:val="00301C90"/>
    <w:rsid w:val="003021DD"/>
    <w:rsid w:val="00302FA9"/>
    <w:rsid w:val="00303CBA"/>
    <w:rsid w:val="00303E91"/>
    <w:rsid w:val="00304788"/>
    <w:rsid w:val="003065E9"/>
    <w:rsid w:val="00306759"/>
    <w:rsid w:val="00306AA3"/>
    <w:rsid w:val="00307786"/>
    <w:rsid w:val="00307823"/>
    <w:rsid w:val="00310043"/>
    <w:rsid w:val="00311438"/>
    <w:rsid w:val="00311527"/>
    <w:rsid w:val="00311629"/>
    <w:rsid w:val="00312343"/>
    <w:rsid w:val="0031263C"/>
    <w:rsid w:val="003128A1"/>
    <w:rsid w:val="00312EBF"/>
    <w:rsid w:val="00312F4F"/>
    <w:rsid w:val="0031317F"/>
    <w:rsid w:val="00313670"/>
    <w:rsid w:val="00315A3E"/>
    <w:rsid w:val="00317742"/>
    <w:rsid w:val="003204F2"/>
    <w:rsid w:val="003207FA"/>
    <w:rsid w:val="00323813"/>
    <w:rsid w:val="003248F9"/>
    <w:rsid w:val="00324970"/>
    <w:rsid w:val="00324C30"/>
    <w:rsid w:val="00324F65"/>
    <w:rsid w:val="00330659"/>
    <w:rsid w:val="00330CF8"/>
    <w:rsid w:val="003316D7"/>
    <w:rsid w:val="0033299F"/>
    <w:rsid w:val="003330AC"/>
    <w:rsid w:val="00333B04"/>
    <w:rsid w:val="003360E9"/>
    <w:rsid w:val="003361BD"/>
    <w:rsid w:val="003376E9"/>
    <w:rsid w:val="00337858"/>
    <w:rsid w:val="0034052F"/>
    <w:rsid w:val="00340CFB"/>
    <w:rsid w:val="00341062"/>
    <w:rsid w:val="003418EF"/>
    <w:rsid w:val="00344377"/>
    <w:rsid w:val="0034503D"/>
    <w:rsid w:val="0034571E"/>
    <w:rsid w:val="0034575D"/>
    <w:rsid w:val="00345E52"/>
    <w:rsid w:val="00345E9D"/>
    <w:rsid w:val="003460FB"/>
    <w:rsid w:val="00346598"/>
    <w:rsid w:val="00346698"/>
    <w:rsid w:val="00346819"/>
    <w:rsid w:val="00346CE2"/>
    <w:rsid w:val="003478C9"/>
    <w:rsid w:val="00347EB3"/>
    <w:rsid w:val="00351915"/>
    <w:rsid w:val="003523D4"/>
    <w:rsid w:val="00352625"/>
    <w:rsid w:val="00353439"/>
    <w:rsid w:val="0035369F"/>
    <w:rsid w:val="00353E72"/>
    <w:rsid w:val="003544F8"/>
    <w:rsid w:val="003553C0"/>
    <w:rsid w:val="003554FE"/>
    <w:rsid w:val="003556F9"/>
    <w:rsid w:val="00355B49"/>
    <w:rsid w:val="0035639E"/>
    <w:rsid w:val="0035642A"/>
    <w:rsid w:val="003569EA"/>
    <w:rsid w:val="00357910"/>
    <w:rsid w:val="00357A58"/>
    <w:rsid w:val="00357F81"/>
    <w:rsid w:val="00360B84"/>
    <w:rsid w:val="00360C93"/>
    <w:rsid w:val="00360D20"/>
    <w:rsid w:val="00361CE2"/>
    <w:rsid w:val="0036216A"/>
    <w:rsid w:val="00362E8D"/>
    <w:rsid w:val="00363063"/>
    <w:rsid w:val="0036323C"/>
    <w:rsid w:val="003632AE"/>
    <w:rsid w:val="00364B0D"/>
    <w:rsid w:val="003662F4"/>
    <w:rsid w:val="003701B1"/>
    <w:rsid w:val="00372D4F"/>
    <w:rsid w:val="00373097"/>
    <w:rsid w:val="00373466"/>
    <w:rsid w:val="00374C16"/>
    <w:rsid w:val="00374F0D"/>
    <w:rsid w:val="0037520E"/>
    <w:rsid w:val="0037551F"/>
    <w:rsid w:val="0037730A"/>
    <w:rsid w:val="00377833"/>
    <w:rsid w:val="00381D1E"/>
    <w:rsid w:val="003825D9"/>
    <w:rsid w:val="003826CB"/>
    <w:rsid w:val="00382851"/>
    <w:rsid w:val="003832E7"/>
    <w:rsid w:val="003833FF"/>
    <w:rsid w:val="00384FB2"/>
    <w:rsid w:val="0038563A"/>
    <w:rsid w:val="00386FB7"/>
    <w:rsid w:val="00387A6F"/>
    <w:rsid w:val="0039052C"/>
    <w:rsid w:val="00390707"/>
    <w:rsid w:val="00393368"/>
    <w:rsid w:val="00393D2A"/>
    <w:rsid w:val="003940C9"/>
    <w:rsid w:val="00394686"/>
    <w:rsid w:val="00395CEF"/>
    <w:rsid w:val="00395F5E"/>
    <w:rsid w:val="00397684"/>
    <w:rsid w:val="003A098A"/>
    <w:rsid w:val="003A1F82"/>
    <w:rsid w:val="003A35CB"/>
    <w:rsid w:val="003A4991"/>
    <w:rsid w:val="003A4DA9"/>
    <w:rsid w:val="003A5F31"/>
    <w:rsid w:val="003A6657"/>
    <w:rsid w:val="003B0048"/>
    <w:rsid w:val="003B0815"/>
    <w:rsid w:val="003B0EF7"/>
    <w:rsid w:val="003B163B"/>
    <w:rsid w:val="003B1E50"/>
    <w:rsid w:val="003B2555"/>
    <w:rsid w:val="003B2B1D"/>
    <w:rsid w:val="003B4149"/>
    <w:rsid w:val="003B4243"/>
    <w:rsid w:val="003B5022"/>
    <w:rsid w:val="003B57D6"/>
    <w:rsid w:val="003B605B"/>
    <w:rsid w:val="003B7198"/>
    <w:rsid w:val="003C15AF"/>
    <w:rsid w:val="003C17EF"/>
    <w:rsid w:val="003C1A94"/>
    <w:rsid w:val="003C1CBE"/>
    <w:rsid w:val="003C50E4"/>
    <w:rsid w:val="003C62AF"/>
    <w:rsid w:val="003D0FD6"/>
    <w:rsid w:val="003D1692"/>
    <w:rsid w:val="003D2D57"/>
    <w:rsid w:val="003D2F21"/>
    <w:rsid w:val="003D4062"/>
    <w:rsid w:val="003D4CB0"/>
    <w:rsid w:val="003D5205"/>
    <w:rsid w:val="003D5F39"/>
    <w:rsid w:val="003D6561"/>
    <w:rsid w:val="003D6D3F"/>
    <w:rsid w:val="003D703E"/>
    <w:rsid w:val="003D7AA0"/>
    <w:rsid w:val="003E10AE"/>
    <w:rsid w:val="003E292F"/>
    <w:rsid w:val="003E348A"/>
    <w:rsid w:val="003E5E9C"/>
    <w:rsid w:val="003E691C"/>
    <w:rsid w:val="003F2DE8"/>
    <w:rsid w:val="003F312E"/>
    <w:rsid w:val="003F465B"/>
    <w:rsid w:val="003F4F15"/>
    <w:rsid w:val="003F659E"/>
    <w:rsid w:val="003F7F42"/>
    <w:rsid w:val="00400234"/>
    <w:rsid w:val="0040086B"/>
    <w:rsid w:val="00400A25"/>
    <w:rsid w:val="00403495"/>
    <w:rsid w:val="004036FA"/>
    <w:rsid w:val="00403F43"/>
    <w:rsid w:val="004049DC"/>
    <w:rsid w:val="004057AD"/>
    <w:rsid w:val="0040694B"/>
    <w:rsid w:val="0040718D"/>
    <w:rsid w:val="00407852"/>
    <w:rsid w:val="00407919"/>
    <w:rsid w:val="004105D9"/>
    <w:rsid w:val="00413B7B"/>
    <w:rsid w:val="0041499D"/>
    <w:rsid w:val="00414FFF"/>
    <w:rsid w:val="0041518C"/>
    <w:rsid w:val="0041548E"/>
    <w:rsid w:val="00415C6F"/>
    <w:rsid w:val="00416145"/>
    <w:rsid w:val="00417F3B"/>
    <w:rsid w:val="004203F8"/>
    <w:rsid w:val="00420D43"/>
    <w:rsid w:val="004227E8"/>
    <w:rsid w:val="00422B24"/>
    <w:rsid w:val="0042366F"/>
    <w:rsid w:val="00423A4D"/>
    <w:rsid w:val="00423D27"/>
    <w:rsid w:val="00426FE8"/>
    <w:rsid w:val="00427A57"/>
    <w:rsid w:val="00430A05"/>
    <w:rsid w:val="0043102B"/>
    <w:rsid w:val="00431C15"/>
    <w:rsid w:val="00431E59"/>
    <w:rsid w:val="00432C1A"/>
    <w:rsid w:val="004330AC"/>
    <w:rsid w:val="00433CB4"/>
    <w:rsid w:val="00433E26"/>
    <w:rsid w:val="00433E7D"/>
    <w:rsid w:val="00435591"/>
    <w:rsid w:val="00435B4C"/>
    <w:rsid w:val="00436B28"/>
    <w:rsid w:val="004375F3"/>
    <w:rsid w:val="0043775E"/>
    <w:rsid w:val="0044102A"/>
    <w:rsid w:val="00442409"/>
    <w:rsid w:val="00442756"/>
    <w:rsid w:val="004427C8"/>
    <w:rsid w:val="00443443"/>
    <w:rsid w:val="00443E73"/>
    <w:rsid w:val="00444305"/>
    <w:rsid w:val="004449AE"/>
    <w:rsid w:val="00445D39"/>
    <w:rsid w:val="00454A3A"/>
    <w:rsid w:val="00454C07"/>
    <w:rsid w:val="004555D5"/>
    <w:rsid w:val="00456807"/>
    <w:rsid w:val="0046034A"/>
    <w:rsid w:val="004614D5"/>
    <w:rsid w:val="00463487"/>
    <w:rsid w:val="00463E02"/>
    <w:rsid w:val="0046418C"/>
    <w:rsid w:val="0046475F"/>
    <w:rsid w:val="00464CEF"/>
    <w:rsid w:val="00465CE1"/>
    <w:rsid w:val="004663B5"/>
    <w:rsid w:val="004664F1"/>
    <w:rsid w:val="004666EF"/>
    <w:rsid w:val="00467B57"/>
    <w:rsid w:val="004700CB"/>
    <w:rsid w:val="00470B5C"/>
    <w:rsid w:val="00471673"/>
    <w:rsid w:val="004736A1"/>
    <w:rsid w:val="00473C6B"/>
    <w:rsid w:val="00473D90"/>
    <w:rsid w:val="00474C69"/>
    <w:rsid w:val="00474C79"/>
    <w:rsid w:val="00476353"/>
    <w:rsid w:val="00476403"/>
    <w:rsid w:val="00477E38"/>
    <w:rsid w:val="00482629"/>
    <w:rsid w:val="0048287C"/>
    <w:rsid w:val="00484F9B"/>
    <w:rsid w:val="00485C65"/>
    <w:rsid w:val="0048622E"/>
    <w:rsid w:val="00486BFC"/>
    <w:rsid w:val="0048757A"/>
    <w:rsid w:val="00487D1E"/>
    <w:rsid w:val="00490C65"/>
    <w:rsid w:val="004917B2"/>
    <w:rsid w:val="0049190A"/>
    <w:rsid w:val="004926C9"/>
    <w:rsid w:val="00493CEE"/>
    <w:rsid w:val="00493DA9"/>
    <w:rsid w:val="00493EA1"/>
    <w:rsid w:val="00496C23"/>
    <w:rsid w:val="00496C31"/>
    <w:rsid w:val="00497D67"/>
    <w:rsid w:val="004A0791"/>
    <w:rsid w:val="004A1B28"/>
    <w:rsid w:val="004A2DC8"/>
    <w:rsid w:val="004A3A36"/>
    <w:rsid w:val="004A3AD1"/>
    <w:rsid w:val="004A446E"/>
    <w:rsid w:val="004A4A0B"/>
    <w:rsid w:val="004A69D5"/>
    <w:rsid w:val="004A74DC"/>
    <w:rsid w:val="004B0A26"/>
    <w:rsid w:val="004B2113"/>
    <w:rsid w:val="004B2335"/>
    <w:rsid w:val="004B2766"/>
    <w:rsid w:val="004B2F62"/>
    <w:rsid w:val="004B53D9"/>
    <w:rsid w:val="004B53EE"/>
    <w:rsid w:val="004B6E58"/>
    <w:rsid w:val="004B7106"/>
    <w:rsid w:val="004B7BBF"/>
    <w:rsid w:val="004C2F2B"/>
    <w:rsid w:val="004C3A70"/>
    <w:rsid w:val="004C3E83"/>
    <w:rsid w:val="004C4BC5"/>
    <w:rsid w:val="004C4DA7"/>
    <w:rsid w:val="004C675F"/>
    <w:rsid w:val="004C69AA"/>
    <w:rsid w:val="004C6C8D"/>
    <w:rsid w:val="004D0997"/>
    <w:rsid w:val="004D1010"/>
    <w:rsid w:val="004D30A2"/>
    <w:rsid w:val="004D35F1"/>
    <w:rsid w:val="004D3921"/>
    <w:rsid w:val="004D45B8"/>
    <w:rsid w:val="004D59E2"/>
    <w:rsid w:val="004D62CE"/>
    <w:rsid w:val="004D6362"/>
    <w:rsid w:val="004D64C6"/>
    <w:rsid w:val="004E02AA"/>
    <w:rsid w:val="004E04AB"/>
    <w:rsid w:val="004E1462"/>
    <w:rsid w:val="004E3787"/>
    <w:rsid w:val="004E3F28"/>
    <w:rsid w:val="004E3F9D"/>
    <w:rsid w:val="004E5468"/>
    <w:rsid w:val="004E63C7"/>
    <w:rsid w:val="004F224C"/>
    <w:rsid w:val="004F234B"/>
    <w:rsid w:val="004F25D0"/>
    <w:rsid w:val="004F2ACE"/>
    <w:rsid w:val="004F2CBC"/>
    <w:rsid w:val="004F31E9"/>
    <w:rsid w:val="004F4468"/>
    <w:rsid w:val="004F472E"/>
    <w:rsid w:val="004F479E"/>
    <w:rsid w:val="004F54D5"/>
    <w:rsid w:val="004F60BA"/>
    <w:rsid w:val="004F636D"/>
    <w:rsid w:val="004F694F"/>
    <w:rsid w:val="005002EF"/>
    <w:rsid w:val="005006E4"/>
    <w:rsid w:val="005007BA"/>
    <w:rsid w:val="00501B6C"/>
    <w:rsid w:val="00501CBD"/>
    <w:rsid w:val="00502B4E"/>
    <w:rsid w:val="00502BA4"/>
    <w:rsid w:val="00503EA8"/>
    <w:rsid w:val="00504ACE"/>
    <w:rsid w:val="00505760"/>
    <w:rsid w:val="00507191"/>
    <w:rsid w:val="00510E8E"/>
    <w:rsid w:val="00511339"/>
    <w:rsid w:val="005116C8"/>
    <w:rsid w:val="005118AE"/>
    <w:rsid w:val="00511EF4"/>
    <w:rsid w:val="00512850"/>
    <w:rsid w:val="00513694"/>
    <w:rsid w:val="00513FC6"/>
    <w:rsid w:val="00516B1E"/>
    <w:rsid w:val="00517000"/>
    <w:rsid w:val="00520A3F"/>
    <w:rsid w:val="00521381"/>
    <w:rsid w:val="00521A1C"/>
    <w:rsid w:val="00522B8E"/>
    <w:rsid w:val="00524294"/>
    <w:rsid w:val="005246B8"/>
    <w:rsid w:val="00524FA2"/>
    <w:rsid w:val="0052699C"/>
    <w:rsid w:val="00526E0D"/>
    <w:rsid w:val="005270FB"/>
    <w:rsid w:val="00527100"/>
    <w:rsid w:val="00531D30"/>
    <w:rsid w:val="0053234C"/>
    <w:rsid w:val="00534AA1"/>
    <w:rsid w:val="00534DCB"/>
    <w:rsid w:val="00542C66"/>
    <w:rsid w:val="00542F0B"/>
    <w:rsid w:val="0054388C"/>
    <w:rsid w:val="005441FD"/>
    <w:rsid w:val="00544756"/>
    <w:rsid w:val="00544947"/>
    <w:rsid w:val="00544F28"/>
    <w:rsid w:val="005452BA"/>
    <w:rsid w:val="00547B89"/>
    <w:rsid w:val="0055033A"/>
    <w:rsid w:val="0055110A"/>
    <w:rsid w:val="00551295"/>
    <w:rsid w:val="005523CF"/>
    <w:rsid w:val="0055262B"/>
    <w:rsid w:val="00552F30"/>
    <w:rsid w:val="00553330"/>
    <w:rsid w:val="0055385E"/>
    <w:rsid w:val="005553F9"/>
    <w:rsid w:val="00555A64"/>
    <w:rsid w:val="00555BFF"/>
    <w:rsid w:val="00555C23"/>
    <w:rsid w:val="00555D69"/>
    <w:rsid w:val="00556233"/>
    <w:rsid w:val="0055698D"/>
    <w:rsid w:val="00557B9B"/>
    <w:rsid w:val="005610F0"/>
    <w:rsid w:val="00561E40"/>
    <w:rsid w:val="00564DA9"/>
    <w:rsid w:val="00565321"/>
    <w:rsid w:val="00565991"/>
    <w:rsid w:val="0056758C"/>
    <w:rsid w:val="005701E1"/>
    <w:rsid w:val="0057042A"/>
    <w:rsid w:val="0057116F"/>
    <w:rsid w:val="00571C39"/>
    <w:rsid w:val="00572DE0"/>
    <w:rsid w:val="005730F6"/>
    <w:rsid w:val="005734B6"/>
    <w:rsid w:val="0057397E"/>
    <w:rsid w:val="0057467E"/>
    <w:rsid w:val="0057471D"/>
    <w:rsid w:val="00574ED7"/>
    <w:rsid w:val="00575E5B"/>
    <w:rsid w:val="005775B4"/>
    <w:rsid w:val="00584157"/>
    <w:rsid w:val="00584630"/>
    <w:rsid w:val="0058518F"/>
    <w:rsid w:val="005901E0"/>
    <w:rsid w:val="00590ECC"/>
    <w:rsid w:val="0059125D"/>
    <w:rsid w:val="00591421"/>
    <w:rsid w:val="00592256"/>
    <w:rsid w:val="00593CAA"/>
    <w:rsid w:val="0059505E"/>
    <w:rsid w:val="005962E1"/>
    <w:rsid w:val="005977BA"/>
    <w:rsid w:val="00597E61"/>
    <w:rsid w:val="005A0A92"/>
    <w:rsid w:val="005A0B87"/>
    <w:rsid w:val="005A0D0D"/>
    <w:rsid w:val="005A0F40"/>
    <w:rsid w:val="005A1305"/>
    <w:rsid w:val="005A1891"/>
    <w:rsid w:val="005A1B1F"/>
    <w:rsid w:val="005A2942"/>
    <w:rsid w:val="005A41F1"/>
    <w:rsid w:val="005A470F"/>
    <w:rsid w:val="005A47E4"/>
    <w:rsid w:val="005A49D0"/>
    <w:rsid w:val="005B01D7"/>
    <w:rsid w:val="005B039B"/>
    <w:rsid w:val="005B078A"/>
    <w:rsid w:val="005B0C24"/>
    <w:rsid w:val="005B202D"/>
    <w:rsid w:val="005B2A4F"/>
    <w:rsid w:val="005B34AC"/>
    <w:rsid w:val="005B409D"/>
    <w:rsid w:val="005B41E0"/>
    <w:rsid w:val="005B461B"/>
    <w:rsid w:val="005B5E6D"/>
    <w:rsid w:val="005C0A85"/>
    <w:rsid w:val="005C1260"/>
    <w:rsid w:val="005C1861"/>
    <w:rsid w:val="005C2016"/>
    <w:rsid w:val="005C233C"/>
    <w:rsid w:val="005C323A"/>
    <w:rsid w:val="005C44E1"/>
    <w:rsid w:val="005C4A0D"/>
    <w:rsid w:val="005C5012"/>
    <w:rsid w:val="005C7EFA"/>
    <w:rsid w:val="005C7F11"/>
    <w:rsid w:val="005D0975"/>
    <w:rsid w:val="005D1F7B"/>
    <w:rsid w:val="005D385A"/>
    <w:rsid w:val="005D5F42"/>
    <w:rsid w:val="005D78F5"/>
    <w:rsid w:val="005E0B09"/>
    <w:rsid w:val="005F03F2"/>
    <w:rsid w:val="005F0420"/>
    <w:rsid w:val="005F1377"/>
    <w:rsid w:val="005F223E"/>
    <w:rsid w:val="005F2D5C"/>
    <w:rsid w:val="005F3868"/>
    <w:rsid w:val="005F49FC"/>
    <w:rsid w:val="005F4EDF"/>
    <w:rsid w:val="005F4F2F"/>
    <w:rsid w:val="005F509C"/>
    <w:rsid w:val="005F685F"/>
    <w:rsid w:val="005F7064"/>
    <w:rsid w:val="005F79F1"/>
    <w:rsid w:val="00601038"/>
    <w:rsid w:val="00601AED"/>
    <w:rsid w:val="00601AEF"/>
    <w:rsid w:val="00602709"/>
    <w:rsid w:val="00602749"/>
    <w:rsid w:val="00603C37"/>
    <w:rsid w:val="0060477B"/>
    <w:rsid w:val="006059DD"/>
    <w:rsid w:val="00605F25"/>
    <w:rsid w:val="0060603F"/>
    <w:rsid w:val="0060629D"/>
    <w:rsid w:val="00606969"/>
    <w:rsid w:val="00606B85"/>
    <w:rsid w:val="00606F5A"/>
    <w:rsid w:val="0060732B"/>
    <w:rsid w:val="00607885"/>
    <w:rsid w:val="00610E7D"/>
    <w:rsid w:val="006111AE"/>
    <w:rsid w:val="00611B58"/>
    <w:rsid w:val="00611F07"/>
    <w:rsid w:val="0061207A"/>
    <w:rsid w:val="006130CA"/>
    <w:rsid w:val="0061588C"/>
    <w:rsid w:val="00615994"/>
    <w:rsid w:val="00615BD7"/>
    <w:rsid w:val="00615E50"/>
    <w:rsid w:val="00615E89"/>
    <w:rsid w:val="0061724F"/>
    <w:rsid w:val="00617FEE"/>
    <w:rsid w:val="00620265"/>
    <w:rsid w:val="0062090C"/>
    <w:rsid w:val="00620A25"/>
    <w:rsid w:val="006220A5"/>
    <w:rsid w:val="006226CC"/>
    <w:rsid w:val="00623D9E"/>
    <w:rsid w:val="00624AFE"/>
    <w:rsid w:val="00624D4D"/>
    <w:rsid w:val="00625092"/>
    <w:rsid w:val="00625289"/>
    <w:rsid w:val="0062546E"/>
    <w:rsid w:val="00625776"/>
    <w:rsid w:val="00626C0F"/>
    <w:rsid w:val="00626CD2"/>
    <w:rsid w:val="006277FE"/>
    <w:rsid w:val="00627DD8"/>
    <w:rsid w:val="00630B41"/>
    <w:rsid w:val="00630CBB"/>
    <w:rsid w:val="00630E61"/>
    <w:rsid w:val="006318EF"/>
    <w:rsid w:val="00632A42"/>
    <w:rsid w:val="00633489"/>
    <w:rsid w:val="00634528"/>
    <w:rsid w:val="00634591"/>
    <w:rsid w:val="00635FA9"/>
    <w:rsid w:val="006418DF"/>
    <w:rsid w:val="00641B4D"/>
    <w:rsid w:val="00642021"/>
    <w:rsid w:val="00642958"/>
    <w:rsid w:val="00642C54"/>
    <w:rsid w:val="00644008"/>
    <w:rsid w:val="00644315"/>
    <w:rsid w:val="00644842"/>
    <w:rsid w:val="00645005"/>
    <w:rsid w:val="006453DB"/>
    <w:rsid w:val="00645F44"/>
    <w:rsid w:val="00646191"/>
    <w:rsid w:val="006471EB"/>
    <w:rsid w:val="0065333D"/>
    <w:rsid w:val="00653442"/>
    <w:rsid w:val="006541D7"/>
    <w:rsid w:val="0065796C"/>
    <w:rsid w:val="00657EBA"/>
    <w:rsid w:val="00657F12"/>
    <w:rsid w:val="0066007C"/>
    <w:rsid w:val="00660ADE"/>
    <w:rsid w:val="00662520"/>
    <w:rsid w:val="006630DD"/>
    <w:rsid w:val="00663196"/>
    <w:rsid w:val="00664648"/>
    <w:rsid w:val="00670533"/>
    <w:rsid w:val="006710D8"/>
    <w:rsid w:val="00671785"/>
    <w:rsid w:val="00671824"/>
    <w:rsid w:val="00671E3F"/>
    <w:rsid w:val="0067274B"/>
    <w:rsid w:val="006732AC"/>
    <w:rsid w:val="00674610"/>
    <w:rsid w:val="00674EAE"/>
    <w:rsid w:val="0067791A"/>
    <w:rsid w:val="0068135F"/>
    <w:rsid w:val="00681D2B"/>
    <w:rsid w:val="006832D7"/>
    <w:rsid w:val="006835B0"/>
    <w:rsid w:val="00683E88"/>
    <w:rsid w:val="00684051"/>
    <w:rsid w:val="006842FB"/>
    <w:rsid w:val="006855DC"/>
    <w:rsid w:val="006855FA"/>
    <w:rsid w:val="00685CC8"/>
    <w:rsid w:val="00685E33"/>
    <w:rsid w:val="0069011A"/>
    <w:rsid w:val="00690D1C"/>
    <w:rsid w:val="006911E3"/>
    <w:rsid w:val="006912BF"/>
    <w:rsid w:val="00692724"/>
    <w:rsid w:val="00692849"/>
    <w:rsid w:val="0069469A"/>
    <w:rsid w:val="00694924"/>
    <w:rsid w:val="0069559E"/>
    <w:rsid w:val="00695E57"/>
    <w:rsid w:val="006975E7"/>
    <w:rsid w:val="00697A9C"/>
    <w:rsid w:val="00697ED4"/>
    <w:rsid w:val="006A0EE4"/>
    <w:rsid w:val="006A164C"/>
    <w:rsid w:val="006A16E6"/>
    <w:rsid w:val="006A2237"/>
    <w:rsid w:val="006A4623"/>
    <w:rsid w:val="006A484E"/>
    <w:rsid w:val="006A5675"/>
    <w:rsid w:val="006A70DF"/>
    <w:rsid w:val="006B0652"/>
    <w:rsid w:val="006B1213"/>
    <w:rsid w:val="006B2276"/>
    <w:rsid w:val="006B22F5"/>
    <w:rsid w:val="006B39D9"/>
    <w:rsid w:val="006B3F64"/>
    <w:rsid w:val="006B5D53"/>
    <w:rsid w:val="006B6946"/>
    <w:rsid w:val="006C000F"/>
    <w:rsid w:val="006C0662"/>
    <w:rsid w:val="006C19FA"/>
    <w:rsid w:val="006C2E7E"/>
    <w:rsid w:val="006C46AC"/>
    <w:rsid w:val="006C4720"/>
    <w:rsid w:val="006C4CA2"/>
    <w:rsid w:val="006C5757"/>
    <w:rsid w:val="006C70BF"/>
    <w:rsid w:val="006C7597"/>
    <w:rsid w:val="006C7B36"/>
    <w:rsid w:val="006D0249"/>
    <w:rsid w:val="006D0F27"/>
    <w:rsid w:val="006D138C"/>
    <w:rsid w:val="006D149C"/>
    <w:rsid w:val="006D1C5F"/>
    <w:rsid w:val="006D2345"/>
    <w:rsid w:val="006D2B3D"/>
    <w:rsid w:val="006D37D5"/>
    <w:rsid w:val="006D42DA"/>
    <w:rsid w:val="006E048A"/>
    <w:rsid w:val="006E08ED"/>
    <w:rsid w:val="006E1378"/>
    <w:rsid w:val="006E1B80"/>
    <w:rsid w:val="006E381A"/>
    <w:rsid w:val="006E3C52"/>
    <w:rsid w:val="006E3FF0"/>
    <w:rsid w:val="006E615B"/>
    <w:rsid w:val="006E637C"/>
    <w:rsid w:val="006E64D0"/>
    <w:rsid w:val="006E6AAB"/>
    <w:rsid w:val="006E73DE"/>
    <w:rsid w:val="006E76E9"/>
    <w:rsid w:val="006F0B32"/>
    <w:rsid w:val="006F11C8"/>
    <w:rsid w:val="006F1459"/>
    <w:rsid w:val="006F17AA"/>
    <w:rsid w:val="006F1A49"/>
    <w:rsid w:val="006F1BC9"/>
    <w:rsid w:val="006F55FF"/>
    <w:rsid w:val="006F7C3B"/>
    <w:rsid w:val="00700B4C"/>
    <w:rsid w:val="007024DB"/>
    <w:rsid w:val="00702939"/>
    <w:rsid w:val="00702E8E"/>
    <w:rsid w:val="0070359D"/>
    <w:rsid w:val="007046E3"/>
    <w:rsid w:val="007047D0"/>
    <w:rsid w:val="00704AF4"/>
    <w:rsid w:val="00704EB5"/>
    <w:rsid w:val="00704FD2"/>
    <w:rsid w:val="00705912"/>
    <w:rsid w:val="007066ED"/>
    <w:rsid w:val="007067B0"/>
    <w:rsid w:val="007071BF"/>
    <w:rsid w:val="00707CE3"/>
    <w:rsid w:val="00710BDB"/>
    <w:rsid w:val="00711274"/>
    <w:rsid w:val="007114E0"/>
    <w:rsid w:val="00711771"/>
    <w:rsid w:val="0071257A"/>
    <w:rsid w:val="00712B2A"/>
    <w:rsid w:val="00712C0C"/>
    <w:rsid w:val="007131D6"/>
    <w:rsid w:val="00713E7B"/>
    <w:rsid w:val="00714188"/>
    <w:rsid w:val="00714C7B"/>
    <w:rsid w:val="00714E25"/>
    <w:rsid w:val="007156A7"/>
    <w:rsid w:val="0071609B"/>
    <w:rsid w:val="007162CE"/>
    <w:rsid w:val="0071676C"/>
    <w:rsid w:val="0071783B"/>
    <w:rsid w:val="00720298"/>
    <w:rsid w:val="00720F14"/>
    <w:rsid w:val="00722747"/>
    <w:rsid w:val="0072278A"/>
    <w:rsid w:val="00723350"/>
    <w:rsid w:val="007237BB"/>
    <w:rsid w:val="007238D2"/>
    <w:rsid w:val="007239DA"/>
    <w:rsid w:val="00724195"/>
    <w:rsid w:val="007244F6"/>
    <w:rsid w:val="00725321"/>
    <w:rsid w:val="0072611D"/>
    <w:rsid w:val="00726B00"/>
    <w:rsid w:val="00730A61"/>
    <w:rsid w:val="00730E5C"/>
    <w:rsid w:val="007330CC"/>
    <w:rsid w:val="00733477"/>
    <w:rsid w:val="0073352B"/>
    <w:rsid w:val="007338B8"/>
    <w:rsid w:val="00733BEF"/>
    <w:rsid w:val="00733D38"/>
    <w:rsid w:val="00733EE4"/>
    <w:rsid w:val="00735EDB"/>
    <w:rsid w:val="00737A3E"/>
    <w:rsid w:val="00737F0F"/>
    <w:rsid w:val="00737F90"/>
    <w:rsid w:val="0074080E"/>
    <w:rsid w:val="00742B33"/>
    <w:rsid w:val="00742C1D"/>
    <w:rsid w:val="00742EFB"/>
    <w:rsid w:val="00743A70"/>
    <w:rsid w:val="00745071"/>
    <w:rsid w:val="0074566E"/>
    <w:rsid w:val="00747484"/>
    <w:rsid w:val="0074794C"/>
    <w:rsid w:val="007501F3"/>
    <w:rsid w:val="0075205E"/>
    <w:rsid w:val="007526DC"/>
    <w:rsid w:val="00752BC7"/>
    <w:rsid w:val="00753757"/>
    <w:rsid w:val="007538B3"/>
    <w:rsid w:val="00753EFE"/>
    <w:rsid w:val="007555ED"/>
    <w:rsid w:val="0075654C"/>
    <w:rsid w:val="00760255"/>
    <w:rsid w:val="0076033A"/>
    <w:rsid w:val="00760DB9"/>
    <w:rsid w:val="007623A8"/>
    <w:rsid w:val="007626A2"/>
    <w:rsid w:val="00762E71"/>
    <w:rsid w:val="00763177"/>
    <w:rsid w:val="0076353B"/>
    <w:rsid w:val="007636E4"/>
    <w:rsid w:val="007639F8"/>
    <w:rsid w:val="00764482"/>
    <w:rsid w:val="00764574"/>
    <w:rsid w:val="00765FEE"/>
    <w:rsid w:val="007678C0"/>
    <w:rsid w:val="00771EFC"/>
    <w:rsid w:val="00772A7E"/>
    <w:rsid w:val="00772B44"/>
    <w:rsid w:val="0077322E"/>
    <w:rsid w:val="00773AE0"/>
    <w:rsid w:val="00774E65"/>
    <w:rsid w:val="00777DA0"/>
    <w:rsid w:val="00781AED"/>
    <w:rsid w:val="007860EB"/>
    <w:rsid w:val="0078755B"/>
    <w:rsid w:val="00787658"/>
    <w:rsid w:val="0079044F"/>
    <w:rsid w:val="00791206"/>
    <w:rsid w:val="0079127D"/>
    <w:rsid w:val="00792516"/>
    <w:rsid w:val="00793638"/>
    <w:rsid w:val="00793A8E"/>
    <w:rsid w:val="00793E1F"/>
    <w:rsid w:val="007948AC"/>
    <w:rsid w:val="007951C9"/>
    <w:rsid w:val="00795808"/>
    <w:rsid w:val="00795ABA"/>
    <w:rsid w:val="00796340"/>
    <w:rsid w:val="007A011B"/>
    <w:rsid w:val="007A0DEB"/>
    <w:rsid w:val="007A1508"/>
    <w:rsid w:val="007A3104"/>
    <w:rsid w:val="007A3495"/>
    <w:rsid w:val="007A485E"/>
    <w:rsid w:val="007A491D"/>
    <w:rsid w:val="007A4ABF"/>
    <w:rsid w:val="007A50C3"/>
    <w:rsid w:val="007A5852"/>
    <w:rsid w:val="007A6122"/>
    <w:rsid w:val="007A647F"/>
    <w:rsid w:val="007A7C2E"/>
    <w:rsid w:val="007A7E43"/>
    <w:rsid w:val="007B0BDA"/>
    <w:rsid w:val="007B2F5E"/>
    <w:rsid w:val="007B3A11"/>
    <w:rsid w:val="007B572A"/>
    <w:rsid w:val="007B5DF2"/>
    <w:rsid w:val="007B60BC"/>
    <w:rsid w:val="007B6236"/>
    <w:rsid w:val="007B6481"/>
    <w:rsid w:val="007B7D09"/>
    <w:rsid w:val="007C3053"/>
    <w:rsid w:val="007C3191"/>
    <w:rsid w:val="007C3B6C"/>
    <w:rsid w:val="007C3E3D"/>
    <w:rsid w:val="007D00BC"/>
    <w:rsid w:val="007D0720"/>
    <w:rsid w:val="007D0B2C"/>
    <w:rsid w:val="007D2606"/>
    <w:rsid w:val="007D29AD"/>
    <w:rsid w:val="007D3471"/>
    <w:rsid w:val="007D6FAB"/>
    <w:rsid w:val="007D736F"/>
    <w:rsid w:val="007E0016"/>
    <w:rsid w:val="007E17C6"/>
    <w:rsid w:val="007E2494"/>
    <w:rsid w:val="007E2B96"/>
    <w:rsid w:val="007E3BA4"/>
    <w:rsid w:val="007E3EDE"/>
    <w:rsid w:val="007E446A"/>
    <w:rsid w:val="007E4D69"/>
    <w:rsid w:val="007E53C3"/>
    <w:rsid w:val="007E79F3"/>
    <w:rsid w:val="007F0361"/>
    <w:rsid w:val="007F3E38"/>
    <w:rsid w:val="007F5110"/>
    <w:rsid w:val="007F5D10"/>
    <w:rsid w:val="007F5DEF"/>
    <w:rsid w:val="007F6E0B"/>
    <w:rsid w:val="008008F8"/>
    <w:rsid w:val="00801A0A"/>
    <w:rsid w:val="00801AE3"/>
    <w:rsid w:val="00802A47"/>
    <w:rsid w:val="008038ED"/>
    <w:rsid w:val="00803AE7"/>
    <w:rsid w:val="008045E6"/>
    <w:rsid w:val="008048EB"/>
    <w:rsid w:val="008053C7"/>
    <w:rsid w:val="00805C58"/>
    <w:rsid w:val="008067A9"/>
    <w:rsid w:val="00807B64"/>
    <w:rsid w:val="00807EE3"/>
    <w:rsid w:val="008101E4"/>
    <w:rsid w:val="008104E8"/>
    <w:rsid w:val="00810A44"/>
    <w:rsid w:val="008119FE"/>
    <w:rsid w:val="00812193"/>
    <w:rsid w:val="00812DBA"/>
    <w:rsid w:val="00812EE7"/>
    <w:rsid w:val="00812F5C"/>
    <w:rsid w:val="008134B4"/>
    <w:rsid w:val="0081380A"/>
    <w:rsid w:val="00814CE2"/>
    <w:rsid w:val="00815FB9"/>
    <w:rsid w:val="008164E3"/>
    <w:rsid w:val="00816961"/>
    <w:rsid w:val="00817403"/>
    <w:rsid w:val="00817691"/>
    <w:rsid w:val="00820D31"/>
    <w:rsid w:val="008213BD"/>
    <w:rsid w:val="00822364"/>
    <w:rsid w:val="00822CC5"/>
    <w:rsid w:val="00822F08"/>
    <w:rsid w:val="00823B4C"/>
    <w:rsid w:val="00823D71"/>
    <w:rsid w:val="008241AF"/>
    <w:rsid w:val="00824CE7"/>
    <w:rsid w:val="00824D18"/>
    <w:rsid w:val="00825128"/>
    <w:rsid w:val="0082518D"/>
    <w:rsid w:val="0082673C"/>
    <w:rsid w:val="00826AD7"/>
    <w:rsid w:val="008279DC"/>
    <w:rsid w:val="00827F62"/>
    <w:rsid w:val="00831255"/>
    <w:rsid w:val="008316EF"/>
    <w:rsid w:val="00831DB3"/>
    <w:rsid w:val="00831E92"/>
    <w:rsid w:val="008325FB"/>
    <w:rsid w:val="00832E93"/>
    <w:rsid w:val="00834653"/>
    <w:rsid w:val="00836CE8"/>
    <w:rsid w:val="00837CC0"/>
    <w:rsid w:val="00840432"/>
    <w:rsid w:val="008420DD"/>
    <w:rsid w:val="00842AC5"/>
    <w:rsid w:val="008446F7"/>
    <w:rsid w:val="00844A16"/>
    <w:rsid w:val="008469A4"/>
    <w:rsid w:val="00846BDC"/>
    <w:rsid w:val="00846E62"/>
    <w:rsid w:val="00847308"/>
    <w:rsid w:val="00847C72"/>
    <w:rsid w:val="008515EC"/>
    <w:rsid w:val="00851A69"/>
    <w:rsid w:val="00853AE9"/>
    <w:rsid w:val="00853C7A"/>
    <w:rsid w:val="008554C5"/>
    <w:rsid w:val="0085689B"/>
    <w:rsid w:val="00856CC7"/>
    <w:rsid w:val="00862992"/>
    <w:rsid w:val="008660E8"/>
    <w:rsid w:val="00867109"/>
    <w:rsid w:val="00867B71"/>
    <w:rsid w:val="00867F7C"/>
    <w:rsid w:val="00871661"/>
    <w:rsid w:val="0087200A"/>
    <w:rsid w:val="00872768"/>
    <w:rsid w:val="00872E6B"/>
    <w:rsid w:val="0087324C"/>
    <w:rsid w:val="00874E26"/>
    <w:rsid w:val="00874EC4"/>
    <w:rsid w:val="008758DB"/>
    <w:rsid w:val="00881AE1"/>
    <w:rsid w:val="00883354"/>
    <w:rsid w:val="00884118"/>
    <w:rsid w:val="0088516C"/>
    <w:rsid w:val="0088528B"/>
    <w:rsid w:val="008856AD"/>
    <w:rsid w:val="0089009B"/>
    <w:rsid w:val="00890E6D"/>
    <w:rsid w:val="00891748"/>
    <w:rsid w:val="00892313"/>
    <w:rsid w:val="00892F27"/>
    <w:rsid w:val="00894681"/>
    <w:rsid w:val="008956CA"/>
    <w:rsid w:val="00895A21"/>
    <w:rsid w:val="00895EEA"/>
    <w:rsid w:val="008960D6"/>
    <w:rsid w:val="00897958"/>
    <w:rsid w:val="00897BE8"/>
    <w:rsid w:val="008A2051"/>
    <w:rsid w:val="008A2690"/>
    <w:rsid w:val="008A2711"/>
    <w:rsid w:val="008A37F7"/>
    <w:rsid w:val="008A3A3A"/>
    <w:rsid w:val="008A4000"/>
    <w:rsid w:val="008A4257"/>
    <w:rsid w:val="008A48A7"/>
    <w:rsid w:val="008A5110"/>
    <w:rsid w:val="008A5ACD"/>
    <w:rsid w:val="008A67A6"/>
    <w:rsid w:val="008A6CBF"/>
    <w:rsid w:val="008B17DB"/>
    <w:rsid w:val="008B1A4A"/>
    <w:rsid w:val="008B4331"/>
    <w:rsid w:val="008B5222"/>
    <w:rsid w:val="008B71E7"/>
    <w:rsid w:val="008C0820"/>
    <w:rsid w:val="008C0CC9"/>
    <w:rsid w:val="008C1BCB"/>
    <w:rsid w:val="008C3252"/>
    <w:rsid w:val="008C3EF8"/>
    <w:rsid w:val="008C4176"/>
    <w:rsid w:val="008C4583"/>
    <w:rsid w:val="008C5904"/>
    <w:rsid w:val="008C5CFE"/>
    <w:rsid w:val="008C675E"/>
    <w:rsid w:val="008C6891"/>
    <w:rsid w:val="008C70CF"/>
    <w:rsid w:val="008C7547"/>
    <w:rsid w:val="008D01F2"/>
    <w:rsid w:val="008D0E20"/>
    <w:rsid w:val="008D139F"/>
    <w:rsid w:val="008D285D"/>
    <w:rsid w:val="008D2A8F"/>
    <w:rsid w:val="008D2DE2"/>
    <w:rsid w:val="008D2E17"/>
    <w:rsid w:val="008D5540"/>
    <w:rsid w:val="008D566D"/>
    <w:rsid w:val="008D60CC"/>
    <w:rsid w:val="008D6B3E"/>
    <w:rsid w:val="008D73A8"/>
    <w:rsid w:val="008E0160"/>
    <w:rsid w:val="008E0562"/>
    <w:rsid w:val="008E121A"/>
    <w:rsid w:val="008E288A"/>
    <w:rsid w:val="008E33C3"/>
    <w:rsid w:val="008E43EC"/>
    <w:rsid w:val="008E4406"/>
    <w:rsid w:val="008E4614"/>
    <w:rsid w:val="008E6960"/>
    <w:rsid w:val="008E71D3"/>
    <w:rsid w:val="008E7A89"/>
    <w:rsid w:val="008F16C4"/>
    <w:rsid w:val="008F211C"/>
    <w:rsid w:val="008F2146"/>
    <w:rsid w:val="008F5103"/>
    <w:rsid w:val="008F520E"/>
    <w:rsid w:val="008F5EE1"/>
    <w:rsid w:val="008F60D3"/>
    <w:rsid w:val="008F7E5D"/>
    <w:rsid w:val="00900F29"/>
    <w:rsid w:val="00900FC0"/>
    <w:rsid w:val="0090104D"/>
    <w:rsid w:val="00901917"/>
    <w:rsid w:val="0090395B"/>
    <w:rsid w:val="0090488D"/>
    <w:rsid w:val="0090584F"/>
    <w:rsid w:val="00905B81"/>
    <w:rsid w:val="00906BD5"/>
    <w:rsid w:val="00906CFA"/>
    <w:rsid w:val="00906E4B"/>
    <w:rsid w:val="00907BB2"/>
    <w:rsid w:val="00911599"/>
    <w:rsid w:val="009136D2"/>
    <w:rsid w:val="00913904"/>
    <w:rsid w:val="00913E99"/>
    <w:rsid w:val="009155EA"/>
    <w:rsid w:val="009157EC"/>
    <w:rsid w:val="00915CD1"/>
    <w:rsid w:val="00915FB6"/>
    <w:rsid w:val="00916410"/>
    <w:rsid w:val="0092106A"/>
    <w:rsid w:val="009218EC"/>
    <w:rsid w:val="0092200B"/>
    <w:rsid w:val="00922B0E"/>
    <w:rsid w:val="00925B18"/>
    <w:rsid w:val="009308D3"/>
    <w:rsid w:val="00931EDB"/>
    <w:rsid w:val="00932958"/>
    <w:rsid w:val="00932AA9"/>
    <w:rsid w:val="0093451B"/>
    <w:rsid w:val="0093547C"/>
    <w:rsid w:val="009366C6"/>
    <w:rsid w:val="009374BD"/>
    <w:rsid w:val="00937903"/>
    <w:rsid w:val="0094007E"/>
    <w:rsid w:val="0094149C"/>
    <w:rsid w:val="0094262D"/>
    <w:rsid w:val="0094276D"/>
    <w:rsid w:val="00942B47"/>
    <w:rsid w:val="00943492"/>
    <w:rsid w:val="0094365D"/>
    <w:rsid w:val="00943939"/>
    <w:rsid w:val="00945BAE"/>
    <w:rsid w:val="00950347"/>
    <w:rsid w:val="009518CF"/>
    <w:rsid w:val="009518FB"/>
    <w:rsid w:val="00951D80"/>
    <w:rsid w:val="00953A02"/>
    <w:rsid w:val="009553DB"/>
    <w:rsid w:val="009556DF"/>
    <w:rsid w:val="0095677C"/>
    <w:rsid w:val="0095681E"/>
    <w:rsid w:val="009573B3"/>
    <w:rsid w:val="00957570"/>
    <w:rsid w:val="00957C11"/>
    <w:rsid w:val="00957CE2"/>
    <w:rsid w:val="00960A86"/>
    <w:rsid w:val="00963E00"/>
    <w:rsid w:val="0096457B"/>
    <w:rsid w:val="009649FB"/>
    <w:rsid w:val="00965ADB"/>
    <w:rsid w:val="009660B1"/>
    <w:rsid w:val="00970A94"/>
    <w:rsid w:val="00972EE9"/>
    <w:rsid w:val="009733FC"/>
    <w:rsid w:val="00973CEF"/>
    <w:rsid w:val="00975663"/>
    <w:rsid w:val="0097575A"/>
    <w:rsid w:val="00975A40"/>
    <w:rsid w:val="009760C7"/>
    <w:rsid w:val="0097668C"/>
    <w:rsid w:val="00976930"/>
    <w:rsid w:val="00977E24"/>
    <w:rsid w:val="00981129"/>
    <w:rsid w:val="009831AF"/>
    <w:rsid w:val="00983FE1"/>
    <w:rsid w:val="00986B10"/>
    <w:rsid w:val="00990D90"/>
    <w:rsid w:val="00990DB8"/>
    <w:rsid w:val="009917AC"/>
    <w:rsid w:val="00991EAD"/>
    <w:rsid w:val="00993BC1"/>
    <w:rsid w:val="00993D21"/>
    <w:rsid w:val="00994192"/>
    <w:rsid w:val="00994A25"/>
    <w:rsid w:val="0099533B"/>
    <w:rsid w:val="0099541F"/>
    <w:rsid w:val="009957CA"/>
    <w:rsid w:val="00996589"/>
    <w:rsid w:val="00996F92"/>
    <w:rsid w:val="0099780F"/>
    <w:rsid w:val="00997DD0"/>
    <w:rsid w:val="009A11F6"/>
    <w:rsid w:val="009A34B7"/>
    <w:rsid w:val="009A3514"/>
    <w:rsid w:val="009A3A55"/>
    <w:rsid w:val="009A46CA"/>
    <w:rsid w:val="009A516D"/>
    <w:rsid w:val="009A56C2"/>
    <w:rsid w:val="009A5C06"/>
    <w:rsid w:val="009A7A93"/>
    <w:rsid w:val="009A7C1D"/>
    <w:rsid w:val="009A7E6E"/>
    <w:rsid w:val="009B01EC"/>
    <w:rsid w:val="009B1627"/>
    <w:rsid w:val="009B1891"/>
    <w:rsid w:val="009B3217"/>
    <w:rsid w:val="009B548D"/>
    <w:rsid w:val="009B5F90"/>
    <w:rsid w:val="009B6A24"/>
    <w:rsid w:val="009B732E"/>
    <w:rsid w:val="009B735F"/>
    <w:rsid w:val="009C0042"/>
    <w:rsid w:val="009C03D2"/>
    <w:rsid w:val="009C0C9B"/>
    <w:rsid w:val="009C122F"/>
    <w:rsid w:val="009C157D"/>
    <w:rsid w:val="009C161E"/>
    <w:rsid w:val="009C1E75"/>
    <w:rsid w:val="009C2315"/>
    <w:rsid w:val="009C2852"/>
    <w:rsid w:val="009C2B6B"/>
    <w:rsid w:val="009C421B"/>
    <w:rsid w:val="009C461C"/>
    <w:rsid w:val="009C4FC0"/>
    <w:rsid w:val="009C65A9"/>
    <w:rsid w:val="009C7278"/>
    <w:rsid w:val="009D1420"/>
    <w:rsid w:val="009D1966"/>
    <w:rsid w:val="009D2483"/>
    <w:rsid w:val="009D29D9"/>
    <w:rsid w:val="009D2B1F"/>
    <w:rsid w:val="009D3014"/>
    <w:rsid w:val="009D35C8"/>
    <w:rsid w:val="009D3D8F"/>
    <w:rsid w:val="009D3D9F"/>
    <w:rsid w:val="009D3DE3"/>
    <w:rsid w:val="009D40BD"/>
    <w:rsid w:val="009D6D58"/>
    <w:rsid w:val="009D7AE6"/>
    <w:rsid w:val="009E2B6E"/>
    <w:rsid w:val="009E2C87"/>
    <w:rsid w:val="009E2FF5"/>
    <w:rsid w:val="009E39A0"/>
    <w:rsid w:val="009E5E9A"/>
    <w:rsid w:val="009F01A5"/>
    <w:rsid w:val="009F0E2F"/>
    <w:rsid w:val="009F26A2"/>
    <w:rsid w:val="009F39AA"/>
    <w:rsid w:val="009F42D1"/>
    <w:rsid w:val="009F4FD7"/>
    <w:rsid w:val="009F586E"/>
    <w:rsid w:val="009F6946"/>
    <w:rsid w:val="009F6A7B"/>
    <w:rsid w:val="009F6DE2"/>
    <w:rsid w:val="009F6F81"/>
    <w:rsid w:val="00A00761"/>
    <w:rsid w:val="00A02046"/>
    <w:rsid w:val="00A02F46"/>
    <w:rsid w:val="00A037A2"/>
    <w:rsid w:val="00A04027"/>
    <w:rsid w:val="00A040E8"/>
    <w:rsid w:val="00A0565A"/>
    <w:rsid w:val="00A05CB4"/>
    <w:rsid w:val="00A0619F"/>
    <w:rsid w:val="00A06807"/>
    <w:rsid w:val="00A06E9A"/>
    <w:rsid w:val="00A06EC8"/>
    <w:rsid w:val="00A06EEF"/>
    <w:rsid w:val="00A10E09"/>
    <w:rsid w:val="00A111AC"/>
    <w:rsid w:val="00A12C91"/>
    <w:rsid w:val="00A12D1E"/>
    <w:rsid w:val="00A12DE3"/>
    <w:rsid w:val="00A132D5"/>
    <w:rsid w:val="00A147C6"/>
    <w:rsid w:val="00A1496E"/>
    <w:rsid w:val="00A16D3A"/>
    <w:rsid w:val="00A20A29"/>
    <w:rsid w:val="00A20B36"/>
    <w:rsid w:val="00A20BC7"/>
    <w:rsid w:val="00A213F2"/>
    <w:rsid w:val="00A21C9C"/>
    <w:rsid w:val="00A2296A"/>
    <w:rsid w:val="00A23BB9"/>
    <w:rsid w:val="00A24A6F"/>
    <w:rsid w:val="00A262D6"/>
    <w:rsid w:val="00A27018"/>
    <w:rsid w:val="00A27562"/>
    <w:rsid w:val="00A278B0"/>
    <w:rsid w:val="00A30C1C"/>
    <w:rsid w:val="00A30DCC"/>
    <w:rsid w:val="00A31153"/>
    <w:rsid w:val="00A31ABC"/>
    <w:rsid w:val="00A32053"/>
    <w:rsid w:val="00A32BF2"/>
    <w:rsid w:val="00A32C0A"/>
    <w:rsid w:val="00A33770"/>
    <w:rsid w:val="00A337C0"/>
    <w:rsid w:val="00A338FC"/>
    <w:rsid w:val="00A351FD"/>
    <w:rsid w:val="00A356C0"/>
    <w:rsid w:val="00A3633E"/>
    <w:rsid w:val="00A36542"/>
    <w:rsid w:val="00A373EB"/>
    <w:rsid w:val="00A374EB"/>
    <w:rsid w:val="00A40348"/>
    <w:rsid w:val="00A40E1D"/>
    <w:rsid w:val="00A41573"/>
    <w:rsid w:val="00A42B1F"/>
    <w:rsid w:val="00A43B24"/>
    <w:rsid w:val="00A43B9E"/>
    <w:rsid w:val="00A455D9"/>
    <w:rsid w:val="00A45867"/>
    <w:rsid w:val="00A45A19"/>
    <w:rsid w:val="00A465AB"/>
    <w:rsid w:val="00A465E1"/>
    <w:rsid w:val="00A468C8"/>
    <w:rsid w:val="00A4755D"/>
    <w:rsid w:val="00A50D6F"/>
    <w:rsid w:val="00A554FD"/>
    <w:rsid w:val="00A55ECF"/>
    <w:rsid w:val="00A57006"/>
    <w:rsid w:val="00A575D5"/>
    <w:rsid w:val="00A57681"/>
    <w:rsid w:val="00A577C4"/>
    <w:rsid w:val="00A57AA9"/>
    <w:rsid w:val="00A60299"/>
    <w:rsid w:val="00A605F0"/>
    <w:rsid w:val="00A6079F"/>
    <w:rsid w:val="00A60D66"/>
    <w:rsid w:val="00A60F12"/>
    <w:rsid w:val="00A6195E"/>
    <w:rsid w:val="00A61D10"/>
    <w:rsid w:val="00A61EA6"/>
    <w:rsid w:val="00A62196"/>
    <w:rsid w:val="00A621A8"/>
    <w:rsid w:val="00A62671"/>
    <w:rsid w:val="00A6417C"/>
    <w:rsid w:val="00A653BA"/>
    <w:rsid w:val="00A6556A"/>
    <w:rsid w:val="00A65A1E"/>
    <w:rsid w:val="00A66739"/>
    <w:rsid w:val="00A670F4"/>
    <w:rsid w:val="00A70888"/>
    <w:rsid w:val="00A7091D"/>
    <w:rsid w:val="00A70D54"/>
    <w:rsid w:val="00A712DF"/>
    <w:rsid w:val="00A7206F"/>
    <w:rsid w:val="00A73705"/>
    <w:rsid w:val="00A74261"/>
    <w:rsid w:val="00A744E8"/>
    <w:rsid w:val="00A75303"/>
    <w:rsid w:val="00A75AB4"/>
    <w:rsid w:val="00A75C3F"/>
    <w:rsid w:val="00A76791"/>
    <w:rsid w:val="00A779F9"/>
    <w:rsid w:val="00A806BE"/>
    <w:rsid w:val="00A819BB"/>
    <w:rsid w:val="00A81EF3"/>
    <w:rsid w:val="00A83619"/>
    <w:rsid w:val="00A8373B"/>
    <w:rsid w:val="00A83DC4"/>
    <w:rsid w:val="00A84A88"/>
    <w:rsid w:val="00A84D54"/>
    <w:rsid w:val="00A84F2F"/>
    <w:rsid w:val="00A85B7C"/>
    <w:rsid w:val="00A86805"/>
    <w:rsid w:val="00A86C61"/>
    <w:rsid w:val="00A8702E"/>
    <w:rsid w:val="00A87951"/>
    <w:rsid w:val="00A93FC9"/>
    <w:rsid w:val="00A94B60"/>
    <w:rsid w:val="00A94EE5"/>
    <w:rsid w:val="00A95282"/>
    <w:rsid w:val="00A96255"/>
    <w:rsid w:val="00A962E3"/>
    <w:rsid w:val="00A9631E"/>
    <w:rsid w:val="00A96F8D"/>
    <w:rsid w:val="00AA0732"/>
    <w:rsid w:val="00AA17B2"/>
    <w:rsid w:val="00AA223B"/>
    <w:rsid w:val="00AA2B10"/>
    <w:rsid w:val="00AA3669"/>
    <w:rsid w:val="00AA4D63"/>
    <w:rsid w:val="00AA7831"/>
    <w:rsid w:val="00AB014E"/>
    <w:rsid w:val="00AB04E3"/>
    <w:rsid w:val="00AB0688"/>
    <w:rsid w:val="00AB29B7"/>
    <w:rsid w:val="00AB3FC6"/>
    <w:rsid w:val="00AB565D"/>
    <w:rsid w:val="00AB77BA"/>
    <w:rsid w:val="00AC0128"/>
    <w:rsid w:val="00AC10FB"/>
    <w:rsid w:val="00AC1309"/>
    <w:rsid w:val="00AC4B32"/>
    <w:rsid w:val="00AC65AE"/>
    <w:rsid w:val="00AC6923"/>
    <w:rsid w:val="00AD06D1"/>
    <w:rsid w:val="00AD12EA"/>
    <w:rsid w:val="00AD3C8E"/>
    <w:rsid w:val="00AD4846"/>
    <w:rsid w:val="00AD49D2"/>
    <w:rsid w:val="00AD4C57"/>
    <w:rsid w:val="00AD5A7B"/>
    <w:rsid w:val="00AD5E9A"/>
    <w:rsid w:val="00AD5EA0"/>
    <w:rsid w:val="00AD627F"/>
    <w:rsid w:val="00AD7682"/>
    <w:rsid w:val="00AE097C"/>
    <w:rsid w:val="00AE24B5"/>
    <w:rsid w:val="00AE2CD9"/>
    <w:rsid w:val="00AE44EA"/>
    <w:rsid w:val="00AE4924"/>
    <w:rsid w:val="00AE4EFE"/>
    <w:rsid w:val="00AE6FF5"/>
    <w:rsid w:val="00AE7762"/>
    <w:rsid w:val="00AE78F6"/>
    <w:rsid w:val="00AF00CE"/>
    <w:rsid w:val="00AF0D2C"/>
    <w:rsid w:val="00AF20F8"/>
    <w:rsid w:val="00AF258C"/>
    <w:rsid w:val="00AF3239"/>
    <w:rsid w:val="00AF3275"/>
    <w:rsid w:val="00AF38DE"/>
    <w:rsid w:val="00AF4EFF"/>
    <w:rsid w:val="00AF5242"/>
    <w:rsid w:val="00AF59C9"/>
    <w:rsid w:val="00AF64CF"/>
    <w:rsid w:val="00AF76CC"/>
    <w:rsid w:val="00AF7E05"/>
    <w:rsid w:val="00B00118"/>
    <w:rsid w:val="00B0355B"/>
    <w:rsid w:val="00B0407E"/>
    <w:rsid w:val="00B0418F"/>
    <w:rsid w:val="00B04C9A"/>
    <w:rsid w:val="00B0550D"/>
    <w:rsid w:val="00B06E2C"/>
    <w:rsid w:val="00B06E4C"/>
    <w:rsid w:val="00B0730D"/>
    <w:rsid w:val="00B10426"/>
    <w:rsid w:val="00B1065E"/>
    <w:rsid w:val="00B11307"/>
    <w:rsid w:val="00B114F5"/>
    <w:rsid w:val="00B115E1"/>
    <w:rsid w:val="00B11ED9"/>
    <w:rsid w:val="00B1490A"/>
    <w:rsid w:val="00B15AE9"/>
    <w:rsid w:val="00B16073"/>
    <w:rsid w:val="00B16673"/>
    <w:rsid w:val="00B17041"/>
    <w:rsid w:val="00B205A1"/>
    <w:rsid w:val="00B20E37"/>
    <w:rsid w:val="00B20EAC"/>
    <w:rsid w:val="00B21153"/>
    <w:rsid w:val="00B21C11"/>
    <w:rsid w:val="00B21DDB"/>
    <w:rsid w:val="00B228E4"/>
    <w:rsid w:val="00B22C09"/>
    <w:rsid w:val="00B23109"/>
    <w:rsid w:val="00B233AB"/>
    <w:rsid w:val="00B24D37"/>
    <w:rsid w:val="00B24FCB"/>
    <w:rsid w:val="00B257BE"/>
    <w:rsid w:val="00B25F67"/>
    <w:rsid w:val="00B268A0"/>
    <w:rsid w:val="00B268A1"/>
    <w:rsid w:val="00B273FA"/>
    <w:rsid w:val="00B30DF4"/>
    <w:rsid w:val="00B334D8"/>
    <w:rsid w:val="00B335A6"/>
    <w:rsid w:val="00B3361E"/>
    <w:rsid w:val="00B33E77"/>
    <w:rsid w:val="00B34731"/>
    <w:rsid w:val="00B34A2B"/>
    <w:rsid w:val="00B34E49"/>
    <w:rsid w:val="00B3533C"/>
    <w:rsid w:val="00B37C39"/>
    <w:rsid w:val="00B37D45"/>
    <w:rsid w:val="00B406F2"/>
    <w:rsid w:val="00B41277"/>
    <w:rsid w:val="00B424C8"/>
    <w:rsid w:val="00B427D2"/>
    <w:rsid w:val="00B42E71"/>
    <w:rsid w:val="00B42E82"/>
    <w:rsid w:val="00B44E01"/>
    <w:rsid w:val="00B45265"/>
    <w:rsid w:val="00B4546C"/>
    <w:rsid w:val="00B45729"/>
    <w:rsid w:val="00B45AAE"/>
    <w:rsid w:val="00B45F8B"/>
    <w:rsid w:val="00B46A5A"/>
    <w:rsid w:val="00B47909"/>
    <w:rsid w:val="00B47DD7"/>
    <w:rsid w:val="00B50118"/>
    <w:rsid w:val="00B5092D"/>
    <w:rsid w:val="00B5438F"/>
    <w:rsid w:val="00B547FA"/>
    <w:rsid w:val="00B54C70"/>
    <w:rsid w:val="00B55902"/>
    <w:rsid w:val="00B56403"/>
    <w:rsid w:val="00B60196"/>
    <w:rsid w:val="00B60B29"/>
    <w:rsid w:val="00B61FA0"/>
    <w:rsid w:val="00B63474"/>
    <w:rsid w:val="00B64376"/>
    <w:rsid w:val="00B65951"/>
    <w:rsid w:val="00B671A8"/>
    <w:rsid w:val="00B70B9A"/>
    <w:rsid w:val="00B72DF8"/>
    <w:rsid w:val="00B732D0"/>
    <w:rsid w:val="00B73DD4"/>
    <w:rsid w:val="00B73FF3"/>
    <w:rsid w:val="00B7402C"/>
    <w:rsid w:val="00B77EFE"/>
    <w:rsid w:val="00B808F1"/>
    <w:rsid w:val="00B82E17"/>
    <w:rsid w:val="00B838B0"/>
    <w:rsid w:val="00B844FC"/>
    <w:rsid w:val="00B8497E"/>
    <w:rsid w:val="00B85342"/>
    <w:rsid w:val="00B85CCA"/>
    <w:rsid w:val="00B863CB"/>
    <w:rsid w:val="00B86CE9"/>
    <w:rsid w:val="00B87736"/>
    <w:rsid w:val="00B91E62"/>
    <w:rsid w:val="00B9298A"/>
    <w:rsid w:val="00B94CD9"/>
    <w:rsid w:val="00B94DF4"/>
    <w:rsid w:val="00B96BF6"/>
    <w:rsid w:val="00B97047"/>
    <w:rsid w:val="00BA01EE"/>
    <w:rsid w:val="00BA0848"/>
    <w:rsid w:val="00BA1144"/>
    <w:rsid w:val="00BA1AA1"/>
    <w:rsid w:val="00BA1D25"/>
    <w:rsid w:val="00BA2502"/>
    <w:rsid w:val="00BA30C7"/>
    <w:rsid w:val="00BA5117"/>
    <w:rsid w:val="00BA512B"/>
    <w:rsid w:val="00BA728C"/>
    <w:rsid w:val="00BA7576"/>
    <w:rsid w:val="00BB0624"/>
    <w:rsid w:val="00BB0CA8"/>
    <w:rsid w:val="00BB2C71"/>
    <w:rsid w:val="00BB5743"/>
    <w:rsid w:val="00BB5A7E"/>
    <w:rsid w:val="00BB71F9"/>
    <w:rsid w:val="00BB739F"/>
    <w:rsid w:val="00BB73D4"/>
    <w:rsid w:val="00BC03F5"/>
    <w:rsid w:val="00BC04B4"/>
    <w:rsid w:val="00BC0A3B"/>
    <w:rsid w:val="00BC0C35"/>
    <w:rsid w:val="00BC1D74"/>
    <w:rsid w:val="00BC2332"/>
    <w:rsid w:val="00BC2C31"/>
    <w:rsid w:val="00BC3359"/>
    <w:rsid w:val="00BC35E5"/>
    <w:rsid w:val="00BC3D90"/>
    <w:rsid w:val="00BC50B1"/>
    <w:rsid w:val="00BC52EE"/>
    <w:rsid w:val="00BD1881"/>
    <w:rsid w:val="00BD286B"/>
    <w:rsid w:val="00BD3DF5"/>
    <w:rsid w:val="00BD40A4"/>
    <w:rsid w:val="00BD4CDE"/>
    <w:rsid w:val="00BD51C1"/>
    <w:rsid w:val="00BD59B7"/>
    <w:rsid w:val="00BD5A90"/>
    <w:rsid w:val="00BD68AD"/>
    <w:rsid w:val="00BD74AA"/>
    <w:rsid w:val="00BE0D0F"/>
    <w:rsid w:val="00BE1F0F"/>
    <w:rsid w:val="00BE23AF"/>
    <w:rsid w:val="00BE2730"/>
    <w:rsid w:val="00BE2E1B"/>
    <w:rsid w:val="00BE422F"/>
    <w:rsid w:val="00BE45F9"/>
    <w:rsid w:val="00BE76A9"/>
    <w:rsid w:val="00BE772A"/>
    <w:rsid w:val="00BE7C8D"/>
    <w:rsid w:val="00BF7E58"/>
    <w:rsid w:val="00C00026"/>
    <w:rsid w:val="00C000EB"/>
    <w:rsid w:val="00C00B28"/>
    <w:rsid w:val="00C02216"/>
    <w:rsid w:val="00C048ED"/>
    <w:rsid w:val="00C05083"/>
    <w:rsid w:val="00C0523F"/>
    <w:rsid w:val="00C0604D"/>
    <w:rsid w:val="00C0613B"/>
    <w:rsid w:val="00C07D2B"/>
    <w:rsid w:val="00C119A4"/>
    <w:rsid w:val="00C14219"/>
    <w:rsid w:val="00C16A11"/>
    <w:rsid w:val="00C20CAD"/>
    <w:rsid w:val="00C2305F"/>
    <w:rsid w:val="00C23924"/>
    <w:rsid w:val="00C26F29"/>
    <w:rsid w:val="00C27688"/>
    <w:rsid w:val="00C27CBF"/>
    <w:rsid w:val="00C27E50"/>
    <w:rsid w:val="00C30533"/>
    <w:rsid w:val="00C31F03"/>
    <w:rsid w:val="00C3298E"/>
    <w:rsid w:val="00C32E65"/>
    <w:rsid w:val="00C33A1E"/>
    <w:rsid w:val="00C34F34"/>
    <w:rsid w:val="00C35C5C"/>
    <w:rsid w:val="00C35ED6"/>
    <w:rsid w:val="00C3663B"/>
    <w:rsid w:val="00C37303"/>
    <w:rsid w:val="00C413B7"/>
    <w:rsid w:val="00C416FD"/>
    <w:rsid w:val="00C4363A"/>
    <w:rsid w:val="00C43C2C"/>
    <w:rsid w:val="00C44B58"/>
    <w:rsid w:val="00C4552A"/>
    <w:rsid w:val="00C45BF8"/>
    <w:rsid w:val="00C45FCC"/>
    <w:rsid w:val="00C4783A"/>
    <w:rsid w:val="00C47987"/>
    <w:rsid w:val="00C479A0"/>
    <w:rsid w:val="00C47CD3"/>
    <w:rsid w:val="00C47FC6"/>
    <w:rsid w:val="00C50381"/>
    <w:rsid w:val="00C53E38"/>
    <w:rsid w:val="00C54621"/>
    <w:rsid w:val="00C55008"/>
    <w:rsid w:val="00C55898"/>
    <w:rsid w:val="00C56332"/>
    <w:rsid w:val="00C56E21"/>
    <w:rsid w:val="00C636D2"/>
    <w:rsid w:val="00C65137"/>
    <w:rsid w:val="00C71215"/>
    <w:rsid w:val="00C71827"/>
    <w:rsid w:val="00C71FA9"/>
    <w:rsid w:val="00C72577"/>
    <w:rsid w:val="00C74335"/>
    <w:rsid w:val="00C75850"/>
    <w:rsid w:val="00C77294"/>
    <w:rsid w:val="00C775D0"/>
    <w:rsid w:val="00C80396"/>
    <w:rsid w:val="00C80A42"/>
    <w:rsid w:val="00C80EF0"/>
    <w:rsid w:val="00C815F8"/>
    <w:rsid w:val="00C821EB"/>
    <w:rsid w:val="00C82C34"/>
    <w:rsid w:val="00C82C43"/>
    <w:rsid w:val="00C82CB3"/>
    <w:rsid w:val="00C83A8E"/>
    <w:rsid w:val="00C83EB8"/>
    <w:rsid w:val="00C8408E"/>
    <w:rsid w:val="00C8480A"/>
    <w:rsid w:val="00C850EF"/>
    <w:rsid w:val="00C86355"/>
    <w:rsid w:val="00C877E6"/>
    <w:rsid w:val="00C87C6E"/>
    <w:rsid w:val="00C87E28"/>
    <w:rsid w:val="00C87F85"/>
    <w:rsid w:val="00C9070D"/>
    <w:rsid w:val="00C90CE4"/>
    <w:rsid w:val="00C9119C"/>
    <w:rsid w:val="00C912C5"/>
    <w:rsid w:val="00C92445"/>
    <w:rsid w:val="00C939F6"/>
    <w:rsid w:val="00C94C8B"/>
    <w:rsid w:val="00C951D9"/>
    <w:rsid w:val="00C9734D"/>
    <w:rsid w:val="00C9796E"/>
    <w:rsid w:val="00CA0D49"/>
    <w:rsid w:val="00CA24AC"/>
    <w:rsid w:val="00CA3CB9"/>
    <w:rsid w:val="00CA5033"/>
    <w:rsid w:val="00CA557A"/>
    <w:rsid w:val="00CA5BE6"/>
    <w:rsid w:val="00CA5D4D"/>
    <w:rsid w:val="00CA6592"/>
    <w:rsid w:val="00CA6E74"/>
    <w:rsid w:val="00CA7269"/>
    <w:rsid w:val="00CA763A"/>
    <w:rsid w:val="00CA7D58"/>
    <w:rsid w:val="00CA7D7E"/>
    <w:rsid w:val="00CB0151"/>
    <w:rsid w:val="00CB2029"/>
    <w:rsid w:val="00CB2280"/>
    <w:rsid w:val="00CB24F6"/>
    <w:rsid w:val="00CB25D9"/>
    <w:rsid w:val="00CB305C"/>
    <w:rsid w:val="00CB36AD"/>
    <w:rsid w:val="00CB3AC9"/>
    <w:rsid w:val="00CB576B"/>
    <w:rsid w:val="00CB6ADF"/>
    <w:rsid w:val="00CB71C2"/>
    <w:rsid w:val="00CB77FB"/>
    <w:rsid w:val="00CB7F3C"/>
    <w:rsid w:val="00CC0594"/>
    <w:rsid w:val="00CC2A38"/>
    <w:rsid w:val="00CC2FCB"/>
    <w:rsid w:val="00CC3E66"/>
    <w:rsid w:val="00CC6FD4"/>
    <w:rsid w:val="00CC7DAE"/>
    <w:rsid w:val="00CD01CC"/>
    <w:rsid w:val="00CD0251"/>
    <w:rsid w:val="00CD0672"/>
    <w:rsid w:val="00CD3190"/>
    <w:rsid w:val="00CD3B57"/>
    <w:rsid w:val="00CD3BB4"/>
    <w:rsid w:val="00CD3DAA"/>
    <w:rsid w:val="00CD6BE5"/>
    <w:rsid w:val="00CE2887"/>
    <w:rsid w:val="00CE3740"/>
    <w:rsid w:val="00CE3B84"/>
    <w:rsid w:val="00CE3F32"/>
    <w:rsid w:val="00CE400A"/>
    <w:rsid w:val="00CE44CD"/>
    <w:rsid w:val="00CE4C35"/>
    <w:rsid w:val="00CE5A54"/>
    <w:rsid w:val="00CE5D59"/>
    <w:rsid w:val="00CE6BA1"/>
    <w:rsid w:val="00CE6C65"/>
    <w:rsid w:val="00CE7409"/>
    <w:rsid w:val="00CF29A5"/>
    <w:rsid w:val="00CF55B1"/>
    <w:rsid w:val="00CF5B82"/>
    <w:rsid w:val="00CF6E41"/>
    <w:rsid w:val="00D0094F"/>
    <w:rsid w:val="00D0097B"/>
    <w:rsid w:val="00D026AB"/>
    <w:rsid w:val="00D03764"/>
    <w:rsid w:val="00D03EE5"/>
    <w:rsid w:val="00D04556"/>
    <w:rsid w:val="00D07138"/>
    <w:rsid w:val="00D07A30"/>
    <w:rsid w:val="00D11053"/>
    <w:rsid w:val="00D11D65"/>
    <w:rsid w:val="00D1306A"/>
    <w:rsid w:val="00D1330A"/>
    <w:rsid w:val="00D14347"/>
    <w:rsid w:val="00D1629A"/>
    <w:rsid w:val="00D16579"/>
    <w:rsid w:val="00D17623"/>
    <w:rsid w:val="00D213C5"/>
    <w:rsid w:val="00D22033"/>
    <w:rsid w:val="00D22B8B"/>
    <w:rsid w:val="00D23076"/>
    <w:rsid w:val="00D2394C"/>
    <w:rsid w:val="00D23FCE"/>
    <w:rsid w:val="00D24B15"/>
    <w:rsid w:val="00D254F6"/>
    <w:rsid w:val="00D255B4"/>
    <w:rsid w:val="00D25FEF"/>
    <w:rsid w:val="00D26819"/>
    <w:rsid w:val="00D26BC0"/>
    <w:rsid w:val="00D26D92"/>
    <w:rsid w:val="00D27DED"/>
    <w:rsid w:val="00D300DA"/>
    <w:rsid w:val="00D30A1C"/>
    <w:rsid w:val="00D31CF1"/>
    <w:rsid w:val="00D32C6B"/>
    <w:rsid w:val="00D3331F"/>
    <w:rsid w:val="00D33A81"/>
    <w:rsid w:val="00D35521"/>
    <w:rsid w:val="00D35BCA"/>
    <w:rsid w:val="00D35FDF"/>
    <w:rsid w:val="00D360D4"/>
    <w:rsid w:val="00D36C37"/>
    <w:rsid w:val="00D37803"/>
    <w:rsid w:val="00D402CB"/>
    <w:rsid w:val="00D40C21"/>
    <w:rsid w:val="00D41B5D"/>
    <w:rsid w:val="00D4216D"/>
    <w:rsid w:val="00D4403C"/>
    <w:rsid w:val="00D44B14"/>
    <w:rsid w:val="00D44BA0"/>
    <w:rsid w:val="00D44FFD"/>
    <w:rsid w:val="00D450E6"/>
    <w:rsid w:val="00D45718"/>
    <w:rsid w:val="00D45CBC"/>
    <w:rsid w:val="00D45F1F"/>
    <w:rsid w:val="00D46667"/>
    <w:rsid w:val="00D47198"/>
    <w:rsid w:val="00D47F00"/>
    <w:rsid w:val="00D50808"/>
    <w:rsid w:val="00D50DF0"/>
    <w:rsid w:val="00D50DF1"/>
    <w:rsid w:val="00D51475"/>
    <w:rsid w:val="00D51944"/>
    <w:rsid w:val="00D51A68"/>
    <w:rsid w:val="00D53F68"/>
    <w:rsid w:val="00D53F77"/>
    <w:rsid w:val="00D542DD"/>
    <w:rsid w:val="00D54491"/>
    <w:rsid w:val="00D54988"/>
    <w:rsid w:val="00D54ABB"/>
    <w:rsid w:val="00D55209"/>
    <w:rsid w:val="00D560C1"/>
    <w:rsid w:val="00D563E6"/>
    <w:rsid w:val="00D564D6"/>
    <w:rsid w:val="00D57ACA"/>
    <w:rsid w:val="00D57C3A"/>
    <w:rsid w:val="00D60214"/>
    <w:rsid w:val="00D6074D"/>
    <w:rsid w:val="00D608C5"/>
    <w:rsid w:val="00D614A9"/>
    <w:rsid w:val="00D615BE"/>
    <w:rsid w:val="00D61735"/>
    <w:rsid w:val="00D62D78"/>
    <w:rsid w:val="00D636BA"/>
    <w:rsid w:val="00D656E6"/>
    <w:rsid w:val="00D65AFF"/>
    <w:rsid w:val="00D66530"/>
    <w:rsid w:val="00D67D54"/>
    <w:rsid w:val="00D70B37"/>
    <w:rsid w:val="00D70D5F"/>
    <w:rsid w:val="00D73F2B"/>
    <w:rsid w:val="00D741AA"/>
    <w:rsid w:val="00D751F0"/>
    <w:rsid w:val="00D754BC"/>
    <w:rsid w:val="00D80AF1"/>
    <w:rsid w:val="00D82487"/>
    <w:rsid w:val="00D82C87"/>
    <w:rsid w:val="00D83790"/>
    <w:rsid w:val="00D84785"/>
    <w:rsid w:val="00D8540F"/>
    <w:rsid w:val="00D85FBD"/>
    <w:rsid w:val="00D91555"/>
    <w:rsid w:val="00D9214B"/>
    <w:rsid w:val="00D92915"/>
    <w:rsid w:val="00D93710"/>
    <w:rsid w:val="00D93B95"/>
    <w:rsid w:val="00D93D29"/>
    <w:rsid w:val="00D949FC"/>
    <w:rsid w:val="00D94CBB"/>
    <w:rsid w:val="00D95546"/>
    <w:rsid w:val="00D95878"/>
    <w:rsid w:val="00D95935"/>
    <w:rsid w:val="00D96ED2"/>
    <w:rsid w:val="00D97036"/>
    <w:rsid w:val="00D972C2"/>
    <w:rsid w:val="00D9781B"/>
    <w:rsid w:val="00D97DC3"/>
    <w:rsid w:val="00DA0AE5"/>
    <w:rsid w:val="00DA1D6B"/>
    <w:rsid w:val="00DA1E52"/>
    <w:rsid w:val="00DA29D2"/>
    <w:rsid w:val="00DA32EE"/>
    <w:rsid w:val="00DA389B"/>
    <w:rsid w:val="00DA3DA5"/>
    <w:rsid w:val="00DA3F38"/>
    <w:rsid w:val="00DA4750"/>
    <w:rsid w:val="00DA4824"/>
    <w:rsid w:val="00DA559D"/>
    <w:rsid w:val="00DA577C"/>
    <w:rsid w:val="00DA5C69"/>
    <w:rsid w:val="00DB0B9C"/>
    <w:rsid w:val="00DB2A35"/>
    <w:rsid w:val="00DB2AC3"/>
    <w:rsid w:val="00DB2C02"/>
    <w:rsid w:val="00DB4E92"/>
    <w:rsid w:val="00DB55E4"/>
    <w:rsid w:val="00DC2760"/>
    <w:rsid w:val="00DC3531"/>
    <w:rsid w:val="00DC4044"/>
    <w:rsid w:val="00DC548A"/>
    <w:rsid w:val="00DC599A"/>
    <w:rsid w:val="00DC7BD8"/>
    <w:rsid w:val="00DC7F37"/>
    <w:rsid w:val="00DD0843"/>
    <w:rsid w:val="00DD1DE7"/>
    <w:rsid w:val="00DD686F"/>
    <w:rsid w:val="00DD6C11"/>
    <w:rsid w:val="00DD6D5F"/>
    <w:rsid w:val="00DE03F6"/>
    <w:rsid w:val="00DE0431"/>
    <w:rsid w:val="00DE44FC"/>
    <w:rsid w:val="00DE531C"/>
    <w:rsid w:val="00DE5A03"/>
    <w:rsid w:val="00DE6D4B"/>
    <w:rsid w:val="00DE6E31"/>
    <w:rsid w:val="00DE7285"/>
    <w:rsid w:val="00DE72D8"/>
    <w:rsid w:val="00DE73DC"/>
    <w:rsid w:val="00DF09B3"/>
    <w:rsid w:val="00DF1385"/>
    <w:rsid w:val="00DF15AC"/>
    <w:rsid w:val="00DF18AB"/>
    <w:rsid w:val="00DF23B1"/>
    <w:rsid w:val="00DF2531"/>
    <w:rsid w:val="00DF2704"/>
    <w:rsid w:val="00DF2EF7"/>
    <w:rsid w:val="00DF4561"/>
    <w:rsid w:val="00DF5494"/>
    <w:rsid w:val="00DF5D02"/>
    <w:rsid w:val="00DF5F18"/>
    <w:rsid w:val="00E004DE"/>
    <w:rsid w:val="00E00585"/>
    <w:rsid w:val="00E00CE4"/>
    <w:rsid w:val="00E0254D"/>
    <w:rsid w:val="00E02D65"/>
    <w:rsid w:val="00E0309A"/>
    <w:rsid w:val="00E04D0C"/>
    <w:rsid w:val="00E05054"/>
    <w:rsid w:val="00E06710"/>
    <w:rsid w:val="00E06988"/>
    <w:rsid w:val="00E07E2C"/>
    <w:rsid w:val="00E106CF"/>
    <w:rsid w:val="00E10889"/>
    <w:rsid w:val="00E10937"/>
    <w:rsid w:val="00E11788"/>
    <w:rsid w:val="00E119B9"/>
    <w:rsid w:val="00E13BAE"/>
    <w:rsid w:val="00E15DF2"/>
    <w:rsid w:val="00E1607E"/>
    <w:rsid w:val="00E170B6"/>
    <w:rsid w:val="00E1759D"/>
    <w:rsid w:val="00E17713"/>
    <w:rsid w:val="00E17891"/>
    <w:rsid w:val="00E17C2E"/>
    <w:rsid w:val="00E17CC0"/>
    <w:rsid w:val="00E202F8"/>
    <w:rsid w:val="00E21BB2"/>
    <w:rsid w:val="00E21C8D"/>
    <w:rsid w:val="00E23DF7"/>
    <w:rsid w:val="00E24FB0"/>
    <w:rsid w:val="00E30290"/>
    <w:rsid w:val="00E302AB"/>
    <w:rsid w:val="00E32D6A"/>
    <w:rsid w:val="00E33D95"/>
    <w:rsid w:val="00E35270"/>
    <w:rsid w:val="00E37C93"/>
    <w:rsid w:val="00E40429"/>
    <w:rsid w:val="00E40613"/>
    <w:rsid w:val="00E409CB"/>
    <w:rsid w:val="00E41525"/>
    <w:rsid w:val="00E41BDB"/>
    <w:rsid w:val="00E439D2"/>
    <w:rsid w:val="00E43AB7"/>
    <w:rsid w:val="00E44E14"/>
    <w:rsid w:val="00E45438"/>
    <w:rsid w:val="00E45F02"/>
    <w:rsid w:val="00E46824"/>
    <w:rsid w:val="00E46CB6"/>
    <w:rsid w:val="00E46E0B"/>
    <w:rsid w:val="00E46FD2"/>
    <w:rsid w:val="00E47854"/>
    <w:rsid w:val="00E47F98"/>
    <w:rsid w:val="00E5037B"/>
    <w:rsid w:val="00E5065D"/>
    <w:rsid w:val="00E509A2"/>
    <w:rsid w:val="00E511C7"/>
    <w:rsid w:val="00E513BA"/>
    <w:rsid w:val="00E517C6"/>
    <w:rsid w:val="00E51896"/>
    <w:rsid w:val="00E51CC9"/>
    <w:rsid w:val="00E52F36"/>
    <w:rsid w:val="00E5602B"/>
    <w:rsid w:val="00E56EC9"/>
    <w:rsid w:val="00E570BA"/>
    <w:rsid w:val="00E57869"/>
    <w:rsid w:val="00E57C1E"/>
    <w:rsid w:val="00E57CDB"/>
    <w:rsid w:val="00E6006F"/>
    <w:rsid w:val="00E6055D"/>
    <w:rsid w:val="00E61B14"/>
    <w:rsid w:val="00E62E45"/>
    <w:rsid w:val="00E638F3"/>
    <w:rsid w:val="00E64BA9"/>
    <w:rsid w:val="00E64F93"/>
    <w:rsid w:val="00E66067"/>
    <w:rsid w:val="00E66FD0"/>
    <w:rsid w:val="00E67C68"/>
    <w:rsid w:val="00E700AE"/>
    <w:rsid w:val="00E72994"/>
    <w:rsid w:val="00E72EE7"/>
    <w:rsid w:val="00E72FC9"/>
    <w:rsid w:val="00E731B9"/>
    <w:rsid w:val="00E736F1"/>
    <w:rsid w:val="00E741DD"/>
    <w:rsid w:val="00E76CC3"/>
    <w:rsid w:val="00E80422"/>
    <w:rsid w:val="00E81CA4"/>
    <w:rsid w:val="00E82613"/>
    <w:rsid w:val="00E83EEC"/>
    <w:rsid w:val="00E848DF"/>
    <w:rsid w:val="00E874E6"/>
    <w:rsid w:val="00E878D2"/>
    <w:rsid w:val="00E907A6"/>
    <w:rsid w:val="00E91472"/>
    <w:rsid w:val="00E91A66"/>
    <w:rsid w:val="00E921D2"/>
    <w:rsid w:val="00E92D71"/>
    <w:rsid w:val="00E93250"/>
    <w:rsid w:val="00E93D80"/>
    <w:rsid w:val="00E941D7"/>
    <w:rsid w:val="00E947E1"/>
    <w:rsid w:val="00E96B91"/>
    <w:rsid w:val="00E97676"/>
    <w:rsid w:val="00E9772C"/>
    <w:rsid w:val="00EA20AA"/>
    <w:rsid w:val="00EA2B11"/>
    <w:rsid w:val="00EA2C7B"/>
    <w:rsid w:val="00EA2E2B"/>
    <w:rsid w:val="00EA4340"/>
    <w:rsid w:val="00EA4F73"/>
    <w:rsid w:val="00EA5FAC"/>
    <w:rsid w:val="00EA713D"/>
    <w:rsid w:val="00EA737F"/>
    <w:rsid w:val="00EA7C7F"/>
    <w:rsid w:val="00EB0FEA"/>
    <w:rsid w:val="00EB1131"/>
    <w:rsid w:val="00EB1968"/>
    <w:rsid w:val="00EB2789"/>
    <w:rsid w:val="00EB30AD"/>
    <w:rsid w:val="00EB35E7"/>
    <w:rsid w:val="00EB43B0"/>
    <w:rsid w:val="00EB505B"/>
    <w:rsid w:val="00EB6FAC"/>
    <w:rsid w:val="00EB7037"/>
    <w:rsid w:val="00EB76F9"/>
    <w:rsid w:val="00EB7895"/>
    <w:rsid w:val="00EC073F"/>
    <w:rsid w:val="00EC1381"/>
    <w:rsid w:val="00EC17F7"/>
    <w:rsid w:val="00EC2C85"/>
    <w:rsid w:val="00EC5C19"/>
    <w:rsid w:val="00ED1AE2"/>
    <w:rsid w:val="00ED4377"/>
    <w:rsid w:val="00ED4905"/>
    <w:rsid w:val="00ED5913"/>
    <w:rsid w:val="00ED5B10"/>
    <w:rsid w:val="00ED67AE"/>
    <w:rsid w:val="00EE00BE"/>
    <w:rsid w:val="00EE04CF"/>
    <w:rsid w:val="00EE08A8"/>
    <w:rsid w:val="00EE1AAA"/>
    <w:rsid w:val="00EE21CD"/>
    <w:rsid w:val="00EE24C9"/>
    <w:rsid w:val="00EE3271"/>
    <w:rsid w:val="00EE3B0D"/>
    <w:rsid w:val="00EE44E4"/>
    <w:rsid w:val="00EE4E3E"/>
    <w:rsid w:val="00EE5694"/>
    <w:rsid w:val="00EE62D4"/>
    <w:rsid w:val="00EE704C"/>
    <w:rsid w:val="00EE7D39"/>
    <w:rsid w:val="00EF0D39"/>
    <w:rsid w:val="00EF127C"/>
    <w:rsid w:val="00EF1CF8"/>
    <w:rsid w:val="00EF2227"/>
    <w:rsid w:val="00EF374E"/>
    <w:rsid w:val="00EF4F55"/>
    <w:rsid w:val="00EF6ABE"/>
    <w:rsid w:val="00F00A2A"/>
    <w:rsid w:val="00F020DA"/>
    <w:rsid w:val="00F03235"/>
    <w:rsid w:val="00F04BFA"/>
    <w:rsid w:val="00F04EBA"/>
    <w:rsid w:val="00F05086"/>
    <w:rsid w:val="00F05152"/>
    <w:rsid w:val="00F05D8C"/>
    <w:rsid w:val="00F05FFD"/>
    <w:rsid w:val="00F06822"/>
    <w:rsid w:val="00F06AD0"/>
    <w:rsid w:val="00F07DF1"/>
    <w:rsid w:val="00F10339"/>
    <w:rsid w:val="00F10761"/>
    <w:rsid w:val="00F1241F"/>
    <w:rsid w:val="00F14077"/>
    <w:rsid w:val="00F14544"/>
    <w:rsid w:val="00F15B9F"/>
    <w:rsid w:val="00F16A16"/>
    <w:rsid w:val="00F1703D"/>
    <w:rsid w:val="00F17D85"/>
    <w:rsid w:val="00F17F66"/>
    <w:rsid w:val="00F20B44"/>
    <w:rsid w:val="00F20CED"/>
    <w:rsid w:val="00F21C2D"/>
    <w:rsid w:val="00F22FAF"/>
    <w:rsid w:val="00F230F3"/>
    <w:rsid w:val="00F23C56"/>
    <w:rsid w:val="00F26183"/>
    <w:rsid w:val="00F2623B"/>
    <w:rsid w:val="00F26855"/>
    <w:rsid w:val="00F26B66"/>
    <w:rsid w:val="00F27331"/>
    <w:rsid w:val="00F3040C"/>
    <w:rsid w:val="00F3085C"/>
    <w:rsid w:val="00F3187E"/>
    <w:rsid w:val="00F3239F"/>
    <w:rsid w:val="00F34E51"/>
    <w:rsid w:val="00F3597A"/>
    <w:rsid w:val="00F366E5"/>
    <w:rsid w:val="00F36CDD"/>
    <w:rsid w:val="00F37058"/>
    <w:rsid w:val="00F400CE"/>
    <w:rsid w:val="00F40913"/>
    <w:rsid w:val="00F42FBE"/>
    <w:rsid w:val="00F45062"/>
    <w:rsid w:val="00F4667E"/>
    <w:rsid w:val="00F46714"/>
    <w:rsid w:val="00F46973"/>
    <w:rsid w:val="00F47EDF"/>
    <w:rsid w:val="00F500EE"/>
    <w:rsid w:val="00F50512"/>
    <w:rsid w:val="00F50CAD"/>
    <w:rsid w:val="00F50D0A"/>
    <w:rsid w:val="00F50D72"/>
    <w:rsid w:val="00F5179F"/>
    <w:rsid w:val="00F51C68"/>
    <w:rsid w:val="00F51EC7"/>
    <w:rsid w:val="00F526A5"/>
    <w:rsid w:val="00F5408C"/>
    <w:rsid w:val="00F54F25"/>
    <w:rsid w:val="00F5535F"/>
    <w:rsid w:val="00F55770"/>
    <w:rsid w:val="00F5610B"/>
    <w:rsid w:val="00F5732E"/>
    <w:rsid w:val="00F5743D"/>
    <w:rsid w:val="00F61509"/>
    <w:rsid w:val="00F6234A"/>
    <w:rsid w:val="00F62F90"/>
    <w:rsid w:val="00F63D13"/>
    <w:rsid w:val="00F648C2"/>
    <w:rsid w:val="00F64B5E"/>
    <w:rsid w:val="00F65D4A"/>
    <w:rsid w:val="00F66B27"/>
    <w:rsid w:val="00F706D4"/>
    <w:rsid w:val="00F7070F"/>
    <w:rsid w:val="00F711E6"/>
    <w:rsid w:val="00F723C5"/>
    <w:rsid w:val="00F726E7"/>
    <w:rsid w:val="00F73A6E"/>
    <w:rsid w:val="00F74074"/>
    <w:rsid w:val="00F758E4"/>
    <w:rsid w:val="00F7608C"/>
    <w:rsid w:val="00F7661D"/>
    <w:rsid w:val="00F76CCD"/>
    <w:rsid w:val="00F773CA"/>
    <w:rsid w:val="00F775B4"/>
    <w:rsid w:val="00F80D41"/>
    <w:rsid w:val="00F81CA7"/>
    <w:rsid w:val="00F8356B"/>
    <w:rsid w:val="00F83B61"/>
    <w:rsid w:val="00F84511"/>
    <w:rsid w:val="00F84A49"/>
    <w:rsid w:val="00F851E4"/>
    <w:rsid w:val="00F85978"/>
    <w:rsid w:val="00F85D21"/>
    <w:rsid w:val="00F85F25"/>
    <w:rsid w:val="00F8666C"/>
    <w:rsid w:val="00F867A4"/>
    <w:rsid w:val="00F86CCF"/>
    <w:rsid w:val="00F86E29"/>
    <w:rsid w:val="00F8773F"/>
    <w:rsid w:val="00F901AF"/>
    <w:rsid w:val="00F90290"/>
    <w:rsid w:val="00F90F51"/>
    <w:rsid w:val="00F92188"/>
    <w:rsid w:val="00F92A6F"/>
    <w:rsid w:val="00F9431C"/>
    <w:rsid w:val="00F946C2"/>
    <w:rsid w:val="00F95521"/>
    <w:rsid w:val="00F9579F"/>
    <w:rsid w:val="00F957A6"/>
    <w:rsid w:val="00F96772"/>
    <w:rsid w:val="00F976B4"/>
    <w:rsid w:val="00F97726"/>
    <w:rsid w:val="00F977A0"/>
    <w:rsid w:val="00F979AC"/>
    <w:rsid w:val="00F97B55"/>
    <w:rsid w:val="00F97C15"/>
    <w:rsid w:val="00FA1B00"/>
    <w:rsid w:val="00FA35AF"/>
    <w:rsid w:val="00FA48A3"/>
    <w:rsid w:val="00FA5225"/>
    <w:rsid w:val="00FA587B"/>
    <w:rsid w:val="00FA6D20"/>
    <w:rsid w:val="00FA728C"/>
    <w:rsid w:val="00FA74C9"/>
    <w:rsid w:val="00FB115C"/>
    <w:rsid w:val="00FB1828"/>
    <w:rsid w:val="00FB34EC"/>
    <w:rsid w:val="00FB403B"/>
    <w:rsid w:val="00FB45F3"/>
    <w:rsid w:val="00FB5A2C"/>
    <w:rsid w:val="00FB7A11"/>
    <w:rsid w:val="00FC0383"/>
    <w:rsid w:val="00FC09BE"/>
    <w:rsid w:val="00FC0E76"/>
    <w:rsid w:val="00FC1BC7"/>
    <w:rsid w:val="00FC1D81"/>
    <w:rsid w:val="00FC22F7"/>
    <w:rsid w:val="00FC3B22"/>
    <w:rsid w:val="00FC3BDB"/>
    <w:rsid w:val="00FC499F"/>
    <w:rsid w:val="00FC5463"/>
    <w:rsid w:val="00FC5CDA"/>
    <w:rsid w:val="00FC5FEB"/>
    <w:rsid w:val="00FC611E"/>
    <w:rsid w:val="00FC667D"/>
    <w:rsid w:val="00FC688F"/>
    <w:rsid w:val="00FC73CF"/>
    <w:rsid w:val="00FC756D"/>
    <w:rsid w:val="00FC7DCC"/>
    <w:rsid w:val="00FD057B"/>
    <w:rsid w:val="00FD0698"/>
    <w:rsid w:val="00FD0EA9"/>
    <w:rsid w:val="00FD1284"/>
    <w:rsid w:val="00FD150D"/>
    <w:rsid w:val="00FD2223"/>
    <w:rsid w:val="00FD2F20"/>
    <w:rsid w:val="00FD55A5"/>
    <w:rsid w:val="00FD68A2"/>
    <w:rsid w:val="00FD68C4"/>
    <w:rsid w:val="00FD6987"/>
    <w:rsid w:val="00FD70FE"/>
    <w:rsid w:val="00FD755D"/>
    <w:rsid w:val="00FD7975"/>
    <w:rsid w:val="00FE01B2"/>
    <w:rsid w:val="00FE177B"/>
    <w:rsid w:val="00FE32EF"/>
    <w:rsid w:val="00FE3856"/>
    <w:rsid w:val="00FE540F"/>
    <w:rsid w:val="00FE64AB"/>
    <w:rsid w:val="00FF00EE"/>
    <w:rsid w:val="00FF32EB"/>
    <w:rsid w:val="00FF3632"/>
    <w:rsid w:val="00FF447D"/>
    <w:rsid w:val="00FF4DAE"/>
    <w:rsid w:val="00FF4E75"/>
    <w:rsid w:val="00FF6650"/>
    <w:rsid w:val="00FF6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01FD9A0"/>
  <w15:chartTrackingRefBased/>
  <w15:docId w15:val="{B8807A55-6A98-4299-9A55-8B4A96C4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page number"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eastAsia="en-US"/>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uiPriority w:val="99"/>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lang w:val="en-US" w:eastAsia="en-US"/>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99"/>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uiPriority w:val="99"/>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s-CO" w:eastAsia="es-CO"/>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uiPriority w:val="20"/>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 w:type="character" w:styleId="Refdecomentario">
    <w:name w:val="annotation reference"/>
    <w:rsid w:val="00324970"/>
    <w:rPr>
      <w:sz w:val="16"/>
      <w:szCs w:val="16"/>
    </w:rPr>
  </w:style>
  <w:style w:type="paragraph" w:styleId="Textocomentario">
    <w:name w:val="annotation text"/>
    <w:basedOn w:val="Normal"/>
    <w:link w:val="TextocomentarioCar"/>
    <w:rsid w:val="00324970"/>
    <w:rPr>
      <w:sz w:val="20"/>
      <w:szCs w:val="20"/>
    </w:rPr>
  </w:style>
  <w:style w:type="character" w:customStyle="1" w:styleId="TextocomentarioCar">
    <w:name w:val="Texto comentario Car"/>
    <w:link w:val="Textocomentario"/>
    <w:rsid w:val="00324970"/>
    <w:rPr>
      <w:lang w:val="es-ES" w:eastAsia="es-ES"/>
    </w:rPr>
  </w:style>
  <w:style w:type="paragraph" w:styleId="Asuntodelcomentario">
    <w:name w:val="annotation subject"/>
    <w:basedOn w:val="Textocomentario"/>
    <w:next w:val="Textocomentario"/>
    <w:link w:val="AsuntodelcomentarioCar"/>
    <w:rsid w:val="00324970"/>
    <w:rPr>
      <w:b/>
      <w:bCs/>
    </w:rPr>
  </w:style>
  <w:style w:type="character" w:customStyle="1" w:styleId="AsuntodelcomentarioCar">
    <w:name w:val="Asunto del comentario Car"/>
    <w:link w:val="Asuntodelcomentario"/>
    <w:rsid w:val="00324970"/>
    <w:rPr>
      <w:b/>
      <w:bCs/>
      <w:lang w:val="es-ES" w:eastAsia="es-ES"/>
    </w:rPr>
  </w:style>
  <w:style w:type="character" w:customStyle="1" w:styleId="st">
    <w:name w:val="st"/>
    <w:rsid w:val="0008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12111855">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2067295924">
      <w:bodyDiv w:val="1"/>
      <w:marLeft w:val="0"/>
      <w:marRight w:val="0"/>
      <w:marTop w:val="0"/>
      <w:marBottom w:val="0"/>
      <w:divBdr>
        <w:top w:val="none" w:sz="0" w:space="0" w:color="auto"/>
        <w:left w:val="none" w:sz="0" w:space="0" w:color="auto"/>
        <w:bottom w:val="none" w:sz="0" w:space="0" w:color="auto"/>
        <w:right w:val="none" w:sz="0" w:space="0" w:color="auto"/>
      </w:divBdr>
    </w:div>
    <w:div w:id="2109547072">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94B09-F1F5-457F-A93C-2734E446DB3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d85dbaf-23eb-4e57-a637-93dcacc8b1a1"/>
    <ds:schemaRef ds:uri="a6cb9e4b-f1d1-4245-83ec-6cad768d538a"/>
    <ds:schemaRef ds:uri="http://www.w3.org/XML/1998/namespace"/>
    <ds:schemaRef ds:uri="http://purl.org/dc/dcmitype/"/>
  </ds:schemaRefs>
</ds:datastoreItem>
</file>

<file path=customXml/itemProps2.xml><?xml version="1.0" encoding="utf-8"?>
<ds:datastoreItem xmlns:ds="http://schemas.openxmlformats.org/officeDocument/2006/customXml" ds:itemID="{5E180DF9-B7CA-470C-9AD1-6D5E2CDA535B}">
  <ds:schemaRefs>
    <ds:schemaRef ds:uri="http://schemas.microsoft.com/sharepoint/v3/contenttype/forms"/>
  </ds:schemaRefs>
</ds:datastoreItem>
</file>

<file path=customXml/itemProps3.xml><?xml version="1.0" encoding="utf-8"?>
<ds:datastoreItem xmlns:ds="http://schemas.openxmlformats.org/officeDocument/2006/customXml" ds:itemID="{76D047E0-9130-49C8-9535-5CF39A7E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A1E47-F36C-4083-8186-5149FCF9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14169</Words>
  <Characters>72886</Characters>
  <Application>Microsoft Office Word</Application>
  <DocSecurity>0</DocSecurity>
  <Lines>607</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86882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dc:description/>
  <cp:lastModifiedBy>Silvia</cp:lastModifiedBy>
  <cp:revision>3</cp:revision>
  <cp:lastPrinted>2017-05-02T16:42:00Z</cp:lastPrinted>
  <dcterms:created xsi:type="dcterms:W3CDTF">2020-06-10T15:21:00Z</dcterms:created>
  <dcterms:modified xsi:type="dcterms:W3CDTF">2020-06-10T15:24:00Z</dcterms:modified>
</cp:coreProperties>
</file>