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ED" w:rsidRDefault="002424ED" w:rsidP="00F873A4">
      <w:pPr>
        <w:spacing w:line="240" w:lineRule="auto"/>
        <w:jc w:val="both"/>
        <w:rPr>
          <w:rFonts w:ascii="Arial" w:hAnsi="Arial" w:cs="Arial"/>
          <w:b/>
        </w:rPr>
      </w:pPr>
      <w:r w:rsidRPr="002424ED">
        <w:rPr>
          <w:rFonts w:ascii="Arial" w:hAnsi="Arial" w:cs="Arial"/>
          <w:b/>
        </w:rPr>
        <w:t xml:space="preserve">CONTRATO ESTATAL </w:t>
      </w:r>
      <w:r w:rsidR="003A199B" w:rsidRPr="00595DCB">
        <w:rPr>
          <w:rFonts w:ascii="Arial" w:hAnsi="Arial" w:cs="Arial"/>
          <w:b/>
        </w:rPr>
        <w:t>- Naturaleza jurídica</w:t>
      </w:r>
      <w:r w:rsidR="003A199B">
        <w:rPr>
          <w:rFonts w:ascii="Arial" w:hAnsi="Arial" w:cs="Arial"/>
          <w:b/>
        </w:rPr>
        <w:t xml:space="preserve"> </w:t>
      </w:r>
    </w:p>
    <w:p w:rsidR="003A199B" w:rsidRDefault="003A199B" w:rsidP="00F873A4">
      <w:pPr>
        <w:spacing w:line="240" w:lineRule="auto"/>
        <w:jc w:val="both"/>
        <w:rPr>
          <w:rFonts w:ascii="Arial" w:hAnsi="Arial" w:cs="Arial"/>
          <w:b/>
        </w:rPr>
      </w:pPr>
    </w:p>
    <w:p w:rsidR="00F873A4" w:rsidRDefault="003A199B" w:rsidP="00F873A4">
      <w:pPr>
        <w:spacing w:line="240" w:lineRule="auto"/>
        <w:jc w:val="both"/>
        <w:rPr>
          <w:rFonts w:ascii="Arial" w:hAnsi="Arial" w:cs="Arial"/>
        </w:rPr>
      </w:pPr>
      <w:r w:rsidRPr="003A199B">
        <w:rPr>
          <w:rFonts w:ascii="Arial" w:hAnsi="Arial" w:cs="Arial"/>
        </w:rPr>
        <w:t>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w:t>
      </w:r>
      <w:r>
        <w:rPr>
          <w:rFonts w:ascii="Arial" w:hAnsi="Arial" w:cs="Arial"/>
        </w:rPr>
        <w:t xml:space="preserve"> (…) </w:t>
      </w:r>
      <w:r w:rsidRPr="003A199B">
        <w:rPr>
          <w:rFonts w:ascii="Arial" w:hAnsi="Arial" w:cs="Arial"/>
        </w:rPr>
        <w:t>De conformidad con lo anterior, en el marco del ordenamiento jurídico vigente la determinación de la naturaleza jurídica del contrato depende de la que, a su vez, tenga la entidad que lo celebra; así, si ésta es estatal, el contrato también lo es, sin importar el régimen legal que se le deba aplicar.</w:t>
      </w:r>
      <w:r>
        <w:rPr>
          <w:rFonts w:ascii="Arial" w:hAnsi="Arial" w:cs="Arial"/>
        </w:rPr>
        <w:t xml:space="preserve"> </w:t>
      </w:r>
      <w:r w:rsidRPr="003A199B">
        <w:rPr>
          <w:rFonts w:ascii="Arial" w:hAnsi="Arial" w:cs="Arial"/>
        </w:rPr>
        <w:t>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w:t>
      </w:r>
      <w:r>
        <w:rPr>
          <w:rFonts w:ascii="Arial" w:hAnsi="Arial" w:cs="Arial"/>
        </w:rPr>
        <w:t>.</w:t>
      </w:r>
    </w:p>
    <w:p w:rsidR="003A199B" w:rsidRDefault="003A199B" w:rsidP="00F873A4">
      <w:pPr>
        <w:spacing w:line="240" w:lineRule="auto"/>
        <w:jc w:val="both"/>
        <w:rPr>
          <w:rFonts w:ascii="Arial" w:hAnsi="Arial" w:cs="Arial"/>
        </w:rPr>
      </w:pPr>
    </w:p>
    <w:p w:rsidR="003A199B" w:rsidRDefault="003A199B" w:rsidP="00F873A4">
      <w:pPr>
        <w:spacing w:line="240" w:lineRule="auto"/>
        <w:jc w:val="both"/>
        <w:rPr>
          <w:rFonts w:ascii="Arial" w:hAnsi="Arial" w:cs="Arial"/>
        </w:rPr>
      </w:pPr>
      <w:r w:rsidRPr="003A199B">
        <w:rPr>
          <w:rFonts w:ascii="Arial" w:hAnsi="Arial" w:cs="Arial"/>
          <w:b/>
        </w:rPr>
        <w:t xml:space="preserve">ACTO QUE DECLARA DESIERTA </w:t>
      </w:r>
      <w:r w:rsidR="002D47ED">
        <w:rPr>
          <w:rFonts w:ascii="Arial" w:hAnsi="Arial" w:cs="Arial"/>
          <w:b/>
        </w:rPr>
        <w:t>-</w:t>
      </w:r>
      <w:r>
        <w:rPr>
          <w:rFonts w:ascii="Arial" w:hAnsi="Arial" w:cs="Arial"/>
          <w:b/>
        </w:rPr>
        <w:t xml:space="preserve"> </w:t>
      </w:r>
      <w:r w:rsidR="002D47ED">
        <w:rPr>
          <w:rFonts w:ascii="Arial" w:hAnsi="Arial" w:cs="Arial"/>
          <w:b/>
        </w:rPr>
        <w:t xml:space="preserve">Licitación pública - </w:t>
      </w:r>
      <w:r w:rsidRPr="00595DCB">
        <w:rPr>
          <w:rFonts w:ascii="Arial" w:hAnsi="Arial" w:cs="Arial"/>
          <w:b/>
        </w:rPr>
        <w:t>Naturaleza contractual</w:t>
      </w:r>
      <w:r>
        <w:rPr>
          <w:rFonts w:ascii="Arial" w:hAnsi="Arial" w:cs="Arial"/>
        </w:rPr>
        <w:t xml:space="preserve">  </w:t>
      </w:r>
    </w:p>
    <w:p w:rsidR="003A199B" w:rsidRDefault="003A199B" w:rsidP="00F873A4">
      <w:pPr>
        <w:spacing w:line="240" w:lineRule="auto"/>
        <w:jc w:val="both"/>
        <w:rPr>
          <w:rFonts w:ascii="Arial" w:hAnsi="Arial" w:cs="Arial"/>
        </w:rPr>
      </w:pPr>
    </w:p>
    <w:p w:rsidR="003A199B" w:rsidRPr="003A199B" w:rsidRDefault="003A199B" w:rsidP="003A199B">
      <w:pPr>
        <w:spacing w:line="240" w:lineRule="auto"/>
        <w:jc w:val="both"/>
        <w:rPr>
          <w:rFonts w:ascii="Arial" w:hAnsi="Arial" w:cs="Arial"/>
        </w:rPr>
      </w:pPr>
      <w:r w:rsidRPr="003A199B">
        <w:rPr>
          <w:rFonts w:ascii="Arial" w:hAnsi="Arial" w:cs="Arial"/>
        </w:rPr>
        <w:t>Posteriormente y ya en vigencia la Ley 446 de 1998, la Sala modificó su posición para considerar que el acto que declaraba desierta la licitación es de aquéllos expedidos con ocasión de la actividad contractual: “Por consiguiente, el acto administrativo que declara desierta la licitación también es de aquellos expedidos con ocasión de la actividad contractual, pues (sic) por su naturaleza, uno de los efectos de esa decisión es truncar el proceso contractual iniciado con anterioridad …” Sumado a lo anterior, se consideró que ese acto revestía la naturaleza de los denominados previos al contrato, precisamente por ser expedido con ocasión de la actividad contractual, es decir, actualmente se considera que ese acto es de naturaleza precontractual.</w:t>
      </w:r>
    </w:p>
    <w:p w:rsidR="003A199B" w:rsidRDefault="003A199B" w:rsidP="00F873A4">
      <w:pPr>
        <w:spacing w:line="240" w:lineRule="auto"/>
        <w:jc w:val="both"/>
        <w:rPr>
          <w:rFonts w:ascii="Arial" w:hAnsi="Arial" w:cs="Arial"/>
        </w:rPr>
      </w:pPr>
    </w:p>
    <w:p w:rsidR="003A199B" w:rsidRDefault="003A199B" w:rsidP="003A199B">
      <w:pPr>
        <w:spacing w:line="240" w:lineRule="auto"/>
        <w:jc w:val="both"/>
        <w:rPr>
          <w:rFonts w:ascii="Arial" w:hAnsi="Arial" w:cs="Arial"/>
        </w:rPr>
      </w:pPr>
      <w:r w:rsidRPr="003A199B">
        <w:rPr>
          <w:rFonts w:ascii="Arial" w:hAnsi="Arial" w:cs="Arial"/>
          <w:b/>
        </w:rPr>
        <w:t xml:space="preserve">ACTO QUE DECLARA DESIERTA </w:t>
      </w:r>
      <w:r>
        <w:rPr>
          <w:rFonts w:ascii="Arial" w:hAnsi="Arial" w:cs="Arial"/>
          <w:b/>
        </w:rPr>
        <w:t xml:space="preserve">- </w:t>
      </w:r>
      <w:r w:rsidRPr="00595DCB">
        <w:rPr>
          <w:rFonts w:ascii="Arial" w:hAnsi="Arial" w:cs="Arial"/>
          <w:b/>
        </w:rPr>
        <w:t>Acción procedente</w:t>
      </w:r>
      <w:r>
        <w:rPr>
          <w:rFonts w:ascii="Arial" w:hAnsi="Arial" w:cs="Arial"/>
        </w:rPr>
        <w:t xml:space="preserve"> </w:t>
      </w:r>
    </w:p>
    <w:p w:rsidR="003A199B" w:rsidRDefault="003A199B" w:rsidP="003A199B">
      <w:pPr>
        <w:spacing w:line="240" w:lineRule="auto"/>
        <w:jc w:val="both"/>
        <w:rPr>
          <w:rFonts w:ascii="Arial" w:hAnsi="Arial" w:cs="Arial"/>
        </w:rPr>
      </w:pPr>
      <w:r>
        <w:rPr>
          <w:rFonts w:ascii="Arial" w:hAnsi="Arial" w:cs="Arial"/>
        </w:rPr>
        <w:t xml:space="preserve">  </w:t>
      </w:r>
    </w:p>
    <w:p w:rsidR="003A199B" w:rsidRDefault="003A199B" w:rsidP="00F873A4">
      <w:pPr>
        <w:spacing w:line="240" w:lineRule="auto"/>
        <w:jc w:val="both"/>
        <w:rPr>
          <w:rFonts w:ascii="Arial" w:hAnsi="Arial" w:cs="Arial"/>
        </w:rPr>
      </w:pPr>
      <w:r w:rsidRPr="003A199B">
        <w:rPr>
          <w:rFonts w:ascii="Arial" w:hAnsi="Arial" w:cs="Arial"/>
        </w:rPr>
        <w:t>Frente a ese cambio normativo se entendió que los actos precontractuales se debían seguir demandado por medio de la acción de nulidad y restablecimiento del derecho, pero dentro del término establecido en esa disposición, es decir, ya no dentro del término de cuatro meses contemplado para la acciones de nulidad y restablecimiento del derecho -en general-, sino en el de treinta días; sin embargo, una vez celebrado el contrato y si éste se había suscrito antes del vencimiento de los 30 días, la ilegalidad de los actos previos solo podía invocarse como fundamento de la nulidad absoluta del contrato y en ejercicio, ya no de la acción de nulidad y restablecimiento del derecho, sino de la acción contractual, dentro del término de caducidad de esta última</w:t>
      </w:r>
      <w:r>
        <w:rPr>
          <w:rFonts w:ascii="Arial" w:hAnsi="Arial" w:cs="Arial"/>
        </w:rPr>
        <w:t xml:space="preserve">. </w:t>
      </w:r>
    </w:p>
    <w:p w:rsidR="003A199B" w:rsidRDefault="003A199B" w:rsidP="00F873A4">
      <w:pPr>
        <w:spacing w:line="240" w:lineRule="auto"/>
        <w:jc w:val="both"/>
        <w:rPr>
          <w:rFonts w:ascii="Arial" w:hAnsi="Arial" w:cs="Arial"/>
        </w:rPr>
      </w:pPr>
    </w:p>
    <w:p w:rsidR="003A199B" w:rsidRDefault="000C268B" w:rsidP="00F873A4">
      <w:pPr>
        <w:spacing w:line="240" w:lineRule="auto"/>
        <w:jc w:val="both"/>
        <w:rPr>
          <w:rFonts w:ascii="Arial" w:hAnsi="Arial" w:cs="Arial"/>
        </w:rPr>
      </w:pPr>
      <w:r w:rsidRPr="000C268B">
        <w:rPr>
          <w:rFonts w:ascii="Arial" w:hAnsi="Arial" w:cs="Arial"/>
          <w:b/>
        </w:rPr>
        <w:t>CONTROVERSIAS CONTRACTUALES</w:t>
      </w:r>
      <w:r>
        <w:rPr>
          <w:rFonts w:ascii="Arial" w:hAnsi="Arial" w:cs="Arial"/>
          <w:b/>
        </w:rPr>
        <w:t xml:space="preserve"> </w:t>
      </w:r>
      <w:r w:rsidR="002D47ED">
        <w:rPr>
          <w:rFonts w:ascii="Arial" w:hAnsi="Arial" w:cs="Arial"/>
          <w:b/>
        </w:rPr>
        <w:t>-</w:t>
      </w:r>
      <w:r>
        <w:rPr>
          <w:rFonts w:ascii="Arial" w:hAnsi="Arial" w:cs="Arial"/>
          <w:b/>
        </w:rPr>
        <w:t xml:space="preserve"> </w:t>
      </w:r>
      <w:r w:rsidR="002D47ED">
        <w:rPr>
          <w:rFonts w:ascii="Arial" w:hAnsi="Arial" w:cs="Arial"/>
          <w:b/>
        </w:rPr>
        <w:t>Término - Caducidad de la acción</w:t>
      </w:r>
    </w:p>
    <w:p w:rsidR="000C268B" w:rsidRDefault="000C268B" w:rsidP="00F873A4">
      <w:pPr>
        <w:spacing w:line="240" w:lineRule="auto"/>
        <w:jc w:val="both"/>
        <w:rPr>
          <w:rFonts w:ascii="Arial" w:hAnsi="Arial" w:cs="Arial"/>
        </w:rPr>
      </w:pPr>
    </w:p>
    <w:p w:rsidR="000C268B" w:rsidRDefault="000C268B" w:rsidP="000C268B">
      <w:pPr>
        <w:spacing w:line="240" w:lineRule="auto"/>
        <w:jc w:val="both"/>
        <w:rPr>
          <w:rFonts w:ascii="Arial" w:hAnsi="Arial" w:cs="Arial"/>
          <w:lang w:val="es-ES"/>
        </w:rPr>
      </w:pPr>
      <w:r w:rsidRPr="000C268B">
        <w:rPr>
          <w:rFonts w:ascii="Arial" w:hAnsi="Arial" w:cs="Arial"/>
          <w:lang w:val="es-ES"/>
        </w:rPr>
        <w:t xml:space="preserve">Para que la acción de controversias contractuales fuera procedente para demandar los actos previos, era necesario que el contrato se hubiera celebrado antes del vencimiento de los 30 días que se contemplaban para la acción de nulidad y restablecimiento del derecho y era menester que se invocara su nulidad como fundamento de la nulidad absoluta del contrato, ello con el fin de no dejar al administrado sin un medio de defensa, pues la norma dispuso que, celebrado el contrato, la ilegalidad de los actos previos solo podía invocarse como fundamento de la nulidad absoluta del contrato, lo que implicaba que, celebrado éste, fenecía la oportunidad de atacar la </w:t>
      </w:r>
      <w:r w:rsidRPr="000C268B">
        <w:rPr>
          <w:rFonts w:ascii="Arial" w:hAnsi="Arial" w:cs="Arial"/>
          <w:lang w:val="es-ES"/>
        </w:rPr>
        <w:lastRenderedPageBreak/>
        <w:t>ilegalidad de los actos previos mediante la acción de nulidad y restablecimiento del derecho, así no hubieran transcurrido los 30 días. En consecuencia, en el único evento en el que procedía la acción contractual para atacar los actos previos y obtener el consecuente restablecimiento era cuando se celebraba el contrato antes de los 30 días siguientes a la notificación, comunicación o publicación de los actos y sin que el interesado hubiera ejercido la acción de nulidad y restablecimiento del derecho, situación que difiere de aquélla que se presentaba cuando el interesado dejaba vencer los treinta días sin interponer la acción de nulidad y restablecimiento del derecho, caso en el cual se podía, por medio de la acción contractual, solicitar la nulidad de los actos previos como fundamento de la nulidad absoluta del contrato, pero ya no obtener el restablecimiento del derecho, posibilidades que eran aplicables, se reitera, a los procesos iniciados a partir del 8 de julio de 1998  y hasta el 2 de julio de 2012.</w:t>
      </w:r>
    </w:p>
    <w:p w:rsidR="004F0956" w:rsidRDefault="004F0956" w:rsidP="000C268B">
      <w:pPr>
        <w:spacing w:line="240" w:lineRule="auto"/>
        <w:jc w:val="both"/>
        <w:rPr>
          <w:rFonts w:ascii="Arial" w:hAnsi="Arial" w:cs="Arial"/>
          <w:lang w:val="es-ES"/>
        </w:rPr>
      </w:pPr>
    </w:p>
    <w:p w:rsidR="004F0956" w:rsidRPr="00595DCB" w:rsidRDefault="00CE7E14" w:rsidP="004F0956">
      <w:pPr>
        <w:spacing w:line="240" w:lineRule="auto"/>
        <w:jc w:val="both"/>
        <w:rPr>
          <w:rFonts w:ascii="Arial" w:hAnsi="Arial" w:cs="Arial"/>
          <w:b/>
        </w:rPr>
      </w:pPr>
      <w:r w:rsidRPr="003A199B">
        <w:rPr>
          <w:rFonts w:ascii="Arial" w:hAnsi="Arial" w:cs="Arial"/>
          <w:b/>
        </w:rPr>
        <w:t>ACTO</w:t>
      </w:r>
      <w:r w:rsidR="002D47ED">
        <w:rPr>
          <w:rFonts w:ascii="Arial" w:hAnsi="Arial" w:cs="Arial"/>
          <w:b/>
        </w:rPr>
        <w:t>S QUE</w:t>
      </w:r>
      <w:r>
        <w:rPr>
          <w:rFonts w:ascii="Arial" w:hAnsi="Arial" w:cs="Arial"/>
          <w:b/>
        </w:rPr>
        <w:t xml:space="preserve"> </w:t>
      </w:r>
      <w:r w:rsidRPr="003A199B">
        <w:rPr>
          <w:rFonts w:ascii="Arial" w:hAnsi="Arial" w:cs="Arial"/>
          <w:b/>
        </w:rPr>
        <w:t>DECLARA</w:t>
      </w:r>
      <w:r>
        <w:rPr>
          <w:rFonts w:ascii="Arial" w:hAnsi="Arial" w:cs="Arial"/>
          <w:b/>
        </w:rPr>
        <w:t xml:space="preserve"> </w:t>
      </w:r>
      <w:r w:rsidRPr="003A199B">
        <w:rPr>
          <w:rFonts w:ascii="Arial" w:hAnsi="Arial" w:cs="Arial"/>
          <w:b/>
        </w:rPr>
        <w:t xml:space="preserve">DESIERTA </w:t>
      </w:r>
      <w:bookmarkStart w:id="0" w:name="_GoBack"/>
      <w:r w:rsidR="00DE69B2">
        <w:rPr>
          <w:rFonts w:ascii="Arial" w:hAnsi="Arial" w:cs="Arial"/>
          <w:b/>
        </w:rPr>
        <w:t xml:space="preserve">- </w:t>
      </w:r>
      <w:r w:rsidR="00DE69B2" w:rsidRPr="00595DCB">
        <w:rPr>
          <w:rFonts w:ascii="Arial" w:hAnsi="Arial" w:cs="Arial"/>
          <w:b/>
        </w:rPr>
        <w:t>Cómputo del t</w:t>
      </w:r>
      <w:r w:rsidRPr="00595DCB">
        <w:rPr>
          <w:rFonts w:ascii="Arial" w:hAnsi="Arial" w:cs="Arial"/>
          <w:b/>
        </w:rPr>
        <w:t>érmino de caducidad</w:t>
      </w:r>
      <w:bookmarkEnd w:id="0"/>
    </w:p>
    <w:p w:rsidR="00CE7E14" w:rsidRDefault="00CE7E14" w:rsidP="004F0956">
      <w:pPr>
        <w:spacing w:line="240" w:lineRule="auto"/>
        <w:jc w:val="both"/>
        <w:rPr>
          <w:rFonts w:ascii="Arial" w:hAnsi="Arial" w:cs="Arial"/>
        </w:rPr>
      </w:pPr>
    </w:p>
    <w:p w:rsidR="00CE7E14" w:rsidRDefault="00CE7E14" w:rsidP="004F0956">
      <w:pPr>
        <w:spacing w:line="240" w:lineRule="auto"/>
        <w:jc w:val="both"/>
        <w:rPr>
          <w:rFonts w:ascii="Arial" w:hAnsi="Arial" w:cs="Arial"/>
        </w:rPr>
      </w:pPr>
      <w:r>
        <w:rPr>
          <w:rFonts w:ascii="Arial" w:hAnsi="Arial" w:cs="Arial"/>
        </w:rPr>
        <w:t>L</w:t>
      </w:r>
      <w:r w:rsidRPr="00CE7E14">
        <w:rPr>
          <w:rFonts w:ascii="Arial" w:hAnsi="Arial" w:cs="Arial"/>
        </w:rPr>
        <w:t>a Ley 1437 de 2011 volvió las cosas al estado anterior y precisó que los actos previos a la celebración del contrato deberían demandarse en los términos de las acciones de nulidad y de nulidad y restablecimiento del derecho</w:t>
      </w:r>
      <w:r>
        <w:rPr>
          <w:rFonts w:ascii="Arial" w:hAnsi="Arial" w:cs="Arial"/>
        </w:rPr>
        <w:t xml:space="preserve"> (…) </w:t>
      </w:r>
      <w:r w:rsidRPr="00CE7E14">
        <w:rPr>
          <w:rFonts w:ascii="Arial" w:hAnsi="Arial" w:cs="Arial"/>
        </w:rPr>
        <w:t>Ahora, es importante tener en cuenta que si bien la acción contractual procede para pedir la nulidad absoluta del contrato y la Ley 80 de 1993 previó en el artículo 44 como causal de nulidad absoluta del contrato, entre otras que “se declaren nulos los actos administrativos en que se fundamenten”, lo cierto es que esa nulidad consecuencial -la nulidad del contrato como consecuencia de la nulidad de los actos previos- no da vía libre para que se cambie la acción procedente frente a los actos previos, caso en el cual se deberá ejercer la acción de nulidad y restablecimiento del derecho en la oportunidad debida.</w:t>
      </w:r>
    </w:p>
    <w:p w:rsidR="004F0956" w:rsidRPr="004F0956" w:rsidRDefault="004F0956" w:rsidP="000C268B">
      <w:pPr>
        <w:spacing w:line="240" w:lineRule="auto"/>
        <w:jc w:val="both"/>
        <w:rPr>
          <w:rFonts w:ascii="Arial" w:hAnsi="Arial" w:cs="Arial"/>
        </w:rPr>
      </w:pPr>
    </w:p>
    <w:p w:rsidR="00F873A4" w:rsidRDefault="00F873A4" w:rsidP="000F27D2">
      <w:pPr>
        <w:spacing w:line="240" w:lineRule="auto"/>
        <w:jc w:val="center"/>
        <w:rPr>
          <w:rFonts w:ascii="Arial" w:hAnsi="Arial" w:cs="Arial"/>
          <w:b/>
          <w:sz w:val="24"/>
          <w:szCs w:val="24"/>
        </w:rPr>
      </w:pPr>
    </w:p>
    <w:p w:rsidR="000F27D2" w:rsidRPr="00DC20AB" w:rsidRDefault="000F27D2" w:rsidP="000F27D2">
      <w:pPr>
        <w:spacing w:line="240" w:lineRule="auto"/>
        <w:jc w:val="center"/>
        <w:rPr>
          <w:rFonts w:ascii="Arial" w:hAnsi="Arial" w:cs="Arial"/>
          <w:b/>
          <w:sz w:val="24"/>
          <w:szCs w:val="24"/>
        </w:rPr>
      </w:pPr>
      <w:r w:rsidRPr="00DC20AB">
        <w:rPr>
          <w:rFonts w:ascii="Arial" w:hAnsi="Arial" w:cs="Arial"/>
          <w:b/>
          <w:sz w:val="24"/>
          <w:szCs w:val="24"/>
        </w:rPr>
        <w:t>CONSEJO DE ESTADO</w:t>
      </w:r>
    </w:p>
    <w:p w:rsidR="000F27D2" w:rsidRPr="00DC20AB" w:rsidRDefault="000F27D2" w:rsidP="000F27D2">
      <w:pPr>
        <w:spacing w:line="240" w:lineRule="auto"/>
        <w:jc w:val="center"/>
        <w:rPr>
          <w:rFonts w:ascii="Arial" w:hAnsi="Arial" w:cs="Arial"/>
          <w:b/>
          <w:sz w:val="24"/>
          <w:szCs w:val="24"/>
        </w:rPr>
      </w:pPr>
    </w:p>
    <w:p w:rsidR="000F27D2" w:rsidRPr="00DC20AB" w:rsidRDefault="000F27D2" w:rsidP="000F27D2">
      <w:pPr>
        <w:spacing w:line="240" w:lineRule="auto"/>
        <w:jc w:val="center"/>
        <w:rPr>
          <w:rFonts w:ascii="Arial" w:hAnsi="Arial" w:cs="Arial"/>
          <w:b/>
          <w:sz w:val="24"/>
          <w:szCs w:val="24"/>
        </w:rPr>
      </w:pPr>
      <w:r w:rsidRPr="00DC20AB">
        <w:rPr>
          <w:rFonts w:ascii="Arial" w:hAnsi="Arial" w:cs="Arial"/>
          <w:b/>
          <w:sz w:val="24"/>
          <w:szCs w:val="24"/>
        </w:rPr>
        <w:t>SALA DE LO CONTENCIOSO ADMINISTRATIVO</w:t>
      </w:r>
    </w:p>
    <w:p w:rsidR="000F27D2" w:rsidRPr="00DC20AB" w:rsidRDefault="000F27D2" w:rsidP="000F27D2">
      <w:pPr>
        <w:spacing w:line="240" w:lineRule="auto"/>
        <w:jc w:val="center"/>
        <w:rPr>
          <w:rFonts w:ascii="Arial" w:hAnsi="Arial" w:cs="Arial"/>
          <w:b/>
          <w:sz w:val="24"/>
          <w:szCs w:val="24"/>
        </w:rPr>
      </w:pPr>
    </w:p>
    <w:p w:rsidR="000F27D2" w:rsidRPr="00DC20AB" w:rsidRDefault="000F27D2" w:rsidP="000F27D2">
      <w:pPr>
        <w:spacing w:line="240" w:lineRule="auto"/>
        <w:jc w:val="center"/>
        <w:rPr>
          <w:rFonts w:ascii="Arial" w:hAnsi="Arial" w:cs="Arial"/>
          <w:b/>
          <w:sz w:val="24"/>
          <w:szCs w:val="24"/>
        </w:rPr>
      </w:pPr>
      <w:r w:rsidRPr="00DC20AB">
        <w:rPr>
          <w:rFonts w:ascii="Arial" w:hAnsi="Arial" w:cs="Arial"/>
          <w:b/>
          <w:sz w:val="24"/>
          <w:szCs w:val="24"/>
        </w:rPr>
        <w:t>SECCIÓN TERCERA</w:t>
      </w:r>
    </w:p>
    <w:p w:rsidR="000F27D2" w:rsidRPr="00DC20AB" w:rsidRDefault="000F27D2" w:rsidP="000F27D2">
      <w:pPr>
        <w:spacing w:line="240" w:lineRule="auto"/>
        <w:jc w:val="center"/>
        <w:rPr>
          <w:rFonts w:ascii="Arial" w:hAnsi="Arial" w:cs="Arial"/>
          <w:b/>
          <w:sz w:val="24"/>
          <w:szCs w:val="24"/>
        </w:rPr>
      </w:pPr>
    </w:p>
    <w:p w:rsidR="000F27D2" w:rsidRPr="00DC20AB" w:rsidRDefault="000F27D2" w:rsidP="000F27D2">
      <w:pPr>
        <w:spacing w:line="240" w:lineRule="auto"/>
        <w:jc w:val="center"/>
        <w:rPr>
          <w:rFonts w:ascii="Arial" w:hAnsi="Arial" w:cs="Arial"/>
          <w:b/>
          <w:sz w:val="24"/>
          <w:szCs w:val="24"/>
        </w:rPr>
      </w:pPr>
      <w:r w:rsidRPr="00DC20AB">
        <w:rPr>
          <w:rFonts w:ascii="Arial" w:hAnsi="Arial" w:cs="Arial"/>
          <w:b/>
          <w:sz w:val="24"/>
          <w:szCs w:val="24"/>
        </w:rPr>
        <w:t>SUBSECCIÓN A</w:t>
      </w:r>
    </w:p>
    <w:p w:rsidR="000F27D2" w:rsidRPr="00DC20AB" w:rsidRDefault="000F27D2" w:rsidP="000F27D2">
      <w:pPr>
        <w:spacing w:line="240" w:lineRule="auto"/>
        <w:jc w:val="center"/>
        <w:rPr>
          <w:rFonts w:ascii="Arial" w:hAnsi="Arial" w:cs="Arial"/>
          <w:b/>
          <w:sz w:val="24"/>
          <w:szCs w:val="24"/>
        </w:rPr>
      </w:pPr>
    </w:p>
    <w:p w:rsidR="000F27D2" w:rsidRPr="00DC20AB" w:rsidRDefault="000F27D2" w:rsidP="000F27D2">
      <w:pPr>
        <w:spacing w:line="240" w:lineRule="auto"/>
        <w:jc w:val="center"/>
        <w:rPr>
          <w:rFonts w:ascii="Arial" w:hAnsi="Arial" w:cs="Arial"/>
          <w:b/>
          <w:sz w:val="24"/>
          <w:szCs w:val="24"/>
        </w:rPr>
      </w:pPr>
      <w:r w:rsidRPr="00DC20AB">
        <w:rPr>
          <w:rFonts w:ascii="Arial" w:hAnsi="Arial" w:cs="Arial"/>
          <w:b/>
          <w:sz w:val="24"/>
          <w:szCs w:val="24"/>
        </w:rPr>
        <w:t xml:space="preserve">Consejero ponente: </w:t>
      </w:r>
      <w:r>
        <w:rPr>
          <w:rFonts w:ascii="Arial" w:hAnsi="Arial" w:cs="Arial"/>
          <w:b/>
          <w:sz w:val="24"/>
          <w:szCs w:val="24"/>
        </w:rPr>
        <w:t>CARLOS ALBERTO ZAMBRANO BARRERA</w:t>
      </w:r>
    </w:p>
    <w:p w:rsidR="000F27D2" w:rsidRPr="00DC20AB" w:rsidRDefault="000F27D2" w:rsidP="000F27D2">
      <w:pPr>
        <w:spacing w:line="240" w:lineRule="auto"/>
        <w:jc w:val="both"/>
        <w:rPr>
          <w:rFonts w:ascii="Arial" w:hAnsi="Arial" w:cs="Arial"/>
          <w:sz w:val="24"/>
          <w:szCs w:val="24"/>
        </w:rPr>
      </w:pPr>
    </w:p>
    <w:p w:rsidR="000F27D2" w:rsidRDefault="000F27D2" w:rsidP="000F27D2">
      <w:pPr>
        <w:spacing w:line="240" w:lineRule="auto"/>
        <w:jc w:val="both"/>
        <w:rPr>
          <w:rFonts w:ascii="Arial" w:hAnsi="Arial" w:cs="Arial"/>
          <w:sz w:val="24"/>
          <w:szCs w:val="24"/>
        </w:rPr>
      </w:pPr>
      <w:r w:rsidRPr="000F27D2">
        <w:rPr>
          <w:rFonts w:ascii="Arial" w:hAnsi="Arial" w:cs="Arial"/>
          <w:sz w:val="24"/>
          <w:szCs w:val="24"/>
        </w:rPr>
        <w:t>Bogotá, D.C., veintidós (22) de junio de dos mil diecisiete (2017)</w:t>
      </w:r>
    </w:p>
    <w:p w:rsidR="000F27D2" w:rsidRPr="000F27D2" w:rsidRDefault="000F27D2" w:rsidP="000F27D2">
      <w:pPr>
        <w:spacing w:line="240" w:lineRule="auto"/>
        <w:jc w:val="both"/>
        <w:rPr>
          <w:rFonts w:ascii="Arial" w:hAnsi="Arial" w:cs="Arial"/>
          <w:sz w:val="24"/>
          <w:szCs w:val="24"/>
        </w:rPr>
      </w:pPr>
    </w:p>
    <w:p w:rsidR="000F27D2" w:rsidRPr="000F27D2" w:rsidRDefault="000F27D2" w:rsidP="000F27D2">
      <w:pPr>
        <w:spacing w:line="240" w:lineRule="auto"/>
        <w:jc w:val="both"/>
        <w:rPr>
          <w:rFonts w:ascii="Arial" w:hAnsi="Arial" w:cs="Arial"/>
          <w:b/>
          <w:sz w:val="24"/>
          <w:szCs w:val="24"/>
        </w:rPr>
      </w:pPr>
      <w:r w:rsidRPr="00DC20AB">
        <w:rPr>
          <w:rFonts w:ascii="Arial" w:hAnsi="Arial" w:cs="Arial"/>
          <w:b/>
          <w:sz w:val="24"/>
          <w:szCs w:val="24"/>
        </w:rPr>
        <w:t xml:space="preserve">Radicación número: </w:t>
      </w:r>
      <w:r w:rsidRPr="000F27D2">
        <w:rPr>
          <w:rFonts w:ascii="Arial" w:hAnsi="Arial" w:cs="Arial"/>
          <w:b/>
          <w:sz w:val="24"/>
          <w:szCs w:val="24"/>
        </w:rPr>
        <w:t>25000-23-26-000-1998-01685-03(37121)</w:t>
      </w:r>
    </w:p>
    <w:p w:rsidR="000F27D2" w:rsidRPr="00DC20AB" w:rsidRDefault="000F27D2" w:rsidP="000F27D2">
      <w:pPr>
        <w:spacing w:line="240" w:lineRule="auto"/>
        <w:jc w:val="both"/>
        <w:rPr>
          <w:rFonts w:ascii="Arial" w:hAnsi="Arial" w:cs="Arial"/>
          <w:b/>
          <w:sz w:val="24"/>
          <w:szCs w:val="24"/>
        </w:rPr>
      </w:pPr>
    </w:p>
    <w:p w:rsidR="000F27D2" w:rsidRPr="000F27D2" w:rsidRDefault="000F27D2" w:rsidP="000F27D2">
      <w:pPr>
        <w:spacing w:line="240" w:lineRule="auto"/>
        <w:jc w:val="both"/>
        <w:rPr>
          <w:rFonts w:ascii="Arial" w:hAnsi="Arial" w:cs="Arial"/>
          <w:b/>
          <w:sz w:val="24"/>
          <w:szCs w:val="24"/>
        </w:rPr>
      </w:pPr>
      <w:r w:rsidRPr="00DC20AB">
        <w:rPr>
          <w:rFonts w:ascii="Arial" w:hAnsi="Arial" w:cs="Arial"/>
          <w:b/>
          <w:sz w:val="24"/>
          <w:szCs w:val="24"/>
        </w:rPr>
        <w:t xml:space="preserve">Actor: </w:t>
      </w:r>
      <w:r w:rsidRPr="000F27D2">
        <w:rPr>
          <w:rFonts w:ascii="Arial" w:hAnsi="Arial" w:cs="Arial"/>
          <w:b/>
          <w:sz w:val="24"/>
          <w:szCs w:val="24"/>
        </w:rPr>
        <w:t>ARANGO SOFTWARE DE COLOMBIA S.A.</w:t>
      </w:r>
    </w:p>
    <w:p w:rsidR="000F27D2" w:rsidRPr="00DC20AB" w:rsidRDefault="000F27D2" w:rsidP="000F27D2">
      <w:pPr>
        <w:spacing w:line="240" w:lineRule="auto"/>
        <w:jc w:val="both"/>
        <w:rPr>
          <w:rFonts w:ascii="Arial" w:hAnsi="Arial" w:cs="Arial"/>
          <w:b/>
          <w:sz w:val="24"/>
          <w:szCs w:val="24"/>
        </w:rPr>
      </w:pPr>
    </w:p>
    <w:p w:rsidR="000F27D2" w:rsidRPr="000F27D2" w:rsidRDefault="000F27D2" w:rsidP="000F27D2">
      <w:pPr>
        <w:spacing w:line="240" w:lineRule="auto"/>
        <w:jc w:val="both"/>
        <w:rPr>
          <w:rFonts w:ascii="Arial" w:hAnsi="Arial" w:cs="Arial"/>
          <w:b/>
          <w:sz w:val="24"/>
          <w:szCs w:val="24"/>
        </w:rPr>
      </w:pPr>
      <w:r w:rsidRPr="00DC20AB">
        <w:rPr>
          <w:rFonts w:ascii="Arial" w:hAnsi="Arial" w:cs="Arial"/>
          <w:b/>
          <w:sz w:val="24"/>
          <w:szCs w:val="24"/>
        </w:rPr>
        <w:t xml:space="preserve">Demandado: </w:t>
      </w:r>
      <w:r w:rsidRPr="000F27D2">
        <w:rPr>
          <w:rFonts w:ascii="Arial" w:hAnsi="Arial" w:cs="Arial"/>
          <w:b/>
          <w:sz w:val="24"/>
          <w:szCs w:val="24"/>
        </w:rPr>
        <w:t>INSTITUTO DE FOMENTO INDUSTRIAL - IFI</w:t>
      </w:r>
    </w:p>
    <w:p w:rsidR="000F27D2" w:rsidRPr="00DC20AB" w:rsidRDefault="000F27D2" w:rsidP="000F27D2">
      <w:pPr>
        <w:spacing w:line="240" w:lineRule="auto"/>
        <w:jc w:val="both"/>
        <w:rPr>
          <w:rFonts w:ascii="Arial" w:hAnsi="Arial" w:cs="Arial"/>
          <w:b/>
          <w:sz w:val="24"/>
          <w:szCs w:val="24"/>
        </w:rPr>
      </w:pPr>
    </w:p>
    <w:p w:rsidR="000F27D2" w:rsidRPr="00DC20AB" w:rsidRDefault="000F27D2" w:rsidP="000F27D2">
      <w:pPr>
        <w:spacing w:line="240" w:lineRule="auto"/>
        <w:jc w:val="both"/>
        <w:rPr>
          <w:rFonts w:ascii="Arial" w:hAnsi="Arial" w:cs="Arial"/>
          <w:b/>
          <w:sz w:val="24"/>
          <w:szCs w:val="24"/>
        </w:rPr>
      </w:pPr>
    </w:p>
    <w:p w:rsidR="000F27D2" w:rsidRPr="00CC283D" w:rsidRDefault="000F27D2" w:rsidP="000F27D2">
      <w:pPr>
        <w:spacing w:line="240" w:lineRule="auto"/>
        <w:jc w:val="both"/>
        <w:rPr>
          <w:rFonts w:ascii="Arial" w:hAnsi="Arial" w:cs="Arial"/>
          <w:b/>
          <w:sz w:val="24"/>
          <w:szCs w:val="24"/>
        </w:rPr>
      </w:pPr>
      <w:r>
        <w:rPr>
          <w:rFonts w:ascii="Arial" w:hAnsi="Arial" w:cs="Arial"/>
          <w:b/>
          <w:sz w:val="24"/>
          <w:szCs w:val="24"/>
        </w:rPr>
        <w:t>Referencia:</w:t>
      </w:r>
      <w:r w:rsidRPr="00052E80">
        <w:rPr>
          <w:rFonts w:ascii="Arial" w:hAnsi="Arial" w:cs="Arial"/>
          <w:b/>
          <w:sz w:val="24"/>
          <w:szCs w:val="24"/>
        </w:rPr>
        <w:t xml:space="preserve"> </w:t>
      </w:r>
      <w:r w:rsidRPr="00CC283D">
        <w:rPr>
          <w:rFonts w:ascii="Arial" w:hAnsi="Arial" w:cs="Arial"/>
          <w:b/>
          <w:sz w:val="24"/>
          <w:szCs w:val="24"/>
        </w:rPr>
        <w:t xml:space="preserve">ACCIÓN </w:t>
      </w:r>
      <w:r>
        <w:rPr>
          <w:rFonts w:ascii="Arial" w:hAnsi="Arial" w:cs="Arial"/>
          <w:b/>
          <w:sz w:val="24"/>
          <w:szCs w:val="24"/>
        </w:rPr>
        <w:t>CONTRACTUAL</w:t>
      </w:r>
    </w:p>
    <w:p w:rsidR="000F27D2" w:rsidRDefault="000F27D2" w:rsidP="000F27D2">
      <w:pPr>
        <w:spacing w:line="240" w:lineRule="auto"/>
        <w:jc w:val="both"/>
        <w:rPr>
          <w:rFonts w:ascii="Arial" w:hAnsi="Arial" w:cs="Arial"/>
          <w:b/>
          <w:sz w:val="24"/>
          <w:szCs w:val="24"/>
        </w:rPr>
      </w:pPr>
    </w:p>
    <w:p w:rsidR="000F27D2" w:rsidRDefault="000F27D2" w:rsidP="000F27D2">
      <w:pPr>
        <w:spacing w:line="240" w:lineRule="auto"/>
        <w:jc w:val="both"/>
        <w:rPr>
          <w:rFonts w:ascii="Arial" w:hAnsi="Arial" w:cs="Arial"/>
          <w:b/>
          <w:sz w:val="24"/>
          <w:szCs w:val="24"/>
        </w:rPr>
      </w:pPr>
    </w:p>
    <w:p w:rsidR="000F27D2" w:rsidRDefault="000F27D2" w:rsidP="000F27D2">
      <w:pPr>
        <w:spacing w:line="240" w:lineRule="auto"/>
        <w:jc w:val="both"/>
        <w:rPr>
          <w:rFonts w:ascii="Arial" w:hAnsi="Arial" w:cs="Arial"/>
          <w:b/>
          <w:sz w:val="24"/>
          <w:szCs w:val="24"/>
        </w:rPr>
      </w:pPr>
    </w:p>
    <w:p w:rsidR="00C22D21" w:rsidRDefault="00C22D21" w:rsidP="00C22D21">
      <w:pPr>
        <w:pStyle w:val="Textoindependiente"/>
        <w:rPr>
          <w:rFonts w:ascii="Century Gothic" w:hAnsi="Century Gothic" w:cs="Arial"/>
          <w:sz w:val="22"/>
          <w:szCs w:val="22"/>
        </w:rPr>
      </w:pPr>
      <w:r w:rsidRPr="00CA243D">
        <w:rPr>
          <w:rFonts w:ascii="Century Gothic" w:hAnsi="Century Gothic" w:cs="Arial"/>
          <w:sz w:val="22"/>
          <w:szCs w:val="22"/>
        </w:rPr>
        <w:t>Surtido el trámite de ley,</w:t>
      </w:r>
      <w:r w:rsidRPr="001C0FBC">
        <w:rPr>
          <w:rFonts w:ascii="Century Gothic" w:hAnsi="Century Gothic" w:cs="Arial"/>
          <w:sz w:val="22"/>
          <w:szCs w:val="22"/>
        </w:rPr>
        <w:t xml:space="preserve"> sin que se observe causal de nulidad que invalide lo actuado, procede la Sala a resolver </w:t>
      </w:r>
      <w:r>
        <w:rPr>
          <w:rFonts w:ascii="Century Gothic" w:hAnsi="Century Gothic" w:cs="Arial"/>
          <w:sz w:val="22"/>
          <w:szCs w:val="22"/>
        </w:rPr>
        <w:t xml:space="preserve">el </w:t>
      </w:r>
      <w:r w:rsidRPr="001C0FBC">
        <w:rPr>
          <w:rFonts w:ascii="Century Gothic" w:hAnsi="Century Gothic" w:cs="Arial"/>
          <w:sz w:val="22"/>
          <w:szCs w:val="22"/>
        </w:rPr>
        <w:t>recurso de apelación interpuesto por la parte</w:t>
      </w:r>
      <w:r>
        <w:rPr>
          <w:rFonts w:ascii="Century Gothic" w:hAnsi="Century Gothic" w:cs="Arial"/>
          <w:sz w:val="22"/>
          <w:szCs w:val="22"/>
        </w:rPr>
        <w:t xml:space="preserve"> demandante </w:t>
      </w:r>
      <w:r w:rsidRPr="001C0FBC">
        <w:rPr>
          <w:rFonts w:ascii="Century Gothic" w:hAnsi="Century Gothic" w:cs="Arial"/>
          <w:sz w:val="22"/>
          <w:szCs w:val="22"/>
        </w:rPr>
        <w:t xml:space="preserve">contra la sentencia proferida el </w:t>
      </w:r>
      <w:r>
        <w:rPr>
          <w:rFonts w:ascii="Century Gothic" w:hAnsi="Century Gothic" w:cs="Arial"/>
          <w:sz w:val="22"/>
          <w:szCs w:val="22"/>
        </w:rPr>
        <w:t xml:space="preserve">5 </w:t>
      </w:r>
      <w:r w:rsidRPr="001C0FBC">
        <w:rPr>
          <w:rFonts w:ascii="Century Gothic" w:hAnsi="Century Gothic" w:cs="Arial"/>
          <w:sz w:val="22"/>
          <w:szCs w:val="22"/>
        </w:rPr>
        <w:t xml:space="preserve">de </w:t>
      </w:r>
      <w:r>
        <w:rPr>
          <w:rFonts w:ascii="Century Gothic" w:hAnsi="Century Gothic" w:cs="Arial"/>
          <w:sz w:val="22"/>
          <w:szCs w:val="22"/>
        </w:rPr>
        <w:t xml:space="preserve">febrero </w:t>
      </w:r>
      <w:r w:rsidRPr="001C0FBC">
        <w:rPr>
          <w:rFonts w:ascii="Century Gothic" w:hAnsi="Century Gothic" w:cs="Arial"/>
          <w:sz w:val="22"/>
          <w:szCs w:val="22"/>
        </w:rPr>
        <w:t>de 200</w:t>
      </w:r>
      <w:r>
        <w:rPr>
          <w:rFonts w:ascii="Century Gothic" w:hAnsi="Century Gothic" w:cs="Arial"/>
          <w:sz w:val="22"/>
          <w:szCs w:val="22"/>
        </w:rPr>
        <w:t xml:space="preserve">9, </w:t>
      </w:r>
      <w:r w:rsidRPr="001C0FBC">
        <w:rPr>
          <w:rFonts w:ascii="Century Gothic" w:hAnsi="Century Gothic" w:cs="Arial"/>
          <w:sz w:val="22"/>
          <w:szCs w:val="22"/>
        </w:rPr>
        <w:t xml:space="preserve">por </w:t>
      </w:r>
      <w:r>
        <w:rPr>
          <w:rFonts w:ascii="Century Gothic" w:hAnsi="Century Gothic" w:cs="Arial"/>
          <w:sz w:val="22"/>
          <w:szCs w:val="22"/>
        </w:rPr>
        <w:t xml:space="preserve">el  Tribunal Administrativo de Cundinamarca, </w:t>
      </w:r>
      <w:r w:rsidRPr="001C0FBC">
        <w:rPr>
          <w:rFonts w:ascii="Century Gothic" w:hAnsi="Century Gothic" w:cs="Arial"/>
          <w:sz w:val="22"/>
          <w:szCs w:val="22"/>
        </w:rPr>
        <w:t xml:space="preserve">mediante la cual </w:t>
      </w:r>
      <w:r w:rsidRPr="00ED40F4">
        <w:rPr>
          <w:rFonts w:ascii="Century Gothic" w:hAnsi="Century Gothic" w:cs="Arial"/>
          <w:sz w:val="22"/>
          <w:szCs w:val="22"/>
        </w:rPr>
        <w:t xml:space="preserve">se </w:t>
      </w:r>
      <w:r>
        <w:rPr>
          <w:rFonts w:ascii="Century Gothic" w:hAnsi="Century Gothic" w:cs="Arial"/>
          <w:sz w:val="22"/>
          <w:szCs w:val="22"/>
        </w:rPr>
        <w:t xml:space="preserve">declaró probada la caducidad de la acción. </w:t>
      </w:r>
    </w:p>
    <w:p w:rsidR="00C22D21" w:rsidRDefault="00C22D21" w:rsidP="00C22D21">
      <w:pPr>
        <w:pStyle w:val="Textoindependiente"/>
        <w:rPr>
          <w:rFonts w:ascii="Century Gothic" w:hAnsi="Century Gothic" w:cs="Arial"/>
          <w:sz w:val="22"/>
          <w:szCs w:val="22"/>
        </w:rPr>
      </w:pPr>
    </w:p>
    <w:p w:rsidR="00C22D21" w:rsidRPr="001C0FBC" w:rsidRDefault="00C22D21" w:rsidP="00C22D21">
      <w:pPr>
        <w:pStyle w:val="Ttulo3"/>
        <w:jc w:val="center"/>
        <w:rPr>
          <w:rFonts w:ascii="Century Gothic" w:hAnsi="Century Gothic" w:cs="Arial"/>
          <w:b/>
          <w:sz w:val="22"/>
          <w:szCs w:val="22"/>
        </w:rPr>
      </w:pPr>
      <w:r w:rsidRPr="001C0FBC">
        <w:rPr>
          <w:rFonts w:ascii="Century Gothic" w:hAnsi="Century Gothic" w:cs="Arial"/>
          <w:b/>
          <w:sz w:val="22"/>
          <w:szCs w:val="22"/>
        </w:rPr>
        <w:t>I.</w:t>
      </w:r>
      <w:r>
        <w:rPr>
          <w:rFonts w:ascii="Century Gothic" w:hAnsi="Century Gothic" w:cs="Arial"/>
          <w:b/>
          <w:sz w:val="22"/>
          <w:szCs w:val="22"/>
        </w:rPr>
        <w:t>-</w:t>
      </w:r>
      <w:r w:rsidRPr="001C0FBC">
        <w:rPr>
          <w:rFonts w:ascii="Century Gothic" w:hAnsi="Century Gothic" w:cs="Arial"/>
          <w:b/>
          <w:sz w:val="22"/>
          <w:szCs w:val="22"/>
        </w:rPr>
        <w:t xml:space="preserve"> ANTECEDENTES</w:t>
      </w:r>
      <w:r>
        <w:rPr>
          <w:rFonts w:ascii="Century Gothic" w:hAnsi="Century Gothic" w:cs="Arial"/>
          <w:b/>
          <w:sz w:val="22"/>
          <w:szCs w:val="22"/>
        </w:rPr>
        <w:t>.-</w:t>
      </w:r>
    </w:p>
    <w:p w:rsidR="00C22D21" w:rsidRDefault="00C22D21" w:rsidP="00C22D21"/>
    <w:p w:rsidR="00C22D21" w:rsidRDefault="00C22D21" w:rsidP="00C22D21">
      <w:pPr>
        <w:spacing w:line="360" w:lineRule="auto"/>
        <w:jc w:val="both"/>
        <w:rPr>
          <w:rFonts w:ascii="Century Gothic" w:hAnsi="Century Gothic" w:cs="Arial"/>
          <w:b/>
          <w:bCs/>
        </w:rPr>
      </w:pPr>
      <w:r w:rsidRPr="001C0FBC">
        <w:rPr>
          <w:rFonts w:ascii="Century Gothic" w:hAnsi="Century Gothic" w:cs="Arial"/>
          <w:b/>
          <w:bCs/>
        </w:rPr>
        <w:t xml:space="preserve">1.- La demanda.- </w:t>
      </w:r>
    </w:p>
    <w:p w:rsidR="00C22D21" w:rsidRDefault="00C22D21" w:rsidP="00C22D21">
      <w:pPr>
        <w:pStyle w:val="Textoindependiente3"/>
        <w:tabs>
          <w:tab w:val="clear" w:pos="426"/>
        </w:tabs>
        <w:rPr>
          <w:rFonts w:ascii="Century Gothic" w:hAnsi="Century Gothic" w:cs="Arial"/>
          <w:sz w:val="22"/>
          <w:szCs w:val="22"/>
        </w:rPr>
      </w:pPr>
    </w:p>
    <w:p w:rsidR="00C22D21" w:rsidRDefault="00C22D21" w:rsidP="00C22D21">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 xml:space="preserve">Mediante escrito radicado el </w:t>
      </w:r>
      <w:r>
        <w:rPr>
          <w:rFonts w:ascii="Century Gothic" w:hAnsi="Century Gothic" w:cs="Arial"/>
          <w:sz w:val="22"/>
          <w:szCs w:val="22"/>
        </w:rPr>
        <w:t>14 de mayo de 1998</w:t>
      </w:r>
      <w:r w:rsidRPr="001C0FBC">
        <w:rPr>
          <w:rFonts w:ascii="Century Gothic" w:hAnsi="Century Gothic" w:cs="Arial"/>
          <w:sz w:val="22"/>
          <w:szCs w:val="22"/>
        </w:rPr>
        <w:t xml:space="preserve"> en el Tribunal Administrativo de</w:t>
      </w:r>
      <w:r>
        <w:rPr>
          <w:rFonts w:ascii="Century Gothic" w:hAnsi="Century Gothic" w:cs="Arial"/>
          <w:sz w:val="22"/>
          <w:szCs w:val="22"/>
        </w:rPr>
        <w:t xml:space="preserve"> Cundinamarca, Arango Software de Colombia S.A. </w:t>
      </w:r>
      <w:r w:rsidRPr="001C0FBC">
        <w:rPr>
          <w:rFonts w:ascii="Century Gothic" w:hAnsi="Century Gothic" w:cs="Arial"/>
          <w:sz w:val="22"/>
          <w:szCs w:val="22"/>
        </w:rPr>
        <w:t xml:space="preserve">formuló demanda, por conducto de apoderado judicial y en ejercicio de la acción </w:t>
      </w:r>
      <w:r>
        <w:rPr>
          <w:rFonts w:ascii="Century Gothic" w:hAnsi="Century Gothic" w:cs="Arial"/>
          <w:sz w:val="22"/>
          <w:szCs w:val="22"/>
        </w:rPr>
        <w:t>contractual</w:t>
      </w:r>
      <w:r w:rsidRPr="001C0FBC">
        <w:rPr>
          <w:rFonts w:ascii="Century Gothic" w:hAnsi="Century Gothic" w:cs="Arial"/>
          <w:sz w:val="22"/>
          <w:szCs w:val="22"/>
        </w:rPr>
        <w:t xml:space="preserve">, contra </w:t>
      </w:r>
      <w:r>
        <w:rPr>
          <w:rFonts w:ascii="Century Gothic" w:hAnsi="Century Gothic" w:cs="Arial"/>
          <w:sz w:val="22"/>
          <w:szCs w:val="22"/>
        </w:rPr>
        <w:t>el Instituto de Fomento Industrial – IFI</w:t>
      </w:r>
      <w:r w:rsidRPr="001C0FBC">
        <w:rPr>
          <w:rFonts w:ascii="Century Gothic" w:hAnsi="Century Gothic" w:cs="Arial"/>
          <w:sz w:val="22"/>
          <w:szCs w:val="22"/>
        </w:rPr>
        <w:t xml:space="preserve">, </w:t>
      </w:r>
      <w:r w:rsidRPr="00165ECE">
        <w:rPr>
          <w:rFonts w:ascii="Century Gothic" w:hAnsi="Century Gothic" w:cs="Arial"/>
          <w:sz w:val="22"/>
          <w:szCs w:val="22"/>
        </w:rPr>
        <w:t>con el fin de</w:t>
      </w:r>
      <w:r>
        <w:rPr>
          <w:rFonts w:ascii="Century Gothic" w:hAnsi="Century Gothic" w:cs="Arial"/>
          <w:sz w:val="22"/>
          <w:szCs w:val="22"/>
        </w:rPr>
        <w:t xml:space="preserve"> </w:t>
      </w:r>
      <w:r w:rsidRPr="00C73777">
        <w:rPr>
          <w:rFonts w:ascii="Century Gothic" w:hAnsi="Century Gothic" w:cs="Arial"/>
          <w:sz w:val="22"/>
          <w:szCs w:val="22"/>
        </w:rPr>
        <w:t>obtener pronunciamiento respecto de las siguientes pretensiones</w:t>
      </w:r>
      <w:r>
        <w:rPr>
          <w:rFonts w:ascii="Century Gothic" w:hAnsi="Century Gothic" w:cs="Arial"/>
          <w:sz w:val="22"/>
          <w:szCs w:val="22"/>
        </w:rPr>
        <w:t xml:space="preserve"> (se transcribe como obra en el expediente)</w:t>
      </w:r>
      <w:r w:rsidRPr="00C73777">
        <w:rPr>
          <w:rFonts w:ascii="Century Gothic" w:hAnsi="Century Gothic" w:cs="Arial"/>
          <w:sz w:val="22"/>
          <w:szCs w:val="22"/>
        </w:rPr>
        <w:t xml:space="preserve">: </w:t>
      </w:r>
    </w:p>
    <w:p w:rsidR="00C22D21" w:rsidRDefault="00C22D21" w:rsidP="00C22D21">
      <w:pPr>
        <w:pStyle w:val="Textoindependiente3"/>
        <w:tabs>
          <w:tab w:val="clear" w:pos="426"/>
        </w:tabs>
        <w:rPr>
          <w:rFonts w:ascii="Century Gothic" w:hAnsi="Century Gothic" w:cs="Arial"/>
          <w:sz w:val="22"/>
          <w:szCs w:val="22"/>
        </w:rPr>
      </w:pPr>
    </w:p>
    <w:p w:rsidR="00C22D21" w:rsidRDefault="00C22D21" w:rsidP="00C22D21">
      <w:pPr>
        <w:pStyle w:val="Textoindependiente3"/>
        <w:tabs>
          <w:tab w:val="clear" w:pos="426"/>
        </w:tabs>
        <w:spacing w:line="240" w:lineRule="auto"/>
        <w:ind w:left="851" w:right="851"/>
        <w:rPr>
          <w:rFonts w:ascii="Century Gothic" w:hAnsi="Century Gothic" w:cs="Arial"/>
          <w:b/>
          <w:sz w:val="20"/>
          <w:szCs w:val="20"/>
        </w:rPr>
      </w:pPr>
      <w:r w:rsidRPr="00A231ED">
        <w:rPr>
          <w:rFonts w:ascii="Century Gothic" w:hAnsi="Century Gothic" w:cs="Arial"/>
          <w:sz w:val="20"/>
          <w:szCs w:val="20"/>
        </w:rPr>
        <w:t>“</w:t>
      </w:r>
      <w:r>
        <w:rPr>
          <w:rFonts w:ascii="Century Gothic" w:hAnsi="Century Gothic" w:cs="Arial"/>
          <w:b/>
          <w:sz w:val="20"/>
          <w:szCs w:val="20"/>
        </w:rPr>
        <w:t>Pretensiones principales</w:t>
      </w:r>
    </w:p>
    <w:p w:rsidR="00C22D21" w:rsidRDefault="00C22D21" w:rsidP="00C22D21">
      <w:pPr>
        <w:pStyle w:val="Textoindependiente3"/>
        <w:tabs>
          <w:tab w:val="clear" w:pos="426"/>
        </w:tabs>
        <w:spacing w:line="240" w:lineRule="auto"/>
        <w:ind w:left="851" w:right="851"/>
        <w:rPr>
          <w:rFonts w:ascii="Century Gothic" w:hAnsi="Century Gothic" w:cs="Arial"/>
          <w:b/>
          <w:sz w:val="20"/>
          <w:szCs w:val="20"/>
        </w:rPr>
      </w:pP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“1o. Que se declare que es nulo el acto administrativo contenido en el acta número 1827 de la Junta Directiva del INSTITUTO DE FOMENTO INDUSTRIAL correspondiente a la sesión celebrada el 13 de mayo de 1997, por virtud del cual se declaró desierta la licitación para la adquisición de una solución informática para el denominado Sistema Integrado de Información Financiero, SIFI. </w:t>
      </w: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“2o. Que en consecuencia, es nulo el contrato celebrado entre el INSTITUTO DE FOMENTO INDUSTRIAL Y NCR Colombia S.A. para adquirir el mencionado sistema. </w:t>
      </w: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“3o. Que, de acuerdo con lo anterior, se declare que el INSTITUTO DE FOMENTO INDUSTRIAL ha debido adjudicar a ARANGO SOFTWARE DE COLOMBIA S.A la mencionada licitación. </w:t>
      </w: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“4o. Que se condene al IFI a indemnizar a Arango Software de Colombia S.A. los perjuicios – daño emergente y lucro cesante – derivados de la ilegales actuaciones de la entidad demandada, junto con la actualización de la suma que a tales perjuicios asciendan, teniendo en cuenta la pérdida de poder adquisitivo del peso colombiano, desde la fecha en que se causaron hasta el momento en que se pague la indemnización. La mencionada indemnización debe comprender tanto los gastos en que incurrió mi mandante para presentar su propuesta, como la utilidad dejada de percibir por la no adjudicación de la licitación a su favor. </w:t>
      </w: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“5o. Que adicionalmente se condene a la entidad demandada a pagar a Arango Software de Colombia S.A. los intereses corrientes liquidados sobre la suma a que hace referencia el acápite anterior, desde las fechas en que ellas se causaron, hasta que se realice su pago, y a la tasa que certifique la Superintendencia Bancaria para cada período. </w:t>
      </w: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p>
    <w:p w:rsidR="00C22D21" w:rsidRDefault="00C22D21" w:rsidP="00C22D21">
      <w:pPr>
        <w:pStyle w:val="Textoindependiente3"/>
        <w:tabs>
          <w:tab w:val="clear" w:pos="426"/>
        </w:tabs>
        <w:spacing w:line="240" w:lineRule="auto"/>
        <w:ind w:left="851" w:right="851"/>
        <w:rPr>
          <w:rFonts w:ascii="Century Gothic" w:hAnsi="Century Gothic" w:cs="Arial"/>
          <w:b/>
          <w:sz w:val="20"/>
          <w:szCs w:val="20"/>
        </w:rPr>
      </w:pPr>
      <w:r>
        <w:rPr>
          <w:rFonts w:ascii="Century Gothic" w:hAnsi="Century Gothic" w:cs="Arial"/>
          <w:sz w:val="20"/>
          <w:szCs w:val="20"/>
        </w:rPr>
        <w:t>“</w:t>
      </w:r>
      <w:r>
        <w:rPr>
          <w:rFonts w:ascii="Century Gothic" w:hAnsi="Century Gothic" w:cs="Arial"/>
          <w:b/>
          <w:sz w:val="20"/>
          <w:szCs w:val="20"/>
        </w:rPr>
        <w:t xml:space="preserve">Pretensiones Subsidiarias </w:t>
      </w:r>
    </w:p>
    <w:p w:rsidR="00C22D21" w:rsidRDefault="00C22D21" w:rsidP="00C22D21">
      <w:pPr>
        <w:pStyle w:val="Textoindependiente3"/>
        <w:tabs>
          <w:tab w:val="clear" w:pos="426"/>
        </w:tabs>
        <w:spacing w:line="240" w:lineRule="auto"/>
        <w:ind w:left="851" w:right="851"/>
        <w:rPr>
          <w:rFonts w:ascii="Century Gothic" w:hAnsi="Century Gothic" w:cs="Arial"/>
          <w:b/>
          <w:sz w:val="20"/>
          <w:szCs w:val="20"/>
        </w:rPr>
      </w:pP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“1o. Que se declare que el IFI incurrió en mala fe en la etapa previa a la celebración del contrato para la adquisición y puesta en funcionamiento de un Sistema Integrado de Información Financiero. </w:t>
      </w: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“2o. Que la mala fe desplegada en la etapa precontractual condujo a la entidad demandada a abstenerse de celebrar el contrato para la adquisición y puesta en funcionamiento de un Sistema Integrado de Información Financiero con Arango Software de Colombia S.A., proponente mejor calificado, y a declarar desierta la licitación, para posteriormente contratar directamente con NCR Colombia S.A. </w:t>
      </w: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p>
    <w:p w:rsidR="00C22D21" w:rsidRPr="008711AB" w:rsidRDefault="00C22D21" w:rsidP="00C22D21">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“3o. Que, en consecuencia, se condene a la entidad demandada a indemnizar a Arango Software de Colombia S.A. los perjuicios –lucro cesante y daño emergente- derivados de no haber celebrado el contrato con tal sociedad, junto con la actualización de la suma a que tales perjuicios asciendan, teniendo en cuenta la pérdida de  poder adquisitivo del peso olombiano (fls. 5 a 6, c. 1). </w:t>
      </w:r>
    </w:p>
    <w:p w:rsidR="00C22D21" w:rsidRDefault="00C22D21" w:rsidP="00C22D21">
      <w:pPr>
        <w:pStyle w:val="Textoindependiente3"/>
        <w:tabs>
          <w:tab w:val="clear" w:pos="426"/>
        </w:tabs>
        <w:spacing w:line="240" w:lineRule="auto"/>
        <w:ind w:left="851" w:right="851"/>
        <w:rPr>
          <w:rFonts w:ascii="Century Gothic" w:hAnsi="Century Gothic" w:cs="Arial"/>
          <w:sz w:val="20"/>
          <w:szCs w:val="20"/>
        </w:rPr>
      </w:pPr>
    </w:p>
    <w:p w:rsidR="00C22D21" w:rsidRPr="001C0FBC" w:rsidRDefault="00C22D21" w:rsidP="00C22D21">
      <w:pPr>
        <w:pStyle w:val="Textoindependiente3"/>
        <w:tabs>
          <w:tab w:val="clear" w:pos="426"/>
        </w:tabs>
        <w:rPr>
          <w:rFonts w:ascii="Century Gothic" w:hAnsi="Century Gothic" w:cs="Arial"/>
          <w:b/>
          <w:sz w:val="22"/>
          <w:szCs w:val="22"/>
        </w:rPr>
      </w:pPr>
      <w:r w:rsidRPr="00CF617E">
        <w:rPr>
          <w:rFonts w:ascii="Century Gothic" w:hAnsi="Century Gothic" w:cs="Arial"/>
          <w:b/>
          <w:sz w:val="22"/>
          <w:szCs w:val="22"/>
        </w:rPr>
        <w:t>2.- Hechos.-</w:t>
      </w:r>
    </w:p>
    <w:p w:rsidR="00C22D21" w:rsidRPr="001C0FBC" w:rsidRDefault="00C22D21" w:rsidP="00C22D21">
      <w:pPr>
        <w:pStyle w:val="Textoindependiente3"/>
        <w:tabs>
          <w:tab w:val="clear" w:pos="426"/>
        </w:tabs>
        <w:rPr>
          <w:rFonts w:ascii="Century Gothic" w:hAnsi="Century Gothic" w:cs="Arial"/>
          <w:sz w:val="22"/>
          <w:szCs w:val="22"/>
        </w:rPr>
      </w:pPr>
    </w:p>
    <w:p w:rsidR="00C22D21" w:rsidRDefault="00C22D21" w:rsidP="00C22D21">
      <w:pPr>
        <w:pStyle w:val="Textoindependiente3"/>
        <w:tabs>
          <w:tab w:val="clear" w:pos="426"/>
        </w:tabs>
        <w:rPr>
          <w:rFonts w:ascii="Century Gothic" w:hAnsi="Century Gothic" w:cs="Arial"/>
          <w:sz w:val="22"/>
          <w:szCs w:val="22"/>
        </w:rPr>
      </w:pPr>
      <w:r w:rsidRPr="005A48B2">
        <w:rPr>
          <w:rFonts w:ascii="Century Gothic" w:hAnsi="Century Gothic" w:cs="Arial"/>
          <w:b/>
          <w:sz w:val="22"/>
          <w:szCs w:val="22"/>
        </w:rPr>
        <w:t>2.1.-</w:t>
      </w:r>
      <w:r w:rsidRPr="001C0FBC">
        <w:rPr>
          <w:rFonts w:ascii="Century Gothic" w:hAnsi="Century Gothic" w:cs="Arial"/>
          <w:sz w:val="22"/>
          <w:szCs w:val="22"/>
        </w:rPr>
        <w:t xml:space="preserve"> </w:t>
      </w:r>
      <w:r>
        <w:rPr>
          <w:rFonts w:ascii="Century Gothic" w:hAnsi="Century Gothic" w:cs="Arial"/>
          <w:sz w:val="22"/>
          <w:szCs w:val="22"/>
        </w:rPr>
        <w:t xml:space="preserve">El IFI suscribió el contrato de asesoría 011 de 1996 con Marqués y Uriza Ltda., para la “evaluación, selección y recomendación de software y hardware” y para la “negociación y contratación de la solución” (fl. 7, c. 1). </w:t>
      </w:r>
    </w:p>
    <w:p w:rsidR="00C22D21" w:rsidRDefault="00C22D21" w:rsidP="00C22D21">
      <w:pPr>
        <w:pStyle w:val="Textoindependiente3"/>
        <w:tabs>
          <w:tab w:val="clear" w:pos="426"/>
        </w:tabs>
        <w:rPr>
          <w:rFonts w:ascii="Century Gothic" w:hAnsi="Century Gothic" w:cs="Arial"/>
          <w:sz w:val="22"/>
          <w:szCs w:val="22"/>
        </w:rPr>
      </w:pPr>
    </w:p>
    <w:p w:rsidR="00C22D21" w:rsidRPr="00043BF2" w:rsidRDefault="00C22D21" w:rsidP="00C22D21">
      <w:pPr>
        <w:pStyle w:val="Textoindependiente3"/>
        <w:tabs>
          <w:tab w:val="clear" w:pos="426"/>
        </w:tabs>
        <w:rPr>
          <w:rFonts w:ascii="Century Gothic" w:hAnsi="Century Gothic" w:cs="Arial"/>
          <w:sz w:val="22"/>
          <w:szCs w:val="22"/>
        </w:rPr>
      </w:pPr>
      <w:r w:rsidRPr="000D3D1B">
        <w:rPr>
          <w:rFonts w:ascii="Century Gothic" w:hAnsi="Century Gothic" w:cs="Arial"/>
          <w:b/>
          <w:sz w:val="22"/>
          <w:szCs w:val="22"/>
        </w:rPr>
        <w:t>2.</w:t>
      </w:r>
      <w:r>
        <w:rPr>
          <w:rFonts w:ascii="Century Gothic" w:hAnsi="Century Gothic" w:cs="Arial"/>
          <w:b/>
          <w:sz w:val="22"/>
          <w:szCs w:val="22"/>
        </w:rPr>
        <w:t>2</w:t>
      </w:r>
      <w:r w:rsidRPr="000D3D1B">
        <w:rPr>
          <w:rFonts w:ascii="Century Gothic" w:hAnsi="Century Gothic" w:cs="Arial"/>
          <w:b/>
          <w:sz w:val="22"/>
          <w:szCs w:val="22"/>
        </w:rPr>
        <w:t xml:space="preserve">.- </w:t>
      </w:r>
      <w:r>
        <w:rPr>
          <w:rFonts w:ascii="Century Gothic" w:hAnsi="Century Gothic" w:cs="Arial"/>
          <w:sz w:val="22"/>
          <w:szCs w:val="22"/>
        </w:rPr>
        <w:t xml:space="preserve">Con fundamento en los términos de referencia elaborados por Marqués y Uriza Ltda. se abrió el proceso licitatorio cuyo objeto fue “contratar el suministro, instalación y puesta en marcha de una solución soportada en un sistema de información computarizados, para automatizar los procesos del área financiera” (fl. 8, c. 1).  </w:t>
      </w:r>
    </w:p>
    <w:p w:rsidR="00C22D21" w:rsidRDefault="00C22D21" w:rsidP="00C22D21">
      <w:pPr>
        <w:pStyle w:val="Textoindependiente3"/>
        <w:tabs>
          <w:tab w:val="clear" w:pos="426"/>
        </w:tabs>
        <w:rPr>
          <w:rFonts w:ascii="Century Gothic" w:hAnsi="Century Gothic" w:cs="Arial"/>
          <w:b/>
          <w:sz w:val="22"/>
          <w:szCs w:val="22"/>
        </w:rPr>
      </w:pPr>
    </w:p>
    <w:p w:rsidR="00C22D21" w:rsidRDefault="00C22D21" w:rsidP="00C22D21">
      <w:pPr>
        <w:pStyle w:val="Textoindependiente3"/>
        <w:tabs>
          <w:tab w:val="clear" w:pos="426"/>
        </w:tabs>
        <w:rPr>
          <w:rFonts w:ascii="Century Gothic" w:hAnsi="Century Gothic" w:cs="Arial"/>
          <w:sz w:val="22"/>
          <w:szCs w:val="22"/>
        </w:rPr>
      </w:pPr>
      <w:r w:rsidRPr="003E3171">
        <w:rPr>
          <w:rFonts w:ascii="Century Gothic" w:hAnsi="Century Gothic" w:cs="Arial"/>
          <w:b/>
          <w:sz w:val="22"/>
          <w:szCs w:val="22"/>
        </w:rPr>
        <w:t>2.</w:t>
      </w:r>
      <w:r>
        <w:rPr>
          <w:rFonts w:ascii="Century Gothic" w:hAnsi="Century Gothic" w:cs="Arial"/>
          <w:b/>
          <w:sz w:val="22"/>
          <w:szCs w:val="22"/>
        </w:rPr>
        <w:t>3</w:t>
      </w:r>
      <w:r w:rsidRPr="003E3171">
        <w:rPr>
          <w:rFonts w:ascii="Century Gothic" w:hAnsi="Century Gothic" w:cs="Arial"/>
          <w:b/>
          <w:sz w:val="22"/>
          <w:szCs w:val="22"/>
        </w:rPr>
        <w:t>.-</w:t>
      </w:r>
      <w:r>
        <w:rPr>
          <w:rFonts w:ascii="Century Gothic" w:hAnsi="Century Gothic" w:cs="Arial"/>
          <w:sz w:val="22"/>
          <w:szCs w:val="22"/>
        </w:rPr>
        <w:t xml:space="preserve"> Presentaron propuesta Arango Software de Colombia S.A., NCR Colombia S.A., Compañía Latinoamericana de Software S.A. e Ingefin Ltda. </w:t>
      </w:r>
    </w:p>
    <w:p w:rsidR="00C22D21" w:rsidRDefault="00C22D21" w:rsidP="00C22D21">
      <w:pPr>
        <w:pStyle w:val="Textoindependiente3"/>
        <w:tabs>
          <w:tab w:val="clear" w:pos="426"/>
        </w:tabs>
        <w:rPr>
          <w:rFonts w:ascii="Century Gothic" w:hAnsi="Century Gothic" w:cs="Arial"/>
          <w:sz w:val="22"/>
          <w:szCs w:val="22"/>
        </w:rPr>
      </w:pPr>
    </w:p>
    <w:p w:rsidR="00C22D21" w:rsidRDefault="00C22D21" w:rsidP="00C22D21">
      <w:pPr>
        <w:pStyle w:val="Textoindependiente3"/>
        <w:tabs>
          <w:tab w:val="clear" w:pos="426"/>
        </w:tabs>
        <w:rPr>
          <w:rFonts w:ascii="Century Gothic" w:hAnsi="Century Gothic" w:cs="Arial"/>
          <w:sz w:val="22"/>
          <w:szCs w:val="22"/>
        </w:rPr>
      </w:pPr>
      <w:r w:rsidRPr="00FA2321">
        <w:rPr>
          <w:rFonts w:ascii="Century Gothic" w:hAnsi="Century Gothic" w:cs="Arial"/>
          <w:b/>
          <w:sz w:val="22"/>
          <w:szCs w:val="22"/>
        </w:rPr>
        <w:t xml:space="preserve">2.4.- </w:t>
      </w:r>
      <w:r>
        <w:rPr>
          <w:rFonts w:ascii="Century Gothic" w:hAnsi="Century Gothic" w:cs="Arial"/>
          <w:sz w:val="22"/>
          <w:szCs w:val="22"/>
        </w:rPr>
        <w:t xml:space="preserve">A pesar de que la propuesta presentada por Arango Software de Colombia S.A fue calificada como la mejor, el comité ejecutivo declaró un empate técnico entre aquélla y la presentada por NCR Colombia S.A. </w:t>
      </w:r>
    </w:p>
    <w:p w:rsidR="00C22D21" w:rsidRDefault="00C22D21" w:rsidP="00C22D21">
      <w:pPr>
        <w:pStyle w:val="Textoindependiente3"/>
        <w:tabs>
          <w:tab w:val="clear" w:pos="426"/>
        </w:tabs>
        <w:rPr>
          <w:rFonts w:ascii="Century Gothic" w:hAnsi="Century Gothic" w:cs="Arial"/>
          <w:sz w:val="22"/>
          <w:szCs w:val="22"/>
        </w:rPr>
      </w:pPr>
    </w:p>
    <w:p w:rsidR="00C22D21" w:rsidRDefault="00C22D21" w:rsidP="00C22D21">
      <w:pPr>
        <w:pStyle w:val="Textoindependiente3"/>
        <w:tabs>
          <w:tab w:val="clear" w:pos="426"/>
        </w:tabs>
        <w:rPr>
          <w:rFonts w:ascii="Century Gothic" w:hAnsi="Century Gothic" w:cs="Arial"/>
          <w:sz w:val="22"/>
          <w:szCs w:val="22"/>
        </w:rPr>
      </w:pPr>
      <w:r w:rsidRPr="00715523">
        <w:rPr>
          <w:rFonts w:ascii="Century Gothic" w:hAnsi="Century Gothic" w:cs="Arial"/>
          <w:b/>
          <w:sz w:val="22"/>
          <w:szCs w:val="22"/>
        </w:rPr>
        <w:t>2.5.-</w:t>
      </w:r>
      <w:r>
        <w:rPr>
          <w:rFonts w:ascii="Century Gothic" w:hAnsi="Century Gothic" w:cs="Arial"/>
          <w:sz w:val="22"/>
          <w:szCs w:val="22"/>
        </w:rPr>
        <w:t xml:space="preserve"> El comité negociador del IFI recomendó contratar con NCR Colombia S.A. lo que se dio, según el actor, de manera irregular. </w:t>
      </w:r>
    </w:p>
    <w:p w:rsidR="00C22D21" w:rsidRDefault="00C22D21" w:rsidP="00C22D21">
      <w:pPr>
        <w:pStyle w:val="Textoindependiente3"/>
        <w:tabs>
          <w:tab w:val="clear" w:pos="426"/>
        </w:tabs>
        <w:rPr>
          <w:rFonts w:ascii="Century Gothic" w:hAnsi="Century Gothic" w:cs="Arial"/>
          <w:b/>
          <w:sz w:val="22"/>
          <w:szCs w:val="22"/>
        </w:rPr>
      </w:pPr>
    </w:p>
    <w:p w:rsidR="00C22D21" w:rsidRDefault="00C22D21" w:rsidP="00C22D21">
      <w:pPr>
        <w:pStyle w:val="Textoindependiente3"/>
        <w:tabs>
          <w:tab w:val="clear" w:pos="426"/>
        </w:tabs>
        <w:rPr>
          <w:rFonts w:ascii="Century Gothic" w:hAnsi="Century Gothic" w:cs="Arial"/>
          <w:sz w:val="22"/>
          <w:szCs w:val="22"/>
        </w:rPr>
      </w:pPr>
      <w:r w:rsidRPr="000A0DFE">
        <w:rPr>
          <w:rFonts w:ascii="Century Gothic" w:hAnsi="Century Gothic" w:cs="Arial"/>
          <w:b/>
          <w:sz w:val="22"/>
          <w:szCs w:val="22"/>
        </w:rPr>
        <w:t>2.6.-</w:t>
      </w:r>
      <w:r>
        <w:rPr>
          <w:rFonts w:ascii="Century Gothic" w:hAnsi="Century Gothic" w:cs="Arial"/>
          <w:sz w:val="22"/>
          <w:szCs w:val="22"/>
        </w:rPr>
        <w:t xml:space="preserve"> Varios miembros de la junta directiva del IFI manifestaron su preocupación ante lo que se estaba presentando con la licitación, especialmente el auditor interno, quien presentó su desacuerdo con la recomendación realizada por el comité negociador, pues consideró grave que se invirtiera el puntaje obtenido por las firmas finalistas, arrojando como ganador al que inicialmente no lo era. </w:t>
      </w:r>
    </w:p>
    <w:p w:rsidR="00C22D21" w:rsidRDefault="00C22D21" w:rsidP="00C22D21">
      <w:pPr>
        <w:pStyle w:val="Textoindependiente3"/>
        <w:tabs>
          <w:tab w:val="clear" w:pos="426"/>
        </w:tabs>
        <w:rPr>
          <w:rFonts w:ascii="Century Gothic" w:hAnsi="Century Gothic" w:cs="Arial"/>
          <w:sz w:val="22"/>
          <w:szCs w:val="22"/>
        </w:rPr>
      </w:pPr>
    </w:p>
    <w:p w:rsidR="00C22D21" w:rsidRDefault="00C22D21" w:rsidP="00C22D21">
      <w:pPr>
        <w:pStyle w:val="Textoindependiente3"/>
        <w:tabs>
          <w:tab w:val="clear" w:pos="426"/>
        </w:tabs>
        <w:rPr>
          <w:rFonts w:ascii="Century Gothic" w:hAnsi="Century Gothic" w:cs="Arial"/>
          <w:sz w:val="22"/>
          <w:szCs w:val="22"/>
        </w:rPr>
      </w:pPr>
      <w:r>
        <w:rPr>
          <w:rFonts w:ascii="Century Gothic" w:hAnsi="Century Gothic" w:cs="Arial"/>
          <w:b/>
          <w:sz w:val="22"/>
          <w:szCs w:val="22"/>
        </w:rPr>
        <w:t>2</w:t>
      </w:r>
      <w:r w:rsidRPr="000A0DFE">
        <w:rPr>
          <w:rFonts w:ascii="Century Gothic" w:hAnsi="Century Gothic" w:cs="Arial"/>
          <w:b/>
          <w:sz w:val="22"/>
          <w:szCs w:val="22"/>
        </w:rPr>
        <w:t>.7.-</w:t>
      </w:r>
      <w:r>
        <w:rPr>
          <w:rFonts w:ascii="Century Gothic" w:hAnsi="Century Gothic" w:cs="Arial"/>
          <w:sz w:val="22"/>
          <w:szCs w:val="22"/>
        </w:rPr>
        <w:t xml:space="preserve"> En la sesión de la junta directiva del IFI celebrada el 13 de mayo de 1997 se declaró desierta la licitación, decisión que le fue comunicada al actor el 23 de junio de 1997.</w:t>
      </w:r>
    </w:p>
    <w:p w:rsidR="00C22D21" w:rsidRDefault="00C22D21" w:rsidP="00C22D21">
      <w:pPr>
        <w:pStyle w:val="Textoindependiente3"/>
        <w:tabs>
          <w:tab w:val="clear" w:pos="426"/>
        </w:tabs>
        <w:rPr>
          <w:rFonts w:ascii="Century Gothic" w:hAnsi="Century Gothic" w:cs="Arial"/>
          <w:sz w:val="22"/>
          <w:szCs w:val="22"/>
        </w:rPr>
      </w:pPr>
    </w:p>
    <w:p w:rsidR="00C22D21" w:rsidRDefault="00C22D21" w:rsidP="00C22D21">
      <w:pPr>
        <w:pStyle w:val="Textoindependiente3"/>
        <w:tabs>
          <w:tab w:val="clear" w:pos="426"/>
        </w:tabs>
        <w:rPr>
          <w:rFonts w:ascii="Century Gothic" w:hAnsi="Century Gothic" w:cs="Arial"/>
          <w:sz w:val="22"/>
          <w:szCs w:val="22"/>
        </w:rPr>
      </w:pPr>
      <w:r w:rsidRPr="00F73814">
        <w:rPr>
          <w:rFonts w:ascii="Century Gothic" w:hAnsi="Century Gothic" w:cs="Arial"/>
          <w:b/>
          <w:sz w:val="22"/>
          <w:szCs w:val="22"/>
        </w:rPr>
        <w:t>2.8.-</w:t>
      </w:r>
      <w:r>
        <w:rPr>
          <w:rFonts w:ascii="Century Gothic" w:hAnsi="Century Gothic" w:cs="Arial"/>
          <w:sz w:val="22"/>
          <w:szCs w:val="22"/>
        </w:rPr>
        <w:t xml:space="preserve"> El 26 de junio de 1997 el IFI ordenó contratar directamente con NCR Colombia S.A., contrato que se suscribió el 12 de septiembre siguiente. </w:t>
      </w:r>
    </w:p>
    <w:p w:rsidR="00C22D21" w:rsidRDefault="00C22D21" w:rsidP="00C22D21">
      <w:pPr>
        <w:pStyle w:val="Textoindependiente3"/>
        <w:tabs>
          <w:tab w:val="clear" w:pos="426"/>
        </w:tabs>
        <w:rPr>
          <w:rFonts w:ascii="Century Gothic" w:hAnsi="Century Gothic" w:cs="Arial"/>
          <w:sz w:val="22"/>
          <w:szCs w:val="22"/>
        </w:rPr>
      </w:pPr>
    </w:p>
    <w:p w:rsidR="00C22D21" w:rsidRPr="005D1315" w:rsidRDefault="00C22D21" w:rsidP="00C22D21">
      <w:pPr>
        <w:spacing w:line="360" w:lineRule="auto"/>
        <w:ind w:right="-1"/>
        <w:jc w:val="both"/>
        <w:rPr>
          <w:rFonts w:ascii="Century Gothic" w:hAnsi="Century Gothic" w:cs="Arial"/>
          <w:b/>
          <w:bCs/>
        </w:rPr>
      </w:pPr>
      <w:r w:rsidRPr="00675498">
        <w:rPr>
          <w:rFonts w:ascii="Century Gothic" w:hAnsi="Century Gothic" w:cs="Arial"/>
          <w:b/>
          <w:bCs/>
        </w:rPr>
        <w:t>3.</w:t>
      </w:r>
      <w:r>
        <w:rPr>
          <w:rFonts w:ascii="Century Gothic" w:hAnsi="Century Gothic" w:cs="Arial"/>
          <w:b/>
          <w:bCs/>
        </w:rPr>
        <w:t>-</w:t>
      </w:r>
      <w:r w:rsidRPr="00675498">
        <w:rPr>
          <w:rFonts w:ascii="Century Gothic" w:hAnsi="Century Gothic" w:cs="Arial"/>
          <w:b/>
          <w:bCs/>
        </w:rPr>
        <w:t xml:space="preserve"> </w:t>
      </w:r>
      <w:r>
        <w:rPr>
          <w:rFonts w:ascii="Century Gothic" w:hAnsi="Century Gothic" w:cs="Arial"/>
          <w:b/>
          <w:bCs/>
        </w:rPr>
        <w:t>Normas violadas y concepto de la violación</w:t>
      </w:r>
      <w:r w:rsidRPr="00675498">
        <w:rPr>
          <w:rFonts w:ascii="Century Gothic" w:hAnsi="Century Gothic" w:cs="Arial"/>
          <w:b/>
          <w:bCs/>
        </w:rPr>
        <w:t>.-</w:t>
      </w:r>
      <w:r w:rsidRPr="005D1315">
        <w:rPr>
          <w:rFonts w:ascii="Century Gothic" w:hAnsi="Century Gothic" w:cs="Arial"/>
          <w:b/>
          <w:bCs/>
        </w:rPr>
        <w:t xml:space="preserve"> </w:t>
      </w:r>
    </w:p>
    <w:p w:rsidR="00C22D21" w:rsidRDefault="00C22D21" w:rsidP="00C22D21">
      <w:pPr>
        <w:spacing w:line="360" w:lineRule="auto"/>
        <w:ind w:right="-1"/>
        <w:jc w:val="both"/>
        <w:rPr>
          <w:rFonts w:ascii="Century Gothic" w:hAnsi="Century Gothic" w:cs="Arial"/>
          <w:b/>
          <w:bCs/>
        </w:rPr>
      </w:pPr>
    </w:p>
    <w:p w:rsidR="00C22D21" w:rsidRDefault="00C22D21" w:rsidP="00C22D21">
      <w:pPr>
        <w:spacing w:line="360" w:lineRule="auto"/>
        <w:ind w:right="-1"/>
        <w:jc w:val="both"/>
        <w:rPr>
          <w:rFonts w:ascii="Century Gothic" w:hAnsi="Century Gothic" w:cs="Arial"/>
          <w:bCs/>
        </w:rPr>
      </w:pPr>
      <w:r>
        <w:rPr>
          <w:rFonts w:ascii="Century Gothic" w:hAnsi="Century Gothic" w:cs="Arial"/>
          <w:bCs/>
        </w:rPr>
        <w:t xml:space="preserve">El actor citó como normas violadas los artículos 83 y 209 de la Constitución Política, los artículos 3, 13, 23, 24 (numerales 7 y 8), 25 (numeral 3) y 29 de la ley 80 de 1993, el artículo 8 del decreto 679 de 1994, los artículos 860 y 863 del Código de Comercio, </w:t>
      </w:r>
    </w:p>
    <w:p w:rsidR="00C22D21" w:rsidRDefault="00C22D21" w:rsidP="00C22D21">
      <w:pPr>
        <w:spacing w:line="360" w:lineRule="auto"/>
        <w:ind w:right="-1"/>
        <w:jc w:val="both"/>
        <w:rPr>
          <w:rFonts w:ascii="Century Gothic" w:hAnsi="Century Gothic" w:cs="Arial"/>
          <w:bCs/>
        </w:rPr>
      </w:pPr>
    </w:p>
    <w:p w:rsidR="00C22D21" w:rsidRDefault="00C22D21" w:rsidP="00C22D21">
      <w:pPr>
        <w:spacing w:line="360" w:lineRule="auto"/>
        <w:ind w:right="-1"/>
        <w:jc w:val="both"/>
        <w:rPr>
          <w:rFonts w:ascii="Century Gothic" w:hAnsi="Century Gothic" w:cs="Arial"/>
          <w:bCs/>
        </w:rPr>
      </w:pPr>
      <w:r>
        <w:rPr>
          <w:rFonts w:ascii="Century Gothic" w:hAnsi="Century Gothic" w:cs="Arial"/>
          <w:bCs/>
        </w:rPr>
        <w:t xml:space="preserve">Como concepto de la violación, indicó que el IFI violó las normas enunciadas al declarar desierta la licitación y no adjudicar el contrato al demandante, pues, éste era quien tenía la mejor propuesta y era el mejor calificado; por el contrario, la propuesta de NCR Colombia era más costosa y técnicamente inconveniente. </w:t>
      </w:r>
    </w:p>
    <w:p w:rsidR="00C22D21" w:rsidRDefault="00C22D21" w:rsidP="00C22D21">
      <w:pPr>
        <w:spacing w:line="360" w:lineRule="auto"/>
        <w:ind w:right="-1"/>
        <w:jc w:val="both"/>
        <w:rPr>
          <w:rFonts w:ascii="Century Gothic" w:hAnsi="Century Gothic" w:cs="Arial"/>
          <w:bCs/>
        </w:rPr>
      </w:pPr>
    </w:p>
    <w:p w:rsidR="00C22D21" w:rsidRDefault="00C22D21" w:rsidP="00C22D21">
      <w:pPr>
        <w:spacing w:line="360" w:lineRule="auto"/>
        <w:ind w:right="-1"/>
        <w:jc w:val="both"/>
        <w:rPr>
          <w:rFonts w:ascii="Century Gothic" w:hAnsi="Century Gothic" w:cs="Arial"/>
          <w:bCs/>
        </w:rPr>
      </w:pPr>
      <w:r>
        <w:rPr>
          <w:rFonts w:ascii="Century Gothic" w:hAnsi="Century Gothic" w:cs="Arial"/>
          <w:bCs/>
        </w:rPr>
        <w:t xml:space="preserve">Adicionalmente, al no adjudicar el contrato a la mejor propuesta el IFI actuó de mala fe y desconoció los principios de transparencia, igualdad, moralidad, eficacia, economía, celeridad, imparcialidad y selección objetiva. </w:t>
      </w:r>
    </w:p>
    <w:p w:rsidR="00C22D21" w:rsidRDefault="00C22D21" w:rsidP="00C22D21">
      <w:pPr>
        <w:spacing w:line="360" w:lineRule="auto"/>
        <w:ind w:right="-1"/>
        <w:jc w:val="both"/>
        <w:rPr>
          <w:rFonts w:ascii="Century Gothic" w:hAnsi="Century Gothic" w:cs="Arial"/>
          <w:bCs/>
        </w:rPr>
      </w:pPr>
    </w:p>
    <w:p w:rsidR="00C22D21" w:rsidRDefault="00C22D21" w:rsidP="00C22D21">
      <w:pPr>
        <w:spacing w:line="360" w:lineRule="auto"/>
        <w:ind w:right="-1"/>
        <w:jc w:val="both"/>
        <w:rPr>
          <w:rFonts w:ascii="Century Gothic" w:hAnsi="Century Gothic" w:cs="Arial"/>
          <w:bCs/>
        </w:rPr>
      </w:pPr>
      <w:r>
        <w:rPr>
          <w:rFonts w:ascii="Century Gothic" w:hAnsi="Century Gothic" w:cs="Arial"/>
          <w:bCs/>
        </w:rPr>
        <w:t xml:space="preserve">Finalmente, el actor concluyó que, con la expedición del acto que declaró desierta la licitación, el IFI actuó con desviación de poder, puesto que tal decisión no se profirió con el fin de obtener el mayor beneficio para la entidad. </w:t>
      </w:r>
    </w:p>
    <w:p w:rsidR="00C22D21" w:rsidRDefault="00C22D21" w:rsidP="00C22D21">
      <w:pPr>
        <w:spacing w:line="360" w:lineRule="auto"/>
        <w:ind w:right="-1"/>
        <w:jc w:val="both"/>
        <w:rPr>
          <w:rFonts w:ascii="Century Gothic" w:hAnsi="Century Gothic" w:cs="Arial"/>
          <w:bCs/>
        </w:rPr>
      </w:pPr>
    </w:p>
    <w:p w:rsidR="00C22D21" w:rsidRDefault="00C22D21" w:rsidP="00C22D21">
      <w:pPr>
        <w:spacing w:line="360" w:lineRule="auto"/>
        <w:ind w:right="-1"/>
        <w:jc w:val="both"/>
        <w:rPr>
          <w:rFonts w:ascii="Century Gothic" w:hAnsi="Century Gothic" w:cs="Arial"/>
          <w:bCs/>
        </w:rPr>
      </w:pPr>
      <w:r>
        <w:rPr>
          <w:rFonts w:ascii="Century Gothic" w:hAnsi="Century Gothic" w:cs="Arial"/>
          <w:bCs/>
        </w:rPr>
        <w:t xml:space="preserve">En cuanto a la nulidad del contrato, indicó que el IFI desconoció el principio de selección objetiva y que la nulidad del acto que declaró desierta la licitación conllevaba la nulidad de aquél. </w:t>
      </w:r>
    </w:p>
    <w:p w:rsidR="00C22D21" w:rsidRDefault="00C22D21" w:rsidP="00C22D21">
      <w:pPr>
        <w:spacing w:line="360" w:lineRule="auto"/>
        <w:ind w:right="-1"/>
        <w:jc w:val="both"/>
        <w:rPr>
          <w:rFonts w:ascii="Century Gothic" w:hAnsi="Century Gothic" w:cs="Arial"/>
          <w:bCs/>
        </w:rPr>
      </w:pPr>
    </w:p>
    <w:p w:rsidR="00C22D21" w:rsidRPr="001C0FBC" w:rsidRDefault="00C22D21" w:rsidP="00C22D21">
      <w:pPr>
        <w:pStyle w:val="Textoindependiente21"/>
        <w:tabs>
          <w:tab w:val="left" w:pos="567"/>
        </w:tabs>
        <w:ind w:right="-4" w:firstLine="0"/>
        <w:rPr>
          <w:rFonts w:ascii="Century Gothic" w:hAnsi="Century Gothic" w:cs="Tahoma"/>
          <w:b/>
          <w:sz w:val="22"/>
          <w:szCs w:val="22"/>
        </w:rPr>
      </w:pPr>
      <w:r w:rsidRPr="00357C1D">
        <w:rPr>
          <w:rFonts w:ascii="Century Gothic" w:hAnsi="Century Gothic" w:cs="Tahoma"/>
          <w:b/>
          <w:sz w:val="22"/>
          <w:szCs w:val="22"/>
        </w:rPr>
        <w:t>4.- La actuación procesal.-</w:t>
      </w:r>
    </w:p>
    <w:p w:rsidR="00C22D21" w:rsidRDefault="00C22D21" w:rsidP="00C22D21">
      <w:pPr>
        <w:pStyle w:val="Textoindependiente21"/>
        <w:ind w:right="0" w:firstLine="0"/>
        <w:rPr>
          <w:rFonts w:ascii="Century Gothic" w:hAnsi="Century Gothic" w:cs="Tahoma"/>
          <w:sz w:val="22"/>
          <w:szCs w:val="22"/>
        </w:rPr>
      </w:pPr>
    </w:p>
    <w:p w:rsidR="00C22D21" w:rsidRDefault="00C22D21" w:rsidP="00C22D21">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Por auto del </w:t>
      </w:r>
      <w:r>
        <w:rPr>
          <w:rFonts w:ascii="Century Gothic" w:hAnsi="Century Gothic" w:cs="Tahoma"/>
          <w:sz w:val="22"/>
          <w:szCs w:val="22"/>
        </w:rPr>
        <w:t>23</w:t>
      </w:r>
      <w:r w:rsidRPr="001C0FBC">
        <w:rPr>
          <w:rFonts w:ascii="Century Gothic" w:hAnsi="Century Gothic" w:cs="Tahoma"/>
          <w:sz w:val="22"/>
          <w:szCs w:val="22"/>
        </w:rPr>
        <w:t xml:space="preserve"> de </w:t>
      </w:r>
      <w:r>
        <w:rPr>
          <w:rFonts w:ascii="Century Gothic" w:hAnsi="Century Gothic" w:cs="Tahoma"/>
          <w:sz w:val="22"/>
          <w:szCs w:val="22"/>
        </w:rPr>
        <w:t xml:space="preserve">junio </w:t>
      </w:r>
      <w:r w:rsidRPr="001C0FBC">
        <w:rPr>
          <w:rFonts w:ascii="Century Gothic" w:hAnsi="Century Gothic" w:cs="Tahoma"/>
          <w:sz w:val="22"/>
          <w:szCs w:val="22"/>
        </w:rPr>
        <w:t xml:space="preserve">de </w:t>
      </w:r>
      <w:r>
        <w:rPr>
          <w:rFonts w:ascii="Century Gothic" w:hAnsi="Century Gothic" w:cs="Tahoma"/>
          <w:sz w:val="22"/>
          <w:szCs w:val="22"/>
        </w:rPr>
        <w:t>1998</w:t>
      </w:r>
      <w:r w:rsidRPr="001C0FBC">
        <w:rPr>
          <w:rFonts w:ascii="Century Gothic" w:hAnsi="Century Gothic" w:cs="Tahoma"/>
          <w:sz w:val="22"/>
          <w:szCs w:val="22"/>
        </w:rPr>
        <w:t xml:space="preserve"> se admiti</w:t>
      </w:r>
      <w:r>
        <w:rPr>
          <w:rFonts w:ascii="Century Gothic" w:hAnsi="Century Gothic" w:cs="Tahoma"/>
          <w:sz w:val="22"/>
          <w:szCs w:val="22"/>
        </w:rPr>
        <w:t xml:space="preserve">ó </w:t>
      </w:r>
      <w:r w:rsidRPr="001C0FBC">
        <w:rPr>
          <w:rFonts w:ascii="Century Gothic" w:hAnsi="Century Gothic" w:cs="Tahoma"/>
          <w:sz w:val="22"/>
          <w:szCs w:val="22"/>
        </w:rPr>
        <w:t>la demanda, se ordenó la vinculación de</w:t>
      </w:r>
      <w:r>
        <w:rPr>
          <w:rFonts w:ascii="Century Gothic" w:hAnsi="Century Gothic" w:cs="Tahoma"/>
          <w:sz w:val="22"/>
          <w:szCs w:val="22"/>
        </w:rPr>
        <w:t xml:space="preserve">l </w:t>
      </w:r>
      <w:r w:rsidRPr="001C0FBC">
        <w:rPr>
          <w:rFonts w:ascii="Century Gothic" w:hAnsi="Century Gothic" w:cs="Tahoma"/>
          <w:sz w:val="22"/>
          <w:szCs w:val="22"/>
        </w:rPr>
        <w:t>demandad</w:t>
      </w:r>
      <w:r>
        <w:rPr>
          <w:rFonts w:ascii="Century Gothic" w:hAnsi="Century Gothic" w:cs="Tahoma"/>
          <w:sz w:val="22"/>
          <w:szCs w:val="22"/>
        </w:rPr>
        <w:t>o</w:t>
      </w:r>
      <w:r w:rsidRPr="001C0FBC">
        <w:rPr>
          <w:rFonts w:ascii="Century Gothic" w:hAnsi="Century Gothic" w:cs="Tahoma"/>
          <w:sz w:val="22"/>
          <w:szCs w:val="22"/>
        </w:rPr>
        <w:t xml:space="preserve"> al proceso</w:t>
      </w:r>
      <w:r>
        <w:rPr>
          <w:rFonts w:ascii="Century Gothic" w:hAnsi="Century Gothic" w:cs="Tahoma"/>
          <w:sz w:val="22"/>
          <w:szCs w:val="22"/>
        </w:rPr>
        <w:t xml:space="preserve"> -</w:t>
      </w:r>
      <w:r w:rsidRPr="001C0FBC">
        <w:rPr>
          <w:rFonts w:ascii="Century Gothic" w:hAnsi="Century Gothic" w:cs="Tahoma"/>
          <w:sz w:val="22"/>
          <w:szCs w:val="22"/>
        </w:rPr>
        <w:t xml:space="preserve">a través de la notificación personal de la providencia al </w:t>
      </w:r>
      <w:r>
        <w:rPr>
          <w:rFonts w:ascii="Century Gothic" w:hAnsi="Century Gothic" w:cs="Tahoma"/>
          <w:sz w:val="22"/>
          <w:szCs w:val="22"/>
        </w:rPr>
        <w:t xml:space="preserve">Director del IFI-, </w:t>
      </w:r>
      <w:r w:rsidRPr="001C0FBC">
        <w:rPr>
          <w:rFonts w:ascii="Century Gothic" w:hAnsi="Century Gothic" w:cs="Tahoma"/>
          <w:sz w:val="22"/>
          <w:szCs w:val="22"/>
        </w:rPr>
        <w:t xml:space="preserve">se ordenó la </w:t>
      </w:r>
      <w:r>
        <w:rPr>
          <w:rFonts w:ascii="Century Gothic" w:hAnsi="Century Gothic" w:cs="Tahoma"/>
          <w:sz w:val="22"/>
          <w:szCs w:val="22"/>
        </w:rPr>
        <w:t xml:space="preserve">notificación personal al agente del Ministerio Público y </w:t>
      </w:r>
      <w:r w:rsidRPr="001C0FBC">
        <w:rPr>
          <w:rFonts w:ascii="Century Gothic" w:hAnsi="Century Gothic" w:cs="Tahoma"/>
          <w:sz w:val="22"/>
          <w:szCs w:val="22"/>
        </w:rPr>
        <w:t xml:space="preserve">se </w:t>
      </w:r>
      <w:r>
        <w:rPr>
          <w:rFonts w:ascii="Century Gothic" w:hAnsi="Century Gothic" w:cs="Tahoma"/>
          <w:sz w:val="22"/>
          <w:szCs w:val="22"/>
        </w:rPr>
        <w:t xml:space="preserve">dispuso </w:t>
      </w:r>
      <w:r w:rsidRPr="001C0FBC">
        <w:rPr>
          <w:rFonts w:ascii="Century Gothic" w:hAnsi="Century Gothic" w:cs="Tahoma"/>
          <w:sz w:val="22"/>
          <w:szCs w:val="22"/>
        </w:rPr>
        <w:t>la fijación del negocio en lista</w:t>
      </w:r>
      <w:r>
        <w:rPr>
          <w:rFonts w:ascii="Century Gothic" w:hAnsi="Century Gothic" w:cs="Tahoma"/>
          <w:sz w:val="22"/>
          <w:szCs w:val="22"/>
        </w:rPr>
        <w:t xml:space="preserve">. </w:t>
      </w:r>
    </w:p>
    <w:p w:rsidR="00C22D21" w:rsidRPr="001C0FBC" w:rsidRDefault="00C22D21" w:rsidP="00C22D21">
      <w:pPr>
        <w:pStyle w:val="Textoindependiente21"/>
        <w:ind w:right="0" w:firstLine="0"/>
        <w:rPr>
          <w:rFonts w:ascii="Century Gothic" w:hAnsi="Century Gothic" w:cs="Tahoma"/>
          <w:sz w:val="22"/>
          <w:szCs w:val="22"/>
        </w:rPr>
      </w:pPr>
    </w:p>
    <w:p w:rsidR="00C22D21" w:rsidRDefault="00C22D21" w:rsidP="00C22D2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El Instituto de Fomento Industrial, IFI, contestó la demanda por fuera del término oportuno para ello, por lo que no puede ser tenida en cuenta. </w:t>
      </w:r>
    </w:p>
    <w:p w:rsidR="00C22D21" w:rsidRDefault="00C22D21" w:rsidP="00C22D21">
      <w:pPr>
        <w:pStyle w:val="Textoindependiente21"/>
        <w:ind w:right="0" w:firstLine="0"/>
        <w:rPr>
          <w:rFonts w:ascii="Century Gothic" w:hAnsi="Century Gothic" w:cs="Tahoma"/>
          <w:sz w:val="22"/>
          <w:szCs w:val="22"/>
        </w:rPr>
      </w:pPr>
    </w:p>
    <w:p w:rsidR="00C22D21" w:rsidRDefault="00C22D21" w:rsidP="00C22D2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Mediante auto del 29 de abril de 1999, el a quo denegó la solicitud del demandado de declarar la nulidad de todo lo actuado por falta de jurisdicción, decisión que fue confirmada por esta Corporación el 25 de mayo de 2000.  </w:t>
      </w:r>
    </w:p>
    <w:p w:rsidR="00C22D21" w:rsidRDefault="00C22D21" w:rsidP="00C22D21">
      <w:pPr>
        <w:pStyle w:val="Textoindependiente21"/>
        <w:ind w:right="0" w:firstLine="0"/>
        <w:rPr>
          <w:rFonts w:ascii="Century Gothic" w:hAnsi="Century Gothic" w:cs="Tahoma"/>
          <w:sz w:val="22"/>
          <w:szCs w:val="22"/>
        </w:rPr>
      </w:pPr>
    </w:p>
    <w:p w:rsidR="00C22D21" w:rsidRDefault="00C22D21" w:rsidP="00C22D21">
      <w:pPr>
        <w:pStyle w:val="Lista2"/>
        <w:widowControl w:val="0"/>
        <w:tabs>
          <w:tab w:val="num" w:pos="709"/>
        </w:tabs>
        <w:spacing w:line="360" w:lineRule="auto"/>
        <w:ind w:left="0" w:firstLine="0"/>
        <w:jc w:val="both"/>
        <w:rPr>
          <w:rFonts w:cs="Arial"/>
          <w:b/>
          <w:sz w:val="22"/>
          <w:szCs w:val="22"/>
        </w:rPr>
      </w:pPr>
      <w:r>
        <w:rPr>
          <w:rFonts w:cs="Arial"/>
          <w:b/>
          <w:sz w:val="22"/>
          <w:szCs w:val="22"/>
        </w:rPr>
        <w:t xml:space="preserve">5.- </w:t>
      </w:r>
      <w:r w:rsidRPr="005A0BEE">
        <w:rPr>
          <w:rFonts w:cs="Arial"/>
          <w:b/>
          <w:sz w:val="22"/>
          <w:szCs w:val="22"/>
        </w:rPr>
        <w:t>Los alegatos de primera instancia.-</w:t>
      </w:r>
      <w:r w:rsidRPr="001C0FBC">
        <w:rPr>
          <w:rFonts w:cs="Arial"/>
          <w:b/>
          <w:sz w:val="22"/>
          <w:szCs w:val="22"/>
        </w:rPr>
        <w:t xml:space="preserve"> </w:t>
      </w:r>
    </w:p>
    <w:p w:rsidR="00C22D21" w:rsidRDefault="00C22D21" w:rsidP="00C22D21">
      <w:pPr>
        <w:pStyle w:val="Lista2"/>
        <w:widowControl w:val="0"/>
        <w:tabs>
          <w:tab w:val="num" w:pos="709"/>
        </w:tabs>
        <w:spacing w:line="360" w:lineRule="auto"/>
        <w:ind w:left="0" w:firstLine="0"/>
        <w:jc w:val="both"/>
        <w:rPr>
          <w:rFonts w:cs="Arial"/>
          <w:b/>
          <w:sz w:val="22"/>
          <w:szCs w:val="22"/>
        </w:rPr>
      </w:pPr>
    </w:p>
    <w:p w:rsidR="00C22D21" w:rsidRDefault="00C22D21" w:rsidP="00C22D21">
      <w:pPr>
        <w:pStyle w:val="Lista2"/>
        <w:widowControl w:val="0"/>
        <w:tabs>
          <w:tab w:val="num" w:pos="709"/>
        </w:tabs>
        <w:spacing w:line="360" w:lineRule="auto"/>
        <w:ind w:left="0" w:firstLine="0"/>
        <w:jc w:val="both"/>
        <w:rPr>
          <w:rFonts w:cs="Arial"/>
          <w:sz w:val="22"/>
          <w:szCs w:val="22"/>
        </w:rPr>
      </w:pPr>
      <w:r>
        <w:rPr>
          <w:rFonts w:cs="Arial"/>
          <w:sz w:val="22"/>
          <w:szCs w:val="22"/>
        </w:rPr>
        <w:t>El IFI insistió en la nulidad de todo lo actuado por falta de jurisdicción, señaló que se configuraba una indebida escogencia de la acción, toda vez que el actor incoó la acción contractual, cuando ha debido presentar la de nulidad y restablecimiento del derecho, la cual se encontraba caducada.</w:t>
      </w:r>
    </w:p>
    <w:p w:rsidR="00C22D21" w:rsidRDefault="00C22D21" w:rsidP="00C22D21">
      <w:pPr>
        <w:pStyle w:val="Lista2"/>
        <w:widowControl w:val="0"/>
        <w:tabs>
          <w:tab w:val="num" w:pos="709"/>
        </w:tabs>
        <w:spacing w:line="360" w:lineRule="auto"/>
        <w:ind w:left="0" w:firstLine="0"/>
        <w:jc w:val="both"/>
        <w:rPr>
          <w:rFonts w:cs="Arial"/>
          <w:sz w:val="22"/>
          <w:szCs w:val="22"/>
        </w:rPr>
      </w:pPr>
    </w:p>
    <w:p w:rsidR="00C22D21" w:rsidRDefault="00C22D21" w:rsidP="00C22D21">
      <w:pPr>
        <w:pStyle w:val="Lista2"/>
        <w:widowControl w:val="0"/>
        <w:tabs>
          <w:tab w:val="num" w:pos="709"/>
        </w:tabs>
        <w:spacing w:line="360" w:lineRule="auto"/>
        <w:ind w:left="0" w:firstLine="0"/>
        <w:jc w:val="both"/>
        <w:rPr>
          <w:rFonts w:cs="Arial"/>
          <w:sz w:val="22"/>
          <w:szCs w:val="22"/>
        </w:rPr>
      </w:pPr>
      <w:r>
        <w:rPr>
          <w:rFonts w:cs="Arial"/>
          <w:sz w:val="22"/>
          <w:szCs w:val="22"/>
        </w:rPr>
        <w:t xml:space="preserve">Agregó que la parte actora no agotó la vía gubernativa, por lo que se debía proferir un fallo inhibitorio. También se refirió a la falta de legitimación en la causa por activa, ya que la demanda no se presentó en nombre de las otras sociedades que hicieron la propuesta. </w:t>
      </w:r>
    </w:p>
    <w:p w:rsidR="00C22D21" w:rsidRDefault="00C22D21" w:rsidP="00C22D21">
      <w:pPr>
        <w:pStyle w:val="Lista2"/>
        <w:widowControl w:val="0"/>
        <w:tabs>
          <w:tab w:val="num" w:pos="709"/>
        </w:tabs>
        <w:spacing w:line="360" w:lineRule="auto"/>
        <w:ind w:left="0" w:firstLine="0"/>
        <w:jc w:val="both"/>
        <w:rPr>
          <w:rFonts w:cs="Arial"/>
          <w:sz w:val="22"/>
          <w:szCs w:val="22"/>
        </w:rPr>
      </w:pPr>
    </w:p>
    <w:p w:rsidR="00C22D21" w:rsidRDefault="00C22D21" w:rsidP="00C22D21">
      <w:pPr>
        <w:pStyle w:val="Lista2"/>
        <w:widowControl w:val="0"/>
        <w:tabs>
          <w:tab w:val="num" w:pos="709"/>
        </w:tabs>
        <w:spacing w:line="360" w:lineRule="auto"/>
        <w:ind w:left="0" w:firstLine="0"/>
        <w:jc w:val="both"/>
        <w:rPr>
          <w:rFonts w:cs="Arial"/>
          <w:sz w:val="22"/>
          <w:szCs w:val="22"/>
        </w:rPr>
      </w:pPr>
      <w:r>
        <w:rPr>
          <w:rFonts w:cs="Arial"/>
          <w:sz w:val="22"/>
          <w:szCs w:val="22"/>
        </w:rPr>
        <w:t xml:space="preserve">La parte actora reiteró lo expuesto en la demanda y agregó consideraciones relacionadas con la estimación de los perjuicios sufridos. </w:t>
      </w:r>
    </w:p>
    <w:p w:rsidR="00C22D21" w:rsidRDefault="00C22D21" w:rsidP="00C22D21">
      <w:pPr>
        <w:pStyle w:val="Lista2"/>
        <w:widowControl w:val="0"/>
        <w:tabs>
          <w:tab w:val="num" w:pos="709"/>
        </w:tabs>
        <w:spacing w:line="360" w:lineRule="auto"/>
        <w:ind w:left="0" w:firstLine="0"/>
        <w:jc w:val="both"/>
        <w:rPr>
          <w:rFonts w:cs="Arial"/>
          <w:sz w:val="22"/>
          <w:szCs w:val="22"/>
        </w:rPr>
      </w:pPr>
    </w:p>
    <w:p w:rsidR="00C22D21" w:rsidRDefault="00C22D21" w:rsidP="00C22D21">
      <w:pPr>
        <w:pStyle w:val="Lista2"/>
        <w:widowControl w:val="0"/>
        <w:tabs>
          <w:tab w:val="num" w:pos="709"/>
        </w:tabs>
        <w:spacing w:line="360" w:lineRule="auto"/>
        <w:ind w:left="0" w:firstLine="0"/>
        <w:jc w:val="both"/>
        <w:rPr>
          <w:rFonts w:cs="Arial"/>
          <w:sz w:val="22"/>
          <w:szCs w:val="22"/>
        </w:rPr>
      </w:pPr>
      <w:r>
        <w:rPr>
          <w:rFonts w:cs="Arial"/>
          <w:sz w:val="22"/>
          <w:szCs w:val="22"/>
        </w:rPr>
        <w:t xml:space="preserve">El Ministerio Público guardó silencio. </w:t>
      </w:r>
    </w:p>
    <w:p w:rsidR="00C22D21" w:rsidRDefault="00C22D21" w:rsidP="00C22D21">
      <w:pPr>
        <w:spacing w:line="360" w:lineRule="auto"/>
        <w:jc w:val="both"/>
        <w:rPr>
          <w:rFonts w:ascii="Century Gothic" w:hAnsi="Century Gothic" w:cs="Arial"/>
          <w:b/>
          <w:bCs/>
        </w:rPr>
      </w:pPr>
    </w:p>
    <w:p w:rsidR="00C22D21" w:rsidRPr="001C0FBC" w:rsidRDefault="00C22D21" w:rsidP="00C22D21">
      <w:pPr>
        <w:pStyle w:val="Lista2"/>
        <w:widowControl w:val="0"/>
        <w:tabs>
          <w:tab w:val="num" w:pos="709"/>
        </w:tabs>
        <w:spacing w:line="360" w:lineRule="auto"/>
        <w:ind w:left="0" w:firstLine="0"/>
        <w:jc w:val="both"/>
        <w:rPr>
          <w:rFonts w:cs="Arial"/>
          <w:b/>
          <w:sz w:val="22"/>
          <w:szCs w:val="22"/>
        </w:rPr>
      </w:pPr>
      <w:r>
        <w:rPr>
          <w:rFonts w:cs="Arial"/>
          <w:b/>
          <w:sz w:val="22"/>
          <w:szCs w:val="22"/>
        </w:rPr>
        <w:t>6.-</w:t>
      </w:r>
      <w:r w:rsidRPr="001C0FBC">
        <w:rPr>
          <w:rFonts w:cs="Arial"/>
          <w:b/>
          <w:sz w:val="22"/>
          <w:szCs w:val="22"/>
        </w:rPr>
        <w:t xml:space="preserve"> La sentencia recurrida.- </w:t>
      </w:r>
    </w:p>
    <w:p w:rsidR="00C22D21" w:rsidRPr="001C0FBC" w:rsidRDefault="00C22D21" w:rsidP="00C22D21">
      <w:pPr>
        <w:pStyle w:val="Lista2"/>
        <w:widowControl w:val="0"/>
        <w:tabs>
          <w:tab w:val="num" w:pos="709"/>
        </w:tabs>
        <w:spacing w:line="360" w:lineRule="auto"/>
        <w:ind w:left="0" w:firstLine="0"/>
        <w:jc w:val="both"/>
        <w:rPr>
          <w:rFonts w:cs="Arial"/>
          <w:sz w:val="22"/>
          <w:szCs w:val="22"/>
        </w:rPr>
      </w:pPr>
    </w:p>
    <w:p w:rsidR="00C22D21" w:rsidRDefault="00C22D21" w:rsidP="00C22D21">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Es la proferida el </w:t>
      </w:r>
      <w:r>
        <w:rPr>
          <w:rFonts w:ascii="Century Gothic" w:hAnsi="Century Gothic" w:cs="Tahoma"/>
          <w:sz w:val="22"/>
          <w:szCs w:val="22"/>
        </w:rPr>
        <w:t xml:space="preserve">5 </w:t>
      </w:r>
      <w:r w:rsidRPr="001C0FBC">
        <w:rPr>
          <w:rFonts w:ascii="Century Gothic" w:hAnsi="Century Gothic" w:cs="Tahoma"/>
          <w:sz w:val="22"/>
          <w:szCs w:val="22"/>
        </w:rPr>
        <w:t xml:space="preserve">de </w:t>
      </w:r>
      <w:r>
        <w:rPr>
          <w:rFonts w:ascii="Century Gothic" w:hAnsi="Century Gothic" w:cs="Tahoma"/>
          <w:sz w:val="22"/>
          <w:szCs w:val="22"/>
        </w:rPr>
        <w:t xml:space="preserve">febrero </w:t>
      </w:r>
      <w:r w:rsidRPr="001C0FBC">
        <w:rPr>
          <w:rFonts w:ascii="Century Gothic" w:hAnsi="Century Gothic" w:cs="Tahoma"/>
          <w:sz w:val="22"/>
          <w:szCs w:val="22"/>
        </w:rPr>
        <w:t>de 200</w:t>
      </w:r>
      <w:r>
        <w:rPr>
          <w:rFonts w:ascii="Century Gothic" w:hAnsi="Century Gothic" w:cs="Tahoma"/>
          <w:sz w:val="22"/>
          <w:szCs w:val="22"/>
        </w:rPr>
        <w:t>9</w:t>
      </w:r>
      <w:r w:rsidRPr="001C0FBC">
        <w:rPr>
          <w:rFonts w:ascii="Century Gothic" w:hAnsi="Century Gothic" w:cs="Tahoma"/>
          <w:sz w:val="22"/>
          <w:szCs w:val="22"/>
        </w:rPr>
        <w:t xml:space="preserve"> por </w:t>
      </w:r>
      <w:r>
        <w:rPr>
          <w:rFonts w:ascii="Century Gothic" w:hAnsi="Century Gothic" w:cs="Tahoma"/>
          <w:sz w:val="22"/>
          <w:szCs w:val="22"/>
        </w:rPr>
        <w:t xml:space="preserve">el Tribunal </w:t>
      </w:r>
      <w:r w:rsidRPr="001C0FBC">
        <w:rPr>
          <w:rFonts w:ascii="Century Gothic" w:hAnsi="Century Gothic" w:cs="Tahoma"/>
          <w:sz w:val="22"/>
          <w:szCs w:val="22"/>
        </w:rPr>
        <w:t>Administrativo</w:t>
      </w:r>
      <w:r>
        <w:rPr>
          <w:rFonts w:ascii="Century Gothic" w:hAnsi="Century Gothic" w:cs="Tahoma"/>
          <w:sz w:val="22"/>
          <w:szCs w:val="22"/>
        </w:rPr>
        <w:t xml:space="preserve"> </w:t>
      </w:r>
      <w:r w:rsidRPr="001C0FBC">
        <w:rPr>
          <w:rFonts w:ascii="Century Gothic" w:hAnsi="Century Gothic" w:cs="Tahoma"/>
          <w:sz w:val="22"/>
          <w:szCs w:val="22"/>
        </w:rPr>
        <w:t>de</w:t>
      </w:r>
      <w:r>
        <w:rPr>
          <w:rFonts w:ascii="Century Gothic" w:hAnsi="Century Gothic" w:cs="Tahoma"/>
          <w:sz w:val="22"/>
          <w:szCs w:val="22"/>
        </w:rPr>
        <w:t xml:space="preserve"> Cundinamarca</w:t>
      </w:r>
      <w:r w:rsidRPr="001C0FBC">
        <w:rPr>
          <w:rFonts w:ascii="Century Gothic" w:hAnsi="Century Gothic" w:cs="Tahoma"/>
          <w:sz w:val="22"/>
          <w:szCs w:val="22"/>
        </w:rPr>
        <w:t xml:space="preserve">, en la </w:t>
      </w:r>
      <w:r>
        <w:rPr>
          <w:rFonts w:ascii="Century Gothic" w:hAnsi="Century Gothic" w:cs="Tahoma"/>
          <w:sz w:val="22"/>
          <w:szCs w:val="22"/>
        </w:rPr>
        <w:t xml:space="preserve">que se declaró probada la caducidad de la acción. </w:t>
      </w:r>
    </w:p>
    <w:p w:rsidR="00C22D21" w:rsidRDefault="00C22D21" w:rsidP="00C22D21">
      <w:pPr>
        <w:pStyle w:val="Textoindependiente21"/>
        <w:ind w:right="0" w:firstLine="0"/>
        <w:rPr>
          <w:rFonts w:ascii="Century Gothic" w:hAnsi="Century Gothic" w:cs="Tahoma"/>
          <w:sz w:val="22"/>
          <w:szCs w:val="22"/>
        </w:rPr>
      </w:pPr>
    </w:p>
    <w:p w:rsidR="00C22D21" w:rsidRDefault="00C22D21" w:rsidP="00C22D2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cuanto a la falta de jurisdicción, consideró que no había lugar a pronunciarse sobre ese aspecto, comoquiera que ya había sido decidido previamente por ese Tribunal y confirmado por el Consejo de Estado. </w:t>
      </w:r>
    </w:p>
    <w:p w:rsidR="00C22D21" w:rsidRDefault="00C22D21" w:rsidP="00C22D21">
      <w:pPr>
        <w:pStyle w:val="Textoindependiente21"/>
        <w:ind w:right="0" w:firstLine="0"/>
        <w:rPr>
          <w:rFonts w:ascii="Century Gothic" w:hAnsi="Century Gothic" w:cs="Tahoma"/>
          <w:sz w:val="22"/>
          <w:szCs w:val="22"/>
        </w:rPr>
      </w:pPr>
    </w:p>
    <w:p w:rsidR="00C22D21" w:rsidRDefault="00C22D21" w:rsidP="00C22D2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Señaló que el acto que declara desierto un proceso licitatorio es un acto separado del contrato y no tiene la naturaleza de precontractual, comoquiera que aquél concluye el proceso licitatorio sin que se celebre el negocio jurídico y ese acto no adquiere esa naturaleza -de precontractual-  por el hecho de que mediante contratación directa se celebre un contrato, toda vez que la contratación directa constituye una nueva actuación administrativa, independiente del proceso licitatorio fallido. </w:t>
      </w:r>
    </w:p>
    <w:p w:rsidR="00C22D21" w:rsidRDefault="00C22D21" w:rsidP="00C22D21">
      <w:pPr>
        <w:pStyle w:val="Textoindependiente21"/>
        <w:ind w:right="0" w:firstLine="0"/>
        <w:rPr>
          <w:rFonts w:ascii="Century Gothic" w:hAnsi="Century Gothic" w:cs="Tahoma"/>
          <w:sz w:val="22"/>
          <w:szCs w:val="22"/>
        </w:rPr>
      </w:pPr>
    </w:p>
    <w:p w:rsidR="00C22D21" w:rsidRDefault="00C22D21" w:rsidP="00C22D2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La regla de caducidad que se aplica cuando se demanda el acto que declara desierta la licitación es la establecida para la acción de nulidad y restablecimiento del derecho, esto es, cuatro meses contados desde el día siguiente a su notificación. </w:t>
      </w:r>
    </w:p>
    <w:p w:rsidR="00C22D21" w:rsidRDefault="00C22D21" w:rsidP="00C22D21">
      <w:pPr>
        <w:pStyle w:val="Textoindependiente21"/>
        <w:ind w:right="0" w:firstLine="0"/>
        <w:rPr>
          <w:rFonts w:ascii="Century Gothic" w:hAnsi="Century Gothic" w:cs="Tahoma"/>
          <w:sz w:val="22"/>
          <w:szCs w:val="22"/>
        </w:rPr>
      </w:pPr>
    </w:p>
    <w:p w:rsidR="00C22D21" w:rsidRDefault="00C22D21" w:rsidP="00C22D2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el presente caso, el acto demandado se comunicó al  actor el 23 de junio de 1997, decisión que, según el a quo, fue aclarada el 5 de septiembre de 1997, fecha que tomó el tribunal para contar el ejercicio oportuno de la acción. Como la demanda se interpuso el 14 de mayo de 1998, es claro que habían transcurrido más de cuatro meses, por lo que encontró acreditada la caducidad de la acción de nulidad y restablecimiento del derecho. </w:t>
      </w:r>
    </w:p>
    <w:p w:rsidR="00C22D21" w:rsidRDefault="00C22D21" w:rsidP="00C22D21">
      <w:pPr>
        <w:pStyle w:val="Textoindependiente21"/>
        <w:ind w:right="0" w:firstLine="0"/>
        <w:rPr>
          <w:rFonts w:ascii="Century Gothic" w:hAnsi="Century Gothic" w:cs="Tahoma"/>
          <w:sz w:val="22"/>
          <w:szCs w:val="22"/>
        </w:rPr>
      </w:pPr>
    </w:p>
    <w:p w:rsidR="00C22D21" w:rsidRDefault="00C22D21" w:rsidP="00C22D2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Aclaró que, si bien es cierto en la demanda se pretende la nulidad del contrato, ello se solicitó como consecuencia de la eventual nulidad del acto administrativo demandado; en consecuencia, sigue siendo pretensión principal la nulidad de la declaratoria de desierta del proceso licitatorio y lo mismo ocurre con las pretensiones subsidiarias que se refieren a la mala fe durante el proceso licitatorio. </w:t>
      </w:r>
    </w:p>
    <w:p w:rsidR="00C22D21" w:rsidRDefault="00C22D21" w:rsidP="00C22D21">
      <w:pPr>
        <w:ind w:right="-1"/>
        <w:jc w:val="both"/>
        <w:rPr>
          <w:rFonts w:ascii="Century Gothic" w:hAnsi="Century Gothic" w:cs="Arial"/>
          <w:b/>
          <w:bCs/>
          <w:color w:val="000000"/>
        </w:rPr>
      </w:pPr>
      <w:r>
        <w:rPr>
          <w:rFonts w:ascii="Century Gothic" w:hAnsi="Century Gothic" w:cs="Arial"/>
          <w:b/>
          <w:bCs/>
          <w:color w:val="000000"/>
        </w:rPr>
        <w:t>7</w:t>
      </w:r>
      <w:r w:rsidRPr="005C6BA4">
        <w:rPr>
          <w:rFonts w:ascii="Century Gothic" w:hAnsi="Century Gothic" w:cs="Arial"/>
          <w:b/>
          <w:bCs/>
          <w:color w:val="000000"/>
        </w:rPr>
        <w:t>.- El recurso de apelación.-</w:t>
      </w:r>
      <w:r w:rsidRPr="001C0FBC">
        <w:rPr>
          <w:rFonts w:ascii="Century Gothic" w:hAnsi="Century Gothic" w:cs="Arial"/>
          <w:b/>
          <w:bCs/>
          <w:color w:val="000000"/>
        </w:rPr>
        <w:t xml:space="preserve"> </w:t>
      </w:r>
    </w:p>
    <w:p w:rsidR="00C22D21" w:rsidRDefault="00C22D21" w:rsidP="00C22D21">
      <w:pPr>
        <w:ind w:right="-1"/>
        <w:jc w:val="both"/>
        <w:rPr>
          <w:rFonts w:ascii="Century Gothic" w:hAnsi="Century Gothic" w:cs="Arial"/>
          <w:b/>
          <w:bCs/>
          <w:color w:val="000000"/>
        </w:rPr>
      </w:pPr>
    </w:p>
    <w:p w:rsidR="00C22D21" w:rsidRDefault="00C22D21" w:rsidP="00C22D21">
      <w:pPr>
        <w:ind w:right="-1"/>
        <w:jc w:val="both"/>
        <w:rPr>
          <w:rFonts w:ascii="Century Gothic" w:hAnsi="Century Gothic" w:cs="Arial"/>
          <w:b/>
          <w:bCs/>
          <w:color w:val="000000"/>
        </w:rPr>
      </w:pPr>
    </w:p>
    <w:p w:rsidR="00C22D21" w:rsidRDefault="00C22D21" w:rsidP="00C22D21">
      <w:pPr>
        <w:spacing w:line="360" w:lineRule="auto"/>
        <w:ind w:right="-1"/>
        <w:jc w:val="both"/>
        <w:rPr>
          <w:rFonts w:ascii="Century Gothic" w:hAnsi="Century Gothic" w:cs="Tahoma"/>
        </w:rPr>
      </w:pPr>
      <w:r w:rsidRPr="001C0FBC">
        <w:rPr>
          <w:rFonts w:ascii="Century Gothic" w:hAnsi="Century Gothic" w:cs="Tahoma"/>
        </w:rPr>
        <w:t>Inconforme con la anterior decisión</w:t>
      </w:r>
      <w:r>
        <w:rPr>
          <w:rFonts w:ascii="Century Gothic" w:hAnsi="Century Gothic" w:cs="Tahoma"/>
        </w:rPr>
        <w:t>,</w:t>
      </w:r>
      <w:r w:rsidRPr="001C0FBC">
        <w:rPr>
          <w:rFonts w:ascii="Century Gothic" w:hAnsi="Century Gothic" w:cs="Tahoma"/>
        </w:rPr>
        <w:t xml:space="preserve"> </w:t>
      </w:r>
      <w:r>
        <w:rPr>
          <w:rFonts w:ascii="Century Gothic" w:hAnsi="Century Gothic" w:cs="Tahoma"/>
        </w:rPr>
        <w:t xml:space="preserve">la parte actora, </w:t>
      </w:r>
      <w:r w:rsidRPr="001C0FBC">
        <w:rPr>
          <w:rFonts w:ascii="Century Gothic" w:hAnsi="Century Gothic" w:cs="Tahoma"/>
        </w:rPr>
        <w:t>dentro de la oportunidad prevista por el ordenamiento jurídico</w:t>
      </w:r>
      <w:r>
        <w:rPr>
          <w:rFonts w:ascii="Century Gothic" w:hAnsi="Century Gothic" w:cs="Tahoma"/>
        </w:rPr>
        <w:t xml:space="preserve">, interpuso recurso de apelación, para lo cual señaló que el a quo realizó una interpretación errónea de las pretensiones y de los hechos que las sustentaban, pues, de un lado, no solo se solicitó la nulidad del acto que declaró desierto el proceso licitatorio, sino también la nulidad del contrato. Afirmó que la existencia del contrato, celebrado con quien había quedado en segundo lugar en el proceso licitatorio, abría paso a demandar la nulidad del acto que declaró desierta la licitación, por medio de la acción de controversias contractuales. </w:t>
      </w:r>
    </w:p>
    <w:p w:rsidR="00C22D21" w:rsidRDefault="00C22D21" w:rsidP="00C22D21">
      <w:pPr>
        <w:spacing w:line="360" w:lineRule="auto"/>
        <w:ind w:right="-1"/>
        <w:jc w:val="both"/>
        <w:rPr>
          <w:rFonts w:ascii="Century Gothic" w:hAnsi="Century Gothic" w:cs="Tahoma"/>
        </w:rPr>
      </w:pPr>
    </w:p>
    <w:p w:rsidR="00C22D21" w:rsidRDefault="00C22D21" w:rsidP="00C22D21">
      <w:pPr>
        <w:spacing w:line="360" w:lineRule="auto"/>
        <w:ind w:right="-1"/>
        <w:jc w:val="both"/>
        <w:rPr>
          <w:rFonts w:ascii="Century Gothic" w:hAnsi="Century Gothic" w:cs="Tahoma"/>
        </w:rPr>
      </w:pPr>
      <w:r>
        <w:rPr>
          <w:rFonts w:ascii="Century Gothic" w:hAnsi="Century Gothic" w:cs="Tahoma"/>
        </w:rPr>
        <w:t xml:space="preserve">De otro lado, en concepto del recurrente el contrato no generó una nueva actuación administrativa, sino que éste y el acto demandado se encuentran </w:t>
      </w:r>
      <w:r w:rsidRPr="00AB47EE">
        <w:rPr>
          <w:rFonts w:ascii="Century Gothic" w:hAnsi="Century Gothic" w:cs="Tahoma"/>
        </w:rPr>
        <w:t xml:space="preserve">directamente </w:t>
      </w:r>
      <w:r>
        <w:rPr>
          <w:rFonts w:ascii="Century Gothic" w:hAnsi="Century Gothic" w:cs="Tahoma"/>
        </w:rPr>
        <w:t xml:space="preserve">vinculados, comoquiera que la contratación directa fue procedente una vez se declaró desierto el proceso licitatorio. </w:t>
      </w:r>
    </w:p>
    <w:p w:rsidR="00C22D21" w:rsidRDefault="00C22D21" w:rsidP="00C22D21">
      <w:pPr>
        <w:spacing w:line="360" w:lineRule="auto"/>
        <w:ind w:right="-1"/>
        <w:jc w:val="both"/>
        <w:rPr>
          <w:rFonts w:ascii="Century Gothic" w:hAnsi="Century Gothic" w:cs="Tahoma"/>
        </w:rPr>
      </w:pPr>
    </w:p>
    <w:p w:rsidR="00C22D21" w:rsidRDefault="00C22D21" w:rsidP="00C22D21">
      <w:pPr>
        <w:spacing w:line="360" w:lineRule="auto"/>
        <w:ind w:right="-1"/>
        <w:jc w:val="both"/>
        <w:rPr>
          <w:rFonts w:ascii="Century Gothic" w:hAnsi="Century Gothic" w:cs="Tahoma"/>
        </w:rPr>
      </w:pPr>
      <w:r>
        <w:rPr>
          <w:rFonts w:ascii="Century Gothic" w:hAnsi="Century Gothic" w:cs="Tahoma"/>
        </w:rPr>
        <w:t xml:space="preserve">En consecuencia, en concepto del demandante la acción procedente era la contractual, tanto en vigencia de la ley 446 de 1998  como en vigencia de la ley anterior y, por tanto, la demanda se </w:t>
      </w:r>
      <w:r w:rsidRPr="00680D07">
        <w:rPr>
          <w:rFonts w:ascii="Century Gothic" w:hAnsi="Century Gothic" w:cs="Tahoma"/>
        </w:rPr>
        <w:t>presentó oportunamente.</w:t>
      </w:r>
      <w:r>
        <w:rPr>
          <w:rFonts w:ascii="Century Gothic" w:hAnsi="Century Gothic" w:cs="Tahoma"/>
        </w:rPr>
        <w:t xml:space="preserve"> </w:t>
      </w:r>
    </w:p>
    <w:p w:rsidR="00C22D21" w:rsidRDefault="00C22D21" w:rsidP="00C22D21">
      <w:pPr>
        <w:spacing w:line="360" w:lineRule="auto"/>
        <w:ind w:right="-1"/>
        <w:jc w:val="both"/>
        <w:rPr>
          <w:rFonts w:ascii="Century Gothic" w:hAnsi="Century Gothic" w:cs="Tahoma"/>
        </w:rPr>
      </w:pPr>
    </w:p>
    <w:p w:rsidR="00C22D21" w:rsidRPr="001C0FBC" w:rsidRDefault="00C22D21" w:rsidP="00C22D21">
      <w:pPr>
        <w:pStyle w:val="Textoindependiente21"/>
        <w:ind w:firstLine="0"/>
        <w:rPr>
          <w:rFonts w:ascii="Century Gothic" w:hAnsi="Century Gothic" w:cs="Tahoma"/>
          <w:b/>
          <w:sz w:val="22"/>
          <w:szCs w:val="22"/>
        </w:rPr>
      </w:pPr>
      <w:r>
        <w:rPr>
          <w:rFonts w:ascii="Century Gothic" w:hAnsi="Century Gothic" w:cs="Tahoma"/>
          <w:b/>
          <w:sz w:val="22"/>
          <w:szCs w:val="22"/>
        </w:rPr>
        <w:t>8</w:t>
      </w:r>
      <w:r w:rsidRPr="001C0FBC">
        <w:rPr>
          <w:rFonts w:ascii="Century Gothic" w:hAnsi="Century Gothic" w:cs="Tahoma"/>
          <w:b/>
          <w:sz w:val="22"/>
          <w:szCs w:val="22"/>
        </w:rPr>
        <w:t xml:space="preserve">.- </w:t>
      </w:r>
      <w:r>
        <w:rPr>
          <w:rFonts w:ascii="Century Gothic" w:hAnsi="Century Gothic" w:cs="Tahoma"/>
          <w:b/>
          <w:sz w:val="22"/>
          <w:szCs w:val="22"/>
        </w:rPr>
        <w:t xml:space="preserve">Trámite </w:t>
      </w:r>
      <w:r w:rsidRPr="001C0FBC">
        <w:rPr>
          <w:rFonts w:ascii="Century Gothic" w:hAnsi="Century Gothic" w:cs="Tahoma"/>
          <w:b/>
          <w:sz w:val="22"/>
          <w:szCs w:val="22"/>
        </w:rPr>
        <w:t>de segunda instancia</w:t>
      </w:r>
      <w:r>
        <w:rPr>
          <w:rFonts w:ascii="Century Gothic" w:hAnsi="Century Gothic" w:cs="Tahoma"/>
          <w:b/>
          <w:sz w:val="22"/>
          <w:szCs w:val="22"/>
        </w:rPr>
        <w:t>.-</w:t>
      </w:r>
      <w:r w:rsidRPr="001C0FBC">
        <w:rPr>
          <w:rFonts w:ascii="Century Gothic" w:hAnsi="Century Gothic" w:cs="Tahoma"/>
          <w:b/>
          <w:sz w:val="22"/>
          <w:szCs w:val="22"/>
        </w:rPr>
        <w:t xml:space="preserve"> </w:t>
      </w:r>
    </w:p>
    <w:p w:rsidR="00C22D21" w:rsidRDefault="00C22D21" w:rsidP="00C22D21">
      <w:pPr>
        <w:pStyle w:val="Textoindependiente21"/>
        <w:ind w:firstLine="0"/>
        <w:rPr>
          <w:rFonts w:ascii="Century Gothic" w:hAnsi="Century Gothic" w:cs="Tahoma"/>
          <w:b/>
          <w:sz w:val="22"/>
          <w:szCs w:val="22"/>
        </w:rPr>
      </w:pPr>
    </w:p>
    <w:p w:rsidR="00C22D21" w:rsidRDefault="00C22D21" w:rsidP="00C22D21">
      <w:pPr>
        <w:pStyle w:val="Textoindependiente21"/>
        <w:ind w:firstLine="0"/>
        <w:rPr>
          <w:rFonts w:ascii="Century Gothic" w:hAnsi="Century Gothic" w:cs="Tahoma"/>
          <w:sz w:val="22"/>
          <w:szCs w:val="22"/>
        </w:rPr>
      </w:pPr>
      <w:r>
        <w:rPr>
          <w:rFonts w:ascii="Century Gothic" w:hAnsi="Century Gothic" w:cs="Tahoma"/>
          <w:sz w:val="22"/>
          <w:szCs w:val="22"/>
        </w:rPr>
        <w:t xml:space="preserve">El recurso se concedió el 28 de mayo de 2009, se </w:t>
      </w:r>
      <w:r w:rsidRPr="009B7BA4">
        <w:rPr>
          <w:rFonts w:ascii="Century Gothic" w:hAnsi="Century Gothic" w:cs="Tahoma"/>
          <w:sz w:val="22"/>
          <w:szCs w:val="22"/>
        </w:rPr>
        <w:t>admitió el 2</w:t>
      </w:r>
      <w:r>
        <w:rPr>
          <w:rFonts w:ascii="Century Gothic" w:hAnsi="Century Gothic" w:cs="Tahoma"/>
          <w:sz w:val="22"/>
          <w:szCs w:val="22"/>
        </w:rPr>
        <w:t>6</w:t>
      </w:r>
      <w:r w:rsidRPr="009B7BA4">
        <w:rPr>
          <w:rFonts w:ascii="Century Gothic" w:hAnsi="Century Gothic" w:cs="Tahoma"/>
          <w:sz w:val="22"/>
          <w:szCs w:val="22"/>
        </w:rPr>
        <w:t xml:space="preserve"> de </w:t>
      </w:r>
      <w:r>
        <w:rPr>
          <w:rFonts w:ascii="Century Gothic" w:hAnsi="Century Gothic" w:cs="Tahoma"/>
          <w:sz w:val="22"/>
          <w:szCs w:val="22"/>
        </w:rPr>
        <w:t xml:space="preserve">marzo de 2010 y, habiéndose dado traslado para </w:t>
      </w:r>
      <w:r w:rsidRPr="005E72B5">
        <w:rPr>
          <w:rFonts w:ascii="Century Gothic" w:hAnsi="Century Gothic" w:cs="Tahoma"/>
          <w:sz w:val="22"/>
          <w:szCs w:val="22"/>
        </w:rPr>
        <w:t>alegar</w:t>
      </w:r>
      <w:r>
        <w:rPr>
          <w:rFonts w:ascii="Century Gothic" w:hAnsi="Century Gothic" w:cs="Tahoma"/>
          <w:sz w:val="22"/>
          <w:szCs w:val="22"/>
        </w:rPr>
        <w:t xml:space="preserve">, la parte actora reiteró lo manifestado en primera instancia y en el recurso de apelación. La parte demandada solicitó que se confirmara la sentencia de primera instancia, señaló que la acción procedente era la de nulidad y restablecimiento del derecho que se encontraba caducada y reiteró lo expuesto en los alegatos de primera instancia. </w:t>
      </w:r>
    </w:p>
    <w:p w:rsidR="00C22D21" w:rsidRDefault="00C22D21" w:rsidP="00C22D21">
      <w:pPr>
        <w:pStyle w:val="Textoindependiente21"/>
        <w:ind w:firstLine="0"/>
        <w:rPr>
          <w:rFonts w:ascii="Century Gothic" w:hAnsi="Century Gothic" w:cs="Tahoma"/>
          <w:sz w:val="22"/>
          <w:szCs w:val="22"/>
        </w:rPr>
      </w:pPr>
    </w:p>
    <w:p w:rsidR="00C22D21" w:rsidRDefault="00C22D21" w:rsidP="00C22D21">
      <w:pPr>
        <w:pStyle w:val="Textoindependiente21"/>
        <w:ind w:firstLine="0"/>
        <w:rPr>
          <w:rFonts w:ascii="Century Gothic" w:hAnsi="Century Gothic" w:cs="Tahoma"/>
          <w:sz w:val="22"/>
          <w:szCs w:val="22"/>
        </w:rPr>
      </w:pPr>
      <w:r>
        <w:rPr>
          <w:rFonts w:ascii="Century Gothic" w:hAnsi="Century Gothic" w:cs="Tahoma"/>
          <w:sz w:val="22"/>
          <w:szCs w:val="22"/>
        </w:rPr>
        <w:t xml:space="preserve">El Ministerio Público guardó silencio. </w:t>
      </w:r>
    </w:p>
    <w:p w:rsidR="00C22D21" w:rsidRDefault="00C22D21" w:rsidP="00C22D21">
      <w:pPr>
        <w:pStyle w:val="Textoindependiente21"/>
        <w:ind w:firstLine="0"/>
        <w:rPr>
          <w:rFonts w:ascii="Century Gothic" w:hAnsi="Century Gothic" w:cs="Tahoma"/>
          <w:sz w:val="22"/>
          <w:szCs w:val="22"/>
        </w:rPr>
      </w:pPr>
    </w:p>
    <w:p w:rsidR="00C22D21" w:rsidRPr="001C0FBC" w:rsidRDefault="00C22D21" w:rsidP="00C22D21">
      <w:pPr>
        <w:spacing w:line="360" w:lineRule="auto"/>
        <w:jc w:val="center"/>
        <w:rPr>
          <w:rFonts w:ascii="Century Gothic" w:hAnsi="Century Gothic" w:cs="Arial"/>
          <w:b/>
          <w:bCs/>
          <w:color w:val="000000"/>
        </w:rPr>
      </w:pPr>
      <w:r w:rsidRPr="001C0FBC">
        <w:rPr>
          <w:rFonts w:ascii="Century Gothic" w:hAnsi="Century Gothic" w:cs="Arial"/>
          <w:b/>
          <w:bCs/>
          <w:color w:val="000000"/>
        </w:rPr>
        <w:t>II. CONSIDERACIONES</w:t>
      </w:r>
    </w:p>
    <w:p w:rsidR="00C22D21" w:rsidRDefault="00C22D21" w:rsidP="00C22D21">
      <w:pPr>
        <w:widowControl w:val="0"/>
        <w:autoSpaceDE w:val="0"/>
        <w:autoSpaceDN w:val="0"/>
        <w:adjustRightInd w:val="0"/>
        <w:spacing w:line="360" w:lineRule="auto"/>
        <w:jc w:val="both"/>
        <w:rPr>
          <w:rFonts w:ascii="Century Gothic" w:hAnsi="Century Gothic"/>
          <w:b/>
        </w:rPr>
      </w:pPr>
    </w:p>
    <w:p w:rsidR="00C22D21" w:rsidRPr="001C0FBC" w:rsidRDefault="00C22D21" w:rsidP="00C22D21">
      <w:pPr>
        <w:widowControl w:val="0"/>
        <w:autoSpaceDE w:val="0"/>
        <w:autoSpaceDN w:val="0"/>
        <w:adjustRightInd w:val="0"/>
        <w:spacing w:line="360" w:lineRule="auto"/>
        <w:jc w:val="both"/>
        <w:rPr>
          <w:rFonts w:ascii="Century Gothic" w:hAnsi="Century Gothic"/>
          <w:b/>
        </w:rPr>
      </w:pPr>
      <w:r w:rsidRPr="001C0FBC">
        <w:rPr>
          <w:rFonts w:ascii="Century Gothic" w:hAnsi="Century Gothic"/>
          <w:b/>
        </w:rPr>
        <w:t>1.- La competencia.-</w:t>
      </w:r>
    </w:p>
    <w:p w:rsidR="00C22D21" w:rsidRPr="001C0FBC" w:rsidRDefault="00C22D21" w:rsidP="00C22D21">
      <w:pPr>
        <w:widowControl w:val="0"/>
        <w:autoSpaceDE w:val="0"/>
        <w:autoSpaceDN w:val="0"/>
        <w:adjustRightInd w:val="0"/>
        <w:spacing w:line="360" w:lineRule="auto"/>
        <w:jc w:val="both"/>
        <w:rPr>
          <w:rFonts w:ascii="Century Gothic" w:hAnsi="Century Gothic"/>
        </w:rPr>
      </w:pPr>
    </w:p>
    <w:p w:rsidR="00C22D21" w:rsidRDefault="00C22D21" w:rsidP="00C22D21">
      <w:pPr>
        <w:widowControl w:val="0"/>
        <w:autoSpaceDE w:val="0"/>
        <w:autoSpaceDN w:val="0"/>
        <w:adjustRightInd w:val="0"/>
        <w:spacing w:line="360" w:lineRule="auto"/>
        <w:jc w:val="both"/>
        <w:rPr>
          <w:rFonts w:ascii="Century Gothic" w:hAnsi="Century Gothic"/>
        </w:rPr>
      </w:pPr>
      <w:r w:rsidRPr="00160CF1">
        <w:rPr>
          <w:rFonts w:ascii="Century Gothic" w:hAnsi="Century Gothic"/>
        </w:rPr>
        <w:t>La Sala es competente</w:t>
      </w:r>
      <w:r w:rsidRPr="001C0FBC">
        <w:rPr>
          <w:rFonts w:ascii="Century Gothic" w:hAnsi="Century Gothic"/>
        </w:rPr>
        <w:t xml:space="preserve"> para conocer del recurso de apelación interpuesto contra la sentencia proferida por </w:t>
      </w:r>
      <w:r>
        <w:rPr>
          <w:rFonts w:ascii="Century Gothic" w:hAnsi="Century Gothic"/>
        </w:rPr>
        <w:t xml:space="preserve">el Tribunal Administrativo de Cundinamarca </w:t>
      </w:r>
      <w:r w:rsidRPr="001C0FBC">
        <w:rPr>
          <w:rFonts w:ascii="Century Gothic" w:hAnsi="Century Gothic"/>
        </w:rPr>
        <w:t>el</w:t>
      </w:r>
      <w:r>
        <w:rPr>
          <w:rFonts w:ascii="Century Gothic" w:hAnsi="Century Gothic"/>
        </w:rPr>
        <w:t xml:space="preserve"> 5</w:t>
      </w:r>
      <w:r>
        <w:rPr>
          <w:rFonts w:ascii="Century Gothic" w:hAnsi="Century Gothic" w:cs="Arial"/>
        </w:rPr>
        <w:t xml:space="preserve"> </w:t>
      </w:r>
      <w:r w:rsidRPr="001C0FBC">
        <w:rPr>
          <w:rFonts w:ascii="Century Gothic" w:hAnsi="Century Gothic" w:cs="Arial"/>
        </w:rPr>
        <w:t xml:space="preserve">de </w:t>
      </w:r>
      <w:r>
        <w:rPr>
          <w:rFonts w:ascii="Century Gothic" w:hAnsi="Century Gothic" w:cs="Arial"/>
        </w:rPr>
        <w:t xml:space="preserve">febrero de </w:t>
      </w:r>
      <w:r w:rsidRPr="001C0FBC">
        <w:rPr>
          <w:rFonts w:ascii="Century Gothic" w:hAnsi="Century Gothic" w:cs="Arial"/>
        </w:rPr>
        <w:t>200</w:t>
      </w:r>
      <w:r>
        <w:rPr>
          <w:rFonts w:ascii="Century Gothic" w:hAnsi="Century Gothic" w:cs="Arial"/>
        </w:rPr>
        <w:t>9</w:t>
      </w:r>
      <w:r w:rsidRPr="001C0FBC">
        <w:rPr>
          <w:rFonts w:ascii="Century Gothic" w:hAnsi="Century Gothic"/>
        </w:rPr>
        <w:t>, por cuanto</w:t>
      </w:r>
      <w:r>
        <w:rPr>
          <w:rFonts w:ascii="Century Gothic" w:hAnsi="Century Gothic"/>
        </w:rPr>
        <w:t xml:space="preserve"> la pretensión mayor </w:t>
      </w:r>
      <w:r w:rsidRPr="001C0FBC">
        <w:rPr>
          <w:rFonts w:ascii="Century Gothic" w:hAnsi="Century Gothic"/>
        </w:rPr>
        <w:t xml:space="preserve">fue estimada razonadamente por el demandante en </w:t>
      </w:r>
      <w:r>
        <w:rPr>
          <w:rFonts w:ascii="Century Gothic" w:hAnsi="Century Gothic"/>
        </w:rPr>
        <w:t>US $1’000.000, los que equivalían a $</w:t>
      </w:r>
      <w:r w:rsidRPr="00DB5C36">
        <w:rPr>
          <w:rFonts w:ascii="Century Gothic" w:hAnsi="Century Gothic"/>
        </w:rPr>
        <w:t>1</w:t>
      </w:r>
      <w:r>
        <w:rPr>
          <w:rFonts w:ascii="Century Gothic" w:hAnsi="Century Gothic"/>
        </w:rPr>
        <w:t>.</w:t>
      </w:r>
      <w:r w:rsidRPr="00DB5C36">
        <w:rPr>
          <w:rFonts w:ascii="Century Gothic" w:hAnsi="Century Gothic"/>
        </w:rPr>
        <w:t>387</w:t>
      </w:r>
      <w:r>
        <w:rPr>
          <w:rFonts w:ascii="Century Gothic" w:hAnsi="Century Gothic"/>
        </w:rPr>
        <w:t>’</w:t>
      </w:r>
      <w:r w:rsidRPr="00DB5C36">
        <w:rPr>
          <w:rFonts w:ascii="Century Gothic" w:hAnsi="Century Gothic"/>
        </w:rPr>
        <w:t>000</w:t>
      </w:r>
      <w:r>
        <w:rPr>
          <w:rFonts w:ascii="Century Gothic" w:hAnsi="Century Gothic"/>
        </w:rPr>
        <w:t>.</w:t>
      </w:r>
      <w:r w:rsidRPr="00DB5C36">
        <w:rPr>
          <w:rFonts w:ascii="Century Gothic" w:hAnsi="Century Gothic"/>
        </w:rPr>
        <w:t>000</w:t>
      </w:r>
      <w:r>
        <w:rPr>
          <w:rStyle w:val="Refdenotaalpie"/>
          <w:rFonts w:ascii="Century Gothic" w:hAnsi="Century Gothic"/>
        </w:rPr>
        <w:footnoteReference w:id="1"/>
      </w:r>
      <w:r>
        <w:rPr>
          <w:rFonts w:ascii="Century Gothic" w:hAnsi="Century Gothic"/>
        </w:rPr>
        <w:t>. P</w:t>
      </w:r>
      <w:r w:rsidRPr="001C0FBC">
        <w:rPr>
          <w:rFonts w:ascii="Century Gothic" w:hAnsi="Century Gothic"/>
        </w:rPr>
        <w:t>ara la época de interposición de</w:t>
      </w:r>
      <w:r>
        <w:rPr>
          <w:rFonts w:ascii="Century Gothic" w:hAnsi="Century Gothic"/>
        </w:rPr>
        <w:t>l recurso de apelación</w:t>
      </w:r>
      <w:r w:rsidRPr="00C3254B">
        <w:rPr>
          <w:rStyle w:val="Refdenotaalpie"/>
          <w:rFonts w:ascii="Century Gothic" w:hAnsi="Century Gothic"/>
        </w:rPr>
        <w:footnoteReference w:id="2"/>
      </w:r>
      <w:r>
        <w:rPr>
          <w:rFonts w:ascii="Century Gothic" w:hAnsi="Century Gothic"/>
        </w:rPr>
        <w:t>,</w:t>
      </w:r>
      <w:r w:rsidRPr="001C0FBC">
        <w:rPr>
          <w:rFonts w:ascii="Century Gothic" w:hAnsi="Century Gothic"/>
        </w:rPr>
        <w:t xml:space="preserve"> eran susceptibles de acceder a la segunda instancia los procesos promovidos en ejercicio de la acción </w:t>
      </w:r>
      <w:r>
        <w:rPr>
          <w:rFonts w:ascii="Century Gothic" w:hAnsi="Century Gothic"/>
        </w:rPr>
        <w:t xml:space="preserve">contractual </w:t>
      </w:r>
      <w:r w:rsidRPr="001C0FBC">
        <w:rPr>
          <w:rFonts w:ascii="Century Gothic" w:hAnsi="Century Gothic"/>
        </w:rPr>
        <w:t>cuya cuantía excediera de $</w:t>
      </w:r>
      <w:r>
        <w:rPr>
          <w:rFonts w:ascii="Century Gothic" w:hAnsi="Century Gothic"/>
        </w:rPr>
        <w:t>101’913.000</w:t>
      </w:r>
      <w:r w:rsidRPr="001C0FBC">
        <w:rPr>
          <w:rStyle w:val="Refdenotaalpie"/>
          <w:rFonts w:ascii="Century Gothic" w:hAnsi="Century Gothic"/>
        </w:rPr>
        <w:footnoteReference w:id="3"/>
      </w:r>
      <w:r w:rsidRPr="001C0FBC">
        <w:rPr>
          <w:rFonts w:ascii="Century Gothic" w:hAnsi="Century Gothic"/>
        </w:rPr>
        <w:t xml:space="preserve">, monto que </w:t>
      </w:r>
      <w:r>
        <w:rPr>
          <w:rFonts w:ascii="Century Gothic" w:hAnsi="Century Gothic"/>
        </w:rPr>
        <w:t xml:space="preserve">acá </w:t>
      </w:r>
      <w:r w:rsidRPr="001C0FBC">
        <w:rPr>
          <w:rFonts w:ascii="Century Gothic" w:hAnsi="Century Gothic"/>
        </w:rPr>
        <w:t>se encuentra ampliamente superado. Por otra parte, es de anotar que el Consejo de Estado es funcionalmente competente para conocer de los recursos de apelación interpuestos contra la</w:t>
      </w:r>
      <w:r>
        <w:rPr>
          <w:rFonts w:ascii="Century Gothic" w:hAnsi="Century Gothic"/>
        </w:rPr>
        <w:t>s sentenc</w:t>
      </w:r>
      <w:r w:rsidRPr="001C0FBC">
        <w:rPr>
          <w:rFonts w:ascii="Century Gothic" w:hAnsi="Century Gothic"/>
        </w:rPr>
        <w:t xml:space="preserve">ias dictadas por los Tribunales Administrativos en primera instancia, a términos de lo dispuesto por el artículo 129 del C.C.A. </w:t>
      </w:r>
    </w:p>
    <w:p w:rsidR="00C22D21" w:rsidRDefault="00C22D21" w:rsidP="00C22D21">
      <w:pPr>
        <w:widowControl w:val="0"/>
        <w:autoSpaceDE w:val="0"/>
        <w:autoSpaceDN w:val="0"/>
        <w:adjustRightInd w:val="0"/>
        <w:spacing w:line="360" w:lineRule="auto"/>
        <w:jc w:val="both"/>
        <w:rPr>
          <w:rFonts w:ascii="Century Gothic" w:hAnsi="Century Gothic"/>
        </w:rPr>
      </w:pPr>
    </w:p>
    <w:p w:rsidR="00C22D21" w:rsidRDefault="00C22D21" w:rsidP="00C22D21">
      <w:pPr>
        <w:pStyle w:val="Textoindependiente31"/>
        <w:spacing w:line="360" w:lineRule="auto"/>
        <w:rPr>
          <w:rFonts w:ascii="Century Gothic" w:hAnsi="Century Gothic"/>
          <w:sz w:val="22"/>
          <w:szCs w:val="22"/>
          <w:lang w:val="es-CO"/>
        </w:rPr>
      </w:pPr>
      <w:r>
        <w:rPr>
          <w:rFonts w:ascii="Century Gothic" w:hAnsi="Century Gothic"/>
          <w:sz w:val="22"/>
          <w:szCs w:val="22"/>
          <w:lang w:val="es-CO"/>
        </w:rPr>
        <w:t xml:space="preserve">Aunado a lo anterior, se reiteran las consideraciones contenidas en el auto del 25 de mayo de 2000, mediante el cual esta Corporación resolvió el recurso de apelación contra el auto que negó la solicitud de nulidad de todo lo actuado en este proceso por falta de competencia, en el que se indicó (transcripción literal): </w:t>
      </w:r>
    </w:p>
    <w:p w:rsidR="00C22D21" w:rsidRDefault="00C22D21" w:rsidP="00C22D21">
      <w:pPr>
        <w:pStyle w:val="Textoindependiente31"/>
        <w:spacing w:line="360" w:lineRule="auto"/>
        <w:rPr>
          <w:rFonts w:ascii="Century Gothic" w:hAnsi="Century Gothic"/>
          <w:sz w:val="22"/>
          <w:szCs w:val="22"/>
          <w:lang w:val="es-CO"/>
        </w:rPr>
      </w:pPr>
    </w:p>
    <w:p w:rsidR="00C22D21" w:rsidRPr="00B46704" w:rsidRDefault="00C22D21" w:rsidP="00C22D21">
      <w:pPr>
        <w:pStyle w:val="Textoindependiente31"/>
        <w:spacing w:line="240" w:lineRule="auto"/>
        <w:ind w:left="851" w:right="851"/>
        <w:rPr>
          <w:rFonts w:ascii="Century Gothic" w:hAnsi="Century Gothic"/>
          <w:sz w:val="20"/>
          <w:lang w:val="es-CO"/>
        </w:rPr>
      </w:pPr>
      <w:r w:rsidRPr="00B46704">
        <w:rPr>
          <w:rFonts w:ascii="Century Gothic" w:hAnsi="Century Gothic"/>
          <w:sz w:val="20"/>
          <w:lang w:val="es-CO"/>
        </w:rPr>
        <w:t>“Las circunstancias anotadas dan lugar a concluir lo siguiente: Por un lado la Sociedad Arango Software de Colombia S.A., solicitó declara la nulidad del acta No. 1827 de la Junta Directiva del Instituto de Fomento Industrial del 13 de mayo de 1997, mediante la cual declaró desierta la licitación para la adquisición de una solución informática para el denominado Sistema Integrado de Información Financiero, SIFI. Este es un acto administrativo mediante el cual se culminó un proceso licitatorio y</w:t>
      </w:r>
      <w:r>
        <w:rPr>
          <w:rFonts w:ascii="Century Gothic" w:hAnsi="Century Gothic"/>
          <w:sz w:val="20"/>
          <w:lang w:val="es-CO"/>
        </w:rPr>
        <w:t xml:space="preserve"> …</w:t>
      </w:r>
      <w:r w:rsidRPr="00B46704">
        <w:rPr>
          <w:rFonts w:ascii="Century Gothic" w:hAnsi="Century Gothic"/>
          <w:sz w:val="20"/>
          <w:lang w:val="es-CO"/>
        </w:rPr>
        <w:t xml:space="preserve"> la jurisdicción de lo contencioso administrativo está instituida para juzgar las controversias y litigios administrativos originados en la actividad de las entidades públicas, así que la jurisdicción contenciosa es la competente para conocer de los actos administrativos. </w:t>
      </w:r>
    </w:p>
    <w:p w:rsidR="00C22D21" w:rsidRPr="00B46704" w:rsidRDefault="00C22D21" w:rsidP="00C22D21">
      <w:pPr>
        <w:pStyle w:val="Textoindependiente31"/>
        <w:spacing w:line="240" w:lineRule="auto"/>
        <w:ind w:left="851" w:right="851"/>
        <w:rPr>
          <w:rFonts w:ascii="Century Gothic" w:hAnsi="Century Gothic"/>
          <w:sz w:val="20"/>
          <w:lang w:val="es-CO"/>
        </w:rPr>
      </w:pPr>
    </w:p>
    <w:p w:rsidR="00C22D21" w:rsidRPr="00B46704" w:rsidRDefault="00C22D21" w:rsidP="00C22D21">
      <w:pPr>
        <w:pStyle w:val="Textoindependiente31"/>
        <w:spacing w:line="240" w:lineRule="auto"/>
        <w:ind w:left="851" w:right="851"/>
        <w:rPr>
          <w:rFonts w:ascii="Century Gothic" w:hAnsi="Century Gothic"/>
          <w:sz w:val="20"/>
          <w:lang w:val="es-CO"/>
        </w:rPr>
      </w:pPr>
      <w:r w:rsidRPr="00B46704">
        <w:rPr>
          <w:rFonts w:ascii="Century Gothic" w:hAnsi="Century Gothic"/>
          <w:sz w:val="20"/>
          <w:lang w:val="es-CO"/>
        </w:rPr>
        <w:t xml:space="preserve">“De otro lado, se solicitó declarar la nulidad absoluta del contrato celebrado el 12 de septiembre de 1997, por el Instituto de Fomento Industrial y la NCR Colombia S.A., por el cual la firma contratista se obligó a sistematizar los procesos financieros del IFI, mediante el suministro, instalación y puesta en marcha del software aplicativo COBIS, operado sobre el motor de base de datos ORACLE. </w:t>
      </w:r>
    </w:p>
    <w:p w:rsidR="00C22D21" w:rsidRPr="00B46704" w:rsidRDefault="00C22D21" w:rsidP="00C22D21">
      <w:pPr>
        <w:pStyle w:val="Textoindependiente31"/>
        <w:spacing w:line="240" w:lineRule="auto"/>
        <w:ind w:left="851" w:right="851"/>
        <w:rPr>
          <w:rFonts w:ascii="Century Gothic" w:hAnsi="Century Gothic"/>
          <w:sz w:val="20"/>
          <w:lang w:val="es-CO"/>
        </w:rPr>
      </w:pPr>
    </w:p>
    <w:p w:rsidR="00C22D21" w:rsidRPr="00B46704" w:rsidRDefault="00C22D21" w:rsidP="00C22D21">
      <w:pPr>
        <w:pStyle w:val="Textoindependiente31"/>
        <w:spacing w:line="240" w:lineRule="auto"/>
        <w:ind w:left="851" w:right="851"/>
        <w:rPr>
          <w:rFonts w:ascii="Century Gothic" w:hAnsi="Century Gothic"/>
          <w:sz w:val="20"/>
          <w:lang w:val="es-CO"/>
        </w:rPr>
      </w:pPr>
      <w:r w:rsidRPr="00B46704">
        <w:rPr>
          <w:rFonts w:ascii="Century Gothic" w:hAnsi="Century Gothic"/>
          <w:sz w:val="20"/>
          <w:lang w:val="es-CO"/>
        </w:rPr>
        <w:t>“…</w:t>
      </w:r>
    </w:p>
    <w:p w:rsidR="00C22D21" w:rsidRPr="00B46704" w:rsidRDefault="00C22D21" w:rsidP="00C22D21">
      <w:pPr>
        <w:pStyle w:val="Textoindependiente31"/>
        <w:spacing w:line="240" w:lineRule="auto"/>
        <w:ind w:left="851" w:right="851"/>
        <w:rPr>
          <w:rFonts w:ascii="Century Gothic" w:hAnsi="Century Gothic"/>
          <w:sz w:val="20"/>
          <w:lang w:val="es-CO"/>
        </w:rPr>
      </w:pPr>
    </w:p>
    <w:p w:rsidR="00C22D21" w:rsidRPr="00B46704" w:rsidRDefault="00C22D21" w:rsidP="00C22D21">
      <w:pPr>
        <w:pStyle w:val="Textoindependiente31"/>
        <w:spacing w:line="240" w:lineRule="auto"/>
        <w:ind w:left="851" w:right="851"/>
        <w:rPr>
          <w:rFonts w:ascii="Century Gothic" w:hAnsi="Century Gothic"/>
          <w:sz w:val="20"/>
          <w:lang w:val="es-CO"/>
        </w:rPr>
      </w:pPr>
      <w:r w:rsidRPr="00B46704">
        <w:rPr>
          <w:rFonts w:ascii="Century Gothic" w:hAnsi="Century Gothic"/>
          <w:sz w:val="20"/>
          <w:lang w:val="es-CO"/>
        </w:rPr>
        <w:t xml:space="preserve">“En el caso sub exámine el contrato celebrado entre el Instituto de Fomento Industrial y la sociedad NCR de Colombia S.A., no es de aquellos contratos conexos con las actividades u operaciones autorizadas o reguladas por el Estatuto Orgánico del Sistema Financiero; pues de conformidad con la doctrina transcrita, la cual acoge esta sala, para que una actividad pueda ser considerada conexa debe estar estrechamente enlazada o relacionada con la actividad principal, de tal manera que no exista equivoco en concluir que ambas actividades sean de la misma naturaleza. Así, dentro del giro ordinario de sus negocios está la de captar ahorro interno mediante la emisión de títulos y suscripción de otros documentos y financiar la creación de entidades de carácter particular, la actividad conexa podría estar circunscrita a las obligaciones que adquiera la entidad financiera estatal para invertir en la adquisición de activos fijos necesarios para el cumplimiento de objeto social. </w:t>
      </w:r>
    </w:p>
    <w:p w:rsidR="00C22D21" w:rsidRPr="00B46704" w:rsidRDefault="00C22D21" w:rsidP="00C22D21">
      <w:pPr>
        <w:pStyle w:val="Textoindependiente31"/>
        <w:spacing w:line="240" w:lineRule="auto"/>
        <w:ind w:left="851" w:right="851"/>
        <w:rPr>
          <w:rFonts w:ascii="Century Gothic" w:hAnsi="Century Gothic"/>
          <w:sz w:val="20"/>
          <w:lang w:val="es-CO"/>
        </w:rPr>
      </w:pPr>
    </w:p>
    <w:p w:rsidR="00C22D21" w:rsidRPr="00B46704" w:rsidRDefault="00C22D21" w:rsidP="00C22D21">
      <w:pPr>
        <w:pStyle w:val="Textoindependiente31"/>
        <w:spacing w:line="240" w:lineRule="auto"/>
        <w:ind w:left="851" w:right="851"/>
        <w:rPr>
          <w:rFonts w:ascii="Century Gothic" w:hAnsi="Century Gothic"/>
          <w:sz w:val="20"/>
          <w:lang w:val="es-CO"/>
        </w:rPr>
      </w:pPr>
      <w:r w:rsidRPr="00B46704">
        <w:rPr>
          <w:rFonts w:ascii="Century Gothic" w:hAnsi="Century Gothic"/>
          <w:sz w:val="20"/>
          <w:lang w:val="es-CO"/>
        </w:rPr>
        <w:t xml:space="preserve">“La interpretación no puede ser otra, porque de aceptar lo contrario se llegaría a la conclusión que todos los contratos que celebre la entidad forman parte del giro ordinario de sus negocios o son conexos a ellos, cuando lo propio es que en el desarrollo de su objeto social, celebre negociaciones que sirvan de complemento al objeto principal necesarios para el desarrollo normal de sus funciones. Pero estos contratos ni son de la misma naturaleza, ni constituyen contratos conexos, ni están estrechamente vinculados a su actividad principal” (fls. 206 a 208, c. 1). </w:t>
      </w:r>
    </w:p>
    <w:p w:rsidR="00C22D21" w:rsidRDefault="00C22D21" w:rsidP="00C22D21">
      <w:pPr>
        <w:pStyle w:val="Textoindependiente31"/>
        <w:spacing w:line="360" w:lineRule="auto"/>
        <w:rPr>
          <w:rFonts w:ascii="Century Gothic" w:hAnsi="Century Gothic"/>
          <w:sz w:val="22"/>
          <w:szCs w:val="22"/>
          <w:lang w:val="es-CO"/>
        </w:rPr>
      </w:pPr>
    </w:p>
    <w:p w:rsidR="00C22D21" w:rsidRPr="00AF1D37" w:rsidRDefault="00C22D21" w:rsidP="00C22D21">
      <w:pPr>
        <w:pStyle w:val="Prrafodelista"/>
        <w:spacing w:line="360" w:lineRule="auto"/>
        <w:ind w:left="0"/>
        <w:jc w:val="both"/>
        <w:rPr>
          <w:rFonts w:ascii="Century Gothic" w:hAnsi="Century Gothic" w:cs="Arial"/>
          <w:sz w:val="22"/>
          <w:szCs w:val="22"/>
        </w:rPr>
      </w:pPr>
      <w:r>
        <w:rPr>
          <w:rFonts w:ascii="Century Gothic" w:hAnsi="Century Gothic" w:cs="Arial"/>
          <w:sz w:val="22"/>
          <w:szCs w:val="22"/>
        </w:rPr>
        <w:t>Sumado a lo anterior</w:t>
      </w:r>
      <w:r w:rsidRPr="00AF1D37">
        <w:rPr>
          <w:rFonts w:ascii="Century Gothic" w:hAnsi="Century Gothic" w:cs="Arial"/>
          <w:sz w:val="22"/>
          <w:szCs w:val="22"/>
        </w:rPr>
        <w:t>,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w:t>
      </w:r>
      <w:r>
        <w:rPr>
          <w:rStyle w:val="Refdenotaalpie"/>
          <w:rFonts w:ascii="Century Gothic" w:hAnsi="Century Gothic" w:cs="Arial"/>
          <w:sz w:val="22"/>
          <w:szCs w:val="22"/>
        </w:rPr>
        <w:footnoteReference w:id="4"/>
      </w:r>
      <w:r w:rsidRPr="00AF1D37">
        <w:rPr>
          <w:rFonts w:ascii="Century Gothic" w:hAnsi="Century Gothic" w:cs="Arial"/>
          <w:sz w:val="22"/>
          <w:szCs w:val="22"/>
        </w:rPr>
        <w:t>. En este sentido</w:t>
      </w:r>
      <w:r>
        <w:rPr>
          <w:rFonts w:ascii="Century Gothic" w:hAnsi="Century Gothic" w:cs="Arial"/>
          <w:sz w:val="22"/>
          <w:szCs w:val="22"/>
        </w:rPr>
        <w:t>,</w:t>
      </w:r>
      <w:r w:rsidRPr="00AF1D37">
        <w:rPr>
          <w:rFonts w:ascii="Century Gothic" w:hAnsi="Century Gothic" w:cs="Arial"/>
          <w:sz w:val="22"/>
          <w:szCs w:val="22"/>
        </w:rPr>
        <w:t xml:space="preserve"> ha </w:t>
      </w:r>
      <w:r>
        <w:rPr>
          <w:rFonts w:ascii="Century Gothic" w:hAnsi="Century Gothic" w:cs="Arial"/>
          <w:sz w:val="22"/>
          <w:szCs w:val="22"/>
        </w:rPr>
        <w:t xml:space="preserve">dicho la </w:t>
      </w:r>
      <w:r w:rsidRPr="00AF1D37">
        <w:rPr>
          <w:rFonts w:ascii="Century Gothic" w:hAnsi="Century Gothic" w:cs="Arial"/>
          <w:sz w:val="22"/>
          <w:szCs w:val="22"/>
        </w:rPr>
        <w:t>Sala:</w:t>
      </w:r>
    </w:p>
    <w:p w:rsidR="00C22D21" w:rsidRPr="00AF1D37" w:rsidRDefault="00C22D21" w:rsidP="00C22D21">
      <w:pPr>
        <w:pStyle w:val="Textoindependiente"/>
        <w:spacing w:line="240" w:lineRule="auto"/>
        <w:rPr>
          <w:rFonts w:ascii="Century Gothic" w:hAnsi="Century Gothic" w:cs="Arial"/>
          <w:sz w:val="22"/>
          <w:szCs w:val="22"/>
        </w:rPr>
      </w:pPr>
    </w:p>
    <w:p w:rsidR="00C22D21" w:rsidRPr="00AF1D37" w:rsidRDefault="00C22D21" w:rsidP="00C22D21">
      <w:pPr>
        <w:pStyle w:val="Textodebloque"/>
        <w:ind w:left="851" w:right="851"/>
        <w:rPr>
          <w:rFonts w:ascii="Century Gothic" w:hAnsi="Century Gothic" w:cs="Arial"/>
          <w:sz w:val="20"/>
          <w:szCs w:val="20"/>
        </w:rPr>
      </w:pPr>
      <w:r w:rsidRPr="00AF1D37">
        <w:rPr>
          <w:rFonts w:ascii="Century Gothic" w:hAnsi="Century Gothic" w:cs="Arial"/>
          <w:iCs/>
          <w:sz w:val="20"/>
          <w:szCs w:val="20"/>
        </w:rPr>
        <w:t xml:space="preserve">“De este modo, </w:t>
      </w:r>
      <w:r w:rsidRPr="00AF1D37">
        <w:rPr>
          <w:rFonts w:ascii="Century Gothic" w:hAnsi="Century Gothic" w:cs="Arial"/>
          <w:b/>
          <w:bCs/>
          <w:iCs/>
          <w:sz w:val="20"/>
          <w:szCs w:val="20"/>
        </w:rPr>
        <w:t>son contratos estatales ‘todos los contratos que celebren las entidades públicas del Estado,</w:t>
      </w:r>
      <w:r w:rsidRPr="00AF1D37">
        <w:rPr>
          <w:rFonts w:ascii="Century Gothic" w:hAnsi="Century Gothic" w:cs="Arial"/>
          <w:iCs/>
          <w:sz w:val="20"/>
          <w:szCs w:val="20"/>
        </w:rPr>
        <w:t xml:space="preserve"> ya sea que se regulen por el Estatuto General de Contratación Administrativa o que estén sujetos a regímenes especiales’, y estos últimos, </w:t>
      </w:r>
      <w:r w:rsidRPr="00AF1D37">
        <w:rPr>
          <w:rFonts w:ascii="Century Gothic" w:hAnsi="Century Gothic" w:cs="Arial"/>
          <w:bCs/>
          <w:iCs/>
          <w:sz w:val="20"/>
          <w:szCs w:val="20"/>
        </w:rPr>
        <w:t>donde encajan los que celebran las empresas oficiales que prestan servicios públicos domiciliarios,</w:t>
      </w:r>
      <w:r w:rsidRPr="00AF1D37">
        <w:rPr>
          <w:rFonts w:ascii="Century Gothic" w:hAnsi="Century Gothic" w:cs="Arial"/>
          <w:iCs/>
          <w:sz w:val="20"/>
          <w:szCs w:val="20"/>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sidRPr="00AF1D37">
        <w:rPr>
          <w:rStyle w:val="Refdenotaalpie"/>
          <w:rFonts w:ascii="Century Gothic" w:hAnsi="Century Gothic" w:cs="Arial"/>
          <w:iCs/>
          <w:sz w:val="20"/>
          <w:szCs w:val="20"/>
        </w:rPr>
        <w:t>”</w:t>
      </w:r>
      <w:r w:rsidRPr="00AF1D37">
        <w:rPr>
          <w:rStyle w:val="Refdenotaalpie"/>
          <w:rFonts w:ascii="Century Gothic" w:hAnsi="Century Gothic" w:cs="Arial"/>
          <w:iCs/>
          <w:sz w:val="20"/>
          <w:szCs w:val="20"/>
        </w:rPr>
        <w:footnoteReference w:id="5"/>
      </w:r>
      <w:r w:rsidRPr="00AF1D37">
        <w:rPr>
          <w:rFonts w:ascii="Century Gothic" w:hAnsi="Century Gothic" w:cs="Arial"/>
          <w:iCs/>
          <w:sz w:val="20"/>
          <w:szCs w:val="20"/>
        </w:rPr>
        <w:t xml:space="preserve"> </w:t>
      </w:r>
      <w:r w:rsidRPr="00AF1D37">
        <w:rPr>
          <w:rFonts w:ascii="Century Gothic" w:hAnsi="Century Gothic" w:cs="Arial"/>
          <w:sz w:val="20"/>
          <w:szCs w:val="20"/>
        </w:rPr>
        <w:t>(negrilla fuera del texto).</w:t>
      </w:r>
    </w:p>
    <w:p w:rsidR="00C22D21" w:rsidRDefault="00C22D21" w:rsidP="00C22D21">
      <w:pPr>
        <w:pStyle w:val="Textoindependiente"/>
        <w:rPr>
          <w:rFonts w:cs="Arial"/>
          <w:sz w:val="20"/>
        </w:rPr>
      </w:pPr>
    </w:p>
    <w:p w:rsidR="00C22D21" w:rsidRPr="00AF1D37" w:rsidRDefault="00C22D21" w:rsidP="00C22D21">
      <w:pPr>
        <w:pStyle w:val="Textoindependiente"/>
        <w:rPr>
          <w:rFonts w:ascii="Century Gothic" w:hAnsi="Century Gothic" w:cs="Arial"/>
          <w:sz w:val="22"/>
          <w:szCs w:val="22"/>
        </w:rPr>
      </w:pPr>
      <w:r w:rsidRPr="00AF1D37">
        <w:rPr>
          <w:rFonts w:ascii="Century Gothic" w:hAnsi="Century Gothic" w:cs="Arial"/>
          <w:sz w:val="22"/>
          <w:szCs w:val="22"/>
        </w:rPr>
        <w:t xml:space="preserve">De conformidad con lo anterior, en el marco del ordenamiento jurídico vigente la determinación de la naturaleza jurídica del contrato depende de la que, a su vez, </w:t>
      </w:r>
      <w:r>
        <w:rPr>
          <w:rFonts w:ascii="Century Gothic" w:hAnsi="Century Gothic" w:cs="Arial"/>
          <w:sz w:val="22"/>
          <w:szCs w:val="22"/>
        </w:rPr>
        <w:t xml:space="preserve">tenga la entidad que lo celebra; así, </w:t>
      </w:r>
      <w:r w:rsidR="003A199B" w:rsidRPr="00AF1D37">
        <w:rPr>
          <w:rFonts w:ascii="Century Gothic" w:hAnsi="Century Gothic" w:cs="Arial"/>
          <w:sz w:val="22"/>
          <w:szCs w:val="22"/>
        </w:rPr>
        <w:t>si ésta</w:t>
      </w:r>
      <w:r w:rsidRPr="00AF1D37">
        <w:rPr>
          <w:rFonts w:ascii="Century Gothic" w:hAnsi="Century Gothic" w:cs="Arial"/>
          <w:sz w:val="22"/>
          <w:szCs w:val="22"/>
        </w:rPr>
        <w:t xml:space="preserve"> es estatal, el contrato también lo es, sin importar el régimen legal que se le deba aplicar.</w:t>
      </w:r>
    </w:p>
    <w:p w:rsidR="00C22D21" w:rsidRPr="00AF1D37" w:rsidRDefault="00C22D21" w:rsidP="00C22D21">
      <w:pPr>
        <w:pStyle w:val="Textoindependiente"/>
        <w:rPr>
          <w:rFonts w:ascii="Century Gothic" w:hAnsi="Century Gothic" w:cs="Arial"/>
          <w:sz w:val="22"/>
          <w:szCs w:val="22"/>
        </w:rPr>
      </w:pPr>
    </w:p>
    <w:p w:rsidR="00C22D21" w:rsidRPr="00AF1D37" w:rsidRDefault="00C22D21" w:rsidP="00C22D21">
      <w:pPr>
        <w:pStyle w:val="Textoindependiente"/>
        <w:rPr>
          <w:rFonts w:ascii="Century Gothic" w:hAnsi="Century Gothic" w:cs="Arial"/>
          <w:i/>
          <w:iCs/>
          <w:sz w:val="22"/>
          <w:szCs w:val="22"/>
        </w:rPr>
      </w:pPr>
      <w:r w:rsidRPr="00AF1D37">
        <w:rPr>
          <w:rFonts w:ascii="Century Gothic" w:hAnsi="Century Gothic" w:cs="Arial"/>
          <w:sz w:val="22"/>
          <w:szCs w:val="22"/>
        </w:rPr>
        <w:t xml:space="preserve">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AF1D37">
        <w:rPr>
          <w:rFonts w:ascii="Century Gothic" w:hAnsi="Century Gothic" w:cs="Arial"/>
          <w:i/>
          <w:iCs/>
          <w:sz w:val="22"/>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AF1D37">
        <w:rPr>
          <w:rStyle w:val="Refdenotaalpie"/>
          <w:rFonts w:ascii="Century Gothic" w:hAnsi="Century Gothic" w:cs="Arial"/>
          <w:i/>
          <w:iCs/>
          <w:sz w:val="22"/>
          <w:szCs w:val="22"/>
        </w:rPr>
        <w:footnoteReference w:id="6"/>
      </w:r>
      <w:r w:rsidRPr="00AF1D37">
        <w:rPr>
          <w:rFonts w:ascii="Century Gothic" w:hAnsi="Century Gothic" w:cs="Arial"/>
          <w:i/>
          <w:iCs/>
          <w:sz w:val="22"/>
          <w:szCs w:val="22"/>
        </w:rPr>
        <w:t>.</w:t>
      </w:r>
    </w:p>
    <w:p w:rsidR="00C22D21" w:rsidRPr="00AF1D37" w:rsidRDefault="00C22D21" w:rsidP="00C22D21">
      <w:pPr>
        <w:pStyle w:val="Textoindependiente"/>
        <w:rPr>
          <w:rFonts w:ascii="Century Gothic" w:hAnsi="Century Gothic" w:cs="Arial"/>
          <w:i/>
          <w:iCs/>
          <w:sz w:val="22"/>
          <w:szCs w:val="22"/>
        </w:rPr>
      </w:pPr>
    </w:p>
    <w:p w:rsidR="00C22D21" w:rsidRPr="00AF1D37" w:rsidRDefault="00C22D21" w:rsidP="00C22D21">
      <w:pPr>
        <w:pStyle w:val="Textoindependiente"/>
        <w:rPr>
          <w:rFonts w:ascii="Century Gothic" w:hAnsi="Century Gothic" w:cs="Arial"/>
          <w:b/>
          <w:bCs w:val="0"/>
          <w:sz w:val="22"/>
          <w:szCs w:val="22"/>
        </w:rPr>
      </w:pPr>
      <w:r w:rsidRPr="00AF1D37">
        <w:rPr>
          <w:rFonts w:ascii="Century Gothic" w:hAnsi="Century Gothic" w:cs="Arial"/>
          <w:sz w:val="22"/>
          <w:szCs w:val="22"/>
          <w:lang w:val="es-CO"/>
        </w:rPr>
        <w:t xml:space="preserve">Adicionalmente, el </w:t>
      </w:r>
      <w:r w:rsidRPr="00AF1D37">
        <w:rPr>
          <w:rFonts w:ascii="Century Gothic" w:hAnsi="Century Gothic" w:cs="Arial"/>
          <w:sz w:val="22"/>
          <w:szCs w:val="22"/>
        </w:rPr>
        <w:t>artículo 82 del Código Contencioso Administrativo, modificado por el artículo 30 de la Ley 446 de 1998 que</w:t>
      </w:r>
      <w:r>
        <w:rPr>
          <w:rFonts w:ascii="Century Gothic" w:hAnsi="Century Gothic" w:cs="Arial"/>
          <w:sz w:val="22"/>
          <w:szCs w:val="22"/>
        </w:rPr>
        <w:t>,</w:t>
      </w:r>
      <w:r w:rsidRPr="00AF1D37">
        <w:rPr>
          <w:rFonts w:ascii="Century Gothic" w:hAnsi="Century Gothic" w:cs="Arial"/>
          <w:sz w:val="22"/>
          <w:szCs w:val="22"/>
        </w:rPr>
        <w:t xml:space="preserve"> a su vez</w:t>
      </w:r>
      <w:r>
        <w:rPr>
          <w:rFonts w:ascii="Century Gothic" w:hAnsi="Century Gothic" w:cs="Arial"/>
          <w:sz w:val="22"/>
          <w:szCs w:val="22"/>
        </w:rPr>
        <w:t>,</w:t>
      </w:r>
      <w:r w:rsidRPr="00AF1D37">
        <w:rPr>
          <w:rFonts w:ascii="Century Gothic" w:hAnsi="Century Gothic" w:cs="Arial"/>
          <w:sz w:val="22"/>
          <w:szCs w:val="22"/>
        </w:rPr>
        <w:t xml:space="preserve"> fue modificado por el artículo 1 de la Ley 1107 de 2006, prescribe que l</w:t>
      </w:r>
      <w:r w:rsidRPr="00AF1D37">
        <w:rPr>
          <w:rFonts w:ascii="Century Gothic" w:hAnsi="Century Gothic" w:cs="Arial"/>
          <w:color w:val="000000"/>
          <w:sz w:val="22"/>
          <w:szCs w:val="22"/>
        </w:rPr>
        <w:t xml:space="preserve">a jurisdicción de lo contencioso administrativo está instituida para juzgar las </w:t>
      </w:r>
      <w:r w:rsidRPr="00AF1D37">
        <w:rPr>
          <w:rFonts w:ascii="Century Gothic" w:hAnsi="Century Gothic" w:cs="Arial"/>
          <w:sz w:val="22"/>
          <w:szCs w:val="22"/>
        </w:rPr>
        <w:t>controversi</w:t>
      </w:r>
      <w:r w:rsidRPr="00AF1D37">
        <w:rPr>
          <w:rFonts w:ascii="Century Gothic" w:hAnsi="Century Gothic" w:cs="Arial"/>
          <w:color w:val="000000"/>
          <w:sz w:val="22"/>
          <w:szCs w:val="22"/>
        </w:rPr>
        <w:t>as y litigios originados en la actividad de las entidades públicas.</w:t>
      </w:r>
    </w:p>
    <w:p w:rsidR="00C22D21" w:rsidRPr="00AF1D37" w:rsidRDefault="00C22D21" w:rsidP="00C22D21">
      <w:pPr>
        <w:spacing w:line="360" w:lineRule="auto"/>
        <w:rPr>
          <w:rFonts w:ascii="Century Gothic" w:hAnsi="Century Gothic" w:cs="Arial"/>
          <w:color w:val="FF0000"/>
        </w:rPr>
      </w:pPr>
    </w:p>
    <w:p w:rsidR="00C22D21" w:rsidRPr="00AF1D37" w:rsidRDefault="00C22D21" w:rsidP="00C22D21">
      <w:pPr>
        <w:spacing w:line="360" w:lineRule="auto"/>
        <w:jc w:val="both"/>
        <w:rPr>
          <w:rFonts w:ascii="Century Gothic" w:hAnsi="Century Gothic" w:cs="Arial"/>
        </w:rPr>
      </w:pPr>
      <w:r w:rsidRPr="00AF1D37">
        <w:rPr>
          <w:rFonts w:ascii="Century Gothic" w:hAnsi="Century Gothic" w:cs="Arial"/>
        </w:rPr>
        <w:t xml:space="preserve">En efecto, el artículo 82 del Código Contencioso Administrativo, </w:t>
      </w:r>
      <w:r>
        <w:rPr>
          <w:rFonts w:ascii="Century Gothic" w:hAnsi="Century Gothic" w:cs="Arial"/>
        </w:rPr>
        <w:t xml:space="preserve">con la </w:t>
      </w:r>
      <w:r w:rsidRPr="00AF1D37">
        <w:rPr>
          <w:rFonts w:ascii="Century Gothic" w:hAnsi="Century Gothic" w:cs="Arial"/>
        </w:rPr>
        <w:t>modifica</w:t>
      </w:r>
      <w:r>
        <w:rPr>
          <w:rFonts w:ascii="Century Gothic" w:hAnsi="Century Gothic" w:cs="Arial"/>
        </w:rPr>
        <w:t>ción mencionada</w:t>
      </w:r>
      <w:r w:rsidRPr="00AF1D37">
        <w:rPr>
          <w:rFonts w:ascii="Century Gothic" w:hAnsi="Century Gothic" w:cs="Arial"/>
        </w:rPr>
        <w:t>, define el objeto de esta jurisdicción, en los siguientes términos:</w:t>
      </w:r>
    </w:p>
    <w:p w:rsidR="00C22D21" w:rsidRPr="00AF1D37" w:rsidRDefault="00C22D21" w:rsidP="00C22D21">
      <w:pPr>
        <w:ind w:firstLine="709"/>
        <w:jc w:val="both"/>
        <w:rPr>
          <w:rFonts w:cs="Arial"/>
          <w:b/>
          <w:bCs/>
        </w:rPr>
      </w:pPr>
    </w:p>
    <w:p w:rsidR="00C22D21" w:rsidRPr="00AF1D37" w:rsidRDefault="00C22D21" w:rsidP="00C22D21">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z w:val="20"/>
          <w:lang w:val="es-ES_tradnl"/>
        </w:rPr>
        <w:t xml:space="preserve">“La jurisdicción de lo contencioso administrativo está instituida para juzgar las controversias y litigios originados en la actividad de las </w:t>
      </w:r>
      <w:r w:rsidRPr="00AF1D37">
        <w:rPr>
          <w:rFonts w:ascii="Century Gothic" w:hAnsi="Century Gothic" w:cs="Arial"/>
          <w:b/>
          <w:bCs/>
          <w:iCs/>
          <w:color w:val="000000"/>
          <w:sz w:val="20"/>
          <w:lang w:val="es-ES_tradnl"/>
        </w:rPr>
        <w:t xml:space="preserve">entidades públicas </w:t>
      </w:r>
      <w:r w:rsidRPr="00AF1D37">
        <w:rPr>
          <w:rFonts w:ascii="Century Gothic" w:hAnsi="Century Gothic" w:cs="Arial"/>
          <w:iCs/>
          <w:color w:val="000000"/>
          <w:sz w:val="2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rsidR="00C22D21" w:rsidRPr="00AF1D37" w:rsidRDefault="00C22D21" w:rsidP="00C22D21">
      <w:pPr>
        <w:tabs>
          <w:tab w:val="center" w:pos="709"/>
          <w:tab w:val="left" w:pos="1134"/>
        </w:tabs>
        <w:ind w:left="851" w:right="851"/>
        <w:jc w:val="both"/>
        <w:textAlignment w:val="center"/>
        <w:rPr>
          <w:rFonts w:ascii="Century Gothic" w:hAnsi="Century Gothic" w:cs="Arial"/>
          <w:iCs/>
          <w:color w:val="000000"/>
          <w:sz w:val="20"/>
          <w:lang w:val="es-ES_tradnl"/>
        </w:rPr>
      </w:pPr>
    </w:p>
    <w:p w:rsidR="00C22D21" w:rsidRPr="00AF1D37" w:rsidRDefault="00C22D21" w:rsidP="00C22D21">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z w:val="20"/>
          <w:lang w:val="es-ES_tradnl"/>
        </w:rPr>
        <w:t>“Esta jurisdicción podrá juzgar, inclusive, las controversias que se originen en actos políticos o de Gobierno.</w:t>
      </w:r>
    </w:p>
    <w:p w:rsidR="00C22D21" w:rsidRPr="00AF1D37" w:rsidRDefault="00C22D21" w:rsidP="00C22D21">
      <w:pPr>
        <w:tabs>
          <w:tab w:val="center" w:pos="709"/>
          <w:tab w:val="left" w:pos="1134"/>
        </w:tabs>
        <w:ind w:left="851" w:right="851"/>
        <w:jc w:val="both"/>
        <w:textAlignment w:val="center"/>
        <w:rPr>
          <w:rFonts w:ascii="Century Gothic" w:hAnsi="Century Gothic" w:cs="Arial"/>
          <w:iCs/>
          <w:color w:val="000000"/>
          <w:sz w:val="20"/>
          <w:lang w:val="es-ES_tradnl"/>
        </w:rPr>
      </w:pPr>
    </w:p>
    <w:p w:rsidR="00C22D21" w:rsidRPr="00AF1D37" w:rsidRDefault="00C22D21" w:rsidP="00C22D21">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pacing w:val="5"/>
          <w:sz w:val="20"/>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 </w:t>
      </w:r>
      <w:r w:rsidRPr="00AF1D37">
        <w:rPr>
          <w:rFonts w:ascii="Century Gothic" w:hAnsi="Century Gothic" w:cs="Arial"/>
          <w:iCs/>
          <w:color w:val="000000"/>
          <w:sz w:val="20"/>
          <w:lang w:val="es-ES_tradnl"/>
        </w:rPr>
        <w:t>(negrillas fuera de texto).</w:t>
      </w:r>
    </w:p>
    <w:p w:rsidR="00C22D21" w:rsidRDefault="00C22D21" w:rsidP="00C22D21">
      <w:pPr>
        <w:tabs>
          <w:tab w:val="center" w:pos="709"/>
          <w:tab w:val="left" w:pos="1134"/>
        </w:tabs>
        <w:spacing w:line="360" w:lineRule="auto"/>
        <w:ind w:left="709" w:right="618"/>
        <w:jc w:val="both"/>
        <w:textAlignment w:val="center"/>
        <w:rPr>
          <w:rFonts w:cs="Arial"/>
          <w:iCs/>
          <w:color w:val="000000"/>
          <w:sz w:val="20"/>
          <w:lang w:val="es-ES_tradnl"/>
        </w:rPr>
      </w:pPr>
    </w:p>
    <w:p w:rsidR="00C22D21" w:rsidRDefault="00C22D21" w:rsidP="00C22D21">
      <w:pPr>
        <w:spacing w:line="360" w:lineRule="auto"/>
        <w:jc w:val="both"/>
        <w:rPr>
          <w:rFonts w:ascii="Century Gothic" w:hAnsi="Century Gothic" w:cs="Arial"/>
        </w:rPr>
      </w:pPr>
    </w:p>
    <w:p w:rsidR="00C22D21" w:rsidRPr="00AF1D37" w:rsidRDefault="00C22D21" w:rsidP="00C22D21">
      <w:pPr>
        <w:spacing w:line="360" w:lineRule="auto"/>
        <w:jc w:val="both"/>
        <w:rPr>
          <w:rFonts w:ascii="Century Gothic" w:hAnsi="Century Gothic" w:cs="Arial"/>
        </w:rPr>
      </w:pPr>
      <w:r w:rsidRPr="00AF1D37">
        <w:rPr>
          <w:rFonts w:ascii="Century Gothic" w:hAnsi="Century Gothic" w:cs="Arial"/>
        </w:rPr>
        <w:t xml:space="preserve">La norma legal transcrita, al definir el objeto de la jurisdicción de lo contencioso administrativo, determinó que a la misma le compete </w:t>
      </w:r>
      <w:r w:rsidRPr="00AF1D37">
        <w:rPr>
          <w:rFonts w:ascii="Century Gothic" w:hAnsi="Century Gothic" w:cs="Arial"/>
          <w:i/>
          <w:iCs/>
        </w:rPr>
        <w:t>“</w:t>
      </w:r>
      <w:r w:rsidRPr="00AF1D37">
        <w:rPr>
          <w:rFonts w:ascii="Century Gothic" w:hAnsi="Century Gothic" w:cs="Arial"/>
          <w:i/>
          <w:iCs/>
          <w:lang w:val="es-ES_tradnl"/>
        </w:rPr>
        <w:t>juzgar las controversias y litigios originados en la actividad de las entidades públicas”</w:t>
      </w:r>
      <w:r w:rsidRPr="00AF1D37">
        <w:rPr>
          <w:rFonts w:ascii="Century Gothic" w:hAnsi="Century Gothic" w:cs="Arial"/>
          <w:lang w:val="es-ES_tradnl"/>
        </w:rPr>
        <w:t xml:space="preserve">, en lugar de </w:t>
      </w:r>
      <w:r w:rsidRPr="00AF1D37">
        <w:rPr>
          <w:rFonts w:ascii="Century Gothic" w:hAnsi="Century Gothic" w:cs="Arial"/>
          <w:i/>
          <w:iCs/>
          <w:lang w:val="es-ES_tradnl"/>
        </w:rPr>
        <w:t>“juzgar las controversias y litigios administrativos”</w:t>
      </w:r>
      <w:r w:rsidRPr="00AF1D37">
        <w:rPr>
          <w:rFonts w:ascii="Century Gothic" w:hAnsi="Century Gothic" w:cs="Arial"/>
          <w:lang w:val="es-ES_tradnl"/>
        </w:rPr>
        <w:t>, como disponía el texto anterior de</w:t>
      </w:r>
      <w:r>
        <w:rPr>
          <w:rFonts w:ascii="Century Gothic" w:hAnsi="Century Gothic" w:cs="Arial"/>
          <w:lang w:val="es-ES_tradnl"/>
        </w:rPr>
        <w:t xml:space="preserve"> ese mismo </w:t>
      </w:r>
      <w:r w:rsidRPr="00AF1D37">
        <w:rPr>
          <w:rFonts w:ascii="Century Gothic" w:hAnsi="Century Gothic" w:cs="Arial"/>
          <w:lang w:val="es-ES_tradnl"/>
        </w:rPr>
        <w:t xml:space="preserve">artículo. </w:t>
      </w:r>
      <w:r w:rsidRPr="00AF1D37">
        <w:rPr>
          <w:rFonts w:ascii="Century Gothic" w:hAnsi="Century Gothic" w:cs="Arial"/>
        </w:rPr>
        <w:t>Respecto de su alcance se pronunció la Sala, mediante auto del 8 de febrero de 2007 (radicación 30.903), en el cual, a propósito de los asuntos que interesan al caso que aquí se examina, se señaló:</w:t>
      </w:r>
    </w:p>
    <w:p w:rsidR="00C22D21" w:rsidRDefault="00C22D21" w:rsidP="00C22D21">
      <w:pPr>
        <w:ind w:left="567" w:right="567"/>
        <w:rPr>
          <w:rFonts w:ascii="Century Gothic" w:hAnsi="Century Gothic" w:cs="Arial"/>
        </w:rPr>
      </w:pPr>
    </w:p>
    <w:p w:rsidR="00C22D21" w:rsidRPr="00AF1D37" w:rsidRDefault="00C22D21" w:rsidP="00C22D21">
      <w:pPr>
        <w:ind w:left="567" w:right="567"/>
        <w:rPr>
          <w:rFonts w:ascii="Century Gothic" w:hAnsi="Century Gothic" w:cs="Arial"/>
        </w:rPr>
      </w:pPr>
    </w:p>
    <w:p w:rsidR="00C22D21" w:rsidRPr="00AF1D37" w:rsidRDefault="00C22D21" w:rsidP="00C22D21">
      <w:pPr>
        <w:ind w:left="851" w:right="851"/>
        <w:jc w:val="both"/>
        <w:rPr>
          <w:rFonts w:ascii="Century Gothic" w:hAnsi="Century Gothic" w:cs="Arial"/>
          <w:iCs/>
          <w:sz w:val="20"/>
        </w:rPr>
      </w:pPr>
      <w:r w:rsidRPr="00AF1D37">
        <w:rPr>
          <w:rFonts w:ascii="Century Gothic" w:hAnsi="Century Gothic" w:cs="Arial"/>
          <w:sz w:val="20"/>
        </w:rPr>
        <w:t>“</w:t>
      </w:r>
      <w:r w:rsidRPr="00AF1D37">
        <w:rPr>
          <w:rFonts w:ascii="Century Gothic" w:hAnsi="Century Gothic" w:cs="Arial"/>
          <w:iCs/>
          <w:sz w:val="20"/>
        </w:rPr>
        <w:t>A manera de síntesis, puede resumirse la nueva estructura de competencias de la jurisdicción de lo contencioso administrativo, con la entrada en vigencia de la ley 1.107 de 2006, de la siguiente manera:</w:t>
      </w:r>
    </w:p>
    <w:p w:rsidR="00C22D21" w:rsidRPr="00AF1D37" w:rsidRDefault="00C22D21" w:rsidP="00C22D21">
      <w:pPr>
        <w:ind w:left="851" w:right="851" w:firstLine="708"/>
        <w:jc w:val="both"/>
        <w:rPr>
          <w:rFonts w:ascii="Century Gothic" w:hAnsi="Century Gothic" w:cs="Arial"/>
          <w:iCs/>
          <w:sz w:val="20"/>
        </w:rPr>
      </w:pPr>
    </w:p>
    <w:p w:rsidR="00C22D21" w:rsidRPr="00AF1D37" w:rsidRDefault="00C22D21" w:rsidP="00C22D21">
      <w:pPr>
        <w:ind w:left="851" w:right="851"/>
        <w:jc w:val="both"/>
        <w:rPr>
          <w:rFonts w:ascii="Century Gothic" w:hAnsi="Century Gothic" w:cs="Arial"/>
          <w:iCs/>
          <w:sz w:val="20"/>
        </w:rPr>
      </w:pPr>
      <w:r w:rsidRPr="00AF1D37">
        <w:rPr>
          <w:rFonts w:ascii="Century Gothic" w:hAnsi="Century Gothic" w:cs="Arial"/>
          <w:iCs/>
          <w:sz w:val="20"/>
        </w:rPr>
        <w:t>“(…)</w:t>
      </w:r>
    </w:p>
    <w:p w:rsidR="00C22D21" w:rsidRPr="00AF1D37" w:rsidRDefault="00C22D21" w:rsidP="00C22D21">
      <w:pPr>
        <w:ind w:left="567" w:right="567"/>
        <w:jc w:val="both"/>
        <w:rPr>
          <w:rFonts w:ascii="Century Gothic" w:hAnsi="Century Gothic" w:cs="Arial"/>
          <w:iCs/>
          <w:sz w:val="20"/>
        </w:rPr>
      </w:pPr>
    </w:p>
    <w:p w:rsidR="00C22D21" w:rsidRPr="00AF1D37" w:rsidRDefault="00C22D21" w:rsidP="00C22D21">
      <w:pPr>
        <w:ind w:left="851" w:right="851"/>
        <w:jc w:val="both"/>
        <w:rPr>
          <w:rFonts w:ascii="Century Gothic" w:hAnsi="Century Gothic" w:cs="Arial"/>
          <w:iCs/>
          <w:sz w:val="20"/>
        </w:rPr>
      </w:pPr>
      <w:r w:rsidRPr="00AF1D37">
        <w:rPr>
          <w:rFonts w:ascii="Century Gothic" w:hAnsi="Century Gothic" w:cs="Arial"/>
          <w:iCs/>
          <w:sz w:val="20"/>
        </w:rPr>
        <w:t>“i) Debe conocer de las controversias y litigios precontractuales y contractuales en los que intervenga una entidad pública, sin importar su naturaleza, ni el régimen jurídico aplicable al contrato, ni el objeto del mismo”.</w:t>
      </w:r>
    </w:p>
    <w:p w:rsidR="00C22D21" w:rsidRPr="00846D7E" w:rsidRDefault="00C22D21" w:rsidP="00C22D21">
      <w:pPr>
        <w:spacing w:line="360" w:lineRule="auto"/>
        <w:ind w:right="17"/>
        <w:jc w:val="both"/>
        <w:rPr>
          <w:rFonts w:ascii="Century Gothic" w:hAnsi="Century Gothic"/>
          <w:b/>
        </w:rPr>
      </w:pPr>
    </w:p>
    <w:p w:rsidR="00C22D21" w:rsidRDefault="00C22D21" w:rsidP="00C22D21">
      <w:pPr>
        <w:spacing w:line="360" w:lineRule="auto"/>
        <w:ind w:right="17"/>
        <w:jc w:val="both"/>
        <w:rPr>
          <w:rFonts w:ascii="Century Gothic" w:hAnsi="Century Gothic"/>
          <w:b/>
        </w:rPr>
      </w:pPr>
      <w:r>
        <w:rPr>
          <w:rFonts w:ascii="Century Gothic" w:hAnsi="Century Gothic"/>
          <w:b/>
        </w:rPr>
        <w:t xml:space="preserve">2.- Análisis del caso.- </w:t>
      </w:r>
    </w:p>
    <w:p w:rsidR="00C22D21" w:rsidRDefault="00C22D21" w:rsidP="00C22D21">
      <w:pPr>
        <w:spacing w:line="360" w:lineRule="auto"/>
        <w:ind w:right="17"/>
        <w:jc w:val="both"/>
        <w:rPr>
          <w:rFonts w:ascii="Century Gothic" w:hAnsi="Century Gothic"/>
          <w:b/>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En el presente asunto, el a quo declaró la caducidad de la acción al considerar que la acción procedente era la de nulidad y restablecimiento del derecho, por lo que, al demandarse un acto separable del contrato, la demanda se debía interponer dentro de los cuatro meses siguientes a la notificación del acto que se considera ilegal.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Agregó, que el contrato del cual se solicita su nulidad no guarda relación con el acto demandado, pues al haberse declarado desierta la licitación pública, el contrato que se celebre por contratación directa es una nueva actuación.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La parte actora, inconforme con esa decisión, presentó recurso de apelación y consideró que tanto el acto demandado como el contrato estaban íntimamente ligados, por lo que era procedente ejercer la acción contractual de conformidad con la Ley 446 de 1998, norma que, por ser de carácter procesal, debía ser aplicada inmediatamente.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Para resolver el recurso interpuesto la Sala debe verificar la naturaleza del acto demandado, la acción procedente y el término de caducidad de ésta. </w:t>
      </w:r>
    </w:p>
    <w:p w:rsidR="00C22D21" w:rsidRDefault="00C22D21" w:rsidP="00C22D21">
      <w:pPr>
        <w:spacing w:line="360" w:lineRule="auto"/>
        <w:ind w:right="17"/>
        <w:jc w:val="both"/>
        <w:rPr>
          <w:rFonts w:ascii="Century Gothic" w:hAnsi="Century Gothic"/>
        </w:rPr>
      </w:pPr>
    </w:p>
    <w:p w:rsidR="00C22D21" w:rsidRPr="00ED5BAC" w:rsidRDefault="00C22D21" w:rsidP="00C22D21">
      <w:pPr>
        <w:spacing w:line="360" w:lineRule="auto"/>
        <w:ind w:right="17"/>
        <w:jc w:val="both"/>
        <w:rPr>
          <w:rFonts w:ascii="Century Gothic" w:hAnsi="Century Gothic"/>
          <w:b/>
        </w:rPr>
      </w:pPr>
      <w:r w:rsidRPr="00ED5BAC">
        <w:rPr>
          <w:rFonts w:ascii="Century Gothic" w:hAnsi="Century Gothic"/>
          <w:b/>
        </w:rPr>
        <w:t>2</w:t>
      </w:r>
      <w:r>
        <w:rPr>
          <w:rFonts w:ascii="Century Gothic" w:hAnsi="Century Gothic"/>
          <w:b/>
        </w:rPr>
        <w:t>.1.- Naturaleza del acto</w:t>
      </w:r>
      <w:r w:rsidRPr="00ED5BAC">
        <w:rPr>
          <w:rFonts w:ascii="Century Gothic" w:hAnsi="Century Gothic"/>
          <w:b/>
        </w:rPr>
        <w:t xml:space="preserve"> que declara desierta la licitación pública.-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Antes de la modificación introducida por la Ley 446 de 1998 al artículo 87 del Código Contencioso Administrativo y aún en vigencia de esa ley, la jurisprudencia consideró que el acto mediante el cual se declaraba desierto un proceso licitatorio no revestía la naturaleza de contractual, como quiera que no daba origen a la celebración del negocio jurídico y que para enjuiciarlo procedían las acciones de nulidad y de nulidad y restablecimiento del derecho</w:t>
      </w:r>
      <w:r>
        <w:rPr>
          <w:rStyle w:val="Refdenotaalpie"/>
          <w:rFonts w:ascii="Century Gothic" w:hAnsi="Century Gothic"/>
        </w:rPr>
        <w:footnoteReference w:id="7"/>
      </w:r>
      <w:r>
        <w:rPr>
          <w:rFonts w:ascii="Century Gothic" w:hAnsi="Century Gothic"/>
        </w:rPr>
        <w:t xml:space="preserve">.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Posteriormente y ya en vigencia la Ley 446 de 1998, la Sala modificó su posición para considerar que el acto que declaraba desierta la licitación es de aquéllos expedidos con ocasión de la actividad contractual:  </w:t>
      </w:r>
    </w:p>
    <w:p w:rsidR="00C22D21" w:rsidRDefault="00C22D21" w:rsidP="00C22D21">
      <w:pPr>
        <w:spacing w:line="360" w:lineRule="auto"/>
        <w:ind w:right="17"/>
        <w:jc w:val="both"/>
        <w:rPr>
          <w:rFonts w:ascii="Century Gothic" w:hAnsi="Century Gothic"/>
        </w:rPr>
      </w:pPr>
    </w:p>
    <w:p w:rsidR="00C22D21" w:rsidRPr="0002379E" w:rsidRDefault="00C22D21" w:rsidP="00C22D21">
      <w:pPr>
        <w:ind w:left="851" w:right="851"/>
        <w:jc w:val="both"/>
        <w:rPr>
          <w:rFonts w:ascii="Century Gothic" w:hAnsi="Century Gothic"/>
          <w:sz w:val="20"/>
          <w:szCs w:val="20"/>
        </w:rPr>
      </w:pPr>
      <w:r w:rsidRPr="0002379E">
        <w:rPr>
          <w:rFonts w:ascii="Century Gothic" w:hAnsi="Century Gothic"/>
          <w:sz w:val="20"/>
          <w:szCs w:val="20"/>
        </w:rPr>
        <w:t xml:space="preserve">“Por consiguiente, el acto administrativo que declara desierta la licitación también es de aquellos expedidos con ocasión de la actividad contractual, pues </w:t>
      </w:r>
      <w:r>
        <w:rPr>
          <w:rFonts w:ascii="Century Gothic" w:hAnsi="Century Gothic"/>
          <w:sz w:val="20"/>
          <w:szCs w:val="20"/>
        </w:rPr>
        <w:t xml:space="preserve">(sic) </w:t>
      </w:r>
      <w:r w:rsidRPr="0002379E">
        <w:rPr>
          <w:rFonts w:ascii="Century Gothic" w:hAnsi="Century Gothic"/>
          <w:sz w:val="20"/>
          <w:szCs w:val="20"/>
        </w:rPr>
        <w:t>por su naturaleza, uno de los efectos de esa decisión es truncar el proceso contractual iniciado con anterioridad</w:t>
      </w:r>
      <w:r>
        <w:rPr>
          <w:rFonts w:ascii="Century Gothic" w:hAnsi="Century Gothic"/>
          <w:sz w:val="20"/>
          <w:szCs w:val="20"/>
        </w:rPr>
        <w:t xml:space="preserve"> </w:t>
      </w:r>
      <w:r w:rsidRPr="0002379E">
        <w:rPr>
          <w:rFonts w:ascii="Century Gothic" w:hAnsi="Century Gothic"/>
          <w:sz w:val="20"/>
          <w:szCs w:val="20"/>
        </w:rPr>
        <w:t>…”</w:t>
      </w:r>
      <w:r>
        <w:rPr>
          <w:rStyle w:val="Refdenotaalpie"/>
          <w:rFonts w:ascii="Century Gothic" w:hAnsi="Century Gothic"/>
          <w:sz w:val="20"/>
          <w:szCs w:val="20"/>
        </w:rPr>
        <w:footnoteReference w:id="8"/>
      </w:r>
    </w:p>
    <w:p w:rsidR="00C22D21" w:rsidRPr="00BE1152"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sidRPr="00A46DB1">
        <w:rPr>
          <w:rFonts w:ascii="Century Gothic" w:hAnsi="Century Gothic"/>
        </w:rPr>
        <w:t>Sumado a lo anterior, se consideró que ese acto revestía la naturaleza de los denominados previos al contrato, precisamente por ser expedido con ocasión de la actividad contractual, es decir, actualmente se considera que ese acto es de naturaleza precontractual.</w:t>
      </w:r>
      <w:r>
        <w:rPr>
          <w:rFonts w:ascii="Century Gothic" w:hAnsi="Century Gothic"/>
        </w:rPr>
        <w:t xml:space="preserve"> </w:t>
      </w:r>
    </w:p>
    <w:p w:rsidR="00C22D21" w:rsidRDefault="00C22D21" w:rsidP="00C22D21">
      <w:pPr>
        <w:spacing w:line="360" w:lineRule="auto"/>
        <w:ind w:right="17"/>
        <w:jc w:val="both"/>
        <w:rPr>
          <w:rFonts w:ascii="Century Gothic" w:hAnsi="Century Gothic"/>
          <w:b/>
        </w:rPr>
      </w:pPr>
    </w:p>
    <w:p w:rsidR="00C22D21" w:rsidRPr="009861F3" w:rsidRDefault="00C22D21" w:rsidP="00C22D21">
      <w:pPr>
        <w:spacing w:line="360" w:lineRule="auto"/>
        <w:ind w:right="17"/>
        <w:jc w:val="both"/>
        <w:rPr>
          <w:rFonts w:ascii="Century Gothic" w:hAnsi="Century Gothic"/>
          <w:b/>
        </w:rPr>
      </w:pPr>
      <w:r w:rsidRPr="009861F3">
        <w:rPr>
          <w:rFonts w:ascii="Century Gothic" w:hAnsi="Century Gothic"/>
          <w:b/>
        </w:rPr>
        <w:t xml:space="preserve">2.2.- Acción procedente </w:t>
      </w:r>
      <w:r>
        <w:rPr>
          <w:rFonts w:ascii="Century Gothic" w:hAnsi="Century Gothic"/>
          <w:b/>
        </w:rPr>
        <w:t xml:space="preserve">para atacar </w:t>
      </w:r>
      <w:r w:rsidRPr="009861F3">
        <w:rPr>
          <w:rFonts w:ascii="Century Gothic" w:hAnsi="Century Gothic"/>
          <w:b/>
        </w:rPr>
        <w:t xml:space="preserve">la legalidad del </w:t>
      </w:r>
      <w:r>
        <w:rPr>
          <w:rFonts w:ascii="Century Gothic" w:hAnsi="Century Gothic"/>
          <w:b/>
        </w:rPr>
        <w:t>acto de declaratoria de desierta de una licitación pública y la caducidad de la acción</w:t>
      </w:r>
      <w:r w:rsidRPr="009861F3">
        <w:rPr>
          <w:rFonts w:ascii="Century Gothic" w:hAnsi="Century Gothic"/>
          <w:b/>
        </w:rPr>
        <w:t xml:space="preserve">.-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Es necesario observar las diferentes disposiciones legales que se han encargado del tema: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El artículo 85 del Código Contencioso Administrativo (Decreto 01 de 1984) contempló la posibilidad de solicitar la nulidad del acto administrativo que se consideraba lesivo y el consecuente restablecimiento del derecho, disposición que se mantuvo con la subrogación efectuada por el artículo 15 del decreto 2304 de 1989 hasta la entrada en vigencia de la Ley 1437 de 2011, la que, en el  artículo 138, también consagró el medio de control de nulidad y restablecimiento del derecho para quien crea que se le ha lesionado un derecho subjetivo amparado en una norma jurídica.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En esas diferentes disposiciones la caducidad de la acción de nulidad y restablecimiento del derecho ha sido de cuatro meses.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En armonía con lo anterior, las diferentes disposiciones que se han encargado de regular las controversias contractuales han indicado que esa no era la acción indicada para demandar los actos precontractuales; así, por ejemplo, en principio el decreto 01 de 1984 señaló en el artículo 87 que los actos separables del contrato serían controlables por las otras acciones previstas en ese Código, descartando así la relativa a contratos; posteriormente, ese artículo fue subrogado por el 17 del decreto 2304 de 1989</w:t>
      </w:r>
      <w:r>
        <w:rPr>
          <w:rStyle w:val="Refdenotaalpie"/>
          <w:rFonts w:ascii="Century Gothic" w:hAnsi="Century Gothic"/>
        </w:rPr>
        <w:footnoteReference w:id="9"/>
      </w:r>
      <w:r>
        <w:rPr>
          <w:rFonts w:ascii="Century Gothic" w:hAnsi="Century Gothic"/>
        </w:rPr>
        <w:t xml:space="preserve">, disposición que guardó silencio frente a los actos precontractuales, por lo que se seguían estudiando mediante la acción de nulidad y restablecimiento del derecho y, en consecuencia, el término de la caducidad seguía siendo de cuatro meses.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La situación cambió con la modificación introducida por el artículo 32 de la Ley 446 de 1998 al artículo 87 del Código Contencioso Administrativo,</w:t>
      </w:r>
      <w:r w:rsidRPr="00036C78">
        <w:t xml:space="preserve"> </w:t>
      </w:r>
      <w:r w:rsidRPr="00036C78">
        <w:rPr>
          <w:rFonts w:ascii="Century Gothic" w:hAnsi="Century Gothic"/>
        </w:rPr>
        <w:t xml:space="preserve">aplicable a los procesos iniciados a partir del 8 de julio de </w:t>
      </w:r>
      <w:r w:rsidR="003A199B" w:rsidRPr="00036C78">
        <w:rPr>
          <w:rFonts w:ascii="Century Gothic" w:hAnsi="Century Gothic"/>
        </w:rPr>
        <w:t>1998 y</w:t>
      </w:r>
      <w:r w:rsidRPr="00036C78">
        <w:rPr>
          <w:rFonts w:ascii="Century Gothic" w:hAnsi="Century Gothic"/>
        </w:rPr>
        <w:t xml:space="preserve"> hasta el 2 de julio de 2012</w:t>
      </w:r>
      <w:r>
        <w:rPr>
          <w:rFonts w:ascii="Century Gothic" w:hAnsi="Century Gothic"/>
        </w:rPr>
        <w:t xml:space="preserve">, en el especial por lo dispuesto en el inciso segundo en el que se dispuso: </w:t>
      </w:r>
    </w:p>
    <w:p w:rsidR="00C22D21" w:rsidRDefault="00C22D21" w:rsidP="00C22D21">
      <w:pPr>
        <w:spacing w:line="360" w:lineRule="auto"/>
        <w:ind w:right="17"/>
        <w:jc w:val="both"/>
        <w:rPr>
          <w:rFonts w:ascii="Century Gothic" w:hAnsi="Century Gothic"/>
        </w:rPr>
      </w:pPr>
    </w:p>
    <w:p w:rsidR="00C22D21" w:rsidRPr="00CC452D" w:rsidRDefault="00C22D21" w:rsidP="00C22D21">
      <w:pPr>
        <w:ind w:left="851" w:right="851"/>
        <w:jc w:val="both"/>
        <w:rPr>
          <w:rFonts w:ascii="Century Gothic" w:hAnsi="Century Gothic" w:cs="Arial"/>
          <w:iCs/>
          <w:color w:val="000000"/>
          <w:sz w:val="20"/>
          <w:szCs w:val="20"/>
        </w:rPr>
      </w:pPr>
      <w:r>
        <w:rPr>
          <w:rFonts w:ascii="Century Gothic" w:hAnsi="Century Gothic" w:cs="Arial"/>
          <w:iCs/>
          <w:color w:val="000000"/>
          <w:sz w:val="20"/>
          <w:szCs w:val="20"/>
        </w:rPr>
        <w:t>“</w:t>
      </w:r>
      <w:r w:rsidRPr="00CC452D">
        <w:rPr>
          <w:rFonts w:ascii="Century Gothic" w:hAnsi="Century Gothic" w:cs="Arial"/>
          <w:iCs/>
          <w:color w:val="000000"/>
          <w:sz w:val="20"/>
          <w:szCs w:val="20"/>
        </w:rPr>
        <w:t xml:space="preserve">Los actos proferidos antes de la celebración del contrato, con ocasión de la actividad contractual, </w:t>
      </w:r>
      <w:r w:rsidRPr="00CC452D">
        <w:rPr>
          <w:rFonts w:ascii="Century Gothic" w:hAnsi="Century Gothic" w:cs="Arial"/>
          <w:iCs/>
          <w:color w:val="000000"/>
          <w:sz w:val="20"/>
          <w:szCs w:val="20"/>
          <w:u w:val="single"/>
        </w:rPr>
        <w:t>serán demandables mediante las acciones de nulidad y de nulidad y restablecimiento del derecho, según el caso, dentro de los treinta (30) días siguientes a su comunicación, notificación o publicación.</w:t>
      </w:r>
      <w:r w:rsidRPr="00CC452D">
        <w:rPr>
          <w:rFonts w:ascii="Century Gothic" w:hAnsi="Century Gothic" w:cs="Arial"/>
          <w:iCs/>
          <w:color w:val="000000"/>
          <w:sz w:val="20"/>
          <w:szCs w:val="20"/>
        </w:rPr>
        <w:t xml:space="preserve"> La interposición de estas acciones no interrumpirá el proceso licitatorio, ni la celebración y ejecución del contrato. </w:t>
      </w:r>
      <w:r w:rsidRPr="00CC452D">
        <w:rPr>
          <w:rFonts w:ascii="Century Gothic" w:hAnsi="Century Gothic" w:cs="Arial"/>
          <w:iCs/>
          <w:color w:val="000000"/>
          <w:sz w:val="20"/>
          <w:szCs w:val="20"/>
          <w:u w:val="single"/>
        </w:rPr>
        <w:t>Una vez celebrado éste, la ilegalidad de los actos previos solamente podrá invocarse como fundamento de nulidad absoluta del contrato</w:t>
      </w:r>
      <w:r w:rsidRPr="00CC452D">
        <w:rPr>
          <w:rFonts w:ascii="Century Gothic" w:hAnsi="Century Gothic" w:cs="Arial"/>
          <w:iCs/>
          <w:color w:val="000000"/>
          <w:sz w:val="20"/>
          <w:szCs w:val="20"/>
        </w:rPr>
        <w:t>” (</w:t>
      </w:r>
      <w:r w:rsidRPr="008C4C88">
        <w:rPr>
          <w:rFonts w:ascii="Century Gothic" w:hAnsi="Century Gothic" w:cs="Arial"/>
          <w:iCs/>
          <w:color w:val="000000"/>
          <w:sz w:val="20"/>
          <w:szCs w:val="20"/>
        </w:rPr>
        <w:t xml:space="preserve">se </w:t>
      </w:r>
      <w:r w:rsidRPr="00CC452D">
        <w:rPr>
          <w:rFonts w:ascii="Century Gothic" w:hAnsi="Century Gothic" w:cs="Arial"/>
          <w:iCs/>
          <w:color w:val="000000"/>
          <w:sz w:val="20"/>
          <w:szCs w:val="20"/>
        </w:rPr>
        <w:t>subraya).</w:t>
      </w:r>
    </w:p>
    <w:p w:rsidR="00C22D21" w:rsidRPr="00FD1544"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Frente a ese cambio normativo </w:t>
      </w:r>
      <w:r w:rsidRPr="002B6F3C">
        <w:rPr>
          <w:rFonts w:ascii="Century Gothic" w:hAnsi="Century Gothic"/>
        </w:rPr>
        <w:t>se entendió que los actos precontractuales se debían seguir demandado por medio de la acción de nulidad y restablecimiento del derecho</w:t>
      </w:r>
      <w:r>
        <w:rPr>
          <w:rFonts w:ascii="Century Gothic" w:hAnsi="Century Gothic"/>
        </w:rPr>
        <w:t>,</w:t>
      </w:r>
      <w:r w:rsidRPr="002B6F3C">
        <w:rPr>
          <w:rFonts w:ascii="Century Gothic" w:hAnsi="Century Gothic"/>
        </w:rPr>
        <w:t xml:space="preserve"> pero dentro del término establecido en esa disposición, es decir, ya no dentro del término de cuatro meses </w:t>
      </w:r>
      <w:r>
        <w:rPr>
          <w:rFonts w:ascii="Century Gothic" w:hAnsi="Century Gothic"/>
        </w:rPr>
        <w:t>contemplado para la acciones de nulidad y restablecimiento del derecho -en general-, sino</w:t>
      </w:r>
      <w:r w:rsidRPr="002B6F3C">
        <w:rPr>
          <w:rFonts w:ascii="Century Gothic" w:hAnsi="Century Gothic"/>
        </w:rPr>
        <w:t xml:space="preserve"> en el de treinta días; sin embargo, una vez celebrado el contrato</w:t>
      </w:r>
      <w:r>
        <w:rPr>
          <w:rFonts w:ascii="Century Gothic" w:hAnsi="Century Gothic"/>
        </w:rPr>
        <w:t xml:space="preserve"> y si é</w:t>
      </w:r>
      <w:r w:rsidRPr="002B6F3C">
        <w:rPr>
          <w:rFonts w:ascii="Century Gothic" w:hAnsi="Century Gothic"/>
        </w:rPr>
        <w:t>ste se había suscrito antes del vencimiento de los 30 días, la ilegalidad de los actos previos solo podía invocarse como fundamento de la nulidad absoluta del contrato y en ejercicio, ya no de la acción de nulidad y restablecimiento del derecho, sino de la acción contractual</w:t>
      </w:r>
      <w:r>
        <w:rPr>
          <w:rFonts w:ascii="Century Gothic" w:hAnsi="Century Gothic"/>
        </w:rPr>
        <w:t>, dentro del término de caducidad de esta última; al respecto, esta Sala dijo</w:t>
      </w:r>
      <w:r w:rsidRPr="002B6F3C">
        <w:rPr>
          <w:rFonts w:ascii="Century Gothic" w:hAnsi="Century Gothic"/>
        </w:rPr>
        <w:t>:</w:t>
      </w:r>
      <w:r>
        <w:rPr>
          <w:rFonts w:ascii="Century Gothic" w:hAnsi="Century Gothic"/>
        </w:rPr>
        <w:t xml:space="preserve"> </w:t>
      </w:r>
    </w:p>
    <w:p w:rsidR="00C22D21" w:rsidRDefault="00C22D21" w:rsidP="00C22D21">
      <w:pPr>
        <w:spacing w:line="360" w:lineRule="auto"/>
        <w:ind w:right="17"/>
        <w:jc w:val="both"/>
        <w:rPr>
          <w:rFonts w:ascii="Century Gothic" w:hAnsi="Century Gothic"/>
        </w:rPr>
      </w:pPr>
    </w:p>
    <w:p w:rsidR="00C22D21" w:rsidRDefault="00C22D21" w:rsidP="00C22D21">
      <w:pPr>
        <w:tabs>
          <w:tab w:val="center" w:pos="4419"/>
          <w:tab w:val="right" w:pos="8838"/>
        </w:tabs>
        <w:overflowPunct w:val="0"/>
        <w:autoSpaceDE w:val="0"/>
        <w:autoSpaceDN w:val="0"/>
        <w:adjustRightInd w:val="0"/>
        <w:ind w:left="851" w:right="851"/>
        <w:jc w:val="both"/>
        <w:textAlignment w:val="baseline"/>
        <w:rPr>
          <w:rFonts w:ascii="Century Gothic" w:hAnsi="Century Gothic" w:cs="Arial"/>
          <w:sz w:val="20"/>
          <w:szCs w:val="20"/>
        </w:rPr>
      </w:pPr>
    </w:p>
    <w:p w:rsidR="00C22D21" w:rsidRPr="00E12F92" w:rsidRDefault="00C22D21" w:rsidP="00C22D21">
      <w:pPr>
        <w:tabs>
          <w:tab w:val="center" w:pos="4419"/>
          <w:tab w:val="right" w:pos="8838"/>
        </w:tabs>
        <w:overflowPunct w:val="0"/>
        <w:autoSpaceDE w:val="0"/>
        <w:autoSpaceDN w:val="0"/>
        <w:adjustRightInd w:val="0"/>
        <w:ind w:left="851" w:right="851"/>
        <w:jc w:val="both"/>
        <w:textAlignment w:val="baseline"/>
        <w:rPr>
          <w:rFonts w:ascii="Century Gothic" w:hAnsi="Century Gothic" w:cs="Arial"/>
          <w:sz w:val="20"/>
          <w:szCs w:val="20"/>
        </w:rPr>
      </w:pPr>
      <w:r>
        <w:rPr>
          <w:rFonts w:ascii="Century Gothic" w:hAnsi="Century Gothic" w:cs="Arial"/>
          <w:sz w:val="20"/>
          <w:szCs w:val="20"/>
        </w:rPr>
        <w:t xml:space="preserve">“- </w:t>
      </w:r>
      <w:r w:rsidRPr="00E12F92">
        <w:rPr>
          <w:rFonts w:ascii="Century Gothic" w:hAnsi="Century Gothic" w:cs="Arial"/>
          <w:sz w:val="20"/>
          <w:szCs w:val="20"/>
        </w:rPr>
        <w:t xml:space="preserve">La </w:t>
      </w:r>
      <w:r w:rsidRPr="00E12F92">
        <w:rPr>
          <w:rFonts w:ascii="Century Gothic" w:hAnsi="Century Gothic" w:cs="Arial"/>
          <w:b/>
          <w:sz w:val="20"/>
          <w:szCs w:val="20"/>
        </w:rPr>
        <w:t>primera hipótesis</w:t>
      </w:r>
      <w:r w:rsidRPr="00E12F92">
        <w:rPr>
          <w:rFonts w:ascii="Century Gothic" w:hAnsi="Century Gothic" w:cs="Arial"/>
          <w:sz w:val="20"/>
          <w:szCs w:val="20"/>
        </w:rPr>
        <w:t xml:space="preserve"> se refiere a aquellos casos en los cuales </w:t>
      </w:r>
      <w:r w:rsidRPr="00E12F92">
        <w:rPr>
          <w:rFonts w:ascii="Century Gothic" w:hAnsi="Century Gothic" w:cs="Arial"/>
          <w:b/>
          <w:sz w:val="20"/>
          <w:szCs w:val="20"/>
        </w:rPr>
        <w:t>el contrato estatal no se ha celebrado aun para la fecha en que, dentro de los 30 días</w:t>
      </w:r>
      <w:r w:rsidRPr="00E12F92">
        <w:rPr>
          <w:rFonts w:ascii="Century Gothic" w:hAnsi="Century Gothic" w:cs="Arial"/>
          <w:sz w:val="20"/>
          <w:szCs w:val="20"/>
        </w:rPr>
        <w:t xml:space="preserve"> </w:t>
      </w:r>
      <w:r w:rsidRPr="00E12F92">
        <w:rPr>
          <w:rFonts w:ascii="Century Gothic" w:hAnsi="Century Gothic" w:cs="Arial"/>
          <w:b/>
          <w:sz w:val="20"/>
          <w:szCs w:val="20"/>
        </w:rPr>
        <w:t>siguientes</w:t>
      </w:r>
      <w:r w:rsidRPr="00E12F92">
        <w:rPr>
          <w:rFonts w:ascii="Century Gothic" w:hAnsi="Century Gothic" w:cs="Arial"/>
          <w:sz w:val="20"/>
          <w:szCs w:val="20"/>
        </w:rPr>
        <w:t xml:space="preserve"> a la comunicación, notificación o publicación del correspondiente acto administrativo de adjudicación, </w:t>
      </w:r>
      <w:r w:rsidRPr="00E12F92">
        <w:rPr>
          <w:rFonts w:ascii="Century Gothic" w:hAnsi="Century Gothic" w:cs="Arial"/>
          <w:b/>
          <w:sz w:val="20"/>
          <w:szCs w:val="20"/>
        </w:rPr>
        <w:t>se demanda ese acto administrativo previo</w:t>
      </w:r>
      <w:r w:rsidRPr="00E12F92">
        <w:rPr>
          <w:rFonts w:ascii="Century Gothic" w:hAnsi="Century Gothic" w:cs="Arial"/>
          <w:sz w:val="20"/>
          <w:szCs w:val="20"/>
        </w:rPr>
        <w:t xml:space="preserve">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rsidR="00C22D21" w:rsidRPr="00E12F92" w:rsidRDefault="00C22D21" w:rsidP="00C22D21">
      <w:pPr>
        <w:tabs>
          <w:tab w:val="center" w:pos="4419"/>
          <w:tab w:val="right" w:pos="8838"/>
        </w:tabs>
        <w:overflowPunct w:val="0"/>
        <w:autoSpaceDE w:val="0"/>
        <w:autoSpaceDN w:val="0"/>
        <w:adjustRightInd w:val="0"/>
        <w:ind w:left="851" w:right="851"/>
        <w:jc w:val="both"/>
        <w:textAlignment w:val="baseline"/>
        <w:rPr>
          <w:rFonts w:ascii="Century Gothic" w:hAnsi="Century Gothic" w:cs="Arial"/>
          <w:b/>
          <w:sz w:val="20"/>
          <w:szCs w:val="20"/>
        </w:rPr>
      </w:pPr>
    </w:p>
    <w:p w:rsidR="00C22D21" w:rsidRDefault="00C22D21" w:rsidP="00C22D21">
      <w:pPr>
        <w:tabs>
          <w:tab w:val="center" w:pos="4419"/>
          <w:tab w:val="right" w:pos="8838"/>
        </w:tabs>
        <w:overflowPunct w:val="0"/>
        <w:autoSpaceDE w:val="0"/>
        <w:autoSpaceDN w:val="0"/>
        <w:adjustRightInd w:val="0"/>
        <w:ind w:left="851" w:right="851"/>
        <w:jc w:val="both"/>
        <w:textAlignment w:val="baseline"/>
        <w:rPr>
          <w:rFonts w:ascii="Century Gothic" w:hAnsi="Century Gothic" w:cs="Arial"/>
          <w:b/>
          <w:sz w:val="20"/>
          <w:szCs w:val="20"/>
        </w:rPr>
      </w:pPr>
    </w:p>
    <w:p w:rsidR="00C22D21" w:rsidRPr="00E12F92" w:rsidRDefault="00C22D21" w:rsidP="00C22D21">
      <w:pPr>
        <w:tabs>
          <w:tab w:val="center" w:pos="4419"/>
          <w:tab w:val="right" w:pos="8838"/>
        </w:tabs>
        <w:overflowPunct w:val="0"/>
        <w:autoSpaceDE w:val="0"/>
        <w:autoSpaceDN w:val="0"/>
        <w:adjustRightInd w:val="0"/>
        <w:ind w:left="851" w:right="851"/>
        <w:jc w:val="both"/>
        <w:textAlignment w:val="baseline"/>
        <w:rPr>
          <w:rFonts w:ascii="Century Gothic" w:hAnsi="Century Gothic" w:cs="Arial"/>
          <w:sz w:val="20"/>
          <w:szCs w:val="20"/>
        </w:rPr>
      </w:pPr>
      <w:r>
        <w:rPr>
          <w:rFonts w:ascii="Century Gothic" w:hAnsi="Century Gothic" w:cs="Arial"/>
          <w:b/>
          <w:sz w:val="20"/>
          <w:szCs w:val="20"/>
        </w:rPr>
        <w:t xml:space="preserve">“- </w:t>
      </w:r>
      <w:r w:rsidRPr="00E12F92">
        <w:rPr>
          <w:rFonts w:ascii="Century Gothic" w:hAnsi="Century Gothic" w:cs="Arial"/>
          <w:b/>
          <w:sz w:val="20"/>
          <w:szCs w:val="20"/>
        </w:rPr>
        <w:t>Una segunda</w:t>
      </w:r>
      <w:r w:rsidRPr="00E12F92">
        <w:rPr>
          <w:rFonts w:ascii="Century Gothic" w:hAnsi="Century Gothic" w:cs="Arial"/>
          <w:sz w:val="20"/>
          <w:szCs w:val="20"/>
        </w:rPr>
        <w:t xml:space="preserve"> </w:t>
      </w:r>
      <w:r w:rsidRPr="00E12F92">
        <w:rPr>
          <w:rFonts w:ascii="Century Gothic" w:hAnsi="Century Gothic" w:cs="Arial"/>
          <w:b/>
          <w:sz w:val="20"/>
          <w:szCs w:val="20"/>
        </w:rPr>
        <w:t xml:space="preserve">hipótesis </w:t>
      </w:r>
      <w:r w:rsidRPr="00E12F92">
        <w:rPr>
          <w:rFonts w:ascii="Century Gothic" w:hAnsi="Century Gothic" w:cs="Arial"/>
          <w:sz w:val="20"/>
          <w:szCs w:val="20"/>
        </w:rPr>
        <w:t xml:space="preserve">dice relación con aquellos casos en los cuales hubiere </w:t>
      </w:r>
      <w:r w:rsidRPr="00E12F92">
        <w:rPr>
          <w:rFonts w:ascii="Century Gothic" w:hAnsi="Century Gothic" w:cs="Arial"/>
          <w:b/>
          <w:sz w:val="20"/>
          <w:szCs w:val="20"/>
        </w:rPr>
        <w:t xml:space="preserve">transcurrido el término de 30 días sin que se hubiere celebrado el correspondiente contrato estatal pero igual sin que se hubiere formulado demanda </w:t>
      </w:r>
      <w:r w:rsidRPr="00E12F92">
        <w:rPr>
          <w:rFonts w:ascii="Century Gothic" w:hAnsi="Century Gothic" w:cs="Arial"/>
          <w:sz w:val="20"/>
          <w:szCs w:val="20"/>
        </w:rPr>
        <w:t>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w:t>
      </w:r>
    </w:p>
    <w:p w:rsidR="00C22D21" w:rsidRDefault="00C22D21" w:rsidP="00C22D21">
      <w:pPr>
        <w:tabs>
          <w:tab w:val="center" w:pos="4419"/>
          <w:tab w:val="right" w:pos="8838"/>
        </w:tabs>
        <w:overflowPunct w:val="0"/>
        <w:autoSpaceDE w:val="0"/>
        <w:autoSpaceDN w:val="0"/>
        <w:adjustRightInd w:val="0"/>
        <w:ind w:left="851" w:right="851"/>
        <w:jc w:val="both"/>
        <w:textAlignment w:val="baseline"/>
        <w:rPr>
          <w:rFonts w:ascii="Century Gothic" w:hAnsi="Century Gothic" w:cs="Arial"/>
          <w:sz w:val="20"/>
          <w:szCs w:val="20"/>
        </w:rPr>
      </w:pPr>
    </w:p>
    <w:p w:rsidR="00C22D21" w:rsidRPr="00E12F92" w:rsidRDefault="00C22D21" w:rsidP="00C22D21">
      <w:pPr>
        <w:tabs>
          <w:tab w:val="center" w:pos="4419"/>
          <w:tab w:val="right" w:pos="8838"/>
        </w:tabs>
        <w:overflowPunct w:val="0"/>
        <w:autoSpaceDE w:val="0"/>
        <w:autoSpaceDN w:val="0"/>
        <w:adjustRightInd w:val="0"/>
        <w:ind w:left="851" w:right="851"/>
        <w:jc w:val="both"/>
        <w:textAlignment w:val="baseline"/>
        <w:rPr>
          <w:rFonts w:ascii="Century Gothic" w:hAnsi="Century Gothic" w:cs="Arial"/>
          <w:sz w:val="20"/>
          <w:szCs w:val="20"/>
        </w:rPr>
      </w:pPr>
      <w:r>
        <w:rPr>
          <w:rFonts w:ascii="Century Gothic" w:hAnsi="Century Gothic" w:cs="Arial"/>
          <w:sz w:val="20"/>
          <w:szCs w:val="20"/>
        </w:rPr>
        <w:t>“…</w:t>
      </w:r>
    </w:p>
    <w:p w:rsidR="00C22D21" w:rsidRPr="00E12F92" w:rsidRDefault="00C22D21" w:rsidP="00C22D21">
      <w:pPr>
        <w:tabs>
          <w:tab w:val="center" w:pos="4419"/>
          <w:tab w:val="right" w:pos="8838"/>
        </w:tabs>
        <w:overflowPunct w:val="0"/>
        <w:autoSpaceDE w:val="0"/>
        <w:autoSpaceDN w:val="0"/>
        <w:adjustRightInd w:val="0"/>
        <w:ind w:left="851" w:right="851"/>
        <w:jc w:val="both"/>
        <w:textAlignment w:val="baseline"/>
        <w:rPr>
          <w:rFonts w:ascii="Century Gothic" w:hAnsi="Century Gothic" w:cs="Arial"/>
          <w:sz w:val="20"/>
          <w:szCs w:val="20"/>
        </w:rPr>
      </w:pPr>
    </w:p>
    <w:p w:rsidR="00C22D21" w:rsidRPr="00E12F92" w:rsidRDefault="00C22D21" w:rsidP="00C22D21">
      <w:pPr>
        <w:tabs>
          <w:tab w:val="center" w:pos="4419"/>
          <w:tab w:val="right" w:pos="8838"/>
        </w:tabs>
        <w:overflowPunct w:val="0"/>
        <w:autoSpaceDE w:val="0"/>
        <w:autoSpaceDN w:val="0"/>
        <w:adjustRightInd w:val="0"/>
        <w:ind w:left="851" w:right="851"/>
        <w:jc w:val="both"/>
        <w:textAlignment w:val="baseline"/>
        <w:rPr>
          <w:rFonts w:ascii="Century Gothic" w:hAnsi="Century Gothic" w:cs="Arial"/>
          <w:sz w:val="20"/>
          <w:szCs w:val="20"/>
        </w:rPr>
      </w:pPr>
      <w:r w:rsidRPr="002B3DF1">
        <w:rPr>
          <w:rFonts w:ascii="Century Gothic" w:hAnsi="Century Gothic" w:cs="Arial"/>
          <w:sz w:val="20"/>
          <w:szCs w:val="20"/>
        </w:rPr>
        <w:t xml:space="preserve">“- </w:t>
      </w:r>
      <w:r w:rsidRPr="00E12F92">
        <w:rPr>
          <w:rFonts w:ascii="Century Gothic" w:hAnsi="Century Gothic" w:cs="Arial"/>
          <w:sz w:val="20"/>
          <w:szCs w:val="20"/>
        </w:rPr>
        <w:t xml:space="preserve">La </w:t>
      </w:r>
      <w:r w:rsidRPr="00E12F92">
        <w:rPr>
          <w:rFonts w:ascii="Century Gothic" w:hAnsi="Century Gothic" w:cs="Arial"/>
          <w:b/>
          <w:sz w:val="20"/>
          <w:szCs w:val="20"/>
        </w:rPr>
        <w:t>tercera hipótesis</w:t>
      </w:r>
      <w:r w:rsidRPr="00E12F92">
        <w:rPr>
          <w:rFonts w:ascii="Century Gothic" w:hAnsi="Century Gothic" w:cs="Arial"/>
          <w:sz w:val="20"/>
          <w:szCs w:val="20"/>
        </w:rPr>
        <w:t xml:space="preserve"> corresponderá a los eventos en los cuales la entidad estatal y el adjudicatario </w:t>
      </w:r>
      <w:r w:rsidRPr="00E12F92">
        <w:rPr>
          <w:rFonts w:ascii="Century Gothic" w:hAnsi="Century Gothic" w:cs="Arial"/>
          <w:b/>
          <w:sz w:val="20"/>
          <w:szCs w:val="20"/>
        </w:rPr>
        <w:t>proceden a</w:t>
      </w:r>
      <w:r w:rsidRPr="00E12F92">
        <w:rPr>
          <w:rFonts w:ascii="Century Gothic" w:hAnsi="Century Gothic" w:cs="Arial"/>
          <w:sz w:val="20"/>
          <w:szCs w:val="20"/>
        </w:rPr>
        <w:t xml:space="preserve"> </w:t>
      </w:r>
      <w:r w:rsidRPr="00E12F92">
        <w:rPr>
          <w:rFonts w:ascii="Century Gothic" w:hAnsi="Century Gothic" w:cs="Arial"/>
          <w:b/>
          <w:sz w:val="20"/>
          <w:szCs w:val="20"/>
        </w:rPr>
        <w:t xml:space="preserve">celebrar el contrato estatal antes de que expire el término de los 30 días siguientes </w:t>
      </w:r>
      <w:r w:rsidRPr="00E12F92">
        <w:rPr>
          <w:rFonts w:ascii="Century Gothic" w:hAnsi="Century Gothic" w:cs="Arial"/>
          <w:sz w:val="20"/>
          <w:szCs w:val="20"/>
        </w:rPr>
        <w:t>a la notificación, comunicación o publicación del acto de adjudicación, según fuere el caso</w:t>
      </w:r>
      <w:r w:rsidRPr="00E12F92">
        <w:rPr>
          <w:rFonts w:ascii="Century Gothic" w:hAnsi="Century Gothic" w:cs="Arial"/>
          <w:b/>
          <w:sz w:val="20"/>
          <w:szCs w:val="20"/>
        </w:rPr>
        <w:t>, sin que para esa fecha el proponente vencido hubiere ejercido la correspondiente acción</w:t>
      </w:r>
      <w:r w:rsidRPr="00E12F92">
        <w:rPr>
          <w:rFonts w:ascii="Century Gothic" w:hAnsi="Century Gothic" w:cs="Arial"/>
          <w:sz w:val="20"/>
          <w:szCs w:val="20"/>
        </w:rPr>
        <w:t xml:space="preserve"> de nulidad y restablecimiento del derecho en contra del acto previo, situación que si bien </w:t>
      </w:r>
      <w:r w:rsidRPr="00E12F92">
        <w:rPr>
          <w:rFonts w:ascii="Century Gothic" w:hAnsi="Century Gothic" w:cs="Arial"/>
          <w:sz w:val="20"/>
          <w:szCs w:val="20"/>
          <w:u w:val="single"/>
        </w:rPr>
        <w:t>determina que el interesado ya no podrá ejercer la mencionada acción de nulidad y restablecimiento del derecho</w:t>
      </w:r>
      <w:r w:rsidRPr="00E12F92">
        <w:rPr>
          <w:rFonts w:ascii="Century Gothic" w:hAnsi="Century Gothic" w:cs="Arial"/>
          <w:sz w:val="20"/>
          <w:szCs w:val="20"/>
        </w:rPr>
        <w:t>, la ley expresamente le dejó abierta la opción para ejercer válidamente la acción contractual, dentro de la cual deberá pretender la nulidad del contrato estatal y la declaratoria de ilegalidad de los actos previos</w:t>
      </w:r>
      <w:r w:rsidRPr="00E12F92">
        <w:rPr>
          <w:rFonts w:ascii="Century Gothic" w:hAnsi="Century Gothic" w:cs="Arial"/>
          <w:sz w:val="20"/>
          <w:szCs w:val="20"/>
          <w:vertAlign w:val="superscript"/>
        </w:rPr>
        <w:footnoteReference w:id="10"/>
      </w:r>
      <w:r w:rsidRPr="00E12F92">
        <w:rPr>
          <w:rFonts w:ascii="Century Gothic" w:hAnsi="Century Gothic" w:cs="Arial"/>
          <w:sz w:val="20"/>
          <w:szCs w:val="20"/>
        </w:rPr>
        <w:t>,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rsidR="00C22D21" w:rsidRPr="00E12F92" w:rsidRDefault="00C22D21" w:rsidP="00C22D21">
      <w:pPr>
        <w:tabs>
          <w:tab w:val="center" w:pos="284"/>
          <w:tab w:val="right" w:pos="8838"/>
        </w:tabs>
        <w:overflowPunct w:val="0"/>
        <w:autoSpaceDE w:val="0"/>
        <w:autoSpaceDN w:val="0"/>
        <w:adjustRightInd w:val="0"/>
        <w:ind w:left="851" w:right="851"/>
        <w:jc w:val="both"/>
        <w:textAlignment w:val="baseline"/>
        <w:rPr>
          <w:rFonts w:ascii="Century Gothic" w:hAnsi="Century Gothic" w:cs="Arial"/>
          <w:sz w:val="20"/>
          <w:szCs w:val="20"/>
        </w:rPr>
      </w:pPr>
    </w:p>
    <w:p w:rsidR="00C22D21" w:rsidRPr="00E12F92" w:rsidRDefault="00C22D21" w:rsidP="00C22D21">
      <w:pPr>
        <w:tabs>
          <w:tab w:val="center" w:pos="284"/>
          <w:tab w:val="right" w:pos="8838"/>
        </w:tabs>
        <w:overflowPunct w:val="0"/>
        <w:autoSpaceDE w:val="0"/>
        <w:autoSpaceDN w:val="0"/>
        <w:adjustRightInd w:val="0"/>
        <w:ind w:left="851" w:right="851"/>
        <w:jc w:val="both"/>
        <w:textAlignment w:val="baseline"/>
        <w:rPr>
          <w:rFonts w:ascii="Century Gothic" w:hAnsi="Century Gothic" w:cs="Arial"/>
          <w:sz w:val="20"/>
          <w:szCs w:val="20"/>
        </w:rPr>
      </w:pPr>
      <w:r>
        <w:rPr>
          <w:rFonts w:ascii="Century Gothic" w:hAnsi="Century Gothic" w:cs="Arial"/>
          <w:sz w:val="20"/>
          <w:szCs w:val="20"/>
        </w:rPr>
        <w:t>“</w:t>
      </w:r>
      <w:r w:rsidRPr="00E12F92">
        <w:rPr>
          <w:rFonts w:ascii="Century Gothic" w:hAnsi="Century Gothic" w:cs="Arial"/>
          <w:sz w:val="20"/>
          <w:szCs w:val="20"/>
        </w:rPr>
        <w:t xml:space="preserve">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w:t>
      </w:r>
      <w:r>
        <w:rPr>
          <w:rFonts w:ascii="Century Gothic" w:hAnsi="Century Gothic" w:cs="Arial"/>
          <w:sz w:val="20"/>
          <w:szCs w:val="20"/>
        </w:rPr>
        <w:t xml:space="preserve">(sic) </w:t>
      </w:r>
      <w:r w:rsidRPr="00E12F92">
        <w:rPr>
          <w:rFonts w:ascii="Century Gothic" w:hAnsi="Century Gothic" w:cs="Arial"/>
          <w:sz w:val="20"/>
          <w:szCs w:val="20"/>
        </w:rPr>
        <w:t>adjudicación del contrato estatal correspondiente</w:t>
      </w:r>
      <w:r w:rsidRPr="00E12F92">
        <w:rPr>
          <w:rFonts w:ascii="Century Gothic" w:hAnsi="Century Gothic" w:cs="Arial"/>
          <w:sz w:val="20"/>
          <w:szCs w:val="20"/>
          <w:vertAlign w:val="superscript"/>
        </w:rPr>
        <w:footnoteReference w:id="11"/>
      </w:r>
      <w:r>
        <w:rPr>
          <w:rFonts w:ascii="Century Gothic" w:hAnsi="Century Gothic" w:cs="Arial"/>
          <w:sz w:val="20"/>
          <w:szCs w:val="20"/>
        </w:rPr>
        <w:t>”</w:t>
      </w:r>
      <w:r>
        <w:rPr>
          <w:rStyle w:val="Refdenotaalpie"/>
          <w:rFonts w:ascii="Century Gothic" w:hAnsi="Century Gothic" w:cs="Arial"/>
          <w:sz w:val="20"/>
          <w:szCs w:val="20"/>
        </w:rPr>
        <w:footnoteReference w:id="12"/>
      </w:r>
      <w:r>
        <w:rPr>
          <w:rFonts w:ascii="Century Gothic" w:hAnsi="Century Gothic" w:cs="Arial"/>
          <w:sz w:val="20"/>
          <w:szCs w:val="20"/>
        </w:rPr>
        <w:t xml:space="preserve"> (negrillas del original, subrayas adicionales). </w:t>
      </w:r>
    </w:p>
    <w:p w:rsidR="00C22D21" w:rsidRDefault="00C22D21" w:rsidP="00C22D21">
      <w:pPr>
        <w:pStyle w:val="Textoindependiente"/>
        <w:rPr>
          <w:rFonts w:ascii="Century Gothic" w:hAnsi="Century Gothic"/>
          <w:sz w:val="22"/>
          <w:szCs w:val="22"/>
        </w:rPr>
      </w:pPr>
    </w:p>
    <w:p w:rsidR="00C22D21" w:rsidRDefault="00C22D21" w:rsidP="00C22D21">
      <w:pPr>
        <w:pStyle w:val="Textoindependiente"/>
        <w:rPr>
          <w:rFonts w:ascii="Century Gothic" w:hAnsi="Century Gothic"/>
          <w:sz w:val="22"/>
          <w:szCs w:val="22"/>
        </w:rPr>
      </w:pPr>
      <w:r>
        <w:rPr>
          <w:rFonts w:ascii="Century Gothic" w:hAnsi="Century Gothic"/>
          <w:sz w:val="22"/>
          <w:szCs w:val="22"/>
        </w:rPr>
        <w:t xml:space="preserve">Es decir, para que la acción de controversias contractuales fuera procedente para demandar los actos previos, era necesario que el contrato se hubiera celebrado antes del vencimiento de los 30 días que se contemplaban para la acción de nulidad y restablecimiento del derecho y era menester que se invocara su nulidad como fundamento de la nulidad absoluta del contrato, ello con el fin de no dejar al administrado sin un medio de defensa, pues la norma dispuso que, celebrado el contrato, la ilegalidad de los actos previos solo podía invocarse como fundamento de la nulidad absoluta del contrato, lo que implicaba que, celebrado éste, fenecía la oportunidad de atacar la ilegalidad de los actos previos mediante la acción de nulidad y restablecimiento del derecho, así no hubieran transcurrido los 30 días. </w:t>
      </w:r>
    </w:p>
    <w:p w:rsidR="00C22D21" w:rsidRDefault="00C22D21" w:rsidP="00C22D21">
      <w:pPr>
        <w:pStyle w:val="Textoindependiente"/>
        <w:rPr>
          <w:rFonts w:ascii="Century Gothic" w:hAnsi="Century Gothic"/>
          <w:sz w:val="22"/>
          <w:szCs w:val="22"/>
        </w:rPr>
      </w:pPr>
    </w:p>
    <w:p w:rsidR="00C22D21" w:rsidRDefault="00C22D21" w:rsidP="00C22D21">
      <w:pPr>
        <w:pStyle w:val="Textoindependiente"/>
        <w:rPr>
          <w:rFonts w:ascii="Century Gothic" w:hAnsi="Century Gothic"/>
          <w:sz w:val="22"/>
          <w:szCs w:val="22"/>
        </w:rPr>
      </w:pPr>
      <w:r>
        <w:rPr>
          <w:rFonts w:ascii="Century Gothic" w:hAnsi="Century Gothic"/>
          <w:sz w:val="22"/>
          <w:szCs w:val="22"/>
        </w:rPr>
        <w:t xml:space="preserve">En consecuencia, en el único evento en el que procedía la acción contractual para atacar los actos previos y obtener el consecuente restablecimiento era cuando se celebraba el contrato antes de los 30 días siguientes a la notificación, comunicación o publicación de los actos y sin que el interesado hubiera ejercido la acción de nulidad y restablecimiento del derecho, situación que difiere de aquélla que se presentaba cuando el interesado dejaba vencer los treinta días sin interponer la acción de nulidad y restablecimiento del derecho, caso en el cual se podía, por medio de la acción contractual, solicitar la nulidad de los actos previos como fundamento de la nulidad absoluta del contrato, pero ya no obtener el restablecimiento del derecho, posibilidades que eran aplicables, se reitera, </w:t>
      </w:r>
      <w:r w:rsidRPr="00036C78">
        <w:rPr>
          <w:rFonts w:ascii="Century Gothic" w:hAnsi="Century Gothic"/>
          <w:sz w:val="22"/>
          <w:szCs w:val="22"/>
          <w:lang w:val="es-CO"/>
        </w:rPr>
        <w:t>a los procesos iniciados a partir del 8 de julio de 1998  y hasta el 2 de julio de 2012</w:t>
      </w:r>
      <w:r>
        <w:rPr>
          <w:rFonts w:ascii="Century Gothic" w:hAnsi="Century Gothic"/>
          <w:sz w:val="22"/>
          <w:szCs w:val="22"/>
          <w:lang w:val="es-CO"/>
        </w:rPr>
        <w:t xml:space="preserve">. </w:t>
      </w:r>
    </w:p>
    <w:p w:rsidR="00C22D21" w:rsidRDefault="00C22D21" w:rsidP="00C22D21">
      <w:pPr>
        <w:pStyle w:val="Textoindependiente"/>
        <w:rPr>
          <w:rFonts w:ascii="Century Gothic" w:hAnsi="Century Gothic"/>
          <w:sz w:val="22"/>
          <w:szCs w:val="22"/>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Sin embargo, frente a los actos de declaratoria de desierta de una licitación, la jurisprudencia enunció que el único término de caducidad era el de 30 días, como quiera que el proceso licitatorio culmina allí y no da origen a un contrato: </w:t>
      </w:r>
    </w:p>
    <w:p w:rsidR="00C22D21" w:rsidRPr="00502818" w:rsidRDefault="00C22D21" w:rsidP="00C22D21">
      <w:pPr>
        <w:ind w:left="851" w:right="851"/>
        <w:jc w:val="both"/>
        <w:rPr>
          <w:rFonts w:ascii="Century Gothic" w:hAnsi="Century Gothic"/>
          <w:b/>
          <w:sz w:val="20"/>
          <w:szCs w:val="20"/>
        </w:rPr>
      </w:pPr>
    </w:p>
    <w:p w:rsidR="00C22D21" w:rsidRPr="00502818" w:rsidRDefault="00C22D21" w:rsidP="00C22D21">
      <w:pPr>
        <w:tabs>
          <w:tab w:val="left" w:pos="0"/>
        </w:tabs>
        <w:ind w:left="851" w:right="851"/>
        <w:jc w:val="both"/>
        <w:rPr>
          <w:rFonts w:ascii="Century Gothic" w:hAnsi="Century Gothic" w:cs="Arial"/>
          <w:sz w:val="20"/>
          <w:szCs w:val="20"/>
        </w:rPr>
      </w:pPr>
      <w:r>
        <w:rPr>
          <w:rFonts w:ascii="Century Gothic" w:hAnsi="Century Gothic" w:cs="Arial"/>
          <w:sz w:val="20"/>
          <w:szCs w:val="20"/>
        </w:rPr>
        <w:t xml:space="preserve">“… </w:t>
      </w:r>
      <w:r w:rsidRPr="008F7E34">
        <w:rPr>
          <w:rFonts w:ascii="Century Gothic" w:hAnsi="Century Gothic" w:cs="Arial"/>
          <w:sz w:val="20"/>
          <w:szCs w:val="20"/>
        </w:rPr>
        <w:t>en los eventos en los cuales se discute la nulidad del acto administrativo que declara desierta la licitación</w:t>
      </w:r>
      <w:r>
        <w:rPr>
          <w:rFonts w:ascii="Century Gothic" w:hAnsi="Century Gothic" w:cs="Arial"/>
          <w:sz w:val="20"/>
          <w:szCs w:val="20"/>
        </w:rPr>
        <w:t xml:space="preserve">… </w:t>
      </w:r>
      <w:r w:rsidRPr="008F7E34">
        <w:rPr>
          <w:rFonts w:ascii="Century Gothic" w:hAnsi="Century Gothic" w:cs="Arial"/>
          <w:sz w:val="20"/>
          <w:szCs w:val="20"/>
        </w:rPr>
        <w:t>el único plazo de caducidad corresponderá al de los treinta días</w:t>
      </w:r>
      <w:r>
        <w:rPr>
          <w:rFonts w:ascii="Century Gothic" w:hAnsi="Century Gothic" w:cs="Arial"/>
          <w:sz w:val="20"/>
          <w:szCs w:val="20"/>
        </w:rPr>
        <w:t xml:space="preserve"> …”</w:t>
      </w:r>
      <w:r>
        <w:rPr>
          <w:rStyle w:val="Refdenotaalpie"/>
          <w:rFonts w:ascii="Century Gothic" w:hAnsi="Century Gothic" w:cs="Arial"/>
          <w:sz w:val="20"/>
          <w:szCs w:val="20"/>
        </w:rPr>
        <w:footnoteReference w:id="13"/>
      </w:r>
      <w:r w:rsidRPr="00502818">
        <w:rPr>
          <w:rFonts w:ascii="Century Gothic" w:hAnsi="Century Gothic" w:cs="Arial"/>
          <w:sz w:val="20"/>
          <w:szCs w:val="20"/>
        </w:rPr>
        <w:t xml:space="preserve">. </w:t>
      </w:r>
    </w:p>
    <w:p w:rsidR="00C22D21" w:rsidRDefault="00C22D21" w:rsidP="00C22D21">
      <w:pPr>
        <w:pStyle w:val="Textoindependiente"/>
        <w:rPr>
          <w:rFonts w:ascii="Century Gothic" w:hAnsi="Century Gothic"/>
          <w:sz w:val="22"/>
          <w:szCs w:val="22"/>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Finalmente, la Ley 1437 de 2011 volvió las cosas al estado anterior y precisó que los actos previos a la celebración del contrato deberían demandarse en los términos de las acciones de nulidad y de nulidad y restablecimiento del derecho, así:  </w:t>
      </w:r>
    </w:p>
    <w:p w:rsidR="00C22D21" w:rsidRDefault="00C22D21" w:rsidP="00C22D21">
      <w:pPr>
        <w:spacing w:line="360" w:lineRule="auto"/>
        <w:ind w:right="17"/>
        <w:jc w:val="both"/>
        <w:rPr>
          <w:rFonts w:ascii="Century Gothic" w:hAnsi="Century Gothic"/>
        </w:rPr>
      </w:pPr>
    </w:p>
    <w:p w:rsidR="00C22D21" w:rsidRPr="007F152B" w:rsidRDefault="00C22D21" w:rsidP="00C22D21">
      <w:pPr>
        <w:ind w:left="851" w:right="851"/>
        <w:jc w:val="both"/>
        <w:rPr>
          <w:rFonts w:ascii="Century Gothic" w:hAnsi="Century Gothic"/>
          <w:sz w:val="20"/>
          <w:szCs w:val="20"/>
        </w:rPr>
      </w:pPr>
      <w:r w:rsidRPr="007F152B">
        <w:rPr>
          <w:rFonts w:ascii="Century Gothic" w:hAnsi="Century Gothic"/>
          <w:sz w:val="20"/>
          <w:szCs w:val="20"/>
        </w:rPr>
        <w:t>“ARTÍCULO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rsidR="00C22D21" w:rsidRPr="007F152B" w:rsidRDefault="00C22D21" w:rsidP="00C22D21">
      <w:pPr>
        <w:ind w:left="851" w:right="851"/>
        <w:jc w:val="both"/>
        <w:rPr>
          <w:rFonts w:ascii="Century Gothic" w:hAnsi="Century Gothic"/>
          <w:sz w:val="20"/>
          <w:szCs w:val="20"/>
        </w:rPr>
      </w:pPr>
    </w:p>
    <w:p w:rsidR="00C22D21" w:rsidRPr="00BE2AED" w:rsidRDefault="00C22D21" w:rsidP="00C22D21">
      <w:pPr>
        <w:ind w:left="851" w:right="851"/>
        <w:jc w:val="both"/>
        <w:rPr>
          <w:rFonts w:ascii="Century Gothic" w:hAnsi="Century Gothic"/>
          <w:b/>
          <w:sz w:val="20"/>
          <w:szCs w:val="20"/>
        </w:rPr>
      </w:pPr>
      <w:r>
        <w:rPr>
          <w:rFonts w:ascii="Century Gothic" w:hAnsi="Century Gothic"/>
          <w:sz w:val="20"/>
          <w:szCs w:val="20"/>
        </w:rPr>
        <w:t>“</w:t>
      </w:r>
      <w:r w:rsidRPr="00BE2AED">
        <w:rPr>
          <w:rFonts w:ascii="Century Gothic" w:hAnsi="Century Gothic"/>
          <w:b/>
          <w:sz w:val="20"/>
          <w:szCs w:val="20"/>
        </w:rPr>
        <w:t>Los actos proferidos antes de la celebración del contrato, con ocasión de la actividad contractual, podrán demandarse en los términos de los artículos 137</w:t>
      </w:r>
      <w:r>
        <w:rPr>
          <w:rStyle w:val="Refdenotaalpie"/>
          <w:rFonts w:ascii="Century Gothic" w:hAnsi="Century Gothic"/>
          <w:b/>
          <w:sz w:val="20"/>
          <w:szCs w:val="20"/>
        </w:rPr>
        <w:footnoteReference w:id="14"/>
      </w:r>
      <w:r w:rsidRPr="00BE2AED">
        <w:rPr>
          <w:rFonts w:ascii="Century Gothic" w:hAnsi="Century Gothic"/>
          <w:b/>
          <w:sz w:val="20"/>
          <w:szCs w:val="20"/>
        </w:rPr>
        <w:t xml:space="preserve"> y 138</w:t>
      </w:r>
      <w:r>
        <w:rPr>
          <w:rStyle w:val="Refdenotaalpie"/>
          <w:rFonts w:ascii="Century Gothic" w:hAnsi="Century Gothic"/>
          <w:b/>
          <w:sz w:val="20"/>
          <w:szCs w:val="20"/>
        </w:rPr>
        <w:footnoteReference w:id="15"/>
      </w:r>
      <w:r w:rsidRPr="00BE2AED">
        <w:rPr>
          <w:rFonts w:ascii="Century Gothic" w:hAnsi="Century Gothic"/>
          <w:b/>
          <w:sz w:val="20"/>
          <w:szCs w:val="20"/>
        </w:rPr>
        <w:t xml:space="preserve"> de este Código, según el caso.</w:t>
      </w:r>
    </w:p>
    <w:p w:rsidR="00C22D21" w:rsidRPr="007F152B" w:rsidRDefault="00C22D21" w:rsidP="00C22D21">
      <w:pPr>
        <w:ind w:left="851" w:right="851"/>
        <w:jc w:val="both"/>
        <w:rPr>
          <w:rFonts w:ascii="Century Gothic" w:hAnsi="Century Gothic"/>
          <w:sz w:val="20"/>
          <w:szCs w:val="20"/>
        </w:rPr>
      </w:pPr>
    </w:p>
    <w:p w:rsidR="00C22D21" w:rsidRPr="007F152B" w:rsidRDefault="00C22D21" w:rsidP="00C22D21">
      <w:pPr>
        <w:ind w:left="851" w:right="851"/>
        <w:jc w:val="both"/>
        <w:rPr>
          <w:rFonts w:ascii="Century Gothic" w:hAnsi="Century Gothic"/>
          <w:sz w:val="20"/>
          <w:szCs w:val="20"/>
        </w:rPr>
      </w:pPr>
      <w:r w:rsidRPr="007F152B">
        <w:rPr>
          <w:rFonts w:ascii="Century Gothic" w:hAnsi="Century Gothic"/>
          <w:sz w:val="20"/>
          <w:szCs w:val="20"/>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bookmarkStart w:id="1" w:name="_Hlk25315864"/>
      <w:r>
        <w:rPr>
          <w:rFonts w:ascii="Century Gothic" w:hAnsi="Century Gothic"/>
        </w:rPr>
        <w:t xml:space="preserve">Ahora, es importante tener en cuenta que si bien la acción contractual procede para pedir la nulidad absoluta del contrato y la Ley 80 de 1993 previó en el artículo 44 como causal de nulidad absoluta del contrato, entre otras que “se declaren nulos los actos administrativos en que se fundamenten”, lo cierto es que esa nulidad consecuencial -la nulidad del contrato como consecuencia de la nulidad de los actos previos- no da vía libre para que se cambie la acción procedente frente a los actos previos, caso en el cual se deberá ejercer la acción de nulidad y restablecimiento del derecho en la oportunidad debida. </w:t>
      </w:r>
    </w:p>
    <w:bookmarkEnd w:id="1"/>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b/>
        </w:rPr>
      </w:pPr>
      <w:r w:rsidRPr="00A46DB1">
        <w:rPr>
          <w:rFonts w:ascii="Century Gothic" w:hAnsi="Century Gothic"/>
          <w:b/>
        </w:rPr>
        <w:t>2.3.- El ca</w:t>
      </w:r>
      <w:r>
        <w:rPr>
          <w:rFonts w:ascii="Century Gothic" w:hAnsi="Century Gothic"/>
          <w:b/>
        </w:rPr>
        <w:t>s</w:t>
      </w:r>
      <w:r w:rsidRPr="00A46DB1">
        <w:rPr>
          <w:rFonts w:ascii="Century Gothic" w:hAnsi="Century Gothic"/>
          <w:b/>
        </w:rPr>
        <w:t>o concreto.-</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Aplicadas las anteriores consideraciones al caso concreto, se encuentra que el acto que se demanda, mediante </w:t>
      </w:r>
      <w:r w:rsidR="00CE7E14">
        <w:rPr>
          <w:rFonts w:ascii="Century Gothic" w:hAnsi="Century Gothic"/>
        </w:rPr>
        <w:t>el cual</w:t>
      </w:r>
      <w:r>
        <w:rPr>
          <w:rFonts w:ascii="Century Gothic" w:hAnsi="Century Gothic"/>
        </w:rPr>
        <w:t xml:space="preserve"> se hace la declaratoria de desierta de una licitación pública, es un acto precontractual. </w:t>
      </w:r>
    </w:p>
    <w:p w:rsidR="00C22D21" w:rsidRPr="00A46DB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Ahora, es necesario determinar la época de ocurrencia de los hechos para establecer la norma aplicable al caso concreto.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En el sub júdice, la parte actora solicitó, por medio de la acción contractual, la nulidad del acto que declaró desierta la licitación para “contratar el suministro, instalación y puesta en marcha de una solución soportada en un sistema de información computarizados, para automatizar los procesos del área financiera”, resolución que se profirió 13 de mayo de 1997 y que fue notificada al actor el 26 de junio siguiente, esto es, en vigencia del Decreto 2304 de 1989. </w:t>
      </w:r>
    </w:p>
    <w:p w:rsidR="00C22D21" w:rsidRDefault="00C22D21" w:rsidP="00C22D21">
      <w:pPr>
        <w:spacing w:line="360" w:lineRule="auto"/>
        <w:ind w:right="17"/>
        <w:jc w:val="both"/>
        <w:rPr>
          <w:rFonts w:ascii="Century Gothic" w:hAnsi="Century Gothic"/>
        </w:rPr>
      </w:pPr>
    </w:p>
    <w:p w:rsidR="00C22D21" w:rsidRPr="0002362A" w:rsidRDefault="00C22D21" w:rsidP="00C22D21">
      <w:pPr>
        <w:spacing w:line="360" w:lineRule="auto"/>
        <w:ind w:right="17"/>
        <w:jc w:val="both"/>
        <w:rPr>
          <w:rFonts w:ascii="Century Gothic" w:hAnsi="Century Gothic"/>
        </w:rPr>
      </w:pPr>
      <w:r>
        <w:rPr>
          <w:rFonts w:ascii="Century Gothic" w:hAnsi="Century Gothic"/>
        </w:rPr>
        <w:t>En consecuencia, la acción procedente para atacar la ilegalidad de ese acto era la de nulidad y restablecimiento del derecho, que debió intentarse en el término de caducidad de cuatro meses consagrado en el artículo 136 (numeral 2)</w:t>
      </w:r>
      <w:r>
        <w:rPr>
          <w:rStyle w:val="Refdenotaalpie"/>
          <w:rFonts w:ascii="Century Gothic" w:hAnsi="Century Gothic"/>
        </w:rPr>
        <w:footnoteReference w:id="16"/>
      </w:r>
      <w:r>
        <w:rPr>
          <w:rFonts w:ascii="Century Gothic" w:hAnsi="Century Gothic"/>
        </w:rPr>
        <w:t xml:space="preserve"> del Código Contencioso Administrativo, teniendo en cuenta que, si bien conforme al artículo 40 de la Ley 153 de 1887 “</w:t>
      </w:r>
      <w:r w:rsidRPr="00ED0D08">
        <w:rPr>
          <w:rFonts w:ascii="Century Gothic" w:hAnsi="Century Gothic"/>
          <w:lang w:val="es-ES_tradnl"/>
        </w:rPr>
        <w:t xml:space="preserve">Las leyes concernientes </w:t>
      </w:r>
      <w:r>
        <w:rPr>
          <w:rFonts w:ascii="Century Gothic" w:hAnsi="Century Gothic"/>
          <w:lang w:val="es-ES_tradnl"/>
        </w:rPr>
        <w:t>a</w:t>
      </w:r>
      <w:r w:rsidRPr="00ED0D08">
        <w:rPr>
          <w:rFonts w:ascii="Century Gothic" w:hAnsi="Century Gothic"/>
          <w:lang w:val="es-ES_tradnl"/>
        </w:rPr>
        <w:t xml:space="preserve"> la sustanciación y ritualidad de los juicios prevalecen sobre las anteriores desde el momento en que deben empezar </w:t>
      </w:r>
      <w:r>
        <w:rPr>
          <w:rFonts w:ascii="Century Gothic" w:hAnsi="Century Gothic"/>
          <w:lang w:val="es-ES_tradnl"/>
        </w:rPr>
        <w:t>a</w:t>
      </w:r>
      <w:r w:rsidRPr="00ED0D08">
        <w:rPr>
          <w:rFonts w:ascii="Century Gothic" w:hAnsi="Century Gothic"/>
          <w:lang w:val="es-ES_tradnl"/>
        </w:rPr>
        <w:t xml:space="preserve"> regir</w:t>
      </w:r>
      <w:r>
        <w:rPr>
          <w:rFonts w:ascii="Century Gothic" w:hAnsi="Century Gothic"/>
          <w:lang w:val="es-ES_tradnl"/>
        </w:rPr>
        <w:t>…”, según esta misma norma “…</w:t>
      </w:r>
      <w:r w:rsidRPr="00ED0D08">
        <w:rPr>
          <w:rFonts w:ascii="Century Gothic" w:hAnsi="Century Gothic"/>
          <w:lang w:val="es-ES_tradnl"/>
        </w:rPr>
        <w:t xml:space="preserve">los términos que hubieren empezado </w:t>
      </w:r>
      <w:r>
        <w:rPr>
          <w:rFonts w:ascii="Century Gothic" w:hAnsi="Century Gothic"/>
          <w:lang w:val="es-ES_tradnl"/>
        </w:rPr>
        <w:t>a</w:t>
      </w:r>
      <w:r w:rsidRPr="00ED0D08">
        <w:rPr>
          <w:rFonts w:ascii="Century Gothic" w:hAnsi="Century Gothic"/>
          <w:lang w:val="es-ES_tradnl"/>
        </w:rPr>
        <w:t xml:space="preserve"> correr</w:t>
      </w:r>
      <w:r>
        <w:rPr>
          <w:rFonts w:ascii="Century Gothic" w:hAnsi="Century Gothic"/>
          <w:lang w:val="es-ES_tradnl"/>
        </w:rPr>
        <w:t xml:space="preserve"> …</w:t>
      </w:r>
      <w:r w:rsidRPr="00ED0D08">
        <w:rPr>
          <w:rFonts w:ascii="Century Gothic" w:hAnsi="Century Gothic"/>
          <w:lang w:val="es-ES_tradnl"/>
        </w:rPr>
        <w:t xml:space="preserve"> se regirán por la ley vig</w:t>
      </w:r>
      <w:r>
        <w:rPr>
          <w:rFonts w:ascii="Century Gothic" w:hAnsi="Century Gothic"/>
          <w:lang w:val="es-ES_tradnl"/>
        </w:rPr>
        <w:t>ente al tiempo de su iniciación”</w:t>
      </w:r>
      <w:r>
        <w:rPr>
          <w:rFonts w:ascii="Century Gothic" w:hAnsi="Century Gothic"/>
        </w:rPr>
        <w:t>.</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Ahora, si bien el actor adujo que procedía la acción contractual, porque se solicitaba la nulidad absoluta del contrato que se celebró por contratación directa, no se debe perder de vista que ello se pidió con fundamento en la nulidad del acto que declaró desierta la licitación, respecto de lo cual se debe reiterar que tal posibilidad solo surgió con la entrada en vigencia de la Ley 446 de 1998, lo que ocurrió el 7 de julio de ese año, es decir, que ni siquiera para la fecha en la que se interpuso la demanda (14 de mayo de 1998) esa norma había sido promulgada, por lo que no es aplicable al presente asunto, pues no debe olvidarse que la ley rige para el futuro, no de manera retroactiva.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En consecuencia, el actor tenía hasta el 26 de octubre de 1997 para solicitar la nulidad del acto que declaró desierta la licitación pública en que tenía interés, pero, como la demanda se presentó el 14 de mayo de 1998, es claro que la acción ya había caducado.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Es pertinente aclarar que no es correcta la fecha que se tomó en la sentencia de primera instancia para hacer el conteo de la caducidad de la acción, toda vez que, para la fecha en la que el actor solicitó la aclaración del acto demandado (28 de agosto de 1997), ya se encontraban vencidos los términos para recurrirlo, en relación con lo cual cabe recordar que uno de los propósitos de los recursos es, precisamente, que se aclare el acto recurrido (artículo 50 C.C.A.).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De otra parte, si bien es cierto que el actor solicitó la nulidad absoluta del contrato, lo que bien podía intentar mediante la acción contractual</w:t>
      </w:r>
      <w:r>
        <w:rPr>
          <w:rStyle w:val="Refdenotaalpie"/>
          <w:rFonts w:ascii="Century Gothic" w:hAnsi="Century Gothic"/>
        </w:rPr>
        <w:footnoteReference w:id="17"/>
      </w:r>
      <w:r>
        <w:rPr>
          <w:rFonts w:ascii="Century Gothic" w:hAnsi="Century Gothic"/>
        </w:rPr>
        <w:t xml:space="preserve">, la parte actora lo pidió como una consecuencia de la nulidad del acto que declaró desierta la licitación pública, cosa que, como ya se dijo, no es posible estudiar por haberse configurado la caducidad de la acción.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 xml:space="preserve">Finalmente, como pretensión subsidiaria se solicitó que se declarara la mala fe en la etapa previa a la celebración del contrato. </w:t>
      </w:r>
    </w:p>
    <w:p w:rsidR="00C22D21" w:rsidRDefault="00C22D21" w:rsidP="00C22D21">
      <w:pPr>
        <w:spacing w:line="360" w:lineRule="auto"/>
        <w:ind w:right="17"/>
        <w:jc w:val="both"/>
        <w:rPr>
          <w:rFonts w:ascii="Century Gothic" w:hAnsi="Century Gothic"/>
        </w:rPr>
      </w:pPr>
      <w:r>
        <w:rPr>
          <w:rFonts w:ascii="Century Gothic" w:hAnsi="Century Gothic"/>
        </w:rPr>
        <w:t>En efecto, el actor afirmó que se incurrió en mala fe en la etapa precontractual, lo que “codujo a la entidad demandada a abstenerse de celebrar el contrato”, es decir, a la declaratoria de desierta de la licitación.</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En consecuencia, lo que busca atacar el demandante con la pretensión subsidiaria son las irregularidades en las que se incurrió durante el desarrollo del trámite licitatorio; sin embargo, debe advertirse que esa etapa culminó con un acto administrativo y, por lo tanto, para enjuiciar las irregularidades de las actuaciones surtidas antes de que se declarara desierta la licitación era necesario que se demandara ese acto, esto es, el que declaró desierta la licitación y no otro, pues la actuaciones que le dan impulso al trámite licitatorio, lo mismo que los actos que cumplen esa función, no son enjuiciables autónomamente</w:t>
      </w:r>
      <w:r>
        <w:rPr>
          <w:rStyle w:val="Refdenotaalpie"/>
          <w:rFonts w:ascii="Century Gothic" w:hAnsi="Century Gothic"/>
        </w:rPr>
        <w:footnoteReference w:id="18"/>
      </w:r>
      <w:r>
        <w:rPr>
          <w:rFonts w:ascii="Century Gothic" w:hAnsi="Century Gothic"/>
        </w:rPr>
        <w:t xml:space="preserve">, ya que en ellos no se toma ninguna decisión susceptible de ser enjuiciada, de suerte que entender que allí hay una pretensión encaminada a que se anule un acto administrativo a lo que puede llevar es a concluir que tal pretensión sería inepta. </w:t>
      </w:r>
    </w:p>
    <w:p w:rsidR="00C22D21" w:rsidRDefault="00C22D21" w:rsidP="00C22D21">
      <w:pPr>
        <w:spacing w:line="360" w:lineRule="auto"/>
        <w:ind w:right="17"/>
        <w:jc w:val="both"/>
        <w:rPr>
          <w:rFonts w:ascii="Century Gothic" w:hAnsi="Century Gothic"/>
        </w:rPr>
      </w:pPr>
    </w:p>
    <w:p w:rsidR="00C22D21" w:rsidRDefault="00C22D21" w:rsidP="00C22D21">
      <w:pPr>
        <w:spacing w:line="360" w:lineRule="auto"/>
        <w:ind w:right="17"/>
        <w:jc w:val="both"/>
        <w:rPr>
          <w:rFonts w:ascii="Century Gothic" w:hAnsi="Century Gothic"/>
        </w:rPr>
      </w:pPr>
      <w:r>
        <w:rPr>
          <w:rFonts w:ascii="Century Gothic" w:hAnsi="Century Gothic"/>
        </w:rPr>
        <w:t>De otra parte, si se interpreta que el actor alegó la mala fe como un vicio del acto administrativo que tomó la decisión de no continuar con el procedimiento de contratación, pues en la demanda se indicó “que la mala fe desplegada en la etapa precontractual condujo a la entidad demandada a abstenerse de celebrar el contrato … con Arango Software de Colombia S.A. proponente mejor calificado, y a declarar desierta la licitación”</w:t>
      </w:r>
      <w:r>
        <w:rPr>
          <w:rStyle w:val="Refdenotaalpie"/>
          <w:rFonts w:ascii="Century Gothic" w:hAnsi="Century Gothic"/>
        </w:rPr>
        <w:footnoteReference w:id="19"/>
      </w:r>
      <w:r>
        <w:rPr>
          <w:rFonts w:ascii="Century Gothic" w:hAnsi="Century Gothic"/>
        </w:rPr>
        <w:t xml:space="preserve">, debe ponerse de presente que eso debió hacerse dentro del término de caducidad de la acción de nulidad y restablecimiento del derecho, lo cual, como ya se explicó anteriormente, resultó extemporánea. </w:t>
      </w:r>
    </w:p>
    <w:p w:rsidR="00C22D21" w:rsidRDefault="00C22D21" w:rsidP="00C22D21">
      <w:pPr>
        <w:spacing w:line="360" w:lineRule="auto"/>
        <w:ind w:right="17"/>
        <w:jc w:val="both"/>
        <w:rPr>
          <w:rFonts w:ascii="Century Gothic" w:hAnsi="Century Gothic"/>
        </w:rPr>
      </w:pPr>
    </w:p>
    <w:p w:rsidR="00C22D21" w:rsidRPr="00FF277A" w:rsidRDefault="00C22D21" w:rsidP="00C22D21">
      <w:pPr>
        <w:spacing w:line="360" w:lineRule="auto"/>
        <w:ind w:right="17"/>
        <w:jc w:val="both"/>
        <w:rPr>
          <w:rFonts w:ascii="Century Gothic" w:hAnsi="Century Gothic"/>
        </w:rPr>
      </w:pPr>
      <w:r>
        <w:rPr>
          <w:rFonts w:ascii="Century Gothic" w:hAnsi="Century Gothic"/>
        </w:rPr>
        <w:t xml:space="preserve">En consecuencia, se confirmará la sentencia apelada. </w:t>
      </w:r>
    </w:p>
    <w:p w:rsidR="00C22D21" w:rsidRDefault="00C22D21" w:rsidP="00C22D21">
      <w:pPr>
        <w:spacing w:line="360" w:lineRule="auto"/>
        <w:ind w:right="17"/>
        <w:jc w:val="both"/>
        <w:rPr>
          <w:rFonts w:ascii="Century Gothic" w:hAnsi="Century Gothic"/>
          <w:b/>
        </w:rPr>
      </w:pPr>
    </w:p>
    <w:p w:rsidR="00C22D21" w:rsidRPr="00B73F3B" w:rsidRDefault="00C22D21" w:rsidP="00C22D21">
      <w:pPr>
        <w:spacing w:line="360" w:lineRule="auto"/>
        <w:jc w:val="both"/>
        <w:rPr>
          <w:rFonts w:ascii="Century Gothic" w:hAnsi="Century Gothic"/>
          <w:b/>
        </w:rPr>
      </w:pPr>
      <w:r w:rsidRPr="00B73F3B">
        <w:rPr>
          <w:rFonts w:ascii="Century Gothic" w:hAnsi="Century Gothic"/>
          <w:b/>
        </w:rPr>
        <w:t>3.- Condena en costas.-</w:t>
      </w:r>
    </w:p>
    <w:p w:rsidR="00C22D21" w:rsidRDefault="00C22D21" w:rsidP="00C22D21">
      <w:pPr>
        <w:spacing w:line="360" w:lineRule="auto"/>
        <w:jc w:val="both"/>
        <w:rPr>
          <w:rFonts w:ascii="Century Gothic" w:hAnsi="Century Gothic"/>
        </w:rPr>
      </w:pPr>
    </w:p>
    <w:p w:rsidR="00C22D21" w:rsidRPr="008A59B7" w:rsidRDefault="00C22D21" w:rsidP="00C22D21">
      <w:pPr>
        <w:spacing w:line="360" w:lineRule="auto"/>
        <w:jc w:val="both"/>
        <w:rPr>
          <w:rFonts w:ascii="Century Gothic" w:hAnsi="Century Gothic"/>
          <w:bCs/>
        </w:rPr>
      </w:pPr>
      <w:r w:rsidRPr="008A59B7">
        <w:rPr>
          <w:rFonts w:ascii="Century Gothic" w:hAnsi="Century Gothic"/>
        </w:rPr>
        <w:t>N</w:t>
      </w:r>
      <w:r w:rsidRPr="008A59B7">
        <w:rPr>
          <w:rFonts w:ascii="Century Gothic" w:hAnsi="Century Gothic"/>
          <w:bCs/>
        </w:rPr>
        <w:t>o se impondrá condena en costas, porque la conducta de las partes no se enmarca dentro de las previsiones contempladas por el artículo 55 de la Ley 446 de 1998.</w:t>
      </w:r>
    </w:p>
    <w:p w:rsidR="00C22D21" w:rsidRDefault="00C22D21" w:rsidP="00C22D21">
      <w:pPr>
        <w:spacing w:line="360" w:lineRule="auto"/>
        <w:ind w:right="17"/>
        <w:jc w:val="both"/>
        <w:rPr>
          <w:rFonts w:ascii="Century Gothic" w:hAnsi="Century Gothic"/>
          <w:b/>
        </w:rPr>
      </w:pPr>
    </w:p>
    <w:p w:rsidR="00C22D21" w:rsidRPr="001C0FBC" w:rsidRDefault="00C22D21" w:rsidP="00C22D21">
      <w:pPr>
        <w:widowControl w:val="0"/>
        <w:autoSpaceDE w:val="0"/>
        <w:autoSpaceDN w:val="0"/>
        <w:adjustRightInd w:val="0"/>
        <w:spacing w:line="360" w:lineRule="auto"/>
        <w:jc w:val="both"/>
        <w:rPr>
          <w:rFonts w:ascii="Century Gothic" w:hAnsi="Century Gothic"/>
        </w:rPr>
      </w:pPr>
      <w:r w:rsidRPr="001C0FBC">
        <w:rPr>
          <w:rFonts w:ascii="Century Gothic" w:hAnsi="Century Gothic"/>
        </w:rPr>
        <w:t>En mérito de lo expuesto, el Consejo de Estado, Sala de lo Contencioso Administrativo, Sección Tercera, Subsección “A”, administrando justicia en nombre de la República y por autoridad de la ley,</w:t>
      </w:r>
      <w:r>
        <w:rPr>
          <w:rFonts w:ascii="Century Gothic" w:hAnsi="Century Gothic"/>
        </w:rPr>
        <w:t xml:space="preserve"> </w:t>
      </w:r>
    </w:p>
    <w:p w:rsidR="00C22D21" w:rsidRDefault="00C22D21" w:rsidP="00C22D21">
      <w:pPr>
        <w:widowControl w:val="0"/>
        <w:autoSpaceDE w:val="0"/>
        <w:autoSpaceDN w:val="0"/>
        <w:adjustRightInd w:val="0"/>
        <w:spacing w:line="360" w:lineRule="auto"/>
        <w:jc w:val="center"/>
        <w:rPr>
          <w:rFonts w:ascii="Century Gothic" w:hAnsi="Century Gothic"/>
          <w:b/>
        </w:rPr>
      </w:pPr>
    </w:p>
    <w:p w:rsidR="00C22D21" w:rsidRPr="001C0FBC" w:rsidRDefault="00C22D21" w:rsidP="00C22D21">
      <w:pPr>
        <w:widowControl w:val="0"/>
        <w:autoSpaceDE w:val="0"/>
        <w:autoSpaceDN w:val="0"/>
        <w:adjustRightInd w:val="0"/>
        <w:spacing w:line="360" w:lineRule="auto"/>
        <w:jc w:val="center"/>
        <w:rPr>
          <w:rFonts w:ascii="Century Gothic" w:hAnsi="Century Gothic"/>
          <w:b/>
        </w:rPr>
      </w:pPr>
      <w:r w:rsidRPr="001C0FBC">
        <w:rPr>
          <w:rFonts w:ascii="Century Gothic" w:hAnsi="Century Gothic"/>
          <w:b/>
        </w:rPr>
        <w:t>F A L L A:</w:t>
      </w:r>
    </w:p>
    <w:p w:rsidR="00C22D21" w:rsidRDefault="00C22D21" w:rsidP="00C22D21">
      <w:pPr>
        <w:widowControl w:val="0"/>
        <w:autoSpaceDE w:val="0"/>
        <w:autoSpaceDN w:val="0"/>
        <w:adjustRightInd w:val="0"/>
        <w:spacing w:line="360" w:lineRule="auto"/>
        <w:rPr>
          <w:rFonts w:ascii="Century Gothic" w:hAnsi="Century Gothic"/>
        </w:rPr>
      </w:pPr>
    </w:p>
    <w:p w:rsidR="00C22D21" w:rsidRDefault="00C22D21" w:rsidP="00C22D21">
      <w:pPr>
        <w:widowControl w:val="0"/>
        <w:autoSpaceDE w:val="0"/>
        <w:autoSpaceDN w:val="0"/>
        <w:adjustRightInd w:val="0"/>
        <w:spacing w:line="360" w:lineRule="auto"/>
        <w:jc w:val="both"/>
        <w:rPr>
          <w:rFonts w:ascii="Century Gothic" w:hAnsi="Century Gothic"/>
        </w:rPr>
      </w:pPr>
      <w:r>
        <w:rPr>
          <w:rFonts w:ascii="Century Gothic" w:hAnsi="Century Gothic"/>
          <w:b/>
        </w:rPr>
        <w:t xml:space="preserve">Primero: Confírmase </w:t>
      </w:r>
      <w:r>
        <w:rPr>
          <w:rFonts w:ascii="Century Gothic" w:hAnsi="Century Gothic"/>
        </w:rPr>
        <w:t xml:space="preserve"> la </w:t>
      </w:r>
      <w:r w:rsidRPr="001C0FBC">
        <w:rPr>
          <w:rFonts w:ascii="Century Gothic" w:hAnsi="Century Gothic"/>
        </w:rPr>
        <w:t xml:space="preserve">sentencia </w:t>
      </w:r>
      <w:r>
        <w:rPr>
          <w:rFonts w:ascii="Century Gothic" w:hAnsi="Century Gothic"/>
        </w:rPr>
        <w:t xml:space="preserve">apelada del 5 </w:t>
      </w:r>
      <w:r w:rsidRPr="001C0FBC">
        <w:rPr>
          <w:rFonts w:ascii="Century Gothic" w:hAnsi="Century Gothic"/>
        </w:rPr>
        <w:t xml:space="preserve">de </w:t>
      </w:r>
      <w:r>
        <w:rPr>
          <w:rFonts w:ascii="Century Gothic" w:hAnsi="Century Gothic"/>
        </w:rPr>
        <w:t>febrero d</w:t>
      </w:r>
      <w:r w:rsidRPr="001C0FBC">
        <w:rPr>
          <w:rFonts w:ascii="Century Gothic" w:hAnsi="Century Gothic"/>
        </w:rPr>
        <w:t>e 200</w:t>
      </w:r>
      <w:r>
        <w:rPr>
          <w:rFonts w:ascii="Century Gothic" w:hAnsi="Century Gothic"/>
        </w:rPr>
        <w:t xml:space="preserve">9, proferida </w:t>
      </w:r>
      <w:r w:rsidRPr="001C0FBC">
        <w:rPr>
          <w:rFonts w:ascii="Century Gothic" w:hAnsi="Century Gothic"/>
        </w:rPr>
        <w:t xml:space="preserve">por </w:t>
      </w:r>
      <w:r>
        <w:rPr>
          <w:rFonts w:ascii="Century Gothic" w:hAnsi="Century Gothic"/>
        </w:rPr>
        <w:t xml:space="preserve">el Tribunal Administrativo de Cundinamarca. </w:t>
      </w:r>
    </w:p>
    <w:p w:rsidR="00C22D21" w:rsidRDefault="00C22D21" w:rsidP="00C22D21">
      <w:pPr>
        <w:widowControl w:val="0"/>
        <w:autoSpaceDE w:val="0"/>
        <w:autoSpaceDN w:val="0"/>
        <w:adjustRightInd w:val="0"/>
        <w:spacing w:line="360" w:lineRule="auto"/>
        <w:ind w:right="130"/>
        <w:jc w:val="both"/>
        <w:rPr>
          <w:rFonts w:ascii="Century Gothic" w:hAnsi="Century Gothic"/>
          <w:b/>
        </w:rPr>
      </w:pPr>
    </w:p>
    <w:p w:rsidR="00C22D21" w:rsidRPr="001C0FBC" w:rsidRDefault="00C22D21" w:rsidP="00C22D21">
      <w:pPr>
        <w:widowControl w:val="0"/>
        <w:autoSpaceDE w:val="0"/>
        <w:autoSpaceDN w:val="0"/>
        <w:adjustRightInd w:val="0"/>
        <w:spacing w:line="360" w:lineRule="auto"/>
        <w:ind w:right="130"/>
        <w:jc w:val="both"/>
        <w:rPr>
          <w:rFonts w:ascii="Century Gothic" w:hAnsi="Century Gothic"/>
        </w:rPr>
      </w:pPr>
      <w:r>
        <w:rPr>
          <w:rFonts w:ascii="Century Gothic" w:hAnsi="Century Gothic"/>
          <w:b/>
        </w:rPr>
        <w:t>Segundo:</w:t>
      </w:r>
      <w:r w:rsidRPr="001C0FBC">
        <w:rPr>
          <w:rFonts w:ascii="Century Gothic" w:hAnsi="Century Gothic"/>
        </w:rPr>
        <w:t xml:space="preserve"> Sin condena en costas.</w:t>
      </w:r>
    </w:p>
    <w:p w:rsidR="00C22D21" w:rsidRDefault="00C22D21" w:rsidP="00C22D21">
      <w:pPr>
        <w:widowControl w:val="0"/>
        <w:autoSpaceDE w:val="0"/>
        <w:autoSpaceDN w:val="0"/>
        <w:adjustRightInd w:val="0"/>
        <w:spacing w:line="360" w:lineRule="auto"/>
        <w:ind w:right="130"/>
        <w:jc w:val="both"/>
        <w:rPr>
          <w:rFonts w:ascii="Century Gothic" w:hAnsi="Century Gothic"/>
        </w:rPr>
      </w:pPr>
    </w:p>
    <w:p w:rsidR="00C22D21" w:rsidRPr="001C0FBC" w:rsidRDefault="00C22D21" w:rsidP="00C22D21">
      <w:pPr>
        <w:pStyle w:val="Textoindependiente"/>
        <w:rPr>
          <w:rFonts w:ascii="Century Gothic" w:hAnsi="Century Gothic"/>
          <w:sz w:val="22"/>
          <w:szCs w:val="22"/>
          <w:lang w:val="es-CO"/>
        </w:rPr>
      </w:pPr>
      <w:r>
        <w:rPr>
          <w:rFonts w:ascii="Century Gothic" w:hAnsi="Century Gothic"/>
          <w:b/>
          <w:sz w:val="22"/>
          <w:szCs w:val="22"/>
          <w:lang w:val="es-CO"/>
        </w:rPr>
        <w:t xml:space="preserve">Tercero: </w:t>
      </w:r>
      <w:r w:rsidRPr="001C0FBC">
        <w:rPr>
          <w:rFonts w:ascii="Century Gothic" w:hAnsi="Century Gothic"/>
          <w:sz w:val="22"/>
          <w:szCs w:val="22"/>
          <w:lang w:val="es-CO"/>
        </w:rPr>
        <w:t xml:space="preserve">En firme esta providencia, </w:t>
      </w:r>
      <w:r w:rsidRPr="00773BB9">
        <w:rPr>
          <w:rFonts w:ascii="Century Gothic" w:hAnsi="Century Gothic"/>
          <w:b/>
          <w:sz w:val="22"/>
          <w:szCs w:val="22"/>
          <w:lang w:val="es-CO"/>
        </w:rPr>
        <w:t>devuélvase</w:t>
      </w:r>
      <w:r w:rsidRPr="001C0FBC">
        <w:rPr>
          <w:rFonts w:ascii="Century Gothic" w:hAnsi="Century Gothic"/>
          <w:sz w:val="22"/>
          <w:szCs w:val="22"/>
          <w:lang w:val="es-CO"/>
        </w:rPr>
        <w:t xml:space="preserve"> el expediente al Tribunal de origen.</w:t>
      </w:r>
    </w:p>
    <w:p w:rsidR="00C22D21" w:rsidRDefault="00C22D21" w:rsidP="00C22D21">
      <w:pPr>
        <w:widowControl w:val="0"/>
        <w:autoSpaceDE w:val="0"/>
        <w:autoSpaceDN w:val="0"/>
        <w:adjustRightInd w:val="0"/>
        <w:ind w:firstLine="567"/>
        <w:jc w:val="center"/>
        <w:rPr>
          <w:rFonts w:ascii="Century Gothic" w:hAnsi="Century Gothic"/>
          <w:b/>
        </w:rPr>
      </w:pPr>
    </w:p>
    <w:p w:rsidR="00C22D21" w:rsidRDefault="00C22D21" w:rsidP="00C22D21">
      <w:pPr>
        <w:widowControl w:val="0"/>
        <w:autoSpaceDE w:val="0"/>
        <w:autoSpaceDN w:val="0"/>
        <w:adjustRightInd w:val="0"/>
        <w:ind w:firstLine="567"/>
        <w:jc w:val="center"/>
        <w:rPr>
          <w:rFonts w:ascii="Century Gothic" w:hAnsi="Century Gothic"/>
          <w:b/>
        </w:rPr>
      </w:pPr>
    </w:p>
    <w:p w:rsidR="00C22D21" w:rsidRPr="001C0FBC" w:rsidRDefault="00C22D21" w:rsidP="00C22D21">
      <w:pPr>
        <w:widowControl w:val="0"/>
        <w:autoSpaceDE w:val="0"/>
        <w:autoSpaceDN w:val="0"/>
        <w:adjustRightInd w:val="0"/>
        <w:ind w:firstLine="567"/>
        <w:jc w:val="center"/>
        <w:rPr>
          <w:rFonts w:ascii="Century Gothic" w:hAnsi="Century Gothic"/>
          <w:b/>
        </w:rPr>
      </w:pPr>
      <w:r w:rsidRPr="001C0FBC">
        <w:rPr>
          <w:rFonts w:ascii="Century Gothic" w:hAnsi="Century Gothic"/>
          <w:b/>
        </w:rPr>
        <w:t>CÓPIESE, NOTIFÍQUESE Y CÚMPLASE</w:t>
      </w:r>
    </w:p>
    <w:p w:rsidR="00C22D21" w:rsidRDefault="00C22D21" w:rsidP="00C22D21">
      <w:pPr>
        <w:widowControl w:val="0"/>
        <w:autoSpaceDE w:val="0"/>
        <w:autoSpaceDN w:val="0"/>
        <w:adjustRightInd w:val="0"/>
        <w:ind w:firstLine="567"/>
        <w:rPr>
          <w:rFonts w:ascii="Century Gothic" w:hAnsi="Century Gothic"/>
          <w:b/>
        </w:rPr>
      </w:pPr>
    </w:p>
    <w:p w:rsidR="00C22D21" w:rsidRDefault="00C22D21" w:rsidP="00C22D21">
      <w:pPr>
        <w:widowControl w:val="0"/>
        <w:autoSpaceDE w:val="0"/>
        <w:autoSpaceDN w:val="0"/>
        <w:adjustRightInd w:val="0"/>
        <w:rPr>
          <w:rFonts w:ascii="Century Gothic" w:hAnsi="Century Gothic"/>
          <w:b/>
        </w:rPr>
      </w:pPr>
    </w:p>
    <w:p w:rsidR="00C22D21" w:rsidRDefault="00C22D21" w:rsidP="00C22D21">
      <w:pPr>
        <w:widowControl w:val="0"/>
        <w:autoSpaceDE w:val="0"/>
        <w:autoSpaceDN w:val="0"/>
        <w:adjustRightInd w:val="0"/>
        <w:rPr>
          <w:rFonts w:ascii="Century Gothic" w:hAnsi="Century Gothic"/>
          <w:b/>
        </w:rPr>
      </w:pPr>
    </w:p>
    <w:p w:rsidR="00C22D21" w:rsidRDefault="00C22D21" w:rsidP="00C22D21">
      <w:pPr>
        <w:widowControl w:val="0"/>
        <w:autoSpaceDE w:val="0"/>
        <w:autoSpaceDN w:val="0"/>
        <w:adjustRightInd w:val="0"/>
        <w:rPr>
          <w:rFonts w:ascii="Century Gothic" w:hAnsi="Century Gothic"/>
          <w:b/>
        </w:rPr>
      </w:pPr>
    </w:p>
    <w:p w:rsidR="00C22D21" w:rsidRDefault="00C22D21" w:rsidP="00C22D21">
      <w:pPr>
        <w:widowControl w:val="0"/>
        <w:autoSpaceDE w:val="0"/>
        <w:autoSpaceDN w:val="0"/>
        <w:adjustRightInd w:val="0"/>
        <w:rPr>
          <w:rFonts w:ascii="Century Gothic" w:hAnsi="Century Gothic"/>
          <w:b/>
        </w:rPr>
      </w:pPr>
      <w:r w:rsidRPr="00184365">
        <w:rPr>
          <w:rFonts w:ascii="Century Gothic" w:hAnsi="Century Gothic"/>
          <w:b/>
        </w:rPr>
        <w:t>HERNÁN ANDRADE RINCÓN</w:t>
      </w:r>
      <w:r>
        <w:rPr>
          <w:rFonts w:ascii="Century Gothic" w:hAnsi="Century Gothic"/>
          <w:b/>
        </w:rPr>
        <w:t xml:space="preserve">                                             MARTA NUBIA VELÁSQUEZ RICO </w:t>
      </w:r>
      <w:r w:rsidRPr="00184365">
        <w:rPr>
          <w:rFonts w:ascii="Century Gothic" w:hAnsi="Century Gothic"/>
          <w:b/>
        </w:rPr>
        <w:t xml:space="preserve"> </w:t>
      </w:r>
      <w:r>
        <w:rPr>
          <w:rFonts w:ascii="Century Gothic" w:hAnsi="Century Gothic"/>
          <w:b/>
        </w:rPr>
        <w:t xml:space="preserve">                              </w:t>
      </w:r>
    </w:p>
    <w:p w:rsidR="00C22D21" w:rsidRDefault="00C22D21" w:rsidP="00C22D21">
      <w:pPr>
        <w:widowControl w:val="0"/>
        <w:autoSpaceDE w:val="0"/>
        <w:autoSpaceDN w:val="0"/>
        <w:adjustRightInd w:val="0"/>
        <w:jc w:val="center"/>
        <w:rPr>
          <w:rFonts w:ascii="Century Gothic" w:hAnsi="Century Gothic"/>
          <w:b/>
        </w:rPr>
      </w:pPr>
    </w:p>
    <w:p w:rsidR="00C22D21" w:rsidRDefault="00C22D21" w:rsidP="00C22D21">
      <w:pPr>
        <w:widowControl w:val="0"/>
        <w:autoSpaceDE w:val="0"/>
        <w:autoSpaceDN w:val="0"/>
        <w:adjustRightInd w:val="0"/>
        <w:jc w:val="center"/>
        <w:rPr>
          <w:rFonts w:ascii="Century Gothic" w:hAnsi="Century Gothic"/>
          <w:b/>
        </w:rPr>
      </w:pPr>
    </w:p>
    <w:p w:rsidR="00C22D21" w:rsidRDefault="00C22D21" w:rsidP="00C22D21">
      <w:pPr>
        <w:widowControl w:val="0"/>
        <w:autoSpaceDE w:val="0"/>
        <w:autoSpaceDN w:val="0"/>
        <w:adjustRightInd w:val="0"/>
        <w:jc w:val="center"/>
        <w:rPr>
          <w:rFonts w:ascii="Century Gothic" w:hAnsi="Century Gothic"/>
          <w:b/>
        </w:rPr>
      </w:pPr>
    </w:p>
    <w:p w:rsidR="00C22D21" w:rsidRDefault="00C22D21" w:rsidP="00C22D21">
      <w:pPr>
        <w:widowControl w:val="0"/>
        <w:autoSpaceDE w:val="0"/>
        <w:autoSpaceDN w:val="0"/>
        <w:adjustRightInd w:val="0"/>
        <w:jc w:val="center"/>
        <w:rPr>
          <w:rFonts w:ascii="Century Gothic" w:hAnsi="Century Gothic"/>
          <w:b/>
        </w:rPr>
      </w:pPr>
    </w:p>
    <w:p w:rsidR="00C22D21" w:rsidRDefault="00C22D21" w:rsidP="00C22D21">
      <w:pPr>
        <w:widowControl w:val="0"/>
        <w:autoSpaceDE w:val="0"/>
        <w:autoSpaceDN w:val="0"/>
        <w:adjustRightInd w:val="0"/>
        <w:jc w:val="center"/>
        <w:rPr>
          <w:rFonts w:ascii="Century Gothic" w:hAnsi="Century Gothic"/>
          <w:b/>
        </w:rPr>
      </w:pPr>
    </w:p>
    <w:p w:rsidR="00C22D21" w:rsidRDefault="00C22D21" w:rsidP="00C22D21">
      <w:pPr>
        <w:widowControl w:val="0"/>
        <w:autoSpaceDE w:val="0"/>
        <w:autoSpaceDN w:val="0"/>
        <w:adjustRightInd w:val="0"/>
        <w:jc w:val="center"/>
        <w:rPr>
          <w:rFonts w:ascii="Century Gothic" w:hAnsi="Century Gothic"/>
          <w:b/>
        </w:rPr>
      </w:pPr>
      <w:r w:rsidRPr="00184365">
        <w:rPr>
          <w:rFonts w:ascii="Century Gothic" w:hAnsi="Century Gothic"/>
          <w:b/>
        </w:rPr>
        <w:t>CARLOS ALBERTO ZAMBRANO BARRERA</w:t>
      </w:r>
    </w:p>
    <w:p w:rsidR="007C4F8B" w:rsidRPr="008B2995" w:rsidRDefault="007C4F8B" w:rsidP="007C4F8B">
      <w:pPr>
        <w:rPr>
          <w:rFonts w:ascii="Arial" w:hAnsi="Arial" w:cs="Arial"/>
          <w:sz w:val="24"/>
          <w:szCs w:val="24"/>
        </w:rPr>
      </w:pPr>
    </w:p>
    <w:p w:rsidR="0062276B" w:rsidRDefault="0062276B"/>
    <w:sectPr w:rsidR="0062276B" w:rsidSect="005D1D87">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5AB" w:rsidRDefault="007275AB" w:rsidP="00C22D21">
      <w:pPr>
        <w:spacing w:line="240" w:lineRule="auto"/>
      </w:pPr>
      <w:r>
        <w:separator/>
      </w:r>
    </w:p>
  </w:endnote>
  <w:endnote w:type="continuationSeparator" w:id="0">
    <w:p w:rsidR="007275AB" w:rsidRDefault="007275AB" w:rsidP="00C22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5AB" w:rsidRDefault="007275AB" w:rsidP="00C22D21">
      <w:pPr>
        <w:spacing w:line="240" w:lineRule="auto"/>
      </w:pPr>
      <w:r>
        <w:separator/>
      </w:r>
    </w:p>
  </w:footnote>
  <w:footnote w:type="continuationSeparator" w:id="0">
    <w:p w:rsidR="007275AB" w:rsidRDefault="007275AB" w:rsidP="00C22D21">
      <w:pPr>
        <w:spacing w:line="240" w:lineRule="auto"/>
      </w:pPr>
      <w:r>
        <w:continuationSeparator/>
      </w:r>
    </w:p>
  </w:footnote>
  <w:footnote w:id="1">
    <w:p w:rsidR="00C22D21" w:rsidRPr="00E0052F" w:rsidRDefault="00C22D21" w:rsidP="00C22D21">
      <w:pPr>
        <w:pStyle w:val="Textonotapie"/>
        <w:jc w:val="both"/>
        <w:rPr>
          <w:rFonts w:ascii="Century Gothic" w:hAnsi="Century Gothic"/>
          <w:sz w:val="18"/>
          <w:szCs w:val="18"/>
          <w:lang w:val="es-CO"/>
        </w:rPr>
      </w:pPr>
      <w:r w:rsidRPr="00E0052F">
        <w:rPr>
          <w:rStyle w:val="Refdenotaalpie"/>
          <w:rFonts w:ascii="Century Gothic" w:hAnsi="Century Gothic"/>
          <w:sz w:val="18"/>
          <w:szCs w:val="18"/>
        </w:rPr>
        <w:footnoteRef/>
      </w:r>
      <w:r w:rsidRPr="00E0052F">
        <w:rPr>
          <w:rFonts w:ascii="Century Gothic" w:hAnsi="Century Gothic"/>
          <w:sz w:val="18"/>
          <w:szCs w:val="18"/>
        </w:rPr>
        <w:t xml:space="preserve"> </w:t>
      </w:r>
      <w:r w:rsidRPr="00E0052F">
        <w:rPr>
          <w:rFonts w:ascii="Century Gothic" w:hAnsi="Century Gothic"/>
          <w:sz w:val="18"/>
          <w:szCs w:val="18"/>
          <w:lang w:val="es-CO"/>
        </w:rPr>
        <w:t>La tasa de cambio representativa del mercado para la fecha de presentación de la demanda era de $1.387. Consultar http://obiee.banrep.gov.co/analytics/saw.dll?Go&amp;_scid=xzC4QwJBoR8.</w:t>
      </w:r>
    </w:p>
  </w:footnote>
  <w:footnote w:id="2">
    <w:p w:rsidR="00C22D21" w:rsidRPr="00D47B3B" w:rsidRDefault="00C22D21" w:rsidP="00C22D21">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2 de marzo </w:t>
      </w:r>
      <w:r w:rsidRPr="00D47B3B">
        <w:rPr>
          <w:rFonts w:ascii="Century Gothic" w:hAnsi="Century Gothic" w:cs="Arial"/>
          <w:sz w:val="18"/>
          <w:szCs w:val="18"/>
        </w:rPr>
        <w:t xml:space="preserve">de </w:t>
      </w:r>
      <w:r>
        <w:rPr>
          <w:rFonts w:ascii="Century Gothic" w:hAnsi="Century Gothic" w:cs="Arial"/>
          <w:sz w:val="18"/>
          <w:szCs w:val="18"/>
        </w:rPr>
        <w:t>2009</w:t>
      </w:r>
      <w:r w:rsidRPr="00D47B3B">
        <w:rPr>
          <w:rFonts w:ascii="Century Gothic" w:hAnsi="Century Gothic" w:cs="Arial"/>
          <w:sz w:val="18"/>
          <w:szCs w:val="18"/>
          <w:lang w:val="es-MX"/>
        </w:rPr>
        <w:t>.</w:t>
      </w:r>
    </w:p>
  </w:footnote>
  <w:footnote w:id="3">
    <w:p w:rsidR="00C22D21" w:rsidRPr="00D47B3B" w:rsidRDefault="00C22D21" w:rsidP="00C22D21">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Pr>
          <w:rFonts w:ascii="Century Gothic" w:hAnsi="Century Gothic" w:cs="Arial"/>
          <w:color w:val="000000"/>
          <w:sz w:val="18"/>
          <w:szCs w:val="18"/>
        </w:rPr>
        <w:t>Ley 954 de 2005</w:t>
      </w:r>
      <w:r w:rsidRPr="00D47B3B">
        <w:rPr>
          <w:rFonts w:ascii="Century Gothic" w:hAnsi="Century Gothic" w:cs="Arial"/>
          <w:color w:val="000000"/>
          <w:sz w:val="18"/>
          <w:szCs w:val="18"/>
          <w:lang w:val="es-MX"/>
        </w:rPr>
        <w:t>.</w:t>
      </w:r>
    </w:p>
  </w:footnote>
  <w:footnote w:id="4">
    <w:p w:rsidR="00C22D21" w:rsidRPr="00963A70" w:rsidRDefault="00C22D21" w:rsidP="00C22D21">
      <w:pPr>
        <w:pStyle w:val="Textonotapie"/>
        <w:jc w:val="both"/>
        <w:rPr>
          <w:rFonts w:ascii="Century Gothic" w:hAnsi="Century Gothic"/>
          <w:sz w:val="18"/>
          <w:szCs w:val="18"/>
        </w:rPr>
      </w:pPr>
      <w:r w:rsidRPr="00963A70">
        <w:rPr>
          <w:rStyle w:val="Refdenotaalpie"/>
          <w:rFonts w:ascii="Century Gothic" w:hAnsi="Century Gothic"/>
          <w:sz w:val="18"/>
          <w:szCs w:val="18"/>
        </w:rPr>
        <w:footnoteRef/>
      </w:r>
      <w:r w:rsidRPr="00963A70">
        <w:rPr>
          <w:rFonts w:ascii="Century Gothic" w:hAnsi="Century Gothic"/>
          <w:sz w:val="18"/>
          <w:szCs w:val="18"/>
        </w:rPr>
        <w:t xml:space="preserve"> </w:t>
      </w:r>
      <w:r w:rsidRPr="00963A70">
        <w:rPr>
          <w:rFonts w:ascii="Century Gothic" w:hAnsi="Century Gothic" w:cs="Arial"/>
          <w:sz w:val="18"/>
          <w:szCs w:val="18"/>
        </w:rPr>
        <w:t>Se precisa que el Instituto de Fomento Industrial IFI tenía el carácter de sociedad de economía mixta de</w:t>
      </w:r>
      <w:r>
        <w:rPr>
          <w:rFonts w:ascii="Century Gothic" w:hAnsi="Century Gothic" w:cs="Arial"/>
          <w:sz w:val="18"/>
          <w:szCs w:val="18"/>
        </w:rPr>
        <w:t>l</w:t>
      </w:r>
      <w:r w:rsidRPr="00963A70">
        <w:rPr>
          <w:rFonts w:ascii="Century Gothic" w:hAnsi="Century Gothic" w:cs="Arial"/>
          <w:sz w:val="18"/>
          <w:szCs w:val="18"/>
        </w:rPr>
        <w:t xml:space="preserve"> orden nacional, creada por el Decreto 1157 de 1940, con régimen asimilado al de las empresas industriales y comerciales de acuerdo con la Ley 489 de 1998, por virtud de la participación accionaria estatal superior al 90%.</w:t>
      </w:r>
    </w:p>
  </w:footnote>
  <w:footnote w:id="5">
    <w:p w:rsidR="00C22D21" w:rsidRDefault="00C22D21" w:rsidP="00C22D21">
      <w:pPr>
        <w:jc w:val="both"/>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Consejo de Estado, Sal</w:t>
      </w:r>
      <w:r>
        <w:rPr>
          <w:rStyle w:val="Nmerodepgina"/>
          <w:rFonts w:ascii="Century Gothic" w:hAnsi="Century Gothic" w:cs="Arial"/>
          <w:sz w:val="18"/>
          <w:szCs w:val="18"/>
        </w:rPr>
        <w:t>a Contencioso Administrativa,  auto de 20 de agosto de 1998, e</w:t>
      </w:r>
      <w:r w:rsidRPr="0073600D">
        <w:rPr>
          <w:rStyle w:val="Nmerodepgina"/>
          <w:rFonts w:ascii="Century Gothic" w:hAnsi="Century Gothic" w:cs="Arial"/>
          <w:sz w:val="18"/>
          <w:szCs w:val="18"/>
        </w:rPr>
        <w:t>xp. 14.202. Esta p</w:t>
      </w:r>
      <w:r>
        <w:rPr>
          <w:rStyle w:val="Nmerodepgina"/>
          <w:rFonts w:ascii="Century Gothic" w:hAnsi="Century Gothic" w:cs="Arial"/>
          <w:sz w:val="18"/>
          <w:szCs w:val="18"/>
        </w:rPr>
        <w:t xml:space="preserve">osición ha sido expuesta en otras sentencias como la </w:t>
      </w:r>
      <w:r w:rsidRPr="0073600D">
        <w:rPr>
          <w:rStyle w:val="Nmerodepgina"/>
          <w:rFonts w:ascii="Century Gothic" w:hAnsi="Century Gothic" w:cs="Arial"/>
          <w:sz w:val="18"/>
          <w:szCs w:val="18"/>
        </w:rPr>
        <w:t>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20 de abril de 2005</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14519</w:t>
      </w:r>
      <w:r>
        <w:rPr>
          <w:rStyle w:val="Nmerodepgina"/>
          <w:rFonts w:ascii="Century Gothic" w:hAnsi="Century Gothic" w:cs="Arial"/>
          <w:sz w:val="18"/>
          <w:szCs w:val="18"/>
        </w:rPr>
        <w:t>) y en a</w:t>
      </w:r>
      <w:r w:rsidRPr="0073600D">
        <w:rPr>
          <w:rStyle w:val="Nmerodepgina"/>
          <w:rFonts w:ascii="Century Gothic" w:hAnsi="Century Gothic" w:cs="Arial"/>
          <w:sz w:val="18"/>
          <w:szCs w:val="18"/>
        </w:rPr>
        <w:t>uto 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7 de octubre de 2004</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2675</w:t>
      </w:r>
      <w:r>
        <w:rPr>
          <w:rStyle w:val="Nmerodepgina"/>
          <w:rFonts w:ascii="Century Gothic" w:hAnsi="Century Gothic" w:cs="Arial"/>
          <w:sz w:val="18"/>
          <w:szCs w:val="18"/>
        </w:rPr>
        <w:t>)</w:t>
      </w:r>
      <w:r w:rsidRPr="0073600D">
        <w:rPr>
          <w:rStyle w:val="Nmerodepgina"/>
          <w:rFonts w:ascii="Century Gothic" w:hAnsi="Century Gothic" w:cs="Arial"/>
          <w:sz w:val="18"/>
          <w:szCs w:val="18"/>
        </w:rPr>
        <w:t>.</w:t>
      </w:r>
    </w:p>
  </w:footnote>
  <w:footnote w:id="6">
    <w:p w:rsidR="00C22D21" w:rsidRPr="0073600D" w:rsidRDefault="00C22D21" w:rsidP="00C22D21">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Según este artículo, son contratos estatales </w:t>
      </w:r>
      <w:r>
        <w:rPr>
          <w:rStyle w:val="Nmerodepgina"/>
          <w:rFonts w:ascii="Century Gothic" w:hAnsi="Century Gothic" w:cs="Arial"/>
          <w:sz w:val="18"/>
          <w:szCs w:val="18"/>
        </w:rPr>
        <w:t xml:space="preserve">los </w:t>
      </w:r>
      <w:r w:rsidRPr="0073600D">
        <w:rPr>
          <w:rStyle w:val="Nmerodepgina"/>
          <w:rFonts w:ascii="Century Gothic" w:hAnsi="Century Gothic" w:cs="Arial"/>
          <w:sz w:val="18"/>
          <w:szCs w:val="18"/>
        </w:rPr>
        <w:t>celebrados por las entidades</w:t>
      </w:r>
      <w:r>
        <w:rPr>
          <w:rStyle w:val="Nmerodepgina"/>
          <w:rFonts w:ascii="Century Gothic" w:hAnsi="Century Gothic" w:cs="Arial"/>
          <w:sz w:val="18"/>
          <w:szCs w:val="18"/>
        </w:rPr>
        <w:t xml:space="preserve"> enunciadas </w:t>
      </w:r>
      <w:r w:rsidRPr="0073600D">
        <w:rPr>
          <w:rStyle w:val="Nmerodepgina"/>
          <w:rFonts w:ascii="Century Gothic" w:hAnsi="Century Gothic" w:cs="Arial"/>
          <w:sz w:val="18"/>
          <w:szCs w:val="18"/>
        </w:rPr>
        <w:t>en el artículo 2º de la Ley 80 de 1993, el cual dispone:</w:t>
      </w:r>
    </w:p>
    <w:p w:rsidR="00C22D21" w:rsidRPr="0073600D" w:rsidRDefault="00C22D21" w:rsidP="00C22D21">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“Para los solos efectos de esta ley: </w:t>
      </w:r>
    </w:p>
    <w:p w:rsidR="00C22D21" w:rsidRPr="0073600D" w:rsidRDefault="00C22D21" w:rsidP="00C22D21">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“1o. Se denominan entidades estatales: </w:t>
      </w:r>
    </w:p>
    <w:p w:rsidR="00C22D21" w:rsidRPr="0073600D" w:rsidRDefault="00C22D21" w:rsidP="00C22D21">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“a) La Nación, las regiones, </w:t>
      </w:r>
      <w:r w:rsidRPr="006C187D">
        <w:rPr>
          <w:rStyle w:val="Nmerodepgina"/>
          <w:rFonts w:ascii="Century Gothic" w:hAnsi="Century Gothic" w:cs="Arial"/>
          <w:iCs/>
          <w:sz w:val="18"/>
          <w:szCs w:val="18"/>
        </w:rPr>
        <w:t>los departamentos</w:t>
      </w:r>
      <w:r w:rsidRPr="0073600D">
        <w:rPr>
          <w:rStyle w:val="Nmerodepgina"/>
          <w:rFonts w:ascii="Century Gothic" w:hAnsi="Century Gothic" w:cs="Arial"/>
          <w:iCs/>
          <w:sz w:val="18"/>
          <w:szCs w:val="18"/>
        </w:rPr>
        <w:t xml:space="preserve">, las provincias, el distrito capital y los distritos especiales, las áreas metropolitanas, las asociaciones de municipios, los territorios </w:t>
      </w:r>
      <w:r w:rsidRPr="00102A38">
        <w:rPr>
          <w:rStyle w:val="Nmerodepgina"/>
          <w:rFonts w:ascii="Century Gothic" w:hAnsi="Century Gothic" w:cs="Arial"/>
          <w:iCs/>
          <w:sz w:val="18"/>
          <w:szCs w:val="18"/>
        </w:rPr>
        <w:t xml:space="preserve">indígenas y </w:t>
      </w:r>
      <w:r w:rsidRPr="004D051B">
        <w:rPr>
          <w:rStyle w:val="Nmerodepgina"/>
          <w:rFonts w:ascii="Century Gothic" w:hAnsi="Century Gothic" w:cs="Arial"/>
          <w:iCs/>
          <w:sz w:val="18"/>
          <w:szCs w:val="18"/>
        </w:rPr>
        <w:t>los municipios</w:t>
      </w:r>
      <w:r w:rsidRPr="00102A38">
        <w:rPr>
          <w:rStyle w:val="Nmerodepgina"/>
          <w:rFonts w:ascii="Century Gothic" w:hAnsi="Century Gothic" w:cs="Arial"/>
          <w:iCs/>
          <w:sz w:val="18"/>
          <w:szCs w:val="18"/>
        </w:rPr>
        <w:t>;</w:t>
      </w:r>
      <w:r w:rsidRPr="0073600D">
        <w:rPr>
          <w:rStyle w:val="Nmerodepgina"/>
          <w:rFonts w:ascii="Century Gothic" w:hAnsi="Century Gothic" w:cs="Arial"/>
          <w:iCs/>
          <w:sz w:val="18"/>
          <w:szCs w:val="18"/>
        </w:rPr>
        <w:t xml:space="preserve"> los establecimientos públicos, </w:t>
      </w:r>
      <w:r w:rsidRPr="00127DA7">
        <w:rPr>
          <w:rStyle w:val="Nmerodepgina"/>
          <w:rFonts w:ascii="Century Gothic" w:hAnsi="Century Gothic" w:cs="Arial"/>
          <w:iCs/>
          <w:sz w:val="18"/>
          <w:szCs w:val="18"/>
        </w:rPr>
        <w:t>las empresas industriales y comerciales del Estado,</w:t>
      </w:r>
      <w:r w:rsidRPr="0073600D">
        <w:rPr>
          <w:rStyle w:val="Nmerodepgina"/>
          <w:rFonts w:ascii="Century Gothic" w:hAnsi="Century Gothic" w:cs="Arial"/>
          <w:iCs/>
          <w:sz w:val="18"/>
          <w:szCs w:val="18"/>
        </w:rPr>
        <w:t xml:space="preserve">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C22D21" w:rsidRDefault="00C22D21" w:rsidP="00C22D21">
      <w:pPr>
        <w:jc w:val="both"/>
      </w:pPr>
      <w:r w:rsidRPr="0073600D">
        <w:rPr>
          <w:rStyle w:val="Nmerodepgina"/>
          <w:rFonts w:ascii="Century Gothic" w:hAnsi="Century Gothic" w:cs="Arial"/>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7">
    <w:p w:rsidR="00C22D21" w:rsidRPr="005640E2" w:rsidRDefault="00C22D21" w:rsidP="00C22D21">
      <w:pPr>
        <w:pStyle w:val="Textonotapie"/>
        <w:jc w:val="both"/>
        <w:rPr>
          <w:rFonts w:ascii="Century Gothic" w:hAnsi="Century Gothic"/>
          <w:sz w:val="18"/>
          <w:szCs w:val="18"/>
        </w:rPr>
      </w:pPr>
      <w:r w:rsidRPr="005640E2">
        <w:rPr>
          <w:rStyle w:val="Refdenotaalpie"/>
          <w:rFonts w:ascii="Century Gothic" w:hAnsi="Century Gothic"/>
          <w:sz w:val="18"/>
          <w:szCs w:val="18"/>
        </w:rPr>
        <w:footnoteRef/>
      </w:r>
      <w:r w:rsidRPr="005640E2">
        <w:rPr>
          <w:rFonts w:ascii="Century Gothic" w:hAnsi="Century Gothic"/>
          <w:sz w:val="18"/>
          <w:szCs w:val="18"/>
        </w:rPr>
        <w:t xml:space="preserve"> Consejo de Estado, Sección Tercera, sentencia del 29 de junio de 2000, expediente 16</w:t>
      </w:r>
      <w:r>
        <w:rPr>
          <w:rFonts w:ascii="Century Gothic" w:hAnsi="Century Gothic"/>
          <w:sz w:val="18"/>
          <w:szCs w:val="18"/>
        </w:rPr>
        <w:t>.</w:t>
      </w:r>
      <w:r w:rsidRPr="005640E2">
        <w:rPr>
          <w:rFonts w:ascii="Century Gothic" w:hAnsi="Century Gothic"/>
          <w:sz w:val="18"/>
          <w:szCs w:val="18"/>
        </w:rPr>
        <w:t>602.</w:t>
      </w:r>
      <w:r>
        <w:rPr>
          <w:rFonts w:ascii="Century Gothic" w:hAnsi="Century Gothic"/>
          <w:sz w:val="18"/>
          <w:szCs w:val="18"/>
        </w:rPr>
        <w:t xml:space="preserve"> En ese mismo sentido, la providencia del 14 de junio de 2001, expediente 1852, en la que se dijo (se copia como obra en el original): “</w:t>
      </w:r>
      <w:r w:rsidRPr="00196E59">
        <w:rPr>
          <w:rFonts w:ascii="Century Gothic" w:hAnsi="Century Gothic"/>
          <w:sz w:val="18"/>
          <w:szCs w:val="18"/>
        </w:rPr>
        <w:t>En consecuencia, el acto que declara desierta la licitación o el concurso no es un acto previo al contrato, ya que con este lo que se sabe es que no podrá celebrarse el contrato, debido a que no se dieron los supuestos para la escogencia objetiva del contratista. Pero esto no es óbice para que los participantes en la licitación que se sientan lesionados con dicho acto, puedan ejercer la acción de nulidad y restablecimiento del derecho y como no es un acto de los llamados precontractuales (previos o separables del contrato), el plazo de caducidad no es el de 30 días señalado en el inciso 2 del artículo 87 del C.C.A. para los actos proferidos antes de la celebración del contrato, sino el general de cuatro (4) meses para la impugnación de actos administrativos, tal como lo indica el numeral 2 del artículo 136 del mismo ordenamiento jurídico</w:t>
      </w:r>
      <w:r>
        <w:rPr>
          <w:rFonts w:ascii="Century Gothic" w:hAnsi="Century Gothic"/>
          <w:sz w:val="18"/>
          <w:szCs w:val="18"/>
        </w:rPr>
        <w:t>”</w:t>
      </w:r>
      <w:r w:rsidRPr="00196E59">
        <w:rPr>
          <w:rFonts w:ascii="Century Gothic" w:hAnsi="Century Gothic"/>
          <w:sz w:val="18"/>
          <w:szCs w:val="18"/>
        </w:rPr>
        <w:t>.</w:t>
      </w:r>
    </w:p>
  </w:footnote>
  <w:footnote w:id="8">
    <w:p w:rsidR="00C22D21" w:rsidRPr="0002379E" w:rsidRDefault="00C22D21" w:rsidP="00C22D21">
      <w:pPr>
        <w:pStyle w:val="Textonotapie"/>
        <w:rPr>
          <w:rFonts w:ascii="Century Gothic" w:hAnsi="Century Gothic"/>
          <w:sz w:val="18"/>
          <w:szCs w:val="18"/>
        </w:rPr>
      </w:pPr>
      <w:r w:rsidRPr="0002379E">
        <w:rPr>
          <w:rStyle w:val="Refdenotaalpie"/>
          <w:rFonts w:ascii="Century Gothic" w:hAnsi="Century Gothic"/>
          <w:sz w:val="18"/>
          <w:szCs w:val="18"/>
        </w:rPr>
        <w:footnoteRef/>
      </w:r>
      <w:r w:rsidRPr="0002379E">
        <w:rPr>
          <w:rFonts w:ascii="Century Gothic" w:hAnsi="Century Gothic"/>
          <w:sz w:val="18"/>
          <w:szCs w:val="18"/>
        </w:rPr>
        <w:t xml:space="preserve"> </w:t>
      </w:r>
      <w:r w:rsidRPr="005640E2">
        <w:rPr>
          <w:rFonts w:ascii="Century Gothic" w:hAnsi="Century Gothic"/>
          <w:sz w:val="18"/>
          <w:szCs w:val="18"/>
        </w:rPr>
        <w:t>Consejo de Estado, Secci</w:t>
      </w:r>
      <w:r>
        <w:rPr>
          <w:rFonts w:ascii="Century Gothic" w:hAnsi="Century Gothic"/>
          <w:sz w:val="18"/>
          <w:szCs w:val="18"/>
        </w:rPr>
        <w:t>ón Tercera, providencia del 2 de agosto de 2006, expediente 30.141.</w:t>
      </w:r>
    </w:p>
  </w:footnote>
  <w:footnote w:id="9">
    <w:p w:rsidR="00C22D21" w:rsidRPr="00D36961" w:rsidRDefault="00C22D21" w:rsidP="00C22D21">
      <w:pPr>
        <w:jc w:val="both"/>
        <w:rPr>
          <w:rFonts w:ascii="Century Gothic" w:hAnsi="Century Gothic"/>
          <w:sz w:val="18"/>
          <w:szCs w:val="18"/>
        </w:rPr>
      </w:pPr>
      <w:r w:rsidRPr="00D36961">
        <w:rPr>
          <w:rStyle w:val="Refdenotaalpie"/>
          <w:rFonts w:ascii="Century Gothic" w:hAnsi="Century Gothic"/>
          <w:sz w:val="18"/>
          <w:szCs w:val="18"/>
        </w:rPr>
        <w:footnoteRef/>
      </w:r>
      <w:r w:rsidRPr="00D36961">
        <w:rPr>
          <w:rFonts w:ascii="Century Gothic" w:hAnsi="Century Gothic"/>
          <w:sz w:val="18"/>
          <w:szCs w:val="18"/>
        </w:rPr>
        <w:t xml:space="preserve"> Texto subrogado por el artículo 17 del Decreto 2304 de 1989:</w:t>
      </w:r>
    </w:p>
    <w:p w:rsidR="00C22D21" w:rsidRPr="00D36961" w:rsidRDefault="00C22D21" w:rsidP="00C22D21">
      <w:pPr>
        <w:jc w:val="both"/>
        <w:rPr>
          <w:rFonts w:ascii="Century Gothic" w:hAnsi="Century Gothic"/>
          <w:sz w:val="18"/>
          <w:szCs w:val="18"/>
        </w:rPr>
      </w:pPr>
      <w:r>
        <w:rPr>
          <w:rFonts w:ascii="Century Gothic" w:hAnsi="Century Gothic"/>
          <w:sz w:val="18"/>
          <w:szCs w:val="18"/>
        </w:rPr>
        <w:t>“</w:t>
      </w:r>
      <w:r w:rsidRPr="00D36961">
        <w:rPr>
          <w:rFonts w:ascii="Century Gothic" w:hAnsi="Century Gothic"/>
          <w:sz w:val="18"/>
          <w:szCs w:val="18"/>
        </w:rPr>
        <w:t>ARTICULO 87. DE LAS CONTROVERSIAS CONTRACTUALES. Cualquiera de las partes de un contrato administrativo o privado con cláusula de caducidad podrá pedir que se declare su existencia o su nulidad y que se hagan las declaraciones, condenaciones o restituciones consecuenciales; que se ordene su revisión; que se declare su incumplimiento y que se condene al contratante responsable a indemnizar los perjuicios y que se hagan otras declaraciones y condenaciones</w:t>
      </w:r>
      <w:r>
        <w:rPr>
          <w:rFonts w:ascii="Century Gothic" w:hAnsi="Century Gothic"/>
          <w:sz w:val="18"/>
          <w:szCs w:val="18"/>
        </w:rPr>
        <w:t xml:space="preserve"> (sic)</w:t>
      </w:r>
      <w:r w:rsidRPr="00D36961">
        <w:rPr>
          <w:rFonts w:ascii="Century Gothic" w:hAnsi="Century Gothic"/>
          <w:sz w:val="18"/>
          <w:szCs w:val="18"/>
        </w:rPr>
        <w:t>.</w:t>
      </w:r>
    </w:p>
    <w:p w:rsidR="00C22D21" w:rsidRPr="00D36961" w:rsidRDefault="00C22D21" w:rsidP="00C22D21">
      <w:pPr>
        <w:jc w:val="both"/>
        <w:rPr>
          <w:rFonts w:ascii="Century Gothic" w:hAnsi="Century Gothic"/>
          <w:sz w:val="18"/>
          <w:szCs w:val="18"/>
        </w:rPr>
      </w:pPr>
      <w:r>
        <w:rPr>
          <w:rFonts w:ascii="Century Gothic" w:hAnsi="Century Gothic"/>
          <w:sz w:val="18"/>
          <w:szCs w:val="18"/>
        </w:rPr>
        <w:t>“</w:t>
      </w:r>
      <w:r w:rsidRPr="00D36961">
        <w:rPr>
          <w:rFonts w:ascii="Century Gothic" w:hAnsi="Century Gothic"/>
          <w:sz w:val="18"/>
          <w:szCs w:val="18"/>
        </w:rPr>
        <w:t>Los causahabientes de los contratistas también podrán promover las controversias contractuales.</w:t>
      </w:r>
    </w:p>
    <w:p w:rsidR="00C22D21" w:rsidRPr="00D36961" w:rsidRDefault="00C22D21" w:rsidP="00C22D21">
      <w:pPr>
        <w:jc w:val="both"/>
        <w:rPr>
          <w:rFonts w:ascii="Century Gothic" w:hAnsi="Century Gothic"/>
          <w:sz w:val="18"/>
          <w:szCs w:val="18"/>
        </w:rPr>
      </w:pPr>
      <w:r>
        <w:rPr>
          <w:rFonts w:ascii="Century Gothic" w:hAnsi="Century Gothic"/>
          <w:sz w:val="18"/>
          <w:szCs w:val="18"/>
        </w:rPr>
        <w:t>“</w:t>
      </w:r>
      <w:r w:rsidRPr="00D36961">
        <w:rPr>
          <w:rFonts w:ascii="Century Gothic" w:hAnsi="Century Gothic"/>
          <w:sz w:val="18"/>
          <w:szCs w:val="18"/>
        </w:rPr>
        <w:t xml:space="preserve">El Ministerio Público o el tercero que acredite un interés directo en el contrato, </w:t>
      </w:r>
      <w:r>
        <w:rPr>
          <w:rFonts w:ascii="Century Gothic" w:hAnsi="Century Gothic"/>
          <w:sz w:val="18"/>
          <w:szCs w:val="18"/>
        </w:rPr>
        <w:t>(sic)</w:t>
      </w:r>
      <w:r w:rsidRPr="00D36961">
        <w:rPr>
          <w:rFonts w:ascii="Century Gothic" w:hAnsi="Century Gothic"/>
          <w:sz w:val="18"/>
          <w:szCs w:val="18"/>
        </w:rPr>
        <w:t>está facultado para solicitar también su nulidad absoluta. El juez administrativo podrá declarar de oficio la nulidad absoluta cuando esté plenamente demostrada en el proceso y siempre que en él intervengan las partes contratantes o sus causahabientes</w:t>
      </w:r>
      <w:r>
        <w:rPr>
          <w:rFonts w:ascii="Century Gothic" w:hAnsi="Century Gothic"/>
          <w:sz w:val="18"/>
          <w:szCs w:val="18"/>
        </w:rPr>
        <w:t>”</w:t>
      </w:r>
      <w:r w:rsidRPr="00D36961">
        <w:rPr>
          <w:rFonts w:ascii="Century Gothic" w:hAnsi="Century Gothic"/>
          <w:sz w:val="18"/>
          <w:szCs w:val="18"/>
        </w:rPr>
        <w:t>.</w:t>
      </w:r>
    </w:p>
    <w:p w:rsidR="00C22D21" w:rsidRPr="00D36961" w:rsidRDefault="00C22D21" w:rsidP="00C22D21">
      <w:pPr>
        <w:pStyle w:val="Textonotapie"/>
        <w:rPr>
          <w:lang w:val="es-CO"/>
        </w:rPr>
      </w:pPr>
      <w:r>
        <w:t xml:space="preserve"> </w:t>
      </w:r>
    </w:p>
  </w:footnote>
  <w:footnote w:id="10">
    <w:p w:rsidR="00C22D21" w:rsidRPr="00684F90" w:rsidRDefault="00C22D21" w:rsidP="00C22D21">
      <w:pPr>
        <w:pStyle w:val="Textonotapie"/>
        <w:jc w:val="both"/>
        <w:rPr>
          <w:sz w:val="18"/>
          <w:szCs w:val="18"/>
        </w:rPr>
      </w:pPr>
      <w:r w:rsidRPr="00912D10">
        <w:rPr>
          <w:rStyle w:val="Refdenotaalpie"/>
          <w:rFonts w:ascii="Century Gothic" w:hAnsi="Century Gothic"/>
          <w:sz w:val="18"/>
          <w:szCs w:val="18"/>
        </w:rPr>
        <w:footnoteRef/>
      </w:r>
      <w:r w:rsidRPr="00912D10">
        <w:rPr>
          <w:rFonts w:ascii="Century Gothic" w:hAnsi="Century Gothic"/>
          <w:sz w:val="18"/>
          <w:szCs w:val="18"/>
        </w:rPr>
        <w:t xml:space="preserve"> </w:t>
      </w:r>
      <w:r>
        <w:rPr>
          <w:rFonts w:ascii="Century Gothic" w:hAnsi="Century Gothic"/>
          <w:sz w:val="18"/>
          <w:szCs w:val="18"/>
        </w:rPr>
        <w:t>Nota del original: “</w:t>
      </w:r>
      <w:r w:rsidRPr="00912D10">
        <w:rPr>
          <w:rFonts w:ascii="Century Gothic" w:hAnsi="Century Gothic"/>
          <w:sz w:val="18"/>
          <w:szCs w:val="18"/>
        </w:rPr>
        <w:t>De acuerdo con la sentencia C-712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 según se relacionó anteriormente en el c</w:t>
      </w:r>
      <w:r>
        <w:rPr>
          <w:rFonts w:ascii="Century Gothic" w:hAnsi="Century Gothic"/>
          <w:sz w:val="18"/>
          <w:szCs w:val="18"/>
        </w:rPr>
        <w:t xml:space="preserve">uadro resumen de jurisprudencia”. </w:t>
      </w:r>
    </w:p>
  </w:footnote>
  <w:footnote w:id="11">
    <w:p w:rsidR="00C22D21" w:rsidRPr="00912D10" w:rsidRDefault="00C22D21" w:rsidP="00C22D21">
      <w:pPr>
        <w:pStyle w:val="Textonotapie"/>
        <w:jc w:val="both"/>
        <w:rPr>
          <w:rFonts w:ascii="Century Gothic" w:hAnsi="Century Gothic"/>
          <w:sz w:val="18"/>
          <w:szCs w:val="18"/>
        </w:rPr>
      </w:pPr>
      <w:r w:rsidRPr="00912D10">
        <w:rPr>
          <w:rStyle w:val="Refdenotaalpie"/>
          <w:rFonts w:ascii="Century Gothic" w:hAnsi="Century Gothic"/>
          <w:sz w:val="18"/>
          <w:szCs w:val="18"/>
        </w:rPr>
        <w:footnoteRef/>
      </w:r>
      <w:r w:rsidRPr="00912D10">
        <w:rPr>
          <w:rFonts w:ascii="Century Gothic" w:hAnsi="Century Gothic"/>
          <w:sz w:val="18"/>
          <w:szCs w:val="18"/>
        </w:rPr>
        <w:t xml:space="preserve"> </w:t>
      </w:r>
      <w:r>
        <w:rPr>
          <w:rFonts w:ascii="Century Gothic" w:hAnsi="Century Gothic"/>
          <w:sz w:val="18"/>
          <w:szCs w:val="18"/>
        </w:rPr>
        <w:t>Nota del original: “</w:t>
      </w:r>
      <w:r w:rsidRPr="00912D10">
        <w:rPr>
          <w:rFonts w:ascii="Century Gothic" w:hAnsi="Century Gothic"/>
          <w:sz w:val="18"/>
          <w:szCs w:val="18"/>
        </w:rPr>
        <w:t xml:space="preserve">Esta conclusión se apoya también con un argumento </w:t>
      </w:r>
      <w:r w:rsidRPr="00912D10">
        <w:rPr>
          <w:rFonts w:ascii="Century Gothic" w:hAnsi="Century Gothic"/>
          <w:i/>
          <w:sz w:val="18"/>
          <w:szCs w:val="18"/>
        </w:rPr>
        <w:t>a contrario sensu</w:t>
      </w:r>
      <w:r w:rsidRPr="00912D10">
        <w:rPr>
          <w:rFonts w:ascii="Century Gothic" w:hAnsi="Century Gothic"/>
          <w:sz w:val="18"/>
          <w:szCs w:val="18"/>
        </w:rPr>
        <w:t xml:space="preserve">, que se utiliza para cuidarse de no extender la consecuencia de la norma a casos no previstos en ella, como sería la de permitir a la acción que se incoa después de vencido el término de 30 días un alcance distinto del establecido explícitamente en la parte final del párrafo segundo del artículo 87, cual es el de obtener la nulidad del contrato celebrado; en este sentido, el argumento que soporta la hipótesis consiste en señalar que la norma dispone que antes del vencimiento del término de los 30 días sí no se ha celebrado el contrato, procede demandar el acto en forma separada con el objeto de obtener su nulidad o la nulidad y el restablecimiento del derecho y </w:t>
      </w:r>
      <w:r w:rsidRPr="00912D10">
        <w:rPr>
          <w:rFonts w:ascii="Century Gothic" w:hAnsi="Century Gothic"/>
          <w:i/>
          <w:sz w:val="18"/>
          <w:szCs w:val="18"/>
        </w:rPr>
        <w:t>en sentido contrario</w:t>
      </w:r>
      <w:r w:rsidRPr="00912D10">
        <w:rPr>
          <w:rFonts w:ascii="Century Gothic" w:hAnsi="Century Gothic"/>
          <w:sz w:val="18"/>
          <w:szCs w:val="18"/>
        </w:rPr>
        <w:t xml:space="preserve"> una vez vencido el término mencionado sólo procede la impugnación conjunta de ambos actos y con el objeto exclusivo de la declaratoria de nulidad del contrato, lo cual excluye el restablecimiento del derecho no impetrado oportunamente</w:t>
      </w:r>
      <w:r>
        <w:rPr>
          <w:rFonts w:ascii="Century Gothic" w:hAnsi="Century Gothic"/>
          <w:sz w:val="18"/>
          <w:szCs w:val="18"/>
        </w:rPr>
        <w:t>”</w:t>
      </w:r>
      <w:r w:rsidRPr="00912D10">
        <w:rPr>
          <w:rFonts w:ascii="Century Gothic" w:hAnsi="Century Gothic"/>
          <w:sz w:val="18"/>
          <w:szCs w:val="18"/>
        </w:rPr>
        <w:t>.</w:t>
      </w:r>
    </w:p>
  </w:footnote>
  <w:footnote w:id="12">
    <w:p w:rsidR="00C22D21" w:rsidRPr="00912D10" w:rsidRDefault="00C22D21" w:rsidP="00C22D21">
      <w:pPr>
        <w:pStyle w:val="Textonotapie"/>
        <w:jc w:val="both"/>
        <w:rPr>
          <w:rFonts w:ascii="Century Gothic" w:hAnsi="Century Gothic"/>
          <w:sz w:val="18"/>
          <w:szCs w:val="18"/>
        </w:rPr>
      </w:pPr>
      <w:r w:rsidRPr="00912D10">
        <w:rPr>
          <w:rStyle w:val="Refdenotaalpie"/>
          <w:rFonts w:ascii="Century Gothic" w:hAnsi="Century Gothic"/>
          <w:sz w:val="18"/>
          <w:szCs w:val="18"/>
        </w:rPr>
        <w:footnoteRef/>
      </w:r>
      <w:r>
        <w:rPr>
          <w:rFonts w:ascii="Century Gothic" w:hAnsi="Century Gothic"/>
          <w:sz w:val="18"/>
          <w:szCs w:val="18"/>
        </w:rPr>
        <w:t xml:space="preserve"> </w:t>
      </w:r>
      <w:r w:rsidRPr="00912D10">
        <w:rPr>
          <w:rFonts w:ascii="Century Gothic" w:hAnsi="Century Gothic"/>
          <w:sz w:val="18"/>
          <w:szCs w:val="18"/>
        </w:rPr>
        <w:t>Consejo de Estado, Sección Tercera, Subsección A, sentencia del 29 de enero de 2014, expediente: 30.250</w:t>
      </w:r>
      <w:r>
        <w:rPr>
          <w:rFonts w:ascii="Century Gothic" w:hAnsi="Century Gothic"/>
          <w:sz w:val="18"/>
          <w:szCs w:val="18"/>
        </w:rPr>
        <w:t>.</w:t>
      </w:r>
      <w:r w:rsidRPr="00912D10">
        <w:rPr>
          <w:rFonts w:ascii="Century Gothic" w:hAnsi="Century Gothic"/>
          <w:sz w:val="18"/>
          <w:szCs w:val="18"/>
        </w:rPr>
        <w:t xml:space="preserve">  </w:t>
      </w:r>
    </w:p>
  </w:footnote>
  <w:footnote w:id="13">
    <w:p w:rsidR="00C22D21" w:rsidRPr="00502818" w:rsidRDefault="00C22D21" w:rsidP="00C22D21">
      <w:pPr>
        <w:pStyle w:val="Textonotapie"/>
        <w:rPr>
          <w:rFonts w:ascii="Century Gothic" w:hAnsi="Century Gothic"/>
          <w:sz w:val="18"/>
          <w:szCs w:val="18"/>
        </w:rPr>
      </w:pPr>
      <w:r w:rsidRPr="00502818">
        <w:rPr>
          <w:rStyle w:val="Refdenotaalpie"/>
          <w:rFonts w:ascii="Century Gothic" w:hAnsi="Century Gothic"/>
          <w:sz w:val="18"/>
          <w:szCs w:val="18"/>
        </w:rPr>
        <w:footnoteRef/>
      </w:r>
      <w:r w:rsidRPr="00502818">
        <w:rPr>
          <w:rFonts w:ascii="Century Gothic" w:hAnsi="Century Gothic"/>
          <w:sz w:val="18"/>
          <w:szCs w:val="18"/>
        </w:rPr>
        <w:t xml:space="preserve"> </w:t>
      </w:r>
      <w:r w:rsidRPr="005640E2">
        <w:rPr>
          <w:rFonts w:ascii="Century Gothic" w:hAnsi="Century Gothic"/>
          <w:sz w:val="18"/>
          <w:szCs w:val="18"/>
        </w:rPr>
        <w:t>Consejo de Estado, Sección Tercera, sentencia del</w:t>
      </w:r>
      <w:r>
        <w:rPr>
          <w:rFonts w:ascii="Century Gothic" w:hAnsi="Century Gothic"/>
          <w:sz w:val="18"/>
          <w:szCs w:val="18"/>
        </w:rPr>
        <w:t xml:space="preserve"> 13 de noviembre de 2013, expediente 28.407.</w:t>
      </w:r>
    </w:p>
  </w:footnote>
  <w:footnote w:id="14">
    <w:p w:rsidR="00C22D21" w:rsidRPr="00BE2AED" w:rsidRDefault="00C22D21" w:rsidP="00C22D21">
      <w:pPr>
        <w:pStyle w:val="Textonotapie"/>
        <w:rPr>
          <w:rFonts w:ascii="Century Gothic" w:hAnsi="Century Gothic"/>
          <w:sz w:val="18"/>
          <w:szCs w:val="18"/>
          <w:lang w:val="es-CO"/>
        </w:rPr>
      </w:pPr>
      <w:r w:rsidRPr="00BE2AED">
        <w:rPr>
          <w:rStyle w:val="Refdenotaalpie"/>
          <w:rFonts w:ascii="Century Gothic" w:hAnsi="Century Gothic"/>
          <w:sz w:val="18"/>
          <w:szCs w:val="18"/>
        </w:rPr>
        <w:footnoteRef/>
      </w:r>
      <w:r w:rsidRPr="00BE2AED">
        <w:rPr>
          <w:rFonts w:ascii="Century Gothic" w:hAnsi="Century Gothic"/>
          <w:sz w:val="18"/>
          <w:szCs w:val="18"/>
        </w:rPr>
        <w:t xml:space="preserve"> </w:t>
      </w:r>
      <w:r w:rsidRPr="00BE2AED">
        <w:rPr>
          <w:rFonts w:ascii="Century Gothic" w:hAnsi="Century Gothic"/>
          <w:sz w:val="18"/>
          <w:szCs w:val="18"/>
          <w:lang w:val="es-CO"/>
        </w:rPr>
        <w:t>Se refiere al medio de control de nulidad.</w:t>
      </w:r>
    </w:p>
  </w:footnote>
  <w:footnote w:id="15">
    <w:p w:rsidR="00C22D21" w:rsidRPr="00BE2AED" w:rsidRDefault="00C22D21" w:rsidP="00C22D21">
      <w:pPr>
        <w:pStyle w:val="Textonotapie"/>
        <w:rPr>
          <w:rFonts w:ascii="Century Gothic" w:hAnsi="Century Gothic"/>
          <w:sz w:val="18"/>
          <w:szCs w:val="18"/>
          <w:lang w:val="es-CO"/>
        </w:rPr>
      </w:pPr>
      <w:r w:rsidRPr="00BE2AED">
        <w:rPr>
          <w:rStyle w:val="Refdenotaalpie"/>
          <w:rFonts w:ascii="Century Gothic" w:hAnsi="Century Gothic"/>
          <w:sz w:val="18"/>
          <w:szCs w:val="18"/>
        </w:rPr>
        <w:footnoteRef/>
      </w:r>
      <w:r w:rsidRPr="00BE2AED">
        <w:rPr>
          <w:rFonts w:ascii="Century Gothic" w:hAnsi="Century Gothic"/>
          <w:sz w:val="18"/>
          <w:szCs w:val="18"/>
        </w:rPr>
        <w:t xml:space="preserve"> </w:t>
      </w:r>
      <w:r w:rsidRPr="00BE2AED">
        <w:rPr>
          <w:rFonts w:ascii="Century Gothic" w:hAnsi="Century Gothic"/>
          <w:sz w:val="18"/>
          <w:szCs w:val="18"/>
          <w:lang w:val="es-CO"/>
        </w:rPr>
        <w:t>Hace alusión al medio de control de nulidad y restablecimiento del derecho.</w:t>
      </w:r>
    </w:p>
  </w:footnote>
  <w:footnote w:id="16">
    <w:p w:rsidR="00C22D21" w:rsidRPr="00FB1A6B" w:rsidRDefault="00C22D21" w:rsidP="00C22D21">
      <w:pPr>
        <w:pStyle w:val="Textonotapie"/>
        <w:jc w:val="both"/>
        <w:rPr>
          <w:rFonts w:ascii="Century Gothic" w:hAnsi="Century Gothic"/>
          <w:sz w:val="18"/>
          <w:szCs w:val="18"/>
        </w:rPr>
      </w:pPr>
      <w:r w:rsidRPr="00FB1A6B">
        <w:rPr>
          <w:rStyle w:val="Refdenotaalpie"/>
          <w:rFonts w:ascii="Century Gothic" w:hAnsi="Century Gothic"/>
          <w:sz w:val="18"/>
          <w:szCs w:val="18"/>
        </w:rPr>
        <w:footnoteRef/>
      </w:r>
      <w:r w:rsidRPr="00FB1A6B">
        <w:rPr>
          <w:rFonts w:ascii="Century Gothic" w:hAnsi="Century Gothic"/>
          <w:sz w:val="18"/>
          <w:szCs w:val="18"/>
        </w:rPr>
        <w:t xml:space="preserve"> </w:t>
      </w:r>
      <w:r>
        <w:rPr>
          <w:rFonts w:ascii="Century Gothic" w:hAnsi="Century Gothic"/>
          <w:sz w:val="18"/>
          <w:szCs w:val="18"/>
        </w:rPr>
        <w:t xml:space="preserve">Modificado por el artículo 23 del Decreto 2304 de 1989. </w:t>
      </w:r>
    </w:p>
  </w:footnote>
  <w:footnote w:id="17">
    <w:p w:rsidR="00C22D21" w:rsidRPr="00440D6E" w:rsidRDefault="00C22D21" w:rsidP="00C22D21">
      <w:pPr>
        <w:pStyle w:val="Textonotapie"/>
        <w:jc w:val="both"/>
        <w:rPr>
          <w:rFonts w:ascii="Century Gothic" w:hAnsi="Century Gothic"/>
          <w:sz w:val="18"/>
          <w:szCs w:val="18"/>
        </w:rPr>
      </w:pPr>
      <w:r w:rsidRPr="00440D6E">
        <w:rPr>
          <w:rStyle w:val="Refdenotaalpie"/>
          <w:rFonts w:ascii="Century Gothic" w:hAnsi="Century Gothic"/>
          <w:sz w:val="18"/>
          <w:szCs w:val="18"/>
        </w:rPr>
        <w:footnoteRef/>
      </w:r>
      <w:r w:rsidRPr="00440D6E">
        <w:rPr>
          <w:rFonts w:ascii="Century Gothic" w:hAnsi="Century Gothic"/>
          <w:sz w:val="18"/>
          <w:szCs w:val="18"/>
        </w:rPr>
        <w:t xml:space="preserve"> El artículo 87 del C.C.A. modificado por el decreto 2304 de 1989 (inciso tercero) preceptuaba: “</w:t>
      </w:r>
      <w:r w:rsidRPr="00440D6E">
        <w:rPr>
          <w:rFonts w:ascii="Century Gothic" w:hAnsi="Century Gothic"/>
          <w:sz w:val="18"/>
          <w:szCs w:val="18"/>
          <w:lang w:val="es-CO"/>
        </w:rPr>
        <w:t>ARTICULO 87. DE LAS CONTROVERSIAS CONTRACTUALES…</w:t>
      </w:r>
    </w:p>
    <w:p w:rsidR="00C22D21" w:rsidRPr="00440D6E" w:rsidRDefault="00C22D21" w:rsidP="00C22D21">
      <w:pPr>
        <w:pStyle w:val="Textonotapie"/>
        <w:jc w:val="both"/>
        <w:rPr>
          <w:rFonts w:ascii="Century Gothic" w:hAnsi="Century Gothic"/>
          <w:sz w:val="18"/>
          <w:szCs w:val="18"/>
        </w:rPr>
      </w:pPr>
      <w:r w:rsidRPr="00440D6E">
        <w:rPr>
          <w:rFonts w:ascii="Century Gothic" w:hAnsi="Century Gothic"/>
          <w:sz w:val="18"/>
          <w:szCs w:val="18"/>
        </w:rPr>
        <w:t>“</w:t>
      </w:r>
      <w:r w:rsidRPr="00440D6E">
        <w:rPr>
          <w:rFonts w:ascii="Century Gothic" w:hAnsi="Century Gothic"/>
          <w:sz w:val="18"/>
          <w:szCs w:val="18"/>
          <w:lang w:val="es-CO"/>
        </w:rPr>
        <w:t>El Ministerio Público o el tercero que acredite un interés directo en el contrato, está facultado para solicitar también su nulidad absoluta</w:t>
      </w:r>
      <w:r>
        <w:rPr>
          <w:rFonts w:ascii="Century Gothic" w:hAnsi="Century Gothic"/>
          <w:sz w:val="18"/>
          <w:szCs w:val="18"/>
          <w:lang w:val="es-CO"/>
        </w:rPr>
        <w:t>”.</w:t>
      </w:r>
    </w:p>
  </w:footnote>
  <w:footnote w:id="18">
    <w:p w:rsidR="00C22D21" w:rsidRPr="00421ADF" w:rsidRDefault="00C22D21" w:rsidP="00C22D21">
      <w:pPr>
        <w:jc w:val="both"/>
        <w:rPr>
          <w:rFonts w:ascii="Century Gothic" w:hAnsi="Century Gothic" w:cs="Arial"/>
          <w:sz w:val="18"/>
          <w:szCs w:val="18"/>
        </w:rPr>
      </w:pPr>
      <w:r w:rsidRPr="00421ADF">
        <w:rPr>
          <w:rStyle w:val="Refdenotaalpie"/>
          <w:rFonts w:ascii="Century Gothic" w:hAnsi="Century Gothic"/>
          <w:sz w:val="18"/>
          <w:szCs w:val="18"/>
        </w:rPr>
        <w:footnoteRef/>
      </w:r>
      <w:r w:rsidRPr="00421ADF">
        <w:rPr>
          <w:rFonts w:ascii="Century Gothic" w:hAnsi="Century Gothic"/>
          <w:sz w:val="18"/>
          <w:szCs w:val="18"/>
        </w:rPr>
        <w:t xml:space="preserve"> </w:t>
      </w:r>
      <w:r>
        <w:rPr>
          <w:rFonts w:ascii="Century Gothic" w:hAnsi="Century Gothic"/>
          <w:sz w:val="18"/>
          <w:szCs w:val="18"/>
        </w:rPr>
        <w:t>“</w:t>
      </w:r>
      <w:r w:rsidRPr="00421ADF">
        <w:rPr>
          <w:rFonts w:ascii="Century Gothic" w:hAnsi="Century Gothic" w:cs="Arial"/>
          <w:sz w:val="18"/>
          <w:szCs w:val="18"/>
        </w:rPr>
        <w:t xml:space="preserve">El acto objeto del ataque debe presentar un contenido material con efectos jurídicos adversos al accionante, es decir, que materializa una determinación de la Administración que puede resultar lesiva de los derechos invocados por el demandante y por ello constituye una decisión susceptible de demanda. </w:t>
      </w:r>
    </w:p>
    <w:p w:rsidR="00C22D21" w:rsidRPr="00421ADF" w:rsidRDefault="00C22D21" w:rsidP="00C22D21">
      <w:pPr>
        <w:jc w:val="both"/>
        <w:rPr>
          <w:rFonts w:ascii="Century Gothic" w:hAnsi="Century Gothic" w:cs="Arial"/>
          <w:sz w:val="18"/>
          <w:szCs w:val="18"/>
        </w:rPr>
      </w:pPr>
      <w:r>
        <w:rPr>
          <w:rFonts w:ascii="Century Gothic" w:hAnsi="Century Gothic" w:cs="Arial"/>
          <w:sz w:val="18"/>
          <w:szCs w:val="18"/>
        </w:rPr>
        <w:t>“</w:t>
      </w:r>
      <w:r w:rsidRPr="00421ADF">
        <w:rPr>
          <w:rFonts w:ascii="Century Gothic" w:hAnsi="Century Gothic" w:cs="Arial"/>
          <w:sz w:val="18"/>
          <w:szCs w:val="18"/>
        </w:rPr>
        <w:t xml:space="preserve">En otras palabras, la pretensión de la demanda debe estar dirigida o estructurada en orden a desvirtuar una decisión, de manera similar a lo que se exige en materia de la acción de nulidad, en la cual el supuesto de la demanda ante lo contencioso administrativo se construye sobre la exigencia de la condición de acto administrativo que debe predicarse de aquel objeto del ataque jurídico. </w:t>
      </w:r>
    </w:p>
    <w:p w:rsidR="00C22D21" w:rsidRPr="00421ADF" w:rsidRDefault="00C22D21" w:rsidP="00C22D21">
      <w:pPr>
        <w:jc w:val="both"/>
        <w:rPr>
          <w:rFonts w:ascii="Century Gothic" w:hAnsi="Century Gothic" w:cs="Arial"/>
          <w:sz w:val="18"/>
          <w:szCs w:val="18"/>
        </w:rPr>
      </w:pPr>
      <w:r>
        <w:rPr>
          <w:rFonts w:ascii="Century Gothic" w:hAnsi="Century Gothic" w:cs="Arial"/>
          <w:sz w:val="18"/>
          <w:szCs w:val="18"/>
        </w:rPr>
        <w:t>“</w:t>
      </w:r>
      <w:r w:rsidRPr="00421ADF">
        <w:rPr>
          <w:rFonts w:ascii="Century Gothic" w:hAnsi="Century Gothic" w:cs="Arial"/>
          <w:sz w:val="18"/>
          <w:szCs w:val="18"/>
        </w:rPr>
        <w:t xml:space="preserve">En sentido contrario, no resulta satisfecho el presupuesto procesal sustantivo, en el evento en que se enfile la acción únicamente contra un acto de trámite, o contra una manifestación o comunicación acerca de los efectos jurídicos de otra decisión. </w:t>
      </w:r>
    </w:p>
    <w:p w:rsidR="00C22D21" w:rsidRPr="00421ADF" w:rsidRDefault="00C22D21" w:rsidP="00C22D21">
      <w:pPr>
        <w:jc w:val="both"/>
      </w:pPr>
      <w:r>
        <w:rPr>
          <w:rFonts w:ascii="Century Gothic" w:hAnsi="Century Gothic" w:cs="Arial"/>
          <w:sz w:val="18"/>
          <w:szCs w:val="18"/>
        </w:rPr>
        <w:t>“</w:t>
      </w:r>
      <w:r w:rsidRPr="00421ADF">
        <w:rPr>
          <w:rFonts w:ascii="Century Gothic" w:hAnsi="Century Gothic" w:cs="Arial"/>
          <w:sz w:val="18"/>
          <w:szCs w:val="18"/>
        </w:rPr>
        <w:t>Dichos actos de trámite o las manifestaciones de intención que tienen lugar dentro de la actividad contractual carecen en sí mismas de la materialidad para producir los efectos propios y sustantivos que soportan la potestad que el ordenamiento jurídico reconoce para incoar la acción, en cuanto tales actos no son idóneos o eficientes para configurar la vulneración del derecho que se detenta en razón del contrato</w:t>
      </w:r>
      <w:r>
        <w:rPr>
          <w:rFonts w:ascii="Century Gothic" w:hAnsi="Century Gothic" w:cs="Arial"/>
          <w:sz w:val="18"/>
          <w:szCs w:val="18"/>
        </w:rPr>
        <w:t>”</w:t>
      </w:r>
      <w:r w:rsidRPr="00421ADF">
        <w:rPr>
          <w:rFonts w:ascii="Century Gothic" w:hAnsi="Century Gothic" w:cs="Arial"/>
          <w:sz w:val="18"/>
          <w:szCs w:val="18"/>
        </w:rPr>
        <w:t xml:space="preserve">. </w:t>
      </w:r>
      <w:r>
        <w:rPr>
          <w:rFonts w:ascii="Century Gothic" w:hAnsi="Century Gothic" w:cs="Arial"/>
          <w:sz w:val="18"/>
          <w:szCs w:val="18"/>
        </w:rPr>
        <w:t xml:space="preserve">Consejo de Estado, Sección Tercera, sentencia del </w:t>
      </w:r>
      <w:r w:rsidRPr="00421ADF">
        <w:rPr>
          <w:rFonts w:ascii="Century Gothic" w:hAnsi="Century Gothic" w:cs="Arial"/>
          <w:sz w:val="18"/>
          <w:szCs w:val="18"/>
        </w:rPr>
        <w:t>27 de abril de</w:t>
      </w:r>
      <w:r>
        <w:rPr>
          <w:rFonts w:ascii="Century Gothic" w:hAnsi="Century Gothic" w:cs="Arial"/>
          <w:sz w:val="18"/>
          <w:szCs w:val="18"/>
        </w:rPr>
        <w:t xml:space="preserve"> </w:t>
      </w:r>
      <w:r w:rsidRPr="00421ADF">
        <w:rPr>
          <w:rFonts w:ascii="Century Gothic" w:hAnsi="Century Gothic" w:cs="Arial"/>
          <w:sz w:val="18"/>
          <w:szCs w:val="18"/>
        </w:rPr>
        <w:t>2016</w:t>
      </w:r>
      <w:r>
        <w:rPr>
          <w:rFonts w:ascii="Century Gothic" w:hAnsi="Century Gothic" w:cs="Arial"/>
          <w:sz w:val="18"/>
          <w:szCs w:val="18"/>
        </w:rPr>
        <w:t xml:space="preserve">, expediente: 45.857. </w:t>
      </w:r>
    </w:p>
  </w:footnote>
  <w:footnote w:id="19">
    <w:p w:rsidR="00C22D21" w:rsidRPr="00421ADF" w:rsidRDefault="00C22D21" w:rsidP="00C22D21">
      <w:pPr>
        <w:pStyle w:val="Textonotapie"/>
        <w:rPr>
          <w:rFonts w:ascii="Century Gothic" w:hAnsi="Century Gothic"/>
          <w:sz w:val="18"/>
          <w:szCs w:val="18"/>
          <w:lang w:val="es-CO"/>
        </w:rPr>
      </w:pPr>
      <w:r w:rsidRPr="00421ADF">
        <w:rPr>
          <w:rStyle w:val="Refdenotaalpie"/>
          <w:rFonts w:ascii="Century Gothic" w:hAnsi="Century Gothic"/>
          <w:sz w:val="18"/>
          <w:szCs w:val="18"/>
        </w:rPr>
        <w:footnoteRef/>
      </w:r>
      <w:r w:rsidRPr="00421ADF">
        <w:rPr>
          <w:rFonts w:ascii="Century Gothic" w:hAnsi="Century Gothic"/>
          <w:sz w:val="18"/>
          <w:szCs w:val="18"/>
        </w:rPr>
        <w:t xml:space="preserve"> F</w:t>
      </w:r>
      <w:r w:rsidRPr="00421ADF">
        <w:rPr>
          <w:rFonts w:ascii="Century Gothic" w:hAnsi="Century Gothic"/>
          <w:sz w:val="18"/>
          <w:szCs w:val="18"/>
          <w:lang w:val="es-CO"/>
        </w:rPr>
        <w:t>l. 6, c.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8B"/>
    <w:rsid w:val="0007079A"/>
    <w:rsid w:val="00097305"/>
    <w:rsid w:val="000C268B"/>
    <w:rsid w:val="000F27D2"/>
    <w:rsid w:val="00123653"/>
    <w:rsid w:val="002424ED"/>
    <w:rsid w:val="002850A8"/>
    <w:rsid w:val="002879A0"/>
    <w:rsid w:val="002917ED"/>
    <w:rsid w:val="002A6FE7"/>
    <w:rsid w:val="002D47ED"/>
    <w:rsid w:val="003A199B"/>
    <w:rsid w:val="003F57DC"/>
    <w:rsid w:val="00452B40"/>
    <w:rsid w:val="004E26F4"/>
    <w:rsid w:val="004F0956"/>
    <w:rsid w:val="00530C33"/>
    <w:rsid w:val="00572128"/>
    <w:rsid w:val="00595DCB"/>
    <w:rsid w:val="005D1D87"/>
    <w:rsid w:val="0062276B"/>
    <w:rsid w:val="00634A1D"/>
    <w:rsid w:val="007275AB"/>
    <w:rsid w:val="007C4F8B"/>
    <w:rsid w:val="00991097"/>
    <w:rsid w:val="00A13720"/>
    <w:rsid w:val="00A7722F"/>
    <w:rsid w:val="00B65957"/>
    <w:rsid w:val="00BD6693"/>
    <w:rsid w:val="00C22D21"/>
    <w:rsid w:val="00CE7E14"/>
    <w:rsid w:val="00D86D40"/>
    <w:rsid w:val="00D9457C"/>
    <w:rsid w:val="00DE69B2"/>
    <w:rsid w:val="00F8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5F97"/>
  <w15:chartTrackingRefBased/>
  <w15:docId w15:val="{28E9E6A1-6226-4403-AB72-11A14A27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es-CO"/>
    </w:rPr>
  </w:style>
  <w:style w:type="paragraph" w:styleId="Ttulo3">
    <w:name w:val="heading 3"/>
    <w:basedOn w:val="Normal"/>
    <w:next w:val="Normal"/>
    <w:link w:val="Ttulo3Car"/>
    <w:qFormat/>
    <w:rsid w:val="00C22D21"/>
    <w:pPr>
      <w:keepNext/>
      <w:spacing w:line="360" w:lineRule="auto"/>
      <w:ind w:right="-1"/>
      <w:jc w:val="both"/>
      <w:outlineLvl w:val="2"/>
    </w:pPr>
    <w:rPr>
      <w:rFonts w:ascii="Garamond" w:eastAsia="Times New Roman" w:hAnsi="Garamond"/>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C22D21"/>
    <w:rPr>
      <w:rFonts w:ascii="Garamond" w:eastAsia="Times New Roman" w:hAnsi="Garamond"/>
      <w:bCs/>
      <w:sz w:val="28"/>
      <w:szCs w:val="24"/>
      <w:lang w:val="es-ES" w:eastAsia="es-ES"/>
    </w:rPr>
  </w:style>
  <w:style w:type="paragraph" w:styleId="Textoindependiente">
    <w:name w:val="Body Text"/>
    <w:basedOn w:val="Normal"/>
    <w:link w:val="TextoindependienteCar"/>
    <w:rsid w:val="00C22D21"/>
    <w:pPr>
      <w:spacing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C22D21"/>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C22D21"/>
    <w:pPr>
      <w:tabs>
        <w:tab w:val="left" w:pos="426"/>
      </w:tabs>
      <w:spacing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C22D21"/>
    <w:rPr>
      <w:rFonts w:ascii="Garamond" w:eastAsia="Times New Roman" w:hAnsi="Garamond"/>
      <w:bCs/>
      <w:sz w:val="28"/>
      <w:szCs w:val="24"/>
      <w:lang w:val="es-ES" w:eastAsia="es-ES"/>
    </w:rPr>
  </w:style>
  <w:style w:type="paragraph" w:styleId="Textodebloque">
    <w:name w:val="Block Text"/>
    <w:basedOn w:val="Normal"/>
    <w:uiPriority w:val="99"/>
    <w:rsid w:val="00C22D21"/>
    <w:pPr>
      <w:spacing w:line="240" w:lineRule="auto"/>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
    <w:qFormat/>
    <w:rsid w:val="00C22D21"/>
    <w:rPr>
      <w:vertAlign w:val="superscript"/>
    </w:rPr>
  </w:style>
  <w:style w:type="paragraph" w:customStyle="1" w:styleId="Textoindependiente31">
    <w:name w:val="Texto independiente 31"/>
    <w:basedOn w:val="Normal"/>
    <w:uiPriority w:val="99"/>
    <w:rsid w:val="00C22D21"/>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C22D21"/>
    <w:pPr>
      <w:overflowPunct w:val="0"/>
      <w:autoSpaceDE w:val="0"/>
      <w:autoSpaceDN w:val="0"/>
      <w:adjustRightInd w:val="0"/>
      <w:spacing w:line="240" w:lineRule="auto"/>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C22D21"/>
    <w:rPr>
      <w:lang w:eastAsia="en-US"/>
    </w:rPr>
  </w:style>
  <w:style w:type="character" w:styleId="Nmerodepgina">
    <w:name w:val="page number"/>
    <w:uiPriority w:val="99"/>
    <w:rsid w:val="00C22D21"/>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C22D21"/>
    <w:rPr>
      <w:rFonts w:ascii="Arial" w:eastAsia="Times New Roman" w:hAnsi="Arial"/>
      <w:lang w:val="es-ES_tradnl" w:eastAsia="es-ES"/>
    </w:rPr>
  </w:style>
  <w:style w:type="paragraph" w:styleId="Prrafodelista">
    <w:name w:val="List Paragraph"/>
    <w:basedOn w:val="Normal"/>
    <w:uiPriority w:val="99"/>
    <w:qFormat/>
    <w:rsid w:val="00C22D21"/>
    <w:pPr>
      <w:spacing w:line="240" w:lineRule="auto"/>
      <w:ind w:left="708"/>
    </w:pPr>
    <w:rPr>
      <w:rFonts w:ascii="Times New Roman" w:eastAsia="Times New Roman" w:hAnsi="Times New Roman"/>
      <w:sz w:val="24"/>
      <w:szCs w:val="24"/>
      <w:lang w:val="es-ES" w:eastAsia="es-ES"/>
    </w:rPr>
  </w:style>
  <w:style w:type="paragraph" w:styleId="Lista2">
    <w:name w:val="List 2"/>
    <w:basedOn w:val="Normal"/>
    <w:rsid w:val="00C22D21"/>
    <w:pPr>
      <w:overflowPunct w:val="0"/>
      <w:autoSpaceDE w:val="0"/>
      <w:autoSpaceDN w:val="0"/>
      <w:adjustRightInd w:val="0"/>
      <w:spacing w:line="240" w:lineRule="auto"/>
      <w:ind w:left="566" w:hanging="283"/>
      <w:textAlignment w:val="baseline"/>
    </w:pPr>
    <w:rPr>
      <w:rFonts w:ascii="Century Gothic" w:eastAsia="Times New Roman" w:hAnsi="Century Gothic"/>
      <w:sz w:val="24"/>
      <w:szCs w:val="20"/>
      <w:lang w:val="es-ES" w:eastAsia="es-ES"/>
    </w:rPr>
  </w:style>
  <w:style w:type="paragraph" w:customStyle="1" w:styleId="Textoindependiente21">
    <w:name w:val="Texto independiente 21"/>
    <w:basedOn w:val="Normal"/>
    <w:rsid w:val="00C22D21"/>
    <w:pPr>
      <w:spacing w:line="360" w:lineRule="auto"/>
      <w:ind w:right="79" w:firstLine="1416"/>
      <w:jc w:val="both"/>
    </w:pPr>
    <w:rPr>
      <w:rFonts w:ascii="CG Times" w:eastAsia="Times New Roman" w:hAnsi="CG Times"/>
      <w:sz w:val="32"/>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DFCD5-5A46-4267-B551-C7339E9A3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668C9-9153-4950-843F-E44B326F219D}">
  <ds:schemaRefs>
    <ds:schemaRef ds:uri="http://schemas.microsoft.com/sharepoint/v3/contenttype/forms"/>
  </ds:schemaRefs>
</ds:datastoreItem>
</file>

<file path=customXml/itemProps3.xml><?xml version="1.0" encoding="utf-8"?>
<ds:datastoreItem xmlns:ds="http://schemas.openxmlformats.org/officeDocument/2006/customXml" ds:itemID="{77D745E2-87CC-4901-B2CF-66FACFD4F662}">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6883</Words>
  <Characters>39238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Silvia Juliana Saavedra Arguello</cp:lastModifiedBy>
  <cp:revision>2</cp:revision>
  <dcterms:created xsi:type="dcterms:W3CDTF">2020-06-10T23:01:00Z</dcterms:created>
  <dcterms:modified xsi:type="dcterms:W3CDTF">2020-06-10T23:01:00Z</dcterms:modified>
</cp:coreProperties>
</file>