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DA" w:rsidRPr="00F61517" w:rsidRDefault="00F61517" w:rsidP="00F378DA">
      <w:pPr>
        <w:spacing w:line="240" w:lineRule="auto"/>
        <w:rPr>
          <w:rFonts w:cs="Arial"/>
          <w:sz w:val="22"/>
          <w:szCs w:val="22"/>
        </w:rPr>
      </w:pPr>
      <w:r>
        <w:rPr>
          <w:rFonts w:cs="Arial"/>
          <w:b/>
          <w:sz w:val="22"/>
          <w:szCs w:val="22"/>
          <w:lang w:val="es-ES_tradnl"/>
        </w:rPr>
        <w:t xml:space="preserve">CONTROVERSIAS CONTRACTUALES </w:t>
      </w:r>
      <w:r w:rsidR="00F378DA" w:rsidRPr="00F61517">
        <w:rPr>
          <w:rFonts w:cs="Arial"/>
          <w:b/>
          <w:sz w:val="22"/>
          <w:szCs w:val="22"/>
          <w:lang w:val="es-ES_tradnl"/>
        </w:rPr>
        <w:t>-</w:t>
      </w:r>
      <w:r w:rsidR="00F378DA" w:rsidRPr="00F61517">
        <w:rPr>
          <w:rFonts w:cs="Arial"/>
          <w:b/>
          <w:sz w:val="22"/>
          <w:szCs w:val="22"/>
        </w:rPr>
        <w:t xml:space="preserve"> Oportunidad</w:t>
      </w:r>
      <w:r w:rsidR="00F378DA" w:rsidRPr="00F61517">
        <w:rPr>
          <w:rFonts w:cs="Arial"/>
          <w:sz w:val="22"/>
          <w:szCs w:val="22"/>
        </w:rPr>
        <w:t xml:space="preserve"> </w:t>
      </w:r>
    </w:p>
    <w:p w:rsidR="00F378DA" w:rsidRPr="00F61517" w:rsidRDefault="00F378DA" w:rsidP="00F378DA">
      <w:pPr>
        <w:spacing w:line="240" w:lineRule="auto"/>
        <w:rPr>
          <w:rFonts w:cs="Arial"/>
          <w:sz w:val="22"/>
          <w:szCs w:val="22"/>
          <w:lang w:val="es-ES_tradnl"/>
        </w:rPr>
      </w:pPr>
    </w:p>
    <w:p w:rsidR="00F378DA" w:rsidRPr="00F61517" w:rsidRDefault="00F378DA" w:rsidP="00F378DA">
      <w:pPr>
        <w:tabs>
          <w:tab w:val="left" w:pos="7797"/>
        </w:tabs>
        <w:spacing w:line="240" w:lineRule="auto"/>
        <w:rPr>
          <w:rFonts w:cs="Arial"/>
          <w:sz w:val="22"/>
          <w:szCs w:val="22"/>
          <w:lang w:val="es-MX"/>
        </w:rPr>
      </w:pPr>
      <w:r w:rsidRPr="00F61517">
        <w:rPr>
          <w:rFonts w:cs="Arial"/>
          <w:sz w:val="22"/>
          <w:szCs w:val="22"/>
          <w:lang w:val="es-MX"/>
        </w:rPr>
        <w:t xml:space="preserve">En el caso concreto se observa que Seguros Colpatria S.A. demandó la nulidad de la Resolución 05641 de 15 de diciembre de 2011 y de su confirmatoria parcial, -modificada en el monto de las multas-, contenida en la Resolución 00129 de 19 de enero de 2012. Esta última resolución se notificó en estrados a Seguros Colpatria S.A., en la misma fecha citada. Así las cosas, teniendo en cuenta que la demanda se presentó el 26 de noviembre de 2013, dentro del término de dos años a que se refiere el artículo 164 del C.P.A.C.A., contado a partir de la notificación de la resolución que resolvió el recurso de reposición reafirmando la declaratoria del siniestro contra la compañía de seguros ahora demandante, se concluye que la demanda se presentó en tiempo. Es decir, no operó la caducidad del medio de control y, por tanto, se encuentra verificado el presupuesto procesal de la oportunidad de la demanda. Por último, se anota que los actos acusados tienen carácter contractual en cuanto se refieren al incumplimiento del Contrato 082 de 2007, a la ocurrencia del siniestro por incumplimiento y a la reclamación pertinente ordenada por el Ministerio de Transporte a Seguros Colpatria S.A., que obró como garante de las respectivas obligaciones contractuales. </w:t>
      </w:r>
    </w:p>
    <w:p w:rsidR="008F7316" w:rsidRPr="00F61517" w:rsidRDefault="008F7316" w:rsidP="008F7316">
      <w:pPr>
        <w:tabs>
          <w:tab w:val="left" w:pos="7797"/>
        </w:tabs>
        <w:spacing w:line="240" w:lineRule="auto"/>
        <w:rPr>
          <w:rFonts w:cs="Arial"/>
          <w:sz w:val="22"/>
          <w:szCs w:val="22"/>
          <w:lang w:val="es-MX"/>
        </w:rPr>
      </w:pPr>
    </w:p>
    <w:p w:rsidR="00F378DA" w:rsidRPr="00F61517" w:rsidRDefault="00F378DA" w:rsidP="008F7316">
      <w:pPr>
        <w:tabs>
          <w:tab w:val="left" w:pos="7797"/>
        </w:tabs>
        <w:spacing w:line="240" w:lineRule="auto"/>
        <w:rPr>
          <w:rFonts w:cs="Arial"/>
          <w:sz w:val="22"/>
          <w:szCs w:val="22"/>
          <w:lang w:val="es-MX"/>
        </w:rPr>
      </w:pPr>
      <w:r w:rsidRPr="00F61517">
        <w:rPr>
          <w:rFonts w:cs="Arial"/>
          <w:b/>
          <w:sz w:val="22"/>
          <w:szCs w:val="22"/>
          <w:lang w:val="es-MX"/>
        </w:rPr>
        <w:t>LEGITIMACIÓN</w:t>
      </w:r>
      <w:r w:rsidR="008F7316" w:rsidRPr="00F61517">
        <w:rPr>
          <w:rFonts w:cs="Arial"/>
          <w:b/>
          <w:sz w:val="22"/>
          <w:szCs w:val="22"/>
          <w:lang w:val="es-MX"/>
        </w:rPr>
        <w:t xml:space="preserve"> EN LA CAUSA </w:t>
      </w:r>
      <w:r w:rsidRPr="00F61517">
        <w:rPr>
          <w:rFonts w:cs="Arial"/>
          <w:b/>
          <w:sz w:val="22"/>
          <w:szCs w:val="22"/>
          <w:lang w:val="es-MX"/>
        </w:rPr>
        <w:t>-</w:t>
      </w:r>
      <w:r w:rsidRPr="00F61517">
        <w:rPr>
          <w:rFonts w:cs="Arial"/>
          <w:sz w:val="22"/>
          <w:szCs w:val="22"/>
          <w:lang w:val="es-MX"/>
        </w:rPr>
        <w:t xml:space="preserve"> </w:t>
      </w:r>
      <w:r w:rsidR="008F7316" w:rsidRPr="00F61517">
        <w:rPr>
          <w:rFonts w:cs="Arial"/>
          <w:b/>
          <w:sz w:val="22"/>
          <w:szCs w:val="22"/>
          <w:lang w:val="es-MX"/>
        </w:rPr>
        <w:t>A</w:t>
      </w:r>
      <w:r w:rsidRPr="00F61517">
        <w:rPr>
          <w:rFonts w:cs="Arial"/>
          <w:b/>
          <w:sz w:val="22"/>
          <w:szCs w:val="22"/>
          <w:lang w:val="es-MX"/>
        </w:rPr>
        <w:t xml:space="preserve">ctiva </w:t>
      </w:r>
      <w:r w:rsidR="00F61517">
        <w:rPr>
          <w:rFonts w:cs="Arial"/>
          <w:b/>
          <w:sz w:val="22"/>
          <w:szCs w:val="22"/>
          <w:lang w:val="es-MX"/>
        </w:rPr>
        <w:t>-</w:t>
      </w:r>
      <w:r w:rsidR="00F61517" w:rsidRPr="00F61517">
        <w:rPr>
          <w:rFonts w:cs="Arial"/>
          <w:b/>
          <w:sz w:val="22"/>
          <w:szCs w:val="22"/>
          <w:lang w:val="es-MX"/>
        </w:rPr>
        <w:t xml:space="preserve"> Aseguradora</w:t>
      </w:r>
      <w:r w:rsidR="00F61517">
        <w:rPr>
          <w:rFonts w:cs="Arial"/>
          <w:sz w:val="22"/>
          <w:szCs w:val="22"/>
          <w:lang w:val="es-MX"/>
        </w:rPr>
        <w:t xml:space="preserve"> </w:t>
      </w:r>
    </w:p>
    <w:p w:rsidR="008F7316" w:rsidRPr="00F61517" w:rsidRDefault="008F7316" w:rsidP="008F7316">
      <w:pPr>
        <w:tabs>
          <w:tab w:val="left" w:pos="7797"/>
        </w:tabs>
        <w:spacing w:line="240" w:lineRule="auto"/>
        <w:rPr>
          <w:rFonts w:cs="Arial"/>
          <w:sz w:val="22"/>
          <w:szCs w:val="22"/>
        </w:rPr>
      </w:pPr>
    </w:p>
    <w:p w:rsidR="00F378DA" w:rsidRPr="00F61517" w:rsidRDefault="00F378DA" w:rsidP="008F7316">
      <w:pPr>
        <w:tabs>
          <w:tab w:val="left" w:pos="7797"/>
        </w:tabs>
        <w:spacing w:line="240" w:lineRule="auto"/>
        <w:rPr>
          <w:rFonts w:cs="Arial"/>
          <w:b/>
          <w:sz w:val="22"/>
          <w:szCs w:val="22"/>
          <w:lang w:val="es-ES_tradnl"/>
        </w:rPr>
      </w:pPr>
      <w:r w:rsidRPr="00F61517">
        <w:rPr>
          <w:rFonts w:cs="Arial"/>
          <w:sz w:val="22"/>
          <w:szCs w:val="22"/>
        </w:rPr>
        <w:t xml:space="preserve">Acerca de la posición de la compañía aseguradora en los litigios relacionados con el contrato estatal, el Consejo de Estado ha observado que su intervención no es obligatoria y que la compañía aseguradora tiene derecho a comparecer al proceso contractual </w:t>
      </w:r>
      <w:r w:rsidRPr="00F61517">
        <w:rPr>
          <w:rFonts w:cs="Arial"/>
          <w:i/>
          <w:sz w:val="22"/>
          <w:szCs w:val="22"/>
        </w:rPr>
        <w:t xml:space="preserve">o a demandar por separado </w:t>
      </w:r>
      <w:r w:rsidRPr="00F61517">
        <w:rPr>
          <w:rFonts w:cs="Arial"/>
          <w:sz w:val="22"/>
          <w:szCs w:val="22"/>
        </w:rPr>
        <w:t xml:space="preserve">dentro del término legal de caducidad, dado que, como regla general, no tiene la condición de </w:t>
      </w:r>
      <w:proofErr w:type="spellStart"/>
      <w:r w:rsidRPr="00F61517">
        <w:rPr>
          <w:rFonts w:cs="Arial"/>
          <w:i/>
          <w:sz w:val="22"/>
          <w:szCs w:val="22"/>
        </w:rPr>
        <w:t>litis</w:t>
      </w:r>
      <w:proofErr w:type="spellEnd"/>
      <w:r w:rsidRPr="00F61517">
        <w:rPr>
          <w:rFonts w:cs="Arial"/>
          <w:i/>
          <w:sz w:val="22"/>
          <w:szCs w:val="22"/>
        </w:rPr>
        <w:t xml:space="preserve"> consorte necesario…</w:t>
      </w:r>
      <w:r w:rsidRPr="00F61517">
        <w:rPr>
          <w:rFonts w:cs="Arial"/>
          <w:sz w:val="22"/>
          <w:szCs w:val="22"/>
          <w:lang w:val="es-ES_tradnl"/>
        </w:rPr>
        <w:t>A la luz del artículo 141 del C.P.A.C.A., en forma similar a lo que establecía el artículo 87 del C.C.A, se deber entender que la aseguradora garante es parte del contrato de seguro, en el cual la entidad estatal es beneficiaria de la póliza de cumplimiento correspondiente, lo que significa que la compañía de seguros está legitimada por activa o por pasiva, según sea el caso, para hacerse parte en los litigios en los que se discute el siniestro por incumplimiento de las obligaciones contractuales garantizadas. De la misma forma, la compañía de seguros está legitimada por activa para demandar los actos administrativos mediante los cuales se declara la ocurrencia del siniestro y aquellos en que se ordena hacer efectiva la póliza de cumplimiento, toda vez que en esas decisiones la aseguradora garante es la directamente afectada, dado que puede ser compelida al pago del siniestro, con la fuerza obligatoria y la presunción de legalidad de tales actos administrativos. En relación con el medio de control contractual, cabe también mencionar la viabilidad de las hipótesis de la acumulación de procesos y de demandas, frente a los supuestos del artículo 148 del C.G.P</w:t>
      </w:r>
      <w:r w:rsidR="008F7316" w:rsidRPr="00F61517">
        <w:rPr>
          <w:rFonts w:cs="Arial"/>
          <w:sz w:val="22"/>
          <w:szCs w:val="22"/>
          <w:lang w:val="es-ES_tradnl"/>
        </w:rPr>
        <w:t>…</w:t>
      </w:r>
      <w:r w:rsidRPr="00F61517">
        <w:rPr>
          <w:rFonts w:cs="Arial"/>
          <w:sz w:val="22"/>
          <w:szCs w:val="22"/>
          <w:lang w:val="es-ES_tradnl"/>
        </w:rPr>
        <w:t>Sin embargo, tales figuras no fueron invocadas en el presente proceso.</w:t>
      </w:r>
      <w:r w:rsidR="008F7316" w:rsidRPr="00F61517">
        <w:rPr>
          <w:rFonts w:cs="Arial"/>
          <w:sz w:val="22"/>
          <w:szCs w:val="22"/>
          <w:lang w:val="es-ES_tradnl"/>
        </w:rPr>
        <w:t xml:space="preserve"> </w:t>
      </w:r>
      <w:r w:rsidRPr="00F61517">
        <w:rPr>
          <w:rFonts w:cs="Arial"/>
          <w:sz w:val="22"/>
          <w:szCs w:val="22"/>
          <w:lang w:val="es-ES_tradnl"/>
        </w:rPr>
        <w:t xml:space="preserve">Como consecuencia, en el asunto litigioso que ahora se debate, es evidente la legitimación activa de Seguros Colpatria S.A. para demandar las resoluciones mediante las cuales se declaró el siniestro por incumplimiento del Contrato 082 de 2007. Se reafirma lo anterior teniendo en cuenta que en los actos administrativos acusados, además de declarar el siniestro, el Ministerio de Transporte ordenó </w:t>
      </w:r>
      <w:r w:rsidRPr="00F61517">
        <w:rPr>
          <w:rFonts w:cs="Arial"/>
          <w:i/>
          <w:sz w:val="22"/>
          <w:szCs w:val="22"/>
          <w:lang w:val="es-ES_tradnl"/>
        </w:rPr>
        <w:t>“efectuar la reclamación pertinente a Seguros Colpatria S.A.”</w:t>
      </w:r>
      <w:r w:rsidRPr="00F61517">
        <w:rPr>
          <w:rFonts w:cs="Arial"/>
          <w:sz w:val="22"/>
          <w:szCs w:val="22"/>
          <w:lang w:val="es-ES_tradnl"/>
        </w:rPr>
        <w:t xml:space="preserve">, de las sumas indicadas en los respectivos actos, </w:t>
      </w:r>
      <w:r w:rsidRPr="00F61517">
        <w:rPr>
          <w:rFonts w:cs="Arial"/>
          <w:i/>
          <w:sz w:val="22"/>
          <w:szCs w:val="22"/>
          <w:lang w:val="es-ES_tradnl"/>
        </w:rPr>
        <w:t xml:space="preserve">“deducido el valor que haya compensado el Ministerio”, </w:t>
      </w:r>
      <w:r w:rsidRPr="00F61517">
        <w:rPr>
          <w:rFonts w:cs="Arial"/>
          <w:sz w:val="22"/>
          <w:szCs w:val="22"/>
          <w:lang w:val="es-ES_tradnl"/>
        </w:rPr>
        <w:t xml:space="preserve">en aplicación de lo dispuesto en los mismos. El anterior contenido indica que a través de las resoluciones cuya nulidad se demanda se declaró una situación jurídica con efectos directos sobre la compañía aseguradora garante, lo cual conlleva el derecho autónomo de demandar los respectivos actos administrativos. Por otra parte, se acepta la pertinencia del proceso judicial iniciado de manera separada, teniendo en cuenta que la compañía de seguros acotó el fundamento de sus pretensiones al debido proceso en relación con su citación como garante, sin debatir en esta </w:t>
      </w:r>
      <w:proofErr w:type="spellStart"/>
      <w:r w:rsidRPr="00F61517">
        <w:rPr>
          <w:rFonts w:cs="Arial"/>
          <w:i/>
          <w:sz w:val="22"/>
          <w:szCs w:val="22"/>
          <w:lang w:val="es-ES_tradnl"/>
        </w:rPr>
        <w:t>litis</w:t>
      </w:r>
      <w:proofErr w:type="spellEnd"/>
      <w:r w:rsidRPr="00F61517">
        <w:rPr>
          <w:rFonts w:cs="Arial"/>
          <w:sz w:val="22"/>
          <w:szCs w:val="22"/>
          <w:lang w:val="es-ES_tradnl"/>
        </w:rPr>
        <w:t xml:space="preserve"> el debido proceso del contratista. Por tanto, de acuerdo con el contenido material de la demanda, se concluye que en el presente litigio solo se debate la nulidad parcial de las resoluciones acusadas, en cuanto a las decisiones que involucran a la aseguradora garante. De manera concreta se advierte que no se discute en este proceso la declaratoria de incumplimiento ni la competencia para expedir los actos con ese contenido, teniendo en cuenta que en las resoluciones demandadas, en forma separada, se declaró el siniestro y se ordenó adelantar la reclamación, lo cual permite adelantar el estudio de los cargos de la apelación, con independencia de lo que se resuelva sobre la declaratoria de incumplimiento en proceso </w:t>
      </w:r>
      <w:r w:rsidRPr="00F61517">
        <w:rPr>
          <w:rFonts w:cs="Arial"/>
          <w:sz w:val="22"/>
          <w:szCs w:val="22"/>
          <w:lang w:val="es-ES_tradnl"/>
        </w:rPr>
        <w:lastRenderedPageBreak/>
        <w:t xml:space="preserve">separado. Finalmente, teniendo en cuenta que la compañía de seguros invocó en la demanda algunos argumentos relacionados con el incumplimiento del contratista, respecto de los cuales el Tribunal a quo advirtió que se ventilaban en otro proceso iniciado por demanda del contratista y que la demandante no presentó argumentos para impugnar dicha consideración de la sentencia, se concluye que en la presente </w:t>
      </w:r>
      <w:proofErr w:type="spellStart"/>
      <w:r w:rsidRPr="00F61517">
        <w:rPr>
          <w:rFonts w:cs="Arial"/>
          <w:sz w:val="22"/>
          <w:szCs w:val="22"/>
          <w:lang w:val="es-ES_tradnl"/>
        </w:rPr>
        <w:t>litis</w:t>
      </w:r>
      <w:proofErr w:type="spellEnd"/>
      <w:r w:rsidRPr="00F61517">
        <w:rPr>
          <w:rFonts w:cs="Arial"/>
          <w:sz w:val="22"/>
          <w:szCs w:val="22"/>
          <w:lang w:val="es-ES_tradnl"/>
        </w:rPr>
        <w:t xml:space="preserve"> solo se resolverá sobre el debido proceso en relación con la compañía de seguros demandante, en cuanto a la pretendida nulidad de la declaración del siniestro y de la orden de reclamación de la póliza de cumplimiento. </w:t>
      </w:r>
    </w:p>
    <w:p w:rsidR="008F7316" w:rsidRPr="00F61517" w:rsidRDefault="008F7316" w:rsidP="008F7316">
      <w:pPr>
        <w:tabs>
          <w:tab w:val="left" w:pos="7797"/>
        </w:tabs>
        <w:spacing w:line="240" w:lineRule="auto"/>
        <w:rPr>
          <w:rFonts w:cs="Arial"/>
          <w:b/>
          <w:sz w:val="22"/>
          <w:szCs w:val="22"/>
          <w:lang w:val="es-ES_tradnl"/>
        </w:rPr>
      </w:pPr>
    </w:p>
    <w:p w:rsidR="00F378DA" w:rsidRPr="00F61517" w:rsidRDefault="00F61517" w:rsidP="008F7316">
      <w:pPr>
        <w:tabs>
          <w:tab w:val="left" w:pos="7797"/>
        </w:tabs>
        <w:spacing w:line="240" w:lineRule="auto"/>
        <w:rPr>
          <w:rFonts w:cs="Arial"/>
          <w:b/>
          <w:sz w:val="22"/>
          <w:szCs w:val="22"/>
          <w:lang w:val="es-MX"/>
        </w:rPr>
      </w:pPr>
      <w:r>
        <w:rPr>
          <w:rFonts w:cs="Arial"/>
          <w:b/>
          <w:sz w:val="22"/>
          <w:szCs w:val="22"/>
          <w:lang w:val="es-MX"/>
        </w:rPr>
        <w:t>POTESTAD SANCIONATORIA - Actuaciones contractuales - Ley 1150 de 2007</w:t>
      </w:r>
    </w:p>
    <w:p w:rsidR="00F378DA" w:rsidRPr="00F61517" w:rsidRDefault="00F378DA" w:rsidP="008F7316">
      <w:pPr>
        <w:tabs>
          <w:tab w:val="left" w:pos="7797"/>
        </w:tabs>
        <w:spacing w:line="240" w:lineRule="auto"/>
        <w:rPr>
          <w:rFonts w:cs="Arial"/>
          <w:sz w:val="22"/>
          <w:szCs w:val="22"/>
          <w:lang w:val="es-MX"/>
        </w:rPr>
      </w:pPr>
    </w:p>
    <w:p w:rsidR="00F378DA" w:rsidRPr="00F61517" w:rsidRDefault="008F7316" w:rsidP="008F7316">
      <w:pPr>
        <w:spacing w:line="240" w:lineRule="auto"/>
        <w:rPr>
          <w:rFonts w:cs="Arial"/>
          <w:sz w:val="22"/>
          <w:szCs w:val="22"/>
        </w:rPr>
      </w:pPr>
      <w:r w:rsidRPr="00F61517">
        <w:rPr>
          <w:rFonts w:cs="Arial"/>
          <w:sz w:val="22"/>
          <w:szCs w:val="22"/>
          <w:lang w:val="es-MX"/>
        </w:rPr>
        <w:t>E</w:t>
      </w:r>
      <w:r w:rsidR="00F378DA" w:rsidRPr="00F61517">
        <w:rPr>
          <w:rFonts w:cs="Arial"/>
          <w:sz w:val="22"/>
          <w:szCs w:val="22"/>
        </w:rPr>
        <w:t xml:space="preserve">n efecto, el artículo 17 de la Ley 1150 de 2007 se refiere al debido proceso en el ejercicio de la potestad sancionatoria que asiste al Estado contratante para declarar el incumplimiento del contrato y a la consecuente exigibilidad de la cláusula penal y de las multas pactadas, al paso que el artículo 7 de la misma ley, se refiere a la declaración del siniestro, esté acompañada o no del ejercicio de la potestad sancionatoria. La potestad sancionatoria en las actuaciones contractuales que se rigen por el derecho administrativo se refiere a aquella competencia en virtud de la cual el Estado contratante puede imponer, mediante acto administrativo, una afectación a la posición contractual del contratista, como consecuencia de la determinación de un incumplimiento del contrato o de una transgresión legal. Las notas características de la potestad sancionatoria contractual, básicamente, se identifican con la imposición de una pena, pero, también, pueden predicarse en aquella actuación mediante la cual el Estado contratante decide imponer consecuencias económicas adversas, restricciones o limitaciones, como reacción a una conducta ilícita del contratista. Por ello, al amparo de la Ley 1150 de 2007, el acto administrativo mediante el cual se declara el incumplimiento del contrato se constituye en ejercicio de una potestad sancionatoria, en la medida en que esa decisión conlleva consecuencias negativas o adversas impuestas por razón de la conducta incumplida. Tales consecuencias comprenden, por ejemplo, la restricción para acceder a nuevas contrataciones o la acumulación de sanciones que puede desembocar en la inhabilidad para contratar, derivada del incumplimiento reiterado del contratista. En el concepto de la potestad sancionatoria que se acaba de expresar, se tiene en cuenta que el poder sancionador del Estado contratante no es equivalente al del </w:t>
      </w:r>
      <w:proofErr w:type="spellStart"/>
      <w:r w:rsidR="00F378DA" w:rsidRPr="00F61517">
        <w:rPr>
          <w:rFonts w:cs="Arial"/>
          <w:i/>
          <w:sz w:val="22"/>
          <w:szCs w:val="22"/>
        </w:rPr>
        <w:t>ius</w:t>
      </w:r>
      <w:proofErr w:type="spellEnd"/>
      <w:r w:rsidR="00F378DA" w:rsidRPr="00F61517">
        <w:rPr>
          <w:rFonts w:cs="Arial"/>
          <w:i/>
          <w:sz w:val="22"/>
          <w:szCs w:val="22"/>
        </w:rPr>
        <w:t xml:space="preserve"> </w:t>
      </w:r>
      <w:proofErr w:type="spellStart"/>
      <w:r w:rsidR="00F378DA" w:rsidRPr="00F61517">
        <w:rPr>
          <w:rFonts w:cs="Arial"/>
          <w:i/>
          <w:sz w:val="22"/>
          <w:szCs w:val="22"/>
        </w:rPr>
        <w:t>puniendi</w:t>
      </w:r>
      <w:proofErr w:type="spellEnd"/>
      <w:r w:rsidR="00F378DA" w:rsidRPr="00F61517">
        <w:rPr>
          <w:rFonts w:cs="Arial"/>
          <w:sz w:val="22"/>
          <w:szCs w:val="22"/>
        </w:rPr>
        <w:t xml:space="preserve"> del derecho penal, es decir, no se corresponde con la modalidad de la represión frente al ilícito penal, aunque comparta principios básicos como lo son la tipicidad y la legalidad. </w:t>
      </w:r>
    </w:p>
    <w:p w:rsidR="00DF1760" w:rsidRPr="00F61517" w:rsidRDefault="00DF1760" w:rsidP="008F7316">
      <w:pPr>
        <w:spacing w:line="240" w:lineRule="auto"/>
        <w:rPr>
          <w:rFonts w:cs="Arial"/>
          <w:sz w:val="22"/>
          <w:szCs w:val="22"/>
        </w:rPr>
      </w:pPr>
    </w:p>
    <w:p w:rsidR="00DF1760" w:rsidRPr="00F61517" w:rsidRDefault="008F7316" w:rsidP="008F7316">
      <w:pPr>
        <w:spacing w:line="240" w:lineRule="auto"/>
        <w:rPr>
          <w:rFonts w:cs="Arial"/>
          <w:b/>
          <w:sz w:val="22"/>
          <w:szCs w:val="22"/>
        </w:rPr>
      </w:pPr>
      <w:r w:rsidRPr="00F61517">
        <w:rPr>
          <w:rFonts w:cs="Arial"/>
          <w:b/>
          <w:sz w:val="22"/>
          <w:szCs w:val="22"/>
        </w:rPr>
        <w:t xml:space="preserve">ACTO ADMINISTRATIVO </w:t>
      </w:r>
      <w:bookmarkStart w:id="0" w:name="_GoBack"/>
      <w:r w:rsidR="00F61517">
        <w:rPr>
          <w:rFonts w:cs="Arial"/>
          <w:b/>
          <w:sz w:val="22"/>
          <w:szCs w:val="22"/>
        </w:rPr>
        <w:t xml:space="preserve">- Efectividad de la póliza de seguro - Cumplimiento </w:t>
      </w:r>
      <w:r w:rsidR="00DF1760" w:rsidRPr="00F61517">
        <w:rPr>
          <w:rFonts w:cs="Arial"/>
          <w:b/>
          <w:sz w:val="22"/>
          <w:szCs w:val="22"/>
        </w:rPr>
        <w:t xml:space="preserve">- </w:t>
      </w:r>
      <w:r w:rsidRPr="00F61517">
        <w:rPr>
          <w:rFonts w:cs="Arial"/>
          <w:b/>
          <w:sz w:val="22"/>
          <w:szCs w:val="22"/>
        </w:rPr>
        <w:t>Naturaleza</w:t>
      </w:r>
    </w:p>
    <w:bookmarkEnd w:id="0"/>
    <w:p w:rsidR="008F7316" w:rsidRPr="00F61517" w:rsidRDefault="008F7316" w:rsidP="008F7316">
      <w:pPr>
        <w:spacing w:line="240" w:lineRule="auto"/>
        <w:rPr>
          <w:rFonts w:cs="Arial"/>
          <w:sz w:val="22"/>
          <w:szCs w:val="22"/>
        </w:rPr>
      </w:pPr>
    </w:p>
    <w:p w:rsidR="00F378DA" w:rsidRDefault="00DF1760" w:rsidP="008F7316">
      <w:pPr>
        <w:spacing w:line="240" w:lineRule="auto"/>
        <w:rPr>
          <w:rFonts w:cs="Arial"/>
          <w:sz w:val="22"/>
          <w:szCs w:val="22"/>
          <w:lang w:val="es-CO"/>
        </w:rPr>
      </w:pPr>
      <w:r w:rsidRPr="00F61517">
        <w:rPr>
          <w:rFonts w:cs="Arial"/>
          <w:sz w:val="22"/>
          <w:szCs w:val="22"/>
        </w:rPr>
        <w:t xml:space="preserve">El acto administrativo por el cual se hace efectiva una póliza de seguro de cumplimiento no constituye expresión de una potestad sancionatoria del Estado, sino el ejercicio de un derecho de origen contractual frente a la compañía aseguradora, en el seno del contrato asegurado o garantizado. Desde esa perspectiva, el procedimiento que se sigue contra la compañía de seguros no tiene por objeto imponerle una sanción, sino que está destinado a hacer efectiva la garantía.  Sin embargo, se debe advertir que la Ley 1474 de 2011 fue asertiva cuando dispuso la vinculación de los garantes del contrato estatal al proceso sancionatorio que debe seguir la entidad estatal contratante, previo a declarar el incumplimiento del contratista en el contrato estatal.  Antes de la expedición de la Ley 1474 de 2011, las reglas del debido proceso en la actuación administrativa contractual destinada a hacer efectiva la póliza de seguros se rigieron el Código Contencioso Administrativo, sin perjuicio de la observancia del procedimiento de reclamación previsto en el artículo 1077 del Código de Comercio, hasta que la Ley 1150 de 2007 se refirió de manera especial al proceso sancionatorio contractual, de manera específica frente a las multas y la cláusula penal. De acuerdo con la anterior jurisprudencia, en todas las actuaciones referidas en la Ley 1474 de 2011 el debido proceso debe garantizarse de manera real y sustancial, esto es, que no se trata de que el Estado cumpla con un rito en la actuación administrativa, dado que para efectos de la protección efectiva del debido proceso se requiere que el Estado permita la defensa real y material del contratista, y, en su caso, la de la entidad garante del cumplimiento del contrato. Sin embargo, desde otro ángulo de la misma situación jurídica, con idéntico fundamento en el principio constitucional del debido proceso y en la garantía </w:t>
      </w:r>
      <w:r w:rsidRPr="00F61517">
        <w:rPr>
          <w:rFonts w:cs="Arial"/>
          <w:sz w:val="22"/>
          <w:szCs w:val="22"/>
        </w:rPr>
        <w:lastRenderedPageBreak/>
        <w:t xml:space="preserve">del derecho de defensa, se tiene que advertir que el afectado que </w:t>
      </w:r>
      <w:r w:rsidRPr="00F61517">
        <w:rPr>
          <w:rFonts w:cs="Arial"/>
          <w:sz w:val="22"/>
          <w:szCs w:val="22"/>
          <w:lang w:val="es-CO"/>
        </w:rPr>
        <w:t>impugna un acto administrativo invocando una irregularidad procedimental debe demostrar que la misma se produjo aparejada de una decisión que afectó materialmente sus derechos, para que esa irregularidad pueda ser considerada como constitutiva de la vulneración al debido proceso.</w:t>
      </w:r>
    </w:p>
    <w:p w:rsidR="00F61517" w:rsidRPr="00F61517" w:rsidRDefault="00F61517" w:rsidP="008F7316">
      <w:pPr>
        <w:spacing w:line="240" w:lineRule="auto"/>
        <w:rPr>
          <w:rFonts w:cs="Arial"/>
          <w:sz w:val="22"/>
          <w:szCs w:val="22"/>
          <w:lang w:val="es-CO"/>
        </w:rPr>
      </w:pPr>
    </w:p>
    <w:p w:rsidR="00F61517" w:rsidRPr="00DF1760" w:rsidRDefault="00F61517" w:rsidP="008F7316">
      <w:pPr>
        <w:spacing w:line="240" w:lineRule="auto"/>
        <w:rPr>
          <w:rFonts w:cs="Arial"/>
          <w:lang w:val="es-CO"/>
        </w:rPr>
      </w:pPr>
    </w:p>
    <w:p w:rsidR="00E36FCC" w:rsidRPr="00415AD8" w:rsidRDefault="00C85395" w:rsidP="00415AD8">
      <w:pPr>
        <w:spacing w:line="240" w:lineRule="auto"/>
        <w:jc w:val="center"/>
        <w:rPr>
          <w:rFonts w:cs="Arial"/>
          <w:b/>
        </w:rPr>
      </w:pPr>
      <w:r w:rsidRPr="00415AD8">
        <w:rPr>
          <w:rFonts w:cs="Arial"/>
          <w:b/>
        </w:rPr>
        <w:t>CONSEJO DE ESTADO</w:t>
      </w:r>
    </w:p>
    <w:p w:rsidR="00501C20" w:rsidRPr="00415AD8" w:rsidRDefault="00501C20" w:rsidP="00415AD8">
      <w:pPr>
        <w:spacing w:line="240" w:lineRule="auto"/>
        <w:jc w:val="center"/>
        <w:rPr>
          <w:rFonts w:cs="Arial"/>
          <w:b/>
        </w:rPr>
      </w:pPr>
    </w:p>
    <w:p w:rsidR="00C85395" w:rsidRPr="00415AD8" w:rsidRDefault="00C85395" w:rsidP="00415AD8">
      <w:pPr>
        <w:spacing w:line="240" w:lineRule="auto"/>
        <w:jc w:val="center"/>
        <w:rPr>
          <w:rFonts w:cs="Arial"/>
          <w:b/>
        </w:rPr>
      </w:pPr>
      <w:r w:rsidRPr="00415AD8">
        <w:rPr>
          <w:rFonts w:cs="Arial"/>
          <w:b/>
        </w:rPr>
        <w:t>SALA DE LO CONTENCIOSO ADMINISTRATIVO</w:t>
      </w:r>
    </w:p>
    <w:p w:rsidR="00501C20" w:rsidRPr="00415AD8" w:rsidRDefault="00501C20" w:rsidP="00415AD8">
      <w:pPr>
        <w:spacing w:line="240" w:lineRule="auto"/>
        <w:jc w:val="center"/>
        <w:rPr>
          <w:rFonts w:cs="Arial"/>
          <w:b/>
        </w:rPr>
      </w:pPr>
    </w:p>
    <w:p w:rsidR="00415AD8" w:rsidRPr="00415AD8" w:rsidRDefault="000E6697" w:rsidP="00415AD8">
      <w:pPr>
        <w:spacing w:line="240" w:lineRule="auto"/>
        <w:jc w:val="center"/>
        <w:rPr>
          <w:rFonts w:cs="Arial"/>
          <w:b/>
        </w:rPr>
      </w:pPr>
      <w:r w:rsidRPr="00415AD8">
        <w:rPr>
          <w:rFonts w:cs="Arial"/>
          <w:b/>
        </w:rPr>
        <w:t>SECCIÓ</w:t>
      </w:r>
      <w:r w:rsidR="00C85395" w:rsidRPr="00415AD8">
        <w:rPr>
          <w:rFonts w:cs="Arial"/>
          <w:b/>
        </w:rPr>
        <w:t>N TERCERA</w:t>
      </w:r>
    </w:p>
    <w:p w:rsidR="00415AD8" w:rsidRPr="00415AD8" w:rsidRDefault="00415AD8" w:rsidP="00415AD8">
      <w:pPr>
        <w:spacing w:line="240" w:lineRule="auto"/>
        <w:jc w:val="center"/>
        <w:rPr>
          <w:rFonts w:cs="Arial"/>
          <w:b/>
        </w:rPr>
      </w:pPr>
    </w:p>
    <w:p w:rsidR="00C85395" w:rsidRPr="00415AD8" w:rsidRDefault="000E6697" w:rsidP="00415AD8">
      <w:pPr>
        <w:spacing w:line="240" w:lineRule="auto"/>
        <w:jc w:val="center"/>
        <w:rPr>
          <w:rFonts w:cs="Arial"/>
          <w:b/>
        </w:rPr>
      </w:pPr>
      <w:r w:rsidRPr="00415AD8">
        <w:rPr>
          <w:rFonts w:cs="Arial"/>
          <w:b/>
        </w:rPr>
        <w:t>SUBSECCIÓ</w:t>
      </w:r>
      <w:r w:rsidR="009479F7" w:rsidRPr="00415AD8">
        <w:rPr>
          <w:rFonts w:cs="Arial"/>
          <w:b/>
        </w:rPr>
        <w:t>N A</w:t>
      </w:r>
    </w:p>
    <w:p w:rsidR="0009687C" w:rsidRPr="00415AD8" w:rsidRDefault="0009687C" w:rsidP="00415AD8">
      <w:pPr>
        <w:pStyle w:val="Encabezado"/>
        <w:spacing w:line="240" w:lineRule="auto"/>
        <w:jc w:val="center"/>
        <w:rPr>
          <w:rFonts w:cs="Arial"/>
          <w:b/>
          <w:szCs w:val="24"/>
          <w:lang w:val="es-CO"/>
        </w:rPr>
      </w:pPr>
    </w:p>
    <w:p w:rsidR="00C85395" w:rsidRPr="00415AD8" w:rsidRDefault="00C85395" w:rsidP="00415AD8">
      <w:pPr>
        <w:pStyle w:val="Encabezado"/>
        <w:spacing w:line="240" w:lineRule="auto"/>
        <w:jc w:val="center"/>
        <w:rPr>
          <w:rFonts w:cs="Arial"/>
          <w:spacing w:val="-3"/>
          <w:szCs w:val="24"/>
          <w:lang w:val="es-CO"/>
        </w:rPr>
      </w:pPr>
      <w:r w:rsidRPr="00415AD8">
        <w:rPr>
          <w:rFonts w:cs="Arial"/>
          <w:b/>
          <w:szCs w:val="24"/>
          <w:lang w:val="es-CO"/>
        </w:rPr>
        <w:t>Consej</w:t>
      </w:r>
      <w:r w:rsidR="00F556DB" w:rsidRPr="00415AD8">
        <w:rPr>
          <w:rFonts w:cs="Arial"/>
          <w:b/>
          <w:szCs w:val="24"/>
          <w:lang w:val="es-CO"/>
        </w:rPr>
        <w:t>er</w:t>
      </w:r>
      <w:r w:rsidR="007A5146" w:rsidRPr="00415AD8">
        <w:rPr>
          <w:rFonts w:cs="Arial"/>
          <w:b/>
          <w:szCs w:val="24"/>
          <w:lang w:val="es-CO"/>
        </w:rPr>
        <w:t>a</w:t>
      </w:r>
      <w:r w:rsidR="00F556DB" w:rsidRPr="00415AD8">
        <w:rPr>
          <w:rFonts w:cs="Arial"/>
          <w:b/>
          <w:szCs w:val="24"/>
          <w:lang w:val="es-CO"/>
        </w:rPr>
        <w:t xml:space="preserve"> ponente: </w:t>
      </w:r>
      <w:r w:rsidR="00CC29BA" w:rsidRPr="00415AD8">
        <w:rPr>
          <w:rFonts w:cs="Arial"/>
          <w:b/>
          <w:szCs w:val="24"/>
          <w:lang w:val="es-CO"/>
        </w:rPr>
        <w:t>MARTA NUBIA VELÁSQUEZ RICO</w:t>
      </w:r>
    </w:p>
    <w:p w:rsidR="0009687C" w:rsidRPr="00415AD8" w:rsidRDefault="0009687C" w:rsidP="00415AD8">
      <w:pPr>
        <w:spacing w:line="240" w:lineRule="auto"/>
        <w:rPr>
          <w:rFonts w:cs="Arial"/>
        </w:rPr>
      </w:pPr>
    </w:p>
    <w:p w:rsidR="00F21484" w:rsidRPr="00415AD8" w:rsidRDefault="00F21484" w:rsidP="00415AD8">
      <w:pPr>
        <w:spacing w:line="240" w:lineRule="auto"/>
        <w:jc w:val="left"/>
        <w:rPr>
          <w:rFonts w:cs="Arial"/>
        </w:rPr>
      </w:pPr>
      <w:r w:rsidRPr="00415AD8">
        <w:rPr>
          <w:rFonts w:cs="Arial"/>
        </w:rPr>
        <w:t>B</w:t>
      </w:r>
      <w:r w:rsidR="00025C7D" w:rsidRPr="00415AD8">
        <w:rPr>
          <w:rFonts w:cs="Arial"/>
        </w:rPr>
        <w:t>ogotá</w:t>
      </w:r>
      <w:r w:rsidR="009475CD">
        <w:rPr>
          <w:rFonts w:cs="Arial"/>
        </w:rPr>
        <w:t>,</w:t>
      </w:r>
      <w:r w:rsidR="00025C7D" w:rsidRPr="00415AD8">
        <w:rPr>
          <w:rFonts w:cs="Arial"/>
        </w:rPr>
        <w:t xml:space="preserve"> D.C.,</w:t>
      </w:r>
      <w:r w:rsidR="00D35CE2" w:rsidRPr="00415AD8">
        <w:rPr>
          <w:rFonts w:cs="Arial"/>
        </w:rPr>
        <w:t xml:space="preserve"> </w:t>
      </w:r>
      <w:r w:rsidR="00D441B0" w:rsidRPr="00415AD8">
        <w:rPr>
          <w:rFonts w:cs="Arial"/>
        </w:rPr>
        <w:t>veintitrés (</w:t>
      </w:r>
      <w:r w:rsidR="00D35CE2" w:rsidRPr="00415AD8">
        <w:rPr>
          <w:rFonts w:cs="Arial"/>
        </w:rPr>
        <w:t>23</w:t>
      </w:r>
      <w:r w:rsidR="00D441B0" w:rsidRPr="00415AD8">
        <w:rPr>
          <w:rFonts w:cs="Arial"/>
        </w:rPr>
        <w:t>)</w:t>
      </w:r>
      <w:r w:rsidR="00D35CE2" w:rsidRPr="00415AD8">
        <w:rPr>
          <w:rFonts w:cs="Arial"/>
        </w:rPr>
        <w:t xml:space="preserve"> de noviembre de </w:t>
      </w:r>
      <w:r w:rsidR="00D441B0" w:rsidRPr="00415AD8">
        <w:rPr>
          <w:rFonts w:cs="Arial"/>
        </w:rPr>
        <w:t>dos mil diecisiete (</w:t>
      </w:r>
      <w:r w:rsidR="00D35CE2" w:rsidRPr="00415AD8">
        <w:rPr>
          <w:rFonts w:cs="Arial"/>
        </w:rPr>
        <w:t>2017</w:t>
      </w:r>
      <w:r w:rsidR="00D441B0" w:rsidRPr="00415AD8">
        <w:rPr>
          <w:rFonts w:cs="Arial"/>
        </w:rPr>
        <w:t>)</w:t>
      </w:r>
    </w:p>
    <w:p w:rsidR="007C1872" w:rsidRPr="00415AD8" w:rsidRDefault="007C1872" w:rsidP="00415AD8">
      <w:pPr>
        <w:spacing w:line="240" w:lineRule="auto"/>
        <w:rPr>
          <w:rFonts w:cs="Arial"/>
          <w:b/>
        </w:rPr>
      </w:pPr>
    </w:p>
    <w:p w:rsidR="00C95AFA" w:rsidRPr="00415AD8" w:rsidRDefault="00024662" w:rsidP="00415AD8">
      <w:pPr>
        <w:spacing w:line="240" w:lineRule="auto"/>
        <w:rPr>
          <w:rFonts w:cs="Arial"/>
          <w:b/>
        </w:rPr>
      </w:pPr>
      <w:r w:rsidRPr="00415AD8">
        <w:rPr>
          <w:rFonts w:cs="Arial"/>
          <w:b/>
        </w:rPr>
        <w:t>Radicación</w:t>
      </w:r>
      <w:r w:rsidR="00415AD8" w:rsidRPr="00415AD8">
        <w:rPr>
          <w:rFonts w:cs="Arial"/>
          <w:b/>
        </w:rPr>
        <w:t xml:space="preserve"> número: </w:t>
      </w:r>
      <w:r w:rsidR="002D7B53" w:rsidRPr="00415AD8">
        <w:rPr>
          <w:rFonts w:cs="Arial"/>
          <w:b/>
        </w:rPr>
        <w:t>25000</w:t>
      </w:r>
      <w:r w:rsidR="00415AD8" w:rsidRPr="00415AD8">
        <w:rPr>
          <w:rFonts w:cs="Arial"/>
          <w:b/>
        </w:rPr>
        <w:t>-</w:t>
      </w:r>
      <w:r w:rsidR="002D7B53" w:rsidRPr="00415AD8">
        <w:rPr>
          <w:rFonts w:cs="Arial"/>
          <w:b/>
        </w:rPr>
        <w:t>23</w:t>
      </w:r>
      <w:r w:rsidR="00415AD8" w:rsidRPr="00415AD8">
        <w:rPr>
          <w:rFonts w:cs="Arial"/>
          <w:b/>
        </w:rPr>
        <w:t>-</w:t>
      </w:r>
      <w:r w:rsidR="002D7B53" w:rsidRPr="00415AD8">
        <w:rPr>
          <w:rFonts w:cs="Arial"/>
          <w:b/>
        </w:rPr>
        <w:t>36</w:t>
      </w:r>
      <w:r w:rsidR="00415AD8" w:rsidRPr="00415AD8">
        <w:rPr>
          <w:rFonts w:cs="Arial"/>
          <w:b/>
        </w:rPr>
        <w:t>-</w:t>
      </w:r>
      <w:r w:rsidR="002D7B53" w:rsidRPr="00415AD8">
        <w:rPr>
          <w:rFonts w:cs="Arial"/>
          <w:b/>
        </w:rPr>
        <w:t>000</w:t>
      </w:r>
      <w:r w:rsidR="00415AD8" w:rsidRPr="00415AD8">
        <w:rPr>
          <w:rFonts w:cs="Arial"/>
          <w:b/>
        </w:rPr>
        <w:t>-</w:t>
      </w:r>
      <w:r w:rsidR="002D7B53" w:rsidRPr="00415AD8">
        <w:rPr>
          <w:rFonts w:cs="Arial"/>
          <w:b/>
        </w:rPr>
        <w:t>2013</w:t>
      </w:r>
      <w:r w:rsidR="00415AD8" w:rsidRPr="00415AD8">
        <w:rPr>
          <w:rFonts w:cs="Arial"/>
          <w:b/>
        </w:rPr>
        <w:t>-</w:t>
      </w:r>
      <w:r w:rsidR="002D7B53" w:rsidRPr="00415AD8">
        <w:rPr>
          <w:rFonts w:cs="Arial"/>
          <w:b/>
        </w:rPr>
        <w:t>02063</w:t>
      </w:r>
      <w:r w:rsidR="00415AD8" w:rsidRPr="00415AD8">
        <w:rPr>
          <w:rFonts w:cs="Arial"/>
          <w:b/>
        </w:rPr>
        <w:t>-01</w:t>
      </w:r>
      <w:r w:rsidRPr="00415AD8">
        <w:rPr>
          <w:rFonts w:cs="Arial"/>
          <w:b/>
        </w:rPr>
        <w:t>(</w:t>
      </w:r>
      <w:r w:rsidR="002D7B53" w:rsidRPr="00415AD8">
        <w:rPr>
          <w:rFonts w:cs="Arial"/>
          <w:b/>
        </w:rPr>
        <w:t>53861</w:t>
      </w:r>
      <w:r w:rsidRPr="00415AD8">
        <w:rPr>
          <w:rFonts w:cs="Arial"/>
          <w:b/>
        </w:rPr>
        <w:t>)</w:t>
      </w:r>
    </w:p>
    <w:p w:rsidR="00501C20" w:rsidRPr="00415AD8" w:rsidRDefault="00501C20" w:rsidP="00415AD8">
      <w:pPr>
        <w:spacing w:line="240" w:lineRule="auto"/>
        <w:rPr>
          <w:rFonts w:cs="Arial"/>
          <w:b/>
        </w:rPr>
      </w:pPr>
    </w:p>
    <w:p w:rsidR="00501C20" w:rsidRPr="00415AD8" w:rsidRDefault="00415AD8" w:rsidP="00415AD8">
      <w:pPr>
        <w:spacing w:line="240" w:lineRule="auto"/>
        <w:rPr>
          <w:rFonts w:cs="Arial"/>
          <w:b/>
        </w:rPr>
      </w:pPr>
      <w:r w:rsidRPr="00415AD8">
        <w:rPr>
          <w:rFonts w:cs="Arial"/>
          <w:b/>
        </w:rPr>
        <w:t xml:space="preserve">Actor: </w:t>
      </w:r>
      <w:r w:rsidR="00D56A25" w:rsidRPr="00415AD8">
        <w:rPr>
          <w:rFonts w:cs="Arial"/>
          <w:b/>
        </w:rPr>
        <w:t xml:space="preserve">SEGUROS </w:t>
      </w:r>
      <w:r w:rsidR="002D7B53" w:rsidRPr="00415AD8">
        <w:rPr>
          <w:rFonts w:cs="Arial"/>
          <w:b/>
        </w:rPr>
        <w:t>COLPATRIA S.A.</w:t>
      </w:r>
    </w:p>
    <w:p w:rsidR="002D7B53" w:rsidRPr="00415AD8" w:rsidRDefault="00D56A25" w:rsidP="00415AD8">
      <w:pPr>
        <w:spacing w:line="240" w:lineRule="auto"/>
        <w:rPr>
          <w:rFonts w:cs="Arial"/>
          <w:b/>
        </w:rPr>
      </w:pPr>
      <w:r w:rsidRPr="00415AD8">
        <w:rPr>
          <w:rFonts w:cs="Arial"/>
          <w:b/>
        </w:rPr>
        <w:t xml:space="preserve"> </w:t>
      </w:r>
    </w:p>
    <w:p w:rsidR="00024662" w:rsidRPr="00415AD8" w:rsidRDefault="00415AD8" w:rsidP="00415AD8">
      <w:pPr>
        <w:spacing w:line="240" w:lineRule="auto"/>
        <w:rPr>
          <w:rFonts w:cs="Arial"/>
          <w:b/>
        </w:rPr>
      </w:pPr>
      <w:r w:rsidRPr="00415AD8">
        <w:rPr>
          <w:rFonts w:cs="Arial"/>
          <w:b/>
        </w:rPr>
        <w:t xml:space="preserve">Demandado: </w:t>
      </w:r>
      <w:r w:rsidR="002D7B53" w:rsidRPr="00415AD8">
        <w:rPr>
          <w:rFonts w:cs="Arial"/>
          <w:b/>
        </w:rPr>
        <w:t>MINISTERIO DE TRANSPORTE</w:t>
      </w:r>
    </w:p>
    <w:p w:rsidR="00501C20" w:rsidRPr="00415AD8" w:rsidRDefault="00501C20" w:rsidP="00415AD8">
      <w:pPr>
        <w:spacing w:line="240" w:lineRule="auto"/>
        <w:rPr>
          <w:rFonts w:cs="Arial"/>
          <w:b/>
        </w:rPr>
      </w:pPr>
    </w:p>
    <w:p w:rsidR="00415AD8" w:rsidRPr="00415AD8" w:rsidRDefault="00415AD8" w:rsidP="00415AD8">
      <w:pPr>
        <w:spacing w:line="240" w:lineRule="auto"/>
        <w:rPr>
          <w:rFonts w:cs="Arial"/>
          <w:b/>
        </w:rPr>
      </w:pPr>
    </w:p>
    <w:p w:rsidR="00415AD8" w:rsidRPr="00415AD8" w:rsidRDefault="00415AD8" w:rsidP="00415AD8">
      <w:pPr>
        <w:spacing w:line="240" w:lineRule="auto"/>
        <w:rPr>
          <w:rFonts w:cs="Arial"/>
          <w:b/>
        </w:rPr>
      </w:pPr>
    </w:p>
    <w:p w:rsidR="00556C0C" w:rsidRPr="00415AD8" w:rsidRDefault="00415AD8" w:rsidP="00415AD8">
      <w:pPr>
        <w:spacing w:line="240" w:lineRule="auto"/>
        <w:rPr>
          <w:rFonts w:cs="Arial"/>
          <w:b/>
        </w:rPr>
      </w:pPr>
      <w:r w:rsidRPr="00415AD8">
        <w:rPr>
          <w:rFonts w:cs="Arial"/>
          <w:b/>
        </w:rPr>
        <w:t xml:space="preserve">Referencia: APELACIÓN SENTENCIA </w:t>
      </w:r>
      <w:r w:rsidR="00005D25">
        <w:rPr>
          <w:rFonts w:cs="Arial"/>
          <w:b/>
        </w:rPr>
        <w:t>–</w:t>
      </w:r>
      <w:r w:rsidRPr="00415AD8">
        <w:rPr>
          <w:rFonts w:cs="Arial"/>
          <w:b/>
        </w:rPr>
        <w:t xml:space="preserve"> </w:t>
      </w:r>
      <w:r w:rsidR="00005D25">
        <w:rPr>
          <w:rFonts w:cs="Arial"/>
          <w:b/>
        </w:rPr>
        <w:t xml:space="preserve">MEDIO DE CONTROL </w:t>
      </w:r>
      <w:r w:rsidRPr="00415AD8">
        <w:rPr>
          <w:rFonts w:cs="Arial"/>
          <w:b/>
        </w:rPr>
        <w:t>DE CONTROVERSIAS CONTRACTUALES - Ley 1437 de 2011</w:t>
      </w:r>
    </w:p>
    <w:p w:rsidR="00556C0C" w:rsidRPr="00415AD8" w:rsidRDefault="00556C0C" w:rsidP="00415AD8">
      <w:pPr>
        <w:spacing w:line="240" w:lineRule="auto"/>
        <w:rPr>
          <w:rFonts w:cs="Arial"/>
          <w:b/>
        </w:rPr>
      </w:pPr>
    </w:p>
    <w:p w:rsidR="00556C0C" w:rsidRPr="00415AD8" w:rsidRDefault="00556C0C" w:rsidP="00415AD8">
      <w:pPr>
        <w:spacing w:line="240" w:lineRule="auto"/>
        <w:rPr>
          <w:rFonts w:cs="Arial"/>
          <w:b/>
          <w:i/>
        </w:rPr>
      </w:pPr>
    </w:p>
    <w:p w:rsidR="00415AD8" w:rsidRPr="00415AD8" w:rsidRDefault="00415AD8" w:rsidP="00415AD8">
      <w:pPr>
        <w:spacing w:line="240" w:lineRule="auto"/>
        <w:rPr>
          <w:rFonts w:cs="Arial"/>
          <w:b/>
          <w:i/>
        </w:rPr>
      </w:pPr>
    </w:p>
    <w:p w:rsidR="00AD7B64" w:rsidRPr="00415AD8" w:rsidRDefault="00C87C3A" w:rsidP="00415AD8">
      <w:pPr>
        <w:spacing w:line="276" w:lineRule="auto"/>
        <w:contextualSpacing/>
        <w:rPr>
          <w:rFonts w:cs="Arial"/>
          <w:bCs/>
          <w:i/>
          <w:iCs/>
        </w:rPr>
      </w:pPr>
      <w:r w:rsidRPr="00415AD8">
        <w:rPr>
          <w:rFonts w:cs="Arial"/>
          <w:i/>
        </w:rPr>
        <w:t xml:space="preserve">Temas: </w:t>
      </w:r>
      <w:r w:rsidR="007C1872" w:rsidRPr="00415AD8">
        <w:rPr>
          <w:rFonts w:cs="Arial"/>
          <w:i/>
        </w:rPr>
        <w:t>COMPAÑÍA DE SEGUROS –citación al procedimiento sancionatorio</w:t>
      </w:r>
      <w:r w:rsidR="002A7CE2" w:rsidRPr="00415AD8">
        <w:rPr>
          <w:rFonts w:cs="Arial"/>
          <w:i/>
        </w:rPr>
        <w:t xml:space="preserve"> de la Ley 1474 de 2011</w:t>
      </w:r>
      <w:r w:rsidR="007C1872" w:rsidRPr="00415AD8">
        <w:rPr>
          <w:rFonts w:cs="Arial"/>
          <w:i/>
        </w:rPr>
        <w:t xml:space="preserve"> / DEBIDO PROCESO – cumplimiento material de la convocatoria </w:t>
      </w:r>
      <w:r w:rsidR="003E0E2B" w:rsidRPr="00415AD8">
        <w:rPr>
          <w:rFonts w:cs="Arial"/>
          <w:i/>
        </w:rPr>
        <w:t>a</w:t>
      </w:r>
      <w:r w:rsidR="007C1872" w:rsidRPr="00415AD8">
        <w:rPr>
          <w:rFonts w:cs="Arial"/>
          <w:i/>
        </w:rPr>
        <w:t xml:space="preserve"> la aseguradora garante</w:t>
      </w:r>
      <w:r w:rsidR="00AD7B64" w:rsidRPr="00415AD8">
        <w:rPr>
          <w:rFonts w:cs="Arial"/>
          <w:i/>
        </w:rPr>
        <w:t xml:space="preserve"> </w:t>
      </w:r>
      <w:r w:rsidR="00406F23" w:rsidRPr="00415AD8">
        <w:rPr>
          <w:rFonts w:cs="Arial"/>
          <w:i/>
        </w:rPr>
        <w:t xml:space="preserve">para declarar el siniestro por incumplimiento </w:t>
      </w:r>
      <w:r w:rsidR="003E0E2B" w:rsidRPr="00415AD8">
        <w:rPr>
          <w:rFonts w:cs="Arial"/>
          <w:bCs/>
          <w:i/>
          <w:iCs/>
        </w:rPr>
        <w:t xml:space="preserve">/ </w:t>
      </w:r>
      <w:r w:rsidR="00C635C9" w:rsidRPr="00415AD8">
        <w:rPr>
          <w:rFonts w:cs="Arial"/>
          <w:bCs/>
          <w:i/>
          <w:iCs/>
        </w:rPr>
        <w:t xml:space="preserve">PROCESO SANCIONATORIO – la aseguradora garante puede ser citada con el mismo pliego de cargos / </w:t>
      </w:r>
      <w:r w:rsidR="003E0E2B" w:rsidRPr="00415AD8">
        <w:rPr>
          <w:rFonts w:cs="Arial"/>
          <w:bCs/>
          <w:i/>
          <w:iCs/>
        </w:rPr>
        <w:t>PÓLIZA DE CUMP</w:t>
      </w:r>
      <w:r w:rsidR="00406F23" w:rsidRPr="00415AD8">
        <w:rPr>
          <w:rFonts w:cs="Arial"/>
          <w:bCs/>
          <w:i/>
          <w:iCs/>
        </w:rPr>
        <w:t>LI</w:t>
      </w:r>
      <w:r w:rsidR="003E0E2B" w:rsidRPr="00415AD8">
        <w:rPr>
          <w:rFonts w:cs="Arial"/>
          <w:bCs/>
          <w:i/>
          <w:iCs/>
        </w:rPr>
        <w:t>MIENTO</w:t>
      </w:r>
      <w:r w:rsidR="00A07E88" w:rsidRPr="00415AD8">
        <w:rPr>
          <w:rFonts w:cs="Arial"/>
          <w:bCs/>
          <w:i/>
          <w:iCs/>
        </w:rPr>
        <w:t xml:space="preserve"> </w:t>
      </w:r>
      <w:r w:rsidR="00E36FCC" w:rsidRPr="00415AD8">
        <w:rPr>
          <w:rFonts w:cs="Arial"/>
          <w:bCs/>
          <w:i/>
          <w:iCs/>
        </w:rPr>
        <w:t xml:space="preserve">del </w:t>
      </w:r>
      <w:r w:rsidR="00A07E88" w:rsidRPr="00415AD8">
        <w:rPr>
          <w:rFonts w:cs="Arial"/>
          <w:bCs/>
          <w:i/>
          <w:iCs/>
        </w:rPr>
        <w:t>c</w:t>
      </w:r>
      <w:r w:rsidR="00AD7B64" w:rsidRPr="00415AD8">
        <w:rPr>
          <w:rFonts w:cs="Arial"/>
          <w:bCs/>
          <w:i/>
          <w:iCs/>
        </w:rPr>
        <w:t>ontrato 082 de 2007</w:t>
      </w:r>
      <w:r w:rsidR="00A07E88" w:rsidRPr="00415AD8">
        <w:rPr>
          <w:rFonts w:cs="Arial"/>
          <w:bCs/>
          <w:i/>
          <w:iCs/>
        </w:rPr>
        <w:t xml:space="preserve"> de </w:t>
      </w:r>
      <w:r w:rsidR="00AD7B64" w:rsidRPr="00415AD8">
        <w:rPr>
          <w:rFonts w:cs="Arial"/>
          <w:bCs/>
          <w:i/>
          <w:iCs/>
        </w:rPr>
        <w:t xml:space="preserve">interventoría de la Concesión 033 correspondiente al Registro Único Nacional de Tránsito R.U.N.T. </w:t>
      </w:r>
      <w:r w:rsidR="003E0E2B" w:rsidRPr="00415AD8">
        <w:rPr>
          <w:rFonts w:cs="Arial"/>
          <w:bCs/>
          <w:i/>
          <w:iCs/>
        </w:rPr>
        <w:t>/ DEC</w:t>
      </w:r>
      <w:r w:rsidR="00CA39C6" w:rsidRPr="00415AD8">
        <w:rPr>
          <w:rFonts w:cs="Arial"/>
          <w:bCs/>
          <w:i/>
          <w:iCs/>
        </w:rPr>
        <w:t>I</w:t>
      </w:r>
      <w:r w:rsidR="003E0E2B" w:rsidRPr="00415AD8">
        <w:rPr>
          <w:rFonts w:cs="Arial"/>
          <w:bCs/>
          <w:i/>
          <w:iCs/>
        </w:rPr>
        <w:t>SI</w:t>
      </w:r>
      <w:r w:rsidR="00CA39C6" w:rsidRPr="00415AD8">
        <w:rPr>
          <w:rFonts w:cs="Arial"/>
          <w:bCs/>
          <w:i/>
          <w:iCs/>
        </w:rPr>
        <w:t>Ó</w:t>
      </w:r>
      <w:r w:rsidR="003E0E2B" w:rsidRPr="00415AD8">
        <w:rPr>
          <w:rFonts w:cs="Arial"/>
          <w:bCs/>
          <w:i/>
          <w:iCs/>
        </w:rPr>
        <w:t>N: No accede a la pretensión de nulidad</w:t>
      </w:r>
      <w:r w:rsidR="00CA39C6" w:rsidRPr="00415AD8">
        <w:rPr>
          <w:rFonts w:cs="Arial"/>
          <w:bCs/>
          <w:i/>
          <w:iCs/>
        </w:rPr>
        <w:t xml:space="preserve"> –sin condena</w:t>
      </w:r>
      <w:r w:rsidR="003E0E2B" w:rsidRPr="00415AD8">
        <w:rPr>
          <w:rFonts w:cs="Arial"/>
          <w:bCs/>
          <w:i/>
          <w:iCs/>
        </w:rPr>
        <w:t>.</w:t>
      </w:r>
      <w:r w:rsidR="00A07E88" w:rsidRPr="00415AD8">
        <w:rPr>
          <w:rFonts w:cs="Arial"/>
          <w:bCs/>
          <w:i/>
          <w:iCs/>
        </w:rPr>
        <w:t xml:space="preserve"> </w:t>
      </w:r>
    </w:p>
    <w:p w:rsidR="007C1872" w:rsidRPr="00415AD8" w:rsidRDefault="007C1872" w:rsidP="00415AD8">
      <w:pPr>
        <w:widowControl w:val="0"/>
        <w:autoSpaceDE w:val="0"/>
        <w:autoSpaceDN w:val="0"/>
        <w:adjustRightInd w:val="0"/>
        <w:spacing w:line="276" w:lineRule="auto"/>
        <w:rPr>
          <w:rFonts w:cs="Arial"/>
          <w:i/>
        </w:rPr>
      </w:pPr>
    </w:p>
    <w:p w:rsidR="00556C0C" w:rsidRPr="00415AD8" w:rsidRDefault="00556C0C" w:rsidP="00415AD8">
      <w:pPr>
        <w:widowControl w:val="0"/>
        <w:autoSpaceDE w:val="0"/>
        <w:autoSpaceDN w:val="0"/>
        <w:adjustRightInd w:val="0"/>
        <w:spacing w:line="276" w:lineRule="auto"/>
        <w:ind w:hanging="2124"/>
        <w:rPr>
          <w:rFonts w:cs="Arial"/>
        </w:rPr>
      </w:pPr>
    </w:p>
    <w:p w:rsidR="00B80517" w:rsidRPr="00415AD8" w:rsidRDefault="00662D01" w:rsidP="00415AD8">
      <w:pPr>
        <w:widowControl w:val="0"/>
        <w:autoSpaceDE w:val="0"/>
        <w:autoSpaceDN w:val="0"/>
        <w:adjustRightInd w:val="0"/>
        <w:rPr>
          <w:rFonts w:cs="Arial"/>
          <w:i/>
        </w:rPr>
      </w:pPr>
      <w:r w:rsidRPr="00415AD8">
        <w:rPr>
          <w:rFonts w:cs="Arial"/>
        </w:rPr>
        <w:t>P</w:t>
      </w:r>
      <w:r w:rsidR="00367782" w:rsidRPr="00415AD8">
        <w:rPr>
          <w:rFonts w:cs="Arial"/>
        </w:rPr>
        <w:t>rocede la Sala a resolver el recurso de apelación interpuesto por la parte actora</w:t>
      </w:r>
      <w:r w:rsidR="008D63C8" w:rsidRPr="00415AD8">
        <w:rPr>
          <w:rFonts w:cs="Arial"/>
          <w:lang w:val="es-CO"/>
        </w:rPr>
        <w:t xml:space="preserve"> contra la sentencia proferida por el Tribunal Administrativo de</w:t>
      </w:r>
      <w:r w:rsidR="007E187D" w:rsidRPr="00415AD8">
        <w:rPr>
          <w:rFonts w:cs="Arial"/>
          <w:lang w:val="es-CO"/>
        </w:rPr>
        <w:t xml:space="preserve"> </w:t>
      </w:r>
      <w:r w:rsidR="00D7220D" w:rsidRPr="00415AD8">
        <w:rPr>
          <w:rFonts w:cs="Arial"/>
          <w:lang w:val="es-CO"/>
        </w:rPr>
        <w:t xml:space="preserve">Cundinamarca </w:t>
      </w:r>
      <w:r w:rsidR="008D63C8" w:rsidRPr="00415AD8">
        <w:rPr>
          <w:rFonts w:cs="Arial"/>
          <w:lang w:val="es-CO"/>
        </w:rPr>
        <w:t xml:space="preserve">el </w:t>
      </w:r>
      <w:r w:rsidR="00D7220D" w:rsidRPr="00415AD8">
        <w:rPr>
          <w:rFonts w:cs="Arial"/>
          <w:lang w:val="es-CO"/>
        </w:rPr>
        <w:t>4</w:t>
      </w:r>
      <w:r w:rsidR="008D63C8" w:rsidRPr="00415AD8">
        <w:rPr>
          <w:rFonts w:cs="Arial"/>
          <w:lang w:val="es-CO"/>
        </w:rPr>
        <w:t xml:space="preserve"> de </w:t>
      </w:r>
      <w:r w:rsidR="00D7220D" w:rsidRPr="00415AD8">
        <w:rPr>
          <w:rFonts w:cs="Arial"/>
          <w:lang w:val="es-CO"/>
        </w:rPr>
        <w:t xml:space="preserve">marzo </w:t>
      </w:r>
      <w:r w:rsidR="008D63C8" w:rsidRPr="00415AD8">
        <w:rPr>
          <w:rFonts w:cs="Arial"/>
          <w:lang w:val="es-CO"/>
        </w:rPr>
        <w:t>20</w:t>
      </w:r>
      <w:r w:rsidR="0051303E" w:rsidRPr="00415AD8">
        <w:rPr>
          <w:rFonts w:cs="Arial"/>
          <w:lang w:val="es-CO"/>
        </w:rPr>
        <w:t>1</w:t>
      </w:r>
      <w:r w:rsidR="00D7220D" w:rsidRPr="00415AD8">
        <w:rPr>
          <w:rFonts w:cs="Arial"/>
          <w:lang w:val="es-CO"/>
        </w:rPr>
        <w:t>5</w:t>
      </w:r>
      <w:r w:rsidR="008D63C8" w:rsidRPr="00415AD8">
        <w:rPr>
          <w:rFonts w:cs="Arial"/>
        </w:rPr>
        <w:t xml:space="preserve">, mediante la cual </w:t>
      </w:r>
      <w:r w:rsidR="00436D3F" w:rsidRPr="00415AD8">
        <w:rPr>
          <w:rFonts w:cs="Arial"/>
        </w:rPr>
        <w:t xml:space="preserve">se denegaron </w:t>
      </w:r>
      <w:r w:rsidR="00B80517" w:rsidRPr="00415AD8">
        <w:rPr>
          <w:rFonts w:cs="Arial"/>
        </w:rPr>
        <w:t xml:space="preserve">las pretensiones de la </w:t>
      </w:r>
      <w:r w:rsidR="0051303E" w:rsidRPr="00415AD8">
        <w:rPr>
          <w:rFonts w:cs="Arial"/>
        </w:rPr>
        <w:t xml:space="preserve">demanda promovida por </w:t>
      </w:r>
      <w:r w:rsidR="00FE29DB" w:rsidRPr="00415AD8">
        <w:rPr>
          <w:rFonts w:cs="Arial"/>
        </w:rPr>
        <w:t>Seguros Colpatria S.A.</w:t>
      </w:r>
      <w:r w:rsidR="0051303E" w:rsidRPr="00415AD8">
        <w:rPr>
          <w:rFonts w:cs="Arial"/>
        </w:rPr>
        <w:t xml:space="preserve"> contra el </w:t>
      </w:r>
      <w:r w:rsidR="00FE29DB" w:rsidRPr="00415AD8">
        <w:rPr>
          <w:rFonts w:cs="Arial"/>
        </w:rPr>
        <w:t xml:space="preserve">Ministerio de Transporte y </w:t>
      </w:r>
      <w:r w:rsidR="00436D3F" w:rsidRPr="00415AD8">
        <w:rPr>
          <w:rFonts w:cs="Arial"/>
        </w:rPr>
        <w:t xml:space="preserve">se </w:t>
      </w:r>
      <w:r w:rsidR="00B80517" w:rsidRPr="00415AD8">
        <w:rPr>
          <w:rFonts w:cs="Arial"/>
        </w:rPr>
        <w:t>conden</w:t>
      </w:r>
      <w:r w:rsidR="00436D3F" w:rsidRPr="00415AD8">
        <w:rPr>
          <w:rFonts w:cs="Arial"/>
        </w:rPr>
        <w:t>ó</w:t>
      </w:r>
      <w:r w:rsidR="00B80517" w:rsidRPr="00415AD8">
        <w:rPr>
          <w:rFonts w:cs="Arial"/>
        </w:rPr>
        <w:t xml:space="preserve"> en </w:t>
      </w:r>
      <w:r w:rsidR="00CA1CAD" w:rsidRPr="00415AD8">
        <w:rPr>
          <w:rFonts w:cs="Arial"/>
        </w:rPr>
        <w:t>agencias en derecho</w:t>
      </w:r>
      <w:r w:rsidR="00FE29DB" w:rsidRPr="00415AD8">
        <w:rPr>
          <w:rFonts w:cs="Arial"/>
        </w:rPr>
        <w:t xml:space="preserve"> a la parte demandante.</w:t>
      </w:r>
    </w:p>
    <w:p w:rsidR="00B80517" w:rsidRPr="00415AD8" w:rsidRDefault="00B80517" w:rsidP="00415AD8">
      <w:pPr>
        <w:widowControl w:val="0"/>
        <w:autoSpaceDE w:val="0"/>
        <w:autoSpaceDN w:val="0"/>
        <w:adjustRightInd w:val="0"/>
        <w:rPr>
          <w:rFonts w:cs="Arial"/>
          <w:i/>
        </w:rPr>
      </w:pPr>
    </w:p>
    <w:p w:rsidR="00F21484" w:rsidRPr="00415AD8" w:rsidRDefault="00F21484" w:rsidP="00415AD8">
      <w:pPr>
        <w:widowControl w:val="0"/>
        <w:autoSpaceDE w:val="0"/>
        <w:autoSpaceDN w:val="0"/>
        <w:adjustRightInd w:val="0"/>
        <w:jc w:val="center"/>
        <w:rPr>
          <w:rFonts w:cs="Arial"/>
          <w:b/>
        </w:rPr>
      </w:pPr>
      <w:r w:rsidRPr="00415AD8">
        <w:rPr>
          <w:rFonts w:cs="Arial"/>
          <w:b/>
        </w:rPr>
        <w:t>I. A N T E C E D E N T E S</w:t>
      </w:r>
    </w:p>
    <w:p w:rsidR="00F00A7F" w:rsidRPr="00415AD8" w:rsidRDefault="00F00A7F" w:rsidP="00415AD8">
      <w:pPr>
        <w:rPr>
          <w:rFonts w:cs="Arial"/>
          <w:b/>
        </w:rPr>
      </w:pPr>
    </w:p>
    <w:p w:rsidR="00F21484" w:rsidRPr="00415AD8" w:rsidRDefault="00F21484" w:rsidP="00415AD8">
      <w:pPr>
        <w:rPr>
          <w:rFonts w:cs="Arial"/>
          <w:b/>
        </w:rPr>
      </w:pPr>
      <w:r w:rsidRPr="00415AD8">
        <w:rPr>
          <w:rFonts w:cs="Arial"/>
          <w:b/>
        </w:rPr>
        <w:t>1. La demanda</w:t>
      </w:r>
    </w:p>
    <w:p w:rsidR="00F21484" w:rsidRPr="00415AD8" w:rsidRDefault="00F21484" w:rsidP="00415AD8">
      <w:pPr>
        <w:widowControl w:val="0"/>
        <w:autoSpaceDE w:val="0"/>
        <w:autoSpaceDN w:val="0"/>
        <w:adjustRightInd w:val="0"/>
        <w:rPr>
          <w:rFonts w:cs="Arial"/>
        </w:rPr>
      </w:pPr>
    </w:p>
    <w:p w:rsidR="003076F9" w:rsidRPr="00415AD8" w:rsidRDefault="00022841" w:rsidP="00415AD8">
      <w:pPr>
        <w:contextualSpacing/>
        <w:rPr>
          <w:rFonts w:cs="Arial"/>
          <w:i/>
          <w:lang w:val="es-MX"/>
        </w:rPr>
      </w:pPr>
      <w:r w:rsidRPr="00415AD8">
        <w:rPr>
          <w:rFonts w:cs="Arial"/>
        </w:rPr>
        <w:lastRenderedPageBreak/>
        <w:t>La</w:t>
      </w:r>
      <w:r w:rsidR="00EA0EB1" w:rsidRPr="00415AD8">
        <w:rPr>
          <w:rFonts w:cs="Arial"/>
        </w:rPr>
        <w:t xml:space="preserve"> demanda </w:t>
      </w:r>
      <w:r w:rsidRPr="00415AD8">
        <w:rPr>
          <w:rFonts w:cs="Arial"/>
        </w:rPr>
        <w:t xml:space="preserve">con la que se inició este litigio fue </w:t>
      </w:r>
      <w:r w:rsidR="00EA0EB1" w:rsidRPr="00415AD8">
        <w:rPr>
          <w:rFonts w:cs="Arial"/>
        </w:rPr>
        <w:t>presentada</w:t>
      </w:r>
      <w:r w:rsidR="00AA67A0" w:rsidRPr="00415AD8">
        <w:rPr>
          <w:rFonts w:cs="Arial"/>
        </w:rPr>
        <w:t xml:space="preserve"> </w:t>
      </w:r>
      <w:r w:rsidR="00FD5088" w:rsidRPr="00415AD8">
        <w:rPr>
          <w:rFonts w:cs="Arial"/>
        </w:rPr>
        <w:t xml:space="preserve">el </w:t>
      </w:r>
      <w:r w:rsidR="00435013" w:rsidRPr="00415AD8">
        <w:rPr>
          <w:rFonts w:cs="Arial"/>
        </w:rPr>
        <w:t xml:space="preserve">26 </w:t>
      </w:r>
      <w:r w:rsidR="00FD5088" w:rsidRPr="00415AD8">
        <w:rPr>
          <w:rFonts w:cs="Arial"/>
        </w:rPr>
        <w:t xml:space="preserve">de </w:t>
      </w:r>
      <w:r w:rsidR="00435013" w:rsidRPr="00415AD8">
        <w:rPr>
          <w:rFonts w:cs="Arial"/>
        </w:rPr>
        <w:t>noviembre  de 2013</w:t>
      </w:r>
      <w:r w:rsidR="004D2045" w:rsidRPr="00415AD8">
        <w:rPr>
          <w:rFonts w:cs="Arial"/>
        </w:rPr>
        <w:t xml:space="preserve">, </w:t>
      </w:r>
      <w:r w:rsidR="00427E61" w:rsidRPr="00415AD8">
        <w:rPr>
          <w:rFonts w:cs="Arial"/>
        </w:rPr>
        <w:t xml:space="preserve">por </w:t>
      </w:r>
      <w:r w:rsidR="009745C9" w:rsidRPr="00415AD8">
        <w:rPr>
          <w:rFonts w:cs="Arial"/>
        </w:rPr>
        <w:t xml:space="preserve">Seguros </w:t>
      </w:r>
      <w:r w:rsidR="00435013" w:rsidRPr="00415AD8">
        <w:rPr>
          <w:rFonts w:cs="Arial"/>
        </w:rPr>
        <w:t>Colpatria S.A.</w:t>
      </w:r>
      <w:r w:rsidR="003076F9" w:rsidRPr="00415AD8">
        <w:rPr>
          <w:rFonts w:cs="Arial"/>
        </w:rPr>
        <w:t>,</w:t>
      </w:r>
      <w:r w:rsidR="00F21484" w:rsidRPr="00415AD8">
        <w:rPr>
          <w:rFonts w:cs="Arial"/>
        </w:rPr>
        <w:t xml:space="preserve"> </w:t>
      </w:r>
      <w:r w:rsidR="00F5352D" w:rsidRPr="00415AD8">
        <w:rPr>
          <w:rFonts w:cs="Arial"/>
        </w:rPr>
        <w:t xml:space="preserve">en ejercicio </w:t>
      </w:r>
      <w:r w:rsidR="00FD5088" w:rsidRPr="00415AD8">
        <w:rPr>
          <w:rFonts w:cs="Arial"/>
        </w:rPr>
        <w:t>de</w:t>
      </w:r>
      <w:r w:rsidR="007C42FB" w:rsidRPr="00415AD8">
        <w:rPr>
          <w:rFonts w:cs="Arial"/>
        </w:rPr>
        <w:t xml:space="preserve">l medio de control </w:t>
      </w:r>
      <w:r w:rsidR="00435013" w:rsidRPr="00415AD8">
        <w:rPr>
          <w:rFonts w:cs="Arial"/>
        </w:rPr>
        <w:t xml:space="preserve">de controversias contractuales </w:t>
      </w:r>
      <w:r w:rsidR="00F5352D" w:rsidRPr="00415AD8">
        <w:rPr>
          <w:rFonts w:cs="Arial"/>
        </w:rPr>
        <w:t>consagrad</w:t>
      </w:r>
      <w:r w:rsidR="007C42FB" w:rsidRPr="00415AD8">
        <w:rPr>
          <w:rFonts w:cs="Arial"/>
        </w:rPr>
        <w:t>o</w:t>
      </w:r>
      <w:r w:rsidR="00F5352D" w:rsidRPr="00415AD8">
        <w:rPr>
          <w:rFonts w:cs="Arial"/>
        </w:rPr>
        <w:t xml:space="preserve"> en el artículo </w:t>
      </w:r>
      <w:r w:rsidR="007C42FB" w:rsidRPr="00415AD8">
        <w:rPr>
          <w:rFonts w:cs="Arial"/>
        </w:rPr>
        <w:t>141</w:t>
      </w:r>
      <w:r w:rsidR="00F5352D" w:rsidRPr="00415AD8">
        <w:rPr>
          <w:rFonts w:cs="Arial"/>
        </w:rPr>
        <w:t xml:space="preserve"> del Código </w:t>
      </w:r>
      <w:r w:rsidR="007D558B" w:rsidRPr="00415AD8">
        <w:rPr>
          <w:rFonts w:cs="Arial"/>
        </w:rPr>
        <w:t xml:space="preserve">de Procedimiento Administrativo y de lo </w:t>
      </w:r>
      <w:r w:rsidR="00F5352D" w:rsidRPr="00415AD8">
        <w:rPr>
          <w:rFonts w:cs="Arial"/>
        </w:rPr>
        <w:t>Contencioso Administrativo</w:t>
      </w:r>
      <w:r w:rsidR="007D558B" w:rsidRPr="00415AD8">
        <w:rPr>
          <w:rFonts w:cs="Arial"/>
        </w:rPr>
        <w:t xml:space="preserve"> </w:t>
      </w:r>
      <w:r w:rsidR="00435013" w:rsidRPr="00415AD8">
        <w:rPr>
          <w:rFonts w:cs="Arial"/>
        </w:rPr>
        <w:t xml:space="preserve">C.P.A.C.A. </w:t>
      </w:r>
      <w:r w:rsidR="00B10F0A" w:rsidRPr="00415AD8">
        <w:rPr>
          <w:rFonts w:cs="Arial"/>
        </w:rPr>
        <w:t>(</w:t>
      </w:r>
      <w:r w:rsidR="00427E61" w:rsidRPr="00415AD8">
        <w:rPr>
          <w:rFonts w:cs="Arial"/>
        </w:rPr>
        <w:t>Ley 1437 de 2011)</w:t>
      </w:r>
      <w:r w:rsidR="00435013" w:rsidRPr="00415AD8">
        <w:rPr>
          <w:rStyle w:val="Refdenotaalpie"/>
          <w:rFonts w:cs="Arial"/>
        </w:rPr>
        <w:footnoteReference w:id="1"/>
      </w:r>
      <w:r w:rsidR="00427E61" w:rsidRPr="00415AD8">
        <w:rPr>
          <w:rFonts w:cs="Arial"/>
        </w:rPr>
        <w:t xml:space="preserve"> y en ella se </w:t>
      </w:r>
      <w:r w:rsidR="00F21484" w:rsidRPr="00415AD8">
        <w:rPr>
          <w:rFonts w:cs="Arial"/>
        </w:rPr>
        <w:t>solicit</w:t>
      </w:r>
      <w:r w:rsidR="00427E61" w:rsidRPr="00415AD8">
        <w:rPr>
          <w:rFonts w:cs="Arial"/>
        </w:rPr>
        <w:t>aron</w:t>
      </w:r>
      <w:r w:rsidR="00F21484" w:rsidRPr="00415AD8">
        <w:rPr>
          <w:rFonts w:cs="Arial"/>
        </w:rPr>
        <w:t xml:space="preserve"> las siguientes declaraciones y condenas</w:t>
      </w:r>
      <w:r w:rsidR="00F5352D" w:rsidRPr="00415AD8">
        <w:rPr>
          <w:rFonts w:cs="Arial"/>
        </w:rPr>
        <w:t xml:space="preserve"> contra</w:t>
      </w:r>
      <w:r w:rsidR="003F104A" w:rsidRPr="00415AD8">
        <w:rPr>
          <w:rFonts w:cs="Arial"/>
        </w:rPr>
        <w:t xml:space="preserve"> </w:t>
      </w:r>
      <w:r w:rsidR="007D558B" w:rsidRPr="00415AD8">
        <w:rPr>
          <w:rFonts w:cs="Arial"/>
        </w:rPr>
        <w:t xml:space="preserve">el </w:t>
      </w:r>
      <w:r w:rsidR="00A11890" w:rsidRPr="00415AD8">
        <w:rPr>
          <w:rFonts w:cs="Arial"/>
        </w:rPr>
        <w:t>Ministerio de Transporte</w:t>
      </w:r>
      <w:r w:rsidR="002B7F0C" w:rsidRPr="00415AD8">
        <w:rPr>
          <w:rFonts w:cs="Arial"/>
        </w:rPr>
        <w:t xml:space="preserve"> (se transcribe en forma literal, incluso con posibles errores):</w:t>
      </w:r>
    </w:p>
    <w:p w:rsidR="008B269F" w:rsidRPr="00415AD8" w:rsidRDefault="008B269F" w:rsidP="00415AD8">
      <w:pPr>
        <w:spacing w:line="240" w:lineRule="auto"/>
        <w:contextualSpacing/>
        <w:rPr>
          <w:rFonts w:cs="Arial"/>
          <w:i/>
        </w:rPr>
      </w:pPr>
    </w:p>
    <w:p w:rsidR="00D44714" w:rsidRPr="00415AD8" w:rsidRDefault="00A11890" w:rsidP="00415AD8">
      <w:pPr>
        <w:spacing w:line="276" w:lineRule="auto"/>
        <w:contextualSpacing/>
        <w:rPr>
          <w:rFonts w:cs="Arial"/>
          <w:i/>
        </w:rPr>
      </w:pPr>
      <w:r w:rsidRPr="00415AD8">
        <w:rPr>
          <w:rFonts w:cs="Arial"/>
          <w:i/>
        </w:rPr>
        <w:t>“1. Que se declare la nulidad de la Resolución 005641 de diciembre 15 de 2011 y la Resolución 000129 de enero 19 de 2012, expedida</w:t>
      </w:r>
      <w:r w:rsidR="00632A7D" w:rsidRPr="00415AD8">
        <w:rPr>
          <w:rFonts w:cs="Arial"/>
          <w:i/>
        </w:rPr>
        <w:t>s</w:t>
      </w:r>
      <w:r w:rsidRPr="00415AD8">
        <w:rPr>
          <w:rFonts w:cs="Arial"/>
          <w:i/>
        </w:rPr>
        <w:t xml:space="preserve"> por el Secretario General del Ministerio de Transporte, por las razones que se expondrán en el acápite de CONCEPTO DE VIOLACIÓN</w:t>
      </w:r>
      <w:r w:rsidR="00D44714" w:rsidRPr="00415AD8">
        <w:rPr>
          <w:rFonts w:cs="Arial"/>
          <w:i/>
        </w:rPr>
        <w:t xml:space="preserve"> del presente escrito.</w:t>
      </w:r>
    </w:p>
    <w:p w:rsidR="00D44714" w:rsidRPr="00415AD8" w:rsidRDefault="00D44714" w:rsidP="00415AD8">
      <w:pPr>
        <w:spacing w:line="276" w:lineRule="auto"/>
        <w:contextualSpacing/>
        <w:rPr>
          <w:rFonts w:cs="Arial"/>
          <w:i/>
        </w:rPr>
      </w:pPr>
    </w:p>
    <w:p w:rsidR="00110284" w:rsidRPr="00415AD8" w:rsidRDefault="00D44714" w:rsidP="00415AD8">
      <w:pPr>
        <w:spacing w:line="276" w:lineRule="auto"/>
        <w:contextualSpacing/>
        <w:rPr>
          <w:rFonts w:cs="Arial"/>
          <w:i/>
        </w:rPr>
      </w:pPr>
      <w:r w:rsidRPr="00415AD8">
        <w:rPr>
          <w:rFonts w:cs="Arial"/>
          <w:i/>
        </w:rPr>
        <w:t xml:space="preserve">“2. Que como consecuencia de la prosperidad de la pretensión anterior se declare que SEGUROS COLPATRIA S.A. no debe pagar al MINISTERIO DE TRANSPORTE </w:t>
      </w:r>
      <w:r w:rsidR="00110284" w:rsidRPr="00415AD8">
        <w:rPr>
          <w:rFonts w:cs="Arial"/>
          <w:i/>
        </w:rPr>
        <w:t>la suma de $697’358.551 por concepto de las sanciones impuestas mediante los actos administrativos demandados.</w:t>
      </w:r>
    </w:p>
    <w:p w:rsidR="00110284" w:rsidRPr="00415AD8" w:rsidRDefault="00110284" w:rsidP="00415AD8">
      <w:pPr>
        <w:spacing w:line="276" w:lineRule="auto"/>
        <w:contextualSpacing/>
        <w:rPr>
          <w:rFonts w:cs="Arial"/>
          <w:i/>
        </w:rPr>
      </w:pPr>
    </w:p>
    <w:p w:rsidR="00110284" w:rsidRPr="00415AD8" w:rsidRDefault="002B7F0C" w:rsidP="00415AD8">
      <w:pPr>
        <w:spacing w:line="276" w:lineRule="auto"/>
        <w:contextualSpacing/>
        <w:rPr>
          <w:rFonts w:cs="Arial"/>
          <w:i/>
        </w:rPr>
      </w:pPr>
      <w:r w:rsidRPr="00415AD8">
        <w:rPr>
          <w:rFonts w:cs="Arial"/>
          <w:i/>
        </w:rPr>
        <w:t>“</w:t>
      </w:r>
      <w:r w:rsidR="00110284" w:rsidRPr="00415AD8">
        <w:rPr>
          <w:rFonts w:cs="Arial"/>
          <w:i/>
        </w:rPr>
        <w:t>3. Que se condene en costas y agencias en derecho a la entidad demandada conforme lo dispone el artículo 188 del C.P.A.C.</w:t>
      </w:r>
      <w:r w:rsidRPr="00415AD8">
        <w:rPr>
          <w:rFonts w:cs="Arial"/>
          <w:i/>
        </w:rPr>
        <w:t>C.A</w:t>
      </w:r>
      <w:r w:rsidR="00110284" w:rsidRPr="00415AD8">
        <w:rPr>
          <w:rFonts w:cs="Arial"/>
          <w:i/>
        </w:rPr>
        <w:t>.</w:t>
      </w:r>
    </w:p>
    <w:p w:rsidR="00110284" w:rsidRPr="00415AD8" w:rsidRDefault="00110284" w:rsidP="00415AD8">
      <w:pPr>
        <w:spacing w:line="276" w:lineRule="auto"/>
        <w:contextualSpacing/>
        <w:rPr>
          <w:rFonts w:cs="Arial"/>
          <w:i/>
        </w:rPr>
      </w:pPr>
    </w:p>
    <w:p w:rsidR="00F53FED" w:rsidRPr="00415AD8" w:rsidRDefault="002B7F0C" w:rsidP="00415AD8">
      <w:pPr>
        <w:spacing w:line="276" w:lineRule="auto"/>
        <w:contextualSpacing/>
        <w:rPr>
          <w:rFonts w:cs="Arial"/>
          <w:i/>
        </w:rPr>
      </w:pPr>
      <w:r w:rsidRPr="00415AD8">
        <w:rPr>
          <w:rFonts w:cs="Arial"/>
          <w:i/>
        </w:rPr>
        <w:t>“</w:t>
      </w:r>
      <w:r w:rsidR="00110284" w:rsidRPr="00415AD8">
        <w:rPr>
          <w:rFonts w:cs="Arial"/>
          <w:i/>
        </w:rPr>
        <w:t>4. Que se Ordene el Cumplimiento de la sentencia dentro del término señalado por el artículo 19</w:t>
      </w:r>
      <w:r w:rsidRPr="00415AD8">
        <w:rPr>
          <w:rFonts w:cs="Arial"/>
          <w:i/>
        </w:rPr>
        <w:t>2 del C.P.A.C.C.A”</w:t>
      </w:r>
      <w:r w:rsidR="00632A7D" w:rsidRPr="00415AD8">
        <w:rPr>
          <w:rFonts w:cs="Arial"/>
          <w:i/>
        </w:rPr>
        <w:t>.</w:t>
      </w:r>
      <w:r w:rsidR="00D44714" w:rsidRPr="00415AD8">
        <w:rPr>
          <w:rFonts w:cs="Arial"/>
          <w:i/>
        </w:rPr>
        <w:t xml:space="preserve">  </w:t>
      </w:r>
      <w:r w:rsidR="00A11890" w:rsidRPr="00415AD8">
        <w:rPr>
          <w:rFonts w:cs="Arial"/>
          <w:i/>
        </w:rPr>
        <w:t xml:space="preserve">  </w:t>
      </w:r>
    </w:p>
    <w:p w:rsidR="00A11890" w:rsidRPr="00415AD8" w:rsidRDefault="00A11890" w:rsidP="00415AD8">
      <w:pPr>
        <w:spacing w:line="240" w:lineRule="auto"/>
        <w:contextualSpacing/>
        <w:rPr>
          <w:rFonts w:cs="Arial"/>
          <w:i/>
        </w:rPr>
      </w:pPr>
    </w:p>
    <w:p w:rsidR="00A11890" w:rsidRPr="00415AD8" w:rsidRDefault="00A11890" w:rsidP="00415AD8">
      <w:pPr>
        <w:spacing w:line="240" w:lineRule="auto"/>
        <w:contextualSpacing/>
        <w:rPr>
          <w:rFonts w:cs="Arial"/>
          <w:i/>
        </w:rPr>
      </w:pPr>
    </w:p>
    <w:p w:rsidR="0098581B" w:rsidRPr="00415AD8" w:rsidRDefault="0098581B" w:rsidP="00415AD8">
      <w:pPr>
        <w:contextualSpacing/>
        <w:rPr>
          <w:rFonts w:cs="Arial"/>
          <w:b/>
          <w:bCs/>
          <w:iCs/>
        </w:rPr>
      </w:pPr>
      <w:r w:rsidRPr="00415AD8">
        <w:rPr>
          <w:rFonts w:cs="Arial"/>
          <w:b/>
          <w:bCs/>
          <w:iCs/>
        </w:rPr>
        <w:t>2. Los hechos</w:t>
      </w:r>
    </w:p>
    <w:p w:rsidR="0098581B" w:rsidRPr="00415AD8" w:rsidRDefault="0098581B" w:rsidP="00415AD8">
      <w:pPr>
        <w:contextualSpacing/>
        <w:rPr>
          <w:rFonts w:cs="Arial"/>
          <w:b/>
          <w:bCs/>
          <w:iCs/>
        </w:rPr>
      </w:pPr>
    </w:p>
    <w:p w:rsidR="008E458E" w:rsidRPr="00415AD8" w:rsidRDefault="00427E61" w:rsidP="00415AD8">
      <w:pPr>
        <w:contextualSpacing/>
        <w:rPr>
          <w:rFonts w:cs="Arial"/>
          <w:bCs/>
          <w:iCs/>
        </w:rPr>
      </w:pPr>
      <w:r w:rsidRPr="00415AD8">
        <w:rPr>
          <w:rFonts w:cs="Arial"/>
          <w:bCs/>
          <w:iCs/>
        </w:rPr>
        <w:t>L</w:t>
      </w:r>
      <w:r w:rsidR="0098581B" w:rsidRPr="00415AD8">
        <w:rPr>
          <w:rFonts w:cs="Arial"/>
          <w:bCs/>
          <w:iCs/>
        </w:rPr>
        <w:t xml:space="preserve">os hechos de este proceso </w:t>
      </w:r>
      <w:r w:rsidR="00A856DB" w:rsidRPr="00415AD8">
        <w:rPr>
          <w:rFonts w:cs="Arial"/>
          <w:bCs/>
          <w:iCs/>
        </w:rPr>
        <w:t>se refieren</w:t>
      </w:r>
      <w:r w:rsidRPr="00415AD8">
        <w:rPr>
          <w:rFonts w:cs="Arial"/>
          <w:bCs/>
          <w:iCs/>
        </w:rPr>
        <w:t>,</w:t>
      </w:r>
      <w:r w:rsidR="00A856DB" w:rsidRPr="00415AD8">
        <w:rPr>
          <w:rFonts w:cs="Arial"/>
          <w:bCs/>
          <w:iCs/>
        </w:rPr>
        <w:t xml:space="preserve"> </w:t>
      </w:r>
      <w:r w:rsidRPr="00415AD8">
        <w:rPr>
          <w:rFonts w:cs="Arial"/>
          <w:bCs/>
          <w:iCs/>
        </w:rPr>
        <w:t xml:space="preserve">en síntesis, </w:t>
      </w:r>
      <w:r w:rsidR="00106B23" w:rsidRPr="00415AD8">
        <w:rPr>
          <w:rFonts w:cs="Arial"/>
          <w:bCs/>
          <w:iCs/>
        </w:rPr>
        <w:t>a</w:t>
      </w:r>
      <w:r w:rsidR="00CA39C6" w:rsidRPr="00415AD8">
        <w:rPr>
          <w:rFonts w:cs="Arial"/>
          <w:bCs/>
          <w:iCs/>
        </w:rPr>
        <w:t>l procedimiento pre</w:t>
      </w:r>
      <w:r w:rsidR="008D7DE2" w:rsidRPr="00415AD8">
        <w:rPr>
          <w:rFonts w:cs="Arial"/>
          <w:bCs/>
          <w:iCs/>
        </w:rPr>
        <w:t>v</w:t>
      </w:r>
      <w:r w:rsidR="00CA39C6" w:rsidRPr="00415AD8">
        <w:rPr>
          <w:rFonts w:cs="Arial"/>
          <w:bCs/>
          <w:iCs/>
        </w:rPr>
        <w:t xml:space="preserve">io a la </w:t>
      </w:r>
      <w:r w:rsidR="00490CFD" w:rsidRPr="00415AD8">
        <w:rPr>
          <w:rFonts w:cs="Arial"/>
          <w:bCs/>
          <w:iCs/>
        </w:rPr>
        <w:t xml:space="preserve"> expedición de </w:t>
      </w:r>
      <w:r w:rsidR="00106B23" w:rsidRPr="00415AD8">
        <w:rPr>
          <w:rFonts w:cs="Arial"/>
          <w:bCs/>
          <w:iCs/>
        </w:rPr>
        <w:t xml:space="preserve">los actos administrativos mediante los cuales se </w:t>
      </w:r>
      <w:r w:rsidR="0098581B" w:rsidRPr="00415AD8">
        <w:rPr>
          <w:rFonts w:cs="Arial"/>
          <w:bCs/>
          <w:iCs/>
        </w:rPr>
        <w:t>declar</w:t>
      </w:r>
      <w:r w:rsidR="00436D3F" w:rsidRPr="00415AD8">
        <w:rPr>
          <w:rFonts w:cs="Arial"/>
          <w:bCs/>
          <w:iCs/>
        </w:rPr>
        <w:t>ó</w:t>
      </w:r>
      <w:r w:rsidR="0098581B" w:rsidRPr="00415AD8">
        <w:rPr>
          <w:rFonts w:cs="Arial"/>
          <w:bCs/>
          <w:iCs/>
        </w:rPr>
        <w:t xml:space="preserve"> </w:t>
      </w:r>
      <w:r w:rsidR="006D25E5" w:rsidRPr="00415AD8">
        <w:rPr>
          <w:rFonts w:cs="Arial"/>
          <w:bCs/>
          <w:iCs/>
        </w:rPr>
        <w:t xml:space="preserve">el </w:t>
      </w:r>
      <w:r w:rsidR="00494CF3" w:rsidRPr="00415AD8">
        <w:rPr>
          <w:rFonts w:cs="Arial"/>
          <w:bCs/>
          <w:iCs/>
        </w:rPr>
        <w:t xml:space="preserve">incumplimiento y el siniestro por incumplimiento </w:t>
      </w:r>
      <w:r w:rsidR="006D25E5" w:rsidRPr="00415AD8">
        <w:rPr>
          <w:rFonts w:cs="Arial"/>
          <w:bCs/>
          <w:iCs/>
        </w:rPr>
        <w:t xml:space="preserve">de las obligaciones previstas en Contrato 082 de 2007, </w:t>
      </w:r>
      <w:r w:rsidR="000C7039" w:rsidRPr="00415AD8">
        <w:rPr>
          <w:rFonts w:cs="Arial"/>
          <w:bCs/>
          <w:iCs/>
        </w:rPr>
        <w:t xml:space="preserve">suscrito </w:t>
      </w:r>
      <w:r w:rsidR="005B0B32" w:rsidRPr="00415AD8">
        <w:rPr>
          <w:rFonts w:cs="Arial"/>
          <w:bCs/>
          <w:iCs/>
        </w:rPr>
        <w:t xml:space="preserve">el 9 de octubre de 2007, entre el Ministerio de Transporte y el </w:t>
      </w:r>
      <w:r w:rsidR="001F1F1A" w:rsidRPr="00415AD8">
        <w:rPr>
          <w:rFonts w:cs="Arial"/>
          <w:bCs/>
          <w:iCs/>
        </w:rPr>
        <w:t>Consorcio PAI – RUNT, integrado por las sociedades PONCE DE LEÓN Y ASOCIADOS S.A. INGENIEROS CONSULTORES, APPLUS NORCONTROL COLOMBIA LIMITADA e INDERAUDIT S.A</w:t>
      </w:r>
      <w:r w:rsidR="00E22A50" w:rsidRPr="00415AD8">
        <w:rPr>
          <w:rFonts w:cs="Arial"/>
          <w:bCs/>
          <w:iCs/>
        </w:rPr>
        <w:t>,</w:t>
      </w:r>
      <w:r w:rsidR="008E458E" w:rsidRPr="00415AD8">
        <w:rPr>
          <w:rFonts w:cs="Arial"/>
          <w:bCs/>
          <w:iCs/>
        </w:rPr>
        <w:t xml:space="preserve"> el cual tuvo por objeto la interventoría de la </w:t>
      </w:r>
      <w:r w:rsidR="00E22A50" w:rsidRPr="00415AD8">
        <w:rPr>
          <w:rFonts w:cs="Arial"/>
          <w:bCs/>
          <w:iCs/>
        </w:rPr>
        <w:t>C</w:t>
      </w:r>
      <w:r w:rsidR="008E458E" w:rsidRPr="00415AD8">
        <w:rPr>
          <w:rFonts w:cs="Arial"/>
          <w:bCs/>
          <w:iCs/>
        </w:rPr>
        <w:t xml:space="preserve">oncesión </w:t>
      </w:r>
      <w:r w:rsidR="00B45C5E" w:rsidRPr="00415AD8">
        <w:rPr>
          <w:rFonts w:cs="Arial"/>
          <w:bCs/>
          <w:iCs/>
        </w:rPr>
        <w:t xml:space="preserve">033 de 2007, </w:t>
      </w:r>
      <w:r w:rsidR="00E22A50" w:rsidRPr="00415AD8">
        <w:rPr>
          <w:rFonts w:cs="Arial"/>
          <w:bCs/>
          <w:iCs/>
        </w:rPr>
        <w:t>correspondiente al</w:t>
      </w:r>
      <w:r w:rsidR="008E458E" w:rsidRPr="00415AD8">
        <w:rPr>
          <w:rFonts w:cs="Arial"/>
          <w:bCs/>
          <w:iCs/>
        </w:rPr>
        <w:t xml:space="preserve"> </w:t>
      </w:r>
      <w:r w:rsidR="002E257D" w:rsidRPr="00415AD8">
        <w:rPr>
          <w:rFonts w:cs="Arial"/>
          <w:bCs/>
          <w:iCs/>
        </w:rPr>
        <w:t>Registro Único Nacional de Tránsito R</w:t>
      </w:r>
      <w:r w:rsidR="00E22A50" w:rsidRPr="00415AD8">
        <w:rPr>
          <w:rFonts w:cs="Arial"/>
          <w:bCs/>
          <w:iCs/>
        </w:rPr>
        <w:t>.</w:t>
      </w:r>
      <w:r w:rsidR="002E257D" w:rsidRPr="00415AD8">
        <w:rPr>
          <w:rFonts w:cs="Arial"/>
          <w:bCs/>
          <w:iCs/>
        </w:rPr>
        <w:t>U</w:t>
      </w:r>
      <w:r w:rsidR="00E22A50" w:rsidRPr="00415AD8">
        <w:rPr>
          <w:rFonts w:cs="Arial"/>
          <w:bCs/>
          <w:iCs/>
        </w:rPr>
        <w:t>.</w:t>
      </w:r>
      <w:r w:rsidR="002E257D" w:rsidRPr="00415AD8">
        <w:rPr>
          <w:rFonts w:cs="Arial"/>
          <w:bCs/>
          <w:iCs/>
        </w:rPr>
        <w:t>N</w:t>
      </w:r>
      <w:r w:rsidR="00E22A50" w:rsidRPr="00415AD8">
        <w:rPr>
          <w:rFonts w:cs="Arial"/>
          <w:bCs/>
          <w:iCs/>
        </w:rPr>
        <w:t>.</w:t>
      </w:r>
      <w:r w:rsidR="002E257D" w:rsidRPr="00415AD8">
        <w:rPr>
          <w:rFonts w:cs="Arial"/>
          <w:bCs/>
          <w:iCs/>
        </w:rPr>
        <w:t>T</w:t>
      </w:r>
      <w:r w:rsidR="001F1F1A" w:rsidRPr="00415AD8">
        <w:rPr>
          <w:rFonts w:cs="Arial"/>
          <w:bCs/>
          <w:iCs/>
        </w:rPr>
        <w:t>.</w:t>
      </w:r>
      <w:r w:rsidR="00285719" w:rsidRPr="00415AD8">
        <w:rPr>
          <w:rFonts w:cs="Arial"/>
          <w:bCs/>
          <w:iCs/>
        </w:rPr>
        <w:t xml:space="preserve"> </w:t>
      </w:r>
    </w:p>
    <w:p w:rsidR="008E458E" w:rsidRPr="00415AD8" w:rsidRDefault="008E458E" w:rsidP="00415AD8">
      <w:pPr>
        <w:contextualSpacing/>
        <w:rPr>
          <w:rFonts w:cs="Arial"/>
          <w:bCs/>
          <w:iCs/>
        </w:rPr>
      </w:pPr>
    </w:p>
    <w:p w:rsidR="00C86076" w:rsidRPr="00415AD8" w:rsidRDefault="00285719" w:rsidP="00415AD8">
      <w:pPr>
        <w:contextualSpacing/>
        <w:rPr>
          <w:rFonts w:cs="Arial"/>
          <w:bCs/>
          <w:iCs/>
        </w:rPr>
      </w:pPr>
      <w:r w:rsidRPr="00415AD8">
        <w:rPr>
          <w:rFonts w:cs="Arial"/>
          <w:bCs/>
          <w:iCs/>
        </w:rPr>
        <w:t xml:space="preserve">De acuerdo con lo que aseveró </w:t>
      </w:r>
      <w:r w:rsidR="00E22A50" w:rsidRPr="00415AD8">
        <w:rPr>
          <w:rFonts w:cs="Arial"/>
          <w:bCs/>
          <w:iCs/>
        </w:rPr>
        <w:t>la</w:t>
      </w:r>
      <w:r w:rsidRPr="00415AD8">
        <w:rPr>
          <w:rFonts w:cs="Arial"/>
          <w:bCs/>
          <w:iCs/>
        </w:rPr>
        <w:t xml:space="preserve"> demandante</w:t>
      </w:r>
      <w:r w:rsidR="00E22A50" w:rsidRPr="00415AD8">
        <w:rPr>
          <w:rFonts w:cs="Arial"/>
          <w:bCs/>
          <w:iCs/>
        </w:rPr>
        <w:t>,</w:t>
      </w:r>
      <w:r w:rsidRPr="00415AD8">
        <w:rPr>
          <w:rFonts w:cs="Arial"/>
          <w:bCs/>
          <w:iCs/>
        </w:rPr>
        <w:t xml:space="preserve"> </w:t>
      </w:r>
      <w:r w:rsidR="00C86076" w:rsidRPr="00415AD8">
        <w:rPr>
          <w:rFonts w:cs="Arial"/>
          <w:bCs/>
          <w:iCs/>
        </w:rPr>
        <w:t xml:space="preserve">los </w:t>
      </w:r>
      <w:r w:rsidRPr="00415AD8">
        <w:rPr>
          <w:rFonts w:cs="Arial"/>
          <w:bCs/>
          <w:iCs/>
        </w:rPr>
        <w:t xml:space="preserve">actos administrativos acusados </w:t>
      </w:r>
      <w:r w:rsidR="00DF7B8B" w:rsidRPr="00415AD8">
        <w:rPr>
          <w:rFonts w:cs="Arial"/>
          <w:bCs/>
          <w:iCs/>
        </w:rPr>
        <w:t xml:space="preserve">fueron </w:t>
      </w:r>
      <w:r w:rsidR="00C86076" w:rsidRPr="00415AD8">
        <w:rPr>
          <w:rFonts w:cs="Arial"/>
          <w:bCs/>
          <w:iCs/>
        </w:rPr>
        <w:t>expedidos en violación del debido proceso, en cuanto se refiere a la compañía de seguros</w:t>
      </w:r>
      <w:r w:rsidR="00745999" w:rsidRPr="00415AD8">
        <w:rPr>
          <w:rFonts w:cs="Arial"/>
          <w:bCs/>
          <w:iCs/>
        </w:rPr>
        <w:t xml:space="preserve"> </w:t>
      </w:r>
      <w:r w:rsidR="00DF7B8B" w:rsidRPr="00415AD8">
        <w:rPr>
          <w:rFonts w:cs="Arial"/>
          <w:bCs/>
          <w:iCs/>
        </w:rPr>
        <w:t xml:space="preserve">ahora demandante, </w:t>
      </w:r>
      <w:r w:rsidR="00745999" w:rsidRPr="00415AD8">
        <w:rPr>
          <w:rFonts w:cs="Arial"/>
          <w:bCs/>
          <w:iCs/>
        </w:rPr>
        <w:t xml:space="preserve">además de que, según su afirmación, no </w:t>
      </w:r>
      <w:r w:rsidR="00745999" w:rsidRPr="00415AD8">
        <w:rPr>
          <w:rFonts w:cs="Arial"/>
          <w:bCs/>
          <w:iCs/>
        </w:rPr>
        <w:lastRenderedPageBreak/>
        <w:t xml:space="preserve">existió </w:t>
      </w:r>
      <w:r w:rsidR="000C7029" w:rsidRPr="00415AD8">
        <w:rPr>
          <w:rFonts w:cs="Arial"/>
          <w:bCs/>
          <w:iCs/>
        </w:rPr>
        <w:t xml:space="preserve">prueba del </w:t>
      </w:r>
      <w:r w:rsidR="00745999" w:rsidRPr="00415AD8">
        <w:rPr>
          <w:rFonts w:cs="Arial"/>
          <w:bCs/>
          <w:iCs/>
        </w:rPr>
        <w:t>incumplimiento técnico por parte de</w:t>
      </w:r>
      <w:r w:rsidR="008E458E" w:rsidRPr="00415AD8">
        <w:rPr>
          <w:rFonts w:cs="Arial"/>
          <w:bCs/>
          <w:iCs/>
        </w:rPr>
        <w:t xml:space="preserve">l consorcio </w:t>
      </w:r>
      <w:r w:rsidR="002E257D" w:rsidRPr="00415AD8">
        <w:rPr>
          <w:rFonts w:cs="Arial"/>
          <w:bCs/>
          <w:iCs/>
        </w:rPr>
        <w:t xml:space="preserve">PAI – RUNT </w:t>
      </w:r>
      <w:r w:rsidR="00E22A50" w:rsidRPr="00415AD8">
        <w:rPr>
          <w:rFonts w:cs="Arial"/>
          <w:bCs/>
          <w:iCs/>
        </w:rPr>
        <w:t>ni</w:t>
      </w:r>
      <w:r w:rsidR="00FB212C" w:rsidRPr="00415AD8">
        <w:rPr>
          <w:rFonts w:cs="Arial"/>
          <w:bCs/>
          <w:iCs/>
        </w:rPr>
        <w:t xml:space="preserve"> de </w:t>
      </w:r>
      <w:r w:rsidR="0064277C" w:rsidRPr="00415AD8">
        <w:rPr>
          <w:rFonts w:cs="Arial"/>
          <w:bCs/>
          <w:iCs/>
        </w:rPr>
        <w:t>la</w:t>
      </w:r>
      <w:r w:rsidR="00FB212C" w:rsidRPr="00415AD8">
        <w:rPr>
          <w:rFonts w:cs="Arial"/>
          <w:bCs/>
          <w:iCs/>
        </w:rPr>
        <w:t xml:space="preserve"> </w:t>
      </w:r>
      <w:r w:rsidR="00E22A50" w:rsidRPr="00415AD8">
        <w:rPr>
          <w:rFonts w:cs="Arial"/>
          <w:bCs/>
          <w:iCs/>
        </w:rPr>
        <w:t xml:space="preserve">consecuente </w:t>
      </w:r>
      <w:r w:rsidR="00FB212C" w:rsidRPr="00415AD8">
        <w:rPr>
          <w:rFonts w:cs="Arial"/>
          <w:bCs/>
          <w:iCs/>
        </w:rPr>
        <w:t xml:space="preserve">responsabilidad </w:t>
      </w:r>
      <w:r w:rsidR="0064277C" w:rsidRPr="00415AD8">
        <w:rPr>
          <w:rFonts w:cs="Arial"/>
          <w:bCs/>
          <w:iCs/>
        </w:rPr>
        <w:t xml:space="preserve">de ese consorcio </w:t>
      </w:r>
      <w:r w:rsidR="00FB212C" w:rsidRPr="00415AD8">
        <w:rPr>
          <w:rFonts w:cs="Arial"/>
          <w:bCs/>
          <w:iCs/>
        </w:rPr>
        <w:t>como interventor de</w:t>
      </w:r>
      <w:r w:rsidR="008E458E" w:rsidRPr="00415AD8">
        <w:rPr>
          <w:rFonts w:cs="Arial"/>
          <w:bCs/>
          <w:iCs/>
        </w:rPr>
        <w:t>l</w:t>
      </w:r>
      <w:r w:rsidR="00FB212C" w:rsidRPr="00415AD8">
        <w:rPr>
          <w:rFonts w:cs="Arial"/>
          <w:bCs/>
          <w:iCs/>
        </w:rPr>
        <w:t xml:space="preserve"> Contrato de Concesión</w:t>
      </w:r>
      <w:r w:rsidR="00E22A50" w:rsidRPr="00415AD8">
        <w:rPr>
          <w:rFonts w:cs="Arial"/>
          <w:bCs/>
          <w:iCs/>
        </w:rPr>
        <w:t xml:space="preserve"> 033</w:t>
      </w:r>
      <w:r w:rsidR="002E257D" w:rsidRPr="00415AD8">
        <w:rPr>
          <w:rFonts w:cs="Arial"/>
          <w:bCs/>
          <w:iCs/>
        </w:rPr>
        <w:t>.</w:t>
      </w:r>
      <w:r w:rsidR="00745999" w:rsidRPr="00415AD8">
        <w:rPr>
          <w:rFonts w:cs="Arial"/>
          <w:bCs/>
          <w:iCs/>
        </w:rPr>
        <w:t xml:space="preserve"> </w:t>
      </w:r>
    </w:p>
    <w:p w:rsidR="00863DEA" w:rsidRPr="00415AD8" w:rsidRDefault="00863DEA" w:rsidP="00415AD8">
      <w:pPr>
        <w:contextualSpacing/>
        <w:rPr>
          <w:rFonts w:cs="Arial"/>
          <w:bCs/>
          <w:iCs/>
        </w:rPr>
      </w:pPr>
    </w:p>
    <w:p w:rsidR="00745999" w:rsidRPr="00415AD8" w:rsidRDefault="00745999" w:rsidP="00415AD8">
      <w:pPr>
        <w:contextualSpacing/>
        <w:rPr>
          <w:rFonts w:cs="Arial"/>
          <w:bCs/>
          <w:iCs/>
        </w:rPr>
      </w:pPr>
      <w:r w:rsidRPr="00415AD8">
        <w:rPr>
          <w:rFonts w:cs="Arial"/>
          <w:bCs/>
          <w:iCs/>
        </w:rPr>
        <w:t>La demandante narró los siguientes hechos</w:t>
      </w:r>
      <w:r w:rsidR="00311D00" w:rsidRPr="00415AD8">
        <w:rPr>
          <w:rFonts w:cs="Arial"/>
          <w:bCs/>
          <w:iCs/>
        </w:rPr>
        <w:t>:</w:t>
      </w:r>
    </w:p>
    <w:p w:rsidR="00745999" w:rsidRPr="00415AD8" w:rsidRDefault="00745999" w:rsidP="00415AD8">
      <w:pPr>
        <w:contextualSpacing/>
        <w:rPr>
          <w:rFonts w:cs="Arial"/>
          <w:bCs/>
          <w:iCs/>
        </w:rPr>
      </w:pPr>
    </w:p>
    <w:p w:rsidR="00863DEA" w:rsidRPr="00415AD8" w:rsidRDefault="00745999" w:rsidP="00415AD8">
      <w:pPr>
        <w:contextualSpacing/>
        <w:rPr>
          <w:rFonts w:cs="Arial"/>
          <w:bCs/>
          <w:iCs/>
        </w:rPr>
      </w:pPr>
      <w:r w:rsidRPr="00415AD8">
        <w:rPr>
          <w:rFonts w:cs="Arial"/>
          <w:b/>
          <w:bCs/>
          <w:iCs/>
        </w:rPr>
        <w:t>2.1.</w:t>
      </w:r>
      <w:r w:rsidRPr="00415AD8">
        <w:rPr>
          <w:rFonts w:cs="Arial"/>
          <w:bCs/>
          <w:iCs/>
        </w:rPr>
        <w:t xml:space="preserve"> </w:t>
      </w:r>
      <w:r w:rsidR="00DE48A4" w:rsidRPr="00415AD8">
        <w:rPr>
          <w:rFonts w:cs="Arial"/>
          <w:bCs/>
          <w:iCs/>
        </w:rPr>
        <w:t>E</w:t>
      </w:r>
      <w:r w:rsidR="00863DEA" w:rsidRPr="00415AD8">
        <w:rPr>
          <w:rFonts w:cs="Arial"/>
          <w:bCs/>
          <w:iCs/>
        </w:rPr>
        <w:t xml:space="preserve">l referido </w:t>
      </w:r>
      <w:r w:rsidRPr="00415AD8">
        <w:rPr>
          <w:rFonts w:cs="Arial"/>
          <w:bCs/>
          <w:iCs/>
        </w:rPr>
        <w:t>C</w:t>
      </w:r>
      <w:r w:rsidR="00863DEA" w:rsidRPr="00415AD8">
        <w:rPr>
          <w:rFonts w:cs="Arial"/>
          <w:bCs/>
          <w:iCs/>
        </w:rPr>
        <w:t xml:space="preserve">ontrato </w:t>
      </w:r>
      <w:r w:rsidRPr="00415AD8">
        <w:rPr>
          <w:rFonts w:cs="Arial"/>
          <w:bCs/>
          <w:iCs/>
        </w:rPr>
        <w:t xml:space="preserve">082 de </w:t>
      </w:r>
      <w:r w:rsidR="00DE48A4" w:rsidRPr="00415AD8">
        <w:rPr>
          <w:rFonts w:cs="Arial"/>
          <w:bCs/>
          <w:iCs/>
        </w:rPr>
        <w:t xml:space="preserve">2007 </w:t>
      </w:r>
      <w:r w:rsidR="00863DEA" w:rsidRPr="00415AD8">
        <w:rPr>
          <w:rFonts w:cs="Arial"/>
          <w:bCs/>
          <w:iCs/>
        </w:rPr>
        <w:t>tuvo por objeto la interventoría de la Concesión 033 de 2007 del Registro Único Nacional de Tr</w:t>
      </w:r>
      <w:r w:rsidR="008E458E" w:rsidRPr="00415AD8">
        <w:rPr>
          <w:rFonts w:cs="Arial"/>
          <w:bCs/>
          <w:iCs/>
        </w:rPr>
        <w:t>á</w:t>
      </w:r>
      <w:r w:rsidR="00863DEA" w:rsidRPr="00415AD8">
        <w:rPr>
          <w:rFonts w:cs="Arial"/>
          <w:bCs/>
          <w:iCs/>
        </w:rPr>
        <w:t>nsito R</w:t>
      </w:r>
      <w:r w:rsidR="00E448EC" w:rsidRPr="00415AD8">
        <w:rPr>
          <w:rFonts w:cs="Arial"/>
          <w:bCs/>
          <w:iCs/>
        </w:rPr>
        <w:t>.</w:t>
      </w:r>
      <w:r w:rsidR="00863DEA" w:rsidRPr="00415AD8">
        <w:rPr>
          <w:rFonts w:cs="Arial"/>
          <w:bCs/>
          <w:iCs/>
        </w:rPr>
        <w:t>U</w:t>
      </w:r>
      <w:r w:rsidR="00E448EC" w:rsidRPr="00415AD8">
        <w:rPr>
          <w:rFonts w:cs="Arial"/>
          <w:bCs/>
          <w:iCs/>
        </w:rPr>
        <w:t>.</w:t>
      </w:r>
      <w:r w:rsidR="00863DEA" w:rsidRPr="00415AD8">
        <w:rPr>
          <w:rFonts w:cs="Arial"/>
          <w:bCs/>
          <w:iCs/>
        </w:rPr>
        <w:t>N</w:t>
      </w:r>
      <w:r w:rsidR="00E448EC" w:rsidRPr="00415AD8">
        <w:rPr>
          <w:rFonts w:cs="Arial"/>
          <w:bCs/>
          <w:iCs/>
        </w:rPr>
        <w:t>.</w:t>
      </w:r>
      <w:r w:rsidR="00863DEA" w:rsidRPr="00415AD8">
        <w:rPr>
          <w:rFonts w:cs="Arial"/>
          <w:bCs/>
          <w:iCs/>
        </w:rPr>
        <w:t>T.</w:t>
      </w:r>
    </w:p>
    <w:p w:rsidR="00863DEA" w:rsidRPr="00415AD8" w:rsidRDefault="00863DEA" w:rsidP="00415AD8">
      <w:pPr>
        <w:contextualSpacing/>
        <w:rPr>
          <w:rFonts w:cs="Arial"/>
          <w:bCs/>
          <w:iCs/>
        </w:rPr>
      </w:pPr>
    </w:p>
    <w:p w:rsidR="00143289" w:rsidRPr="00415AD8" w:rsidRDefault="00DE48A4" w:rsidP="00415AD8">
      <w:pPr>
        <w:contextualSpacing/>
        <w:rPr>
          <w:rFonts w:cs="Arial"/>
        </w:rPr>
      </w:pPr>
      <w:r w:rsidRPr="00415AD8">
        <w:rPr>
          <w:rFonts w:cs="Arial"/>
          <w:b/>
        </w:rPr>
        <w:t>2.2</w:t>
      </w:r>
      <w:r w:rsidRPr="00415AD8">
        <w:rPr>
          <w:rFonts w:cs="Arial"/>
        </w:rPr>
        <w:t xml:space="preserve">. </w:t>
      </w:r>
      <w:r w:rsidR="00CF0F5F" w:rsidRPr="00415AD8">
        <w:rPr>
          <w:rFonts w:cs="Arial"/>
        </w:rPr>
        <w:t xml:space="preserve">Seguros Colpatria S.A. expidió la póliza </w:t>
      </w:r>
      <w:r w:rsidR="00E448EC" w:rsidRPr="00415AD8">
        <w:rPr>
          <w:rFonts w:cs="Arial"/>
        </w:rPr>
        <w:t xml:space="preserve">de cumplimiento </w:t>
      </w:r>
      <w:r w:rsidR="00CF0F5F" w:rsidRPr="00415AD8">
        <w:rPr>
          <w:rFonts w:cs="Arial"/>
        </w:rPr>
        <w:t>No. 8001014299 para garantizar los perjuicios derivados del incumplimiento de las obligaciones asumidas por el contratista en el Contr</w:t>
      </w:r>
      <w:r w:rsidR="00143289" w:rsidRPr="00415AD8">
        <w:rPr>
          <w:rFonts w:cs="Arial"/>
        </w:rPr>
        <w:t>ato No. 082 de 2007.</w:t>
      </w:r>
    </w:p>
    <w:p w:rsidR="00143289" w:rsidRPr="00415AD8" w:rsidRDefault="00143289" w:rsidP="00415AD8">
      <w:pPr>
        <w:contextualSpacing/>
        <w:rPr>
          <w:rFonts w:cs="Arial"/>
        </w:rPr>
      </w:pPr>
    </w:p>
    <w:p w:rsidR="007F3270" w:rsidRPr="00415AD8" w:rsidRDefault="00DE48A4" w:rsidP="00415AD8">
      <w:pPr>
        <w:contextualSpacing/>
        <w:rPr>
          <w:rFonts w:cs="Arial"/>
        </w:rPr>
      </w:pPr>
      <w:r w:rsidRPr="00415AD8">
        <w:rPr>
          <w:rFonts w:cs="Arial"/>
          <w:b/>
        </w:rPr>
        <w:t>2.3.</w:t>
      </w:r>
      <w:r w:rsidRPr="00415AD8">
        <w:rPr>
          <w:rFonts w:cs="Arial"/>
        </w:rPr>
        <w:t xml:space="preserve"> </w:t>
      </w:r>
      <w:r w:rsidR="00143289" w:rsidRPr="00415AD8">
        <w:rPr>
          <w:rFonts w:cs="Arial"/>
        </w:rPr>
        <w:t>Mediante oficio MT 201133</w:t>
      </w:r>
      <w:r w:rsidR="00544705" w:rsidRPr="00415AD8">
        <w:rPr>
          <w:rFonts w:cs="Arial"/>
        </w:rPr>
        <w:t>0435121 del 31 de agosto de 2011, la oficina jur</w:t>
      </w:r>
      <w:r w:rsidR="00106FFE" w:rsidRPr="00415AD8">
        <w:rPr>
          <w:rFonts w:cs="Arial"/>
        </w:rPr>
        <w:t>í</w:t>
      </w:r>
      <w:r w:rsidR="00544705" w:rsidRPr="00415AD8">
        <w:rPr>
          <w:rFonts w:cs="Arial"/>
        </w:rPr>
        <w:t>dica del Ministerio de Transporte citó al contratista para que</w:t>
      </w:r>
      <w:r w:rsidR="007F3270" w:rsidRPr="00415AD8">
        <w:rPr>
          <w:rFonts w:cs="Arial"/>
        </w:rPr>
        <w:t xml:space="preserve">, en audiencia, </w:t>
      </w:r>
      <w:r w:rsidR="00544705" w:rsidRPr="00415AD8">
        <w:rPr>
          <w:rFonts w:cs="Arial"/>
        </w:rPr>
        <w:t xml:space="preserve">rindiera descargos de los presuntos incumplimientos </w:t>
      </w:r>
      <w:r w:rsidR="00E448EC" w:rsidRPr="00415AD8">
        <w:rPr>
          <w:rFonts w:cs="Arial"/>
        </w:rPr>
        <w:t xml:space="preserve">del contrato, </w:t>
      </w:r>
      <w:r w:rsidR="00544705" w:rsidRPr="00415AD8">
        <w:rPr>
          <w:rFonts w:cs="Arial"/>
        </w:rPr>
        <w:t>relativos a aspectos técnicos, legales y fin</w:t>
      </w:r>
      <w:r w:rsidR="007F3270" w:rsidRPr="00415AD8">
        <w:rPr>
          <w:rFonts w:cs="Arial"/>
        </w:rPr>
        <w:t>an</w:t>
      </w:r>
      <w:r w:rsidR="00544705" w:rsidRPr="00415AD8">
        <w:rPr>
          <w:rFonts w:cs="Arial"/>
        </w:rPr>
        <w:t>cieros</w:t>
      </w:r>
      <w:r w:rsidR="007F3270" w:rsidRPr="00415AD8">
        <w:rPr>
          <w:rFonts w:cs="Arial"/>
        </w:rPr>
        <w:t xml:space="preserve">. De dicho oficio se remitió copia a la aseguradora. </w:t>
      </w:r>
    </w:p>
    <w:p w:rsidR="00A55186" w:rsidRPr="00415AD8" w:rsidRDefault="00A55186" w:rsidP="00415AD8">
      <w:pPr>
        <w:contextualSpacing/>
        <w:rPr>
          <w:rFonts w:cs="Arial"/>
        </w:rPr>
      </w:pPr>
    </w:p>
    <w:p w:rsidR="00A55186" w:rsidRPr="00415AD8" w:rsidRDefault="00DE48A4" w:rsidP="00415AD8">
      <w:pPr>
        <w:contextualSpacing/>
        <w:rPr>
          <w:rFonts w:cs="Arial"/>
        </w:rPr>
      </w:pPr>
      <w:r w:rsidRPr="00415AD8">
        <w:rPr>
          <w:rFonts w:cs="Arial"/>
          <w:b/>
        </w:rPr>
        <w:t>2.4.</w:t>
      </w:r>
      <w:r w:rsidRPr="00415AD8">
        <w:rPr>
          <w:rFonts w:cs="Arial"/>
        </w:rPr>
        <w:t xml:space="preserve"> </w:t>
      </w:r>
      <w:r w:rsidR="00DF7B8B" w:rsidRPr="00415AD8">
        <w:rPr>
          <w:rFonts w:cs="Arial"/>
        </w:rPr>
        <w:t>La demandante afirmó que, s</w:t>
      </w:r>
      <w:r w:rsidR="007F3270" w:rsidRPr="00415AD8">
        <w:rPr>
          <w:rFonts w:cs="Arial"/>
        </w:rPr>
        <w:t xml:space="preserve">i bien una </w:t>
      </w:r>
      <w:r w:rsidR="00E77798" w:rsidRPr="00415AD8">
        <w:rPr>
          <w:rFonts w:cs="Arial"/>
        </w:rPr>
        <w:t xml:space="preserve">de sus </w:t>
      </w:r>
      <w:r w:rsidR="007F3270" w:rsidRPr="00415AD8">
        <w:rPr>
          <w:rFonts w:cs="Arial"/>
        </w:rPr>
        <w:t>funcionaria</w:t>
      </w:r>
      <w:r w:rsidR="00E77798" w:rsidRPr="00415AD8">
        <w:rPr>
          <w:rFonts w:cs="Arial"/>
        </w:rPr>
        <w:t>s</w:t>
      </w:r>
      <w:r w:rsidR="007F3270" w:rsidRPr="00415AD8">
        <w:rPr>
          <w:rFonts w:cs="Arial"/>
        </w:rPr>
        <w:t xml:space="preserve"> fue citada a la audiencia,</w:t>
      </w:r>
      <w:r w:rsidRPr="00415AD8">
        <w:rPr>
          <w:rFonts w:cs="Arial"/>
        </w:rPr>
        <w:t xml:space="preserve"> </w:t>
      </w:r>
      <w:r w:rsidR="007F3270" w:rsidRPr="00415AD8">
        <w:rPr>
          <w:rFonts w:cs="Arial"/>
        </w:rPr>
        <w:t>a Seguros Colpatria S.A.</w:t>
      </w:r>
      <w:r w:rsidR="007F3270" w:rsidRPr="00415AD8">
        <w:rPr>
          <w:rFonts w:cs="Arial"/>
          <w:i/>
        </w:rPr>
        <w:t xml:space="preserve"> </w:t>
      </w:r>
      <w:r w:rsidR="00402335" w:rsidRPr="00415AD8">
        <w:rPr>
          <w:rFonts w:cs="Arial"/>
        </w:rPr>
        <w:t xml:space="preserve">jamás se le formuló un pliego de cargos frente al cual </w:t>
      </w:r>
      <w:r w:rsidR="00D7112D" w:rsidRPr="00415AD8">
        <w:rPr>
          <w:rFonts w:cs="Arial"/>
        </w:rPr>
        <w:t xml:space="preserve">debiera </w:t>
      </w:r>
      <w:r w:rsidR="00402335" w:rsidRPr="00415AD8">
        <w:rPr>
          <w:rFonts w:cs="Arial"/>
        </w:rPr>
        <w:t>rendir descargos en las audiencias mencionadas en los hechos precedentes.</w:t>
      </w:r>
      <w:r w:rsidR="00E77798" w:rsidRPr="00415AD8">
        <w:rPr>
          <w:rFonts w:cs="Arial"/>
        </w:rPr>
        <w:t xml:space="preserve"> Indicó que e</w:t>
      </w:r>
      <w:r w:rsidR="00402335" w:rsidRPr="00415AD8">
        <w:rPr>
          <w:rFonts w:cs="Arial"/>
        </w:rPr>
        <w:t xml:space="preserve">l pliego de cargos únicamente le imputó </w:t>
      </w:r>
      <w:r w:rsidR="00011691" w:rsidRPr="00415AD8">
        <w:rPr>
          <w:rFonts w:cs="Arial"/>
        </w:rPr>
        <w:t xml:space="preserve">incumplimientos </w:t>
      </w:r>
      <w:r w:rsidR="00402335" w:rsidRPr="00415AD8">
        <w:rPr>
          <w:rFonts w:cs="Arial"/>
        </w:rPr>
        <w:t>al contratista y sobre ello versaron las audiencias de 28 de septiembre y 4 de oc</w:t>
      </w:r>
      <w:r w:rsidR="00A55186" w:rsidRPr="00415AD8">
        <w:rPr>
          <w:rFonts w:cs="Arial"/>
        </w:rPr>
        <w:t>tubre de 2011</w:t>
      </w:r>
      <w:r w:rsidR="00311D00" w:rsidRPr="00415AD8">
        <w:rPr>
          <w:rFonts w:cs="Arial"/>
        </w:rPr>
        <w:t>,</w:t>
      </w:r>
      <w:r w:rsidR="00A55186" w:rsidRPr="00415AD8">
        <w:rPr>
          <w:rFonts w:cs="Arial"/>
        </w:rPr>
        <w:t xml:space="preserve"> en la</w:t>
      </w:r>
      <w:r w:rsidR="0064277C" w:rsidRPr="00415AD8">
        <w:rPr>
          <w:rFonts w:cs="Arial"/>
        </w:rPr>
        <w:t>s</w:t>
      </w:r>
      <w:r w:rsidR="00A55186" w:rsidRPr="00415AD8">
        <w:rPr>
          <w:rFonts w:cs="Arial"/>
        </w:rPr>
        <w:t xml:space="preserve"> cual</w:t>
      </w:r>
      <w:r w:rsidR="0064277C" w:rsidRPr="00415AD8">
        <w:rPr>
          <w:rFonts w:cs="Arial"/>
        </w:rPr>
        <w:t>es</w:t>
      </w:r>
      <w:r w:rsidR="00A55186" w:rsidRPr="00415AD8">
        <w:rPr>
          <w:rFonts w:cs="Arial"/>
        </w:rPr>
        <w:t xml:space="preserve"> el contratista presentó sus descargos.</w:t>
      </w:r>
    </w:p>
    <w:p w:rsidR="00A55186" w:rsidRPr="00415AD8" w:rsidRDefault="00A55186" w:rsidP="00415AD8">
      <w:pPr>
        <w:contextualSpacing/>
        <w:rPr>
          <w:rFonts w:cs="Arial"/>
        </w:rPr>
      </w:pPr>
    </w:p>
    <w:p w:rsidR="00B232D0" w:rsidRPr="00415AD8" w:rsidRDefault="00011691" w:rsidP="00415AD8">
      <w:pPr>
        <w:contextualSpacing/>
        <w:rPr>
          <w:rFonts w:cs="Arial"/>
        </w:rPr>
      </w:pPr>
      <w:r w:rsidRPr="00415AD8">
        <w:rPr>
          <w:rFonts w:cs="Arial"/>
          <w:b/>
        </w:rPr>
        <w:t>2.</w:t>
      </w:r>
      <w:r w:rsidR="00E77798" w:rsidRPr="00415AD8">
        <w:rPr>
          <w:rFonts w:cs="Arial"/>
          <w:b/>
        </w:rPr>
        <w:t>5</w:t>
      </w:r>
      <w:r w:rsidRPr="00415AD8">
        <w:rPr>
          <w:rFonts w:cs="Arial"/>
        </w:rPr>
        <w:t xml:space="preserve">. </w:t>
      </w:r>
      <w:r w:rsidR="00A55186" w:rsidRPr="00415AD8">
        <w:rPr>
          <w:rFonts w:cs="Arial"/>
        </w:rPr>
        <w:t xml:space="preserve">Por otra parte, </w:t>
      </w:r>
      <w:r w:rsidR="008D7DE2" w:rsidRPr="00415AD8">
        <w:rPr>
          <w:rFonts w:cs="Arial"/>
        </w:rPr>
        <w:t xml:space="preserve">relató </w:t>
      </w:r>
      <w:r w:rsidR="00E77798" w:rsidRPr="00415AD8">
        <w:rPr>
          <w:rFonts w:cs="Arial"/>
        </w:rPr>
        <w:t xml:space="preserve">en los hechos que </w:t>
      </w:r>
      <w:r w:rsidR="00A55186" w:rsidRPr="00415AD8">
        <w:rPr>
          <w:rFonts w:cs="Arial"/>
        </w:rPr>
        <w:t xml:space="preserve">el Ministerio de Transporte </w:t>
      </w:r>
      <w:r w:rsidR="00BD339A" w:rsidRPr="00415AD8">
        <w:rPr>
          <w:rFonts w:cs="Arial"/>
        </w:rPr>
        <w:t xml:space="preserve">celebró con la Universidad Nacional de Colombia los Convenios Interadministrativos 030 y 128 de 2010, </w:t>
      </w:r>
      <w:r w:rsidR="002E257D" w:rsidRPr="00415AD8">
        <w:rPr>
          <w:rFonts w:cs="Arial"/>
        </w:rPr>
        <w:t xml:space="preserve">los cuales </w:t>
      </w:r>
      <w:r w:rsidRPr="00415AD8">
        <w:rPr>
          <w:rFonts w:cs="Arial"/>
        </w:rPr>
        <w:t xml:space="preserve">tuvieron </w:t>
      </w:r>
      <w:r w:rsidR="00BD339A" w:rsidRPr="00415AD8">
        <w:rPr>
          <w:rFonts w:cs="Arial"/>
        </w:rPr>
        <w:t>por objeto brindar apoyo a la supervisión del Contrato de Concesión 033 de 2007.</w:t>
      </w:r>
      <w:r w:rsidR="00E77798" w:rsidRPr="00415AD8">
        <w:rPr>
          <w:rFonts w:cs="Arial"/>
        </w:rPr>
        <w:t xml:space="preserve"> Indicó que e</w:t>
      </w:r>
      <w:r w:rsidR="009E3D81" w:rsidRPr="00415AD8">
        <w:rPr>
          <w:rFonts w:cs="Arial"/>
        </w:rPr>
        <w:t>n tal calidad, a solicitud del Ministerio de Transporte</w:t>
      </w:r>
      <w:r w:rsidR="0033113C" w:rsidRPr="00415AD8">
        <w:rPr>
          <w:rFonts w:cs="Arial"/>
        </w:rPr>
        <w:t>,</w:t>
      </w:r>
      <w:r w:rsidR="009E3D81" w:rsidRPr="00415AD8">
        <w:rPr>
          <w:rFonts w:cs="Arial"/>
        </w:rPr>
        <w:t xml:space="preserve"> la Universidad Nacional de Colombia – Facultad de Ingenier</w:t>
      </w:r>
      <w:r w:rsidR="00B232D0" w:rsidRPr="00415AD8">
        <w:rPr>
          <w:rFonts w:cs="Arial"/>
        </w:rPr>
        <w:t>ía</w:t>
      </w:r>
      <w:r w:rsidR="009E3D81" w:rsidRPr="00415AD8">
        <w:rPr>
          <w:rFonts w:cs="Arial"/>
        </w:rPr>
        <w:t>- rindió concepto relativo a l</w:t>
      </w:r>
      <w:r w:rsidR="00B232D0" w:rsidRPr="00415AD8">
        <w:rPr>
          <w:rFonts w:cs="Arial"/>
        </w:rPr>
        <w:t>os supuestos incumplim</w:t>
      </w:r>
      <w:r w:rsidR="00134A68" w:rsidRPr="00415AD8">
        <w:rPr>
          <w:rFonts w:cs="Arial"/>
        </w:rPr>
        <w:t>i</w:t>
      </w:r>
      <w:r w:rsidR="00B232D0" w:rsidRPr="00415AD8">
        <w:rPr>
          <w:rFonts w:cs="Arial"/>
        </w:rPr>
        <w:t>entos</w:t>
      </w:r>
      <w:r w:rsidR="00E448EC" w:rsidRPr="00415AD8">
        <w:rPr>
          <w:rFonts w:cs="Arial"/>
        </w:rPr>
        <w:t xml:space="preserve">, </w:t>
      </w:r>
      <w:r w:rsidR="00B232D0" w:rsidRPr="00415AD8">
        <w:rPr>
          <w:rFonts w:cs="Arial"/>
        </w:rPr>
        <w:t>imputados al contratista interventor.</w:t>
      </w:r>
    </w:p>
    <w:p w:rsidR="00B232D0" w:rsidRPr="00415AD8" w:rsidRDefault="00B232D0" w:rsidP="00415AD8">
      <w:pPr>
        <w:contextualSpacing/>
        <w:rPr>
          <w:rFonts w:cs="Arial"/>
        </w:rPr>
      </w:pPr>
    </w:p>
    <w:p w:rsidR="00E03D64" w:rsidRPr="00415AD8" w:rsidRDefault="00011691" w:rsidP="00415AD8">
      <w:pPr>
        <w:contextualSpacing/>
        <w:rPr>
          <w:rFonts w:cs="Arial"/>
        </w:rPr>
      </w:pPr>
      <w:r w:rsidRPr="00415AD8">
        <w:rPr>
          <w:rFonts w:cs="Arial"/>
          <w:b/>
        </w:rPr>
        <w:t>2.</w:t>
      </w:r>
      <w:r w:rsidR="00E77798" w:rsidRPr="00415AD8">
        <w:rPr>
          <w:rFonts w:cs="Arial"/>
          <w:b/>
        </w:rPr>
        <w:t>6</w:t>
      </w:r>
      <w:r w:rsidRPr="00415AD8">
        <w:rPr>
          <w:rFonts w:cs="Arial"/>
          <w:b/>
        </w:rPr>
        <w:t>.</w:t>
      </w:r>
      <w:r w:rsidRPr="00415AD8">
        <w:rPr>
          <w:rFonts w:cs="Arial"/>
        </w:rPr>
        <w:t xml:space="preserve"> </w:t>
      </w:r>
      <w:r w:rsidR="00E77798" w:rsidRPr="00415AD8">
        <w:rPr>
          <w:rFonts w:cs="Arial"/>
        </w:rPr>
        <w:t>Afirmó que d</w:t>
      </w:r>
      <w:r w:rsidR="00B232D0" w:rsidRPr="00415AD8">
        <w:rPr>
          <w:rFonts w:cs="Arial"/>
        </w:rPr>
        <w:t>urante todo el trámite al que se ha venido haciendo referencia, el Ministerio de Tra</w:t>
      </w:r>
      <w:r w:rsidR="00D7112D" w:rsidRPr="00415AD8">
        <w:rPr>
          <w:rFonts w:cs="Arial"/>
        </w:rPr>
        <w:t>n</w:t>
      </w:r>
      <w:r w:rsidR="00B232D0" w:rsidRPr="00415AD8">
        <w:rPr>
          <w:rFonts w:cs="Arial"/>
        </w:rPr>
        <w:t>sporte se limitó a comunicar a Seguros Colpatria S.A. el env</w:t>
      </w:r>
      <w:r w:rsidR="00E448EC" w:rsidRPr="00415AD8">
        <w:rPr>
          <w:rFonts w:cs="Arial"/>
        </w:rPr>
        <w:t>í</w:t>
      </w:r>
      <w:r w:rsidR="00B232D0" w:rsidRPr="00415AD8">
        <w:rPr>
          <w:rFonts w:cs="Arial"/>
        </w:rPr>
        <w:t xml:space="preserve">o y </w:t>
      </w:r>
      <w:r w:rsidR="00691B31" w:rsidRPr="00415AD8">
        <w:rPr>
          <w:rFonts w:cs="Arial"/>
        </w:rPr>
        <w:t xml:space="preserve">la </w:t>
      </w:r>
      <w:r w:rsidR="00B232D0" w:rsidRPr="00415AD8">
        <w:rPr>
          <w:rFonts w:cs="Arial"/>
        </w:rPr>
        <w:t>recepción de co</w:t>
      </w:r>
      <w:r w:rsidR="008D7DE2" w:rsidRPr="00415AD8">
        <w:rPr>
          <w:rFonts w:cs="Arial"/>
        </w:rPr>
        <w:t>rrespondencia</w:t>
      </w:r>
      <w:r w:rsidR="00E03D64" w:rsidRPr="00415AD8">
        <w:rPr>
          <w:rFonts w:cs="Arial"/>
        </w:rPr>
        <w:t xml:space="preserve">, pero jamás </w:t>
      </w:r>
      <w:r w:rsidR="00D54116" w:rsidRPr="00415AD8">
        <w:rPr>
          <w:rFonts w:cs="Arial"/>
        </w:rPr>
        <w:t xml:space="preserve">se </w:t>
      </w:r>
      <w:r w:rsidR="00E03D64" w:rsidRPr="00415AD8">
        <w:rPr>
          <w:rFonts w:cs="Arial"/>
        </w:rPr>
        <w:t xml:space="preserve">le permitió </w:t>
      </w:r>
      <w:r w:rsidR="00691B31" w:rsidRPr="00415AD8">
        <w:rPr>
          <w:rFonts w:cs="Arial"/>
        </w:rPr>
        <w:t xml:space="preserve">a la compañía de seguros </w:t>
      </w:r>
      <w:r w:rsidR="00E03D64" w:rsidRPr="00415AD8">
        <w:rPr>
          <w:rFonts w:cs="Arial"/>
        </w:rPr>
        <w:t>el ejercicio del derecho de defensa.</w:t>
      </w:r>
    </w:p>
    <w:p w:rsidR="00E03D64" w:rsidRPr="00415AD8" w:rsidRDefault="00E03D64" w:rsidP="00415AD8">
      <w:pPr>
        <w:contextualSpacing/>
        <w:rPr>
          <w:rFonts w:cs="Arial"/>
        </w:rPr>
      </w:pPr>
    </w:p>
    <w:p w:rsidR="00CA3A92" w:rsidRPr="00415AD8" w:rsidRDefault="00011691" w:rsidP="00415AD8">
      <w:pPr>
        <w:contextualSpacing/>
        <w:rPr>
          <w:rFonts w:cs="Arial"/>
        </w:rPr>
      </w:pPr>
      <w:r w:rsidRPr="00415AD8">
        <w:rPr>
          <w:rFonts w:cs="Arial"/>
          <w:b/>
        </w:rPr>
        <w:t>2.</w:t>
      </w:r>
      <w:r w:rsidR="00E77798" w:rsidRPr="00415AD8">
        <w:rPr>
          <w:rFonts w:cs="Arial"/>
          <w:b/>
        </w:rPr>
        <w:t>7</w:t>
      </w:r>
      <w:r w:rsidRPr="00415AD8">
        <w:rPr>
          <w:rFonts w:cs="Arial"/>
          <w:b/>
        </w:rPr>
        <w:t>.</w:t>
      </w:r>
      <w:r w:rsidRPr="00415AD8">
        <w:rPr>
          <w:rFonts w:cs="Arial"/>
        </w:rPr>
        <w:t xml:space="preserve"> </w:t>
      </w:r>
      <w:r w:rsidR="00E03D64" w:rsidRPr="00415AD8">
        <w:rPr>
          <w:rFonts w:cs="Arial"/>
        </w:rPr>
        <w:t xml:space="preserve">Mediante la Resolución 05641 de diciembre 15 de 2011, el </w:t>
      </w:r>
      <w:r w:rsidRPr="00415AD8">
        <w:rPr>
          <w:rFonts w:cs="Arial"/>
        </w:rPr>
        <w:t>M</w:t>
      </w:r>
      <w:r w:rsidR="00E03D64" w:rsidRPr="00415AD8">
        <w:rPr>
          <w:rFonts w:cs="Arial"/>
        </w:rPr>
        <w:t>inisterio de</w:t>
      </w:r>
      <w:r w:rsidRPr="00415AD8">
        <w:rPr>
          <w:rFonts w:cs="Arial"/>
        </w:rPr>
        <w:t xml:space="preserve"> T</w:t>
      </w:r>
      <w:r w:rsidR="00211406" w:rsidRPr="00415AD8">
        <w:rPr>
          <w:rFonts w:cs="Arial"/>
        </w:rPr>
        <w:t>r</w:t>
      </w:r>
      <w:r w:rsidRPr="00415AD8">
        <w:rPr>
          <w:rFonts w:cs="Arial"/>
        </w:rPr>
        <w:t>ansporte de</w:t>
      </w:r>
      <w:r w:rsidR="00E03D64" w:rsidRPr="00415AD8">
        <w:rPr>
          <w:rFonts w:cs="Arial"/>
        </w:rPr>
        <w:t xml:space="preserve">claró el incumplimiento del </w:t>
      </w:r>
      <w:r w:rsidRPr="00415AD8">
        <w:rPr>
          <w:rFonts w:cs="Arial"/>
        </w:rPr>
        <w:t>C</w:t>
      </w:r>
      <w:r w:rsidR="00E03D64" w:rsidRPr="00415AD8">
        <w:rPr>
          <w:rFonts w:cs="Arial"/>
        </w:rPr>
        <w:t xml:space="preserve">ontrato 082, </w:t>
      </w:r>
      <w:r w:rsidR="00CA3A92" w:rsidRPr="00415AD8">
        <w:rPr>
          <w:rFonts w:cs="Arial"/>
        </w:rPr>
        <w:t xml:space="preserve">impuso a título de sanción </w:t>
      </w:r>
      <w:r w:rsidR="00691B31" w:rsidRPr="00415AD8">
        <w:rPr>
          <w:rFonts w:cs="Arial"/>
        </w:rPr>
        <w:t>unas</w:t>
      </w:r>
      <w:r w:rsidR="00CA3A92" w:rsidRPr="00415AD8">
        <w:rPr>
          <w:rFonts w:cs="Arial"/>
        </w:rPr>
        <w:t xml:space="preserve"> multas, hizo efectiva la cláusula penal y, de igual forma, declar</w:t>
      </w:r>
      <w:r w:rsidR="0033113C" w:rsidRPr="00415AD8">
        <w:rPr>
          <w:rFonts w:cs="Arial"/>
        </w:rPr>
        <w:t>ó</w:t>
      </w:r>
      <w:r w:rsidR="00CA3A92" w:rsidRPr="00415AD8">
        <w:rPr>
          <w:rFonts w:cs="Arial"/>
        </w:rPr>
        <w:t xml:space="preserve"> la ocurrencia del siniestro por incumplimiento.</w:t>
      </w:r>
    </w:p>
    <w:p w:rsidR="00CA3A92" w:rsidRPr="00415AD8" w:rsidRDefault="00CA3A92" w:rsidP="00415AD8">
      <w:pPr>
        <w:contextualSpacing/>
        <w:rPr>
          <w:rFonts w:cs="Arial"/>
        </w:rPr>
      </w:pPr>
    </w:p>
    <w:p w:rsidR="00CA3A92" w:rsidRPr="00415AD8" w:rsidRDefault="00211406" w:rsidP="00415AD8">
      <w:pPr>
        <w:contextualSpacing/>
        <w:rPr>
          <w:rFonts w:cs="Arial"/>
        </w:rPr>
      </w:pPr>
      <w:r w:rsidRPr="00415AD8">
        <w:rPr>
          <w:rFonts w:cs="Arial"/>
          <w:b/>
        </w:rPr>
        <w:t>2.</w:t>
      </w:r>
      <w:r w:rsidR="004C5B18" w:rsidRPr="00415AD8">
        <w:rPr>
          <w:rFonts w:cs="Arial"/>
          <w:b/>
        </w:rPr>
        <w:t>8.</w:t>
      </w:r>
      <w:r w:rsidRPr="00415AD8">
        <w:rPr>
          <w:rFonts w:cs="Arial"/>
        </w:rPr>
        <w:t xml:space="preserve"> </w:t>
      </w:r>
      <w:r w:rsidR="00691B31" w:rsidRPr="00415AD8">
        <w:rPr>
          <w:rFonts w:cs="Arial"/>
        </w:rPr>
        <w:t>Según narró la demandante, p</w:t>
      </w:r>
      <w:r w:rsidR="0033113C" w:rsidRPr="00415AD8">
        <w:rPr>
          <w:rFonts w:cs="Arial"/>
        </w:rPr>
        <w:t>ara expedir el citado acto administrativo e</w:t>
      </w:r>
      <w:r w:rsidR="00CA3A92" w:rsidRPr="00415AD8">
        <w:rPr>
          <w:rFonts w:cs="Arial"/>
        </w:rPr>
        <w:t>l Ministerio de Transporte se basó únicamente en el concepto de la Universidad Nacional, sin ocuparse</w:t>
      </w:r>
      <w:r w:rsidR="00691B31" w:rsidRPr="00415AD8">
        <w:rPr>
          <w:rFonts w:cs="Arial"/>
        </w:rPr>
        <w:t>,</w:t>
      </w:r>
      <w:r w:rsidR="00CA3A92" w:rsidRPr="00415AD8">
        <w:rPr>
          <w:rFonts w:cs="Arial"/>
        </w:rPr>
        <w:t xml:space="preserve"> prácticamente</w:t>
      </w:r>
      <w:r w:rsidR="00691B31" w:rsidRPr="00415AD8">
        <w:rPr>
          <w:rFonts w:cs="Arial"/>
        </w:rPr>
        <w:t>,</w:t>
      </w:r>
      <w:r w:rsidR="00CA3A92" w:rsidRPr="00415AD8">
        <w:rPr>
          <w:rFonts w:cs="Arial"/>
        </w:rPr>
        <w:t xml:space="preserve"> de los descar</w:t>
      </w:r>
      <w:r w:rsidR="00D7112D" w:rsidRPr="00415AD8">
        <w:rPr>
          <w:rFonts w:cs="Arial"/>
        </w:rPr>
        <w:t>g</w:t>
      </w:r>
      <w:r w:rsidR="00CA3A92" w:rsidRPr="00415AD8">
        <w:rPr>
          <w:rFonts w:cs="Arial"/>
        </w:rPr>
        <w:t>os del contratista.</w:t>
      </w:r>
    </w:p>
    <w:p w:rsidR="00CA3A92" w:rsidRPr="00415AD8" w:rsidRDefault="00CA3A92" w:rsidP="00415AD8">
      <w:pPr>
        <w:contextualSpacing/>
        <w:rPr>
          <w:rFonts w:cs="Arial"/>
        </w:rPr>
      </w:pPr>
    </w:p>
    <w:p w:rsidR="00946A1B" w:rsidRPr="00415AD8" w:rsidRDefault="00211406" w:rsidP="00415AD8">
      <w:pPr>
        <w:contextualSpacing/>
        <w:rPr>
          <w:rFonts w:cs="Arial"/>
        </w:rPr>
      </w:pPr>
      <w:r w:rsidRPr="00415AD8">
        <w:rPr>
          <w:rFonts w:cs="Arial"/>
          <w:b/>
        </w:rPr>
        <w:t>2.</w:t>
      </w:r>
      <w:r w:rsidR="004C5B18" w:rsidRPr="00415AD8">
        <w:rPr>
          <w:rFonts w:cs="Arial"/>
          <w:b/>
        </w:rPr>
        <w:t>9</w:t>
      </w:r>
      <w:r w:rsidRPr="00415AD8">
        <w:rPr>
          <w:rFonts w:cs="Arial"/>
          <w:b/>
        </w:rPr>
        <w:t>.</w:t>
      </w:r>
      <w:r w:rsidRPr="00415AD8">
        <w:rPr>
          <w:rFonts w:cs="Arial"/>
        </w:rPr>
        <w:t xml:space="preserve"> </w:t>
      </w:r>
      <w:r w:rsidR="00CA3A92" w:rsidRPr="00415AD8">
        <w:rPr>
          <w:rFonts w:cs="Arial"/>
        </w:rPr>
        <w:t xml:space="preserve">Por otra parte, la </w:t>
      </w:r>
      <w:r w:rsidR="0033113C" w:rsidRPr="00415AD8">
        <w:rPr>
          <w:rFonts w:cs="Arial"/>
        </w:rPr>
        <w:t xml:space="preserve">aseguradora </w:t>
      </w:r>
      <w:r w:rsidR="00CA3A92" w:rsidRPr="00415AD8">
        <w:rPr>
          <w:rFonts w:cs="Arial"/>
        </w:rPr>
        <w:t>demandante in</w:t>
      </w:r>
      <w:r w:rsidR="00946A1B" w:rsidRPr="00415AD8">
        <w:rPr>
          <w:rFonts w:cs="Arial"/>
        </w:rPr>
        <w:t>dicó que “</w:t>
      </w:r>
      <w:r w:rsidR="00946A1B" w:rsidRPr="00415AD8">
        <w:rPr>
          <w:rFonts w:cs="Arial"/>
          <w:i/>
        </w:rPr>
        <w:t>desde el punto de vista técnico no existió el incumplimiento que se le endilga al contratista y por ende no procede la sanción impuesta”</w:t>
      </w:r>
      <w:r w:rsidR="00946A1B" w:rsidRPr="00415AD8">
        <w:rPr>
          <w:rStyle w:val="Refdenotaalpie"/>
          <w:rFonts w:cs="Arial"/>
          <w:i/>
        </w:rPr>
        <w:footnoteReference w:id="2"/>
      </w:r>
      <w:r w:rsidR="00946A1B" w:rsidRPr="00415AD8">
        <w:rPr>
          <w:rFonts w:cs="Arial"/>
        </w:rPr>
        <w:t>.</w:t>
      </w:r>
    </w:p>
    <w:p w:rsidR="00946A1B" w:rsidRPr="00415AD8" w:rsidRDefault="00946A1B" w:rsidP="00415AD8">
      <w:pPr>
        <w:contextualSpacing/>
        <w:rPr>
          <w:rFonts w:cs="Arial"/>
        </w:rPr>
      </w:pPr>
    </w:p>
    <w:p w:rsidR="00131111" w:rsidRPr="00415AD8" w:rsidRDefault="00885C9B" w:rsidP="00415AD8">
      <w:pPr>
        <w:contextualSpacing/>
        <w:rPr>
          <w:rFonts w:cs="Arial"/>
          <w:b/>
          <w:bCs/>
          <w:iCs/>
        </w:rPr>
      </w:pPr>
      <w:r w:rsidRPr="00415AD8">
        <w:rPr>
          <w:rFonts w:cs="Arial"/>
          <w:b/>
          <w:bCs/>
          <w:iCs/>
        </w:rPr>
        <w:t>3</w:t>
      </w:r>
      <w:r w:rsidR="00131111" w:rsidRPr="00415AD8">
        <w:rPr>
          <w:rFonts w:cs="Arial"/>
          <w:b/>
          <w:bCs/>
          <w:iCs/>
        </w:rPr>
        <w:t>. Actuación procesal</w:t>
      </w:r>
    </w:p>
    <w:p w:rsidR="00131111" w:rsidRPr="00415AD8" w:rsidRDefault="00131111" w:rsidP="00415AD8">
      <w:pPr>
        <w:rPr>
          <w:rFonts w:cs="Arial"/>
          <w:bCs/>
          <w:iCs/>
        </w:rPr>
      </w:pPr>
    </w:p>
    <w:p w:rsidR="00131111" w:rsidRPr="00415AD8" w:rsidRDefault="00885C9B" w:rsidP="00415AD8">
      <w:pPr>
        <w:rPr>
          <w:rFonts w:cs="Arial"/>
          <w:bCs/>
          <w:iCs/>
        </w:rPr>
      </w:pPr>
      <w:r w:rsidRPr="00415AD8">
        <w:rPr>
          <w:rFonts w:cs="Arial"/>
          <w:b/>
          <w:bCs/>
          <w:iCs/>
        </w:rPr>
        <w:t>3</w:t>
      </w:r>
      <w:r w:rsidR="00131111" w:rsidRPr="00415AD8">
        <w:rPr>
          <w:rFonts w:cs="Arial"/>
          <w:b/>
          <w:bCs/>
          <w:iCs/>
        </w:rPr>
        <w:t>.1.</w:t>
      </w:r>
      <w:r w:rsidR="008B32FC" w:rsidRPr="00415AD8">
        <w:rPr>
          <w:rFonts w:cs="Arial"/>
          <w:b/>
          <w:bCs/>
          <w:iCs/>
        </w:rPr>
        <w:t xml:space="preserve"> </w:t>
      </w:r>
      <w:r w:rsidR="000A15AD" w:rsidRPr="00415AD8">
        <w:rPr>
          <w:rFonts w:cs="Arial"/>
          <w:bCs/>
          <w:iCs/>
        </w:rPr>
        <w:t>Por auto de 2</w:t>
      </w:r>
      <w:r w:rsidR="0073021E" w:rsidRPr="00415AD8">
        <w:rPr>
          <w:rFonts w:cs="Arial"/>
          <w:bCs/>
          <w:iCs/>
        </w:rPr>
        <w:t>9</w:t>
      </w:r>
      <w:r w:rsidR="000A15AD" w:rsidRPr="00415AD8">
        <w:rPr>
          <w:rFonts w:cs="Arial"/>
          <w:bCs/>
          <w:iCs/>
        </w:rPr>
        <w:t xml:space="preserve"> de </w:t>
      </w:r>
      <w:r w:rsidR="0073021E" w:rsidRPr="00415AD8">
        <w:rPr>
          <w:rFonts w:cs="Arial"/>
          <w:bCs/>
          <w:iCs/>
        </w:rPr>
        <w:t>enero</w:t>
      </w:r>
      <w:r w:rsidR="000A15AD" w:rsidRPr="00415AD8">
        <w:rPr>
          <w:rFonts w:cs="Arial"/>
          <w:bCs/>
          <w:iCs/>
        </w:rPr>
        <w:t xml:space="preserve"> de 201</w:t>
      </w:r>
      <w:r w:rsidR="0073021E" w:rsidRPr="00415AD8">
        <w:rPr>
          <w:rFonts w:cs="Arial"/>
          <w:bCs/>
          <w:iCs/>
        </w:rPr>
        <w:t>4</w:t>
      </w:r>
      <w:r w:rsidR="000A15AD" w:rsidRPr="00415AD8">
        <w:rPr>
          <w:rFonts w:cs="Arial"/>
          <w:bCs/>
          <w:iCs/>
        </w:rPr>
        <w:t>, e</w:t>
      </w:r>
      <w:r w:rsidR="00131111" w:rsidRPr="00415AD8">
        <w:rPr>
          <w:rFonts w:cs="Arial"/>
          <w:bCs/>
          <w:iCs/>
        </w:rPr>
        <w:t xml:space="preserve">l Tribunal Administrativo de </w:t>
      </w:r>
      <w:r w:rsidR="0073021E" w:rsidRPr="00415AD8">
        <w:rPr>
          <w:rFonts w:cs="Arial"/>
          <w:bCs/>
          <w:iCs/>
        </w:rPr>
        <w:t>Cundinamarca</w:t>
      </w:r>
      <w:r w:rsidR="00131111" w:rsidRPr="00415AD8">
        <w:rPr>
          <w:rFonts w:cs="Arial"/>
          <w:bCs/>
          <w:iCs/>
        </w:rPr>
        <w:t xml:space="preserve"> admitió la demanda</w:t>
      </w:r>
      <w:r w:rsidR="00F23305" w:rsidRPr="00415AD8">
        <w:rPr>
          <w:rFonts w:cs="Arial"/>
          <w:bCs/>
          <w:iCs/>
        </w:rPr>
        <w:t>.</w:t>
      </w:r>
    </w:p>
    <w:p w:rsidR="00131111" w:rsidRPr="00415AD8" w:rsidRDefault="00131111" w:rsidP="00415AD8">
      <w:pPr>
        <w:rPr>
          <w:rFonts w:cs="Arial"/>
          <w:bCs/>
          <w:iCs/>
        </w:rPr>
      </w:pPr>
    </w:p>
    <w:p w:rsidR="00472E5F" w:rsidRPr="00415AD8" w:rsidRDefault="00472E5F" w:rsidP="00415AD8">
      <w:pPr>
        <w:rPr>
          <w:rFonts w:cs="Arial"/>
          <w:bCs/>
          <w:iCs/>
        </w:rPr>
      </w:pPr>
    </w:p>
    <w:p w:rsidR="00472E5F" w:rsidRPr="00415AD8" w:rsidRDefault="00472E5F" w:rsidP="00415AD8">
      <w:pPr>
        <w:rPr>
          <w:rFonts w:cs="Arial"/>
          <w:bCs/>
          <w:iCs/>
        </w:rPr>
      </w:pPr>
    </w:p>
    <w:p w:rsidR="00472E5F" w:rsidRPr="00415AD8" w:rsidRDefault="00472E5F" w:rsidP="00415AD8">
      <w:pPr>
        <w:rPr>
          <w:rFonts w:cs="Arial"/>
          <w:bCs/>
          <w:iCs/>
        </w:rPr>
      </w:pPr>
    </w:p>
    <w:p w:rsidR="00131111" w:rsidRPr="00415AD8" w:rsidRDefault="00885C9B" w:rsidP="00415AD8">
      <w:pPr>
        <w:rPr>
          <w:rFonts w:cs="Arial"/>
          <w:b/>
          <w:bCs/>
          <w:iCs/>
        </w:rPr>
      </w:pPr>
      <w:r w:rsidRPr="00415AD8">
        <w:rPr>
          <w:rFonts w:cs="Arial"/>
          <w:b/>
          <w:bCs/>
          <w:iCs/>
        </w:rPr>
        <w:t>3</w:t>
      </w:r>
      <w:r w:rsidR="00131111" w:rsidRPr="00415AD8">
        <w:rPr>
          <w:rFonts w:cs="Arial"/>
          <w:b/>
          <w:bCs/>
          <w:iCs/>
        </w:rPr>
        <w:t>.2.</w:t>
      </w:r>
      <w:r w:rsidR="008B32FC" w:rsidRPr="00415AD8">
        <w:rPr>
          <w:rFonts w:cs="Arial"/>
          <w:b/>
          <w:bCs/>
          <w:iCs/>
        </w:rPr>
        <w:t xml:space="preserve"> </w:t>
      </w:r>
      <w:r w:rsidR="00131111" w:rsidRPr="00415AD8">
        <w:rPr>
          <w:rFonts w:cs="Arial"/>
          <w:b/>
          <w:bCs/>
          <w:iCs/>
        </w:rPr>
        <w:t>Contestación de la demanda</w:t>
      </w:r>
    </w:p>
    <w:p w:rsidR="00131111" w:rsidRPr="00415AD8" w:rsidRDefault="00131111" w:rsidP="00415AD8">
      <w:pPr>
        <w:rPr>
          <w:rFonts w:cs="Arial"/>
          <w:b/>
          <w:bCs/>
          <w:iCs/>
        </w:rPr>
      </w:pPr>
    </w:p>
    <w:p w:rsidR="00DD31FA" w:rsidRPr="00415AD8" w:rsidRDefault="00131111" w:rsidP="00415AD8">
      <w:pPr>
        <w:rPr>
          <w:rFonts w:cs="Arial"/>
        </w:rPr>
      </w:pPr>
      <w:r w:rsidRPr="00415AD8">
        <w:rPr>
          <w:rFonts w:cs="Arial"/>
        </w:rPr>
        <w:t xml:space="preserve">El </w:t>
      </w:r>
      <w:r w:rsidR="00DD31FA" w:rsidRPr="00415AD8">
        <w:rPr>
          <w:rFonts w:cs="Arial"/>
        </w:rPr>
        <w:t xml:space="preserve">Ministerio de Transporte </w:t>
      </w:r>
      <w:r w:rsidRPr="00415AD8">
        <w:rPr>
          <w:rFonts w:cs="Arial"/>
        </w:rPr>
        <w:t>contestó la demanda</w:t>
      </w:r>
      <w:r w:rsidR="000A0A82" w:rsidRPr="00415AD8">
        <w:rPr>
          <w:rFonts w:cs="Arial"/>
        </w:rPr>
        <w:t xml:space="preserve"> y aceptó parcialmente los hechos. </w:t>
      </w:r>
      <w:r w:rsidR="00691B31" w:rsidRPr="00415AD8">
        <w:rPr>
          <w:rFonts w:cs="Arial"/>
        </w:rPr>
        <w:t xml:space="preserve">Aclaró </w:t>
      </w:r>
      <w:r w:rsidR="00DD31FA" w:rsidRPr="00415AD8">
        <w:rPr>
          <w:rFonts w:cs="Arial"/>
        </w:rPr>
        <w:t>que dio cumplimiento a</w:t>
      </w:r>
      <w:r w:rsidR="00472E5F" w:rsidRPr="00415AD8">
        <w:rPr>
          <w:rFonts w:cs="Arial"/>
        </w:rPr>
        <w:t>l</w:t>
      </w:r>
      <w:r w:rsidR="00DD31FA" w:rsidRPr="00415AD8">
        <w:rPr>
          <w:rFonts w:cs="Arial"/>
        </w:rPr>
        <w:t xml:space="preserve"> proceso sancionatorio previsto en la Ley 1150 de 2007 y </w:t>
      </w:r>
      <w:r w:rsidR="004C5B18" w:rsidRPr="00415AD8">
        <w:rPr>
          <w:rFonts w:cs="Arial"/>
        </w:rPr>
        <w:t xml:space="preserve">destacó </w:t>
      </w:r>
      <w:r w:rsidR="00DD31FA" w:rsidRPr="00415AD8">
        <w:rPr>
          <w:rFonts w:cs="Arial"/>
        </w:rPr>
        <w:t xml:space="preserve">que sí citó, mediante oficio separado, a la compañía de seguros garante. </w:t>
      </w:r>
    </w:p>
    <w:p w:rsidR="00DD31FA" w:rsidRPr="00415AD8" w:rsidRDefault="00DD31FA" w:rsidP="00415AD8">
      <w:pPr>
        <w:rPr>
          <w:rFonts w:cs="Arial"/>
        </w:rPr>
      </w:pPr>
    </w:p>
    <w:p w:rsidR="00601C57" w:rsidRPr="00415AD8" w:rsidRDefault="00B05794" w:rsidP="00415AD8">
      <w:pPr>
        <w:rPr>
          <w:rFonts w:cs="Arial"/>
        </w:rPr>
      </w:pPr>
      <w:r w:rsidRPr="00415AD8">
        <w:rPr>
          <w:rFonts w:cs="Arial"/>
        </w:rPr>
        <w:t xml:space="preserve">Observó </w:t>
      </w:r>
      <w:r w:rsidR="005B210B" w:rsidRPr="00415AD8">
        <w:rPr>
          <w:rFonts w:cs="Arial"/>
        </w:rPr>
        <w:t xml:space="preserve">que el incumplimiento del contratista </w:t>
      </w:r>
      <w:r w:rsidR="00601C57" w:rsidRPr="00415AD8">
        <w:rPr>
          <w:rFonts w:cs="Arial"/>
        </w:rPr>
        <w:t xml:space="preserve">interventor </w:t>
      </w:r>
      <w:r w:rsidR="005B210B" w:rsidRPr="00415AD8">
        <w:rPr>
          <w:rFonts w:cs="Arial"/>
        </w:rPr>
        <w:t xml:space="preserve">era </w:t>
      </w:r>
      <w:r w:rsidR="00B712F9" w:rsidRPr="00415AD8">
        <w:rPr>
          <w:rFonts w:cs="Arial"/>
        </w:rPr>
        <w:t xml:space="preserve">un hecho </w:t>
      </w:r>
      <w:r w:rsidR="005B210B" w:rsidRPr="00415AD8">
        <w:rPr>
          <w:rFonts w:cs="Arial"/>
        </w:rPr>
        <w:t xml:space="preserve">cierto </w:t>
      </w:r>
      <w:r w:rsidR="005D35C9" w:rsidRPr="00415AD8">
        <w:rPr>
          <w:rFonts w:cs="Arial"/>
        </w:rPr>
        <w:t xml:space="preserve">y </w:t>
      </w:r>
      <w:r w:rsidR="00601C57" w:rsidRPr="00415AD8">
        <w:rPr>
          <w:rFonts w:cs="Arial"/>
        </w:rPr>
        <w:t xml:space="preserve">que </w:t>
      </w:r>
      <w:r w:rsidR="005D35C9" w:rsidRPr="00415AD8">
        <w:rPr>
          <w:rFonts w:cs="Arial"/>
        </w:rPr>
        <w:t xml:space="preserve">se configuró </w:t>
      </w:r>
      <w:r w:rsidR="004A4E08" w:rsidRPr="00415AD8">
        <w:rPr>
          <w:rFonts w:cs="Arial"/>
        </w:rPr>
        <w:t xml:space="preserve">dado que </w:t>
      </w:r>
      <w:r w:rsidR="00601C57" w:rsidRPr="00415AD8">
        <w:rPr>
          <w:rFonts w:cs="Arial"/>
        </w:rPr>
        <w:t>falt</w:t>
      </w:r>
      <w:r w:rsidR="004A4E08" w:rsidRPr="00415AD8">
        <w:rPr>
          <w:rFonts w:cs="Arial"/>
        </w:rPr>
        <w:t>ó</w:t>
      </w:r>
      <w:r w:rsidR="00601C57" w:rsidRPr="00415AD8">
        <w:rPr>
          <w:rFonts w:cs="Arial"/>
        </w:rPr>
        <w:t xml:space="preserve"> a las obligaciones previstas en los puntos 7.1. a 7.4. del </w:t>
      </w:r>
      <w:r w:rsidR="00D54116" w:rsidRPr="00415AD8">
        <w:rPr>
          <w:rFonts w:cs="Arial"/>
        </w:rPr>
        <w:t>C</w:t>
      </w:r>
      <w:r w:rsidR="00601C57" w:rsidRPr="00415AD8">
        <w:rPr>
          <w:rFonts w:cs="Arial"/>
        </w:rPr>
        <w:t>ontrato</w:t>
      </w:r>
      <w:r w:rsidR="00B712F9" w:rsidRPr="00415AD8">
        <w:rPr>
          <w:rFonts w:cs="Arial"/>
        </w:rPr>
        <w:t xml:space="preserve"> 082</w:t>
      </w:r>
      <w:r w:rsidR="008D7DE2" w:rsidRPr="00415AD8">
        <w:rPr>
          <w:rFonts w:cs="Arial"/>
        </w:rPr>
        <w:t xml:space="preserve"> de 2007</w:t>
      </w:r>
      <w:r w:rsidR="00601C57" w:rsidRPr="00415AD8">
        <w:rPr>
          <w:rFonts w:cs="Arial"/>
        </w:rPr>
        <w:t xml:space="preserve">, relacionadas con el </w:t>
      </w:r>
      <w:r w:rsidR="005B210B" w:rsidRPr="00415AD8">
        <w:rPr>
          <w:rFonts w:cs="Arial"/>
        </w:rPr>
        <w:t>seguimiento y control</w:t>
      </w:r>
      <w:r w:rsidR="005D35C9" w:rsidRPr="00415AD8">
        <w:rPr>
          <w:rFonts w:cs="Arial"/>
        </w:rPr>
        <w:t xml:space="preserve"> de las obligaciones del concesionario </w:t>
      </w:r>
      <w:r w:rsidR="00601C57" w:rsidRPr="00415AD8">
        <w:rPr>
          <w:rFonts w:cs="Arial"/>
        </w:rPr>
        <w:t>del R</w:t>
      </w:r>
      <w:r w:rsidR="00B712F9" w:rsidRPr="00415AD8">
        <w:rPr>
          <w:rFonts w:cs="Arial"/>
        </w:rPr>
        <w:t>.</w:t>
      </w:r>
      <w:r w:rsidR="00601C57" w:rsidRPr="00415AD8">
        <w:rPr>
          <w:rFonts w:cs="Arial"/>
        </w:rPr>
        <w:t>U</w:t>
      </w:r>
      <w:r w:rsidR="00B712F9" w:rsidRPr="00415AD8">
        <w:rPr>
          <w:rFonts w:cs="Arial"/>
        </w:rPr>
        <w:t>.</w:t>
      </w:r>
      <w:r w:rsidR="00601C57" w:rsidRPr="00415AD8">
        <w:rPr>
          <w:rFonts w:cs="Arial"/>
        </w:rPr>
        <w:t>N</w:t>
      </w:r>
      <w:r w:rsidR="00B712F9" w:rsidRPr="00415AD8">
        <w:rPr>
          <w:rFonts w:cs="Arial"/>
        </w:rPr>
        <w:t>.</w:t>
      </w:r>
      <w:r w:rsidR="00601C57" w:rsidRPr="00415AD8">
        <w:rPr>
          <w:rFonts w:cs="Arial"/>
        </w:rPr>
        <w:t xml:space="preserve">T. </w:t>
      </w:r>
    </w:p>
    <w:p w:rsidR="00601C57" w:rsidRPr="00415AD8" w:rsidRDefault="00601C57" w:rsidP="00415AD8">
      <w:pPr>
        <w:rPr>
          <w:rFonts w:cs="Arial"/>
        </w:rPr>
      </w:pPr>
    </w:p>
    <w:p w:rsidR="005B210B" w:rsidRPr="00415AD8" w:rsidRDefault="00B05794" w:rsidP="00415AD8">
      <w:pPr>
        <w:rPr>
          <w:rFonts w:cs="Arial"/>
        </w:rPr>
      </w:pPr>
      <w:r w:rsidRPr="00415AD8">
        <w:rPr>
          <w:rFonts w:cs="Arial"/>
        </w:rPr>
        <w:lastRenderedPageBreak/>
        <w:t>A</w:t>
      </w:r>
      <w:r w:rsidR="00B712F9" w:rsidRPr="00415AD8">
        <w:rPr>
          <w:rFonts w:cs="Arial"/>
        </w:rPr>
        <w:t xml:space="preserve">dvirtió </w:t>
      </w:r>
      <w:r w:rsidR="005B210B" w:rsidRPr="00415AD8">
        <w:rPr>
          <w:rFonts w:cs="Arial"/>
        </w:rPr>
        <w:t xml:space="preserve">que </w:t>
      </w:r>
      <w:r w:rsidR="000A0A82" w:rsidRPr="00415AD8">
        <w:rPr>
          <w:rFonts w:cs="Arial"/>
        </w:rPr>
        <w:t>mediante sentencia del 13 de julio de 2013, el Tribunal Administrativo de Cundinamarca</w:t>
      </w:r>
      <w:r w:rsidR="00472E5F" w:rsidRPr="00415AD8">
        <w:rPr>
          <w:rFonts w:cs="Arial"/>
        </w:rPr>
        <w:t>,</w:t>
      </w:r>
      <w:r w:rsidR="000A0A82" w:rsidRPr="00415AD8">
        <w:rPr>
          <w:rFonts w:cs="Arial"/>
        </w:rPr>
        <w:t xml:space="preserve"> en primera instancia</w:t>
      </w:r>
      <w:r w:rsidR="0084569C" w:rsidRPr="00415AD8">
        <w:rPr>
          <w:rStyle w:val="Refdenotaalpie"/>
          <w:rFonts w:cs="Arial"/>
        </w:rPr>
        <w:footnoteReference w:id="3"/>
      </w:r>
      <w:r w:rsidR="000A0A82" w:rsidRPr="00415AD8">
        <w:rPr>
          <w:rFonts w:cs="Arial"/>
        </w:rPr>
        <w:t xml:space="preserve">, </w:t>
      </w:r>
      <w:r w:rsidR="00472E5F" w:rsidRPr="00415AD8">
        <w:rPr>
          <w:rFonts w:cs="Arial"/>
        </w:rPr>
        <w:t xml:space="preserve">falló </w:t>
      </w:r>
      <w:r w:rsidR="000A0A82" w:rsidRPr="00415AD8">
        <w:rPr>
          <w:rFonts w:cs="Arial"/>
        </w:rPr>
        <w:t xml:space="preserve">denegando la nulidad de las </w:t>
      </w:r>
      <w:r w:rsidRPr="00415AD8">
        <w:rPr>
          <w:rFonts w:cs="Arial"/>
        </w:rPr>
        <w:t xml:space="preserve">mismas </w:t>
      </w:r>
      <w:r w:rsidR="000A0A82" w:rsidRPr="00415AD8">
        <w:rPr>
          <w:rFonts w:cs="Arial"/>
        </w:rPr>
        <w:t>resoluciones</w:t>
      </w:r>
      <w:r w:rsidRPr="00415AD8">
        <w:rPr>
          <w:rFonts w:cs="Arial"/>
        </w:rPr>
        <w:t xml:space="preserve"> acusadas en este litigio, </w:t>
      </w:r>
      <w:r w:rsidR="000A0A82" w:rsidRPr="00415AD8">
        <w:rPr>
          <w:rFonts w:cs="Arial"/>
        </w:rPr>
        <w:t>dentro del proceso instaurando por los mie</w:t>
      </w:r>
      <w:r w:rsidR="0084569C" w:rsidRPr="00415AD8">
        <w:rPr>
          <w:rFonts w:cs="Arial"/>
        </w:rPr>
        <w:t>m</w:t>
      </w:r>
      <w:r w:rsidR="000A0A82" w:rsidRPr="00415AD8">
        <w:rPr>
          <w:rFonts w:cs="Arial"/>
        </w:rPr>
        <w:t>bro</w:t>
      </w:r>
      <w:r w:rsidR="0084569C" w:rsidRPr="00415AD8">
        <w:rPr>
          <w:rFonts w:cs="Arial"/>
        </w:rPr>
        <w:t>s</w:t>
      </w:r>
      <w:r w:rsidR="000A0A82" w:rsidRPr="00415AD8">
        <w:rPr>
          <w:rFonts w:cs="Arial"/>
        </w:rPr>
        <w:t xml:space="preserve"> del cons</w:t>
      </w:r>
      <w:r w:rsidR="005B210B" w:rsidRPr="00415AD8">
        <w:rPr>
          <w:rFonts w:cs="Arial"/>
        </w:rPr>
        <w:t>o</w:t>
      </w:r>
      <w:r w:rsidR="000A0A82" w:rsidRPr="00415AD8">
        <w:rPr>
          <w:rFonts w:cs="Arial"/>
        </w:rPr>
        <w:t xml:space="preserve">rcio PAI </w:t>
      </w:r>
      <w:r w:rsidR="005B210B" w:rsidRPr="00415AD8">
        <w:rPr>
          <w:rFonts w:cs="Arial"/>
        </w:rPr>
        <w:t>–</w:t>
      </w:r>
      <w:r w:rsidR="000A0A82" w:rsidRPr="00415AD8">
        <w:rPr>
          <w:rFonts w:cs="Arial"/>
        </w:rPr>
        <w:t xml:space="preserve"> RUNT</w:t>
      </w:r>
      <w:r w:rsidRPr="00415AD8">
        <w:rPr>
          <w:rFonts w:cs="Arial"/>
        </w:rPr>
        <w:t>, es decir</w:t>
      </w:r>
      <w:r w:rsidR="00086912" w:rsidRPr="00415AD8">
        <w:rPr>
          <w:rFonts w:cs="Arial"/>
        </w:rPr>
        <w:t>,</w:t>
      </w:r>
      <w:r w:rsidRPr="00415AD8">
        <w:rPr>
          <w:rFonts w:cs="Arial"/>
        </w:rPr>
        <w:t xml:space="preserve"> por el contratista</w:t>
      </w:r>
      <w:r w:rsidR="00A527D2" w:rsidRPr="00415AD8">
        <w:rPr>
          <w:rFonts w:cs="Arial"/>
        </w:rPr>
        <w:t xml:space="preserve">, razón por la cual </w:t>
      </w:r>
      <w:r w:rsidR="00B712F9" w:rsidRPr="00415AD8">
        <w:rPr>
          <w:rFonts w:cs="Arial"/>
        </w:rPr>
        <w:t xml:space="preserve">afirmó que </w:t>
      </w:r>
      <w:r w:rsidR="00A527D2" w:rsidRPr="00415AD8">
        <w:rPr>
          <w:rFonts w:cs="Arial"/>
        </w:rPr>
        <w:t xml:space="preserve">no se pueden aceptar las afirmaciones de la </w:t>
      </w:r>
      <w:r w:rsidR="00B712F9" w:rsidRPr="00415AD8">
        <w:rPr>
          <w:rFonts w:cs="Arial"/>
        </w:rPr>
        <w:t xml:space="preserve">compañía </w:t>
      </w:r>
      <w:r w:rsidR="00A527D2" w:rsidRPr="00415AD8">
        <w:rPr>
          <w:rFonts w:cs="Arial"/>
        </w:rPr>
        <w:t>aseguradora</w:t>
      </w:r>
      <w:r w:rsidR="00B712F9" w:rsidRPr="00415AD8">
        <w:rPr>
          <w:rFonts w:cs="Arial"/>
        </w:rPr>
        <w:t xml:space="preserve"> en e</w:t>
      </w:r>
      <w:r w:rsidR="00742390" w:rsidRPr="00415AD8">
        <w:rPr>
          <w:rFonts w:cs="Arial"/>
        </w:rPr>
        <w:t xml:space="preserve">l presente </w:t>
      </w:r>
      <w:r w:rsidR="00B712F9" w:rsidRPr="00415AD8">
        <w:rPr>
          <w:rFonts w:cs="Arial"/>
        </w:rPr>
        <w:t>proceso</w:t>
      </w:r>
      <w:r w:rsidR="00A527D2" w:rsidRPr="00415AD8">
        <w:rPr>
          <w:rFonts w:cs="Arial"/>
        </w:rPr>
        <w:t xml:space="preserve">. </w:t>
      </w:r>
    </w:p>
    <w:p w:rsidR="00A527D2" w:rsidRPr="00415AD8" w:rsidRDefault="00A527D2" w:rsidP="00415AD8">
      <w:pPr>
        <w:rPr>
          <w:rFonts w:cs="Arial"/>
        </w:rPr>
      </w:pPr>
    </w:p>
    <w:p w:rsidR="00131111" w:rsidRPr="00415AD8" w:rsidRDefault="00885C9B" w:rsidP="00415AD8">
      <w:pPr>
        <w:rPr>
          <w:rFonts w:cs="Arial"/>
          <w:b/>
          <w:bCs/>
        </w:rPr>
      </w:pPr>
      <w:r w:rsidRPr="00415AD8">
        <w:rPr>
          <w:rFonts w:cs="Arial"/>
          <w:b/>
          <w:bCs/>
        </w:rPr>
        <w:t>3</w:t>
      </w:r>
      <w:r w:rsidR="00131111" w:rsidRPr="00415AD8">
        <w:rPr>
          <w:rFonts w:cs="Arial"/>
          <w:b/>
          <w:bCs/>
        </w:rPr>
        <w:t xml:space="preserve">.3. Audiencia </w:t>
      </w:r>
      <w:r w:rsidR="00D54116" w:rsidRPr="00415AD8">
        <w:rPr>
          <w:rFonts w:cs="Arial"/>
          <w:b/>
          <w:bCs/>
        </w:rPr>
        <w:t>i</w:t>
      </w:r>
      <w:r w:rsidR="00131111" w:rsidRPr="00415AD8">
        <w:rPr>
          <w:rFonts w:cs="Arial"/>
          <w:b/>
          <w:bCs/>
        </w:rPr>
        <w:t>nicial</w:t>
      </w:r>
      <w:r w:rsidR="00A80914" w:rsidRPr="00415AD8">
        <w:rPr>
          <w:rFonts w:cs="Arial"/>
          <w:b/>
          <w:bCs/>
        </w:rPr>
        <w:t xml:space="preserve"> y final </w:t>
      </w:r>
    </w:p>
    <w:p w:rsidR="00131111" w:rsidRPr="00415AD8" w:rsidRDefault="00131111" w:rsidP="00415AD8">
      <w:pPr>
        <w:rPr>
          <w:rFonts w:cs="Arial"/>
          <w:bCs/>
        </w:rPr>
      </w:pPr>
    </w:p>
    <w:p w:rsidR="00F23305" w:rsidRPr="00415AD8" w:rsidRDefault="00131111" w:rsidP="00415AD8">
      <w:pPr>
        <w:rPr>
          <w:rFonts w:cs="Arial"/>
          <w:bCs/>
        </w:rPr>
      </w:pPr>
      <w:r w:rsidRPr="00415AD8">
        <w:rPr>
          <w:rFonts w:cs="Arial"/>
          <w:bCs/>
        </w:rPr>
        <w:t xml:space="preserve">El </w:t>
      </w:r>
      <w:r w:rsidR="00415076" w:rsidRPr="00415AD8">
        <w:rPr>
          <w:rFonts w:cs="Arial"/>
          <w:bCs/>
        </w:rPr>
        <w:t>4</w:t>
      </w:r>
      <w:r w:rsidRPr="00415AD8">
        <w:rPr>
          <w:rFonts w:cs="Arial"/>
          <w:bCs/>
        </w:rPr>
        <w:t xml:space="preserve"> de </w:t>
      </w:r>
      <w:r w:rsidR="00415076" w:rsidRPr="00415AD8">
        <w:rPr>
          <w:rFonts w:cs="Arial"/>
          <w:bCs/>
        </w:rPr>
        <w:t xml:space="preserve">marzo </w:t>
      </w:r>
      <w:r w:rsidRPr="00415AD8">
        <w:rPr>
          <w:rFonts w:cs="Arial"/>
          <w:bCs/>
        </w:rPr>
        <w:t>de 201</w:t>
      </w:r>
      <w:r w:rsidR="00415076" w:rsidRPr="00415AD8">
        <w:rPr>
          <w:rFonts w:cs="Arial"/>
          <w:bCs/>
        </w:rPr>
        <w:t>5</w:t>
      </w:r>
      <w:r w:rsidRPr="00415AD8">
        <w:rPr>
          <w:rFonts w:cs="Arial"/>
          <w:bCs/>
        </w:rPr>
        <w:t xml:space="preserve"> se llevó a cabo la </w:t>
      </w:r>
      <w:r w:rsidR="00D54116" w:rsidRPr="00415AD8">
        <w:rPr>
          <w:rFonts w:cs="Arial"/>
          <w:bCs/>
        </w:rPr>
        <w:t xml:space="preserve">audiencia inicial </w:t>
      </w:r>
      <w:r w:rsidRPr="00415AD8">
        <w:rPr>
          <w:rFonts w:cs="Arial"/>
          <w:bCs/>
        </w:rPr>
        <w:t xml:space="preserve">de que trata el artículo 180 del </w:t>
      </w:r>
      <w:r w:rsidR="004933C2" w:rsidRPr="00415AD8">
        <w:rPr>
          <w:rFonts w:cs="Arial"/>
          <w:bCs/>
        </w:rPr>
        <w:t>Código de Procedimiento Administrativo y Contencioso Administrativo</w:t>
      </w:r>
      <w:r w:rsidR="00742390" w:rsidRPr="00415AD8">
        <w:rPr>
          <w:rFonts w:cs="Arial"/>
          <w:bCs/>
        </w:rPr>
        <w:t xml:space="preserve"> (C.P.A.C.A.)</w:t>
      </w:r>
      <w:r w:rsidRPr="00415AD8">
        <w:rPr>
          <w:rFonts w:cs="Arial"/>
          <w:bCs/>
        </w:rPr>
        <w:t xml:space="preserve">, en la cual </w:t>
      </w:r>
      <w:r w:rsidR="00B712F9" w:rsidRPr="00415AD8">
        <w:rPr>
          <w:rFonts w:cs="Arial"/>
          <w:bCs/>
        </w:rPr>
        <w:t xml:space="preserve">el Tribunal </w:t>
      </w:r>
      <w:r w:rsidR="00B712F9" w:rsidRPr="00415AD8">
        <w:rPr>
          <w:rFonts w:cs="Arial"/>
          <w:bCs/>
          <w:i/>
        </w:rPr>
        <w:t>a quo</w:t>
      </w:r>
      <w:r w:rsidR="00B712F9" w:rsidRPr="00415AD8">
        <w:rPr>
          <w:rFonts w:cs="Arial"/>
          <w:bCs/>
        </w:rPr>
        <w:t xml:space="preserve"> </w:t>
      </w:r>
      <w:r w:rsidRPr="00415AD8">
        <w:rPr>
          <w:rFonts w:cs="Arial"/>
          <w:bCs/>
        </w:rPr>
        <w:t>decret</w:t>
      </w:r>
      <w:r w:rsidR="00235510" w:rsidRPr="00415AD8">
        <w:rPr>
          <w:rFonts w:cs="Arial"/>
          <w:bCs/>
        </w:rPr>
        <w:t>ó</w:t>
      </w:r>
      <w:r w:rsidRPr="00415AD8">
        <w:rPr>
          <w:rFonts w:cs="Arial"/>
          <w:bCs/>
        </w:rPr>
        <w:t xml:space="preserve"> las pruebas </w:t>
      </w:r>
      <w:r w:rsidR="00235510" w:rsidRPr="00415AD8">
        <w:rPr>
          <w:rFonts w:cs="Arial"/>
          <w:bCs/>
        </w:rPr>
        <w:t xml:space="preserve">documentales allegadas y </w:t>
      </w:r>
      <w:r w:rsidR="00742390" w:rsidRPr="00415AD8">
        <w:rPr>
          <w:rFonts w:cs="Arial"/>
          <w:bCs/>
        </w:rPr>
        <w:t xml:space="preserve">rechazó </w:t>
      </w:r>
      <w:r w:rsidR="00235510" w:rsidRPr="00415AD8">
        <w:rPr>
          <w:rFonts w:cs="Arial"/>
          <w:bCs/>
        </w:rPr>
        <w:t xml:space="preserve">otras pruebas solicitadas por la </w:t>
      </w:r>
      <w:r w:rsidR="00E85023" w:rsidRPr="00415AD8">
        <w:rPr>
          <w:rFonts w:cs="Arial"/>
          <w:bCs/>
        </w:rPr>
        <w:t xml:space="preserve">parte </w:t>
      </w:r>
      <w:r w:rsidR="00235510" w:rsidRPr="00415AD8">
        <w:rPr>
          <w:rFonts w:cs="Arial"/>
          <w:bCs/>
        </w:rPr>
        <w:t>demandante</w:t>
      </w:r>
      <w:r w:rsidRPr="00415AD8">
        <w:rPr>
          <w:rStyle w:val="Refdenotaalpie"/>
          <w:rFonts w:cs="Arial"/>
          <w:bCs/>
        </w:rPr>
        <w:footnoteReference w:id="4"/>
      </w:r>
      <w:r w:rsidR="00235510" w:rsidRPr="00415AD8">
        <w:rPr>
          <w:rFonts w:cs="Arial"/>
          <w:bCs/>
        </w:rPr>
        <w:t>.</w:t>
      </w:r>
      <w:r w:rsidRPr="00415AD8">
        <w:rPr>
          <w:rFonts w:cs="Arial"/>
          <w:bCs/>
        </w:rPr>
        <w:t xml:space="preserve"> </w:t>
      </w:r>
    </w:p>
    <w:p w:rsidR="00F23305" w:rsidRPr="00415AD8" w:rsidRDefault="00F23305" w:rsidP="00415AD8">
      <w:pPr>
        <w:rPr>
          <w:rFonts w:cs="Arial"/>
          <w:bCs/>
        </w:rPr>
      </w:pPr>
    </w:p>
    <w:p w:rsidR="00A80914" w:rsidRPr="00415AD8" w:rsidRDefault="000A15AD" w:rsidP="00415AD8">
      <w:pPr>
        <w:rPr>
          <w:rFonts w:cs="Arial"/>
          <w:bCs/>
        </w:rPr>
      </w:pPr>
      <w:r w:rsidRPr="00415AD8">
        <w:rPr>
          <w:rFonts w:cs="Arial"/>
          <w:bCs/>
        </w:rPr>
        <w:t>E</w:t>
      </w:r>
      <w:r w:rsidR="00DF4B0E" w:rsidRPr="00415AD8">
        <w:rPr>
          <w:rFonts w:cs="Arial"/>
          <w:bCs/>
        </w:rPr>
        <w:t xml:space="preserve">n la </w:t>
      </w:r>
      <w:r w:rsidR="00787409" w:rsidRPr="00415AD8">
        <w:rPr>
          <w:rFonts w:cs="Arial"/>
          <w:bCs/>
        </w:rPr>
        <w:t>a</w:t>
      </w:r>
      <w:r w:rsidR="00DF4B0E" w:rsidRPr="00415AD8">
        <w:rPr>
          <w:rFonts w:cs="Arial"/>
          <w:bCs/>
        </w:rPr>
        <w:t xml:space="preserve">udiencia </w:t>
      </w:r>
      <w:r w:rsidR="00787409" w:rsidRPr="00415AD8">
        <w:rPr>
          <w:rFonts w:cs="Arial"/>
          <w:bCs/>
        </w:rPr>
        <w:t>i</w:t>
      </w:r>
      <w:r w:rsidR="00DF4B0E" w:rsidRPr="00415AD8">
        <w:rPr>
          <w:rFonts w:cs="Arial"/>
          <w:bCs/>
        </w:rPr>
        <w:t xml:space="preserve">nicial el </w:t>
      </w:r>
      <w:r w:rsidRPr="00415AD8">
        <w:rPr>
          <w:rFonts w:cs="Arial"/>
          <w:bCs/>
        </w:rPr>
        <w:t xml:space="preserve">Tribunal </w:t>
      </w:r>
      <w:r w:rsidRPr="00415AD8">
        <w:rPr>
          <w:rFonts w:cs="Arial"/>
          <w:bCs/>
          <w:i/>
        </w:rPr>
        <w:t>a quo</w:t>
      </w:r>
      <w:r w:rsidRPr="00415AD8">
        <w:rPr>
          <w:rFonts w:cs="Arial"/>
          <w:bCs/>
        </w:rPr>
        <w:t xml:space="preserve"> </w:t>
      </w:r>
      <w:r w:rsidR="00A80914" w:rsidRPr="00415AD8">
        <w:rPr>
          <w:rFonts w:cs="Arial"/>
          <w:bCs/>
        </w:rPr>
        <w:t>denegó la excepción de falta de agotamiento de la vía gubernativa, formulada por el Ministerio Público.</w:t>
      </w:r>
    </w:p>
    <w:p w:rsidR="00A80914" w:rsidRPr="00415AD8" w:rsidRDefault="00A80914" w:rsidP="00415AD8">
      <w:pPr>
        <w:rPr>
          <w:rFonts w:cs="Arial"/>
          <w:bCs/>
        </w:rPr>
      </w:pPr>
    </w:p>
    <w:p w:rsidR="002B0F1F" w:rsidRPr="00415AD8" w:rsidRDefault="00A80914" w:rsidP="00415AD8">
      <w:pPr>
        <w:rPr>
          <w:rFonts w:cs="Arial"/>
          <w:bCs/>
        </w:rPr>
      </w:pPr>
      <w:r w:rsidRPr="00415AD8">
        <w:rPr>
          <w:rFonts w:cs="Arial"/>
          <w:bCs/>
        </w:rPr>
        <w:t>No existiendo pruebas por practicar, se continuó con la etapa de al</w:t>
      </w:r>
      <w:r w:rsidR="002B0F1F" w:rsidRPr="00415AD8">
        <w:rPr>
          <w:rFonts w:cs="Arial"/>
          <w:bCs/>
        </w:rPr>
        <w:t>e</w:t>
      </w:r>
      <w:r w:rsidRPr="00415AD8">
        <w:rPr>
          <w:rFonts w:cs="Arial"/>
          <w:bCs/>
        </w:rPr>
        <w:t>g</w:t>
      </w:r>
      <w:r w:rsidR="002B0F1F" w:rsidRPr="00415AD8">
        <w:rPr>
          <w:rFonts w:cs="Arial"/>
          <w:bCs/>
        </w:rPr>
        <w:t>a</w:t>
      </w:r>
      <w:r w:rsidRPr="00415AD8">
        <w:rPr>
          <w:rFonts w:cs="Arial"/>
          <w:bCs/>
        </w:rPr>
        <w:t xml:space="preserve">ciones y </w:t>
      </w:r>
      <w:r w:rsidR="00E85023" w:rsidRPr="00415AD8">
        <w:rPr>
          <w:rFonts w:cs="Arial"/>
          <w:bCs/>
        </w:rPr>
        <w:t xml:space="preserve">recibidos los alegatos, el Tribunal </w:t>
      </w:r>
      <w:r w:rsidR="00E85023" w:rsidRPr="00415AD8">
        <w:rPr>
          <w:rFonts w:cs="Arial"/>
          <w:bCs/>
          <w:i/>
        </w:rPr>
        <w:t>a quo</w:t>
      </w:r>
      <w:r w:rsidR="00E85023" w:rsidRPr="00415AD8">
        <w:rPr>
          <w:rFonts w:cs="Arial"/>
          <w:bCs/>
        </w:rPr>
        <w:t xml:space="preserve"> </w:t>
      </w:r>
      <w:r w:rsidRPr="00415AD8">
        <w:rPr>
          <w:rFonts w:cs="Arial"/>
          <w:bCs/>
        </w:rPr>
        <w:t xml:space="preserve">dictó la sentencia </w:t>
      </w:r>
      <w:r w:rsidR="002B0F1F" w:rsidRPr="00415AD8">
        <w:rPr>
          <w:rFonts w:cs="Arial"/>
          <w:bCs/>
        </w:rPr>
        <w:t xml:space="preserve">correspondiente. </w:t>
      </w:r>
    </w:p>
    <w:p w:rsidR="00131111" w:rsidRPr="00415AD8" w:rsidRDefault="00131111" w:rsidP="00415AD8">
      <w:pPr>
        <w:rPr>
          <w:rFonts w:cs="Arial"/>
          <w:bCs/>
        </w:rPr>
      </w:pPr>
    </w:p>
    <w:p w:rsidR="00131111" w:rsidRPr="00415AD8" w:rsidRDefault="00885C9B" w:rsidP="00415AD8">
      <w:pPr>
        <w:numPr>
          <w:ilvl w:val="12"/>
          <w:numId w:val="0"/>
        </w:numPr>
        <w:rPr>
          <w:rFonts w:cs="Arial"/>
          <w:bCs/>
        </w:rPr>
      </w:pPr>
      <w:r w:rsidRPr="00415AD8">
        <w:rPr>
          <w:rFonts w:cs="Arial"/>
          <w:b/>
          <w:bCs/>
        </w:rPr>
        <w:t>4</w:t>
      </w:r>
      <w:r w:rsidR="00131111" w:rsidRPr="00415AD8">
        <w:rPr>
          <w:rFonts w:cs="Arial"/>
          <w:b/>
          <w:bCs/>
        </w:rPr>
        <w:t>.</w:t>
      </w:r>
      <w:r w:rsidR="00110957" w:rsidRPr="00415AD8">
        <w:rPr>
          <w:rFonts w:cs="Arial"/>
          <w:b/>
          <w:bCs/>
        </w:rPr>
        <w:t xml:space="preserve"> </w:t>
      </w:r>
      <w:r w:rsidR="00131111" w:rsidRPr="00415AD8">
        <w:rPr>
          <w:rFonts w:cs="Arial"/>
          <w:b/>
          <w:bCs/>
        </w:rPr>
        <w:t>La sentencia impugnada</w:t>
      </w:r>
    </w:p>
    <w:p w:rsidR="00131111" w:rsidRPr="00415AD8" w:rsidRDefault="00131111" w:rsidP="00415AD8">
      <w:pPr>
        <w:numPr>
          <w:ilvl w:val="12"/>
          <w:numId w:val="0"/>
        </w:numPr>
        <w:rPr>
          <w:rFonts w:cs="Arial"/>
          <w:bCs/>
        </w:rPr>
      </w:pPr>
    </w:p>
    <w:p w:rsidR="00A7636D" w:rsidRPr="00415AD8" w:rsidRDefault="00131111" w:rsidP="00415AD8">
      <w:pPr>
        <w:numPr>
          <w:ilvl w:val="12"/>
          <w:numId w:val="0"/>
        </w:numPr>
        <w:rPr>
          <w:rFonts w:cs="Arial"/>
          <w:bCs/>
        </w:rPr>
      </w:pPr>
      <w:r w:rsidRPr="00415AD8">
        <w:rPr>
          <w:rFonts w:cs="Arial"/>
          <w:bCs/>
        </w:rPr>
        <w:t xml:space="preserve">El Tribunal </w:t>
      </w:r>
      <w:r w:rsidRPr="00415AD8">
        <w:rPr>
          <w:rFonts w:cs="Arial"/>
          <w:bCs/>
          <w:i/>
        </w:rPr>
        <w:t>a quo</w:t>
      </w:r>
      <w:r w:rsidRPr="00415AD8">
        <w:rPr>
          <w:rFonts w:cs="Arial"/>
          <w:bCs/>
        </w:rPr>
        <w:t xml:space="preserve"> profirió sentencia </w:t>
      </w:r>
      <w:r w:rsidR="00E85023" w:rsidRPr="00415AD8">
        <w:rPr>
          <w:rFonts w:cs="Arial"/>
          <w:bCs/>
        </w:rPr>
        <w:t xml:space="preserve">en la audiencia de </w:t>
      </w:r>
      <w:r w:rsidR="002B0F1F" w:rsidRPr="00415AD8">
        <w:rPr>
          <w:rFonts w:cs="Arial"/>
          <w:bCs/>
        </w:rPr>
        <w:t>4</w:t>
      </w:r>
      <w:r w:rsidRPr="00415AD8">
        <w:rPr>
          <w:rFonts w:cs="Arial"/>
          <w:bCs/>
        </w:rPr>
        <w:t xml:space="preserve"> de </w:t>
      </w:r>
      <w:r w:rsidR="002B0F1F" w:rsidRPr="00415AD8">
        <w:rPr>
          <w:rFonts w:cs="Arial"/>
          <w:bCs/>
        </w:rPr>
        <w:t xml:space="preserve">marzo de </w:t>
      </w:r>
      <w:r w:rsidRPr="00415AD8">
        <w:rPr>
          <w:rFonts w:cs="Arial"/>
          <w:bCs/>
        </w:rPr>
        <w:t>201</w:t>
      </w:r>
      <w:r w:rsidR="00E85023" w:rsidRPr="00415AD8">
        <w:rPr>
          <w:rFonts w:cs="Arial"/>
          <w:bCs/>
        </w:rPr>
        <w:t>5</w:t>
      </w:r>
      <w:r w:rsidR="004A4E08" w:rsidRPr="00415AD8">
        <w:rPr>
          <w:rFonts w:cs="Arial"/>
          <w:bCs/>
        </w:rPr>
        <w:t>. Tal c</w:t>
      </w:r>
      <w:r w:rsidR="00D36F1D" w:rsidRPr="00415AD8">
        <w:rPr>
          <w:rFonts w:cs="Arial"/>
          <w:bCs/>
        </w:rPr>
        <w:t>omo se ha mencionado, e</w:t>
      </w:r>
      <w:r w:rsidR="00E85023" w:rsidRPr="00415AD8">
        <w:rPr>
          <w:rFonts w:cs="Arial"/>
          <w:bCs/>
        </w:rPr>
        <w:t xml:space="preserve">n </w:t>
      </w:r>
      <w:r w:rsidR="004A4E08" w:rsidRPr="00415AD8">
        <w:rPr>
          <w:rFonts w:cs="Arial"/>
          <w:bCs/>
        </w:rPr>
        <w:t xml:space="preserve">la decisión de primera instancia se </w:t>
      </w:r>
      <w:r w:rsidRPr="00415AD8">
        <w:rPr>
          <w:rFonts w:cs="Arial"/>
          <w:bCs/>
        </w:rPr>
        <w:t>deneg</w:t>
      </w:r>
      <w:r w:rsidR="004A4E08" w:rsidRPr="00415AD8">
        <w:rPr>
          <w:rFonts w:cs="Arial"/>
          <w:bCs/>
        </w:rPr>
        <w:t>aron</w:t>
      </w:r>
      <w:r w:rsidRPr="00415AD8">
        <w:rPr>
          <w:rFonts w:cs="Arial"/>
          <w:bCs/>
        </w:rPr>
        <w:t xml:space="preserve"> las pretensiones de la demanda</w:t>
      </w:r>
      <w:r w:rsidR="00B4066C" w:rsidRPr="00415AD8">
        <w:rPr>
          <w:rFonts w:cs="Arial"/>
          <w:bCs/>
        </w:rPr>
        <w:t>.</w:t>
      </w:r>
    </w:p>
    <w:p w:rsidR="00131111" w:rsidRPr="00415AD8" w:rsidRDefault="00DF4663" w:rsidP="00415AD8">
      <w:pPr>
        <w:numPr>
          <w:ilvl w:val="12"/>
          <w:numId w:val="0"/>
        </w:numPr>
        <w:rPr>
          <w:rFonts w:cs="Arial"/>
          <w:bCs/>
        </w:rPr>
      </w:pPr>
      <w:r w:rsidRPr="00415AD8">
        <w:rPr>
          <w:rFonts w:cs="Arial"/>
          <w:bCs/>
        </w:rPr>
        <w:t xml:space="preserve"> </w:t>
      </w:r>
    </w:p>
    <w:p w:rsidR="003001FC" w:rsidRPr="00415AD8" w:rsidRDefault="00131111" w:rsidP="00415AD8">
      <w:pPr>
        <w:numPr>
          <w:ilvl w:val="12"/>
          <w:numId w:val="0"/>
        </w:numPr>
        <w:rPr>
          <w:rFonts w:cs="Arial"/>
          <w:bCs/>
        </w:rPr>
      </w:pPr>
      <w:r w:rsidRPr="00415AD8">
        <w:rPr>
          <w:rFonts w:cs="Arial"/>
          <w:bCs/>
        </w:rPr>
        <w:t xml:space="preserve">Para </w:t>
      </w:r>
      <w:r w:rsidR="00793E33" w:rsidRPr="00415AD8">
        <w:rPr>
          <w:rFonts w:cs="Arial"/>
          <w:bCs/>
        </w:rPr>
        <w:t xml:space="preserve">apoyar su decisión </w:t>
      </w:r>
      <w:r w:rsidR="00DF4663" w:rsidRPr="00415AD8">
        <w:rPr>
          <w:rFonts w:cs="Arial"/>
          <w:bCs/>
        </w:rPr>
        <w:t xml:space="preserve">el Tribunal </w:t>
      </w:r>
      <w:r w:rsidR="00DF4663" w:rsidRPr="00415AD8">
        <w:rPr>
          <w:rFonts w:cs="Arial"/>
          <w:bCs/>
          <w:i/>
        </w:rPr>
        <w:t>a quo</w:t>
      </w:r>
      <w:r w:rsidR="00DF4663" w:rsidRPr="00415AD8">
        <w:rPr>
          <w:rFonts w:cs="Arial"/>
          <w:bCs/>
        </w:rPr>
        <w:t xml:space="preserve"> </w:t>
      </w:r>
      <w:r w:rsidR="009303D4" w:rsidRPr="00415AD8">
        <w:rPr>
          <w:rFonts w:cs="Arial"/>
          <w:bCs/>
        </w:rPr>
        <w:t xml:space="preserve">consideró que el debido proceso no implica que se deban individualizar las actuaciones contra la aseguradora garante, puesto que el hecho del incumplimiento del contrato constituye el riesgo asegurado y no es una cuestión autónoma. </w:t>
      </w:r>
    </w:p>
    <w:p w:rsidR="00ED7F94" w:rsidRPr="00415AD8" w:rsidRDefault="00ED7F94" w:rsidP="00415AD8">
      <w:pPr>
        <w:numPr>
          <w:ilvl w:val="12"/>
          <w:numId w:val="0"/>
        </w:numPr>
        <w:rPr>
          <w:rFonts w:cs="Arial"/>
          <w:bCs/>
        </w:rPr>
      </w:pPr>
    </w:p>
    <w:p w:rsidR="00505E85" w:rsidRPr="00415AD8" w:rsidRDefault="00C61786" w:rsidP="00415AD8">
      <w:pPr>
        <w:numPr>
          <w:ilvl w:val="12"/>
          <w:numId w:val="0"/>
        </w:numPr>
        <w:rPr>
          <w:rFonts w:cs="Arial"/>
          <w:bCs/>
        </w:rPr>
      </w:pPr>
      <w:r w:rsidRPr="00415AD8">
        <w:rPr>
          <w:rFonts w:cs="Arial"/>
          <w:bCs/>
        </w:rPr>
        <w:lastRenderedPageBreak/>
        <w:t>Explicó que si la entidad estatal cita a la compañía aseguradora a la audiencia, ésta puede oponerse y ejercer el derecho de defensa en debida forma</w:t>
      </w:r>
      <w:r w:rsidR="00505E85" w:rsidRPr="00415AD8">
        <w:rPr>
          <w:rFonts w:cs="Arial"/>
          <w:bCs/>
        </w:rPr>
        <w:t>, no obstante lo cual Seguros Colpatria S</w:t>
      </w:r>
      <w:r w:rsidR="00787409" w:rsidRPr="00415AD8">
        <w:rPr>
          <w:rFonts w:cs="Arial"/>
          <w:bCs/>
        </w:rPr>
        <w:t>.</w:t>
      </w:r>
      <w:r w:rsidR="00505E85" w:rsidRPr="00415AD8">
        <w:rPr>
          <w:rFonts w:cs="Arial"/>
          <w:bCs/>
        </w:rPr>
        <w:t>A</w:t>
      </w:r>
      <w:r w:rsidR="00F831FA" w:rsidRPr="00415AD8">
        <w:rPr>
          <w:rFonts w:cs="Arial"/>
          <w:bCs/>
        </w:rPr>
        <w:t xml:space="preserve"> </w:t>
      </w:r>
      <w:r w:rsidR="00505E85" w:rsidRPr="00415AD8">
        <w:rPr>
          <w:rFonts w:cs="Arial"/>
          <w:bCs/>
        </w:rPr>
        <w:t>no hizo ejercicio de tales derechos.</w:t>
      </w:r>
    </w:p>
    <w:p w:rsidR="00C61786" w:rsidRPr="00415AD8" w:rsidRDefault="00C61786" w:rsidP="00415AD8">
      <w:pPr>
        <w:numPr>
          <w:ilvl w:val="12"/>
          <w:numId w:val="0"/>
        </w:numPr>
        <w:rPr>
          <w:rFonts w:cs="Arial"/>
          <w:bCs/>
        </w:rPr>
      </w:pPr>
    </w:p>
    <w:p w:rsidR="00C61786" w:rsidRPr="00415AD8" w:rsidRDefault="00C61786" w:rsidP="00415AD8">
      <w:pPr>
        <w:numPr>
          <w:ilvl w:val="12"/>
          <w:numId w:val="0"/>
        </w:numPr>
        <w:rPr>
          <w:rFonts w:cs="Arial"/>
          <w:bCs/>
        </w:rPr>
      </w:pPr>
      <w:r w:rsidRPr="00415AD8">
        <w:rPr>
          <w:rFonts w:cs="Arial"/>
          <w:bCs/>
        </w:rPr>
        <w:t xml:space="preserve">En cuando al argumento de que el contratista </w:t>
      </w:r>
      <w:r w:rsidR="00505E85" w:rsidRPr="00415AD8">
        <w:rPr>
          <w:rFonts w:cs="Arial"/>
          <w:bCs/>
        </w:rPr>
        <w:t xml:space="preserve">habría </w:t>
      </w:r>
      <w:r w:rsidRPr="00415AD8">
        <w:rPr>
          <w:rFonts w:cs="Arial"/>
          <w:bCs/>
        </w:rPr>
        <w:t>cumpli</w:t>
      </w:r>
      <w:r w:rsidR="00505E85" w:rsidRPr="00415AD8">
        <w:rPr>
          <w:rFonts w:cs="Arial"/>
          <w:bCs/>
        </w:rPr>
        <w:t>do</w:t>
      </w:r>
      <w:r w:rsidRPr="00415AD8">
        <w:rPr>
          <w:rFonts w:cs="Arial"/>
          <w:bCs/>
        </w:rPr>
        <w:t xml:space="preserve"> el contrato, el Tri</w:t>
      </w:r>
      <w:r w:rsidR="00ED7F94" w:rsidRPr="00415AD8">
        <w:rPr>
          <w:rFonts w:cs="Arial"/>
          <w:bCs/>
        </w:rPr>
        <w:t>b</w:t>
      </w:r>
      <w:r w:rsidRPr="00415AD8">
        <w:rPr>
          <w:rFonts w:cs="Arial"/>
          <w:bCs/>
        </w:rPr>
        <w:t xml:space="preserve">unal </w:t>
      </w:r>
      <w:r w:rsidRPr="00415AD8">
        <w:rPr>
          <w:rFonts w:cs="Arial"/>
          <w:bCs/>
          <w:i/>
        </w:rPr>
        <w:t xml:space="preserve">a quo </w:t>
      </w:r>
      <w:r w:rsidRPr="00415AD8">
        <w:rPr>
          <w:rFonts w:cs="Arial"/>
          <w:bCs/>
        </w:rPr>
        <w:t xml:space="preserve">estimó que la aseguradora no está legitimada para pedir que se declare que el contratista sí cumplió el contrato. </w:t>
      </w:r>
    </w:p>
    <w:p w:rsidR="00C61786" w:rsidRPr="00415AD8" w:rsidRDefault="00C61786" w:rsidP="00415AD8">
      <w:pPr>
        <w:numPr>
          <w:ilvl w:val="12"/>
          <w:numId w:val="0"/>
        </w:numPr>
        <w:rPr>
          <w:rFonts w:cs="Arial"/>
          <w:bCs/>
        </w:rPr>
      </w:pPr>
    </w:p>
    <w:p w:rsidR="00DF3616" w:rsidRPr="00415AD8" w:rsidRDefault="00C61786" w:rsidP="00415AD8">
      <w:pPr>
        <w:numPr>
          <w:ilvl w:val="12"/>
          <w:numId w:val="0"/>
        </w:numPr>
        <w:rPr>
          <w:rFonts w:cs="Arial"/>
          <w:bCs/>
        </w:rPr>
      </w:pPr>
      <w:r w:rsidRPr="00415AD8">
        <w:rPr>
          <w:rFonts w:cs="Arial"/>
          <w:bCs/>
        </w:rPr>
        <w:t xml:space="preserve">Agregó que si, en gracia de discusión, se le permitiera </w:t>
      </w:r>
      <w:r w:rsidR="003001FC" w:rsidRPr="00415AD8">
        <w:rPr>
          <w:rFonts w:cs="Arial"/>
          <w:bCs/>
        </w:rPr>
        <w:t xml:space="preserve">a la aseguradora </w:t>
      </w:r>
      <w:r w:rsidRPr="00415AD8">
        <w:rPr>
          <w:rFonts w:cs="Arial"/>
          <w:bCs/>
        </w:rPr>
        <w:t xml:space="preserve">solicitar la nulidad del acto </w:t>
      </w:r>
      <w:r w:rsidR="00F36336" w:rsidRPr="00415AD8">
        <w:rPr>
          <w:rFonts w:cs="Arial"/>
          <w:bCs/>
        </w:rPr>
        <w:t>que declara el incumplimiento</w:t>
      </w:r>
      <w:r w:rsidR="00505E85" w:rsidRPr="00415AD8">
        <w:rPr>
          <w:rFonts w:cs="Arial"/>
          <w:bCs/>
        </w:rPr>
        <w:t xml:space="preserve"> del contrato</w:t>
      </w:r>
      <w:r w:rsidR="00F36336" w:rsidRPr="00415AD8">
        <w:rPr>
          <w:rFonts w:cs="Arial"/>
          <w:bCs/>
        </w:rPr>
        <w:t xml:space="preserve">, se debe tener presente que </w:t>
      </w:r>
      <w:r w:rsidR="00DF3616" w:rsidRPr="00415AD8">
        <w:rPr>
          <w:rFonts w:cs="Arial"/>
          <w:bCs/>
        </w:rPr>
        <w:t xml:space="preserve">en el caso </w:t>
      </w:r>
      <w:r w:rsidR="00F36336" w:rsidRPr="00415AD8">
        <w:rPr>
          <w:rFonts w:cs="Arial"/>
          <w:bCs/>
        </w:rPr>
        <w:t xml:space="preserve">sub júdice </w:t>
      </w:r>
      <w:r w:rsidR="00C2137B" w:rsidRPr="00415AD8">
        <w:rPr>
          <w:rFonts w:cs="Arial"/>
          <w:bCs/>
        </w:rPr>
        <w:t xml:space="preserve">ese asunto se juzgó por separado de la declaratoria del siniestro, por lo cual </w:t>
      </w:r>
      <w:r w:rsidR="006D5E18" w:rsidRPr="00415AD8">
        <w:rPr>
          <w:rFonts w:cs="Arial"/>
          <w:bCs/>
        </w:rPr>
        <w:t>indicó</w:t>
      </w:r>
      <w:r w:rsidR="00C2137B" w:rsidRPr="00415AD8">
        <w:rPr>
          <w:rFonts w:cs="Arial"/>
          <w:bCs/>
        </w:rPr>
        <w:t xml:space="preserve"> que </w:t>
      </w:r>
      <w:r w:rsidR="00D36F1D" w:rsidRPr="00415AD8">
        <w:rPr>
          <w:rFonts w:cs="Arial"/>
          <w:bCs/>
        </w:rPr>
        <w:t>resulta</w:t>
      </w:r>
      <w:r w:rsidR="00C2137B" w:rsidRPr="00415AD8">
        <w:rPr>
          <w:rFonts w:cs="Arial"/>
          <w:bCs/>
        </w:rPr>
        <w:t>ba</w:t>
      </w:r>
      <w:r w:rsidR="00D36F1D" w:rsidRPr="00415AD8">
        <w:rPr>
          <w:rFonts w:cs="Arial"/>
          <w:bCs/>
        </w:rPr>
        <w:t xml:space="preserve"> pertinente </w:t>
      </w:r>
      <w:r w:rsidR="00DF3616" w:rsidRPr="00415AD8">
        <w:rPr>
          <w:rFonts w:cs="Arial"/>
          <w:bCs/>
        </w:rPr>
        <w:t>estar</w:t>
      </w:r>
      <w:r w:rsidR="00F831FA" w:rsidRPr="00415AD8">
        <w:rPr>
          <w:rFonts w:cs="Arial"/>
          <w:bCs/>
        </w:rPr>
        <w:t>se</w:t>
      </w:r>
      <w:r w:rsidR="00DF3616" w:rsidRPr="00415AD8">
        <w:rPr>
          <w:rFonts w:cs="Arial"/>
          <w:bCs/>
        </w:rPr>
        <w:t xml:space="preserve"> a lo dispu</w:t>
      </w:r>
      <w:r w:rsidR="00F36336" w:rsidRPr="00415AD8">
        <w:rPr>
          <w:rFonts w:cs="Arial"/>
          <w:bCs/>
        </w:rPr>
        <w:t xml:space="preserve">esto en </w:t>
      </w:r>
      <w:r w:rsidR="00DF3616" w:rsidRPr="00415AD8">
        <w:rPr>
          <w:rFonts w:cs="Arial"/>
          <w:bCs/>
        </w:rPr>
        <w:t>la sentencia de 13 de junio de 2013</w:t>
      </w:r>
      <w:r w:rsidR="0015495A" w:rsidRPr="00415AD8">
        <w:rPr>
          <w:rFonts w:cs="Arial"/>
          <w:bCs/>
        </w:rPr>
        <w:t>,</w:t>
      </w:r>
      <w:r w:rsidR="00373C91" w:rsidRPr="00415AD8">
        <w:rPr>
          <w:rFonts w:cs="Arial"/>
          <w:bCs/>
        </w:rPr>
        <w:t xml:space="preserve"> </w:t>
      </w:r>
      <w:r w:rsidR="00F831FA" w:rsidRPr="00415AD8">
        <w:rPr>
          <w:rFonts w:cs="Arial"/>
          <w:bCs/>
        </w:rPr>
        <w:t>dictada</w:t>
      </w:r>
      <w:r w:rsidR="00373C91" w:rsidRPr="00415AD8">
        <w:rPr>
          <w:rFonts w:cs="Arial"/>
          <w:bCs/>
        </w:rPr>
        <w:t xml:space="preserve"> por e</w:t>
      </w:r>
      <w:r w:rsidR="00F831FA" w:rsidRPr="00415AD8">
        <w:rPr>
          <w:rFonts w:cs="Arial"/>
          <w:bCs/>
        </w:rPr>
        <w:t>l</w:t>
      </w:r>
      <w:r w:rsidR="00373C91" w:rsidRPr="00415AD8">
        <w:rPr>
          <w:rFonts w:cs="Arial"/>
          <w:bCs/>
        </w:rPr>
        <w:t xml:space="preserve"> Tribunal</w:t>
      </w:r>
      <w:r w:rsidR="00F36336" w:rsidRPr="00415AD8">
        <w:rPr>
          <w:rFonts w:cs="Arial"/>
          <w:bCs/>
        </w:rPr>
        <w:t xml:space="preserve"> </w:t>
      </w:r>
      <w:r w:rsidR="00F831FA" w:rsidRPr="00415AD8">
        <w:rPr>
          <w:rFonts w:cs="Arial"/>
          <w:bCs/>
        </w:rPr>
        <w:t xml:space="preserve">Administrativo </w:t>
      </w:r>
      <w:r w:rsidR="00F36336" w:rsidRPr="00415AD8">
        <w:rPr>
          <w:rFonts w:cs="Arial"/>
          <w:bCs/>
        </w:rPr>
        <w:t xml:space="preserve">de Cundinamarca en </w:t>
      </w:r>
      <w:r w:rsidR="00C2137B" w:rsidRPr="00415AD8">
        <w:rPr>
          <w:rFonts w:cs="Arial"/>
          <w:bCs/>
        </w:rPr>
        <w:t xml:space="preserve">el </w:t>
      </w:r>
      <w:r w:rsidR="00F36336" w:rsidRPr="00415AD8">
        <w:rPr>
          <w:rFonts w:cs="Arial"/>
          <w:bCs/>
        </w:rPr>
        <w:t>proceso separado iniciado por el contratista</w:t>
      </w:r>
      <w:r w:rsidR="00C2137B" w:rsidRPr="00415AD8">
        <w:rPr>
          <w:rFonts w:cs="Arial"/>
          <w:bCs/>
        </w:rPr>
        <w:t xml:space="preserve"> contra el Ministerio de Transporte.</w:t>
      </w:r>
      <w:r w:rsidR="00DF3616" w:rsidRPr="00415AD8">
        <w:rPr>
          <w:rFonts w:cs="Arial"/>
          <w:bCs/>
        </w:rPr>
        <w:t xml:space="preserve"> </w:t>
      </w:r>
    </w:p>
    <w:p w:rsidR="003001FC" w:rsidRPr="00415AD8" w:rsidRDefault="003001FC" w:rsidP="00415AD8">
      <w:pPr>
        <w:numPr>
          <w:ilvl w:val="12"/>
          <w:numId w:val="0"/>
        </w:numPr>
        <w:rPr>
          <w:rFonts w:cs="Arial"/>
          <w:bCs/>
        </w:rPr>
      </w:pPr>
    </w:p>
    <w:p w:rsidR="003001FC" w:rsidRPr="00415AD8" w:rsidRDefault="00F0116A" w:rsidP="00415AD8">
      <w:pPr>
        <w:numPr>
          <w:ilvl w:val="12"/>
          <w:numId w:val="0"/>
        </w:numPr>
        <w:rPr>
          <w:rFonts w:cs="Arial"/>
          <w:bCs/>
        </w:rPr>
      </w:pPr>
      <w:r w:rsidRPr="00415AD8">
        <w:rPr>
          <w:rFonts w:cs="Arial"/>
          <w:bCs/>
        </w:rPr>
        <w:t>Finalmente, e</w:t>
      </w:r>
      <w:r w:rsidR="003001FC" w:rsidRPr="00415AD8">
        <w:rPr>
          <w:rFonts w:cs="Arial"/>
          <w:bCs/>
        </w:rPr>
        <w:t>l Tribuna</w:t>
      </w:r>
      <w:r w:rsidR="006B34D5" w:rsidRPr="00415AD8">
        <w:rPr>
          <w:rFonts w:cs="Arial"/>
          <w:bCs/>
        </w:rPr>
        <w:t>l</w:t>
      </w:r>
      <w:r w:rsidR="003001FC" w:rsidRPr="00415AD8">
        <w:rPr>
          <w:rFonts w:cs="Arial"/>
          <w:bCs/>
        </w:rPr>
        <w:t xml:space="preserve"> </w:t>
      </w:r>
      <w:r w:rsidR="003001FC" w:rsidRPr="00415AD8">
        <w:rPr>
          <w:rFonts w:cs="Arial"/>
          <w:bCs/>
          <w:i/>
        </w:rPr>
        <w:t>a quo</w:t>
      </w:r>
      <w:r w:rsidR="003001FC" w:rsidRPr="00415AD8">
        <w:rPr>
          <w:rFonts w:cs="Arial"/>
          <w:bCs/>
        </w:rPr>
        <w:t xml:space="preserve"> condenó </w:t>
      </w:r>
      <w:r w:rsidR="006D5E18" w:rsidRPr="00415AD8">
        <w:rPr>
          <w:rFonts w:cs="Arial"/>
          <w:bCs/>
        </w:rPr>
        <w:t xml:space="preserve">a pagar las agencias en derecho </w:t>
      </w:r>
      <w:r w:rsidR="003001FC" w:rsidRPr="00415AD8">
        <w:rPr>
          <w:rFonts w:cs="Arial"/>
          <w:bCs/>
        </w:rPr>
        <w:t>a la parte demandante.</w:t>
      </w:r>
    </w:p>
    <w:p w:rsidR="00131111" w:rsidRPr="00415AD8" w:rsidRDefault="00131111" w:rsidP="00415AD8">
      <w:pPr>
        <w:rPr>
          <w:rFonts w:cs="Arial"/>
          <w:bCs/>
          <w:i/>
          <w:lang w:val="es-MX"/>
        </w:rPr>
      </w:pPr>
    </w:p>
    <w:p w:rsidR="00131111" w:rsidRPr="00415AD8" w:rsidRDefault="00885C9B" w:rsidP="00415AD8">
      <w:pPr>
        <w:rPr>
          <w:rFonts w:cs="Arial"/>
          <w:b/>
          <w:bCs/>
          <w:lang w:val="es-MX"/>
        </w:rPr>
      </w:pPr>
      <w:r w:rsidRPr="00415AD8">
        <w:rPr>
          <w:rFonts w:cs="Arial"/>
          <w:b/>
          <w:bCs/>
          <w:lang w:val="es-MX"/>
        </w:rPr>
        <w:t>5</w:t>
      </w:r>
      <w:r w:rsidR="00131111" w:rsidRPr="00415AD8">
        <w:rPr>
          <w:rFonts w:cs="Arial"/>
          <w:b/>
          <w:bCs/>
          <w:lang w:val="es-MX"/>
        </w:rPr>
        <w:t>.</w:t>
      </w:r>
      <w:r w:rsidR="00DC21AA" w:rsidRPr="00415AD8">
        <w:rPr>
          <w:rFonts w:cs="Arial"/>
          <w:b/>
          <w:bCs/>
          <w:lang w:val="es-MX"/>
        </w:rPr>
        <w:t xml:space="preserve"> </w:t>
      </w:r>
      <w:r w:rsidR="00131111" w:rsidRPr="00415AD8">
        <w:rPr>
          <w:rFonts w:cs="Arial"/>
          <w:b/>
          <w:bCs/>
          <w:lang w:val="es-MX"/>
        </w:rPr>
        <w:t xml:space="preserve">El recurso de apelación </w:t>
      </w:r>
    </w:p>
    <w:p w:rsidR="00131111" w:rsidRPr="00415AD8" w:rsidRDefault="00131111" w:rsidP="00415AD8">
      <w:pPr>
        <w:rPr>
          <w:rFonts w:cs="Arial"/>
          <w:bCs/>
          <w:lang w:val="es-MX"/>
        </w:rPr>
      </w:pPr>
    </w:p>
    <w:p w:rsidR="00F441A1" w:rsidRPr="00415AD8" w:rsidRDefault="00131111" w:rsidP="00415AD8">
      <w:pPr>
        <w:rPr>
          <w:rFonts w:cs="Arial"/>
          <w:bCs/>
          <w:lang w:val="es-MX"/>
        </w:rPr>
      </w:pPr>
      <w:r w:rsidRPr="00415AD8">
        <w:rPr>
          <w:rFonts w:cs="Arial"/>
          <w:b/>
          <w:bCs/>
          <w:lang w:val="es-MX"/>
        </w:rPr>
        <w:t xml:space="preserve">Seguros </w:t>
      </w:r>
      <w:r w:rsidR="00DF3616" w:rsidRPr="00415AD8">
        <w:rPr>
          <w:rFonts w:cs="Arial"/>
          <w:b/>
          <w:bCs/>
          <w:lang w:val="es-MX"/>
        </w:rPr>
        <w:t>Colpatria</w:t>
      </w:r>
      <w:r w:rsidRPr="00415AD8">
        <w:rPr>
          <w:rFonts w:cs="Arial"/>
          <w:b/>
          <w:bCs/>
          <w:lang w:val="es-MX"/>
        </w:rPr>
        <w:t xml:space="preserve"> S.A.,</w:t>
      </w:r>
      <w:r w:rsidRPr="00415AD8">
        <w:rPr>
          <w:rFonts w:cs="Arial"/>
          <w:bCs/>
          <w:lang w:val="es-MX"/>
        </w:rPr>
        <w:t xml:space="preserve"> obrando como parte actora, </w:t>
      </w:r>
      <w:r w:rsidR="00433E91" w:rsidRPr="00415AD8">
        <w:rPr>
          <w:rFonts w:cs="Arial"/>
          <w:bCs/>
          <w:lang w:val="es-MX"/>
        </w:rPr>
        <w:t>in</w:t>
      </w:r>
      <w:r w:rsidRPr="00415AD8">
        <w:rPr>
          <w:rFonts w:cs="Arial"/>
          <w:bCs/>
          <w:lang w:val="es-MX"/>
        </w:rPr>
        <w:t>terpuso y sustentó el recurso de apelación contra la sentencia de primera instancia</w:t>
      </w:r>
      <w:r w:rsidR="001C42C6" w:rsidRPr="00415AD8">
        <w:rPr>
          <w:rFonts w:cs="Arial"/>
          <w:bCs/>
          <w:lang w:val="es-MX"/>
        </w:rPr>
        <w:t xml:space="preserve">. El recurso de apelación </w:t>
      </w:r>
      <w:r w:rsidR="006646B6" w:rsidRPr="00415AD8">
        <w:rPr>
          <w:rFonts w:cs="Arial"/>
          <w:bCs/>
          <w:lang w:val="es-MX"/>
        </w:rPr>
        <w:t xml:space="preserve">fue admitido </w:t>
      </w:r>
      <w:r w:rsidR="00140842" w:rsidRPr="00415AD8">
        <w:rPr>
          <w:rFonts w:cs="Arial"/>
          <w:bCs/>
          <w:lang w:val="es-MX"/>
        </w:rPr>
        <w:t>por</w:t>
      </w:r>
      <w:r w:rsidR="006646B6" w:rsidRPr="00415AD8">
        <w:rPr>
          <w:rFonts w:cs="Arial"/>
          <w:bCs/>
          <w:lang w:val="es-MX"/>
        </w:rPr>
        <w:t xml:space="preserve"> el Consejo de Estado, el 16 de junio de 2015</w:t>
      </w:r>
      <w:r w:rsidR="006646B6" w:rsidRPr="00415AD8">
        <w:rPr>
          <w:rStyle w:val="Refdenotaalpie"/>
          <w:rFonts w:cs="Arial"/>
          <w:bCs/>
          <w:lang w:val="es-MX"/>
        </w:rPr>
        <w:footnoteReference w:id="5"/>
      </w:r>
      <w:r w:rsidR="006646B6" w:rsidRPr="00415AD8">
        <w:rPr>
          <w:rFonts w:cs="Arial"/>
          <w:bCs/>
          <w:lang w:val="es-MX"/>
        </w:rPr>
        <w:t>.</w:t>
      </w:r>
    </w:p>
    <w:p w:rsidR="00F441A1" w:rsidRPr="00415AD8" w:rsidRDefault="00F441A1" w:rsidP="00415AD8">
      <w:pPr>
        <w:rPr>
          <w:rFonts w:cs="Arial"/>
          <w:bCs/>
          <w:lang w:val="es-MX"/>
        </w:rPr>
      </w:pPr>
    </w:p>
    <w:p w:rsidR="00664915" w:rsidRPr="00415AD8" w:rsidRDefault="008C63AC" w:rsidP="00415AD8">
      <w:pPr>
        <w:rPr>
          <w:rFonts w:cs="Arial"/>
          <w:bCs/>
          <w:lang w:val="es-MX"/>
        </w:rPr>
      </w:pPr>
      <w:r w:rsidRPr="00415AD8">
        <w:rPr>
          <w:rFonts w:cs="Arial"/>
          <w:bCs/>
          <w:lang w:val="es-MX"/>
        </w:rPr>
        <w:t xml:space="preserve">En relación con el debido proceso, la apelante </w:t>
      </w:r>
      <w:r w:rsidR="001A3A70" w:rsidRPr="00415AD8">
        <w:rPr>
          <w:rFonts w:cs="Arial"/>
          <w:bCs/>
          <w:lang w:val="es-MX"/>
        </w:rPr>
        <w:t xml:space="preserve">insistió en que </w:t>
      </w:r>
      <w:r w:rsidR="00433E91" w:rsidRPr="00415AD8">
        <w:rPr>
          <w:rFonts w:cs="Arial"/>
          <w:bCs/>
          <w:i/>
          <w:lang w:val="es-MX"/>
        </w:rPr>
        <w:t>“lo que hizo la entidad contratante en este caso frente a la aseguradora garante fue limitarse</w:t>
      </w:r>
      <w:r w:rsidR="000C6FD3" w:rsidRPr="00415AD8">
        <w:rPr>
          <w:rFonts w:cs="Arial"/>
          <w:bCs/>
          <w:i/>
          <w:lang w:val="es-MX"/>
        </w:rPr>
        <w:t xml:space="preserve"> a enviarle copias de algunas comunicaciones que remitió al contratista, incluyendo un informe </w:t>
      </w:r>
      <w:r w:rsidR="00D80769" w:rsidRPr="00415AD8">
        <w:rPr>
          <w:rFonts w:cs="Arial"/>
          <w:bCs/>
          <w:i/>
          <w:lang w:val="es-MX"/>
        </w:rPr>
        <w:t>elaborado por la Universidad Nacional del Colombia sobre el presunto incumplimiento</w:t>
      </w:r>
      <w:r w:rsidR="00D80769" w:rsidRPr="00415AD8">
        <w:rPr>
          <w:rFonts w:cs="Arial"/>
          <w:bCs/>
          <w:lang w:val="es-MX"/>
        </w:rPr>
        <w:t>”</w:t>
      </w:r>
      <w:r w:rsidR="00D36F1D" w:rsidRPr="00415AD8">
        <w:rPr>
          <w:rFonts w:cs="Arial"/>
          <w:bCs/>
          <w:lang w:val="es-MX"/>
        </w:rPr>
        <w:t>.</w:t>
      </w:r>
      <w:r w:rsidR="00D80769" w:rsidRPr="00415AD8">
        <w:rPr>
          <w:rFonts w:cs="Arial"/>
          <w:bCs/>
          <w:lang w:val="es-MX"/>
        </w:rPr>
        <w:t xml:space="preserve"> </w:t>
      </w:r>
    </w:p>
    <w:p w:rsidR="00664915" w:rsidRPr="00415AD8" w:rsidRDefault="00664915" w:rsidP="00415AD8">
      <w:pPr>
        <w:rPr>
          <w:rFonts w:cs="Arial"/>
          <w:bCs/>
          <w:lang w:val="es-MX"/>
        </w:rPr>
      </w:pPr>
    </w:p>
    <w:p w:rsidR="00FB1263" w:rsidRPr="00415AD8" w:rsidRDefault="00D80769" w:rsidP="00415AD8">
      <w:pPr>
        <w:rPr>
          <w:rFonts w:cs="Arial"/>
          <w:bCs/>
          <w:lang w:val="es-MX"/>
        </w:rPr>
      </w:pPr>
      <w:r w:rsidRPr="00415AD8">
        <w:rPr>
          <w:rFonts w:cs="Arial"/>
          <w:bCs/>
          <w:lang w:val="es-MX"/>
        </w:rPr>
        <w:t>Especificó que no aleg</w:t>
      </w:r>
      <w:r w:rsidR="00627D89" w:rsidRPr="00415AD8">
        <w:rPr>
          <w:rFonts w:cs="Arial"/>
          <w:bCs/>
          <w:lang w:val="es-MX"/>
        </w:rPr>
        <w:t>aba</w:t>
      </w:r>
      <w:r w:rsidRPr="00415AD8">
        <w:rPr>
          <w:rFonts w:cs="Arial"/>
          <w:bCs/>
          <w:lang w:val="es-MX"/>
        </w:rPr>
        <w:t xml:space="preserve"> la falta del debido proceso </w:t>
      </w:r>
      <w:r w:rsidR="00F0116A" w:rsidRPr="00415AD8">
        <w:rPr>
          <w:rFonts w:cs="Arial"/>
          <w:bCs/>
          <w:lang w:val="es-MX"/>
        </w:rPr>
        <w:t>que debió respetarse para e</w:t>
      </w:r>
      <w:r w:rsidRPr="00415AD8">
        <w:rPr>
          <w:rFonts w:cs="Arial"/>
          <w:bCs/>
          <w:lang w:val="es-MX"/>
        </w:rPr>
        <w:t xml:space="preserve">l contratista, </w:t>
      </w:r>
      <w:r w:rsidR="00FB1263" w:rsidRPr="00415AD8">
        <w:rPr>
          <w:rFonts w:cs="Arial"/>
          <w:bCs/>
          <w:lang w:val="es-MX"/>
        </w:rPr>
        <w:t xml:space="preserve">sino </w:t>
      </w:r>
      <w:r w:rsidR="00F0116A" w:rsidRPr="00415AD8">
        <w:rPr>
          <w:rFonts w:cs="Arial"/>
          <w:bCs/>
          <w:lang w:val="es-MX"/>
        </w:rPr>
        <w:t xml:space="preserve">que </w:t>
      </w:r>
      <w:r w:rsidR="00627D89" w:rsidRPr="00415AD8">
        <w:rPr>
          <w:rFonts w:cs="Arial"/>
          <w:bCs/>
          <w:lang w:val="es-MX"/>
        </w:rPr>
        <w:t>su</w:t>
      </w:r>
      <w:r w:rsidR="00F0116A" w:rsidRPr="00415AD8">
        <w:rPr>
          <w:rFonts w:cs="Arial"/>
          <w:bCs/>
          <w:lang w:val="es-MX"/>
        </w:rPr>
        <w:t xml:space="preserve"> demanda</w:t>
      </w:r>
      <w:r w:rsidR="00C15178" w:rsidRPr="00415AD8">
        <w:rPr>
          <w:rFonts w:cs="Arial"/>
          <w:bCs/>
          <w:lang w:val="es-MX"/>
        </w:rPr>
        <w:t>,</w:t>
      </w:r>
      <w:r w:rsidR="00F0116A" w:rsidRPr="00415AD8">
        <w:rPr>
          <w:rFonts w:cs="Arial"/>
          <w:bCs/>
          <w:lang w:val="es-MX"/>
        </w:rPr>
        <w:t xml:space="preserve"> </w:t>
      </w:r>
      <w:r w:rsidR="00C15178" w:rsidRPr="00415AD8">
        <w:rPr>
          <w:rFonts w:cs="Arial"/>
          <w:bCs/>
          <w:lang w:val="es-MX"/>
        </w:rPr>
        <w:t xml:space="preserve">en este proceso, se fundó </w:t>
      </w:r>
      <w:r w:rsidR="00F0116A" w:rsidRPr="00415AD8">
        <w:rPr>
          <w:rFonts w:cs="Arial"/>
          <w:bCs/>
          <w:lang w:val="es-MX"/>
        </w:rPr>
        <w:t xml:space="preserve">en </w:t>
      </w:r>
      <w:r w:rsidR="00FB1263" w:rsidRPr="00415AD8">
        <w:rPr>
          <w:rFonts w:cs="Arial"/>
          <w:bCs/>
          <w:lang w:val="es-MX"/>
        </w:rPr>
        <w:t xml:space="preserve">la violación del derecho de defensa </w:t>
      </w:r>
      <w:r w:rsidR="00F0116A" w:rsidRPr="00415AD8">
        <w:rPr>
          <w:rFonts w:cs="Arial"/>
          <w:bCs/>
          <w:lang w:val="es-MX"/>
        </w:rPr>
        <w:t>de</w:t>
      </w:r>
      <w:r w:rsidR="00FB1263" w:rsidRPr="00415AD8">
        <w:rPr>
          <w:rFonts w:cs="Arial"/>
          <w:bCs/>
          <w:lang w:val="es-MX"/>
        </w:rPr>
        <w:t xml:space="preserve"> la compañía de seguros. </w:t>
      </w:r>
    </w:p>
    <w:p w:rsidR="00FB1263" w:rsidRPr="00415AD8" w:rsidRDefault="00FB1263" w:rsidP="00415AD8">
      <w:pPr>
        <w:rPr>
          <w:rFonts w:cs="Arial"/>
          <w:bCs/>
          <w:lang w:val="es-MX"/>
        </w:rPr>
      </w:pPr>
    </w:p>
    <w:p w:rsidR="00E50C5E" w:rsidRPr="00415AD8" w:rsidRDefault="00C15178" w:rsidP="00415AD8">
      <w:pPr>
        <w:rPr>
          <w:rFonts w:cs="Arial"/>
          <w:bCs/>
          <w:lang w:val="es-MX"/>
        </w:rPr>
      </w:pPr>
      <w:r w:rsidRPr="00415AD8">
        <w:rPr>
          <w:rFonts w:cs="Arial"/>
          <w:bCs/>
          <w:lang w:val="es-MX"/>
        </w:rPr>
        <w:lastRenderedPageBreak/>
        <w:t xml:space="preserve">Reiteró </w:t>
      </w:r>
      <w:r w:rsidR="00FB1263" w:rsidRPr="00415AD8">
        <w:rPr>
          <w:rFonts w:cs="Arial"/>
          <w:bCs/>
          <w:lang w:val="es-MX"/>
        </w:rPr>
        <w:t xml:space="preserve">que, en su criterio, </w:t>
      </w:r>
      <w:r w:rsidR="006A41EA" w:rsidRPr="00415AD8">
        <w:rPr>
          <w:rFonts w:cs="Arial"/>
          <w:bCs/>
          <w:lang w:val="es-MX"/>
        </w:rPr>
        <w:t xml:space="preserve">el Ministerio de Transporte </w:t>
      </w:r>
      <w:r w:rsidR="00FB1263" w:rsidRPr="00415AD8">
        <w:rPr>
          <w:rFonts w:cs="Arial"/>
          <w:bCs/>
          <w:lang w:val="es-MX"/>
        </w:rPr>
        <w:t>le ha debido levantar un pliego de cargos separado e i</w:t>
      </w:r>
      <w:r w:rsidR="00F0116A" w:rsidRPr="00415AD8">
        <w:rPr>
          <w:rFonts w:cs="Arial"/>
          <w:bCs/>
          <w:lang w:val="es-MX"/>
        </w:rPr>
        <w:t xml:space="preserve">dentificarle </w:t>
      </w:r>
      <w:r w:rsidR="00FB1263" w:rsidRPr="00415AD8">
        <w:rPr>
          <w:rFonts w:cs="Arial"/>
          <w:bCs/>
          <w:lang w:val="es-MX"/>
        </w:rPr>
        <w:t>cuál garantía pensaba hacer efectiva</w:t>
      </w:r>
      <w:r w:rsidR="006A41EA" w:rsidRPr="00415AD8">
        <w:rPr>
          <w:rFonts w:cs="Arial"/>
          <w:bCs/>
          <w:lang w:val="es-MX"/>
        </w:rPr>
        <w:t xml:space="preserve">. </w:t>
      </w:r>
    </w:p>
    <w:p w:rsidR="00E50C5E" w:rsidRPr="00415AD8" w:rsidRDefault="00E50C5E" w:rsidP="00415AD8">
      <w:pPr>
        <w:rPr>
          <w:rFonts w:cs="Arial"/>
          <w:bCs/>
          <w:lang w:val="es-MX"/>
        </w:rPr>
      </w:pPr>
    </w:p>
    <w:p w:rsidR="0039544D" w:rsidRPr="00415AD8" w:rsidRDefault="00C15178" w:rsidP="00415AD8">
      <w:pPr>
        <w:rPr>
          <w:rFonts w:cs="Arial"/>
          <w:bCs/>
          <w:lang w:val="es-MX"/>
        </w:rPr>
      </w:pPr>
      <w:r w:rsidRPr="00415AD8">
        <w:rPr>
          <w:rFonts w:cs="Arial"/>
          <w:bCs/>
          <w:lang w:val="es-MX"/>
        </w:rPr>
        <w:t>Precisó</w:t>
      </w:r>
      <w:r w:rsidR="006A41EA" w:rsidRPr="00415AD8">
        <w:rPr>
          <w:rFonts w:cs="Arial"/>
          <w:bCs/>
          <w:lang w:val="es-MX"/>
        </w:rPr>
        <w:t xml:space="preserve"> que el artículo 14 del Decreto 4828 de 2008, vigente para la época de los hechos, al disponer acerca del acto administrativo que constituye el siniestro, se ubic</w:t>
      </w:r>
      <w:r w:rsidR="001A3A70" w:rsidRPr="00415AD8">
        <w:rPr>
          <w:rFonts w:cs="Arial"/>
          <w:bCs/>
          <w:lang w:val="es-MX"/>
        </w:rPr>
        <w:t>ó</w:t>
      </w:r>
      <w:r w:rsidR="006A41EA" w:rsidRPr="00415AD8">
        <w:rPr>
          <w:rFonts w:cs="Arial"/>
          <w:bCs/>
          <w:lang w:val="es-MX"/>
        </w:rPr>
        <w:t xml:space="preserve"> dentro de la póliza de cumplimiento </w:t>
      </w:r>
      <w:r w:rsidR="001A3A70" w:rsidRPr="00415AD8">
        <w:rPr>
          <w:rFonts w:cs="Arial"/>
          <w:bCs/>
          <w:lang w:val="es-MX"/>
        </w:rPr>
        <w:t xml:space="preserve">que </w:t>
      </w:r>
      <w:r w:rsidR="00627D89" w:rsidRPr="00415AD8">
        <w:rPr>
          <w:rFonts w:cs="Arial"/>
          <w:bCs/>
          <w:lang w:val="es-MX"/>
        </w:rPr>
        <w:t xml:space="preserve">corresponde a </w:t>
      </w:r>
      <w:r w:rsidR="006A41EA" w:rsidRPr="00415AD8">
        <w:rPr>
          <w:rFonts w:cs="Arial"/>
          <w:bCs/>
          <w:lang w:val="es-MX"/>
        </w:rPr>
        <w:t xml:space="preserve">un seguro de daños de carácter patrimonial, sujeto al límite de responsabilidad de la aseguradora. </w:t>
      </w:r>
    </w:p>
    <w:p w:rsidR="0039544D" w:rsidRPr="00415AD8" w:rsidRDefault="0039544D" w:rsidP="00415AD8">
      <w:pPr>
        <w:rPr>
          <w:rFonts w:cs="Arial"/>
          <w:bCs/>
          <w:lang w:val="es-MX"/>
        </w:rPr>
      </w:pPr>
    </w:p>
    <w:p w:rsidR="00B73B20" w:rsidRPr="00415AD8" w:rsidRDefault="001A3A70" w:rsidP="00415AD8">
      <w:pPr>
        <w:rPr>
          <w:rFonts w:cs="Arial"/>
          <w:bCs/>
          <w:lang w:val="es-MX"/>
        </w:rPr>
      </w:pPr>
      <w:r w:rsidRPr="00415AD8">
        <w:rPr>
          <w:rFonts w:cs="Arial"/>
          <w:bCs/>
          <w:lang w:val="es-MX"/>
        </w:rPr>
        <w:t>Por tanto, la apelante e</w:t>
      </w:r>
      <w:r w:rsidR="00B73B20" w:rsidRPr="00415AD8">
        <w:rPr>
          <w:rFonts w:cs="Arial"/>
          <w:bCs/>
          <w:lang w:val="es-MX"/>
        </w:rPr>
        <w:t xml:space="preserve">specificó que los amparos comprendidos en la póliza de seguros son diferentes y </w:t>
      </w:r>
      <w:r w:rsidR="002D26CC" w:rsidRPr="00415AD8">
        <w:rPr>
          <w:rFonts w:cs="Arial"/>
          <w:bCs/>
          <w:lang w:val="es-MX"/>
        </w:rPr>
        <w:t xml:space="preserve">tienen </w:t>
      </w:r>
      <w:r w:rsidR="008C63AC" w:rsidRPr="00415AD8">
        <w:rPr>
          <w:rFonts w:cs="Arial"/>
          <w:bCs/>
          <w:lang w:val="es-MX"/>
        </w:rPr>
        <w:t xml:space="preserve">coberturas por </w:t>
      </w:r>
      <w:r w:rsidR="00F0116A" w:rsidRPr="00415AD8">
        <w:rPr>
          <w:rFonts w:cs="Arial"/>
          <w:bCs/>
          <w:lang w:val="es-MX"/>
        </w:rPr>
        <w:t xml:space="preserve">valores </w:t>
      </w:r>
      <w:r w:rsidR="008C63AC" w:rsidRPr="00415AD8">
        <w:rPr>
          <w:rFonts w:cs="Arial"/>
          <w:bCs/>
          <w:lang w:val="es-MX"/>
        </w:rPr>
        <w:t>concret</w:t>
      </w:r>
      <w:r w:rsidR="00F0116A" w:rsidRPr="00415AD8">
        <w:rPr>
          <w:rFonts w:cs="Arial"/>
          <w:bCs/>
          <w:lang w:val="es-MX"/>
        </w:rPr>
        <w:t>os</w:t>
      </w:r>
      <w:r w:rsidR="00140842" w:rsidRPr="00415AD8">
        <w:rPr>
          <w:rFonts w:cs="Arial"/>
          <w:bCs/>
          <w:lang w:val="es-MX"/>
        </w:rPr>
        <w:t>,</w:t>
      </w:r>
      <w:r w:rsidR="006824FC" w:rsidRPr="00415AD8">
        <w:rPr>
          <w:rFonts w:cs="Arial"/>
          <w:bCs/>
          <w:lang w:val="es-MX"/>
        </w:rPr>
        <w:t xml:space="preserve"> lo cual lleva a concluir que </w:t>
      </w:r>
      <w:r w:rsidRPr="00415AD8">
        <w:rPr>
          <w:rFonts w:cs="Arial"/>
          <w:bCs/>
          <w:lang w:val="es-MX"/>
        </w:rPr>
        <w:t xml:space="preserve">en el caso de la declaratoria del siniestro </w:t>
      </w:r>
      <w:r w:rsidR="00B73B20" w:rsidRPr="00415AD8">
        <w:rPr>
          <w:rFonts w:cs="Arial"/>
          <w:bCs/>
          <w:lang w:val="es-MX"/>
        </w:rPr>
        <w:t>se requiere un debido proce</w:t>
      </w:r>
      <w:r w:rsidR="006824FC" w:rsidRPr="00415AD8">
        <w:rPr>
          <w:rFonts w:cs="Arial"/>
          <w:bCs/>
          <w:lang w:val="es-MX"/>
        </w:rPr>
        <w:t xml:space="preserve">dimiento </w:t>
      </w:r>
      <w:r w:rsidR="00B73B20" w:rsidRPr="00415AD8">
        <w:rPr>
          <w:rFonts w:cs="Arial"/>
          <w:bCs/>
          <w:lang w:val="es-MX"/>
        </w:rPr>
        <w:t>específico</w:t>
      </w:r>
      <w:r w:rsidR="006824FC" w:rsidRPr="00415AD8">
        <w:rPr>
          <w:rFonts w:cs="Arial"/>
          <w:bCs/>
          <w:lang w:val="es-MX"/>
        </w:rPr>
        <w:t xml:space="preserve"> frente a la aseguradora garante</w:t>
      </w:r>
      <w:r w:rsidR="008C63AC" w:rsidRPr="00415AD8">
        <w:rPr>
          <w:rFonts w:cs="Arial"/>
          <w:bCs/>
          <w:lang w:val="es-MX"/>
        </w:rPr>
        <w:t>,</w:t>
      </w:r>
      <w:r w:rsidR="00B73B20" w:rsidRPr="00415AD8">
        <w:rPr>
          <w:rFonts w:cs="Arial"/>
          <w:bCs/>
          <w:lang w:val="es-MX"/>
        </w:rPr>
        <w:t xml:space="preserve"> en </w:t>
      </w:r>
      <w:r w:rsidR="006824FC" w:rsidRPr="00415AD8">
        <w:rPr>
          <w:rFonts w:cs="Arial"/>
          <w:bCs/>
          <w:lang w:val="es-MX"/>
        </w:rPr>
        <w:t xml:space="preserve">cuyo caso se le debe </w:t>
      </w:r>
      <w:r w:rsidR="00B73B20" w:rsidRPr="00415AD8">
        <w:rPr>
          <w:rFonts w:cs="Arial"/>
          <w:bCs/>
          <w:lang w:val="es-MX"/>
        </w:rPr>
        <w:t>indi</w:t>
      </w:r>
      <w:r w:rsidR="006824FC" w:rsidRPr="00415AD8">
        <w:rPr>
          <w:rFonts w:cs="Arial"/>
          <w:bCs/>
          <w:lang w:val="es-MX"/>
        </w:rPr>
        <w:t xml:space="preserve">car </w:t>
      </w:r>
      <w:r w:rsidR="00B73B20" w:rsidRPr="00415AD8">
        <w:rPr>
          <w:rFonts w:cs="Arial"/>
          <w:bCs/>
          <w:lang w:val="es-MX"/>
        </w:rPr>
        <w:t xml:space="preserve">cuál de los </w:t>
      </w:r>
      <w:r w:rsidR="008C63AC" w:rsidRPr="00415AD8">
        <w:rPr>
          <w:rFonts w:cs="Arial"/>
          <w:bCs/>
          <w:lang w:val="es-MX"/>
        </w:rPr>
        <w:t xml:space="preserve">amparos </w:t>
      </w:r>
      <w:r w:rsidR="00B73B20" w:rsidRPr="00415AD8">
        <w:rPr>
          <w:rFonts w:cs="Arial"/>
          <w:bCs/>
          <w:lang w:val="es-MX"/>
        </w:rPr>
        <w:t>se estima exigible</w:t>
      </w:r>
      <w:r w:rsidR="008C63AC" w:rsidRPr="00415AD8">
        <w:rPr>
          <w:rFonts w:cs="Arial"/>
          <w:bCs/>
          <w:lang w:val="es-MX"/>
        </w:rPr>
        <w:t xml:space="preserve"> y por qué valor</w:t>
      </w:r>
      <w:r w:rsidR="00B73B20" w:rsidRPr="00415AD8">
        <w:rPr>
          <w:rFonts w:cs="Arial"/>
          <w:bCs/>
          <w:lang w:val="es-MX"/>
        </w:rPr>
        <w:t>.</w:t>
      </w:r>
    </w:p>
    <w:p w:rsidR="006B34D5" w:rsidRPr="00415AD8" w:rsidRDefault="006B34D5" w:rsidP="00415AD8">
      <w:pPr>
        <w:rPr>
          <w:rFonts w:cs="Arial"/>
          <w:bCs/>
          <w:lang w:val="es-MX"/>
        </w:rPr>
      </w:pPr>
    </w:p>
    <w:p w:rsidR="00E10CDE" w:rsidRPr="00415AD8" w:rsidRDefault="00985D37" w:rsidP="00415AD8">
      <w:pPr>
        <w:rPr>
          <w:rFonts w:cs="Arial"/>
          <w:bCs/>
          <w:lang w:val="es-MX"/>
        </w:rPr>
      </w:pPr>
      <w:r w:rsidRPr="00415AD8">
        <w:rPr>
          <w:rFonts w:cs="Arial"/>
          <w:bCs/>
          <w:lang w:val="es-MX"/>
        </w:rPr>
        <w:t>Citó en extenso una sentencia de la Sección Tercera del Consejo de Estado, mediante la cual</w:t>
      </w:r>
      <w:r w:rsidR="00E50C5E" w:rsidRPr="00415AD8">
        <w:rPr>
          <w:rFonts w:cs="Arial"/>
          <w:bCs/>
          <w:lang w:val="es-MX"/>
        </w:rPr>
        <w:t xml:space="preserve"> esta Corporación </w:t>
      </w:r>
      <w:r w:rsidRPr="00415AD8">
        <w:rPr>
          <w:rFonts w:cs="Arial"/>
          <w:bCs/>
          <w:lang w:val="es-MX"/>
        </w:rPr>
        <w:t xml:space="preserve">llamó </w:t>
      </w:r>
      <w:r w:rsidR="00BB6446" w:rsidRPr="00415AD8">
        <w:rPr>
          <w:rFonts w:cs="Arial"/>
          <w:bCs/>
          <w:lang w:val="es-MX"/>
        </w:rPr>
        <w:t xml:space="preserve">a </w:t>
      </w:r>
      <w:r w:rsidRPr="00415AD8">
        <w:rPr>
          <w:rFonts w:cs="Arial"/>
          <w:bCs/>
          <w:lang w:val="es-MX"/>
        </w:rPr>
        <w:t xml:space="preserve">la Administración Pública a respetar el debido proceso de las compañías de seguros en el procedimiento previo a </w:t>
      </w:r>
      <w:r w:rsidR="00E10CDE" w:rsidRPr="00415AD8">
        <w:rPr>
          <w:rFonts w:cs="Arial"/>
          <w:bCs/>
          <w:lang w:val="es-MX"/>
        </w:rPr>
        <w:t>la expedición del acto que declar</w:t>
      </w:r>
      <w:r w:rsidR="00E50C5E" w:rsidRPr="00415AD8">
        <w:rPr>
          <w:rFonts w:cs="Arial"/>
          <w:bCs/>
          <w:lang w:val="es-MX"/>
        </w:rPr>
        <w:t>a</w:t>
      </w:r>
      <w:r w:rsidR="00E10CDE" w:rsidRPr="00415AD8">
        <w:rPr>
          <w:rFonts w:cs="Arial"/>
          <w:bCs/>
          <w:lang w:val="es-MX"/>
        </w:rPr>
        <w:t xml:space="preserve"> el </w:t>
      </w:r>
      <w:r w:rsidR="00E50C5E" w:rsidRPr="00415AD8">
        <w:rPr>
          <w:rFonts w:cs="Arial"/>
          <w:bCs/>
          <w:lang w:val="es-MX"/>
        </w:rPr>
        <w:t>siniestro</w:t>
      </w:r>
      <w:r w:rsidR="00E10CDE" w:rsidRPr="00415AD8">
        <w:rPr>
          <w:rStyle w:val="Refdenotaalpie"/>
          <w:rFonts w:cs="Arial"/>
          <w:bCs/>
          <w:lang w:val="es-MX"/>
        </w:rPr>
        <w:footnoteReference w:id="6"/>
      </w:r>
      <w:r w:rsidR="00E10CDE" w:rsidRPr="00415AD8">
        <w:rPr>
          <w:rFonts w:cs="Arial"/>
          <w:bCs/>
          <w:lang w:val="es-MX"/>
        </w:rPr>
        <w:t xml:space="preserve">. </w:t>
      </w:r>
    </w:p>
    <w:p w:rsidR="00157843" w:rsidRPr="00415AD8" w:rsidRDefault="00157843" w:rsidP="00415AD8">
      <w:pPr>
        <w:rPr>
          <w:rFonts w:cs="Arial"/>
          <w:b/>
          <w:lang w:val="es-MX"/>
        </w:rPr>
      </w:pPr>
    </w:p>
    <w:p w:rsidR="006A73D6" w:rsidRPr="00415AD8" w:rsidRDefault="00E50C5E" w:rsidP="00415AD8">
      <w:pPr>
        <w:rPr>
          <w:rFonts w:cs="Arial"/>
          <w:lang w:val="es-MX"/>
        </w:rPr>
      </w:pPr>
      <w:r w:rsidRPr="00415AD8">
        <w:rPr>
          <w:rFonts w:cs="Arial"/>
          <w:lang w:val="es-MX"/>
        </w:rPr>
        <w:t xml:space="preserve">Por otra parte, la compañía aseguradora </w:t>
      </w:r>
      <w:r w:rsidR="006A73D6" w:rsidRPr="00415AD8">
        <w:rPr>
          <w:rFonts w:cs="Arial"/>
          <w:lang w:val="es-MX"/>
        </w:rPr>
        <w:t>a</w:t>
      </w:r>
      <w:r w:rsidR="00627D89" w:rsidRPr="00415AD8">
        <w:rPr>
          <w:rFonts w:cs="Arial"/>
          <w:lang w:val="es-MX"/>
        </w:rPr>
        <w:t xml:space="preserve">gregó </w:t>
      </w:r>
      <w:r w:rsidR="006A73D6" w:rsidRPr="00415AD8">
        <w:rPr>
          <w:rFonts w:cs="Arial"/>
          <w:lang w:val="es-MX"/>
        </w:rPr>
        <w:t xml:space="preserve">que en este caso </w:t>
      </w:r>
      <w:r w:rsidR="00807192" w:rsidRPr="00415AD8">
        <w:rPr>
          <w:rFonts w:cs="Arial"/>
          <w:lang w:val="es-MX"/>
        </w:rPr>
        <w:t>se consider</w:t>
      </w:r>
      <w:r w:rsidR="006824FC" w:rsidRPr="00415AD8">
        <w:rPr>
          <w:rFonts w:cs="Arial"/>
          <w:lang w:val="es-MX"/>
        </w:rPr>
        <w:t xml:space="preserve">aron </w:t>
      </w:r>
      <w:r w:rsidR="00807192" w:rsidRPr="00415AD8">
        <w:rPr>
          <w:rFonts w:cs="Arial"/>
          <w:lang w:val="es-MX"/>
        </w:rPr>
        <w:t xml:space="preserve">las </w:t>
      </w:r>
      <w:r w:rsidR="006A73D6" w:rsidRPr="00415AD8">
        <w:rPr>
          <w:rFonts w:cs="Arial"/>
          <w:lang w:val="es-MX"/>
        </w:rPr>
        <w:t xml:space="preserve">obligaciones </w:t>
      </w:r>
      <w:r w:rsidR="00CF59C9" w:rsidRPr="00415AD8">
        <w:rPr>
          <w:rFonts w:cs="Arial"/>
          <w:lang w:val="es-MX"/>
        </w:rPr>
        <w:t xml:space="preserve">del contratista </w:t>
      </w:r>
      <w:r w:rsidR="006A73D6" w:rsidRPr="00415AD8">
        <w:rPr>
          <w:rFonts w:cs="Arial"/>
          <w:lang w:val="es-MX"/>
        </w:rPr>
        <w:t>como de resultado</w:t>
      </w:r>
      <w:r w:rsidR="00807192" w:rsidRPr="00415AD8">
        <w:rPr>
          <w:rFonts w:cs="Arial"/>
          <w:lang w:val="es-MX"/>
        </w:rPr>
        <w:t xml:space="preserve"> y no de medio</w:t>
      </w:r>
      <w:r w:rsidR="006A73D6" w:rsidRPr="00415AD8">
        <w:rPr>
          <w:rFonts w:cs="Arial"/>
          <w:lang w:val="es-MX"/>
        </w:rPr>
        <w:t xml:space="preserve">, asunto que no </w:t>
      </w:r>
      <w:r w:rsidR="001E29CF" w:rsidRPr="00415AD8">
        <w:rPr>
          <w:rFonts w:cs="Arial"/>
          <w:lang w:val="es-MX"/>
        </w:rPr>
        <w:t xml:space="preserve">era materia de </w:t>
      </w:r>
      <w:r w:rsidR="006A73D6" w:rsidRPr="00415AD8">
        <w:rPr>
          <w:rFonts w:cs="Arial"/>
          <w:lang w:val="es-MX"/>
        </w:rPr>
        <w:t>estudi</w:t>
      </w:r>
      <w:r w:rsidR="001E29CF" w:rsidRPr="00415AD8">
        <w:rPr>
          <w:rFonts w:cs="Arial"/>
          <w:lang w:val="es-MX"/>
        </w:rPr>
        <w:t>o</w:t>
      </w:r>
      <w:r w:rsidR="006A73D6" w:rsidRPr="00415AD8">
        <w:rPr>
          <w:rFonts w:cs="Arial"/>
          <w:lang w:val="es-MX"/>
        </w:rPr>
        <w:t xml:space="preserve"> en el proceso 2012-04444</w:t>
      </w:r>
      <w:r w:rsidR="00832DF2" w:rsidRPr="00415AD8">
        <w:rPr>
          <w:rFonts w:cs="Arial"/>
          <w:lang w:val="es-MX"/>
        </w:rPr>
        <w:t>,</w:t>
      </w:r>
      <w:r w:rsidR="006A73D6" w:rsidRPr="00415AD8">
        <w:rPr>
          <w:rFonts w:cs="Arial"/>
          <w:lang w:val="es-MX"/>
        </w:rPr>
        <w:t xml:space="preserve"> en el cual se estaba juzgando la obligación de cumplimiento por parte del co</w:t>
      </w:r>
      <w:r w:rsidR="00157843" w:rsidRPr="00415AD8">
        <w:rPr>
          <w:rFonts w:cs="Arial"/>
          <w:lang w:val="es-MX"/>
        </w:rPr>
        <w:t>n</w:t>
      </w:r>
      <w:r w:rsidR="006A73D6" w:rsidRPr="00415AD8">
        <w:rPr>
          <w:rFonts w:cs="Arial"/>
          <w:lang w:val="es-MX"/>
        </w:rPr>
        <w:t>tratista</w:t>
      </w:r>
      <w:r w:rsidR="00AF0B2E" w:rsidRPr="00415AD8">
        <w:rPr>
          <w:rFonts w:cs="Arial"/>
          <w:lang w:val="es-MX"/>
        </w:rPr>
        <w:t xml:space="preserve">. </w:t>
      </w:r>
      <w:r w:rsidR="00E25E41" w:rsidRPr="00415AD8">
        <w:rPr>
          <w:rFonts w:cs="Arial"/>
          <w:lang w:val="es-MX"/>
        </w:rPr>
        <w:t>Reiteró</w:t>
      </w:r>
      <w:r w:rsidR="00AF0B2E" w:rsidRPr="00415AD8">
        <w:rPr>
          <w:rFonts w:cs="Arial"/>
          <w:lang w:val="es-MX"/>
        </w:rPr>
        <w:t xml:space="preserve"> que </w:t>
      </w:r>
      <w:r w:rsidR="0039544D" w:rsidRPr="00415AD8">
        <w:rPr>
          <w:rFonts w:cs="Arial"/>
          <w:lang w:val="es-MX"/>
        </w:rPr>
        <w:t>en el presente</w:t>
      </w:r>
      <w:r w:rsidR="00AF0B2E" w:rsidRPr="00415AD8">
        <w:rPr>
          <w:rFonts w:cs="Arial"/>
          <w:lang w:val="es-MX"/>
        </w:rPr>
        <w:t xml:space="preserve"> proceso se juzgaba la validez de las resoluciones acusadas en cuan</w:t>
      </w:r>
      <w:r w:rsidR="0039544D" w:rsidRPr="00415AD8">
        <w:rPr>
          <w:rFonts w:cs="Arial"/>
          <w:lang w:val="es-MX"/>
        </w:rPr>
        <w:t xml:space="preserve">to </w:t>
      </w:r>
      <w:r w:rsidR="00AF0B2E" w:rsidRPr="00415AD8">
        <w:rPr>
          <w:rFonts w:cs="Arial"/>
          <w:lang w:val="es-MX"/>
        </w:rPr>
        <w:t>impusieron un</w:t>
      </w:r>
      <w:r w:rsidR="00CF59C9" w:rsidRPr="00415AD8">
        <w:rPr>
          <w:rFonts w:cs="Arial"/>
          <w:lang w:val="es-MX"/>
        </w:rPr>
        <w:t>a</w:t>
      </w:r>
      <w:r w:rsidR="00AF0B2E" w:rsidRPr="00415AD8">
        <w:rPr>
          <w:rFonts w:cs="Arial"/>
          <w:lang w:val="es-MX"/>
        </w:rPr>
        <w:t xml:space="preserve"> </w:t>
      </w:r>
      <w:r w:rsidR="006A73D6" w:rsidRPr="00415AD8">
        <w:rPr>
          <w:rFonts w:cs="Arial"/>
          <w:lang w:val="es-MX"/>
        </w:rPr>
        <w:t xml:space="preserve">obligación de la </w:t>
      </w:r>
      <w:r w:rsidR="0039544D" w:rsidRPr="00415AD8">
        <w:rPr>
          <w:rFonts w:cs="Arial"/>
          <w:lang w:val="es-MX"/>
        </w:rPr>
        <w:t>compañía de seguros</w:t>
      </w:r>
      <w:r w:rsidR="006A73D6" w:rsidRPr="00415AD8">
        <w:rPr>
          <w:rFonts w:cs="Arial"/>
          <w:lang w:val="es-MX"/>
        </w:rPr>
        <w:t xml:space="preserve">. </w:t>
      </w:r>
    </w:p>
    <w:p w:rsidR="00157843" w:rsidRPr="00415AD8" w:rsidRDefault="00157843" w:rsidP="00415AD8">
      <w:pPr>
        <w:rPr>
          <w:rFonts w:cs="Arial"/>
          <w:lang w:val="es-MX"/>
        </w:rPr>
      </w:pPr>
    </w:p>
    <w:p w:rsidR="004F15D0" w:rsidRPr="00415AD8" w:rsidRDefault="004F15D0" w:rsidP="00415AD8">
      <w:pPr>
        <w:rPr>
          <w:rFonts w:cs="Arial"/>
          <w:b/>
          <w:lang w:val="es-MX"/>
        </w:rPr>
      </w:pPr>
      <w:r w:rsidRPr="00415AD8">
        <w:rPr>
          <w:rFonts w:cs="Arial"/>
          <w:b/>
          <w:lang w:val="es-MX"/>
        </w:rPr>
        <w:t xml:space="preserve">6. </w:t>
      </w:r>
      <w:r w:rsidR="001E29CF" w:rsidRPr="00415AD8">
        <w:rPr>
          <w:rFonts w:cs="Arial"/>
          <w:b/>
          <w:lang w:val="es-MX"/>
        </w:rPr>
        <w:t>A</w:t>
      </w:r>
      <w:r w:rsidRPr="00415AD8">
        <w:rPr>
          <w:rFonts w:cs="Arial"/>
          <w:b/>
          <w:lang w:val="es-MX"/>
        </w:rPr>
        <w:t>legatos de conclusión en segunda instancia</w:t>
      </w:r>
    </w:p>
    <w:p w:rsidR="004F15D0" w:rsidRPr="00415AD8" w:rsidRDefault="004F15D0" w:rsidP="00415AD8">
      <w:pPr>
        <w:rPr>
          <w:rFonts w:cs="Arial"/>
          <w:lang w:val="es-MX"/>
        </w:rPr>
      </w:pPr>
    </w:p>
    <w:p w:rsidR="00BB6446" w:rsidRPr="00415AD8" w:rsidRDefault="00807192" w:rsidP="00415AD8">
      <w:pPr>
        <w:rPr>
          <w:rFonts w:cs="Arial"/>
          <w:lang w:val="es-MX"/>
        </w:rPr>
      </w:pPr>
      <w:r w:rsidRPr="00415AD8">
        <w:rPr>
          <w:rFonts w:cs="Arial"/>
          <w:lang w:val="es-MX"/>
        </w:rPr>
        <w:t xml:space="preserve">En el </w:t>
      </w:r>
      <w:r w:rsidRPr="00415AD8">
        <w:rPr>
          <w:rFonts w:cs="Arial"/>
          <w:b/>
          <w:lang w:val="es-MX"/>
        </w:rPr>
        <w:t>alegato de conclusión</w:t>
      </w:r>
      <w:r w:rsidRPr="00415AD8">
        <w:rPr>
          <w:rFonts w:cs="Arial"/>
          <w:lang w:val="es-MX"/>
        </w:rPr>
        <w:t xml:space="preserve">, </w:t>
      </w:r>
      <w:r w:rsidRPr="00415AD8">
        <w:rPr>
          <w:rFonts w:cs="Arial"/>
          <w:b/>
          <w:lang w:val="es-MX"/>
        </w:rPr>
        <w:t>la compañía de seguros</w:t>
      </w:r>
      <w:r w:rsidRPr="00415AD8">
        <w:rPr>
          <w:rFonts w:cs="Arial"/>
          <w:lang w:val="es-MX"/>
        </w:rPr>
        <w:t xml:space="preserve"> se detuvo a analizar l</w:t>
      </w:r>
      <w:r w:rsidR="00567A7C" w:rsidRPr="00415AD8">
        <w:rPr>
          <w:rFonts w:cs="Arial"/>
          <w:lang w:val="es-MX"/>
        </w:rPr>
        <w:t xml:space="preserve">a solidaridad pasiva y sus diferencias con </w:t>
      </w:r>
      <w:r w:rsidR="001E29CF" w:rsidRPr="00415AD8">
        <w:rPr>
          <w:rFonts w:cs="Arial"/>
          <w:lang w:val="es-MX"/>
        </w:rPr>
        <w:t>la obligación de</w:t>
      </w:r>
      <w:r w:rsidR="00567A7C" w:rsidRPr="00415AD8">
        <w:rPr>
          <w:rFonts w:cs="Arial"/>
          <w:lang w:val="es-MX"/>
        </w:rPr>
        <w:t xml:space="preserve"> cumplimiento de la prestación debida</w:t>
      </w:r>
      <w:r w:rsidR="001E29CF" w:rsidRPr="00415AD8">
        <w:rPr>
          <w:rFonts w:cs="Arial"/>
          <w:lang w:val="es-MX"/>
        </w:rPr>
        <w:t xml:space="preserve"> por dos sujetos</w:t>
      </w:r>
      <w:r w:rsidR="00567A7C" w:rsidRPr="00415AD8">
        <w:rPr>
          <w:rFonts w:cs="Arial"/>
          <w:lang w:val="es-MX"/>
        </w:rPr>
        <w:t xml:space="preserve">. </w:t>
      </w:r>
    </w:p>
    <w:p w:rsidR="00BB6446" w:rsidRPr="00415AD8" w:rsidRDefault="00BB6446" w:rsidP="00415AD8">
      <w:pPr>
        <w:rPr>
          <w:rFonts w:cs="Arial"/>
          <w:lang w:val="es-MX"/>
        </w:rPr>
      </w:pPr>
    </w:p>
    <w:p w:rsidR="002D1E77" w:rsidRPr="00415AD8" w:rsidRDefault="00567A7C" w:rsidP="00415AD8">
      <w:pPr>
        <w:rPr>
          <w:rFonts w:cs="Arial"/>
          <w:lang w:val="es-MX"/>
        </w:rPr>
      </w:pPr>
      <w:r w:rsidRPr="00415AD8">
        <w:rPr>
          <w:rFonts w:cs="Arial"/>
          <w:lang w:val="es-MX"/>
        </w:rPr>
        <w:lastRenderedPageBreak/>
        <w:t xml:space="preserve">Explicó que en el contrato de seguro la solidaridad surge del incumplimiento del </w:t>
      </w:r>
      <w:r w:rsidR="00A01273" w:rsidRPr="00415AD8">
        <w:rPr>
          <w:rFonts w:cs="Arial"/>
          <w:lang w:val="es-MX"/>
        </w:rPr>
        <w:t>contratista</w:t>
      </w:r>
      <w:r w:rsidR="002D1E77" w:rsidRPr="00415AD8">
        <w:rPr>
          <w:rFonts w:cs="Arial"/>
          <w:lang w:val="es-MX"/>
        </w:rPr>
        <w:t xml:space="preserve">, sin que la aseguradora sea directa responsable de la prestación debida por el </w:t>
      </w:r>
      <w:r w:rsidR="00A01273" w:rsidRPr="00415AD8">
        <w:rPr>
          <w:rFonts w:cs="Arial"/>
          <w:lang w:val="es-MX"/>
        </w:rPr>
        <w:t xml:space="preserve">referido </w:t>
      </w:r>
      <w:r w:rsidR="002D1E77" w:rsidRPr="00415AD8">
        <w:rPr>
          <w:rFonts w:cs="Arial"/>
          <w:lang w:val="es-MX"/>
        </w:rPr>
        <w:t xml:space="preserve">contratista.  </w:t>
      </w:r>
    </w:p>
    <w:p w:rsidR="002D1E77" w:rsidRPr="00415AD8" w:rsidRDefault="002D1E77" w:rsidP="00415AD8">
      <w:pPr>
        <w:rPr>
          <w:rFonts w:cs="Arial"/>
          <w:lang w:val="es-MX"/>
        </w:rPr>
      </w:pPr>
    </w:p>
    <w:p w:rsidR="00157843" w:rsidRPr="00415AD8" w:rsidRDefault="002D1E77" w:rsidP="00415AD8">
      <w:pPr>
        <w:rPr>
          <w:rFonts w:cs="Arial"/>
          <w:lang w:val="es-MX"/>
        </w:rPr>
      </w:pPr>
      <w:r w:rsidRPr="00415AD8">
        <w:rPr>
          <w:rFonts w:cs="Arial"/>
          <w:lang w:val="es-MX"/>
        </w:rPr>
        <w:t>Insi</w:t>
      </w:r>
      <w:r w:rsidR="0094169C" w:rsidRPr="00415AD8">
        <w:rPr>
          <w:rFonts w:cs="Arial"/>
          <w:lang w:val="es-MX"/>
        </w:rPr>
        <w:t>s</w:t>
      </w:r>
      <w:r w:rsidRPr="00415AD8">
        <w:rPr>
          <w:rFonts w:cs="Arial"/>
          <w:lang w:val="es-MX"/>
        </w:rPr>
        <w:t>tió en que la</w:t>
      </w:r>
      <w:r w:rsidR="00DD61AE" w:rsidRPr="00415AD8">
        <w:rPr>
          <w:rFonts w:cs="Arial"/>
          <w:lang w:val="es-MX"/>
        </w:rPr>
        <w:t xml:space="preserve"> </w:t>
      </w:r>
      <w:r w:rsidRPr="00415AD8">
        <w:rPr>
          <w:rFonts w:cs="Arial"/>
          <w:lang w:val="es-MX"/>
        </w:rPr>
        <w:t>Adminis</w:t>
      </w:r>
      <w:r w:rsidR="00DD61AE" w:rsidRPr="00415AD8">
        <w:rPr>
          <w:rFonts w:cs="Arial"/>
          <w:lang w:val="es-MX"/>
        </w:rPr>
        <w:t xml:space="preserve">tración debe formular el hecho imponible a los responsables, </w:t>
      </w:r>
      <w:r w:rsidR="00BB6446" w:rsidRPr="00415AD8">
        <w:rPr>
          <w:rFonts w:cs="Arial"/>
          <w:lang w:val="es-MX"/>
        </w:rPr>
        <w:t>“</w:t>
      </w:r>
      <w:r w:rsidR="00DD61AE" w:rsidRPr="00415AD8">
        <w:rPr>
          <w:rFonts w:cs="Arial"/>
          <w:i/>
          <w:lang w:val="es-MX"/>
        </w:rPr>
        <w:t xml:space="preserve">estableciendo un mecanismo </w:t>
      </w:r>
      <w:r w:rsidR="0094169C" w:rsidRPr="00415AD8">
        <w:rPr>
          <w:rFonts w:cs="Arial"/>
          <w:i/>
          <w:lang w:val="es-MX"/>
        </w:rPr>
        <w:t xml:space="preserve">jurídico </w:t>
      </w:r>
      <w:r w:rsidR="00DD61AE" w:rsidRPr="00415AD8">
        <w:rPr>
          <w:rFonts w:cs="Arial"/>
          <w:i/>
          <w:lang w:val="es-MX"/>
        </w:rPr>
        <w:t xml:space="preserve">que permita a los </w:t>
      </w:r>
      <w:r w:rsidR="0094169C" w:rsidRPr="00415AD8">
        <w:rPr>
          <w:rFonts w:cs="Arial"/>
          <w:i/>
          <w:lang w:val="es-MX"/>
        </w:rPr>
        <w:t>sujetos pasivos de la obligación ejercer independientemente su derecho de defensa</w:t>
      </w:r>
      <w:r w:rsidR="0094169C" w:rsidRPr="00415AD8">
        <w:rPr>
          <w:rFonts w:cs="Arial"/>
          <w:lang w:val="es-MX"/>
        </w:rPr>
        <w:t>”</w:t>
      </w:r>
      <w:r w:rsidR="0094169C" w:rsidRPr="00415AD8">
        <w:rPr>
          <w:rStyle w:val="Refdenotaalpie"/>
          <w:rFonts w:cs="Arial"/>
          <w:lang w:val="es-MX"/>
        </w:rPr>
        <w:footnoteReference w:id="7"/>
      </w:r>
      <w:r w:rsidR="0094169C" w:rsidRPr="00415AD8">
        <w:rPr>
          <w:rFonts w:cs="Arial"/>
          <w:lang w:val="es-MX"/>
        </w:rPr>
        <w:t>.</w:t>
      </w:r>
      <w:r w:rsidR="00807192" w:rsidRPr="00415AD8">
        <w:rPr>
          <w:rFonts w:cs="Arial"/>
          <w:lang w:val="es-MX"/>
        </w:rPr>
        <w:t xml:space="preserve"> </w:t>
      </w:r>
    </w:p>
    <w:p w:rsidR="002268DC" w:rsidRPr="00415AD8" w:rsidRDefault="002268DC" w:rsidP="00415AD8">
      <w:pPr>
        <w:rPr>
          <w:rFonts w:cs="Arial"/>
          <w:lang w:val="es-MX"/>
        </w:rPr>
      </w:pPr>
    </w:p>
    <w:p w:rsidR="00FB5DB1" w:rsidRPr="00415AD8" w:rsidRDefault="00373C91" w:rsidP="00415AD8">
      <w:pPr>
        <w:rPr>
          <w:rFonts w:cs="Arial"/>
          <w:lang w:val="es-MX"/>
        </w:rPr>
      </w:pPr>
      <w:r w:rsidRPr="00415AD8">
        <w:rPr>
          <w:rFonts w:cs="Arial"/>
          <w:lang w:val="es-MX"/>
        </w:rPr>
        <w:t xml:space="preserve">Por su parte, el </w:t>
      </w:r>
      <w:r w:rsidRPr="00415AD8">
        <w:rPr>
          <w:rFonts w:cs="Arial"/>
          <w:b/>
          <w:lang w:val="es-MX"/>
        </w:rPr>
        <w:t>Ministerio de Transporte</w:t>
      </w:r>
      <w:r w:rsidR="00BB6446" w:rsidRPr="00415AD8">
        <w:rPr>
          <w:rFonts w:cs="Arial"/>
          <w:b/>
          <w:lang w:val="es-MX"/>
        </w:rPr>
        <w:t>, en su alegato de conclusión</w:t>
      </w:r>
      <w:r w:rsidR="00BB6446" w:rsidRPr="00415AD8">
        <w:rPr>
          <w:rFonts w:cs="Arial"/>
          <w:lang w:val="es-MX"/>
        </w:rPr>
        <w:t>,</w:t>
      </w:r>
      <w:r w:rsidRPr="00415AD8">
        <w:rPr>
          <w:rFonts w:cs="Arial"/>
          <w:lang w:val="es-MX"/>
        </w:rPr>
        <w:t xml:space="preserve"> </w:t>
      </w:r>
      <w:r w:rsidR="002268DC" w:rsidRPr="00415AD8">
        <w:rPr>
          <w:rFonts w:cs="Arial"/>
          <w:lang w:val="es-MX"/>
        </w:rPr>
        <w:t xml:space="preserve">expuso que en el proceso se encontraron probados los incumplimientos del contratista y que la Universidad Nacional terminó asumiendo las </w:t>
      </w:r>
      <w:r w:rsidR="00B83899" w:rsidRPr="00415AD8">
        <w:rPr>
          <w:rFonts w:cs="Arial"/>
          <w:lang w:val="es-MX"/>
        </w:rPr>
        <w:t>funciones de la interventoría</w:t>
      </w:r>
      <w:r w:rsidR="00140842" w:rsidRPr="00415AD8">
        <w:rPr>
          <w:rFonts w:cs="Arial"/>
          <w:lang w:val="es-MX"/>
        </w:rPr>
        <w:t>,</w:t>
      </w:r>
      <w:r w:rsidR="00B83899" w:rsidRPr="00415AD8">
        <w:rPr>
          <w:rFonts w:cs="Arial"/>
          <w:lang w:val="es-MX"/>
        </w:rPr>
        <w:t xml:space="preserve"> con el objeto de no paralizar la prestación del servicio del sistema R</w:t>
      </w:r>
      <w:r w:rsidR="00E72023" w:rsidRPr="00415AD8">
        <w:rPr>
          <w:rFonts w:cs="Arial"/>
          <w:lang w:val="es-MX"/>
        </w:rPr>
        <w:t>.</w:t>
      </w:r>
      <w:r w:rsidR="00B83899" w:rsidRPr="00415AD8">
        <w:rPr>
          <w:rFonts w:cs="Arial"/>
          <w:lang w:val="es-MX"/>
        </w:rPr>
        <w:t>U</w:t>
      </w:r>
      <w:r w:rsidR="00E72023" w:rsidRPr="00415AD8">
        <w:rPr>
          <w:rFonts w:cs="Arial"/>
          <w:lang w:val="es-MX"/>
        </w:rPr>
        <w:t>.</w:t>
      </w:r>
      <w:r w:rsidR="00B83899" w:rsidRPr="00415AD8">
        <w:rPr>
          <w:rFonts w:cs="Arial"/>
          <w:lang w:val="es-MX"/>
        </w:rPr>
        <w:t>N</w:t>
      </w:r>
      <w:r w:rsidR="00E72023" w:rsidRPr="00415AD8">
        <w:rPr>
          <w:rFonts w:cs="Arial"/>
          <w:lang w:val="es-MX"/>
        </w:rPr>
        <w:t>.</w:t>
      </w:r>
      <w:r w:rsidR="00B83899" w:rsidRPr="00415AD8">
        <w:rPr>
          <w:rFonts w:cs="Arial"/>
          <w:lang w:val="es-MX"/>
        </w:rPr>
        <w:t>T</w:t>
      </w:r>
      <w:r w:rsidR="00B83899" w:rsidRPr="00415AD8">
        <w:rPr>
          <w:rStyle w:val="Refdenotaalpie"/>
          <w:rFonts w:cs="Arial"/>
          <w:lang w:val="es-MX"/>
        </w:rPr>
        <w:footnoteReference w:id="8"/>
      </w:r>
      <w:r w:rsidR="00B83899" w:rsidRPr="00415AD8">
        <w:rPr>
          <w:rFonts w:cs="Arial"/>
          <w:lang w:val="es-MX"/>
        </w:rPr>
        <w:t>.</w:t>
      </w:r>
      <w:r w:rsidR="002268DC" w:rsidRPr="00415AD8">
        <w:rPr>
          <w:rFonts w:cs="Arial"/>
          <w:lang w:val="es-MX"/>
        </w:rPr>
        <w:t xml:space="preserve"> </w:t>
      </w:r>
      <w:r w:rsidR="009B64B9" w:rsidRPr="00415AD8">
        <w:rPr>
          <w:rFonts w:cs="Arial"/>
          <w:lang w:val="es-MX"/>
        </w:rPr>
        <w:t xml:space="preserve"> </w:t>
      </w:r>
    </w:p>
    <w:p w:rsidR="00FB5DB1" w:rsidRPr="00415AD8" w:rsidRDefault="00FB5DB1" w:rsidP="00415AD8">
      <w:pPr>
        <w:rPr>
          <w:rFonts w:cs="Arial"/>
          <w:lang w:val="es-MX"/>
        </w:rPr>
      </w:pPr>
    </w:p>
    <w:p w:rsidR="00FB5DB1" w:rsidRPr="00415AD8" w:rsidRDefault="00FB5DB1" w:rsidP="00415AD8">
      <w:pPr>
        <w:rPr>
          <w:rFonts w:cs="Arial"/>
          <w:lang w:val="es-MX"/>
        </w:rPr>
      </w:pPr>
      <w:r w:rsidRPr="00415AD8">
        <w:rPr>
          <w:rFonts w:cs="Arial"/>
          <w:lang w:val="es-MX"/>
        </w:rPr>
        <w:t xml:space="preserve">El </w:t>
      </w:r>
      <w:r w:rsidR="00E72023" w:rsidRPr="00415AD8">
        <w:rPr>
          <w:rFonts w:cs="Arial"/>
          <w:lang w:val="es-MX"/>
        </w:rPr>
        <w:t xml:space="preserve">Ministerio de </w:t>
      </w:r>
      <w:r w:rsidR="00A01273" w:rsidRPr="00415AD8">
        <w:rPr>
          <w:rFonts w:cs="Arial"/>
          <w:lang w:val="es-MX"/>
        </w:rPr>
        <w:t>T</w:t>
      </w:r>
      <w:r w:rsidR="00E72023" w:rsidRPr="00415AD8">
        <w:rPr>
          <w:rFonts w:cs="Arial"/>
          <w:lang w:val="es-MX"/>
        </w:rPr>
        <w:t xml:space="preserve">ransporte destacó </w:t>
      </w:r>
      <w:r w:rsidR="009B64B9" w:rsidRPr="00415AD8">
        <w:rPr>
          <w:rFonts w:cs="Arial"/>
          <w:lang w:val="es-MX"/>
        </w:rPr>
        <w:t>el contenido del oficio 20111330435141 de 31 de agosto de 2011</w:t>
      </w:r>
      <w:r w:rsidR="00FD3F28" w:rsidRPr="00415AD8">
        <w:rPr>
          <w:rFonts w:cs="Arial"/>
          <w:lang w:val="es-MX"/>
        </w:rPr>
        <w:t xml:space="preserve">, dirigido a Seguros Colpatria </w:t>
      </w:r>
      <w:r w:rsidR="00E72023" w:rsidRPr="00415AD8">
        <w:rPr>
          <w:rFonts w:cs="Arial"/>
          <w:lang w:val="es-MX"/>
        </w:rPr>
        <w:t>S.A.</w:t>
      </w:r>
      <w:r w:rsidR="00140842" w:rsidRPr="00415AD8">
        <w:rPr>
          <w:rFonts w:cs="Arial"/>
          <w:lang w:val="es-MX"/>
        </w:rPr>
        <w:t>,</w:t>
      </w:r>
      <w:r w:rsidR="00E72023" w:rsidRPr="00415AD8">
        <w:rPr>
          <w:rFonts w:cs="Arial"/>
          <w:lang w:val="es-MX"/>
        </w:rPr>
        <w:t xml:space="preserve"> </w:t>
      </w:r>
      <w:r w:rsidR="00FD3F28" w:rsidRPr="00415AD8">
        <w:rPr>
          <w:rFonts w:cs="Arial"/>
          <w:lang w:val="es-MX"/>
        </w:rPr>
        <w:t xml:space="preserve">en el </w:t>
      </w:r>
      <w:r w:rsidRPr="00415AD8">
        <w:rPr>
          <w:rFonts w:cs="Arial"/>
          <w:lang w:val="es-MX"/>
        </w:rPr>
        <w:t xml:space="preserve">cual ese </w:t>
      </w:r>
      <w:r w:rsidR="00FD3F28" w:rsidRPr="00415AD8">
        <w:rPr>
          <w:rFonts w:cs="Arial"/>
          <w:lang w:val="es-MX"/>
        </w:rPr>
        <w:t xml:space="preserve">Ministerio citó </w:t>
      </w:r>
      <w:r w:rsidRPr="00415AD8">
        <w:rPr>
          <w:rFonts w:cs="Arial"/>
          <w:lang w:val="es-MX"/>
        </w:rPr>
        <w:t xml:space="preserve">de manera </w:t>
      </w:r>
      <w:r w:rsidR="00A01273" w:rsidRPr="00415AD8">
        <w:rPr>
          <w:rFonts w:cs="Arial"/>
          <w:lang w:val="es-MX"/>
        </w:rPr>
        <w:t xml:space="preserve">separada, </w:t>
      </w:r>
      <w:r w:rsidRPr="00415AD8">
        <w:rPr>
          <w:rFonts w:cs="Arial"/>
          <w:lang w:val="es-MX"/>
        </w:rPr>
        <w:t>concreta y directa</w:t>
      </w:r>
      <w:r w:rsidR="00A01273" w:rsidRPr="00415AD8">
        <w:rPr>
          <w:rFonts w:cs="Arial"/>
          <w:lang w:val="es-MX"/>
        </w:rPr>
        <w:t>,</w:t>
      </w:r>
      <w:r w:rsidRPr="00415AD8">
        <w:rPr>
          <w:rFonts w:cs="Arial"/>
          <w:lang w:val="es-MX"/>
        </w:rPr>
        <w:t xml:space="preserve"> </w:t>
      </w:r>
      <w:r w:rsidR="00FD3F28" w:rsidRPr="00415AD8">
        <w:rPr>
          <w:rFonts w:cs="Arial"/>
          <w:lang w:val="es-MX"/>
        </w:rPr>
        <w:t xml:space="preserve">a Seguros Colpatria </w:t>
      </w:r>
      <w:r w:rsidRPr="00415AD8">
        <w:rPr>
          <w:rFonts w:cs="Arial"/>
          <w:lang w:val="es-MX"/>
        </w:rPr>
        <w:t>S.A.</w:t>
      </w:r>
      <w:r w:rsidR="00140842" w:rsidRPr="00415AD8">
        <w:rPr>
          <w:rFonts w:cs="Arial"/>
          <w:lang w:val="es-MX"/>
        </w:rPr>
        <w:t>,</w:t>
      </w:r>
      <w:r w:rsidRPr="00415AD8">
        <w:rPr>
          <w:rFonts w:cs="Arial"/>
          <w:lang w:val="es-MX"/>
        </w:rPr>
        <w:t xml:space="preserve"> </w:t>
      </w:r>
      <w:r w:rsidR="00FD3F28" w:rsidRPr="00415AD8">
        <w:rPr>
          <w:rFonts w:cs="Arial"/>
          <w:lang w:val="es-MX"/>
        </w:rPr>
        <w:t>en calidad de garante, respecto del presunto incumplimiento.</w:t>
      </w:r>
      <w:r w:rsidR="00196F1F" w:rsidRPr="00415AD8">
        <w:rPr>
          <w:rFonts w:cs="Arial"/>
          <w:lang w:val="es-MX"/>
        </w:rPr>
        <w:t xml:space="preserve"> </w:t>
      </w:r>
    </w:p>
    <w:p w:rsidR="00FB5DB1" w:rsidRPr="00415AD8" w:rsidRDefault="00FB5DB1" w:rsidP="00415AD8">
      <w:pPr>
        <w:rPr>
          <w:rFonts w:cs="Arial"/>
          <w:lang w:val="es-MX"/>
        </w:rPr>
      </w:pPr>
    </w:p>
    <w:p w:rsidR="00A01273" w:rsidRPr="00415AD8" w:rsidRDefault="00FB5DB1" w:rsidP="00415AD8">
      <w:pPr>
        <w:rPr>
          <w:rFonts w:cs="Arial"/>
          <w:lang w:val="es-MX"/>
        </w:rPr>
      </w:pPr>
      <w:r w:rsidRPr="00415AD8">
        <w:rPr>
          <w:rFonts w:cs="Arial"/>
          <w:lang w:val="es-MX"/>
        </w:rPr>
        <w:t xml:space="preserve">Puntualizó </w:t>
      </w:r>
      <w:r w:rsidR="00196F1F" w:rsidRPr="00415AD8">
        <w:rPr>
          <w:rFonts w:cs="Arial"/>
          <w:lang w:val="es-MX"/>
        </w:rPr>
        <w:t>que Seguros Colpatria S.A. expidió las pólizas correspondientes para amparar el hecho del incumplim</w:t>
      </w:r>
      <w:r w:rsidR="00DE0E49" w:rsidRPr="00415AD8">
        <w:rPr>
          <w:rFonts w:cs="Arial"/>
          <w:lang w:val="es-MX"/>
        </w:rPr>
        <w:t xml:space="preserve">iento </w:t>
      </w:r>
      <w:r w:rsidRPr="00415AD8">
        <w:rPr>
          <w:rFonts w:cs="Arial"/>
          <w:lang w:val="es-MX"/>
        </w:rPr>
        <w:t>del contrato</w:t>
      </w:r>
      <w:r w:rsidR="00E72023" w:rsidRPr="00415AD8">
        <w:rPr>
          <w:rFonts w:cs="Arial"/>
          <w:lang w:val="es-MX"/>
        </w:rPr>
        <w:t xml:space="preserve">. </w:t>
      </w:r>
    </w:p>
    <w:p w:rsidR="00A01273" w:rsidRPr="00415AD8" w:rsidRDefault="00A01273" w:rsidP="00415AD8">
      <w:pPr>
        <w:rPr>
          <w:rFonts w:cs="Arial"/>
          <w:lang w:val="es-MX"/>
        </w:rPr>
      </w:pPr>
    </w:p>
    <w:p w:rsidR="004D6603" w:rsidRPr="00415AD8" w:rsidRDefault="00E72023" w:rsidP="00415AD8">
      <w:pPr>
        <w:rPr>
          <w:rFonts w:cs="Arial"/>
          <w:lang w:val="es-MX"/>
        </w:rPr>
      </w:pPr>
      <w:r w:rsidRPr="00415AD8">
        <w:rPr>
          <w:rFonts w:cs="Arial"/>
          <w:lang w:val="es-MX"/>
        </w:rPr>
        <w:t xml:space="preserve">Reseñó </w:t>
      </w:r>
      <w:r w:rsidR="00DE0E49" w:rsidRPr="00415AD8">
        <w:rPr>
          <w:rFonts w:cs="Arial"/>
          <w:lang w:val="es-MX"/>
        </w:rPr>
        <w:t>que el proceso sancionatorio destinado a determinar la imposición o no de una multa no tiene un contexto distinto al del incumplimiento</w:t>
      </w:r>
      <w:r w:rsidR="00FB5DB1" w:rsidRPr="00415AD8">
        <w:rPr>
          <w:rFonts w:cs="Arial"/>
          <w:lang w:val="es-MX"/>
        </w:rPr>
        <w:t xml:space="preserve"> </w:t>
      </w:r>
      <w:r w:rsidRPr="00415AD8">
        <w:rPr>
          <w:rFonts w:cs="Arial"/>
          <w:lang w:val="es-MX"/>
        </w:rPr>
        <w:t xml:space="preserve">del contrato </w:t>
      </w:r>
      <w:r w:rsidR="00FB5DB1" w:rsidRPr="00415AD8">
        <w:rPr>
          <w:rFonts w:cs="Arial"/>
          <w:lang w:val="es-MX"/>
        </w:rPr>
        <w:t xml:space="preserve">y </w:t>
      </w:r>
      <w:r w:rsidRPr="00415AD8">
        <w:rPr>
          <w:rFonts w:cs="Arial"/>
          <w:lang w:val="es-MX"/>
        </w:rPr>
        <w:t xml:space="preserve">la </w:t>
      </w:r>
      <w:r w:rsidR="00FB5DB1" w:rsidRPr="00415AD8">
        <w:rPr>
          <w:rFonts w:cs="Arial"/>
          <w:lang w:val="es-MX"/>
        </w:rPr>
        <w:t>declaración del siniestro</w:t>
      </w:r>
      <w:r w:rsidR="004D6603" w:rsidRPr="00415AD8">
        <w:rPr>
          <w:rFonts w:cs="Arial"/>
          <w:lang w:val="es-MX"/>
        </w:rPr>
        <w:t xml:space="preserve"> correspondiente</w:t>
      </w:r>
      <w:r w:rsidR="00FB5DB1" w:rsidRPr="00415AD8">
        <w:rPr>
          <w:rFonts w:cs="Arial"/>
          <w:lang w:val="es-MX"/>
        </w:rPr>
        <w:t xml:space="preserve">. </w:t>
      </w:r>
    </w:p>
    <w:p w:rsidR="004D6603" w:rsidRPr="00415AD8" w:rsidRDefault="004D6603" w:rsidP="00415AD8">
      <w:pPr>
        <w:rPr>
          <w:rFonts w:cs="Arial"/>
          <w:lang w:val="es-MX"/>
        </w:rPr>
      </w:pPr>
    </w:p>
    <w:p w:rsidR="0070240A" w:rsidRPr="00415AD8" w:rsidRDefault="0070240A" w:rsidP="00415AD8">
      <w:pPr>
        <w:rPr>
          <w:rFonts w:cs="Arial"/>
          <w:lang w:val="es-MX"/>
        </w:rPr>
      </w:pPr>
      <w:r w:rsidRPr="00415AD8">
        <w:rPr>
          <w:rFonts w:cs="Arial"/>
          <w:lang w:val="es-MX"/>
        </w:rPr>
        <w:t>Insistió en que la aseguradora garante tuvo el derecho de contradicción y defensa y no lo ejerció</w:t>
      </w:r>
      <w:r w:rsidR="005E7D1C" w:rsidRPr="00415AD8">
        <w:rPr>
          <w:rFonts w:cs="Arial"/>
          <w:lang w:val="es-MX"/>
        </w:rPr>
        <w:t xml:space="preserve"> en su oportunidad</w:t>
      </w:r>
      <w:r w:rsidRPr="00415AD8">
        <w:rPr>
          <w:rFonts w:cs="Arial"/>
          <w:lang w:val="es-MX"/>
        </w:rPr>
        <w:t xml:space="preserve">. </w:t>
      </w:r>
    </w:p>
    <w:p w:rsidR="00157843" w:rsidRPr="00415AD8" w:rsidRDefault="00157843" w:rsidP="00415AD8">
      <w:pPr>
        <w:rPr>
          <w:rFonts w:cs="Arial"/>
          <w:lang w:val="es-MX"/>
        </w:rPr>
      </w:pPr>
    </w:p>
    <w:p w:rsidR="004D6603" w:rsidRPr="00415AD8" w:rsidRDefault="00B56D18" w:rsidP="00415AD8">
      <w:pPr>
        <w:rPr>
          <w:rFonts w:cs="Arial"/>
          <w:lang w:val="es-MX"/>
        </w:rPr>
      </w:pPr>
      <w:r w:rsidRPr="00415AD8">
        <w:rPr>
          <w:rFonts w:cs="Arial"/>
          <w:lang w:val="es-MX"/>
        </w:rPr>
        <w:t xml:space="preserve">Encontrándose el proceso en estado de dictar sentencia, la Sala procede a exponer las siguientes consideraciones </w:t>
      </w:r>
      <w:r w:rsidR="00ED7C93" w:rsidRPr="00415AD8">
        <w:rPr>
          <w:rFonts w:cs="Arial"/>
          <w:lang w:val="es-MX"/>
        </w:rPr>
        <w:t>con sus correspondientes soportes normativos y fácticos.</w:t>
      </w:r>
    </w:p>
    <w:p w:rsidR="00702565" w:rsidRPr="00415AD8" w:rsidRDefault="00702565" w:rsidP="00415AD8">
      <w:pPr>
        <w:jc w:val="center"/>
        <w:rPr>
          <w:rFonts w:cs="Arial"/>
          <w:b/>
        </w:rPr>
      </w:pPr>
    </w:p>
    <w:p w:rsidR="00702565" w:rsidRPr="00415AD8" w:rsidRDefault="00702565" w:rsidP="00415AD8">
      <w:pPr>
        <w:jc w:val="center"/>
        <w:rPr>
          <w:rFonts w:cs="Arial"/>
          <w:b/>
        </w:rPr>
      </w:pPr>
      <w:r w:rsidRPr="00415AD8">
        <w:rPr>
          <w:rFonts w:cs="Arial"/>
          <w:b/>
        </w:rPr>
        <w:t>II. C O N S I D E R A C I O N E S</w:t>
      </w:r>
    </w:p>
    <w:p w:rsidR="00702565" w:rsidRPr="00415AD8" w:rsidRDefault="00702565" w:rsidP="00415AD8">
      <w:pPr>
        <w:jc w:val="center"/>
        <w:rPr>
          <w:rFonts w:cs="Arial"/>
          <w:b/>
        </w:rPr>
      </w:pPr>
    </w:p>
    <w:p w:rsidR="00702565" w:rsidRPr="00415AD8" w:rsidRDefault="00702565" w:rsidP="00415AD8">
      <w:pPr>
        <w:rPr>
          <w:rFonts w:cs="Arial"/>
        </w:rPr>
      </w:pPr>
      <w:r w:rsidRPr="00415AD8">
        <w:rPr>
          <w:rFonts w:cs="Arial"/>
        </w:rPr>
        <w:lastRenderedPageBreak/>
        <w:t xml:space="preserve">Para resolver la segunda instancia de la presente </w:t>
      </w:r>
      <w:r w:rsidRPr="00415AD8">
        <w:rPr>
          <w:rFonts w:cs="Arial"/>
          <w:i/>
        </w:rPr>
        <w:t>litis</w:t>
      </w:r>
      <w:r w:rsidRPr="00415AD8">
        <w:rPr>
          <w:rFonts w:cs="Arial"/>
        </w:rPr>
        <w:t>, se abordará</w:t>
      </w:r>
      <w:r w:rsidR="00B56D18" w:rsidRPr="00415AD8">
        <w:rPr>
          <w:rFonts w:cs="Arial"/>
        </w:rPr>
        <w:t xml:space="preserve"> el siguiente orden de razonamiento</w:t>
      </w:r>
      <w:r w:rsidRPr="00415AD8">
        <w:rPr>
          <w:rFonts w:cs="Arial"/>
        </w:rPr>
        <w:t xml:space="preserve">: </w:t>
      </w:r>
      <w:r w:rsidRPr="00415AD8">
        <w:rPr>
          <w:rFonts w:cs="Arial"/>
          <w:b/>
        </w:rPr>
        <w:t>1)</w:t>
      </w:r>
      <w:r w:rsidRPr="00415AD8">
        <w:rPr>
          <w:rFonts w:cs="Arial"/>
        </w:rPr>
        <w:t xml:space="preserve"> </w:t>
      </w:r>
      <w:r w:rsidR="005E7D1C" w:rsidRPr="00415AD8">
        <w:rPr>
          <w:rFonts w:cs="Arial"/>
        </w:rPr>
        <w:t xml:space="preserve">jurisdicción y </w:t>
      </w:r>
      <w:r w:rsidRPr="00415AD8">
        <w:rPr>
          <w:rFonts w:cs="Arial"/>
        </w:rPr>
        <w:t xml:space="preserve">competencia del Consejo de Estado; </w:t>
      </w:r>
      <w:r w:rsidRPr="00415AD8">
        <w:rPr>
          <w:rFonts w:cs="Arial"/>
          <w:b/>
        </w:rPr>
        <w:t>2)</w:t>
      </w:r>
      <w:r w:rsidR="005E7D1C" w:rsidRPr="00415AD8">
        <w:rPr>
          <w:rFonts w:cs="Arial"/>
          <w:b/>
        </w:rPr>
        <w:t xml:space="preserve"> </w:t>
      </w:r>
      <w:r w:rsidR="006D7A56" w:rsidRPr="00415AD8">
        <w:rPr>
          <w:rFonts w:cs="Arial"/>
        </w:rPr>
        <w:t>oportunidad en el ejercicio de la acción;</w:t>
      </w:r>
      <w:r w:rsidR="006D7A56" w:rsidRPr="00415AD8">
        <w:rPr>
          <w:rFonts w:cs="Arial"/>
          <w:b/>
        </w:rPr>
        <w:t xml:space="preserve"> 3) </w:t>
      </w:r>
      <w:r w:rsidR="006D7A56" w:rsidRPr="00415AD8">
        <w:rPr>
          <w:rFonts w:cs="Arial"/>
        </w:rPr>
        <w:t>legitimación activa;</w:t>
      </w:r>
      <w:r w:rsidR="006D7A56" w:rsidRPr="00415AD8">
        <w:rPr>
          <w:rFonts w:cs="Arial"/>
          <w:b/>
        </w:rPr>
        <w:t xml:space="preserve"> </w:t>
      </w:r>
      <w:r w:rsidR="00F43EB7" w:rsidRPr="00415AD8">
        <w:rPr>
          <w:rFonts w:cs="Arial"/>
          <w:b/>
        </w:rPr>
        <w:t>4</w:t>
      </w:r>
      <w:r w:rsidR="006D7A56" w:rsidRPr="00415AD8">
        <w:rPr>
          <w:rFonts w:cs="Arial"/>
          <w:b/>
        </w:rPr>
        <w:t xml:space="preserve">) </w:t>
      </w:r>
      <w:r w:rsidR="002C3587" w:rsidRPr="00415AD8">
        <w:rPr>
          <w:rFonts w:cs="Arial"/>
        </w:rPr>
        <w:t xml:space="preserve">ubicación normativa del </w:t>
      </w:r>
      <w:r w:rsidR="005E7D1C" w:rsidRPr="00415AD8">
        <w:rPr>
          <w:rFonts w:cs="Arial"/>
        </w:rPr>
        <w:t>proceso sancionatorio</w:t>
      </w:r>
      <w:r w:rsidRPr="00415AD8">
        <w:rPr>
          <w:rFonts w:cs="Arial"/>
        </w:rPr>
        <w:t>;</w:t>
      </w:r>
      <w:r w:rsidRPr="00415AD8">
        <w:rPr>
          <w:rFonts w:cs="Arial"/>
          <w:b/>
        </w:rPr>
        <w:t xml:space="preserve"> </w:t>
      </w:r>
      <w:r w:rsidR="002C3587" w:rsidRPr="00415AD8">
        <w:rPr>
          <w:rFonts w:cs="Arial"/>
          <w:b/>
        </w:rPr>
        <w:t>5</w:t>
      </w:r>
      <w:r w:rsidRPr="00415AD8">
        <w:rPr>
          <w:rFonts w:cs="Arial"/>
          <w:b/>
        </w:rPr>
        <w:t>)</w:t>
      </w:r>
      <w:r w:rsidRPr="00415AD8">
        <w:rPr>
          <w:rFonts w:cs="Arial"/>
        </w:rPr>
        <w:t xml:space="preserve"> el caso concreto</w:t>
      </w:r>
      <w:r w:rsidR="002C3587" w:rsidRPr="00415AD8">
        <w:rPr>
          <w:rFonts w:cs="Arial"/>
        </w:rPr>
        <w:t xml:space="preserve">; </w:t>
      </w:r>
      <w:r w:rsidR="002C3587" w:rsidRPr="00415AD8">
        <w:rPr>
          <w:rFonts w:cs="Arial"/>
          <w:b/>
        </w:rPr>
        <w:t>6)</w:t>
      </w:r>
      <w:r w:rsidR="002C3587" w:rsidRPr="00415AD8">
        <w:rPr>
          <w:rFonts w:cs="Arial"/>
        </w:rPr>
        <w:t xml:space="preserve"> conclusiones</w:t>
      </w:r>
      <w:r w:rsidRPr="00415AD8">
        <w:rPr>
          <w:rFonts w:cs="Arial"/>
        </w:rPr>
        <w:t xml:space="preserve"> y </w:t>
      </w:r>
      <w:r w:rsidR="002C3587" w:rsidRPr="00415AD8">
        <w:rPr>
          <w:rFonts w:cs="Arial"/>
          <w:b/>
        </w:rPr>
        <w:t>7</w:t>
      </w:r>
      <w:r w:rsidRPr="00415AD8">
        <w:rPr>
          <w:rFonts w:cs="Arial"/>
          <w:b/>
        </w:rPr>
        <w:t xml:space="preserve">) </w:t>
      </w:r>
      <w:r w:rsidRPr="00415AD8">
        <w:rPr>
          <w:rFonts w:cs="Arial"/>
        </w:rPr>
        <w:t>costas.</w:t>
      </w:r>
    </w:p>
    <w:p w:rsidR="00702565" w:rsidRPr="00415AD8" w:rsidRDefault="00702565" w:rsidP="00415AD8">
      <w:pPr>
        <w:rPr>
          <w:rFonts w:cs="Arial"/>
        </w:rPr>
      </w:pPr>
    </w:p>
    <w:p w:rsidR="00702565" w:rsidRPr="00415AD8" w:rsidRDefault="0048155D" w:rsidP="00415AD8">
      <w:pPr>
        <w:rPr>
          <w:rFonts w:cs="Arial"/>
          <w:b/>
        </w:rPr>
      </w:pPr>
      <w:r w:rsidRPr="00415AD8">
        <w:rPr>
          <w:rFonts w:cs="Arial"/>
          <w:b/>
        </w:rPr>
        <w:t xml:space="preserve">1. </w:t>
      </w:r>
      <w:r w:rsidR="005E7D1C" w:rsidRPr="00415AD8">
        <w:rPr>
          <w:rFonts w:cs="Arial"/>
          <w:b/>
        </w:rPr>
        <w:t>Jurisdicción y c</w:t>
      </w:r>
      <w:r w:rsidR="00702565" w:rsidRPr="00415AD8">
        <w:rPr>
          <w:rFonts w:cs="Arial"/>
          <w:b/>
        </w:rPr>
        <w:t>ompetencia del Consejo de Estado</w:t>
      </w:r>
    </w:p>
    <w:p w:rsidR="00702565" w:rsidRPr="00415AD8" w:rsidRDefault="00702565" w:rsidP="00415AD8">
      <w:pPr>
        <w:rPr>
          <w:rFonts w:cs="Arial"/>
        </w:rPr>
      </w:pPr>
    </w:p>
    <w:p w:rsidR="00702565" w:rsidRPr="00415AD8" w:rsidRDefault="00702565" w:rsidP="00415AD8">
      <w:pPr>
        <w:rPr>
          <w:rFonts w:cs="Arial"/>
          <w:b/>
        </w:rPr>
      </w:pPr>
      <w:r w:rsidRPr="00415AD8">
        <w:rPr>
          <w:rFonts w:cs="Arial"/>
          <w:b/>
        </w:rPr>
        <w:t>1.1. Jurisdicción</w:t>
      </w:r>
    </w:p>
    <w:p w:rsidR="00702565" w:rsidRPr="00415AD8" w:rsidRDefault="00702565" w:rsidP="00415AD8">
      <w:pPr>
        <w:rPr>
          <w:rFonts w:cs="Arial"/>
        </w:rPr>
      </w:pPr>
    </w:p>
    <w:p w:rsidR="00702565" w:rsidRPr="00415AD8" w:rsidRDefault="00702565" w:rsidP="00415AD8">
      <w:pPr>
        <w:rPr>
          <w:rFonts w:cs="Arial"/>
        </w:rPr>
      </w:pPr>
      <w:r w:rsidRPr="00415AD8">
        <w:rPr>
          <w:rFonts w:cs="Arial"/>
        </w:rPr>
        <w:t xml:space="preserve">El vínculo obligacional en cuyo seno se generaron los actos administrativos y las controversias planteadas en el presente proceso fue el Contrato No. </w:t>
      </w:r>
      <w:r w:rsidR="000C6B3A" w:rsidRPr="00415AD8">
        <w:rPr>
          <w:rFonts w:cs="Arial"/>
        </w:rPr>
        <w:t>082</w:t>
      </w:r>
      <w:r w:rsidRPr="00415AD8">
        <w:rPr>
          <w:rFonts w:cs="Arial"/>
        </w:rPr>
        <w:t xml:space="preserve"> de </w:t>
      </w:r>
      <w:r w:rsidR="000C6B3A" w:rsidRPr="00415AD8">
        <w:rPr>
          <w:rFonts w:cs="Arial"/>
        </w:rPr>
        <w:t xml:space="preserve">9 de octubre de </w:t>
      </w:r>
      <w:r w:rsidRPr="00415AD8">
        <w:rPr>
          <w:rFonts w:cs="Arial"/>
        </w:rPr>
        <w:t>200</w:t>
      </w:r>
      <w:r w:rsidR="000C6B3A" w:rsidRPr="00415AD8">
        <w:rPr>
          <w:rFonts w:cs="Arial"/>
        </w:rPr>
        <w:t>7</w:t>
      </w:r>
      <w:r w:rsidRPr="00415AD8">
        <w:rPr>
          <w:rFonts w:cs="Arial"/>
        </w:rPr>
        <w:t xml:space="preserve">, celebrado entre </w:t>
      </w:r>
      <w:r w:rsidR="00A52E87" w:rsidRPr="00415AD8">
        <w:rPr>
          <w:rFonts w:cs="Arial"/>
        </w:rPr>
        <w:t xml:space="preserve">una entidad pública, esto es, </w:t>
      </w:r>
      <w:r w:rsidR="006B4FDE" w:rsidRPr="00415AD8">
        <w:rPr>
          <w:rFonts w:cs="Arial"/>
        </w:rPr>
        <w:t>l</w:t>
      </w:r>
      <w:r w:rsidR="00A52E87" w:rsidRPr="00415AD8">
        <w:rPr>
          <w:rFonts w:cs="Arial"/>
        </w:rPr>
        <w:t>a Nación -</w:t>
      </w:r>
      <w:r w:rsidR="000C6B3A" w:rsidRPr="00415AD8">
        <w:rPr>
          <w:rFonts w:cs="Arial"/>
        </w:rPr>
        <w:t>Ministerio de Transporte</w:t>
      </w:r>
      <w:r w:rsidR="00D16CB0" w:rsidRPr="00415AD8">
        <w:rPr>
          <w:rStyle w:val="Refdenotaalpie"/>
          <w:rFonts w:cs="Arial"/>
        </w:rPr>
        <w:footnoteReference w:id="9"/>
      </w:r>
      <w:r w:rsidR="000C6B3A" w:rsidRPr="00415AD8">
        <w:rPr>
          <w:rFonts w:cs="Arial"/>
        </w:rPr>
        <w:t xml:space="preserve"> </w:t>
      </w:r>
      <w:r w:rsidRPr="00415AD8">
        <w:rPr>
          <w:rFonts w:cs="Arial"/>
        </w:rPr>
        <w:t xml:space="preserve">y el Consorcio </w:t>
      </w:r>
      <w:r w:rsidR="000C6B3A" w:rsidRPr="00415AD8">
        <w:rPr>
          <w:rFonts w:cs="Arial"/>
        </w:rPr>
        <w:t>PAI - RUNT</w:t>
      </w:r>
      <w:r w:rsidRPr="00415AD8">
        <w:rPr>
          <w:rFonts w:cs="Arial"/>
        </w:rPr>
        <w:t xml:space="preserve">, en cuya cláusula </w:t>
      </w:r>
      <w:r w:rsidR="00035F03" w:rsidRPr="00415AD8">
        <w:rPr>
          <w:rFonts w:cs="Arial"/>
        </w:rPr>
        <w:t xml:space="preserve">décimo primera </w:t>
      </w:r>
      <w:r w:rsidRPr="00415AD8">
        <w:rPr>
          <w:rFonts w:cs="Arial"/>
        </w:rPr>
        <w:t xml:space="preserve">se contempló la constitución de la garantía única a favor de entidad </w:t>
      </w:r>
      <w:r w:rsidR="00673B5A" w:rsidRPr="00415AD8">
        <w:rPr>
          <w:rFonts w:cs="Arial"/>
        </w:rPr>
        <w:t xml:space="preserve">estatal </w:t>
      </w:r>
      <w:r w:rsidRPr="00415AD8">
        <w:rPr>
          <w:rFonts w:cs="Arial"/>
        </w:rPr>
        <w:t xml:space="preserve">contratante, la cual fue otorgada </w:t>
      </w:r>
      <w:r w:rsidR="00592490" w:rsidRPr="00415AD8">
        <w:rPr>
          <w:rFonts w:cs="Arial"/>
        </w:rPr>
        <w:t xml:space="preserve">por </w:t>
      </w:r>
      <w:r w:rsidR="00ED7C93" w:rsidRPr="00415AD8">
        <w:rPr>
          <w:rFonts w:cs="Arial"/>
        </w:rPr>
        <w:t>Seguros Colpatria S.A., c</w:t>
      </w:r>
      <w:r w:rsidR="00592490" w:rsidRPr="00415AD8">
        <w:rPr>
          <w:rFonts w:cs="Arial"/>
        </w:rPr>
        <w:t xml:space="preserve">ompañía </w:t>
      </w:r>
      <w:r w:rsidR="00ED7C93" w:rsidRPr="00415AD8">
        <w:rPr>
          <w:rFonts w:cs="Arial"/>
        </w:rPr>
        <w:t>a</w:t>
      </w:r>
      <w:r w:rsidR="00592490" w:rsidRPr="00415AD8">
        <w:rPr>
          <w:rFonts w:cs="Arial"/>
        </w:rPr>
        <w:t>seguradora ahora demandante</w:t>
      </w:r>
      <w:r w:rsidR="00035F03" w:rsidRPr="00415AD8">
        <w:rPr>
          <w:rFonts w:cs="Arial"/>
        </w:rPr>
        <w:t xml:space="preserve">, todo ello bajo las </w:t>
      </w:r>
      <w:r w:rsidRPr="00415AD8">
        <w:rPr>
          <w:rFonts w:cs="Arial"/>
        </w:rPr>
        <w:t>normas del Estatuto de Contratación Estatal contenido en la Ley 80 expedida en 1993</w:t>
      </w:r>
      <w:r w:rsidR="00BC6563" w:rsidRPr="00415AD8">
        <w:rPr>
          <w:rFonts w:cs="Arial"/>
        </w:rPr>
        <w:t>.</w:t>
      </w:r>
    </w:p>
    <w:p w:rsidR="00BC6563" w:rsidRPr="00415AD8" w:rsidRDefault="00BC6563" w:rsidP="00415AD8">
      <w:pPr>
        <w:rPr>
          <w:rFonts w:cs="Arial"/>
        </w:rPr>
      </w:pPr>
    </w:p>
    <w:p w:rsidR="00702565" w:rsidRPr="00415AD8" w:rsidRDefault="00702565" w:rsidP="00415AD8">
      <w:pPr>
        <w:rPr>
          <w:rFonts w:cs="Arial"/>
        </w:rPr>
      </w:pPr>
      <w:r w:rsidRPr="00415AD8">
        <w:rPr>
          <w:rFonts w:cs="Arial"/>
        </w:rPr>
        <w:t>La Ley 80 de 1993 dispuso las reglas y principios de los contratos estatales y definió cuáles se han de tener como entidades estatales para efectos de la aplicación de la citada Ley, definición en cuyo contenido se encuentra cobijad</w:t>
      </w:r>
      <w:r w:rsidR="00FD29F0" w:rsidRPr="00415AD8">
        <w:rPr>
          <w:rFonts w:cs="Arial"/>
        </w:rPr>
        <w:t xml:space="preserve">a la Nación - </w:t>
      </w:r>
      <w:r w:rsidR="00035F03" w:rsidRPr="00415AD8">
        <w:rPr>
          <w:rFonts w:cs="Arial"/>
        </w:rPr>
        <w:t>Ministerio de Transporte</w:t>
      </w:r>
      <w:r w:rsidRPr="00415AD8">
        <w:rPr>
          <w:rFonts w:cs="Arial"/>
        </w:rPr>
        <w:t>, por disposición de la letra a) del numeral 1 del artículo 2</w:t>
      </w:r>
      <w:r w:rsidRPr="00415AD8">
        <w:rPr>
          <w:rStyle w:val="Refdenotaalpie"/>
          <w:rFonts w:cs="Arial"/>
        </w:rPr>
        <w:footnoteReference w:id="10"/>
      </w:r>
      <w:r w:rsidR="00673B5A" w:rsidRPr="00415AD8">
        <w:rPr>
          <w:rFonts w:cs="Arial"/>
        </w:rPr>
        <w:t>.</w:t>
      </w:r>
    </w:p>
    <w:p w:rsidR="00EB27AB" w:rsidRPr="00415AD8" w:rsidRDefault="00EB27AB" w:rsidP="00415AD8">
      <w:pPr>
        <w:rPr>
          <w:rFonts w:cs="Arial"/>
        </w:rPr>
      </w:pPr>
    </w:p>
    <w:p w:rsidR="00702565" w:rsidRPr="00415AD8" w:rsidRDefault="00702565" w:rsidP="00415AD8">
      <w:pPr>
        <w:pStyle w:val="Textoindependiente"/>
        <w:autoSpaceDE/>
        <w:autoSpaceDN/>
        <w:adjustRightInd/>
        <w:rPr>
          <w:rFonts w:cs="Arial"/>
          <w:szCs w:val="24"/>
        </w:rPr>
      </w:pPr>
      <w:r w:rsidRPr="00415AD8">
        <w:rPr>
          <w:rFonts w:cs="Arial"/>
          <w:szCs w:val="24"/>
          <w:lang w:val="es-ES"/>
        </w:rPr>
        <w:t xml:space="preserve">Por otra parte, se </w:t>
      </w:r>
      <w:r w:rsidR="00673B5A" w:rsidRPr="00415AD8">
        <w:rPr>
          <w:rFonts w:cs="Arial"/>
          <w:szCs w:val="24"/>
          <w:lang w:val="es-ES"/>
        </w:rPr>
        <w:t>reafirma la jurisdicción y competencia para conocer de</w:t>
      </w:r>
      <w:r w:rsidR="00086912" w:rsidRPr="00415AD8">
        <w:rPr>
          <w:rFonts w:cs="Arial"/>
          <w:szCs w:val="24"/>
          <w:lang w:val="es-ES"/>
        </w:rPr>
        <w:t>l</w:t>
      </w:r>
      <w:r w:rsidR="00673B5A" w:rsidRPr="00415AD8">
        <w:rPr>
          <w:rFonts w:cs="Arial"/>
          <w:szCs w:val="24"/>
          <w:lang w:val="es-ES"/>
        </w:rPr>
        <w:t xml:space="preserve"> presente asunto, </w:t>
      </w:r>
      <w:r w:rsidRPr="00415AD8">
        <w:rPr>
          <w:rFonts w:cs="Arial"/>
          <w:szCs w:val="24"/>
          <w:lang w:val="es-ES"/>
        </w:rPr>
        <w:t>t</w:t>
      </w:r>
      <w:r w:rsidR="00673B5A" w:rsidRPr="00415AD8">
        <w:rPr>
          <w:rFonts w:cs="Arial"/>
          <w:szCs w:val="24"/>
          <w:lang w:val="es-ES"/>
        </w:rPr>
        <w:t>eniendo en cuenta</w:t>
      </w:r>
      <w:r w:rsidRPr="00415AD8">
        <w:rPr>
          <w:rFonts w:cs="Arial"/>
          <w:szCs w:val="24"/>
          <w:lang w:val="es-ES"/>
        </w:rPr>
        <w:t xml:space="preserve"> que </w:t>
      </w:r>
      <w:r w:rsidRPr="00415AD8">
        <w:rPr>
          <w:rFonts w:cs="Arial"/>
          <w:szCs w:val="24"/>
          <w:lang w:val="es-CO"/>
        </w:rPr>
        <w:t xml:space="preserve">el </w:t>
      </w:r>
      <w:r w:rsidRPr="00415AD8">
        <w:rPr>
          <w:rFonts w:cs="Arial"/>
          <w:szCs w:val="24"/>
          <w:lang w:val="es-ES"/>
        </w:rPr>
        <w:t>artículo 104</w:t>
      </w:r>
      <w:r w:rsidRPr="00415AD8">
        <w:rPr>
          <w:rStyle w:val="Refdenotaalpie"/>
          <w:rFonts w:cs="Arial"/>
          <w:szCs w:val="24"/>
          <w:lang w:val="es-ES"/>
        </w:rPr>
        <w:footnoteReference w:id="11"/>
      </w:r>
      <w:r w:rsidRPr="00415AD8">
        <w:rPr>
          <w:rFonts w:cs="Arial"/>
          <w:szCs w:val="24"/>
          <w:lang w:val="es-ES"/>
        </w:rPr>
        <w:t xml:space="preserve"> de la Ley 1437</w:t>
      </w:r>
      <w:r w:rsidR="000042C1" w:rsidRPr="00415AD8">
        <w:rPr>
          <w:rFonts w:cs="Arial"/>
          <w:szCs w:val="24"/>
          <w:lang w:val="es-ES"/>
        </w:rPr>
        <w:t>,</w:t>
      </w:r>
      <w:r w:rsidRPr="00415AD8">
        <w:rPr>
          <w:rFonts w:cs="Arial"/>
          <w:szCs w:val="24"/>
          <w:lang w:val="es-ES"/>
        </w:rPr>
        <w:t xml:space="preserve"> expedida en 2011 </w:t>
      </w:r>
      <w:r w:rsidRPr="00415AD8">
        <w:rPr>
          <w:rFonts w:cs="Arial"/>
          <w:szCs w:val="24"/>
          <w:lang w:val="es-ES"/>
        </w:rPr>
        <w:lastRenderedPageBreak/>
        <w:t>(C.P.A.C.A.), vigente a partir de 2 de julio de 2012, prescribe que l</w:t>
      </w:r>
      <w:r w:rsidRPr="00415AD8">
        <w:rPr>
          <w:rFonts w:cs="Arial"/>
          <w:szCs w:val="24"/>
        </w:rPr>
        <w:t>a Jurisdicción de lo Contencioso Administrativo se encuentra instituida para juzgar las controversias y litigios originados en los contratos “</w:t>
      </w:r>
      <w:r w:rsidRPr="00415AD8">
        <w:rPr>
          <w:rFonts w:cs="Arial"/>
          <w:i/>
          <w:szCs w:val="24"/>
        </w:rPr>
        <w:t>sujetos al derecho administrativo, en los que estén involucradas las entidades públicas”</w:t>
      </w:r>
      <w:r w:rsidRPr="00415AD8">
        <w:rPr>
          <w:rFonts w:cs="Arial"/>
          <w:szCs w:val="24"/>
        </w:rPr>
        <w:t xml:space="preserve"> e igualmente le corresponde conocer de los contratos “</w:t>
      </w:r>
      <w:r w:rsidRPr="00415AD8">
        <w:rPr>
          <w:rFonts w:cs="Arial"/>
          <w:i/>
          <w:szCs w:val="24"/>
        </w:rPr>
        <w:t>cualquiera que sea su régimen, en los que sea parte una entidad pública o un particular en ejercicio de funciones propias del Estado”</w:t>
      </w:r>
      <w:r w:rsidR="006A4C64" w:rsidRPr="00415AD8">
        <w:rPr>
          <w:rFonts w:cs="Arial"/>
          <w:i/>
          <w:szCs w:val="24"/>
        </w:rPr>
        <w:t>.</w:t>
      </w:r>
      <w:r w:rsidRPr="00415AD8">
        <w:rPr>
          <w:rFonts w:cs="Arial"/>
          <w:szCs w:val="24"/>
        </w:rPr>
        <w:t xml:space="preserve"> </w:t>
      </w:r>
    </w:p>
    <w:p w:rsidR="005E5048" w:rsidRPr="00415AD8" w:rsidRDefault="005E5048" w:rsidP="00415AD8">
      <w:pPr>
        <w:pStyle w:val="Textoindependiente"/>
        <w:autoSpaceDE/>
        <w:autoSpaceDN/>
        <w:adjustRightInd/>
        <w:rPr>
          <w:rFonts w:cs="Arial"/>
          <w:szCs w:val="24"/>
        </w:rPr>
      </w:pPr>
    </w:p>
    <w:p w:rsidR="002D4C77" w:rsidRPr="00415AD8" w:rsidRDefault="005E5048" w:rsidP="00415AD8">
      <w:pPr>
        <w:pStyle w:val="Textoindependiente"/>
        <w:autoSpaceDE/>
        <w:autoSpaceDN/>
        <w:adjustRightInd/>
        <w:rPr>
          <w:rFonts w:cs="Arial"/>
          <w:szCs w:val="24"/>
        </w:rPr>
      </w:pPr>
      <w:r w:rsidRPr="00415AD8">
        <w:rPr>
          <w:rFonts w:cs="Arial"/>
          <w:szCs w:val="24"/>
        </w:rPr>
        <w:t xml:space="preserve">Como consecuencia, toda vez que los actos </w:t>
      </w:r>
      <w:r w:rsidR="002D4C77" w:rsidRPr="00415AD8">
        <w:rPr>
          <w:rFonts w:cs="Arial"/>
          <w:szCs w:val="24"/>
        </w:rPr>
        <w:t>administrativos</w:t>
      </w:r>
      <w:r w:rsidRPr="00415AD8">
        <w:rPr>
          <w:rFonts w:cs="Arial"/>
          <w:szCs w:val="24"/>
        </w:rPr>
        <w:t xml:space="preserve"> </w:t>
      </w:r>
      <w:r w:rsidR="006B4FDE" w:rsidRPr="00415AD8">
        <w:rPr>
          <w:rFonts w:cs="Arial"/>
          <w:szCs w:val="24"/>
        </w:rPr>
        <w:t xml:space="preserve">cuya nulidad se solicitó en la demanda </w:t>
      </w:r>
      <w:r w:rsidR="002D4C77" w:rsidRPr="00415AD8">
        <w:rPr>
          <w:rFonts w:cs="Arial"/>
          <w:szCs w:val="24"/>
        </w:rPr>
        <w:t xml:space="preserve">se refieren a un contrato estatal que involucró </w:t>
      </w:r>
      <w:r w:rsidR="000042C1" w:rsidRPr="00415AD8">
        <w:rPr>
          <w:rFonts w:cs="Arial"/>
          <w:szCs w:val="24"/>
        </w:rPr>
        <w:t xml:space="preserve">a </w:t>
      </w:r>
      <w:r w:rsidR="002D4C77" w:rsidRPr="00415AD8">
        <w:rPr>
          <w:rFonts w:cs="Arial"/>
          <w:szCs w:val="24"/>
        </w:rPr>
        <w:t>una entidad pública y a las pólizas de cumplimiento otorgadas en relación con el mismo, se confirma la jurisdicción y competencia del Consejo de Estado para conocer de la presente controversia.</w:t>
      </w:r>
    </w:p>
    <w:p w:rsidR="005E5048" w:rsidRPr="00415AD8" w:rsidRDefault="005E5048" w:rsidP="00415AD8">
      <w:pPr>
        <w:pStyle w:val="Textoindependiente"/>
        <w:autoSpaceDE/>
        <w:autoSpaceDN/>
        <w:adjustRightInd/>
        <w:rPr>
          <w:rFonts w:cs="Arial"/>
          <w:szCs w:val="24"/>
        </w:rPr>
      </w:pPr>
    </w:p>
    <w:p w:rsidR="00702565" w:rsidRPr="00415AD8" w:rsidRDefault="00702565" w:rsidP="00415AD8">
      <w:pPr>
        <w:tabs>
          <w:tab w:val="left" w:pos="7797"/>
        </w:tabs>
        <w:rPr>
          <w:rFonts w:cs="Arial"/>
          <w:b/>
          <w:lang w:val="es-MX"/>
        </w:rPr>
      </w:pPr>
      <w:r w:rsidRPr="00415AD8">
        <w:rPr>
          <w:rFonts w:cs="Arial"/>
          <w:b/>
          <w:lang w:val="es-MX"/>
        </w:rPr>
        <w:t>1.</w:t>
      </w:r>
      <w:r w:rsidR="00F43EB7" w:rsidRPr="00415AD8">
        <w:rPr>
          <w:rFonts w:cs="Arial"/>
          <w:b/>
          <w:lang w:val="es-MX"/>
        </w:rPr>
        <w:t>2</w:t>
      </w:r>
      <w:r w:rsidRPr="00415AD8">
        <w:rPr>
          <w:rFonts w:cs="Arial"/>
          <w:b/>
          <w:lang w:val="es-MX"/>
        </w:rPr>
        <w:t>. Competencia por razón de la cuantía</w:t>
      </w:r>
    </w:p>
    <w:p w:rsidR="00702565" w:rsidRPr="00415AD8" w:rsidRDefault="00702565" w:rsidP="00415AD8">
      <w:pPr>
        <w:tabs>
          <w:tab w:val="left" w:pos="7797"/>
        </w:tabs>
        <w:rPr>
          <w:rFonts w:cs="Arial"/>
          <w:lang w:val="es-MX"/>
        </w:rPr>
      </w:pPr>
    </w:p>
    <w:p w:rsidR="00943E48" w:rsidRPr="00415AD8" w:rsidRDefault="00702565" w:rsidP="00415AD8">
      <w:pPr>
        <w:rPr>
          <w:rFonts w:cs="Arial"/>
          <w:color w:val="000000"/>
        </w:rPr>
      </w:pPr>
      <w:r w:rsidRPr="00415AD8">
        <w:rPr>
          <w:rFonts w:cs="Arial"/>
          <w:color w:val="000000"/>
        </w:rPr>
        <w:t xml:space="preserve">En esta instancia, el asunto de la competencia por razón de la cuantía </w:t>
      </w:r>
      <w:r w:rsidR="00511C35" w:rsidRPr="00415AD8">
        <w:rPr>
          <w:rFonts w:cs="Arial"/>
          <w:color w:val="000000"/>
        </w:rPr>
        <w:t xml:space="preserve">se define de acuerdo con </w:t>
      </w:r>
      <w:r w:rsidRPr="00415AD8">
        <w:rPr>
          <w:rFonts w:cs="Arial"/>
          <w:color w:val="000000"/>
        </w:rPr>
        <w:t>el numeral 5 del artículo 152 de</w:t>
      </w:r>
      <w:r w:rsidR="004622F0" w:rsidRPr="00415AD8">
        <w:rPr>
          <w:rFonts w:cs="Arial"/>
          <w:color w:val="000000"/>
        </w:rPr>
        <w:t>l C.P.A.C.A.</w:t>
      </w:r>
      <w:r w:rsidRPr="00415AD8">
        <w:rPr>
          <w:rFonts w:cs="Arial"/>
          <w:color w:val="000000"/>
        </w:rPr>
        <w:t>, teniendo en cuenta que el valor de la pretensión mayor</w:t>
      </w:r>
      <w:r w:rsidRPr="00415AD8">
        <w:rPr>
          <w:rStyle w:val="Refdenotaalpie"/>
          <w:rFonts w:cs="Arial"/>
          <w:color w:val="000000"/>
        </w:rPr>
        <w:footnoteReference w:id="12"/>
      </w:r>
      <w:r w:rsidRPr="00415AD8">
        <w:rPr>
          <w:rFonts w:cs="Arial"/>
          <w:color w:val="000000"/>
        </w:rPr>
        <w:t xml:space="preserve"> resulta superior al monto equivalente a 500 salarios mínimos legales vigentes</w:t>
      </w:r>
      <w:r w:rsidRPr="00415AD8">
        <w:rPr>
          <w:rStyle w:val="Refdenotaalpie"/>
          <w:rFonts w:cs="Arial"/>
          <w:color w:val="000000"/>
        </w:rPr>
        <w:footnoteReference w:id="13"/>
      </w:r>
      <w:r w:rsidRPr="00415AD8">
        <w:rPr>
          <w:rFonts w:cs="Arial"/>
          <w:color w:val="000000"/>
        </w:rPr>
        <w:t>, a la fecha de presentación de la demanda</w:t>
      </w:r>
      <w:r w:rsidRPr="00415AD8">
        <w:rPr>
          <w:rStyle w:val="Refdenotaalpie"/>
          <w:rFonts w:cs="Arial"/>
          <w:color w:val="000000"/>
        </w:rPr>
        <w:footnoteReference w:id="14"/>
      </w:r>
      <w:r w:rsidR="00943E48" w:rsidRPr="00415AD8">
        <w:rPr>
          <w:rFonts w:cs="Arial"/>
          <w:color w:val="000000"/>
        </w:rPr>
        <w:t>, es</w:t>
      </w:r>
      <w:r w:rsidR="00C847AE" w:rsidRPr="00415AD8">
        <w:rPr>
          <w:rFonts w:cs="Arial"/>
          <w:color w:val="000000"/>
        </w:rPr>
        <w:t xml:space="preserve"> decir, </w:t>
      </w:r>
      <w:r w:rsidR="00943E48" w:rsidRPr="00415AD8">
        <w:rPr>
          <w:rFonts w:cs="Arial"/>
          <w:color w:val="000000"/>
        </w:rPr>
        <w:t xml:space="preserve">que la cuantía del litigio permite concluir que el proceso tiene vocación de doble instancia. </w:t>
      </w:r>
    </w:p>
    <w:p w:rsidR="00EF2725" w:rsidRPr="00415AD8" w:rsidRDefault="00EF2725" w:rsidP="00415AD8">
      <w:pPr>
        <w:pStyle w:val="Textoindependiente"/>
        <w:widowControl w:val="0"/>
        <w:rPr>
          <w:rFonts w:cs="Arial"/>
          <w:szCs w:val="24"/>
        </w:rPr>
      </w:pPr>
    </w:p>
    <w:p w:rsidR="00F43EB7" w:rsidRPr="00415AD8" w:rsidRDefault="00F43EB7" w:rsidP="00415AD8">
      <w:pPr>
        <w:rPr>
          <w:rFonts w:cs="Arial"/>
          <w:b/>
        </w:rPr>
      </w:pPr>
      <w:r w:rsidRPr="00415AD8">
        <w:rPr>
          <w:rFonts w:cs="Arial"/>
          <w:b/>
        </w:rPr>
        <w:t>2. Oportunidad para el ejercicio de</w:t>
      </w:r>
      <w:r w:rsidR="00EF2725" w:rsidRPr="00415AD8">
        <w:rPr>
          <w:rFonts w:cs="Arial"/>
          <w:b/>
        </w:rPr>
        <w:t xml:space="preserve">l medio de control </w:t>
      </w:r>
      <w:r w:rsidRPr="00415AD8">
        <w:rPr>
          <w:rFonts w:cs="Arial"/>
          <w:b/>
        </w:rPr>
        <w:t>contractual</w:t>
      </w:r>
    </w:p>
    <w:p w:rsidR="00F43EB7" w:rsidRPr="00415AD8" w:rsidRDefault="00F43EB7" w:rsidP="00415AD8">
      <w:pPr>
        <w:pStyle w:val="NormalWeb"/>
        <w:spacing w:before="0" w:beforeAutospacing="0" w:after="0" w:afterAutospacing="0"/>
        <w:rPr>
          <w:rFonts w:cs="Arial"/>
          <w:i/>
        </w:rPr>
      </w:pPr>
      <w:r w:rsidRPr="00415AD8">
        <w:rPr>
          <w:rFonts w:cs="Arial"/>
          <w:bCs/>
        </w:rPr>
        <w:t>El artículo 164 de</w:t>
      </w:r>
      <w:r w:rsidR="004622F0" w:rsidRPr="00415AD8">
        <w:rPr>
          <w:rFonts w:cs="Arial"/>
          <w:bCs/>
        </w:rPr>
        <w:t xml:space="preserve">l </w:t>
      </w:r>
      <w:r w:rsidRPr="00415AD8">
        <w:rPr>
          <w:rFonts w:cs="Arial"/>
          <w:bCs/>
        </w:rPr>
        <w:t>C.P.A.C.A. dispuso los siguientes términos para presentar la demanda, en ejercicio del medio de control de controversias contractuales,</w:t>
      </w:r>
      <w:r w:rsidRPr="00415AD8">
        <w:rPr>
          <w:rFonts w:cs="Arial"/>
          <w:b/>
          <w:bCs/>
          <w:color w:val="BE9E55"/>
        </w:rPr>
        <w:t xml:space="preserve"> </w:t>
      </w:r>
      <w:r w:rsidRPr="00415AD8">
        <w:rPr>
          <w:rFonts w:cs="Arial"/>
          <w:bCs/>
          <w:i/>
        </w:rPr>
        <w:t>“</w:t>
      </w:r>
      <w:r w:rsidRPr="00415AD8">
        <w:rPr>
          <w:rFonts w:cs="Arial"/>
          <w:i/>
        </w:rPr>
        <w:t>so pena de que opere la caducidad”:</w:t>
      </w:r>
    </w:p>
    <w:p w:rsidR="00F43EB7" w:rsidRPr="00415AD8" w:rsidRDefault="00F43EB7" w:rsidP="00415AD8">
      <w:pPr>
        <w:pStyle w:val="NormalWeb"/>
        <w:spacing w:before="0" w:beforeAutospacing="0" w:after="0" w:afterAutospacing="0" w:line="276" w:lineRule="auto"/>
        <w:rPr>
          <w:rFonts w:cs="Arial"/>
          <w:i/>
        </w:rPr>
      </w:pPr>
      <w:r w:rsidRPr="00415AD8">
        <w:rPr>
          <w:rFonts w:cs="Arial"/>
          <w:i/>
        </w:rPr>
        <w:lastRenderedPageBreak/>
        <w:t>“j) En las relativas a contratos el término para demandar será de dos (2) años que se contarán a partir del día siguiente a la ocurrencia de los motivos de hecho o de derecho que les sirvan de fundamento”.</w:t>
      </w:r>
    </w:p>
    <w:p w:rsidR="00F43EB7" w:rsidRPr="00415AD8" w:rsidRDefault="00F43EB7" w:rsidP="00415AD8">
      <w:pPr>
        <w:tabs>
          <w:tab w:val="left" w:pos="7797"/>
        </w:tabs>
        <w:rPr>
          <w:rFonts w:cs="Arial"/>
          <w:lang w:val="es-MX"/>
        </w:rPr>
      </w:pPr>
      <w:r w:rsidRPr="00415AD8">
        <w:rPr>
          <w:rFonts w:cs="Arial"/>
          <w:lang w:val="es-MX"/>
        </w:rPr>
        <w:t xml:space="preserve">En el caso concreto se observa que </w:t>
      </w:r>
      <w:r w:rsidR="0065567D" w:rsidRPr="00415AD8">
        <w:rPr>
          <w:rFonts w:cs="Arial"/>
          <w:lang w:val="es-MX"/>
        </w:rPr>
        <w:t xml:space="preserve">Seguros Colpatria S.A. demandó la nulidad de </w:t>
      </w:r>
      <w:r w:rsidRPr="00415AD8">
        <w:rPr>
          <w:rFonts w:cs="Arial"/>
          <w:lang w:val="es-MX"/>
        </w:rPr>
        <w:t>la Resolución 05641 de 15 de diciembre de 2011</w:t>
      </w:r>
      <w:r w:rsidR="0065567D" w:rsidRPr="00415AD8">
        <w:rPr>
          <w:rFonts w:cs="Arial"/>
          <w:lang w:val="es-MX"/>
        </w:rPr>
        <w:t xml:space="preserve"> y de su </w:t>
      </w:r>
      <w:r w:rsidRPr="00415AD8">
        <w:rPr>
          <w:rFonts w:cs="Arial"/>
          <w:lang w:val="es-MX"/>
        </w:rPr>
        <w:t>confirma</w:t>
      </w:r>
      <w:r w:rsidR="0065567D" w:rsidRPr="00415AD8">
        <w:rPr>
          <w:rFonts w:cs="Arial"/>
          <w:lang w:val="es-MX"/>
        </w:rPr>
        <w:t xml:space="preserve">toria </w:t>
      </w:r>
      <w:r w:rsidRPr="00415AD8">
        <w:rPr>
          <w:rFonts w:cs="Arial"/>
          <w:lang w:val="es-MX"/>
        </w:rPr>
        <w:t>parcial</w:t>
      </w:r>
      <w:r w:rsidRPr="00415AD8">
        <w:rPr>
          <w:rStyle w:val="Refdenotaalpie"/>
          <w:rFonts w:cs="Arial"/>
          <w:lang w:val="es-MX"/>
        </w:rPr>
        <w:footnoteReference w:id="15"/>
      </w:r>
      <w:r w:rsidR="0065567D" w:rsidRPr="00415AD8">
        <w:rPr>
          <w:rFonts w:cs="Arial"/>
          <w:lang w:val="es-MX"/>
        </w:rPr>
        <w:t>,</w:t>
      </w:r>
      <w:r w:rsidRPr="00415AD8">
        <w:rPr>
          <w:rFonts w:cs="Arial"/>
          <w:lang w:val="es-MX"/>
        </w:rPr>
        <w:t xml:space="preserve"> </w:t>
      </w:r>
      <w:r w:rsidR="0065567D" w:rsidRPr="00415AD8">
        <w:rPr>
          <w:rFonts w:cs="Arial"/>
          <w:lang w:val="es-MX"/>
        </w:rPr>
        <w:t>-</w:t>
      </w:r>
      <w:r w:rsidRPr="00415AD8">
        <w:rPr>
          <w:rFonts w:cs="Arial"/>
          <w:lang w:val="es-MX"/>
        </w:rPr>
        <w:t xml:space="preserve">modificada en el monto de las multas-, </w:t>
      </w:r>
      <w:r w:rsidR="0065567D" w:rsidRPr="00415AD8">
        <w:rPr>
          <w:rFonts w:cs="Arial"/>
          <w:lang w:val="es-MX"/>
        </w:rPr>
        <w:t xml:space="preserve">contenida en la </w:t>
      </w:r>
      <w:r w:rsidRPr="00415AD8">
        <w:rPr>
          <w:rFonts w:cs="Arial"/>
          <w:lang w:val="es-MX"/>
        </w:rPr>
        <w:t>Resolución 00129 de 19 de enero de 2012. Esta última resolución se notificó en estrados a Seguros Colpatria S.A., en la misma fecha</w:t>
      </w:r>
      <w:r w:rsidR="0065567D" w:rsidRPr="00415AD8">
        <w:rPr>
          <w:rFonts w:cs="Arial"/>
          <w:lang w:val="es-MX"/>
        </w:rPr>
        <w:t xml:space="preserve"> citada</w:t>
      </w:r>
      <w:r w:rsidRPr="00415AD8">
        <w:rPr>
          <w:rFonts w:cs="Arial"/>
          <w:lang w:val="es-MX"/>
        </w:rPr>
        <w:t>.</w:t>
      </w:r>
    </w:p>
    <w:p w:rsidR="00F43EB7" w:rsidRPr="00415AD8" w:rsidRDefault="00F43EB7" w:rsidP="00415AD8">
      <w:pPr>
        <w:tabs>
          <w:tab w:val="left" w:pos="7797"/>
        </w:tabs>
        <w:rPr>
          <w:rFonts w:cs="Arial"/>
          <w:lang w:val="es-MX"/>
        </w:rPr>
      </w:pPr>
    </w:p>
    <w:p w:rsidR="000D33FF" w:rsidRPr="00415AD8" w:rsidRDefault="00F43EB7" w:rsidP="00415AD8">
      <w:pPr>
        <w:tabs>
          <w:tab w:val="left" w:pos="7797"/>
        </w:tabs>
        <w:rPr>
          <w:rFonts w:cs="Arial"/>
          <w:lang w:val="es-MX"/>
        </w:rPr>
      </w:pPr>
      <w:r w:rsidRPr="00415AD8">
        <w:rPr>
          <w:rFonts w:cs="Arial"/>
          <w:lang w:val="es-MX"/>
        </w:rPr>
        <w:t>Así las cosas, teniendo en cuenta que la demanda se presentó el 26 de noviembre de 2013, dentro del término de dos años a que se refiere el artículo 164 del C.P.A.C.A., contado a partir de la notificación de</w:t>
      </w:r>
      <w:r w:rsidR="00F26189" w:rsidRPr="00415AD8">
        <w:rPr>
          <w:rFonts w:cs="Arial"/>
          <w:lang w:val="es-MX"/>
        </w:rPr>
        <w:t xml:space="preserve"> </w:t>
      </w:r>
      <w:r w:rsidR="000D33FF" w:rsidRPr="00415AD8">
        <w:rPr>
          <w:rFonts w:cs="Arial"/>
          <w:lang w:val="es-MX"/>
        </w:rPr>
        <w:t xml:space="preserve">la resolución </w:t>
      </w:r>
      <w:r w:rsidRPr="00415AD8">
        <w:rPr>
          <w:rFonts w:cs="Arial"/>
          <w:lang w:val="es-MX"/>
        </w:rPr>
        <w:t>que resolvió el recurso de reposición</w:t>
      </w:r>
      <w:r w:rsidR="000D33FF" w:rsidRPr="00415AD8">
        <w:rPr>
          <w:rFonts w:cs="Arial"/>
          <w:lang w:val="es-MX"/>
        </w:rPr>
        <w:t xml:space="preserve"> reafirmando la declaratoria del siniestro contra la compañía de seguros ahora demandante, </w:t>
      </w:r>
      <w:r w:rsidRPr="00415AD8">
        <w:rPr>
          <w:rFonts w:cs="Arial"/>
          <w:lang w:val="es-MX"/>
        </w:rPr>
        <w:t xml:space="preserve">se concluye que la demanda se presentó en tiempo. </w:t>
      </w:r>
    </w:p>
    <w:p w:rsidR="000D33FF" w:rsidRPr="00415AD8" w:rsidRDefault="000D33FF" w:rsidP="00415AD8">
      <w:pPr>
        <w:tabs>
          <w:tab w:val="left" w:pos="7797"/>
        </w:tabs>
        <w:rPr>
          <w:rFonts w:cs="Arial"/>
          <w:lang w:val="es-MX"/>
        </w:rPr>
      </w:pPr>
    </w:p>
    <w:p w:rsidR="00F43EB7" w:rsidRPr="00415AD8" w:rsidRDefault="00F43EB7" w:rsidP="00415AD8">
      <w:pPr>
        <w:tabs>
          <w:tab w:val="left" w:pos="7797"/>
        </w:tabs>
        <w:rPr>
          <w:rFonts w:cs="Arial"/>
          <w:lang w:val="es-MX"/>
        </w:rPr>
      </w:pPr>
      <w:r w:rsidRPr="00415AD8">
        <w:rPr>
          <w:rFonts w:cs="Arial"/>
          <w:lang w:val="es-MX"/>
        </w:rPr>
        <w:t>Es decir, no operó la caducidad del medio de control</w:t>
      </w:r>
      <w:r w:rsidR="000D33FF" w:rsidRPr="00415AD8">
        <w:rPr>
          <w:rFonts w:cs="Arial"/>
          <w:lang w:val="es-MX"/>
        </w:rPr>
        <w:t xml:space="preserve"> y, por tanto, se encuentra verificado el presupuesto procesal de la oportunidad de la demanda. </w:t>
      </w:r>
    </w:p>
    <w:p w:rsidR="00F43EB7" w:rsidRPr="00415AD8" w:rsidRDefault="00F43EB7" w:rsidP="00415AD8">
      <w:pPr>
        <w:tabs>
          <w:tab w:val="left" w:pos="7797"/>
        </w:tabs>
        <w:rPr>
          <w:rFonts w:cs="Arial"/>
          <w:lang w:val="es-MX"/>
        </w:rPr>
      </w:pPr>
    </w:p>
    <w:p w:rsidR="00F43EB7" w:rsidRPr="00415AD8" w:rsidRDefault="00F43EB7" w:rsidP="00415AD8">
      <w:pPr>
        <w:tabs>
          <w:tab w:val="left" w:pos="7797"/>
        </w:tabs>
        <w:rPr>
          <w:rFonts w:cs="Arial"/>
          <w:lang w:val="es-MX"/>
        </w:rPr>
      </w:pPr>
      <w:r w:rsidRPr="00415AD8">
        <w:rPr>
          <w:rFonts w:cs="Arial"/>
          <w:lang w:val="es-MX"/>
        </w:rPr>
        <w:t xml:space="preserve">Por último, se anota que los actos acusados tienen carácter contractual en cuanto se refieren al incumplimiento del Contrato 082 de 2007, a la ocurrencia del siniestro por incumplimiento y a la reclamación pertinente </w:t>
      </w:r>
      <w:r w:rsidR="000E3937" w:rsidRPr="00415AD8">
        <w:rPr>
          <w:rFonts w:cs="Arial"/>
          <w:lang w:val="es-MX"/>
        </w:rPr>
        <w:t xml:space="preserve">ordenada por el Ministerio de Transporte </w:t>
      </w:r>
      <w:r w:rsidRPr="00415AD8">
        <w:rPr>
          <w:rFonts w:cs="Arial"/>
          <w:lang w:val="es-MX"/>
        </w:rPr>
        <w:t xml:space="preserve">a Seguros Colpatria S.A., que obró como garante de las respectivas obligaciones contractuales. </w:t>
      </w:r>
    </w:p>
    <w:p w:rsidR="00F43EB7" w:rsidRPr="00415AD8" w:rsidRDefault="00F43EB7" w:rsidP="00415AD8">
      <w:pPr>
        <w:tabs>
          <w:tab w:val="left" w:pos="7797"/>
        </w:tabs>
        <w:rPr>
          <w:rFonts w:cs="Arial"/>
          <w:lang w:val="es-MX"/>
        </w:rPr>
      </w:pPr>
    </w:p>
    <w:p w:rsidR="001451E7" w:rsidRPr="00415AD8" w:rsidRDefault="00F43EB7" w:rsidP="00415AD8">
      <w:pPr>
        <w:pStyle w:val="Textoindependiente"/>
        <w:widowControl w:val="0"/>
        <w:rPr>
          <w:rFonts w:cs="Arial"/>
          <w:b/>
          <w:szCs w:val="24"/>
        </w:rPr>
      </w:pPr>
      <w:r w:rsidRPr="00415AD8">
        <w:rPr>
          <w:rFonts w:cs="Arial"/>
          <w:b/>
          <w:szCs w:val="24"/>
        </w:rPr>
        <w:t>3</w:t>
      </w:r>
      <w:r w:rsidR="001451E7" w:rsidRPr="00415AD8">
        <w:rPr>
          <w:rFonts w:cs="Arial"/>
          <w:b/>
          <w:szCs w:val="24"/>
        </w:rPr>
        <w:t>. Legitimación activa</w:t>
      </w:r>
    </w:p>
    <w:p w:rsidR="001451E7" w:rsidRPr="00415AD8" w:rsidRDefault="001451E7" w:rsidP="00415AD8">
      <w:pPr>
        <w:pStyle w:val="Textoindependiente"/>
        <w:widowControl w:val="0"/>
        <w:rPr>
          <w:rFonts w:cs="Arial"/>
          <w:szCs w:val="24"/>
        </w:rPr>
      </w:pPr>
    </w:p>
    <w:p w:rsidR="00F43EB7" w:rsidRPr="00415AD8" w:rsidRDefault="001451E7" w:rsidP="00415AD8">
      <w:pPr>
        <w:pStyle w:val="Textoindependiente"/>
        <w:widowControl w:val="0"/>
        <w:rPr>
          <w:rFonts w:cs="Arial"/>
          <w:szCs w:val="24"/>
        </w:rPr>
      </w:pPr>
      <w:r w:rsidRPr="00415AD8">
        <w:rPr>
          <w:rFonts w:cs="Arial"/>
          <w:szCs w:val="24"/>
        </w:rPr>
        <w:t xml:space="preserve">Acerca de la posición de la compañía aseguradora en los litigios relacionados con el contrato estatal, el Consejo de Estado ha observado que su intervención no es obligatoria y que la compañía aseguradora tiene derecho a comparecer al proceso contractual </w:t>
      </w:r>
      <w:r w:rsidRPr="00415AD8">
        <w:rPr>
          <w:rFonts w:cs="Arial"/>
          <w:i/>
          <w:szCs w:val="24"/>
        </w:rPr>
        <w:t xml:space="preserve">o a demandar por separado </w:t>
      </w:r>
      <w:r w:rsidRPr="00415AD8">
        <w:rPr>
          <w:rFonts w:cs="Arial"/>
          <w:szCs w:val="24"/>
        </w:rPr>
        <w:t xml:space="preserve">dentro del término legal de caducidad, </w:t>
      </w:r>
      <w:r w:rsidR="00173D88" w:rsidRPr="00415AD8">
        <w:rPr>
          <w:rFonts w:cs="Arial"/>
          <w:szCs w:val="24"/>
        </w:rPr>
        <w:t>dado que</w:t>
      </w:r>
      <w:r w:rsidR="00C635C9" w:rsidRPr="00415AD8">
        <w:rPr>
          <w:rFonts w:cs="Arial"/>
          <w:szCs w:val="24"/>
        </w:rPr>
        <w:t xml:space="preserve">, </w:t>
      </w:r>
      <w:r w:rsidR="00EF2725" w:rsidRPr="00415AD8">
        <w:rPr>
          <w:rFonts w:cs="Arial"/>
          <w:szCs w:val="24"/>
        </w:rPr>
        <w:t>como regla general,</w:t>
      </w:r>
      <w:r w:rsidRPr="00415AD8">
        <w:rPr>
          <w:rFonts w:cs="Arial"/>
          <w:szCs w:val="24"/>
        </w:rPr>
        <w:t xml:space="preserve"> no </w:t>
      </w:r>
      <w:r w:rsidR="00EF2725" w:rsidRPr="00415AD8">
        <w:rPr>
          <w:rFonts w:cs="Arial"/>
          <w:szCs w:val="24"/>
        </w:rPr>
        <w:t xml:space="preserve">tiene la condición </w:t>
      </w:r>
      <w:r w:rsidRPr="00415AD8">
        <w:rPr>
          <w:rFonts w:cs="Arial"/>
          <w:szCs w:val="24"/>
        </w:rPr>
        <w:t xml:space="preserve">de </w:t>
      </w:r>
      <w:r w:rsidRPr="00415AD8">
        <w:rPr>
          <w:rFonts w:cs="Arial"/>
          <w:i/>
          <w:szCs w:val="24"/>
        </w:rPr>
        <w:t>litis consorte necesario</w:t>
      </w:r>
      <w:r w:rsidRPr="00415AD8">
        <w:rPr>
          <w:rFonts w:cs="Arial"/>
          <w:szCs w:val="24"/>
        </w:rPr>
        <w:t xml:space="preserve">. </w:t>
      </w:r>
    </w:p>
    <w:p w:rsidR="00F43EB7" w:rsidRPr="00415AD8" w:rsidRDefault="00F43EB7" w:rsidP="00415AD8">
      <w:pPr>
        <w:pStyle w:val="Textoindependiente"/>
        <w:widowControl w:val="0"/>
        <w:rPr>
          <w:rFonts w:cs="Arial"/>
          <w:szCs w:val="24"/>
        </w:rPr>
      </w:pPr>
    </w:p>
    <w:p w:rsidR="001451E7" w:rsidRPr="00415AD8" w:rsidRDefault="001451E7" w:rsidP="00415AD8">
      <w:pPr>
        <w:pStyle w:val="Textoindependiente"/>
        <w:widowControl w:val="0"/>
        <w:rPr>
          <w:rFonts w:cs="Arial"/>
          <w:szCs w:val="24"/>
        </w:rPr>
      </w:pPr>
      <w:r w:rsidRPr="00415AD8">
        <w:rPr>
          <w:rFonts w:cs="Arial"/>
          <w:szCs w:val="24"/>
        </w:rPr>
        <w:t>Sobre el particular la Sección Tercera ha observado lo siguiente:</w:t>
      </w:r>
    </w:p>
    <w:p w:rsidR="001451E7" w:rsidRPr="00415AD8" w:rsidRDefault="001451E7" w:rsidP="00415AD8">
      <w:pPr>
        <w:rPr>
          <w:rFonts w:cs="Arial"/>
        </w:rPr>
      </w:pPr>
    </w:p>
    <w:p w:rsidR="001451E7" w:rsidRPr="00415AD8" w:rsidRDefault="001451E7" w:rsidP="00415AD8">
      <w:pPr>
        <w:tabs>
          <w:tab w:val="left" w:pos="7371"/>
        </w:tabs>
        <w:spacing w:line="276" w:lineRule="auto"/>
        <w:rPr>
          <w:rFonts w:cs="Arial"/>
          <w:i/>
        </w:rPr>
      </w:pPr>
      <w:r w:rsidRPr="00415AD8">
        <w:rPr>
          <w:rFonts w:cs="Arial"/>
          <w:i/>
        </w:rPr>
        <w:t xml:space="preserve">“En suma, es aplicable este tipo de litis consorcio a la cuestión analizada porque: </w:t>
      </w:r>
    </w:p>
    <w:p w:rsidR="001451E7" w:rsidRPr="00415AD8" w:rsidRDefault="001451E7" w:rsidP="00415AD8">
      <w:pPr>
        <w:tabs>
          <w:tab w:val="left" w:pos="7371"/>
        </w:tabs>
        <w:spacing w:line="276" w:lineRule="auto"/>
        <w:rPr>
          <w:rFonts w:cs="Arial"/>
          <w:i/>
        </w:rPr>
      </w:pPr>
    </w:p>
    <w:p w:rsidR="001451E7" w:rsidRPr="00415AD8" w:rsidRDefault="000E3937" w:rsidP="00415AD8">
      <w:pPr>
        <w:tabs>
          <w:tab w:val="left" w:pos="7371"/>
        </w:tabs>
        <w:spacing w:line="276" w:lineRule="auto"/>
        <w:rPr>
          <w:rFonts w:cs="Arial"/>
          <w:i/>
        </w:rPr>
      </w:pPr>
      <w:r w:rsidRPr="00415AD8">
        <w:rPr>
          <w:rFonts w:cs="Arial"/>
          <w:i/>
        </w:rPr>
        <w:lastRenderedPageBreak/>
        <w:t>“</w:t>
      </w:r>
      <w:r w:rsidR="001451E7" w:rsidRPr="00415AD8">
        <w:rPr>
          <w:rFonts w:cs="Arial"/>
          <w:i/>
        </w:rPr>
        <w:t xml:space="preserve">(i) Entre el asegurado contratista y la aseguradora existe una relación material sustancial originada en un contrato de seguro (vínculo jurídico) que los legitimaría para actuar como parte activa en el proceso; </w:t>
      </w:r>
    </w:p>
    <w:p w:rsidR="001451E7" w:rsidRPr="00415AD8" w:rsidRDefault="001451E7" w:rsidP="00415AD8">
      <w:pPr>
        <w:spacing w:line="276" w:lineRule="auto"/>
        <w:rPr>
          <w:rFonts w:cs="Arial"/>
          <w:i/>
        </w:rPr>
      </w:pPr>
    </w:p>
    <w:p w:rsidR="001451E7" w:rsidRPr="00415AD8" w:rsidRDefault="000E3937" w:rsidP="00415AD8">
      <w:pPr>
        <w:spacing w:line="276" w:lineRule="auto"/>
        <w:rPr>
          <w:rFonts w:cs="Arial"/>
          <w:i/>
        </w:rPr>
      </w:pPr>
      <w:r w:rsidRPr="00415AD8">
        <w:rPr>
          <w:rFonts w:cs="Arial"/>
          <w:i/>
        </w:rPr>
        <w:t>“</w:t>
      </w:r>
      <w:r w:rsidR="001451E7" w:rsidRPr="00415AD8">
        <w:rPr>
          <w:rFonts w:cs="Arial"/>
          <w:i/>
        </w:rPr>
        <w:t xml:space="preserve">(ii) Cuando cualquiera de los afectados, esto es aseguradora o el asegurado contratista demande el acto administrativo, </w:t>
      </w:r>
      <w:r w:rsidR="001451E7" w:rsidRPr="00415AD8">
        <w:rPr>
          <w:rFonts w:cs="Arial"/>
          <w:b/>
          <w:i/>
        </w:rPr>
        <w:t>el otro no tiene porqué ser citado al proceso, por cuanto está en su derecho de demandarlo o no hacerlo, no obstante lo cual de conformidad con el artículo 175 del Código Contencioso Administrativo, los efectos de la nulidad del acto declarada en la sentencia afectan a quien no decidió demandar por virtud de la fuerza de la cosa juzgada que le otorga la misma;</w:t>
      </w:r>
      <w:r w:rsidR="001451E7" w:rsidRPr="00415AD8">
        <w:rPr>
          <w:rFonts w:cs="Arial"/>
          <w:i/>
        </w:rPr>
        <w:t xml:space="preserve"> igualmente, la negativa de la nulidad tiene por efecto la cosa juzgada erga omnes, pero solo en relación con el vicio que fue objeto de juzgamiento, situación que le impide al otro afectado volver a solicitar el enjuiciamiento del acto por el mismo defecto.</w:t>
      </w:r>
    </w:p>
    <w:p w:rsidR="001451E7" w:rsidRPr="00415AD8" w:rsidRDefault="001451E7" w:rsidP="00415AD8">
      <w:pPr>
        <w:spacing w:line="276" w:lineRule="auto"/>
        <w:rPr>
          <w:rFonts w:cs="Arial"/>
          <w:i/>
        </w:rPr>
      </w:pPr>
    </w:p>
    <w:p w:rsidR="001451E7" w:rsidRPr="00415AD8" w:rsidRDefault="000E3937" w:rsidP="00415AD8">
      <w:pPr>
        <w:spacing w:line="276" w:lineRule="auto"/>
        <w:rPr>
          <w:rFonts w:cs="Arial"/>
          <w:i/>
        </w:rPr>
      </w:pPr>
      <w:r w:rsidRPr="00415AD8">
        <w:rPr>
          <w:rFonts w:cs="Arial"/>
          <w:i/>
        </w:rPr>
        <w:t>“</w:t>
      </w:r>
      <w:r w:rsidR="001451E7" w:rsidRPr="00415AD8">
        <w:rPr>
          <w:rFonts w:cs="Arial"/>
          <w:i/>
        </w:rPr>
        <w:t xml:space="preserve">(iii) Si bien la aseguradora o el asegurado contratista, según el caso, no requieren ser citados al proceso, pues basta que uno sólo de ellos demande, quien no lo haga puede concurrir e intervenir en el proceso en el estado en que se encuentre, antes de dictarse fallo de única o segunda instancia (art. </w:t>
      </w:r>
      <w:smartTag w:uri="urn:schemas-microsoft-com:office:smarttags" w:element="metricconverter">
        <w:smartTagPr>
          <w:attr w:name="ProductID" w:val="52 C"/>
        </w:smartTagPr>
        <w:r w:rsidR="001451E7" w:rsidRPr="00415AD8">
          <w:rPr>
            <w:rFonts w:cs="Arial"/>
            <w:i/>
          </w:rPr>
          <w:t>52 C</w:t>
        </w:r>
      </w:smartTag>
      <w:r w:rsidR="001451E7" w:rsidRPr="00415AD8">
        <w:rPr>
          <w:rFonts w:cs="Arial"/>
          <w:i/>
        </w:rPr>
        <w:t>.P.C), y con todas la prerrogativas de la parte activa siempre que respecto de ella no haya operado la caducidad para ventilar en sede judicial sus pretensiones, porque hay que recordar que al contrario de lo que sucede con la nulidad, los efectos del restablecimiento del derecho dispuestos en la sentencia sólo aprovechan a quien hubiere intervenido en el proceso y obtenido esta declaración a su favor, intervención que, por supuesto, debe hacerse antes de que se hubiese configurado dicho fenómeno procesal de la caducidad.</w:t>
      </w:r>
    </w:p>
    <w:p w:rsidR="001451E7" w:rsidRPr="00415AD8" w:rsidRDefault="001451E7" w:rsidP="00415AD8">
      <w:pPr>
        <w:spacing w:line="276" w:lineRule="auto"/>
        <w:rPr>
          <w:rFonts w:cs="Arial"/>
          <w:i/>
        </w:rPr>
      </w:pPr>
    </w:p>
    <w:p w:rsidR="001451E7" w:rsidRPr="00415AD8" w:rsidRDefault="000E3937" w:rsidP="00415AD8">
      <w:pPr>
        <w:spacing w:line="276" w:lineRule="auto"/>
        <w:rPr>
          <w:rFonts w:cs="Arial"/>
          <w:i/>
        </w:rPr>
      </w:pPr>
      <w:r w:rsidRPr="00415AD8">
        <w:rPr>
          <w:rFonts w:cs="Arial"/>
          <w:i/>
        </w:rPr>
        <w:t>“</w:t>
      </w:r>
      <w:r w:rsidR="001451E7" w:rsidRPr="00415AD8">
        <w:rPr>
          <w:rFonts w:cs="Arial"/>
          <w:i/>
        </w:rPr>
        <w:t xml:space="preserve">(iv.) Para dictar sentencia frente a la litis no se requiere la comparecencia de la compañía aseguradora y el asegurado contratista, pues es suficiente la concurrencia de cualquiera de ellos. </w:t>
      </w:r>
    </w:p>
    <w:p w:rsidR="001451E7" w:rsidRPr="00415AD8" w:rsidRDefault="001451E7" w:rsidP="00415AD8">
      <w:pPr>
        <w:spacing w:line="276" w:lineRule="auto"/>
        <w:rPr>
          <w:rFonts w:cs="Arial"/>
          <w:i/>
        </w:rPr>
      </w:pPr>
    </w:p>
    <w:p w:rsidR="001451E7" w:rsidRPr="00415AD8" w:rsidRDefault="000E3937" w:rsidP="00415AD8">
      <w:pPr>
        <w:spacing w:line="276" w:lineRule="auto"/>
        <w:rPr>
          <w:rFonts w:cs="Arial"/>
          <w:b/>
        </w:rPr>
      </w:pPr>
      <w:r w:rsidRPr="00415AD8">
        <w:rPr>
          <w:rFonts w:cs="Arial"/>
          <w:i/>
        </w:rPr>
        <w:t>“</w:t>
      </w:r>
      <w:r w:rsidR="001451E7" w:rsidRPr="00415AD8">
        <w:rPr>
          <w:rFonts w:cs="Arial"/>
          <w:i/>
        </w:rPr>
        <w:t>Dadas estas circunstancias, encuentra la Sala que no se configura nulidad procesal alegada por el Ministerio Público, por cuanto, en este evento se está en presencia de un litisconsorcio cuasinecesario o, en gracia de discusión, sobre la naturaleza de esta figura, en un litis consorcio facultativo.”</w:t>
      </w:r>
      <w:r w:rsidR="001451E7" w:rsidRPr="00415AD8">
        <w:rPr>
          <w:rStyle w:val="Refdenotaalpie"/>
          <w:rFonts w:cs="Arial"/>
          <w:i/>
        </w:rPr>
        <w:footnoteReference w:id="16"/>
      </w:r>
      <w:r w:rsidR="001451E7" w:rsidRPr="00415AD8">
        <w:rPr>
          <w:rFonts w:cs="Arial"/>
          <w:i/>
        </w:rPr>
        <w:t xml:space="preserve"> </w:t>
      </w:r>
      <w:r w:rsidR="001451E7" w:rsidRPr="00415AD8">
        <w:rPr>
          <w:rFonts w:cs="Arial"/>
        </w:rPr>
        <w:t>(</w:t>
      </w:r>
      <w:r w:rsidR="000359C7" w:rsidRPr="00415AD8">
        <w:rPr>
          <w:rFonts w:cs="Arial"/>
        </w:rPr>
        <w:t>l</w:t>
      </w:r>
      <w:r w:rsidR="001451E7" w:rsidRPr="00415AD8">
        <w:rPr>
          <w:rFonts w:cs="Arial"/>
        </w:rPr>
        <w:t>a negrilla no es del texto).</w:t>
      </w:r>
    </w:p>
    <w:p w:rsidR="001451E7" w:rsidRPr="00415AD8" w:rsidRDefault="001451E7" w:rsidP="00415AD8">
      <w:pPr>
        <w:pStyle w:val="Textoindependiente"/>
        <w:widowControl w:val="0"/>
        <w:spacing w:line="276" w:lineRule="auto"/>
        <w:rPr>
          <w:rFonts w:cs="Arial"/>
          <w:szCs w:val="24"/>
        </w:rPr>
      </w:pPr>
    </w:p>
    <w:p w:rsidR="00FE47EE" w:rsidRPr="00415AD8" w:rsidRDefault="00F43EB7" w:rsidP="00415AD8">
      <w:pPr>
        <w:pStyle w:val="Textoindependiente"/>
        <w:widowControl w:val="0"/>
        <w:rPr>
          <w:rFonts w:cs="Arial"/>
          <w:szCs w:val="24"/>
        </w:rPr>
      </w:pPr>
      <w:r w:rsidRPr="00415AD8">
        <w:rPr>
          <w:rFonts w:cs="Arial"/>
          <w:szCs w:val="24"/>
        </w:rPr>
        <w:t>A la luz de</w:t>
      </w:r>
      <w:r w:rsidR="009D236D" w:rsidRPr="00415AD8">
        <w:rPr>
          <w:rFonts w:cs="Arial"/>
          <w:szCs w:val="24"/>
        </w:rPr>
        <w:t>l artículo 141 del C.P.A.C.A.</w:t>
      </w:r>
      <w:r w:rsidR="007801F4" w:rsidRPr="00415AD8">
        <w:rPr>
          <w:rFonts w:cs="Arial"/>
          <w:szCs w:val="24"/>
        </w:rPr>
        <w:t>, en forma similar a lo que establecía el artículo 87 del C.C.A</w:t>
      </w:r>
      <w:r w:rsidR="000359C7" w:rsidRPr="00415AD8">
        <w:rPr>
          <w:rFonts w:cs="Arial"/>
          <w:szCs w:val="24"/>
        </w:rPr>
        <w:t xml:space="preserve">, </w:t>
      </w:r>
      <w:r w:rsidR="007801F4" w:rsidRPr="00415AD8">
        <w:rPr>
          <w:rFonts w:cs="Arial"/>
          <w:szCs w:val="24"/>
        </w:rPr>
        <w:t xml:space="preserve">se deber entender que la aseguradora garante es parte del </w:t>
      </w:r>
      <w:r w:rsidR="007801F4" w:rsidRPr="00415AD8">
        <w:rPr>
          <w:rFonts w:cs="Arial"/>
          <w:szCs w:val="24"/>
        </w:rPr>
        <w:lastRenderedPageBreak/>
        <w:t>contrato de seguro, en el cual la entidad estatal es beneficiari</w:t>
      </w:r>
      <w:r w:rsidR="00CF59C9" w:rsidRPr="00415AD8">
        <w:rPr>
          <w:rFonts w:cs="Arial"/>
          <w:szCs w:val="24"/>
        </w:rPr>
        <w:t>a</w:t>
      </w:r>
      <w:r w:rsidR="007801F4" w:rsidRPr="00415AD8">
        <w:rPr>
          <w:rFonts w:cs="Arial"/>
          <w:szCs w:val="24"/>
        </w:rPr>
        <w:t xml:space="preserve"> de la póliza de cumplimiento</w:t>
      </w:r>
      <w:r w:rsidR="000E3937" w:rsidRPr="00415AD8">
        <w:rPr>
          <w:rFonts w:cs="Arial"/>
          <w:szCs w:val="24"/>
        </w:rPr>
        <w:t xml:space="preserve"> correspondiente</w:t>
      </w:r>
      <w:r w:rsidR="007801F4" w:rsidRPr="00415AD8">
        <w:rPr>
          <w:rFonts w:cs="Arial"/>
          <w:szCs w:val="24"/>
        </w:rPr>
        <w:t xml:space="preserve">, </w:t>
      </w:r>
      <w:r w:rsidR="000E3937" w:rsidRPr="00415AD8">
        <w:rPr>
          <w:rFonts w:cs="Arial"/>
          <w:szCs w:val="24"/>
        </w:rPr>
        <w:t>lo que significa que</w:t>
      </w:r>
      <w:r w:rsidR="00CF59C9" w:rsidRPr="00415AD8">
        <w:rPr>
          <w:rFonts w:cs="Arial"/>
          <w:szCs w:val="24"/>
        </w:rPr>
        <w:t xml:space="preserve"> la compañía de seguros e</w:t>
      </w:r>
      <w:r w:rsidR="007C4A73" w:rsidRPr="00415AD8">
        <w:rPr>
          <w:rFonts w:cs="Arial"/>
          <w:szCs w:val="24"/>
        </w:rPr>
        <w:t>s</w:t>
      </w:r>
      <w:r w:rsidR="00CF59C9" w:rsidRPr="00415AD8">
        <w:rPr>
          <w:rFonts w:cs="Arial"/>
          <w:szCs w:val="24"/>
        </w:rPr>
        <w:t xml:space="preserve">tá </w:t>
      </w:r>
      <w:r w:rsidR="00FE47EE" w:rsidRPr="00415AD8">
        <w:rPr>
          <w:rFonts w:cs="Arial"/>
          <w:szCs w:val="24"/>
        </w:rPr>
        <w:t>legitimad</w:t>
      </w:r>
      <w:r w:rsidR="00CF59C9" w:rsidRPr="00415AD8">
        <w:rPr>
          <w:rFonts w:cs="Arial"/>
          <w:szCs w:val="24"/>
        </w:rPr>
        <w:t>a</w:t>
      </w:r>
      <w:r w:rsidR="00FE47EE" w:rsidRPr="00415AD8">
        <w:rPr>
          <w:rFonts w:cs="Arial"/>
          <w:szCs w:val="24"/>
        </w:rPr>
        <w:t xml:space="preserve"> por activa o por pasiva</w:t>
      </w:r>
      <w:r w:rsidR="000E3937" w:rsidRPr="00415AD8">
        <w:rPr>
          <w:rFonts w:cs="Arial"/>
          <w:szCs w:val="24"/>
        </w:rPr>
        <w:t xml:space="preserve">, según sea el caso, </w:t>
      </w:r>
      <w:r w:rsidR="00FE47EE" w:rsidRPr="00415AD8">
        <w:rPr>
          <w:rFonts w:cs="Arial"/>
          <w:szCs w:val="24"/>
        </w:rPr>
        <w:t xml:space="preserve">para hacerse parte en los litigios en los que se discute el </w:t>
      </w:r>
      <w:r w:rsidR="0080040D" w:rsidRPr="00415AD8">
        <w:rPr>
          <w:rFonts w:cs="Arial"/>
          <w:szCs w:val="24"/>
        </w:rPr>
        <w:t xml:space="preserve">siniestro por </w:t>
      </w:r>
      <w:r w:rsidR="00FE47EE" w:rsidRPr="00415AD8">
        <w:rPr>
          <w:rFonts w:cs="Arial"/>
          <w:szCs w:val="24"/>
        </w:rPr>
        <w:t xml:space="preserve">incumplimiento de las obligaciones </w:t>
      </w:r>
      <w:r w:rsidR="00952C23" w:rsidRPr="00415AD8">
        <w:rPr>
          <w:rFonts w:cs="Arial"/>
          <w:szCs w:val="24"/>
        </w:rPr>
        <w:t xml:space="preserve">contractuales </w:t>
      </w:r>
      <w:r w:rsidR="00FE47EE" w:rsidRPr="00415AD8">
        <w:rPr>
          <w:rFonts w:cs="Arial"/>
          <w:szCs w:val="24"/>
        </w:rPr>
        <w:t>garantizadas.</w:t>
      </w:r>
    </w:p>
    <w:p w:rsidR="00FE47EE" w:rsidRPr="00415AD8" w:rsidRDefault="00FE47EE" w:rsidP="00415AD8">
      <w:pPr>
        <w:pStyle w:val="Textoindependiente"/>
        <w:widowControl w:val="0"/>
        <w:rPr>
          <w:rFonts w:cs="Arial"/>
          <w:szCs w:val="24"/>
        </w:rPr>
      </w:pPr>
    </w:p>
    <w:p w:rsidR="00FE47EE" w:rsidRPr="00415AD8" w:rsidRDefault="00FE47EE" w:rsidP="00415AD8">
      <w:pPr>
        <w:pStyle w:val="Textoindependiente"/>
        <w:widowControl w:val="0"/>
        <w:rPr>
          <w:rFonts w:cs="Arial"/>
          <w:szCs w:val="24"/>
        </w:rPr>
      </w:pPr>
      <w:r w:rsidRPr="00415AD8">
        <w:rPr>
          <w:rFonts w:cs="Arial"/>
          <w:szCs w:val="24"/>
        </w:rPr>
        <w:t>De la misma forma, la compañía de seguros está legitimada por activa para demandar los actos administrativos mediante los cuales se declara la ocurrencia del siniestro y aquellos en que se ordena hacer efectiva la póliza de cumplimiento, toda vez que en esas d</w:t>
      </w:r>
      <w:r w:rsidR="00952C23" w:rsidRPr="00415AD8">
        <w:rPr>
          <w:rFonts w:cs="Arial"/>
          <w:szCs w:val="24"/>
        </w:rPr>
        <w:t>ecisiones</w:t>
      </w:r>
      <w:r w:rsidRPr="00415AD8">
        <w:rPr>
          <w:rFonts w:cs="Arial"/>
          <w:szCs w:val="24"/>
        </w:rPr>
        <w:t xml:space="preserve"> la </w:t>
      </w:r>
      <w:r w:rsidR="00952C23" w:rsidRPr="00415AD8">
        <w:rPr>
          <w:rFonts w:cs="Arial"/>
          <w:szCs w:val="24"/>
        </w:rPr>
        <w:t xml:space="preserve">aseguradora garante </w:t>
      </w:r>
      <w:r w:rsidRPr="00415AD8">
        <w:rPr>
          <w:rFonts w:cs="Arial"/>
          <w:szCs w:val="24"/>
        </w:rPr>
        <w:t>es la directamente afectada</w:t>
      </w:r>
      <w:r w:rsidR="00F26189" w:rsidRPr="00415AD8">
        <w:rPr>
          <w:rFonts w:cs="Arial"/>
          <w:szCs w:val="24"/>
        </w:rPr>
        <w:t>,</w:t>
      </w:r>
      <w:r w:rsidR="00952C23" w:rsidRPr="00415AD8">
        <w:rPr>
          <w:rFonts w:cs="Arial"/>
          <w:szCs w:val="24"/>
        </w:rPr>
        <w:t xml:space="preserve"> dado que puede ser compelida al pago del siniestro, con la fuerza obligatoria </w:t>
      </w:r>
      <w:r w:rsidR="00C2360E" w:rsidRPr="00415AD8">
        <w:rPr>
          <w:rFonts w:cs="Arial"/>
          <w:szCs w:val="24"/>
        </w:rPr>
        <w:t xml:space="preserve">y la presunción de legalidad </w:t>
      </w:r>
      <w:r w:rsidR="00952C23" w:rsidRPr="00415AD8">
        <w:rPr>
          <w:rFonts w:cs="Arial"/>
          <w:szCs w:val="24"/>
        </w:rPr>
        <w:t>de tales actos administra</w:t>
      </w:r>
      <w:r w:rsidR="00C2360E" w:rsidRPr="00415AD8">
        <w:rPr>
          <w:rFonts w:cs="Arial"/>
          <w:szCs w:val="24"/>
        </w:rPr>
        <w:t>t</w:t>
      </w:r>
      <w:r w:rsidR="00952C23" w:rsidRPr="00415AD8">
        <w:rPr>
          <w:rFonts w:cs="Arial"/>
          <w:szCs w:val="24"/>
        </w:rPr>
        <w:t>ivos</w:t>
      </w:r>
      <w:r w:rsidR="00C2360E" w:rsidRPr="00415AD8">
        <w:rPr>
          <w:rStyle w:val="Refdenotaalpie"/>
          <w:rFonts w:cs="Arial"/>
          <w:szCs w:val="24"/>
        </w:rPr>
        <w:footnoteReference w:id="17"/>
      </w:r>
      <w:r w:rsidRPr="00415AD8">
        <w:rPr>
          <w:rFonts w:cs="Arial"/>
          <w:szCs w:val="24"/>
        </w:rPr>
        <w:t>.</w:t>
      </w:r>
    </w:p>
    <w:p w:rsidR="00FE47EE" w:rsidRPr="00415AD8" w:rsidRDefault="00FE47EE" w:rsidP="00415AD8">
      <w:pPr>
        <w:pStyle w:val="Textoindependiente"/>
        <w:widowControl w:val="0"/>
        <w:rPr>
          <w:rFonts w:cs="Arial"/>
          <w:szCs w:val="24"/>
        </w:rPr>
      </w:pPr>
    </w:p>
    <w:p w:rsidR="00DB64B2" w:rsidRPr="00415AD8" w:rsidRDefault="00116B2E" w:rsidP="00415AD8">
      <w:pPr>
        <w:pStyle w:val="Textoindependiente"/>
        <w:widowControl w:val="0"/>
        <w:rPr>
          <w:rFonts w:cs="Arial"/>
          <w:szCs w:val="24"/>
        </w:rPr>
      </w:pPr>
      <w:r w:rsidRPr="00415AD8">
        <w:rPr>
          <w:rFonts w:cs="Arial"/>
          <w:szCs w:val="24"/>
        </w:rPr>
        <w:t>En relación con el medio de control contractual, c</w:t>
      </w:r>
      <w:r w:rsidR="005B076D" w:rsidRPr="00415AD8">
        <w:rPr>
          <w:rFonts w:cs="Arial"/>
          <w:szCs w:val="24"/>
        </w:rPr>
        <w:t xml:space="preserve">abe también mencionar la </w:t>
      </w:r>
      <w:r w:rsidR="00D93130" w:rsidRPr="00415AD8">
        <w:rPr>
          <w:rFonts w:cs="Arial"/>
          <w:szCs w:val="24"/>
        </w:rPr>
        <w:t xml:space="preserve">viabilidad de las </w:t>
      </w:r>
      <w:r w:rsidR="005B076D" w:rsidRPr="00415AD8">
        <w:rPr>
          <w:rFonts w:cs="Arial"/>
          <w:szCs w:val="24"/>
        </w:rPr>
        <w:t>hipótesis de la acumulación de proceso</w:t>
      </w:r>
      <w:r w:rsidR="007C4A73" w:rsidRPr="00415AD8">
        <w:rPr>
          <w:rFonts w:cs="Arial"/>
          <w:szCs w:val="24"/>
        </w:rPr>
        <w:t>s</w:t>
      </w:r>
      <w:r w:rsidR="005B076D" w:rsidRPr="00415AD8">
        <w:rPr>
          <w:rFonts w:cs="Arial"/>
          <w:szCs w:val="24"/>
        </w:rPr>
        <w:t xml:space="preserve"> y de demandas, frente a los supuestos del artículo 148 del C.G.P.</w:t>
      </w:r>
      <w:r w:rsidR="005B076D" w:rsidRPr="00415AD8">
        <w:rPr>
          <w:rStyle w:val="Refdenotaalpie"/>
          <w:rFonts w:cs="Arial"/>
          <w:szCs w:val="24"/>
        </w:rPr>
        <w:footnoteReference w:id="18"/>
      </w:r>
      <w:r w:rsidR="0080040D" w:rsidRPr="00415AD8">
        <w:rPr>
          <w:rFonts w:cs="Arial"/>
          <w:szCs w:val="24"/>
        </w:rPr>
        <w:t xml:space="preserve">. Sin embargo, tales figuras no fueron </w:t>
      </w:r>
      <w:r w:rsidR="0080040D" w:rsidRPr="00415AD8">
        <w:rPr>
          <w:rFonts w:cs="Arial"/>
          <w:szCs w:val="24"/>
        </w:rPr>
        <w:lastRenderedPageBreak/>
        <w:t>invocadas en el presente proceso.</w:t>
      </w:r>
    </w:p>
    <w:p w:rsidR="00DB64B2" w:rsidRPr="00415AD8" w:rsidRDefault="00DB64B2" w:rsidP="00415AD8">
      <w:pPr>
        <w:pStyle w:val="Textoindependiente"/>
        <w:widowControl w:val="0"/>
        <w:rPr>
          <w:rFonts w:cs="Arial"/>
          <w:b/>
          <w:szCs w:val="24"/>
        </w:rPr>
      </w:pPr>
    </w:p>
    <w:p w:rsidR="00444C14" w:rsidRPr="00415AD8" w:rsidRDefault="00DB64B2" w:rsidP="00415AD8">
      <w:pPr>
        <w:pStyle w:val="Textoindependiente"/>
        <w:widowControl w:val="0"/>
        <w:rPr>
          <w:rFonts w:cs="Arial"/>
          <w:szCs w:val="24"/>
        </w:rPr>
      </w:pPr>
      <w:r w:rsidRPr="00415AD8">
        <w:rPr>
          <w:rFonts w:cs="Arial"/>
          <w:szCs w:val="24"/>
        </w:rPr>
        <w:t xml:space="preserve">Como consecuencia, </w:t>
      </w:r>
      <w:r w:rsidR="0080040D" w:rsidRPr="00415AD8">
        <w:rPr>
          <w:rFonts w:cs="Arial"/>
          <w:szCs w:val="24"/>
        </w:rPr>
        <w:t>en el asunto li</w:t>
      </w:r>
      <w:r w:rsidR="00444C14" w:rsidRPr="00415AD8">
        <w:rPr>
          <w:rFonts w:cs="Arial"/>
          <w:szCs w:val="24"/>
        </w:rPr>
        <w:t>tigioso que ahora se debate</w:t>
      </w:r>
      <w:r w:rsidRPr="00415AD8">
        <w:rPr>
          <w:rFonts w:cs="Arial"/>
          <w:szCs w:val="24"/>
        </w:rPr>
        <w:t>, es evidente la legitimación activa de Seguros Colpatria S.A. para demandar las resoluciones mediante las cuales se declaró el siniestro por incumplimiento</w:t>
      </w:r>
      <w:r w:rsidR="00882EC2" w:rsidRPr="00415AD8">
        <w:rPr>
          <w:rFonts w:cs="Arial"/>
          <w:szCs w:val="24"/>
        </w:rPr>
        <w:t xml:space="preserve"> del </w:t>
      </w:r>
      <w:r w:rsidR="000359C7" w:rsidRPr="00415AD8">
        <w:rPr>
          <w:rFonts w:cs="Arial"/>
          <w:szCs w:val="24"/>
        </w:rPr>
        <w:t>C</w:t>
      </w:r>
      <w:r w:rsidR="00882EC2" w:rsidRPr="00415AD8">
        <w:rPr>
          <w:rFonts w:cs="Arial"/>
          <w:szCs w:val="24"/>
        </w:rPr>
        <w:t>ontrato 082 de 2007</w:t>
      </w:r>
      <w:r w:rsidR="00D93130" w:rsidRPr="00415AD8">
        <w:rPr>
          <w:rFonts w:cs="Arial"/>
          <w:szCs w:val="24"/>
        </w:rPr>
        <w:t xml:space="preserve">. Se reafirma lo anterior teniendo en cuenta que </w:t>
      </w:r>
      <w:r w:rsidR="00444C14" w:rsidRPr="00415AD8">
        <w:rPr>
          <w:rFonts w:cs="Arial"/>
          <w:szCs w:val="24"/>
        </w:rPr>
        <w:t xml:space="preserve">en </w:t>
      </w:r>
      <w:r w:rsidR="00D93130" w:rsidRPr="00415AD8">
        <w:rPr>
          <w:rFonts w:cs="Arial"/>
          <w:szCs w:val="24"/>
        </w:rPr>
        <w:t>los actos administrativos acusados</w:t>
      </w:r>
      <w:r w:rsidR="007548F3" w:rsidRPr="00415AD8">
        <w:rPr>
          <w:rFonts w:cs="Arial"/>
          <w:szCs w:val="24"/>
        </w:rPr>
        <w:t xml:space="preserve">, además de declarar el siniestro, el Ministerio de Transporte </w:t>
      </w:r>
      <w:r w:rsidR="00882EC2" w:rsidRPr="00415AD8">
        <w:rPr>
          <w:rFonts w:cs="Arial"/>
          <w:szCs w:val="24"/>
        </w:rPr>
        <w:t xml:space="preserve">ordenó </w:t>
      </w:r>
      <w:r w:rsidR="00882EC2" w:rsidRPr="00415AD8">
        <w:rPr>
          <w:rFonts w:cs="Arial"/>
          <w:i/>
          <w:szCs w:val="24"/>
        </w:rPr>
        <w:t>“efectuar la reclamación pertinente a Seguros Colpatria S.A.</w:t>
      </w:r>
      <w:r w:rsidR="00B83F0A" w:rsidRPr="00415AD8">
        <w:rPr>
          <w:rFonts w:cs="Arial"/>
          <w:i/>
          <w:szCs w:val="24"/>
        </w:rPr>
        <w:t>”</w:t>
      </w:r>
      <w:r w:rsidR="00B83F0A" w:rsidRPr="00415AD8">
        <w:rPr>
          <w:rFonts w:cs="Arial"/>
          <w:szCs w:val="24"/>
        </w:rPr>
        <w:t xml:space="preserve">, de las sumas indicadas en los respectivos actos, </w:t>
      </w:r>
      <w:r w:rsidR="00B83F0A" w:rsidRPr="00415AD8">
        <w:rPr>
          <w:rFonts w:cs="Arial"/>
          <w:i/>
          <w:szCs w:val="24"/>
        </w:rPr>
        <w:t>“deducid</w:t>
      </w:r>
      <w:r w:rsidR="007548F3" w:rsidRPr="00415AD8">
        <w:rPr>
          <w:rFonts w:cs="Arial"/>
          <w:i/>
          <w:szCs w:val="24"/>
        </w:rPr>
        <w:t>o</w:t>
      </w:r>
      <w:r w:rsidR="00B83F0A" w:rsidRPr="00415AD8">
        <w:rPr>
          <w:rFonts w:cs="Arial"/>
          <w:i/>
          <w:szCs w:val="24"/>
        </w:rPr>
        <w:t xml:space="preserve"> el valor que haya compensado el Ministerio</w:t>
      </w:r>
      <w:r w:rsidR="007548F3" w:rsidRPr="00415AD8">
        <w:rPr>
          <w:rFonts w:cs="Arial"/>
          <w:i/>
          <w:szCs w:val="24"/>
        </w:rPr>
        <w:t>”,</w:t>
      </w:r>
      <w:r w:rsidR="00B83F0A" w:rsidRPr="00415AD8">
        <w:rPr>
          <w:rFonts w:cs="Arial"/>
          <w:i/>
          <w:szCs w:val="24"/>
        </w:rPr>
        <w:t xml:space="preserve"> </w:t>
      </w:r>
      <w:r w:rsidR="00B83F0A" w:rsidRPr="00415AD8">
        <w:rPr>
          <w:rFonts w:cs="Arial"/>
          <w:szCs w:val="24"/>
        </w:rPr>
        <w:t xml:space="preserve">en aplicación de lo dispuesto </w:t>
      </w:r>
      <w:r w:rsidR="00444C14" w:rsidRPr="00415AD8">
        <w:rPr>
          <w:rFonts w:cs="Arial"/>
          <w:szCs w:val="24"/>
        </w:rPr>
        <w:t xml:space="preserve">en </w:t>
      </w:r>
      <w:r w:rsidR="007548F3" w:rsidRPr="00415AD8">
        <w:rPr>
          <w:rFonts w:cs="Arial"/>
          <w:szCs w:val="24"/>
        </w:rPr>
        <w:t>los mismos</w:t>
      </w:r>
      <w:r w:rsidR="00444C14" w:rsidRPr="00415AD8">
        <w:rPr>
          <w:rFonts w:cs="Arial"/>
          <w:szCs w:val="24"/>
        </w:rPr>
        <w:t xml:space="preserve">. </w:t>
      </w:r>
    </w:p>
    <w:p w:rsidR="00444C14" w:rsidRPr="00415AD8" w:rsidRDefault="00444C14" w:rsidP="00415AD8">
      <w:pPr>
        <w:pStyle w:val="Textoindependiente"/>
        <w:widowControl w:val="0"/>
        <w:rPr>
          <w:rFonts w:cs="Arial"/>
          <w:szCs w:val="24"/>
        </w:rPr>
      </w:pPr>
    </w:p>
    <w:p w:rsidR="007C4A73" w:rsidRPr="00415AD8" w:rsidRDefault="00444C14" w:rsidP="00415AD8">
      <w:pPr>
        <w:pStyle w:val="Textoindependiente"/>
        <w:widowControl w:val="0"/>
        <w:rPr>
          <w:rFonts w:cs="Arial"/>
          <w:szCs w:val="24"/>
        </w:rPr>
      </w:pPr>
      <w:r w:rsidRPr="00415AD8">
        <w:rPr>
          <w:rFonts w:cs="Arial"/>
          <w:szCs w:val="24"/>
        </w:rPr>
        <w:t>El anterior contenido indica que a través de las resoluciones cuya nulidad se demanda se declaró una situación jurídica con efectos directos sobre la compañía aseguradora garante</w:t>
      </w:r>
      <w:r w:rsidR="001F29E1" w:rsidRPr="00415AD8">
        <w:rPr>
          <w:rFonts w:cs="Arial"/>
          <w:szCs w:val="24"/>
        </w:rPr>
        <w:t>, lo cual conlleva el derecho autónomo de demandar los respectivos actos administrativos.</w:t>
      </w:r>
      <w:r w:rsidR="007548F3" w:rsidRPr="00415AD8">
        <w:rPr>
          <w:rFonts w:cs="Arial"/>
          <w:szCs w:val="24"/>
        </w:rPr>
        <w:t xml:space="preserve"> </w:t>
      </w:r>
    </w:p>
    <w:p w:rsidR="007C4A73" w:rsidRPr="00415AD8" w:rsidRDefault="007C4A73" w:rsidP="00415AD8">
      <w:pPr>
        <w:pStyle w:val="Textoindependiente"/>
        <w:widowControl w:val="0"/>
        <w:rPr>
          <w:rFonts w:cs="Arial"/>
          <w:szCs w:val="24"/>
        </w:rPr>
      </w:pPr>
    </w:p>
    <w:p w:rsidR="00200C8F" w:rsidRPr="00415AD8" w:rsidRDefault="007548F3" w:rsidP="00415AD8">
      <w:pPr>
        <w:pStyle w:val="Textoindependiente"/>
        <w:widowControl w:val="0"/>
        <w:rPr>
          <w:rFonts w:cs="Arial"/>
          <w:szCs w:val="24"/>
        </w:rPr>
      </w:pPr>
      <w:r w:rsidRPr="00415AD8">
        <w:rPr>
          <w:rFonts w:cs="Arial"/>
          <w:szCs w:val="24"/>
        </w:rPr>
        <w:t>Por otra parte, s</w:t>
      </w:r>
      <w:r w:rsidR="002A381A" w:rsidRPr="00415AD8">
        <w:rPr>
          <w:rFonts w:cs="Arial"/>
          <w:szCs w:val="24"/>
        </w:rPr>
        <w:t xml:space="preserve">e acepta </w:t>
      </w:r>
      <w:r w:rsidR="007C4A73" w:rsidRPr="00415AD8">
        <w:rPr>
          <w:rFonts w:cs="Arial"/>
          <w:szCs w:val="24"/>
        </w:rPr>
        <w:t xml:space="preserve">la pertinencia del proceso </w:t>
      </w:r>
      <w:r w:rsidRPr="00415AD8">
        <w:rPr>
          <w:rFonts w:cs="Arial"/>
          <w:szCs w:val="24"/>
        </w:rPr>
        <w:t xml:space="preserve">judicial iniciado de manera </w:t>
      </w:r>
      <w:r w:rsidR="007C4A73" w:rsidRPr="00415AD8">
        <w:rPr>
          <w:rFonts w:cs="Arial"/>
          <w:szCs w:val="24"/>
        </w:rPr>
        <w:t>separad</w:t>
      </w:r>
      <w:r w:rsidRPr="00415AD8">
        <w:rPr>
          <w:rFonts w:cs="Arial"/>
          <w:szCs w:val="24"/>
        </w:rPr>
        <w:t>a</w:t>
      </w:r>
      <w:r w:rsidR="007C4A73" w:rsidRPr="00415AD8">
        <w:rPr>
          <w:rFonts w:cs="Arial"/>
          <w:szCs w:val="24"/>
        </w:rPr>
        <w:t xml:space="preserve">, teniendo en cuenta que </w:t>
      </w:r>
      <w:r w:rsidR="002A381A" w:rsidRPr="00415AD8">
        <w:rPr>
          <w:rFonts w:cs="Arial"/>
          <w:szCs w:val="24"/>
        </w:rPr>
        <w:t xml:space="preserve">la compañía de seguros </w:t>
      </w:r>
      <w:r w:rsidR="007C4A73" w:rsidRPr="00415AD8">
        <w:rPr>
          <w:rFonts w:cs="Arial"/>
          <w:szCs w:val="24"/>
        </w:rPr>
        <w:t xml:space="preserve">acotó el fundamento de </w:t>
      </w:r>
      <w:r w:rsidR="002A381A" w:rsidRPr="00415AD8">
        <w:rPr>
          <w:rFonts w:cs="Arial"/>
          <w:szCs w:val="24"/>
        </w:rPr>
        <w:t xml:space="preserve">sus pretensiones al debido proceso en relación con </w:t>
      </w:r>
      <w:r w:rsidR="00CF59C9" w:rsidRPr="00415AD8">
        <w:rPr>
          <w:rFonts w:cs="Arial"/>
          <w:szCs w:val="24"/>
        </w:rPr>
        <w:t>su</w:t>
      </w:r>
      <w:r w:rsidR="002A381A" w:rsidRPr="00415AD8">
        <w:rPr>
          <w:rFonts w:cs="Arial"/>
          <w:szCs w:val="24"/>
        </w:rPr>
        <w:t xml:space="preserve"> citación </w:t>
      </w:r>
      <w:r w:rsidR="00CF59C9" w:rsidRPr="00415AD8">
        <w:rPr>
          <w:rFonts w:cs="Arial"/>
          <w:szCs w:val="24"/>
        </w:rPr>
        <w:t xml:space="preserve">como </w:t>
      </w:r>
      <w:r w:rsidR="002A381A" w:rsidRPr="00415AD8">
        <w:rPr>
          <w:rFonts w:cs="Arial"/>
          <w:szCs w:val="24"/>
        </w:rPr>
        <w:t xml:space="preserve">garante, sin debatir en esta </w:t>
      </w:r>
      <w:r w:rsidR="002A381A" w:rsidRPr="00415AD8">
        <w:rPr>
          <w:rFonts w:cs="Arial"/>
          <w:i/>
          <w:szCs w:val="24"/>
        </w:rPr>
        <w:t>litis</w:t>
      </w:r>
      <w:r w:rsidR="002A381A" w:rsidRPr="00415AD8">
        <w:rPr>
          <w:rFonts w:cs="Arial"/>
          <w:szCs w:val="24"/>
        </w:rPr>
        <w:t xml:space="preserve"> el debido proceso del contratista. </w:t>
      </w:r>
    </w:p>
    <w:p w:rsidR="00200C8F" w:rsidRPr="00415AD8" w:rsidRDefault="00200C8F" w:rsidP="00415AD8">
      <w:pPr>
        <w:pStyle w:val="Textoindependiente"/>
        <w:widowControl w:val="0"/>
        <w:rPr>
          <w:rFonts w:cs="Arial"/>
          <w:szCs w:val="24"/>
        </w:rPr>
      </w:pPr>
    </w:p>
    <w:p w:rsidR="00995E67" w:rsidRPr="00415AD8" w:rsidRDefault="007C4A73" w:rsidP="00415AD8">
      <w:pPr>
        <w:pStyle w:val="Textoindependiente"/>
        <w:widowControl w:val="0"/>
        <w:rPr>
          <w:rFonts w:cs="Arial"/>
          <w:szCs w:val="24"/>
        </w:rPr>
      </w:pPr>
      <w:r w:rsidRPr="00415AD8">
        <w:rPr>
          <w:rFonts w:cs="Arial"/>
          <w:szCs w:val="24"/>
        </w:rPr>
        <w:t xml:space="preserve">Por tanto, </w:t>
      </w:r>
      <w:r w:rsidR="00200C8F" w:rsidRPr="00415AD8">
        <w:rPr>
          <w:rFonts w:cs="Arial"/>
          <w:szCs w:val="24"/>
        </w:rPr>
        <w:t xml:space="preserve">de acuerdo con el contenido material de la demanda, se concluye que </w:t>
      </w:r>
      <w:r w:rsidR="00A93176" w:rsidRPr="00415AD8">
        <w:rPr>
          <w:rFonts w:cs="Arial"/>
          <w:szCs w:val="24"/>
        </w:rPr>
        <w:t>en el presente litigio solo se debate la nulidad parcial de las resoluciones acusadas, en cuanto a las decisiones que involucran a la aseguradora garante.</w:t>
      </w:r>
      <w:r w:rsidR="003F60D3" w:rsidRPr="00415AD8">
        <w:rPr>
          <w:rFonts w:cs="Arial"/>
          <w:szCs w:val="24"/>
        </w:rPr>
        <w:t xml:space="preserve"> </w:t>
      </w:r>
    </w:p>
    <w:p w:rsidR="00995E67" w:rsidRPr="00415AD8" w:rsidRDefault="00995E67" w:rsidP="00415AD8">
      <w:pPr>
        <w:pStyle w:val="Textoindependiente"/>
        <w:widowControl w:val="0"/>
        <w:rPr>
          <w:rFonts w:cs="Arial"/>
          <w:szCs w:val="24"/>
        </w:rPr>
      </w:pPr>
    </w:p>
    <w:p w:rsidR="00D74D1E" w:rsidRPr="00415AD8" w:rsidRDefault="00995E67" w:rsidP="00415AD8">
      <w:pPr>
        <w:pStyle w:val="Textoindependiente"/>
        <w:widowControl w:val="0"/>
        <w:rPr>
          <w:rFonts w:cs="Arial"/>
          <w:szCs w:val="24"/>
        </w:rPr>
      </w:pPr>
      <w:r w:rsidRPr="00415AD8">
        <w:rPr>
          <w:rFonts w:cs="Arial"/>
          <w:szCs w:val="24"/>
        </w:rPr>
        <w:t xml:space="preserve">De manera concreta </w:t>
      </w:r>
      <w:r w:rsidR="003F60D3" w:rsidRPr="00415AD8">
        <w:rPr>
          <w:rFonts w:cs="Arial"/>
          <w:szCs w:val="24"/>
        </w:rPr>
        <w:t xml:space="preserve">se advierte que no se discute </w:t>
      </w:r>
      <w:r w:rsidRPr="00415AD8">
        <w:rPr>
          <w:rFonts w:cs="Arial"/>
          <w:szCs w:val="24"/>
        </w:rPr>
        <w:t xml:space="preserve">en este proceso </w:t>
      </w:r>
      <w:r w:rsidR="003F60D3" w:rsidRPr="00415AD8">
        <w:rPr>
          <w:rFonts w:cs="Arial"/>
          <w:szCs w:val="24"/>
        </w:rPr>
        <w:t xml:space="preserve">la declaratoria de incumplimiento </w:t>
      </w:r>
      <w:r w:rsidRPr="00415AD8">
        <w:rPr>
          <w:rFonts w:cs="Arial"/>
          <w:szCs w:val="24"/>
        </w:rPr>
        <w:t>ni</w:t>
      </w:r>
      <w:r w:rsidR="003F60D3" w:rsidRPr="00415AD8">
        <w:rPr>
          <w:rFonts w:cs="Arial"/>
          <w:szCs w:val="24"/>
        </w:rPr>
        <w:t xml:space="preserve"> la competencia</w:t>
      </w:r>
      <w:r w:rsidRPr="00415AD8">
        <w:rPr>
          <w:rFonts w:cs="Arial"/>
          <w:szCs w:val="24"/>
        </w:rPr>
        <w:t xml:space="preserve"> para expedir los actos con ese contenido, teniendo en cuenta que en las resoluciones demandadas, en forma separada</w:t>
      </w:r>
      <w:r w:rsidR="00C915A5" w:rsidRPr="00415AD8">
        <w:rPr>
          <w:rFonts w:cs="Arial"/>
          <w:szCs w:val="24"/>
        </w:rPr>
        <w:t>,</w:t>
      </w:r>
      <w:r w:rsidRPr="00415AD8">
        <w:rPr>
          <w:rFonts w:cs="Arial"/>
          <w:szCs w:val="24"/>
        </w:rPr>
        <w:t xml:space="preserve"> se </w:t>
      </w:r>
      <w:r w:rsidRPr="00415AD8">
        <w:rPr>
          <w:rFonts w:cs="Arial"/>
          <w:szCs w:val="24"/>
        </w:rPr>
        <w:lastRenderedPageBreak/>
        <w:t>declaró el siniestro y se ordenó adelantar la reclamación</w:t>
      </w:r>
      <w:r w:rsidR="00D74D1E" w:rsidRPr="00415AD8">
        <w:rPr>
          <w:rFonts w:cs="Arial"/>
          <w:szCs w:val="24"/>
        </w:rPr>
        <w:t xml:space="preserve">, lo cual permite adelantar el estudio de los cargos de la apelación, con independencia de lo que se resuelva sobre la declaratoria de incumplimiento en proceso separado. </w:t>
      </w:r>
    </w:p>
    <w:p w:rsidR="00DB64B2" w:rsidRPr="00415AD8" w:rsidRDefault="00DB64B2" w:rsidP="00415AD8">
      <w:pPr>
        <w:pStyle w:val="Textoindependiente"/>
        <w:widowControl w:val="0"/>
        <w:rPr>
          <w:rFonts w:cs="Arial"/>
          <w:szCs w:val="24"/>
        </w:rPr>
      </w:pPr>
    </w:p>
    <w:p w:rsidR="00A26EA6" w:rsidRPr="00415AD8" w:rsidRDefault="001F29E1" w:rsidP="00415AD8">
      <w:pPr>
        <w:pStyle w:val="Textoindependiente"/>
        <w:widowControl w:val="0"/>
        <w:rPr>
          <w:rFonts w:cs="Arial"/>
          <w:szCs w:val="24"/>
        </w:rPr>
      </w:pPr>
      <w:r w:rsidRPr="00415AD8">
        <w:rPr>
          <w:rFonts w:cs="Arial"/>
          <w:szCs w:val="24"/>
        </w:rPr>
        <w:t xml:space="preserve">Finalmente, </w:t>
      </w:r>
      <w:r w:rsidR="00200C8F" w:rsidRPr="00415AD8">
        <w:rPr>
          <w:rFonts w:cs="Arial"/>
          <w:szCs w:val="24"/>
        </w:rPr>
        <w:t xml:space="preserve">teniendo en cuenta que </w:t>
      </w:r>
      <w:r w:rsidR="00B83F0A" w:rsidRPr="00415AD8">
        <w:rPr>
          <w:rFonts w:cs="Arial"/>
          <w:szCs w:val="24"/>
        </w:rPr>
        <w:t xml:space="preserve">la compañía de seguros </w:t>
      </w:r>
      <w:r w:rsidR="00200C8F" w:rsidRPr="00415AD8">
        <w:rPr>
          <w:rFonts w:cs="Arial"/>
          <w:szCs w:val="24"/>
        </w:rPr>
        <w:t xml:space="preserve">invocó en la demanda algunos </w:t>
      </w:r>
      <w:r w:rsidR="0009229B" w:rsidRPr="00415AD8">
        <w:rPr>
          <w:rFonts w:cs="Arial"/>
          <w:szCs w:val="24"/>
        </w:rPr>
        <w:t>argumentos relacionados con el incumplimiento del contratista, respecto de los cuales e</w:t>
      </w:r>
      <w:r w:rsidR="00200C8F" w:rsidRPr="00415AD8">
        <w:rPr>
          <w:rFonts w:cs="Arial"/>
          <w:szCs w:val="24"/>
        </w:rPr>
        <w:t xml:space="preserve">l </w:t>
      </w:r>
      <w:r w:rsidRPr="00415AD8">
        <w:rPr>
          <w:rFonts w:cs="Arial"/>
          <w:szCs w:val="24"/>
        </w:rPr>
        <w:t>T</w:t>
      </w:r>
      <w:r w:rsidR="00200C8F" w:rsidRPr="00415AD8">
        <w:rPr>
          <w:rFonts w:cs="Arial"/>
          <w:szCs w:val="24"/>
        </w:rPr>
        <w:t xml:space="preserve">ribunal a quo advirtió que se ventilaban en </w:t>
      </w:r>
      <w:r w:rsidR="003045C7" w:rsidRPr="00415AD8">
        <w:rPr>
          <w:rFonts w:cs="Arial"/>
          <w:szCs w:val="24"/>
        </w:rPr>
        <w:t xml:space="preserve">otro </w:t>
      </w:r>
      <w:r w:rsidR="00200C8F" w:rsidRPr="00415AD8">
        <w:rPr>
          <w:rFonts w:cs="Arial"/>
          <w:szCs w:val="24"/>
        </w:rPr>
        <w:t xml:space="preserve">proceso </w:t>
      </w:r>
      <w:r w:rsidR="002A381A" w:rsidRPr="00415AD8">
        <w:rPr>
          <w:rFonts w:cs="Arial"/>
          <w:szCs w:val="24"/>
        </w:rPr>
        <w:t>iniciado por demanda del contratista</w:t>
      </w:r>
      <w:r w:rsidR="00200C8F" w:rsidRPr="00415AD8">
        <w:rPr>
          <w:rFonts w:cs="Arial"/>
          <w:szCs w:val="24"/>
        </w:rPr>
        <w:t xml:space="preserve"> y </w:t>
      </w:r>
      <w:r w:rsidRPr="00415AD8">
        <w:rPr>
          <w:rFonts w:cs="Arial"/>
          <w:szCs w:val="24"/>
        </w:rPr>
        <w:t xml:space="preserve">que </w:t>
      </w:r>
      <w:r w:rsidR="002150CD" w:rsidRPr="00415AD8">
        <w:rPr>
          <w:rFonts w:cs="Arial"/>
          <w:szCs w:val="24"/>
        </w:rPr>
        <w:t>la demandante no presentó argumentos para impugnar dicha consideración</w:t>
      </w:r>
      <w:r w:rsidR="003045C7" w:rsidRPr="00415AD8">
        <w:rPr>
          <w:rFonts w:cs="Arial"/>
          <w:szCs w:val="24"/>
        </w:rPr>
        <w:t xml:space="preserve"> de la sentencia</w:t>
      </w:r>
      <w:r w:rsidR="002150CD" w:rsidRPr="00415AD8">
        <w:rPr>
          <w:rFonts w:cs="Arial"/>
          <w:szCs w:val="24"/>
        </w:rPr>
        <w:t xml:space="preserve">, </w:t>
      </w:r>
      <w:r w:rsidR="001C5239" w:rsidRPr="00415AD8">
        <w:rPr>
          <w:rFonts w:cs="Arial"/>
          <w:szCs w:val="24"/>
        </w:rPr>
        <w:t>s</w:t>
      </w:r>
      <w:r w:rsidR="002150CD" w:rsidRPr="00415AD8">
        <w:rPr>
          <w:rFonts w:cs="Arial"/>
          <w:szCs w:val="24"/>
        </w:rPr>
        <w:t xml:space="preserve">e concluye que </w:t>
      </w:r>
      <w:r w:rsidR="00200C8F" w:rsidRPr="00415AD8">
        <w:rPr>
          <w:rFonts w:cs="Arial"/>
          <w:szCs w:val="24"/>
        </w:rPr>
        <w:t xml:space="preserve">en la presente litis solo se resolverá sobre </w:t>
      </w:r>
      <w:r w:rsidR="00A26EA6" w:rsidRPr="00415AD8">
        <w:rPr>
          <w:rFonts w:cs="Arial"/>
          <w:szCs w:val="24"/>
        </w:rPr>
        <w:t xml:space="preserve">el debido proceso en relación con la </w:t>
      </w:r>
      <w:r w:rsidR="001C5239" w:rsidRPr="00415AD8">
        <w:rPr>
          <w:rFonts w:cs="Arial"/>
          <w:szCs w:val="24"/>
        </w:rPr>
        <w:t xml:space="preserve">compañía de seguros </w:t>
      </w:r>
      <w:r w:rsidR="00A26EA6" w:rsidRPr="00415AD8">
        <w:rPr>
          <w:rFonts w:cs="Arial"/>
          <w:szCs w:val="24"/>
        </w:rPr>
        <w:t xml:space="preserve">demandante, en cuanto a la </w:t>
      </w:r>
      <w:r w:rsidR="003045C7" w:rsidRPr="00415AD8">
        <w:rPr>
          <w:rFonts w:cs="Arial"/>
          <w:szCs w:val="24"/>
        </w:rPr>
        <w:t xml:space="preserve">pretendida nulidad de la </w:t>
      </w:r>
      <w:r w:rsidR="00A26EA6" w:rsidRPr="00415AD8">
        <w:rPr>
          <w:rFonts w:cs="Arial"/>
          <w:szCs w:val="24"/>
        </w:rPr>
        <w:t xml:space="preserve">declaración del siniestro y </w:t>
      </w:r>
      <w:r w:rsidR="003045C7" w:rsidRPr="00415AD8">
        <w:rPr>
          <w:rFonts w:cs="Arial"/>
          <w:szCs w:val="24"/>
        </w:rPr>
        <w:t xml:space="preserve">de </w:t>
      </w:r>
      <w:r w:rsidR="00A26EA6" w:rsidRPr="00415AD8">
        <w:rPr>
          <w:rFonts w:cs="Arial"/>
          <w:szCs w:val="24"/>
        </w:rPr>
        <w:t>la orden de reclamación de la póliza</w:t>
      </w:r>
      <w:r w:rsidR="001C5239" w:rsidRPr="00415AD8">
        <w:rPr>
          <w:rFonts w:cs="Arial"/>
          <w:szCs w:val="24"/>
        </w:rPr>
        <w:t xml:space="preserve"> de cumplimiento</w:t>
      </w:r>
      <w:r w:rsidR="00A26EA6" w:rsidRPr="00415AD8">
        <w:rPr>
          <w:rFonts w:cs="Arial"/>
          <w:szCs w:val="24"/>
        </w:rPr>
        <w:t xml:space="preserve">. </w:t>
      </w:r>
    </w:p>
    <w:p w:rsidR="00323206" w:rsidRPr="00415AD8" w:rsidRDefault="00323206" w:rsidP="00415AD8">
      <w:pPr>
        <w:pStyle w:val="Textoindependiente"/>
        <w:widowControl w:val="0"/>
        <w:rPr>
          <w:rFonts w:cs="Arial"/>
          <w:szCs w:val="24"/>
        </w:rPr>
      </w:pPr>
    </w:p>
    <w:p w:rsidR="001C5239" w:rsidRPr="00415AD8" w:rsidRDefault="00323206" w:rsidP="00415AD8">
      <w:pPr>
        <w:pStyle w:val="Textoindependiente"/>
        <w:widowControl w:val="0"/>
        <w:rPr>
          <w:rFonts w:cs="Arial"/>
          <w:b/>
          <w:szCs w:val="24"/>
        </w:rPr>
      </w:pPr>
      <w:r w:rsidRPr="00415AD8">
        <w:rPr>
          <w:rFonts w:cs="Arial"/>
          <w:b/>
          <w:szCs w:val="24"/>
        </w:rPr>
        <w:t xml:space="preserve">4. </w:t>
      </w:r>
      <w:r w:rsidR="001C5239" w:rsidRPr="00415AD8">
        <w:rPr>
          <w:rFonts w:cs="Arial"/>
          <w:b/>
          <w:szCs w:val="24"/>
        </w:rPr>
        <w:t>Ubicación normativa</w:t>
      </w:r>
      <w:r w:rsidRPr="00415AD8">
        <w:rPr>
          <w:rFonts w:cs="Arial"/>
          <w:b/>
          <w:szCs w:val="24"/>
        </w:rPr>
        <w:t xml:space="preserve"> del proceso sancionatorio </w:t>
      </w:r>
    </w:p>
    <w:p w:rsidR="00DB64B2" w:rsidRPr="00415AD8" w:rsidRDefault="001C5239" w:rsidP="00415AD8">
      <w:pPr>
        <w:pStyle w:val="Textoindependiente"/>
        <w:widowControl w:val="0"/>
        <w:rPr>
          <w:rFonts w:cs="Arial"/>
          <w:szCs w:val="24"/>
        </w:rPr>
      </w:pPr>
      <w:r w:rsidRPr="00415AD8">
        <w:rPr>
          <w:rFonts w:cs="Arial"/>
          <w:szCs w:val="24"/>
        </w:rPr>
        <w:t xml:space="preserve"> </w:t>
      </w:r>
    </w:p>
    <w:p w:rsidR="001C5239" w:rsidRPr="00415AD8" w:rsidRDefault="008332A0" w:rsidP="00415AD8">
      <w:pPr>
        <w:rPr>
          <w:rFonts w:cs="Arial"/>
        </w:rPr>
      </w:pPr>
      <w:r w:rsidRPr="00415AD8">
        <w:rPr>
          <w:rFonts w:cs="Arial"/>
        </w:rPr>
        <w:t>E</w:t>
      </w:r>
      <w:r w:rsidR="001C5239" w:rsidRPr="00415AD8">
        <w:rPr>
          <w:rFonts w:cs="Arial"/>
        </w:rPr>
        <w:t xml:space="preserve">n materia de garantías en la contratación estatal, el artículo 7 de la Ley 1150 de 2007 se refirió al acto administrativo que declara el siniestro, así: </w:t>
      </w:r>
    </w:p>
    <w:p w:rsidR="001C5239" w:rsidRPr="00415AD8" w:rsidRDefault="001C5239" w:rsidP="00415AD8">
      <w:pPr>
        <w:tabs>
          <w:tab w:val="left" w:pos="7938"/>
        </w:tabs>
        <w:spacing w:line="276" w:lineRule="auto"/>
        <w:rPr>
          <w:rFonts w:cs="Arial"/>
          <w:i/>
        </w:rPr>
      </w:pPr>
      <w:r w:rsidRPr="00415AD8">
        <w:rPr>
          <w:rFonts w:cs="Arial"/>
          <w:bCs/>
          <w:i/>
        </w:rPr>
        <w:t>“Artículo 7o. De las Garantías en la Contratación.</w:t>
      </w:r>
      <w:r w:rsidRPr="00415AD8">
        <w:rPr>
          <w:rFonts w:cs="Arial"/>
          <w:i/>
        </w:rPr>
        <w:t> Los contratistas prestarán garantía única para el cumplimiento de las obligaciones surgidas del contrato. Los proponentes prestarán garantía de seriedad de los ofrecimientos hechos.</w:t>
      </w:r>
    </w:p>
    <w:p w:rsidR="001C5239" w:rsidRPr="00415AD8" w:rsidRDefault="001C5239" w:rsidP="00415AD8">
      <w:pPr>
        <w:tabs>
          <w:tab w:val="left" w:pos="7938"/>
        </w:tabs>
        <w:spacing w:line="276" w:lineRule="auto"/>
        <w:rPr>
          <w:rFonts w:cs="Arial"/>
          <w:i/>
        </w:rPr>
      </w:pPr>
      <w:r w:rsidRPr="00415AD8">
        <w:rPr>
          <w:rFonts w:cs="Arial"/>
          <w:i/>
        </w:rPr>
        <w:t>“Las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w:t>
      </w:r>
    </w:p>
    <w:p w:rsidR="001C5239" w:rsidRPr="00415AD8" w:rsidRDefault="001C5239" w:rsidP="00415AD8">
      <w:pPr>
        <w:tabs>
          <w:tab w:val="left" w:pos="7938"/>
        </w:tabs>
        <w:spacing w:line="276" w:lineRule="auto"/>
        <w:rPr>
          <w:rFonts w:cs="Arial"/>
          <w:i/>
        </w:rPr>
      </w:pPr>
      <w:r w:rsidRPr="00415AD8">
        <w:rPr>
          <w:rFonts w:cs="Arial"/>
          <w:i/>
        </w:rPr>
        <w:t>“El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w:t>
      </w:r>
    </w:p>
    <w:p w:rsidR="001C5239" w:rsidRPr="00415AD8" w:rsidRDefault="001C5239" w:rsidP="00415AD8">
      <w:pPr>
        <w:tabs>
          <w:tab w:val="left" w:pos="7938"/>
        </w:tabs>
        <w:spacing w:line="276" w:lineRule="auto"/>
        <w:rPr>
          <w:rFonts w:cs="Arial"/>
          <w:i/>
        </w:rPr>
      </w:pPr>
      <w:r w:rsidRPr="00415AD8">
        <w:rPr>
          <w:rFonts w:cs="Arial"/>
          <w:i/>
        </w:rPr>
        <w:t>“</w:t>
      </w:r>
      <w:r w:rsidRPr="00415AD8">
        <w:rPr>
          <w:rFonts w:cs="Arial"/>
          <w:b/>
          <w:i/>
        </w:rPr>
        <w:t>El acaecimiento del siniestro que amparan las garantías será comunicado por la entidad pública al respectivo asegurador mediante la notificación del acto administrativo que así lo declare</w:t>
      </w:r>
      <w:r w:rsidRPr="00415AD8">
        <w:rPr>
          <w:rFonts w:cs="Arial"/>
          <w:i/>
        </w:rPr>
        <w:t>.</w:t>
      </w:r>
    </w:p>
    <w:p w:rsidR="001C5239" w:rsidRPr="00415AD8" w:rsidRDefault="001C5239" w:rsidP="00415AD8">
      <w:pPr>
        <w:tabs>
          <w:tab w:val="left" w:pos="7938"/>
        </w:tabs>
        <w:spacing w:line="276" w:lineRule="auto"/>
        <w:rPr>
          <w:rFonts w:cs="Arial"/>
          <w:i/>
        </w:rPr>
      </w:pPr>
      <w:r w:rsidRPr="00415AD8">
        <w:rPr>
          <w:rFonts w:cs="Arial"/>
          <w:i/>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rsidR="001C5239" w:rsidRPr="00415AD8" w:rsidRDefault="001C5239" w:rsidP="00415AD8">
      <w:pPr>
        <w:tabs>
          <w:tab w:val="left" w:pos="7938"/>
        </w:tabs>
        <w:spacing w:line="276" w:lineRule="auto"/>
        <w:rPr>
          <w:rFonts w:cs="Arial"/>
        </w:rPr>
      </w:pPr>
      <w:r w:rsidRPr="00415AD8">
        <w:rPr>
          <w:rFonts w:cs="Arial"/>
          <w:bCs/>
          <w:i/>
        </w:rPr>
        <w:t>“</w:t>
      </w:r>
      <w:r w:rsidR="00282572" w:rsidRPr="00415AD8">
        <w:rPr>
          <w:rFonts w:cs="Arial"/>
          <w:bCs/>
          <w:i/>
        </w:rPr>
        <w:t>Parágrafo Transitorio</w:t>
      </w:r>
      <w:r w:rsidRPr="00415AD8">
        <w:rPr>
          <w:rFonts w:cs="Arial"/>
          <w:bCs/>
          <w:i/>
        </w:rPr>
        <w:t>.</w:t>
      </w:r>
      <w:r w:rsidRPr="00415AD8">
        <w:rPr>
          <w:rFonts w:cs="Arial"/>
          <w:i/>
        </w:rPr>
        <w:t xml:space="preserve"> Durante el período que transcurra entre la entrada en vigencia de la reforma contenida en la presente ley y la expedición del decreto </w:t>
      </w:r>
      <w:r w:rsidRPr="00415AD8">
        <w:rPr>
          <w:rFonts w:cs="Arial"/>
          <w:i/>
        </w:rPr>
        <w:lastRenderedPageBreak/>
        <w:t xml:space="preserve">reglamentario a que se refiere este artículo, las entidades estatales continuarán aplicando las normas legales y reglamentarias vigentes” </w:t>
      </w:r>
      <w:r w:rsidRPr="00415AD8">
        <w:rPr>
          <w:rFonts w:cs="Arial"/>
        </w:rPr>
        <w:t>(la negrilla no es del texto).</w:t>
      </w:r>
    </w:p>
    <w:p w:rsidR="001C5239" w:rsidRPr="00415AD8" w:rsidRDefault="001C5239" w:rsidP="00415AD8">
      <w:pPr>
        <w:rPr>
          <w:rFonts w:cs="Arial"/>
        </w:rPr>
      </w:pPr>
    </w:p>
    <w:p w:rsidR="001C5239" w:rsidRPr="00415AD8" w:rsidRDefault="003045C7" w:rsidP="00415AD8">
      <w:pPr>
        <w:rPr>
          <w:rFonts w:cs="Arial"/>
        </w:rPr>
      </w:pPr>
      <w:r w:rsidRPr="00415AD8">
        <w:rPr>
          <w:rFonts w:cs="Arial"/>
        </w:rPr>
        <w:t xml:space="preserve">Para lo que importa en este </w:t>
      </w:r>
      <w:r w:rsidR="00282572" w:rsidRPr="00415AD8">
        <w:rPr>
          <w:rFonts w:cs="Arial"/>
        </w:rPr>
        <w:t>litigio,</w:t>
      </w:r>
      <w:r w:rsidRPr="00415AD8">
        <w:rPr>
          <w:rFonts w:cs="Arial"/>
        </w:rPr>
        <w:t xml:space="preserve"> e</w:t>
      </w:r>
      <w:r w:rsidR="001C5239" w:rsidRPr="00415AD8">
        <w:rPr>
          <w:rFonts w:cs="Arial"/>
        </w:rPr>
        <w:t xml:space="preserve">s preciso establecer que el artículo 7 presenta un contenido sustantivo diferente del que se desarrolló en el artículo 17 de la Ley 1150 de 2007, siendo que este último se refirió en forma concreta al debido proceso en materia sancionatoria, para la imposición de multas y de la cláusula penal pecuniaria, </w:t>
      </w:r>
      <w:r w:rsidR="008332A0" w:rsidRPr="00415AD8">
        <w:rPr>
          <w:rFonts w:cs="Arial"/>
        </w:rPr>
        <w:t>de la siguiente forma</w:t>
      </w:r>
      <w:r w:rsidR="001C5239" w:rsidRPr="00415AD8">
        <w:rPr>
          <w:rFonts w:cs="Arial"/>
        </w:rPr>
        <w:t>:</w:t>
      </w:r>
    </w:p>
    <w:p w:rsidR="001C5239" w:rsidRPr="00415AD8" w:rsidRDefault="001C5239" w:rsidP="00415AD8">
      <w:pPr>
        <w:spacing w:line="276" w:lineRule="auto"/>
        <w:rPr>
          <w:rFonts w:cs="Arial"/>
          <w:i/>
        </w:rPr>
      </w:pPr>
      <w:r w:rsidRPr="00415AD8">
        <w:rPr>
          <w:rFonts w:cs="Arial"/>
          <w:bCs/>
          <w:i/>
        </w:rPr>
        <w:t>“Artículo 17. Del derecho al Debido Proceso.</w:t>
      </w:r>
      <w:r w:rsidRPr="00415AD8">
        <w:rPr>
          <w:rFonts w:cs="Arial"/>
          <w:i/>
        </w:rPr>
        <w:t> El debido proceso será un principio rector en materia sancionatoria de las actuaciones contractuales.</w:t>
      </w:r>
    </w:p>
    <w:p w:rsidR="001C5239" w:rsidRPr="00415AD8" w:rsidRDefault="001C5239" w:rsidP="00415AD8">
      <w:pPr>
        <w:spacing w:line="276" w:lineRule="auto"/>
        <w:rPr>
          <w:rFonts w:cs="Arial"/>
          <w:i/>
        </w:rPr>
      </w:pPr>
      <w:r w:rsidRPr="00415AD8">
        <w:rPr>
          <w:rFonts w:cs="Arial"/>
          <w:i/>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rsidR="001C5239" w:rsidRPr="00415AD8" w:rsidRDefault="001C5239" w:rsidP="00415AD8">
      <w:pPr>
        <w:spacing w:line="276" w:lineRule="auto"/>
        <w:rPr>
          <w:rFonts w:cs="Arial"/>
          <w:i/>
        </w:rPr>
      </w:pPr>
      <w:r w:rsidRPr="00415AD8">
        <w:rPr>
          <w:rFonts w:cs="Arial"/>
          <w:bCs/>
          <w:i/>
        </w:rPr>
        <w:t>“Parágrafo</w:t>
      </w:r>
      <w:r w:rsidRPr="00415AD8">
        <w:rPr>
          <w:rFonts w:cs="Arial"/>
          <w:b/>
          <w:bCs/>
          <w:i/>
        </w:rPr>
        <w:t>.</w:t>
      </w:r>
      <w:r w:rsidRPr="00415AD8">
        <w:rPr>
          <w:rFonts w:cs="Arial"/>
          <w:i/>
        </w:rPr>
        <w:t>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rsidR="001C5239" w:rsidRPr="00415AD8" w:rsidRDefault="001C5239" w:rsidP="00415AD8">
      <w:pPr>
        <w:spacing w:line="276" w:lineRule="auto"/>
        <w:rPr>
          <w:rFonts w:cs="Arial"/>
          <w:i/>
        </w:rPr>
      </w:pPr>
      <w:r w:rsidRPr="00415AD8">
        <w:rPr>
          <w:rFonts w:cs="Arial"/>
          <w:bCs/>
          <w:i/>
        </w:rPr>
        <w:t>“Parágrafo</w:t>
      </w:r>
      <w:r w:rsidRPr="00415AD8">
        <w:rPr>
          <w:rFonts w:cs="Arial"/>
          <w:i/>
        </w:rPr>
        <w:t> </w:t>
      </w:r>
      <w:r w:rsidRPr="00415AD8">
        <w:rPr>
          <w:rFonts w:cs="Arial"/>
          <w:bCs/>
          <w:i/>
        </w:rPr>
        <w:t>Transitorio.</w:t>
      </w:r>
      <w:r w:rsidRPr="00415AD8">
        <w:rPr>
          <w:rFonts w:cs="Arial"/>
          <w:i/>
        </w:rPr>
        <w:t>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rsidR="001C5239" w:rsidRPr="00415AD8" w:rsidRDefault="001C5239" w:rsidP="00415AD8">
      <w:pPr>
        <w:rPr>
          <w:rFonts w:cs="Arial"/>
        </w:rPr>
      </w:pPr>
      <w:r w:rsidRPr="00415AD8">
        <w:rPr>
          <w:rFonts w:cs="Arial"/>
        </w:rPr>
        <w:t xml:space="preserve">En efecto, el artículo 17 de la </w:t>
      </w:r>
      <w:r w:rsidR="0064516B" w:rsidRPr="00415AD8">
        <w:rPr>
          <w:rFonts w:cs="Arial"/>
        </w:rPr>
        <w:t>L</w:t>
      </w:r>
      <w:r w:rsidRPr="00415AD8">
        <w:rPr>
          <w:rFonts w:cs="Arial"/>
        </w:rPr>
        <w:t>ey 1150 de 2007 se refiere al debido proceso en el ejercicio de la potestad sancionatoria que asiste al Estado contratante para declarar el incumplimiento del contrato y a la consecuente exigibilidad de la cláusula penal y de las multas pactadas, al paso que el artículo 7 de la misma ley, se refiere a la declaración del siniestro, esté acompañada o no del ejercicio de la potestad sancionatoria.</w:t>
      </w:r>
    </w:p>
    <w:p w:rsidR="001C5239" w:rsidRPr="00415AD8" w:rsidRDefault="001C5239" w:rsidP="00415AD8">
      <w:pPr>
        <w:rPr>
          <w:rFonts w:cs="Arial"/>
        </w:rPr>
      </w:pPr>
    </w:p>
    <w:p w:rsidR="001C5239" w:rsidRPr="00415AD8" w:rsidRDefault="001C5239" w:rsidP="00415AD8">
      <w:pPr>
        <w:rPr>
          <w:rFonts w:cs="Arial"/>
        </w:rPr>
      </w:pPr>
      <w:r w:rsidRPr="00415AD8">
        <w:rPr>
          <w:rFonts w:cs="Arial"/>
        </w:rPr>
        <w:t xml:space="preserve">La potestad sancionatoria en las actuaciones contractuales que se rigen por el derecho administrativo se refiere a aquella competencia en virtud de la cual el Estado contratante puede imponer, mediante acto administrativo, una afectación a la posición contractual del contratista, como consecuencia de la determinación de un incumplimiento del contrato o de una transgresión legal. </w:t>
      </w:r>
    </w:p>
    <w:p w:rsidR="001C5239" w:rsidRPr="00415AD8" w:rsidRDefault="001C5239" w:rsidP="00415AD8">
      <w:pPr>
        <w:rPr>
          <w:rFonts w:cs="Arial"/>
        </w:rPr>
      </w:pPr>
    </w:p>
    <w:p w:rsidR="001C5239" w:rsidRPr="00415AD8" w:rsidRDefault="001C5239" w:rsidP="00415AD8">
      <w:pPr>
        <w:rPr>
          <w:rFonts w:cs="Arial"/>
        </w:rPr>
      </w:pPr>
      <w:r w:rsidRPr="00415AD8">
        <w:rPr>
          <w:rFonts w:cs="Arial"/>
        </w:rPr>
        <w:lastRenderedPageBreak/>
        <w:t>Las notas características de la potestad sancionatoria contractual, básicamente, se identifican con la imposición de una pena, pero, también, pueden predicarse en aquella actuación mediante la cual el Estado contratante decide imponer consecuencias económicas adversas, restricciones o limitaciones, como reacción a una conducta ilícita</w:t>
      </w:r>
      <w:r w:rsidR="0064516B" w:rsidRPr="00415AD8">
        <w:rPr>
          <w:rFonts w:cs="Arial"/>
        </w:rPr>
        <w:t xml:space="preserve"> del contratista</w:t>
      </w:r>
      <w:r w:rsidRPr="00415AD8">
        <w:rPr>
          <w:rFonts w:cs="Arial"/>
        </w:rPr>
        <w:t>.</w:t>
      </w:r>
    </w:p>
    <w:p w:rsidR="001C5239" w:rsidRPr="00415AD8" w:rsidRDefault="001C5239" w:rsidP="00415AD8">
      <w:pPr>
        <w:rPr>
          <w:rFonts w:cs="Arial"/>
        </w:rPr>
      </w:pPr>
    </w:p>
    <w:p w:rsidR="002D68C0" w:rsidRPr="00415AD8" w:rsidRDefault="001C5239" w:rsidP="00415AD8">
      <w:pPr>
        <w:rPr>
          <w:rFonts w:cs="Arial"/>
        </w:rPr>
      </w:pPr>
      <w:r w:rsidRPr="00415AD8">
        <w:rPr>
          <w:rFonts w:cs="Arial"/>
        </w:rPr>
        <w:t xml:space="preserve">Por ello, </w:t>
      </w:r>
      <w:r w:rsidR="008332A0" w:rsidRPr="00415AD8">
        <w:rPr>
          <w:rFonts w:cs="Arial"/>
        </w:rPr>
        <w:t>al amparo de la Ley 1150 de 20</w:t>
      </w:r>
      <w:r w:rsidR="0064516B" w:rsidRPr="00415AD8">
        <w:rPr>
          <w:rFonts w:cs="Arial"/>
        </w:rPr>
        <w:t>0</w:t>
      </w:r>
      <w:r w:rsidR="008332A0" w:rsidRPr="00415AD8">
        <w:rPr>
          <w:rFonts w:cs="Arial"/>
        </w:rPr>
        <w:t xml:space="preserve">7, </w:t>
      </w:r>
      <w:r w:rsidRPr="00415AD8">
        <w:rPr>
          <w:rFonts w:cs="Arial"/>
        </w:rPr>
        <w:t>el acto administrativo mediante el cual se declara el incumplimiento del contrato se constituye en ejercicio de una potestad sancionatoria</w:t>
      </w:r>
      <w:r w:rsidR="00C915A5" w:rsidRPr="00415AD8">
        <w:rPr>
          <w:rFonts w:cs="Arial"/>
        </w:rPr>
        <w:t>,</w:t>
      </w:r>
      <w:r w:rsidRPr="00415AD8">
        <w:rPr>
          <w:rFonts w:cs="Arial"/>
        </w:rPr>
        <w:t xml:space="preserve"> en la medida en que esa decisión conlleva consecuencias negativas </w:t>
      </w:r>
      <w:r w:rsidR="00BF076B" w:rsidRPr="00415AD8">
        <w:rPr>
          <w:rFonts w:cs="Arial"/>
        </w:rPr>
        <w:t xml:space="preserve">o adversas </w:t>
      </w:r>
      <w:r w:rsidRPr="00415AD8">
        <w:rPr>
          <w:rFonts w:cs="Arial"/>
        </w:rPr>
        <w:t>impuestas por razón de la conducta incumplida</w:t>
      </w:r>
      <w:r w:rsidR="0064516B" w:rsidRPr="00415AD8">
        <w:rPr>
          <w:rFonts w:cs="Arial"/>
        </w:rPr>
        <w:t xml:space="preserve">. </w:t>
      </w:r>
    </w:p>
    <w:p w:rsidR="002D68C0" w:rsidRPr="00415AD8" w:rsidRDefault="002D68C0" w:rsidP="00415AD8">
      <w:pPr>
        <w:rPr>
          <w:rFonts w:cs="Arial"/>
        </w:rPr>
      </w:pPr>
    </w:p>
    <w:p w:rsidR="001C5239" w:rsidRPr="00415AD8" w:rsidRDefault="0064516B" w:rsidP="00415AD8">
      <w:pPr>
        <w:rPr>
          <w:rFonts w:cs="Arial"/>
        </w:rPr>
      </w:pPr>
      <w:r w:rsidRPr="00415AD8">
        <w:rPr>
          <w:rFonts w:cs="Arial"/>
        </w:rPr>
        <w:t xml:space="preserve">Tales consecuencias </w:t>
      </w:r>
      <w:r w:rsidR="00552FB0" w:rsidRPr="00415AD8">
        <w:rPr>
          <w:rFonts w:cs="Arial"/>
        </w:rPr>
        <w:t xml:space="preserve">comprenden, </w:t>
      </w:r>
      <w:r w:rsidRPr="00415AD8">
        <w:rPr>
          <w:rFonts w:cs="Arial"/>
        </w:rPr>
        <w:t xml:space="preserve">por ejemplo, </w:t>
      </w:r>
      <w:r w:rsidR="001C5239" w:rsidRPr="00415AD8">
        <w:rPr>
          <w:rFonts w:cs="Arial"/>
        </w:rPr>
        <w:t xml:space="preserve">la restricción para acceder a nuevas contrataciones o la </w:t>
      </w:r>
      <w:r w:rsidR="00FC6016" w:rsidRPr="00415AD8">
        <w:rPr>
          <w:rFonts w:cs="Arial"/>
        </w:rPr>
        <w:t xml:space="preserve">acumulación de sanciones </w:t>
      </w:r>
      <w:r w:rsidR="001C5239" w:rsidRPr="00415AD8">
        <w:rPr>
          <w:rFonts w:cs="Arial"/>
        </w:rPr>
        <w:t>que pued</w:t>
      </w:r>
      <w:r w:rsidR="002D68C0" w:rsidRPr="00415AD8">
        <w:rPr>
          <w:rFonts w:cs="Arial"/>
        </w:rPr>
        <w:t>e</w:t>
      </w:r>
      <w:r w:rsidR="001C5239" w:rsidRPr="00415AD8">
        <w:rPr>
          <w:rFonts w:cs="Arial"/>
        </w:rPr>
        <w:t xml:space="preserve"> desembocar en la inhabilidad para contratar, derivada del incumplimiento reiterado</w:t>
      </w:r>
      <w:r w:rsidR="00FC6016" w:rsidRPr="00415AD8">
        <w:rPr>
          <w:rFonts w:cs="Arial"/>
        </w:rPr>
        <w:t xml:space="preserve"> del contratista</w:t>
      </w:r>
      <w:r w:rsidR="001C5239" w:rsidRPr="00415AD8">
        <w:rPr>
          <w:rStyle w:val="Refdenotaalpie"/>
          <w:rFonts w:cs="Arial"/>
        </w:rPr>
        <w:footnoteReference w:id="19"/>
      </w:r>
      <w:r w:rsidR="001C5239" w:rsidRPr="00415AD8">
        <w:rPr>
          <w:rFonts w:cs="Arial"/>
        </w:rPr>
        <w:t xml:space="preserve">. </w:t>
      </w:r>
    </w:p>
    <w:p w:rsidR="001C5239" w:rsidRPr="00415AD8" w:rsidRDefault="001C5239" w:rsidP="00415AD8">
      <w:pPr>
        <w:rPr>
          <w:rFonts w:cs="Arial"/>
        </w:rPr>
      </w:pPr>
    </w:p>
    <w:p w:rsidR="001C5239" w:rsidRPr="00415AD8" w:rsidRDefault="001C5239" w:rsidP="00415AD8">
      <w:pPr>
        <w:rPr>
          <w:rFonts w:cs="Arial"/>
        </w:rPr>
      </w:pPr>
      <w:r w:rsidRPr="00415AD8">
        <w:rPr>
          <w:rFonts w:cs="Arial"/>
        </w:rPr>
        <w:t xml:space="preserve">En el concepto de la potestad sancionatoria que se acaba de expresar, se tiene en cuenta que el poder sancionador del Estado contratante no es equivalente al del </w:t>
      </w:r>
      <w:r w:rsidRPr="00415AD8">
        <w:rPr>
          <w:rFonts w:cs="Arial"/>
          <w:i/>
        </w:rPr>
        <w:t>ius puniendi</w:t>
      </w:r>
      <w:r w:rsidRPr="00415AD8">
        <w:rPr>
          <w:rFonts w:cs="Arial"/>
        </w:rPr>
        <w:t xml:space="preserve"> del derecho penal, es decir, no se corresponde con la modalidad de la represión frente al ilícito penal, aunque comparta principios básicos como lo son la tipicidad y la legalidad. </w:t>
      </w:r>
    </w:p>
    <w:p w:rsidR="001C5239" w:rsidRPr="00415AD8" w:rsidRDefault="001C5239" w:rsidP="00415AD8">
      <w:pPr>
        <w:rPr>
          <w:rFonts w:cs="Arial"/>
        </w:rPr>
      </w:pPr>
    </w:p>
    <w:p w:rsidR="001C5239" w:rsidRPr="00415AD8" w:rsidRDefault="001C5239" w:rsidP="00415AD8">
      <w:pPr>
        <w:rPr>
          <w:rFonts w:cs="Arial"/>
        </w:rPr>
      </w:pPr>
      <w:r w:rsidRPr="00415AD8">
        <w:rPr>
          <w:rFonts w:cs="Arial"/>
        </w:rPr>
        <w:t xml:space="preserve">En este sentido, la Sala reitera la jurisprudencia de la Subsección C, de la Sección Tercera del Consejo de Estado, acerca del principio de legalidad que constituye un presupuesto para el ejercicio de la potestad sancionatoria, de la siguiente manera: </w:t>
      </w:r>
    </w:p>
    <w:p w:rsidR="001C5239" w:rsidRPr="00415AD8" w:rsidRDefault="001C5239" w:rsidP="00415AD8">
      <w:pPr>
        <w:rPr>
          <w:rFonts w:cs="Arial"/>
        </w:rPr>
      </w:pPr>
    </w:p>
    <w:p w:rsidR="001C5239" w:rsidRPr="00415AD8" w:rsidRDefault="001C5239" w:rsidP="00415AD8">
      <w:pPr>
        <w:tabs>
          <w:tab w:val="left" w:pos="7938"/>
        </w:tabs>
        <w:spacing w:line="276" w:lineRule="auto"/>
        <w:rPr>
          <w:rFonts w:cs="Arial"/>
          <w:i/>
        </w:rPr>
      </w:pPr>
      <w:r w:rsidRPr="00415AD8">
        <w:rPr>
          <w:rFonts w:cs="Arial"/>
          <w:i/>
        </w:rPr>
        <w:t>“La potestad sancionadora se halla sometida al principio de legalidad  en los siguientes aspectos: 1. Su atribución; 2. El carácter discrecional o reglado de su ejercicio; 3. El espacio temporal en que puede utilizarse, y 4. Las formalidades procedimentales exigidas para imponer una sanción (…) El sancionar en el ámbito contractual es posible porque  está expresamente establecido en el ordenamiento jurídico. Ello significa que aun cuando se reconozca en la actualidad que a la Administración se le confía parte del ius puniendi del Estado, la posibilidad de su ejercicio se supedita a una habilitación legal expresa,  pues como ya tuvo oportunidad de decirse, en este ámbito se presenta una vinculación de carácter positivo con el principio de legalidad</w:t>
      </w:r>
      <w:r w:rsidR="006938E4" w:rsidRPr="00415AD8">
        <w:rPr>
          <w:rFonts w:cs="Arial"/>
          <w:i/>
        </w:rPr>
        <w:t>”</w:t>
      </w:r>
      <w:r w:rsidRPr="00415AD8">
        <w:rPr>
          <w:rStyle w:val="Refdenotaalpie"/>
          <w:rFonts w:cs="Arial"/>
          <w:i/>
        </w:rPr>
        <w:footnoteReference w:id="20"/>
      </w:r>
      <w:r w:rsidRPr="00415AD8">
        <w:rPr>
          <w:rFonts w:cs="Arial"/>
          <w:i/>
        </w:rPr>
        <w:t>.</w:t>
      </w:r>
    </w:p>
    <w:p w:rsidR="001C5239" w:rsidRPr="00415AD8" w:rsidRDefault="001C5239" w:rsidP="00415AD8">
      <w:pPr>
        <w:spacing w:line="276" w:lineRule="auto"/>
        <w:rPr>
          <w:rFonts w:cs="Arial"/>
          <w:i/>
          <w:highlight w:val="yellow"/>
        </w:rPr>
      </w:pPr>
    </w:p>
    <w:p w:rsidR="001C5239" w:rsidRPr="00415AD8" w:rsidRDefault="001C5239" w:rsidP="00415AD8">
      <w:pPr>
        <w:rPr>
          <w:rFonts w:cs="Arial"/>
          <w:bCs/>
        </w:rPr>
      </w:pPr>
      <w:r w:rsidRPr="00415AD8">
        <w:rPr>
          <w:rFonts w:cs="Arial"/>
          <w:bCs/>
        </w:rPr>
        <w:t>En otro aparte de la misma sentencia, que también se comparte, la Subsección C de la Sección Tercera, razonó de la siguiente manera:</w:t>
      </w:r>
    </w:p>
    <w:p w:rsidR="001C5239" w:rsidRPr="00415AD8" w:rsidRDefault="001C5239" w:rsidP="00415AD8">
      <w:pPr>
        <w:rPr>
          <w:rFonts w:cs="Arial"/>
          <w:bCs/>
        </w:rPr>
      </w:pPr>
    </w:p>
    <w:p w:rsidR="001C5239" w:rsidRPr="00415AD8" w:rsidRDefault="001C5239" w:rsidP="00415AD8">
      <w:pPr>
        <w:spacing w:line="276" w:lineRule="auto"/>
        <w:rPr>
          <w:rFonts w:cs="Arial"/>
          <w:i/>
        </w:rPr>
      </w:pPr>
      <w:r w:rsidRPr="00415AD8">
        <w:rPr>
          <w:rFonts w:cs="Arial"/>
          <w:bCs/>
          <w:i/>
        </w:rPr>
        <w:t xml:space="preserve">“La potestad sancionadora de la Administración está sujeta al principio de legalidad establecido en los artículos 6, 121 y 122 de la Constitución Política. Sin embargo, cuando del ejercicio del ius puniendi  se trata, estas disposiciones deben conjugarse con una de las manifestaciones más importantes del derecho al debido proceso, conocida como la tipicidad de las infracciones, regla consagrada en el  artículo 29 de la Carta Política;  esta norma  preceptúa: </w:t>
      </w:r>
      <w:r w:rsidR="006938E4" w:rsidRPr="00415AD8">
        <w:rPr>
          <w:rFonts w:cs="Arial"/>
          <w:bCs/>
          <w:i/>
        </w:rPr>
        <w:t>‘</w:t>
      </w:r>
      <w:r w:rsidRPr="00415AD8">
        <w:rPr>
          <w:rFonts w:cs="Arial"/>
          <w:bCs/>
          <w:i/>
        </w:rPr>
        <w:t>…Nadie podrá ser juzgado sino conforme a las leyes prexistentes al acto que se le imputa</w:t>
      </w:r>
      <w:r w:rsidR="006938E4" w:rsidRPr="00415AD8">
        <w:rPr>
          <w:rFonts w:cs="Arial"/>
          <w:bCs/>
          <w:i/>
        </w:rPr>
        <w:t>’.</w:t>
      </w:r>
      <w:r w:rsidRPr="00415AD8">
        <w:rPr>
          <w:rFonts w:cs="Arial"/>
          <w:bCs/>
          <w:i/>
        </w:rPr>
        <w:t xml:space="preserve">  De la anterior disposición se desprenden tres exigencias: la existencia de una </w:t>
      </w:r>
      <w:r w:rsidR="006938E4" w:rsidRPr="00415AD8">
        <w:rPr>
          <w:rFonts w:cs="Arial"/>
          <w:bCs/>
          <w:i/>
        </w:rPr>
        <w:t>‘</w:t>
      </w:r>
      <w:proofErr w:type="spellStart"/>
      <w:r w:rsidRPr="00415AD8">
        <w:rPr>
          <w:rFonts w:cs="Arial"/>
          <w:bCs/>
          <w:i/>
        </w:rPr>
        <w:t>lex</w:t>
      </w:r>
      <w:proofErr w:type="spellEnd"/>
      <w:r w:rsidRPr="00415AD8">
        <w:rPr>
          <w:rFonts w:cs="Arial"/>
          <w:bCs/>
          <w:i/>
        </w:rPr>
        <w:t xml:space="preserve"> </w:t>
      </w:r>
      <w:proofErr w:type="spellStart"/>
      <w:r w:rsidRPr="00415AD8">
        <w:rPr>
          <w:rFonts w:cs="Arial"/>
          <w:bCs/>
          <w:i/>
        </w:rPr>
        <w:t>scripta</w:t>
      </w:r>
      <w:proofErr w:type="spellEnd"/>
      <w:r w:rsidR="006938E4" w:rsidRPr="00415AD8">
        <w:rPr>
          <w:rFonts w:cs="Arial"/>
          <w:bCs/>
          <w:i/>
        </w:rPr>
        <w:t>’</w:t>
      </w:r>
      <w:r w:rsidRPr="00415AD8">
        <w:rPr>
          <w:rFonts w:cs="Arial"/>
          <w:bCs/>
          <w:i/>
        </w:rPr>
        <w:t xml:space="preserve">, de una </w:t>
      </w:r>
      <w:r w:rsidR="006938E4" w:rsidRPr="00415AD8">
        <w:rPr>
          <w:rFonts w:cs="Arial"/>
          <w:bCs/>
          <w:i/>
        </w:rPr>
        <w:t>‘</w:t>
      </w:r>
      <w:proofErr w:type="spellStart"/>
      <w:r w:rsidRPr="00415AD8">
        <w:rPr>
          <w:rFonts w:cs="Arial"/>
          <w:bCs/>
          <w:i/>
        </w:rPr>
        <w:t>lex</w:t>
      </w:r>
      <w:proofErr w:type="spellEnd"/>
      <w:r w:rsidRPr="00415AD8">
        <w:rPr>
          <w:rFonts w:cs="Arial"/>
          <w:bCs/>
          <w:i/>
        </w:rPr>
        <w:t xml:space="preserve"> previa</w:t>
      </w:r>
      <w:r w:rsidR="006938E4" w:rsidRPr="00415AD8">
        <w:rPr>
          <w:rFonts w:cs="Arial"/>
          <w:bCs/>
          <w:i/>
        </w:rPr>
        <w:t>’</w:t>
      </w:r>
      <w:r w:rsidRPr="00415AD8">
        <w:rPr>
          <w:rFonts w:cs="Arial"/>
          <w:bCs/>
          <w:i/>
        </w:rPr>
        <w:t xml:space="preserve"> y de una </w:t>
      </w:r>
      <w:r w:rsidR="006938E4" w:rsidRPr="00415AD8">
        <w:rPr>
          <w:rFonts w:cs="Arial"/>
          <w:bCs/>
          <w:i/>
        </w:rPr>
        <w:t>‘</w:t>
      </w:r>
      <w:proofErr w:type="spellStart"/>
      <w:r w:rsidRPr="00415AD8">
        <w:rPr>
          <w:rFonts w:cs="Arial"/>
          <w:bCs/>
          <w:i/>
        </w:rPr>
        <w:t>lex</w:t>
      </w:r>
      <w:proofErr w:type="spellEnd"/>
      <w:r w:rsidRPr="00415AD8">
        <w:rPr>
          <w:rFonts w:cs="Arial"/>
          <w:bCs/>
          <w:i/>
        </w:rPr>
        <w:t xml:space="preserve"> </w:t>
      </w:r>
      <w:proofErr w:type="spellStart"/>
      <w:r w:rsidRPr="00415AD8">
        <w:rPr>
          <w:rFonts w:cs="Arial"/>
          <w:bCs/>
          <w:i/>
        </w:rPr>
        <w:t>certa</w:t>
      </w:r>
      <w:proofErr w:type="spellEnd"/>
      <w:r w:rsidR="006938E4" w:rsidRPr="00415AD8">
        <w:rPr>
          <w:rFonts w:cs="Arial"/>
          <w:bCs/>
          <w:i/>
        </w:rPr>
        <w:t>’</w:t>
      </w:r>
      <w:r w:rsidRPr="00415AD8">
        <w:rPr>
          <w:rFonts w:cs="Arial"/>
          <w:bCs/>
          <w:i/>
        </w:rPr>
        <w:t xml:space="preserve"> (…)</w:t>
      </w:r>
      <w:r w:rsidR="006938E4" w:rsidRPr="00415AD8">
        <w:rPr>
          <w:rFonts w:cs="Arial"/>
          <w:bCs/>
          <w:i/>
        </w:rPr>
        <w:t>.</w:t>
      </w:r>
      <w:r w:rsidRPr="00415AD8">
        <w:rPr>
          <w:rFonts w:cs="Arial"/>
          <w:bCs/>
          <w:i/>
        </w:rPr>
        <w:t xml:space="preserve"> La disposición constitucional en comento impone al legislador el deber legal de tipificar las infracciones, cosa distinta es que le otorga la posibilidad  de decidir si él va a delimitar todos y cada uno de los elementos que conforman la infracción administrativa o si por el contrario parte de esta tarea se va encomendar a la autoridad administrativa. Así las cosas, la prohibición que se desprende de la Carta </w:t>
      </w:r>
      <w:r w:rsidR="00FC6016" w:rsidRPr="00415AD8">
        <w:rPr>
          <w:rFonts w:cs="Arial"/>
          <w:bCs/>
          <w:i/>
        </w:rPr>
        <w:t>P</w:t>
      </w:r>
      <w:r w:rsidRPr="00415AD8">
        <w:rPr>
          <w:rFonts w:cs="Arial"/>
          <w:bCs/>
          <w:i/>
        </w:rPr>
        <w:t>olítica es la de que sea el reglamento quien de forma exclusiva defina en que consiste el comportamiento que de presentarse ameritaría sanción, pues este obrar s</w:t>
      </w:r>
      <w:r w:rsidR="006938E4" w:rsidRPr="00415AD8">
        <w:rPr>
          <w:rFonts w:cs="Arial"/>
          <w:bCs/>
          <w:i/>
        </w:rPr>
        <w:t>í</w:t>
      </w:r>
      <w:r w:rsidRPr="00415AD8">
        <w:rPr>
          <w:rFonts w:cs="Arial"/>
          <w:bCs/>
          <w:i/>
        </w:rPr>
        <w:t xml:space="preserve"> conllevaría una usurpación de las funciones que corresponde a la rama legislativa. Esta interpretación es armónica con el artículo 113 de la norma fundamental, toda vez que en Colombia la construcción del modelo de Estado se ha hecho sobre el principio de colaboración armónica entre los diferentes poderes públicos</w:t>
      </w:r>
      <w:r w:rsidR="00977872" w:rsidRPr="00415AD8">
        <w:rPr>
          <w:rFonts w:cs="Arial"/>
          <w:bCs/>
          <w:i/>
        </w:rPr>
        <w:t>”</w:t>
      </w:r>
      <w:r w:rsidRPr="00415AD8">
        <w:rPr>
          <w:rStyle w:val="Refdenotaalpie"/>
          <w:rFonts w:cs="Arial"/>
          <w:i/>
        </w:rPr>
        <w:footnoteReference w:id="21"/>
      </w:r>
      <w:r w:rsidRPr="00415AD8">
        <w:rPr>
          <w:rFonts w:cs="Arial"/>
          <w:i/>
        </w:rPr>
        <w:t>.</w:t>
      </w:r>
    </w:p>
    <w:p w:rsidR="00BF076B" w:rsidRPr="00415AD8" w:rsidRDefault="00BF076B" w:rsidP="00415AD8">
      <w:pPr>
        <w:pStyle w:val="Textoindependiente"/>
        <w:widowControl w:val="0"/>
        <w:rPr>
          <w:rFonts w:cs="Arial"/>
          <w:szCs w:val="24"/>
        </w:rPr>
      </w:pPr>
    </w:p>
    <w:p w:rsidR="00033707" w:rsidRPr="00415AD8" w:rsidRDefault="004F63CD" w:rsidP="00415AD8">
      <w:pPr>
        <w:pStyle w:val="Textoindependiente"/>
        <w:widowControl w:val="0"/>
        <w:rPr>
          <w:rFonts w:cs="Arial"/>
          <w:b/>
          <w:szCs w:val="24"/>
        </w:rPr>
      </w:pPr>
      <w:r w:rsidRPr="00415AD8">
        <w:rPr>
          <w:rFonts w:cs="Arial"/>
          <w:b/>
          <w:szCs w:val="24"/>
        </w:rPr>
        <w:t>5</w:t>
      </w:r>
      <w:r w:rsidR="00F92490" w:rsidRPr="00415AD8">
        <w:rPr>
          <w:rFonts w:cs="Arial"/>
          <w:b/>
          <w:szCs w:val="24"/>
        </w:rPr>
        <w:t>. El caso concreto</w:t>
      </w:r>
    </w:p>
    <w:p w:rsidR="004E3BCA" w:rsidRPr="00415AD8" w:rsidRDefault="004E3BCA" w:rsidP="00415AD8">
      <w:pPr>
        <w:pStyle w:val="Textoindependiente"/>
        <w:widowControl w:val="0"/>
        <w:rPr>
          <w:rFonts w:cs="Arial"/>
          <w:szCs w:val="24"/>
        </w:rPr>
      </w:pPr>
    </w:p>
    <w:p w:rsidR="004E3BCA" w:rsidRPr="00415AD8" w:rsidRDefault="004F63CD" w:rsidP="00415AD8">
      <w:pPr>
        <w:pStyle w:val="Textoindependiente"/>
        <w:widowControl w:val="0"/>
        <w:rPr>
          <w:rFonts w:cs="Arial"/>
          <w:b/>
          <w:szCs w:val="24"/>
        </w:rPr>
      </w:pPr>
      <w:r w:rsidRPr="00415AD8">
        <w:rPr>
          <w:rFonts w:cs="Arial"/>
          <w:b/>
          <w:szCs w:val="24"/>
        </w:rPr>
        <w:t>5</w:t>
      </w:r>
      <w:r w:rsidR="004E3BCA" w:rsidRPr="00415AD8">
        <w:rPr>
          <w:rFonts w:cs="Arial"/>
          <w:b/>
          <w:szCs w:val="24"/>
        </w:rPr>
        <w:t xml:space="preserve">.1. </w:t>
      </w:r>
      <w:r w:rsidRPr="00415AD8">
        <w:rPr>
          <w:rFonts w:cs="Arial"/>
          <w:b/>
          <w:szCs w:val="24"/>
        </w:rPr>
        <w:t xml:space="preserve">Identificación de la ley aplicable a los </w:t>
      </w:r>
      <w:r w:rsidR="004E3BCA" w:rsidRPr="00415AD8">
        <w:rPr>
          <w:rFonts w:cs="Arial"/>
          <w:b/>
          <w:szCs w:val="24"/>
        </w:rPr>
        <w:t>actos acusados</w:t>
      </w:r>
    </w:p>
    <w:p w:rsidR="009D157D" w:rsidRPr="00415AD8" w:rsidRDefault="009D157D" w:rsidP="00415AD8">
      <w:pPr>
        <w:pStyle w:val="Textoindependiente"/>
        <w:widowControl w:val="0"/>
        <w:rPr>
          <w:rFonts w:cs="Arial"/>
          <w:szCs w:val="24"/>
        </w:rPr>
      </w:pPr>
    </w:p>
    <w:p w:rsidR="009D157D" w:rsidRPr="00415AD8" w:rsidRDefault="000D21D9" w:rsidP="00415AD8">
      <w:pPr>
        <w:pStyle w:val="Textoindependiente"/>
        <w:widowControl w:val="0"/>
        <w:rPr>
          <w:rFonts w:cs="Arial"/>
          <w:szCs w:val="24"/>
        </w:rPr>
      </w:pPr>
      <w:r w:rsidRPr="00415AD8">
        <w:rPr>
          <w:rFonts w:cs="Arial"/>
          <w:szCs w:val="24"/>
        </w:rPr>
        <w:t xml:space="preserve">El </w:t>
      </w:r>
      <w:r w:rsidR="004F63CD" w:rsidRPr="00415AD8">
        <w:rPr>
          <w:rFonts w:cs="Arial"/>
          <w:szCs w:val="24"/>
        </w:rPr>
        <w:t>C</w:t>
      </w:r>
      <w:r w:rsidRPr="00415AD8">
        <w:rPr>
          <w:rFonts w:cs="Arial"/>
          <w:szCs w:val="24"/>
        </w:rPr>
        <w:t>ontrato 082 se suscribió e</w:t>
      </w:r>
      <w:r w:rsidR="00977872" w:rsidRPr="00415AD8">
        <w:rPr>
          <w:rFonts w:cs="Arial"/>
          <w:szCs w:val="24"/>
        </w:rPr>
        <w:t>l</w:t>
      </w:r>
      <w:r w:rsidRPr="00415AD8">
        <w:rPr>
          <w:rFonts w:cs="Arial"/>
          <w:szCs w:val="24"/>
        </w:rPr>
        <w:t xml:space="preserve"> 9 de octubre de 2007, antes de la entrada en vigencia de la Ley 1150 de 2007</w:t>
      </w:r>
      <w:r w:rsidRPr="00415AD8">
        <w:rPr>
          <w:rStyle w:val="Refdenotaalpie"/>
          <w:rFonts w:cs="Arial"/>
          <w:szCs w:val="24"/>
        </w:rPr>
        <w:footnoteReference w:id="22"/>
      </w:r>
      <w:r w:rsidR="009D157D" w:rsidRPr="00415AD8">
        <w:rPr>
          <w:rFonts w:cs="Arial"/>
          <w:szCs w:val="24"/>
        </w:rPr>
        <w:t>, no obstante lo cual</w:t>
      </w:r>
      <w:r w:rsidR="004F63CD" w:rsidRPr="00415AD8">
        <w:rPr>
          <w:rFonts w:cs="Arial"/>
          <w:szCs w:val="24"/>
        </w:rPr>
        <w:t>,</w:t>
      </w:r>
      <w:r w:rsidR="009D157D" w:rsidRPr="00415AD8">
        <w:rPr>
          <w:rFonts w:cs="Arial"/>
          <w:szCs w:val="24"/>
        </w:rPr>
        <w:t xml:space="preserve"> por disposición de </w:t>
      </w:r>
      <w:r w:rsidR="00A05EB5" w:rsidRPr="00415AD8">
        <w:rPr>
          <w:rFonts w:cs="Arial"/>
          <w:szCs w:val="24"/>
        </w:rPr>
        <w:t xml:space="preserve">dicha </w:t>
      </w:r>
      <w:r w:rsidR="004F63CD" w:rsidRPr="00415AD8">
        <w:rPr>
          <w:rFonts w:cs="Arial"/>
          <w:szCs w:val="24"/>
        </w:rPr>
        <w:t>L</w:t>
      </w:r>
      <w:r w:rsidR="009D157D" w:rsidRPr="00415AD8">
        <w:rPr>
          <w:rFonts w:cs="Arial"/>
          <w:szCs w:val="24"/>
        </w:rPr>
        <w:t>ey, se estableció la aplicación del proceso sancionatorio para las multas y la cláusula penal pactada</w:t>
      </w:r>
      <w:r w:rsidR="004F63CD" w:rsidRPr="00415AD8">
        <w:rPr>
          <w:rFonts w:cs="Arial"/>
          <w:szCs w:val="24"/>
        </w:rPr>
        <w:t>s</w:t>
      </w:r>
      <w:r w:rsidR="009D157D" w:rsidRPr="00415AD8">
        <w:rPr>
          <w:rFonts w:cs="Arial"/>
          <w:szCs w:val="24"/>
        </w:rPr>
        <w:t xml:space="preserve"> en contratos </w:t>
      </w:r>
      <w:r w:rsidR="00A05EB5" w:rsidRPr="00415AD8">
        <w:rPr>
          <w:rFonts w:cs="Arial"/>
          <w:szCs w:val="24"/>
        </w:rPr>
        <w:t xml:space="preserve">celebrados con </w:t>
      </w:r>
      <w:r w:rsidR="009D157D" w:rsidRPr="00415AD8">
        <w:rPr>
          <w:rFonts w:cs="Arial"/>
          <w:szCs w:val="24"/>
        </w:rPr>
        <w:t>anterior</w:t>
      </w:r>
      <w:r w:rsidR="00A05EB5" w:rsidRPr="00415AD8">
        <w:rPr>
          <w:rFonts w:cs="Arial"/>
          <w:szCs w:val="24"/>
        </w:rPr>
        <w:t>idad</w:t>
      </w:r>
      <w:r w:rsidR="009E110C" w:rsidRPr="00415AD8">
        <w:rPr>
          <w:rFonts w:cs="Arial"/>
          <w:szCs w:val="24"/>
        </w:rPr>
        <w:t xml:space="preserve"> a la expedición de la Ley </w:t>
      </w:r>
      <w:r w:rsidR="00552FB0" w:rsidRPr="00415AD8">
        <w:rPr>
          <w:rFonts w:cs="Arial"/>
          <w:szCs w:val="24"/>
        </w:rPr>
        <w:t>1150</w:t>
      </w:r>
      <w:r w:rsidR="004D50D1" w:rsidRPr="00415AD8">
        <w:rPr>
          <w:rStyle w:val="Refdenotaalpie"/>
          <w:rFonts w:cs="Arial"/>
          <w:szCs w:val="24"/>
        </w:rPr>
        <w:footnoteReference w:id="23"/>
      </w:r>
      <w:r w:rsidR="009D157D" w:rsidRPr="00415AD8">
        <w:rPr>
          <w:rFonts w:cs="Arial"/>
          <w:szCs w:val="24"/>
        </w:rPr>
        <w:t xml:space="preserve">. </w:t>
      </w:r>
    </w:p>
    <w:p w:rsidR="009D157D" w:rsidRPr="00415AD8" w:rsidRDefault="009D157D" w:rsidP="00415AD8">
      <w:pPr>
        <w:pStyle w:val="Textoindependiente"/>
        <w:widowControl w:val="0"/>
        <w:rPr>
          <w:rFonts w:cs="Arial"/>
          <w:szCs w:val="24"/>
        </w:rPr>
      </w:pPr>
    </w:p>
    <w:p w:rsidR="009403F0" w:rsidRPr="00415AD8" w:rsidRDefault="004F63CD" w:rsidP="00415AD8">
      <w:pPr>
        <w:pStyle w:val="Textoindependiente"/>
        <w:widowControl w:val="0"/>
        <w:rPr>
          <w:rFonts w:cs="Arial"/>
          <w:szCs w:val="24"/>
        </w:rPr>
      </w:pPr>
      <w:r w:rsidRPr="00415AD8">
        <w:rPr>
          <w:rFonts w:cs="Arial"/>
          <w:szCs w:val="24"/>
        </w:rPr>
        <w:t>Se precisa que e</w:t>
      </w:r>
      <w:r w:rsidR="00C70736" w:rsidRPr="00415AD8">
        <w:rPr>
          <w:rFonts w:cs="Arial"/>
          <w:szCs w:val="24"/>
        </w:rPr>
        <w:t>l procedimiento administrativo que culminó con l</w:t>
      </w:r>
      <w:r w:rsidR="004E3BCA" w:rsidRPr="00415AD8">
        <w:rPr>
          <w:rFonts w:cs="Arial"/>
          <w:szCs w:val="24"/>
        </w:rPr>
        <w:t>a</w:t>
      </w:r>
      <w:r w:rsidR="009403F0" w:rsidRPr="00415AD8">
        <w:rPr>
          <w:rFonts w:cs="Arial"/>
          <w:szCs w:val="24"/>
        </w:rPr>
        <w:t xml:space="preserve"> expedición de las resoluciones acusadas en este proceso, esto es</w:t>
      </w:r>
      <w:r w:rsidR="00243434" w:rsidRPr="00415AD8">
        <w:rPr>
          <w:rFonts w:cs="Arial"/>
          <w:szCs w:val="24"/>
        </w:rPr>
        <w:t>,</w:t>
      </w:r>
      <w:r w:rsidR="009403F0" w:rsidRPr="00415AD8">
        <w:rPr>
          <w:rFonts w:cs="Arial"/>
          <w:szCs w:val="24"/>
        </w:rPr>
        <w:t xml:space="preserve"> la </w:t>
      </w:r>
      <w:r w:rsidR="004E3BCA" w:rsidRPr="00415AD8">
        <w:rPr>
          <w:rFonts w:cs="Arial"/>
          <w:szCs w:val="24"/>
        </w:rPr>
        <w:t xml:space="preserve">Resolución </w:t>
      </w:r>
      <w:r w:rsidR="00C70736" w:rsidRPr="00415AD8">
        <w:rPr>
          <w:rFonts w:cs="Arial"/>
          <w:szCs w:val="24"/>
        </w:rPr>
        <w:t xml:space="preserve">005641 de 15 de diciembre de 2011 y la </w:t>
      </w:r>
      <w:r w:rsidR="009403F0" w:rsidRPr="00415AD8">
        <w:rPr>
          <w:rFonts w:cs="Arial"/>
          <w:szCs w:val="24"/>
        </w:rPr>
        <w:t>R</w:t>
      </w:r>
      <w:r w:rsidR="00C70736" w:rsidRPr="00415AD8">
        <w:rPr>
          <w:rFonts w:cs="Arial"/>
          <w:szCs w:val="24"/>
        </w:rPr>
        <w:t xml:space="preserve">esolución </w:t>
      </w:r>
      <w:r w:rsidR="009403F0" w:rsidRPr="00415AD8">
        <w:rPr>
          <w:rFonts w:cs="Arial"/>
          <w:szCs w:val="24"/>
        </w:rPr>
        <w:t xml:space="preserve">000129 de 12 de enero de 2012, se inició </w:t>
      </w:r>
      <w:r w:rsidR="00373B6B" w:rsidRPr="00415AD8">
        <w:rPr>
          <w:rFonts w:cs="Arial"/>
          <w:szCs w:val="24"/>
        </w:rPr>
        <w:t xml:space="preserve">y terminó </w:t>
      </w:r>
      <w:r w:rsidR="009403F0" w:rsidRPr="00415AD8">
        <w:rPr>
          <w:rFonts w:cs="Arial"/>
          <w:szCs w:val="24"/>
        </w:rPr>
        <w:t>en vigencia del artículo 17 de la Ley 1150 de 2007</w:t>
      </w:r>
      <w:r w:rsidR="00F24C23" w:rsidRPr="00415AD8">
        <w:rPr>
          <w:rStyle w:val="Refdenotaalpie"/>
          <w:rFonts w:cs="Arial"/>
          <w:szCs w:val="24"/>
        </w:rPr>
        <w:footnoteReference w:id="24"/>
      </w:r>
      <w:r w:rsidR="009403F0" w:rsidRPr="00415AD8">
        <w:rPr>
          <w:rFonts w:cs="Arial"/>
          <w:szCs w:val="24"/>
        </w:rPr>
        <w:t xml:space="preserve">, </w:t>
      </w:r>
      <w:r w:rsidR="00A26EA6" w:rsidRPr="00415AD8">
        <w:rPr>
          <w:rFonts w:cs="Arial"/>
          <w:szCs w:val="24"/>
        </w:rPr>
        <w:t xml:space="preserve">normativa </w:t>
      </w:r>
      <w:r w:rsidR="009403F0" w:rsidRPr="00415AD8">
        <w:rPr>
          <w:rFonts w:cs="Arial"/>
          <w:szCs w:val="24"/>
        </w:rPr>
        <w:t>referid</w:t>
      </w:r>
      <w:r w:rsidR="00A26EA6" w:rsidRPr="00415AD8">
        <w:rPr>
          <w:rFonts w:cs="Arial"/>
          <w:szCs w:val="24"/>
        </w:rPr>
        <w:t>a</w:t>
      </w:r>
      <w:r w:rsidR="009403F0" w:rsidRPr="00415AD8">
        <w:rPr>
          <w:rFonts w:cs="Arial"/>
          <w:szCs w:val="24"/>
        </w:rPr>
        <w:t xml:space="preserve"> al debido proceso en materia sancionatoria.</w:t>
      </w:r>
      <w:r w:rsidR="0071571A" w:rsidRPr="00415AD8">
        <w:rPr>
          <w:rFonts w:cs="Arial"/>
          <w:szCs w:val="24"/>
        </w:rPr>
        <w:t xml:space="preserve"> </w:t>
      </w:r>
    </w:p>
    <w:p w:rsidR="009403F0" w:rsidRPr="00415AD8" w:rsidRDefault="009403F0" w:rsidP="00415AD8">
      <w:pPr>
        <w:pStyle w:val="Textoindependiente"/>
        <w:widowControl w:val="0"/>
        <w:rPr>
          <w:rFonts w:cs="Arial"/>
          <w:szCs w:val="24"/>
        </w:rPr>
      </w:pPr>
    </w:p>
    <w:p w:rsidR="007448FD" w:rsidRPr="00415AD8" w:rsidRDefault="00955F31" w:rsidP="00415AD8">
      <w:pPr>
        <w:pStyle w:val="Textoindependiente"/>
        <w:widowControl w:val="0"/>
        <w:rPr>
          <w:rFonts w:cs="Arial"/>
          <w:szCs w:val="24"/>
        </w:rPr>
      </w:pPr>
      <w:r w:rsidRPr="00415AD8">
        <w:rPr>
          <w:rFonts w:cs="Arial"/>
          <w:szCs w:val="24"/>
        </w:rPr>
        <w:t xml:space="preserve">Se agrega que </w:t>
      </w:r>
      <w:r w:rsidR="00A624A5" w:rsidRPr="00415AD8">
        <w:rPr>
          <w:rFonts w:cs="Arial"/>
          <w:szCs w:val="24"/>
        </w:rPr>
        <w:t>p</w:t>
      </w:r>
      <w:r w:rsidR="00373B6B" w:rsidRPr="00415AD8">
        <w:rPr>
          <w:rFonts w:cs="Arial"/>
          <w:szCs w:val="24"/>
        </w:rPr>
        <w:t xml:space="preserve">ara la fecha en que </w:t>
      </w:r>
      <w:r w:rsidR="0069011D" w:rsidRPr="00415AD8">
        <w:rPr>
          <w:rFonts w:cs="Arial"/>
          <w:szCs w:val="24"/>
        </w:rPr>
        <w:t xml:space="preserve">el Ministerio de Transporte </w:t>
      </w:r>
      <w:r w:rsidR="00A05EB5" w:rsidRPr="00415AD8">
        <w:rPr>
          <w:rFonts w:cs="Arial"/>
          <w:szCs w:val="24"/>
        </w:rPr>
        <w:t xml:space="preserve">abrió el procedimiento sancionatorio y </w:t>
      </w:r>
      <w:r w:rsidR="00373B6B" w:rsidRPr="00415AD8">
        <w:rPr>
          <w:rFonts w:cs="Arial"/>
          <w:szCs w:val="24"/>
        </w:rPr>
        <w:t xml:space="preserve">citó a </w:t>
      </w:r>
      <w:r w:rsidRPr="00415AD8">
        <w:rPr>
          <w:rFonts w:cs="Arial"/>
          <w:szCs w:val="24"/>
        </w:rPr>
        <w:t>Seguros Colpatria S.A.</w:t>
      </w:r>
      <w:r w:rsidR="00373B6B" w:rsidRPr="00415AD8">
        <w:rPr>
          <w:rFonts w:cs="Arial"/>
          <w:szCs w:val="24"/>
        </w:rPr>
        <w:t xml:space="preserve">, </w:t>
      </w:r>
      <w:r w:rsidR="00C847AE" w:rsidRPr="00415AD8">
        <w:rPr>
          <w:rFonts w:cs="Arial"/>
          <w:szCs w:val="24"/>
        </w:rPr>
        <w:t xml:space="preserve">el </w:t>
      </w:r>
      <w:r w:rsidR="00373B6B" w:rsidRPr="00415AD8">
        <w:rPr>
          <w:rFonts w:cs="Arial"/>
          <w:szCs w:val="24"/>
        </w:rPr>
        <w:t xml:space="preserve">31 de agosto de 2011, se había expedido la Ley 1474 de </w:t>
      </w:r>
      <w:r w:rsidR="007448FD" w:rsidRPr="00415AD8">
        <w:rPr>
          <w:rFonts w:cs="Arial"/>
          <w:szCs w:val="24"/>
        </w:rPr>
        <w:t xml:space="preserve">12 de julio de </w:t>
      </w:r>
      <w:r w:rsidR="00373B6B" w:rsidRPr="00415AD8">
        <w:rPr>
          <w:rFonts w:cs="Arial"/>
          <w:szCs w:val="24"/>
        </w:rPr>
        <w:t>2011</w:t>
      </w:r>
      <w:r w:rsidR="00373B6B" w:rsidRPr="00415AD8">
        <w:rPr>
          <w:rStyle w:val="Refdenotaalpie"/>
          <w:rFonts w:cs="Arial"/>
          <w:szCs w:val="24"/>
        </w:rPr>
        <w:footnoteReference w:id="25"/>
      </w:r>
      <w:r w:rsidR="00C847AE" w:rsidRPr="00415AD8">
        <w:rPr>
          <w:rFonts w:cs="Arial"/>
          <w:szCs w:val="24"/>
        </w:rPr>
        <w:t xml:space="preserve">, en cuyo artículo 86 se reguló </w:t>
      </w:r>
      <w:r w:rsidR="00A05EB5" w:rsidRPr="00415AD8">
        <w:rPr>
          <w:rFonts w:cs="Arial"/>
          <w:szCs w:val="24"/>
        </w:rPr>
        <w:t xml:space="preserve">nuevamente </w:t>
      </w:r>
      <w:r w:rsidR="00C847AE" w:rsidRPr="00415AD8">
        <w:rPr>
          <w:rFonts w:cs="Arial"/>
          <w:szCs w:val="24"/>
        </w:rPr>
        <w:t>el procedimiento sancionatorio y</w:t>
      </w:r>
      <w:r w:rsidR="00A05EB5" w:rsidRPr="00415AD8">
        <w:rPr>
          <w:rFonts w:cs="Arial"/>
          <w:szCs w:val="24"/>
        </w:rPr>
        <w:t xml:space="preserve"> se dispuso específicamente </w:t>
      </w:r>
      <w:r w:rsidR="00C847AE" w:rsidRPr="00415AD8">
        <w:rPr>
          <w:rFonts w:cs="Arial"/>
          <w:szCs w:val="24"/>
        </w:rPr>
        <w:t xml:space="preserve">la citación de </w:t>
      </w:r>
      <w:r w:rsidR="00297CDE" w:rsidRPr="00415AD8">
        <w:rPr>
          <w:rFonts w:cs="Arial"/>
          <w:szCs w:val="24"/>
        </w:rPr>
        <w:t>la aseguradora garante, en la siguiente forma:</w:t>
      </w:r>
    </w:p>
    <w:p w:rsidR="00B47B9F" w:rsidRPr="00415AD8" w:rsidRDefault="00297CDE" w:rsidP="00415AD8">
      <w:pPr>
        <w:pStyle w:val="NormalWeb"/>
        <w:spacing w:before="0" w:beforeAutospacing="0" w:after="0" w:afterAutospacing="0" w:line="270" w:lineRule="atLeast"/>
        <w:rPr>
          <w:rFonts w:cs="Arial"/>
          <w:i/>
        </w:rPr>
      </w:pPr>
      <w:bookmarkStart w:id="1" w:name="86"/>
      <w:r w:rsidRPr="00415AD8">
        <w:rPr>
          <w:rFonts w:cs="Arial"/>
          <w:bCs/>
          <w:i/>
        </w:rPr>
        <w:t>“Artículo 86. Imposición de Multas, Sanciones y Declaratorias de Incumplimiento</w:t>
      </w:r>
      <w:r w:rsidR="00B47B9F" w:rsidRPr="00415AD8">
        <w:rPr>
          <w:rFonts w:cs="Arial"/>
          <w:bCs/>
          <w:i/>
        </w:rPr>
        <w:t>.</w:t>
      </w:r>
      <w:bookmarkEnd w:id="1"/>
      <w:r w:rsidR="00B47B9F" w:rsidRPr="00415AD8">
        <w:rPr>
          <w:rFonts w:cs="Arial"/>
          <w:i/>
        </w:rPr>
        <w:t>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rsidR="00B47B9F" w:rsidRPr="00415AD8" w:rsidRDefault="00297CDE" w:rsidP="00415AD8">
      <w:pPr>
        <w:pStyle w:val="NormalWeb"/>
        <w:spacing w:before="0" w:beforeAutospacing="0" w:after="0" w:afterAutospacing="0" w:line="270" w:lineRule="atLeast"/>
        <w:rPr>
          <w:rFonts w:cs="Arial"/>
          <w:i/>
        </w:rPr>
      </w:pPr>
      <w:r w:rsidRPr="00415AD8">
        <w:rPr>
          <w:rFonts w:cs="Arial"/>
          <w:i/>
        </w:rPr>
        <w:lastRenderedPageBreak/>
        <w:t>“</w:t>
      </w:r>
      <w:r w:rsidR="00B47B9F" w:rsidRPr="00415AD8">
        <w:rPr>
          <w:rFonts w:cs="Arial"/>
          <w:i/>
        </w:rPr>
        <w:t xml:space="preserve">a) Evidenciado un posible incumplimiento de las obligaciones a cargo del contratista, la entidad pública lo citará a audiencia para debatir lo ocurrido. </w:t>
      </w:r>
      <w:r w:rsidR="00B47B9F" w:rsidRPr="00415AD8">
        <w:rPr>
          <w:rFonts w:cs="Arial"/>
          <w:b/>
          <w:i/>
        </w:rPr>
        <w:t>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w:t>
      </w:r>
      <w:r w:rsidR="00B47B9F" w:rsidRPr="00415AD8">
        <w:rPr>
          <w:rFonts w:cs="Arial"/>
          <w:i/>
        </w:rPr>
        <w:t xml:space="preserve">. En la misma se establecerá el lugar, fecha y hora para la realización de la audiencia, la que podrá tener lugar a la mayor brevedad posible, atendida la naturaleza del contrato y la periodicidad establecida para el cumplimiento de las obligaciones contractuales. </w:t>
      </w:r>
      <w:r w:rsidR="00B47B9F" w:rsidRPr="00415AD8">
        <w:rPr>
          <w:rFonts w:cs="Arial"/>
          <w:b/>
          <w:i/>
        </w:rPr>
        <w:t>En el evento en que la garantía de cumplimiento consista en póliza de seguros, el garante será citado de la misma manera</w:t>
      </w:r>
      <w:r w:rsidR="00B47B9F" w:rsidRPr="00415AD8">
        <w:rPr>
          <w:rFonts w:cs="Arial"/>
          <w:i/>
        </w:rPr>
        <w:t>;</w:t>
      </w:r>
    </w:p>
    <w:p w:rsidR="00B47B9F" w:rsidRPr="00415AD8" w:rsidRDefault="00144DBE" w:rsidP="00415AD8">
      <w:pPr>
        <w:pStyle w:val="NormalWeb"/>
        <w:spacing w:before="0" w:beforeAutospacing="0" w:after="0" w:afterAutospacing="0" w:line="270" w:lineRule="atLeast"/>
        <w:rPr>
          <w:rFonts w:cs="Arial"/>
          <w:i/>
        </w:rPr>
      </w:pPr>
      <w:r w:rsidRPr="00415AD8">
        <w:rPr>
          <w:rFonts w:cs="Arial"/>
          <w:i/>
        </w:rPr>
        <w:t>“</w:t>
      </w:r>
      <w:r w:rsidR="00B47B9F" w:rsidRPr="00415AD8">
        <w:rPr>
          <w:rFonts w:cs="Arial"/>
          <w:i/>
        </w:rPr>
        <w:t xml:space="preserve">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w:t>
      </w:r>
      <w:r w:rsidR="00B47B9F" w:rsidRPr="00415AD8">
        <w:rPr>
          <w:rFonts w:cs="Arial"/>
          <w:b/>
          <w:i/>
        </w:rPr>
        <w:t>Acto seguido se concederá el uso de la palabra al representante legal del contratista o a quien lo represente, y al garante</w:t>
      </w:r>
      <w:r w:rsidR="00B47B9F" w:rsidRPr="00415AD8">
        <w:rPr>
          <w:rFonts w:cs="Arial"/>
          <w:i/>
        </w:rPr>
        <w:t>, para que presenten sus descargos, en desarrollo de lo cual podrá rendir las explicaciones del caso, aportar pruebas y controvertir las presentadas por la entidad;</w:t>
      </w:r>
    </w:p>
    <w:p w:rsidR="00B47B9F" w:rsidRPr="00415AD8" w:rsidRDefault="00144DBE" w:rsidP="00415AD8">
      <w:pPr>
        <w:pStyle w:val="NormalWeb"/>
        <w:spacing w:before="0" w:beforeAutospacing="0" w:after="0" w:afterAutospacing="0" w:line="270" w:lineRule="atLeast"/>
        <w:rPr>
          <w:rFonts w:cs="Arial"/>
          <w:i/>
        </w:rPr>
      </w:pPr>
      <w:r w:rsidRPr="00415AD8">
        <w:rPr>
          <w:rFonts w:cs="Arial"/>
          <w:i/>
        </w:rPr>
        <w:t>“</w:t>
      </w:r>
      <w:r w:rsidR="00B47B9F" w:rsidRPr="00415AD8">
        <w:rPr>
          <w:rFonts w:cs="Arial"/>
          <w:i/>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rsidR="00B47B9F" w:rsidRPr="00415AD8" w:rsidRDefault="00144DBE" w:rsidP="00415AD8">
      <w:pPr>
        <w:pStyle w:val="NormalWeb"/>
        <w:spacing w:before="0" w:beforeAutospacing="0" w:after="0" w:afterAutospacing="0" w:line="270" w:lineRule="atLeast"/>
        <w:rPr>
          <w:rFonts w:cs="Arial"/>
        </w:rPr>
      </w:pPr>
      <w:r w:rsidRPr="00415AD8">
        <w:rPr>
          <w:rFonts w:cs="Arial"/>
          <w:i/>
        </w:rPr>
        <w:t>“</w:t>
      </w:r>
      <w:r w:rsidR="00B47B9F" w:rsidRPr="00415AD8">
        <w:rPr>
          <w:rFonts w:cs="Arial"/>
          <w:i/>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r w:rsidR="0071571A" w:rsidRPr="00415AD8">
        <w:rPr>
          <w:rFonts w:cs="Arial"/>
          <w:i/>
        </w:rPr>
        <w:t>”</w:t>
      </w:r>
      <w:r w:rsidR="0069011D" w:rsidRPr="00415AD8">
        <w:rPr>
          <w:rFonts w:cs="Arial"/>
          <w:i/>
        </w:rPr>
        <w:t xml:space="preserve"> </w:t>
      </w:r>
      <w:r w:rsidR="0069011D" w:rsidRPr="00415AD8">
        <w:rPr>
          <w:rFonts w:cs="Arial"/>
        </w:rPr>
        <w:t>(la negrilla no es del texto).</w:t>
      </w:r>
    </w:p>
    <w:p w:rsidR="00955F31" w:rsidRPr="00415AD8" w:rsidRDefault="00955F31" w:rsidP="00415AD8">
      <w:pPr>
        <w:pStyle w:val="NormalWeb"/>
        <w:shd w:val="clear" w:color="auto" w:fill="FFFFFF"/>
        <w:spacing w:before="0" w:beforeAutospacing="0" w:after="0" w:afterAutospacing="0"/>
        <w:rPr>
          <w:rFonts w:cs="Arial"/>
        </w:rPr>
      </w:pPr>
      <w:r w:rsidRPr="00415AD8">
        <w:rPr>
          <w:rFonts w:cs="Arial"/>
        </w:rPr>
        <w:t xml:space="preserve">De acuerdo con las precisiones anteriores, queda establecido que el debido proceso debe examinarse en el presente caso frente a las normas contenidas en la </w:t>
      </w:r>
      <w:r w:rsidR="00417BE4" w:rsidRPr="00415AD8">
        <w:rPr>
          <w:rFonts w:cs="Arial"/>
        </w:rPr>
        <w:t>L</w:t>
      </w:r>
      <w:r w:rsidRPr="00415AD8">
        <w:rPr>
          <w:rFonts w:cs="Arial"/>
        </w:rPr>
        <w:t xml:space="preserve">ey 1150 de 2007 y en la </w:t>
      </w:r>
      <w:r w:rsidR="00417BE4" w:rsidRPr="00415AD8">
        <w:rPr>
          <w:rFonts w:cs="Arial"/>
        </w:rPr>
        <w:t>L</w:t>
      </w:r>
      <w:r w:rsidRPr="00415AD8">
        <w:rPr>
          <w:rFonts w:cs="Arial"/>
        </w:rPr>
        <w:t>ey 1474 de 2011.</w:t>
      </w:r>
    </w:p>
    <w:p w:rsidR="00272AFB" w:rsidRPr="00415AD8" w:rsidRDefault="00E348A9" w:rsidP="00415AD8">
      <w:pPr>
        <w:pStyle w:val="NormalWeb"/>
        <w:shd w:val="clear" w:color="auto" w:fill="FFFFFF"/>
        <w:spacing w:before="0" w:beforeAutospacing="0" w:after="0" w:afterAutospacing="0" w:line="240" w:lineRule="auto"/>
        <w:rPr>
          <w:rFonts w:cs="Arial"/>
          <w:b/>
        </w:rPr>
      </w:pPr>
      <w:r w:rsidRPr="00415AD8">
        <w:rPr>
          <w:rFonts w:cs="Arial"/>
          <w:b/>
        </w:rPr>
        <w:t>5</w:t>
      </w:r>
      <w:r w:rsidR="00272AFB" w:rsidRPr="00415AD8">
        <w:rPr>
          <w:rFonts w:cs="Arial"/>
          <w:b/>
        </w:rPr>
        <w:t xml:space="preserve">.2. </w:t>
      </w:r>
      <w:r w:rsidR="00A83EBC" w:rsidRPr="00415AD8">
        <w:rPr>
          <w:rFonts w:cs="Arial"/>
          <w:b/>
        </w:rPr>
        <w:t>Observancia</w:t>
      </w:r>
      <w:r w:rsidR="00272AFB" w:rsidRPr="00415AD8">
        <w:rPr>
          <w:rFonts w:cs="Arial"/>
          <w:b/>
        </w:rPr>
        <w:t xml:space="preserve"> del derecho sustancial en la citación de la aseguradora garante</w:t>
      </w:r>
    </w:p>
    <w:p w:rsidR="00FC62FF" w:rsidRPr="00415AD8" w:rsidRDefault="009E110C" w:rsidP="00415AD8">
      <w:pPr>
        <w:rPr>
          <w:rFonts w:cs="Arial"/>
        </w:rPr>
      </w:pPr>
      <w:r w:rsidRPr="00415AD8">
        <w:rPr>
          <w:rFonts w:cs="Arial"/>
        </w:rPr>
        <w:t>E</w:t>
      </w:r>
      <w:r w:rsidR="00A32EBB" w:rsidRPr="00415AD8">
        <w:rPr>
          <w:rFonts w:cs="Arial"/>
        </w:rPr>
        <w:t xml:space="preserve">l acto administrativo por el cual se hace efectiva una póliza de seguro </w:t>
      </w:r>
      <w:r w:rsidR="00C40131" w:rsidRPr="00415AD8">
        <w:rPr>
          <w:rFonts w:cs="Arial"/>
        </w:rPr>
        <w:t xml:space="preserve">de cumplimiento </w:t>
      </w:r>
      <w:r w:rsidRPr="00415AD8">
        <w:rPr>
          <w:rFonts w:cs="Arial"/>
        </w:rPr>
        <w:t xml:space="preserve">no </w:t>
      </w:r>
      <w:r w:rsidR="00A32EBB" w:rsidRPr="00415AD8">
        <w:rPr>
          <w:rFonts w:cs="Arial"/>
        </w:rPr>
        <w:t>constituye</w:t>
      </w:r>
      <w:r w:rsidRPr="00415AD8">
        <w:rPr>
          <w:rFonts w:cs="Arial"/>
        </w:rPr>
        <w:t xml:space="preserve"> </w:t>
      </w:r>
      <w:r w:rsidR="00417BE4" w:rsidRPr="00415AD8">
        <w:rPr>
          <w:rFonts w:cs="Arial"/>
        </w:rPr>
        <w:t xml:space="preserve">expresión de </w:t>
      </w:r>
      <w:r w:rsidRPr="00415AD8">
        <w:rPr>
          <w:rFonts w:cs="Arial"/>
        </w:rPr>
        <w:t xml:space="preserve">una potestad sancionatoria del </w:t>
      </w:r>
      <w:r w:rsidR="00A32EBB" w:rsidRPr="00415AD8">
        <w:rPr>
          <w:rFonts w:cs="Arial"/>
        </w:rPr>
        <w:t xml:space="preserve">Estado, </w:t>
      </w:r>
      <w:r w:rsidRPr="00415AD8">
        <w:rPr>
          <w:rFonts w:cs="Arial"/>
        </w:rPr>
        <w:t xml:space="preserve">sino </w:t>
      </w:r>
      <w:r w:rsidR="00A32EBB" w:rsidRPr="00415AD8">
        <w:rPr>
          <w:rFonts w:cs="Arial"/>
        </w:rPr>
        <w:t xml:space="preserve">el ejercicio de un derecho de origen contractual frente a la compañía aseguradora, en el seno del contrato </w:t>
      </w:r>
      <w:r w:rsidR="00C40131" w:rsidRPr="00415AD8">
        <w:rPr>
          <w:rFonts w:cs="Arial"/>
        </w:rPr>
        <w:t xml:space="preserve">asegurado o garantizado. </w:t>
      </w:r>
    </w:p>
    <w:p w:rsidR="00FC62FF" w:rsidRPr="00415AD8" w:rsidRDefault="00FC62FF" w:rsidP="00415AD8">
      <w:pPr>
        <w:rPr>
          <w:rFonts w:cs="Arial"/>
        </w:rPr>
      </w:pPr>
    </w:p>
    <w:p w:rsidR="000A15EE" w:rsidRPr="00415AD8" w:rsidRDefault="00C40131" w:rsidP="00415AD8">
      <w:pPr>
        <w:rPr>
          <w:rFonts w:cs="Arial"/>
        </w:rPr>
      </w:pPr>
      <w:r w:rsidRPr="00415AD8">
        <w:rPr>
          <w:rFonts w:cs="Arial"/>
        </w:rPr>
        <w:t>Desde esa perspectiva</w:t>
      </w:r>
      <w:r w:rsidR="004372F3" w:rsidRPr="00415AD8">
        <w:rPr>
          <w:rFonts w:cs="Arial"/>
        </w:rPr>
        <w:t>,</w:t>
      </w:r>
      <w:r w:rsidRPr="00415AD8">
        <w:rPr>
          <w:rFonts w:cs="Arial"/>
        </w:rPr>
        <w:t xml:space="preserve"> el procedimiento que se sigue contra la compañía de seguros no tiene por objeto imponerle una </w:t>
      </w:r>
      <w:r w:rsidR="00A32EBB" w:rsidRPr="00415AD8">
        <w:rPr>
          <w:rFonts w:cs="Arial"/>
        </w:rPr>
        <w:t>sanción</w:t>
      </w:r>
      <w:r w:rsidR="000A15EE" w:rsidRPr="00415AD8">
        <w:rPr>
          <w:rFonts w:cs="Arial"/>
        </w:rPr>
        <w:t xml:space="preserve">, sino que está destinado a hacer efectiva la garantía. </w:t>
      </w:r>
      <w:r w:rsidR="00A32EBB" w:rsidRPr="00415AD8">
        <w:rPr>
          <w:rFonts w:cs="Arial"/>
        </w:rPr>
        <w:t xml:space="preserve"> </w:t>
      </w:r>
    </w:p>
    <w:p w:rsidR="000A15EE" w:rsidRPr="00415AD8" w:rsidRDefault="000A15EE" w:rsidP="00415AD8">
      <w:pPr>
        <w:rPr>
          <w:rFonts w:cs="Arial"/>
        </w:rPr>
      </w:pPr>
    </w:p>
    <w:p w:rsidR="00A32EBB" w:rsidRPr="00415AD8" w:rsidRDefault="000A15EE" w:rsidP="00415AD8">
      <w:pPr>
        <w:rPr>
          <w:rFonts w:cs="Arial"/>
        </w:rPr>
      </w:pPr>
      <w:r w:rsidRPr="00415AD8">
        <w:rPr>
          <w:rFonts w:cs="Arial"/>
        </w:rPr>
        <w:lastRenderedPageBreak/>
        <w:t xml:space="preserve">Sin embargo, </w:t>
      </w:r>
      <w:r w:rsidR="00A32EBB" w:rsidRPr="00415AD8">
        <w:rPr>
          <w:rFonts w:cs="Arial"/>
        </w:rPr>
        <w:t xml:space="preserve">se </w:t>
      </w:r>
      <w:r w:rsidRPr="00415AD8">
        <w:rPr>
          <w:rFonts w:cs="Arial"/>
        </w:rPr>
        <w:t xml:space="preserve">debe </w:t>
      </w:r>
      <w:r w:rsidR="00A32EBB" w:rsidRPr="00415AD8">
        <w:rPr>
          <w:rFonts w:cs="Arial"/>
        </w:rPr>
        <w:t xml:space="preserve">advertir que la Ley 1474 de 2011 fue asertiva cuando dispuso la vinculación de los garantes del contrato estatal al proceso sancionatorio que debe seguir la entidad estatal contratante, previo a declarar el incumplimiento del contratista en el contrato estatal.  </w:t>
      </w:r>
    </w:p>
    <w:p w:rsidR="00A32EBB" w:rsidRPr="00415AD8" w:rsidRDefault="00A32EBB" w:rsidP="00415AD8">
      <w:pPr>
        <w:rPr>
          <w:rFonts w:cs="Arial"/>
        </w:rPr>
      </w:pPr>
    </w:p>
    <w:p w:rsidR="00A32EBB" w:rsidRPr="00415AD8" w:rsidRDefault="00A32EBB" w:rsidP="00415AD8">
      <w:pPr>
        <w:rPr>
          <w:rFonts w:cs="Arial"/>
        </w:rPr>
      </w:pPr>
      <w:r w:rsidRPr="00415AD8">
        <w:rPr>
          <w:rFonts w:cs="Arial"/>
        </w:rPr>
        <w:t xml:space="preserve">Antes de la expedición de </w:t>
      </w:r>
      <w:r w:rsidR="000A15EE" w:rsidRPr="00415AD8">
        <w:rPr>
          <w:rFonts w:cs="Arial"/>
        </w:rPr>
        <w:t xml:space="preserve">la </w:t>
      </w:r>
      <w:r w:rsidR="00F71536" w:rsidRPr="00415AD8">
        <w:rPr>
          <w:rFonts w:cs="Arial"/>
        </w:rPr>
        <w:t>L</w:t>
      </w:r>
      <w:r w:rsidR="000A15EE" w:rsidRPr="00415AD8">
        <w:rPr>
          <w:rFonts w:cs="Arial"/>
        </w:rPr>
        <w:t>ey 1474 de 2011</w:t>
      </w:r>
      <w:r w:rsidRPr="00415AD8">
        <w:rPr>
          <w:rFonts w:cs="Arial"/>
        </w:rPr>
        <w:t xml:space="preserve">, las reglas del debido proceso en la actuación administrativa contractual </w:t>
      </w:r>
      <w:r w:rsidR="000A15EE" w:rsidRPr="00415AD8">
        <w:rPr>
          <w:rFonts w:cs="Arial"/>
        </w:rPr>
        <w:t xml:space="preserve">destinada a </w:t>
      </w:r>
      <w:r w:rsidRPr="00415AD8">
        <w:rPr>
          <w:rFonts w:cs="Arial"/>
        </w:rPr>
        <w:t xml:space="preserve">hacer efectiva la póliza de seguros se rigieron el Código Contencioso Administrativo, </w:t>
      </w:r>
      <w:r w:rsidR="00FC62FF" w:rsidRPr="00415AD8">
        <w:rPr>
          <w:rFonts w:cs="Arial"/>
        </w:rPr>
        <w:t xml:space="preserve">sin perjuicio de la observancia del procedimiento de reclamación </w:t>
      </w:r>
      <w:r w:rsidR="00A04874" w:rsidRPr="00415AD8">
        <w:rPr>
          <w:rFonts w:cs="Arial"/>
        </w:rPr>
        <w:t xml:space="preserve">previsto en el </w:t>
      </w:r>
      <w:r w:rsidR="00FC62FF" w:rsidRPr="00415AD8">
        <w:rPr>
          <w:rFonts w:cs="Arial"/>
        </w:rPr>
        <w:t xml:space="preserve">artículo </w:t>
      </w:r>
      <w:r w:rsidR="001B0371" w:rsidRPr="00415AD8">
        <w:rPr>
          <w:rFonts w:cs="Arial"/>
        </w:rPr>
        <w:t xml:space="preserve">1077 del </w:t>
      </w:r>
      <w:r w:rsidR="00FC62FF" w:rsidRPr="00415AD8">
        <w:rPr>
          <w:rFonts w:cs="Arial"/>
        </w:rPr>
        <w:t>Código de Comercio</w:t>
      </w:r>
      <w:r w:rsidR="001B0371" w:rsidRPr="00415AD8">
        <w:rPr>
          <w:rFonts w:cs="Arial"/>
        </w:rPr>
        <w:t xml:space="preserve">, </w:t>
      </w:r>
      <w:r w:rsidRPr="00415AD8">
        <w:rPr>
          <w:rFonts w:cs="Arial"/>
        </w:rPr>
        <w:t xml:space="preserve">hasta que la Ley 1150 de 2007 se refirió de manera </w:t>
      </w:r>
      <w:r w:rsidR="000A15EE" w:rsidRPr="00415AD8">
        <w:rPr>
          <w:rFonts w:cs="Arial"/>
        </w:rPr>
        <w:t xml:space="preserve">especial </w:t>
      </w:r>
      <w:r w:rsidRPr="00415AD8">
        <w:rPr>
          <w:rFonts w:cs="Arial"/>
        </w:rPr>
        <w:t>al proceso sancionatorio</w:t>
      </w:r>
      <w:r w:rsidR="000A15EE" w:rsidRPr="00415AD8">
        <w:rPr>
          <w:rFonts w:cs="Arial"/>
        </w:rPr>
        <w:t xml:space="preserve"> contractual</w:t>
      </w:r>
      <w:r w:rsidRPr="00415AD8">
        <w:rPr>
          <w:rFonts w:cs="Arial"/>
        </w:rPr>
        <w:t xml:space="preserve">, </w:t>
      </w:r>
      <w:r w:rsidR="005F5C3A" w:rsidRPr="00415AD8">
        <w:rPr>
          <w:rFonts w:cs="Arial"/>
        </w:rPr>
        <w:t>d</w:t>
      </w:r>
      <w:r w:rsidRPr="00415AD8">
        <w:rPr>
          <w:rFonts w:cs="Arial"/>
        </w:rPr>
        <w:t xml:space="preserve">e manera específica frente a las multas y la cláusula penal. </w:t>
      </w:r>
    </w:p>
    <w:p w:rsidR="00C14343" w:rsidRPr="00415AD8" w:rsidRDefault="00527151" w:rsidP="00415AD8">
      <w:pPr>
        <w:pStyle w:val="NormalWeb"/>
        <w:shd w:val="clear" w:color="auto" w:fill="FFFFFF"/>
        <w:spacing w:before="0" w:beforeAutospacing="0" w:after="0" w:afterAutospacing="0"/>
        <w:rPr>
          <w:rFonts w:cs="Arial"/>
          <w:b/>
          <w:bCs/>
          <w:color w:val="000000"/>
          <w:shd w:val="clear" w:color="auto" w:fill="FFFFFF"/>
        </w:rPr>
      </w:pPr>
      <w:r w:rsidRPr="00415AD8">
        <w:rPr>
          <w:rFonts w:cs="Arial"/>
        </w:rPr>
        <w:t>E</w:t>
      </w:r>
      <w:r w:rsidR="00C14343" w:rsidRPr="00415AD8">
        <w:rPr>
          <w:rFonts w:cs="Arial"/>
        </w:rPr>
        <w:t xml:space="preserve">n </w:t>
      </w:r>
      <w:r w:rsidR="00C14343" w:rsidRPr="00415AD8">
        <w:rPr>
          <w:rFonts w:cs="Arial"/>
          <w:bCs/>
          <w:color w:val="000000"/>
        </w:rPr>
        <w:t>S</w:t>
      </w:r>
      <w:r w:rsidR="00171DB6" w:rsidRPr="00415AD8">
        <w:rPr>
          <w:rFonts w:cs="Arial"/>
          <w:bCs/>
          <w:color w:val="000000"/>
        </w:rPr>
        <w:t xml:space="preserve">entencia </w:t>
      </w:r>
      <w:r w:rsidR="00C14343" w:rsidRPr="00415AD8">
        <w:rPr>
          <w:rFonts w:cs="Arial"/>
          <w:bCs/>
          <w:color w:val="000000"/>
        </w:rPr>
        <w:t>C-499 de 5 de agosto de 2015,</w:t>
      </w:r>
      <w:r w:rsidR="00C14343" w:rsidRPr="00415AD8">
        <w:rPr>
          <w:rFonts w:cs="Arial"/>
          <w:b/>
          <w:bCs/>
          <w:color w:val="000000"/>
        </w:rPr>
        <w:t xml:space="preserve"> </w:t>
      </w:r>
      <w:r w:rsidR="00C14343" w:rsidRPr="00415AD8">
        <w:rPr>
          <w:rFonts w:cs="Arial"/>
        </w:rPr>
        <w:t xml:space="preserve">la Corte Constitucional declaró exequible </w:t>
      </w:r>
      <w:r w:rsidR="00171DB6" w:rsidRPr="00415AD8">
        <w:rPr>
          <w:rFonts w:cs="Arial"/>
        </w:rPr>
        <w:t>el artículo 86 de la Ley 1474 de 20</w:t>
      </w:r>
      <w:r w:rsidR="008E212B" w:rsidRPr="00415AD8">
        <w:rPr>
          <w:rFonts w:cs="Arial"/>
        </w:rPr>
        <w:t>1</w:t>
      </w:r>
      <w:r w:rsidR="00171DB6" w:rsidRPr="00415AD8">
        <w:rPr>
          <w:rFonts w:cs="Arial"/>
        </w:rPr>
        <w:t xml:space="preserve">1, en cuanto a </w:t>
      </w:r>
      <w:r w:rsidR="0071571A" w:rsidRPr="00415AD8">
        <w:rPr>
          <w:rFonts w:cs="Arial"/>
        </w:rPr>
        <w:t>la expresión referida a la cuantificación de perjuicios</w:t>
      </w:r>
      <w:r w:rsidR="00C14343" w:rsidRPr="00415AD8">
        <w:rPr>
          <w:rStyle w:val="Refdenotaalpie"/>
          <w:rFonts w:cs="Arial"/>
        </w:rPr>
        <w:footnoteReference w:id="26"/>
      </w:r>
      <w:r w:rsidR="001B0371" w:rsidRPr="00415AD8">
        <w:rPr>
          <w:rFonts w:cs="Arial"/>
        </w:rPr>
        <w:t>. E</w:t>
      </w:r>
      <w:r w:rsidR="00171DB6" w:rsidRPr="00415AD8">
        <w:rPr>
          <w:rFonts w:cs="Arial"/>
          <w:bCs/>
          <w:color w:val="000000"/>
          <w:shd w:val="clear" w:color="auto" w:fill="FFFFFF"/>
        </w:rPr>
        <w:t>n esa oportunidad</w:t>
      </w:r>
      <w:r w:rsidR="00135D07" w:rsidRPr="00415AD8">
        <w:rPr>
          <w:rFonts w:cs="Arial"/>
          <w:bCs/>
          <w:color w:val="000000"/>
          <w:shd w:val="clear" w:color="auto" w:fill="FFFFFF"/>
        </w:rPr>
        <w:t>,</w:t>
      </w:r>
      <w:r w:rsidR="00171DB6" w:rsidRPr="00415AD8">
        <w:rPr>
          <w:rFonts w:cs="Arial"/>
          <w:bCs/>
          <w:color w:val="000000"/>
          <w:shd w:val="clear" w:color="auto" w:fill="FFFFFF"/>
        </w:rPr>
        <w:t xml:space="preserve"> </w:t>
      </w:r>
      <w:r w:rsidR="001B0371" w:rsidRPr="00415AD8">
        <w:rPr>
          <w:rFonts w:cs="Arial"/>
          <w:bCs/>
          <w:color w:val="000000"/>
          <w:shd w:val="clear" w:color="auto" w:fill="FFFFFF"/>
        </w:rPr>
        <w:t xml:space="preserve">la Corte Constitucional </w:t>
      </w:r>
      <w:r w:rsidR="00A060E9" w:rsidRPr="00415AD8">
        <w:rPr>
          <w:rFonts w:cs="Arial"/>
          <w:bCs/>
          <w:color w:val="000000"/>
          <w:shd w:val="clear" w:color="auto" w:fill="FFFFFF"/>
        </w:rPr>
        <w:t xml:space="preserve">advirtió que en el </w:t>
      </w:r>
      <w:r w:rsidR="00171DB6" w:rsidRPr="00415AD8">
        <w:rPr>
          <w:rFonts w:cs="Arial"/>
          <w:bCs/>
          <w:color w:val="000000"/>
          <w:shd w:val="clear" w:color="auto" w:fill="FFFFFF"/>
        </w:rPr>
        <w:t xml:space="preserve">debido proceso administrativo </w:t>
      </w:r>
      <w:r w:rsidR="00A060E9" w:rsidRPr="00415AD8">
        <w:rPr>
          <w:rFonts w:cs="Arial"/>
          <w:bCs/>
          <w:color w:val="000000"/>
          <w:shd w:val="clear" w:color="auto" w:fill="FFFFFF"/>
        </w:rPr>
        <w:t xml:space="preserve">debe tenerse en cuenta </w:t>
      </w:r>
      <w:r w:rsidR="00171DB6" w:rsidRPr="00415AD8">
        <w:rPr>
          <w:rFonts w:cs="Arial"/>
          <w:bCs/>
          <w:color w:val="000000"/>
          <w:shd w:val="clear" w:color="auto" w:fill="FFFFFF"/>
        </w:rPr>
        <w:t xml:space="preserve">la prevalencia del derecho sustancial </w:t>
      </w:r>
      <w:r w:rsidR="00A060E9" w:rsidRPr="00415AD8">
        <w:rPr>
          <w:rFonts w:cs="Arial"/>
          <w:bCs/>
          <w:color w:val="000000"/>
          <w:shd w:val="clear" w:color="auto" w:fill="FFFFFF"/>
        </w:rPr>
        <w:t>sobre las formas de procedimiento</w:t>
      </w:r>
      <w:r w:rsidR="00171DB6" w:rsidRPr="00415AD8">
        <w:rPr>
          <w:rFonts w:cs="Arial"/>
          <w:bCs/>
          <w:color w:val="000000"/>
          <w:shd w:val="clear" w:color="auto" w:fill="FFFFFF"/>
        </w:rPr>
        <w:t xml:space="preserve">, </w:t>
      </w:r>
      <w:r w:rsidR="00A060E9" w:rsidRPr="00415AD8">
        <w:rPr>
          <w:rFonts w:cs="Arial"/>
          <w:bCs/>
          <w:color w:val="000000"/>
          <w:shd w:val="clear" w:color="auto" w:fill="FFFFFF"/>
        </w:rPr>
        <w:t xml:space="preserve">tal como lo expresó en la </w:t>
      </w:r>
      <w:r w:rsidR="00171DB6" w:rsidRPr="00415AD8">
        <w:rPr>
          <w:rFonts w:cs="Arial"/>
          <w:bCs/>
          <w:color w:val="000000"/>
          <w:shd w:val="clear" w:color="auto" w:fill="FFFFFF"/>
        </w:rPr>
        <w:t>siguiente con</w:t>
      </w:r>
      <w:r w:rsidR="00A060E9" w:rsidRPr="00415AD8">
        <w:rPr>
          <w:rFonts w:cs="Arial"/>
          <w:bCs/>
          <w:color w:val="000000"/>
          <w:shd w:val="clear" w:color="auto" w:fill="FFFFFF"/>
        </w:rPr>
        <w:t>clusión</w:t>
      </w:r>
      <w:r w:rsidR="00171DB6" w:rsidRPr="00415AD8">
        <w:rPr>
          <w:rFonts w:cs="Arial"/>
          <w:bCs/>
          <w:color w:val="000000"/>
          <w:shd w:val="clear" w:color="auto" w:fill="FFFFFF"/>
        </w:rPr>
        <w:t>:</w:t>
      </w:r>
      <w:r w:rsidR="00171DB6" w:rsidRPr="00415AD8">
        <w:rPr>
          <w:rFonts w:cs="Arial"/>
          <w:b/>
          <w:bCs/>
          <w:color w:val="000000"/>
          <w:shd w:val="clear" w:color="auto" w:fill="FFFFFF"/>
        </w:rPr>
        <w:t xml:space="preserve"> </w:t>
      </w:r>
    </w:p>
    <w:p w:rsidR="00C14343" w:rsidRPr="00415AD8" w:rsidRDefault="00613927" w:rsidP="00415AD8">
      <w:pPr>
        <w:pStyle w:val="Textoindependiente"/>
        <w:widowControl w:val="0"/>
        <w:spacing w:line="276" w:lineRule="auto"/>
        <w:rPr>
          <w:rFonts w:cs="Arial"/>
          <w:i/>
          <w:szCs w:val="24"/>
        </w:rPr>
      </w:pPr>
      <w:r w:rsidRPr="00415AD8">
        <w:rPr>
          <w:rFonts w:cs="Arial"/>
          <w:bCs/>
          <w:i/>
          <w:color w:val="000000"/>
          <w:szCs w:val="24"/>
          <w:shd w:val="clear" w:color="auto" w:fill="FFFFFF"/>
        </w:rPr>
        <w:t>“</w:t>
      </w:r>
      <w:r w:rsidR="00C14343" w:rsidRPr="00415AD8">
        <w:rPr>
          <w:rFonts w:cs="Arial"/>
          <w:b/>
          <w:bCs/>
          <w:i/>
          <w:color w:val="000000"/>
          <w:szCs w:val="24"/>
          <w:shd w:val="clear" w:color="auto" w:fill="FFFFFF"/>
        </w:rPr>
        <w:t>5. Segundo cargo: vulneración del derecho a un debido proceso (art. 29 CP), del principio de buena fe (art. 83 CP) y del principio de prevalencia del derecho sustancial sobre las formalidades (art. 228 CP). </w:t>
      </w:r>
      <w:r w:rsidR="00C14343" w:rsidRPr="00415AD8">
        <w:rPr>
          <w:rFonts w:cs="Arial"/>
          <w:i/>
          <w:color w:val="000000"/>
          <w:szCs w:val="24"/>
          <w:shd w:val="clear" w:color="auto" w:fill="FFFFFF"/>
        </w:rPr>
        <w:t xml:space="preserve">En el análisis de este cargo se estudió el derecho a un debido proceso, para destacar su aplicación en las actuaciones judiciales y administrativas, con las particularidades de cada una de ellas conforme a su finalidad; el principio de buena fe, para precisar su sentido y señalar que la presunción de buena fe admite prueba en contrario y que en algunos casos excepcionales es posible presumir la mala fe; y </w:t>
      </w:r>
      <w:r w:rsidR="00C14343" w:rsidRPr="00415AD8">
        <w:rPr>
          <w:rFonts w:cs="Arial"/>
          <w:b/>
          <w:i/>
          <w:color w:val="000000"/>
          <w:szCs w:val="24"/>
          <w:shd w:val="clear" w:color="auto" w:fill="FFFFFF"/>
        </w:rPr>
        <w:t>el principio de prevalencia del derecho sustancial sobre las formalidades, para poner de presente la función instrumental que tienen éstas respecto de aquél</w:t>
      </w:r>
      <w:r w:rsidR="00C14343" w:rsidRPr="00415AD8">
        <w:rPr>
          <w:rFonts w:cs="Arial"/>
          <w:i/>
          <w:color w:val="000000"/>
          <w:szCs w:val="24"/>
          <w:shd w:val="clear" w:color="auto" w:fill="FFFFFF"/>
        </w:rPr>
        <w:t xml:space="preserve">. A partir de estos parámetros, se descendió al caso concreto (i) para advertir que la cuantificación de los perjuicios derivados del incumplimiento del contrato estatal debe hacerse por medio de una resolución motivada de la entidad estatal, luego haberse seguido un procedimiento administrativo, al cual </w:t>
      </w:r>
      <w:r w:rsidR="00C14343" w:rsidRPr="00415AD8">
        <w:rPr>
          <w:rFonts w:cs="Arial"/>
          <w:b/>
          <w:i/>
          <w:color w:val="000000"/>
          <w:szCs w:val="24"/>
          <w:shd w:val="clear" w:color="auto" w:fill="FFFFFF"/>
        </w:rPr>
        <w:t>el contratista y su garante son citados, pueden intervenir y tienen la posibilidad de presentar pruebas y controvertir las que se presenten en su contra</w:t>
      </w:r>
      <w:r w:rsidR="00C14343" w:rsidRPr="00415AD8">
        <w:rPr>
          <w:rFonts w:cs="Arial"/>
          <w:i/>
          <w:color w:val="000000"/>
          <w:szCs w:val="24"/>
          <w:shd w:val="clear" w:color="auto" w:fill="FFFFFF"/>
        </w:rPr>
        <w:t xml:space="preserve">; </w:t>
      </w:r>
      <w:r w:rsidR="00A060E9" w:rsidRPr="00415AD8">
        <w:rPr>
          <w:rFonts w:cs="Arial"/>
          <w:i/>
          <w:color w:val="000000"/>
          <w:szCs w:val="24"/>
          <w:shd w:val="clear" w:color="auto" w:fill="FFFFFF"/>
        </w:rPr>
        <w:t>(…).</w:t>
      </w:r>
      <w:r w:rsidR="00C14343" w:rsidRPr="00415AD8">
        <w:rPr>
          <w:rFonts w:cs="Arial"/>
          <w:i/>
          <w:color w:val="000000"/>
          <w:szCs w:val="24"/>
          <w:shd w:val="clear" w:color="auto" w:fill="FFFFFF"/>
        </w:rPr>
        <w:t>y (iv) para destacar que el procedimiento administrativo en su trámite y, en especial, en cuanto atañe a la práctica, controversia y valoración de las pruebas, no desconoce el derecho a un debido proceso</w:t>
      </w:r>
      <w:r w:rsidR="008E212B" w:rsidRPr="00415AD8">
        <w:rPr>
          <w:rFonts w:cs="Arial"/>
          <w:i/>
          <w:color w:val="000000"/>
          <w:szCs w:val="24"/>
          <w:shd w:val="clear" w:color="auto" w:fill="FFFFFF"/>
        </w:rPr>
        <w:t>”</w:t>
      </w:r>
      <w:r w:rsidR="00C14343" w:rsidRPr="00415AD8">
        <w:rPr>
          <w:rFonts w:cs="Arial"/>
          <w:i/>
          <w:color w:val="000000"/>
          <w:szCs w:val="24"/>
          <w:shd w:val="clear" w:color="auto" w:fill="FFFFFF"/>
        </w:rPr>
        <w:t>.</w:t>
      </w:r>
      <w:r w:rsidR="00C14343" w:rsidRPr="00415AD8">
        <w:rPr>
          <w:rFonts w:cs="Arial"/>
          <w:i/>
          <w:szCs w:val="24"/>
        </w:rPr>
        <w:t xml:space="preserve"> </w:t>
      </w:r>
    </w:p>
    <w:p w:rsidR="00EC3D8E" w:rsidRPr="00415AD8" w:rsidRDefault="00EC3D8E" w:rsidP="00415AD8">
      <w:pPr>
        <w:pStyle w:val="Textoindependiente"/>
        <w:widowControl w:val="0"/>
        <w:rPr>
          <w:rFonts w:cs="Arial"/>
          <w:i/>
          <w:szCs w:val="24"/>
        </w:rPr>
      </w:pPr>
    </w:p>
    <w:p w:rsidR="00B73756" w:rsidRPr="00415AD8" w:rsidRDefault="00B73756" w:rsidP="00415AD8">
      <w:pPr>
        <w:pStyle w:val="Textoindependiente"/>
        <w:widowControl w:val="0"/>
        <w:rPr>
          <w:rFonts w:cs="Arial"/>
          <w:bCs/>
          <w:color w:val="000000"/>
          <w:szCs w:val="24"/>
          <w:shd w:val="clear" w:color="auto" w:fill="FFFFFF"/>
        </w:rPr>
      </w:pPr>
      <w:r w:rsidRPr="00415AD8">
        <w:rPr>
          <w:rFonts w:cs="Arial"/>
          <w:bCs/>
          <w:color w:val="000000"/>
          <w:szCs w:val="24"/>
          <w:shd w:val="clear" w:color="auto" w:fill="FFFFFF"/>
        </w:rPr>
        <w:t>En cuanto al proce</w:t>
      </w:r>
      <w:r w:rsidR="005F5C3A" w:rsidRPr="00415AD8">
        <w:rPr>
          <w:rFonts w:cs="Arial"/>
          <w:bCs/>
          <w:color w:val="000000"/>
          <w:szCs w:val="24"/>
          <w:shd w:val="clear" w:color="auto" w:fill="FFFFFF"/>
        </w:rPr>
        <w:t>dimiento regulado en la Ley 1474 de 2011</w:t>
      </w:r>
      <w:r w:rsidRPr="00415AD8">
        <w:rPr>
          <w:rFonts w:cs="Arial"/>
          <w:bCs/>
          <w:color w:val="000000"/>
          <w:szCs w:val="24"/>
          <w:shd w:val="clear" w:color="auto" w:fill="FFFFFF"/>
        </w:rPr>
        <w:t xml:space="preserve">, </w:t>
      </w:r>
      <w:r w:rsidR="00086912" w:rsidRPr="00415AD8">
        <w:rPr>
          <w:rFonts w:cs="Arial"/>
          <w:bCs/>
          <w:color w:val="000000"/>
          <w:szCs w:val="24"/>
          <w:shd w:val="clear" w:color="auto" w:fill="FFFFFF"/>
        </w:rPr>
        <w:t xml:space="preserve">al que se hace </w:t>
      </w:r>
      <w:r w:rsidR="00086912" w:rsidRPr="00415AD8">
        <w:rPr>
          <w:rFonts w:cs="Arial"/>
          <w:bCs/>
          <w:color w:val="000000"/>
          <w:szCs w:val="24"/>
          <w:shd w:val="clear" w:color="auto" w:fill="FFFFFF"/>
        </w:rPr>
        <w:lastRenderedPageBreak/>
        <w:t xml:space="preserve">referencia, </w:t>
      </w:r>
      <w:r w:rsidRPr="00415AD8">
        <w:rPr>
          <w:rFonts w:cs="Arial"/>
          <w:bCs/>
          <w:color w:val="000000"/>
          <w:szCs w:val="24"/>
          <w:shd w:val="clear" w:color="auto" w:fill="FFFFFF"/>
        </w:rPr>
        <w:t>la Corte Co</w:t>
      </w:r>
      <w:r w:rsidR="00EC3D8E" w:rsidRPr="00415AD8">
        <w:rPr>
          <w:rFonts w:cs="Arial"/>
          <w:bCs/>
          <w:color w:val="000000"/>
          <w:szCs w:val="24"/>
          <w:shd w:val="clear" w:color="auto" w:fill="FFFFFF"/>
        </w:rPr>
        <w:t>n</w:t>
      </w:r>
      <w:r w:rsidRPr="00415AD8">
        <w:rPr>
          <w:rFonts w:cs="Arial"/>
          <w:bCs/>
          <w:color w:val="000000"/>
          <w:szCs w:val="24"/>
          <w:shd w:val="clear" w:color="auto" w:fill="FFFFFF"/>
        </w:rPr>
        <w:t>stitucional indicó</w:t>
      </w:r>
      <w:r w:rsidR="008E212B" w:rsidRPr="00415AD8">
        <w:rPr>
          <w:rFonts w:cs="Arial"/>
          <w:bCs/>
          <w:color w:val="000000"/>
          <w:szCs w:val="24"/>
          <w:shd w:val="clear" w:color="auto" w:fill="FFFFFF"/>
        </w:rPr>
        <w:t xml:space="preserve"> el alcance de la garantía del debido proceso con fundamento en las siguiente</w:t>
      </w:r>
      <w:r w:rsidR="001B0371" w:rsidRPr="00415AD8">
        <w:rPr>
          <w:rFonts w:cs="Arial"/>
          <w:bCs/>
          <w:color w:val="000000"/>
          <w:szCs w:val="24"/>
          <w:shd w:val="clear" w:color="auto" w:fill="FFFFFF"/>
        </w:rPr>
        <w:t>s</w:t>
      </w:r>
      <w:r w:rsidR="008E212B" w:rsidRPr="00415AD8">
        <w:rPr>
          <w:rFonts w:cs="Arial"/>
          <w:bCs/>
          <w:color w:val="000000"/>
          <w:szCs w:val="24"/>
          <w:shd w:val="clear" w:color="auto" w:fill="FFFFFF"/>
        </w:rPr>
        <w:t xml:space="preserve"> precisiones: </w:t>
      </w:r>
    </w:p>
    <w:p w:rsidR="00B73756" w:rsidRPr="00415AD8" w:rsidRDefault="00B73756" w:rsidP="00415AD8">
      <w:pPr>
        <w:pStyle w:val="Textoindependiente"/>
        <w:widowControl w:val="0"/>
        <w:rPr>
          <w:rFonts w:cs="Arial"/>
          <w:bCs/>
          <w:i/>
          <w:color w:val="000000"/>
          <w:szCs w:val="24"/>
          <w:shd w:val="clear" w:color="auto" w:fill="FFFFFF"/>
        </w:rPr>
      </w:pPr>
    </w:p>
    <w:p w:rsidR="00B73756" w:rsidRPr="00415AD8" w:rsidRDefault="00B73756" w:rsidP="00415AD8">
      <w:pPr>
        <w:pStyle w:val="Textoindependiente"/>
        <w:widowControl w:val="0"/>
        <w:spacing w:line="276" w:lineRule="auto"/>
        <w:rPr>
          <w:rFonts w:cs="Arial"/>
          <w:szCs w:val="24"/>
        </w:rPr>
      </w:pPr>
      <w:r w:rsidRPr="00415AD8">
        <w:rPr>
          <w:rFonts w:cs="Arial"/>
          <w:i/>
          <w:color w:val="000000"/>
          <w:szCs w:val="24"/>
          <w:shd w:val="clear" w:color="auto" w:fill="FFFFFF"/>
        </w:rPr>
        <w:t>“5.5.5. El antedicho procedimiento, que debe seguirse de manera necesaria para que la entidad estatal pueda ejercer las facultades previstas en el artículo 86 de la Ley 1474 de 2011</w:t>
      </w:r>
      <w:bookmarkStart w:id="2" w:name="_ftnref51"/>
      <w:r w:rsidRPr="00415AD8">
        <w:rPr>
          <w:rFonts w:cs="Arial"/>
          <w:i/>
          <w:szCs w:val="24"/>
        </w:rPr>
        <w:fldChar w:fldCharType="begin"/>
      </w:r>
      <w:r w:rsidRPr="00415AD8">
        <w:rPr>
          <w:rFonts w:cs="Arial"/>
          <w:i/>
          <w:szCs w:val="24"/>
        </w:rPr>
        <w:instrText xml:space="preserve"> HYPERLINK "http://www.corteconstitucional.gov.co/RELATORIA/2015/C-499-15.htm" \l "_ftn51" \o "" </w:instrText>
      </w:r>
      <w:r w:rsidRPr="00415AD8">
        <w:rPr>
          <w:rFonts w:cs="Arial"/>
          <w:i/>
          <w:szCs w:val="24"/>
        </w:rPr>
        <w:fldChar w:fldCharType="separate"/>
      </w:r>
      <w:r w:rsidRPr="00415AD8">
        <w:rPr>
          <w:rStyle w:val="Hipervnculo"/>
          <w:rFonts w:cs="Arial"/>
          <w:i/>
          <w:color w:val="000000"/>
          <w:sz w:val="24"/>
          <w:szCs w:val="24"/>
          <w:bdr w:val="none" w:sz="0" w:space="0" w:color="auto" w:frame="1"/>
        </w:rPr>
        <w:t>[</w:t>
      </w:r>
      <w:r w:rsidRPr="00415AD8">
        <w:rPr>
          <w:rFonts w:cs="Arial"/>
          <w:i/>
          <w:szCs w:val="24"/>
        </w:rPr>
        <w:fldChar w:fldCharType="end"/>
      </w:r>
      <w:bookmarkEnd w:id="2"/>
      <w:r w:rsidRPr="00415AD8">
        <w:rPr>
          <w:rFonts w:cs="Arial"/>
          <w:i/>
          <w:color w:val="000000"/>
          <w:szCs w:val="24"/>
          <w:shd w:val="clear" w:color="auto" w:fill="FFFFFF"/>
        </w:rPr>
        <w:t xml:space="preserve">, garantiza que el contratista y su garante (i) </w:t>
      </w:r>
      <w:r w:rsidRPr="00415AD8">
        <w:rPr>
          <w:rFonts w:cs="Arial"/>
          <w:b/>
          <w:i/>
          <w:color w:val="000000"/>
          <w:szCs w:val="24"/>
          <w:shd w:val="clear" w:color="auto" w:fill="FFFFFF"/>
        </w:rPr>
        <w:t>serán informados en detalle y con los soportes correspondientes de los hechos en los que se funda la consideración de que el contrato se ha incumplido</w:t>
      </w:r>
      <w:r w:rsidRPr="00415AD8">
        <w:rPr>
          <w:rFonts w:cs="Arial"/>
          <w:i/>
          <w:color w:val="000000"/>
          <w:szCs w:val="24"/>
          <w:shd w:val="clear" w:color="auto" w:fill="FFFFFF"/>
        </w:rPr>
        <w:t xml:space="preserve">; (ii) </w:t>
      </w:r>
      <w:r w:rsidRPr="00415AD8">
        <w:rPr>
          <w:rFonts w:cs="Arial"/>
          <w:b/>
          <w:i/>
          <w:color w:val="000000"/>
          <w:szCs w:val="24"/>
          <w:shd w:val="clear" w:color="auto" w:fill="FFFFFF"/>
        </w:rPr>
        <w:t>tendrán la oportunidad de presentar sus descargos, dar explicaciones, aportar y controvertir pruebas</w:t>
      </w:r>
      <w:r w:rsidRPr="00415AD8">
        <w:rPr>
          <w:rFonts w:cs="Arial"/>
          <w:i/>
          <w:color w:val="000000"/>
          <w:szCs w:val="24"/>
          <w:shd w:val="clear" w:color="auto" w:fill="FFFFFF"/>
        </w:rPr>
        <w:t>; (iii) conocerán en la misma audiencia la resolución motivada de la entidad estatal y podrán presentar contra ella el recurso de reposición, que se tramitará y resolverá en la audiencia. Incluso, es posible suspender la audiencia, por razones de práctica de pruebas o por </w:t>
      </w:r>
      <w:r w:rsidRPr="00415AD8">
        <w:rPr>
          <w:rFonts w:cs="Arial"/>
          <w:i/>
          <w:iCs/>
          <w:color w:val="000000"/>
          <w:szCs w:val="24"/>
          <w:bdr w:val="none" w:sz="0" w:space="0" w:color="auto" w:frame="1"/>
          <w:shd w:val="clear" w:color="auto" w:fill="FFFFFF"/>
        </w:rPr>
        <w:t>“cualquier otra razón debidamente sustentada”. </w:t>
      </w:r>
      <w:r w:rsidRPr="00415AD8">
        <w:rPr>
          <w:rFonts w:cs="Arial"/>
          <w:i/>
          <w:color w:val="000000"/>
          <w:szCs w:val="24"/>
          <w:shd w:val="clear" w:color="auto" w:fill="FFFFFF"/>
        </w:rPr>
        <w:t>En estas circunstancias, la valoración probatoria, que es el fundamento de la resolución motivada por medio de la cual se cuantifica los perjuicios, no obedece a una presunción de mala fe del contratista, ni contraría la prevalencia del derecho sustancial, ni resulta de vulnerar el debido proceso en materia probatoria”</w:t>
      </w:r>
      <w:r w:rsidR="008E212B" w:rsidRPr="00415AD8">
        <w:rPr>
          <w:rFonts w:cs="Arial"/>
          <w:i/>
          <w:color w:val="000000"/>
          <w:szCs w:val="24"/>
          <w:shd w:val="clear" w:color="auto" w:fill="FFFFFF"/>
        </w:rPr>
        <w:t xml:space="preserve"> </w:t>
      </w:r>
      <w:r w:rsidR="008E212B" w:rsidRPr="00415AD8">
        <w:rPr>
          <w:rFonts w:cs="Arial"/>
          <w:color w:val="000000"/>
          <w:szCs w:val="24"/>
          <w:shd w:val="clear" w:color="auto" w:fill="FFFFFF"/>
        </w:rPr>
        <w:t>(la negrilla no es del texto)</w:t>
      </w:r>
      <w:r w:rsidRPr="00415AD8">
        <w:rPr>
          <w:rFonts w:cs="Arial"/>
          <w:color w:val="000000"/>
          <w:szCs w:val="24"/>
          <w:shd w:val="clear" w:color="auto" w:fill="FFFFFF"/>
        </w:rPr>
        <w:t>.</w:t>
      </w:r>
      <w:r w:rsidRPr="00415AD8">
        <w:rPr>
          <w:rFonts w:cs="Arial"/>
          <w:bCs/>
          <w:color w:val="000000"/>
          <w:szCs w:val="24"/>
          <w:shd w:val="clear" w:color="auto" w:fill="FFFFFF"/>
        </w:rPr>
        <w:t xml:space="preserve">  </w:t>
      </w:r>
    </w:p>
    <w:p w:rsidR="00C14343" w:rsidRPr="00415AD8" w:rsidRDefault="00C14343" w:rsidP="00415AD8">
      <w:pPr>
        <w:pStyle w:val="Textoindependiente"/>
        <w:widowControl w:val="0"/>
        <w:rPr>
          <w:rFonts w:cs="Arial"/>
          <w:i/>
          <w:szCs w:val="24"/>
        </w:rPr>
      </w:pPr>
    </w:p>
    <w:p w:rsidR="00272AFB" w:rsidRPr="00415AD8" w:rsidRDefault="001B0371" w:rsidP="00415AD8">
      <w:pPr>
        <w:rPr>
          <w:rFonts w:cs="Arial"/>
        </w:rPr>
      </w:pPr>
      <w:r w:rsidRPr="00415AD8">
        <w:rPr>
          <w:rFonts w:cs="Arial"/>
        </w:rPr>
        <w:t>De acuerdo con la anterior jurisprudencia, e</w:t>
      </w:r>
      <w:r w:rsidR="00272AFB" w:rsidRPr="00415AD8">
        <w:rPr>
          <w:rFonts w:cs="Arial"/>
        </w:rPr>
        <w:t>n tod</w:t>
      </w:r>
      <w:r w:rsidR="005F5C3A" w:rsidRPr="00415AD8">
        <w:rPr>
          <w:rFonts w:cs="Arial"/>
        </w:rPr>
        <w:t>a</w:t>
      </w:r>
      <w:r w:rsidR="00272AFB" w:rsidRPr="00415AD8">
        <w:rPr>
          <w:rFonts w:cs="Arial"/>
        </w:rPr>
        <w:t xml:space="preserve">s las actuaciones </w:t>
      </w:r>
      <w:r w:rsidR="000E0D43" w:rsidRPr="00415AD8">
        <w:rPr>
          <w:rFonts w:cs="Arial"/>
        </w:rPr>
        <w:t xml:space="preserve">referidas en la Ley 1474 de 2011 </w:t>
      </w:r>
      <w:r w:rsidR="00272AFB" w:rsidRPr="00415AD8">
        <w:rPr>
          <w:rFonts w:cs="Arial"/>
        </w:rPr>
        <w:t>el debido proceso debe garantizarse de manera real y sustancial, esto es, que no se trata de que el Estado cumpla con un rito en la actuación administrativa</w:t>
      </w:r>
      <w:r w:rsidR="00A04874" w:rsidRPr="00415AD8">
        <w:rPr>
          <w:rFonts w:cs="Arial"/>
        </w:rPr>
        <w:t>, dado que p</w:t>
      </w:r>
      <w:r w:rsidR="00C8561F" w:rsidRPr="00415AD8">
        <w:rPr>
          <w:rFonts w:cs="Arial"/>
        </w:rPr>
        <w:t xml:space="preserve">ara efectos de la protección efectiva del debido proceso se requiere que el Estado </w:t>
      </w:r>
      <w:r w:rsidR="00272AFB" w:rsidRPr="00415AD8">
        <w:rPr>
          <w:rFonts w:cs="Arial"/>
        </w:rPr>
        <w:t xml:space="preserve">permita la defensa </w:t>
      </w:r>
      <w:r w:rsidRPr="00415AD8">
        <w:rPr>
          <w:rFonts w:cs="Arial"/>
        </w:rPr>
        <w:t xml:space="preserve">real y material </w:t>
      </w:r>
      <w:r w:rsidR="00272AFB" w:rsidRPr="00415AD8">
        <w:rPr>
          <w:rFonts w:cs="Arial"/>
        </w:rPr>
        <w:t xml:space="preserve">del contratista, </w:t>
      </w:r>
      <w:r w:rsidR="00ED6821" w:rsidRPr="00415AD8">
        <w:rPr>
          <w:rFonts w:cs="Arial"/>
        </w:rPr>
        <w:t>y</w:t>
      </w:r>
      <w:r w:rsidR="00272AFB" w:rsidRPr="00415AD8">
        <w:rPr>
          <w:rFonts w:cs="Arial"/>
        </w:rPr>
        <w:t xml:space="preserve">, en su caso, la de la </w:t>
      </w:r>
      <w:r w:rsidR="00ED6821" w:rsidRPr="00415AD8">
        <w:rPr>
          <w:rFonts w:cs="Arial"/>
        </w:rPr>
        <w:t xml:space="preserve">entidad </w:t>
      </w:r>
      <w:r w:rsidR="00272AFB" w:rsidRPr="00415AD8">
        <w:rPr>
          <w:rFonts w:cs="Arial"/>
        </w:rPr>
        <w:t xml:space="preserve">garante del </w:t>
      </w:r>
      <w:r w:rsidR="00ED6821" w:rsidRPr="00415AD8">
        <w:rPr>
          <w:rFonts w:cs="Arial"/>
        </w:rPr>
        <w:t xml:space="preserve">cumplimiento del </w:t>
      </w:r>
      <w:r w:rsidR="00272AFB" w:rsidRPr="00415AD8">
        <w:rPr>
          <w:rFonts w:cs="Arial"/>
        </w:rPr>
        <w:t xml:space="preserve">contrato. </w:t>
      </w:r>
    </w:p>
    <w:p w:rsidR="00272AFB" w:rsidRPr="00415AD8" w:rsidRDefault="00272AFB" w:rsidP="00415AD8">
      <w:pPr>
        <w:rPr>
          <w:rFonts w:cs="Arial"/>
        </w:rPr>
      </w:pPr>
    </w:p>
    <w:p w:rsidR="00272AFB" w:rsidRPr="00415AD8" w:rsidRDefault="001D0475" w:rsidP="00415AD8">
      <w:pPr>
        <w:rPr>
          <w:rFonts w:cs="Arial"/>
          <w:lang w:val="es-CO"/>
        </w:rPr>
      </w:pPr>
      <w:r w:rsidRPr="00415AD8">
        <w:rPr>
          <w:rFonts w:cs="Arial"/>
        </w:rPr>
        <w:t>Sin embargo, d</w:t>
      </w:r>
      <w:r w:rsidR="00272AFB" w:rsidRPr="00415AD8">
        <w:rPr>
          <w:rFonts w:cs="Arial"/>
        </w:rPr>
        <w:t>esde otro ángulo</w:t>
      </w:r>
      <w:r w:rsidR="00C8561F" w:rsidRPr="00415AD8">
        <w:rPr>
          <w:rFonts w:cs="Arial"/>
        </w:rPr>
        <w:t xml:space="preserve"> de la misma situación jurídica</w:t>
      </w:r>
      <w:r w:rsidR="00272AFB" w:rsidRPr="00415AD8">
        <w:rPr>
          <w:rFonts w:cs="Arial"/>
        </w:rPr>
        <w:t xml:space="preserve">, con </w:t>
      </w:r>
      <w:r w:rsidR="00C8561F" w:rsidRPr="00415AD8">
        <w:rPr>
          <w:rFonts w:cs="Arial"/>
        </w:rPr>
        <w:t xml:space="preserve">idéntico </w:t>
      </w:r>
      <w:r w:rsidR="00272AFB" w:rsidRPr="00415AD8">
        <w:rPr>
          <w:rFonts w:cs="Arial"/>
        </w:rPr>
        <w:t>fundamento</w:t>
      </w:r>
      <w:r w:rsidR="00C8561F" w:rsidRPr="00415AD8">
        <w:rPr>
          <w:rFonts w:cs="Arial"/>
        </w:rPr>
        <w:t xml:space="preserve"> e</w:t>
      </w:r>
      <w:r w:rsidRPr="00415AD8">
        <w:rPr>
          <w:rFonts w:cs="Arial"/>
        </w:rPr>
        <w:t xml:space="preserve">n el </w:t>
      </w:r>
      <w:r w:rsidR="00C8561F" w:rsidRPr="00415AD8">
        <w:rPr>
          <w:rFonts w:cs="Arial"/>
        </w:rPr>
        <w:t>principio constitucional del debido proceso</w:t>
      </w:r>
      <w:r w:rsidRPr="00415AD8">
        <w:rPr>
          <w:rFonts w:cs="Arial"/>
        </w:rPr>
        <w:t xml:space="preserve"> y </w:t>
      </w:r>
      <w:r w:rsidR="00ED6821" w:rsidRPr="00415AD8">
        <w:rPr>
          <w:rFonts w:cs="Arial"/>
        </w:rPr>
        <w:t xml:space="preserve">en </w:t>
      </w:r>
      <w:r w:rsidRPr="00415AD8">
        <w:rPr>
          <w:rFonts w:cs="Arial"/>
        </w:rPr>
        <w:t>la garantía del derecho de defensa</w:t>
      </w:r>
      <w:r w:rsidR="00C8561F" w:rsidRPr="00415AD8">
        <w:rPr>
          <w:rFonts w:cs="Arial"/>
        </w:rPr>
        <w:t xml:space="preserve">, </w:t>
      </w:r>
      <w:r w:rsidR="00272AFB" w:rsidRPr="00415AD8">
        <w:rPr>
          <w:rFonts w:cs="Arial"/>
        </w:rPr>
        <w:t xml:space="preserve">se tiene que advertir que </w:t>
      </w:r>
      <w:r w:rsidRPr="00415AD8">
        <w:rPr>
          <w:rFonts w:cs="Arial"/>
        </w:rPr>
        <w:t xml:space="preserve">el afectado que </w:t>
      </w:r>
      <w:r w:rsidR="00272AFB" w:rsidRPr="00415AD8">
        <w:rPr>
          <w:rFonts w:cs="Arial"/>
          <w:lang w:val="es-CO"/>
        </w:rPr>
        <w:t xml:space="preserve">impugna un acto </w:t>
      </w:r>
      <w:r w:rsidR="00C67768" w:rsidRPr="00415AD8">
        <w:rPr>
          <w:rFonts w:cs="Arial"/>
          <w:lang w:val="es-CO"/>
        </w:rPr>
        <w:t xml:space="preserve">administrativo </w:t>
      </w:r>
      <w:r w:rsidR="000E0D43" w:rsidRPr="00415AD8">
        <w:rPr>
          <w:rFonts w:cs="Arial"/>
          <w:lang w:val="es-CO"/>
        </w:rPr>
        <w:t xml:space="preserve">invocando </w:t>
      </w:r>
      <w:r w:rsidR="00272AFB" w:rsidRPr="00415AD8">
        <w:rPr>
          <w:rFonts w:cs="Arial"/>
          <w:lang w:val="es-CO"/>
        </w:rPr>
        <w:t>una irregularidad proce</w:t>
      </w:r>
      <w:r w:rsidR="00C67768" w:rsidRPr="00415AD8">
        <w:rPr>
          <w:rFonts w:cs="Arial"/>
          <w:lang w:val="es-CO"/>
        </w:rPr>
        <w:t>dimental</w:t>
      </w:r>
      <w:r w:rsidR="00272AFB" w:rsidRPr="00415AD8">
        <w:rPr>
          <w:rFonts w:cs="Arial"/>
          <w:lang w:val="es-CO"/>
        </w:rPr>
        <w:t xml:space="preserve"> debe demostrar</w:t>
      </w:r>
      <w:r w:rsidRPr="00415AD8">
        <w:rPr>
          <w:rFonts w:cs="Arial"/>
          <w:lang w:val="es-CO"/>
        </w:rPr>
        <w:t xml:space="preserve"> que la misma se </w:t>
      </w:r>
      <w:r w:rsidR="00C67768" w:rsidRPr="00415AD8">
        <w:rPr>
          <w:rFonts w:cs="Arial"/>
          <w:lang w:val="es-CO"/>
        </w:rPr>
        <w:t xml:space="preserve">produjo </w:t>
      </w:r>
      <w:r w:rsidRPr="00415AD8">
        <w:rPr>
          <w:rFonts w:cs="Arial"/>
          <w:lang w:val="es-CO"/>
        </w:rPr>
        <w:t xml:space="preserve">aparejada de una decisión </w:t>
      </w:r>
      <w:r w:rsidR="002E133A" w:rsidRPr="00415AD8">
        <w:rPr>
          <w:rFonts w:cs="Arial"/>
          <w:lang w:val="es-CO"/>
        </w:rPr>
        <w:t>que afect</w:t>
      </w:r>
      <w:r w:rsidR="00ED6821" w:rsidRPr="00415AD8">
        <w:rPr>
          <w:rFonts w:cs="Arial"/>
          <w:lang w:val="es-CO"/>
        </w:rPr>
        <w:t>ó</w:t>
      </w:r>
      <w:r w:rsidR="002E133A" w:rsidRPr="00415AD8">
        <w:rPr>
          <w:rFonts w:cs="Arial"/>
          <w:lang w:val="es-CO"/>
        </w:rPr>
        <w:t xml:space="preserve"> materialmente </w:t>
      </w:r>
      <w:r w:rsidR="00ED6821" w:rsidRPr="00415AD8">
        <w:rPr>
          <w:rFonts w:cs="Arial"/>
          <w:lang w:val="es-CO"/>
        </w:rPr>
        <w:t xml:space="preserve">sus </w:t>
      </w:r>
      <w:r w:rsidR="002E133A" w:rsidRPr="00415AD8">
        <w:rPr>
          <w:rFonts w:cs="Arial"/>
          <w:lang w:val="es-CO"/>
        </w:rPr>
        <w:t xml:space="preserve">derechos, </w:t>
      </w:r>
      <w:r w:rsidR="00272AFB" w:rsidRPr="00415AD8">
        <w:rPr>
          <w:rFonts w:cs="Arial"/>
          <w:lang w:val="es-CO"/>
        </w:rPr>
        <w:t xml:space="preserve">para que </w:t>
      </w:r>
      <w:r w:rsidR="002E133A" w:rsidRPr="00415AD8">
        <w:rPr>
          <w:rFonts w:cs="Arial"/>
          <w:lang w:val="es-CO"/>
        </w:rPr>
        <w:t xml:space="preserve">esa irregularidad </w:t>
      </w:r>
      <w:r w:rsidR="00272AFB" w:rsidRPr="00415AD8">
        <w:rPr>
          <w:rFonts w:cs="Arial"/>
          <w:lang w:val="es-CO"/>
        </w:rPr>
        <w:t>pueda ser considerada como constitutiva de la vulneración al debido proceso.</w:t>
      </w:r>
    </w:p>
    <w:p w:rsidR="00272AFB" w:rsidRPr="00415AD8" w:rsidRDefault="00272AFB" w:rsidP="00415AD8">
      <w:pPr>
        <w:rPr>
          <w:rFonts w:cs="Arial"/>
          <w:lang w:val="es-CO"/>
        </w:rPr>
      </w:pPr>
    </w:p>
    <w:p w:rsidR="00272AFB" w:rsidRPr="00415AD8" w:rsidRDefault="00272AFB" w:rsidP="00415AD8">
      <w:pPr>
        <w:rPr>
          <w:rFonts w:cs="Arial"/>
        </w:rPr>
      </w:pPr>
      <w:r w:rsidRPr="00415AD8">
        <w:rPr>
          <w:rFonts w:cs="Arial"/>
          <w:lang w:val="es-CO"/>
        </w:rPr>
        <w:t xml:space="preserve">En otras palabras, de la misma manera que el Estado debe observar el debido proceso </w:t>
      </w:r>
      <w:r w:rsidR="002E133A" w:rsidRPr="00415AD8">
        <w:rPr>
          <w:rFonts w:cs="Arial"/>
          <w:lang w:val="es-CO"/>
        </w:rPr>
        <w:t xml:space="preserve">tanto </w:t>
      </w:r>
      <w:r w:rsidRPr="00415AD8">
        <w:rPr>
          <w:rFonts w:cs="Arial"/>
          <w:lang w:val="es-CO"/>
        </w:rPr>
        <w:t xml:space="preserve">en los aspectos formales </w:t>
      </w:r>
      <w:r w:rsidR="002E133A" w:rsidRPr="00415AD8">
        <w:rPr>
          <w:rFonts w:cs="Arial"/>
          <w:lang w:val="es-CO"/>
        </w:rPr>
        <w:t xml:space="preserve">con en los </w:t>
      </w:r>
      <w:r w:rsidRPr="00415AD8">
        <w:rPr>
          <w:rFonts w:cs="Arial"/>
          <w:lang w:val="es-CO"/>
        </w:rPr>
        <w:t xml:space="preserve"> materiales de la actuación</w:t>
      </w:r>
      <w:r w:rsidR="002E133A" w:rsidRPr="00415AD8">
        <w:rPr>
          <w:rFonts w:cs="Arial"/>
          <w:lang w:val="es-CO"/>
        </w:rPr>
        <w:t xml:space="preserve"> administrativa</w:t>
      </w:r>
      <w:r w:rsidRPr="00415AD8">
        <w:rPr>
          <w:rFonts w:cs="Arial"/>
          <w:lang w:val="es-CO"/>
        </w:rPr>
        <w:t xml:space="preserve">, el administrado que </w:t>
      </w:r>
      <w:r w:rsidR="005F5C3A" w:rsidRPr="00415AD8">
        <w:rPr>
          <w:rFonts w:cs="Arial"/>
          <w:lang w:val="es-CO"/>
        </w:rPr>
        <w:t xml:space="preserve">pretende la anulación del </w:t>
      </w:r>
      <w:r w:rsidRPr="00415AD8">
        <w:rPr>
          <w:rFonts w:cs="Arial"/>
          <w:lang w:val="es-CO"/>
        </w:rPr>
        <w:t>respectiv</w:t>
      </w:r>
      <w:r w:rsidR="005F5C3A" w:rsidRPr="00415AD8">
        <w:rPr>
          <w:rFonts w:cs="Arial"/>
          <w:lang w:val="es-CO"/>
        </w:rPr>
        <w:t xml:space="preserve">o acto administrativo </w:t>
      </w:r>
      <w:r w:rsidRPr="00415AD8">
        <w:rPr>
          <w:rFonts w:cs="Arial"/>
          <w:lang w:val="es-CO"/>
        </w:rPr>
        <w:t xml:space="preserve">debe desplegar la prueba, en dos sentidos: </w:t>
      </w:r>
      <w:r w:rsidRPr="00415AD8">
        <w:rPr>
          <w:rFonts w:cs="Arial"/>
          <w:b/>
          <w:lang w:val="es-CO"/>
        </w:rPr>
        <w:t>i)</w:t>
      </w:r>
      <w:r w:rsidRPr="00415AD8">
        <w:rPr>
          <w:rFonts w:cs="Arial"/>
          <w:lang w:val="es-CO"/>
        </w:rPr>
        <w:t xml:space="preserve"> identificar la violación del procedimiento y </w:t>
      </w:r>
      <w:r w:rsidRPr="00415AD8">
        <w:rPr>
          <w:rFonts w:cs="Arial"/>
          <w:b/>
          <w:lang w:val="es-CO"/>
        </w:rPr>
        <w:t>ii)</w:t>
      </w:r>
      <w:r w:rsidRPr="00415AD8">
        <w:rPr>
          <w:rFonts w:cs="Arial"/>
          <w:lang w:val="es-CO"/>
        </w:rPr>
        <w:t xml:space="preserve"> demostrar la consecuencia de </w:t>
      </w:r>
      <w:r w:rsidR="002E133A" w:rsidRPr="00415AD8">
        <w:rPr>
          <w:rFonts w:cs="Arial"/>
          <w:lang w:val="es-CO"/>
        </w:rPr>
        <w:t>la</w:t>
      </w:r>
      <w:r w:rsidRPr="00415AD8">
        <w:rPr>
          <w:rFonts w:cs="Arial"/>
          <w:lang w:val="es-CO"/>
        </w:rPr>
        <w:t xml:space="preserve"> irregularidad sobre la decisión contenida en el acto administrativo.</w:t>
      </w:r>
    </w:p>
    <w:p w:rsidR="00272AFB" w:rsidRPr="00415AD8" w:rsidRDefault="00272AFB" w:rsidP="00415AD8">
      <w:pPr>
        <w:rPr>
          <w:rFonts w:cs="Arial"/>
        </w:rPr>
      </w:pPr>
    </w:p>
    <w:p w:rsidR="003D7BC8" w:rsidRPr="00415AD8" w:rsidRDefault="00180E5B" w:rsidP="00415AD8">
      <w:pPr>
        <w:pStyle w:val="Lista2"/>
        <w:ind w:left="0" w:firstLine="0"/>
        <w:rPr>
          <w:rFonts w:cs="Arial"/>
        </w:rPr>
      </w:pPr>
      <w:r w:rsidRPr="00415AD8">
        <w:rPr>
          <w:rFonts w:cs="Arial"/>
        </w:rPr>
        <w:t xml:space="preserve">Por ello, advierte la Sala que </w:t>
      </w:r>
      <w:r w:rsidR="00CA474C" w:rsidRPr="00415AD8">
        <w:rPr>
          <w:rFonts w:cs="Arial"/>
        </w:rPr>
        <w:t xml:space="preserve">el </w:t>
      </w:r>
      <w:r w:rsidR="00CA474C" w:rsidRPr="00415AD8">
        <w:rPr>
          <w:rFonts w:cs="Arial"/>
          <w:b/>
        </w:rPr>
        <w:t>problema jurídico</w:t>
      </w:r>
      <w:r w:rsidR="00CA474C" w:rsidRPr="00415AD8">
        <w:rPr>
          <w:rFonts w:cs="Arial"/>
        </w:rPr>
        <w:t xml:space="preserve"> en </w:t>
      </w:r>
      <w:r w:rsidR="00585FF7" w:rsidRPr="00415AD8">
        <w:rPr>
          <w:rFonts w:cs="Arial"/>
        </w:rPr>
        <w:t xml:space="preserve">la </w:t>
      </w:r>
      <w:r w:rsidR="000A376B" w:rsidRPr="00415AD8">
        <w:rPr>
          <w:rFonts w:cs="Arial"/>
        </w:rPr>
        <w:t>controversia sub lite</w:t>
      </w:r>
      <w:r w:rsidR="00585FF7" w:rsidRPr="00415AD8">
        <w:rPr>
          <w:rFonts w:cs="Arial"/>
        </w:rPr>
        <w:t xml:space="preserve"> consiste </w:t>
      </w:r>
      <w:r w:rsidR="00CA474C" w:rsidRPr="00415AD8">
        <w:rPr>
          <w:rFonts w:cs="Arial"/>
        </w:rPr>
        <w:t xml:space="preserve">en determinar si la citación </w:t>
      </w:r>
      <w:r w:rsidRPr="00415AD8">
        <w:rPr>
          <w:rFonts w:cs="Arial"/>
        </w:rPr>
        <w:t>que el Ministerio de Transporte remitió a la compañía aseguradora</w:t>
      </w:r>
      <w:r w:rsidR="00CA474C" w:rsidRPr="00415AD8">
        <w:rPr>
          <w:rFonts w:cs="Arial"/>
        </w:rPr>
        <w:t xml:space="preserve"> respetó o no las reglas del debido proceso y si, de contera, </w:t>
      </w:r>
      <w:r w:rsidR="00F812A3" w:rsidRPr="00415AD8">
        <w:rPr>
          <w:rFonts w:cs="Arial"/>
        </w:rPr>
        <w:t xml:space="preserve">esa </w:t>
      </w:r>
      <w:r w:rsidR="00CA474C" w:rsidRPr="00415AD8">
        <w:rPr>
          <w:rFonts w:cs="Arial"/>
        </w:rPr>
        <w:t xml:space="preserve">aseguradora tuvo o no el derecho </w:t>
      </w:r>
      <w:r w:rsidR="003D7BC8" w:rsidRPr="00415AD8">
        <w:rPr>
          <w:rFonts w:cs="Arial"/>
        </w:rPr>
        <w:t xml:space="preserve">oportuno </w:t>
      </w:r>
      <w:r w:rsidR="00CA474C" w:rsidRPr="00415AD8">
        <w:rPr>
          <w:rFonts w:cs="Arial"/>
        </w:rPr>
        <w:t xml:space="preserve">a la defensa y contradicción frente a las decisiones que </w:t>
      </w:r>
      <w:r w:rsidR="00B1434C" w:rsidRPr="00415AD8">
        <w:rPr>
          <w:rFonts w:cs="Arial"/>
        </w:rPr>
        <w:t>la afectaron</w:t>
      </w:r>
      <w:r w:rsidR="003D7BC8" w:rsidRPr="00415AD8">
        <w:rPr>
          <w:rFonts w:cs="Arial"/>
        </w:rPr>
        <w:t>.</w:t>
      </w:r>
    </w:p>
    <w:p w:rsidR="00F812A3" w:rsidRPr="00415AD8" w:rsidRDefault="00F812A3" w:rsidP="00415AD8">
      <w:pPr>
        <w:pStyle w:val="Lista2"/>
        <w:ind w:left="0" w:firstLine="0"/>
        <w:rPr>
          <w:rFonts w:cs="Arial"/>
        </w:rPr>
      </w:pPr>
    </w:p>
    <w:p w:rsidR="00C4294F" w:rsidRPr="00415AD8" w:rsidRDefault="00C4294F" w:rsidP="00415AD8">
      <w:pPr>
        <w:pStyle w:val="Lista2"/>
        <w:ind w:left="0" w:firstLine="0"/>
        <w:rPr>
          <w:rFonts w:cs="Arial"/>
        </w:rPr>
      </w:pPr>
      <w:r w:rsidRPr="00415AD8">
        <w:rPr>
          <w:rFonts w:cs="Arial"/>
        </w:rPr>
        <w:t xml:space="preserve">Se </w:t>
      </w:r>
      <w:r w:rsidR="00302477" w:rsidRPr="00415AD8">
        <w:rPr>
          <w:rFonts w:cs="Arial"/>
        </w:rPr>
        <w:t xml:space="preserve">considera </w:t>
      </w:r>
      <w:r w:rsidRPr="00415AD8">
        <w:rPr>
          <w:rFonts w:cs="Arial"/>
        </w:rPr>
        <w:t xml:space="preserve">que una pretensión de nulidad del acto administrativo por violación al derecho de defensa no sale avante en el proceso judicial cuando solo se apoya en un asunto meramente formal, sin efecto material sobre el sentido de la decisión. </w:t>
      </w:r>
    </w:p>
    <w:p w:rsidR="00C4294F" w:rsidRPr="00415AD8" w:rsidRDefault="00C4294F" w:rsidP="00415AD8">
      <w:pPr>
        <w:pStyle w:val="Lista2"/>
        <w:ind w:left="0" w:firstLine="0"/>
        <w:rPr>
          <w:rFonts w:cs="Arial"/>
        </w:rPr>
      </w:pPr>
    </w:p>
    <w:p w:rsidR="00C4294F" w:rsidRPr="00415AD8" w:rsidRDefault="00C4294F" w:rsidP="00415AD8">
      <w:pPr>
        <w:pStyle w:val="Lista2"/>
        <w:ind w:left="0" w:firstLine="0"/>
        <w:rPr>
          <w:rFonts w:cs="Arial"/>
        </w:rPr>
      </w:pPr>
      <w:r w:rsidRPr="00415AD8">
        <w:rPr>
          <w:rFonts w:cs="Arial"/>
        </w:rPr>
        <w:t xml:space="preserve">Un ejemplo de esa pretensión </w:t>
      </w:r>
      <w:r w:rsidR="00EB34B9" w:rsidRPr="00415AD8">
        <w:rPr>
          <w:rFonts w:cs="Arial"/>
        </w:rPr>
        <w:t xml:space="preserve">meramente formal </w:t>
      </w:r>
      <w:r w:rsidRPr="00415AD8">
        <w:rPr>
          <w:rFonts w:cs="Arial"/>
        </w:rPr>
        <w:t>es la que se funda en el reproche del formato utilizado para una citación</w:t>
      </w:r>
      <w:r w:rsidR="00EB34B9" w:rsidRPr="00415AD8">
        <w:rPr>
          <w:rFonts w:cs="Arial"/>
        </w:rPr>
        <w:t>,</w:t>
      </w:r>
      <w:r w:rsidRPr="00415AD8">
        <w:rPr>
          <w:rFonts w:cs="Arial"/>
        </w:rPr>
        <w:t xml:space="preserve"> el cual no conllevó un defecto material en el contenido que debió ser efectivamente comunicado a la entidad citada</w:t>
      </w:r>
      <w:r w:rsidR="00AB6296" w:rsidRPr="00415AD8">
        <w:rPr>
          <w:rFonts w:cs="Arial"/>
        </w:rPr>
        <w:t xml:space="preserve"> para que pudiera ejercer su derecho de defensa</w:t>
      </w:r>
      <w:r w:rsidR="00EB34B9" w:rsidRPr="00415AD8">
        <w:rPr>
          <w:rFonts w:cs="Arial"/>
        </w:rPr>
        <w:t xml:space="preserve">. </w:t>
      </w:r>
    </w:p>
    <w:p w:rsidR="00EB34B9" w:rsidRPr="00415AD8" w:rsidRDefault="00EB34B9" w:rsidP="00415AD8">
      <w:pPr>
        <w:pStyle w:val="Lista2"/>
        <w:ind w:left="0" w:firstLine="0"/>
        <w:rPr>
          <w:rFonts w:cs="Arial"/>
        </w:rPr>
      </w:pPr>
    </w:p>
    <w:p w:rsidR="00C4294F" w:rsidRPr="00415AD8" w:rsidRDefault="00C4294F" w:rsidP="00415AD8">
      <w:pPr>
        <w:pStyle w:val="Lista2"/>
        <w:ind w:left="0" w:firstLine="0"/>
        <w:rPr>
          <w:rFonts w:cs="Arial"/>
        </w:rPr>
      </w:pPr>
      <w:r w:rsidRPr="00415AD8">
        <w:rPr>
          <w:rFonts w:cs="Arial"/>
        </w:rPr>
        <w:t xml:space="preserve">Tal como se determinará </w:t>
      </w:r>
      <w:r w:rsidR="00EB34B9" w:rsidRPr="00415AD8">
        <w:rPr>
          <w:rFonts w:cs="Arial"/>
        </w:rPr>
        <w:t xml:space="preserve">en esta providencia, </w:t>
      </w:r>
      <w:r w:rsidRPr="00415AD8">
        <w:rPr>
          <w:rFonts w:cs="Arial"/>
        </w:rPr>
        <w:t>con fundamento en el análisis crítico de las pruebas</w:t>
      </w:r>
      <w:r w:rsidR="00EB34B9" w:rsidRPr="00415AD8">
        <w:rPr>
          <w:rFonts w:cs="Arial"/>
        </w:rPr>
        <w:t>,</w:t>
      </w:r>
      <w:r w:rsidRPr="00415AD8">
        <w:rPr>
          <w:rFonts w:cs="Arial"/>
        </w:rPr>
        <w:t xml:space="preserve"> el problema jurídico se desatar</w:t>
      </w:r>
      <w:r w:rsidR="006F2D06" w:rsidRPr="00415AD8">
        <w:rPr>
          <w:rFonts w:cs="Arial"/>
        </w:rPr>
        <w:t>á</w:t>
      </w:r>
      <w:r w:rsidRPr="00415AD8">
        <w:rPr>
          <w:rFonts w:cs="Arial"/>
        </w:rPr>
        <w:t xml:space="preserve"> en forma afirmativa, es decir</w:t>
      </w:r>
      <w:r w:rsidR="00302477" w:rsidRPr="00415AD8">
        <w:rPr>
          <w:rFonts w:cs="Arial"/>
        </w:rPr>
        <w:t>,</w:t>
      </w:r>
      <w:r w:rsidRPr="00415AD8">
        <w:rPr>
          <w:rFonts w:cs="Arial"/>
        </w:rPr>
        <w:t xml:space="preserve"> </w:t>
      </w:r>
      <w:r w:rsidR="00302477" w:rsidRPr="00415AD8">
        <w:rPr>
          <w:rFonts w:cs="Arial"/>
        </w:rPr>
        <w:t xml:space="preserve">se concluirá que </w:t>
      </w:r>
      <w:r w:rsidRPr="00415AD8">
        <w:rPr>
          <w:rFonts w:cs="Arial"/>
        </w:rPr>
        <w:t>s</w:t>
      </w:r>
      <w:r w:rsidR="00302477" w:rsidRPr="00415AD8">
        <w:rPr>
          <w:rFonts w:cs="Arial"/>
        </w:rPr>
        <w:t>í</w:t>
      </w:r>
      <w:r w:rsidRPr="00415AD8">
        <w:rPr>
          <w:rFonts w:cs="Arial"/>
        </w:rPr>
        <w:t xml:space="preserve"> se respetó el debido proceso, razón por la cual no procederá la nulidad pretend</w:t>
      </w:r>
      <w:r w:rsidR="006F2D06" w:rsidRPr="00415AD8">
        <w:rPr>
          <w:rFonts w:cs="Arial"/>
        </w:rPr>
        <w:t>ida</w:t>
      </w:r>
      <w:r w:rsidRPr="00415AD8">
        <w:rPr>
          <w:rFonts w:cs="Arial"/>
        </w:rPr>
        <w:t xml:space="preserve"> por la demandante</w:t>
      </w:r>
      <w:r w:rsidR="00A44DFA" w:rsidRPr="00415AD8">
        <w:rPr>
          <w:rFonts w:cs="Arial"/>
        </w:rPr>
        <w:t xml:space="preserve"> en el presente litigio.</w:t>
      </w:r>
      <w:r w:rsidRPr="00415AD8">
        <w:rPr>
          <w:rFonts w:cs="Arial"/>
        </w:rPr>
        <w:t xml:space="preserve"> </w:t>
      </w:r>
    </w:p>
    <w:p w:rsidR="00C4294F" w:rsidRPr="00415AD8" w:rsidRDefault="00C4294F" w:rsidP="00415AD8">
      <w:pPr>
        <w:pStyle w:val="Lista2"/>
        <w:ind w:left="0" w:firstLine="0"/>
        <w:rPr>
          <w:rFonts w:cs="Arial"/>
        </w:rPr>
      </w:pPr>
    </w:p>
    <w:p w:rsidR="004D7C38" w:rsidRPr="00415AD8" w:rsidRDefault="00F919F6" w:rsidP="00415AD8">
      <w:pPr>
        <w:rPr>
          <w:rFonts w:cs="Arial"/>
          <w:b/>
        </w:rPr>
      </w:pPr>
      <w:r w:rsidRPr="00415AD8">
        <w:rPr>
          <w:rFonts w:cs="Arial"/>
          <w:b/>
        </w:rPr>
        <w:t xml:space="preserve">5.3. </w:t>
      </w:r>
      <w:r w:rsidR="004D7C38" w:rsidRPr="00415AD8">
        <w:rPr>
          <w:rFonts w:cs="Arial"/>
          <w:b/>
        </w:rPr>
        <w:t>L</w:t>
      </w:r>
      <w:r w:rsidR="003D7BC8" w:rsidRPr="00415AD8">
        <w:rPr>
          <w:rFonts w:cs="Arial"/>
          <w:b/>
        </w:rPr>
        <w:t>o probado en el proceso</w:t>
      </w:r>
    </w:p>
    <w:p w:rsidR="003D7BC8" w:rsidRPr="00415AD8" w:rsidRDefault="003D7BC8" w:rsidP="00415AD8">
      <w:pPr>
        <w:rPr>
          <w:rFonts w:cs="Arial"/>
          <w:b/>
        </w:rPr>
      </w:pPr>
    </w:p>
    <w:p w:rsidR="004D7C38" w:rsidRPr="00415AD8" w:rsidRDefault="004D7C38" w:rsidP="00415AD8">
      <w:pPr>
        <w:rPr>
          <w:rFonts w:cs="Arial"/>
        </w:rPr>
      </w:pPr>
      <w:r w:rsidRPr="00415AD8">
        <w:rPr>
          <w:rFonts w:cs="Arial"/>
        </w:rPr>
        <w:t xml:space="preserve">Obran en el proceso, el </w:t>
      </w:r>
      <w:r w:rsidR="002D0DC7" w:rsidRPr="00415AD8">
        <w:rPr>
          <w:rFonts w:cs="Arial"/>
        </w:rPr>
        <w:t>C</w:t>
      </w:r>
      <w:r w:rsidRPr="00415AD8">
        <w:rPr>
          <w:rFonts w:cs="Arial"/>
        </w:rPr>
        <w:t xml:space="preserve">ontrato </w:t>
      </w:r>
      <w:r w:rsidR="002D0DC7" w:rsidRPr="00415AD8">
        <w:rPr>
          <w:rFonts w:cs="Arial"/>
        </w:rPr>
        <w:t xml:space="preserve">de Interventoría </w:t>
      </w:r>
      <w:r w:rsidRPr="00415AD8">
        <w:rPr>
          <w:rFonts w:cs="Arial"/>
        </w:rPr>
        <w:t>082 de 2007, la</w:t>
      </w:r>
      <w:r w:rsidR="00562482" w:rsidRPr="00415AD8">
        <w:rPr>
          <w:rFonts w:cs="Arial"/>
        </w:rPr>
        <w:t xml:space="preserve"> póliza de seguro de cumplimiento No. 8001014299 expedida por Seguros Colpatria S.A. y las </w:t>
      </w:r>
      <w:r w:rsidR="006F2D06" w:rsidRPr="00415AD8">
        <w:rPr>
          <w:rFonts w:cs="Arial"/>
        </w:rPr>
        <w:t>R</w:t>
      </w:r>
      <w:r w:rsidR="00562482" w:rsidRPr="00415AD8">
        <w:rPr>
          <w:rFonts w:cs="Arial"/>
        </w:rPr>
        <w:t xml:space="preserve">esoluciones </w:t>
      </w:r>
      <w:r w:rsidR="008C48ED" w:rsidRPr="00415AD8">
        <w:rPr>
          <w:rFonts w:cs="Arial"/>
        </w:rPr>
        <w:t>005641 de 15 de diciembre de 2011 y 000129 de 19 de enero de 2012</w:t>
      </w:r>
      <w:r w:rsidR="00ED0094" w:rsidRPr="00415AD8">
        <w:rPr>
          <w:rFonts w:cs="Arial"/>
        </w:rPr>
        <w:t xml:space="preserve">. </w:t>
      </w:r>
    </w:p>
    <w:p w:rsidR="00374670" w:rsidRPr="00415AD8" w:rsidRDefault="00374670" w:rsidP="00415AD8">
      <w:pPr>
        <w:rPr>
          <w:rFonts w:cs="Arial"/>
          <w:b/>
        </w:rPr>
      </w:pPr>
    </w:p>
    <w:p w:rsidR="001028DD" w:rsidRPr="00415AD8" w:rsidRDefault="00F919F6" w:rsidP="00415AD8">
      <w:pPr>
        <w:rPr>
          <w:rFonts w:cs="Arial"/>
        </w:rPr>
      </w:pPr>
      <w:r w:rsidRPr="00415AD8">
        <w:rPr>
          <w:rFonts w:cs="Arial"/>
          <w:b/>
        </w:rPr>
        <w:t>5.3.1.</w:t>
      </w:r>
      <w:r w:rsidR="0056199D" w:rsidRPr="00415AD8">
        <w:rPr>
          <w:rFonts w:cs="Arial"/>
        </w:rPr>
        <w:t xml:space="preserve"> </w:t>
      </w:r>
      <w:r w:rsidR="00312C13" w:rsidRPr="00415AD8">
        <w:rPr>
          <w:rFonts w:cs="Arial"/>
        </w:rPr>
        <w:t>En primer lugar</w:t>
      </w:r>
      <w:r w:rsidR="00DE77B0" w:rsidRPr="00415AD8">
        <w:rPr>
          <w:rFonts w:cs="Arial"/>
        </w:rPr>
        <w:t>,</w:t>
      </w:r>
      <w:r w:rsidR="00312C13" w:rsidRPr="00415AD8">
        <w:rPr>
          <w:rFonts w:cs="Arial"/>
        </w:rPr>
        <w:t xml:space="preserve"> se corrobora que el riesgo amparado por Seguros Colpatria S.A. era el de cumplimiento del Contrato 082 de 2007</w:t>
      </w:r>
      <w:r w:rsidR="00B1434C" w:rsidRPr="00415AD8">
        <w:rPr>
          <w:rFonts w:cs="Arial"/>
        </w:rPr>
        <w:t xml:space="preserve"> y que </w:t>
      </w:r>
      <w:r w:rsidR="002D0DC7" w:rsidRPr="00415AD8">
        <w:rPr>
          <w:rFonts w:cs="Arial"/>
        </w:rPr>
        <w:t xml:space="preserve">dicho </w:t>
      </w:r>
      <w:r w:rsidR="00B1434C" w:rsidRPr="00415AD8">
        <w:rPr>
          <w:rFonts w:cs="Arial"/>
        </w:rPr>
        <w:t xml:space="preserve">contrato </w:t>
      </w:r>
      <w:r w:rsidR="003D7BC8" w:rsidRPr="00415AD8">
        <w:rPr>
          <w:rFonts w:cs="Arial"/>
        </w:rPr>
        <w:t xml:space="preserve">tenía por objeto que el consorcio contratista </w:t>
      </w:r>
      <w:r w:rsidR="001028DD" w:rsidRPr="00415AD8">
        <w:rPr>
          <w:rFonts w:cs="Arial"/>
        </w:rPr>
        <w:t xml:space="preserve">prestara la </w:t>
      </w:r>
      <w:r w:rsidR="005073EF" w:rsidRPr="00415AD8">
        <w:rPr>
          <w:rFonts w:cs="Arial"/>
          <w:i/>
        </w:rPr>
        <w:t>“</w:t>
      </w:r>
      <w:r w:rsidR="001028DD" w:rsidRPr="00415AD8">
        <w:rPr>
          <w:rFonts w:cs="Arial"/>
          <w:i/>
        </w:rPr>
        <w:t xml:space="preserve">interventoría </w:t>
      </w:r>
      <w:r w:rsidR="002D0DC7" w:rsidRPr="00415AD8">
        <w:rPr>
          <w:rFonts w:cs="Arial"/>
          <w:i/>
        </w:rPr>
        <w:t>integral de ejecución y liquidación”</w:t>
      </w:r>
      <w:r w:rsidR="002D0DC7" w:rsidRPr="00415AD8">
        <w:rPr>
          <w:rFonts w:cs="Arial"/>
        </w:rPr>
        <w:t xml:space="preserve"> </w:t>
      </w:r>
      <w:r w:rsidR="001028DD" w:rsidRPr="00415AD8">
        <w:rPr>
          <w:rFonts w:cs="Arial"/>
        </w:rPr>
        <w:t xml:space="preserve">del contrato de concesión del </w:t>
      </w:r>
      <w:r w:rsidR="005073EF" w:rsidRPr="00415AD8">
        <w:rPr>
          <w:rFonts w:cs="Arial"/>
        </w:rPr>
        <w:t xml:space="preserve">Registro Único Nacional de Tránsito </w:t>
      </w:r>
      <w:r w:rsidR="001028DD" w:rsidRPr="00415AD8">
        <w:rPr>
          <w:rFonts w:cs="Arial"/>
        </w:rPr>
        <w:t>R.U.N.T.</w:t>
      </w:r>
      <w:r w:rsidR="002D0DC7" w:rsidRPr="00415AD8">
        <w:rPr>
          <w:rStyle w:val="Refdenotaalpie"/>
          <w:rFonts w:cs="Arial"/>
        </w:rPr>
        <w:footnoteReference w:id="27"/>
      </w:r>
    </w:p>
    <w:p w:rsidR="001028DD" w:rsidRPr="00415AD8" w:rsidRDefault="001028DD" w:rsidP="00415AD8">
      <w:pPr>
        <w:rPr>
          <w:rFonts w:cs="Arial"/>
          <w:b/>
        </w:rPr>
      </w:pPr>
    </w:p>
    <w:p w:rsidR="003B4E98" w:rsidRPr="00415AD8" w:rsidRDefault="003B4E98" w:rsidP="00415AD8">
      <w:pPr>
        <w:rPr>
          <w:rFonts w:cs="Arial"/>
        </w:rPr>
      </w:pPr>
      <w:r w:rsidRPr="00415AD8">
        <w:rPr>
          <w:rFonts w:cs="Arial"/>
        </w:rPr>
        <w:lastRenderedPageBreak/>
        <w:t>La cláusula séptima del Contrato 082, de interventoría, detalló las obligaciones del consorcio contratista, entre otras</w:t>
      </w:r>
      <w:r w:rsidR="004616A0" w:rsidRPr="00415AD8">
        <w:rPr>
          <w:rFonts w:cs="Arial"/>
        </w:rPr>
        <w:t>,</w:t>
      </w:r>
      <w:r w:rsidRPr="00415AD8">
        <w:rPr>
          <w:rFonts w:cs="Arial"/>
        </w:rPr>
        <w:t xml:space="preserve"> las que se le imputaron como incumplidas </w:t>
      </w:r>
      <w:r w:rsidR="00F40E6F" w:rsidRPr="00415AD8">
        <w:rPr>
          <w:rFonts w:cs="Arial"/>
        </w:rPr>
        <w:t xml:space="preserve">en la comunicación mediante la cual se </w:t>
      </w:r>
      <w:r w:rsidR="005073EF" w:rsidRPr="00415AD8">
        <w:rPr>
          <w:rFonts w:cs="Arial"/>
        </w:rPr>
        <w:t xml:space="preserve">lo </w:t>
      </w:r>
      <w:r w:rsidR="00F40E6F" w:rsidRPr="00415AD8">
        <w:rPr>
          <w:rFonts w:cs="Arial"/>
        </w:rPr>
        <w:t>citó a descargos, es decir, el seguimiento de las obligaciones del contrato objeto de la interventoría</w:t>
      </w:r>
      <w:r w:rsidR="008F3BEE" w:rsidRPr="00415AD8">
        <w:rPr>
          <w:rFonts w:cs="Arial"/>
        </w:rPr>
        <w:t>, la presentación de informes sobre la ejecución y sobre los productos entregados por e</w:t>
      </w:r>
      <w:r w:rsidR="005073EF" w:rsidRPr="00415AD8">
        <w:rPr>
          <w:rFonts w:cs="Arial"/>
        </w:rPr>
        <w:t>l</w:t>
      </w:r>
      <w:r w:rsidR="008F3BEE" w:rsidRPr="00415AD8">
        <w:rPr>
          <w:rFonts w:cs="Arial"/>
        </w:rPr>
        <w:t xml:space="preserve"> concesionario del </w:t>
      </w:r>
      <w:r w:rsidR="002D0DC7" w:rsidRPr="00415AD8">
        <w:rPr>
          <w:rFonts w:cs="Arial"/>
        </w:rPr>
        <w:t xml:space="preserve">Registro Único </w:t>
      </w:r>
      <w:r w:rsidR="005073EF" w:rsidRPr="00415AD8">
        <w:rPr>
          <w:rFonts w:cs="Arial"/>
        </w:rPr>
        <w:t>N</w:t>
      </w:r>
      <w:r w:rsidR="002D0DC7" w:rsidRPr="00415AD8">
        <w:rPr>
          <w:rFonts w:cs="Arial"/>
        </w:rPr>
        <w:t xml:space="preserve">acional de Tránsito R.U.N.T. </w:t>
      </w:r>
    </w:p>
    <w:p w:rsidR="00A44DFA" w:rsidRPr="00415AD8" w:rsidRDefault="00A44DFA" w:rsidP="00415AD8">
      <w:pPr>
        <w:rPr>
          <w:rFonts w:cs="Arial"/>
        </w:rPr>
      </w:pPr>
    </w:p>
    <w:p w:rsidR="00EE1BC9" w:rsidRPr="00415AD8" w:rsidRDefault="00CB4FBB" w:rsidP="00415AD8">
      <w:pPr>
        <w:rPr>
          <w:rFonts w:cs="Arial"/>
        </w:rPr>
      </w:pPr>
      <w:r w:rsidRPr="00415AD8">
        <w:rPr>
          <w:rFonts w:cs="Arial"/>
        </w:rPr>
        <w:t>Se encuentra acreditado en el proceso, igualmente, que la póliza de seguro de cumplimiento No. 8001014299</w:t>
      </w:r>
      <w:r w:rsidR="004616A0" w:rsidRPr="00415AD8">
        <w:rPr>
          <w:rFonts w:cs="Arial"/>
        </w:rPr>
        <w:t>,</w:t>
      </w:r>
      <w:r w:rsidRPr="00415AD8">
        <w:rPr>
          <w:rFonts w:cs="Arial"/>
        </w:rPr>
        <w:t xml:space="preserve"> expedida por Seguros Colpatria S.A., tenía </w:t>
      </w:r>
      <w:r w:rsidR="00EE1BC9" w:rsidRPr="00415AD8">
        <w:rPr>
          <w:rFonts w:cs="Arial"/>
        </w:rPr>
        <w:t>el siguiente objeto:</w:t>
      </w:r>
    </w:p>
    <w:p w:rsidR="00A44DFA" w:rsidRPr="00415AD8" w:rsidRDefault="00A44DFA" w:rsidP="00415AD8">
      <w:pPr>
        <w:spacing w:line="276" w:lineRule="auto"/>
        <w:rPr>
          <w:rFonts w:cs="Arial"/>
          <w:i/>
        </w:rPr>
      </w:pPr>
    </w:p>
    <w:p w:rsidR="00EE1BC9" w:rsidRPr="00415AD8" w:rsidRDefault="00CB4FBB" w:rsidP="00415AD8">
      <w:pPr>
        <w:spacing w:line="276" w:lineRule="auto"/>
        <w:rPr>
          <w:rFonts w:cs="Arial"/>
          <w:i/>
        </w:rPr>
      </w:pPr>
      <w:r w:rsidRPr="00415AD8">
        <w:rPr>
          <w:rFonts w:cs="Arial"/>
          <w:i/>
        </w:rPr>
        <w:t>“</w:t>
      </w:r>
      <w:r w:rsidR="00EE1BC9" w:rsidRPr="00415AD8">
        <w:rPr>
          <w:rFonts w:cs="Arial"/>
          <w:i/>
        </w:rPr>
        <w:t>G</w:t>
      </w:r>
      <w:r w:rsidR="00A86CD3" w:rsidRPr="00415AD8">
        <w:rPr>
          <w:rFonts w:cs="Arial"/>
          <w:i/>
        </w:rPr>
        <w:t>arantizar el pago de los perjuicios derivados del incumplimiento de las obligaciones asumidas por el contratista originadas en el contrato 082 de 2007, referente a la interventoría integral sobre la ejecución y liquidación del contrato de concesión No. 0033 del 3 de ju</w:t>
      </w:r>
      <w:r w:rsidR="00EE1BC9" w:rsidRPr="00415AD8">
        <w:rPr>
          <w:rFonts w:cs="Arial"/>
          <w:i/>
        </w:rPr>
        <w:t>n</w:t>
      </w:r>
      <w:r w:rsidR="00A86CD3" w:rsidRPr="00415AD8">
        <w:rPr>
          <w:rFonts w:cs="Arial"/>
          <w:i/>
        </w:rPr>
        <w:t xml:space="preserve">io de 2007 </w:t>
      </w:r>
      <w:r w:rsidR="00EE1BC9" w:rsidRPr="00415AD8">
        <w:rPr>
          <w:rFonts w:cs="Arial"/>
          <w:i/>
        </w:rPr>
        <w:t>para la prestación del servicio público del registro único nacional de tránsito (R.U.N.T.)  (….)”.</w:t>
      </w:r>
    </w:p>
    <w:p w:rsidR="00EE1BC9" w:rsidRPr="00415AD8" w:rsidRDefault="00EE1BC9" w:rsidP="00415AD8">
      <w:pPr>
        <w:rPr>
          <w:rFonts w:cs="Arial"/>
          <w:b/>
        </w:rPr>
      </w:pPr>
    </w:p>
    <w:p w:rsidR="001028DD" w:rsidRPr="00415AD8" w:rsidRDefault="001056D7" w:rsidP="00415AD8">
      <w:pPr>
        <w:rPr>
          <w:rFonts w:cs="Arial"/>
        </w:rPr>
      </w:pPr>
      <w:r w:rsidRPr="00415AD8">
        <w:rPr>
          <w:rFonts w:cs="Arial"/>
        </w:rPr>
        <w:t>Por ello</w:t>
      </w:r>
      <w:r w:rsidR="00312C13" w:rsidRPr="00415AD8">
        <w:rPr>
          <w:rFonts w:cs="Arial"/>
        </w:rPr>
        <w:t xml:space="preserve">, resulta cierto que </w:t>
      </w:r>
      <w:r w:rsidR="004C3842" w:rsidRPr="00415AD8">
        <w:rPr>
          <w:rFonts w:cs="Arial"/>
        </w:rPr>
        <w:t xml:space="preserve">de acuerdo con el artículo 86 de la Ley 1474 de 2011, la sociedad Seguros Colpatria S.A. </w:t>
      </w:r>
      <w:r w:rsidR="0069064B" w:rsidRPr="00415AD8">
        <w:rPr>
          <w:rFonts w:cs="Arial"/>
        </w:rPr>
        <w:t xml:space="preserve">debía ser llamada, en su condición de garante, en </w:t>
      </w:r>
      <w:r w:rsidR="001028DD" w:rsidRPr="00415AD8">
        <w:rPr>
          <w:rFonts w:cs="Arial"/>
        </w:rPr>
        <w:t xml:space="preserve">la actuación adelantada con el objeto de definir </w:t>
      </w:r>
      <w:r w:rsidR="0069064B" w:rsidRPr="00415AD8">
        <w:rPr>
          <w:rFonts w:cs="Arial"/>
        </w:rPr>
        <w:t>el supuesto incumplimiento del contratista</w:t>
      </w:r>
      <w:r w:rsidR="004C3842" w:rsidRPr="00415AD8">
        <w:rPr>
          <w:rFonts w:cs="Arial"/>
        </w:rPr>
        <w:t xml:space="preserve"> en el Contrato de Interventoría 082 de 2007.</w:t>
      </w:r>
      <w:r w:rsidR="001028DD" w:rsidRPr="00415AD8">
        <w:rPr>
          <w:rFonts w:cs="Arial"/>
        </w:rPr>
        <w:t xml:space="preserve"> </w:t>
      </w:r>
    </w:p>
    <w:p w:rsidR="001028DD" w:rsidRPr="00415AD8" w:rsidRDefault="001028DD" w:rsidP="00415AD8">
      <w:pPr>
        <w:rPr>
          <w:rFonts w:cs="Arial"/>
        </w:rPr>
      </w:pPr>
    </w:p>
    <w:p w:rsidR="006749D1" w:rsidRPr="00415AD8" w:rsidRDefault="00F919F6" w:rsidP="00415AD8">
      <w:pPr>
        <w:rPr>
          <w:rFonts w:cs="Arial"/>
        </w:rPr>
      </w:pPr>
      <w:r w:rsidRPr="00415AD8">
        <w:rPr>
          <w:rFonts w:cs="Arial"/>
          <w:b/>
        </w:rPr>
        <w:t>5.3.2.</w:t>
      </w:r>
      <w:r w:rsidR="0056199D" w:rsidRPr="00415AD8">
        <w:rPr>
          <w:rFonts w:cs="Arial"/>
          <w:b/>
        </w:rPr>
        <w:t xml:space="preserve"> </w:t>
      </w:r>
      <w:r w:rsidR="00A44DFA" w:rsidRPr="00415AD8">
        <w:rPr>
          <w:rFonts w:cs="Arial"/>
        </w:rPr>
        <w:t>E</w:t>
      </w:r>
      <w:r w:rsidR="001028DD" w:rsidRPr="00415AD8">
        <w:rPr>
          <w:rFonts w:cs="Arial"/>
        </w:rPr>
        <w:t xml:space="preserve">s evidente </w:t>
      </w:r>
      <w:r w:rsidR="004C3842" w:rsidRPr="00415AD8">
        <w:rPr>
          <w:rFonts w:cs="Arial"/>
        </w:rPr>
        <w:t xml:space="preserve">que </w:t>
      </w:r>
      <w:r w:rsidR="001028DD" w:rsidRPr="00415AD8">
        <w:rPr>
          <w:rFonts w:cs="Arial"/>
        </w:rPr>
        <w:t xml:space="preserve">el contratista y la aseguradora garante </w:t>
      </w:r>
      <w:r w:rsidR="004C3842" w:rsidRPr="00415AD8">
        <w:rPr>
          <w:rFonts w:cs="Arial"/>
        </w:rPr>
        <w:t xml:space="preserve">tenían que ser convocados </w:t>
      </w:r>
      <w:r w:rsidR="001028DD" w:rsidRPr="00415AD8">
        <w:rPr>
          <w:rFonts w:cs="Arial"/>
        </w:rPr>
        <w:t xml:space="preserve">a </w:t>
      </w:r>
      <w:r w:rsidR="0069064B" w:rsidRPr="00415AD8">
        <w:rPr>
          <w:rFonts w:cs="Arial"/>
        </w:rPr>
        <w:t>un mismo proce</w:t>
      </w:r>
      <w:r w:rsidR="00F43FA2" w:rsidRPr="00415AD8">
        <w:rPr>
          <w:rFonts w:cs="Arial"/>
        </w:rPr>
        <w:t xml:space="preserve">dimiento con identidad de cargos, en cuanto </w:t>
      </w:r>
      <w:r w:rsidR="006749D1" w:rsidRPr="00415AD8">
        <w:rPr>
          <w:rFonts w:cs="Arial"/>
        </w:rPr>
        <w:t xml:space="preserve">el Ministerio de Transporte pretendía hacer valer su derecho a declarar el incumplimiento del </w:t>
      </w:r>
      <w:r w:rsidR="007A69AB" w:rsidRPr="00415AD8">
        <w:rPr>
          <w:rFonts w:cs="Arial"/>
        </w:rPr>
        <w:t>C</w:t>
      </w:r>
      <w:r w:rsidR="006749D1" w:rsidRPr="00415AD8">
        <w:rPr>
          <w:rFonts w:cs="Arial"/>
        </w:rPr>
        <w:t xml:space="preserve">ontrato </w:t>
      </w:r>
      <w:r w:rsidR="007A69AB" w:rsidRPr="00415AD8">
        <w:rPr>
          <w:rFonts w:cs="Arial"/>
        </w:rPr>
        <w:t xml:space="preserve">082 </w:t>
      </w:r>
      <w:r w:rsidR="006749D1" w:rsidRPr="00415AD8">
        <w:rPr>
          <w:rFonts w:cs="Arial"/>
        </w:rPr>
        <w:t>y</w:t>
      </w:r>
      <w:r w:rsidR="004616A0" w:rsidRPr="00415AD8">
        <w:rPr>
          <w:rFonts w:cs="Arial"/>
        </w:rPr>
        <w:t>,</w:t>
      </w:r>
      <w:r w:rsidR="006749D1" w:rsidRPr="00415AD8">
        <w:rPr>
          <w:rFonts w:cs="Arial"/>
        </w:rPr>
        <w:t xml:space="preserve"> por ende, </w:t>
      </w:r>
      <w:r w:rsidR="00FE0F0B" w:rsidRPr="00415AD8">
        <w:rPr>
          <w:rFonts w:cs="Arial"/>
        </w:rPr>
        <w:t xml:space="preserve">de allí se desprendía </w:t>
      </w:r>
      <w:r w:rsidR="006749D1" w:rsidRPr="00415AD8">
        <w:rPr>
          <w:rFonts w:cs="Arial"/>
        </w:rPr>
        <w:t>la declaratoria del siniestro</w:t>
      </w:r>
      <w:r w:rsidR="00FE0F0B" w:rsidRPr="00415AD8">
        <w:rPr>
          <w:rFonts w:cs="Arial"/>
        </w:rPr>
        <w:t>,</w:t>
      </w:r>
      <w:r w:rsidR="006749D1" w:rsidRPr="00415AD8">
        <w:rPr>
          <w:rFonts w:cs="Arial"/>
        </w:rPr>
        <w:t xml:space="preserve"> por </w:t>
      </w:r>
      <w:r w:rsidR="00FE0F0B" w:rsidRPr="00415AD8">
        <w:rPr>
          <w:rFonts w:cs="Arial"/>
        </w:rPr>
        <w:t xml:space="preserve">la ocurrencia del los </w:t>
      </w:r>
      <w:r w:rsidR="006749D1" w:rsidRPr="00415AD8">
        <w:rPr>
          <w:rFonts w:cs="Arial"/>
        </w:rPr>
        <w:t xml:space="preserve">mismos hechos </w:t>
      </w:r>
      <w:r w:rsidR="00FE0F0B" w:rsidRPr="00415AD8">
        <w:rPr>
          <w:rFonts w:cs="Arial"/>
        </w:rPr>
        <w:t>de incumplimiento que podían llegar a con</w:t>
      </w:r>
      <w:r w:rsidR="007A69AB" w:rsidRPr="00415AD8">
        <w:rPr>
          <w:rFonts w:cs="Arial"/>
        </w:rPr>
        <w:t xml:space="preserve">figurar </w:t>
      </w:r>
      <w:r w:rsidR="00FE0F0B" w:rsidRPr="00415AD8">
        <w:rPr>
          <w:rFonts w:cs="Arial"/>
        </w:rPr>
        <w:t xml:space="preserve">la materialización del riesgo </w:t>
      </w:r>
      <w:r w:rsidR="007A69AB" w:rsidRPr="00415AD8">
        <w:rPr>
          <w:rFonts w:cs="Arial"/>
        </w:rPr>
        <w:t xml:space="preserve">amparado </w:t>
      </w:r>
      <w:r w:rsidR="00FE0F0B" w:rsidRPr="00415AD8">
        <w:rPr>
          <w:rFonts w:cs="Arial"/>
        </w:rPr>
        <w:t>y darían lugar a la exigibilidad de la póliza de cumplimiento</w:t>
      </w:r>
      <w:r w:rsidR="006749D1" w:rsidRPr="00415AD8">
        <w:rPr>
          <w:rFonts w:cs="Arial"/>
        </w:rPr>
        <w:t xml:space="preserve"> otorgad</w:t>
      </w:r>
      <w:r w:rsidR="007A69AB" w:rsidRPr="00415AD8">
        <w:rPr>
          <w:rFonts w:cs="Arial"/>
        </w:rPr>
        <w:t>a</w:t>
      </w:r>
      <w:r w:rsidR="006749D1" w:rsidRPr="00415AD8">
        <w:rPr>
          <w:rFonts w:cs="Arial"/>
        </w:rPr>
        <w:t xml:space="preserve"> por Seguros Colpatria S.A.</w:t>
      </w:r>
    </w:p>
    <w:p w:rsidR="006749D1" w:rsidRPr="00415AD8" w:rsidRDefault="006749D1" w:rsidP="00415AD8">
      <w:pPr>
        <w:rPr>
          <w:rFonts w:cs="Arial"/>
        </w:rPr>
      </w:pPr>
    </w:p>
    <w:p w:rsidR="00B869CE" w:rsidRPr="00415AD8" w:rsidRDefault="00B869CE" w:rsidP="00415AD8">
      <w:pPr>
        <w:rPr>
          <w:rFonts w:cs="Arial"/>
        </w:rPr>
      </w:pPr>
      <w:r w:rsidRPr="00415AD8">
        <w:rPr>
          <w:rFonts w:cs="Arial"/>
        </w:rPr>
        <w:t xml:space="preserve">Como apoyo normativo de la anterior apreciación se </w:t>
      </w:r>
      <w:r w:rsidR="00B364B8" w:rsidRPr="00415AD8">
        <w:rPr>
          <w:rFonts w:cs="Arial"/>
        </w:rPr>
        <w:t xml:space="preserve">reseña </w:t>
      </w:r>
      <w:r w:rsidRPr="00415AD8">
        <w:rPr>
          <w:rFonts w:cs="Arial"/>
        </w:rPr>
        <w:t>el objeto del seguro, de acuerdo con la defin</w:t>
      </w:r>
      <w:r w:rsidR="00DA5750" w:rsidRPr="00415AD8">
        <w:rPr>
          <w:rFonts w:cs="Arial"/>
        </w:rPr>
        <w:t>i</w:t>
      </w:r>
      <w:r w:rsidRPr="00415AD8">
        <w:rPr>
          <w:rFonts w:cs="Arial"/>
        </w:rPr>
        <w:t xml:space="preserve">ción del Decreto 4828 de 2008, vigente para la época de los hechos, a cuyo tenor: </w:t>
      </w:r>
    </w:p>
    <w:p w:rsidR="00DA5750" w:rsidRPr="00415AD8" w:rsidRDefault="00DA5750" w:rsidP="00415AD8">
      <w:pPr>
        <w:spacing w:line="276" w:lineRule="auto"/>
        <w:rPr>
          <w:rFonts w:cs="Arial"/>
          <w:i/>
          <w:color w:val="000000"/>
          <w:shd w:val="clear" w:color="auto" w:fill="FFFFFF"/>
        </w:rPr>
      </w:pPr>
    </w:p>
    <w:p w:rsidR="00DA5750" w:rsidRPr="00415AD8" w:rsidRDefault="00DA5750" w:rsidP="00415AD8">
      <w:pPr>
        <w:pStyle w:val="NormalWeb"/>
        <w:shd w:val="clear" w:color="auto" w:fill="FFFFFF"/>
        <w:spacing w:before="0" w:beforeAutospacing="0" w:after="0" w:afterAutospacing="0" w:line="276" w:lineRule="auto"/>
        <w:rPr>
          <w:rFonts w:cs="Arial"/>
          <w:i/>
        </w:rPr>
      </w:pPr>
      <w:r w:rsidRPr="00415AD8">
        <w:rPr>
          <w:rFonts w:cs="Arial"/>
          <w:i/>
          <w:shd w:val="clear" w:color="auto" w:fill="FFFFFF"/>
        </w:rPr>
        <w:t>“</w:t>
      </w:r>
      <w:r w:rsidRPr="00415AD8">
        <w:rPr>
          <w:rFonts w:cs="Arial"/>
          <w:i/>
        </w:rPr>
        <w:t>4.2 </w:t>
      </w:r>
      <w:r w:rsidRPr="00415AD8">
        <w:rPr>
          <w:rFonts w:cs="Arial"/>
          <w:b/>
          <w:bCs/>
          <w:i/>
        </w:rPr>
        <w:t>Riesgos derivados del incumplimiento de las obligaciones contractuales</w:t>
      </w:r>
      <w:r w:rsidRPr="00415AD8">
        <w:rPr>
          <w:rFonts w:cs="Arial"/>
          <w:bCs/>
          <w:i/>
        </w:rPr>
        <w:t>:</w:t>
      </w:r>
    </w:p>
    <w:p w:rsidR="00DA5750" w:rsidRPr="00415AD8" w:rsidRDefault="00E84B72" w:rsidP="00415AD8">
      <w:pPr>
        <w:shd w:val="clear" w:color="auto" w:fill="FFFFFF"/>
        <w:spacing w:line="276" w:lineRule="auto"/>
        <w:rPr>
          <w:rFonts w:cs="Arial"/>
          <w:i/>
        </w:rPr>
      </w:pPr>
      <w:r w:rsidRPr="00415AD8">
        <w:rPr>
          <w:rFonts w:cs="Arial"/>
          <w:i/>
        </w:rPr>
        <w:t>“</w:t>
      </w:r>
      <w:r w:rsidR="00DA5750" w:rsidRPr="00415AD8">
        <w:rPr>
          <w:rFonts w:cs="Arial"/>
          <w:i/>
        </w:rPr>
        <w:t>La garantía de cumplimiento de las obligaciones cubrirá los perjuicios derivados del incumplimiento de las obligaciones legales o contractuales del contratista, así:</w:t>
      </w:r>
    </w:p>
    <w:p w:rsidR="00B869CE" w:rsidRPr="00415AD8" w:rsidRDefault="004616A0" w:rsidP="00415AD8">
      <w:pPr>
        <w:spacing w:line="276" w:lineRule="auto"/>
        <w:rPr>
          <w:rFonts w:cs="Arial"/>
          <w:b/>
          <w:i/>
        </w:rPr>
      </w:pPr>
      <w:r w:rsidRPr="00415AD8">
        <w:rPr>
          <w:rFonts w:cs="Arial"/>
          <w:i/>
          <w:shd w:val="clear" w:color="auto" w:fill="FFFFFF"/>
        </w:rPr>
        <w:t>“</w:t>
      </w:r>
      <w:r w:rsidR="00B869CE" w:rsidRPr="00415AD8">
        <w:rPr>
          <w:rFonts w:cs="Arial"/>
          <w:i/>
          <w:shd w:val="clear" w:color="auto" w:fill="FFFFFF"/>
        </w:rPr>
        <w:t xml:space="preserve">4.2.3 Cumplimiento de las obligaciones surgidas del contrato estatal incluyendo en ellas el pago de multas y cláusula penal pecuniaria, cuando se hayan pactado en el contrato. El amparo de cumplimiento del contrato cubrirá a la entidad estatal </w:t>
      </w:r>
      <w:r w:rsidR="00B869CE" w:rsidRPr="00415AD8">
        <w:rPr>
          <w:rFonts w:cs="Arial"/>
          <w:i/>
          <w:shd w:val="clear" w:color="auto" w:fill="FFFFFF"/>
        </w:rPr>
        <w:lastRenderedPageBreak/>
        <w:t>contratante de los perjuicios directos derivados del incumplimiento total o parcial de las obligaciones nacidas del contrato, así como de su cumplimiento tardío o de su cumplimiento defectuoso, cuando ellos son imputables al contratista garantizado. Además de esos riesgos, este amparo comprenderá siempre el pago del valor de las multas y de la cláusula penal pecuniaria que se hayan pactado en el contrato garantizado</w:t>
      </w:r>
      <w:r w:rsidR="00DA5750" w:rsidRPr="00415AD8">
        <w:rPr>
          <w:rFonts w:cs="Arial"/>
          <w:i/>
          <w:shd w:val="clear" w:color="auto" w:fill="FFFFFF"/>
        </w:rPr>
        <w:t>”</w:t>
      </w:r>
      <w:r w:rsidR="0056199D" w:rsidRPr="00415AD8">
        <w:rPr>
          <w:rFonts w:cs="Arial"/>
          <w:i/>
          <w:shd w:val="clear" w:color="auto" w:fill="FFFFFF"/>
        </w:rPr>
        <w:t xml:space="preserve"> </w:t>
      </w:r>
      <w:r w:rsidR="0056199D" w:rsidRPr="00415AD8">
        <w:rPr>
          <w:rFonts w:cs="Arial"/>
          <w:shd w:val="clear" w:color="auto" w:fill="FFFFFF"/>
        </w:rPr>
        <w:t>(la negrilla no es del texto).</w:t>
      </w:r>
    </w:p>
    <w:p w:rsidR="00F43FA2" w:rsidRPr="00415AD8" w:rsidRDefault="00F43FA2" w:rsidP="00415AD8">
      <w:pPr>
        <w:rPr>
          <w:rFonts w:cs="Arial"/>
          <w:b/>
        </w:rPr>
      </w:pPr>
    </w:p>
    <w:p w:rsidR="0056199D" w:rsidRPr="00415AD8" w:rsidRDefault="00F43FA2" w:rsidP="00415AD8">
      <w:pPr>
        <w:rPr>
          <w:rFonts w:cs="Arial"/>
        </w:rPr>
      </w:pPr>
      <w:r w:rsidRPr="00415AD8">
        <w:rPr>
          <w:rFonts w:cs="Arial"/>
        </w:rPr>
        <w:t xml:space="preserve">No se desconoce que </w:t>
      </w:r>
      <w:r w:rsidR="001056D7" w:rsidRPr="00415AD8">
        <w:rPr>
          <w:rFonts w:cs="Arial"/>
        </w:rPr>
        <w:t xml:space="preserve">en el procedimiento sancionatorio </w:t>
      </w:r>
      <w:r w:rsidRPr="00415AD8">
        <w:rPr>
          <w:rFonts w:cs="Arial"/>
        </w:rPr>
        <w:t xml:space="preserve">la aseguradora podía alegar defensas propias del contrato </w:t>
      </w:r>
      <w:r w:rsidR="00983014" w:rsidRPr="00415AD8">
        <w:rPr>
          <w:rFonts w:cs="Arial"/>
        </w:rPr>
        <w:t>d</w:t>
      </w:r>
      <w:r w:rsidRPr="00415AD8">
        <w:rPr>
          <w:rFonts w:cs="Arial"/>
        </w:rPr>
        <w:t>e seguro, por ejemplo</w:t>
      </w:r>
      <w:r w:rsidR="0056199D" w:rsidRPr="00415AD8">
        <w:rPr>
          <w:rFonts w:cs="Arial"/>
        </w:rPr>
        <w:t>,</w:t>
      </w:r>
      <w:r w:rsidRPr="00415AD8">
        <w:rPr>
          <w:rFonts w:cs="Arial"/>
        </w:rPr>
        <w:t xml:space="preserve"> </w:t>
      </w:r>
      <w:r w:rsidR="00B364B8" w:rsidRPr="00415AD8">
        <w:rPr>
          <w:rFonts w:cs="Arial"/>
        </w:rPr>
        <w:t xml:space="preserve">apoyándose en los límites de </w:t>
      </w:r>
      <w:r w:rsidRPr="00415AD8">
        <w:rPr>
          <w:rFonts w:cs="Arial"/>
        </w:rPr>
        <w:t>la cobertura de</w:t>
      </w:r>
      <w:r w:rsidR="00B364B8" w:rsidRPr="00415AD8">
        <w:rPr>
          <w:rFonts w:cs="Arial"/>
        </w:rPr>
        <w:t xml:space="preserve"> la póliza o de </w:t>
      </w:r>
      <w:r w:rsidR="007A69AB" w:rsidRPr="00415AD8">
        <w:rPr>
          <w:rFonts w:cs="Arial"/>
        </w:rPr>
        <w:t xml:space="preserve">su </w:t>
      </w:r>
      <w:r w:rsidRPr="00415AD8">
        <w:rPr>
          <w:rFonts w:cs="Arial"/>
        </w:rPr>
        <w:t>vigencia</w:t>
      </w:r>
      <w:r w:rsidR="00B364B8" w:rsidRPr="00415AD8">
        <w:rPr>
          <w:rFonts w:cs="Arial"/>
        </w:rPr>
        <w:t xml:space="preserve">. </w:t>
      </w:r>
    </w:p>
    <w:p w:rsidR="0056199D" w:rsidRPr="00415AD8" w:rsidRDefault="0056199D" w:rsidP="00415AD8">
      <w:pPr>
        <w:rPr>
          <w:rFonts w:cs="Arial"/>
        </w:rPr>
      </w:pPr>
    </w:p>
    <w:p w:rsidR="00983014" w:rsidRPr="00415AD8" w:rsidRDefault="00B364B8" w:rsidP="00415AD8">
      <w:pPr>
        <w:rPr>
          <w:rFonts w:cs="Arial"/>
        </w:rPr>
      </w:pPr>
      <w:r w:rsidRPr="00415AD8">
        <w:rPr>
          <w:rFonts w:cs="Arial"/>
        </w:rPr>
        <w:t>Sin embargo,</w:t>
      </w:r>
      <w:r w:rsidR="00F43FA2" w:rsidRPr="00415AD8">
        <w:rPr>
          <w:rFonts w:cs="Arial"/>
        </w:rPr>
        <w:t xml:space="preserve"> de allí no se deduce que la entidad estatal </w:t>
      </w:r>
      <w:r w:rsidR="008B6945" w:rsidRPr="00415AD8">
        <w:rPr>
          <w:rFonts w:cs="Arial"/>
        </w:rPr>
        <w:t xml:space="preserve">tenía que </w:t>
      </w:r>
      <w:r w:rsidR="00D0156A" w:rsidRPr="00415AD8">
        <w:rPr>
          <w:rFonts w:cs="Arial"/>
        </w:rPr>
        <w:t xml:space="preserve">levantar un pliego de cargos diferente </w:t>
      </w:r>
      <w:r w:rsidRPr="00415AD8">
        <w:rPr>
          <w:rFonts w:cs="Arial"/>
        </w:rPr>
        <w:t xml:space="preserve">y separado, </w:t>
      </w:r>
      <w:r w:rsidR="00D0156A" w:rsidRPr="00415AD8">
        <w:rPr>
          <w:rFonts w:cs="Arial"/>
        </w:rPr>
        <w:t xml:space="preserve">con destino a la aseguradora, puesto que </w:t>
      </w:r>
      <w:r w:rsidR="00983014" w:rsidRPr="00415AD8">
        <w:rPr>
          <w:rFonts w:cs="Arial"/>
        </w:rPr>
        <w:t xml:space="preserve">el objeto del seguro era precisamente </w:t>
      </w:r>
      <w:r w:rsidR="00E84B72" w:rsidRPr="00415AD8">
        <w:rPr>
          <w:rFonts w:cs="Arial"/>
        </w:rPr>
        <w:t>la garantía de cumplimiento, es decir</w:t>
      </w:r>
      <w:r w:rsidR="004616A0" w:rsidRPr="00415AD8">
        <w:rPr>
          <w:rFonts w:cs="Arial"/>
        </w:rPr>
        <w:t>,</w:t>
      </w:r>
      <w:r w:rsidR="00E84B72" w:rsidRPr="00415AD8">
        <w:rPr>
          <w:rFonts w:cs="Arial"/>
        </w:rPr>
        <w:t xml:space="preserve"> </w:t>
      </w:r>
      <w:r w:rsidR="00983014" w:rsidRPr="00415AD8">
        <w:rPr>
          <w:rFonts w:cs="Arial"/>
        </w:rPr>
        <w:t>amparar l</w:t>
      </w:r>
      <w:r w:rsidR="00EA3964" w:rsidRPr="00415AD8">
        <w:rPr>
          <w:rFonts w:cs="Arial"/>
        </w:rPr>
        <w:t>os perjuicios derivados de l</w:t>
      </w:r>
      <w:r w:rsidR="00983014" w:rsidRPr="00415AD8">
        <w:rPr>
          <w:rFonts w:cs="Arial"/>
        </w:rPr>
        <w:t xml:space="preserve">a conducta </w:t>
      </w:r>
      <w:r w:rsidR="00EA3964" w:rsidRPr="00415AD8">
        <w:rPr>
          <w:rFonts w:cs="Arial"/>
        </w:rPr>
        <w:t>in</w:t>
      </w:r>
      <w:r w:rsidR="00983014" w:rsidRPr="00415AD8">
        <w:rPr>
          <w:rFonts w:cs="Arial"/>
        </w:rPr>
        <w:t>cumplida del contratista</w:t>
      </w:r>
      <w:r w:rsidR="004616A0" w:rsidRPr="00415AD8">
        <w:rPr>
          <w:rFonts w:cs="Arial"/>
        </w:rPr>
        <w:t>,</w:t>
      </w:r>
      <w:r w:rsidR="00983014" w:rsidRPr="00415AD8">
        <w:rPr>
          <w:rFonts w:cs="Arial"/>
        </w:rPr>
        <w:t xml:space="preserve"> de conformidad con el mismo contrato garantizado</w:t>
      </w:r>
      <w:r w:rsidR="008B6945" w:rsidRPr="00415AD8">
        <w:rPr>
          <w:rFonts w:cs="Arial"/>
        </w:rPr>
        <w:t xml:space="preserve">, amén de que la Ley 1474 </w:t>
      </w:r>
      <w:r w:rsidR="001F11DF" w:rsidRPr="00415AD8">
        <w:rPr>
          <w:rFonts w:cs="Arial"/>
        </w:rPr>
        <w:t xml:space="preserve">de 2011 </w:t>
      </w:r>
      <w:r w:rsidR="008B6945" w:rsidRPr="00415AD8">
        <w:rPr>
          <w:rFonts w:cs="Arial"/>
        </w:rPr>
        <w:t>dispuso un solo procedimiento para el contratista, con la citación de la aseguradora garante</w:t>
      </w:r>
      <w:r w:rsidR="00983014" w:rsidRPr="00415AD8">
        <w:rPr>
          <w:rFonts w:cs="Arial"/>
        </w:rPr>
        <w:t xml:space="preserve">. </w:t>
      </w:r>
    </w:p>
    <w:p w:rsidR="0069064B" w:rsidRPr="00415AD8" w:rsidRDefault="0069064B" w:rsidP="00415AD8">
      <w:pPr>
        <w:rPr>
          <w:rFonts w:cs="Arial"/>
        </w:rPr>
      </w:pPr>
    </w:p>
    <w:p w:rsidR="00EA3964" w:rsidRPr="00415AD8" w:rsidRDefault="00983014" w:rsidP="00415AD8">
      <w:pPr>
        <w:rPr>
          <w:rFonts w:cs="Arial"/>
        </w:rPr>
      </w:pPr>
      <w:r w:rsidRPr="00415AD8">
        <w:rPr>
          <w:rFonts w:cs="Arial"/>
        </w:rPr>
        <w:t>Ahora bien, s</w:t>
      </w:r>
      <w:r w:rsidR="00ED0094" w:rsidRPr="00415AD8">
        <w:rPr>
          <w:rFonts w:cs="Arial"/>
        </w:rPr>
        <w:t xml:space="preserve">e </w:t>
      </w:r>
      <w:r w:rsidR="001314FC" w:rsidRPr="00415AD8">
        <w:rPr>
          <w:rFonts w:cs="Arial"/>
        </w:rPr>
        <w:t xml:space="preserve">observa </w:t>
      </w:r>
      <w:r w:rsidR="00ED0094" w:rsidRPr="00415AD8">
        <w:rPr>
          <w:rFonts w:cs="Arial"/>
        </w:rPr>
        <w:t xml:space="preserve">que en </w:t>
      </w:r>
      <w:r w:rsidR="001056D7" w:rsidRPr="00415AD8">
        <w:rPr>
          <w:rFonts w:cs="Arial"/>
        </w:rPr>
        <w:t xml:space="preserve">las </w:t>
      </w:r>
      <w:r w:rsidR="00ED0094" w:rsidRPr="00415AD8">
        <w:rPr>
          <w:rFonts w:cs="Arial"/>
        </w:rPr>
        <w:t xml:space="preserve">Resoluciones </w:t>
      </w:r>
      <w:r w:rsidR="001056D7" w:rsidRPr="00415AD8">
        <w:rPr>
          <w:rFonts w:cs="Arial"/>
        </w:rPr>
        <w:t xml:space="preserve">demandadas </w:t>
      </w:r>
      <w:r w:rsidR="00ED0094" w:rsidRPr="00415AD8">
        <w:rPr>
          <w:rFonts w:cs="Arial"/>
        </w:rPr>
        <w:t>el Ministerio de Transporte adoptó y confirmó la declaración de incumplimiento de las obligaciones previstas en el Contrato No. 082 de 2007, impuso una sanción de $5</w:t>
      </w:r>
      <w:r w:rsidR="00460F6A" w:rsidRPr="00415AD8">
        <w:rPr>
          <w:rFonts w:cs="Arial"/>
        </w:rPr>
        <w:t xml:space="preserve">41’740.716 </w:t>
      </w:r>
      <w:r w:rsidR="00ED0094" w:rsidRPr="00415AD8">
        <w:rPr>
          <w:rFonts w:cs="Arial"/>
        </w:rPr>
        <w:t>por concepto de multas</w:t>
      </w:r>
      <w:r w:rsidR="00374670" w:rsidRPr="00415AD8">
        <w:rPr>
          <w:rStyle w:val="Refdenotaalpie"/>
          <w:rFonts w:cs="Arial"/>
        </w:rPr>
        <w:footnoteReference w:id="28"/>
      </w:r>
      <w:r w:rsidR="00ED0094" w:rsidRPr="00415AD8">
        <w:rPr>
          <w:rFonts w:cs="Arial"/>
        </w:rPr>
        <w:t>, hi</w:t>
      </w:r>
      <w:r w:rsidR="00460F6A" w:rsidRPr="00415AD8">
        <w:rPr>
          <w:rFonts w:cs="Arial"/>
        </w:rPr>
        <w:t xml:space="preserve">zo </w:t>
      </w:r>
      <w:r w:rsidR="00ED0094" w:rsidRPr="00415AD8">
        <w:rPr>
          <w:rFonts w:cs="Arial"/>
        </w:rPr>
        <w:t>efectiva la cláusul</w:t>
      </w:r>
      <w:r w:rsidR="00460F6A" w:rsidRPr="00415AD8">
        <w:rPr>
          <w:rFonts w:cs="Arial"/>
        </w:rPr>
        <w:t>a</w:t>
      </w:r>
      <w:r w:rsidR="00ED0094" w:rsidRPr="00415AD8">
        <w:rPr>
          <w:rFonts w:cs="Arial"/>
        </w:rPr>
        <w:t xml:space="preserve"> penal p</w:t>
      </w:r>
      <w:r w:rsidR="00460F6A" w:rsidRPr="00415AD8">
        <w:rPr>
          <w:rFonts w:cs="Arial"/>
        </w:rPr>
        <w:t xml:space="preserve">or la suma de $106’368.679, declaró la ocurrencia del siniestro de incumplimiento del </w:t>
      </w:r>
      <w:r w:rsidR="003D63AC" w:rsidRPr="00415AD8">
        <w:rPr>
          <w:rFonts w:cs="Arial"/>
        </w:rPr>
        <w:t>C</w:t>
      </w:r>
      <w:r w:rsidR="00460F6A" w:rsidRPr="00415AD8">
        <w:rPr>
          <w:rFonts w:cs="Arial"/>
        </w:rPr>
        <w:t>ontrato 082 de 2007</w:t>
      </w:r>
      <w:r w:rsidR="00A006F8" w:rsidRPr="00415AD8">
        <w:rPr>
          <w:rFonts w:cs="Arial"/>
        </w:rPr>
        <w:t xml:space="preserve"> y ordenó la reclamación correspondiente</w:t>
      </w:r>
      <w:r w:rsidR="00460F6A" w:rsidRPr="00415AD8">
        <w:rPr>
          <w:rFonts w:cs="Arial"/>
        </w:rPr>
        <w:t xml:space="preserve">. </w:t>
      </w:r>
      <w:r w:rsidR="00342D9F" w:rsidRPr="00415AD8">
        <w:rPr>
          <w:rFonts w:cs="Arial"/>
        </w:rPr>
        <w:t xml:space="preserve"> </w:t>
      </w:r>
    </w:p>
    <w:p w:rsidR="00EA3964" w:rsidRPr="00415AD8" w:rsidRDefault="00EA3964" w:rsidP="00415AD8">
      <w:pPr>
        <w:rPr>
          <w:rFonts w:cs="Arial"/>
        </w:rPr>
      </w:pPr>
    </w:p>
    <w:p w:rsidR="00460F6A" w:rsidRPr="00415AD8" w:rsidRDefault="00342D9F" w:rsidP="00415AD8">
      <w:pPr>
        <w:rPr>
          <w:rFonts w:cs="Arial"/>
          <w:b/>
        </w:rPr>
      </w:pPr>
      <w:r w:rsidRPr="00415AD8">
        <w:rPr>
          <w:rFonts w:cs="Arial"/>
        </w:rPr>
        <w:t xml:space="preserve">Por ello, </w:t>
      </w:r>
      <w:r w:rsidR="00EA3964" w:rsidRPr="00415AD8">
        <w:rPr>
          <w:rFonts w:cs="Arial"/>
        </w:rPr>
        <w:t xml:space="preserve">desde la perspectiva que otorga este plenario, se tiene que concluir que </w:t>
      </w:r>
      <w:r w:rsidRPr="00415AD8">
        <w:rPr>
          <w:rFonts w:cs="Arial"/>
        </w:rPr>
        <w:t xml:space="preserve">la ocurrencia del siniestro </w:t>
      </w:r>
      <w:r w:rsidR="001314FC" w:rsidRPr="00415AD8">
        <w:rPr>
          <w:rFonts w:cs="Arial"/>
        </w:rPr>
        <w:t xml:space="preserve">debía ser ventilada en </w:t>
      </w:r>
      <w:r w:rsidR="00233230" w:rsidRPr="00415AD8">
        <w:rPr>
          <w:rFonts w:cs="Arial"/>
        </w:rPr>
        <w:t>el</w:t>
      </w:r>
      <w:r w:rsidR="001314FC" w:rsidRPr="00415AD8">
        <w:rPr>
          <w:rFonts w:cs="Arial"/>
        </w:rPr>
        <w:t xml:space="preserve"> mismo procedimiento y que </w:t>
      </w:r>
      <w:r w:rsidRPr="00415AD8">
        <w:rPr>
          <w:rFonts w:cs="Arial"/>
        </w:rPr>
        <w:t xml:space="preserve">se configuró y se declaró </w:t>
      </w:r>
      <w:r w:rsidR="001F11DF" w:rsidRPr="00415AD8">
        <w:rPr>
          <w:rFonts w:cs="Arial"/>
        </w:rPr>
        <w:t xml:space="preserve">con base en </w:t>
      </w:r>
      <w:r w:rsidRPr="00415AD8">
        <w:rPr>
          <w:rFonts w:cs="Arial"/>
        </w:rPr>
        <w:t>el incumplimiento del contratista</w:t>
      </w:r>
      <w:r w:rsidR="001314FC" w:rsidRPr="00415AD8">
        <w:rPr>
          <w:rFonts w:cs="Arial"/>
        </w:rPr>
        <w:t xml:space="preserve">, el cual </w:t>
      </w:r>
      <w:r w:rsidR="00EA3964" w:rsidRPr="00415AD8">
        <w:rPr>
          <w:rFonts w:cs="Arial"/>
        </w:rPr>
        <w:t xml:space="preserve">se correspondía con el objeto de la póliza de cumplimiento otorgada por Seguros Colpatria S.A. </w:t>
      </w:r>
    </w:p>
    <w:p w:rsidR="00C65653" w:rsidRPr="00415AD8" w:rsidRDefault="00C65653" w:rsidP="00415AD8">
      <w:pPr>
        <w:rPr>
          <w:rFonts w:cs="Arial"/>
          <w:b/>
        </w:rPr>
      </w:pPr>
    </w:p>
    <w:p w:rsidR="008F4534" w:rsidRPr="00415AD8" w:rsidRDefault="00F919F6" w:rsidP="00415AD8">
      <w:pPr>
        <w:rPr>
          <w:rFonts w:cs="Arial"/>
        </w:rPr>
      </w:pPr>
      <w:r w:rsidRPr="00415AD8">
        <w:rPr>
          <w:rFonts w:cs="Arial"/>
          <w:b/>
        </w:rPr>
        <w:t>5.3.3.</w:t>
      </w:r>
      <w:r w:rsidR="00B74C48" w:rsidRPr="00415AD8">
        <w:rPr>
          <w:rFonts w:cs="Arial"/>
        </w:rPr>
        <w:t xml:space="preserve"> </w:t>
      </w:r>
      <w:r w:rsidR="00C65653" w:rsidRPr="00415AD8">
        <w:rPr>
          <w:rFonts w:cs="Arial"/>
        </w:rPr>
        <w:t xml:space="preserve">Examinando el </w:t>
      </w:r>
      <w:r w:rsidR="00BC3820" w:rsidRPr="00415AD8">
        <w:rPr>
          <w:rFonts w:cs="Arial"/>
        </w:rPr>
        <w:t xml:space="preserve">procedimiento que adelantó el Ministerio de Transporte, </w:t>
      </w:r>
      <w:r w:rsidR="000B662C" w:rsidRPr="00415AD8">
        <w:rPr>
          <w:rFonts w:cs="Arial"/>
        </w:rPr>
        <w:t xml:space="preserve">en relación con Seguros Colpatria S.A., </w:t>
      </w:r>
      <w:r w:rsidR="001F11DF" w:rsidRPr="00415AD8">
        <w:rPr>
          <w:rFonts w:cs="Arial"/>
        </w:rPr>
        <w:t xml:space="preserve">y la correspondencia que </w:t>
      </w:r>
      <w:r w:rsidR="000B662C" w:rsidRPr="00415AD8">
        <w:rPr>
          <w:rFonts w:cs="Arial"/>
        </w:rPr>
        <w:t xml:space="preserve">se relaciona </w:t>
      </w:r>
      <w:r w:rsidR="001F11DF" w:rsidRPr="00415AD8">
        <w:rPr>
          <w:rFonts w:cs="Arial"/>
        </w:rPr>
        <w:t>a continuación,</w:t>
      </w:r>
      <w:r w:rsidR="000B662C" w:rsidRPr="00415AD8">
        <w:rPr>
          <w:rFonts w:cs="Arial"/>
        </w:rPr>
        <w:t xml:space="preserve"> dirigida en forma directa </w:t>
      </w:r>
      <w:r w:rsidR="001F11DF" w:rsidRPr="00415AD8">
        <w:rPr>
          <w:rFonts w:cs="Arial"/>
        </w:rPr>
        <w:t xml:space="preserve">y separada </w:t>
      </w:r>
      <w:r w:rsidR="000B662C" w:rsidRPr="00415AD8">
        <w:rPr>
          <w:rFonts w:cs="Arial"/>
        </w:rPr>
        <w:t>a la compañía de seguros</w:t>
      </w:r>
      <w:r w:rsidR="001F11DF" w:rsidRPr="00415AD8">
        <w:rPr>
          <w:rFonts w:cs="Arial"/>
        </w:rPr>
        <w:t xml:space="preserve">, la </w:t>
      </w:r>
      <w:r w:rsidR="008F4534" w:rsidRPr="00415AD8">
        <w:rPr>
          <w:rFonts w:cs="Arial"/>
        </w:rPr>
        <w:t>S</w:t>
      </w:r>
      <w:r w:rsidR="001F11DF" w:rsidRPr="00415AD8">
        <w:rPr>
          <w:rFonts w:cs="Arial"/>
        </w:rPr>
        <w:t>ala concluye que se respetó en debida forma el debido proceso</w:t>
      </w:r>
      <w:r w:rsidR="008F4534" w:rsidRPr="00415AD8">
        <w:rPr>
          <w:rFonts w:cs="Arial"/>
        </w:rPr>
        <w:t>, de acuerdo con lo que se aprecia a continuación.</w:t>
      </w:r>
    </w:p>
    <w:p w:rsidR="000B662C" w:rsidRPr="00415AD8" w:rsidRDefault="008F4534" w:rsidP="00415AD8">
      <w:pPr>
        <w:rPr>
          <w:rFonts w:cs="Arial"/>
        </w:rPr>
      </w:pPr>
      <w:r w:rsidRPr="00415AD8">
        <w:rPr>
          <w:rFonts w:cs="Arial"/>
        </w:rPr>
        <w:lastRenderedPageBreak/>
        <w:t xml:space="preserve"> </w:t>
      </w:r>
    </w:p>
    <w:p w:rsidR="000B662C" w:rsidRPr="00415AD8" w:rsidRDefault="00F919F6" w:rsidP="00415AD8">
      <w:pPr>
        <w:rPr>
          <w:rFonts w:cs="Arial"/>
        </w:rPr>
      </w:pPr>
      <w:r w:rsidRPr="00415AD8">
        <w:rPr>
          <w:rFonts w:cs="Arial"/>
          <w:b/>
        </w:rPr>
        <w:t>5</w:t>
      </w:r>
      <w:r w:rsidR="000B662C" w:rsidRPr="00415AD8">
        <w:rPr>
          <w:rFonts w:cs="Arial"/>
          <w:b/>
        </w:rPr>
        <w:t>.</w:t>
      </w:r>
      <w:r w:rsidR="00B74C48" w:rsidRPr="00415AD8">
        <w:rPr>
          <w:rFonts w:cs="Arial"/>
          <w:b/>
        </w:rPr>
        <w:t>3.</w:t>
      </w:r>
      <w:r w:rsidRPr="00415AD8">
        <w:rPr>
          <w:rFonts w:cs="Arial"/>
          <w:b/>
        </w:rPr>
        <w:t>3.</w:t>
      </w:r>
      <w:r w:rsidR="000B662C" w:rsidRPr="00415AD8">
        <w:rPr>
          <w:rFonts w:cs="Arial"/>
          <w:b/>
        </w:rPr>
        <w:t>1.</w:t>
      </w:r>
      <w:r w:rsidR="000B662C" w:rsidRPr="00415AD8">
        <w:rPr>
          <w:rFonts w:cs="Arial"/>
        </w:rPr>
        <w:t xml:space="preserve"> Comunicación del 22 de agosto de 2011, suscrita por la asesora del Ministro – Coordinadora del Grupo RUNT, </w:t>
      </w:r>
      <w:r w:rsidR="003D63AC" w:rsidRPr="00415AD8">
        <w:rPr>
          <w:rFonts w:cs="Arial"/>
        </w:rPr>
        <w:t>en la cual le informó</w:t>
      </w:r>
      <w:r w:rsidR="00F541BC" w:rsidRPr="00415AD8">
        <w:rPr>
          <w:rFonts w:cs="Arial"/>
        </w:rPr>
        <w:t xml:space="preserve"> (se transcribe en forma literal, incluso con posibles errores)</w:t>
      </w:r>
      <w:r w:rsidR="003D63AC" w:rsidRPr="00415AD8">
        <w:rPr>
          <w:rFonts w:cs="Arial"/>
        </w:rPr>
        <w:t>:</w:t>
      </w:r>
    </w:p>
    <w:p w:rsidR="0030183C" w:rsidRPr="00415AD8" w:rsidRDefault="0030183C" w:rsidP="00415AD8">
      <w:pPr>
        <w:rPr>
          <w:rFonts w:cs="Arial"/>
          <w:i/>
        </w:rPr>
      </w:pPr>
    </w:p>
    <w:p w:rsidR="00FE5D7C" w:rsidRPr="00415AD8" w:rsidRDefault="008957AD" w:rsidP="00415AD8">
      <w:pPr>
        <w:spacing w:line="276" w:lineRule="auto"/>
        <w:rPr>
          <w:rFonts w:cs="Arial"/>
          <w:i/>
        </w:rPr>
      </w:pPr>
      <w:r w:rsidRPr="00415AD8">
        <w:rPr>
          <w:rFonts w:cs="Arial"/>
          <w:i/>
        </w:rPr>
        <w:t>“</w:t>
      </w:r>
      <w:r w:rsidRPr="00415AD8">
        <w:rPr>
          <w:rFonts w:cs="Arial"/>
          <w:b/>
          <w:i/>
        </w:rPr>
        <w:t>Teniendo en cuenta que ustedes son los garantes del Contrato 082 de 2007, según póliza 8001014299</w:t>
      </w:r>
      <w:r w:rsidRPr="00415AD8">
        <w:rPr>
          <w:rFonts w:cs="Arial"/>
          <w:i/>
        </w:rPr>
        <w:t xml:space="preserve">, nos permitimos enviar copia de las comunicaciones del asunto, en las cuales esta supervisión informa al consorcio PAI-RUNT </w:t>
      </w:r>
      <w:r w:rsidR="00D0127E" w:rsidRPr="00415AD8">
        <w:rPr>
          <w:rFonts w:cs="Arial"/>
          <w:i/>
        </w:rPr>
        <w:t xml:space="preserve">de las falencias encontradas en la segunda versión de los informes conforme a los criterios establecidos por el acta de parametrización de informes aprobada el día 5 de abril de 2011 y la ficha técnica </w:t>
      </w:r>
      <w:r w:rsidR="003D63AC" w:rsidRPr="00415AD8">
        <w:rPr>
          <w:rFonts w:cs="Arial"/>
          <w:i/>
        </w:rPr>
        <w:t>que hace parte integral de la misma, así como las observaciones realizadas por la Universidad Nacional y los miembros del grupo R.U.N.T.</w:t>
      </w:r>
      <w:r w:rsidR="00FE5D7C" w:rsidRPr="00415AD8">
        <w:rPr>
          <w:rFonts w:cs="Arial"/>
          <w:i/>
        </w:rPr>
        <w:t>, término que no fue c</w:t>
      </w:r>
      <w:r w:rsidR="00B019F7" w:rsidRPr="00415AD8">
        <w:rPr>
          <w:rFonts w:cs="Arial"/>
          <w:i/>
        </w:rPr>
        <w:t>u</w:t>
      </w:r>
      <w:r w:rsidR="00FE5D7C" w:rsidRPr="00415AD8">
        <w:rPr>
          <w:rFonts w:cs="Arial"/>
          <w:i/>
        </w:rPr>
        <w:t>mplido.</w:t>
      </w:r>
    </w:p>
    <w:p w:rsidR="00FE5D7C" w:rsidRPr="00415AD8" w:rsidRDefault="00FE5D7C" w:rsidP="00415AD8">
      <w:pPr>
        <w:spacing w:line="276" w:lineRule="auto"/>
        <w:rPr>
          <w:rFonts w:cs="Arial"/>
          <w:i/>
        </w:rPr>
      </w:pPr>
    </w:p>
    <w:p w:rsidR="00B019F7" w:rsidRPr="00415AD8" w:rsidRDefault="00B019F7" w:rsidP="00415AD8">
      <w:pPr>
        <w:spacing w:line="276" w:lineRule="auto"/>
        <w:rPr>
          <w:rFonts w:cs="Arial"/>
          <w:i/>
        </w:rPr>
      </w:pPr>
      <w:r w:rsidRPr="00415AD8">
        <w:rPr>
          <w:rFonts w:cs="Arial"/>
          <w:i/>
        </w:rPr>
        <w:t>“</w:t>
      </w:r>
      <w:r w:rsidR="00FE5D7C" w:rsidRPr="00415AD8">
        <w:rPr>
          <w:rFonts w:cs="Arial"/>
          <w:i/>
        </w:rPr>
        <w:t>La segunda comunicación de fecha 10 de agosto de 2011, corresponde a la devolución de los informes correspondientes a los meses de enero a mayo de 2011, cláusulas Sexta y Séptima, por existir razones de carácter técnico, jurídico y financiero que hacen que los mismos no puedan ser apr</w:t>
      </w:r>
      <w:r w:rsidRPr="00415AD8">
        <w:rPr>
          <w:rFonts w:cs="Arial"/>
          <w:i/>
        </w:rPr>
        <w:t>o</w:t>
      </w:r>
      <w:r w:rsidR="00FE5D7C" w:rsidRPr="00415AD8">
        <w:rPr>
          <w:rFonts w:cs="Arial"/>
          <w:i/>
        </w:rPr>
        <w:t>bados</w:t>
      </w:r>
      <w:r w:rsidRPr="00415AD8">
        <w:rPr>
          <w:rFonts w:cs="Arial"/>
          <w:i/>
        </w:rPr>
        <w:t>.</w:t>
      </w:r>
    </w:p>
    <w:p w:rsidR="00B019F7" w:rsidRPr="00415AD8" w:rsidRDefault="00B019F7" w:rsidP="00415AD8">
      <w:pPr>
        <w:spacing w:line="276" w:lineRule="auto"/>
        <w:rPr>
          <w:rFonts w:cs="Arial"/>
          <w:i/>
        </w:rPr>
      </w:pPr>
    </w:p>
    <w:p w:rsidR="00B019F7" w:rsidRPr="00415AD8" w:rsidRDefault="00B019F7" w:rsidP="00415AD8">
      <w:pPr>
        <w:spacing w:line="276" w:lineRule="auto"/>
        <w:rPr>
          <w:rFonts w:cs="Arial"/>
        </w:rPr>
      </w:pPr>
      <w:r w:rsidRPr="00415AD8">
        <w:rPr>
          <w:rFonts w:cs="Arial"/>
          <w:i/>
        </w:rPr>
        <w:t>“</w:t>
      </w:r>
      <w:r w:rsidRPr="00415AD8">
        <w:rPr>
          <w:rFonts w:cs="Arial"/>
          <w:b/>
          <w:i/>
        </w:rPr>
        <w:t>La comunicación se en</w:t>
      </w:r>
      <w:r w:rsidR="00FE5D7C" w:rsidRPr="00415AD8">
        <w:rPr>
          <w:rFonts w:cs="Arial"/>
          <w:b/>
          <w:i/>
        </w:rPr>
        <w:t>v</w:t>
      </w:r>
      <w:r w:rsidRPr="00415AD8">
        <w:rPr>
          <w:rFonts w:cs="Arial"/>
          <w:b/>
          <w:i/>
        </w:rPr>
        <w:t>ía tomando en cuenta la aplicación irrestricta del debido proceso consagrado en el artículo 29 de la Constitución Política de 1991</w:t>
      </w:r>
      <w:r w:rsidR="00814D29" w:rsidRPr="00415AD8">
        <w:rPr>
          <w:rFonts w:cs="Arial"/>
          <w:i/>
        </w:rPr>
        <w:t>”</w:t>
      </w:r>
      <w:r w:rsidR="008F4534" w:rsidRPr="00415AD8">
        <w:rPr>
          <w:rFonts w:cs="Arial"/>
          <w:b/>
          <w:i/>
        </w:rPr>
        <w:t xml:space="preserve"> </w:t>
      </w:r>
      <w:r w:rsidR="008F4534" w:rsidRPr="00415AD8">
        <w:rPr>
          <w:rFonts w:cs="Arial"/>
        </w:rPr>
        <w:t>(la negrilla no es del texto)</w:t>
      </w:r>
      <w:r w:rsidRPr="00415AD8">
        <w:rPr>
          <w:rFonts w:cs="Arial"/>
        </w:rPr>
        <w:t>.</w:t>
      </w:r>
    </w:p>
    <w:p w:rsidR="00BC3820" w:rsidRPr="00415AD8" w:rsidRDefault="00BC3820" w:rsidP="00415AD8">
      <w:pPr>
        <w:spacing w:line="276" w:lineRule="auto"/>
        <w:rPr>
          <w:rFonts w:cs="Arial"/>
          <w:b/>
        </w:rPr>
      </w:pPr>
    </w:p>
    <w:p w:rsidR="008F4534" w:rsidRPr="00415AD8" w:rsidRDefault="00F919F6" w:rsidP="00415AD8">
      <w:pPr>
        <w:rPr>
          <w:rFonts w:cs="Arial"/>
        </w:rPr>
      </w:pPr>
      <w:r w:rsidRPr="00415AD8">
        <w:rPr>
          <w:rFonts w:cs="Arial"/>
          <w:b/>
        </w:rPr>
        <w:t>5</w:t>
      </w:r>
      <w:r w:rsidR="00D03C98" w:rsidRPr="00415AD8">
        <w:rPr>
          <w:rFonts w:cs="Arial"/>
          <w:b/>
        </w:rPr>
        <w:t>.</w:t>
      </w:r>
      <w:r w:rsidR="00B74C48" w:rsidRPr="00415AD8">
        <w:rPr>
          <w:rFonts w:cs="Arial"/>
          <w:b/>
        </w:rPr>
        <w:t>3.</w:t>
      </w:r>
      <w:r w:rsidRPr="00415AD8">
        <w:rPr>
          <w:rFonts w:cs="Arial"/>
          <w:b/>
        </w:rPr>
        <w:t>3.</w:t>
      </w:r>
      <w:r w:rsidR="00D03C98" w:rsidRPr="00415AD8">
        <w:rPr>
          <w:rFonts w:cs="Arial"/>
          <w:b/>
        </w:rPr>
        <w:t xml:space="preserve">2. </w:t>
      </w:r>
      <w:r w:rsidR="00D03C98" w:rsidRPr="00415AD8">
        <w:rPr>
          <w:rFonts w:cs="Arial"/>
        </w:rPr>
        <w:t>Comunicación de 31 de agosto de 2011</w:t>
      </w:r>
      <w:r w:rsidR="009644F0" w:rsidRPr="00415AD8">
        <w:rPr>
          <w:rFonts w:cs="Arial"/>
        </w:rPr>
        <w:t xml:space="preserve">, </w:t>
      </w:r>
      <w:r w:rsidR="00D03C98" w:rsidRPr="00415AD8">
        <w:rPr>
          <w:rFonts w:cs="Arial"/>
        </w:rPr>
        <w:t xml:space="preserve">radicada </w:t>
      </w:r>
      <w:r w:rsidR="009644F0" w:rsidRPr="00415AD8">
        <w:rPr>
          <w:rFonts w:cs="Arial"/>
        </w:rPr>
        <w:t xml:space="preserve">bajo el número 2011330435145, con sello de recibido para estudio por Seguros Colpatria S.A., de fecha 2 de septiembre de 2011. </w:t>
      </w:r>
    </w:p>
    <w:p w:rsidR="008F4534" w:rsidRPr="00415AD8" w:rsidRDefault="008F4534" w:rsidP="00415AD8">
      <w:pPr>
        <w:rPr>
          <w:rFonts w:cs="Arial"/>
        </w:rPr>
      </w:pPr>
    </w:p>
    <w:p w:rsidR="009644F0" w:rsidRPr="00415AD8" w:rsidRDefault="009644F0" w:rsidP="00415AD8">
      <w:pPr>
        <w:rPr>
          <w:rFonts w:cs="Arial"/>
        </w:rPr>
      </w:pPr>
      <w:r w:rsidRPr="00415AD8">
        <w:rPr>
          <w:rFonts w:cs="Arial"/>
        </w:rPr>
        <w:t xml:space="preserve">Esta comunicación </w:t>
      </w:r>
      <w:r w:rsidR="008F4534" w:rsidRPr="00415AD8">
        <w:rPr>
          <w:rFonts w:cs="Arial"/>
        </w:rPr>
        <w:t xml:space="preserve">fue señalada en </w:t>
      </w:r>
      <w:r w:rsidRPr="00415AD8">
        <w:rPr>
          <w:rFonts w:cs="Arial"/>
        </w:rPr>
        <w:t>por el Ministerio de Transporte</w:t>
      </w:r>
      <w:r w:rsidR="005D089D" w:rsidRPr="00415AD8">
        <w:rPr>
          <w:rFonts w:cs="Arial"/>
        </w:rPr>
        <w:t>, en el presente proceso,</w:t>
      </w:r>
      <w:r w:rsidRPr="00415AD8">
        <w:rPr>
          <w:rFonts w:cs="Arial"/>
        </w:rPr>
        <w:t xml:space="preserve"> como aquella mediante la cual cumplió con la citación </w:t>
      </w:r>
      <w:r w:rsidR="005D089D" w:rsidRPr="00415AD8">
        <w:rPr>
          <w:rFonts w:cs="Arial"/>
        </w:rPr>
        <w:t xml:space="preserve">pertinente </w:t>
      </w:r>
      <w:r w:rsidR="00B74C48" w:rsidRPr="00415AD8">
        <w:rPr>
          <w:rFonts w:cs="Arial"/>
        </w:rPr>
        <w:t xml:space="preserve">al procedimiento sancionatorio que siguió al contratista </w:t>
      </w:r>
      <w:r w:rsidR="005D089D" w:rsidRPr="00415AD8">
        <w:rPr>
          <w:rFonts w:cs="Arial"/>
        </w:rPr>
        <w:t xml:space="preserve">y </w:t>
      </w:r>
      <w:r w:rsidR="00B74C48" w:rsidRPr="00415AD8">
        <w:rPr>
          <w:rFonts w:cs="Arial"/>
        </w:rPr>
        <w:t xml:space="preserve">que estimó </w:t>
      </w:r>
      <w:r w:rsidR="005D089D" w:rsidRPr="00415AD8">
        <w:rPr>
          <w:rFonts w:cs="Arial"/>
        </w:rPr>
        <w:t xml:space="preserve">suficiente para que </w:t>
      </w:r>
      <w:r w:rsidRPr="00415AD8">
        <w:rPr>
          <w:rFonts w:cs="Arial"/>
        </w:rPr>
        <w:t xml:space="preserve">la aseguradora </w:t>
      </w:r>
      <w:r w:rsidR="005D089D" w:rsidRPr="00415AD8">
        <w:rPr>
          <w:rFonts w:cs="Arial"/>
        </w:rPr>
        <w:t xml:space="preserve">tuviera </w:t>
      </w:r>
      <w:r w:rsidR="00B74C48" w:rsidRPr="00415AD8">
        <w:rPr>
          <w:rFonts w:cs="Arial"/>
        </w:rPr>
        <w:t>acceso a</w:t>
      </w:r>
      <w:r w:rsidR="005D089D" w:rsidRPr="00415AD8">
        <w:rPr>
          <w:rFonts w:cs="Arial"/>
        </w:rPr>
        <w:t xml:space="preserve">l </w:t>
      </w:r>
      <w:r w:rsidRPr="00415AD8">
        <w:rPr>
          <w:rFonts w:cs="Arial"/>
        </w:rPr>
        <w:t>debido proceso</w:t>
      </w:r>
      <w:r w:rsidR="005D089D" w:rsidRPr="00415AD8">
        <w:rPr>
          <w:rFonts w:cs="Arial"/>
        </w:rPr>
        <w:t xml:space="preserve"> en el trámite correspondiente.</w:t>
      </w:r>
    </w:p>
    <w:p w:rsidR="009644F0" w:rsidRPr="00415AD8" w:rsidRDefault="009644F0" w:rsidP="00415AD8">
      <w:pPr>
        <w:rPr>
          <w:rFonts w:cs="Arial"/>
        </w:rPr>
      </w:pPr>
    </w:p>
    <w:p w:rsidR="009644F0" w:rsidRPr="00415AD8" w:rsidRDefault="009644F0" w:rsidP="00415AD8">
      <w:pPr>
        <w:rPr>
          <w:rFonts w:cs="Arial"/>
        </w:rPr>
      </w:pPr>
      <w:r w:rsidRPr="00415AD8">
        <w:rPr>
          <w:rFonts w:cs="Arial"/>
        </w:rPr>
        <w:t xml:space="preserve">El texto de la </w:t>
      </w:r>
      <w:r w:rsidR="005D089D" w:rsidRPr="00415AD8">
        <w:rPr>
          <w:rFonts w:cs="Arial"/>
        </w:rPr>
        <w:t xml:space="preserve">citada </w:t>
      </w:r>
      <w:r w:rsidRPr="00415AD8">
        <w:rPr>
          <w:rFonts w:cs="Arial"/>
        </w:rPr>
        <w:t>comunicación</w:t>
      </w:r>
      <w:r w:rsidR="005C685B" w:rsidRPr="00415AD8">
        <w:rPr>
          <w:rFonts w:cs="Arial"/>
        </w:rPr>
        <w:t>, dirigida en forma directa y separada a Seguros Colpatria S.A,</w:t>
      </w:r>
      <w:r w:rsidR="002276F7" w:rsidRPr="00415AD8">
        <w:rPr>
          <w:rFonts w:cs="Arial"/>
        </w:rPr>
        <w:t>,</w:t>
      </w:r>
      <w:r w:rsidR="005C685B" w:rsidRPr="00415AD8">
        <w:rPr>
          <w:rFonts w:cs="Arial"/>
        </w:rPr>
        <w:t xml:space="preserve"> </w:t>
      </w:r>
      <w:r w:rsidRPr="00415AD8">
        <w:rPr>
          <w:rFonts w:cs="Arial"/>
        </w:rPr>
        <w:t>es el siguiente:</w:t>
      </w:r>
    </w:p>
    <w:p w:rsidR="009644F0" w:rsidRPr="00415AD8" w:rsidRDefault="009644F0" w:rsidP="00415AD8">
      <w:pPr>
        <w:rPr>
          <w:rFonts w:cs="Arial"/>
          <w:b/>
        </w:rPr>
      </w:pPr>
    </w:p>
    <w:p w:rsidR="00097A3D" w:rsidRPr="00415AD8" w:rsidRDefault="0030183C" w:rsidP="00415AD8">
      <w:pPr>
        <w:spacing w:line="276" w:lineRule="auto"/>
        <w:rPr>
          <w:rFonts w:cs="Arial"/>
          <w:i/>
        </w:rPr>
      </w:pPr>
      <w:r w:rsidRPr="00415AD8">
        <w:rPr>
          <w:rFonts w:cs="Arial"/>
          <w:i/>
        </w:rPr>
        <w:t>“</w:t>
      </w:r>
      <w:r w:rsidR="00097A3D" w:rsidRPr="00415AD8">
        <w:rPr>
          <w:rFonts w:cs="Arial"/>
          <w:i/>
        </w:rPr>
        <w:t xml:space="preserve">Asunto: Audiencia artículo 17 Ley 1150 de 2007, Contrato de Interventoría 082 de 2007 – Póliza 8001014299 – Ministerio de Transporte / ConsorcIo </w:t>
      </w:r>
      <w:r w:rsidRPr="00415AD8">
        <w:rPr>
          <w:rFonts w:cs="Arial"/>
          <w:i/>
        </w:rPr>
        <w:t>PAI -</w:t>
      </w:r>
      <w:r w:rsidR="00097A3D" w:rsidRPr="00415AD8">
        <w:rPr>
          <w:rFonts w:cs="Arial"/>
          <w:i/>
        </w:rPr>
        <w:t xml:space="preserve"> RUNT.</w:t>
      </w:r>
    </w:p>
    <w:p w:rsidR="00097A3D" w:rsidRPr="00415AD8" w:rsidRDefault="00097A3D" w:rsidP="00415AD8">
      <w:pPr>
        <w:spacing w:line="276" w:lineRule="auto"/>
        <w:rPr>
          <w:rFonts w:cs="Arial"/>
          <w:i/>
        </w:rPr>
      </w:pPr>
    </w:p>
    <w:p w:rsidR="00D8446A" w:rsidRPr="00415AD8" w:rsidRDefault="005D089D" w:rsidP="00415AD8">
      <w:pPr>
        <w:spacing w:line="276" w:lineRule="auto"/>
        <w:rPr>
          <w:rFonts w:cs="Arial"/>
          <w:i/>
        </w:rPr>
      </w:pPr>
      <w:r w:rsidRPr="00415AD8">
        <w:rPr>
          <w:rFonts w:cs="Arial"/>
          <w:i/>
        </w:rPr>
        <w:t>“</w:t>
      </w:r>
      <w:r w:rsidR="00097A3D" w:rsidRPr="00415AD8">
        <w:rPr>
          <w:rFonts w:cs="Arial"/>
          <w:i/>
        </w:rPr>
        <w:t xml:space="preserve">Apreciados Señores: </w:t>
      </w:r>
    </w:p>
    <w:p w:rsidR="00D8446A" w:rsidRPr="00415AD8" w:rsidRDefault="00D8446A" w:rsidP="00415AD8">
      <w:pPr>
        <w:spacing w:line="276" w:lineRule="auto"/>
        <w:rPr>
          <w:rFonts w:cs="Arial"/>
          <w:i/>
        </w:rPr>
      </w:pPr>
    </w:p>
    <w:p w:rsidR="00880394" w:rsidRPr="00415AD8" w:rsidRDefault="005D089D" w:rsidP="00415AD8">
      <w:pPr>
        <w:spacing w:line="276" w:lineRule="auto"/>
        <w:rPr>
          <w:rFonts w:cs="Arial"/>
          <w:b/>
          <w:i/>
        </w:rPr>
      </w:pPr>
      <w:r w:rsidRPr="00415AD8">
        <w:rPr>
          <w:rFonts w:cs="Arial"/>
          <w:i/>
        </w:rPr>
        <w:t>“</w:t>
      </w:r>
      <w:r w:rsidR="00D8446A" w:rsidRPr="00415AD8">
        <w:rPr>
          <w:rFonts w:cs="Arial"/>
          <w:i/>
        </w:rPr>
        <w:t>De conformidad con el tema del asunto, me permito informarles que la coordinadora del Grupo R.U.N.T.</w:t>
      </w:r>
      <w:r w:rsidR="00097A3D" w:rsidRPr="00415AD8">
        <w:rPr>
          <w:rFonts w:cs="Arial"/>
          <w:i/>
        </w:rPr>
        <w:t xml:space="preserve">, </w:t>
      </w:r>
      <w:r w:rsidR="00D8446A" w:rsidRPr="00415AD8">
        <w:rPr>
          <w:rFonts w:cs="Arial"/>
          <w:i/>
        </w:rPr>
        <w:t xml:space="preserve">Supervisora del Contrato número 082 de 2007, ha enviado </w:t>
      </w:r>
      <w:r w:rsidR="009E1FBF" w:rsidRPr="00415AD8">
        <w:rPr>
          <w:rFonts w:cs="Arial"/>
          <w:i/>
        </w:rPr>
        <w:t>a la Oficina Asesora Jurídic</w:t>
      </w:r>
      <w:r w:rsidR="00155E40" w:rsidRPr="00415AD8">
        <w:rPr>
          <w:rFonts w:cs="Arial"/>
          <w:i/>
        </w:rPr>
        <w:t xml:space="preserve">a del Ministerio de Transporte, el memorando número </w:t>
      </w:r>
      <w:r w:rsidR="00155E40" w:rsidRPr="00415AD8">
        <w:rPr>
          <w:rFonts w:cs="Arial"/>
          <w:i/>
        </w:rPr>
        <w:lastRenderedPageBreak/>
        <w:t>20114010146953</w:t>
      </w:r>
      <w:r w:rsidR="009E1FBF" w:rsidRPr="00415AD8">
        <w:rPr>
          <w:rFonts w:cs="Arial"/>
          <w:i/>
        </w:rPr>
        <w:t xml:space="preserve"> </w:t>
      </w:r>
      <w:r w:rsidR="00155E40" w:rsidRPr="00415AD8">
        <w:rPr>
          <w:rFonts w:cs="Arial"/>
          <w:i/>
        </w:rPr>
        <w:t xml:space="preserve">de 29 de agosto de 2011,que contiene unas aseveraciones que conllevan </w:t>
      </w:r>
      <w:r w:rsidR="00155E40" w:rsidRPr="00415AD8">
        <w:rPr>
          <w:rFonts w:cs="Arial"/>
          <w:b/>
          <w:i/>
        </w:rPr>
        <w:t xml:space="preserve">la presunción de un incumplimiento </w:t>
      </w:r>
      <w:r w:rsidR="003808CA" w:rsidRPr="00415AD8">
        <w:rPr>
          <w:rFonts w:cs="Arial"/>
          <w:b/>
          <w:i/>
        </w:rPr>
        <w:t>grave del contrato de interventoría 082 de 2007</w:t>
      </w:r>
      <w:r w:rsidR="003808CA" w:rsidRPr="00415AD8">
        <w:rPr>
          <w:rFonts w:cs="Arial"/>
          <w:i/>
        </w:rPr>
        <w:t xml:space="preserve"> celebrado entre este Ministerio y el consorcio R.U.N.T., </w:t>
      </w:r>
      <w:r w:rsidR="003808CA" w:rsidRPr="00415AD8">
        <w:rPr>
          <w:rFonts w:cs="Arial"/>
          <w:b/>
          <w:i/>
        </w:rPr>
        <w:t xml:space="preserve">del cual la Aseguradora Seguros Colpatria </w:t>
      </w:r>
      <w:r w:rsidR="00880394" w:rsidRPr="00415AD8">
        <w:rPr>
          <w:rFonts w:cs="Arial"/>
          <w:b/>
          <w:i/>
        </w:rPr>
        <w:t>S.A. es garante.</w:t>
      </w:r>
    </w:p>
    <w:p w:rsidR="00880394" w:rsidRPr="00415AD8" w:rsidRDefault="00880394" w:rsidP="00415AD8">
      <w:pPr>
        <w:spacing w:line="276" w:lineRule="auto"/>
        <w:rPr>
          <w:rFonts w:cs="Arial"/>
          <w:i/>
        </w:rPr>
      </w:pPr>
    </w:p>
    <w:p w:rsidR="00E21692" w:rsidRPr="00415AD8" w:rsidRDefault="00CF018A" w:rsidP="00415AD8">
      <w:pPr>
        <w:spacing w:line="276" w:lineRule="auto"/>
        <w:rPr>
          <w:rFonts w:cs="Arial"/>
          <w:i/>
        </w:rPr>
      </w:pPr>
      <w:r w:rsidRPr="00415AD8">
        <w:rPr>
          <w:rFonts w:cs="Arial"/>
          <w:i/>
        </w:rPr>
        <w:t>“</w:t>
      </w:r>
      <w:r w:rsidR="00880394" w:rsidRPr="00415AD8">
        <w:rPr>
          <w:rFonts w:cs="Arial"/>
          <w:i/>
        </w:rPr>
        <w:t xml:space="preserve">En tal sentido y con el fin de dar cumplimiento al principio del debido proceso y el derecho de defensa, esta oficina se permite </w:t>
      </w:r>
      <w:r w:rsidR="00880394" w:rsidRPr="00415AD8">
        <w:rPr>
          <w:rFonts w:cs="Arial"/>
          <w:b/>
          <w:i/>
        </w:rPr>
        <w:t>citar a la Aseguradora, en calidad de garante</w:t>
      </w:r>
      <w:r w:rsidR="00880394" w:rsidRPr="00415AD8">
        <w:rPr>
          <w:rFonts w:cs="Arial"/>
          <w:i/>
        </w:rPr>
        <w:t xml:space="preserve">, a la audiencia pública de descargos con el fin de </w:t>
      </w:r>
      <w:r w:rsidR="00173D88" w:rsidRPr="00415AD8">
        <w:rPr>
          <w:rFonts w:cs="Arial"/>
          <w:i/>
        </w:rPr>
        <w:t>oír</w:t>
      </w:r>
      <w:r w:rsidR="00880394" w:rsidRPr="00415AD8">
        <w:rPr>
          <w:rFonts w:cs="Arial"/>
          <w:i/>
        </w:rPr>
        <w:t xml:space="preserve"> al Contratista respecto del presente incumplimiento</w:t>
      </w:r>
      <w:r w:rsidR="00E21692" w:rsidRPr="00415AD8">
        <w:rPr>
          <w:rFonts w:cs="Arial"/>
          <w:i/>
        </w:rPr>
        <w:t>.</w:t>
      </w:r>
    </w:p>
    <w:p w:rsidR="00E21692" w:rsidRPr="00415AD8" w:rsidRDefault="00E21692" w:rsidP="00415AD8">
      <w:pPr>
        <w:spacing w:line="276" w:lineRule="auto"/>
        <w:rPr>
          <w:rFonts w:cs="Arial"/>
          <w:i/>
        </w:rPr>
      </w:pPr>
    </w:p>
    <w:p w:rsidR="00E21692" w:rsidRPr="00415AD8" w:rsidRDefault="00CF018A" w:rsidP="00415AD8">
      <w:pPr>
        <w:spacing w:line="276" w:lineRule="auto"/>
        <w:rPr>
          <w:rFonts w:cs="Arial"/>
          <w:i/>
        </w:rPr>
      </w:pPr>
      <w:r w:rsidRPr="00415AD8">
        <w:rPr>
          <w:rFonts w:cs="Arial"/>
          <w:i/>
        </w:rPr>
        <w:t>“</w:t>
      </w:r>
      <w:r w:rsidR="00E21692" w:rsidRPr="00415AD8">
        <w:rPr>
          <w:rFonts w:cs="Arial"/>
          <w:i/>
        </w:rPr>
        <w:t>Esta audiencia se llevará a cabo el día 19 de septiembre de 2011, hora 9 a.m., en el Auditorio ‘Modesto Garcés’ ubicado en el tercer piso del edificio del Ministerio de Transporte.</w:t>
      </w:r>
    </w:p>
    <w:p w:rsidR="00E21692" w:rsidRPr="00415AD8" w:rsidRDefault="00E21692" w:rsidP="00415AD8">
      <w:pPr>
        <w:spacing w:line="276" w:lineRule="auto"/>
        <w:rPr>
          <w:rFonts w:cs="Arial"/>
          <w:i/>
        </w:rPr>
      </w:pPr>
    </w:p>
    <w:p w:rsidR="00E21692" w:rsidRPr="00415AD8" w:rsidRDefault="00CF018A" w:rsidP="00415AD8">
      <w:pPr>
        <w:spacing w:line="276" w:lineRule="auto"/>
        <w:rPr>
          <w:rFonts w:cs="Arial"/>
          <w:i/>
        </w:rPr>
      </w:pPr>
      <w:r w:rsidRPr="00415AD8">
        <w:rPr>
          <w:rFonts w:cs="Arial"/>
          <w:i/>
        </w:rPr>
        <w:t>“</w:t>
      </w:r>
      <w:r w:rsidR="00E21692" w:rsidRPr="00415AD8">
        <w:rPr>
          <w:rFonts w:cs="Arial"/>
          <w:i/>
        </w:rPr>
        <w:t xml:space="preserve">Esperamos contar con su presencia. </w:t>
      </w:r>
    </w:p>
    <w:p w:rsidR="00E21692" w:rsidRPr="00415AD8" w:rsidRDefault="00E21692" w:rsidP="00415AD8">
      <w:pPr>
        <w:spacing w:line="276" w:lineRule="auto"/>
        <w:rPr>
          <w:rFonts w:cs="Arial"/>
          <w:i/>
        </w:rPr>
      </w:pPr>
    </w:p>
    <w:p w:rsidR="00E21692" w:rsidRPr="00415AD8" w:rsidRDefault="0030183C" w:rsidP="00415AD8">
      <w:pPr>
        <w:spacing w:line="276" w:lineRule="auto"/>
        <w:rPr>
          <w:rFonts w:cs="Arial"/>
          <w:i/>
        </w:rPr>
      </w:pPr>
      <w:r w:rsidRPr="00415AD8">
        <w:rPr>
          <w:rFonts w:cs="Arial"/>
          <w:i/>
        </w:rPr>
        <w:t>“</w:t>
      </w:r>
      <w:r w:rsidR="00E21692" w:rsidRPr="00415AD8">
        <w:rPr>
          <w:rFonts w:cs="Arial"/>
          <w:i/>
        </w:rPr>
        <w:t>(…)</w:t>
      </w:r>
      <w:r w:rsidRPr="00415AD8">
        <w:rPr>
          <w:rFonts w:cs="Arial"/>
          <w:i/>
        </w:rPr>
        <w:t>,</w:t>
      </w:r>
    </w:p>
    <w:p w:rsidR="0030183C" w:rsidRPr="00415AD8" w:rsidRDefault="0030183C" w:rsidP="00415AD8">
      <w:pPr>
        <w:spacing w:line="276" w:lineRule="auto"/>
        <w:rPr>
          <w:rFonts w:cs="Arial"/>
          <w:i/>
        </w:rPr>
      </w:pPr>
    </w:p>
    <w:p w:rsidR="00A8022B" w:rsidRPr="00415AD8" w:rsidRDefault="0030183C" w:rsidP="00415AD8">
      <w:pPr>
        <w:spacing w:line="276" w:lineRule="auto"/>
        <w:rPr>
          <w:rFonts w:cs="Arial"/>
          <w:b/>
        </w:rPr>
      </w:pPr>
      <w:r w:rsidRPr="00415AD8">
        <w:rPr>
          <w:rFonts w:cs="Arial"/>
          <w:i/>
        </w:rPr>
        <w:t>“</w:t>
      </w:r>
      <w:r w:rsidR="00A8022B" w:rsidRPr="00415AD8">
        <w:rPr>
          <w:rFonts w:cs="Arial"/>
          <w:b/>
          <w:i/>
        </w:rPr>
        <w:t>Anexos: Copia Memorando  2011-4010014653 de cuarenta y seis (46) folios</w:t>
      </w:r>
      <w:r w:rsidR="00A8022B" w:rsidRPr="00415AD8">
        <w:rPr>
          <w:rFonts w:cs="Arial"/>
          <w:i/>
        </w:rPr>
        <w:t>”</w:t>
      </w:r>
      <w:r w:rsidR="00233230" w:rsidRPr="00415AD8">
        <w:rPr>
          <w:rFonts w:cs="Arial"/>
          <w:i/>
        </w:rPr>
        <w:t xml:space="preserve"> </w:t>
      </w:r>
      <w:r w:rsidR="00233230" w:rsidRPr="00415AD8">
        <w:rPr>
          <w:rFonts w:cs="Arial"/>
        </w:rPr>
        <w:t>(la negrilla no es del texto).</w:t>
      </w:r>
      <w:r w:rsidR="00A8022B" w:rsidRPr="00415AD8">
        <w:rPr>
          <w:rFonts w:cs="Arial"/>
          <w:b/>
        </w:rPr>
        <w:t xml:space="preserve"> </w:t>
      </w:r>
    </w:p>
    <w:p w:rsidR="005C685B" w:rsidRPr="00415AD8" w:rsidRDefault="005C685B" w:rsidP="00415AD8">
      <w:pPr>
        <w:spacing w:line="276" w:lineRule="auto"/>
        <w:rPr>
          <w:rFonts w:cs="Arial"/>
          <w:b/>
        </w:rPr>
      </w:pPr>
    </w:p>
    <w:p w:rsidR="004E23E6" w:rsidRPr="00415AD8" w:rsidRDefault="005C685B" w:rsidP="00415AD8">
      <w:pPr>
        <w:rPr>
          <w:rFonts w:cs="Arial"/>
        </w:rPr>
      </w:pPr>
      <w:r w:rsidRPr="00415AD8">
        <w:rPr>
          <w:rFonts w:cs="Arial"/>
        </w:rPr>
        <w:t xml:space="preserve">La prueba que se acaba de </w:t>
      </w:r>
      <w:r w:rsidR="004E23E6" w:rsidRPr="00415AD8">
        <w:rPr>
          <w:rFonts w:cs="Arial"/>
        </w:rPr>
        <w:t xml:space="preserve">describir </w:t>
      </w:r>
      <w:r w:rsidRPr="00415AD8">
        <w:rPr>
          <w:rFonts w:cs="Arial"/>
        </w:rPr>
        <w:t xml:space="preserve">derrumba el argumento de la compañía de seguros, en cuanto afirmó que simplemente había recibido unas copias y que no se le había señalado </w:t>
      </w:r>
      <w:r w:rsidR="004E23E6" w:rsidRPr="00415AD8">
        <w:rPr>
          <w:rFonts w:cs="Arial"/>
        </w:rPr>
        <w:t>el</w:t>
      </w:r>
      <w:r w:rsidRPr="00415AD8">
        <w:rPr>
          <w:rFonts w:cs="Arial"/>
        </w:rPr>
        <w:t xml:space="preserve"> amparo </w:t>
      </w:r>
      <w:r w:rsidR="0026280C" w:rsidRPr="00415AD8">
        <w:rPr>
          <w:rFonts w:cs="Arial"/>
        </w:rPr>
        <w:t>que el Ministerio de Transporte</w:t>
      </w:r>
      <w:r w:rsidRPr="00415AD8">
        <w:rPr>
          <w:rFonts w:cs="Arial"/>
        </w:rPr>
        <w:t xml:space="preserve"> pensaba hacer efectivo. </w:t>
      </w:r>
      <w:r w:rsidR="004E23E6" w:rsidRPr="00415AD8">
        <w:rPr>
          <w:rFonts w:cs="Arial"/>
        </w:rPr>
        <w:t xml:space="preserve"> </w:t>
      </w:r>
    </w:p>
    <w:p w:rsidR="004E23E6" w:rsidRPr="00415AD8" w:rsidRDefault="004E23E6" w:rsidP="00415AD8">
      <w:pPr>
        <w:rPr>
          <w:rFonts w:cs="Arial"/>
        </w:rPr>
      </w:pPr>
    </w:p>
    <w:p w:rsidR="00F31730" w:rsidRPr="00415AD8" w:rsidRDefault="004E23E6" w:rsidP="00415AD8">
      <w:pPr>
        <w:rPr>
          <w:rFonts w:cs="Arial"/>
        </w:rPr>
      </w:pPr>
      <w:r w:rsidRPr="00415AD8">
        <w:rPr>
          <w:rFonts w:cs="Arial"/>
        </w:rPr>
        <w:t>Desde ahora se puede señalar que la aseguradora fue correctamente citada en el proceso sancionatorio, que existió claridad sobre los hechos materia del incumplimiento que se imputaba al contratista</w:t>
      </w:r>
      <w:r w:rsidR="00CF018A" w:rsidRPr="00415AD8">
        <w:rPr>
          <w:rFonts w:cs="Arial"/>
        </w:rPr>
        <w:t xml:space="preserve"> y que, por ende, podrían dar lugar a la declaratoria del siniestro por incumplimiento y a la reclamación de la póliza de seguros </w:t>
      </w:r>
      <w:r w:rsidR="00F31730" w:rsidRPr="00415AD8">
        <w:rPr>
          <w:rFonts w:cs="Arial"/>
        </w:rPr>
        <w:t xml:space="preserve">correspondiente. </w:t>
      </w:r>
    </w:p>
    <w:p w:rsidR="00F31730" w:rsidRPr="00415AD8" w:rsidRDefault="00F31730" w:rsidP="00415AD8">
      <w:pPr>
        <w:rPr>
          <w:rFonts w:cs="Arial"/>
        </w:rPr>
      </w:pPr>
    </w:p>
    <w:p w:rsidR="00233230" w:rsidRPr="00415AD8" w:rsidRDefault="004E23E6" w:rsidP="00415AD8">
      <w:pPr>
        <w:rPr>
          <w:rFonts w:cs="Arial"/>
        </w:rPr>
      </w:pPr>
      <w:r w:rsidRPr="00415AD8">
        <w:rPr>
          <w:rFonts w:cs="Arial"/>
        </w:rPr>
        <w:t xml:space="preserve">Por lo anterior, la Sala </w:t>
      </w:r>
      <w:r w:rsidR="002276F7" w:rsidRPr="00415AD8">
        <w:rPr>
          <w:rFonts w:cs="Arial"/>
        </w:rPr>
        <w:t xml:space="preserve">advierte </w:t>
      </w:r>
      <w:r w:rsidRPr="00415AD8">
        <w:rPr>
          <w:rFonts w:cs="Arial"/>
        </w:rPr>
        <w:t xml:space="preserve">que Seguros Colpatria S.A. no </w:t>
      </w:r>
      <w:r w:rsidR="00F31730" w:rsidRPr="00415AD8">
        <w:rPr>
          <w:rFonts w:cs="Arial"/>
        </w:rPr>
        <w:t>sal</w:t>
      </w:r>
      <w:r w:rsidR="002276F7" w:rsidRPr="00415AD8">
        <w:rPr>
          <w:rFonts w:cs="Arial"/>
        </w:rPr>
        <w:t>drá</w:t>
      </w:r>
      <w:r w:rsidR="00F31730" w:rsidRPr="00415AD8">
        <w:rPr>
          <w:rFonts w:cs="Arial"/>
        </w:rPr>
        <w:t xml:space="preserve"> avante en su afirmación de que no existió un pliego de cargos </w:t>
      </w:r>
      <w:r w:rsidR="00FF5489" w:rsidRPr="00415AD8">
        <w:rPr>
          <w:rFonts w:cs="Arial"/>
        </w:rPr>
        <w:t xml:space="preserve">para la declaratoria del siniestro que se </w:t>
      </w:r>
      <w:r w:rsidR="002276F7" w:rsidRPr="00415AD8">
        <w:rPr>
          <w:rFonts w:cs="Arial"/>
        </w:rPr>
        <w:t xml:space="preserve">ordenó reclamarle. </w:t>
      </w:r>
    </w:p>
    <w:p w:rsidR="00233230" w:rsidRPr="00415AD8" w:rsidRDefault="00233230" w:rsidP="00415AD8">
      <w:pPr>
        <w:rPr>
          <w:rFonts w:cs="Arial"/>
        </w:rPr>
      </w:pPr>
    </w:p>
    <w:p w:rsidR="00C9453C" w:rsidRPr="00415AD8" w:rsidRDefault="002276F7" w:rsidP="00415AD8">
      <w:pPr>
        <w:rPr>
          <w:rFonts w:cs="Arial"/>
        </w:rPr>
      </w:pPr>
      <w:r w:rsidRPr="00415AD8">
        <w:rPr>
          <w:rFonts w:cs="Arial"/>
        </w:rPr>
        <w:t xml:space="preserve">Por el contrario, </w:t>
      </w:r>
      <w:r w:rsidR="00C9453C" w:rsidRPr="00415AD8">
        <w:rPr>
          <w:rFonts w:cs="Arial"/>
        </w:rPr>
        <w:t>la lectura de las comunicaciones citadas permite establecer que el Ministerio de Transporte puso de presente los incumplimientos imputados al contratista</w:t>
      </w:r>
      <w:r w:rsidR="00941B23" w:rsidRPr="00415AD8">
        <w:rPr>
          <w:rFonts w:cs="Arial"/>
        </w:rPr>
        <w:t xml:space="preserve"> </w:t>
      </w:r>
      <w:r w:rsidR="00C9453C" w:rsidRPr="00415AD8">
        <w:rPr>
          <w:rFonts w:cs="Arial"/>
        </w:rPr>
        <w:t xml:space="preserve">y </w:t>
      </w:r>
      <w:r w:rsidR="00233230" w:rsidRPr="00415AD8">
        <w:rPr>
          <w:rFonts w:cs="Arial"/>
        </w:rPr>
        <w:t xml:space="preserve">que </w:t>
      </w:r>
      <w:r w:rsidR="00C9453C" w:rsidRPr="00415AD8">
        <w:rPr>
          <w:rFonts w:cs="Arial"/>
        </w:rPr>
        <w:t xml:space="preserve">no </w:t>
      </w:r>
      <w:r w:rsidR="000514E2" w:rsidRPr="00415AD8">
        <w:rPr>
          <w:rFonts w:cs="Arial"/>
        </w:rPr>
        <w:t xml:space="preserve">hubo </w:t>
      </w:r>
      <w:r w:rsidR="00941B23" w:rsidRPr="00415AD8">
        <w:rPr>
          <w:rFonts w:cs="Arial"/>
        </w:rPr>
        <w:t xml:space="preserve">falencia en la descripción de </w:t>
      </w:r>
      <w:r w:rsidR="000514E2" w:rsidRPr="00415AD8">
        <w:rPr>
          <w:rFonts w:cs="Arial"/>
        </w:rPr>
        <w:t xml:space="preserve">los cargos </w:t>
      </w:r>
      <w:r w:rsidR="00FF5489" w:rsidRPr="00415AD8">
        <w:rPr>
          <w:rFonts w:cs="Arial"/>
        </w:rPr>
        <w:t>que podían afectar</w:t>
      </w:r>
      <w:r w:rsidR="00C9453C" w:rsidRPr="00415AD8">
        <w:rPr>
          <w:rFonts w:cs="Arial"/>
        </w:rPr>
        <w:t xml:space="preserve"> la póliza de cumplimiento. </w:t>
      </w:r>
    </w:p>
    <w:p w:rsidR="00C9453C" w:rsidRPr="00415AD8" w:rsidRDefault="00C9453C" w:rsidP="00415AD8">
      <w:pPr>
        <w:rPr>
          <w:rFonts w:cs="Arial"/>
        </w:rPr>
      </w:pPr>
    </w:p>
    <w:p w:rsidR="00941B23" w:rsidRPr="00415AD8" w:rsidRDefault="00941B23" w:rsidP="00415AD8">
      <w:pPr>
        <w:rPr>
          <w:rFonts w:cs="Arial"/>
        </w:rPr>
      </w:pPr>
      <w:r w:rsidRPr="00415AD8">
        <w:rPr>
          <w:rFonts w:cs="Arial"/>
        </w:rPr>
        <w:lastRenderedPageBreak/>
        <w:t>Como consecuencia, siendo claro que el Ministerio citó a la asegurad</w:t>
      </w:r>
      <w:r w:rsidR="00B72C43" w:rsidRPr="00415AD8">
        <w:rPr>
          <w:rFonts w:cs="Arial"/>
        </w:rPr>
        <w:t>a</w:t>
      </w:r>
      <w:r w:rsidRPr="00415AD8">
        <w:rPr>
          <w:rFonts w:cs="Arial"/>
        </w:rPr>
        <w:t xml:space="preserve"> en su calidad de garante, </w:t>
      </w:r>
      <w:r w:rsidR="00233230" w:rsidRPr="00415AD8">
        <w:rPr>
          <w:rFonts w:cs="Arial"/>
        </w:rPr>
        <w:t xml:space="preserve">se reafirma que </w:t>
      </w:r>
      <w:r w:rsidRPr="00415AD8">
        <w:rPr>
          <w:rFonts w:cs="Arial"/>
        </w:rPr>
        <w:t>n</w:t>
      </w:r>
      <w:r w:rsidR="00C9453C" w:rsidRPr="00415AD8">
        <w:rPr>
          <w:rFonts w:cs="Arial"/>
        </w:rPr>
        <w:t xml:space="preserve">o se aceptará </w:t>
      </w:r>
      <w:r w:rsidR="00FF5489" w:rsidRPr="00415AD8">
        <w:rPr>
          <w:rFonts w:cs="Arial"/>
        </w:rPr>
        <w:t xml:space="preserve">la postura de que </w:t>
      </w:r>
      <w:r w:rsidR="00C9453C" w:rsidRPr="00415AD8">
        <w:rPr>
          <w:rFonts w:cs="Arial"/>
        </w:rPr>
        <w:t xml:space="preserve">la comunicación de 31 de agosto de 2007 </w:t>
      </w:r>
      <w:r w:rsidR="00D257CA" w:rsidRPr="00415AD8">
        <w:rPr>
          <w:rFonts w:cs="Arial"/>
        </w:rPr>
        <w:t>constituyó</w:t>
      </w:r>
      <w:r w:rsidR="00C9453C" w:rsidRPr="00415AD8">
        <w:rPr>
          <w:rFonts w:cs="Arial"/>
        </w:rPr>
        <w:t xml:space="preserve"> una mera remisión de copias</w:t>
      </w:r>
      <w:r w:rsidRPr="00415AD8">
        <w:rPr>
          <w:rFonts w:cs="Arial"/>
        </w:rPr>
        <w:t>.</w:t>
      </w:r>
    </w:p>
    <w:p w:rsidR="00A040E6" w:rsidRPr="00415AD8" w:rsidRDefault="00A040E6" w:rsidP="00415AD8">
      <w:pPr>
        <w:rPr>
          <w:rFonts w:cs="Arial"/>
        </w:rPr>
      </w:pPr>
    </w:p>
    <w:p w:rsidR="00981E63" w:rsidRPr="00415AD8" w:rsidRDefault="00F919F6" w:rsidP="00415AD8">
      <w:pPr>
        <w:rPr>
          <w:rFonts w:cs="Arial"/>
        </w:rPr>
      </w:pPr>
      <w:r w:rsidRPr="00415AD8">
        <w:rPr>
          <w:rFonts w:cs="Arial"/>
          <w:b/>
        </w:rPr>
        <w:t>5</w:t>
      </w:r>
      <w:r w:rsidR="00A8022B" w:rsidRPr="00415AD8">
        <w:rPr>
          <w:rFonts w:cs="Arial"/>
          <w:b/>
        </w:rPr>
        <w:t>.</w:t>
      </w:r>
      <w:r w:rsidR="00136BD4" w:rsidRPr="00415AD8">
        <w:rPr>
          <w:rFonts w:cs="Arial"/>
          <w:b/>
        </w:rPr>
        <w:t>4</w:t>
      </w:r>
      <w:r w:rsidR="00A8022B" w:rsidRPr="00415AD8">
        <w:rPr>
          <w:rFonts w:cs="Arial"/>
          <w:b/>
        </w:rPr>
        <w:t xml:space="preserve">. </w:t>
      </w:r>
      <w:r w:rsidR="00B00988" w:rsidRPr="00415AD8">
        <w:rPr>
          <w:rFonts w:cs="Arial"/>
        </w:rPr>
        <w:t xml:space="preserve">Con el propósito de </w:t>
      </w:r>
      <w:r w:rsidR="00233230" w:rsidRPr="00415AD8">
        <w:rPr>
          <w:rFonts w:cs="Arial"/>
        </w:rPr>
        <w:t xml:space="preserve">ahondar en </w:t>
      </w:r>
      <w:r w:rsidR="00B00988" w:rsidRPr="00415AD8">
        <w:rPr>
          <w:rFonts w:cs="Arial"/>
        </w:rPr>
        <w:t>el análisis de</w:t>
      </w:r>
      <w:r w:rsidR="00233230" w:rsidRPr="00415AD8">
        <w:rPr>
          <w:rFonts w:cs="Arial"/>
        </w:rPr>
        <w:t>l acervo probatorio,</w:t>
      </w:r>
      <w:r w:rsidR="00136BD4" w:rsidRPr="00415AD8">
        <w:rPr>
          <w:rFonts w:cs="Arial"/>
        </w:rPr>
        <w:t xml:space="preserve"> </w:t>
      </w:r>
      <w:r w:rsidR="00233230" w:rsidRPr="00415AD8">
        <w:rPr>
          <w:rFonts w:cs="Arial"/>
        </w:rPr>
        <w:t>e</w:t>
      </w:r>
      <w:r w:rsidR="00981E63" w:rsidRPr="00415AD8">
        <w:rPr>
          <w:rFonts w:cs="Arial"/>
        </w:rPr>
        <w:t>s importante hacer referencia a</w:t>
      </w:r>
      <w:r w:rsidR="00136BD4" w:rsidRPr="00415AD8">
        <w:rPr>
          <w:rFonts w:cs="Arial"/>
        </w:rPr>
        <w:t xml:space="preserve"> la prueba </w:t>
      </w:r>
      <w:r w:rsidR="00E015C3" w:rsidRPr="00415AD8">
        <w:rPr>
          <w:rFonts w:cs="Arial"/>
        </w:rPr>
        <w:t xml:space="preserve">del </w:t>
      </w:r>
      <w:r w:rsidR="00981E63" w:rsidRPr="00415AD8">
        <w:rPr>
          <w:rFonts w:cs="Arial"/>
        </w:rPr>
        <w:t xml:space="preserve">memorando anunciado como anexo en la citación a la audiencia, de acuerdo con lo que se acaba de relacionar. </w:t>
      </w:r>
    </w:p>
    <w:p w:rsidR="00981E63" w:rsidRPr="00415AD8" w:rsidRDefault="00981E63" w:rsidP="00415AD8">
      <w:pPr>
        <w:rPr>
          <w:rFonts w:cs="Arial"/>
          <w:b/>
        </w:rPr>
      </w:pPr>
    </w:p>
    <w:p w:rsidR="00E015C3" w:rsidRPr="00415AD8" w:rsidRDefault="00981E63" w:rsidP="00415AD8">
      <w:pPr>
        <w:rPr>
          <w:rFonts w:cs="Arial"/>
        </w:rPr>
      </w:pPr>
      <w:r w:rsidRPr="00415AD8">
        <w:rPr>
          <w:rFonts w:cs="Arial"/>
        </w:rPr>
        <w:t>Según c</w:t>
      </w:r>
      <w:r w:rsidR="00B454EE" w:rsidRPr="00415AD8">
        <w:rPr>
          <w:rFonts w:cs="Arial"/>
        </w:rPr>
        <w:t>onsta en el expediente</w:t>
      </w:r>
      <w:r w:rsidR="00D257CA" w:rsidRPr="00415AD8">
        <w:rPr>
          <w:rFonts w:cs="Arial"/>
        </w:rPr>
        <w:t>,</w:t>
      </w:r>
      <w:r w:rsidR="00B454EE" w:rsidRPr="00415AD8">
        <w:rPr>
          <w:rFonts w:cs="Arial"/>
        </w:rPr>
        <w:t xml:space="preserve"> el </w:t>
      </w:r>
      <w:r w:rsidRPr="00415AD8">
        <w:rPr>
          <w:rFonts w:cs="Arial"/>
        </w:rPr>
        <w:t>m</w:t>
      </w:r>
      <w:r w:rsidR="00B454EE" w:rsidRPr="00415AD8">
        <w:rPr>
          <w:rFonts w:cs="Arial"/>
        </w:rPr>
        <w:t xml:space="preserve">emorando </w:t>
      </w:r>
      <w:r w:rsidRPr="00415AD8">
        <w:rPr>
          <w:rFonts w:cs="Arial"/>
        </w:rPr>
        <w:t>que se le puso de presente a Seguros Colpatria S.A.</w:t>
      </w:r>
      <w:r w:rsidR="00136BD4" w:rsidRPr="00415AD8">
        <w:rPr>
          <w:rFonts w:cs="Arial"/>
        </w:rPr>
        <w:t>, con</w:t>
      </w:r>
      <w:r w:rsidRPr="00415AD8">
        <w:rPr>
          <w:rFonts w:cs="Arial"/>
        </w:rPr>
        <w:t xml:space="preserve"> </w:t>
      </w:r>
      <w:r w:rsidR="00136BD4" w:rsidRPr="00415AD8">
        <w:rPr>
          <w:rFonts w:cs="Arial"/>
        </w:rPr>
        <w:t xml:space="preserve">la </w:t>
      </w:r>
      <w:r w:rsidR="00D257CA" w:rsidRPr="00415AD8">
        <w:rPr>
          <w:rFonts w:cs="Arial"/>
        </w:rPr>
        <w:t xml:space="preserve">citación ya referida, </w:t>
      </w:r>
      <w:r w:rsidRPr="00415AD8">
        <w:rPr>
          <w:rFonts w:cs="Arial"/>
        </w:rPr>
        <w:t>era ex</w:t>
      </w:r>
      <w:r w:rsidR="00E015C3" w:rsidRPr="00415AD8">
        <w:rPr>
          <w:rFonts w:cs="Arial"/>
        </w:rPr>
        <w:t>h</w:t>
      </w:r>
      <w:r w:rsidRPr="00415AD8">
        <w:rPr>
          <w:rFonts w:cs="Arial"/>
        </w:rPr>
        <w:t>austivo y detallado en cada uno de los incumplimi</w:t>
      </w:r>
      <w:r w:rsidR="00E015C3" w:rsidRPr="00415AD8">
        <w:rPr>
          <w:rFonts w:cs="Arial"/>
        </w:rPr>
        <w:t>e</w:t>
      </w:r>
      <w:r w:rsidRPr="00415AD8">
        <w:rPr>
          <w:rFonts w:cs="Arial"/>
        </w:rPr>
        <w:t>ntos que se l</w:t>
      </w:r>
      <w:r w:rsidR="00E015C3" w:rsidRPr="00415AD8">
        <w:rPr>
          <w:rFonts w:cs="Arial"/>
        </w:rPr>
        <w:t xml:space="preserve">e </w:t>
      </w:r>
      <w:r w:rsidRPr="00415AD8">
        <w:rPr>
          <w:rFonts w:cs="Arial"/>
        </w:rPr>
        <w:t>imputaban al contratista, y que estaban am</w:t>
      </w:r>
      <w:r w:rsidR="00E015C3" w:rsidRPr="00415AD8">
        <w:rPr>
          <w:rFonts w:cs="Arial"/>
        </w:rPr>
        <w:t>p</w:t>
      </w:r>
      <w:r w:rsidRPr="00415AD8">
        <w:rPr>
          <w:rFonts w:cs="Arial"/>
        </w:rPr>
        <w:t xml:space="preserve">arados por </w:t>
      </w:r>
      <w:r w:rsidR="00E015C3" w:rsidRPr="00415AD8">
        <w:rPr>
          <w:rFonts w:cs="Arial"/>
        </w:rPr>
        <w:t xml:space="preserve">la póliza de seguros expedida por </w:t>
      </w:r>
      <w:r w:rsidRPr="00415AD8">
        <w:rPr>
          <w:rFonts w:cs="Arial"/>
        </w:rPr>
        <w:t>esa aseguradora</w:t>
      </w:r>
      <w:r w:rsidR="00E015C3" w:rsidRPr="00415AD8">
        <w:rPr>
          <w:rFonts w:cs="Arial"/>
        </w:rPr>
        <w:t>.</w:t>
      </w:r>
    </w:p>
    <w:p w:rsidR="00981E63" w:rsidRPr="00415AD8" w:rsidRDefault="00981E63" w:rsidP="00415AD8">
      <w:pPr>
        <w:rPr>
          <w:rFonts w:cs="Arial"/>
        </w:rPr>
      </w:pPr>
    </w:p>
    <w:p w:rsidR="00B019F7" w:rsidRPr="00415AD8" w:rsidRDefault="00981E63" w:rsidP="00415AD8">
      <w:pPr>
        <w:rPr>
          <w:rFonts w:cs="Arial"/>
        </w:rPr>
      </w:pPr>
      <w:r w:rsidRPr="00415AD8">
        <w:rPr>
          <w:rFonts w:cs="Arial"/>
        </w:rPr>
        <w:t xml:space="preserve">En efecto, </w:t>
      </w:r>
      <w:r w:rsidR="00E015C3" w:rsidRPr="00415AD8">
        <w:rPr>
          <w:rFonts w:cs="Arial"/>
        </w:rPr>
        <w:t xml:space="preserve">el </w:t>
      </w:r>
      <w:r w:rsidRPr="00415AD8">
        <w:rPr>
          <w:rFonts w:cs="Arial"/>
        </w:rPr>
        <w:t>memo</w:t>
      </w:r>
      <w:r w:rsidR="00C8500F" w:rsidRPr="00415AD8">
        <w:rPr>
          <w:rFonts w:cs="Arial"/>
        </w:rPr>
        <w:t>r</w:t>
      </w:r>
      <w:r w:rsidRPr="00415AD8">
        <w:rPr>
          <w:rFonts w:cs="Arial"/>
        </w:rPr>
        <w:t xml:space="preserve">ando </w:t>
      </w:r>
      <w:r w:rsidR="00B454EE" w:rsidRPr="00415AD8">
        <w:rPr>
          <w:rFonts w:cs="Arial"/>
        </w:rPr>
        <w:t>2011-4010014653</w:t>
      </w:r>
      <w:r w:rsidR="00E015C3" w:rsidRPr="00415AD8">
        <w:rPr>
          <w:rFonts w:cs="Arial"/>
        </w:rPr>
        <w:t>,</w:t>
      </w:r>
      <w:r w:rsidR="00B454EE" w:rsidRPr="00415AD8">
        <w:rPr>
          <w:rFonts w:cs="Arial"/>
        </w:rPr>
        <w:t xml:space="preserve"> enviado por la Coordinadora del Grupo R.U.N.T. – Supervisora del Contrato</w:t>
      </w:r>
      <w:r w:rsidR="0070126D" w:rsidRPr="00415AD8">
        <w:rPr>
          <w:rFonts w:cs="Arial"/>
        </w:rPr>
        <w:t xml:space="preserve"> a la jefe de la Oficina Jurídica del Ministerio</w:t>
      </w:r>
      <w:r w:rsidR="00E015C3" w:rsidRPr="00415AD8">
        <w:rPr>
          <w:rFonts w:cs="Arial"/>
        </w:rPr>
        <w:t>,</w:t>
      </w:r>
      <w:r w:rsidR="0070126D" w:rsidRPr="00415AD8">
        <w:rPr>
          <w:rFonts w:cs="Arial"/>
        </w:rPr>
        <w:t xml:space="preserve"> </w:t>
      </w:r>
      <w:r w:rsidR="00C8500F" w:rsidRPr="00415AD8">
        <w:rPr>
          <w:rFonts w:cs="Arial"/>
        </w:rPr>
        <w:t>tuvo por objeto: “</w:t>
      </w:r>
      <w:r w:rsidR="0070126D" w:rsidRPr="00415AD8">
        <w:rPr>
          <w:rFonts w:cs="Arial"/>
          <w:i/>
        </w:rPr>
        <w:t xml:space="preserve">indicar conforme al capítulo séptimo del Manual de Contratación </w:t>
      </w:r>
      <w:r w:rsidR="00CF5CCB" w:rsidRPr="00415AD8">
        <w:rPr>
          <w:rFonts w:cs="Arial"/>
          <w:i/>
        </w:rPr>
        <w:t>del Ministerio de Transporte, la identificación de las obligaciones que se han incumplido por parte del consorcio PAI – RUNT, conforme al contrato 082 de 2007”</w:t>
      </w:r>
      <w:r w:rsidR="00CF5CCB" w:rsidRPr="00415AD8">
        <w:rPr>
          <w:rStyle w:val="Refdenotaalpie"/>
          <w:rFonts w:cs="Arial"/>
        </w:rPr>
        <w:footnoteReference w:id="29"/>
      </w:r>
      <w:r w:rsidR="00F541BC" w:rsidRPr="00415AD8">
        <w:rPr>
          <w:rFonts w:cs="Arial"/>
          <w:i/>
        </w:rPr>
        <w:t>.</w:t>
      </w:r>
    </w:p>
    <w:p w:rsidR="0030183C" w:rsidRPr="00415AD8" w:rsidRDefault="0030183C" w:rsidP="00415AD8">
      <w:pPr>
        <w:rPr>
          <w:rFonts w:cs="Arial"/>
          <w:b/>
        </w:rPr>
      </w:pPr>
    </w:p>
    <w:p w:rsidR="00F63FBB" w:rsidRPr="00415AD8" w:rsidRDefault="00F63FBB" w:rsidP="00415AD8">
      <w:pPr>
        <w:rPr>
          <w:rFonts w:cs="Arial"/>
        </w:rPr>
      </w:pPr>
      <w:r w:rsidRPr="00415AD8">
        <w:rPr>
          <w:rFonts w:cs="Arial"/>
        </w:rPr>
        <w:t xml:space="preserve">En el Anexo 1 </w:t>
      </w:r>
      <w:r w:rsidR="000514E2" w:rsidRPr="00415AD8">
        <w:rPr>
          <w:rFonts w:cs="Arial"/>
        </w:rPr>
        <w:t xml:space="preserve">de dicho memorando aparece </w:t>
      </w:r>
      <w:r w:rsidRPr="00415AD8">
        <w:rPr>
          <w:rFonts w:cs="Arial"/>
        </w:rPr>
        <w:t xml:space="preserve">un cuadro que enfrenta en dos columnas </w:t>
      </w:r>
      <w:r w:rsidR="004C23C1" w:rsidRPr="00415AD8">
        <w:rPr>
          <w:rFonts w:cs="Arial"/>
        </w:rPr>
        <w:t>c</w:t>
      </w:r>
      <w:r w:rsidR="00E97EA1" w:rsidRPr="00415AD8">
        <w:rPr>
          <w:rFonts w:cs="Arial"/>
        </w:rPr>
        <w:t xml:space="preserve">ada una </w:t>
      </w:r>
      <w:r w:rsidR="00E97EA1" w:rsidRPr="00415AD8">
        <w:rPr>
          <w:rFonts w:cs="Arial"/>
          <w:i/>
        </w:rPr>
        <w:t xml:space="preserve">de las </w:t>
      </w:r>
      <w:r w:rsidRPr="00415AD8">
        <w:rPr>
          <w:rFonts w:cs="Arial"/>
          <w:i/>
        </w:rPr>
        <w:t>“fal</w:t>
      </w:r>
      <w:r w:rsidR="00E97EA1" w:rsidRPr="00415AD8">
        <w:rPr>
          <w:rFonts w:cs="Arial"/>
          <w:i/>
        </w:rPr>
        <w:t>tas</w:t>
      </w:r>
      <w:r w:rsidRPr="00415AD8">
        <w:rPr>
          <w:rFonts w:cs="Arial"/>
          <w:i/>
        </w:rPr>
        <w:t xml:space="preserve">” y </w:t>
      </w:r>
      <w:r w:rsidR="00E97EA1" w:rsidRPr="00415AD8">
        <w:rPr>
          <w:rFonts w:cs="Arial"/>
          <w:i/>
        </w:rPr>
        <w:t>el</w:t>
      </w:r>
      <w:r w:rsidRPr="00415AD8">
        <w:rPr>
          <w:rFonts w:cs="Arial"/>
          <w:i/>
        </w:rPr>
        <w:t xml:space="preserve"> </w:t>
      </w:r>
      <w:r w:rsidR="00E97EA1" w:rsidRPr="00415AD8">
        <w:rPr>
          <w:rFonts w:cs="Arial"/>
          <w:i/>
        </w:rPr>
        <w:t>“</w:t>
      </w:r>
      <w:r w:rsidRPr="00415AD8">
        <w:rPr>
          <w:rFonts w:cs="Arial"/>
          <w:i/>
        </w:rPr>
        <w:t>posible incumplimiento contractual</w:t>
      </w:r>
      <w:r w:rsidR="008D29C8" w:rsidRPr="00415AD8">
        <w:rPr>
          <w:rFonts w:cs="Arial"/>
          <w:i/>
        </w:rPr>
        <w:t>-</w:t>
      </w:r>
      <w:r w:rsidRPr="00415AD8">
        <w:rPr>
          <w:rFonts w:cs="Arial"/>
          <w:i/>
        </w:rPr>
        <w:t xml:space="preserve"> contrato 082 de 2007</w:t>
      </w:r>
      <w:r w:rsidRPr="00415AD8">
        <w:rPr>
          <w:rFonts w:cs="Arial"/>
        </w:rPr>
        <w:t>”</w:t>
      </w:r>
      <w:r w:rsidR="00136BD4" w:rsidRPr="00415AD8">
        <w:rPr>
          <w:rFonts w:cs="Arial"/>
        </w:rPr>
        <w:t>.</w:t>
      </w:r>
      <w:r w:rsidRPr="00415AD8">
        <w:rPr>
          <w:rFonts w:cs="Arial"/>
        </w:rPr>
        <w:t xml:space="preserve"> En la primera columna </w:t>
      </w:r>
      <w:r w:rsidR="000514E2" w:rsidRPr="00415AD8">
        <w:rPr>
          <w:rFonts w:cs="Arial"/>
        </w:rPr>
        <w:t xml:space="preserve">se relacionan </w:t>
      </w:r>
      <w:r w:rsidRPr="00415AD8">
        <w:rPr>
          <w:rFonts w:cs="Arial"/>
        </w:rPr>
        <w:t xml:space="preserve">los hechos </w:t>
      </w:r>
      <w:r w:rsidR="00E97EA1" w:rsidRPr="00415AD8">
        <w:rPr>
          <w:rFonts w:cs="Arial"/>
        </w:rPr>
        <w:t xml:space="preserve">concretos </w:t>
      </w:r>
      <w:r w:rsidR="00A33BC9" w:rsidRPr="00415AD8">
        <w:rPr>
          <w:rFonts w:cs="Arial"/>
        </w:rPr>
        <w:t>y en la segunda columna se identifica la cláusula contract</w:t>
      </w:r>
      <w:r w:rsidR="00E97EA1" w:rsidRPr="00415AD8">
        <w:rPr>
          <w:rFonts w:cs="Arial"/>
        </w:rPr>
        <w:t>u</w:t>
      </w:r>
      <w:r w:rsidR="00A33BC9" w:rsidRPr="00415AD8">
        <w:rPr>
          <w:rFonts w:cs="Arial"/>
        </w:rPr>
        <w:t xml:space="preserve">al </w:t>
      </w:r>
      <w:r w:rsidR="000514E2" w:rsidRPr="00415AD8">
        <w:rPr>
          <w:rFonts w:cs="Arial"/>
        </w:rPr>
        <w:t xml:space="preserve">correspondiente </w:t>
      </w:r>
      <w:r w:rsidR="00A33BC9" w:rsidRPr="00415AD8">
        <w:rPr>
          <w:rFonts w:cs="Arial"/>
        </w:rPr>
        <w:t xml:space="preserve">y el numeral </w:t>
      </w:r>
      <w:r w:rsidR="000514E2" w:rsidRPr="00415AD8">
        <w:rPr>
          <w:rFonts w:cs="Arial"/>
        </w:rPr>
        <w:t xml:space="preserve">específico de la misma </w:t>
      </w:r>
      <w:r w:rsidR="00E97EA1" w:rsidRPr="00415AD8">
        <w:rPr>
          <w:rFonts w:cs="Arial"/>
        </w:rPr>
        <w:t>que se entend</w:t>
      </w:r>
      <w:r w:rsidR="000514E2" w:rsidRPr="00415AD8">
        <w:rPr>
          <w:rFonts w:cs="Arial"/>
        </w:rPr>
        <w:t>ió</w:t>
      </w:r>
      <w:r w:rsidR="00E97EA1" w:rsidRPr="00415AD8">
        <w:rPr>
          <w:rFonts w:cs="Arial"/>
        </w:rPr>
        <w:t xml:space="preserve"> incumplido</w:t>
      </w:r>
      <w:r w:rsidR="00E97EA1" w:rsidRPr="00415AD8">
        <w:rPr>
          <w:rStyle w:val="Refdenotaalpie"/>
          <w:rFonts w:cs="Arial"/>
        </w:rPr>
        <w:footnoteReference w:id="30"/>
      </w:r>
      <w:r w:rsidR="00E97EA1" w:rsidRPr="00415AD8">
        <w:rPr>
          <w:rFonts w:cs="Arial"/>
        </w:rPr>
        <w:t>.</w:t>
      </w:r>
    </w:p>
    <w:p w:rsidR="00E97EA1" w:rsidRPr="00415AD8" w:rsidRDefault="00E97EA1" w:rsidP="00415AD8">
      <w:pPr>
        <w:rPr>
          <w:rFonts w:cs="Arial"/>
          <w:b/>
        </w:rPr>
      </w:pPr>
    </w:p>
    <w:p w:rsidR="00136BD4" w:rsidRPr="00415AD8" w:rsidRDefault="004C23C1" w:rsidP="00415AD8">
      <w:pPr>
        <w:rPr>
          <w:rFonts w:cs="Arial"/>
        </w:rPr>
      </w:pPr>
      <w:r w:rsidRPr="00415AD8">
        <w:rPr>
          <w:rFonts w:cs="Arial"/>
        </w:rPr>
        <w:t xml:space="preserve">Tal como destacó </w:t>
      </w:r>
      <w:r w:rsidR="003805F7" w:rsidRPr="00415AD8">
        <w:rPr>
          <w:rFonts w:cs="Arial"/>
        </w:rPr>
        <w:t>el Ministerio de Trasporte en sus alegatos</w:t>
      </w:r>
      <w:r w:rsidRPr="00415AD8">
        <w:rPr>
          <w:rFonts w:cs="Arial"/>
        </w:rPr>
        <w:t>,</w:t>
      </w:r>
      <w:r w:rsidR="003805F7" w:rsidRPr="00415AD8">
        <w:rPr>
          <w:rFonts w:cs="Arial"/>
        </w:rPr>
        <w:t xml:space="preserve"> esa comunicación fue dirigida en forma directa </w:t>
      </w:r>
      <w:r w:rsidRPr="00415AD8">
        <w:rPr>
          <w:rFonts w:cs="Arial"/>
        </w:rPr>
        <w:t xml:space="preserve">y separada </w:t>
      </w:r>
      <w:r w:rsidR="003805F7" w:rsidRPr="00415AD8">
        <w:rPr>
          <w:rFonts w:cs="Arial"/>
        </w:rPr>
        <w:t>a la compañía aseguradora</w:t>
      </w:r>
      <w:r w:rsidR="00990316" w:rsidRPr="00415AD8">
        <w:rPr>
          <w:rFonts w:cs="Arial"/>
        </w:rPr>
        <w:t xml:space="preserve">, </w:t>
      </w:r>
      <w:r w:rsidR="003805F7" w:rsidRPr="00415AD8">
        <w:rPr>
          <w:rFonts w:cs="Arial"/>
        </w:rPr>
        <w:t xml:space="preserve">para citarla a la audiencia en la que podía ejercer el derecho de defensa, en </w:t>
      </w:r>
      <w:r w:rsidR="00155117" w:rsidRPr="00415AD8">
        <w:rPr>
          <w:rFonts w:cs="Arial"/>
        </w:rPr>
        <w:t xml:space="preserve">condición de garante, </w:t>
      </w:r>
      <w:r w:rsidR="00136BD4" w:rsidRPr="00415AD8">
        <w:rPr>
          <w:rFonts w:cs="Arial"/>
        </w:rPr>
        <w:t xml:space="preserve">por tanto, </w:t>
      </w:r>
      <w:r w:rsidR="00155117" w:rsidRPr="00415AD8">
        <w:rPr>
          <w:rFonts w:cs="Arial"/>
        </w:rPr>
        <w:t xml:space="preserve">en </w:t>
      </w:r>
      <w:r w:rsidR="003805F7" w:rsidRPr="00415AD8">
        <w:rPr>
          <w:rFonts w:cs="Arial"/>
        </w:rPr>
        <w:t>relación con l</w:t>
      </w:r>
      <w:r w:rsidR="00155117" w:rsidRPr="00415AD8">
        <w:rPr>
          <w:rFonts w:cs="Arial"/>
        </w:rPr>
        <w:t>os incumplimientos imputados al contratista</w:t>
      </w:r>
      <w:r w:rsidR="008D29C8" w:rsidRPr="00415AD8">
        <w:rPr>
          <w:rFonts w:cs="Arial"/>
        </w:rPr>
        <w:t xml:space="preserve">. </w:t>
      </w:r>
    </w:p>
    <w:p w:rsidR="00136BD4" w:rsidRPr="00415AD8" w:rsidRDefault="00136BD4" w:rsidP="00415AD8">
      <w:pPr>
        <w:rPr>
          <w:rFonts w:cs="Arial"/>
        </w:rPr>
      </w:pPr>
    </w:p>
    <w:p w:rsidR="00E03AF2" w:rsidRPr="00415AD8" w:rsidRDefault="00E03AF2" w:rsidP="00415AD8">
      <w:pPr>
        <w:rPr>
          <w:rFonts w:cs="Arial"/>
        </w:rPr>
      </w:pPr>
      <w:r w:rsidRPr="00415AD8">
        <w:rPr>
          <w:rFonts w:cs="Arial"/>
        </w:rPr>
        <w:t xml:space="preserve">Como consecuencia, se rechaza la afirmación de que Seguros Colpatria S.A. careció de la oportunidad de hacer valer la defensa que ahora invoca.  </w:t>
      </w:r>
    </w:p>
    <w:p w:rsidR="00E03AF2" w:rsidRPr="00415AD8" w:rsidRDefault="00E03AF2" w:rsidP="00415AD8">
      <w:pPr>
        <w:rPr>
          <w:rFonts w:cs="Arial"/>
        </w:rPr>
      </w:pPr>
    </w:p>
    <w:p w:rsidR="00BD3C42" w:rsidRPr="00415AD8" w:rsidRDefault="00BD3C42" w:rsidP="00415AD8">
      <w:pPr>
        <w:rPr>
          <w:rFonts w:cs="Arial"/>
        </w:rPr>
      </w:pPr>
      <w:r w:rsidRPr="00415AD8">
        <w:rPr>
          <w:rFonts w:cs="Arial"/>
        </w:rPr>
        <w:lastRenderedPageBreak/>
        <w:t xml:space="preserve">Tampoco se puede escudar la compañía de seguros en que no se le indicó el valor o cuantía del amparo otorgado, toda vez que ella misma lo había extendido y era de su cargo poner de presente la </w:t>
      </w:r>
      <w:r w:rsidR="00B00988" w:rsidRPr="00415AD8">
        <w:rPr>
          <w:rFonts w:cs="Arial"/>
        </w:rPr>
        <w:t xml:space="preserve">eventual </w:t>
      </w:r>
      <w:r w:rsidRPr="00415AD8">
        <w:rPr>
          <w:rFonts w:cs="Arial"/>
        </w:rPr>
        <w:t>limitación de la garantía, co</w:t>
      </w:r>
      <w:r w:rsidR="00B00988" w:rsidRPr="00415AD8">
        <w:rPr>
          <w:rFonts w:cs="Arial"/>
        </w:rPr>
        <w:t xml:space="preserve">nducta </w:t>
      </w:r>
      <w:r w:rsidRPr="00415AD8">
        <w:rPr>
          <w:rFonts w:cs="Arial"/>
        </w:rPr>
        <w:t xml:space="preserve">que no realizó </w:t>
      </w:r>
      <w:r w:rsidR="00B00988" w:rsidRPr="00415AD8">
        <w:rPr>
          <w:rFonts w:cs="Arial"/>
        </w:rPr>
        <w:t>en su oportunidad</w:t>
      </w:r>
      <w:r w:rsidR="00926EA9" w:rsidRPr="00415AD8">
        <w:rPr>
          <w:rFonts w:cs="Arial"/>
        </w:rPr>
        <w:t xml:space="preserve">, además de que </w:t>
      </w:r>
      <w:r w:rsidR="00B146D8" w:rsidRPr="00415AD8">
        <w:rPr>
          <w:rFonts w:cs="Arial"/>
        </w:rPr>
        <w:t xml:space="preserve">en este proceso </w:t>
      </w:r>
      <w:r w:rsidRPr="00415AD8">
        <w:rPr>
          <w:rFonts w:cs="Arial"/>
        </w:rPr>
        <w:t xml:space="preserve">tampoco identificó </w:t>
      </w:r>
      <w:r w:rsidR="00926EA9" w:rsidRPr="00415AD8">
        <w:rPr>
          <w:rFonts w:cs="Arial"/>
        </w:rPr>
        <w:t xml:space="preserve">exclusiones o requisitos </w:t>
      </w:r>
      <w:r w:rsidR="00B146D8" w:rsidRPr="00415AD8">
        <w:rPr>
          <w:rFonts w:cs="Arial"/>
        </w:rPr>
        <w:t>de fondo que no fueron observados para declarar el siniestro y ordenar la reclamación de la póliza</w:t>
      </w:r>
      <w:r w:rsidR="00A566A2" w:rsidRPr="00415AD8">
        <w:rPr>
          <w:rFonts w:cs="Arial"/>
        </w:rPr>
        <w:t xml:space="preserve"> de cumplimiento</w:t>
      </w:r>
      <w:r w:rsidR="00B146D8" w:rsidRPr="00415AD8">
        <w:rPr>
          <w:rFonts w:cs="Arial"/>
        </w:rPr>
        <w:t>.</w:t>
      </w:r>
      <w:r w:rsidRPr="00415AD8">
        <w:rPr>
          <w:rFonts w:cs="Arial"/>
        </w:rPr>
        <w:t xml:space="preserve"> </w:t>
      </w:r>
    </w:p>
    <w:p w:rsidR="00BD3C42" w:rsidRPr="00415AD8" w:rsidRDefault="00BD3C42" w:rsidP="00415AD8">
      <w:pPr>
        <w:rPr>
          <w:rFonts w:cs="Arial"/>
        </w:rPr>
      </w:pPr>
    </w:p>
    <w:p w:rsidR="00E03AF2" w:rsidRPr="00415AD8" w:rsidRDefault="00062707" w:rsidP="00415AD8">
      <w:pPr>
        <w:rPr>
          <w:rFonts w:cs="Arial"/>
        </w:rPr>
      </w:pPr>
      <w:r w:rsidRPr="00415AD8">
        <w:rPr>
          <w:rFonts w:cs="Arial"/>
        </w:rPr>
        <w:t>S</w:t>
      </w:r>
      <w:r w:rsidR="00E03AF2" w:rsidRPr="00415AD8">
        <w:rPr>
          <w:rFonts w:cs="Arial"/>
        </w:rPr>
        <w:t xml:space="preserve">e agrega que la compañía de seguros no presentó objeciones a su posición de garante sobre los incumplimientos del contratista que el Ministerio de Transporte le identificó y que, por tanto, </w:t>
      </w:r>
      <w:r w:rsidR="00BD3C42" w:rsidRPr="00415AD8">
        <w:rPr>
          <w:rFonts w:cs="Arial"/>
        </w:rPr>
        <w:t xml:space="preserve">su </w:t>
      </w:r>
      <w:r w:rsidR="00E03AF2" w:rsidRPr="00415AD8">
        <w:rPr>
          <w:rFonts w:cs="Arial"/>
        </w:rPr>
        <w:t xml:space="preserve">argumento </w:t>
      </w:r>
      <w:r w:rsidR="00876BE7" w:rsidRPr="00415AD8">
        <w:rPr>
          <w:rFonts w:cs="Arial"/>
        </w:rPr>
        <w:t>c</w:t>
      </w:r>
      <w:r w:rsidR="00E03AF2" w:rsidRPr="00415AD8">
        <w:rPr>
          <w:rFonts w:cs="Arial"/>
        </w:rPr>
        <w:t xml:space="preserve">arece de sustento para lograr las declaraciones de nulidad pretendidas en este proceso. </w:t>
      </w:r>
    </w:p>
    <w:p w:rsidR="00F06DC3" w:rsidRPr="00415AD8" w:rsidRDefault="00F06DC3" w:rsidP="00415AD8">
      <w:pPr>
        <w:rPr>
          <w:rFonts w:cs="Arial"/>
        </w:rPr>
      </w:pPr>
    </w:p>
    <w:p w:rsidR="00E03AF2" w:rsidRPr="00415AD8" w:rsidRDefault="00062707" w:rsidP="00415AD8">
      <w:pPr>
        <w:rPr>
          <w:rFonts w:cs="Arial"/>
        </w:rPr>
      </w:pPr>
      <w:r w:rsidRPr="00415AD8">
        <w:rPr>
          <w:rFonts w:cs="Arial"/>
        </w:rPr>
        <w:t>Finalmente, se tiene por cierto que Seguros Colpatria S.A. se e</w:t>
      </w:r>
      <w:r w:rsidR="008E5F2D" w:rsidRPr="00415AD8">
        <w:rPr>
          <w:rFonts w:cs="Arial"/>
        </w:rPr>
        <w:t>n</w:t>
      </w:r>
      <w:r w:rsidRPr="00415AD8">
        <w:rPr>
          <w:rFonts w:cs="Arial"/>
        </w:rPr>
        <w:t xml:space="preserve">contraba presente en la audiencia que dio lugar a la </w:t>
      </w:r>
      <w:r w:rsidR="00F06DC3" w:rsidRPr="00415AD8">
        <w:rPr>
          <w:rFonts w:cs="Arial"/>
        </w:rPr>
        <w:t xml:space="preserve">expedición de la </w:t>
      </w:r>
      <w:r w:rsidRPr="00415AD8">
        <w:rPr>
          <w:rFonts w:cs="Arial"/>
        </w:rPr>
        <w:t xml:space="preserve">Resolución </w:t>
      </w:r>
      <w:r w:rsidR="008E5F2D" w:rsidRPr="00415AD8">
        <w:rPr>
          <w:rFonts w:cs="Arial"/>
        </w:rPr>
        <w:t>00</w:t>
      </w:r>
      <w:r w:rsidRPr="00415AD8">
        <w:rPr>
          <w:rFonts w:cs="Arial"/>
        </w:rPr>
        <w:t>5641 de 2011, toda vez que en la misma se hizo constar la notificación por estrados a su representante</w:t>
      </w:r>
      <w:r w:rsidR="008E5F2D" w:rsidRPr="00415AD8">
        <w:rPr>
          <w:rStyle w:val="Refdenotaalpie"/>
          <w:rFonts w:cs="Arial"/>
        </w:rPr>
        <w:footnoteReference w:id="31"/>
      </w:r>
      <w:r w:rsidRPr="00415AD8">
        <w:rPr>
          <w:rFonts w:cs="Arial"/>
        </w:rPr>
        <w:t>, asistencia que</w:t>
      </w:r>
      <w:r w:rsidR="008E5F2D" w:rsidRPr="00415AD8">
        <w:rPr>
          <w:rFonts w:cs="Arial"/>
        </w:rPr>
        <w:t xml:space="preserve">, además, </w:t>
      </w:r>
      <w:r w:rsidRPr="00415AD8">
        <w:rPr>
          <w:rFonts w:cs="Arial"/>
        </w:rPr>
        <w:t xml:space="preserve">se </w:t>
      </w:r>
      <w:r w:rsidR="005A4EE9" w:rsidRPr="00415AD8">
        <w:rPr>
          <w:rFonts w:cs="Arial"/>
        </w:rPr>
        <w:t xml:space="preserve">indicó por la compañía de seguros, </w:t>
      </w:r>
      <w:r w:rsidRPr="00415AD8">
        <w:rPr>
          <w:rFonts w:cs="Arial"/>
        </w:rPr>
        <w:t xml:space="preserve">en la demanda misma. </w:t>
      </w:r>
    </w:p>
    <w:p w:rsidR="008E5F2D" w:rsidRPr="00415AD8" w:rsidRDefault="008E5F2D" w:rsidP="00415AD8">
      <w:pPr>
        <w:rPr>
          <w:rFonts w:cs="Arial"/>
        </w:rPr>
      </w:pPr>
    </w:p>
    <w:p w:rsidR="00C424F9" w:rsidRPr="00415AD8" w:rsidRDefault="00F919F6" w:rsidP="00415AD8">
      <w:pPr>
        <w:rPr>
          <w:rFonts w:cs="Arial"/>
          <w:b/>
        </w:rPr>
      </w:pPr>
      <w:r w:rsidRPr="00415AD8">
        <w:rPr>
          <w:rFonts w:cs="Arial"/>
          <w:b/>
        </w:rPr>
        <w:t>6</w:t>
      </w:r>
      <w:r w:rsidR="00C424F9" w:rsidRPr="00415AD8">
        <w:rPr>
          <w:rFonts w:cs="Arial"/>
          <w:b/>
        </w:rPr>
        <w:t>. Conclusiones</w:t>
      </w:r>
    </w:p>
    <w:p w:rsidR="00C424F9" w:rsidRPr="00415AD8" w:rsidRDefault="00C424F9" w:rsidP="00415AD8">
      <w:pPr>
        <w:rPr>
          <w:rFonts w:cs="Arial"/>
          <w:b/>
        </w:rPr>
      </w:pPr>
    </w:p>
    <w:p w:rsidR="001F2B30" w:rsidRPr="00415AD8" w:rsidRDefault="001D6F1D" w:rsidP="00415AD8">
      <w:pPr>
        <w:rPr>
          <w:rFonts w:cs="Arial"/>
        </w:rPr>
      </w:pPr>
      <w:r w:rsidRPr="00415AD8">
        <w:rPr>
          <w:rFonts w:cs="Arial"/>
          <w:b/>
        </w:rPr>
        <w:t>6</w:t>
      </w:r>
      <w:r w:rsidR="00E74E78" w:rsidRPr="00415AD8">
        <w:rPr>
          <w:rFonts w:cs="Arial"/>
          <w:b/>
        </w:rPr>
        <w:t>.1.</w:t>
      </w:r>
      <w:r w:rsidR="00E74E78" w:rsidRPr="00415AD8">
        <w:rPr>
          <w:rFonts w:cs="Arial"/>
        </w:rPr>
        <w:t xml:space="preserve"> </w:t>
      </w:r>
      <w:r w:rsidR="003805F7" w:rsidRPr="00415AD8">
        <w:rPr>
          <w:rFonts w:cs="Arial"/>
        </w:rPr>
        <w:t xml:space="preserve">La Sala </w:t>
      </w:r>
      <w:r w:rsidR="00CB5B6F" w:rsidRPr="00415AD8">
        <w:rPr>
          <w:rFonts w:cs="Arial"/>
        </w:rPr>
        <w:t>acoge la</w:t>
      </w:r>
      <w:r w:rsidR="00B146D8" w:rsidRPr="00415AD8">
        <w:rPr>
          <w:rFonts w:cs="Arial"/>
        </w:rPr>
        <w:t>s</w:t>
      </w:r>
      <w:r w:rsidR="00CB5B6F" w:rsidRPr="00415AD8">
        <w:rPr>
          <w:rFonts w:cs="Arial"/>
        </w:rPr>
        <w:t xml:space="preserve"> </w:t>
      </w:r>
      <w:r w:rsidR="003805F7" w:rsidRPr="00415AD8">
        <w:rPr>
          <w:rFonts w:cs="Arial"/>
        </w:rPr>
        <w:t>observaci</w:t>
      </w:r>
      <w:r w:rsidR="00B146D8" w:rsidRPr="00415AD8">
        <w:rPr>
          <w:rFonts w:cs="Arial"/>
        </w:rPr>
        <w:t xml:space="preserve">ones </w:t>
      </w:r>
      <w:r w:rsidR="003805F7" w:rsidRPr="00415AD8">
        <w:rPr>
          <w:rFonts w:cs="Arial"/>
        </w:rPr>
        <w:t xml:space="preserve">del Ministerio de Transporte, toda vez que no era necesario </w:t>
      </w:r>
      <w:r w:rsidR="000B3828" w:rsidRPr="00415AD8">
        <w:rPr>
          <w:rFonts w:cs="Arial"/>
        </w:rPr>
        <w:t xml:space="preserve">agregar </w:t>
      </w:r>
      <w:r w:rsidR="00CB5B6F" w:rsidRPr="00415AD8">
        <w:rPr>
          <w:rFonts w:cs="Arial"/>
        </w:rPr>
        <w:t xml:space="preserve">ninguna formalidad o rito en </w:t>
      </w:r>
      <w:r w:rsidR="00155117" w:rsidRPr="00415AD8">
        <w:rPr>
          <w:rFonts w:cs="Arial"/>
        </w:rPr>
        <w:t>la citación</w:t>
      </w:r>
      <w:r w:rsidR="00CB5B6F" w:rsidRPr="00415AD8">
        <w:rPr>
          <w:rFonts w:cs="Arial"/>
        </w:rPr>
        <w:t xml:space="preserve">, ni advertir a la aseguradora que </w:t>
      </w:r>
      <w:r w:rsidR="000B3828" w:rsidRPr="00415AD8">
        <w:rPr>
          <w:rFonts w:cs="Arial"/>
        </w:rPr>
        <w:t xml:space="preserve">en caso de que </w:t>
      </w:r>
      <w:r w:rsidR="00CB5B6F" w:rsidRPr="00415AD8">
        <w:rPr>
          <w:rFonts w:cs="Arial"/>
        </w:rPr>
        <w:t xml:space="preserve">el procedimiento </w:t>
      </w:r>
      <w:r w:rsidR="00E74E78" w:rsidRPr="00415AD8">
        <w:rPr>
          <w:rFonts w:cs="Arial"/>
        </w:rPr>
        <w:t xml:space="preserve">sancionatorio </w:t>
      </w:r>
      <w:r w:rsidR="00CB5B6F" w:rsidRPr="00415AD8">
        <w:rPr>
          <w:rFonts w:cs="Arial"/>
        </w:rPr>
        <w:t xml:space="preserve">culminara con la </w:t>
      </w:r>
      <w:r w:rsidR="00990316" w:rsidRPr="00415AD8">
        <w:rPr>
          <w:rFonts w:cs="Arial"/>
        </w:rPr>
        <w:t>dec</w:t>
      </w:r>
      <w:r w:rsidR="00AE7739" w:rsidRPr="00415AD8">
        <w:rPr>
          <w:rFonts w:cs="Arial"/>
        </w:rPr>
        <w:t>l</w:t>
      </w:r>
      <w:r w:rsidR="00990316" w:rsidRPr="00415AD8">
        <w:rPr>
          <w:rFonts w:cs="Arial"/>
        </w:rPr>
        <w:t>ara</w:t>
      </w:r>
      <w:r w:rsidR="00CB5B6F" w:rsidRPr="00415AD8">
        <w:rPr>
          <w:rFonts w:cs="Arial"/>
        </w:rPr>
        <w:t xml:space="preserve">ción de </w:t>
      </w:r>
      <w:r w:rsidR="00990316" w:rsidRPr="00415AD8">
        <w:rPr>
          <w:rFonts w:cs="Arial"/>
        </w:rPr>
        <w:t xml:space="preserve">incumplimiento, </w:t>
      </w:r>
      <w:r w:rsidR="000B3828" w:rsidRPr="00415AD8">
        <w:rPr>
          <w:rFonts w:cs="Arial"/>
        </w:rPr>
        <w:t>se declararía</w:t>
      </w:r>
      <w:r w:rsidR="00990316" w:rsidRPr="00415AD8">
        <w:rPr>
          <w:rFonts w:cs="Arial"/>
        </w:rPr>
        <w:t xml:space="preserve">, también, </w:t>
      </w:r>
      <w:r w:rsidR="000B3828" w:rsidRPr="00415AD8">
        <w:rPr>
          <w:rFonts w:cs="Arial"/>
        </w:rPr>
        <w:t>el siniestro de incumplimiento</w:t>
      </w:r>
      <w:r w:rsidR="00CB5B6F" w:rsidRPr="00415AD8">
        <w:rPr>
          <w:rFonts w:cs="Arial"/>
        </w:rPr>
        <w:t xml:space="preserve">. </w:t>
      </w:r>
    </w:p>
    <w:p w:rsidR="00876BE7" w:rsidRPr="00415AD8" w:rsidRDefault="00876BE7" w:rsidP="00415AD8">
      <w:pPr>
        <w:rPr>
          <w:rFonts w:cs="Arial"/>
        </w:rPr>
      </w:pPr>
    </w:p>
    <w:p w:rsidR="002E0FF7" w:rsidRPr="00415AD8" w:rsidRDefault="0029742B" w:rsidP="00415AD8">
      <w:pPr>
        <w:rPr>
          <w:rFonts w:cs="Arial"/>
        </w:rPr>
      </w:pPr>
      <w:r w:rsidRPr="00415AD8">
        <w:rPr>
          <w:rFonts w:cs="Arial"/>
        </w:rPr>
        <w:t>N</w:t>
      </w:r>
      <w:r w:rsidR="00CB5B6F" w:rsidRPr="00415AD8">
        <w:rPr>
          <w:rFonts w:cs="Arial"/>
        </w:rPr>
        <w:t>o puede exigirse un pliego de cargos específico y separado</w:t>
      </w:r>
      <w:r w:rsidR="001F2B30" w:rsidRPr="00415AD8">
        <w:rPr>
          <w:rFonts w:cs="Arial"/>
        </w:rPr>
        <w:t xml:space="preserve"> para la compañía de seguros</w:t>
      </w:r>
      <w:r w:rsidR="008C1123" w:rsidRPr="00415AD8">
        <w:rPr>
          <w:rFonts w:cs="Arial"/>
        </w:rPr>
        <w:t xml:space="preserve"> garante</w:t>
      </w:r>
      <w:r w:rsidR="000B3828" w:rsidRPr="00415AD8">
        <w:rPr>
          <w:rFonts w:cs="Arial"/>
        </w:rPr>
        <w:t xml:space="preserve">, toda vez que la Ley 1474 de 2011 no exigió </w:t>
      </w:r>
      <w:r w:rsidR="00E74E78" w:rsidRPr="00415AD8">
        <w:rPr>
          <w:rFonts w:cs="Arial"/>
        </w:rPr>
        <w:t xml:space="preserve">dicha </w:t>
      </w:r>
      <w:r w:rsidR="000B3828" w:rsidRPr="00415AD8">
        <w:rPr>
          <w:rFonts w:cs="Arial"/>
        </w:rPr>
        <w:t>formalidad</w:t>
      </w:r>
      <w:r w:rsidR="00876BE7" w:rsidRPr="00415AD8">
        <w:rPr>
          <w:rFonts w:cs="Arial"/>
        </w:rPr>
        <w:t>, amén de que por razón del objeto de la garantía existía conexidad jurídica entre el incumplimiento del contrato y la consecuente declaración del siniestro</w:t>
      </w:r>
      <w:r w:rsidR="002E0FF7" w:rsidRPr="00415AD8">
        <w:rPr>
          <w:rFonts w:cs="Arial"/>
        </w:rPr>
        <w:t>.</w:t>
      </w:r>
    </w:p>
    <w:p w:rsidR="00876BE7" w:rsidRPr="00415AD8" w:rsidRDefault="00876BE7" w:rsidP="00415AD8">
      <w:pPr>
        <w:rPr>
          <w:rFonts w:cs="Arial"/>
        </w:rPr>
      </w:pPr>
    </w:p>
    <w:p w:rsidR="00BD3C42" w:rsidRPr="00415AD8" w:rsidRDefault="002E0FF7" w:rsidP="00415AD8">
      <w:pPr>
        <w:rPr>
          <w:rFonts w:cs="Arial"/>
        </w:rPr>
      </w:pPr>
      <w:r w:rsidRPr="00415AD8">
        <w:rPr>
          <w:rFonts w:cs="Arial"/>
        </w:rPr>
        <w:t>No</w:t>
      </w:r>
      <w:r w:rsidR="00AE7739" w:rsidRPr="00415AD8">
        <w:rPr>
          <w:rFonts w:cs="Arial"/>
        </w:rPr>
        <w:t xml:space="preserve"> era preciso repetir</w:t>
      </w:r>
      <w:r w:rsidR="00CB5B6F" w:rsidRPr="00415AD8">
        <w:rPr>
          <w:rFonts w:cs="Arial"/>
        </w:rPr>
        <w:t xml:space="preserve">le a </w:t>
      </w:r>
      <w:r w:rsidR="001F2B30" w:rsidRPr="00415AD8">
        <w:rPr>
          <w:rFonts w:cs="Arial"/>
        </w:rPr>
        <w:t xml:space="preserve">Seguros Colpatria </w:t>
      </w:r>
      <w:r w:rsidR="008C1123" w:rsidRPr="00415AD8">
        <w:rPr>
          <w:rFonts w:cs="Arial"/>
        </w:rPr>
        <w:t xml:space="preserve">S.A. </w:t>
      </w:r>
      <w:r w:rsidR="00AE7739" w:rsidRPr="00415AD8">
        <w:rPr>
          <w:rFonts w:cs="Arial"/>
        </w:rPr>
        <w:t xml:space="preserve">el objeto de </w:t>
      </w:r>
      <w:r w:rsidR="001F2B30" w:rsidRPr="00415AD8">
        <w:rPr>
          <w:rFonts w:cs="Arial"/>
        </w:rPr>
        <w:t xml:space="preserve">su propia </w:t>
      </w:r>
      <w:r w:rsidR="008C1123" w:rsidRPr="00415AD8">
        <w:rPr>
          <w:rFonts w:cs="Arial"/>
        </w:rPr>
        <w:t xml:space="preserve">póliza </w:t>
      </w:r>
      <w:r w:rsidR="008111E1" w:rsidRPr="00415AD8">
        <w:rPr>
          <w:rFonts w:cs="Arial"/>
        </w:rPr>
        <w:t xml:space="preserve">de cumplimiento, </w:t>
      </w:r>
      <w:r w:rsidR="0029742B" w:rsidRPr="00415AD8">
        <w:rPr>
          <w:rFonts w:cs="Arial"/>
        </w:rPr>
        <w:t xml:space="preserve">expedida con el alcance determinado por ella, </w:t>
      </w:r>
      <w:r w:rsidR="008111E1" w:rsidRPr="00415AD8">
        <w:rPr>
          <w:rFonts w:cs="Arial"/>
        </w:rPr>
        <w:t xml:space="preserve">de acuerdo con la </w:t>
      </w:r>
      <w:r w:rsidR="00AE7739" w:rsidRPr="00415AD8">
        <w:rPr>
          <w:rFonts w:cs="Arial"/>
        </w:rPr>
        <w:t>ley</w:t>
      </w:r>
      <w:r w:rsidR="00BD3C42" w:rsidRPr="00415AD8">
        <w:rPr>
          <w:rFonts w:cs="Arial"/>
        </w:rPr>
        <w:t>.</w:t>
      </w:r>
    </w:p>
    <w:p w:rsidR="00F50606" w:rsidRPr="00415AD8" w:rsidRDefault="00F50606" w:rsidP="00415AD8">
      <w:pPr>
        <w:rPr>
          <w:rFonts w:cs="Arial"/>
        </w:rPr>
      </w:pPr>
    </w:p>
    <w:p w:rsidR="002E0FF7" w:rsidRPr="00415AD8" w:rsidRDefault="001D6F1D" w:rsidP="00415AD8">
      <w:pPr>
        <w:rPr>
          <w:rFonts w:cs="Arial"/>
        </w:rPr>
      </w:pPr>
      <w:r w:rsidRPr="00415AD8">
        <w:rPr>
          <w:rFonts w:cs="Arial"/>
          <w:b/>
        </w:rPr>
        <w:lastRenderedPageBreak/>
        <w:t>6</w:t>
      </w:r>
      <w:r w:rsidR="00286AAE" w:rsidRPr="00415AD8">
        <w:rPr>
          <w:rFonts w:cs="Arial"/>
          <w:b/>
        </w:rPr>
        <w:t>.2.</w:t>
      </w:r>
      <w:r w:rsidR="00286AAE" w:rsidRPr="00415AD8">
        <w:rPr>
          <w:rFonts w:cs="Arial"/>
        </w:rPr>
        <w:t xml:space="preserve"> </w:t>
      </w:r>
      <w:r w:rsidR="00AE7739" w:rsidRPr="00415AD8">
        <w:rPr>
          <w:rFonts w:cs="Arial"/>
        </w:rPr>
        <w:t>E</w:t>
      </w:r>
      <w:r w:rsidR="000B3828" w:rsidRPr="00415AD8">
        <w:rPr>
          <w:rFonts w:cs="Arial"/>
        </w:rPr>
        <w:t xml:space="preserve">l contenido de la comunicación </w:t>
      </w:r>
      <w:r w:rsidR="00AE7739" w:rsidRPr="00415AD8">
        <w:rPr>
          <w:rFonts w:cs="Arial"/>
        </w:rPr>
        <w:t>201133043514 de 31 de agosto de 2011</w:t>
      </w:r>
      <w:r w:rsidR="006013A9" w:rsidRPr="00415AD8">
        <w:rPr>
          <w:rFonts w:cs="Arial"/>
        </w:rPr>
        <w:t xml:space="preserve"> </w:t>
      </w:r>
      <w:r w:rsidR="00F50606" w:rsidRPr="00415AD8">
        <w:rPr>
          <w:rFonts w:cs="Arial"/>
        </w:rPr>
        <w:t xml:space="preserve">fue </w:t>
      </w:r>
      <w:r w:rsidR="000B3828" w:rsidRPr="00415AD8">
        <w:rPr>
          <w:rFonts w:cs="Arial"/>
        </w:rPr>
        <w:t xml:space="preserve">claro en </w:t>
      </w:r>
      <w:r w:rsidR="00663850" w:rsidRPr="00415AD8">
        <w:rPr>
          <w:rFonts w:cs="Arial"/>
        </w:rPr>
        <w:t xml:space="preserve">indicar </w:t>
      </w:r>
      <w:r w:rsidR="00C22CF0" w:rsidRPr="00415AD8">
        <w:rPr>
          <w:rFonts w:cs="Arial"/>
        </w:rPr>
        <w:t>que la citación se hacía para l</w:t>
      </w:r>
      <w:r w:rsidR="007C4154" w:rsidRPr="00415AD8">
        <w:rPr>
          <w:rFonts w:cs="Arial"/>
        </w:rPr>
        <w:t>os efectos de l</w:t>
      </w:r>
      <w:r w:rsidR="008573D9" w:rsidRPr="00415AD8">
        <w:rPr>
          <w:rFonts w:cs="Arial"/>
        </w:rPr>
        <w:t xml:space="preserve">a audiencia convocada </w:t>
      </w:r>
      <w:r w:rsidR="007C4154" w:rsidRPr="00415AD8">
        <w:rPr>
          <w:rFonts w:cs="Arial"/>
        </w:rPr>
        <w:t xml:space="preserve">en orden a dar cumplimiento al </w:t>
      </w:r>
      <w:r w:rsidR="00C22CF0" w:rsidRPr="00415AD8">
        <w:rPr>
          <w:rFonts w:cs="Arial"/>
        </w:rPr>
        <w:t>debido proceso</w:t>
      </w:r>
      <w:r w:rsidR="002E0FF7" w:rsidRPr="00415AD8">
        <w:rPr>
          <w:rFonts w:cs="Arial"/>
        </w:rPr>
        <w:t>.</w:t>
      </w:r>
      <w:r w:rsidR="002723A6" w:rsidRPr="00415AD8">
        <w:rPr>
          <w:rFonts w:cs="Arial"/>
        </w:rPr>
        <w:t xml:space="preserve"> El memorando anexo fue igualmente claro en identificar los cargos correspondientes.</w:t>
      </w:r>
    </w:p>
    <w:p w:rsidR="00A566A2" w:rsidRPr="00415AD8" w:rsidRDefault="00A566A2" w:rsidP="00415AD8">
      <w:pPr>
        <w:rPr>
          <w:rFonts w:cs="Arial"/>
        </w:rPr>
      </w:pPr>
    </w:p>
    <w:p w:rsidR="00C22CF0" w:rsidRPr="00415AD8" w:rsidRDefault="00AA0FB0" w:rsidP="00415AD8">
      <w:pPr>
        <w:rPr>
          <w:rFonts w:cs="Arial"/>
        </w:rPr>
      </w:pPr>
      <w:r w:rsidRPr="00415AD8">
        <w:rPr>
          <w:rFonts w:cs="Arial"/>
        </w:rPr>
        <w:t xml:space="preserve">Como conclusión, los documentos acreditados en el proceso demuestran que el Ministerio de Transporte </w:t>
      </w:r>
      <w:r w:rsidR="00663850" w:rsidRPr="00415AD8">
        <w:rPr>
          <w:rFonts w:cs="Arial"/>
        </w:rPr>
        <w:t>sí le comunicó a la aseguradora el pliego de cargos correspondiente</w:t>
      </w:r>
      <w:r w:rsidRPr="00415AD8">
        <w:rPr>
          <w:rFonts w:cs="Arial"/>
        </w:rPr>
        <w:t xml:space="preserve"> al proce</w:t>
      </w:r>
      <w:r w:rsidR="00F50606" w:rsidRPr="00415AD8">
        <w:rPr>
          <w:rFonts w:cs="Arial"/>
        </w:rPr>
        <w:t xml:space="preserve">dimiento </w:t>
      </w:r>
      <w:r w:rsidRPr="00415AD8">
        <w:rPr>
          <w:rFonts w:cs="Arial"/>
        </w:rPr>
        <w:t xml:space="preserve">sancionatorio </w:t>
      </w:r>
      <w:r w:rsidR="00F50606" w:rsidRPr="00415AD8">
        <w:rPr>
          <w:rFonts w:cs="Arial"/>
        </w:rPr>
        <w:t xml:space="preserve">que siguió contra el contratista, al cual </w:t>
      </w:r>
      <w:r w:rsidRPr="00415AD8">
        <w:rPr>
          <w:rFonts w:cs="Arial"/>
        </w:rPr>
        <w:t>convocó</w:t>
      </w:r>
      <w:r w:rsidR="00F50606" w:rsidRPr="00415AD8">
        <w:rPr>
          <w:rFonts w:cs="Arial"/>
        </w:rPr>
        <w:t xml:space="preserve"> </w:t>
      </w:r>
      <w:r w:rsidR="002E0FF7" w:rsidRPr="00415AD8">
        <w:rPr>
          <w:rFonts w:cs="Arial"/>
        </w:rPr>
        <w:t xml:space="preserve">a Seguros Colpatria S.A. </w:t>
      </w:r>
      <w:r w:rsidR="00F50606" w:rsidRPr="00415AD8">
        <w:rPr>
          <w:rFonts w:cs="Arial"/>
        </w:rPr>
        <w:t>en su condición de garante</w:t>
      </w:r>
      <w:r w:rsidR="00E62D80" w:rsidRPr="00415AD8">
        <w:rPr>
          <w:rFonts w:cs="Arial"/>
        </w:rPr>
        <w:t>, cumpliendo c</w:t>
      </w:r>
      <w:r w:rsidR="00814D29" w:rsidRPr="00415AD8">
        <w:rPr>
          <w:rFonts w:cs="Arial"/>
        </w:rPr>
        <w:t>o</w:t>
      </w:r>
      <w:r w:rsidR="00E62D80" w:rsidRPr="00415AD8">
        <w:rPr>
          <w:rFonts w:cs="Arial"/>
        </w:rPr>
        <w:t>n lo exigido en la Ley 1474 de 2011.</w:t>
      </w:r>
      <w:r w:rsidR="00C22CF0" w:rsidRPr="00415AD8">
        <w:rPr>
          <w:rFonts w:cs="Arial"/>
        </w:rPr>
        <w:t xml:space="preserve"> </w:t>
      </w:r>
    </w:p>
    <w:p w:rsidR="00C22CF0" w:rsidRPr="00415AD8" w:rsidRDefault="00C22CF0" w:rsidP="00415AD8">
      <w:pPr>
        <w:rPr>
          <w:rFonts w:cs="Arial"/>
        </w:rPr>
      </w:pPr>
    </w:p>
    <w:p w:rsidR="00325D36" w:rsidRPr="00415AD8" w:rsidRDefault="001D6F1D" w:rsidP="00415AD8">
      <w:pPr>
        <w:rPr>
          <w:rFonts w:cs="Arial"/>
        </w:rPr>
      </w:pPr>
      <w:r w:rsidRPr="00415AD8">
        <w:rPr>
          <w:rFonts w:cs="Arial"/>
          <w:b/>
        </w:rPr>
        <w:t>6</w:t>
      </w:r>
      <w:r w:rsidR="00B135E1" w:rsidRPr="00415AD8">
        <w:rPr>
          <w:rFonts w:cs="Arial"/>
          <w:b/>
        </w:rPr>
        <w:t>.</w:t>
      </w:r>
      <w:r w:rsidR="002723A6" w:rsidRPr="00415AD8">
        <w:rPr>
          <w:rFonts w:cs="Arial"/>
          <w:b/>
        </w:rPr>
        <w:t>3</w:t>
      </w:r>
      <w:r w:rsidR="00B135E1" w:rsidRPr="00415AD8">
        <w:rPr>
          <w:rFonts w:cs="Arial"/>
          <w:b/>
        </w:rPr>
        <w:t>.</w:t>
      </w:r>
      <w:r w:rsidR="00B135E1" w:rsidRPr="00415AD8">
        <w:rPr>
          <w:rFonts w:cs="Arial"/>
        </w:rPr>
        <w:t xml:space="preserve"> </w:t>
      </w:r>
      <w:r w:rsidR="005332A8" w:rsidRPr="00415AD8">
        <w:rPr>
          <w:rFonts w:cs="Arial"/>
        </w:rPr>
        <w:t xml:space="preserve">Se agrega que en </w:t>
      </w:r>
      <w:r w:rsidR="00325D36" w:rsidRPr="00415AD8">
        <w:rPr>
          <w:rFonts w:cs="Arial"/>
        </w:rPr>
        <w:t xml:space="preserve">la demanda </w:t>
      </w:r>
      <w:r w:rsidR="005332A8" w:rsidRPr="00415AD8">
        <w:rPr>
          <w:rFonts w:cs="Arial"/>
        </w:rPr>
        <w:t xml:space="preserve">Seguros Colpatria S.A. </w:t>
      </w:r>
      <w:r w:rsidR="004E0646" w:rsidRPr="00415AD8">
        <w:rPr>
          <w:rFonts w:cs="Arial"/>
        </w:rPr>
        <w:t xml:space="preserve">reconoció haber asistido a la audiencia, </w:t>
      </w:r>
      <w:r w:rsidR="006013A9" w:rsidRPr="00415AD8">
        <w:rPr>
          <w:rFonts w:cs="Arial"/>
        </w:rPr>
        <w:t xml:space="preserve">lo cual además se corroboró con la notificación en estrados dispuesta en la resolución acusada, </w:t>
      </w:r>
      <w:r w:rsidR="00325D36" w:rsidRPr="00415AD8">
        <w:rPr>
          <w:rFonts w:cs="Arial"/>
        </w:rPr>
        <w:t xml:space="preserve">empero, no presentó ninguna defensa, </w:t>
      </w:r>
      <w:r w:rsidR="006013A9" w:rsidRPr="00415AD8">
        <w:rPr>
          <w:rFonts w:cs="Arial"/>
        </w:rPr>
        <w:t xml:space="preserve">se abstuvo de </w:t>
      </w:r>
      <w:r w:rsidR="00C424F9" w:rsidRPr="00415AD8">
        <w:rPr>
          <w:rFonts w:cs="Arial"/>
        </w:rPr>
        <w:t>interv</w:t>
      </w:r>
      <w:r w:rsidR="006013A9" w:rsidRPr="00415AD8">
        <w:rPr>
          <w:rFonts w:cs="Arial"/>
        </w:rPr>
        <w:t xml:space="preserve">enir </w:t>
      </w:r>
      <w:r w:rsidR="00C424F9" w:rsidRPr="00415AD8">
        <w:rPr>
          <w:rFonts w:cs="Arial"/>
        </w:rPr>
        <w:t xml:space="preserve">en forma activa y no </w:t>
      </w:r>
      <w:r w:rsidR="00325D36" w:rsidRPr="00415AD8">
        <w:rPr>
          <w:rFonts w:cs="Arial"/>
        </w:rPr>
        <w:t xml:space="preserve">pidió prueba alguna. </w:t>
      </w:r>
    </w:p>
    <w:p w:rsidR="00325D36" w:rsidRPr="00415AD8" w:rsidRDefault="00325D36" w:rsidP="00415AD8">
      <w:pPr>
        <w:rPr>
          <w:rFonts w:cs="Arial"/>
        </w:rPr>
      </w:pPr>
    </w:p>
    <w:p w:rsidR="00325D36" w:rsidRPr="00415AD8" w:rsidRDefault="001D6F1D" w:rsidP="00415AD8">
      <w:pPr>
        <w:rPr>
          <w:rFonts w:cs="Arial"/>
        </w:rPr>
      </w:pPr>
      <w:r w:rsidRPr="00415AD8">
        <w:rPr>
          <w:rFonts w:cs="Arial"/>
          <w:b/>
        </w:rPr>
        <w:t>6</w:t>
      </w:r>
      <w:r w:rsidR="00B135E1" w:rsidRPr="00415AD8">
        <w:rPr>
          <w:rFonts w:cs="Arial"/>
          <w:b/>
        </w:rPr>
        <w:t>.</w:t>
      </w:r>
      <w:r w:rsidR="002723A6" w:rsidRPr="00415AD8">
        <w:rPr>
          <w:rFonts w:cs="Arial"/>
          <w:b/>
        </w:rPr>
        <w:t>4</w:t>
      </w:r>
      <w:r w:rsidR="00B135E1" w:rsidRPr="00415AD8">
        <w:rPr>
          <w:rFonts w:cs="Arial"/>
          <w:b/>
        </w:rPr>
        <w:t>.</w:t>
      </w:r>
      <w:r w:rsidR="00B135E1" w:rsidRPr="00415AD8">
        <w:rPr>
          <w:rFonts w:cs="Arial"/>
        </w:rPr>
        <w:t xml:space="preserve"> </w:t>
      </w:r>
      <w:r w:rsidR="00BD153C" w:rsidRPr="00415AD8">
        <w:rPr>
          <w:rFonts w:cs="Arial"/>
        </w:rPr>
        <w:t>Por otra parte, s</w:t>
      </w:r>
      <w:r w:rsidR="00325D36" w:rsidRPr="00415AD8">
        <w:rPr>
          <w:rFonts w:cs="Arial"/>
        </w:rPr>
        <w:t xml:space="preserve">e </w:t>
      </w:r>
      <w:r w:rsidR="00C424F9" w:rsidRPr="00415AD8">
        <w:rPr>
          <w:rFonts w:cs="Arial"/>
        </w:rPr>
        <w:t xml:space="preserve">puntualiza </w:t>
      </w:r>
      <w:r w:rsidR="00325D36" w:rsidRPr="00415AD8">
        <w:rPr>
          <w:rFonts w:cs="Arial"/>
        </w:rPr>
        <w:t>que la compañía de seguros no allegó ninguna prueba para controvertir la ocurrencia del siniestro de incumplimiento ni la cobertura de la póliza otorgada</w:t>
      </w:r>
      <w:r w:rsidR="00E62D80" w:rsidRPr="00415AD8">
        <w:rPr>
          <w:rFonts w:cs="Arial"/>
        </w:rPr>
        <w:t xml:space="preserve"> y no argumentó sobre ello en la apelación</w:t>
      </w:r>
      <w:r w:rsidR="00B15E67" w:rsidRPr="00415AD8">
        <w:rPr>
          <w:rFonts w:cs="Arial"/>
        </w:rPr>
        <w:t xml:space="preserve"> que ahora se desata</w:t>
      </w:r>
      <w:r w:rsidR="00325D36" w:rsidRPr="00415AD8">
        <w:rPr>
          <w:rFonts w:cs="Arial"/>
        </w:rPr>
        <w:t xml:space="preserve">. </w:t>
      </w:r>
    </w:p>
    <w:p w:rsidR="00325D36" w:rsidRPr="00415AD8" w:rsidRDefault="00325D36" w:rsidP="00415AD8">
      <w:pPr>
        <w:rPr>
          <w:rFonts w:cs="Arial"/>
        </w:rPr>
      </w:pPr>
    </w:p>
    <w:p w:rsidR="005332A8" w:rsidRPr="00415AD8" w:rsidRDefault="001D6F1D" w:rsidP="00415AD8">
      <w:pPr>
        <w:rPr>
          <w:rFonts w:cs="Arial"/>
        </w:rPr>
      </w:pPr>
      <w:r w:rsidRPr="00415AD8">
        <w:rPr>
          <w:rFonts w:cs="Arial"/>
          <w:b/>
        </w:rPr>
        <w:t>6</w:t>
      </w:r>
      <w:r w:rsidR="00B135E1" w:rsidRPr="00415AD8">
        <w:rPr>
          <w:rFonts w:cs="Arial"/>
          <w:b/>
        </w:rPr>
        <w:t>.</w:t>
      </w:r>
      <w:r w:rsidR="002723A6" w:rsidRPr="00415AD8">
        <w:rPr>
          <w:rFonts w:cs="Arial"/>
          <w:b/>
        </w:rPr>
        <w:t>5</w:t>
      </w:r>
      <w:r w:rsidR="00B135E1" w:rsidRPr="00415AD8">
        <w:rPr>
          <w:rFonts w:cs="Arial"/>
          <w:b/>
        </w:rPr>
        <w:t>.</w:t>
      </w:r>
      <w:r w:rsidR="00B135E1" w:rsidRPr="00415AD8">
        <w:rPr>
          <w:rFonts w:cs="Arial"/>
        </w:rPr>
        <w:t xml:space="preserve"> L</w:t>
      </w:r>
      <w:r w:rsidR="005332A8" w:rsidRPr="00415AD8">
        <w:rPr>
          <w:rFonts w:cs="Arial"/>
        </w:rPr>
        <w:t xml:space="preserve">os argumentos de Seguros Colpatria S.A. se quedan en aspectos formales de la citación que no tienen tacha y que no constituyen violación al debido proceso. </w:t>
      </w:r>
    </w:p>
    <w:p w:rsidR="005332A8" w:rsidRPr="00415AD8" w:rsidRDefault="005332A8" w:rsidP="00415AD8">
      <w:pPr>
        <w:rPr>
          <w:rFonts w:cs="Arial"/>
        </w:rPr>
      </w:pPr>
    </w:p>
    <w:p w:rsidR="002723A6" w:rsidRPr="00415AD8" w:rsidRDefault="001D6F1D" w:rsidP="00415AD8">
      <w:pPr>
        <w:rPr>
          <w:rFonts w:cs="Arial"/>
        </w:rPr>
      </w:pPr>
      <w:r w:rsidRPr="00415AD8">
        <w:rPr>
          <w:rFonts w:cs="Arial"/>
          <w:b/>
        </w:rPr>
        <w:t>6</w:t>
      </w:r>
      <w:r w:rsidR="002723A6" w:rsidRPr="00415AD8">
        <w:rPr>
          <w:rFonts w:cs="Arial"/>
          <w:b/>
        </w:rPr>
        <w:t>.6.</w:t>
      </w:r>
      <w:r w:rsidR="002723A6" w:rsidRPr="00415AD8">
        <w:rPr>
          <w:rFonts w:cs="Arial"/>
        </w:rPr>
        <w:t xml:space="preserve"> Finalmente, vale la pena mencionar que la jurisprudencia de esta Corporación, que fue invocada por la demandante en este proceso, corresponde a un procedimiento anterior a la expedición de la Ley 1474 de 2011, en el cual, a diferencia de lo sucedido en el presente caso, la entidad estatal negó a la compañía de seguros el derecho de participar y a interponer el recurso de reposición contra los actos respectivos. </w:t>
      </w:r>
    </w:p>
    <w:p w:rsidR="002723A6" w:rsidRPr="00415AD8" w:rsidRDefault="002723A6" w:rsidP="00415AD8">
      <w:pPr>
        <w:rPr>
          <w:rFonts w:cs="Arial"/>
        </w:rPr>
      </w:pPr>
    </w:p>
    <w:p w:rsidR="002723A6" w:rsidRPr="00415AD8" w:rsidRDefault="002723A6" w:rsidP="00415AD8">
      <w:pPr>
        <w:rPr>
          <w:rFonts w:cs="Arial"/>
        </w:rPr>
      </w:pPr>
      <w:r w:rsidRPr="00415AD8">
        <w:rPr>
          <w:rFonts w:cs="Arial"/>
        </w:rPr>
        <w:t xml:space="preserve">Esa situación difiere ampliamente de la que se presentó en el asunto que ahora se debate, en el cual Seguros Colpatria S.A. fue citada en forma previa y concreta, para ejercer su derecho de defensa sobre incumplimientos del contratista debidamente relacionados y conocidos por esa aseguradora </w:t>
      </w:r>
      <w:r w:rsidR="00E62D80" w:rsidRPr="00415AD8">
        <w:rPr>
          <w:rFonts w:cs="Arial"/>
        </w:rPr>
        <w:t xml:space="preserve">con antelación a </w:t>
      </w:r>
      <w:r w:rsidRPr="00415AD8">
        <w:rPr>
          <w:rFonts w:cs="Arial"/>
        </w:rPr>
        <w:t>la audiencia.</w:t>
      </w:r>
    </w:p>
    <w:p w:rsidR="002723A6" w:rsidRPr="00415AD8" w:rsidRDefault="002723A6" w:rsidP="00415AD8">
      <w:pPr>
        <w:rPr>
          <w:rFonts w:cs="Arial"/>
        </w:rPr>
      </w:pPr>
    </w:p>
    <w:p w:rsidR="00325D36" w:rsidRPr="00415AD8" w:rsidRDefault="001D6F1D" w:rsidP="00415AD8">
      <w:pPr>
        <w:rPr>
          <w:rFonts w:cs="Arial"/>
        </w:rPr>
      </w:pPr>
      <w:r w:rsidRPr="00415AD8">
        <w:rPr>
          <w:rFonts w:cs="Arial"/>
          <w:b/>
        </w:rPr>
        <w:lastRenderedPageBreak/>
        <w:t>6</w:t>
      </w:r>
      <w:r w:rsidR="00B135E1" w:rsidRPr="00415AD8">
        <w:rPr>
          <w:rFonts w:cs="Arial"/>
          <w:b/>
        </w:rPr>
        <w:t>.7.</w:t>
      </w:r>
      <w:r w:rsidR="00B135E1" w:rsidRPr="00415AD8">
        <w:rPr>
          <w:rFonts w:cs="Arial"/>
        </w:rPr>
        <w:t xml:space="preserve"> </w:t>
      </w:r>
      <w:r w:rsidR="00325D36" w:rsidRPr="00415AD8">
        <w:rPr>
          <w:rFonts w:cs="Arial"/>
        </w:rPr>
        <w:t xml:space="preserve">Así las cosas, se confirmará la sentencia de primera instancia, dado que no se desvirtuó la presunción de legalidad que ampara los actos acusados. </w:t>
      </w:r>
    </w:p>
    <w:p w:rsidR="00325D36" w:rsidRPr="00415AD8" w:rsidRDefault="00325D36" w:rsidP="00415AD8">
      <w:pPr>
        <w:rPr>
          <w:rFonts w:cs="Arial"/>
          <w:b/>
        </w:rPr>
      </w:pPr>
    </w:p>
    <w:p w:rsidR="00F57296" w:rsidRPr="00415AD8" w:rsidRDefault="001D6F1D" w:rsidP="00415AD8">
      <w:pPr>
        <w:rPr>
          <w:rFonts w:cs="Arial"/>
          <w:b/>
        </w:rPr>
      </w:pPr>
      <w:r w:rsidRPr="00415AD8">
        <w:rPr>
          <w:rFonts w:cs="Arial"/>
          <w:b/>
        </w:rPr>
        <w:t>7</w:t>
      </w:r>
      <w:r w:rsidR="00F57296" w:rsidRPr="00415AD8">
        <w:rPr>
          <w:rFonts w:cs="Arial"/>
          <w:b/>
        </w:rPr>
        <w:t>. Costas</w:t>
      </w:r>
    </w:p>
    <w:p w:rsidR="00F57296" w:rsidRPr="00415AD8" w:rsidRDefault="00F57296" w:rsidP="00415AD8">
      <w:pPr>
        <w:rPr>
          <w:rFonts w:cs="Arial"/>
        </w:rPr>
      </w:pPr>
    </w:p>
    <w:p w:rsidR="00F7571B" w:rsidRPr="00415AD8" w:rsidRDefault="005214B0" w:rsidP="00415AD8">
      <w:pPr>
        <w:pStyle w:val="Textoindependiente3"/>
        <w:rPr>
          <w:rFonts w:cs="Arial"/>
          <w:bCs/>
          <w:sz w:val="24"/>
          <w:szCs w:val="24"/>
        </w:rPr>
      </w:pPr>
      <w:r w:rsidRPr="00415AD8">
        <w:rPr>
          <w:rFonts w:cs="Arial"/>
          <w:bCs/>
          <w:sz w:val="24"/>
          <w:szCs w:val="24"/>
        </w:rPr>
        <w:t>D</w:t>
      </w:r>
      <w:r w:rsidR="00F57296" w:rsidRPr="00415AD8">
        <w:rPr>
          <w:rFonts w:cs="Arial"/>
          <w:bCs/>
          <w:sz w:val="24"/>
          <w:szCs w:val="24"/>
        </w:rPr>
        <w:t xml:space="preserve">e conformidad con </w:t>
      </w:r>
      <w:r w:rsidR="00F7571B" w:rsidRPr="00415AD8">
        <w:rPr>
          <w:rFonts w:cs="Arial"/>
          <w:bCs/>
          <w:sz w:val="24"/>
          <w:szCs w:val="24"/>
        </w:rPr>
        <w:t>el</w:t>
      </w:r>
      <w:r w:rsidR="00F57296" w:rsidRPr="00415AD8">
        <w:rPr>
          <w:rFonts w:cs="Arial"/>
          <w:bCs/>
          <w:sz w:val="24"/>
          <w:szCs w:val="24"/>
        </w:rPr>
        <w:t xml:space="preserve"> artículo 188 del Código de Procedimiento Administrativo y Contencioso Administrativo</w:t>
      </w:r>
      <w:r w:rsidR="00F7571B" w:rsidRPr="00415AD8">
        <w:rPr>
          <w:rFonts w:cs="Arial"/>
          <w:bCs/>
          <w:sz w:val="24"/>
          <w:szCs w:val="24"/>
        </w:rPr>
        <w:t xml:space="preserve"> (</w:t>
      </w:r>
      <w:r w:rsidR="00135D07" w:rsidRPr="00415AD8">
        <w:rPr>
          <w:rFonts w:cs="Arial"/>
          <w:bCs/>
          <w:sz w:val="24"/>
          <w:szCs w:val="24"/>
        </w:rPr>
        <w:t>C</w:t>
      </w:r>
      <w:r w:rsidR="00F7571B" w:rsidRPr="00415AD8">
        <w:rPr>
          <w:rFonts w:cs="Arial"/>
          <w:bCs/>
          <w:sz w:val="24"/>
          <w:szCs w:val="24"/>
        </w:rPr>
        <w:t>.P.A.C.A)</w:t>
      </w:r>
      <w:r w:rsidR="00F57296" w:rsidRPr="00415AD8">
        <w:rPr>
          <w:rStyle w:val="Refdenotaalpie"/>
          <w:rFonts w:cs="Arial"/>
          <w:bCs/>
          <w:sz w:val="24"/>
          <w:szCs w:val="24"/>
        </w:rPr>
        <w:footnoteReference w:id="32"/>
      </w:r>
      <w:r w:rsidRPr="00415AD8">
        <w:rPr>
          <w:rFonts w:cs="Arial"/>
          <w:bCs/>
          <w:sz w:val="24"/>
          <w:szCs w:val="24"/>
        </w:rPr>
        <w:t xml:space="preserve">, procede la condena en costas a cargo de la parte vencida, de conformidad con los artículos 365 y 366 del Código General del Proceso. </w:t>
      </w:r>
    </w:p>
    <w:p w:rsidR="00F57296" w:rsidRPr="00415AD8" w:rsidRDefault="00F57296" w:rsidP="00415AD8">
      <w:pPr>
        <w:pStyle w:val="Textoindependiente3"/>
        <w:rPr>
          <w:rFonts w:cs="Arial"/>
          <w:bCs/>
          <w:sz w:val="24"/>
          <w:szCs w:val="24"/>
        </w:rPr>
      </w:pPr>
    </w:p>
    <w:p w:rsidR="001D78CC" w:rsidRPr="00415AD8" w:rsidRDefault="00E66FFD" w:rsidP="00415AD8">
      <w:pPr>
        <w:pStyle w:val="Textoindependiente3"/>
        <w:rPr>
          <w:rFonts w:cs="Arial"/>
          <w:bCs/>
          <w:sz w:val="24"/>
          <w:szCs w:val="24"/>
        </w:rPr>
      </w:pPr>
      <w:r w:rsidRPr="00415AD8">
        <w:rPr>
          <w:rFonts w:cs="Arial"/>
          <w:bCs/>
          <w:sz w:val="24"/>
          <w:szCs w:val="24"/>
        </w:rPr>
        <w:t xml:space="preserve">Las </w:t>
      </w:r>
      <w:r w:rsidR="001D78CC" w:rsidRPr="00415AD8">
        <w:rPr>
          <w:rFonts w:cs="Arial"/>
          <w:bCs/>
          <w:sz w:val="24"/>
          <w:szCs w:val="24"/>
        </w:rPr>
        <w:t xml:space="preserve">costas </w:t>
      </w:r>
      <w:r w:rsidRPr="00415AD8">
        <w:rPr>
          <w:rFonts w:cs="Arial"/>
          <w:bCs/>
          <w:sz w:val="24"/>
          <w:szCs w:val="24"/>
        </w:rPr>
        <w:t xml:space="preserve">se deben </w:t>
      </w:r>
      <w:r w:rsidR="001D78CC" w:rsidRPr="00415AD8">
        <w:rPr>
          <w:rFonts w:cs="Arial"/>
          <w:bCs/>
          <w:sz w:val="24"/>
          <w:szCs w:val="24"/>
        </w:rPr>
        <w:t>liquid</w:t>
      </w:r>
      <w:r w:rsidRPr="00415AD8">
        <w:rPr>
          <w:rFonts w:cs="Arial"/>
          <w:bCs/>
          <w:sz w:val="24"/>
          <w:szCs w:val="24"/>
        </w:rPr>
        <w:t xml:space="preserve">ar </w:t>
      </w:r>
      <w:r w:rsidR="001D78CC" w:rsidRPr="00415AD8">
        <w:rPr>
          <w:rFonts w:cs="Arial"/>
          <w:bCs/>
          <w:sz w:val="24"/>
          <w:szCs w:val="24"/>
        </w:rPr>
        <w:t xml:space="preserve">de manera concentrada </w:t>
      </w:r>
      <w:r w:rsidR="005570D4" w:rsidRPr="00415AD8">
        <w:rPr>
          <w:rFonts w:cs="Arial"/>
          <w:bCs/>
          <w:sz w:val="24"/>
          <w:szCs w:val="24"/>
        </w:rPr>
        <w:t xml:space="preserve">en el Tribunal a quo </w:t>
      </w:r>
      <w:r w:rsidR="001D78CC" w:rsidRPr="00415AD8">
        <w:rPr>
          <w:rFonts w:cs="Arial"/>
          <w:bCs/>
          <w:sz w:val="24"/>
          <w:szCs w:val="24"/>
        </w:rPr>
        <w:t xml:space="preserve">de acuerdo con </w:t>
      </w:r>
      <w:r w:rsidRPr="00415AD8">
        <w:rPr>
          <w:rFonts w:cs="Arial"/>
          <w:bCs/>
          <w:sz w:val="24"/>
          <w:szCs w:val="24"/>
        </w:rPr>
        <w:t xml:space="preserve">las disposiciones citadas. </w:t>
      </w:r>
    </w:p>
    <w:p w:rsidR="00F57296" w:rsidRPr="00415AD8" w:rsidRDefault="00F57296" w:rsidP="00415AD8">
      <w:pPr>
        <w:pStyle w:val="Textoindependiente3"/>
        <w:rPr>
          <w:rFonts w:cs="Arial"/>
          <w:i/>
          <w:iCs/>
          <w:sz w:val="24"/>
          <w:szCs w:val="24"/>
          <w:lang w:val="es-CO"/>
        </w:rPr>
      </w:pPr>
    </w:p>
    <w:p w:rsidR="00F57296" w:rsidRPr="00415AD8" w:rsidRDefault="00F57296" w:rsidP="00415AD8">
      <w:pPr>
        <w:pStyle w:val="Textoindependiente22"/>
        <w:numPr>
          <w:ilvl w:val="12"/>
          <w:numId w:val="0"/>
        </w:numPr>
        <w:overflowPunct/>
        <w:autoSpaceDE/>
        <w:autoSpaceDN/>
        <w:adjustRightInd/>
        <w:textAlignment w:val="auto"/>
        <w:rPr>
          <w:rFonts w:cs="Arial"/>
          <w:szCs w:val="24"/>
        </w:rPr>
      </w:pPr>
      <w:r w:rsidRPr="00415AD8">
        <w:rPr>
          <w:rFonts w:cs="Arial"/>
          <w:szCs w:val="24"/>
        </w:rPr>
        <w:t>En mérito de lo expuesto, el Consejo de Estado, en Sala de lo Contencioso Administrativo, Sección Tercera, Subsección A, administrando justicia en nombre de la República de Colombia y por autoridad de la ley,</w:t>
      </w:r>
    </w:p>
    <w:p w:rsidR="00F57296" w:rsidRPr="00415AD8" w:rsidRDefault="00F57296" w:rsidP="00415AD8">
      <w:pPr>
        <w:rPr>
          <w:rFonts w:cs="Arial"/>
        </w:rPr>
      </w:pPr>
    </w:p>
    <w:p w:rsidR="00F57296" w:rsidRPr="00415AD8" w:rsidRDefault="00F57296" w:rsidP="00415AD8">
      <w:pPr>
        <w:pStyle w:val="Ttulo5"/>
        <w:rPr>
          <w:rFonts w:cs="Arial"/>
          <w:bCs/>
          <w:sz w:val="24"/>
          <w:szCs w:val="24"/>
        </w:rPr>
      </w:pPr>
      <w:r w:rsidRPr="00415AD8">
        <w:rPr>
          <w:rFonts w:cs="Arial"/>
          <w:bCs/>
          <w:sz w:val="24"/>
          <w:szCs w:val="24"/>
        </w:rPr>
        <w:t>F A L L A</w:t>
      </w:r>
    </w:p>
    <w:p w:rsidR="00F57296" w:rsidRPr="00415AD8" w:rsidRDefault="00F57296" w:rsidP="00415AD8">
      <w:pPr>
        <w:widowControl w:val="0"/>
        <w:autoSpaceDE w:val="0"/>
        <w:autoSpaceDN w:val="0"/>
        <w:adjustRightInd w:val="0"/>
        <w:rPr>
          <w:rFonts w:cs="Arial"/>
          <w:b/>
        </w:rPr>
      </w:pPr>
    </w:p>
    <w:p w:rsidR="00142235" w:rsidRPr="00415AD8" w:rsidRDefault="00F57296" w:rsidP="00415AD8">
      <w:pPr>
        <w:widowControl w:val="0"/>
        <w:autoSpaceDE w:val="0"/>
        <w:autoSpaceDN w:val="0"/>
        <w:adjustRightInd w:val="0"/>
        <w:rPr>
          <w:rFonts w:cs="Arial"/>
          <w:lang w:val="es-CO"/>
        </w:rPr>
      </w:pPr>
      <w:r w:rsidRPr="00415AD8">
        <w:rPr>
          <w:rFonts w:cs="Arial"/>
          <w:b/>
        </w:rPr>
        <w:t xml:space="preserve">PRIMERO.- </w:t>
      </w:r>
      <w:r w:rsidR="00142235" w:rsidRPr="00415AD8">
        <w:rPr>
          <w:rFonts w:cs="Arial"/>
          <w:b/>
        </w:rPr>
        <w:t xml:space="preserve">CONFIRMAR </w:t>
      </w:r>
      <w:r w:rsidRPr="00415AD8">
        <w:rPr>
          <w:rFonts w:cs="Arial"/>
        </w:rPr>
        <w:t xml:space="preserve">la </w:t>
      </w:r>
      <w:r w:rsidR="00142235" w:rsidRPr="00415AD8">
        <w:rPr>
          <w:rFonts w:cs="Arial"/>
        </w:rPr>
        <w:t xml:space="preserve">sentencia </w:t>
      </w:r>
      <w:r w:rsidRPr="00415AD8">
        <w:rPr>
          <w:rFonts w:cs="Arial"/>
          <w:lang w:val="es-CO"/>
        </w:rPr>
        <w:t xml:space="preserve">proferida por el Tribunal Administrativo de </w:t>
      </w:r>
      <w:r w:rsidR="00142235" w:rsidRPr="00415AD8">
        <w:rPr>
          <w:rFonts w:cs="Arial"/>
          <w:lang w:val="es-CO"/>
        </w:rPr>
        <w:t>Cundinamarca</w:t>
      </w:r>
      <w:r w:rsidRPr="00415AD8">
        <w:rPr>
          <w:rFonts w:cs="Arial"/>
          <w:lang w:val="es-CO"/>
        </w:rPr>
        <w:t xml:space="preserve">, </w:t>
      </w:r>
      <w:r w:rsidR="00142235" w:rsidRPr="00415AD8">
        <w:rPr>
          <w:rFonts w:cs="Arial"/>
          <w:lang w:val="es-CO"/>
        </w:rPr>
        <w:t xml:space="preserve">Sección Tercera, Subsección A, </w:t>
      </w:r>
      <w:r w:rsidRPr="00415AD8">
        <w:rPr>
          <w:rFonts w:cs="Arial"/>
          <w:lang w:val="es-CO"/>
        </w:rPr>
        <w:t xml:space="preserve">el </w:t>
      </w:r>
      <w:r w:rsidR="00142235" w:rsidRPr="00415AD8">
        <w:rPr>
          <w:rFonts w:cs="Arial"/>
          <w:lang w:val="es-CO"/>
        </w:rPr>
        <w:t>4 de marzo de 2015.</w:t>
      </w:r>
    </w:p>
    <w:p w:rsidR="00F57296" w:rsidRPr="00415AD8" w:rsidRDefault="00F57296" w:rsidP="00415AD8">
      <w:pPr>
        <w:widowControl w:val="0"/>
        <w:autoSpaceDE w:val="0"/>
        <w:autoSpaceDN w:val="0"/>
        <w:adjustRightInd w:val="0"/>
        <w:rPr>
          <w:rFonts w:cs="Arial"/>
        </w:rPr>
      </w:pPr>
    </w:p>
    <w:p w:rsidR="00565746" w:rsidRPr="00415AD8" w:rsidRDefault="00142235" w:rsidP="00415AD8">
      <w:pPr>
        <w:widowControl w:val="0"/>
        <w:autoSpaceDE w:val="0"/>
        <w:autoSpaceDN w:val="0"/>
        <w:adjustRightInd w:val="0"/>
        <w:rPr>
          <w:rFonts w:cs="Arial"/>
        </w:rPr>
      </w:pPr>
      <w:r w:rsidRPr="00415AD8">
        <w:rPr>
          <w:rFonts w:cs="Arial"/>
          <w:b/>
        </w:rPr>
        <w:t>SEGUNDO.</w:t>
      </w:r>
      <w:r w:rsidRPr="00415AD8">
        <w:rPr>
          <w:rFonts w:cs="Arial"/>
        </w:rPr>
        <w:t xml:space="preserve">- </w:t>
      </w:r>
      <w:r w:rsidR="005570D4" w:rsidRPr="00415AD8">
        <w:rPr>
          <w:rFonts w:cs="Arial"/>
          <w:b/>
        </w:rPr>
        <w:t>CONDENAR</w:t>
      </w:r>
      <w:r w:rsidR="005570D4" w:rsidRPr="00415AD8">
        <w:rPr>
          <w:rFonts w:cs="Arial"/>
        </w:rPr>
        <w:t xml:space="preserve"> en </w:t>
      </w:r>
      <w:r w:rsidRPr="00415AD8">
        <w:rPr>
          <w:rFonts w:cs="Arial"/>
        </w:rPr>
        <w:t xml:space="preserve">costas </w:t>
      </w:r>
      <w:r w:rsidR="005570D4" w:rsidRPr="00415AD8">
        <w:rPr>
          <w:rFonts w:cs="Arial"/>
        </w:rPr>
        <w:t>de</w:t>
      </w:r>
      <w:r w:rsidRPr="00415AD8">
        <w:rPr>
          <w:rFonts w:cs="Arial"/>
        </w:rPr>
        <w:t xml:space="preserve"> la segunda instancia</w:t>
      </w:r>
      <w:r w:rsidR="005570D4" w:rsidRPr="00415AD8">
        <w:rPr>
          <w:rFonts w:cs="Arial"/>
        </w:rPr>
        <w:t xml:space="preserve"> a Seguros Colpatria S.A. </w:t>
      </w:r>
      <w:r w:rsidR="00565746" w:rsidRPr="00415AD8">
        <w:rPr>
          <w:rFonts w:cs="Arial"/>
        </w:rPr>
        <w:t>en favor del Ministerio de Transporte.</w:t>
      </w:r>
    </w:p>
    <w:p w:rsidR="00565746" w:rsidRPr="00415AD8" w:rsidRDefault="00565746" w:rsidP="00415AD8">
      <w:pPr>
        <w:widowControl w:val="0"/>
        <w:autoSpaceDE w:val="0"/>
        <w:autoSpaceDN w:val="0"/>
        <w:adjustRightInd w:val="0"/>
        <w:rPr>
          <w:rFonts w:cs="Arial"/>
        </w:rPr>
      </w:pPr>
    </w:p>
    <w:p w:rsidR="00E66FFD" w:rsidRPr="00415AD8" w:rsidRDefault="005570D4" w:rsidP="00415AD8">
      <w:pPr>
        <w:widowControl w:val="0"/>
        <w:autoSpaceDE w:val="0"/>
        <w:autoSpaceDN w:val="0"/>
        <w:adjustRightInd w:val="0"/>
        <w:rPr>
          <w:rFonts w:cs="Arial"/>
        </w:rPr>
      </w:pPr>
      <w:r w:rsidRPr="00415AD8">
        <w:rPr>
          <w:rFonts w:cs="Arial"/>
        </w:rPr>
        <w:t>Las costas se liquidarán de manera concentrada en el T</w:t>
      </w:r>
      <w:r w:rsidR="005214B0" w:rsidRPr="00415AD8">
        <w:rPr>
          <w:rFonts w:cs="Arial"/>
        </w:rPr>
        <w:t>ribunal de origen</w:t>
      </w:r>
      <w:r w:rsidR="00E66FFD" w:rsidRPr="00415AD8">
        <w:rPr>
          <w:rFonts w:cs="Arial"/>
        </w:rPr>
        <w:t>, de conformidad con los artículos 365 y 366 del Código General del Proceso.</w:t>
      </w:r>
    </w:p>
    <w:p w:rsidR="00C074A0" w:rsidRPr="00415AD8" w:rsidRDefault="00C074A0" w:rsidP="00415AD8">
      <w:pPr>
        <w:widowControl w:val="0"/>
        <w:autoSpaceDE w:val="0"/>
        <w:autoSpaceDN w:val="0"/>
        <w:adjustRightInd w:val="0"/>
        <w:rPr>
          <w:rFonts w:cs="Arial"/>
          <w:b/>
        </w:rPr>
      </w:pPr>
    </w:p>
    <w:p w:rsidR="00F57296" w:rsidRPr="00415AD8" w:rsidRDefault="00F57296" w:rsidP="004F2154">
      <w:pPr>
        <w:widowControl w:val="0"/>
        <w:autoSpaceDE w:val="0"/>
        <w:autoSpaceDN w:val="0"/>
        <w:adjustRightInd w:val="0"/>
        <w:spacing w:line="240" w:lineRule="auto"/>
        <w:rPr>
          <w:rFonts w:cs="Arial"/>
        </w:rPr>
      </w:pPr>
      <w:r w:rsidRPr="00415AD8">
        <w:rPr>
          <w:rFonts w:cs="Arial"/>
          <w:b/>
        </w:rPr>
        <w:t xml:space="preserve">TERCERO.- </w:t>
      </w:r>
      <w:r w:rsidRPr="00415AD8">
        <w:rPr>
          <w:rFonts w:cs="Arial"/>
        </w:rPr>
        <w:t>En firme esta providencia, devuélvase el expediente al Tribunal de origen.</w:t>
      </w:r>
    </w:p>
    <w:p w:rsidR="00F57296" w:rsidRPr="00415AD8" w:rsidRDefault="00F57296" w:rsidP="004F2154">
      <w:pPr>
        <w:widowControl w:val="0"/>
        <w:autoSpaceDE w:val="0"/>
        <w:autoSpaceDN w:val="0"/>
        <w:adjustRightInd w:val="0"/>
        <w:spacing w:line="240" w:lineRule="auto"/>
        <w:rPr>
          <w:rFonts w:cs="Arial"/>
          <w:b/>
        </w:rPr>
      </w:pPr>
    </w:p>
    <w:p w:rsidR="00F57296" w:rsidRPr="00415AD8" w:rsidRDefault="00F57296" w:rsidP="004F2154">
      <w:pPr>
        <w:spacing w:line="240" w:lineRule="auto"/>
        <w:jc w:val="center"/>
        <w:rPr>
          <w:rFonts w:cs="Arial"/>
          <w:b/>
          <w:bCs/>
          <w:noProof/>
        </w:rPr>
      </w:pPr>
    </w:p>
    <w:p w:rsidR="00F57296" w:rsidRPr="00415AD8" w:rsidRDefault="00F57296" w:rsidP="004F2154">
      <w:pPr>
        <w:spacing w:line="240" w:lineRule="auto"/>
        <w:jc w:val="center"/>
        <w:rPr>
          <w:rFonts w:cs="Arial"/>
          <w:b/>
          <w:bCs/>
          <w:noProof/>
        </w:rPr>
      </w:pPr>
      <w:r w:rsidRPr="00415AD8">
        <w:rPr>
          <w:rFonts w:cs="Arial"/>
          <w:b/>
          <w:bCs/>
          <w:noProof/>
        </w:rPr>
        <w:t>CÓPIESE, NOTIFÍQUESE Y CÚMPLASE</w:t>
      </w:r>
    </w:p>
    <w:p w:rsidR="00F57296" w:rsidRPr="00415AD8" w:rsidRDefault="00F57296" w:rsidP="004F2154">
      <w:pPr>
        <w:spacing w:line="240" w:lineRule="auto"/>
        <w:jc w:val="center"/>
        <w:rPr>
          <w:rFonts w:cs="Arial"/>
        </w:rPr>
      </w:pPr>
    </w:p>
    <w:p w:rsidR="00F57296" w:rsidRPr="00415AD8" w:rsidRDefault="00F57296" w:rsidP="004F2154">
      <w:pPr>
        <w:spacing w:line="240" w:lineRule="auto"/>
        <w:jc w:val="center"/>
        <w:rPr>
          <w:rFonts w:cs="Arial"/>
        </w:rPr>
      </w:pPr>
    </w:p>
    <w:p w:rsidR="00F57296" w:rsidRPr="00415AD8" w:rsidRDefault="00F57296" w:rsidP="004F2154">
      <w:pPr>
        <w:spacing w:line="240" w:lineRule="auto"/>
        <w:jc w:val="center"/>
        <w:rPr>
          <w:rFonts w:cs="Arial"/>
        </w:rPr>
      </w:pPr>
    </w:p>
    <w:p w:rsidR="00F57296" w:rsidRPr="00415AD8" w:rsidRDefault="00F57296" w:rsidP="004F2154">
      <w:pPr>
        <w:spacing w:line="240" w:lineRule="auto"/>
        <w:jc w:val="center"/>
        <w:rPr>
          <w:rFonts w:cs="Arial"/>
        </w:rPr>
      </w:pPr>
    </w:p>
    <w:p w:rsidR="00F57296" w:rsidRPr="00415AD8" w:rsidRDefault="00F57296" w:rsidP="004F2154">
      <w:pPr>
        <w:widowControl w:val="0"/>
        <w:autoSpaceDE w:val="0"/>
        <w:autoSpaceDN w:val="0"/>
        <w:adjustRightInd w:val="0"/>
        <w:spacing w:line="240" w:lineRule="auto"/>
        <w:jc w:val="center"/>
        <w:rPr>
          <w:rFonts w:cs="Arial"/>
          <w:b/>
        </w:rPr>
      </w:pPr>
      <w:r w:rsidRPr="00415AD8">
        <w:rPr>
          <w:rFonts w:cs="Arial"/>
          <w:b/>
          <w:lang w:val="es-CO"/>
        </w:rPr>
        <w:lastRenderedPageBreak/>
        <w:t>MARTA NUBIA VELÁSQUEZ RICO</w:t>
      </w:r>
    </w:p>
    <w:p w:rsidR="00F57296" w:rsidRPr="00415AD8" w:rsidRDefault="00F57296" w:rsidP="004F2154">
      <w:pPr>
        <w:widowControl w:val="0"/>
        <w:autoSpaceDE w:val="0"/>
        <w:autoSpaceDN w:val="0"/>
        <w:adjustRightInd w:val="0"/>
        <w:spacing w:line="240" w:lineRule="auto"/>
        <w:jc w:val="center"/>
        <w:rPr>
          <w:rFonts w:cs="Arial"/>
          <w:b/>
        </w:rPr>
      </w:pPr>
    </w:p>
    <w:p w:rsidR="00F57296" w:rsidRPr="00415AD8" w:rsidRDefault="00F57296" w:rsidP="004F2154">
      <w:pPr>
        <w:widowControl w:val="0"/>
        <w:autoSpaceDE w:val="0"/>
        <w:autoSpaceDN w:val="0"/>
        <w:adjustRightInd w:val="0"/>
        <w:spacing w:line="240" w:lineRule="auto"/>
        <w:jc w:val="center"/>
        <w:rPr>
          <w:rFonts w:cs="Arial"/>
          <w:b/>
        </w:rPr>
      </w:pPr>
    </w:p>
    <w:p w:rsidR="00F57296" w:rsidRDefault="00F57296" w:rsidP="004F2154">
      <w:pPr>
        <w:widowControl w:val="0"/>
        <w:autoSpaceDE w:val="0"/>
        <w:autoSpaceDN w:val="0"/>
        <w:adjustRightInd w:val="0"/>
        <w:spacing w:line="240" w:lineRule="auto"/>
        <w:jc w:val="center"/>
        <w:rPr>
          <w:rFonts w:cs="Arial"/>
          <w:b/>
        </w:rPr>
      </w:pPr>
    </w:p>
    <w:p w:rsidR="009475CD" w:rsidRPr="00415AD8" w:rsidRDefault="009475CD" w:rsidP="004F2154">
      <w:pPr>
        <w:widowControl w:val="0"/>
        <w:autoSpaceDE w:val="0"/>
        <w:autoSpaceDN w:val="0"/>
        <w:adjustRightInd w:val="0"/>
        <w:spacing w:line="240" w:lineRule="auto"/>
        <w:jc w:val="center"/>
        <w:rPr>
          <w:rFonts w:cs="Arial"/>
          <w:b/>
        </w:rPr>
      </w:pPr>
    </w:p>
    <w:p w:rsidR="00F57296" w:rsidRPr="00415AD8" w:rsidRDefault="00F57296" w:rsidP="004F2154">
      <w:pPr>
        <w:widowControl w:val="0"/>
        <w:autoSpaceDE w:val="0"/>
        <w:autoSpaceDN w:val="0"/>
        <w:adjustRightInd w:val="0"/>
        <w:spacing w:line="240" w:lineRule="auto"/>
        <w:jc w:val="center"/>
        <w:rPr>
          <w:rFonts w:cs="Arial"/>
          <w:b/>
        </w:rPr>
      </w:pPr>
      <w:r w:rsidRPr="00415AD8">
        <w:rPr>
          <w:rFonts w:cs="Arial"/>
          <w:b/>
        </w:rPr>
        <w:t>CARLOS ALBERTO ZAMBRANO BARRERA</w:t>
      </w:r>
    </w:p>
    <w:sectPr w:rsidR="00F57296" w:rsidRPr="00415AD8" w:rsidSect="00415AD8">
      <w:headerReference w:type="even" r:id="rId11"/>
      <w:headerReference w:type="default" r:id="rId12"/>
      <w:footerReference w:type="even" r:id="rId13"/>
      <w:footerReference w:type="default" r:id="rId14"/>
      <w:pgSz w:w="12242" w:h="18722" w:code="5"/>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153" w:rsidRDefault="003B7153" w:rsidP="00C85395">
      <w:r>
        <w:separator/>
      </w:r>
    </w:p>
  </w:endnote>
  <w:endnote w:type="continuationSeparator" w:id="0">
    <w:p w:rsidR="003B7153" w:rsidRDefault="003B7153"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03" w:rsidRDefault="00A62A03"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2A03" w:rsidRDefault="00A62A03" w:rsidP="0064345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03" w:rsidRDefault="00A62A03" w:rsidP="0064345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153" w:rsidRDefault="003B7153" w:rsidP="00C85395">
      <w:r>
        <w:separator/>
      </w:r>
    </w:p>
  </w:footnote>
  <w:footnote w:type="continuationSeparator" w:id="0">
    <w:p w:rsidR="003B7153" w:rsidRDefault="003B7153" w:rsidP="00C85395">
      <w:r>
        <w:continuationSeparator/>
      </w:r>
    </w:p>
  </w:footnote>
  <w:footnote w:id="1">
    <w:p w:rsidR="00A62A03" w:rsidRPr="00435013" w:rsidRDefault="00A62A03">
      <w:pPr>
        <w:pStyle w:val="Textonotapie"/>
        <w:rPr>
          <w:lang w:val="es-CO"/>
        </w:rPr>
      </w:pPr>
      <w:r>
        <w:rPr>
          <w:rStyle w:val="Refdenotaalpie"/>
        </w:rPr>
        <w:footnoteRef/>
      </w:r>
      <w:r>
        <w:t xml:space="preserve"> </w:t>
      </w:r>
      <w:r>
        <w:rPr>
          <w:lang w:val="es-CO"/>
        </w:rPr>
        <w:t>En adelante C.P.A.C.A.</w:t>
      </w:r>
    </w:p>
  </w:footnote>
  <w:footnote w:id="2">
    <w:p w:rsidR="00A62A03" w:rsidRPr="00946A1B" w:rsidRDefault="00A62A03">
      <w:pPr>
        <w:pStyle w:val="Textonotapie"/>
        <w:rPr>
          <w:lang w:val="es-CO"/>
        </w:rPr>
      </w:pPr>
      <w:r>
        <w:rPr>
          <w:rStyle w:val="Refdenotaalpie"/>
        </w:rPr>
        <w:footnoteRef/>
      </w:r>
      <w:r>
        <w:t xml:space="preserve"> </w:t>
      </w:r>
      <w:r>
        <w:rPr>
          <w:lang w:val="es-CO"/>
        </w:rPr>
        <w:t>Folio 7, cuaderno 1.</w:t>
      </w:r>
    </w:p>
  </w:footnote>
  <w:footnote w:id="3">
    <w:p w:rsidR="00A62A03" w:rsidRDefault="00A62A03" w:rsidP="005B210B">
      <w:pPr>
        <w:pStyle w:val="Textonotapie"/>
        <w:spacing w:line="240" w:lineRule="auto"/>
        <w:rPr>
          <w:lang w:val="es-CO"/>
        </w:rPr>
      </w:pPr>
      <w:r>
        <w:rPr>
          <w:rStyle w:val="Refdenotaalpie"/>
        </w:rPr>
        <w:footnoteRef/>
      </w:r>
      <w:r>
        <w:t xml:space="preserve"> Tribunal Administrativo de Cundinamarca, Sección Tercera, Subsección A, Magistrado Ponente Juan Carlos Garzón Martínez, </w:t>
      </w:r>
      <w:r>
        <w:rPr>
          <w:lang w:val="es-CO"/>
        </w:rPr>
        <w:t xml:space="preserve">Radicación 2012-0444-00. De acuerdo con los registros vigentes, el proceso cursa en segunda instancia ante el Consejo de Estado, Magistrada Ponente: Stella Conto Diaz Del Castillo, radicación 25000233600020120044401 (expediente 48012) admitido el 8 de agosto de 2013. </w:t>
      </w:r>
    </w:p>
    <w:p w:rsidR="00A62A03" w:rsidRPr="0084569C" w:rsidRDefault="00A62A03" w:rsidP="005B210B">
      <w:pPr>
        <w:pStyle w:val="Textonotapie"/>
        <w:spacing w:line="240" w:lineRule="auto"/>
        <w:rPr>
          <w:lang w:val="es-CO"/>
        </w:rPr>
      </w:pPr>
    </w:p>
  </w:footnote>
  <w:footnote w:id="4">
    <w:p w:rsidR="00A62A03" w:rsidRPr="002C646B" w:rsidRDefault="00A62A03" w:rsidP="00131111">
      <w:pPr>
        <w:pStyle w:val="Textonotapie"/>
        <w:rPr>
          <w:lang w:val="es-CO"/>
        </w:rPr>
      </w:pPr>
      <w:r>
        <w:rPr>
          <w:rStyle w:val="Refdenotaalpie"/>
        </w:rPr>
        <w:footnoteRef/>
      </w:r>
      <w:r>
        <w:t xml:space="preserve"> Folio 140 y 141 cuaderno principal.</w:t>
      </w:r>
    </w:p>
  </w:footnote>
  <w:footnote w:id="5">
    <w:p w:rsidR="00A62A03" w:rsidRPr="006646B6" w:rsidRDefault="00A62A03">
      <w:pPr>
        <w:pStyle w:val="Textonotapie"/>
        <w:rPr>
          <w:lang w:val="es-CO"/>
        </w:rPr>
      </w:pPr>
      <w:r>
        <w:rPr>
          <w:rStyle w:val="Refdenotaalpie"/>
        </w:rPr>
        <w:footnoteRef/>
      </w:r>
      <w:r>
        <w:t xml:space="preserve"> </w:t>
      </w:r>
      <w:r>
        <w:rPr>
          <w:lang w:val="es-CO"/>
        </w:rPr>
        <w:t>Folio 159, cuaderno 4, principal segunda instancia.</w:t>
      </w:r>
    </w:p>
  </w:footnote>
  <w:footnote w:id="6">
    <w:p w:rsidR="00A62A03" w:rsidRDefault="00A62A03" w:rsidP="00767E59">
      <w:pPr>
        <w:pStyle w:val="Textonotapie"/>
        <w:spacing w:line="240" w:lineRule="auto"/>
        <w:rPr>
          <w:lang w:val="es-CO"/>
        </w:rPr>
      </w:pPr>
      <w:r>
        <w:rPr>
          <w:rStyle w:val="Refdenotaalpie"/>
        </w:rPr>
        <w:footnoteRef/>
      </w:r>
      <w:r>
        <w:t xml:space="preserve"> </w:t>
      </w:r>
      <w:r>
        <w:rPr>
          <w:lang w:val="es-CO"/>
        </w:rPr>
        <w:t xml:space="preserve">Consejo de Estado, Sala de lo Contencioso Administrativo, Sección Tercera, Subsección C, marzo 30 de 2011, Consejero Ponente: Enrique Gil Botero, radicación 25000232600019930856901 (20917); actor: La Nación Compañía de Seguros Generales S.A.; demandado: industria militar; referencia: contractual. </w:t>
      </w:r>
    </w:p>
    <w:p w:rsidR="00A62A03" w:rsidRPr="00E10CDE" w:rsidRDefault="00A62A03" w:rsidP="00767E59">
      <w:pPr>
        <w:pStyle w:val="Textonotapie"/>
        <w:spacing w:line="240" w:lineRule="auto"/>
        <w:rPr>
          <w:lang w:val="es-CO"/>
        </w:rPr>
      </w:pPr>
    </w:p>
  </w:footnote>
  <w:footnote w:id="7">
    <w:p w:rsidR="00A62A03" w:rsidRPr="0094169C" w:rsidRDefault="00A62A03">
      <w:pPr>
        <w:pStyle w:val="Textonotapie"/>
        <w:rPr>
          <w:lang w:val="es-CO"/>
        </w:rPr>
      </w:pPr>
      <w:r>
        <w:rPr>
          <w:rStyle w:val="Refdenotaalpie"/>
        </w:rPr>
        <w:footnoteRef/>
      </w:r>
      <w:r>
        <w:t xml:space="preserve"> </w:t>
      </w:r>
      <w:r>
        <w:rPr>
          <w:lang w:val="es-CO"/>
        </w:rPr>
        <w:t>Folio 168, vuelto.</w:t>
      </w:r>
    </w:p>
  </w:footnote>
  <w:footnote w:id="8">
    <w:p w:rsidR="00A62A03" w:rsidRPr="00B83899" w:rsidRDefault="00A62A03">
      <w:pPr>
        <w:pStyle w:val="Textonotapie"/>
        <w:rPr>
          <w:lang w:val="es-CO"/>
        </w:rPr>
      </w:pPr>
      <w:r>
        <w:rPr>
          <w:rStyle w:val="Refdenotaalpie"/>
        </w:rPr>
        <w:footnoteRef/>
      </w:r>
      <w:r>
        <w:t xml:space="preserve"> </w:t>
      </w:r>
      <w:r>
        <w:rPr>
          <w:lang w:val="es-CO"/>
        </w:rPr>
        <w:t>Folio 189, cuaderno principal segunda instancia.</w:t>
      </w:r>
    </w:p>
  </w:footnote>
  <w:footnote w:id="9">
    <w:p w:rsidR="00A62A03" w:rsidRDefault="00A62A03" w:rsidP="008423A7">
      <w:pPr>
        <w:pStyle w:val="Textonotapie"/>
        <w:spacing w:line="240" w:lineRule="auto"/>
        <w:rPr>
          <w:i/>
          <w:lang w:val="es-CO"/>
        </w:rPr>
      </w:pPr>
      <w:r w:rsidRPr="008423A7">
        <w:rPr>
          <w:rStyle w:val="Refdenotaalpie"/>
          <w:i/>
        </w:rPr>
        <w:footnoteRef/>
      </w:r>
      <w:r w:rsidRPr="008423A7">
        <w:rPr>
          <w:i/>
        </w:rPr>
        <w:t xml:space="preserve"> </w:t>
      </w:r>
      <w:r>
        <w:rPr>
          <w:i/>
        </w:rPr>
        <w:t>“</w:t>
      </w:r>
      <w:r w:rsidRPr="008423A7">
        <w:rPr>
          <w:i/>
        </w:rPr>
        <w:t xml:space="preserve">Ley 489 de 1998, </w:t>
      </w:r>
      <w:r w:rsidRPr="008423A7">
        <w:rPr>
          <w:rFonts w:cs="Arial"/>
          <w:bCs/>
          <w:i/>
          <w:color w:val="000000"/>
          <w:shd w:val="clear" w:color="auto" w:fill="FFFFFF"/>
        </w:rPr>
        <w:t>Artículo 38º.-</w:t>
      </w:r>
      <w:r w:rsidRPr="008423A7">
        <w:rPr>
          <w:rFonts w:cs="Arial"/>
          <w:i/>
          <w:color w:val="000000"/>
          <w:shd w:val="clear" w:color="auto" w:fill="FFFFFF"/>
        </w:rPr>
        <w:t> </w:t>
      </w:r>
      <w:r w:rsidRPr="008423A7">
        <w:rPr>
          <w:rFonts w:cs="Arial"/>
          <w:bCs/>
          <w:i/>
          <w:iCs/>
          <w:color w:val="000000"/>
          <w:shd w:val="clear" w:color="auto" w:fill="FFFFFF"/>
        </w:rPr>
        <w:t>Integración de la Rama Ejecutiva del Poder Público en el orden nacional.</w:t>
      </w:r>
      <w:r w:rsidRPr="008423A7">
        <w:rPr>
          <w:rFonts w:cs="Arial"/>
          <w:i/>
          <w:iCs/>
          <w:color w:val="000000"/>
          <w:shd w:val="clear" w:color="auto" w:fill="FFFFFF"/>
        </w:rPr>
        <w:t> </w:t>
      </w:r>
      <w:r w:rsidRPr="008423A7">
        <w:rPr>
          <w:rFonts w:cs="Arial"/>
          <w:i/>
          <w:color w:val="000000"/>
          <w:shd w:val="clear" w:color="auto" w:fill="FFFFFF"/>
        </w:rPr>
        <w:t>La Rama Ejecutiva del Poder Público en el orden nacional, está integrada por los siguientes organismos y entidades: 1. Del Sector Central: (…)d. Los ministerios y departamentos administrativos</w:t>
      </w:r>
      <w:r w:rsidRPr="008423A7">
        <w:rPr>
          <w:rFonts w:cs="Arial"/>
          <w:color w:val="000000"/>
          <w:shd w:val="clear" w:color="auto" w:fill="FFFFFF"/>
        </w:rPr>
        <w:t>;”</w:t>
      </w:r>
      <w:r w:rsidRPr="008423A7">
        <w:rPr>
          <w:i/>
          <w:lang w:val="es-CO"/>
        </w:rPr>
        <w:t>.</w:t>
      </w:r>
    </w:p>
    <w:p w:rsidR="00A62A03" w:rsidRPr="00C876A7" w:rsidRDefault="00A62A03" w:rsidP="008423A7">
      <w:pPr>
        <w:pStyle w:val="Textonotapie"/>
        <w:spacing w:line="240" w:lineRule="auto"/>
        <w:rPr>
          <w:i/>
          <w:lang w:val="es-CO"/>
        </w:rPr>
      </w:pPr>
    </w:p>
  </w:footnote>
  <w:footnote w:id="10">
    <w:p w:rsidR="00A62A03" w:rsidRPr="00C876A7" w:rsidRDefault="00A62A03" w:rsidP="008423A7">
      <w:pPr>
        <w:pStyle w:val="Textonotapie"/>
        <w:spacing w:line="240" w:lineRule="auto"/>
        <w:rPr>
          <w:i/>
        </w:rPr>
      </w:pPr>
      <w:r w:rsidRPr="00C876A7">
        <w:rPr>
          <w:rStyle w:val="Refdenotaalpie"/>
          <w:i/>
        </w:rPr>
        <w:footnoteRef/>
      </w:r>
      <w:r w:rsidRPr="00C876A7">
        <w:rPr>
          <w:i/>
        </w:rPr>
        <w:t xml:space="preserve"> </w:t>
      </w:r>
      <w:r>
        <w:rPr>
          <w:i/>
        </w:rPr>
        <w:t xml:space="preserve">“Ley 80 de 1993. </w:t>
      </w:r>
      <w:r w:rsidRPr="00C876A7">
        <w:rPr>
          <w:i/>
        </w:rPr>
        <w:t>Artículo 2º. De la definición de entidades, servidores y servicios públicos. Para los solos efectos de esta ley:</w:t>
      </w:r>
    </w:p>
    <w:p w:rsidR="00A62A03" w:rsidRPr="00C876A7" w:rsidRDefault="00A62A03" w:rsidP="008423A7">
      <w:pPr>
        <w:pStyle w:val="Textonotapie"/>
        <w:spacing w:line="240" w:lineRule="auto"/>
        <w:rPr>
          <w:i/>
        </w:rPr>
      </w:pPr>
    </w:p>
    <w:p w:rsidR="00A62A03" w:rsidRPr="00C876A7" w:rsidRDefault="00A62A03" w:rsidP="008423A7">
      <w:pPr>
        <w:pStyle w:val="Textonotapie"/>
        <w:spacing w:line="240" w:lineRule="auto"/>
        <w:rPr>
          <w:i/>
        </w:rPr>
      </w:pPr>
      <w:r w:rsidRPr="00C876A7">
        <w:rPr>
          <w:i/>
        </w:rPr>
        <w:t>“Se denominan entidades estatales:</w:t>
      </w:r>
    </w:p>
    <w:p w:rsidR="00A62A03" w:rsidRPr="00C876A7" w:rsidRDefault="00A62A03" w:rsidP="008423A7">
      <w:pPr>
        <w:pStyle w:val="Textonotapie"/>
        <w:spacing w:line="240" w:lineRule="auto"/>
        <w:rPr>
          <w:i/>
        </w:rPr>
      </w:pPr>
    </w:p>
    <w:p w:rsidR="00A62A03" w:rsidRPr="00C876A7" w:rsidRDefault="00A62A03" w:rsidP="008423A7">
      <w:pPr>
        <w:pStyle w:val="Textonotapie"/>
        <w:spacing w:line="240" w:lineRule="auto"/>
        <w:rPr>
          <w:i/>
        </w:rPr>
      </w:pPr>
      <w:r w:rsidRPr="00C876A7">
        <w:rPr>
          <w:rFonts w:cs="Arial"/>
          <w:i/>
          <w:color w:val="000000"/>
          <w:shd w:val="clear" w:color="auto" w:fill="FFFFFF"/>
        </w:rPr>
        <w:t>“a) La Nación, (…).</w:t>
      </w:r>
    </w:p>
    <w:p w:rsidR="00A62A03" w:rsidRPr="00C876A7" w:rsidRDefault="00A62A03" w:rsidP="008423A7">
      <w:pPr>
        <w:pStyle w:val="Textonotapie"/>
        <w:spacing w:line="240" w:lineRule="auto"/>
        <w:rPr>
          <w:i/>
          <w:lang w:val="es-CO"/>
        </w:rPr>
      </w:pPr>
    </w:p>
  </w:footnote>
  <w:footnote w:id="11">
    <w:p w:rsidR="00A62A03" w:rsidRPr="00C97E61" w:rsidRDefault="00A62A03" w:rsidP="00702565">
      <w:pPr>
        <w:pStyle w:val="NormalWeb"/>
        <w:spacing w:line="240" w:lineRule="auto"/>
        <w:ind w:right="-1"/>
        <w:rPr>
          <w:rFonts w:cs="Arial"/>
          <w:i/>
          <w:sz w:val="20"/>
          <w:szCs w:val="20"/>
        </w:rPr>
      </w:pPr>
      <w:r w:rsidRPr="00C97E61">
        <w:rPr>
          <w:rStyle w:val="Refdenotaalpie"/>
          <w:sz w:val="20"/>
          <w:szCs w:val="20"/>
        </w:rPr>
        <w:footnoteRef/>
      </w:r>
      <w:r w:rsidRPr="00C97E61">
        <w:rPr>
          <w:sz w:val="20"/>
          <w:szCs w:val="20"/>
        </w:rPr>
        <w:t xml:space="preserve"> </w:t>
      </w:r>
      <w:r w:rsidRPr="000042C1">
        <w:rPr>
          <w:rFonts w:cs="Arial"/>
          <w:bCs/>
          <w:i/>
          <w:sz w:val="20"/>
          <w:szCs w:val="20"/>
        </w:rPr>
        <w:t>“A</w:t>
      </w:r>
      <w:r w:rsidRPr="00C97E61">
        <w:rPr>
          <w:rFonts w:cs="Arial"/>
          <w:bCs/>
          <w:i/>
          <w:sz w:val="20"/>
          <w:szCs w:val="20"/>
        </w:rPr>
        <w:t>rtículo 104</w:t>
      </w:r>
      <w:r>
        <w:rPr>
          <w:rFonts w:cs="Arial"/>
          <w:bCs/>
          <w:i/>
          <w:sz w:val="20"/>
          <w:szCs w:val="20"/>
        </w:rPr>
        <w:t xml:space="preserve"> C.P.A.C.A.</w:t>
      </w:r>
      <w:r w:rsidRPr="00C97E61">
        <w:rPr>
          <w:rFonts w:cs="Arial"/>
          <w:bCs/>
          <w:i/>
          <w:sz w:val="20"/>
          <w:szCs w:val="20"/>
        </w:rPr>
        <w:t xml:space="preserve"> De la Jurisdicción de lo Contencioso Administrativo</w:t>
      </w:r>
      <w:r w:rsidRPr="00C97E61">
        <w:rPr>
          <w:rFonts w:cs="Arial"/>
          <w:b/>
          <w:bCs/>
          <w:i/>
          <w:sz w:val="20"/>
          <w:szCs w:val="20"/>
        </w:rPr>
        <w:t xml:space="preserve">. </w:t>
      </w:r>
      <w:r w:rsidRPr="00C97E61">
        <w:rPr>
          <w:rFonts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rsidR="00A62A03" w:rsidRPr="00C97E61" w:rsidRDefault="00A62A03" w:rsidP="00702565">
      <w:pPr>
        <w:pStyle w:val="NormalWeb"/>
        <w:spacing w:line="240" w:lineRule="auto"/>
        <w:ind w:right="-1"/>
        <w:rPr>
          <w:rFonts w:cs="Arial"/>
          <w:i/>
          <w:sz w:val="20"/>
          <w:szCs w:val="20"/>
        </w:rPr>
      </w:pPr>
      <w:r>
        <w:rPr>
          <w:rFonts w:cs="Arial"/>
          <w:i/>
          <w:sz w:val="20"/>
          <w:szCs w:val="20"/>
        </w:rPr>
        <w:t>“</w:t>
      </w:r>
      <w:r w:rsidRPr="00C97E61">
        <w:rPr>
          <w:rFonts w:cs="Arial"/>
          <w:i/>
          <w:sz w:val="20"/>
          <w:szCs w:val="20"/>
        </w:rPr>
        <w:t>Igualmente conocerá de los siguientes procesos:</w:t>
      </w:r>
    </w:p>
    <w:p w:rsidR="00A62A03" w:rsidRPr="00C97E61" w:rsidRDefault="00A62A03" w:rsidP="00702565">
      <w:pPr>
        <w:pStyle w:val="NormalWeb"/>
        <w:spacing w:line="240" w:lineRule="auto"/>
        <w:ind w:right="-1"/>
        <w:rPr>
          <w:rFonts w:cs="Arial"/>
          <w:i/>
          <w:sz w:val="20"/>
          <w:szCs w:val="20"/>
        </w:rPr>
      </w:pPr>
      <w:r>
        <w:rPr>
          <w:rFonts w:cs="Arial"/>
          <w:i/>
          <w:sz w:val="20"/>
          <w:szCs w:val="20"/>
        </w:rPr>
        <w:t>“</w:t>
      </w:r>
      <w:r w:rsidRPr="00C97E61">
        <w:rPr>
          <w:rFonts w:cs="Arial"/>
          <w:i/>
          <w:sz w:val="20"/>
          <w:szCs w:val="20"/>
        </w:rPr>
        <w:t>(…)</w:t>
      </w:r>
      <w:r>
        <w:rPr>
          <w:rFonts w:cs="Arial"/>
          <w:i/>
          <w:sz w:val="20"/>
          <w:szCs w:val="20"/>
        </w:rPr>
        <w:t>.</w:t>
      </w:r>
    </w:p>
    <w:p w:rsidR="00A62A03" w:rsidRPr="00C97E61" w:rsidRDefault="00A62A03" w:rsidP="003A24F6">
      <w:pPr>
        <w:pStyle w:val="NormalWeb"/>
        <w:spacing w:line="240" w:lineRule="auto"/>
        <w:ind w:right="-1"/>
        <w:rPr>
          <w:lang w:val="es-MX"/>
        </w:rPr>
      </w:pPr>
      <w:r>
        <w:rPr>
          <w:rFonts w:cs="Arial"/>
          <w:i/>
          <w:sz w:val="20"/>
          <w:szCs w:val="20"/>
        </w:rPr>
        <w:t>“</w:t>
      </w:r>
      <w:r w:rsidRPr="00C97E61">
        <w:rPr>
          <w:rFonts w:cs="Arial"/>
          <w:i/>
          <w:sz w:val="20"/>
          <w:szCs w:val="20"/>
        </w:rPr>
        <w:t>2. Los relativos a los contratos, cualquiera que sea su régimen, en los que sea parte una entidad pública o un particular en ejercicio de funciones propias del Estado”</w:t>
      </w:r>
      <w:r>
        <w:rPr>
          <w:rFonts w:cs="Arial"/>
          <w:i/>
          <w:sz w:val="20"/>
          <w:szCs w:val="20"/>
        </w:rPr>
        <w:t>.</w:t>
      </w:r>
    </w:p>
  </w:footnote>
  <w:footnote w:id="12">
    <w:p w:rsidR="00A62A03" w:rsidRDefault="00A62A03" w:rsidP="00785717">
      <w:pPr>
        <w:pStyle w:val="Textonotapie"/>
        <w:spacing w:line="240" w:lineRule="auto"/>
        <w:rPr>
          <w:lang w:val="es-CO"/>
        </w:rPr>
      </w:pPr>
      <w:r w:rsidRPr="00785717">
        <w:rPr>
          <w:rStyle w:val="Refdenotaalpie"/>
        </w:rPr>
        <w:footnoteRef/>
      </w:r>
      <w:r w:rsidRPr="00785717">
        <w:t xml:space="preserve"> </w:t>
      </w:r>
      <w:r w:rsidRPr="00785717">
        <w:rPr>
          <w:lang w:val="es-CO"/>
        </w:rPr>
        <w:t>$</w:t>
      </w:r>
      <w:r>
        <w:rPr>
          <w:lang w:val="es-CO"/>
        </w:rPr>
        <w:t>836’571.120</w:t>
      </w:r>
      <w:r w:rsidRPr="00785717">
        <w:rPr>
          <w:lang w:val="es-CO"/>
        </w:rPr>
        <w:t xml:space="preserve">, de acuerdo con la demanda, folio </w:t>
      </w:r>
      <w:r>
        <w:rPr>
          <w:lang w:val="es-CO"/>
        </w:rPr>
        <w:t>10, vuelto, cuaderno 1.</w:t>
      </w:r>
    </w:p>
    <w:p w:rsidR="00A62A03" w:rsidRPr="00785717" w:rsidRDefault="00A62A03" w:rsidP="00785717">
      <w:pPr>
        <w:pStyle w:val="Textonotapie"/>
        <w:spacing w:line="240" w:lineRule="auto"/>
        <w:rPr>
          <w:lang w:val="es-CO"/>
        </w:rPr>
      </w:pPr>
    </w:p>
  </w:footnote>
  <w:footnote w:id="13">
    <w:p w:rsidR="00A62A03" w:rsidRDefault="00A62A03" w:rsidP="00785717">
      <w:pPr>
        <w:pStyle w:val="Textonotapie"/>
        <w:spacing w:line="240" w:lineRule="auto"/>
        <w:rPr>
          <w:lang w:val="es-CO"/>
        </w:rPr>
      </w:pPr>
      <w:r w:rsidRPr="00785717">
        <w:rPr>
          <w:rStyle w:val="Refdenotaalpie"/>
        </w:rPr>
        <w:footnoteRef/>
      </w:r>
      <w:r>
        <w:rPr>
          <w:lang w:val="es-CO"/>
        </w:rPr>
        <w:t>C</w:t>
      </w:r>
      <w:r w:rsidRPr="00785717">
        <w:rPr>
          <w:lang w:val="es-CO"/>
        </w:rPr>
        <w:t>on fundamento en el salario mínimo legal vigente de 2013 ($589.500 X 500</w:t>
      </w:r>
      <w:r>
        <w:rPr>
          <w:lang w:val="es-CO"/>
        </w:rPr>
        <w:t xml:space="preserve"> = $294’750.000</w:t>
      </w:r>
      <w:r w:rsidRPr="00785717">
        <w:rPr>
          <w:lang w:val="es-CO"/>
        </w:rPr>
        <w:t xml:space="preserve">). </w:t>
      </w:r>
    </w:p>
    <w:p w:rsidR="00A62A03" w:rsidRPr="00785717" w:rsidRDefault="00A62A03" w:rsidP="00785717">
      <w:pPr>
        <w:pStyle w:val="Textonotapie"/>
        <w:spacing w:line="240" w:lineRule="auto"/>
        <w:rPr>
          <w:lang w:val="es-CO"/>
        </w:rPr>
      </w:pPr>
    </w:p>
  </w:footnote>
  <w:footnote w:id="14">
    <w:p w:rsidR="00A62A03" w:rsidRDefault="00A62A03" w:rsidP="00785717">
      <w:pPr>
        <w:pStyle w:val="Textonotapie"/>
        <w:spacing w:line="240" w:lineRule="auto"/>
        <w:rPr>
          <w:lang w:val="es-CO"/>
        </w:rPr>
      </w:pPr>
      <w:r w:rsidRPr="00785717">
        <w:rPr>
          <w:rStyle w:val="Refdenotaalpie"/>
        </w:rPr>
        <w:footnoteRef/>
      </w:r>
      <w:r w:rsidRPr="00785717">
        <w:t xml:space="preserve"> </w:t>
      </w:r>
      <w:r w:rsidRPr="00785717">
        <w:rPr>
          <w:lang w:val="es-CO"/>
        </w:rPr>
        <w:t>Folios 1090 a 1102</w:t>
      </w:r>
      <w:r>
        <w:rPr>
          <w:lang w:val="es-CO"/>
        </w:rPr>
        <w:t>, cuaderno 3</w:t>
      </w:r>
      <w:r w:rsidRPr="00785717">
        <w:rPr>
          <w:lang w:val="es-CO"/>
        </w:rPr>
        <w:t>.</w:t>
      </w:r>
    </w:p>
    <w:p w:rsidR="00A62A03" w:rsidRPr="00785717" w:rsidRDefault="00A62A03" w:rsidP="00785717">
      <w:pPr>
        <w:pStyle w:val="Textonotapie"/>
        <w:spacing w:line="240" w:lineRule="auto"/>
        <w:rPr>
          <w:lang w:val="es-CO"/>
        </w:rPr>
      </w:pPr>
    </w:p>
  </w:footnote>
  <w:footnote w:id="15">
    <w:p w:rsidR="00A62A03" w:rsidRPr="006D25F5" w:rsidRDefault="00A62A03" w:rsidP="00F43EB7">
      <w:pPr>
        <w:pStyle w:val="Textonotapie"/>
        <w:rPr>
          <w:lang w:val="es-CO"/>
        </w:rPr>
      </w:pPr>
      <w:r>
        <w:rPr>
          <w:rStyle w:val="Refdenotaalpie"/>
        </w:rPr>
        <w:footnoteRef/>
      </w:r>
      <w:r>
        <w:t xml:space="preserve"> Se confirmó la declaración de incumplimiento y la del siniestro correspondiente. </w:t>
      </w:r>
    </w:p>
  </w:footnote>
  <w:footnote w:id="16">
    <w:p w:rsidR="00A62A03" w:rsidRPr="004D5293" w:rsidRDefault="00A62A03" w:rsidP="001451E7">
      <w:pPr>
        <w:pStyle w:val="Textonotapie"/>
        <w:spacing w:line="240" w:lineRule="auto"/>
        <w:rPr>
          <w:rFonts w:cs="Arial"/>
          <w:lang w:val="es-CO"/>
        </w:rPr>
      </w:pPr>
      <w:r w:rsidRPr="003E1C75">
        <w:rPr>
          <w:rStyle w:val="Refdenotaalpie"/>
          <w:rFonts w:cs="Arial"/>
          <w:sz w:val="18"/>
          <w:szCs w:val="18"/>
        </w:rPr>
        <w:footnoteRef/>
      </w:r>
      <w:r w:rsidRPr="003E1C75">
        <w:rPr>
          <w:rFonts w:cs="Arial"/>
          <w:sz w:val="18"/>
          <w:szCs w:val="18"/>
        </w:rPr>
        <w:t xml:space="preserve"> </w:t>
      </w:r>
      <w:r w:rsidRPr="002D0C43">
        <w:rPr>
          <w:rFonts w:cs="Arial"/>
          <w:lang w:val="es-CO"/>
        </w:rPr>
        <w:t xml:space="preserve">Consejo de Estado; Sala Contencioso Administrativa, Sección Tercera, Subsección B, sentencia de febrero 23 de 2011, Radicación: </w:t>
      </w:r>
      <w:r w:rsidRPr="002D0C43">
        <w:rPr>
          <w:rFonts w:cs="Arial"/>
        </w:rPr>
        <w:t>05001-23-26-000-1994-00558-</w:t>
      </w:r>
      <w:r w:rsidRPr="00C915A5">
        <w:rPr>
          <w:rFonts w:cs="Arial"/>
        </w:rPr>
        <w:t>01,</w:t>
      </w:r>
      <w:r w:rsidRPr="002D0C43">
        <w:rPr>
          <w:rFonts w:cs="Arial"/>
          <w:b/>
        </w:rPr>
        <w:t xml:space="preserve"> </w:t>
      </w:r>
      <w:r w:rsidRPr="002D0C43">
        <w:rPr>
          <w:rFonts w:cs="Arial"/>
          <w:lang w:val="es-CO"/>
        </w:rPr>
        <w:t xml:space="preserve">expediente 20810, Consejera Ponente: Ruth Stella Correa Palacio, demandante: Sistemas Integrados Eléctricos Ltda., Sintel Ltda, demandado: departamento de Antioquia. Esta jurisprudencia  ha sido reiterada, como regla general, para la legitimación activa de la compañía de seguros, en la siguiente providencia; Consejo de Estado; Sala Contencioso Administrativa, Sección Tercera, Subsección A, Consejero Ponente: Mauricio Fajardo Gómez, sentencia de </w:t>
      </w:r>
      <w:r w:rsidRPr="002D0C43">
        <w:rPr>
          <w:rFonts w:cs="Arial"/>
        </w:rPr>
        <w:t>2 de septiembre de 2013,</w:t>
      </w:r>
      <w:r w:rsidRPr="002D0C43">
        <w:rPr>
          <w:rFonts w:cs="Arial"/>
          <w:lang w:val="es-CO"/>
        </w:rPr>
        <w:t xml:space="preserve"> radicación </w:t>
      </w:r>
      <w:r w:rsidRPr="002D0C43">
        <w:rPr>
          <w:rFonts w:cs="Arial"/>
        </w:rPr>
        <w:t>25000232600020020041201 (30236) demandante: Guillermo Cubillos Tinoco</w:t>
      </w:r>
      <w:r>
        <w:rPr>
          <w:rFonts w:cs="Arial"/>
        </w:rPr>
        <w:t xml:space="preserve">, </w:t>
      </w:r>
      <w:r w:rsidRPr="004D5293">
        <w:rPr>
          <w:rFonts w:cs="Arial"/>
        </w:rPr>
        <w:t xml:space="preserve">demandado Distrito Capital de Bogotá –Secretaría de Educación, acción contractual. </w:t>
      </w:r>
    </w:p>
    <w:p w:rsidR="00A62A03" w:rsidRPr="003E1C75" w:rsidRDefault="00A62A03" w:rsidP="001451E7">
      <w:pPr>
        <w:pStyle w:val="Textonotapie"/>
        <w:spacing w:line="240" w:lineRule="auto"/>
        <w:rPr>
          <w:rFonts w:cs="Arial"/>
          <w:sz w:val="18"/>
          <w:szCs w:val="18"/>
          <w:lang w:val="es-CO"/>
        </w:rPr>
      </w:pPr>
      <w:r>
        <w:rPr>
          <w:rFonts w:cs="Arial"/>
          <w:sz w:val="18"/>
          <w:szCs w:val="18"/>
          <w:lang w:val="es-CO"/>
        </w:rPr>
        <w:t xml:space="preserve"> </w:t>
      </w:r>
      <w:r w:rsidRPr="003E1C75">
        <w:rPr>
          <w:rFonts w:cs="Arial"/>
          <w:sz w:val="18"/>
          <w:szCs w:val="18"/>
          <w:lang w:val="es-CO"/>
        </w:rPr>
        <w:t xml:space="preserve"> </w:t>
      </w:r>
    </w:p>
  </w:footnote>
  <w:footnote w:id="17">
    <w:p w:rsidR="00A62A03" w:rsidRPr="00116B2E" w:rsidRDefault="00A62A03" w:rsidP="00116B2E">
      <w:pPr>
        <w:pStyle w:val="NormalWeb"/>
        <w:shd w:val="clear" w:color="auto" w:fill="FFFFFF"/>
        <w:spacing w:line="240" w:lineRule="auto"/>
        <w:rPr>
          <w:rFonts w:cs="Arial"/>
          <w:i/>
          <w:color w:val="000000"/>
          <w:sz w:val="20"/>
          <w:szCs w:val="20"/>
        </w:rPr>
      </w:pPr>
      <w:r w:rsidRPr="00116B2E">
        <w:rPr>
          <w:rStyle w:val="Refdenotaalpie"/>
          <w:i/>
          <w:sz w:val="20"/>
          <w:szCs w:val="20"/>
        </w:rPr>
        <w:footnoteRef/>
      </w:r>
      <w:r w:rsidRPr="00116B2E">
        <w:rPr>
          <w:i/>
          <w:sz w:val="20"/>
          <w:szCs w:val="20"/>
        </w:rPr>
        <w:t xml:space="preserve"> </w:t>
      </w:r>
      <w:r>
        <w:rPr>
          <w:i/>
          <w:sz w:val="20"/>
          <w:szCs w:val="20"/>
        </w:rPr>
        <w:t>“</w:t>
      </w:r>
      <w:r w:rsidRPr="00116B2E">
        <w:rPr>
          <w:rFonts w:cs="Arial"/>
          <w:bCs/>
          <w:i/>
          <w:color w:val="000000"/>
          <w:sz w:val="20"/>
          <w:szCs w:val="20"/>
        </w:rPr>
        <w:t>Artículo 88 C.P.A.C.A. </w:t>
      </w:r>
      <w:r w:rsidRPr="00116B2E">
        <w:rPr>
          <w:rFonts w:cs="Arial"/>
          <w:bCs/>
          <w:i/>
          <w:iCs/>
          <w:color w:val="000000"/>
          <w:sz w:val="20"/>
          <w:szCs w:val="20"/>
        </w:rPr>
        <w:t>Presunción de legalidad del acto administrativo.</w:t>
      </w:r>
      <w:r w:rsidRPr="00116B2E">
        <w:rPr>
          <w:rFonts w:cs="Arial"/>
          <w:i/>
          <w:iCs/>
          <w:color w:val="000000"/>
          <w:sz w:val="20"/>
          <w:szCs w:val="20"/>
        </w:rPr>
        <w:t> </w:t>
      </w:r>
      <w:r w:rsidRPr="00116B2E">
        <w:rPr>
          <w:rFonts w:cs="Arial"/>
          <w:i/>
          <w:color w:val="000000"/>
          <w:sz w:val="20"/>
          <w:szCs w:val="20"/>
        </w:rPr>
        <w:t>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p>
    <w:p w:rsidR="00A62A03" w:rsidRPr="00C2360E" w:rsidRDefault="00A62A03" w:rsidP="001C5239">
      <w:pPr>
        <w:shd w:val="clear" w:color="auto" w:fill="FFFFFF"/>
        <w:spacing w:before="100" w:beforeAutospacing="1" w:after="100" w:afterAutospacing="1" w:line="240" w:lineRule="auto"/>
        <w:rPr>
          <w:lang w:val="es-CO"/>
        </w:rPr>
      </w:pPr>
      <w:r>
        <w:rPr>
          <w:rFonts w:cs="Arial"/>
          <w:bCs/>
          <w:i/>
          <w:color w:val="000000"/>
          <w:sz w:val="20"/>
          <w:szCs w:val="20"/>
        </w:rPr>
        <w:t>“</w:t>
      </w:r>
      <w:r w:rsidRPr="00116B2E">
        <w:rPr>
          <w:rFonts w:cs="Arial"/>
          <w:bCs/>
          <w:i/>
          <w:color w:val="000000"/>
          <w:sz w:val="20"/>
          <w:szCs w:val="20"/>
        </w:rPr>
        <w:t>Artículo 89. C.P.A.C.A.  </w:t>
      </w:r>
      <w:r w:rsidRPr="00116B2E">
        <w:rPr>
          <w:rFonts w:cs="Arial"/>
          <w:bCs/>
          <w:i/>
          <w:iCs/>
          <w:color w:val="000000"/>
          <w:sz w:val="20"/>
          <w:szCs w:val="20"/>
        </w:rPr>
        <w:t>Carácter ejecutorio de los actos expedidos por las autoridades.</w:t>
      </w:r>
      <w:r w:rsidRPr="00116B2E">
        <w:rPr>
          <w:rFonts w:cs="Arial"/>
          <w:i/>
          <w:iCs/>
          <w:color w:val="000000"/>
          <w:sz w:val="20"/>
          <w:szCs w:val="20"/>
        </w:rPr>
        <w:t> </w:t>
      </w:r>
      <w:r w:rsidRPr="00116B2E">
        <w:rPr>
          <w:rFonts w:cs="Arial"/>
          <w:i/>
          <w:color w:val="000000"/>
          <w:sz w:val="20"/>
          <w:szCs w:val="20"/>
        </w:rPr>
        <w:t>Salvo disposición legal en contrario, los actos en firme serán suficientes para que las autoridades, por sí mismas, puedan ejecutarlos de inmediato (…)</w:t>
      </w:r>
      <w:r>
        <w:rPr>
          <w:rFonts w:cs="Arial"/>
          <w:i/>
          <w:color w:val="000000"/>
          <w:sz w:val="20"/>
          <w:szCs w:val="20"/>
        </w:rPr>
        <w:t>”</w:t>
      </w:r>
      <w:r w:rsidRPr="00116B2E">
        <w:rPr>
          <w:rFonts w:cs="Arial"/>
          <w:i/>
          <w:color w:val="000000"/>
          <w:sz w:val="20"/>
          <w:szCs w:val="20"/>
        </w:rPr>
        <w:t xml:space="preserve">. </w:t>
      </w:r>
    </w:p>
  </w:footnote>
  <w:footnote w:id="18">
    <w:p w:rsidR="00A62A03" w:rsidRPr="005B076D" w:rsidRDefault="00A62A03" w:rsidP="005B076D">
      <w:pPr>
        <w:pStyle w:val="NormalWeb"/>
        <w:shd w:val="clear" w:color="auto" w:fill="FFFFFF"/>
        <w:spacing w:line="240" w:lineRule="auto"/>
        <w:rPr>
          <w:rFonts w:cs="Arial"/>
          <w:i/>
          <w:color w:val="000000"/>
          <w:sz w:val="20"/>
          <w:szCs w:val="20"/>
        </w:rPr>
      </w:pPr>
      <w:r w:rsidRPr="005B076D">
        <w:rPr>
          <w:rStyle w:val="Refdenotaalpie"/>
          <w:i/>
          <w:sz w:val="20"/>
          <w:szCs w:val="20"/>
        </w:rPr>
        <w:footnoteRef/>
      </w:r>
      <w:r w:rsidRPr="005B076D">
        <w:rPr>
          <w:i/>
          <w:sz w:val="20"/>
          <w:szCs w:val="20"/>
        </w:rPr>
        <w:t xml:space="preserve"> </w:t>
      </w:r>
      <w:r w:rsidRPr="00DB64B2">
        <w:rPr>
          <w:i/>
          <w:sz w:val="20"/>
          <w:szCs w:val="20"/>
        </w:rPr>
        <w:t>“</w:t>
      </w:r>
      <w:r w:rsidRPr="00DB64B2">
        <w:rPr>
          <w:rFonts w:cs="Arial"/>
          <w:bCs/>
          <w:i/>
          <w:color w:val="000000"/>
          <w:sz w:val="20"/>
          <w:szCs w:val="20"/>
        </w:rPr>
        <w:t>Artículo 148.</w:t>
      </w:r>
      <w:r>
        <w:rPr>
          <w:rFonts w:cs="Arial"/>
          <w:bCs/>
          <w:i/>
          <w:color w:val="000000"/>
          <w:sz w:val="20"/>
          <w:szCs w:val="20"/>
        </w:rPr>
        <w:t xml:space="preserve"> C.G.P.</w:t>
      </w:r>
      <w:r>
        <w:rPr>
          <w:rFonts w:cs="Arial"/>
          <w:bCs/>
          <w:i/>
          <w:color w:val="000000"/>
          <w:sz w:val="20"/>
          <w:szCs w:val="20"/>
        </w:rPr>
        <w:tab/>
      </w:r>
      <w:r w:rsidRPr="00DB64B2">
        <w:rPr>
          <w:rFonts w:cs="Arial"/>
          <w:bCs/>
          <w:i/>
          <w:color w:val="000000"/>
          <w:sz w:val="20"/>
          <w:szCs w:val="20"/>
        </w:rPr>
        <w:t> </w:t>
      </w:r>
      <w:r w:rsidRPr="00DB64B2">
        <w:rPr>
          <w:rFonts w:cs="Arial"/>
          <w:bCs/>
          <w:i/>
          <w:iCs/>
          <w:color w:val="000000"/>
          <w:sz w:val="20"/>
          <w:szCs w:val="20"/>
        </w:rPr>
        <w:t>Procedencia de la acumulación en los procesos declarativos</w:t>
      </w:r>
      <w:r w:rsidRPr="00DB64B2">
        <w:rPr>
          <w:rFonts w:cs="Arial"/>
          <w:bCs/>
          <w:i/>
          <w:color w:val="000000"/>
          <w:sz w:val="20"/>
          <w:szCs w:val="20"/>
        </w:rPr>
        <w:t>.</w:t>
      </w:r>
      <w:r w:rsidRPr="005B076D">
        <w:rPr>
          <w:rFonts w:cs="Arial"/>
          <w:b/>
          <w:bCs/>
          <w:i/>
          <w:color w:val="000000"/>
          <w:sz w:val="20"/>
          <w:szCs w:val="20"/>
        </w:rPr>
        <w:t> </w:t>
      </w:r>
      <w:r w:rsidRPr="005B076D">
        <w:rPr>
          <w:rFonts w:cs="Arial"/>
          <w:i/>
          <w:color w:val="000000"/>
          <w:sz w:val="20"/>
          <w:szCs w:val="20"/>
        </w:rPr>
        <w:t>Para la acumulación de procesos y demandas se aplicarán las siguientes reglas:</w:t>
      </w:r>
    </w:p>
    <w:p w:rsidR="00A62A03" w:rsidRPr="005B076D" w:rsidRDefault="00A62A03" w:rsidP="005B076D">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Pr="005B076D">
        <w:rPr>
          <w:rFonts w:cs="Arial"/>
          <w:i/>
          <w:color w:val="000000"/>
          <w:sz w:val="20"/>
          <w:szCs w:val="20"/>
        </w:rPr>
        <w:t>1. Acumulación de procesos. De oficio o a petición de parte podrán acumularse dos (2) o más procesos que se encuentren en la misma instancia, aunque no se haya notificado el auto admisorio de la demanda, siempre que deban tramitarse por el mismo procedimiento, en cualquiera de los siguientes casos:</w:t>
      </w:r>
    </w:p>
    <w:p w:rsidR="00A62A03" w:rsidRPr="005B076D" w:rsidRDefault="00A62A03" w:rsidP="005B076D">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Pr="005B076D">
        <w:rPr>
          <w:rFonts w:cs="Arial"/>
          <w:i/>
          <w:color w:val="000000"/>
          <w:sz w:val="20"/>
          <w:szCs w:val="20"/>
        </w:rPr>
        <w:t>a) Cuando las pretensiones formuladas habrían podido acumularse en la misma demanda.</w:t>
      </w:r>
    </w:p>
    <w:p w:rsidR="00A62A03" w:rsidRPr="005B076D" w:rsidRDefault="00A62A03" w:rsidP="005B076D">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Pr="005B076D">
        <w:rPr>
          <w:rFonts w:cs="Arial"/>
          <w:i/>
          <w:color w:val="000000"/>
          <w:sz w:val="20"/>
          <w:szCs w:val="20"/>
        </w:rPr>
        <w:t>b) Cuando se trate de pretensiones conexas y las partes sean demandantes y demandados recíprocos.</w:t>
      </w:r>
    </w:p>
    <w:p w:rsidR="00A62A03" w:rsidRPr="005B076D" w:rsidRDefault="00A62A03" w:rsidP="005B076D">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Pr="005B076D">
        <w:rPr>
          <w:rFonts w:cs="Arial"/>
          <w:i/>
          <w:color w:val="000000"/>
          <w:sz w:val="20"/>
          <w:szCs w:val="20"/>
        </w:rPr>
        <w:t>c) Cuando el demandado sea el mismo y las excepciones de mérito propuestas se fundamenten en los mismos hechos.</w:t>
      </w:r>
    </w:p>
    <w:p w:rsidR="00A62A03" w:rsidRPr="005B076D" w:rsidRDefault="00A62A03" w:rsidP="005B076D">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Pr="005B076D">
        <w:rPr>
          <w:rFonts w:cs="Arial"/>
          <w:i/>
          <w:color w:val="000000"/>
          <w:sz w:val="20"/>
          <w:szCs w:val="20"/>
        </w:rPr>
        <w:t>2. Acumulación de demandas. Aun antes de haber sido notificado el auto admisorio de la demanda, podrán formularse nuevas demandas declarativas en los mismos eventos en que hubiese sido procedente la acumulación de pretensiones.</w:t>
      </w:r>
    </w:p>
    <w:p w:rsidR="00A62A03" w:rsidRPr="005B076D" w:rsidRDefault="00A62A03" w:rsidP="005B076D">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Pr="005B076D">
        <w:rPr>
          <w:rFonts w:cs="Arial"/>
          <w:i/>
          <w:color w:val="000000"/>
          <w:sz w:val="20"/>
          <w:szCs w:val="20"/>
        </w:rPr>
        <w:t>3. Disposiciones comunes. Las acumulaciones en los procesos declarativos procederán hasta antes de señalarse fecha y hora para la audiencia inicial.</w:t>
      </w:r>
    </w:p>
    <w:p w:rsidR="00A62A03" w:rsidRPr="005B076D" w:rsidRDefault="00A62A03" w:rsidP="005B076D">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Pr="005B076D">
        <w:rPr>
          <w:rFonts w:cs="Arial"/>
          <w:i/>
          <w:color w:val="000000"/>
          <w:sz w:val="20"/>
          <w:szCs w:val="20"/>
        </w:rPr>
        <w:t>Si en alguno de los procesos ya se hubiere notificado al demandado el auto admisorio de la demanda, al decretarse la acumulación de procesos se dispondrá la notificación por estado del auto admisorio que estuviere pendiente de notificación.</w:t>
      </w:r>
    </w:p>
    <w:p w:rsidR="00A62A03" w:rsidRPr="005B076D" w:rsidRDefault="00A62A03" w:rsidP="005B076D">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Pr="005B076D">
        <w:rPr>
          <w:rFonts w:cs="Arial"/>
          <w:i/>
          <w:color w:val="000000"/>
          <w:sz w:val="20"/>
          <w:szCs w:val="20"/>
        </w:rPr>
        <w:t>De la misma manera se notificará el auto admisorio de la nueva demanda acumulada, cuando el demandado ya esté notificado en el proceso donde se presenta la acumulación.</w:t>
      </w:r>
    </w:p>
    <w:p w:rsidR="00A62A03" w:rsidRPr="005B076D" w:rsidRDefault="00A62A03" w:rsidP="00323206">
      <w:pPr>
        <w:shd w:val="clear" w:color="auto" w:fill="FFFFFF"/>
        <w:spacing w:before="100" w:beforeAutospacing="1" w:after="100" w:afterAutospacing="1" w:line="240" w:lineRule="auto"/>
        <w:rPr>
          <w:lang w:val="es-CO"/>
        </w:rPr>
      </w:pPr>
      <w:r>
        <w:rPr>
          <w:rFonts w:cs="Arial"/>
          <w:i/>
          <w:color w:val="000000"/>
          <w:sz w:val="20"/>
          <w:szCs w:val="20"/>
        </w:rPr>
        <w:t>“</w:t>
      </w:r>
      <w:r w:rsidRPr="005B076D">
        <w:rPr>
          <w:rFonts w:cs="Arial"/>
          <w:i/>
          <w:color w:val="000000"/>
          <w:sz w:val="20"/>
          <w:szCs w:val="20"/>
        </w:rPr>
        <w:t>En estos casos el demandado podrá solicitar en la secretaría que se le suministre la reproducción de la demanda y de sus anexos dentro de los tres (3) días siguientes, vencidos los cuales comenzará a correr el término de ejecutoria y el de traslado de la demanda que estaba pendiente de notificación al momento de la acumulación.</w:t>
      </w:r>
      <w:r>
        <w:rPr>
          <w:rFonts w:cs="Arial"/>
          <w:i/>
          <w:color w:val="000000"/>
          <w:sz w:val="20"/>
          <w:szCs w:val="20"/>
        </w:rPr>
        <w:t xml:space="preserve"> </w:t>
      </w:r>
      <w:r w:rsidRPr="005B076D">
        <w:rPr>
          <w:rFonts w:cs="Arial"/>
          <w:i/>
          <w:color w:val="000000"/>
          <w:sz w:val="20"/>
          <w:szCs w:val="20"/>
        </w:rPr>
        <w:t>(…)</w:t>
      </w:r>
      <w:r>
        <w:rPr>
          <w:rFonts w:cs="Arial"/>
          <w:i/>
          <w:color w:val="000000"/>
          <w:sz w:val="20"/>
          <w:szCs w:val="20"/>
        </w:rPr>
        <w:t>”</w:t>
      </w:r>
      <w:r w:rsidRPr="005B076D">
        <w:rPr>
          <w:rFonts w:cs="Arial"/>
          <w:i/>
          <w:color w:val="000000"/>
          <w:sz w:val="20"/>
          <w:szCs w:val="20"/>
        </w:rPr>
        <w:t>.</w:t>
      </w:r>
    </w:p>
  </w:footnote>
  <w:footnote w:id="19">
    <w:p w:rsidR="00A62A03" w:rsidRPr="001F1BA9" w:rsidRDefault="00A62A03" w:rsidP="001C5239">
      <w:pPr>
        <w:pStyle w:val="Textonotapie"/>
        <w:rPr>
          <w:lang w:val="es-CO"/>
        </w:rPr>
      </w:pPr>
      <w:r>
        <w:rPr>
          <w:rStyle w:val="Refdenotaalpie"/>
        </w:rPr>
        <w:footnoteRef/>
      </w:r>
      <w:r>
        <w:t xml:space="preserve"> </w:t>
      </w:r>
      <w:r>
        <w:rPr>
          <w:lang w:val="es-CO"/>
        </w:rPr>
        <w:t>Artículo 14 de la Ley 1474 de 2011</w:t>
      </w:r>
    </w:p>
  </w:footnote>
  <w:footnote w:id="20">
    <w:p w:rsidR="00A62A03" w:rsidRPr="001C6E0A" w:rsidRDefault="00A62A03" w:rsidP="001C5239">
      <w:pPr>
        <w:spacing w:line="240" w:lineRule="auto"/>
        <w:rPr>
          <w:rFonts w:cs="Arial"/>
          <w:sz w:val="20"/>
          <w:szCs w:val="20"/>
        </w:rPr>
      </w:pPr>
      <w:r w:rsidRPr="001C6E0A">
        <w:rPr>
          <w:rStyle w:val="Refdenotaalpie"/>
          <w:sz w:val="20"/>
          <w:szCs w:val="20"/>
        </w:rPr>
        <w:footnoteRef/>
      </w:r>
      <w:r w:rsidRPr="001C6E0A">
        <w:rPr>
          <w:sz w:val="20"/>
          <w:szCs w:val="20"/>
        </w:rPr>
        <w:t xml:space="preserve"> </w:t>
      </w:r>
      <w:r w:rsidRPr="001C6E0A">
        <w:rPr>
          <w:rFonts w:cs="Arial"/>
          <w:sz w:val="20"/>
          <w:szCs w:val="20"/>
        </w:rPr>
        <w:t xml:space="preserve">Consejo </w:t>
      </w:r>
      <w:r>
        <w:rPr>
          <w:rFonts w:cs="Arial"/>
          <w:sz w:val="20"/>
          <w:szCs w:val="20"/>
        </w:rPr>
        <w:t>d</w:t>
      </w:r>
      <w:r w:rsidRPr="001C6E0A">
        <w:rPr>
          <w:rFonts w:cs="Arial"/>
          <w:sz w:val="20"/>
          <w:szCs w:val="20"/>
        </w:rPr>
        <w:t>e Estado, Sala de lo Contencioso Administrativo, Secci</w:t>
      </w:r>
      <w:r>
        <w:rPr>
          <w:rFonts w:cs="Arial"/>
          <w:sz w:val="20"/>
          <w:szCs w:val="20"/>
        </w:rPr>
        <w:t>ó</w:t>
      </w:r>
      <w:r w:rsidRPr="001C6E0A">
        <w:rPr>
          <w:rFonts w:cs="Arial"/>
          <w:sz w:val="20"/>
          <w:szCs w:val="20"/>
        </w:rPr>
        <w:t>n Tercera, Subsecci</w:t>
      </w:r>
      <w:r>
        <w:rPr>
          <w:rFonts w:cs="Arial"/>
          <w:sz w:val="20"/>
          <w:szCs w:val="20"/>
        </w:rPr>
        <w:t>ó</w:t>
      </w:r>
      <w:r w:rsidRPr="001C6E0A">
        <w:rPr>
          <w:rFonts w:cs="Arial"/>
          <w:sz w:val="20"/>
          <w:szCs w:val="20"/>
        </w:rPr>
        <w:t xml:space="preserve">n C, Consejero Ponente: Enrique Gil Botero, </w:t>
      </w:r>
      <w:r>
        <w:rPr>
          <w:rFonts w:cs="Arial"/>
          <w:sz w:val="20"/>
          <w:szCs w:val="20"/>
        </w:rPr>
        <w:t xml:space="preserve">sentencia de </w:t>
      </w:r>
      <w:r w:rsidRPr="001C6E0A">
        <w:rPr>
          <w:rFonts w:cs="Arial"/>
          <w:sz w:val="20"/>
          <w:szCs w:val="20"/>
        </w:rPr>
        <w:t xml:space="preserve">22 </w:t>
      </w:r>
      <w:r>
        <w:rPr>
          <w:rFonts w:cs="Arial"/>
          <w:sz w:val="20"/>
          <w:szCs w:val="20"/>
        </w:rPr>
        <w:t xml:space="preserve">de octubre de </w:t>
      </w:r>
      <w:r w:rsidRPr="001C6E0A">
        <w:rPr>
          <w:rFonts w:cs="Arial"/>
          <w:sz w:val="20"/>
          <w:szCs w:val="20"/>
        </w:rPr>
        <w:t>2012, radicación número: 05001-23-24-000-1996-00680-01(20738), actor: Sociedad V</w:t>
      </w:r>
      <w:r>
        <w:rPr>
          <w:rFonts w:cs="Arial"/>
          <w:sz w:val="20"/>
          <w:szCs w:val="20"/>
        </w:rPr>
        <w:t>é</w:t>
      </w:r>
      <w:r w:rsidRPr="001C6E0A">
        <w:rPr>
          <w:rFonts w:cs="Arial"/>
          <w:sz w:val="20"/>
          <w:szCs w:val="20"/>
        </w:rPr>
        <w:t xml:space="preserve">lez Mesa </w:t>
      </w:r>
      <w:r>
        <w:rPr>
          <w:rFonts w:cs="Arial"/>
          <w:sz w:val="20"/>
          <w:szCs w:val="20"/>
        </w:rPr>
        <w:t>y</w:t>
      </w:r>
      <w:r w:rsidRPr="001C6E0A">
        <w:rPr>
          <w:rFonts w:cs="Arial"/>
          <w:sz w:val="20"/>
          <w:szCs w:val="20"/>
        </w:rPr>
        <w:t xml:space="preserve"> C</w:t>
      </w:r>
      <w:r>
        <w:rPr>
          <w:rFonts w:cs="Arial"/>
          <w:sz w:val="20"/>
          <w:szCs w:val="20"/>
        </w:rPr>
        <w:t>í</w:t>
      </w:r>
      <w:r w:rsidRPr="001C6E0A">
        <w:rPr>
          <w:rFonts w:cs="Arial"/>
          <w:sz w:val="20"/>
          <w:szCs w:val="20"/>
        </w:rPr>
        <w:t>a</w:t>
      </w:r>
      <w:r>
        <w:rPr>
          <w:rFonts w:cs="Arial"/>
          <w:sz w:val="20"/>
          <w:szCs w:val="20"/>
        </w:rPr>
        <w:t>.</w:t>
      </w:r>
      <w:r w:rsidRPr="001C6E0A">
        <w:rPr>
          <w:rFonts w:cs="Arial"/>
          <w:sz w:val="20"/>
          <w:szCs w:val="20"/>
        </w:rPr>
        <w:t xml:space="preserve"> Ltda., </w:t>
      </w:r>
      <w:r>
        <w:rPr>
          <w:rFonts w:cs="Arial"/>
          <w:sz w:val="20"/>
          <w:szCs w:val="20"/>
        </w:rPr>
        <w:t>d</w:t>
      </w:r>
      <w:r w:rsidRPr="001C6E0A">
        <w:rPr>
          <w:rFonts w:cs="Arial"/>
          <w:sz w:val="20"/>
          <w:szCs w:val="20"/>
        </w:rPr>
        <w:t>emandado: Empresas P</w:t>
      </w:r>
      <w:r>
        <w:rPr>
          <w:rFonts w:cs="Arial"/>
          <w:sz w:val="20"/>
          <w:szCs w:val="20"/>
        </w:rPr>
        <w:t>ú</w:t>
      </w:r>
      <w:r w:rsidRPr="001C6E0A">
        <w:rPr>
          <w:rFonts w:cs="Arial"/>
          <w:sz w:val="20"/>
          <w:szCs w:val="20"/>
        </w:rPr>
        <w:t xml:space="preserve">blicas </w:t>
      </w:r>
      <w:r>
        <w:rPr>
          <w:rFonts w:cs="Arial"/>
          <w:sz w:val="20"/>
          <w:szCs w:val="20"/>
        </w:rPr>
        <w:t>d</w:t>
      </w:r>
      <w:r w:rsidRPr="001C6E0A">
        <w:rPr>
          <w:rFonts w:cs="Arial"/>
          <w:sz w:val="20"/>
          <w:szCs w:val="20"/>
        </w:rPr>
        <w:t>e Medell</w:t>
      </w:r>
      <w:r>
        <w:rPr>
          <w:rFonts w:cs="Arial"/>
          <w:sz w:val="20"/>
          <w:szCs w:val="20"/>
        </w:rPr>
        <w:t>í</w:t>
      </w:r>
      <w:r w:rsidRPr="001C6E0A">
        <w:rPr>
          <w:rFonts w:cs="Arial"/>
          <w:sz w:val="20"/>
          <w:szCs w:val="20"/>
        </w:rPr>
        <w:t>n. referencia: acci</w:t>
      </w:r>
      <w:r>
        <w:rPr>
          <w:rFonts w:cs="Arial"/>
          <w:sz w:val="20"/>
          <w:szCs w:val="20"/>
        </w:rPr>
        <w:t>ó</w:t>
      </w:r>
      <w:r w:rsidRPr="001C6E0A">
        <w:rPr>
          <w:rFonts w:cs="Arial"/>
          <w:sz w:val="20"/>
          <w:szCs w:val="20"/>
        </w:rPr>
        <w:t>n de controversias contractuales</w:t>
      </w:r>
      <w:r>
        <w:rPr>
          <w:rFonts w:cs="Arial"/>
          <w:sz w:val="20"/>
          <w:szCs w:val="20"/>
        </w:rPr>
        <w:t>.</w:t>
      </w:r>
    </w:p>
    <w:p w:rsidR="00A62A03" w:rsidRPr="001C6E0A" w:rsidRDefault="00A62A03" w:rsidP="001C5239">
      <w:pPr>
        <w:pStyle w:val="Textonotapie"/>
        <w:spacing w:line="240" w:lineRule="auto"/>
        <w:rPr>
          <w:lang w:val="es-CO"/>
        </w:rPr>
      </w:pPr>
    </w:p>
  </w:footnote>
  <w:footnote w:id="21">
    <w:p w:rsidR="00A62A03" w:rsidRDefault="00A62A03" w:rsidP="004372F3">
      <w:pPr>
        <w:pStyle w:val="Textonotapie"/>
        <w:spacing w:line="240" w:lineRule="auto"/>
        <w:rPr>
          <w:rFonts w:cs="Arial"/>
        </w:rPr>
      </w:pPr>
      <w:r>
        <w:rPr>
          <w:rStyle w:val="Refdenotaalpie"/>
        </w:rPr>
        <w:footnoteRef/>
      </w:r>
      <w:r>
        <w:t xml:space="preserve"> </w:t>
      </w:r>
      <w:r w:rsidR="004372F3" w:rsidRPr="001C6E0A">
        <w:rPr>
          <w:rFonts w:cs="Arial"/>
        </w:rPr>
        <w:t xml:space="preserve">Consejo </w:t>
      </w:r>
      <w:r w:rsidR="004372F3">
        <w:rPr>
          <w:rFonts w:cs="Arial"/>
        </w:rPr>
        <w:t>d</w:t>
      </w:r>
      <w:r w:rsidR="004372F3" w:rsidRPr="001C6E0A">
        <w:rPr>
          <w:rFonts w:cs="Arial"/>
        </w:rPr>
        <w:t>e Estado, Sala de lo Contencioso Administrativo, Secci</w:t>
      </w:r>
      <w:r w:rsidR="004372F3">
        <w:rPr>
          <w:rFonts w:cs="Arial"/>
        </w:rPr>
        <w:t>ó</w:t>
      </w:r>
      <w:r w:rsidR="004372F3" w:rsidRPr="001C6E0A">
        <w:rPr>
          <w:rFonts w:cs="Arial"/>
        </w:rPr>
        <w:t>n Tercera, Subsecci</w:t>
      </w:r>
      <w:r w:rsidR="004372F3">
        <w:rPr>
          <w:rFonts w:cs="Arial"/>
        </w:rPr>
        <w:t>ó</w:t>
      </w:r>
      <w:r w:rsidR="004372F3" w:rsidRPr="001C6E0A">
        <w:rPr>
          <w:rFonts w:cs="Arial"/>
        </w:rPr>
        <w:t xml:space="preserve">n C, Consejero Ponente: Enrique Gil Botero, </w:t>
      </w:r>
      <w:r w:rsidR="004372F3">
        <w:rPr>
          <w:rFonts w:cs="Arial"/>
        </w:rPr>
        <w:t xml:space="preserve">sentencia de </w:t>
      </w:r>
      <w:r w:rsidR="004372F3" w:rsidRPr="001C6E0A">
        <w:rPr>
          <w:rFonts w:cs="Arial"/>
        </w:rPr>
        <w:t xml:space="preserve">22 </w:t>
      </w:r>
      <w:r w:rsidR="004372F3">
        <w:rPr>
          <w:rFonts w:cs="Arial"/>
        </w:rPr>
        <w:t xml:space="preserve">de octubre de </w:t>
      </w:r>
      <w:r w:rsidR="004372F3" w:rsidRPr="001C6E0A">
        <w:rPr>
          <w:rFonts w:cs="Arial"/>
        </w:rPr>
        <w:t>2012, radicación número: 05001-23-24-000-1996-00680-01(20738), actor: Sociedad V</w:t>
      </w:r>
      <w:r w:rsidR="004372F3">
        <w:rPr>
          <w:rFonts w:cs="Arial"/>
        </w:rPr>
        <w:t>é</w:t>
      </w:r>
      <w:r w:rsidR="004372F3" w:rsidRPr="001C6E0A">
        <w:rPr>
          <w:rFonts w:cs="Arial"/>
        </w:rPr>
        <w:t xml:space="preserve">lez Mesa </w:t>
      </w:r>
      <w:r w:rsidR="004372F3">
        <w:rPr>
          <w:rFonts w:cs="Arial"/>
        </w:rPr>
        <w:t>y</w:t>
      </w:r>
      <w:r w:rsidR="004372F3" w:rsidRPr="001C6E0A">
        <w:rPr>
          <w:rFonts w:cs="Arial"/>
        </w:rPr>
        <w:t xml:space="preserve"> C</w:t>
      </w:r>
      <w:r w:rsidR="004372F3">
        <w:rPr>
          <w:rFonts w:cs="Arial"/>
        </w:rPr>
        <w:t>í</w:t>
      </w:r>
      <w:r w:rsidR="004372F3" w:rsidRPr="001C6E0A">
        <w:rPr>
          <w:rFonts w:cs="Arial"/>
        </w:rPr>
        <w:t>a</w:t>
      </w:r>
      <w:r w:rsidR="004372F3">
        <w:rPr>
          <w:rFonts w:cs="Arial"/>
        </w:rPr>
        <w:t>.</w:t>
      </w:r>
      <w:r w:rsidR="004372F3" w:rsidRPr="001C6E0A">
        <w:rPr>
          <w:rFonts w:cs="Arial"/>
        </w:rPr>
        <w:t xml:space="preserve"> Ltda., </w:t>
      </w:r>
      <w:r w:rsidR="004372F3">
        <w:rPr>
          <w:rFonts w:cs="Arial"/>
        </w:rPr>
        <w:t>d</w:t>
      </w:r>
      <w:r w:rsidR="004372F3" w:rsidRPr="001C6E0A">
        <w:rPr>
          <w:rFonts w:cs="Arial"/>
        </w:rPr>
        <w:t>emandado: Empresas P</w:t>
      </w:r>
      <w:r w:rsidR="004372F3">
        <w:rPr>
          <w:rFonts w:cs="Arial"/>
        </w:rPr>
        <w:t>ú</w:t>
      </w:r>
      <w:r w:rsidR="004372F3" w:rsidRPr="001C6E0A">
        <w:rPr>
          <w:rFonts w:cs="Arial"/>
        </w:rPr>
        <w:t xml:space="preserve">blicas </w:t>
      </w:r>
      <w:r w:rsidR="004372F3">
        <w:rPr>
          <w:rFonts w:cs="Arial"/>
        </w:rPr>
        <w:t>d</w:t>
      </w:r>
      <w:r w:rsidR="004372F3" w:rsidRPr="001C6E0A">
        <w:rPr>
          <w:rFonts w:cs="Arial"/>
        </w:rPr>
        <w:t>e Medell</w:t>
      </w:r>
      <w:r w:rsidR="004372F3">
        <w:rPr>
          <w:rFonts w:cs="Arial"/>
        </w:rPr>
        <w:t>í</w:t>
      </w:r>
      <w:r w:rsidR="004372F3" w:rsidRPr="001C6E0A">
        <w:rPr>
          <w:rFonts w:cs="Arial"/>
        </w:rPr>
        <w:t>n. referencia: acci</w:t>
      </w:r>
      <w:r w:rsidR="004372F3">
        <w:rPr>
          <w:rFonts w:cs="Arial"/>
        </w:rPr>
        <w:t>ó</w:t>
      </w:r>
      <w:r w:rsidR="004372F3" w:rsidRPr="001C6E0A">
        <w:rPr>
          <w:rFonts w:cs="Arial"/>
        </w:rPr>
        <w:t>n de controversias contractuales</w:t>
      </w:r>
      <w:r w:rsidR="004372F3">
        <w:rPr>
          <w:rFonts w:cs="Arial"/>
        </w:rPr>
        <w:t>.</w:t>
      </w:r>
    </w:p>
    <w:p w:rsidR="004372F3" w:rsidRPr="00B65A89" w:rsidRDefault="004372F3" w:rsidP="004372F3">
      <w:pPr>
        <w:pStyle w:val="Textonotapie"/>
        <w:spacing w:line="240" w:lineRule="auto"/>
        <w:rPr>
          <w:lang w:val="es-CO"/>
        </w:rPr>
      </w:pPr>
    </w:p>
  </w:footnote>
  <w:footnote w:id="22">
    <w:p w:rsidR="00A62A03" w:rsidRDefault="00A62A03" w:rsidP="009D157D">
      <w:pPr>
        <w:pStyle w:val="Textonotapie"/>
        <w:spacing w:line="240" w:lineRule="auto"/>
        <w:rPr>
          <w:lang w:val="es-CO"/>
        </w:rPr>
      </w:pPr>
      <w:r>
        <w:rPr>
          <w:rStyle w:val="Refdenotaalpie"/>
        </w:rPr>
        <w:footnoteRef/>
      </w:r>
      <w:r>
        <w:t xml:space="preserve"> </w:t>
      </w:r>
      <w:r>
        <w:rPr>
          <w:lang w:val="es-CO"/>
        </w:rPr>
        <w:t xml:space="preserve">La Ley 1150 de 2007 fue promulgada el 16 de julio de 2007 pero entró en vigencia, seis meses después de su promulgación, con algunas excepciones, entre otras, la del artículo 17 referido al proceso sancionatorio. </w:t>
      </w:r>
    </w:p>
    <w:p w:rsidR="00A62A03" w:rsidRPr="000D21D9" w:rsidRDefault="00A62A03" w:rsidP="009D157D">
      <w:pPr>
        <w:pStyle w:val="Textonotapie"/>
        <w:spacing w:line="240" w:lineRule="auto"/>
        <w:rPr>
          <w:lang w:val="es-CO"/>
        </w:rPr>
      </w:pPr>
    </w:p>
  </w:footnote>
  <w:footnote w:id="23">
    <w:p w:rsidR="00A62A03" w:rsidRDefault="00A62A03" w:rsidP="00014215">
      <w:pPr>
        <w:pStyle w:val="Textonotapie"/>
        <w:spacing w:line="240" w:lineRule="auto"/>
        <w:rPr>
          <w:lang w:val="es-CO"/>
        </w:rPr>
      </w:pPr>
      <w:r>
        <w:rPr>
          <w:rStyle w:val="Refdenotaalpie"/>
        </w:rPr>
        <w:footnoteRef/>
      </w:r>
      <w:r>
        <w:t xml:space="preserve"> </w:t>
      </w:r>
      <w:r>
        <w:rPr>
          <w:lang w:val="es-CO"/>
        </w:rPr>
        <w:t>En el contrato 082  de 2007, en la cláusula décima cuarta se pactaron, entre otras,  las siguientes, multas:</w:t>
      </w:r>
    </w:p>
    <w:p w:rsidR="00A62A03" w:rsidRDefault="00A62A03" w:rsidP="00014215">
      <w:pPr>
        <w:pStyle w:val="Textonotapie"/>
        <w:spacing w:line="240" w:lineRule="auto"/>
        <w:rPr>
          <w:lang w:val="es-CO"/>
        </w:rPr>
      </w:pPr>
    </w:p>
    <w:p w:rsidR="00A62A03" w:rsidRDefault="00A62A03" w:rsidP="00BE2D62">
      <w:pPr>
        <w:pStyle w:val="Textonotapie"/>
        <w:spacing w:line="240" w:lineRule="auto"/>
        <w:rPr>
          <w:i/>
          <w:lang w:val="es-CO"/>
        </w:rPr>
      </w:pPr>
      <w:r w:rsidRPr="004251C1">
        <w:rPr>
          <w:i/>
          <w:lang w:val="es-CO"/>
        </w:rPr>
        <w:t>“</w:t>
      </w:r>
      <w:r w:rsidRPr="004251C1">
        <w:rPr>
          <w:b/>
          <w:i/>
          <w:lang w:val="es-CO"/>
        </w:rPr>
        <w:t>CLÁUSULA DÉCIMA CUARTA</w:t>
      </w:r>
      <w:r w:rsidRPr="004251C1">
        <w:rPr>
          <w:i/>
          <w:lang w:val="es-CO"/>
        </w:rPr>
        <w:t xml:space="preserve">. </w:t>
      </w:r>
      <w:r w:rsidRPr="004251C1">
        <w:rPr>
          <w:b/>
          <w:i/>
          <w:lang w:val="es-CO"/>
        </w:rPr>
        <w:t>MULTAS</w:t>
      </w:r>
      <w:r w:rsidRPr="004251C1">
        <w:rPr>
          <w:i/>
          <w:lang w:val="es-CO"/>
        </w:rPr>
        <w:t xml:space="preserve">. En caso de mora e incumplimiento parcial o total de alguna de las obligaciones a cargo del </w:t>
      </w:r>
      <w:r w:rsidRPr="004251C1">
        <w:rPr>
          <w:b/>
          <w:i/>
          <w:lang w:val="es-CO"/>
        </w:rPr>
        <w:t xml:space="preserve">INTERVENTOR, </w:t>
      </w:r>
      <w:r w:rsidRPr="004251C1">
        <w:rPr>
          <w:i/>
          <w:lang w:val="es-CO"/>
        </w:rPr>
        <w:t>el</w:t>
      </w:r>
      <w:r w:rsidRPr="004251C1">
        <w:rPr>
          <w:b/>
          <w:i/>
          <w:lang w:val="es-CO"/>
        </w:rPr>
        <w:t xml:space="preserve"> MINISTERIO </w:t>
      </w:r>
      <w:r w:rsidRPr="004251C1">
        <w:rPr>
          <w:i/>
          <w:lang w:val="es-CO"/>
        </w:rPr>
        <w:t xml:space="preserve">podrá imponer al mismo, multas en los eventos y cuantías señalados a continuación: 14.1. (…) 14.5. Por no presentar o responder oportunamente los documentos, informes o requerimientos efectuados por el supervisor o por el </w:t>
      </w:r>
      <w:r w:rsidRPr="004251C1">
        <w:rPr>
          <w:b/>
          <w:i/>
          <w:lang w:val="es-CO"/>
        </w:rPr>
        <w:t>MINISTERIO</w:t>
      </w:r>
      <w:r w:rsidRPr="004251C1">
        <w:rPr>
          <w:i/>
          <w:lang w:val="es-CO"/>
        </w:rPr>
        <w:t>, se causará una multa equivalente al 0.3% del valor del contrato de interventoría por cada día calendario</w:t>
      </w:r>
      <w:r w:rsidRPr="00BE2D62">
        <w:rPr>
          <w:i/>
          <w:lang w:val="es-CO"/>
        </w:rPr>
        <w:t xml:space="preserve"> de retraso injustificado. (…</w:t>
      </w:r>
      <w:r>
        <w:rPr>
          <w:i/>
          <w:lang w:val="es-CO"/>
        </w:rPr>
        <w:t>.</w:t>
      </w:r>
      <w:r w:rsidR="00E14D33">
        <w:rPr>
          <w:i/>
          <w:lang w:val="es-CO"/>
        </w:rPr>
        <w:t>).</w:t>
      </w:r>
      <w:r>
        <w:rPr>
          <w:i/>
          <w:lang w:val="es-CO"/>
        </w:rPr>
        <w:t xml:space="preserve"> 14.7. Por los errores técnicos u omisiones que se presenten en el cumplimiento del objeto del contrato y que no sean corregidos dentro del términos que para tal efecto </w:t>
      </w:r>
      <w:r w:rsidR="00242BE0">
        <w:rPr>
          <w:i/>
          <w:lang w:val="es-CO"/>
        </w:rPr>
        <w:t>establezca el MINISTERIO, se ca</w:t>
      </w:r>
      <w:r w:rsidR="00E14D33">
        <w:rPr>
          <w:i/>
          <w:lang w:val="es-CO"/>
        </w:rPr>
        <w:t>u</w:t>
      </w:r>
      <w:r w:rsidR="00242BE0">
        <w:rPr>
          <w:i/>
          <w:lang w:val="es-CO"/>
        </w:rPr>
        <w:t>sar</w:t>
      </w:r>
      <w:r w:rsidR="00E14D33">
        <w:rPr>
          <w:i/>
          <w:lang w:val="es-CO"/>
        </w:rPr>
        <w:t>á</w:t>
      </w:r>
      <w:r w:rsidR="00242BE0">
        <w:rPr>
          <w:i/>
          <w:lang w:val="es-CO"/>
        </w:rPr>
        <w:t xml:space="preserve"> una multa hasta por el valor equivalente al 0.5% del valor del contrato de interventoría, sin perjuicio de la responsabilidad que de ella se derive para el INTERVENTOR. La graduación de las multas será definida por el MINISTERIO tomando en consideración la gravedad y la extensión del incumplimiento. </w:t>
      </w:r>
      <w:r w:rsidRPr="00BE2D62">
        <w:rPr>
          <w:i/>
          <w:lang w:val="es-CO"/>
        </w:rPr>
        <w:t xml:space="preserve">14.8. Por el incumplimiento de cualquiera de las obligaciones previstas en los Términos de </w:t>
      </w:r>
      <w:r>
        <w:rPr>
          <w:i/>
          <w:lang w:val="es-CO"/>
        </w:rPr>
        <w:t>R</w:t>
      </w:r>
      <w:r w:rsidRPr="00BE2D62">
        <w:rPr>
          <w:i/>
          <w:lang w:val="es-CO"/>
        </w:rPr>
        <w:t xml:space="preserve">eferencia, en el presente Contrato y en sus anexos, para las que no se encuentre expresamente prevista una multa especial en esta cláusula, se causará una multa hasta por un valor equivalente al 0.5% del valor del contrato de interventoría, sin perjuicio de la responsabilidad que de ella se derive para el </w:t>
      </w:r>
      <w:r w:rsidRPr="00BE2D62">
        <w:rPr>
          <w:b/>
          <w:i/>
          <w:lang w:val="es-CO"/>
        </w:rPr>
        <w:t>INTERVENTOR.</w:t>
      </w:r>
      <w:r w:rsidRPr="00BE2D62">
        <w:rPr>
          <w:i/>
          <w:lang w:val="es-CO"/>
        </w:rPr>
        <w:t xml:space="preserve"> La graduación de las multas será definida por el </w:t>
      </w:r>
      <w:r w:rsidRPr="00BE2D62">
        <w:rPr>
          <w:b/>
          <w:i/>
          <w:lang w:val="es-CO"/>
        </w:rPr>
        <w:t>MINISTERIO</w:t>
      </w:r>
      <w:r w:rsidRPr="00BE2D62">
        <w:rPr>
          <w:i/>
          <w:lang w:val="es-CO"/>
        </w:rPr>
        <w:t xml:space="preserve"> tomando en consideración </w:t>
      </w:r>
      <w:r>
        <w:rPr>
          <w:i/>
          <w:lang w:val="es-CO"/>
        </w:rPr>
        <w:t>la gravedad y extensión del incumplimiento (…).”</w:t>
      </w:r>
    </w:p>
    <w:p w:rsidR="00A62A03" w:rsidRDefault="00A62A03" w:rsidP="00BE2D62">
      <w:pPr>
        <w:pStyle w:val="Textonotapie"/>
        <w:spacing w:line="240" w:lineRule="auto"/>
        <w:rPr>
          <w:i/>
          <w:lang w:val="es-CO"/>
        </w:rPr>
      </w:pPr>
    </w:p>
    <w:p w:rsidR="00A62A03" w:rsidRPr="004251C1" w:rsidRDefault="00A62A03" w:rsidP="00BE2D62">
      <w:pPr>
        <w:pStyle w:val="Textonotapie"/>
        <w:spacing w:line="240" w:lineRule="auto"/>
        <w:rPr>
          <w:lang w:val="es-CO"/>
        </w:rPr>
      </w:pPr>
      <w:r w:rsidRPr="004251C1">
        <w:rPr>
          <w:lang w:val="es-CO"/>
        </w:rPr>
        <w:t xml:space="preserve">De igual forma, en la cláusula décimo quinta </w:t>
      </w:r>
      <w:r>
        <w:rPr>
          <w:lang w:val="es-CO"/>
        </w:rPr>
        <w:t xml:space="preserve">del contrato 082 de 2007 </w:t>
      </w:r>
      <w:r w:rsidRPr="004251C1">
        <w:rPr>
          <w:lang w:val="es-CO"/>
        </w:rPr>
        <w:t>se pactó la cláusula penal así:</w:t>
      </w:r>
    </w:p>
    <w:p w:rsidR="00A62A03" w:rsidRPr="004251C1" w:rsidRDefault="00A62A03" w:rsidP="00BE2D62">
      <w:pPr>
        <w:pStyle w:val="Textonotapie"/>
        <w:spacing w:line="240" w:lineRule="auto"/>
        <w:rPr>
          <w:b/>
          <w:i/>
          <w:lang w:val="es-CO"/>
        </w:rPr>
      </w:pPr>
    </w:p>
    <w:p w:rsidR="00A62A03" w:rsidRDefault="00A62A03" w:rsidP="00BE2D62">
      <w:pPr>
        <w:pStyle w:val="Textonotapie"/>
        <w:spacing w:line="240" w:lineRule="auto"/>
        <w:rPr>
          <w:i/>
          <w:lang w:val="es-CO"/>
        </w:rPr>
      </w:pPr>
      <w:r w:rsidRPr="00E14D33">
        <w:rPr>
          <w:i/>
          <w:lang w:val="es-CO"/>
        </w:rPr>
        <w:t>“</w:t>
      </w:r>
      <w:r w:rsidRPr="004251C1">
        <w:rPr>
          <w:b/>
          <w:i/>
          <w:lang w:val="es-CO"/>
        </w:rPr>
        <w:t>CLAUSULA DÉCIMO QUINTA: CLÁUSULA PENAL PECUNIARIA</w:t>
      </w:r>
      <w:r>
        <w:rPr>
          <w:i/>
          <w:lang w:val="es-CO"/>
        </w:rPr>
        <w:t>: En caso de incumplimiento o de declaratoria de caducidad del presente contrato, se pacta una sanción a título de cláusula penal  pecuniaria equivalente a NOVENTA MILLONES DE PESOS COLOMBIANOS ($90’000.000,00) actualizada con el IPC, que se hará efectiva mediante el agotamiento del procedimiento previsto en la cláusula Décimo Cuarta del presente contrato”.</w:t>
      </w:r>
    </w:p>
    <w:p w:rsidR="00A62A03" w:rsidRPr="004D50D1" w:rsidRDefault="00A62A03" w:rsidP="00BE2D62">
      <w:pPr>
        <w:pStyle w:val="Textonotapie"/>
        <w:spacing w:line="240" w:lineRule="auto"/>
        <w:rPr>
          <w:lang w:val="es-CO"/>
        </w:rPr>
      </w:pPr>
    </w:p>
  </w:footnote>
  <w:footnote w:id="24">
    <w:p w:rsidR="00A62A03" w:rsidRDefault="00A62A03" w:rsidP="00A51AE4">
      <w:pPr>
        <w:pStyle w:val="Textonotapie"/>
        <w:spacing w:line="240" w:lineRule="auto"/>
        <w:rPr>
          <w:rFonts w:cs="Arial"/>
        </w:rPr>
      </w:pPr>
      <w:r w:rsidRPr="00F24C23">
        <w:rPr>
          <w:rStyle w:val="Refdenotaalpie"/>
        </w:rPr>
        <w:footnoteRef/>
      </w:r>
      <w:r w:rsidRPr="00F24C23">
        <w:t xml:space="preserve"> </w:t>
      </w:r>
      <w:r w:rsidRPr="00F24C23">
        <w:rPr>
          <w:rFonts w:cs="Arial"/>
        </w:rPr>
        <w:t>Diario Oficial No. 46.691 de 16 de julio de 2007</w:t>
      </w:r>
      <w:r>
        <w:rPr>
          <w:rFonts w:cs="Arial"/>
        </w:rPr>
        <w:t>.</w:t>
      </w:r>
      <w:r w:rsidRPr="00F24C23">
        <w:rPr>
          <w:rFonts w:cs="Arial"/>
        </w:rPr>
        <w:t xml:space="preserve"> </w:t>
      </w:r>
      <w:r>
        <w:rPr>
          <w:rFonts w:cs="Arial"/>
        </w:rPr>
        <w:t>De acuerdo con el artículo 33, el artículo 17 entró en vigencia a partir de la promulgación de la Ley. Además, el parágrafo transitorio dispuso:</w:t>
      </w:r>
    </w:p>
    <w:p w:rsidR="00A62A03" w:rsidRDefault="00A62A03" w:rsidP="00A51AE4">
      <w:pPr>
        <w:pStyle w:val="Textonotapie"/>
        <w:spacing w:line="240" w:lineRule="auto"/>
        <w:rPr>
          <w:rFonts w:cs="Arial"/>
        </w:rPr>
      </w:pPr>
    </w:p>
    <w:p w:rsidR="00A62A03" w:rsidRPr="00805602" w:rsidRDefault="00A62A03" w:rsidP="00A51AE4">
      <w:pPr>
        <w:pStyle w:val="Textonotapie"/>
        <w:spacing w:line="240" w:lineRule="auto"/>
        <w:rPr>
          <w:rFonts w:cs="Arial"/>
          <w:sz w:val="18"/>
          <w:szCs w:val="18"/>
        </w:rPr>
      </w:pPr>
      <w:r w:rsidRPr="00A51AE4">
        <w:rPr>
          <w:rStyle w:val="baj"/>
          <w:rFonts w:cs="Arial"/>
          <w:bCs/>
          <w:i/>
          <w:sz w:val="18"/>
          <w:szCs w:val="18"/>
        </w:rPr>
        <w:t>“PARÁGRAFO</w:t>
      </w:r>
      <w:r w:rsidRPr="00A51AE4">
        <w:rPr>
          <w:rFonts w:cs="Arial"/>
          <w:i/>
          <w:sz w:val="18"/>
          <w:szCs w:val="18"/>
        </w:rPr>
        <w:t> </w:t>
      </w:r>
      <w:r w:rsidRPr="00A51AE4">
        <w:rPr>
          <w:rStyle w:val="baj"/>
          <w:rFonts w:cs="Arial"/>
          <w:bCs/>
          <w:i/>
          <w:sz w:val="18"/>
          <w:szCs w:val="18"/>
        </w:rPr>
        <w:t>TRANSITORIO.</w:t>
      </w:r>
      <w:r w:rsidRPr="00A51AE4">
        <w:rPr>
          <w:rFonts w:cs="Arial"/>
          <w:i/>
          <w:sz w:val="18"/>
          <w:szCs w:val="18"/>
        </w:rPr>
        <w:t xml:space="preserve"> Las facultades previstas en este artículo se entienden atribuidas respecto de las cláusulas de multas o cláusula penal pecuniaria </w:t>
      </w:r>
      <w:r w:rsidRPr="00A51AE4">
        <w:rPr>
          <w:rFonts w:cs="Arial"/>
          <w:b/>
          <w:i/>
          <w:sz w:val="18"/>
          <w:szCs w:val="18"/>
        </w:rPr>
        <w:t>pactadas en los contratos celebrados con anterioridad a la expedición de esta ley</w:t>
      </w:r>
      <w:r w:rsidRPr="00A51AE4">
        <w:rPr>
          <w:rFonts w:cs="Arial"/>
          <w:i/>
          <w:sz w:val="18"/>
          <w:szCs w:val="18"/>
        </w:rPr>
        <w:t xml:space="preserve"> y en los que por autonomía de la voluntad de las partes se hubiese previsto la competencia de las entidades estatales para imponerlas y hacerlas efectivas”</w:t>
      </w:r>
      <w:r>
        <w:rPr>
          <w:rFonts w:cs="Arial"/>
          <w:i/>
          <w:sz w:val="18"/>
          <w:szCs w:val="18"/>
        </w:rPr>
        <w:t xml:space="preserve"> (</w:t>
      </w:r>
      <w:r w:rsidRPr="00805602">
        <w:rPr>
          <w:rFonts w:cs="Arial"/>
          <w:sz w:val="18"/>
          <w:szCs w:val="18"/>
        </w:rPr>
        <w:t>la negrilla no es del texto).</w:t>
      </w:r>
    </w:p>
    <w:p w:rsidR="00A62A03" w:rsidRPr="00F24C23" w:rsidRDefault="00A62A03">
      <w:pPr>
        <w:pStyle w:val="Textonotapie"/>
        <w:rPr>
          <w:lang w:val="es-CO"/>
        </w:rPr>
      </w:pPr>
    </w:p>
  </w:footnote>
  <w:footnote w:id="25">
    <w:p w:rsidR="00A62A03" w:rsidRPr="00A624A5" w:rsidRDefault="00A62A03">
      <w:pPr>
        <w:pStyle w:val="Textonotapie"/>
        <w:rPr>
          <w:lang w:val="es-CO"/>
        </w:rPr>
      </w:pPr>
      <w:r w:rsidRPr="00A624A5">
        <w:rPr>
          <w:rStyle w:val="Refdenotaalpie"/>
        </w:rPr>
        <w:footnoteRef/>
      </w:r>
      <w:r w:rsidRPr="00A624A5">
        <w:t xml:space="preserve"> </w:t>
      </w:r>
      <w:r w:rsidRPr="00A624A5">
        <w:rPr>
          <w:rFonts w:cs="Arial"/>
        </w:rPr>
        <w:t>Diario Oficial No. 48.128 de 12 de julio de 2011</w:t>
      </w:r>
      <w:r>
        <w:rPr>
          <w:rFonts w:cs="Arial"/>
        </w:rPr>
        <w:t>.</w:t>
      </w:r>
    </w:p>
  </w:footnote>
  <w:footnote w:id="26">
    <w:p w:rsidR="00A62A03" w:rsidRPr="00C14343" w:rsidRDefault="00A62A03" w:rsidP="00C14343">
      <w:pPr>
        <w:pStyle w:val="Textonotapie"/>
        <w:spacing w:line="240" w:lineRule="auto"/>
        <w:rPr>
          <w:i/>
          <w:lang w:val="es-CO"/>
        </w:rPr>
      </w:pPr>
      <w:r>
        <w:rPr>
          <w:rStyle w:val="Refdenotaalpie"/>
        </w:rPr>
        <w:footnoteRef/>
      </w:r>
      <w:r>
        <w:t xml:space="preserve"> “</w:t>
      </w:r>
      <w:r w:rsidRPr="00C14343">
        <w:rPr>
          <w:rFonts w:cs="Arial"/>
          <w:i/>
          <w:color w:val="000000"/>
          <w:shd w:val="clear" w:color="auto" w:fill="FFFFFF"/>
        </w:rPr>
        <w:t>Declarar</w:t>
      </w:r>
      <w:r w:rsidRPr="00C14343">
        <w:rPr>
          <w:rFonts w:cs="Arial"/>
          <w:b/>
          <w:bCs/>
          <w:i/>
          <w:color w:val="000000"/>
          <w:shd w:val="clear" w:color="auto" w:fill="FFFFFF"/>
        </w:rPr>
        <w:t> EXEQUIBLE, </w:t>
      </w:r>
      <w:r w:rsidRPr="00C14343">
        <w:rPr>
          <w:rFonts w:cs="Arial"/>
          <w:i/>
          <w:color w:val="000000"/>
          <w:shd w:val="clear" w:color="auto" w:fill="FFFFFF"/>
        </w:rPr>
        <w:t>por los cargos examinados,</w:t>
      </w:r>
      <w:r>
        <w:rPr>
          <w:rFonts w:cs="Arial"/>
          <w:i/>
          <w:color w:val="000000"/>
          <w:shd w:val="clear" w:color="auto" w:fill="FFFFFF"/>
        </w:rPr>
        <w:t xml:space="preserve"> </w:t>
      </w:r>
      <w:r w:rsidRPr="00C14343">
        <w:rPr>
          <w:rFonts w:cs="Arial"/>
          <w:i/>
          <w:color w:val="000000"/>
          <w:shd w:val="clear" w:color="auto" w:fill="FFFFFF"/>
        </w:rPr>
        <w:t>la expresión</w:t>
      </w:r>
      <w:r>
        <w:rPr>
          <w:rFonts w:cs="Arial"/>
          <w:i/>
          <w:color w:val="000000"/>
          <w:shd w:val="clear" w:color="auto" w:fill="FFFFFF"/>
        </w:rPr>
        <w:t xml:space="preserve">: </w:t>
      </w:r>
      <w:r w:rsidRPr="00C14343">
        <w:rPr>
          <w:rFonts w:cs="Arial"/>
          <w:i/>
          <w:iCs/>
          <w:color w:val="000000"/>
          <w:shd w:val="clear" w:color="auto" w:fill="FFFFFF"/>
        </w:rPr>
        <w:t>cuantificando los perjuicios del mismo,</w:t>
      </w:r>
      <w:r>
        <w:rPr>
          <w:rFonts w:cs="Arial"/>
          <w:i/>
          <w:iCs/>
          <w:color w:val="000000"/>
          <w:shd w:val="clear" w:color="auto" w:fill="FFFFFF"/>
        </w:rPr>
        <w:t>’</w:t>
      </w:r>
      <w:r w:rsidRPr="00C14343">
        <w:rPr>
          <w:rFonts w:cs="Arial"/>
          <w:i/>
          <w:color w:val="000000"/>
          <w:shd w:val="clear" w:color="auto" w:fill="FFFFFF"/>
        </w:rPr>
        <w:t xml:space="preserve"> contenida en el artículo </w:t>
      </w:r>
      <w:hyperlink r:id="rId1" w:anchor="86" w:history="1">
        <w:r w:rsidRPr="00C14343">
          <w:rPr>
            <w:rStyle w:val="Hipervnculo"/>
            <w:rFonts w:cs="Arial"/>
            <w:i/>
            <w:sz w:val="20"/>
            <w:shd w:val="clear" w:color="auto" w:fill="FFFFFF"/>
          </w:rPr>
          <w:t>86</w:t>
        </w:r>
      </w:hyperlink>
      <w:r w:rsidRPr="00C14343">
        <w:rPr>
          <w:rFonts w:cs="Arial"/>
          <w:i/>
          <w:color w:val="000000"/>
          <w:shd w:val="clear" w:color="auto" w:fill="FFFFFF"/>
        </w:rPr>
        <w:t> de la Ley 1474 de 2011</w:t>
      </w:r>
      <w:r>
        <w:rPr>
          <w:rFonts w:cs="Arial"/>
          <w:i/>
          <w:color w:val="000000"/>
          <w:shd w:val="clear" w:color="auto" w:fill="FFFFFF"/>
        </w:rPr>
        <w:t>”</w:t>
      </w:r>
      <w:r w:rsidRPr="00C14343">
        <w:rPr>
          <w:rFonts w:cs="Arial"/>
          <w:i/>
          <w:color w:val="000000"/>
          <w:shd w:val="clear" w:color="auto" w:fill="FFFFFF"/>
        </w:rPr>
        <w:t>.</w:t>
      </w:r>
    </w:p>
  </w:footnote>
  <w:footnote w:id="27">
    <w:p w:rsidR="00A62A03" w:rsidRPr="002D0DC7" w:rsidRDefault="00A62A03">
      <w:pPr>
        <w:pStyle w:val="Textonotapie"/>
        <w:rPr>
          <w:lang w:val="es-CO"/>
        </w:rPr>
      </w:pPr>
      <w:r>
        <w:rPr>
          <w:rStyle w:val="Refdenotaalpie"/>
        </w:rPr>
        <w:footnoteRef/>
      </w:r>
      <w:r>
        <w:t xml:space="preserve"> Cláusula Tercera, folio 857,</w:t>
      </w:r>
      <w:r w:rsidR="00814D29">
        <w:t xml:space="preserve"> </w:t>
      </w:r>
      <w:r>
        <w:t>cuaderno 1 de pruebas.</w:t>
      </w:r>
    </w:p>
  </w:footnote>
  <w:footnote w:id="28">
    <w:p w:rsidR="00A62A03" w:rsidRPr="00374670" w:rsidRDefault="00A62A03" w:rsidP="00374670">
      <w:pPr>
        <w:pStyle w:val="Textonotapie"/>
        <w:spacing w:line="240" w:lineRule="auto"/>
        <w:rPr>
          <w:lang w:val="es-CO"/>
        </w:rPr>
      </w:pPr>
      <w:r>
        <w:rPr>
          <w:rStyle w:val="Refdenotaalpie"/>
        </w:rPr>
        <w:footnoteRef/>
      </w:r>
      <w:r>
        <w:t xml:space="preserve"> </w:t>
      </w:r>
      <w:r>
        <w:rPr>
          <w:lang w:val="es-CO"/>
        </w:rPr>
        <w:t xml:space="preserve">De acuerdo con la reducción del valor adoptada en el artículo segundo de la Resolución 000129 de 19 de enero de 2012. </w:t>
      </w:r>
    </w:p>
  </w:footnote>
  <w:footnote w:id="29">
    <w:p w:rsidR="00A62A03" w:rsidRPr="00CF5CCB" w:rsidRDefault="00A62A03">
      <w:pPr>
        <w:pStyle w:val="Textonotapie"/>
        <w:rPr>
          <w:lang w:val="es-CO"/>
        </w:rPr>
      </w:pPr>
      <w:r>
        <w:rPr>
          <w:rStyle w:val="Refdenotaalpie"/>
        </w:rPr>
        <w:footnoteRef/>
      </w:r>
      <w:r>
        <w:t xml:space="preserve"> </w:t>
      </w:r>
      <w:r>
        <w:rPr>
          <w:lang w:val="es-CO"/>
        </w:rPr>
        <w:t>Folios 281 a 326, cuaderno 1, en 40 folios</w:t>
      </w:r>
    </w:p>
  </w:footnote>
  <w:footnote w:id="30">
    <w:p w:rsidR="00A62A03" w:rsidRPr="00E97EA1" w:rsidRDefault="00A62A03">
      <w:pPr>
        <w:pStyle w:val="Textonotapie"/>
        <w:rPr>
          <w:lang w:val="es-CO"/>
        </w:rPr>
      </w:pPr>
      <w:r>
        <w:rPr>
          <w:rStyle w:val="Refdenotaalpie"/>
        </w:rPr>
        <w:footnoteRef/>
      </w:r>
      <w:r>
        <w:t xml:space="preserve"> </w:t>
      </w:r>
      <w:r>
        <w:rPr>
          <w:lang w:val="es-CO"/>
        </w:rPr>
        <w:t xml:space="preserve">Folios 287 a 326, cuaderno 1. </w:t>
      </w:r>
    </w:p>
  </w:footnote>
  <w:footnote w:id="31">
    <w:p w:rsidR="008E5F2D" w:rsidRPr="008E5F2D" w:rsidRDefault="008E5F2D">
      <w:pPr>
        <w:pStyle w:val="Textonotapie"/>
        <w:rPr>
          <w:lang w:val="es-CO"/>
        </w:rPr>
      </w:pPr>
      <w:r>
        <w:rPr>
          <w:rStyle w:val="Refdenotaalpie"/>
        </w:rPr>
        <w:footnoteRef/>
      </w:r>
      <w:r>
        <w:t xml:space="preserve"> </w:t>
      </w:r>
      <w:r>
        <w:rPr>
          <w:lang w:val="es-CO"/>
        </w:rPr>
        <w:t>Artículo Sé</w:t>
      </w:r>
      <w:r w:rsidR="00135D07">
        <w:rPr>
          <w:lang w:val="es-CO"/>
        </w:rPr>
        <w:t>p</w:t>
      </w:r>
      <w:r>
        <w:rPr>
          <w:lang w:val="es-CO"/>
        </w:rPr>
        <w:t>timo de las resolutivas, folio 83, cuaderno  2.</w:t>
      </w:r>
    </w:p>
  </w:footnote>
  <w:footnote w:id="32">
    <w:p w:rsidR="00A62A03" w:rsidRPr="00431E6D" w:rsidRDefault="00A62A03" w:rsidP="00F57296">
      <w:pPr>
        <w:pStyle w:val="Textonotapie"/>
        <w:spacing w:line="240" w:lineRule="auto"/>
        <w:rPr>
          <w:i/>
          <w:lang w:val="es-CO"/>
        </w:rPr>
      </w:pPr>
      <w:r w:rsidRPr="0050561A">
        <w:rPr>
          <w:rStyle w:val="Refdenotaalpie"/>
        </w:rPr>
        <w:footnoteRef/>
      </w:r>
      <w:r w:rsidRPr="0050561A">
        <w:t xml:space="preserve"> </w:t>
      </w:r>
      <w:r>
        <w:t>“</w:t>
      </w:r>
      <w:r w:rsidRPr="00431E6D">
        <w:rPr>
          <w:rFonts w:cs="Arial"/>
          <w:bCs/>
          <w:i/>
          <w:color w:val="000000"/>
          <w:shd w:val="clear" w:color="auto" w:fill="FFFFFF"/>
        </w:rPr>
        <w:t>Artículo 188</w:t>
      </w:r>
      <w:r>
        <w:rPr>
          <w:rFonts w:cs="Arial"/>
          <w:bCs/>
          <w:i/>
          <w:color w:val="000000"/>
          <w:shd w:val="clear" w:color="auto" w:fill="FFFFFF"/>
        </w:rPr>
        <w:t xml:space="preserve"> C.P.A.C.A.</w:t>
      </w:r>
      <w:r w:rsidRPr="00431E6D">
        <w:rPr>
          <w:rStyle w:val="apple-converted-space"/>
          <w:rFonts w:cs="Arial"/>
          <w:bCs/>
          <w:i/>
          <w:color w:val="000000"/>
          <w:shd w:val="clear" w:color="auto" w:fill="FFFFFF"/>
        </w:rPr>
        <w:t> </w:t>
      </w:r>
      <w:r w:rsidRPr="00431E6D">
        <w:rPr>
          <w:rFonts w:cs="Arial"/>
          <w:bCs/>
          <w:i/>
          <w:iCs/>
          <w:color w:val="000000"/>
          <w:shd w:val="clear" w:color="auto" w:fill="FFFFFF"/>
        </w:rPr>
        <w:t>Condena en costas</w:t>
      </w:r>
      <w:r w:rsidRPr="00431E6D">
        <w:rPr>
          <w:rFonts w:cs="Arial"/>
          <w:b/>
          <w:bCs/>
          <w:i/>
          <w:iCs/>
          <w:color w:val="000000"/>
          <w:shd w:val="clear" w:color="auto" w:fill="FFFFFF"/>
        </w:rPr>
        <w:t>.</w:t>
      </w:r>
      <w:r w:rsidRPr="00431E6D">
        <w:rPr>
          <w:rStyle w:val="apple-converted-space"/>
          <w:rFonts w:cs="Arial"/>
          <w:i/>
          <w:iCs/>
          <w:color w:val="000000"/>
          <w:shd w:val="clear" w:color="auto" w:fill="FFFFFF"/>
        </w:rPr>
        <w:t> </w:t>
      </w:r>
      <w:r w:rsidRPr="00431E6D">
        <w:rPr>
          <w:rFonts w:cs="Arial"/>
          <w:i/>
          <w:color w:val="000000"/>
          <w:shd w:val="clear" w:color="auto" w:fill="FFFFFF"/>
        </w:rPr>
        <w:t>Salvo en los procesos en que se ventile un interés público, la sentencia dispondrá sobre la condena en costas, cuya liquidación y ejecución se regirán por las normas del Código de Procedimiento Civil”.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03" w:rsidRDefault="00A62A03"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2A03" w:rsidRDefault="00A62A03" w:rsidP="0064345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03" w:rsidRDefault="00A62A03" w:rsidP="00643457">
    <w:pPr>
      <w:pStyle w:val="Encabezado"/>
      <w:framePr w:wrap="around" w:vAnchor="text" w:hAnchor="margin" w:xAlign="right" w:y="1"/>
      <w:rPr>
        <w:rStyle w:val="Nmerodepgina"/>
      </w:rPr>
    </w:pPr>
  </w:p>
  <w:p w:rsidR="00A62A03" w:rsidRDefault="00A62A03" w:rsidP="003E3E6B">
    <w:pPr>
      <w:widowControl w:val="0"/>
      <w:autoSpaceDE w:val="0"/>
      <w:autoSpaceDN w:val="0"/>
      <w:adjustRightInd w:val="0"/>
      <w:spacing w:line="240" w:lineRule="auto"/>
      <w:ind w:right="35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8"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4"/>
  </w:num>
  <w:num w:numId="4">
    <w:abstractNumId w:val="7"/>
  </w:num>
  <w:num w:numId="5">
    <w:abstractNumId w:val="8"/>
  </w:num>
  <w:num w:numId="6">
    <w:abstractNumId w:val="3"/>
  </w:num>
  <w:num w:numId="7">
    <w:abstractNumId w:val="16"/>
  </w:num>
  <w:num w:numId="8">
    <w:abstractNumId w:val="13"/>
  </w:num>
  <w:num w:numId="9">
    <w:abstractNumId w:val="2"/>
  </w:num>
  <w:num w:numId="10">
    <w:abstractNumId w:val="12"/>
  </w:num>
  <w:num w:numId="11">
    <w:abstractNumId w:val="0"/>
  </w:num>
  <w:num w:numId="12">
    <w:abstractNumId w:val="19"/>
  </w:num>
  <w:num w:numId="13">
    <w:abstractNumId w:val="11"/>
  </w:num>
  <w:num w:numId="14">
    <w:abstractNumId w:val="6"/>
  </w:num>
  <w:num w:numId="15">
    <w:abstractNumId w:val="10"/>
  </w:num>
  <w:num w:numId="16">
    <w:abstractNumId w:val="5"/>
  </w:num>
  <w:num w:numId="17">
    <w:abstractNumId w:val="1"/>
  </w:num>
  <w:num w:numId="18">
    <w:abstractNumId w:val="17"/>
  </w:num>
  <w:num w:numId="19">
    <w:abstractNumId w:val="4"/>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71A"/>
    <w:rsid w:val="0000092F"/>
    <w:rsid w:val="00000F07"/>
    <w:rsid w:val="00001679"/>
    <w:rsid w:val="0000180C"/>
    <w:rsid w:val="00001F90"/>
    <w:rsid w:val="000022AF"/>
    <w:rsid w:val="0000284A"/>
    <w:rsid w:val="00002C1D"/>
    <w:rsid w:val="00002E38"/>
    <w:rsid w:val="00003317"/>
    <w:rsid w:val="00003330"/>
    <w:rsid w:val="0000356C"/>
    <w:rsid w:val="00003649"/>
    <w:rsid w:val="000036B8"/>
    <w:rsid w:val="000039FF"/>
    <w:rsid w:val="000041F0"/>
    <w:rsid w:val="000042C1"/>
    <w:rsid w:val="00004616"/>
    <w:rsid w:val="000049E1"/>
    <w:rsid w:val="00004C66"/>
    <w:rsid w:val="00004D4F"/>
    <w:rsid w:val="00005D25"/>
    <w:rsid w:val="00005E16"/>
    <w:rsid w:val="0000645D"/>
    <w:rsid w:val="00006BE4"/>
    <w:rsid w:val="000072F1"/>
    <w:rsid w:val="00010098"/>
    <w:rsid w:val="00010345"/>
    <w:rsid w:val="000104E1"/>
    <w:rsid w:val="000107A5"/>
    <w:rsid w:val="00010DB5"/>
    <w:rsid w:val="00011691"/>
    <w:rsid w:val="00011C10"/>
    <w:rsid w:val="00011C9F"/>
    <w:rsid w:val="00011D33"/>
    <w:rsid w:val="000123DA"/>
    <w:rsid w:val="00013063"/>
    <w:rsid w:val="00013406"/>
    <w:rsid w:val="00013E02"/>
    <w:rsid w:val="00013EC4"/>
    <w:rsid w:val="00013F02"/>
    <w:rsid w:val="00014215"/>
    <w:rsid w:val="000142B2"/>
    <w:rsid w:val="000143F4"/>
    <w:rsid w:val="00014595"/>
    <w:rsid w:val="000148A2"/>
    <w:rsid w:val="0001495C"/>
    <w:rsid w:val="00014BED"/>
    <w:rsid w:val="000150BD"/>
    <w:rsid w:val="000151C6"/>
    <w:rsid w:val="000152A8"/>
    <w:rsid w:val="00015C11"/>
    <w:rsid w:val="00015C4E"/>
    <w:rsid w:val="000162E7"/>
    <w:rsid w:val="0001656D"/>
    <w:rsid w:val="0001657D"/>
    <w:rsid w:val="00016873"/>
    <w:rsid w:val="00016A5C"/>
    <w:rsid w:val="00016B27"/>
    <w:rsid w:val="00016B62"/>
    <w:rsid w:val="0001706A"/>
    <w:rsid w:val="00017F4B"/>
    <w:rsid w:val="00020215"/>
    <w:rsid w:val="000203FE"/>
    <w:rsid w:val="00020AE9"/>
    <w:rsid w:val="00020E94"/>
    <w:rsid w:val="00021148"/>
    <w:rsid w:val="00021209"/>
    <w:rsid w:val="00021342"/>
    <w:rsid w:val="000217FD"/>
    <w:rsid w:val="00021A58"/>
    <w:rsid w:val="00022076"/>
    <w:rsid w:val="00022841"/>
    <w:rsid w:val="0002287B"/>
    <w:rsid w:val="00022F79"/>
    <w:rsid w:val="00022FF3"/>
    <w:rsid w:val="00023005"/>
    <w:rsid w:val="0002326F"/>
    <w:rsid w:val="000232F7"/>
    <w:rsid w:val="0002353C"/>
    <w:rsid w:val="00023675"/>
    <w:rsid w:val="000239D7"/>
    <w:rsid w:val="00023EB5"/>
    <w:rsid w:val="00024457"/>
    <w:rsid w:val="00024662"/>
    <w:rsid w:val="00024A68"/>
    <w:rsid w:val="00024D4D"/>
    <w:rsid w:val="0002571A"/>
    <w:rsid w:val="00025A21"/>
    <w:rsid w:val="00025C0C"/>
    <w:rsid w:val="00025C65"/>
    <w:rsid w:val="00025C7D"/>
    <w:rsid w:val="00025FB8"/>
    <w:rsid w:val="000260FB"/>
    <w:rsid w:val="000262BF"/>
    <w:rsid w:val="000263A9"/>
    <w:rsid w:val="00027837"/>
    <w:rsid w:val="00027A49"/>
    <w:rsid w:val="00027F0A"/>
    <w:rsid w:val="0003004D"/>
    <w:rsid w:val="00030283"/>
    <w:rsid w:val="00030C59"/>
    <w:rsid w:val="000314FF"/>
    <w:rsid w:val="00031536"/>
    <w:rsid w:val="000315AA"/>
    <w:rsid w:val="00031F50"/>
    <w:rsid w:val="000320EB"/>
    <w:rsid w:val="000321D5"/>
    <w:rsid w:val="000323EA"/>
    <w:rsid w:val="000324F3"/>
    <w:rsid w:val="00032C85"/>
    <w:rsid w:val="00032CC9"/>
    <w:rsid w:val="00032F97"/>
    <w:rsid w:val="0003316F"/>
    <w:rsid w:val="00033185"/>
    <w:rsid w:val="00033707"/>
    <w:rsid w:val="00033A87"/>
    <w:rsid w:val="00033E47"/>
    <w:rsid w:val="00033EB5"/>
    <w:rsid w:val="0003415B"/>
    <w:rsid w:val="00034270"/>
    <w:rsid w:val="000342B6"/>
    <w:rsid w:val="00034796"/>
    <w:rsid w:val="000359C7"/>
    <w:rsid w:val="00035DEC"/>
    <w:rsid w:val="00035F03"/>
    <w:rsid w:val="0003603A"/>
    <w:rsid w:val="0003632B"/>
    <w:rsid w:val="0003635B"/>
    <w:rsid w:val="00036854"/>
    <w:rsid w:val="00036F1E"/>
    <w:rsid w:val="00037440"/>
    <w:rsid w:val="00040A0A"/>
    <w:rsid w:val="00040B33"/>
    <w:rsid w:val="00040E57"/>
    <w:rsid w:val="00041167"/>
    <w:rsid w:val="00041502"/>
    <w:rsid w:val="00041689"/>
    <w:rsid w:val="00041B9B"/>
    <w:rsid w:val="00041D8F"/>
    <w:rsid w:val="00042364"/>
    <w:rsid w:val="00042AFC"/>
    <w:rsid w:val="000439A7"/>
    <w:rsid w:val="00043C28"/>
    <w:rsid w:val="000442CE"/>
    <w:rsid w:val="00044A46"/>
    <w:rsid w:val="00044ABB"/>
    <w:rsid w:val="00044E26"/>
    <w:rsid w:val="00044F75"/>
    <w:rsid w:val="00045157"/>
    <w:rsid w:val="00045251"/>
    <w:rsid w:val="0004539B"/>
    <w:rsid w:val="00045C62"/>
    <w:rsid w:val="00045C63"/>
    <w:rsid w:val="00045E7D"/>
    <w:rsid w:val="000460C4"/>
    <w:rsid w:val="0004636C"/>
    <w:rsid w:val="00046CF7"/>
    <w:rsid w:val="00046F79"/>
    <w:rsid w:val="00046F8F"/>
    <w:rsid w:val="000472B4"/>
    <w:rsid w:val="00047AFA"/>
    <w:rsid w:val="000502E8"/>
    <w:rsid w:val="00050440"/>
    <w:rsid w:val="0005076D"/>
    <w:rsid w:val="00050CA0"/>
    <w:rsid w:val="00050E71"/>
    <w:rsid w:val="00051050"/>
    <w:rsid w:val="000511A4"/>
    <w:rsid w:val="0005135E"/>
    <w:rsid w:val="000514E2"/>
    <w:rsid w:val="00051C3C"/>
    <w:rsid w:val="00052126"/>
    <w:rsid w:val="00052621"/>
    <w:rsid w:val="000527C6"/>
    <w:rsid w:val="00052814"/>
    <w:rsid w:val="0005282F"/>
    <w:rsid w:val="00052B55"/>
    <w:rsid w:val="00052E2B"/>
    <w:rsid w:val="00052E7C"/>
    <w:rsid w:val="00052EC9"/>
    <w:rsid w:val="00053041"/>
    <w:rsid w:val="00053234"/>
    <w:rsid w:val="00053524"/>
    <w:rsid w:val="00053778"/>
    <w:rsid w:val="00053C58"/>
    <w:rsid w:val="0005420C"/>
    <w:rsid w:val="0005429D"/>
    <w:rsid w:val="00054863"/>
    <w:rsid w:val="00054E45"/>
    <w:rsid w:val="00054E8C"/>
    <w:rsid w:val="00055411"/>
    <w:rsid w:val="00055A2C"/>
    <w:rsid w:val="00055E1B"/>
    <w:rsid w:val="00056023"/>
    <w:rsid w:val="00056867"/>
    <w:rsid w:val="00056F8F"/>
    <w:rsid w:val="000570EE"/>
    <w:rsid w:val="0005739B"/>
    <w:rsid w:val="0006047E"/>
    <w:rsid w:val="000605CC"/>
    <w:rsid w:val="0006071E"/>
    <w:rsid w:val="00060962"/>
    <w:rsid w:val="00060A10"/>
    <w:rsid w:val="00060D51"/>
    <w:rsid w:val="00061169"/>
    <w:rsid w:val="00061758"/>
    <w:rsid w:val="000619AB"/>
    <w:rsid w:val="00062704"/>
    <w:rsid w:val="00062707"/>
    <w:rsid w:val="00062A8C"/>
    <w:rsid w:val="00062D91"/>
    <w:rsid w:val="00062EC8"/>
    <w:rsid w:val="0006314A"/>
    <w:rsid w:val="00063833"/>
    <w:rsid w:val="00063D99"/>
    <w:rsid w:val="00063FDB"/>
    <w:rsid w:val="000641E1"/>
    <w:rsid w:val="00064582"/>
    <w:rsid w:val="000649ED"/>
    <w:rsid w:val="00064D83"/>
    <w:rsid w:val="00064FE5"/>
    <w:rsid w:val="00064FF3"/>
    <w:rsid w:val="00066448"/>
    <w:rsid w:val="00066EDF"/>
    <w:rsid w:val="000678CE"/>
    <w:rsid w:val="000701BA"/>
    <w:rsid w:val="00070271"/>
    <w:rsid w:val="000705E6"/>
    <w:rsid w:val="000706AC"/>
    <w:rsid w:val="000708AE"/>
    <w:rsid w:val="00070DFD"/>
    <w:rsid w:val="00071767"/>
    <w:rsid w:val="000718A3"/>
    <w:rsid w:val="00071BC7"/>
    <w:rsid w:val="00071DAB"/>
    <w:rsid w:val="000722F8"/>
    <w:rsid w:val="000723FC"/>
    <w:rsid w:val="000725C1"/>
    <w:rsid w:val="00072CB1"/>
    <w:rsid w:val="00072DD3"/>
    <w:rsid w:val="000739F5"/>
    <w:rsid w:val="00073B78"/>
    <w:rsid w:val="00073CB3"/>
    <w:rsid w:val="00073DB3"/>
    <w:rsid w:val="00074439"/>
    <w:rsid w:val="00074452"/>
    <w:rsid w:val="00074C0F"/>
    <w:rsid w:val="00074C56"/>
    <w:rsid w:val="00075779"/>
    <w:rsid w:val="00075FD8"/>
    <w:rsid w:val="00076631"/>
    <w:rsid w:val="000768CD"/>
    <w:rsid w:val="00076AFF"/>
    <w:rsid w:val="000775AE"/>
    <w:rsid w:val="000778AA"/>
    <w:rsid w:val="00077B7D"/>
    <w:rsid w:val="00077BE9"/>
    <w:rsid w:val="00077E42"/>
    <w:rsid w:val="00077F0F"/>
    <w:rsid w:val="00080157"/>
    <w:rsid w:val="000805DC"/>
    <w:rsid w:val="00080B97"/>
    <w:rsid w:val="0008136A"/>
    <w:rsid w:val="0008171B"/>
    <w:rsid w:val="00081F74"/>
    <w:rsid w:val="00082157"/>
    <w:rsid w:val="00082852"/>
    <w:rsid w:val="00082E1A"/>
    <w:rsid w:val="00082FB7"/>
    <w:rsid w:val="0008343C"/>
    <w:rsid w:val="00083AEA"/>
    <w:rsid w:val="00083BEE"/>
    <w:rsid w:val="000841F0"/>
    <w:rsid w:val="000843C9"/>
    <w:rsid w:val="00084419"/>
    <w:rsid w:val="0008441D"/>
    <w:rsid w:val="00084A32"/>
    <w:rsid w:val="0008509A"/>
    <w:rsid w:val="00085110"/>
    <w:rsid w:val="00085283"/>
    <w:rsid w:val="00085297"/>
    <w:rsid w:val="00085443"/>
    <w:rsid w:val="00086912"/>
    <w:rsid w:val="00086D58"/>
    <w:rsid w:val="0008798C"/>
    <w:rsid w:val="00087B20"/>
    <w:rsid w:val="00087C29"/>
    <w:rsid w:val="00087DEA"/>
    <w:rsid w:val="00087FBA"/>
    <w:rsid w:val="000902CC"/>
    <w:rsid w:val="000903DB"/>
    <w:rsid w:val="0009054D"/>
    <w:rsid w:val="000907DF"/>
    <w:rsid w:val="00090865"/>
    <w:rsid w:val="00090A63"/>
    <w:rsid w:val="00090C49"/>
    <w:rsid w:val="00091462"/>
    <w:rsid w:val="0009229B"/>
    <w:rsid w:val="000923E9"/>
    <w:rsid w:val="00092E1F"/>
    <w:rsid w:val="00092FCB"/>
    <w:rsid w:val="000935A8"/>
    <w:rsid w:val="0009385C"/>
    <w:rsid w:val="00093953"/>
    <w:rsid w:val="00093CE2"/>
    <w:rsid w:val="00093FAE"/>
    <w:rsid w:val="00094264"/>
    <w:rsid w:val="0009429B"/>
    <w:rsid w:val="000946D8"/>
    <w:rsid w:val="00094941"/>
    <w:rsid w:val="00094CF5"/>
    <w:rsid w:val="000950A0"/>
    <w:rsid w:val="000954D9"/>
    <w:rsid w:val="000958F8"/>
    <w:rsid w:val="00095A9A"/>
    <w:rsid w:val="00095DC4"/>
    <w:rsid w:val="00095DE2"/>
    <w:rsid w:val="000964A2"/>
    <w:rsid w:val="0009687C"/>
    <w:rsid w:val="00097392"/>
    <w:rsid w:val="00097454"/>
    <w:rsid w:val="00097A3D"/>
    <w:rsid w:val="00097E28"/>
    <w:rsid w:val="00097FFE"/>
    <w:rsid w:val="000A0632"/>
    <w:rsid w:val="000A0A57"/>
    <w:rsid w:val="000A0A82"/>
    <w:rsid w:val="000A10EB"/>
    <w:rsid w:val="000A15AD"/>
    <w:rsid w:val="000A15EE"/>
    <w:rsid w:val="000A2287"/>
    <w:rsid w:val="000A2365"/>
    <w:rsid w:val="000A254D"/>
    <w:rsid w:val="000A25DB"/>
    <w:rsid w:val="000A2796"/>
    <w:rsid w:val="000A2883"/>
    <w:rsid w:val="000A2BF3"/>
    <w:rsid w:val="000A2F71"/>
    <w:rsid w:val="000A32FC"/>
    <w:rsid w:val="000A3380"/>
    <w:rsid w:val="000A342E"/>
    <w:rsid w:val="000A344C"/>
    <w:rsid w:val="000A376B"/>
    <w:rsid w:val="000A3F4D"/>
    <w:rsid w:val="000A40B4"/>
    <w:rsid w:val="000A40C1"/>
    <w:rsid w:val="000A438E"/>
    <w:rsid w:val="000A43A4"/>
    <w:rsid w:val="000A46B2"/>
    <w:rsid w:val="000A59FB"/>
    <w:rsid w:val="000A5AB6"/>
    <w:rsid w:val="000A5CC8"/>
    <w:rsid w:val="000A5EB1"/>
    <w:rsid w:val="000A5F64"/>
    <w:rsid w:val="000A6106"/>
    <w:rsid w:val="000A6C47"/>
    <w:rsid w:val="000A6E70"/>
    <w:rsid w:val="000A700C"/>
    <w:rsid w:val="000A7358"/>
    <w:rsid w:val="000A7800"/>
    <w:rsid w:val="000A79D1"/>
    <w:rsid w:val="000A7D91"/>
    <w:rsid w:val="000A7F66"/>
    <w:rsid w:val="000B00D9"/>
    <w:rsid w:val="000B07B5"/>
    <w:rsid w:val="000B0AEA"/>
    <w:rsid w:val="000B0BFA"/>
    <w:rsid w:val="000B0DF8"/>
    <w:rsid w:val="000B1254"/>
    <w:rsid w:val="000B1513"/>
    <w:rsid w:val="000B194A"/>
    <w:rsid w:val="000B1BC1"/>
    <w:rsid w:val="000B1F68"/>
    <w:rsid w:val="000B2B5A"/>
    <w:rsid w:val="000B2C03"/>
    <w:rsid w:val="000B3002"/>
    <w:rsid w:val="000B3247"/>
    <w:rsid w:val="000B35F0"/>
    <w:rsid w:val="000B3828"/>
    <w:rsid w:val="000B393A"/>
    <w:rsid w:val="000B3DED"/>
    <w:rsid w:val="000B4594"/>
    <w:rsid w:val="000B45E5"/>
    <w:rsid w:val="000B4705"/>
    <w:rsid w:val="000B48A9"/>
    <w:rsid w:val="000B4DDE"/>
    <w:rsid w:val="000B4E3B"/>
    <w:rsid w:val="000B572D"/>
    <w:rsid w:val="000B5AC9"/>
    <w:rsid w:val="000B5B53"/>
    <w:rsid w:val="000B5BD6"/>
    <w:rsid w:val="000B5D70"/>
    <w:rsid w:val="000B5DB0"/>
    <w:rsid w:val="000B60B3"/>
    <w:rsid w:val="000B6230"/>
    <w:rsid w:val="000B642A"/>
    <w:rsid w:val="000B662C"/>
    <w:rsid w:val="000B697D"/>
    <w:rsid w:val="000B6E9C"/>
    <w:rsid w:val="000B7050"/>
    <w:rsid w:val="000B7709"/>
    <w:rsid w:val="000B771B"/>
    <w:rsid w:val="000B781A"/>
    <w:rsid w:val="000C0124"/>
    <w:rsid w:val="000C0670"/>
    <w:rsid w:val="000C0E50"/>
    <w:rsid w:val="000C0E6F"/>
    <w:rsid w:val="000C15FA"/>
    <w:rsid w:val="000C160D"/>
    <w:rsid w:val="000C1CDB"/>
    <w:rsid w:val="000C1EB8"/>
    <w:rsid w:val="000C216C"/>
    <w:rsid w:val="000C2328"/>
    <w:rsid w:val="000C23D5"/>
    <w:rsid w:val="000C24A1"/>
    <w:rsid w:val="000C26D8"/>
    <w:rsid w:val="000C2AF4"/>
    <w:rsid w:val="000C2E36"/>
    <w:rsid w:val="000C2E79"/>
    <w:rsid w:val="000C344C"/>
    <w:rsid w:val="000C3490"/>
    <w:rsid w:val="000C397E"/>
    <w:rsid w:val="000C3A80"/>
    <w:rsid w:val="000C3C31"/>
    <w:rsid w:val="000C3FC8"/>
    <w:rsid w:val="000C40B3"/>
    <w:rsid w:val="000C4728"/>
    <w:rsid w:val="000C4D3F"/>
    <w:rsid w:val="000C4EC2"/>
    <w:rsid w:val="000C5315"/>
    <w:rsid w:val="000C54B0"/>
    <w:rsid w:val="000C55C9"/>
    <w:rsid w:val="000C56C2"/>
    <w:rsid w:val="000C5B22"/>
    <w:rsid w:val="000C5B2C"/>
    <w:rsid w:val="000C61D9"/>
    <w:rsid w:val="000C6608"/>
    <w:rsid w:val="000C67A0"/>
    <w:rsid w:val="000C695F"/>
    <w:rsid w:val="000C698B"/>
    <w:rsid w:val="000C6B3A"/>
    <w:rsid w:val="000C6B91"/>
    <w:rsid w:val="000C6FD3"/>
    <w:rsid w:val="000C7029"/>
    <w:rsid w:val="000C7039"/>
    <w:rsid w:val="000C7086"/>
    <w:rsid w:val="000C74FA"/>
    <w:rsid w:val="000C75EF"/>
    <w:rsid w:val="000C7A5D"/>
    <w:rsid w:val="000C7AAF"/>
    <w:rsid w:val="000C7D37"/>
    <w:rsid w:val="000C7F7D"/>
    <w:rsid w:val="000C7FA2"/>
    <w:rsid w:val="000D094E"/>
    <w:rsid w:val="000D0BCC"/>
    <w:rsid w:val="000D0F9B"/>
    <w:rsid w:val="000D12CC"/>
    <w:rsid w:val="000D1CC8"/>
    <w:rsid w:val="000D1FD5"/>
    <w:rsid w:val="000D208E"/>
    <w:rsid w:val="000D21D9"/>
    <w:rsid w:val="000D2389"/>
    <w:rsid w:val="000D24AB"/>
    <w:rsid w:val="000D25BF"/>
    <w:rsid w:val="000D27BB"/>
    <w:rsid w:val="000D2D7B"/>
    <w:rsid w:val="000D32C3"/>
    <w:rsid w:val="000D33B8"/>
    <w:rsid w:val="000D33FF"/>
    <w:rsid w:val="000D342F"/>
    <w:rsid w:val="000D3769"/>
    <w:rsid w:val="000D3852"/>
    <w:rsid w:val="000D44D5"/>
    <w:rsid w:val="000D47FA"/>
    <w:rsid w:val="000D4C53"/>
    <w:rsid w:val="000D4DED"/>
    <w:rsid w:val="000D501B"/>
    <w:rsid w:val="000D5064"/>
    <w:rsid w:val="000D51F6"/>
    <w:rsid w:val="000D589C"/>
    <w:rsid w:val="000D59CB"/>
    <w:rsid w:val="000D601A"/>
    <w:rsid w:val="000D64BF"/>
    <w:rsid w:val="000D6865"/>
    <w:rsid w:val="000D69A6"/>
    <w:rsid w:val="000D6A66"/>
    <w:rsid w:val="000D6BB8"/>
    <w:rsid w:val="000D715A"/>
    <w:rsid w:val="000D715B"/>
    <w:rsid w:val="000D71A3"/>
    <w:rsid w:val="000D7488"/>
    <w:rsid w:val="000D7773"/>
    <w:rsid w:val="000E0B89"/>
    <w:rsid w:val="000E0C18"/>
    <w:rsid w:val="000E0C3C"/>
    <w:rsid w:val="000E0D43"/>
    <w:rsid w:val="000E0D85"/>
    <w:rsid w:val="000E0E01"/>
    <w:rsid w:val="000E12A5"/>
    <w:rsid w:val="000E17DE"/>
    <w:rsid w:val="000E20DD"/>
    <w:rsid w:val="000E278E"/>
    <w:rsid w:val="000E28EB"/>
    <w:rsid w:val="000E2CB1"/>
    <w:rsid w:val="000E325E"/>
    <w:rsid w:val="000E353A"/>
    <w:rsid w:val="000E363C"/>
    <w:rsid w:val="000E391B"/>
    <w:rsid w:val="000E3937"/>
    <w:rsid w:val="000E3B41"/>
    <w:rsid w:val="000E3BA3"/>
    <w:rsid w:val="000E41A9"/>
    <w:rsid w:val="000E45B9"/>
    <w:rsid w:val="000E4683"/>
    <w:rsid w:val="000E4DCC"/>
    <w:rsid w:val="000E4E92"/>
    <w:rsid w:val="000E52CC"/>
    <w:rsid w:val="000E571B"/>
    <w:rsid w:val="000E6697"/>
    <w:rsid w:val="000E6C2F"/>
    <w:rsid w:val="000E76A0"/>
    <w:rsid w:val="000E7E25"/>
    <w:rsid w:val="000F05E1"/>
    <w:rsid w:val="000F0B36"/>
    <w:rsid w:val="000F0C2F"/>
    <w:rsid w:val="000F0C94"/>
    <w:rsid w:val="000F180A"/>
    <w:rsid w:val="000F1D87"/>
    <w:rsid w:val="000F22FF"/>
    <w:rsid w:val="000F2440"/>
    <w:rsid w:val="000F2592"/>
    <w:rsid w:val="000F265A"/>
    <w:rsid w:val="000F26E1"/>
    <w:rsid w:val="000F2F49"/>
    <w:rsid w:val="000F3037"/>
    <w:rsid w:val="000F34A9"/>
    <w:rsid w:val="000F3593"/>
    <w:rsid w:val="000F3716"/>
    <w:rsid w:val="000F3DB6"/>
    <w:rsid w:val="000F3DF5"/>
    <w:rsid w:val="000F3F79"/>
    <w:rsid w:val="000F40F7"/>
    <w:rsid w:val="000F4116"/>
    <w:rsid w:val="000F4144"/>
    <w:rsid w:val="000F48E0"/>
    <w:rsid w:val="000F4CAC"/>
    <w:rsid w:val="000F55D2"/>
    <w:rsid w:val="000F59B3"/>
    <w:rsid w:val="000F5B4E"/>
    <w:rsid w:val="000F5F86"/>
    <w:rsid w:val="000F61E7"/>
    <w:rsid w:val="000F65E7"/>
    <w:rsid w:val="000F6614"/>
    <w:rsid w:val="000F7158"/>
    <w:rsid w:val="000F7BB7"/>
    <w:rsid w:val="000F7F26"/>
    <w:rsid w:val="001002CF"/>
    <w:rsid w:val="00100AD0"/>
    <w:rsid w:val="00100AD9"/>
    <w:rsid w:val="00100B2F"/>
    <w:rsid w:val="00100BE6"/>
    <w:rsid w:val="00100C07"/>
    <w:rsid w:val="00100E68"/>
    <w:rsid w:val="00100F56"/>
    <w:rsid w:val="00100FD7"/>
    <w:rsid w:val="001011E7"/>
    <w:rsid w:val="0010130B"/>
    <w:rsid w:val="00101534"/>
    <w:rsid w:val="00101FD2"/>
    <w:rsid w:val="00102223"/>
    <w:rsid w:val="00102224"/>
    <w:rsid w:val="00102685"/>
    <w:rsid w:val="001028DD"/>
    <w:rsid w:val="001028EE"/>
    <w:rsid w:val="00102A50"/>
    <w:rsid w:val="0010300A"/>
    <w:rsid w:val="001031B3"/>
    <w:rsid w:val="001031B7"/>
    <w:rsid w:val="0010323C"/>
    <w:rsid w:val="001036A6"/>
    <w:rsid w:val="00103A87"/>
    <w:rsid w:val="00103DD6"/>
    <w:rsid w:val="0010497F"/>
    <w:rsid w:val="00104C98"/>
    <w:rsid w:val="00104D7F"/>
    <w:rsid w:val="00104DB4"/>
    <w:rsid w:val="00104DE5"/>
    <w:rsid w:val="00104E10"/>
    <w:rsid w:val="0010526A"/>
    <w:rsid w:val="00105388"/>
    <w:rsid w:val="001056D7"/>
    <w:rsid w:val="0010587D"/>
    <w:rsid w:val="00105C2B"/>
    <w:rsid w:val="0010616D"/>
    <w:rsid w:val="0010627B"/>
    <w:rsid w:val="00106B23"/>
    <w:rsid w:val="00106FFE"/>
    <w:rsid w:val="0010721D"/>
    <w:rsid w:val="001072BE"/>
    <w:rsid w:val="0010760F"/>
    <w:rsid w:val="00107F25"/>
    <w:rsid w:val="0011024D"/>
    <w:rsid w:val="00110284"/>
    <w:rsid w:val="0011056D"/>
    <w:rsid w:val="00110674"/>
    <w:rsid w:val="00110957"/>
    <w:rsid w:val="00110C75"/>
    <w:rsid w:val="0011113C"/>
    <w:rsid w:val="00111357"/>
    <w:rsid w:val="00111438"/>
    <w:rsid w:val="0011158E"/>
    <w:rsid w:val="001116E5"/>
    <w:rsid w:val="001118A8"/>
    <w:rsid w:val="0011227D"/>
    <w:rsid w:val="001125D6"/>
    <w:rsid w:val="001126A8"/>
    <w:rsid w:val="001128FC"/>
    <w:rsid w:val="00112948"/>
    <w:rsid w:val="0011390B"/>
    <w:rsid w:val="00113EBD"/>
    <w:rsid w:val="00113F61"/>
    <w:rsid w:val="001143E9"/>
    <w:rsid w:val="0011467E"/>
    <w:rsid w:val="001146C5"/>
    <w:rsid w:val="001146DB"/>
    <w:rsid w:val="00114CA2"/>
    <w:rsid w:val="00114EF3"/>
    <w:rsid w:val="00114F81"/>
    <w:rsid w:val="00115037"/>
    <w:rsid w:val="0011518B"/>
    <w:rsid w:val="0011526B"/>
    <w:rsid w:val="00115940"/>
    <w:rsid w:val="00115DCE"/>
    <w:rsid w:val="001160A0"/>
    <w:rsid w:val="00116277"/>
    <w:rsid w:val="0011628F"/>
    <w:rsid w:val="00116306"/>
    <w:rsid w:val="001163C3"/>
    <w:rsid w:val="00116AC4"/>
    <w:rsid w:val="00116B2E"/>
    <w:rsid w:val="00116C60"/>
    <w:rsid w:val="00117245"/>
    <w:rsid w:val="00117B6F"/>
    <w:rsid w:val="00117F62"/>
    <w:rsid w:val="0012001C"/>
    <w:rsid w:val="0012045C"/>
    <w:rsid w:val="001204EE"/>
    <w:rsid w:val="00120A14"/>
    <w:rsid w:val="00120E8F"/>
    <w:rsid w:val="00120EA7"/>
    <w:rsid w:val="00120F4B"/>
    <w:rsid w:val="001211E7"/>
    <w:rsid w:val="00121C8E"/>
    <w:rsid w:val="001223D1"/>
    <w:rsid w:val="00122FBE"/>
    <w:rsid w:val="001235E1"/>
    <w:rsid w:val="001239CC"/>
    <w:rsid w:val="00123C45"/>
    <w:rsid w:val="00123D2C"/>
    <w:rsid w:val="00123F2C"/>
    <w:rsid w:val="00124B07"/>
    <w:rsid w:val="001250F1"/>
    <w:rsid w:val="001250FD"/>
    <w:rsid w:val="00125331"/>
    <w:rsid w:val="00125551"/>
    <w:rsid w:val="0012558D"/>
    <w:rsid w:val="00125670"/>
    <w:rsid w:val="0012569B"/>
    <w:rsid w:val="00125C69"/>
    <w:rsid w:val="00126005"/>
    <w:rsid w:val="0012651D"/>
    <w:rsid w:val="0012681B"/>
    <w:rsid w:val="00126EFE"/>
    <w:rsid w:val="001273CB"/>
    <w:rsid w:val="001276EB"/>
    <w:rsid w:val="00127748"/>
    <w:rsid w:val="00127A83"/>
    <w:rsid w:val="00127C06"/>
    <w:rsid w:val="00127E59"/>
    <w:rsid w:val="001302AE"/>
    <w:rsid w:val="00130391"/>
    <w:rsid w:val="001306FC"/>
    <w:rsid w:val="0013075B"/>
    <w:rsid w:val="00130FC6"/>
    <w:rsid w:val="00131111"/>
    <w:rsid w:val="00131311"/>
    <w:rsid w:val="001314FC"/>
    <w:rsid w:val="0013154C"/>
    <w:rsid w:val="001316F1"/>
    <w:rsid w:val="00131801"/>
    <w:rsid w:val="0013204A"/>
    <w:rsid w:val="00132263"/>
    <w:rsid w:val="00132460"/>
    <w:rsid w:val="001329D5"/>
    <w:rsid w:val="00132BAD"/>
    <w:rsid w:val="00132F76"/>
    <w:rsid w:val="0013334F"/>
    <w:rsid w:val="00133490"/>
    <w:rsid w:val="00133669"/>
    <w:rsid w:val="001337CE"/>
    <w:rsid w:val="00133E89"/>
    <w:rsid w:val="00134A68"/>
    <w:rsid w:val="00134B7A"/>
    <w:rsid w:val="00134F71"/>
    <w:rsid w:val="00135B30"/>
    <w:rsid w:val="00135CC1"/>
    <w:rsid w:val="00135D07"/>
    <w:rsid w:val="00136487"/>
    <w:rsid w:val="00136665"/>
    <w:rsid w:val="0013679B"/>
    <w:rsid w:val="00136A61"/>
    <w:rsid w:val="00136BD4"/>
    <w:rsid w:val="001371BA"/>
    <w:rsid w:val="001373DB"/>
    <w:rsid w:val="00137C26"/>
    <w:rsid w:val="0014010E"/>
    <w:rsid w:val="00140297"/>
    <w:rsid w:val="00140307"/>
    <w:rsid w:val="0014059F"/>
    <w:rsid w:val="00140842"/>
    <w:rsid w:val="00140A82"/>
    <w:rsid w:val="00140C3E"/>
    <w:rsid w:val="00140D30"/>
    <w:rsid w:val="00141037"/>
    <w:rsid w:val="001414A3"/>
    <w:rsid w:val="001414E2"/>
    <w:rsid w:val="001415A6"/>
    <w:rsid w:val="001416DF"/>
    <w:rsid w:val="00142212"/>
    <w:rsid w:val="00142235"/>
    <w:rsid w:val="00143289"/>
    <w:rsid w:val="00143396"/>
    <w:rsid w:val="001437C1"/>
    <w:rsid w:val="00143CB4"/>
    <w:rsid w:val="001446D3"/>
    <w:rsid w:val="00144721"/>
    <w:rsid w:val="001449DF"/>
    <w:rsid w:val="00144B97"/>
    <w:rsid w:val="00144DBE"/>
    <w:rsid w:val="001451E7"/>
    <w:rsid w:val="001452AD"/>
    <w:rsid w:val="00145AB1"/>
    <w:rsid w:val="00146135"/>
    <w:rsid w:val="00146AFC"/>
    <w:rsid w:val="00146B49"/>
    <w:rsid w:val="00146C5F"/>
    <w:rsid w:val="00147228"/>
    <w:rsid w:val="00147F23"/>
    <w:rsid w:val="00147F6D"/>
    <w:rsid w:val="00147F79"/>
    <w:rsid w:val="0015002B"/>
    <w:rsid w:val="00150215"/>
    <w:rsid w:val="001502AE"/>
    <w:rsid w:val="00150D05"/>
    <w:rsid w:val="00150D74"/>
    <w:rsid w:val="00150E1F"/>
    <w:rsid w:val="00150F73"/>
    <w:rsid w:val="00150FB5"/>
    <w:rsid w:val="00151ABE"/>
    <w:rsid w:val="00151B5A"/>
    <w:rsid w:val="00151B88"/>
    <w:rsid w:val="001520DE"/>
    <w:rsid w:val="001524DF"/>
    <w:rsid w:val="00152DDD"/>
    <w:rsid w:val="00152F97"/>
    <w:rsid w:val="00153240"/>
    <w:rsid w:val="00153358"/>
    <w:rsid w:val="001535AA"/>
    <w:rsid w:val="001539DF"/>
    <w:rsid w:val="00153A2E"/>
    <w:rsid w:val="00153A89"/>
    <w:rsid w:val="00153CED"/>
    <w:rsid w:val="0015495A"/>
    <w:rsid w:val="00155117"/>
    <w:rsid w:val="00155271"/>
    <w:rsid w:val="0015550B"/>
    <w:rsid w:val="00155770"/>
    <w:rsid w:val="00155D82"/>
    <w:rsid w:val="00155E40"/>
    <w:rsid w:val="0015683C"/>
    <w:rsid w:val="00156D10"/>
    <w:rsid w:val="00156F9F"/>
    <w:rsid w:val="001570B3"/>
    <w:rsid w:val="0015721D"/>
    <w:rsid w:val="00157224"/>
    <w:rsid w:val="0015741E"/>
    <w:rsid w:val="00157843"/>
    <w:rsid w:val="001579E6"/>
    <w:rsid w:val="00157AEB"/>
    <w:rsid w:val="00157F93"/>
    <w:rsid w:val="001604BF"/>
    <w:rsid w:val="00161891"/>
    <w:rsid w:val="00161AF9"/>
    <w:rsid w:val="001621B3"/>
    <w:rsid w:val="00162248"/>
    <w:rsid w:val="001625D8"/>
    <w:rsid w:val="00162706"/>
    <w:rsid w:val="001629CA"/>
    <w:rsid w:val="00162B64"/>
    <w:rsid w:val="00162DD8"/>
    <w:rsid w:val="0016305C"/>
    <w:rsid w:val="00163E82"/>
    <w:rsid w:val="00163FD6"/>
    <w:rsid w:val="001642D5"/>
    <w:rsid w:val="001646D1"/>
    <w:rsid w:val="00164922"/>
    <w:rsid w:val="00164C0A"/>
    <w:rsid w:val="00164F12"/>
    <w:rsid w:val="001653BB"/>
    <w:rsid w:val="0016559C"/>
    <w:rsid w:val="001655B0"/>
    <w:rsid w:val="00165A48"/>
    <w:rsid w:val="00165B4B"/>
    <w:rsid w:val="00165E9F"/>
    <w:rsid w:val="001660B3"/>
    <w:rsid w:val="00166260"/>
    <w:rsid w:val="00166741"/>
    <w:rsid w:val="00167243"/>
    <w:rsid w:val="0016757D"/>
    <w:rsid w:val="00167667"/>
    <w:rsid w:val="00167F39"/>
    <w:rsid w:val="001701DC"/>
    <w:rsid w:val="001703DD"/>
    <w:rsid w:val="0017044D"/>
    <w:rsid w:val="00170494"/>
    <w:rsid w:val="00170638"/>
    <w:rsid w:val="00170952"/>
    <w:rsid w:val="001710FA"/>
    <w:rsid w:val="001711CC"/>
    <w:rsid w:val="0017137C"/>
    <w:rsid w:val="00171503"/>
    <w:rsid w:val="001715C0"/>
    <w:rsid w:val="00171DB6"/>
    <w:rsid w:val="00171E82"/>
    <w:rsid w:val="00171F50"/>
    <w:rsid w:val="001727EA"/>
    <w:rsid w:val="00172F16"/>
    <w:rsid w:val="00173D88"/>
    <w:rsid w:val="00174312"/>
    <w:rsid w:val="00174AB4"/>
    <w:rsid w:val="00175220"/>
    <w:rsid w:val="0017535F"/>
    <w:rsid w:val="00175795"/>
    <w:rsid w:val="001758E1"/>
    <w:rsid w:val="00175933"/>
    <w:rsid w:val="00175A7E"/>
    <w:rsid w:val="00175E8E"/>
    <w:rsid w:val="00176100"/>
    <w:rsid w:val="0017625E"/>
    <w:rsid w:val="00176402"/>
    <w:rsid w:val="00176B30"/>
    <w:rsid w:val="00177780"/>
    <w:rsid w:val="00177DB2"/>
    <w:rsid w:val="0018002C"/>
    <w:rsid w:val="00180087"/>
    <w:rsid w:val="001808B4"/>
    <w:rsid w:val="00180E5B"/>
    <w:rsid w:val="001813BB"/>
    <w:rsid w:val="00181F73"/>
    <w:rsid w:val="00181F94"/>
    <w:rsid w:val="0018204D"/>
    <w:rsid w:val="00182253"/>
    <w:rsid w:val="001826B1"/>
    <w:rsid w:val="001827CC"/>
    <w:rsid w:val="00182860"/>
    <w:rsid w:val="00182875"/>
    <w:rsid w:val="00183325"/>
    <w:rsid w:val="00183754"/>
    <w:rsid w:val="00183B36"/>
    <w:rsid w:val="00183B89"/>
    <w:rsid w:val="00184072"/>
    <w:rsid w:val="00184384"/>
    <w:rsid w:val="00184F7D"/>
    <w:rsid w:val="001852A9"/>
    <w:rsid w:val="00185455"/>
    <w:rsid w:val="0018556D"/>
    <w:rsid w:val="00185B27"/>
    <w:rsid w:val="00185DF1"/>
    <w:rsid w:val="00185DF2"/>
    <w:rsid w:val="00186A86"/>
    <w:rsid w:val="00186AC5"/>
    <w:rsid w:val="00186B8D"/>
    <w:rsid w:val="00186F53"/>
    <w:rsid w:val="00186FCD"/>
    <w:rsid w:val="00187081"/>
    <w:rsid w:val="00187254"/>
    <w:rsid w:val="00187564"/>
    <w:rsid w:val="0019007B"/>
    <w:rsid w:val="001900B1"/>
    <w:rsid w:val="001905C0"/>
    <w:rsid w:val="00190B67"/>
    <w:rsid w:val="00190BDA"/>
    <w:rsid w:val="0019122B"/>
    <w:rsid w:val="00191284"/>
    <w:rsid w:val="00191445"/>
    <w:rsid w:val="00191C4E"/>
    <w:rsid w:val="00191F99"/>
    <w:rsid w:val="00192133"/>
    <w:rsid w:val="00192619"/>
    <w:rsid w:val="0019261E"/>
    <w:rsid w:val="00192934"/>
    <w:rsid w:val="00193652"/>
    <w:rsid w:val="001937A3"/>
    <w:rsid w:val="00194CE7"/>
    <w:rsid w:val="00194F32"/>
    <w:rsid w:val="001957C6"/>
    <w:rsid w:val="00195920"/>
    <w:rsid w:val="001959D7"/>
    <w:rsid w:val="0019632D"/>
    <w:rsid w:val="00196AF5"/>
    <w:rsid w:val="00196B97"/>
    <w:rsid w:val="00196D5B"/>
    <w:rsid w:val="00196EE5"/>
    <w:rsid w:val="00196F1F"/>
    <w:rsid w:val="00197412"/>
    <w:rsid w:val="00197FE9"/>
    <w:rsid w:val="001A0DD9"/>
    <w:rsid w:val="001A1229"/>
    <w:rsid w:val="001A1538"/>
    <w:rsid w:val="001A2149"/>
    <w:rsid w:val="001A2665"/>
    <w:rsid w:val="001A3250"/>
    <w:rsid w:val="001A3498"/>
    <w:rsid w:val="001A3504"/>
    <w:rsid w:val="001A35A5"/>
    <w:rsid w:val="001A3936"/>
    <w:rsid w:val="001A3A70"/>
    <w:rsid w:val="001A3F9A"/>
    <w:rsid w:val="001A4082"/>
    <w:rsid w:val="001A41AC"/>
    <w:rsid w:val="001A4543"/>
    <w:rsid w:val="001A57EC"/>
    <w:rsid w:val="001A604A"/>
    <w:rsid w:val="001A60B8"/>
    <w:rsid w:val="001A6131"/>
    <w:rsid w:val="001A78AB"/>
    <w:rsid w:val="001A79E0"/>
    <w:rsid w:val="001B0371"/>
    <w:rsid w:val="001B039C"/>
    <w:rsid w:val="001B09CA"/>
    <w:rsid w:val="001B0F84"/>
    <w:rsid w:val="001B1497"/>
    <w:rsid w:val="001B15F6"/>
    <w:rsid w:val="001B177E"/>
    <w:rsid w:val="001B17F9"/>
    <w:rsid w:val="001B1C4A"/>
    <w:rsid w:val="001B1D26"/>
    <w:rsid w:val="001B22E6"/>
    <w:rsid w:val="001B2305"/>
    <w:rsid w:val="001B2CD6"/>
    <w:rsid w:val="001B2F11"/>
    <w:rsid w:val="001B3038"/>
    <w:rsid w:val="001B332A"/>
    <w:rsid w:val="001B348C"/>
    <w:rsid w:val="001B36E3"/>
    <w:rsid w:val="001B3A87"/>
    <w:rsid w:val="001B3BF2"/>
    <w:rsid w:val="001B4C5E"/>
    <w:rsid w:val="001B5156"/>
    <w:rsid w:val="001B54C5"/>
    <w:rsid w:val="001B597E"/>
    <w:rsid w:val="001B5D18"/>
    <w:rsid w:val="001B60FB"/>
    <w:rsid w:val="001B6109"/>
    <w:rsid w:val="001B62F4"/>
    <w:rsid w:val="001B673B"/>
    <w:rsid w:val="001B6A1E"/>
    <w:rsid w:val="001B7012"/>
    <w:rsid w:val="001B730A"/>
    <w:rsid w:val="001B7AEB"/>
    <w:rsid w:val="001C04E4"/>
    <w:rsid w:val="001C04F6"/>
    <w:rsid w:val="001C09A7"/>
    <w:rsid w:val="001C0F3C"/>
    <w:rsid w:val="001C11DD"/>
    <w:rsid w:val="001C1657"/>
    <w:rsid w:val="001C1747"/>
    <w:rsid w:val="001C1BD5"/>
    <w:rsid w:val="001C2B6E"/>
    <w:rsid w:val="001C2C4F"/>
    <w:rsid w:val="001C2C99"/>
    <w:rsid w:val="001C3001"/>
    <w:rsid w:val="001C3642"/>
    <w:rsid w:val="001C42C6"/>
    <w:rsid w:val="001C47A1"/>
    <w:rsid w:val="001C5066"/>
    <w:rsid w:val="001C5239"/>
    <w:rsid w:val="001C5963"/>
    <w:rsid w:val="001C5971"/>
    <w:rsid w:val="001C5B82"/>
    <w:rsid w:val="001C5B9F"/>
    <w:rsid w:val="001C5E87"/>
    <w:rsid w:val="001C6080"/>
    <w:rsid w:val="001C6D0F"/>
    <w:rsid w:val="001C6E28"/>
    <w:rsid w:val="001C7217"/>
    <w:rsid w:val="001C72BF"/>
    <w:rsid w:val="001C747A"/>
    <w:rsid w:val="001C78BF"/>
    <w:rsid w:val="001D0475"/>
    <w:rsid w:val="001D07EF"/>
    <w:rsid w:val="001D10FB"/>
    <w:rsid w:val="001D176C"/>
    <w:rsid w:val="001D1BA1"/>
    <w:rsid w:val="001D1D8A"/>
    <w:rsid w:val="001D1E1B"/>
    <w:rsid w:val="001D22F7"/>
    <w:rsid w:val="001D281F"/>
    <w:rsid w:val="001D29F0"/>
    <w:rsid w:val="001D370C"/>
    <w:rsid w:val="001D3841"/>
    <w:rsid w:val="001D3927"/>
    <w:rsid w:val="001D3DEB"/>
    <w:rsid w:val="001D4140"/>
    <w:rsid w:val="001D45B7"/>
    <w:rsid w:val="001D469F"/>
    <w:rsid w:val="001D4767"/>
    <w:rsid w:val="001D4F2A"/>
    <w:rsid w:val="001D4F44"/>
    <w:rsid w:val="001D52E5"/>
    <w:rsid w:val="001D5BBA"/>
    <w:rsid w:val="001D60EE"/>
    <w:rsid w:val="001D6366"/>
    <w:rsid w:val="001D66D6"/>
    <w:rsid w:val="001D6A0B"/>
    <w:rsid w:val="001D6B91"/>
    <w:rsid w:val="001D6F1D"/>
    <w:rsid w:val="001D6F5A"/>
    <w:rsid w:val="001D6FE4"/>
    <w:rsid w:val="001D735C"/>
    <w:rsid w:val="001D78CC"/>
    <w:rsid w:val="001D7A4E"/>
    <w:rsid w:val="001D7B51"/>
    <w:rsid w:val="001E0457"/>
    <w:rsid w:val="001E0757"/>
    <w:rsid w:val="001E11B9"/>
    <w:rsid w:val="001E13E8"/>
    <w:rsid w:val="001E169E"/>
    <w:rsid w:val="001E1B5F"/>
    <w:rsid w:val="001E1BDB"/>
    <w:rsid w:val="001E22EA"/>
    <w:rsid w:val="001E26A9"/>
    <w:rsid w:val="001E29CF"/>
    <w:rsid w:val="001E2CD5"/>
    <w:rsid w:val="001E32C6"/>
    <w:rsid w:val="001E4055"/>
    <w:rsid w:val="001E4547"/>
    <w:rsid w:val="001E45BC"/>
    <w:rsid w:val="001E477C"/>
    <w:rsid w:val="001E4A9A"/>
    <w:rsid w:val="001E4B97"/>
    <w:rsid w:val="001E4FCD"/>
    <w:rsid w:val="001E5091"/>
    <w:rsid w:val="001E513A"/>
    <w:rsid w:val="001E5708"/>
    <w:rsid w:val="001E57FC"/>
    <w:rsid w:val="001E605A"/>
    <w:rsid w:val="001E62B4"/>
    <w:rsid w:val="001E67A5"/>
    <w:rsid w:val="001E6A84"/>
    <w:rsid w:val="001E6CBA"/>
    <w:rsid w:val="001E7059"/>
    <w:rsid w:val="001E7166"/>
    <w:rsid w:val="001E71EC"/>
    <w:rsid w:val="001E7632"/>
    <w:rsid w:val="001E78C1"/>
    <w:rsid w:val="001E7AB2"/>
    <w:rsid w:val="001E7B75"/>
    <w:rsid w:val="001E7C63"/>
    <w:rsid w:val="001E7E8B"/>
    <w:rsid w:val="001E7EC7"/>
    <w:rsid w:val="001E7F63"/>
    <w:rsid w:val="001F05AB"/>
    <w:rsid w:val="001F0996"/>
    <w:rsid w:val="001F0D0F"/>
    <w:rsid w:val="001F0F10"/>
    <w:rsid w:val="001F11DF"/>
    <w:rsid w:val="001F1737"/>
    <w:rsid w:val="001F17DB"/>
    <w:rsid w:val="001F1D8F"/>
    <w:rsid w:val="001F1F1A"/>
    <w:rsid w:val="001F2120"/>
    <w:rsid w:val="001F278D"/>
    <w:rsid w:val="001F29E1"/>
    <w:rsid w:val="001F2B30"/>
    <w:rsid w:val="001F2C8B"/>
    <w:rsid w:val="001F2F82"/>
    <w:rsid w:val="001F495C"/>
    <w:rsid w:val="001F4A51"/>
    <w:rsid w:val="001F4BD7"/>
    <w:rsid w:val="001F59C6"/>
    <w:rsid w:val="001F6B09"/>
    <w:rsid w:val="001F6E34"/>
    <w:rsid w:val="001F74EF"/>
    <w:rsid w:val="001F75A8"/>
    <w:rsid w:val="001F7DDA"/>
    <w:rsid w:val="001F7DE3"/>
    <w:rsid w:val="002003D5"/>
    <w:rsid w:val="0020045A"/>
    <w:rsid w:val="00200630"/>
    <w:rsid w:val="00200792"/>
    <w:rsid w:val="00200C8F"/>
    <w:rsid w:val="00200C9E"/>
    <w:rsid w:val="00200D1D"/>
    <w:rsid w:val="00200DF5"/>
    <w:rsid w:val="0020130B"/>
    <w:rsid w:val="00201352"/>
    <w:rsid w:val="0020160A"/>
    <w:rsid w:val="00201AF5"/>
    <w:rsid w:val="00202244"/>
    <w:rsid w:val="00202466"/>
    <w:rsid w:val="0020267C"/>
    <w:rsid w:val="00202E63"/>
    <w:rsid w:val="00202E7C"/>
    <w:rsid w:val="002031E2"/>
    <w:rsid w:val="00203279"/>
    <w:rsid w:val="0020346C"/>
    <w:rsid w:val="002034FF"/>
    <w:rsid w:val="002037DD"/>
    <w:rsid w:val="00203877"/>
    <w:rsid w:val="00203982"/>
    <w:rsid w:val="00204316"/>
    <w:rsid w:val="00204534"/>
    <w:rsid w:val="002046A3"/>
    <w:rsid w:val="002046F4"/>
    <w:rsid w:val="002048FD"/>
    <w:rsid w:val="00204EA2"/>
    <w:rsid w:val="00205B0C"/>
    <w:rsid w:val="00205D5C"/>
    <w:rsid w:val="00206AB2"/>
    <w:rsid w:val="00206CF6"/>
    <w:rsid w:val="00206FA6"/>
    <w:rsid w:val="00206FF4"/>
    <w:rsid w:val="00207076"/>
    <w:rsid w:val="002075A7"/>
    <w:rsid w:val="002076E3"/>
    <w:rsid w:val="00210255"/>
    <w:rsid w:val="002108A3"/>
    <w:rsid w:val="0021125D"/>
    <w:rsid w:val="002112D8"/>
    <w:rsid w:val="00211406"/>
    <w:rsid w:val="002116A2"/>
    <w:rsid w:val="002123B0"/>
    <w:rsid w:val="00212A33"/>
    <w:rsid w:val="00213204"/>
    <w:rsid w:val="00213686"/>
    <w:rsid w:val="00213F54"/>
    <w:rsid w:val="002144E6"/>
    <w:rsid w:val="00214B0C"/>
    <w:rsid w:val="00214C55"/>
    <w:rsid w:val="002150CD"/>
    <w:rsid w:val="00215250"/>
    <w:rsid w:val="002152B4"/>
    <w:rsid w:val="0021540C"/>
    <w:rsid w:val="0021593F"/>
    <w:rsid w:val="0021600D"/>
    <w:rsid w:val="002168EA"/>
    <w:rsid w:val="00217BA1"/>
    <w:rsid w:val="00217F98"/>
    <w:rsid w:val="0022009C"/>
    <w:rsid w:val="002200AD"/>
    <w:rsid w:val="002203AE"/>
    <w:rsid w:val="00220660"/>
    <w:rsid w:val="00220998"/>
    <w:rsid w:val="00220BA7"/>
    <w:rsid w:val="00220E5D"/>
    <w:rsid w:val="00220EA0"/>
    <w:rsid w:val="00221732"/>
    <w:rsid w:val="00221DCA"/>
    <w:rsid w:val="00221E02"/>
    <w:rsid w:val="0022231A"/>
    <w:rsid w:val="00222916"/>
    <w:rsid w:val="00222944"/>
    <w:rsid w:val="00222FCD"/>
    <w:rsid w:val="00223036"/>
    <w:rsid w:val="00223AB3"/>
    <w:rsid w:val="00223C48"/>
    <w:rsid w:val="00223F06"/>
    <w:rsid w:val="00223F9C"/>
    <w:rsid w:val="00224546"/>
    <w:rsid w:val="00225574"/>
    <w:rsid w:val="002256F7"/>
    <w:rsid w:val="00225D6E"/>
    <w:rsid w:val="002261AE"/>
    <w:rsid w:val="002265BE"/>
    <w:rsid w:val="002266BC"/>
    <w:rsid w:val="00226776"/>
    <w:rsid w:val="002268DC"/>
    <w:rsid w:val="002270CD"/>
    <w:rsid w:val="002276F7"/>
    <w:rsid w:val="00227C2C"/>
    <w:rsid w:val="00227DAF"/>
    <w:rsid w:val="0023010E"/>
    <w:rsid w:val="002301F6"/>
    <w:rsid w:val="0023051E"/>
    <w:rsid w:val="00230654"/>
    <w:rsid w:val="002307B9"/>
    <w:rsid w:val="00231315"/>
    <w:rsid w:val="002315FE"/>
    <w:rsid w:val="00231CB7"/>
    <w:rsid w:val="0023220D"/>
    <w:rsid w:val="0023287D"/>
    <w:rsid w:val="002329C2"/>
    <w:rsid w:val="00232FF1"/>
    <w:rsid w:val="00233230"/>
    <w:rsid w:val="002339D2"/>
    <w:rsid w:val="00233A07"/>
    <w:rsid w:val="00233E54"/>
    <w:rsid w:val="00234059"/>
    <w:rsid w:val="0023410F"/>
    <w:rsid w:val="002342B7"/>
    <w:rsid w:val="00234476"/>
    <w:rsid w:val="00234489"/>
    <w:rsid w:val="002348DC"/>
    <w:rsid w:val="00234D53"/>
    <w:rsid w:val="00235279"/>
    <w:rsid w:val="0023538B"/>
    <w:rsid w:val="0023539B"/>
    <w:rsid w:val="00235510"/>
    <w:rsid w:val="0023555B"/>
    <w:rsid w:val="00236353"/>
    <w:rsid w:val="0023653D"/>
    <w:rsid w:val="00236684"/>
    <w:rsid w:val="002369BE"/>
    <w:rsid w:val="00236B7D"/>
    <w:rsid w:val="00237308"/>
    <w:rsid w:val="002373D5"/>
    <w:rsid w:val="00237896"/>
    <w:rsid w:val="002402BD"/>
    <w:rsid w:val="0024050D"/>
    <w:rsid w:val="00240752"/>
    <w:rsid w:val="00240DAF"/>
    <w:rsid w:val="002410A7"/>
    <w:rsid w:val="0024164C"/>
    <w:rsid w:val="0024190F"/>
    <w:rsid w:val="002420FF"/>
    <w:rsid w:val="002423FD"/>
    <w:rsid w:val="002424CE"/>
    <w:rsid w:val="00242BE0"/>
    <w:rsid w:val="002430C7"/>
    <w:rsid w:val="002432E8"/>
    <w:rsid w:val="00243434"/>
    <w:rsid w:val="00243ED6"/>
    <w:rsid w:val="00243F2B"/>
    <w:rsid w:val="002440CF"/>
    <w:rsid w:val="00244128"/>
    <w:rsid w:val="002446B5"/>
    <w:rsid w:val="0024526D"/>
    <w:rsid w:val="00245EBB"/>
    <w:rsid w:val="002460C0"/>
    <w:rsid w:val="00246749"/>
    <w:rsid w:val="00246BC2"/>
    <w:rsid w:val="00246BDB"/>
    <w:rsid w:val="00246DCC"/>
    <w:rsid w:val="00246F73"/>
    <w:rsid w:val="00247ACE"/>
    <w:rsid w:val="00250035"/>
    <w:rsid w:val="002504A7"/>
    <w:rsid w:val="0025072E"/>
    <w:rsid w:val="002507D5"/>
    <w:rsid w:val="00250ADB"/>
    <w:rsid w:val="00251132"/>
    <w:rsid w:val="00251351"/>
    <w:rsid w:val="0025149B"/>
    <w:rsid w:val="0025173D"/>
    <w:rsid w:val="00251DAB"/>
    <w:rsid w:val="002522C2"/>
    <w:rsid w:val="00252730"/>
    <w:rsid w:val="002528F4"/>
    <w:rsid w:val="00252B5E"/>
    <w:rsid w:val="00252BC4"/>
    <w:rsid w:val="0025303C"/>
    <w:rsid w:val="002531D9"/>
    <w:rsid w:val="002532CD"/>
    <w:rsid w:val="00253A56"/>
    <w:rsid w:val="00253AB7"/>
    <w:rsid w:val="00254050"/>
    <w:rsid w:val="00254286"/>
    <w:rsid w:val="002542C4"/>
    <w:rsid w:val="00254A92"/>
    <w:rsid w:val="00254BB6"/>
    <w:rsid w:val="00254BCB"/>
    <w:rsid w:val="002551BA"/>
    <w:rsid w:val="002552CF"/>
    <w:rsid w:val="0025532D"/>
    <w:rsid w:val="002558C1"/>
    <w:rsid w:val="00255C86"/>
    <w:rsid w:val="002562E2"/>
    <w:rsid w:val="00256583"/>
    <w:rsid w:val="002567A1"/>
    <w:rsid w:val="0025686C"/>
    <w:rsid w:val="00256BC5"/>
    <w:rsid w:val="00256EEB"/>
    <w:rsid w:val="002571B8"/>
    <w:rsid w:val="0025730C"/>
    <w:rsid w:val="00257361"/>
    <w:rsid w:val="00257805"/>
    <w:rsid w:val="00257B4D"/>
    <w:rsid w:val="00257CDE"/>
    <w:rsid w:val="00257E22"/>
    <w:rsid w:val="00260426"/>
    <w:rsid w:val="002608A8"/>
    <w:rsid w:val="00261BBD"/>
    <w:rsid w:val="002625B1"/>
    <w:rsid w:val="0026267C"/>
    <w:rsid w:val="0026280C"/>
    <w:rsid w:val="00262FB9"/>
    <w:rsid w:val="0026308B"/>
    <w:rsid w:val="002639F9"/>
    <w:rsid w:val="00263CB9"/>
    <w:rsid w:val="00263CBC"/>
    <w:rsid w:val="00263D38"/>
    <w:rsid w:val="00263F56"/>
    <w:rsid w:val="00263F5E"/>
    <w:rsid w:val="00263FA2"/>
    <w:rsid w:val="002643F7"/>
    <w:rsid w:val="00264714"/>
    <w:rsid w:val="002647C3"/>
    <w:rsid w:val="002648DF"/>
    <w:rsid w:val="00264C44"/>
    <w:rsid w:val="002652D6"/>
    <w:rsid w:val="0026531C"/>
    <w:rsid w:val="0026563D"/>
    <w:rsid w:val="00265D85"/>
    <w:rsid w:val="0026602B"/>
    <w:rsid w:val="00266100"/>
    <w:rsid w:val="00266217"/>
    <w:rsid w:val="00266218"/>
    <w:rsid w:val="0026623F"/>
    <w:rsid w:val="00266472"/>
    <w:rsid w:val="00266581"/>
    <w:rsid w:val="00266953"/>
    <w:rsid w:val="00266A3D"/>
    <w:rsid w:val="00267924"/>
    <w:rsid w:val="0027012B"/>
    <w:rsid w:val="0027040D"/>
    <w:rsid w:val="00270CB2"/>
    <w:rsid w:val="00270CDE"/>
    <w:rsid w:val="00271675"/>
    <w:rsid w:val="0027192B"/>
    <w:rsid w:val="00271AC8"/>
    <w:rsid w:val="00271B4C"/>
    <w:rsid w:val="00271F5D"/>
    <w:rsid w:val="0027215F"/>
    <w:rsid w:val="002723A6"/>
    <w:rsid w:val="00272594"/>
    <w:rsid w:val="002728AF"/>
    <w:rsid w:val="00272AFB"/>
    <w:rsid w:val="00273A64"/>
    <w:rsid w:val="00273B95"/>
    <w:rsid w:val="00273D7E"/>
    <w:rsid w:val="00273EDE"/>
    <w:rsid w:val="00274A86"/>
    <w:rsid w:val="00274BD0"/>
    <w:rsid w:val="00274D89"/>
    <w:rsid w:val="002752EE"/>
    <w:rsid w:val="002753DC"/>
    <w:rsid w:val="002756BE"/>
    <w:rsid w:val="002756DB"/>
    <w:rsid w:val="00275A26"/>
    <w:rsid w:val="00275A73"/>
    <w:rsid w:val="002767A2"/>
    <w:rsid w:val="00276B49"/>
    <w:rsid w:val="00277145"/>
    <w:rsid w:val="00277CF3"/>
    <w:rsid w:val="002800AE"/>
    <w:rsid w:val="00280124"/>
    <w:rsid w:val="002801A0"/>
    <w:rsid w:val="0028033C"/>
    <w:rsid w:val="002804FA"/>
    <w:rsid w:val="0028057B"/>
    <w:rsid w:val="002806D4"/>
    <w:rsid w:val="00280BBE"/>
    <w:rsid w:val="00280C95"/>
    <w:rsid w:val="00280F23"/>
    <w:rsid w:val="00281262"/>
    <w:rsid w:val="002812AE"/>
    <w:rsid w:val="0028134B"/>
    <w:rsid w:val="00281460"/>
    <w:rsid w:val="002819AF"/>
    <w:rsid w:val="00281FA5"/>
    <w:rsid w:val="00281FE6"/>
    <w:rsid w:val="00282572"/>
    <w:rsid w:val="00282726"/>
    <w:rsid w:val="00283160"/>
    <w:rsid w:val="00283254"/>
    <w:rsid w:val="00283A2B"/>
    <w:rsid w:val="00283F17"/>
    <w:rsid w:val="00284571"/>
    <w:rsid w:val="00284AA1"/>
    <w:rsid w:val="00284B77"/>
    <w:rsid w:val="00284E7D"/>
    <w:rsid w:val="00285144"/>
    <w:rsid w:val="00285331"/>
    <w:rsid w:val="00285427"/>
    <w:rsid w:val="0028558E"/>
    <w:rsid w:val="002856D0"/>
    <w:rsid w:val="00285719"/>
    <w:rsid w:val="0028580D"/>
    <w:rsid w:val="00285E5B"/>
    <w:rsid w:val="00286151"/>
    <w:rsid w:val="002865CA"/>
    <w:rsid w:val="00286AAE"/>
    <w:rsid w:val="00286BA7"/>
    <w:rsid w:val="00286C6A"/>
    <w:rsid w:val="00286DC0"/>
    <w:rsid w:val="002873D8"/>
    <w:rsid w:val="002878B7"/>
    <w:rsid w:val="00290084"/>
    <w:rsid w:val="002900AB"/>
    <w:rsid w:val="00290419"/>
    <w:rsid w:val="0029123F"/>
    <w:rsid w:val="00291245"/>
    <w:rsid w:val="002916DD"/>
    <w:rsid w:val="002918F4"/>
    <w:rsid w:val="00291C94"/>
    <w:rsid w:val="00292500"/>
    <w:rsid w:val="002926C2"/>
    <w:rsid w:val="002926F3"/>
    <w:rsid w:val="00292C17"/>
    <w:rsid w:val="00292E39"/>
    <w:rsid w:val="00293449"/>
    <w:rsid w:val="00293488"/>
    <w:rsid w:val="002934BC"/>
    <w:rsid w:val="0029350D"/>
    <w:rsid w:val="00293548"/>
    <w:rsid w:val="00293554"/>
    <w:rsid w:val="00293661"/>
    <w:rsid w:val="00293CD7"/>
    <w:rsid w:val="00293D00"/>
    <w:rsid w:val="00293D15"/>
    <w:rsid w:val="00293EA2"/>
    <w:rsid w:val="00294062"/>
    <w:rsid w:val="0029411C"/>
    <w:rsid w:val="00294788"/>
    <w:rsid w:val="002949F2"/>
    <w:rsid w:val="00294B97"/>
    <w:rsid w:val="002952C2"/>
    <w:rsid w:val="002953E4"/>
    <w:rsid w:val="00295DBC"/>
    <w:rsid w:val="00295FFC"/>
    <w:rsid w:val="0029732D"/>
    <w:rsid w:val="0029742B"/>
    <w:rsid w:val="0029772C"/>
    <w:rsid w:val="00297BCE"/>
    <w:rsid w:val="00297CDE"/>
    <w:rsid w:val="00297F59"/>
    <w:rsid w:val="00297FF0"/>
    <w:rsid w:val="002A043E"/>
    <w:rsid w:val="002A0D0B"/>
    <w:rsid w:val="002A0F75"/>
    <w:rsid w:val="002A0FCB"/>
    <w:rsid w:val="002A1020"/>
    <w:rsid w:val="002A10CB"/>
    <w:rsid w:val="002A1626"/>
    <w:rsid w:val="002A1748"/>
    <w:rsid w:val="002A1A21"/>
    <w:rsid w:val="002A1C02"/>
    <w:rsid w:val="002A20E0"/>
    <w:rsid w:val="002A2123"/>
    <w:rsid w:val="002A216E"/>
    <w:rsid w:val="002A249C"/>
    <w:rsid w:val="002A349A"/>
    <w:rsid w:val="002A351A"/>
    <w:rsid w:val="002A381A"/>
    <w:rsid w:val="002A39E7"/>
    <w:rsid w:val="002A40F4"/>
    <w:rsid w:val="002A452D"/>
    <w:rsid w:val="002A477D"/>
    <w:rsid w:val="002A496D"/>
    <w:rsid w:val="002A5AFB"/>
    <w:rsid w:val="002A5DA1"/>
    <w:rsid w:val="002A5E0D"/>
    <w:rsid w:val="002A5F66"/>
    <w:rsid w:val="002A5FB0"/>
    <w:rsid w:val="002A5FC9"/>
    <w:rsid w:val="002A6236"/>
    <w:rsid w:val="002A63F6"/>
    <w:rsid w:val="002A66C4"/>
    <w:rsid w:val="002A6841"/>
    <w:rsid w:val="002A69BD"/>
    <w:rsid w:val="002A6D09"/>
    <w:rsid w:val="002A7168"/>
    <w:rsid w:val="002A747D"/>
    <w:rsid w:val="002A7662"/>
    <w:rsid w:val="002A78D6"/>
    <w:rsid w:val="002A7AB1"/>
    <w:rsid w:val="002A7CE2"/>
    <w:rsid w:val="002A7E8A"/>
    <w:rsid w:val="002B042F"/>
    <w:rsid w:val="002B09DF"/>
    <w:rsid w:val="002B0CBE"/>
    <w:rsid w:val="002B0D30"/>
    <w:rsid w:val="002B0F1F"/>
    <w:rsid w:val="002B1232"/>
    <w:rsid w:val="002B13A9"/>
    <w:rsid w:val="002B142B"/>
    <w:rsid w:val="002B1792"/>
    <w:rsid w:val="002B18FC"/>
    <w:rsid w:val="002B1993"/>
    <w:rsid w:val="002B212D"/>
    <w:rsid w:val="002B21C4"/>
    <w:rsid w:val="002B32EC"/>
    <w:rsid w:val="002B33A6"/>
    <w:rsid w:val="002B3FC6"/>
    <w:rsid w:val="002B42E0"/>
    <w:rsid w:val="002B5548"/>
    <w:rsid w:val="002B55A4"/>
    <w:rsid w:val="002B5767"/>
    <w:rsid w:val="002B5892"/>
    <w:rsid w:val="002B58EC"/>
    <w:rsid w:val="002B5979"/>
    <w:rsid w:val="002B5AF6"/>
    <w:rsid w:val="002B5B51"/>
    <w:rsid w:val="002B5F3D"/>
    <w:rsid w:val="002B6320"/>
    <w:rsid w:val="002B6536"/>
    <w:rsid w:val="002B6579"/>
    <w:rsid w:val="002B6A76"/>
    <w:rsid w:val="002B6BEA"/>
    <w:rsid w:val="002B6E9E"/>
    <w:rsid w:val="002B7E65"/>
    <w:rsid w:val="002B7F0C"/>
    <w:rsid w:val="002C0041"/>
    <w:rsid w:val="002C0374"/>
    <w:rsid w:val="002C0B7A"/>
    <w:rsid w:val="002C0CA0"/>
    <w:rsid w:val="002C109F"/>
    <w:rsid w:val="002C1DCF"/>
    <w:rsid w:val="002C24E6"/>
    <w:rsid w:val="002C254E"/>
    <w:rsid w:val="002C2A3A"/>
    <w:rsid w:val="002C2AFE"/>
    <w:rsid w:val="002C329E"/>
    <w:rsid w:val="002C336C"/>
    <w:rsid w:val="002C3439"/>
    <w:rsid w:val="002C3587"/>
    <w:rsid w:val="002C37C1"/>
    <w:rsid w:val="002C3C8F"/>
    <w:rsid w:val="002C4108"/>
    <w:rsid w:val="002C428D"/>
    <w:rsid w:val="002C43F2"/>
    <w:rsid w:val="002C45D0"/>
    <w:rsid w:val="002C4749"/>
    <w:rsid w:val="002C4844"/>
    <w:rsid w:val="002C492B"/>
    <w:rsid w:val="002C4B26"/>
    <w:rsid w:val="002C4E93"/>
    <w:rsid w:val="002C4FD7"/>
    <w:rsid w:val="002C4FE8"/>
    <w:rsid w:val="002C520F"/>
    <w:rsid w:val="002C544D"/>
    <w:rsid w:val="002C550E"/>
    <w:rsid w:val="002C5B59"/>
    <w:rsid w:val="002C5DA3"/>
    <w:rsid w:val="002C646B"/>
    <w:rsid w:val="002C66F5"/>
    <w:rsid w:val="002C683D"/>
    <w:rsid w:val="002C6EA1"/>
    <w:rsid w:val="002C717B"/>
    <w:rsid w:val="002C75F0"/>
    <w:rsid w:val="002C77FC"/>
    <w:rsid w:val="002C798C"/>
    <w:rsid w:val="002C7C95"/>
    <w:rsid w:val="002C7E38"/>
    <w:rsid w:val="002C7F3F"/>
    <w:rsid w:val="002D0C43"/>
    <w:rsid w:val="002D0DB5"/>
    <w:rsid w:val="002D0DC7"/>
    <w:rsid w:val="002D193E"/>
    <w:rsid w:val="002D1A5B"/>
    <w:rsid w:val="002D1D9B"/>
    <w:rsid w:val="002D1E77"/>
    <w:rsid w:val="002D21C5"/>
    <w:rsid w:val="002D2369"/>
    <w:rsid w:val="002D2416"/>
    <w:rsid w:val="002D2614"/>
    <w:rsid w:val="002D26CC"/>
    <w:rsid w:val="002D2A78"/>
    <w:rsid w:val="002D2E27"/>
    <w:rsid w:val="002D31E4"/>
    <w:rsid w:val="002D339F"/>
    <w:rsid w:val="002D3795"/>
    <w:rsid w:val="002D3BDF"/>
    <w:rsid w:val="002D3CA8"/>
    <w:rsid w:val="002D405B"/>
    <w:rsid w:val="002D41DE"/>
    <w:rsid w:val="002D4371"/>
    <w:rsid w:val="002D494C"/>
    <w:rsid w:val="002D4C77"/>
    <w:rsid w:val="002D537C"/>
    <w:rsid w:val="002D539C"/>
    <w:rsid w:val="002D5E88"/>
    <w:rsid w:val="002D68C0"/>
    <w:rsid w:val="002D693F"/>
    <w:rsid w:val="002D6D54"/>
    <w:rsid w:val="002D6EAA"/>
    <w:rsid w:val="002D728E"/>
    <w:rsid w:val="002D7B53"/>
    <w:rsid w:val="002E012E"/>
    <w:rsid w:val="002E0228"/>
    <w:rsid w:val="002E0E48"/>
    <w:rsid w:val="002E0FF7"/>
    <w:rsid w:val="002E104B"/>
    <w:rsid w:val="002E133A"/>
    <w:rsid w:val="002E1D37"/>
    <w:rsid w:val="002E2418"/>
    <w:rsid w:val="002E257D"/>
    <w:rsid w:val="002E2676"/>
    <w:rsid w:val="002E2CAB"/>
    <w:rsid w:val="002E3228"/>
    <w:rsid w:val="002E37B1"/>
    <w:rsid w:val="002E3B47"/>
    <w:rsid w:val="002E42FB"/>
    <w:rsid w:val="002E438E"/>
    <w:rsid w:val="002E43E0"/>
    <w:rsid w:val="002E454F"/>
    <w:rsid w:val="002E4586"/>
    <w:rsid w:val="002E4D59"/>
    <w:rsid w:val="002E4EF0"/>
    <w:rsid w:val="002E50D4"/>
    <w:rsid w:val="002E5283"/>
    <w:rsid w:val="002E5C68"/>
    <w:rsid w:val="002E6392"/>
    <w:rsid w:val="002E6B6B"/>
    <w:rsid w:val="002E6DFF"/>
    <w:rsid w:val="002E6F6B"/>
    <w:rsid w:val="002E7086"/>
    <w:rsid w:val="002E784C"/>
    <w:rsid w:val="002E798D"/>
    <w:rsid w:val="002E7B51"/>
    <w:rsid w:val="002F0274"/>
    <w:rsid w:val="002F04F2"/>
    <w:rsid w:val="002F07A8"/>
    <w:rsid w:val="002F07B2"/>
    <w:rsid w:val="002F0AFA"/>
    <w:rsid w:val="002F0DA3"/>
    <w:rsid w:val="002F0F27"/>
    <w:rsid w:val="002F0FA8"/>
    <w:rsid w:val="002F10B7"/>
    <w:rsid w:val="002F146F"/>
    <w:rsid w:val="002F1B68"/>
    <w:rsid w:val="002F2165"/>
    <w:rsid w:val="002F26F3"/>
    <w:rsid w:val="002F2ACC"/>
    <w:rsid w:val="002F2F89"/>
    <w:rsid w:val="002F34A7"/>
    <w:rsid w:val="002F3D1B"/>
    <w:rsid w:val="002F42B5"/>
    <w:rsid w:val="002F4789"/>
    <w:rsid w:val="002F4A73"/>
    <w:rsid w:val="002F4EC9"/>
    <w:rsid w:val="002F513A"/>
    <w:rsid w:val="002F5A66"/>
    <w:rsid w:val="002F6165"/>
    <w:rsid w:val="002F65C7"/>
    <w:rsid w:val="002F6FA4"/>
    <w:rsid w:val="002F7320"/>
    <w:rsid w:val="002F765C"/>
    <w:rsid w:val="002F7714"/>
    <w:rsid w:val="002F79B0"/>
    <w:rsid w:val="002F7A71"/>
    <w:rsid w:val="002F7B88"/>
    <w:rsid w:val="002F7D0C"/>
    <w:rsid w:val="003001FC"/>
    <w:rsid w:val="003006D5"/>
    <w:rsid w:val="00300761"/>
    <w:rsid w:val="00300893"/>
    <w:rsid w:val="00300D15"/>
    <w:rsid w:val="0030109A"/>
    <w:rsid w:val="0030183C"/>
    <w:rsid w:val="00301A21"/>
    <w:rsid w:val="00301AD6"/>
    <w:rsid w:val="00302139"/>
    <w:rsid w:val="003021A9"/>
    <w:rsid w:val="003021D8"/>
    <w:rsid w:val="00302477"/>
    <w:rsid w:val="003024C7"/>
    <w:rsid w:val="00302582"/>
    <w:rsid w:val="0030260E"/>
    <w:rsid w:val="00302BC7"/>
    <w:rsid w:val="00302CA8"/>
    <w:rsid w:val="00302E4A"/>
    <w:rsid w:val="00302E6C"/>
    <w:rsid w:val="00303092"/>
    <w:rsid w:val="0030347E"/>
    <w:rsid w:val="003034A0"/>
    <w:rsid w:val="00303592"/>
    <w:rsid w:val="003036CF"/>
    <w:rsid w:val="003036E6"/>
    <w:rsid w:val="003038BC"/>
    <w:rsid w:val="00303965"/>
    <w:rsid w:val="00303AD2"/>
    <w:rsid w:val="00303C1A"/>
    <w:rsid w:val="00303E1A"/>
    <w:rsid w:val="0030400B"/>
    <w:rsid w:val="0030402D"/>
    <w:rsid w:val="003045C7"/>
    <w:rsid w:val="00304CE9"/>
    <w:rsid w:val="00304F03"/>
    <w:rsid w:val="00304FB2"/>
    <w:rsid w:val="00305567"/>
    <w:rsid w:val="00305689"/>
    <w:rsid w:val="003057D3"/>
    <w:rsid w:val="00306051"/>
    <w:rsid w:val="00306485"/>
    <w:rsid w:val="003067FF"/>
    <w:rsid w:val="00306829"/>
    <w:rsid w:val="00306835"/>
    <w:rsid w:val="0030684A"/>
    <w:rsid w:val="0030685B"/>
    <w:rsid w:val="003073E8"/>
    <w:rsid w:val="003076F9"/>
    <w:rsid w:val="003079F9"/>
    <w:rsid w:val="00307C49"/>
    <w:rsid w:val="00307DC8"/>
    <w:rsid w:val="00307FCC"/>
    <w:rsid w:val="00310108"/>
    <w:rsid w:val="00310690"/>
    <w:rsid w:val="003108E3"/>
    <w:rsid w:val="003117AC"/>
    <w:rsid w:val="003117BE"/>
    <w:rsid w:val="00311D00"/>
    <w:rsid w:val="00311F2E"/>
    <w:rsid w:val="003124FB"/>
    <w:rsid w:val="00312791"/>
    <w:rsid w:val="0031298C"/>
    <w:rsid w:val="00312C13"/>
    <w:rsid w:val="00313735"/>
    <w:rsid w:val="00314C04"/>
    <w:rsid w:val="00314C3A"/>
    <w:rsid w:val="00314F91"/>
    <w:rsid w:val="00315316"/>
    <w:rsid w:val="00315599"/>
    <w:rsid w:val="003155F2"/>
    <w:rsid w:val="00315645"/>
    <w:rsid w:val="00315DB7"/>
    <w:rsid w:val="00316713"/>
    <w:rsid w:val="00316F7C"/>
    <w:rsid w:val="003171F1"/>
    <w:rsid w:val="00317346"/>
    <w:rsid w:val="00317ECA"/>
    <w:rsid w:val="003200BE"/>
    <w:rsid w:val="00320862"/>
    <w:rsid w:val="0032094C"/>
    <w:rsid w:val="00320974"/>
    <w:rsid w:val="00320998"/>
    <w:rsid w:val="00320A42"/>
    <w:rsid w:val="003211B0"/>
    <w:rsid w:val="00321341"/>
    <w:rsid w:val="00321DB8"/>
    <w:rsid w:val="00322199"/>
    <w:rsid w:val="00322DAC"/>
    <w:rsid w:val="00322F6B"/>
    <w:rsid w:val="00323032"/>
    <w:rsid w:val="003231D6"/>
    <w:rsid w:val="00323206"/>
    <w:rsid w:val="00323369"/>
    <w:rsid w:val="00323492"/>
    <w:rsid w:val="0032461A"/>
    <w:rsid w:val="00324961"/>
    <w:rsid w:val="0032511B"/>
    <w:rsid w:val="003252E4"/>
    <w:rsid w:val="003255C6"/>
    <w:rsid w:val="003256DB"/>
    <w:rsid w:val="00325D36"/>
    <w:rsid w:val="00325EE5"/>
    <w:rsid w:val="00326080"/>
    <w:rsid w:val="003263A9"/>
    <w:rsid w:val="0032691D"/>
    <w:rsid w:val="003269EA"/>
    <w:rsid w:val="00326B68"/>
    <w:rsid w:val="00326D2E"/>
    <w:rsid w:val="00327181"/>
    <w:rsid w:val="003274AC"/>
    <w:rsid w:val="00327CDD"/>
    <w:rsid w:val="00327F4A"/>
    <w:rsid w:val="00327F7F"/>
    <w:rsid w:val="003300B2"/>
    <w:rsid w:val="003300B4"/>
    <w:rsid w:val="003301C9"/>
    <w:rsid w:val="003301CF"/>
    <w:rsid w:val="003301D9"/>
    <w:rsid w:val="003306B0"/>
    <w:rsid w:val="0033113C"/>
    <w:rsid w:val="0033132A"/>
    <w:rsid w:val="003315DC"/>
    <w:rsid w:val="003320FA"/>
    <w:rsid w:val="00332D87"/>
    <w:rsid w:val="00332DCC"/>
    <w:rsid w:val="0033319E"/>
    <w:rsid w:val="00333536"/>
    <w:rsid w:val="0033354E"/>
    <w:rsid w:val="003335B9"/>
    <w:rsid w:val="00334202"/>
    <w:rsid w:val="00334207"/>
    <w:rsid w:val="003347E8"/>
    <w:rsid w:val="00334A3A"/>
    <w:rsid w:val="00334E06"/>
    <w:rsid w:val="00334E6C"/>
    <w:rsid w:val="00334F5C"/>
    <w:rsid w:val="0033510A"/>
    <w:rsid w:val="003353E9"/>
    <w:rsid w:val="003354FE"/>
    <w:rsid w:val="00335885"/>
    <w:rsid w:val="00335897"/>
    <w:rsid w:val="00335A54"/>
    <w:rsid w:val="00335B9F"/>
    <w:rsid w:val="00335FED"/>
    <w:rsid w:val="0033603F"/>
    <w:rsid w:val="003360F4"/>
    <w:rsid w:val="0033642B"/>
    <w:rsid w:val="00336919"/>
    <w:rsid w:val="00336A59"/>
    <w:rsid w:val="00336C78"/>
    <w:rsid w:val="00336F21"/>
    <w:rsid w:val="00336F89"/>
    <w:rsid w:val="003373A5"/>
    <w:rsid w:val="00337526"/>
    <w:rsid w:val="0033755D"/>
    <w:rsid w:val="00337B19"/>
    <w:rsid w:val="00340286"/>
    <w:rsid w:val="0034041E"/>
    <w:rsid w:val="00340754"/>
    <w:rsid w:val="00341411"/>
    <w:rsid w:val="0034161F"/>
    <w:rsid w:val="00341BC4"/>
    <w:rsid w:val="00341BEB"/>
    <w:rsid w:val="00341DA2"/>
    <w:rsid w:val="00341DAA"/>
    <w:rsid w:val="00342840"/>
    <w:rsid w:val="00342C5E"/>
    <w:rsid w:val="00342D98"/>
    <w:rsid w:val="00342D9F"/>
    <w:rsid w:val="00342DA9"/>
    <w:rsid w:val="00343824"/>
    <w:rsid w:val="003441BC"/>
    <w:rsid w:val="00344797"/>
    <w:rsid w:val="00344ADB"/>
    <w:rsid w:val="00344B6F"/>
    <w:rsid w:val="00344BA0"/>
    <w:rsid w:val="00344FFC"/>
    <w:rsid w:val="0034598C"/>
    <w:rsid w:val="00345F3A"/>
    <w:rsid w:val="003460F6"/>
    <w:rsid w:val="003462E7"/>
    <w:rsid w:val="00346464"/>
    <w:rsid w:val="0034695C"/>
    <w:rsid w:val="00346FF5"/>
    <w:rsid w:val="0034765D"/>
    <w:rsid w:val="003501D4"/>
    <w:rsid w:val="00350314"/>
    <w:rsid w:val="00350430"/>
    <w:rsid w:val="003504BE"/>
    <w:rsid w:val="0035060B"/>
    <w:rsid w:val="0035084D"/>
    <w:rsid w:val="003509F2"/>
    <w:rsid w:val="00350CBC"/>
    <w:rsid w:val="00350D2D"/>
    <w:rsid w:val="00350E83"/>
    <w:rsid w:val="00350F7B"/>
    <w:rsid w:val="00350FAB"/>
    <w:rsid w:val="003512BE"/>
    <w:rsid w:val="00351BD1"/>
    <w:rsid w:val="00351EF5"/>
    <w:rsid w:val="0035212A"/>
    <w:rsid w:val="00352389"/>
    <w:rsid w:val="003524F2"/>
    <w:rsid w:val="0035255F"/>
    <w:rsid w:val="003526AF"/>
    <w:rsid w:val="003527CF"/>
    <w:rsid w:val="00352C28"/>
    <w:rsid w:val="00352D88"/>
    <w:rsid w:val="00353278"/>
    <w:rsid w:val="00353572"/>
    <w:rsid w:val="00353E99"/>
    <w:rsid w:val="00353F9C"/>
    <w:rsid w:val="003540F3"/>
    <w:rsid w:val="00354548"/>
    <w:rsid w:val="00354769"/>
    <w:rsid w:val="00354DAA"/>
    <w:rsid w:val="00354EE3"/>
    <w:rsid w:val="00355126"/>
    <w:rsid w:val="003551B1"/>
    <w:rsid w:val="00355664"/>
    <w:rsid w:val="0035574F"/>
    <w:rsid w:val="003557A8"/>
    <w:rsid w:val="003557AC"/>
    <w:rsid w:val="003562AB"/>
    <w:rsid w:val="003568A8"/>
    <w:rsid w:val="0035706D"/>
    <w:rsid w:val="00357777"/>
    <w:rsid w:val="003578A6"/>
    <w:rsid w:val="0036024B"/>
    <w:rsid w:val="00360DDE"/>
    <w:rsid w:val="00361519"/>
    <w:rsid w:val="003615E5"/>
    <w:rsid w:val="00361658"/>
    <w:rsid w:val="003617AA"/>
    <w:rsid w:val="00361982"/>
    <w:rsid w:val="00361E21"/>
    <w:rsid w:val="003621E5"/>
    <w:rsid w:val="00362925"/>
    <w:rsid w:val="00362A7E"/>
    <w:rsid w:val="003633AA"/>
    <w:rsid w:val="003636F5"/>
    <w:rsid w:val="00363E88"/>
    <w:rsid w:val="00364520"/>
    <w:rsid w:val="00364D87"/>
    <w:rsid w:val="0036502C"/>
    <w:rsid w:val="00366259"/>
    <w:rsid w:val="003666F2"/>
    <w:rsid w:val="00366AB8"/>
    <w:rsid w:val="00366AE7"/>
    <w:rsid w:val="00366DEC"/>
    <w:rsid w:val="0036705C"/>
    <w:rsid w:val="003670EC"/>
    <w:rsid w:val="003675C7"/>
    <w:rsid w:val="00367782"/>
    <w:rsid w:val="003679E1"/>
    <w:rsid w:val="00367B03"/>
    <w:rsid w:val="0037010C"/>
    <w:rsid w:val="003708C7"/>
    <w:rsid w:val="00370C14"/>
    <w:rsid w:val="00371089"/>
    <w:rsid w:val="003710AE"/>
    <w:rsid w:val="003711B0"/>
    <w:rsid w:val="0037159A"/>
    <w:rsid w:val="00371EA2"/>
    <w:rsid w:val="00371F4D"/>
    <w:rsid w:val="003728AB"/>
    <w:rsid w:val="00372D1F"/>
    <w:rsid w:val="00372DD9"/>
    <w:rsid w:val="00373820"/>
    <w:rsid w:val="00373B6B"/>
    <w:rsid w:val="00373C91"/>
    <w:rsid w:val="00373E6A"/>
    <w:rsid w:val="00373F22"/>
    <w:rsid w:val="00374161"/>
    <w:rsid w:val="00374670"/>
    <w:rsid w:val="0037467B"/>
    <w:rsid w:val="003749C4"/>
    <w:rsid w:val="003756FA"/>
    <w:rsid w:val="0037583D"/>
    <w:rsid w:val="00375BCB"/>
    <w:rsid w:val="00376B13"/>
    <w:rsid w:val="00376F4A"/>
    <w:rsid w:val="0037735C"/>
    <w:rsid w:val="003773AC"/>
    <w:rsid w:val="003773C4"/>
    <w:rsid w:val="00377514"/>
    <w:rsid w:val="00377656"/>
    <w:rsid w:val="00377690"/>
    <w:rsid w:val="00377A55"/>
    <w:rsid w:val="0038043A"/>
    <w:rsid w:val="003805F7"/>
    <w:rsid w:val="0038069C"/>
    <w:rsid w:val="00380755"/>
    <w:rsid w:val="003808CA"/>
    <w:rsid w:val="0038145A"/>
    <w:rsid w:val="00381878"/>
    <w:rsid w:val="00381AD6"/>
    <w:rsid w:val="00381B23"/>
    <w:rsid w:val="00382240"/>
    <w:rsid w:val="00382545"/>
    <w:rsid w:val="003829B7"/>
    <w:rsid w:val="00383080"/>
    <w:rsid w:val="003839B2"/>
    <w:rsid w:val="00383C34"/>
    <w:rsid w:val="00383C7F"/>
    <w:rsid w:val="00384468"/>
    <w:rsid w:val="003845CB"/>
    <w:rsid w:val="003846CB"/>
    <w:rsid w:val="00384B85"/>
    <w:rsid w:val="00384C72"/>
    <w:rsid w:val="00384F0B"/>
    <w:rsid w:val="00385066"/>
    <w:rsid w:val="003854BD"/>
    <w:rsid w:val="00385624"/>
    <w:rsid w:val="00385741"/>
    <w:rsid w:val="0038585C"/>
    <w:rsid w:val="003858FC"/>
    <w:rsid w:val="00385A60"/>
    <w:rsid w:val="00385A78"/>
    <w:rsid w:val="00385C00"/>
    <w:rsid w:val="00385E41"/>
    <w:rsid w:val="00385E4A"/>
    <w:rsid w:val="00385EF5"/>
    <w:rsid w:val="00385F63"/>
    <w:rsid w:val="00386006"/>
    <w:rsid w:val="003862CB"/>
    <w:rsid w:val="003864EA"/>
    <w:rsid w:val="003865B6"/>
    <w:rsid w:val="003865BE"/>
    <w:rsid w:val="00386790"/>
    <w:rsid w:val="00386991"/>
    <w:rsid w:val="00386CE1"/>
    <w:rsid w:val="00387367"/>
    <w:rsid w:val="0038736D"/>
    <w:rsid w:val="003879A5"/>
    <w:rsid w:val="003903C8"/>
    <w:rsid w:val="003915D5"/>
    <w:rsid w:val="00391B76"/>
    <w:rsid w:val="00391EDE"/>
    <w:rsid w:val="0039201C"/>
    <w:rsid w:val="00393040"/>
    <w:rsid w:val="00393203"/>
    <w:rsid w:val="003939D6"/>
    <w:rsid w:val="00393B17"/>
    <w:rsid w:val="00393FEE"/>
    <w:rsid w:val="00394284"/>
    <w:rsid w:val="00394839"/>
    <w:rsid w:val="0039520C"/>
    <w:rsid w:val="0039544D"/>
    <w:rsid w:val="00395A5D"/>
    <w:rsid w:val="00395F0D"/>
    <w:rsid w:val="00396226"/>
    <w:rsid w:val="00396532"/>
    <w:rsid w:val="00396CFF"/>
    <w:rsid w:val="00396D6A"/>
    <w:rsid w:val="00396E27"/>
    <w:rsid w:val="00396F5E"/>
    <w:rsid w:val="0039774A"/>
    <w:rsid w:val="00397D10"/>
    <w:rsid w:val="003A061B"/>
    <w:rsid w:val="003A0677"/>
    <w:rsid w:val="003A06A2"/>
    <w:rsid w:val="003A0767"/>
    <w:rsid w:val="003A0C0C"/>
    <w:rsid w:val="003A14CA"/>
    <w:rsid w:val="003A1A76"/>
    <w:rsid w:val="003A1DBE"/>
    <w:rsid w:val="003A1EA2"/>
    <w:rsid w:val="003A24F6"/>
    <w:rsid w:val="003A2D52"/>
    <w:rsid w:val="003A3003"/>
    <w:rsid w:val="003A3104"/>
    <w:rsid w:val="003A3111"/>
    <w:rsid w:val="003A3408"/>
    <w:rsid w:val="003A36EB"/>
    <w:rsid w:val="003A3955"/>
    <w:rsid w:val="003A3AED"/>
    <w:rsid w:val="003A419A"/>
    <w:rsid w:val="003A4362"/>
    <w:rsid w:val="003A4752"/>
    <w:rsid w:val="003A4774"/>
    <w:rsid w:val="003A4791"/>
    <w:rsid w:val="003A495E"/>
    <w:rsid w:val="003A4979"/>
    <w:rsid w:val="003A54A2"/>
    <w:rsid w:val="003A553A"/>
    <w:rsid w:val="003A559E"/>
    <w:rsid w:val="003A5843"/>
    <w:rsid w:val="003A6344"/>
    <w:rsid w:val="003A6C61"/>
    <w:rsid w:val="003A7311"/>
    <w:rsid w:val="003A745F"/>
    <w:rsid w:val="003A746B"/>
    <w:rsid w:val="003A75E0"/>
    <w:rsid w:val="003B00EE"/>
    <w:rsid w:val="003B0D79"/>
    <w:rsid w:val="003B1291"/>
    <w:rsid w:val="003B148D"/>
    <w:rsid w:val="003B1C58"/>
    <w:rsid w:val="003B2738"/>
    <w:rsid w:val="003B2A11"/>
    <w:rsid w:val="003B2A8F"/>
    <w:rsid w:val="003B302E"/>
    <w:rsid w:val="003B34A9"/>
    <w:rsid w:val="003B36CD"/>
    <w:rsid w:val="003B3931"/>
    <w:rsid w:val="003B397B"/>
    <w:rsid w:val="003B3AC6"/>
    <w:rsid w:val="003B42B5"/>
    <w:rsid w:val="003B4642"/>
    <w:rsid w:val="003B4B46"/>
    <w:rsid w:val="003B4E98"/>
    <w:rsid w:val="003B5ADA"/>
    <w:rsid w:val="003B60A8"/>
    <w:rsid w:val="003B61E5"/>
    <w:rsid w:val="003B7153"/>
    <w:rsid w:val="003B7917"/>
    <w:rsid w:val="003B7984"/>
    <w:rsid w:val="003B7AC4"/>
    <w:rsid w:val="003B7E90"/>
    <w:rsid w:val="003C00AD"/>
    <w:rsid w:val="003C02F8"/>
    <w:rsid w:val="003C0FF1"/>
    <w:rsid w:val="003C13A4"/>
    <w:rsid w:val="003C1696"/>
    <w:rsid w:val="003C1861"/>
    <w:rsid w:val="003C1975"/>
    <w:rsid w:val="003C1C06"/>
    <w:rsid w:val="003C23C5"/>
    <w:rsid w:val="003C2652"/>
    <w:rsid w:val="003C2783"/>
    <w:rsid w:val="003C2B03"/>
    <w:rsid w:val="003C2DEA"/>
    <w:rsid w:val="003C2E5E"/>
    <w:rsid w:val="003C31C5"/>
    <w:rsid w:val="003C32EF"/>
    <w:rsid w:val="003C38E8"/>
    <w:rsid w:val="003C3C76"/>
    <w:rsid w:val="003C400E"/>
    <w:rsid w:val="003C40F2"/>
    <w:rsid w:val="003C4224"/>
    <w:rsid w:val="003C43B7"/>
    <w:rsid w:val="003C4435"/>
    <w:rsid w:val="003C4581"/>
    <w:rsid w:val="003C49BF"/>
    <w:rsid w:val="003C4ABB"/>
    <w:rsid w:val="003C519C"/>
    <w:rsid w:val="003C53D8"/>
    <w:rsid w:val="003C584C"/>
    <w:rsid w:val="003C5961"/>
    <w:rsid w:val="003C5A32"/>
    <w:rsid w:val="003C5EF4"/>
    <w:rsid w:val="003C63FD"/>
    <w:rsid w:val="003C65F3"/>
    <w:rsid w:val="003C69EF"/>
    <w:rsid w:val="003C6F0A"/>
    <w:rsid w:val="003C70C5"/>
    <w:rsid w:val="003C7B34"/>
    <w:rsid w:val="003C7CCD"/>
    <w:rsid w:val="003D07F9"/>
    <w:rsid w:val="003D0878"/>
    <w:rsid w:val="003D0890"/>
    <w:rsid w:val="003D08D1"/>
    <w:rsid w:val="003D0E63"/>
    <w:rsid w:val="003D15F7"/>
    <w:rsid w:val="003D1863"/>
    <w:rsid w:val="003D1CAD"/>
    <w:rsid w:val="003D1E78"/>
    <w:rsid w:val="003D249C"/>
    <w:rsid w:val="003D25D0"/>
    <w:rsid w:val="003D279C"/>
    <w:rsid w:val="003D28BE"/>
    <w:rsid w:val="003D2D4D"/>
    <w:rsid w:val="003D2FD5"/>
    <w:rsid w:val="003D3385"/>
    <w:rsid w:val="003D3945"/>
    <w:rsid w:val="003D3AB4"/>
    <w:rsid w:val="003D3B07"/>
    <w:rsid w:val="003D4403"/>
    <w:rsid w:val="003D47DB"/>
    <w:rsid w:val="003D4A56"/>
    <w:rsid w:val="003D4E09"/>
    <w:rsid w:val="003D517C"/>
    <w:rsid w:val="003D5599"/>
    <w:rsid w:val="003D5E0E"/>
    <w:rsid w:val="003D5F05"/>
    <w:rsid w:val="003D61BE"/>
    <w:rsid w:val="003D6258"/>
    <w:rsid w:val="003D6383"/>
    <w:rsid w:val="003D63AC"/>
    <w:rsid w:val="003D6477"/>
    <w:rsid w:val="003D655F"/>
    <w:rsid w:val="003D6625"/>
    <w:rsid w:val="003D682A"/>
    <w:rsid w:val="003D69A1"/>
    <w:rsid w:val="003D69C9"/>
    <w:rsid w:val="003D6DEC"/>
    <w:rsid w:val="003D6DFE"/>
    <w:rsid w:val="003D7156"/>
    <w:rsid w:val="003D7978"/>
    <w:rsid w:val="003D7BC8"/>
    <w:rsid w:val="003D7C66"/>
    <w:rsid w:val="003D7F77"/>
    <w:rsid w:val="003E027E"/>
    <w:rsid w:val="003E02DC"/>
    <w:rsid w:val="003E05AF"/>
    <w:rsid w:val="003E0824"/>
    <w:rsid w:val="003E0CD2"/>
    <w:rsid w:val="003E0DF6"/>
    <w:rsid w:val="003E0E2B"/>
    <w:rsid w:val="003E1E71"/>
    <w:rsid w:val="003E209B"/>
    <w:rsid w:val="003E21D5"/>
    <w:rsid w:val="003E24CB"/>
    <w:rsid w:val="003E2ADF"/>
    <w:rsid w:val="003E31D4"/>
    <w:rsid w:val="003E36A6"/>
    <w:rsid w:val="003E37A2"/>
    <w:rsid w:val="003E38F6"/>
    <w:rsid w:val="003E3CFC"/>
    <w:rsid w:val="003E3D5C"/>
    <w:rsid w:val="003E3E6B"/>
    <w:rsid w:val="003E44B8"/>
    <w:rsid w:val="003E4910"/>
    <w:rsid w:val="003E51BD"/>
    <w:rsid w:val="003E5398"/>
    <w:rsid w:val="003E55F2"/>
    <w:rsid w:val="003E598A"/>
    <w:rsid w:val="003E637A"/>
    <w:rsid w:val="003E661E"/>
    <w:rsid w:val="003E762D"/>
    <w:rsid w:val="003E7C5E"/>
    <w:rsid w:val="003F0457"/>
    <w:rsid w:val="003F0E64"/>
    <w:rsid w:val="003F1035"/>
    <w:rsid w:val="003F104A"/>
    <w:rsid w:val="003F12DA"/>
    <w:rsid w:val="003F14BC"/>
    <w:rsid w:val="003F1B54"/>
    <w:rsid w:val="003F2168"/>
    <w:rsid w:val="003F2208"/>
    <w:rsid w:val="003F2643"/>
    <w:rsid w:val="003F36F1"/>
    <w:rsid w:val="003F3BD5"/>
    <w:rsid w:val="003F3BE5"/>
    <w:rsid w:val="003F3DA9"/>
    <w:rsid w:val="003F44FF"/>
    <w:rsid w:val="003F505D"/>
    <w:rsid w:val="003F5D88"/>
    <w:rsid w:val="003F5DA9"/>
    <w:rsid w:val="003F5E91"/>
    <w:rsid w:val="003F60D3"/>
    <w:rsid w:val="003F6130"/>
    <w:rsid w:val="003F63C9"/>
    <w:rsid w:val="003F6CCB"/>
    <w:rsid w:val="003F6DC8"/>
    <w:rsid w:val="003F73EE"/>
    <w:rsid w:val="003F78B7"/>
    <w:rsid w:val="003F79B9"/>
    <w:rsid w:val="003F7A8E"/>
    <w:rsid w:val="00400626"/>
    <w:rsid w:val="0040085E"/>
    <w:rsid w:val="00400967"/>
    <w:rsid w:val="00400B67"/>
    <w:rsid w:val="00400E13"/>
    <w:rsid w:val="00401C35"/>
    <w:rsid w:val="00402335"/>
    <w:rsid w:val="004028FC"/>
    <w:rsid w:val="00402DE6"/>
    <w:rsid w:val="00403294"/>
    <w:rsid w:val="0040329A"/>
    <w:rsid w:val="004039DF"/>
    <w:rsid w:val="00403C0F"/>
    <w:rsid w:val="00403E0A"/>
    <w:rsid w:val="0040433E"/>
    <w:rsid w:val="00404542"/>
    <w:rsid w:val="00404B3E"/>
    <w:rsid w:val="004052A3"/>
    <w:rsid w:val="0040564C"/>
    <w:rsid w:val="00405C53"/>
    <w:rsid w:val="00405F6A"/>
    <w:rsid w:val="00406056"/>
    <w:rsid w:val="004064F7"/>
    <w:rsid w:val="00406883"/>
    <w:rsid w:val="00406B37"/>
    <w:rsid w:val="00406F23"/>
    <w:rsid w:val="004073A5"/>
    <w:rsid w:val="00407934"/>
    <w:rsid w:val="00407E75"/>
    <w:rsid w:val="00407EA2"/>
    <w:rsid w:val="00407F62"/>
    <w:rsid w:val="004105D1"/>
    <w:rsid w:val="00410A50"/>
    <w:rsid w:val="00411BD1"/>
    <w:rsid w:val="00411D06"/>
    <w:rsid w:val="0041204A"/>
    <w:rsid w:val="004128E3"/>
    <w:rsid w:val="00412D3B"/>
    <w:rsid w:val="00413BB9"/>
    <w:rsid w:val="004142F8"/>
    <w:rsid w:val="00414521"/>
    <w:rsid w:val="004145B2"/>
    <w:rsid w:val="00414640"/>
    <w:rsid w:val="00414B0A"/>
    <w:rsid w:val="00414DAB"/>
    <w:rsid w:val="00414F32"/>
    <w:rsid w:val="00415076"/>
    <w:rsid w:val="00415AD8"/>
    <w:rsid w:val="00415FE3"/>
    <w:rsid w:val="004164D9"/>
    <w:rsid w:val="00416729"/>
    <w:rsid w:val="00416B59"/>
    <w:rsid w:val="00416BC1"/>
    <w:rsid w:val="00416C39"/>
    <w:rsid w:val="00416FA1"/>
    <w:rsid w:val="00416FBB"/>
    <w:rsid w:val="00417396"/>
    <w:rsid w:val="004173E7"/>
    <w:rsid w:val="00417792"/>
    <w:rsid w:val="004177F3"/>
    <w:rsid w:val="00417BE4"/>
    <w:rsid w:val="004202FB"/>
    <w:rsid w:val="004203B1"/>
    <w:rsid w:val="00420581"/>
    <w:rsid w:val="00420888"/>
    <w:rsid w:val="00420A36"/>
    <w:rsid w:val="00421089"/>
    <w:rsid w:val="004210D7"/>
    <w:rsid w:val="00421134"/>
    <w:rsid w:val="0042116F"/>
    <w:rsid w:val="004226E0"/>
    <w:rsid w:val="00422B0C"/>
    <w:rsid w:val="00422D28"/>
    <w:rsid w:val="004236A8"/>
    <w:rsid w:val="004239F6"/>
    <w:rsid w:val="00424634"/>
    <w:rsid w:val="00424E10"/>
    <w:rsid w:val="004250D8"/>
    <w:rsid w:val="004251C1"/>
    <w:rsid w:val="004254CB"/>
    <w:rsid w:val="004259E2"/>
    <w:rsid w:val="004260D1"/>
    <w:rsid w:val="0042654B"/>
    <w:rsid w:val="004269CA"/>
    <w:rsid w:val="00426AC4"/>
    <w:rsid w:val="00426D1C"/>
    <w:rsid w:val="00426E70"/>
    <w:rsid w:val="00427509"/>
    <w:rsid w:val="00427754"/>
    <w:rsid w:val="00427E24"/>
    <w:rsid w:val="00427E61"/>
    <w:rsid w:val="00430A90"/>
    <w:rsid w:val="00430EC0"/>
    <w:rsid w:val="004318E7"/>
    <w:rsid w:val="00431DC9"/>
    <w:rsid w:val="00431E6D"/>
    <w:rsid w:val="00432143"/>
    <w:rsid w:val="00432214"/>
    <w:rsid w:val="004323C6"/>
    <w:rsid w:val="0043258F"/>
    <w:rsid w:val="004325A7"/>
    <w:rsid w:val="00432602"/>
    <w:rsid w:val="004327B0"/>
    <w:rsid w:val="00432D8D"/>
    <w:rsid w:val="00432DEA"/>
    <w:rsid w:val="00432E2E"/>
    <w:rsid w:val="004333F8"/>
    <w:rsid w:val="004337F0"/>
    <w:rsid w:val="0043399D"/>
    <w:rsid w:val="00433E91"/>
    <w:rsid w:val="00433FD9"/>
    <w:rsid w:val="0043419B"/>
    <w:rsid w:val="004345D5"/>
    <w:rsid w:val="00434FB7"/>
    <w:rsid w:val="00435013"/>
    <w:rsid w:val="00435553"/>
    <w:rsid w:val="00435B0C"/>
    <w:rsid w:val="00435C78"/>
    <w:rsid w:val="00436400"/>
    <w:rsid w:val="00436BFE"/>
    <w:rsid w:val="00436D3F"/>
    <w:rsid w:val="004370F0"/>
    <w:rsid w:val="004372F3"/>
    <w:rsid w:val="00437599"/>
    <w:rsid w:val="004378B3"/>
    <w:rsid w:val="00437958"/>
    <w:rsid w:val="00440786"/>
    <w:rsid w:val="004407B2"/>
    <w:rsid w:val="004408BD"/>
    <w:rsid w:val="00440A46"/>
    <w:rsid w:val="00440D04"/>
    <w:rsid w:val="00440F38"/>
    <w:rsid w:val="00441125"/>
    <w:rsid w:val="00441400"/>
    <w:rsid w:val="004414B7"/>
    <w:rsid w:val="00442344"/>
    <w:rsid w:val="00442483"/>
    <w:rsid w:val="004425FA"/>
    <w:rsid w:val="00442FB7"/>
    <w:rsid w:val="004433F8"/>
    <w:rsid w:val="00443966"/>
    <w:rsid w:val="00443978"/>
    <w:rsid w:val="00443B39"/>
    <w:rsid w:val="00443B71"/>
    <w:rsid w:val="00444096"/>
    <w:rsid w:val="004449A2"/>
    <w:rsid w:val="00444C14"/>
    <w:rsid w:val="00445271"/>
    <w:rsid w:val="00445852"/>
    <w:rsid w:val="00445973"/>
    <w:rsid w:val="00445A76"/>
    <w:rsid w:val="00445B52"/>
    <w:rsid w:val="00445DF3"/>
    <w:rsid w:val="00445E0C"/>
    <w:rsid w:val="004462F0"/>
    <w:rsid w:val="004463CB"/>
    <w:rsid w:val="0044654D"/>
    <w:rsid w:val="0044672C"/>
    <w:rsid w:val="00446780"/>
    <w:rsid w:val="00446834"/>
    <w:rsid w:val="00446DD5"/>
    <w:rsid w:val="00446F74"/>
    <w:rsid w:val="004474F8"/>
    <w:rsid w:val="00447922"/>
    <w:rsid w:val="004479AF"/>
    <w:rsid w:val="004502E7"/>
    <w:rsid w:val="0045050A"/>
    <w:rsid w:val="00450C25"/>
    <w:rsid w:val="0045101C"/>
    <w:rsid w:val="00451469"/>
    <w:rsid w:val="00452085"/>
    <w:rsid w:val="00452461"/>
    <w:rsid w:val="00452770"/>
    <w:rsid w:val="0045296E"/>
    <w:rsid w:val="00452CCF"/>
    <w:rsid w:val="00452ECB"/>
    <w:rsid w:val="004532D7"/>
    <w:rsid w:val="004533EA"/>
    <w:rsid w:val="0045365B"/>
    <w:rsid w:val="004537FA"/>
    <w:rsid w:val="00453BEE"/>
    <w:rsid w:val="004540CA"/>
    <w:rsid w:val="0045419C"/>
    <w:rsid w:val="00454498"/>
    <w:rsid w:val="004546E1"/>
    <w:rsid w:val="0045582B"/>
    <w:rsid w:val="004560D1"/>
    <w:rsid w:val="0045627A"/>
    <w:rsid w:val="00456344"/>
    <w:rsid w:val="00456969"/>
    <w:rsid w:val="00457725"/>
    <w:rsid w:val="00457F4D"/>
    <w:rsid w:val="00460860"/>
    <w:rsid w:val="00460A20"/>
    <w:rsid w:val="00460D69"/>
    <w:rsid w:val="00460F6A"/>
    <w:rsid w:val="00460FCE"/>
    <w:rsid w:val="004610E9"/>
    <w:rsid w:val="004612FF"/>
    <w:rsid w:val="00461326"/>
    <w:rsid w:val="0046147F"/>
    <w:rsid w:val="004616A0"/>
    <w:rsid w:val="00461F2A"/>
    <w:rsid w:val="00461F2E"/>
    <w:rsid w:val="00461F8B"/>
    <w:rsid w:val="004622F0"/>
    <w:rsid w:val="0046266B"/>
    <w:rsid w:val="00462B0A"/>
    <w:rsid w:val="00462CC3"/>
    <w:rsid w:val="004632DE"/>
    <w:rsid w:val="004638D2"/>
    <w:rsid w:val="0046451B"/>
    <w:rsid w:val="00464C91"/>
    <w:rsid w:val="00464E7A"/>
    <w:rsid w:val="00464FFC"/>
    <w:rsid w:val="0046527B"/>
    <w:rsid w:val="00465597"/>
    <w:rsid w:val="00465C1F"/>
    <w:rsid w:val="0046630C"/>
    <w:rsid w:val="00466B86"/>
    <w:rsid w:val="00466C21"/>
    <w:rsid w:val="00467292"/>
    <w:rsid w:val="00467BCD"/>
    <w:rsid w:val="00467D4D"/>
    <w:rsid w:val="00467E1D"/>
    <w:rsid w:val="00471353"/>
    <w:rsid w:val="00471515"/>
    <w:rsid w:val="0047153F"/>
    <w:rsid w:val="0047180E"/>
    <w:rsid w:val="004718F8"/>
    <w:rsid w:val="00471959"/>
    <w:rsid w:val="00471AD5"/>
    <w:rsid w:val="00471D30"/>
    <w:rsid w:val="00471DC3"/>
    <w:rsid w:val="00471FF3"/>
    <w:rsid w:val="00472492"/>
    <w:rsid w:val="00472852"/>
    <w:rsid w:val="00472E5F"/>
    <w:rsid w:val="00472EB7"/>
    <w:rsid w:val="00472FB1"/>
    <w:rsid w:val="004731B8"/>
    <w:rsid w:val="00473440"/>
    <w:rsid w:val="00473617"/>
    <w:rsid w:val="00473CC9"/>
    <w:rsid w:val="00473F85"/>
    <w:rsid w:val="00473FC0"/>
    <w:rsid w:val="0047401E"/>
    <w:rsid w:val="00474086"/>
    <w:rsid w:val="0047431E"/>
    <w:rsid w:val="0047438B"/>
    <w:rsid w:val="00474545"/>
    <w:rsid w:val="00474CBA"/>
    <w:rsid w:val="00474E1B"/>
    <w:rsid w:val="004755CF"/>
    <w:rsid w:val="00475823"/>
    <w:rsid w:val="004760A7"/>
    <w:rsid w:val="004760FF"/>
    <w:rsid w:val="0047617F"/>
    <w:rsid w:val="00476386"/>
    <w:rsid w:val="004773A2"/>
    <w:rsid w:val="00477472"/>
    <w:rsid w:val="00477595"/>
    <w:rsid w:val="00477623"/>
    <w:rsid w:val="00477656"/>
    <w:rsid w:val="00477B2E"/>
    <w:rsid w:val="004800C2"/>
    <w:rsid w:val="0048023E"/>
    <w:rsid w:val="0048042B"/>
    <w:rsid w:val="00480828"/>
    <w:rsid w:val="0048082C"/>
    <w:rsid w:val="004808DE"/>
    <w:rsid w:val="00480BD3"/>
    <w:rsid w:val="0048155D"/>
    <w:rsid w:val="004821C2"/>
    <w:rsid w:val="00482642"/>
    <w:rsid w:val="00482652"/>
    <w:rsid w:val="004830FE"/>
    <w:rsid w:val="004832D9"/>
    <w:rsid w:val="00483AEB"/>
    <w:rsid w:val="00483E29"/>
    <w:rsid w:val="00484746"/>
    <w:rsid w:val="0048477B"/>
    <w:rsid w:val="00485139"/>
    <w:rsid w:val="004852EB"/>
    <w:rsid w:val="00485533"/>
    <w:rsid w:val="004857EA"/>
    <w:rsid w:val="0048581E"/>
    <w:rsid w:val="00485832"/>
    <w:rsid w:val="004858D1"/>
    <w:rsid w:val="0048662D"/>
    <w:rsid w:val="00486729"/>
    <w:rsid w:val="0048692D"/>
    <w:rsid w:val="00487101"/>
    <w:rsid w:val="0048726E"/>
    <w:rsid w:val="00487382"/>
    <w:rsid w:val="0048739B"/>
    <w:rsid w:val="00490242"/>
    <w:rsid w:val="004904A7"/>
    <w:rsid w:val="00490589"/>
    <w:rsid w:val="004909A1"/>
    <w:rsid w:val="00490CFD"/>
    <w:rsid w:val="0049176E"/>
    <w:rsid w:val="00491925"/>
    <w:rsid w:val="004921C4"/>
    <w:rsid w:val="0049225D"/>
    <w:rsid w:val="004922EB"/>
    <w:rsid w:val="004926E1"/>
    <w:rsid w:val="00492928"/>
    <w:rsid w:val="00492BD3"/>
    <w:rsid w:val="004933C2"/>
    <w:rsid w:val="00493C80"/>
    <w:rsid w:val="00494029"/>
    <w:rsid w:val="00494CF3"/>
    <w:rsid w:val="00495370"/>
    <w:rsid w:val="00495722"/>
    <w:rsid w:val="00495BAC"/>
    <w:rsid w:val="00495D53"/>
    <w:rsid w:val="004960F5"/>
    <w:rsid w:val="004960FA"/>
    <w:rsid w:val="004962E2"/>
    <w:rsid w:val="0049653B"/>
    <w:rsid w:val="004969C0"/>
    <w:rsid w:val="00496BB0"/>
    <w:rsid w:val="00496BC1"/>
    <w:rsid w:val="004970DC"/>
    <w:rsid w:val="004979B8"/>
    <w:rsid w:val="00497B50"/>
    <w:rsid w:val="00497F62"/>
    <w:rsid w:val="004A00FE"/>
    <w:rsid w:val="004A03C5"/>
    <w:rsid w:val="004A0683"/>
    <w:rsid w:val="004A0A67"/>
    <w:rsid w:val="004A15D3"/>
    <w:rsid w:val="004A189E"/>
    <w:rsid w:val="004A22B3"/>
    <w:rsid w:val="004A22F5"/>
    <w:rsid w:val="004A258B"/>
    <w:rsid w:val="004A27F9"/>
    <w:rsid w:val="004A2853"/>
    <w:rsid w:val="004A2E67"/>
    <w:rsid w:val="004A3226"/>
    <w:rsid w:val="004A3E8A"/>
    <w:rsid w:val="004A43F5"/>
    <w:rsid w:val="004A446A"/>
    <w:rsid w:val="004A4896"/>
    <w:rsid w:val="004A4973"/>
    <w:rsid w:val="004A4E08"/>
    <w:rsid w:val="004A6099"/>
    <w:rsid w:val="004A6623"/>
    <w:rsid w:val="004A670D"/>
    <w:rsid w:val="004A6802"/>
    <w:rsid w:val="004A6993"/>
    <w:rsid w:val="004A71EC"/>
    <w:rsid w:val="004A74A7"/>
    <w:rsid w:val="004A7E65"/>
    <w:rsid w:val="004B0002"/>
    <w:rsid w:val="004B008D"/>
    <w:rsid w:val="004B05FC"/>
    <w:rsid w:val="004B09C7"/>
    <w:rsid w:val="004B0AC0"/>
    <w:rsid w:val="004B0CD5"/>
    <w:rsid w:val="004B0CDF"/>
    <w:rsid w:val="004B10D9"/>
    <w:rsid w:val="004B1364"/>
    <w:rsid w:val="004B18E2"/>
    <w:rsid w:val="004B195F"/>
    <w:rsid w:val="004B19FB"/>
    <w:rsid w:val="004B1C4D"/>
    <w:rsid w:val="004B25F6"/>
    <w:rsid w:val="004B287C"/>
    <w:rsid w:val="004B2F14"/>
    <w:rsid w:val="004B38BB"/>
    <w:rsid w:val="004B3A33"/>
    <w:rsid w:val="004B3F63"/>
    <w:rsid w:val="004B41DF"/>
    <w:rsid w:val="004B41FD"/>
    <w:rsid w:val="004B4519"/>
    <w:rsid w:val="004B47B4"/>
    <w:rsid w:val="004B4926"/>
    <w:rsid w:val="004B493A"/>
    <w:rsid w:val="004B4ED7"/>
    <w:rsid w:val="004B4F10"/>
    <w:rsid w:val="004B5048"/>
    <w:rsid w:val="004B5834"/>
    <w:rsid w:val="004B5BD1"/>
    <w:rsid w:val="004B5C0F"/>
    <w:rsid w:val="004B6191"/>
    <w:rsid w:val="004B6461"/>
    <w:rsid w:val="004B7546"/>
    <w:rsid w:val="004B78C6"/>
    <w:rsid w:val="004B7B14"/>
    <w:rsid w:val="004B7C5F"/>
    <w:rsid w:val="004B7C89"/>
    <w:rsid w:val="004C0673"/>
    <w:rsid w:val="004C06E9"/>
    <w:rsid w:val="004C0766"/>
    <w:rsid w:val="004C098C"/>
    <w:rsid w:val="004C0EF0"/>
    <w:rsid w:val="004C13F7"/>
    <w:rsid w:val="004C15FF"/>
    <w:rsid w:val="004C1713"/>
    <w:rsid w:val="004C18A4"/>
    <w:rsid w:val="004C1F31"/>
    <w:rsid w:val="004C2272"/>
    <w:rsid w:val="004C23C1"/>
    <w:rsid w:val="004C2758"/>
    <w:rsid w:val="004C2A1D"/>
    <w:rsid w:val="004C2E8C"/>
    <w:rsid w:val="004C3028"/>
    <w:rsid w:val="004C3842"/>
    <w:rsid w:val="004C3B49"/>
    <w:rsid w:val="004C3D65"/>
    <w:rsid w:val="004C4AD6"/>
    <w:rsid w:val="004C5447"/>
    <w:rsid w:val="004C5816"/>
    <w:rsid w:val="004C5B18"/>
    <w:rsid w:val="004C5B5D"/>
    <w:rsid w:val="004C5FF5"/>
    <w:rsid w:val="004C61C6"/>
    <w:rsid w:val="004C64BB"/>
    <w:rsid w:val="004C683D"/>
    <w:rsid w:val="004C69BC"/>
    <w:rsid w:val="004C6EED"/>
    <w:rsid w:val="004C704B"/>
    <w:rsid w:val="004C7089"/>
    <w:rsid w:val="004C71B7"/>
    <w:rsid w:val="004C73B2"/>
    <w:rsid w:val="004C762D"/>
    <w:rsid w:val="004C7A03"/>
    <w:rsid w:val="004C7E06"/>
    <w:rsid w:val="004D0D2C"/>
    <w:rsid w:val="004D101F"/>
    <w:rsid w:val="004D13EE"/>
    <w:rsid w:val="004D1774"/>
    <w:rsid w:val="004D1831"/>
    <w:rsid w:val="004D1AD5"/>
    <w:rsid w:val="004D1ADA"/>
    <w:rsid w:val="004D1B24"/>
    <w:rsid w:val="004D1BF8"/>
    <w:rsid w:val="004D1E96"/>
    <w:rsid w:val="004D2045"/>
    <w:rsid w:val="004D2793"/>
    <w:rsid w:val="004D2855"/>
    <w:rsid w:val="004D3300"/>
    <w:rsid w:val="004D36D2"/>
    <w:rsid w:val="004D3965"/>
    <w:rsid w:val="004D3BA5"/>
    <w:rsid w:val="004D3D4B"/>
    <w:rsid w:val="004D3F1C"/>
    <w:rsid w:val="004D4023"/>
    <w:rsid w:val="004D4255"/>
    <w:rsid w:val="004D4D8B"/>
    <w:rsid w:val="004D4F8B"/>
    <w:rsid w:val="004D50D1"/>
    <w:rsid w:val="004D5238"/>
    <w:rsid w:val="004D5293"/>
    <w:rsid w:val="004D54F8"/>
    <w:rsid w:val="004D566B"/>
    <w:rsid w:val="004D56AA"/>
    <w:rsid w:val="004D5D2C"/>
    <w:rsid w:val="004D5FDD"/>
    <w:rsid w:val="004D6118"/>
    <w:rsid w:val="004D62E7"/>
    <w:rsid w:val="004D6498"/>
    <w:rsid w:val="004D6603"/>
    <w:rsid w:val="004D6A5B"/>
    <w:rsid w:val="004D6D70"/>
    <w:rsid w:val="004D7244"/>
    <w:rsid w:val="004D7705"/>
    <w:rsid w:val="004D7779"/>
    <w:rsid w:val="004D7BE9"/>
    <w:rsid w:val="004D7C38"/>
    <w:rsid w:val="004D7FA9"/>
    <w:rsid w:val="004E03F9"/>
    <w:rsid w:val="004E0646"/>
    <w:rsid w:val="004E07B3"/>
    <w:rsid w:val="004E0AF9"/>
    <w:rsid w:val="004E0FC2"/>
    <w:rsid w:val="004E103E"/>
    <w:rsid w:val="004E135B"/>
    <w:rsid w:val="004E138D"/>
    <w:rsid w:val="004E1694"/>
    <w:rsid w:val="004E1728"/>
    <w:rsid w:val="004E1C1F"/>
    <w:rsid w:val="004E20E1"/>
    <w:rsid w:val="004E227D"/>
    <w:rsid w:val="004E23B8"/>
    <w:rsid w:val="004E23E6"/>
    <w:rsid w:val="004E2853"/>
    <w:rsid w:val="004E318A"/>
    <w:rsid w:val="004E3BCA"/>
    <w:rsid w:val="004E3C01"/>
    <w:rsid w:val="004E3C71"/>
    <w:rsid w:val="004E3D35"/>
    <w:rsid w:val="004E43BE"/>
    <w:rsid w:val="004E4416"/>
    <w:rsid w:val="004E449E"/>
    <w:rsid w:val="004E487D"/>
    <w:rsid w:val="004E4A38"/>
    <w:rsid w:val="004E5838"/>
    <w:rsid w:val="004E5AE7"/>
    <w:rsid w:val="004E5BC2"/>
    <w:rsid w:val="004E5C0A"/>
    <w:rsid w:val="004E5D24"/>
    <w:rsid w:val="004E5E98"/>
    <w:rsid w:val="004E64F3"/>
    <w:rsid w:val="004E64F6"/>
    <w:rsid w:val="004E67D1"/>
    <w:rsid w:val="004E6C4A"/>
    <w:rsid w:val="004E6E35"/>
    <w:rsid w:val="004E6FE1"/>
    <w:rsid w:val="004E703B"/>
    <w:rsid w:val="004E73A8"/>
    <w:rsid w:val="004E76A4"/>
    <w:rsid w:val="004E77D3"/>
    <w:rsid w:val="004E7A78"/>
    <w:rsid w:val="004E7C85"/>
    <w:rsid w:val="004E7E19"/>
    <w:rsid w:val="004F0142"/>
    <w:rsid w:val="004F0657"/>
    <w:rsid w:val="004F0974"/>
    <w:rsid w:val="004F0976"/>
    <w:rsid w:val="004F11ED"/>
    <w:rsid w:val="004F1469"/>
    <w:rsid w:val="004F157F"/>
    <w:rsid w:val="004F15D0"/>
    <w:rsid w:val="004F1C9A"/>
    <w:rsid w:val="004F1E20"/>
    <w:rsid w:val="004F2059"/>
    <w:rsid w:val="004F2154"/>
    <w:rsid w:val="004F24C0"/>
    <w:rsid w:val="004F3065"/>
    <w:rsid w:val="004F30EB"/>
    <w:rsid w:val="004F3227"/>
    <w:rsid w:val="004F3296"/>
    <w:rsid w:val="004F3C9F"/>
    <w:rsid w:val="004F4EDB"/>
    <w:rsid w:val="004F5026"/>
    <w:rsid w:val="004F585B"/>
    <w:rsid w:val="004F5BD8"/>
    <w:rsid w:val="004F5FC7"/>
    <w:rsid w:val="004F63CD"/>
    <w:rsid w:val="004F64C2"/>
    <w:rsid w:val="004F64ED"/>
    <w:rsid w:val="004F6644"/>
    <w:rsid w:val="004F6C7A"/>
    <w:rsid w:val="004F703F"/>
    <w:rsid w:val="004F7174"/>
    <w:rsid w:val="004F7BA8"/>
    <w:rsid w:val="005009FA"/>
    <w:rsid w:val="00500E57"/>
    <w:rsid w:val="00500F07"/>
    <w:rsid w:val="005017E2"/>
    <w:rsid w:val="00501C20"/>
    <w:rsid w:val="00501E0D"/>
    <w:rsid w:val="00501F46"/>
    <w:rsid w:val="0050260D"/>
    <w:rsid w:val="0050266A"/>
    <w:rsid w:val="005026E3"/>
    <w:rsid w:val="00502CE5"/>
    <w:rsid w:val="0050351D"/>
    <w:rsid w:val="00503B1A"/>
    <w:rsid w:val="00503BB8"/>
    <w:rsid w:val="00503E4D"/>
    <w:rsid w:val="0050480C"/>
    <w:rsid w:val="00504B3C"/>
    <w:rsid w:val="0050561A"/>
    <w:rsid w:val="00505E80"/>
    <w:rsid w:val="00505E85"/>
    <w:rsid w:val="00506254"/>
    <w:rsid w:val="0050635E"/>
    <w:rsid w:val="00506C39"/>
    <w:rsid w:val="005073EF"/>
    <w:rsid w:val="0051080A"/>
    <w:rsid w:val="0051097A"/>
    <w:rsid w:val="00510B48"/>
    <w:rsid w:val="00510B76"/>
    <w:rsid w:val="00510C80"/>
    <w:rsid w:val="0051105D"/>
    <w:rsid w:val="005110F0"/>
    <w:rsid w:val="00511329"/>
    <w:rsid w:val="00511C35"/>
    <w:rsid w:val="00511CA4"/>
    <w:rsid w:val="00511DAE"/>
    <w:rsid w:val="005121E3"/>
    <w:rsid w:val="0051229D"/>
    <w:rsid w:val="00512B04"/>
    <w:rsid w:val="0051303E"/>
    <w:rsid w:val="00513A11"/>
    <w:rsid w:val="005141E9"/>
    <w:rsid w:val="00514488"/>
    <w:rsid w:val="0051462E"/>
    <w:rsid w:val="0051470D"/>
    <w:rsid w:val="0051490C"/>
    <w:rsid w:val="00514A98"/>
    <w:rsid w:val="00514ABC"/>
    <w:rsid w:val="00514D5D"/>
    <w:rsid w:val="00514E96"/>
    <w:rsid w:val="0051505B"/>
    <w:rsid w:val="0051535D"/>
    <w:rsid w:val="00515E62"/>
    <w:rsid w:val="00516799"/>
    <w:rsid w:val="00516F1B"/>
    <w:rsid w:val="005173D2"/>
    <w:rsid w:val="005174D1"/>
    <w:rsid w:val="005179C9"/>
    <w:rsid w:val="00517C9A"/>
    <w:rsid w:val="00520076"/>
    <w:rsid w:val="005201F5"/>
    <w:rsid w:val="005205C2"/>
    <w:rsid w:val="00520B31"/>
    <w:rsid w:val="00520DF0"/>
    <w:rsid w:val="00521265"/>
    <w:rsid w:val="005214B0"/>
    <w:rsid w:val="005216C8"/>
    <w:rsid w:val="00521AAB"/>
    <w:rsid w:val="005220B2"/>
    <w:rsid w:val="005221BC"/>
    <w:rsid w:val="0052220F"/>
    <w:rsid w:val="005222F1"/>
    <w:rsid w:val="0052268E"/>
    <w:rsid w:val="005228E8"/>
    <w:rsid w:val="005229F9"/>
    <w:rsid w:val="00522D29"/>
    <w:rsid w:val="00522E81"/>
    <w:rsid w:val="00522ED9"/>
    <w:rsid w:val="0052386F"/>
    <w:rsid w:val="00523B2D"/>
    <w:rsid w:val="005243F4"/>
    <w:rsid w:val="00524545"/>
    <w:rsid w:val="00524928"/>
    <w:rsid w:val="005249F9"/>
    <w:rsid w:val="00524A73"/>
    <w:rsid w:val="00524B24"/>
    <w:rsid w:val="00524B4E"/>
    <w:rsid w:val="00524DAF"/>
    <w:rsid w:val="0052500E"/>
    <w:rsid w:val="0052529B"/>
    <w:rsid w:val="0052591F"/>
    <w:rsid w:val="00525A5F"/>
    <w:rsid w:val="0052622A"/>
    <w:rsid w:val="00526286"/>
    <w:rsid w:val="0052692F"/>
    <w:rsid w:val="00526BB8"/>
    <w:rsid w:val="00526CD1"/>
    <w:rsid w:val="00526E68"/>
    <w:rsid w:val="00527151"/>
    <w:rsid w:val="0052717D"/>
    <w:rsid w:val="00527382"/>
    <w:rsid w:val="00527B79"/>
    <w:rsid w:val="00527BF9"/>
    <w:rsid w:val="00527D66"/>
    <w:rsid w:val="00527EE6"/>
    <w:rsid w:val="00527F03"/>
    <w:rsid w:val="00527F13"/>
    <w:rsid w:val="00527F5A"/>
    <w:rsid w:val="00530250"/>
    <w:rsid w:val="00530285"/>
    <w:rsid w:val="005303B2"/>
    <w:rsid w:val="005306ED"/>
    <w:rsid w:val="005307F6"/>
    <w:rsid w:val="00530C41"/>
    <w:rsid w:val="00530CA5"/>
    <w:rsid w:val="00530E37"/>
    <w:rsid w:val="00530E44"/>
    <w:rsid w:val="00530EAE"/>
    <w:rsid w:val="00530F47"/>
    <w:rsid w:val="0053176B"/>
    <w:rsid w:val="0053197E"/>
    <w:rsid w:val="00531B91"/>
    <w:rsid w:val="0053257C"/>
    <w:rsid w:val="00532768"/>
    <w:rsid w:val="00532936"/>
    <w:rsid w:val="00532B4A"/>
    <w:rsid w:val="00532C14"/>
    <w:rsid w:val="00532CBC"/>
    <w:rsid w:val="00532E79"/>
    <w:rsid w:val="00532F10"/>
    <w:rsid w:val="005332A8"/>
    <w:rsid w:val="005333F2"/>
    <w:rsid w:val="0053409D"/>
    <w:rsid w:val="00534658"/>
    <w:rsid w:val="005349B2"/>
    <w:rsid w:val="00534A88"/>
    <w:rsid w:val="00534A95"/>
    <w:rsid w:val="0053515F"/>
    <w:rsid w:val="0053534C"/>
    <w:rsid w:val="00535699"/>
    <w:rsid w:val="005357BA"/>
    <w:rsid w:val="0053632F"/>
    <w:rsid w:val="0053659D"/>
    <w:rsid w:val="005369BF"/>
    <w:rsid w:val="00536CFF"/>
    <w:rsid w:val="00536E00"/>
    <w:rsid w:val="005371F7"/>
    <w:rsid w:val="00537395"/>
    <w:rsid w:val="0053771D"/>
    <w:rsid w:val="005377F2"/>
    <w:rsid w:val="00537E80"/>
    <w:rsid w:val="0054082A"/>
    <w:rsid w:val="00540A06"/>
    <w:rsid w:val="00540B98"/>
    <w:rsid w:val="00540E9D"/>
    <w:rsid w:val="0054136E"/>
    <w:rsid w:val="00541B1F"/>
    <w:rsid w:val="0054244D"/>
    <w:rsid w:val="00542950"/>
    <w:rsid w:val="00542A89"/>
    <w:rsid w:val="00542C91"/>
    <w:rsid w:val="00542E0B"/>
    <w:rsid w:val="0054354F"/>
    <w:rsid w:val="00543619"/>
    <w:rsid w:val="00543624"/>
    <w:rsid w:val="0054380A"/>
    <w:rsid w:val="00543D78"/>
    <w:rsid w:val="00544705"/>
    <w:rsid w:val="0054504A"/>
    <w:rsid w:val="005451DF"/>
    <w:rsid w:val="00545CC1"/>
    <w:rsid w:val="0054678C"/>
    <w:rsid w:val="00546E31"/>
    <w:rsid w:val="005472AF"/>
    <w:rsid w:val="005472FC"/>
    <w:rsid w:val="005478C9"/>
    <w:rsid w:val="005478D9"/>
    <w:rsid w:val="00547A0D"/>
    <w:rsid w:val="0055034E"/>
    <w:rsid w:val="0055058B"/>
    <w:rsid w:val="00550935"/>
    <w:rsid w:val="00550CED"/>
    <w:rsid w:val="00550D5A"/>
    <w:rsid w:val="005514B5"/>
    <w:rsid w:val="00551580"/>
    <w:rsid w:val="00551649"/>
    <w:rsid w:val="00551C24"/>
    <w:rsid w:val="00552016"/>
    <w:rsid w:val="005521A3"/>
    <w:rsid w:val="00552C81"/>
    <w:rsid w:val="00552EDD"/>
    <w:rsid w:val="00552FB0"/>
    <w:rsid w:val="00553151"/>
    <w:rsid w:val="005533D8"/>
    <w:rsid w:val="00554026"/>
    <w:rsid w:val="0055403D"/>
    <w:rsid w:val="005543C0"/>
    <w:rsid w:val="005548A9"/>
    <w:rsid w:val="00554998"/>
    <w:rsid w:val="00554A38"/>
    <w:rsid w:val="00554DB6"/>
    <w:rsid w:val="00555A1F"/>
    <w:rsid w:val="00556047"/>
    <w:rsid w:val="005561C4"/>
    <w:rsid w:val="005561EB"/>
    <w:rsid w:val="00556858"/>
    <w:rsid w:val="00556B37"/>
    <w:rsid w:val="00556C0C"/>
    <w:rsid w:val="00556E36"/>
    <w:rsid w:val="005570D4"/>
    <w:rsid w:val="00557202"/>
    <w:rsid w:val="00557499"/>
    <w:rsid w:val="00557D18"/>
    <w:rsid w:val="00560568"/>
    <w:rsid w:val="00560606"/>
    <w:rsid w:val="00560701"/>
    <w:rsid w:val="00560AF6"/>
    <w:rsid w:val="0056102E"/>
    <w:rsid w:val="0056110A"/>
    <w:rsid w:val="0056199D"/>
    <w:rsid w:val="00561E71"/>
    <w:rsid w:val="00561E93"/>
    <w:rsid w:val="00562482"/>
    <w:rsid w:val="00562528"/>
    <w:rsid w:val="005628D2"/>
    <w:rsid w:val="00563446"/>
    <w:rsid w:val="0056352B"/>
    <w:rsid w:val="005635A1"/>
    <w:rsid w:val="00564275"/>
    <w:rsid w:val="00564ACF"/>
    <w:rsid w:val="00564DB8"/>
    <w:rsid w:val="00564E11"/>
    <w:rsid w:val="00564E67"/>
    <w:rsid w:val="00565175"/>
    <w:rsid w:val="00565312"/>
    <w:rsid w:val="00565746"/>
    <w:rsid w:val="00566293"/>
    <w:rsid w:val="00566FCB"/>
    <w:rsid w:val="0056721C"/>
    <w:rsid w:val="00567342"/>
    <w:rsid w:val="00567871"/>
    <w:rsid w:val="00567A7C"/>
    <w:rsid w:val="00567C87"/>
    <w:rsid w:val="005702FF"/>
    <w:rsid w:val="0057045F"/>
    <w:rsid w:val="005707F3"/>
    <w:rsid w:val="00570A59"/>
    <w:rsid w:val="00570DCC"/>
    <w:rsid w:val="005711FA"/>
    <w:rsid w:val="005715D5"/>
    <w:rsid w:val="00571B96"/>
    <w:rsid w:val="00571E3C"/>
    <w:rsid w:val="00572153"/>
    <w:rsid w:val="005723F1"/>
    <w:rsid w:val="005728DC"/>
    <w:rsid w:val="00572AE3"/>
    <w:rsid w:val="00572C0C"/>
    <w:rsid w:val="00572CA4"/>
    <w:rsid w:val="0057326B"/>
    <w:rsid w:val="005740EE"/>
    <w:rsid w:val="00574271"/>
    <w:rsid w:val="0057439C"/>
    <w:rsid w:val="0057449A"/>
    <w:rsid w:val="00574990"/>
    <w:rsid w:val="00574995"/>
    <w:rsid w:val="00574B82"/>
    <w:rsid w:val="00574EA9"/>
    <w:rsid w:val="00575F2F"/>
    <w:rsid w:val="0057611F"/>
    <w:rsid w:val="00576175"/>
    <w:rsid w:val="0057694D"/>
    <w:rsid w:val="00576CB9"/>
    <w:rsid w:val="00577651"/>
    <w:rsid w:val="005777E9"/>
    <w:rsid w:val="00577942"/>
    <w:rsid w:val="00577AB1"/>
    <w:rsid w:val="005807EC"/>
    <w:rsid w:val="00580D0D"/>
    <w:rsid w:val="00580D73"/>
    <w:rsid w:val="0058108F"/>
    <w:rsid w:val="00581454"/>
    <w:rsid w:val="00581A27"/>
    <w:rsid w:val="00581F99"/>
    <w:rsid w:val="0058216F"/>
    <w:rsid w:val="005821CB"/>
    <w:rsid w:val="0058259D"/>
    <w:rsid w:val="00583231"/>
    <w:rsid w:val="00583705"/>
    <w:rsid w:val="00583744"/>
    <w:rsid w:val="00583921"/>
    <w:rsid w:val="00583DE0"/>
    <w:rsid w:val="00584089"/>
    <w:rsid w:val="00584341"/>
    <w:rsid w:val="005855C0"/>
    <w:rsid w:val="005859F0"/>
    <w:rsid w:val="00585B61"/>
    <w:rsid w:val="00585FF7"/>
    <w:rsid w:val="00586296"/>
    <w:rsid w:val="005863F5"/>
    <w:rsid w:val="00586514"/>
    <w:rsid w:val="0058671C"/>
    <w:rsid w:val="00586FC2"/>
    <w:rsid w:val="005870BD"/>
    <w:rsid w:val="005870E7"/>
    <w:rsid w:val="0058758F"/>
    <w:rsid w:val="00587C2C"/>
    <w:rsid w:val="00587EAB"/>
    <w:rsid w:val="00587EAC"/>
    <w:rsid w:val="00590223"/>
    <w:rsid w:val="00590294"/>
    <w:rsid w:val="005906DD"/>
    <w:rsid w:val="0059083E"/>
    <w:rsid w:val="00590BB9"/>
    <w:rsid w:val="00590C87"/>
    <w:rsid w:val="00590DF3"/>
    <w:rsid w:val="00590FB6"/>
    <w:rsid w:val="0059140A"/>
    <w:rsid w:val="00591908"/>
    <w:rsid w:val="00591F55"/>
    <w:rsid w:val="00592028"/>
    <w:rsid w:val="00592490"/>
    <w:rsid w:val="0059261F"/>
    <w:rsid w:val="00592885"/>
    <w:rsid w:val="005929BF"/>
    <w:rsid w:val="00592BAD"/>
    <w:rsid w:val="00593096"/>
    <w:rsid w:val="0059365F"/>
    <w:rsid w:val="0059380F"/>
    <w:rsid w:val="00593EA3"/>
    <w:rsid w:val="00594A0E"/>
    <w:rsid w:val="00594FD6"/>
    <w:rsid w:val="00594FF8"/>
    <w:rsid w:val="005963F7"/>
    <w:rsid w:val="005969DB"/>
    <w:rsid w:val="00596E02"/>
    <w:rsid w:val="0059716F"/>
    <w:rsid w:val="00597628"/>
    <w:rsid w:val="005977CF"/>
    <w:rsid w:val="005978C1"/>
    <w:rsid w:val="00597C6B"/>
    <w:rsid w:val="00597DB8"/>
    <w:rsid w:val="005A074A"/>
    <w:rsid w:val="005A0AA4"/>
    <w:rsid w:val="005A1159"/>
    <w:rsid w:val="005A11EF"/>
    <w:rsid w:val="005A1302"/>
    <w:rsid w:val="005A179D"/>
    <w:rsid w:val="005A1CD6"/>
    <w:rsid w:val="005A24DE"/>
    <w:rsid w:val="005A25E7"/>
    <w:rsid w:val="005A290F"/>
    <w:rsid w:val="005A29A0"/>
    <w:rsid w:val="005A2A77"/>
    <w:rsid w:val="005A2BFC"/>
    <w:rsid w:val="005A3E3C"/>
    <w:rsid w:val="005A41F6"/>
    <w:rsid w:val="005A440D"/>
    <w:rsid w:val="005A44D1"/>
    <w:rsid w:val="005A4E96"/>
    <w:rsid w:val="005A4EE9"/>
    <w:rsid w:val="005A5197"/>
    <w:rsid w:val="005A5238"/>
    <w:rsid w:val="005A55B4"/>
    <w:rsid w:val="005A5C5C"/>
    <w:rsid w:val="005A5FBD"/>
    <w:rsid w:val="005A6508"/>
    <w:rsid w:val="005A6612"/>
    <w:rsid w:val="005A670B"/>
    <w:rsid w:val="005A6895"/>
    <w:rsid w:val="005A6C56"/>
    <w:rsid w:val="005A7481"/>
    <w:rsid w:val="005A75E6"/>
    <w:rsid w:val="005A7732"/>
    <w:rsid w:val="005A7798"/>
    <w:rsid w:val="005A7A7A"/>
    <w:rsid w:val="005B071D"/>
    <w:rsid w:val="005B076D"/>
    <w:rsid w:val="005B07DC"/>
    <w:rsid w:val="005B0831"/>
    <w:rsid w:val="005B0B32"/>
    <w:rsid w:val="005B0C6C"/>
    <w:rsid w:val="005B0D46"/>
    <w:rsid w:val="005B0D6B"/>
    <w:rsid w:val="005B11F6"/>
    <w:rsid w:val="005B124F"/>
    <w:rsid w:val="005B1636"/>
    <w:rsid w:val="005B1AE1"/>
    <w:rsid w:val="005B1E8C"/>
    <w:rsid w:val="005B1F6E"/>
    <w:rsid w:val="005B2046"/>
    <w:rsid w:val="005B2077"/>
    <w:rsid w:val="005B210B"/>
    <w:rsid w:val="005B217E"/>
    <w:rsid w:val="005B21DF"/>
    <w:rsid w:val="005B2597"/>
    <w:rsid w:val="005B2892"/>
    <w:rsid w:val="005B2B9F"/>
    <w:rsid w:val="005B2C72"/>
    <w:rsid w:val="005B2D23"/>
    <w:rsid w:val="005B328B"/>
    <w:rsid w:val="005B35BA"/>
    <w:rsid w:val="005B35F8"/>
    <w:rsid w:val="005B3838"/>
    <w:rsid w:val="005B3A10"/>
    <w:rsid w:val="005B3B75"/>
    <w:rsid w:val="005B3D81"/>
    <w:rsid w:val="005B3D95"/>
    <w:rsid w:val="005B495D"/>
    <w:rsid w:val="005B5013"/>
    <w:rsid w:val="005B5132"/>
    <w:rsid w:val="005B532B"/>
    <w:rsid w:val="005B5750"/>
    <w:rsid w:val="005B5A37"/>
    <w:rsid w:val="005B5A71"/>
    <w:rsid w:val="005B5F01"/>
    <w:rsid w:val="005B6291"/>
    <w:rsid w:val="005B6425"/>
    <w:rsid w:val="005B65F0"/>
    <w:rsid w:val="005B6AB5"/>
    <w:rsid w:val="005B76F2"/>
    <w:rsid w:val="005B7A0E"/>
    <w:rsid w:val="005B7B3B"/>
    <w:rsid w:val="005B7C93"/>
    <w:rsid w:val="005B7DCE"/>
    <w:rsid w:val="005C03E7"/>
    <w:rsid w:val="005C0881"/>
    <w:rsid w:val="005C0974"/>
    <w:rsid w:val="005C109F"/>
    <w:rsid w:val="005C11E3"/>
    <w:rsid w:val="005C14D2"/>
    <w:rsid w:val="005C1602"/>
    <w:rsid w:val="005C197B"/>
    <w:rsid w:val="005C1A6D"/>
    <w:rsid w:val="005C1AC2"/>
    <w:rsid w:val="005C1C12"/>
    <w:rsid w:val="005C2173"/>
    <w:rsid w:val="005C2418"/>
    <w:rsid w:val="005C2B7F"/>
    <w:rsid w:val="005C2CDA"/>
    <w:rsid w:val="005C2EC1"/>
    <w:rsid w:val="005C2F86"/>
    <w:rsid w:val="005C306B"/>
    <w:rsid w:val="005C328B"/>
    <w:rsid w:val="005C32C4"/>
    <w:rsid w:val="005C3640"/>
    <w:rsid w:val="005C3887"/>
    <w:rsid w:val="005C38AE"/>
    <w:rsid w:val="005C4729"/>
    <w:rsid w:val="005C4D4C"/>
    <w:rsid w:val="005C55BE"/>
    <w:rsid w:val="005C5750"/>
    <w:rsid w:val="005C5979"/>
    <w:rsid w:val="005C5B55"/>
    <w:rsid w:val="005C5F45"/>
    <w:rsid w:val="005C66E5"/>
    <w:rsid w:val="005C685B"/>
    <w:rsid w:val="005C6C9C"/>
    <w:rsid w:val="005C6CB3"/>
    <w:rsid w:val="005C6CC0"/>
    <w:rsid w:val="005C704D"/>
    <w:rsid w:val="005C70F2"/>
    <w:rsid w:val="005C73BF"/>
    <w:rsid w:val="005C79DD"/>
    <w:rsid w:val="005C7BCA"/>
    <w:rsid w:val="005C7C9E"/>
    <w:rsid w:val="005C7FE5"/>
    <w:rsid w:val="005D0118"/>
    <w:rsid w:val="005D089D"/>
    <w:rsid w:val="005D0E4F"/>
    <w:rsid w:val="005D1F62"/>
    <w:rsid w:val="005D2211"/>
    <w:rsid w:val="005D2567"/>
    <w:rsid w:val="005D28B0"/>
    <w:rsid w:val="005D3473"/>
    <w:rsid w:val="005D35C9"/>
    <w:rsid w:val="005D38EA"/>
    <w:rsid w:val="005D4085"/>
    <w:rsid w:val="005D4252"/>
    <w:rsid w:val="005D4305"/>
    <w:rsid w:val="005D48AF"/>
    <w:rsid w:val="005D4B0D"/>
    <w:rsid w:val="005D4CBA"/>
    <w:rsid w:val="005D4F00"/>
    <w:rsid w:val="005D5D8C"/>
    <w:rsid w:val="005D6AB3"/>
    <w:rsid w:val="005D6C55"/>
    <w:rsid w:val="005D6F26"/>
    <w:rsid w:val="005D6F4C"/>
    <w:rsid w:val="005D729A"/>
    <w:rsid w:val="005D7350"/>
    <w:rsid w:val="005D791C"/>
    <w:rsid w:val="005D7C76"/>
    <w:rsid w:val="005D7CD4"/>
    <w:rsid w:val="005D7EE9"/>
    <w:rsid w:val="005E0015"/>
    <w:rsid w:val="005E0108"/>
    <w:rsid w:val="005E04D2"/>
    <w:rsid w:val="005E09F5"/>
    <w:rsid w:val="005E1168"/>
    <w:rsid w:val="005E15F5"/>
    <w:rsid w:val="005E249F"/>
    <w:rsid w:val="005E299B"/>
    <w:rsid w:val="005E2A1C"/>
    <w:rsid w:val="005E33C9"/>
    <w:rsid w:val="005E34B5"/>
    <w:rsid w:val="005E3769"/>
    <w:rsid w:val="005E39B4"/>
    <w:rsid w:val="005E3BB9"/>
    <w:rsid w:val="005E3EE9"/>
    <w:rsid w:val="005E4599"/>
    <w:rsid w:val="005E4C5F"/>
    <w:rsid w:val="005E5048"/>
    <w:rsid w:val="005E5199"/>
    <w:rsid w:val="005E53F0"/>
    <w:rsid w:val="005E559D"/>
    <w:rsid w:val="005E5647"/>
    <w:rsid w:val="005E565D"/>
    <w:rsid w:val="005E5BDE"/>
    <w:rsid w:val="005E5D8E"/>
    <w:rsid w:val="005E612E"/>
    <w:rsid w:val="005E634C"/>
    <w:rsid w:val="005E65FE"/>
    <w:rsid w:val="005E69F5"/>
    <w:rsid w:val="005E6C38"/>
    <w:rsid w:val="005E6EA6"/>
    <w:rsid w:val="005E6FD2"/>
    <w:rsid w:val="005E7803"/>
    <w:rsid w:val="005E7CB8"/>
    <w:rsid w:val="005E7D1C"/>
    <w:rsid w:val="005E7DFC"/>
    <w:rsid w:val="005E7EDF"/>
    <w:rsid w:val="005F0023"/>
    <w:rsid w:val="005F0386"/>
    <w:rsid w:val="005F04D4"/>
    <w:rsid w:val="005F099D"/>
    <w:rsid w:val="005F0B48"/>
    <w:rsid w:val="005F1025"/>
    <w:rsid w:val="005F14B0"/>
    <w:rsid w:val="005F14F1"/>
    <w:rsid w:val="005F1773"/>
    <w:rsid w:val="005F1E5F"/>
    <w:rsid w:val="005F20C7"/>
    <w:rsid w:val="005F21CE"/>
    <w:rsid w:val="005F24ED"/>
    <w:rsid w:val="005F2B2F"/>
    <w:rsid w:val="005F2C0A"/>
    <w:rsid w:val="005F2DB8"/>
    <w:rsid w:val="005F30DA"/>
    <w:rsid w:val="005F3562"/>
    <w:rsid w:val="005F36CB"/>
    <w:rsid w:val="005F37E5"/>
    <w:rsid w:val="005F3B27"/>
    <w:rsid w:val="005F3BF3"/>
    <w:rsid w:val="005F407D"/>
    <w:rsid w:val="005F4648"/>
    <w:rsid w:val="005F4BD5"/>
    <w:rsid w:val="005F4C89"/>
    <w:rsid w:val="005F563A"/>
    <w:rsid w:val="005F5651"/>
    <w:rsid w:val="005F5811"/>
    <w:rsid w:val="005F5C3A"/>
    <w:rsid w:val="005F5F32"/>
    <w:rsid w:val="005F6058"/>
    <w:rsid w:val="005F64B0"/>
    <w:rsid w:val="005F69EA"/>
    <w:rsid w:val="005F6CDC"/>
    <w:rsid w:val="005F729F"/>
    <w:rsid w:val="005F7D19"/>
    <w:rsid w:val="005F7DBA"/>
    <w:rsid w:val="006001C2"/>
    <w:rsid w:val="006001CA"/>
    <w:rsid w:val="006001EB"/>
    <w:rsid w:val="00600201"/>
    <w:rsid w:val="00600755"/>
    <w:rsid w:val="00600D4B"/>
    <w:rsid w:val="006013A9"/>
    <w:rsid w:val="00601718"/>
    <w:rsid w:val="0060173C"/>
    <w:rsid w:val="0060188E"/>
    <w:rsid w:val="00601BB2"/>
    <w:rsid w:val="00601C57"/>
    <w:rsid w:val="00601D07"/>
    <w:rsid w:val="00602070"/>
    <w:rsid w:val="006022A8"/>
    <w:rsid w:val="006023A5"/>
    <w:rsid w:val="006023AA"/>
    <w:rsid w:val="006024E3"/>
    <w:rsid w:val="0060290F"/>
    <w:rsid w:val="006029B2"/>
    <w:rsid w:val="00602D01"/>
    <w:rsid w:val="00602F73"/>
    <w:rsid w:val="0060326B"/>
    <w:rsid w:val="00603688"/>
    <w:rsid w:val="006037CA"/>
    <w:rsid w:val="00603934"/>
    <w:rsid w:val="006039AB"/>
    <w:rsid w:val="00603ADD"/>
    <w:rsid w:val="00604478"/>
    <w:rsid w:val="00604568"/>
    <w:rsid w:val="00604A77"/>
    <w:rsid w:val="00604BC9"/>
    <w:rsid w:val="00605085"/>
    <w:rsid w:val="006051DF"/>
    <w:rsid w:val="006052B9"/>
    <w:rsid w:val="00605319"/>
    <w:rsid w:val="006054E1"/>
    <w:rsid w:val="00605550"/>
    <w:rsid w:val="00605564"/>
    <w:rsid w:val="0060558C"/>
    <w:rsid w:val="0060566B"/>
    <w:rsid w:val="00606E77"/>
    <w:rsid w:val="006073D0"/>
    <w:rsid w:val="00607E59"/>
    <w:rsid w:val="00607E85"/>
    <w:rsid w:val="00610094"/>
    <w:rsid w:val="00610487"/>
    <w:rsid w:val="0061051E"/>
    <w:rsid w:val="006111ED"/>
    <w:rsid w:val="006117E0"/>
    <w:rsid w:val="006118CE"/>
    <w:rsid w:val="00611AA3"/>
    <w:rsid w:val="0061226C"/>
    <w:rsid w:val="00612A69"/>
    <w:rsid w:val="00613927"/>
    <w:rsid w:val="00613C19"/>
    <w:rsid w:val="006145CA"/>
    <w:rsid w:val="0061480D"/>
    <w:rsid w:val="006149DF"/>
    <w:rsid w:val="00616542"/>
    <w:rsid w:val="00616A1C"/>
    <w:rsid w:val="00616C3C"/>
    <w:rsid w:val="006175FB"/>
    <w:rsid w:val="00617DD0"/>
    <w:rsid w:val="00620038"/>
    <w:rsid w:val="00620092"/>
    <w:rsid w:val="00620150"/>
    <w:rsid w:val="006201B6"/>
    <w:rsid w:val="0062037B"/>
    <w:rsid w:val="0062046F"/>
    <w:rsid w:val="00620933"/>
    <w:rsid w:val="00620AA4"/>
    <w:rsid w:val="00620C8F"/>
    <w:rsid w:val="00620CE4"/>
    <w:rsid w:val="006213A7"/>
    <w:rsid w:val="006213BC"/>
    <w:rsid w:val="0062143C"/>
    <w:rsid w:val="006215DA"/>
    <w:rsid w:val="00621ABB"/>
    <w:rsid w:val="00621BC4"/>
    <w:rsid w:val="00622891"/>
    <w:rsid w:val="00623182"/>
    <w:rsid w:val="006232F9"/>
    <w:rsid w:val="006236B3"/>
    <w:rsid w:val="006238BB"/>
    <w:rsid w:val="00624606"/>
    <w:rsid w:val="00624751"/>
    <w:rsid w:val="00624830"/>
    <w:rsid w:val="006248E0"/>
    <w:rsid w:val="00624B00"/>
    <w:rsid w:val="00624D3B"/>
    <w:rsid w:val="00624E1F"/>
    <w:rsid w:val="006257F0"/>
    <w:rsid w:val="00625ED9"/>
    <w:rsid w:val="00625EF9"/>
    <w:rsid w:val="00625FF7"/>
    <w:rsid w:val="00626059"/>
    <w:rsid w:val="0062610C"/>
    <w:rsid w:val="0062673B"/>
    <w:rsid w:val="006268FE"/>
    <w:rsid w:val="006270DA"/>
    <w:rsid w:val="00627279"/>
    <w:rsid w:val="00627D80"/>
    <w:rsid w:val="00627D89"/>
    <w:rsid w:val="00627FA8"/>
    <w:rsid w:val="00630438"/>
    <w:rsid w:val="0063059B"/>
    <w:rsid w:val="00631609"/>
    <w:rsid w:val="0063190E"/>
    <w:rsid w:val="00632260"/>
    <w:rsid w:val="00632418"/>
    <w:rsid w:val="00632580"/>
    <w:rsid w:val="00632A7D"/>
    <w:rsid w:val="00632F00"/>
    <w:rsid w:val="0063301E"/>
    <w:rsid w:val="00633799"/>
    <w:rsid w:val="00633813"/>
    <w:rsid w:val="006338C3"/>
    <w:rsid w:val="00634157"/>
    <w:rsid w:val="006344E5"/>
    <w:rsid w:val="0063490B"/>
    <w:rsid w:val="0063497A"/>
    <w:rsid w:val="00634C6E"/>
    <w:rsid w:val="00635217"/>
    <w:rsid w:val="00635748"/>
    <w:rsid w:val="00635AA9"/>
    <w:rsid w:val="006364B2"/>
    <w:rsid w:val="00636A40"/>
    <w:rsid w:val="00636ABD"/>
    <w:rsid w:val="006404A2"/>
    <w:rsid w:val="00640C02"/>
    <w:rsid w:val="006413E7"/>
    <w:rsid w:val="00641421"/>
    <w:rsid w:val="00641545"/>
    <w:rsid w:val="00641A19"/>
    <w:rsid w:val="00642114"/>
    <w:rsid w:val="0064263D"/>
    <w:rsid w:val="0064277C"/>
    <w:rsid w:val="00642A6A"/>
    <w:rsid w:val="00642F12"/>
    <w:rsid w:val="00642F71"/>
    <w:rsid w:val="0064307B"/>
    <w:rsid w:val="0064315B"/>
    <w:rsid w:val="006432A5"/>
    <w:rsid w:val="00643457"/>
    <w:rsid w:val="00643971"/>
    <w:rsid w:val="00644092"/>
    <w:rsid w:val="00644A66"/>
    <w:rsid w:val="00644D3A"/>
    <w:rsid w:val="00644D8C"/>
    <w:rsid w:val="0064516B"/>
    <w:rsid w:val="006453E7"/>
    <w:rsid w:val="0064591E"/>
    <w:rsid w:val="00645BD5"/>
    <w:rsid w:val="00645CD9"/>
    <w:rsid w:val="00646187"/>
    <w:rsid w:val="006467DB"/>
    <w:rsid w:val="00646954"/>
    <w:rsid w:val="006469EB"/>
    <w:rsid w:val="006477F8"/>
    <w:rsid w:val="00647B34"/>
    <w:rsid w:val="00647CF0"/>
    <w:rsid w:val="00647D8B"/>
    <w:rsid w:val="00647FFE"/>
    <w:rsid w:val="00650754"/>
    <w:rsid w:val="006513B2"/>
    <w:rsid w:val="006513D7"/>
    <w:rsid w:val="00651815"/>
    <w:rsid w:val="00651D72"/>
    <w:rsid w:val="006520F6"/>
    <w:rsid w:val="006523E9"/>
    <w:rsid w:val="00652615"/>
    <w:rsid w:val="00652676"/>
    <w:rsid w:val="00652D85"/>
    <w:rsid w:val="00652E25"/>
    <w:rsid w:val="006531EA"/>
    <w:rsid w:val="0065353D"/>
    <w:rsid w:val="00653664"/>
    <w:rsid w:val="006538E5"/>
    <w:rsid w:val="00653E55"/>
    <w:rsid w:val="0065418A"/>
    <w:rsid w:val="00654256"/>
    <w:rsid w:val="0065433E"/>
    <w:rsid w:val="006547DA"/>
    <w:rsid w:val="00654EC4"/>
    <w:rsid w:val="0065559D"/>
    <w:rsid w:val="0065567D"/>
    <w:rsid w:val="00655A3A"/>
    <w:rsid w:val="00655B8C"/>
    <w:rsid w:val="00655F45"/>
    <w:rsid w:val="00656724"/>
    <w:rsid w:val="00656E06"/>
    <w:rsid w:val="00656FFD"/>
    <w:rsid w:val="0065709D"/>
    <w:rsid w:val="006572DC"/>
    <w:rsid w:val="006574B8"/>
    <w:rsid w:val="00657650"/>
    <w:rsid w:val="006578EE"/>
    <w:rsid w:val="00657A30"/>
    <w:rsid w:val="00657C5E"/>
    <w:rsid w:val="00657EDC"/>
    <w:rsid w:val="00657FA9"/>
    <w:rsid w:val="006606E5"/>
    <w:rsid w:val="00660701"/>
    <w:rsid w:val="00660B62"/>
    <w:rsid w:val="006610DE"/>
    <w:rsid w:val="00661349"/>
    <w:rsid w:val="00661DA2"/>
    <w:rsid w:val="00661E9B"/>
    <w:rsid w:val="0066224C"/>
    <w:rsid w:val="006627A9"/>
    <w:rsid w:val="006627CC"/>
    <w:rsid w:val="00662D01"/>
    <w:rsid w:val="00663850"/>
    <w:rsid w:val="0066395B"/>
    <w:rsid w:val="00663A5A"/>
    <w:rsid w:val="00663ECF"/>
    <w:rsid w:val="00663F07"/>
    <w:rsid w:val="00663FAD"/>
    <w:rsid w:val="00664075"/>
    <w:rsid w:val="006646B6"/>
    <w:rsid w:val="00664915"/>
    <w:rsid w:val="006655CA"/>
    <w:rsid w:val="00665ADB"/>
    <w:rsid w:val="00666182"/>
    <w:rsid w:val="00666521"/>
    <w:rsid w:val="006667D8"/>
    <w:rsid w:val="00666AC5"/>
    <w:rsid w:val="00667994"/>
    <w:rsid w:val="00667E72"/>
    <w:rsid w:val="00670171"/>
    <w:rsid w:val="0067017A"/>
    <w:rsid w:val="00670500"/>
    <w:rsid w:val="006710F9"/>
    <w:rsid w:val="006711DE"/>
    <w:rsid w:val="00671202"/>
    <w:rsid w:val="00672282"/>
    <w:rsid w:val="0067260F"/>
    <w:rsid w:val="00672829"/>
    <w:rsid w:val="00673B5A"/>
    <w:rsid w:val="00673BC7"/>
    <w:rsid w:val="00674359"/>
    <w:rsid w:val="006743C0"/>
    <w:rsid w:val="00674694"/>
    <w:rsid w:val="006746FD"/>
    <w:rsid w:val="00674826"/>
    <w:rsid w:val="006749D1"/>
    <w:rsid w:val="00674A9D"/>
    <w:rsid w:val="00675B44"/>
    <w:rsid w:val="00675C10"/>
    <w:rsid w:val="00675C90"/>
    <w:rsid w:val="00675D8B"/>
    <w:rsid w:val="006767A8"/>
    <w:rsid w:val="00676950"/>
    <w:rsid w:val="00676AFC"/>
    <w:rsid w:val="00676D0F"/>
    <w:rsid w:val="006776D6"/>
    <w:rsid w:val="00677D61"/>
    <w:rsid w:val="006802F8"/>
    <w:rsid w:val="00680380"/>
    <w:rsid w:val="0068060E"/>
    <w:rsid w:val="00680831"/>
    <w:rsid w:val="00680951"/>
    <w:rsid w:val="00681511"/>
    <w:rsid w:val="00681758"/>
    <w:rsid w:val="0068178A"/>
    <w:rsid w:val="006818CA"/>
    <w:rsid w:val="00681BF3"/>
    <w:rsid w:val="00681D34"/>
    <w:rsid w:val="00681DEA"/>
    <w:rsid w:val="00682115"/>
    <w:rsid w:val="00682333"/>
    <w:rsid w:val="006823D2"/>
    <w:rsid w:val="006823F8"/>
    <w:rsid w:val="006824FC"/>
    <w:rsid w:val="006827AB"/>
    <w:rsid w:val="00682CCB"/>
    <w:rsid w:val="00682E54"/>
    <w:rsid w:val="006830F7"/>
    <w:rsid w:val="00683108"/>
    <w:rsid w:val="00683158"/>
    <w:rsid w:val="006832DE"/>
    <w:rsid w:val="00683B49"/>
    <w:rsid w:val="00684135"/>
    <w:rsid w:val="00684E62"/>
    <w:rsid w:val="006851D6"/>
    <w:rsid w:val="00685AD0"/>
    <w:rsid w:val="00685BA8"/>
    <w:rsid w:val="00685F1C"/>
    <w:rsid w:val="0068700C"/>
    <w:rsid w:val="00687EEB"/>
    <w:rsid w:val="00690057"/>
    <w:rsid w:val="0069011D"/>
    <w:rsid w:val="006901EB"/>
    <w:rsid w:val="006903F6"/>
    <w:rsid w:val="0069064B"/>
    <w:rsid w:val="0069071B"/>
    <w:rsid w:val="00690A75"/>
    <w:rsid w:val="00690B0F"/>
    <w:rsid w:val="00690EC9"/>
    <w:rsid w:val="00691568"/>
    <w:rsid w:val="00691682"/>
    <w:rsid w:val="00691816"/>
    <w:rsid w:val="00691B31"/>
    <w:rsid w:val="00692264"/>
    <w:rsid w:val="006938E4"/>
    <w:rsid w:val="00693F03"/>
    <w:rsid w:val="0069453B"/>
    <w:rsid w:val="006949D3"/>
    <w:rsid w:val="00694F08"/>
    <w:rsid w:val="00694F89"/>
    <w:rsid w:val="0069504C"/>
    <w:rsid w:val="00695838"/>
    <w:rsid w:val="00695F0E"/>
    <w:rsid w:val="00695F1C"/>
    <w:rsid w:val="00696651"/>
    <w:rsid w:val="00696703"/>
    <w:rsid w:val="006969CD"/>
    <w:rsid w:val="00696D73"/>
    <w:rsid w:val="00696EFE"/>
    <w:rsid w:val="006A087D"/>
    <w:rsid w:val="006A0B25"/>
    <w:rsid w:val="006A153D"/>
    <w:rsid w:val="006A16C1"/>
    <w:rsid w:val="006A17E4"/>
    <w:rsid w:val="006A189C"/>
    <w:rsid w:val="006A18B8"/>
    <w:rsid w:val="006A1A9C"/>
    <w:rsid w:val="006A24A2"/>
    <w:rsid w:val="006A32AC"/>
    <w:rsid w:val="006A32F8"/>
    <w:rsid w:val="006A3742"/>
    <w:rsid w:val="006A3823"/>
    <w:rsid w:val="006A3B18"/>
    <w:rsid w:val="006A3FAF"/>
    <w:rsid w:val="006A41EA"/>
    <w:rsid w:val="006A4B3F"/>
    <w:rsid w:val="006A4C64"/>
    <w:rsid w:val="006A4D70"/>
    <w:rsid w:val="006A526C"/>
    <w:rsid w:val="006A551E"/>
    <w:rsid w:val="006A5712"/>
    <w:rsid w:val="006A5AF6"/>
    <w:rsid w:val="006A5B9E"/>
    <w:rsid w:val="006A5DFF"/>
    <w:rsid w:val="006A652D"/>
    <w:rsid w:val="006A6B29"/>
    <w:rsid w:val="006A6B66"/>
    <w:rsid w:val="006A6CAD"/>
    <w:rsid w:val="006A73D6"/>
    <w:rsid w:val="006A7E42"/>
    <w:rsid w:val="006B0A2A"/>
    <w:rsid w:val="006B0BA6"/>
    <w:rsid w:val="006B0E07"/>
    <w:rsid w:val="006B153B"/>
    <w:rsid w:val="006B1F55"/>
    <w:rsid w:val="006B2004"/>
    <w:rsid w:val="006B289F"/>
    <w:rsid w:val="006B29B3"/>
    <w:rsid w:val="006B2C66"/>
    <w:rsid w:val="006B325D"/>
    <w:rsid w:val="006B34D5"/>
    <w:rsid w:val="006B3552"/>
    <w:rsid w:val="006B391C"/>
    <w:rsid w:val="006B3AFC"/>
    <w:rsid w:val="006B40F4"/>
    <w:rsid w:val="006B4258"/>
    <w:rsid w:val="006B4607"/>
    <w:rsid w:val="006B4D53"/>
    <w:rsid w:val="006B4D89"/>
    <w:rsid w:val="006B4FD9"/>
    <w:rsid w:val="006B4FDE"/>
    <w:rsid w:val="006B53E3"/>
    <w:rsid w:val="006B54A1"/>
    <w:rsid w:val="006B5B10"/>
    <w:rsid w:val="006B5B35"/>
    <w:rsid w:val="006B5D4C"/>
    <w:rsid w:val="006B5E66"/>
    <w:rsid w:val="006B6234"/>
    <w:rsid w:val="006B65D2"/>
    <w:rsid w:val="006B7025"/>
    <w:rsid w:val="006B7179"/>
    <w:rsid w:val="006B791E"/>
    <w:rsid w:val="006B7ADE"/>
    <w:rsid w:val="006B7E50"/>
    <w:rsid w:val="006C04E3"/>
    <w:rsid w:val="006C0521"/>
    <w:rsid w:val="006C055D"/>
    <w:rsid w:val="006C090D"/>
    <w:rsid w:val="006C0CCC"/>
    <w:rsid w:val="006C121E"/>
    <w:rsid w:val="006C1380"/>
    <w:rsid w:val="006C14D5"/>
    <w:rsid w:val="006C1F59"/>
    <w:rsid w:val="006C236F"/>
    <w:rsid w:val="006C2515"/>
    <w:rsid w:val="006C28DE"/>
    <w:rsid w:val="006C2CFB"/>
    <w:rsid w:val="006C3426"/>
    <w:rsid w:val="006C4508"/>
    <w:rsid w:val="006C45F6"/>
    <w:rsid w:val="006C4B55"/>
    <w:rsid w:val="006C4B97"/>
    <w:rsid w:val="006C4D2E"/>
    <w:rsid w:val="006C5039"/>
    <w:rsid w:val="006C567E"/>
    <w:rsid w:val="006C59A7"/>
    <w:rsid w:val="006C59F8"/>
    <w:rsid w:val="006C5B24"/>
    <w:rsid w:val="006C5C74"/>
    <w:rsid w:val="006C643A"/>
    <w:rsid w:val="006C6E1C"/>
    <w:rsid w:val="006C7102"/>
    <w:rsid w:val="006C71F5"/>
    <w:rsid w:val="006C73BC"/>
    <w:rsid w:val="006C7407"/>
    <w:rsid w:val="006C74F9"/>
    <w:rsid w:val="006C7652"/>
    <w:rsid w:val="006C780F"/>
    <w:rsid w:val="006C7904"/>
    <w:rsid w:val="006C7B61"/>
    <w:rsid w:val="006C7EDE"/>
    <w:rsid w:val="006D02DC"/>
    <w:rsid w:val="006D0ED5"/>
    <w:rsid w:val="006D2492"/>
    <w:rsid w:val="006D25E5"/>
    <w:rsid w:val="006D25F5"/>
    <w:rsid w:val="006D2A89"/>
    <w:rsid w:val="006D328F"/>
    <w:rsid w:val="006D34C9"/>
    <w:rsid w:val="006D38E6"/>
    <w:rsid w:val="006D3DBF"/>
    <w:rsid w:val="006D3F6C"/>
    <w:rsid w:val="006D460F"/>
    <w:rsid w:val="006D4A81"/>
    <w:rsid w:val="006D5136"/>
    <w:rsid w:val="006D5724"/>
    <w:rsid w:val="006D5810"/>
    <w:rsid w:val="006D5C45"/>
    <w:rsid w:val="006D5E18"/>
    <w:rsid w:val="006D60E6"/>
    <w:rsid w:val="006D60F0"/>
    <w:rsid w:val="006D6399"/>
    <w:rsid w:val="006D6578"/>
    <w:rsid w:val="006D664D"/>
    <w:rsid w:val="006D6665"/>
    <w:rsid w:val="006D68B9"/>
    <w:rsid w:val="006D69DF"/>
    <w:rsid w:val="006D765F"/>
    <w:rsid w:val="006D7845"/>
    <w:rsid w:val="006D78F5"/>
    <w:rsid w:val="006D7A56"/>
    <w:rsid w:val="006D7DC2"/>
    <w:rsid w:val="006E051B"/>
    <w:rsid w:val="006E0671"/>
    <w:rsid w:val="006E0786"/>
    <w:rsid w:val="006E07DA"/>
    <w:rsid w:val="006E09D6"/>
    <w:rsid w:val="006E0C88"/>
    <w:rsid w:val="006E143E"/>
    <w:rsid w:val="006E1484"/>
    <w:rsid w:val="006E1781"/>
    <w:rsid w:val="006E1DB3"/>
    <w:rsid w:val="006E1F2D"/>
    <w:rsid w:val="006E2650"/>
    <w:rsid w:val="006E3110"/>
    <w:rsid w:val="006E3350"/>
    <w:rsid w:val="006E344F"/>
    <w:rsid w:val="006E36DB"/>
    <w:rsid w:val="006E3BC0"/>
    <w:rsid w:val="006E3D11"/>
    <w:rsid w:val="006E403B"/>
    <w:rsid w:val="006E405D"/>
    <w:rsid w:val="006E4369"/>
    <w:rsid w:val="006E4440"/>
    <w:rsid w:val="006E4951"/>
    <w:rsid w:val="006E4A72"/>
    <w:rsid w:val="006E4A7A"/>
    <w:rsid w:val="006E4C15"/>
    <w:rsid w:val="006E5912"/>
    <w:rsid w:val="006E5C01"/>
    <w:rsid w:val="006E607D"/>
    <w:rsid w:val="006E6102"/>
    <w:rsid w:val="006E6195"/>
    <w:rsid w:val="006E632C"/>
    <w:rsid w:val="006E6580"/>
    <w:rsid w:val="006E66F0"/>
    <w:rsid w:val="006E6A31"/>
    <w:rsid w:val="006F014E"/>
    <w:rsid w:val="006F0203"/>
    <w:rsid w:val="006F0268"/>
    <w:rsid w:val="006F03D8"/>
    <w:rsid w:val="006F16CD"/>
    <w:rsid w:val="006F1B87"/>
    <w:rsid w:val="006F1E5F"/>
    <w:rsid w:val="006F20C1"/>
    <w:rsid w:val="006F2229"/>
    <w:rsid w:val="006F2810"/>
    <w:rsid w:val="006F2D06"/>
    <w:rsid w:val="006F2F73"/>
    <w:rsid w:val="006F3753"/>
    <w:rsid w:val="006F37A1"/>
    <w:rsid w:val="006F3EC8"/>
    <w:rsid w:val="006F40A8"/>
    <w:rsid w:val="006F4820"/>
    <w:rsid w:val="006F50B5"/>
    <w:rsid w:val="006F522F"/>
    <w:rsid w:val="006F5321"/>
    <w:rsid w:val="006F54C6"/>
    <w:rsid w:val="006F58F6"/>
    <w:rsid w:val="006F5977"/>
    <w:rsid w:val="006F5DD1"/>
    <w:rsid w:val="006F62FC"/>
    <w:rsid w:val="006F6DAB"/>
    <w:rsid w:val="006F74C6"/>
    <w:rsid w:val="006F74CA"/>
    <w:rsid w:val="006F7502"/>
    <w:rsid w:val="006F77AD"/>
    <w:rsid w:val="006F795F"/>
    <w:rsid w:val="006F7A3A"/>
    <w:rsid w:val="006F7C9B"/>
    <w:rsid w:val="006F7E0B"/>
    <w:rsid w:val="006F7FB9"/>
    <w:rsid w:val="007001D5"/>
    <w:rsid w:val="00700530"/>
    <w:rsid w:val="007006F1"/>
    <w:rsid w:val="00700DD4"/>
    <w:rsid w:val="00700FF3"/>
    <w:rsid w:val="0070126D"/>
    <w:rsid w:val="0070148B"/>
    <w:rsid w:val="007017E4"/>
    <w:rsid w:val="00701859"/>
    <w:rsid w:val="00701F18"/>
    <w:rsid w:val="0070229F"/>
    <w:rsid w:val="0070240A"/>
    <w:rsid w:val="00702565"/>
    <w:rsid w:val="00702A93"/>
    <w:rsid w:val="00702C88"/>
    <w:rsid w:val="007037AC"/>
    <w:rsid w:val="0070398D"/>
    <w:rsid w:val="00703A8B"/>
    <w:rsid w:val="0070454C"/>
    <w:rsid w:val="0070474A"/>
    <w:rsid w:val="0070527E"/>
    <w:rsid w:val="00705999"/>
    <w:rsid w:val="00705C19"/>
    <w:rsid w:val="00706032"/>
    <w:rsid w:val="00706366"/>
    <w:rsid w:val="00706368"/>
    <w:rsid w:val="00706491"/>
    <w:rsid w:val="00706767"/>
    <w:rsid w:val="00706DCB"/>
    <w:rsid w:val="00707340"/>
    <w:rsid w:val="0071022E"/>
    <w:rsid w:val="00710B15"/>
    <w:rsid w:val="00711019"/>
    <w:rsid w:val="0071123B"/>
    <w:rsid w:val="0071145C"/>
    <w:rsid w:val="00711FFC"/>
    <w:rsid w:val="0071284C"/>
    <w:rsid w:val="0071297A"/>
    <w:rsid w:val="0071297B"/>
    <w:rsid w:val="00714332"/>
    <w:rsid w:val="00714706"/>
    <w:rsid w:val="0071472C"/>
    <w:rsid w:val="00714813"/>
    <w:rsid w:val="00714EC6"/>
    <w:rsid w:val="007152F4"/>
    <w:rsid w:val="0071571A"/>
    <w:rsid w:val="0071585A"/>
    <w:rsid w:val="007159AB"/>
    <w:rsid w:val="007159CB"/>
    <w:rsid w:val="00715DD7"/>
    <w:rsid w:val="00716A0F"/>
    <w:rsid w:val="00716EA1"/>
    <w:rsid w:val="00716F1D"/>
    <w:rsid w:val="00717730"/>
    <w:rsid w:val="00717B6E"/>
    <w:rsid w:val="00717C78"/>
    <w:rsid w:val="00717FC2"/>
    <w:rsid w:val="00721633"/>
    <w:rsid w:val="00721762"/>
    <w:rsid w:val="00721868"/>
    <w:rsid w:val="007219EE"/>
    <w:rsid w:val="00721A74"/>
    <w:rsid w:val="007222BC"/>
    <w:rsid w:val="00722676"/>
    <w:rsid w:val="007232CD"/>
    <w:rsid w:val="00723389"/>
    <w:rsid w:val="00723AF6"/>
    <w:rsid w:val="007240AF"/>
    <w:rsid w:val="007242B4"/>
    <w:rsid w:val="00724A7D"/>
    <w:rsid w:val="007250C9"/>
    <w:rsid w:val="007255DF"/>
    <w:rsid w:val="0072567B"/>
    <w:rsid w:val="0072570E"/>
    <w:rsid w:val="00725E22"/>
    <w:rsid w:val="00726753"/>
    <w:rsid w:val="00726F87"/>
    <w:rsid w:val="00727710"/>
    <w:rsid w:val="0072777D"/>
    <w:rsid w:val="00727934"/>
    <w:rsid w:val="00727CD1"/>
    <w:rsid w:val="00727D4D"/>
    <w:rsid w:val="00727D54"/>
    <w:rsid w:val="0073012B"/>
    <w:rsid w:val="0073021E"/>
    <w:rsid w:val="00730301"/>
    <w:rsid w:val="00730702"/>
    <w:rsid w:val="00730AAC"/>
    <w:rsid w:val="00730B36"/>
    <w:rsid w:val="00730B55"/>
    <w:rsid w:val="00730B7E"/>
    <w:rsid w:val="00730C38"/>
    <w:rsid w:val="00730C5B"/>
    <w:rsid w:val="00730CA3"/>
    <w:rsid w:val="00730F46"/>
    <w:rsid w:val="007315ED"/>
    <w:rsid w:val="00731653"/>
    <w:rsid w:val="00731AB5"/>
    <w:rsid w:val="00731B4D"/>
    <w:rsid w:val="007324CB"/>
    <w:rsid w:val="0073288C"/>
    <w:rsid w:val="00732FC2"/>
    <w:rsid w:val="007337C5"/>
    <w:rsid w:val="00733A59"/>
    <w:rsid w:val="00733A8A"/>
    <w:rsid w:val="0073400F"/>
    <w:rsid w:val="00734265"/>
    <w:rsid w:val="00734330"/>
    <w:rsid w:val="007343D8"/>
    <w:rsid w:val="00735103"/>
    <w:rsid w:val="0073556E"/>
    <w:rsid w:val="0073558C"/>
    <w:rsid w:val="0073584C"/>
    <w:rsid w:val="007358DD"/>
    <w:rsid w:val="00736498"/>
    <w:rsid w:val="00736587"/>
    <w:rsid w:val="007366F1"/>
    <w:rsid w:val="0073677A"/>
    <w:rsid w:val="00736AC2"/>
    <w:rsid w:val="00736BD3"/>
    <w:rsid w:val="00736DA1"/>
    <w:rsid w:val="007377A4"/>
    <w:rsid w:val="00737ED0"/>
    <w:rsid w:val="00740D0A"/>
    <w:rsid w:val="00740D86"/>
    <w:rsid w:val="00740F58"/>
    <w:rsid w:val="00741489"/>
    <w:rsid w:val="00741648"/>
    <w:rsid w:val="007416D9"/>
    <w:rsid w:val="00741755"/>
    <w:rsid w:val="00741D9F"/>
    <w:rsid w:val="00741FFD"/>
    <w:rsid w:val="00742390"/>
    <w:rsid w:val="00742E08"/>
    <w:rsid w:val="00742EC2"/>
    <w:rsid w:val="0074337C"/>
    <w:rsid w:val="00744011"/>
    <w:rsid w:val="007441D6"/>
    <w:rsid w:val="00744400"/>
    <w:rsid w:val="007448FB"/>
    <w:rsid w:val="007448FD"/>
    <w:rsid w:val="0074490E"/>
    <w:rsid w:val="00744B6B"/>
    <w:rsid w:val="00744BA6"/>
    <w:rsid w:val="00744C8A"/>
    <w:rsid w:val="00744E0E"/>
    <w:rsid w:val="00745108"/>
    <w:rsid w:val="00745352"/>
    <w:rsid w:val="007454FE"/>
    <w:rsid w:val="00745999"/>
    <w:rsid w:val="00745E7A"/>
    <w:rsid w:val="0074631E"/>
    <w:rsid w:val="007468C0"/>
    <w:rsid w:val="0074692B"/>
    <w:rsid w:val="00747761"/>
    <w:rsid w:val="00747CB1"/>
    <w:rsid w:val="00750679"/>
    <w:rsid w:val="0075073C"/>
    <w:rsid w:val="00750828"/>
    <w:rsid w:val="0075089A"/>
    <w:rsid w:val="00750E67"/>
    <w:rsid w:val="00750EDC"/>
    <w:rsid w:val="0075113E"/>
    <w:rsid w:val="00751B7F"/>
    <w:rsid w:val="00751D35"/>
    <w:rsid w:val="007523C7"/>
    <w:rsid w:val="007528A2"/>
    <w:rsid w:val="007528AF"/>
    <w:rsid w:val="00752D2C"/>
    <w:rsid w:val="00752DAB"/>
    <w:rsid w:val="00753BD4"/>
    <w:rsid w:val="007544F4"/>
    <w:rsid w:val="007548F3"/>
    <w:rsid w:val="00754B7E"/>
    <w:rsid w:val="00755424"/>
    <w:rsid w:val="00755B2D"/>
    <w:rsid w:val="007560CC"/>
    <w:rsid w:val="007562A9"/>
    <w:rsid w:val="007562E9"/>
    <w:rsid w:val="00756491"/>
    <w:rsid w:val="0075652C"/>
    <w:rsid w:val="00756ABC"/>
    <w:rsid w:val="007578E0"/>
    <w:rsid w:val="00757A5E"/>
    <w:rsid w:val="0076011B"/>
    <w:rsid w:val="00760373"/>
    <w:rsid w:val="007604B3"/>
    <w:rsid w:val="00760698"/>
    <w:rsid w:val="00760D2F"/>
    <w:rsid w:val="007612F4"/>
    <w:rsid w:val="007618FF"/>
    <w:rsid w:val="00761999"/>
    <w:rsid w:val="00761CCC"/>
    <w:rsid w:val="00761D13"/>
    <w:rsid w:val="00761D7A"/>
    <w:rsid w:val="00762220"/>
    <w:rsid w:val="007629A8"/>
    <w:rsid w:val="00762B2D"/>
    <w:rsid w:val="00763163"/>
    <w:rsid w:val="00763170"/>
    <w:rsid w:val="00763951"/>
    <w:rsid w:val="007648D0"/>
    <w:rsid w:val="00764B5B"/>
    <w:rsid w:val="007652ED"/>
    <w:rsid w:val="0076533F"/>
    <w:rsid w:val="0076567A"/>
    <w:rsid w:val="00765689"/>
    <w:rsid w:val="00765CF4"/>
    <w:rsid w:val="00765F6E"/>
    <w:rsid w:val="007662A6"/>
    <w:rsid w:val="00767925"/>
    <w:rsid w:val="00767BD1"/>
    <w:rsid w:val="00767E59"/>
    <w:rsid w:val="0077018A"/>
    <w:rsid w:val="007707C5"/>
    <w:rsid w:val="00770A92"/>
    <w:rsid w:val="00770F0B"/>
    <w:rsid w:val="00771331"/>
    <w:rsid w:val="00771CB7"/>
    <w:rsid w:val="00771F2A"/>
    <w:rsid w:val="007720C5"/>
    <w:rsid w:val="007722F4"/>
    <w:rsid w:val="007731EB"/>
    <w:rsid w:val="00773817"/>
    <w:rsid w:val="00773856"/>
    <w:rsid w:val="00773B5D"/>
    <w:rsid w:val="00773F66"/>
    <w:rsid w:val="00773FFD"/>
    <w:rsid w:val="0077447A"/>
    <w:rsid w:val="00774802"/>
    <w:rsid w:val="00775379"/>
    <w:rsid w:val="00775A4F"/>
    <w:rsid w:val="00775B45"/>
    <w:rsid w:val="00775E12"/>
    <w:rsid w:val="007762A6"/>
    <w:rsid w:val="007767A1"/>
    <w:rsid w:val="00776989"/>
    <w:rsid w:val="00776AED"/>
    <w:rsid w:val="00777040"/>
    <w:rsid w:val="007772AA"/>
    <w:rsid w:val="00777C6E"/>
    <w:rsid w:val="00777DC3"/>
    <w:rsid w:val="007801F4"/>
    <w:rsid w:val="0078021A"/>
    <w:rsid w:val="0078049E"/>
    <w:rsid w:val="00780E56"/>
    <w:rsid w:val="00781015"/>
    <w:rsid w:val="00781987"/>
    <w:rsid w:val="00781A94"/>
    <w:rsid w:val="00781E16"/>
    <w:rsid w:val="007820DD"/>
    <w:rsid w:val="00782245"/>
    <w:rsid w:val="0078251C"/>
    <w:rsid w:val="00782D13"/>
    <w:rsid w:val="00782F6C"/>
    <w:rsid w:val="00783065"/>
    <w:rsid w:val="00783488"/>
    <w:rsid w:val="00783522"/>
    <w:rsid w:val="00783A58"/>
    <w:rsid w:val="00783D0B"/>
    <w:rsid w:val="0078400A"/>
    <w:rsid w:val="0078427A"/>
    <w:rsid w:val="007849C7"/>
    <w:rsid w:val="00784CEE"/>
    <w:rsid w:val="00784D65"/>
    <w:rsid w:val="00784EB4"/>
    <w:rsid w:val="00784EDF"/>
    <w:rsid w:val="00784F6E"/>
    <w:rsid w:val="0078518E"/>
    <w:rsid w:val="0078542B"/>
    <w:rsid w:val="007854B9"/>
    <w:rsid w:val="00785567"/>
    <w:rsid w:val="00785717"/>
    <w:rsid w:val="007857A3"/>
    <w:rsid w:val="00785874"/>
    <w:rsid w:val="00785909"/>
    <w:rsid w:val="00785CCB"/>
    <w:rsid w:val="00785F06"/>
    <w:rsid w:val="007861E1"/>
    <w:rsid w:val="0078629A"/>
    <w:rsid w:val="007862DD"/>
    <w:rsid w:val="007868E9"/>
    <w:rsid w:val="007869D9"/>
    <w:rsid w:val="00786F9B"/>
    <w:rsid w:val="007871AB"/>
    <w:rsid w:val="00787409"/>
    <w:rsid w:val="00787431"/>
    <w:rsid w:val="0079020B"/>
    <w:rsid w:val="00790634"/>
    <w:rsid w:val="007908A3"/>
    <w:rsid w:val="00790BFA"/>
    <w:rsid w:val="00790EA6"/>
    <w:rsid w:val="0079115D"/>
    <w:rsid w:val="00791549"/>
    <w:rsid w:val="0079165E"/>
    <w:rsid w:val="00791729"/>
    <w:rsid w:val="007922C7"/>
    <w:rsid w:val="007928B4"/>
    <w:rsid w:val="00792B5B"/>
    <w:rsid w:val="00792CC3"/>
    <w:rsid w:val="00792E5B"/>
    <w:rsid w:val="00792FB8"/>
    <w:rsid w:val="007930FC"/>
    <w:rsid w:val="00793183"/>
    <w:rsid w:val="007939DB"/>
    <w:rsid w:val="00793E33"/>
    <w:rsid w:val="007940C0"/>
    <w:rsid w:val="007940F3"/>
    <w:rsid w:val="007940F7"/>
    <w:rsid w:val="007941A9"/>
    <w:rsid w:val="00794A9E"/>
    <w:rsid w:val="00794AED"/>
    <w:rsid w:val="00794D4E"/>
    <w:rsid w:val="007950DE"/>
    <w:rsid w:val="00795348"/>
    <w:rsid w:val="00795CC2"/>
    <w:rsid w:val="0079614D"/>
    <w:rsid w:val="007962B6"/>
    <w:rsid w:val="007965A2"/>
    <w:rsid w:val="007969A2"/>
    <w:rsid w:val="00796A75"/>
    <w:rsid w:val="0079739C"/>
    <w:rsid w:val="007975D2"/>
    <w:rsid w:val="00797C17"/>
    <w:rsid w:val="00797C49"/>
    <w:rsid w:val="00797C84"/>
    <w:rsid w:val="007A00BC"/>
    <w:rsid w:val="007A0224"/>
    <w:rsid w:val="007A030C"/>
    <w:rsid w:val="007A05B9"/>
    <w:rsid w:val="007A0F0E"/>
    <w:rsid w:val="007A16C4"/>
    <w:rsid w:val="007A1B12"/>
    <w:rsid w:val="007A1E1B"/>
    <w:rsid w:val="007A1F63"/>
    <w:rsid w:val="007A2358"/>
    <w:rsid w:val="007A23BF"/>
    <w:rsid w:val="007A2462"/>
    <w:rsid w:val="007A25B2"/>
    <w:rsid w:val="007A274B"/>
    <w:rsid w:val="007A2D1A"/>
    <w:rsid w:val="007A332C"/>
    <w:rsid w:val="007A3CEA"/>
    <w:rsid w:val="007A3D46"/>
    <w:rsid w:val="007A3F48"/>
    <w:rsid w:val="007A45A5"/>
    <w:rsid w:val="007A4E2F"/>
    <w:rsid w:val="007A5126"/>
    <w:rsid w:val="007A5146"/>
    <w:rsid w:val="007A518C"/>
    <w:rsid w:val="007A523D"/>
    <w:rsid w:val="007A52C2"/>
    <w:rsid w:val="007A53D8"/>
    <w:rsid w:val="007A5E1A"/>
    <w:rsid w:val="007A6074"/>
    <w:rsid w:val="007A62C9"/>
    <w:rsid w:val="007A69AB"/>
    <w:rsid w:val="007A6CB2"/>
    <w:rsid w:val="007A6D45"/>
    <w:rsid w:val="007A7BBA"/>
    <w:rsid w:val="007A7C17"/>
    <w:rsid w:val="007A7C98"/>
    <w:rsid w:val="007A7EDE"/>
    <w:rsid w:val="007A7FCD"/>
    <w:rsid w:val="007B0B28"/>
    <w:rsid w:val="007B0D07"/>
    <w:rsid w:val="007B0FB0"/>
    <w:rsid w:val="007B0FEB"/>
    <w:rsid w:val="007B188F"/>
    <w:rsid w:val="007B1EE6"/>
    <w:rsid w:val="007B2008"/>
    <w:rsid w:val="007B25B2"/>
    <w:rsid w:val="007B306A"/>
    <w:rsid w:val="007B3311"/>
    <w:rsid w:val="007B338C"/>
    <w:rsid w:val="007B37BA"/>
    <w:rsid w:val="007B37C5"/>
    <w:rsid w:val="007B39DB"/>
    <w:rsid w:val="007B3B39"/>
    <w:rsid w:val="007B3E04"/>
    <w:rsid w:val="007B3EBC"/>
    <w:rsid w:val="007B3FF5"/>
    <w:rsid w:val="007B413E"/>
    <w:rsid w:val="007B525E"/>
    <w:rsid w:val="007B53E7"/>
    <w:rsid w:val="007B5B56"/>
    <w:rsid w:val="007B5E7A"/>
    <w:rsid w:val="007B5F41"/>
    <w:rsid w:val="007B61EE"/>
    <w:rsid w:val="007B6331"/>
    <w:rsid w:val="007B6A6D"/>
    <w:rsid w:val="007B6F65"/>
    <w:rsid w:val="007B7097"/>
    <w:rsid w:val="007B7145"/>
    <w:rsid w:val="007B7614"/>
    <w:rsid w:val="007B77F8"/>
    <w:rsid w:val="007B7A9C"/>
    <w:rsid w:val="007C03DB"/>
    <w:rsid w:val="007C0A00"/>
    <w:rsid w:val="007C0C3F"/>
    <w:rsid w:val="007C0D5A"/>
    <w:rsid w:val="007C100E"/>
    <w:rsid w:val="007C11A3"/>
    <w:rsid w:val="007C1332"/>
    <w:rsid w:val="007C1398"/>
    <w:rsid w:val="007C1550"/>
    <w:rsid w:val="007C161F"/>
    <w:rsid w:val="007C166F"/>
    <w:rsid w:val="007C1872"/>
    <w:rsid w:val="007C1D79"/>
    <w:rsid w:val="007C2207"/>
    <w:rsid w:val="007C2A3E"/>
    <w:rsid w:val="007C2AB4"/>
    <w:rsid w:val="007C3395"/>
    <w:rsid w:val="007C3E77"/>
    <w:rsid w:val="007C40F8"/>
    <w:rsid w:val="007C4154"/>
    <w:rsid w:val="007C42FB"/>
    <w:rsid w:val="007C45A5"/>
    <w:rsid w:val="007C4A73"/>
    <w:rsid w:val="007C4C0C"/>
    <w:rsid w:val="007C5DA2"/>
    <w:rsid w:val="007C5E9C"/>
    <w:rsid w:val="007C613B"/>
    <w:rsid w:val="007C67D4"/>
    <w:rsid w:val="007C6828"/>
    <w:rsid w:val="007C6AA7"/>
    <w:rsid w:val="007C6BBD"/>
    <w:rsid w:val="007C77E1"/>
    <w:rsid w:val="007C79CF"/>
    <w:rsid w:val="007D0330"/>
    <w:rsid w:val="007D039D"/>
    <w:rsid w:val="007D049C"/>
    <w:rsid w:val="007D051A"/>
    <w:rsid w:val="007D0B01"/>
    <w:rsid w:val="007D0B04"/>
    <w:rsid w:val="007D152F"/>
    <w:rsid w:val="007D1531"/>
    <w:rsid w:val="007D1D04"/>
    <w:rsid w:val="007D2044"/>
    <w:rsid w:val="007D2186"/>
    <w:rsid w:val="007D2271"/>
    <w:rsid w:val="007D2366"/>
    <w:rsid w:val="007D2863"/>
    <w:rsid w:val="007D2C92"/>
    <w:rsid w:val="007D2D33"/>
    <w:rsid w:val="007D2F34"/>
    <w:rsid w:val="007D3650"/>
    <w:rsid w:val="007D382F"/>
    <w:rsid w:val="007D38AE"/>
    <w:rsid w:val="007D39D3"/>
    <w:rsid w:val="007D3DD4"/>
    <w:rsid w:val="007D42C9"/>
    <w:rsid w:val="007D4A43"/>
    <w:rsid w:val="007D4EDB"/>
    <w:rsid w:val="007D5184"/>
    <w:rsid w:val="007D5364"/>
    <w:rsid w:val="007D558B"/>
    <w:rsid w:val="007D56CB"/>
    <w:rsid w:val="007D594C"/>
    <w:rsid w:val="007D5C60"/>
    <w:rsid w:val="007D5DBC"/>
    <w:rsid w:val="007D6113"/>
    <w:rsid w:val="007D62B4"/>
    <w:rsid w:val="007D6939"/>
    <w:rsid w:val="007D6D4D"/>
    <w:rsid w:val="007D6E10"/>
    <w:rsid w:val="007D75C0"/>
    <w:rsid w:val="007D7B7F"/>
    <w:rsid w:val="007D7CD6"/>
    <w:rsid w:val="007D7F83"/>
    <w:rsid w:val="007E00AA"/>
    <w:rsid w:val="007E06D5"/>
    <w:rsid w:val="007E0B27"/>
    <w:rsid w:val="007E0B49"/>
    <w:rsid w:val="007E1719"/>
    <w:rsid w:val="007E184C"/>
    <w:rsid w:val="007E187D"/>
    <w:rsid w:val="007E1A71"/>
    <w:rsid w:val="007E1D38"/>
    <w:rsid w:val="007E1E5F"/>
    <w:rsid w:val="007E2136"/>
    <w:rsid w:val="007E2762"/>
    <w:rsid w:val="007E2879"/>
    <w:rsid w:val="007E2CB6"/>
    <w:rsid w:val="007E2FA5"/>
    <w:rsid w:val="007E319A"/>
    <w:rsid w:val="007E3929"/>
    <w:rsid w:val="007E3ABB"/>
    <w:rsid w:val="007E4317"/>
    <w:rsid w:val="007E4C3E"/>
    <w:rsid w:val="007E4C3F"/>
    <w:rsid w:val="007E5EC5"/>
    <w:rsid w:val="007E604B"/>
    <w:rsid w:val="007E6394"/>
    <w:rsid w:val="007E64EB"/>
    <w:rsid w:val="007E6516"/>
    <w:rsid w:val="007E6851"/>
    <w:rsid w:val="007E6BA8"/>
    <w:rsid w:val="007E7249"/>
    <w:rsid w:val="007E7366"/>
    <w:rsid w:val="007E73F6"/>
    <w:rsid w:val="007E7783"/>
    <w:rsid w:val="007F06A8"/>
    <w:rsid w:val="007F0702"/>
    <w:rsid w:val="007F0AF2"/>
    <w:rsid w:val="007F1128"/>
    <w:rsid w:val="007F1365"/>
    <w:rsid w:val="007F1B06"/>
    <w:rsid w:val="007F25A5"/>
    <w:rsid w:val="007F2A4A"/>
    <w:rsid w:val="007F2A7C"/>
    <w:rsid w:val="007F3124"/>
    <w:rsid w:val="007F3270"/>
    <w:rsid w:val="007F337F"/>
    <w:rsid w:val="007F365E"/>
    <w:rsid w:val="007F3BFE"/>
    <w:rsid w:val="007F4038"/>
    <w:rsid w:val="007F4119"/>
    <w:rsid w:val="007F4473"/>
    <w:rsid w:val="007F48D6"/>
    <w:rsid w:val="007F4A03"/>
    <w:rsid w:val="007F4A0D"/>
    <w:rsid w:val="007F4ADC"/>
    <w:rsid w:val="007F4B78"/>
    <w:rsid w:val="007F55BB"/>
    <w:rsid w:val="007F569A"/>
    <w:rsid w:val="007F585B"/>
    <w:rsid w:val="007F5B91"/>
    <w:rsid w:val="007F6107"/>
    <w:rsid w:val="007F62C3"/>
    <w:rsid w:val="007F65FB"/>
    <w:rsid w:val="007F673E"/>
    <w:rsid w:val="007F680B"/>
    <w:rsid w:val="007F6B50"/>
    <w:rsid w:val="007F6D4B"/>
    <w:rsid w:val="007F6E81"/>
    <w:rsid w:val="007F7A58"/>
    <w:rsid w:val="007F7B1F"/>
    <w:rsid w:val="0080040D"/>
    <w:rsid w:val="008006F9"/>
    <w:rsid w:val="00800A70"/>
    <w:rsid w:val="00801103"/>
    <w:rsid w:val="00801762"/>
    <w:rsid w:val="008017C1"/>
    <w:rsid w:val="00801AFD"/>
    <w:rsid w:val="00801B70"/>
    <w:rsid w:val="00801E41"/>
    <w:rsid w:val="00802DAC"/>
    <w:rsid w:val="00803683"/>
    <w:rsid w:val="00803D36"/>
    <w:rsid w:val="00803FFA"/>
    <w:rsid w:val="00804184"/>
    <w:rsid w:val="0080489D"/>
    <w:rsid w:val="00804CA2"/>
    <w:rsid w:val="00804D16"/>
    <w:rsid w:val="008050D6"/>
    <w:rsid w:val="00805203"/>
    <w:rsid w:val="0080540F"/>
    <w:rsid w:val="00805448"/>
    <w:rsid w:val="00805481"/>
    <w:rsid w:val="00805602"/>
    <w:rsid w:val="00805893"/>
    <w:rsid w:val="00805D43"/>
    <w:rsid w:val="0080676E"/>
    <w:rsid w:val="00806A1F"/>
    <w:rsid w:val="00806A6C"/>
    <w:rsid w:val="00806C74"/>
    <w:rsid w:val="00807192"/>
    <w:rsid w:val="008073FF"/>
    <w:rsid w:val="00807646"/>
    <w:rsid w:val="00807AD2"/>
    <w:rsid w:val="0081002A"/>
    <w:rsid w:val="00810424"/>
    <w:rsid w:val="00810624"/>
    <w:rsid w:val="008107F3"/>
    <w:rsid w:val="00810B04"/>
    <w:rsid w:val="00810B32"/>
    <w:rsid w:val="008111E1"/>
    <w:rsid w:val="00811305"/>
    <w:rsid w:val="00811580"/>
    <w:rsid w:val="008115B7"/>
    <w:rsid w:val="00811715"/>
    <w:rsid w:val="008117D3"/>
    <w:rsid w:val="0081188A"/>
    <w:rsid w:val="00811ECF"/>
    <w:rsid w:val="0081205A"/>
    <w:rsid w:val="00812B35"/>
    <w:rsid w:val="00812BCB"/>
    <w:rsid w:val="00812C33"/>
    <w:rsid w:val="00812E53"/>
    <w:rsid w:val="00813406"/>
    <w:rsid w:val="00813484"/>
    <w:rsid w:val="00813619"/>
    <w:rsid w:val="00813BFC"/>
    <w:rsid w:val="00813CBF"/>
    <w:rsid w:val="008145BA"/>
    <w:rsid w:val="008148AB"/>
    <w:rsid w:val="0081498C"/>
    <w:rsid w:val="00814B6F"/>
    <w:rsid w:val="00814D29"/>
    <w:rsid w:val="00814D65"/>
    <w:rsid w:val="00814DCA"/>
    <w:rsid w:val="008158B3"/>
    <w:rsid w:val="008159BA"/>
    <w:rsid w:val="00815E22"/>
    <w:rsid w:val="0081633F"/>
    <w:rsid w:val="00816702"/>
    <w:rsid w:val="00816EE6"/>
    <w:rsid w:val="00816FE8"/>
    <w:rsid w:val="0081729C"/>
    <w:rsid w:val="008172B7"/>
    <w:rsid w:val="00817A11"/>
    <w:rsid w:val="00817C73"/>
    <w:rsid w:val="008206E1"/>
    <w:rsid w:val="008208DB"/>
    <w:rsid w:val="00820D8C"/>
    <w:rsid w:val="00821ADD"/>
    <w:rsid w:val="00821C07"/>
    <w:rsid w:val="00821CC7"/>
    <w:rsid w:val="00821F60"/>
    <w:rsid w:val="00822168"/>
    <w:rsid w:val="00822589"/>
    <w:rsid w:val="00822635"/>
    <w:rsid w:val="00822BC4"/>
    <w:rsid w:val="00823270"/>
    <w:rsid w:val="008236E5"/>
    <w:rsid w:val="0082382C"/>
    <w:rsid w:val="00823DD8"/>
    <w:rsid w:val="0082410B"/>
    <w:rsid w:val="00824493"/>
    <w:rsid w:val="008248B0"/>
    <w:rsid w:val="00824A74"/>
    <w:rsid w:val="00824B3B"/>
    <w:rsid w:val="00824BB8"/>
    <w:rsid w:val="00825475"/>
    <w:rsid w:val="0082579F"/>
    <w:rsid w:val="00825A26"/>
    <w:rsid w:val="00825E83"/>
    <w:rsid w:val="00826E13"/>
    <w:rsid w:val="0082732F"/>
    <w:rsid w:val="0082738D"/>
    <w:rsid w:val="0082788A"/>
    <w:rsid w:val="00827899"/>
    <w:rsid w:val="008278D4"/>
    <w:rsid w:val="00827A08"/>
    <w:rsid w:val="00827D03"/>
    <w:rsid w:val="008301DB"/>
    <w:rsid w:val="0083024A"/>
    <w:rsid w:val="0083067C"/>
    <w:rsid w:val="00830D3E"/>
    <w:rsid w:val="008310F6"/>
    <w:rsid w:val="008311E3"/>
    <w:rsid w:val="0083126C"/>
    <w:rsid w:val="0083158B"/>
    <w:rsid w:val="008316A8"/>
    <w:rsid w:val="008321AA"/>
    <w:rsid w:val="008325B6"/>
    <w:rsid w:val="00832DF2"/>
    <w:rsid w:val="00833220"/>
    <w:rsid w:val="008332A0"/>
    <w:rsid w:val="008334C3"/>
    <w:rsid w:val="00833809"/>
    <w:rsid w:val="00833BE6"/>
    <w:rsid w:val="008341D9"/>
    <w:rsid w:val="00834890"/>
    <w:rsid w:val="00834AF2"/>
    <w:rsid w:val="00834BF3"/>
    <w:rsid w:val="00835481"/>
    <w:rsid w:val="00835586"/>
    <w:rsid w:val="0083566A"/>
    <w:rsid w:val="00835921"/>
    <w:rsid w:val="00835BF2"/>
    <w:rsid w:val="00835C93"/>
    <w:rsid w:val="00836019"/>
    <w:rsid w:val="008361FD"/>
    <w:rsid w:val="00836578"/>
    <w:rsid w:val="008369CE"/>
    <w:rsid w:val="00836C1B"/>
    <w:rsid w:val="00836CC1"/>
    <w:rsid w:val="00836D04"/>
    <w:rsid w:val="00836F8C"/>
    <w:rsid w:val="00837A87"/>
    <w:rsid w:val="00840160"/>
    <w:rsid w:val="008405BB"/>
    <w:rsid w:val="00840AAD"/>
    <w:rsid w:val="00840E3E"/>
    <w:rsid w:val="00841482"/>
    <w:rsid w:val="0084152F"/>
    <w:rsid w:val="008417EC"/>
    <w:rsid w:val="00841C3D"/>
    <w:rsid w:val="008420A7"/>
    <w:rsid w:val="00842339"/>
    <w:rsid w:val="008423A7"/>
    <w:rsid w:val="00842DDF"/>
    <w:rsid w:val="00843058"/>
    <w:rsid w:val="00844FAA"/>
    <w:rsid w:val="0084523B"/>
    <w:rsid w:val="0084569C"/>
    <w:rsid w:val="00845CB5"/>
    <w:rsid w:val="00845EC5"/>
    <w:rsid w:val="008462BA"/>
    <w:rsid w:val="0084646F"/>
    <w:rsid w:val="00846709"/>
    <w:rsid w:val="00847056"/>
    <w:rsid w:val="0084720E"/>
    <w:rsid w:val="00847853"/>
    <w:rsid w:val="00847A3F"/>
    <w:rsid w:val="00847D60"/>
    <w:rsid w:val="00850232"/>
    <w:rsid w:val="00850264"/>
    <w:rsid w:val="00850648"/>
    <w:rsid w:val="00850A8B"/>
    <w:rsid w:val="00850BF4"/>
    <w:rsid w:val="008517EA"/>
    <w:rsid w:val="008518B0"/>
    <w:rsid w:val="008519C5"/>
    <w:rsid w:val="00851D0D"/>
    <w:rsid w:val="00851E28"/>
    <w:rsid w:val="00852782"/>
    <w:rsid w:val="008536C9"/>
    <w:rsid w:val="00853716"/>
    <w:rsid w:val="00853961"/>
    <w:rsid w:val="008539F4"/>
    <w:rsid w:val="00853CCA"/>
    <w:rsid w:val="00853D66"/>
    <w:rsid w:val="008543E8"/>
    <w:rsid w:val="008547E8"/>
    <w:rsid w:val="00854DBC"/>
    <w:rsid w:val="00854F7B"/>
    <w:rsid w:val="00855254"/>
    <w:rsid w:val="00856441"/>
    <w:rsid w:val="00856478"/>
    <w:rsid w:val="00856570"/>
    <w:rsid w:val="00856CB6"/>
    <w:rsid w:val="00856E95"/>
    <w:rsid w:val="00856F57"/>
    <w:rsid w:val="008573D9"/>
    <w:rsid w:val="00857616"/>
    <w:rsid w:val="0085766D"/>
    <w:rsid w:val="00857758"/>
    <w:rsid w:val="0085796E"/>
    <w:rsid w:val="008603E0"/>
    <w:rsid w:val="00860927"/>
    <w:rsid w:val="00860A6E"/>
    <w:rsid w:val="00860D5A"/>
    <w:rsid w:val="00860E0B"/>
    <w:rsid w:val="00860E30"/>
    <w:rsid w:val="00860FF7"/>
    <w:rsid w:val="0086182C"/>
    <w:rsid w:val="008620D8"/>
    <w:rsid w:val="008620DB"/>
    <w:rsid w:val="008621BE"/>
    <w:rsid w:val="00862208"/>
    <w:rsid w:val="008627CD"/>
    <w:rsid w:val="008633E6"/>
    <w:rsid w:val="008633F6"/>
    <w:rsid w:val="00863552"/>
    <w:rsid w:val="008638CF"/>
    <w:rsid w:val="00863C73"/>
    <w:rsid w:val="00863DEA"/>
    <w:rsid w:val="00864467"/>
    <w:rsid w:val="00865A1E"/>
    <w:rsid w:val="00865F57"/>
    <w:rsid w:val="008663BD"/>
    <w:rsid w:val="00866491"/>
    <w:rsid w:val="0086649B"/>
    <w:rsid w:val="00866680"/>
    <w:rsid w:val="008669EA"/>
    <w:rsid w:val="00866DC2"/>
    <w:rsid w:val="0086738E"/>
    <w:rsid w:val="0086752B"/>
    <w:rsid w:val="00867C00"/>
    <w:rsid w:val="0087045C"/>
    <w:rsid w:val="008704AE"/>
    <w:rsid w:val="00870516"/>
    <w:rsid w:val="00870ED8"/>
    <w:rsid w:val="00870FFF"/>
    <w:rsid w:val="00871539"/>
    <w:rsid w:val="00871F2E"/>
    <w:rsid w:val="00872095"/>
    <w:rsid w:val="008720D3"/>
    <w:rsid w:val="00872347"/>
    <w:rsid w:val="00872C1B"/>
    <w:rsid w:val="00872EC5"/>
    <w:rsid w:val="00873151"/>
    <w:rsid w:val="008741C3"/>
    <w:rsid w:val="0087471D"/>
    <w:rsid w:val="00874796"/>
    <w:rsid w:val="00874824"/>
    <w:rsid w:val="0087525F"/>
    <w:rsid w:val="00875E5D"/>
    <w:rsid w:val="00875F93"/>
    <w:rsid w:val="008763AF"/>
    <w:rsid w:val="00876917"/>
    <w:rsid w:val="00876BE7"/>
    <w:rsid w:val="00876C7F"/>
    <w:rsid w:val="00876D65"/>
    <w:rsid w:val="00876D8C"/>
    <w:rsid w:val="00876F7E"/>
    <w:rsid w:val="0087708A"/>
    <w:rsid w:val="008770DE"/>
    <w:rsid w:val="00877443"/>
    <w:rsid w:val="008779FC"/>
    <w:rsid w:val="00877BE6"/>
    <w:rsid w:val="0088008C"/>
    <w:rsid w:val="00880394"/>
    <w:rsid w:val="00882012"/>
    <w:rsid w:val="0088212C"/>
    <w:rsid w:val="008828BD"/>
    <w:rsid w:val="00882D03"/>
    <w:rsid w:val="00882D51"/>
    <w:rsid w:val="00882DA6"/>
    <w:rsid w:val="00882EC2"/>
    <w:rsid w:val="00882F4B"/>
    <w:rsid w:val="00883990"/>
    <w:rsid w:val="00883CE1"/>
    <w:rsid w:val="00883DB9"/>
    <w:rsid w:val="00883DE9"/>
    <w:rsid w:val="008841FC"/>
    <w:rsid w:val="0088424B"/>
    <w:rsid w:val="00884A23"/>
    <w:rsid w:val="00884E1B"/>
    <w:rsid w:val="00885085"/>
    <w:rsid w:val="00885781"/>
    <w:rsid w:val="00885A4A"/>
    <w:rsid w:val="00885B39"/>
    <w:rsid w:val="00885C9B"/>
    <w:rsid w:val="00885D27"/>
    <w:rsid w:val="00885FCF"/>
    <w:rsid w:val="00886064"/>
    <w:rsid w:val="00886100"/>
    <w:rsid w:val="008862A5"/>
    <w:rsid w:val="0088648E"/>
    <w:rsid w:val="008867DF"/>
    <w:rsid w:val="00886867"/>
    <w:rsid w:val="008869FA"/>
    <w:rsid w:val="008870AC"/>
    <w:rsid w:val="00887229"/>
    <w:rsid w:val="0088761C"/>
    <w:rsid w:val="00887FEB"/>
    <w:rsid w:val="008901DA"/>
    <w:rsid w:val="0089065F"/>
    <w:rsid w:val="008906ED"/>
    <w:rsid w:val="00890C99"/>
    <w:rsid w:val="0089123E"/>
    <w:rsid w:val="008917EA"/>
    <w:rsid w:val="008919D2"/>
    <w:rsid w:val="00891D37"/>
    <w:rsid w:val="00892A84"/>
    <w:rsid w:val="00892B73"/>
    <w:rsid w:val="00892C9A"/>
    <w:rsid w:val="0089340A"/>
    <w:rsid w:val="00893914"/>
    <w:rsid w:val="00893920"/>
    <w:rsid w:val="00893C0B"/>
    <w:rsid w:val="00894091"/>
    <w:rsid w:val="0089424A"/>
    <w:rsid w:val="00894B32"/>
    <w:rsid w:val="00894B95"/>
    <w:rsid w:val="00894BFE"/>
    <w:rsid w:val="00894CF0"/>
    <w:rsid w:val="00894E5B"/>
    <w:rsid w:val="008951E1"/>
    <w:rsid w:val="008957AD"/>
    <w:rsid w:val="00895977"/>
    <w:rsid w:val="00895A06"/>
    <w:rsid w:val="00895B24"/>
    <w:rsid w:val="00895F3B"/>
    <w:rsid w:val="0089648F"/>
    <w:rsid w:val="0089671B"/>
    <w:rsid w:val="00896F95"/>
    <w:rsid w:val="008973C7"/>
    <w:rsid w:val="008976A2"/>
    <w:rsid w:val="008A0171"/>
    <w:rsid w:val="008A0301"/>
    <w:rsid w:val="008A09AE"/>
    <w:rsid w:val="008A0B0A"/>
    <w:rsid w:val="008A0EAA"/>
    <w:rsid w:val="008A1213"/>
    <w:rsid w:val="008A12D8"/>
    <w:rsid w:val="008A1C70"/>
    <w:rsid w:val="008A229A"/>
    <w:rsid w:val="008A23F4"/>
    <w:rsid w:val="008A2C14"/>
    <w:rsid w:val="008A31B0"/>
    <w:rsid w:val="008A32B3"/>
    <w:rsid w:val="008A3C56"/>
    <w:rsid w:val="008A3E08"/>
    <w:rsid w:val="008A4461"/>
    <w:rsid w:val="008A4AD4"/>
    <w:rsid w:val="008A4D34"/>
    <w:rsid w:val="008A4DFC"/>
    <w:rsid w:val="008A4FFE"/>
    <w:rsid w:val="008A51E8"/>
    <w:rsid w:val="008A528A"/>
    <w:rsid w:val="008A5647"/>
    <w:rsid w:val="008A5808"/>
    <w:rsid w:val="008A5A9E"/>
    <w:rsid w:val="008A5EA8"/>
    <w:rsid w:val="008A68B0"/>
    <w:rsid w:val="008A6AA0"/>
    <w:rsid w:val="008A6EC1"/>
    <w:rsid w:val="008A6F75"/>
    <w:rsid w:val="008A7852"/>
    <w:rsid w:val="008A7BAE"/>
    <w:rsid w:val="008A7D2A"/>
    <w:rsid w:val="008B0331"/>
    <w:rsid w:val="008B05A7"/>
    <w:rsid w:val="008B0B7D"/>
    <w:rsid w:val="008B0D86"/>
    <w:rsid w:val="008B0E4F"/>
    <w:rsid w:val="008B12AE"/>
    <w:rsid w:val="008B1599"/>
    <w:rsid w:val="008B185A"/>
    <w:rsid w:val="008B1953"/>
    <w:rsid w:val="008B1989"/>
    <w:rsid w:val="008B269F"/>
    <w:rsid w:val="008B277D"/>
    <w:rsid w:val="008B2827"/>
    <w:rsid w:val="008B2964"/>
    <w:rsid w:val="008B2D27"/>
    <w:rsid w:val="008B2DC1"/>
    <w:rsid w:val="008B32FC"/>
    <w:rsid w:val="008B33A5"/>
    <w:rsid w:val="008B35EC"/>
    <w:rsid w:val="008B3C30"/>
    <w:rsid w:val="008B4051"/>
    <w:rsid w:val="008B42D3"/>
    <w:rsid w:val="008B45B3"/>
    <w:rsid w:val="008B4888"/>
    <w:rsid w:val="008B48B5"/>
    <w:rsid w:val="008B48EF"/>
    <w:rsid w:val="008B5D43"/>
    <w:rsid w:val="008B5FF9"/>
    <w:rsid w:val="008B6838"/>
    <w:rsid w:val="008B692B"/>
    <w:rsid w:val="008B6945"/>
    <w:rsid w:val="008B6A19"/>
    <w:rsid w:val="008B6F04"/>
    <w:rsid w:val="008B6F34"/>
    <w:rsid w:val="008B743E"/>
    <w:rsid w:val="008B75B2"/>
    <w:rsid w:val="008B7E4C"/>
    <w:rsid w:val="008C05B1"/>
    <w:rsid w:val="008C07A4"/>
    <w:rsid w:val="008C09A2"/>
    <w:rsid w:val="008C1123"/>
    <w:rsid w:val="008C1182"/>
    <w:rsid w:val="008C1B95"/>
    <w:rsid w:val="008C2107"/>
    <w:rsid w:val="008C254A"/>
    <w:rsid w:val="008C2B22"/>
    <w:rsid w:val="008C3A9C"/>
    <w:rsid w:val="008C463C"/>
    <w:rsid w:val="008C466B"/>
    <w:rsid w:val="008C4844"/>
    <w:rsid w:val="008C48ED"/>
    <w:rsid w:val="008C4988"/>
    <w:rsid w:val="008C4ABA"/>
    <w:rsid w:val="008C4D1C"/>
    <w:rsid w:val="008C4DB9"/>
    <w:rsid w:val="008C4F9A"/>
    <w:rsid w:val="008C5473"/>
    <w:rsid w:val="008C567A"/>
    <w:rsid w:val="008C5A2F"/>
    <w:rsid w:val="008C5C1F"/>
    <w:rsid w:val="008C5F24"/>
    <w:rsid w:val="008C6011"/>
    <w:rsid w:val="008C63AC"/>
    <w:rsid w:val="008C699A"/>
    <w:rsid w:val="008C6B82"/>
    <w:rsid w:val="008C6F2F"/>
    <w:rsid w:val="008C6F3D"/>
    <w:rsid w:val="008C70F4"/>
    <w:rsid w:val="008C76DB"/>
    <w:rsid w:val="008C77C2"/>
    <w:rsid w:val="008C7909"/>
    <w:rsid w:val="008C7968"/>
    <w:rsid w:val="008D11B7"/>
    <w:rsid w:val="008D192C"/>
    <w:rsid w:val="008D19E3"/>
    <w:rsid w:val="008D1A5C"/>
    <w:rsid w:val="008D1D9A"/>
    <w:rsid w:val="008D1E1D"/>
    <w:rsid w:val="008D2212"/>
    <w:rsid w:val="008D25A6"/>
    <w:rsid w:val="008D26F7"/>
    <w:rsid w:val="008D29C8"/>
    <w:rsid w:val="008D2C95"/>
    <w:rsid w:val="008D32BE"/>
    <w:rsid w:val="008D32EA"/>
    <w:rsid w:val="008D3C0E"/>
    <w:rsid w:val="008D3E15"/>
    <w:rsid w:val="008D3E7B"/>
    <w:rsid w:val="008D450A"/>
    <w:rsid w:val="008D487E"/>
    <w:rsid w:val="008D48AC"/>
    <w:rsid w:val="008D4A87"/>
    <w:rsid w:val="008D4AE7"/>
    <w:rsid w:val="008D4F01"/>
    <w:rsid w:val="008D5203"/>
    <w:rsid w:val="008D5343"/>
    <w:rsid w:val="008D53B8"/>
    <w:rsid w:val="008D54BE"/>
    <w:rsid w:val="008D58C8"/>
    <w:rsid w:val="008D5CD6"/>
    <w:rsid w:val="008D5EE5"/>
    <w:rsid w:val="008D60C7"/>
    <w:rsid w:val="008D63C8"/>
    <w:rsid w:val="008D6DB4"/>
    <w:rsid w:val="008D6F2C"/>
    <w:rsid w:val="008D7721"/>
    <w:rsid w:val="008D7B69"/>
    <w:rsid w:val="008D7DE2"/>
    <w:rsid w:val="008D7ED7"/>
    <w:rsid w:val="008E0598"/>
    <w:rsid w:val="008E063F"/>
    <w:rsid w:val="008E0995"/>
    <w:rsid w:val="008E0BAF"/>
    <w:rsid w:val="008E0BB5"/>
    <w:rsid w:val="008E0CFD"/>
    <w:rsid w:val="008E0E35"/>
    <w:rsid w:val="008E1415"/>
    <w:rsid w:val="008E1754"/>
    <w:rsid w:val="008E1B41"/>
    <w:rsid w:val="008E1BA8"/>
    <w:rsid w:val="008E1BD8"/>
    <w:rsid w:val="008E212B"/>
    <w:rsid w:val="008E2A20"/>
    <w:rsid w:val="008E2DA8"/>
    <w:rsid w:val="008E3204"/>
    <w:rsid w:val="008E34C8"/>
    <w:rsid w:val="008E35C6"/>
    <w:rsid w:val="008E3BC5"/>
    <w:rsid w:val="008E4153"/>
    <w:rsid w:val="008E44CC"/>
    <w:rsid w:val="008E458E"/>
    <w:rsid w:val="008E494B"/>
    <w:rsid w:val="008E521E"/>
    <w:rsid w:val="008E5331"/>
    <w:rsid w:val="008E54BD"/>
    <w:rsid w:val="008E55E9"/>
    <w:rsid w:val="008E56F2"/>
    <w:rsid w:val="008E57E9"/>
    <w:rsid w:val="008E595B"/>
    <w:rsid w:val="008E5D59"/>
    <w:rsid w:val="008E5E1F"/>
    <w:rsid w:val="008E5F2D"/>
    <w:rsid w:val="008E619B"/>
    <w:rsid w:val="008E6253"/>
    <w:rsid w:val="008E64CA"/>
    <w:rsid w:val="008E66E5"/>
    <w:rsid w:val="008E6ED1"/>
    <w:rsid w:val="008E7B84"/>
    <w:rsid w:val="008E7D7B"/>
    <w:rsid w:val="008F0FD4"/>
    <w:rsid w:val="008F0FF6"/>
    <w:rsid w:val="008F12D8"/>
    <w:rsid w:val="008F164B"/>
    <w:rsid w:val="008F2176"/>
    <w:rsid w:val="008F2333"/>
    <w:rsid w:val="008F234F"/>
    <w:rsid w:val="008F2837"/>
    <w:rsid w:val="008F2935"/>
    <w:rsid w:val="008F2E5B"/>
    <w:rsid w:val="008F310F"/>
    <w:rsid w:val="008F3904"/>
    <w:rsid w:val="008F3AB8"/>
    <w:rsid w:val="008F3BEE"/>
    <w:rsid w:val="008F4099"/>
    <w:rsid w:val="008F4485"/>
    <w:rsid w:val="008F4534"/>
    <w:rsid w:val="008F47A3"/>
    <w:rsid w:val="008F4CE6"/>
    <w:rsid w:val="008F4D08"/>
    <w:rsid w:val="008F5638"/>
    <w:rsid w:val="008F56CB"/>
    <w:rsid w:val="008F5844"/>
    <w:rsid w:val="008F5E45"/>
    <w:rsid w:val="008F60AA"/>
    <w:rsid w:val="008F60E4"/>
    <w:rsid w:val="008F635E"/>
    <w:rsid w:val="008F6A1B"/>
    <w:rsid w:val="008F6A39"/>
    <w:rsid w:val="008F7316"/>
    <w:rsid w:val="00900087"/>
    <w:rsid w:val="009000DC"/>
    <w:rsid w:val="009006DC"/>
    <w:rsid w:val="009008A7"/>
    <w:rsid w:val="009008AE"/>
    <w:rsid w:val="00900913"/>
    <w:rsid w:val="00900957"/>
    <w:rsid w:val="00900A8E"/>
    <w:rsid w:val="00900C39"/>
    <w:rsid w:val="0090155D"/>
    <w:rsid w:val="0090167A"/>
    <w:rsid w:val="00901945"/>
    <w:rsid w:val="00901D16"/>
    <w:rsid w:val="00901F1F"/>
    <w:rsid w:val="009020DF"/>
    <w:rsid w:val="0090258A"/>
    <w:rsid w:val="00902696"/>
    <w:rsid w:val="00903143"/>
    <w:rsid w:val="009034F0"/>
    <w:rsid w:val="00903827"/>
    <w:rsid w:val="00903A0B"/>
    <w:rsid w:val="00904101"/>
    <w:rsid w:val="00904910"/>
    <w:rsid w:val="00904BBC"/>
    <w:rsid w:val="00904BBD"/>
    <w:rsid w:val="00904CF0"/>
    <w:rsid w:val="00904DCD"/>
    <w:rsid w:val="0090556B"/>
    <w:rsid w:val="00905C28"/>
    <w:rsid w:val="009060C9"/>
    <w:rsid w:val="009074EC"/>
    <w:rsid w:val="00907588"/>
    <w:rsid w:val="0090782C"/>
    <w:rsid w:val="00907EAC"/>
    <w:rsid w:val="00910107"/>
    <w:rsid w:val="0091034A"/>
    <w:rsid w:val="0091089B"/>
    <w:rsid w:val="00911129"/>
    <w:rsid w:val="009113FC"/>
    <w:rsid w:val="0091143C"/>
    <w:rsid w:val="009115C4"/>
    <w:rsid w:val="0091197C"/>
    <w:rsid w:val="00911F82"/>
    <w:rsid w:val="00911FF1"/>
    <w:rsid w:val="009121AF"/>
    <w:rsid w:val="009121DE"/>
    <w:rsid w:val="00912803"/>
    <w:rsid w:val="00912812"/>
    <w:rsid w:val="00912B35"/>
    <w:rsid w:val="00912DAE"/>
    <w:rsid w:val="009130E5"/>
    <w:rsid w:val="00913126"/>
    <w:rsid w:val="00913500"/>
    <w:rsid w:val="009138AB"/>
    <w:rsid w:val="00913D93"/>
    <w:rsid w:val="00914197"/>
    <w:rsid w:val="009144E1"/>
    <w:rsid w:val="009150E1"/>
    <w:rsid w:val="009151D3"/>
    <w:rsid w:val="009155CE"/>
    <w:rsid w:val="0091597B"/>
    <w:rsid w:val="00915AC0"/>
    <w:rsid w:val="00916031"/>
    <w:rsid w:val="009169FB"/>
    <w:rsid w:val="00916DA1"/>
    <w:rsid w:val="00917351"/>
    <w:rsid w:val="00917F35"/>
    <w:rsid w:val="0092007C"/>
    <w:rsid w:val="00920163"/>
    <w:rsid w:val="00920284"/>
    <w:rsid w:val="009202DD"/>
    <w:rsid w:val="00920727"/>
    <w:rsid w:val="00920C00"/>
    <w:rsid w:val="00920ED7"/>
    <w:rsid w:val="00921432"/>
    <w:rsid w:val="00921762"/>
    <w:rsid w:val="00921A9E"/>
    <w:rsid w:val="00921B8F"/>
    <w:rsid w:val="00921CED"/>
    <w:rsid w:val="0092225E"/>
    <w:rsid w:val="0092293A"/>
    <w:rsid w:val="00922ADD"/>
    <w:rsid w:val="00922BB7"/>
    <w:rsid w:val="00922C6B"/>
    <w:rsid w:val="00923B3B"/>
    <w:rsid w:val="00923DFA"/>
    <w:rsid w:val="00923E80"/>
    <w:rsid w:val="00923F72"/>
    <w:rsid w:val="00924233"/>
    <w:rsid w:val="009242F9"/>
    <w:rsid w:val="00924384"/>
    <w:rsid w:val="00924504"/>
    <w:rsid w:val="0092488B"/>
    <w:rsid w:val="00924A16"/>
    <w:rsid w:val="00924B50"/>
    <w:rsid w:val="00924E02"/>
    <w:rsid w:val="009255A4"/>
    <w:rsid w:val="00925A44"/>
    <w:rsid w:val="00925D8E"/>
    <w:rsid w:val="009260F9"/>
    <w:rsid w:val="009262C6"/>
    <w:rsid w:val="00926E65"/>
    <w:rsid w:val="00926EA9"/>
    <w:rsid w:val="00926F25"/>
    <w:rsid w:val="00926F4F"/>
    <w:rsid w:val="0092719F"/>
    <w:rsid w:val="0092758D"/>
    <w:rsid w:val="009276E4"/>
    <w:rsid w:val="00927BE0"/>
    <w:rsid w:val="00927FD1"/>
    <w:rsid w:val="009303D4"/>
    <w:rsid w:val="00930497"/>
    <w:rsid w:val="00930629"/>
    <w:rsid w:val="00930E3E"/>
    <w:rsid w:val="00931118"/>
    <w:rsid w:val="009312C3"/>
    <w:rsid w:val="009313E3"/>
    <w:rsid w:val="0093184D"/>
    <w:rsid w:val="00931AF9"/>
    <w:rsid w:val="009320D7"/>
    <w:rsid w:val="009328A7"/>
    <w:rsid w:val="00932B04"/>
    <w:rsid w:val="00932BA8"/>
    <w:rsid w:val="00933915"/>
    <w:rsid w:val="00933ABE"/>
    <w:rsid w:val="00933DFA"/>
    <w:rsid w:val="00933F29"/>
    <w:rsid w:val="0093460D"/>
    <w:rsid w:val="0093471F"/>
    <w:rsid w:val="009347F4"/>
    <w:rsid w:val="0093486B"/>
    <w:rsid w:val="009349B9"/>
    <w:rsid w:val="00934C7B"/>
    <w:rsid w:val="00935247"/>
    <w:rsid w:val="0093535C"/>
    <w:rsid w:val="009356DD"/>
    <w:rsid w:val="00935C32"/>
    <w:rsid w:val="00935F0B"/>
    <w:rsid w:val="009361B8"/>
    <w:rsid w:val="0093624E"/>
    <w:rsid w:val="009364EB"/>
    <w:rsid w:val="00936702"/>
    <w:rsid w:val="00937136"/>
    <w:rsid w:val="00937571"/>
    <w:rsid w:val="0093786C"/>
    <w:rsid w:val="00940022"/>
    <w:rsid w:val="009403F0"/>
    <w:rsid w:val="009406C7"/>
    <w:rsid w:val="00940786"/>
    <w:rsid w:val="009407FD"/>
    <w:rsid w:val="0094169C"/>
    <w:rsid w:val="00941962"/>
    <w:rsid w:val="00941B23"/>
    <w:rsid w:val="00941B33"/>
    <w:rsid w:val="00941C10"/>
    <w:rsid w:val="00941C3F"/>
    <w:rsid w:val="00941EF0"/>
    <w:rsid w:val="0094243C"/>
    <w:rsid w:val="00942482"/>
    <w:rsid w:val="009424FB"/>
    <w:rsid w:val="009426F3"/>
    <w:rsid w:val="00942FDF"/>
    <w:rsid w:val="0094374F"/>
    <w:rsid w:val="00943DB2"/>
    <w:rsid w:val="00943E48"/>
    <w:rsid w:val="00943EDA"/>
    <w:rsid w:val="00944019"/>
    <w:rsid w:val="009441B5"/>
    <w:rsid w:val="00944472"/>
    <w:rsid w:val="00944AB1"/>
    <w:rsid w:val="00944F2E"/>
    <w:rsid w:val="00944F30"/>
    <w:rsid w:val="0094504C"/>
    <w:rsid w:val="009465C9"/>
    <w:rsid w:val="00946A1B"/>
    <w:rsid w:val="00946A3B"/>
    <w:rsid w:val="00946CCB"/>
    <w:rsid w:val="00946EBA"/>
    <w:rsid w:val="00947571"/>
    <w:rsid w:val="009475CD"/>
    <w:rsid w:val="009477AC"/>
    <w:rsid w:val="009479F7"/>
    <w:rsid w:val="00947A9D"/>
    <w:rsid w:val="00947B2F"/>
    <w:rsid w:val="009503BD"/>
    <w:rsid w:val="00950CD5"/>
    <w:rsid w:val="00951388"/>
    <w:rsid w:val="0095216D"/>
    <w:rsid w:val="00952443"/>
    <w:rsid w:val="00952896"/>
    <w:rsid w:val="009529AE"/>
    <w:rsid w:val="00952A71"/>
    <w:rsid w:val="00952C23"/>
    <w:rsid w:val="00952D31"/>
    <w:rsid w:val="00954603"/>
    <w:rsid w:val="00954957"/>
    <w:rsid w:val="00954A4F"/>
    <w:rsid w:val="009552CC"/>
    <w:rsid w:val="00955C3B"/>
    <w:rsid w:val="00955F31"/>
    <w:rsid w:val="00955FB4"/>
    <w:rsid w:val="009565FA"/>
    <w:rsid w:val="00956967"/>
    <w:rsid w:val="00956A0B"/>
    <w:rsid w:val="00956CB2"/>
    <w:rsid w:val="009572B0"/>
    <w:rsid w:val="009573A1"/>
    <w:rsid w:val="00957475"/>
    <w:rsid w:val="009574C8"/>
    <w:rsid w:val="00957AE8"/>
    <w:rsid w:val="00957F3C"/>
    <w:rsid w:val="0096023D"/>
    <w:rsid w:val="009607CB"/>
    <w:rsid w:val="00960A76"/>
    <w:rsid w:val="00960C6A"/>
    <w:rsid w:val="00960D4A"/>
    <w:rsid w:val="00960F3F"/>
    <w:rsid w:val="009611CD"/>
    <w:rsid w:val="009612E9"/>
    <w:rsid w:val="009613A4"/>
    <w:rsid w:val="009615E3"/>
    <w:rsid w:val="00961DAD"/>
    <w:rsid w:val="009623EF"/>
    <w:rsid w:val="00962520"/>
    <w:rsid w:val="0096260C"/>
    <w:rsid w:val="00962A9C"/>
    <w:rsid w:val="00962C0D"/>
    <w:rsid w:val="00962CA5"/>
    <w:rsid w:val="00962E12"/>
    <w:rsid w:val="00962F92"/>
    <w:rsid w:val="00963207"/>
    <w:rsid w:val="009634B1"/>
    <w:rsid w:val="00963860"/>
    <w:rsid w:val="00963AF0"/>
    <w:rsid w:val="00963BE6"/>
    <w:rsid w:val="00963C7C"/>
    <w:rsid w:val="009644F0"/>
    <w:rsid w:val="00964C51"/>
    <w:rsid w:val="00964D70"/>
    <w:rsid w:val="009657C2"/>
    <w:rsid w:val="009667FE"/>
    <w:rsid w:val="0096699A"/>
    <w:rsid w:val="009669C2"/>
    <w:rsid w:val="00967BE7"/>
    <w:rsid w:val="00967D70"/>
    <w:rsid w:val="00967F91"/>
    <w:rsid w:val="0097018E"/>
    <w:rsid w:val="009701A3"/>
    <w:rsid w:val="009702FA"/>
    <w:rsid w:val="00970719"/>
    <w:rsid w:val="00970766"/>
    <w:rsid w:val="0097111B"/>
    <w:rsid w:val="00971435"/>
    <w:rsid w:val="009716F3"/>
    <w:rsid w:val="0097179D"/>
    <w:rsid w:val="009717FB"/>
    <w:rsid w:val="009720C0"/>
    <w:rsid w:val="00972109"/>
    <w:rsid w:val="0097218F"/>
    <w:rsid w:val="00972368"/>
    <w:rsid w:val="00972644"/>
    <w:rsid w:val="00972CD9"/>
    <w:rsid w:val="0097306F"/>
    <w:rsid w:val="00973219"/>
    <w:rsid w:val="0097355E"/>
    <w:rsid w:val="0097390C"/>
    <w:rsid w:val="00973992"/>
    <w:rsid w:val="00973AE0"/>
    <w:rsid w:val="00973D06"/>
    <w:rsid w:val="00973DE9"/>
    <w:rsid w:val="0097409A"/>
    <w:rsid w:val="00974190"/>
    <w:rsid w:val="00974359"/>
    <w:rsid w:val="009745C9"/>
    <w:rsid w:val="0097492B"/>
    <w:rsid w:val="00974DF7"/>
    <w:rsid w:val="0097532A"/>
    <w:rsid w:val="009755B2"/>
    <w:rsid w:val="009757B8"/>
    <w:rsid w:val="00975976"/>
    <w:rsid w:val="00975A07"/>
    <w:rsid w:val="0097630E"/>
    <w:rsid w:val="00976331"/>
    <w:rsid w:val="00976602"/>
    <w:rsid w:val="00976BF6"/>
    <w:rsid w:val="00976F05"/>
    <w:rsid w:val="00976F90"/>
    <w:rsid w:val="0097710E"/>
    <w:rsid w:val="00977710"/>
    <w:rsid w:val="00977872"/>
    <w:rsid w:val="00977BF2"/>
    <w:rsid w:val="0098001D"/>
    <w:rsid w:val="00980D7C"/>
    <w:rsid w:val="00980D83"/>
    <w:rsid w:val="009812F7"/>
    <w:rsid w:val="009813F8"/>
    <w:rsid w:val="00981637"/>
    <w:rsid w:val="009818C5"/>
    <w:rsid w:val="0098196E"/>
    <w:rsid w:val="00981E63"/>
    <w:rsid w:val="00981F0A"/>
    <w:rsid w:val="009821F1"/>
    <w:rsid w:val="009823E2"/>
    <w:rsid w:val="0098245F"/>
    <w:rsid w:val="00982615"/>
    <w:rsid w:val="00983014"/>
    <w:rsid w:val="00983C4D"/>
    <w:rsid w:val="009848AA"/>
    <w:rsid w:val="00984C54"/>
    <w:rsid w:val="00984F29"/>
    <w:rsid w:val="0098581B"/>
    <w:rsid w:val="009858FF"/>
    <w:rsid w:val="0098592E"/>
    <w:rsid w:val="00985A33"/>
    <w:rsid w:val="00985D37"/>
    <w:rsid w:val="0098623F"/>
    <w:rsid w:val="00986326"/>
    <w:rsid w:val="009866CB"/>
    <w:rsid w:val="00986A03"/>
    <w:rsid w:val="00986B73"/>
    <w:rsid w:val="00986C82"/>
    <w:rsid w:val="00986DF7"/>
    <w:rsid w:val="00986FF0"/>
    <w:rsid w:val="009870F2"/>
    <w:rsid w:val="00987492"/>
    <w:rsid w:val="009874E5"/>
    <w:rsid w:val="0098786B"/>
    <w:rsid w:val="00987881"/>
    <w:rsid w:val="00990316"/>
    <w:rsid w:val="0099063B"/>
    <w:rsid w:val="00990686"/>
    <w:rsid w:val="00990FAA"/>
    <w:rsid w:val="00991108"/>
    <w:rsid w:val="00991235"/>
    <w:rsid w:val="0099126E"/>
    <w:rsid w:val="0099188D"/>
    <w:rsid w:val="00991E55"/>
    <w:rsid w:val="0099271A"/>
    <w:rsid w:val="009929BF"/>
    <w:rsid w:val="00992E24"/>
    <w:rsid w:val="00992F4A"/>
    <w:rsid w:val="009936F4"/>
    <w:rsid w:val="0099371E"/>
    <w:rsid w:val="00993A09"/>
    <w:rsid w:val="009941BB"/>
    <w:rsid w:val="00994761"/>
    <w:rsid w:val="00994A15"/>
    <w:rsid w:val="00994EB3"/>
    <w:rsid w:val="009952E5"/>
    <w:rsid w:val="009954FD"/>
    <w:rsid w:val="00995D4B"/>
    <w:rsid w:val="00995E67"/>
    <w:rsid w:val="0099682D"/>
    <w:rsid w:val="00996D0D"/>
    <w:rsid w:val="0099727B"/>
    <w:rsid w:val="0099750A"/>
    <w:rsid w:val="00997BF7"/>
    <w:rsid w:val="00997C6B"/>
    <w:rsid w:val="00997C8B"/>
    <w:rsid w:val="00997C92"/>
    <w:rsid w:val="00997E58"/>
    <w:rsid w:val="00997FE1"/>
    <w:rsid w:val="009A02B4"/>
    <w:rsid w:val="009A05CD"/>
    <w:rsid w:val="009A05E8"/>
    <w:rsid w:val="009A090D"/>
    <w:rsid w:val="009A0ADB"/>
    <w:rsid w:val="009A1CF9"/>
    <w:rsid w:val="009A22E5"/>
    <w:rsid w:val="009A25E1"/>
    <w:rsid w:val="009A26E2"/>
    <w:rsid w:val="009A274F"/>
    <w:rsid w:val="009A280B"/>
    <w:rsid w:val="009A30FA"/>
    <w:rsid w:val="009A3250"/>
    <w:rsid w:val="009A367E"/>
    <w:rsid w:val="009A38B3"/>
    <w:rsid w:val="009A3FFD"/>
    <w:rsid w:val="009A49F1"/>
    <w:rsid w:val="009A4A2F"/>
    <w:rsid w:val="009A4A45"/>
    <w:rsid w:val="009A4E28"/>
    <w:rsid w:val="009A5AD2"/>
    <w:rsid w:val="009A60E5"/>
    <w:rsid w:val="009A6177"/>
    <w:rsid w:val="009A63DD"/>
    <w:rsid w:val="009A6550"/>
    <w:rsid w:val="009A677E"/>
    <w:rsid w:val="009A6A46"/>
    <w:rsid w:val="009A6B54"/>
    <w:rsid w:val="009A6D72"/>
    <w:rsid w:val="009A6E83"/>
    <w:rsid w:val="009A709A"/>
    <w:rsid w:val="009A7138"/>
    <w:rsid w:val="009A7257"/>
    <w:rsid w:val="009A7A0C"/>
    <w:rsid w:val="009B0186"/>
    <w:rsid w:val="009B0743"/>
    <w:rsid w:val="009B0814"/>
    <w:rsid w:val="009B106F"/>
    <w:rsid w:val="009B1673"/>
    <w:rsid w:val="009B1B3F"/>
    <w:rsid w:val="009B230D"/>
    <w:rsid w:val="009B234E"/>
    <w:rsid w:val="009B23F8"/>
    <w:rsid w:val="009B576F"/>
    <w:rsid w:val="009B62E3"/>
    <w:rsid w:val="009B64B9"/>
    <w:rsid w:val="009B67D1"/>
    <w:rsid w:val="009B6A03"/>
    <w:rsid w:val="009B6A54"/>
    <w:rsid w:val="009B70C0"/>
    <w:rsid w:val="009B7A7D"/>
    <w:rsid w:val="009B7B83"/>
    <w:rsid w:val="009C0040"/>
    <w:rsid w:val="009C0180"/>
    <w:rsid w:val="009C026B"/>
    <w:rsid w:val="009C02E8"/>
    <w:rsid w:val="009C0915"/>
    <w:rsid w:val="009C0AA3"/>
    <w:rsid w:val="009C1377"/>
    <w:rsid w:val="009C1581"/>
    <w:rsid w:val="009C17AB"/>
    <w:rsid w:val="009C18B9"/>
    <w:rsid w:val="009C1995"/>
    <w:rsid w:val="009C1AEC"/>
    <w:rsid w:val="009C34C8"/>
    <w:rsid w:val="009C36D7"/>
    <w:rsid w:val="009C3722"/>
    <w:rsid w:val="009C4506"/>
    <w:rsid w:val="009C4550"/>
    <w:rsid w:val="009C4EC5"/>
    <w:rsid w:val="009C4EF5"/>
    <w:rsid w:val="009C5B27"/>
    <w:rsid w:val="009C5EFF"/>
    <w:rsid w:val="009C60D6"/>
    <w:rsid w:val="009C611F"/>
    <w:rsid w:val="009C640F"/>
    <w:rsid w:val="009C6703"/>
    <w:rsid w:val="009C672F"/>
    <w:rsid w:val="009C7477"/>
    <w:rsid w:val="009D03E3"/>
    <w:rsid w:val="009D05EB"/>
    <w:rsid w:val="009D06B4"/>
    <w:rsid w:val="009D0F31"/>
    <w:rsid w:val="009D157D"/>
    <w:rsid w:val="009D1633"/>
    <w:rsid w:val="009D16D1"/>
    <w:rsid w:val="009D1715"/>
    <w:rsid w:val="009D1976"/>
    <w:rsid w:val="009D19F8"/>
    <w:rsid w:val="009D1A98"/>
    <w:rsid w:val="009D1D71"/>
    <w:rsid w:val="009D21B8"/>
    <w:rsid w:val="009D236D"/>
    <w:rsid w:val="009D2947"/>
    <w:rsid w:val="009D2A60"/>
    <w:rsid w:val="009D2B6A"/>
    <w:rsid w:val="009D2EBA"/>
    <w:rsid w:val="009D3124"/>
    <w:rsid w:val="009D35D3"/>
    <w:rsid w:val="009D40D2"/>
    <w:rsid w:val="009D4495"/>
    <w:rsid w:val="009D44EB"/>
    <w:rsid w:val="009D4524"/>
    <w:rsid w:val="009D4782"/>
    <w:rsid w:val="009D48E9"/>
    <w:rsid w:val="009D4FE0"/>
    <w:rsid w:val="009D5817"/>
    <w:rsid w:val="009D5839"/>
    <w:rsid w:val="009D5B98"/>
    <w:rsid w:val="009D5BFD"/>
    <w:rsid w:val="009D63CA"/>
    <w:rsid w:val="009D66A1"/>
    <w:rsid w:val="009D6830"/>
    <w:rsid w:val="009D6B05"/>
    <w:rsid w:val="009D7739"/>
    <w:rsid w:val="009D7835"/>
    <w:rsid w:val="009D7836"/>
    <w:rsid w:val="009D7E34"/>
    <w:rsid w:val="009E0288"/>
    <w:rsid w:val="009E0502"/>
    <w:rsid w:val="009E110C"/>
    <w:rsid w:val="009E1B0A"/>
    <w:rsid w:val="009E1E3C"/>
    <w:rsid w:val="009E1FBF"/>
    <w:rsid w:val="009E252F"/>
    <w:rsid w:val="009E2CF8"/>
    <w:rsid w:val="009E2FD2"/>
    <w:rsid w:val="009E32C2"/>
    <w:rsid w:val="009E358C"/>
    <w:rsid w:val="009E3700"/>
    <w:rsid w:val="009E3795"/>
    <w:rsid w:val="009E3B49"/>
    <w:rsid w:val="009E3C37"/>
    <w:rsid w:val="009E3D81"/>
    <w:rsid w:val="009E4AE3"/>
    <w:rsid w:val="009E4B5C"/>
    <w:rsid w:val="009E52C5"/>
    <w:rsid w:val="009E57B9"/>
    <w:rsid w:val="009E5891"/>
    <w:rsid w:val="009E5B2F"/>
    <w:rsid w:val="009E5B7E"/>
    <w:rsid w:val="009E5C74"/>
    <w:rsid w:val="009E5EFA"/>
    <w:rsid w:val="009E6236"/>
    <w:rsid w:val="009E6442"/>
    <w:rsid w:val="009E6482"/>
    <w:rsid w:val="009E6653"/>
    <w:rsid w:val="009E69FC"/>
    <w:rsid w:val="009E6E0A"/>
    <w:rsid w:val="009E6EEE"/>
    <w:rsid w:val="009E6F18"/>
    <w:rsid w:val="009E7480"/>
    <w:rsid w:val="009E7A62"/>
    <w:rsid w:val="009E7F7F"/>
    <w:rsid w:val="009F0786"/>
    <w:rsid w:val="009F1C70"/>
    <w:rsid w:val="009F1CBA"/>
    <w:rsid w:val="009F28C3"/>
    <w:rsid w:val="009F28D6"/>
    <w:rsid w:val="009F2BFE"/>
    <w:rsid w:val="009F2C0B"/>
    <w:rsid w:val="009F2CDD"/>
    <w:rsid w:val="009F2E3F"/>
    <w:rsid w:val="009F2E8D"/>
    <w:rsid w:val="009F324D"/>
    <w:rsid w:val="009F351F"/>
    <w:rsid w:val="009F36BD"/>
    <w:rsid w:val="009F3D3D"/>
    <w:rsid w:val="009F3DC7"/>
    <w:rsid w:val="009F427B"/>
    <w:rsid w:val="009F4549"/>
    <w:rsid w:val="009F4FB9"/>
    <w:rsid w:val="009F5085"/>
    <w:rsid w:val="009F5A4E"/>
    <w:rsid w:val="009F5AC5"/>
    <w:rsid w:val="009F5F89"/>
    <w:rsid w:val="009F61A5"/>
    <w:rsid w:val="009F6209"/>
    <w:rsid w:val="009F6E19"/>
    <w:rsid w:val="009F73AA"/>
    <w:rsid w:val="009F7E65"/>
    <w:rsid w:val="009F7E68"/>
    <w:rsid w:val="00A0044B"/>
    <w:rsid w:val="00A006F8"/>
    <w:rsid w:val="00A0094F"/>
    <w:rsid w:val="00A00A3E"/>
    <w:rsid w:val="00A00B72"/>
    <w:rsid w:val="00A010DD"/>
    <w:rsid w:val="00A01273"/>
    <w:rsid w:val="00A0153B"/>
    <w:rsid w:val="00A02C85"/>
    <w:rsid w:val="00A02D0F"/>
    <w:rsid w:val="00A02DDD"/>
    <w:rsid w:val="00A030EF"/>
    <w:rsid w:val="00A03260"/>
    <w:rsid w:val="00A033DF"/>
    <w:rsid w:val="00A03A90"/>
    <w:rsid w:val="00A03D78"/>
    <w:rsid w:val="00A040E6"/>
    <w:rsid w:val="00A041D8"/>
    <w:rsid w:val="00A0486E"/>
    <w:rsid w:val="00A04874"/>
    <w:rsid w:val="00A051CF"/>
    <w:rsid w:val="00A05239"/>
    <w:rsid w:val="00A055DD"/>
    <w:rsid w:val="00A05B43"/>
    <w:rsid w:val="00A05EB5"/>
    <w:rsid w:val="00A060E9"/>
    <w:rsid w:val="00A06350"/>
    <w:rsid w:val="00A06475"/>
    <w:rsid w:val="00A064AC"/>
    <w:rsid w:val="00A06D06"/>
    <w:rsid w:val="00A077CA"/>
    <w:rsid w:val="00A07E5A"/>
    <w:rsid w:val="00A07E88"/>
    <w:rsid w:val="00A10418"/>
    <w:rsid w:val="00A106E3"/>
    <w:rsid w:val="00A107FF"/>
    <w:rsid w:val="00A10877"/>
    <w:rsid w:val="00A10ACC"/>
    <w:rsid w:val="00A10CCB"/>
    <w:rsid w:val="00A11170"/>
    <w:rsid w:val="00A1166E"/>
    <w:rsid w:val="00A11693"/>
    <w:rsid w:val="00A1170B"/>
    <w:rsid w:val="00A1176E"/>
    <w:rsid w:val="00A11890"/>
    <w:rsid w:val="00A11A69"/>
    <w:rsid w:val="00A11D15"/>
    <w:rsid w:val="00A122EA"/>
    <w:rsid w:val="00A122EC"/>
    <w:rsid w:val="00A123F8"/>
    <w:rsid w:val="00A12B9C"/>
    <w:rsid w:val="00A12DA4"/>
    <w:rsid w:val="00A12E02"/>
    <w:rsid w:val="00A12E7E"/>
    <w:rsid w:val="00A12EE5"/>
    <w:rsid w:val="00A13124"/>
    <w:rsid w:val="00A13148"/>
    <w:rsid w:val="00A13193"/>
    <w:rsid w:val="00A131E7"/>
    <w:rsid w:val="00A13381"/>
    <w:rsid w:val="00A1338F"/>
    <w:rsid w:val="00A13566"/>
    <w:rsid w:val="00A13E15"/>
    <w:rsid w:val="00A13FC8"/>
    <w:rsid w:val="00A140E1"/>
    <w:rsid w:val="00A14173"/>
    <w:rsid w:val="00A14748"/>
    <w:rsid w:val="00A15E12"/>
    <w:rsid w:val="00A15F2E"/>
    <w:rsid w:val="00A16119"/>
    <w:rsid w:val="00A16855"/>
    <w:rsid w:val="00A17099"/>
    <w:rsid w:val="00A171BD"/>
    <w:rsid w:val="00A17229"/>
    <w:rsid w:val="00A17401"/>
    <w:rsid w:val="00A174C2"/>
    <w:rsid w:val="00A17572"/>
    <w:rsid w:val="00A1799F"/>
    <w:rsid w:val="00A179CD"/>
    <w:rsid w:val="00A17F33"/>
    <w:rsid w:val="00A200D4"/>
    <w:rsid w:val="00A204FE"/>
    <w:rsid w:val="00A2053E"/>
    <w:rsid w:val="00A208CA"/>
    <w:rsid w:val="00A21F07"/>
    <w:rsid w:val="00A220B2"/>
    <w:rsid w:val="00A225D4"/>
    <w:rsid w:val="00A23060"/>
    <w:rsid w:val="00A230B2"/>
    <w:rsid w:val="00A23E13"/>
    <w:rsid w:val="00A23F79"/>
    <w:rsid w:val="00A2423A"/>
    <w:rsid w:val="00A24972"/>
    <w:rsid w:val="00A24A1E"/>
    <w:rsid w:val="00A24FA4"/>
    <w:rsid w:val="00A2539D"/>
    <w:rsid w:val="00A254E9"/>
    <w:rsid w:val="00A258C2"/>
    <w:rsid w:val="00A25B5A"/>
    <w:rsid w:val="00A25D2C"/>
    <w:rsid w:val="00A25FF2"/>
    <w:rsid w:val="00A26CA2"/>
    <w:rsid w:val="00A26EA6"/>
    <w:rsid w:val="00A26FF2"/>
    <w:rsid w:val="00A274FA"/>
    <w:rsid w:val="00A3018E"/>
    <w:rsid w:val="00A301A5"/>
    <w:rsid w:val="00A30302"/>
    <w:rsid w:val="00A30444"/>
    <w:rsid w:val="00A30627"/>
    <w:rsid w:val="00A307F0"/>
    <w:rsid w:val="00A3091A"/>
    <w:rsid w:val="00A30CE5"/>
    <w:rsid w:val="00A30D83"/>
    <w:rsid w:val="00A30E64"/>
    <w:rsid w:val="00A31522"/>
    <w:rsid w:val="00A3159F"/>
    <w:rsid w:val="00A31E85"/>
    <w:rsid w:val="00A3204A"/>
    <w:rsid w:val="00A32199"/>
    <w:rsid w:val="00A323E8"/>
    <w:rsid w:val="00A324BD"/>
    <w:rsid w:val="00A32E09"/>
    <w:rsid w:val="00A32EBB"/>
    <w:rsid w:val="00A3352B"/>
    <w:rsid w:val="00A3376E"/>
    <w:rsid w:val="00A33878"/>
    <w:rsid w:val="00A33AF0"/>
    <w:rsid w:val="00A33BC9"/>
    <w:rsid w:val="00A341BD"/>
    <w:rsid w:val="00A3475A"/>
    <w:rsid w:val="00A348FE"/>
    <w:rsid w:val="00A34A3A"/>
    <w:rsid w:val="00A34B46"/>
    <w:rsid w:val="00A34E6D"/>
    <w:rsid w:val="00A34EE8"/>
    <w:rsid w:val="00A34F18"/>
    <w:rsid w:val="00A3557E"/>
    <w:rsid w:val="00A355EF"/>
    <w:rsid w:val="00A358B3"/>
    <w:rsid w:val="00A35A8B"/>
    <w:rsid w:val="00A35D3F"/>
    <w:rsid w:val="00A35FEC"/>
    <w:rsid w:val="00A36078"/>
    <w:rsid w:val="00A3609B"/>
    <w:rsid w:val="00A36288"/>
    <w:rsid w:val="00A36349"/>
    <w:rsid w:val="00A36486"/>
    <w:rsid w:val="00A364B8"/>
    <w:rsid w:val="00A366AC"/>
    <w:rsid w:val="00A36875"/>
    <w:rsid w:val="00A36A38"/>
    <w:rsid w:val="00A36C9D"/>
    <w:rsid w:val="00A36D2E"/>
    <w:rsid w:val="00A37132"/>
    <w:rsid w:val="00A376E3"/>
    <w:rsid w:val="00A377EA"/>
    <w:rsid w:val="00A37B80"/>
    <w:rsid w:val="00A37F6F"/>
    <w:rsid w:val="00A40346"/>
    <w:rsid w:val="00A405CF"/>
    <w:rsid w:val="00A406A3"/>
    <w:rsid w:val="00A40A9B"/>
    <w:rsid w:val="00A40C92"/>
    <w:rsid w:val="00A40D65"/>
    <w:rsid w:val="00A41AE7"/>
    <w:rsid w:val="00A41C82"/>
    <w:rsid w:val="00A41CA7"/>
    <w:rsid w:val="00A420D8"/>
    <w:rsid w:val="00A427A2"/>
    <w:rsid w:val="00A428F8"/>
    <w:rsid w:val="00A429FC"/>
    <w:rsid w:val="00A42A42"/>
    <w:rsid w:val="00A42BD7"/>
    <w:rsid w:val="00A4346C"/>
    <w:rsid w:val="00A4361E"/>
    <w:rsid w:val="00A43895"/>
    <w:rsid w:val="00A43898"/>
    <w:rsid w:val="00A43B63"/>
    <w:rsid w:val="00A43BAA"/>
    <w:rsid w:val="00A449A4"/>
    <w:rsid w:val="00A44AAE"/>
    <w:rsid w:val="00A44AD2"/>
    <w:rsid w:val="00A44DFA"/>
    <w:rsid w:val="00A45AD1"/>
    <w:rsid w:val="00A46C4C"/>
    <w:rsid w:val="00A47866"/>
    <w:rsid w:val="00A479E3"/>
    <w:rsid w:val="00A47B6D"/>
    <w:rsid w:val="00A47F8D"/>
    <w:rsid w:val="00A506E6"/>
    <w:rsid w:val="00A50722"/>
    <w:rsid w:val="00A50912"/>
    <w:rsid w:val="00A50BE3"/>
    <w:rsid w:val="00A50DE1"/>
    <w:rsid w:val="00A5146E"/>
    <w:rsid w:val="00A515AA"/>
    <w:rsid w:val="00A516DC"/>
    <w:rsid w:val="00A516F5"/>
    <w:rsid w:val="00A51AE4"/>
    <w:rsid w:val="00A51FF4"/>
    <w:rsid w:val="00A527D2"/>
    <w:rsid w:val="00A5298C"/>
    <w:rsid w:val="00A52B20"/>
    <w:rsid w:val="00A52BEA"/>
    <w:rsid w:val="00A52E87"/>
    <w:rsid w:val="00A5308B"/>
    <w:rsid w:val="00A53212"/>
    <w:rsid w:val="00A53288"/>
    <w:rsid w:val="00A5328C"/>
    <w:rsid w:val="00A538C9"/>
    <w:rsid w:val="00A54317"/>
    <w:rsid w:val="00A5450C"/>
    <w:rsid w:val="00A54CAE"/>
    <w:rsid w:val="00A54E58"/>
    <w:rsid w:val="00A55127"/>
    <w:rsid w:val="00A55186"/>
    <w:rsid w:val="00A5582A"/>
    <w:rsid w:val="00A5586C"/>
    <w:rsid w:val="00A558F0"/>
    <w:rsid w:val="00A55A6A"/>
    <w:rsid w:val="00A55C9F"/>
    <w:rsid w:val="00A560A5"/>
    <w:rsid w:val="00A560F7"/>
    <w:rsid w:val="00A566A2"/>
    <w:rsid w:val="00A569FA"/>
    <w:rsid w:val="00A56EDB"/>
    <w:rsid w:val="00A57515"/>
    <w:rsid w:val="00A57608"/>
    <w:rsid w:val="00A5794C"/>
    <w:rsid w:val="00A57AFB"/>
    <w:rsid w:val="00A57CE4"/>
    <w:rsid w:val="00A57D86"/>
    <w:rsid w:val="00A57FD1"/>
    <w:rsid w:val="00A6017B"/>
    <w:rsid w:val="00A601F4"/>
    <w:rsid w:val="00A6036B"/>
    <w:rsid w:val="00A60BDE"/>
    <w:rsid w:val="00A61006"/>
    <w:rsid w:val="00A6139A"/>
    <w:rsid w:val="00A6140E"/>
    <w:rsid w:val="00A61449"/>
    <w:rsid w:val="00A6196E"/>
    <w:rsid w:val="00A61BD7"/>
    <w:rsid w:val="00A61CD5"/>
    <w:rsid w:val="00A621F0"/>
    <w:rsid w:val="00A6239D"/>
    <w:rsid w:val="00A624A5"/>
    <w:rsid w:val="00A6255C"/>
    <w:rsid w:val="00A625EB"/>
    <w:rsid w:val="00A628BF"/>
    <w:rsid w:val="00A62A03"/>
    <w:rsid w:val="00A62AD4"/>
    <w:rsid w:val="00A62FAC"/>
    <w:rsid w:val="00A63096"/>
    <w:rsid w:val="00A633B8"/>
    <w:rsid w:val="00A63529"/>
    <w:rsid w:val="00A64256"/>
    <w:rsid w:val="00A64343"/>
    <w:rsid w:val="00A6464B"/>
    <w:rsid w:val="00A6470E"/>
    <w:rsid w:val="00A649DB"/>
    <w:rsid w:val="00A64ADC"/>
    <w:rsid w:val="00A651AB"/>
    <w:rsid w:val="00A6529A"/>
    <w:rsid w:val="00A65B40"/>
    <w:rsid w:val="00A65BC9"/>
    <w:rsid w:val="00A6616D"/>
    <w:rsid w:val="00A6629F"/>
    <w:rsid w:val="00A66353"/>
    <w:rsid w:val="00A66577"/>
    <w:rsid w:val="00A665D8"/>
    <w:rsid w:val="00A665F2"/>
    <w:rsid w:val="00A667D7"/>
    <w:rsid w:val="00A6683A"/>
    <w:rsid w:val="00A6688B"/>
    <w:rsid w:val="00A668A2"/>
    <w:rsid w:val="00A66A69"/>
    <w:rsid w:val="00A66DC5"/>
    <w:rsid w:val="00A66FCD"/>
    <w:rsid w:val="00A6742E"/>
    <w:rsid w:val="00A67C08"/>
    <w:rsid w:val="00A67C23"/>
    <w:rsid w:val="00A67CC1"/>
    <w:rsid w:val="00A7007F"/>
    <w:rsid w:val="00A70A6E"/>
    <w:rsid w:val="00A713D7"/>
    <w:rsid w:val="00A71602"/>
    <w:rsid w:val="00A71A04"/>
    <w:rsid w:val="00A71D26"/>
    <w:rsid w:val="00A71E5F"/>
    <w:rsid w:val="00A722F9"/>
    <w:rsid w:val="00A72430"/>
    <w:rsid w:val="00A72516"/>
    <w:rsid w:val="00A72AE0"/>
    <w:rsid w:val="00A734E9"/>
    <w:rsid w:val="00A73EB1"/>
    <w:rsid w:val="00A74653"/>
    <w:rsid w:val="00A747A5"/>
    <w:rsid w:val="00A748D8"/>
    <w:rsid w:val="00A750BA"/>
    <w:rsid w:val="00A752CE"/>
    <w:rsid w:val="00A75404"/>
    <w:rsid w:val="00A757C5"/>
    <w:rsid w:val="00A75A8B"/>
    <w:rsid w:val="00A7636D"/>
    <w:rsid w:val="00A7690B"/>
    <w:rsid w:val="00A76D29"/>
    <w:rsid w:val="00A76FCB"/>
    <w:rsid w:val="00A778F2"/>
    <w:rsid w:val="00A779D0"/>
    <w:rsid w:val="00A77B19"/>
    <w:rsid w:val="00A8022B"/>
    <w:rsid w:val="00A8050F"/>
    <w:rsid w:val="00A80747"/>
    <w:rsid w:val="00A807F2"/>
    <w:rsid w:val="00A80914"/>
    <w:rsid w:val="00A80990"/>
    <w:rsid w:val="00A814D3"/>
    <w:rsid w:val="00A81EF6"/>
    <w:rsid w:val="00A8299E"/>
    <w:rsid w:val="00A82A0C"/>
    <w:rsid w:val="00A83421"/>
    <w:rsid w:val="00A838FB"/>
    <w:rsid w:val="00A83A98"/>
    <w:rsid w:val="00A83C01"/>
    <w:rsid w:val="00A83C1F"/>
    <w:rsid w:val="00A83EBC"/>
    <w:rsid w:val="00A84013"/>
    <w:rsid w:val="00A840E1"/>
    <w:rsid w:val="00A84290"/>
    <w:rsid w:val="00A84681"/>
    <w:rsid w:val="00A84721"/>
    <w:rsid w:val="00A84C0F"/>
    <w:rsid w:val="00A854D3"/>
    <w:rsid w:val="00A85598"/>
    <w:rsid w:val="00A855D4"/>
    <w:rsid w:val="00A856DB"/>
    <w:rsid w:val="00A85719"/>
    <w:rsid w:val="00A85DBD"/>
    <w:rsid w:val="00A85FA0"/>
    <w:rsid w:val="00A85FB8"/>
    <w:rsid w:val="00A8646E"/>
    <w:rsid w:val="00A866B9"/>
    <w:rsid w:val="00A86CD3"/>
    <w:rsid w:val="00A86EC0"/>
    <w:rsid w:val="00A87BB6"/>
    <w:rsid w:val="00A87E2B"/>
    <w:rsid w:val="00A90431"/>
    <w:rsid w:val="00A90436"/>
    <w:rsid w:val="00A9096C"/>
    <w:rsid w:val="00A90998"/>
    <w:rsid w:val="00A90AF3"/>
    <w:rsid w:val="00A91136"/>
    <w:rsid w:val="00A912B5"/>
    <w:rsid w:val="00A914F8"/>
    <w:rsid w:val="00A91826"/>
    <w:rsid w:val="00A918AE"/>
    <w:rsid w:val="00A918CD"/>
    <w:rsid w:val="00A9192A"/>
    <w:rsid w:val="00A919D8"/>
    <w:rsid w:val="00A91A0D"/>
    <w:rsid w:val="00A91F17"/>
    <w:rsid w:val="00A92499"/>
    <w:rsid w:val="00A925E9"/>
    <w:rsid w:val="00A92EF0"/>
    <w:rsid w:val="00A93176"/>
    <w:rsid w:val="00A9440E"/>
    <w:rsid w:val="00A947C9"/>
    <w:rsid w:val="00A94834"/>
    <w:rsid w:val="00A94B57"/>
    <w:rsid w:val="00A94D84"/>
    <w:rsid w:val="00A9523A"/>
    <w:rsid w:val="00A95C9C"/>
    <w:rsid w:val="00A96685"/>
    <w:rsid w:val="00A969FB"/>
    <w:rsid w:val="00A9752A"/>
    <w:rsid w:val="00A97615"/>
    <w:rsid w:val="00A9780A"/>
    <w:rsid w:val="00A979E2"/>
    <w:rsid w:val="00A97BEB"/>
    <w:rsid w:val="00A97C6D"/>
    <w:rsid w:val="00A97CCD"/>
    <w:rsid w:val="00A97E3D"/>
    <w:rsid w:val="00A97FBD"/>
    <w:rsid w:val="00AA0198"/>
    <w:rsid w:val="00AA0964"/>
    <w:rsid w:val="00AA0F1C"/>
    <w:rsid w:val="00AA0FB0"/>
    <w:rsid w:val="00AA1149"/>
    <w:rsid w:val="00AA14D3"/>
    <w:rsid w:val="00AA187B"/>
    <w:rsid w:val="00AA1DD7"/>
    <w:rsid w:val="00AA1E3A"/>
    <w:rsid w:val="00AA1F14"/>
    <w:rsid w:val="00AA1F7B"/>
    <w:rsid w:val="00AA2041"/>
    <w:rsid w:val="00AA228E"/>
    <w:rsid w:val="00AA2407"/>
    <w:rsid w:val="00AA2E27"/>
    <w:rsid w:val="00AA2EC8"/>
    <w:rsid w:val="00AA3B8F"/>
    <w:rsid w:val="00AA3D05"/>
    <w:rsid w:val="00AA3EBA"/>
    <w:rsid w:val="00AA3F85"/>
    <w:rsid w:val="00AA45BF"/>
    <w:rsid w:val="00AA4748"/>
    <w:rsid w:val="00AA4ACC"/>
    <w:rsid w:val="00AA5074"/>
    <w:rsid w:val="00AA5342"/>
    <w:rsid w:val="00AA54F5"/>
    <w:rsid w:val="00AA5972"/>
    <w:rsid w:val="00AA5C99"/>
    <w:rsid w:val="00AA5D97"/>
    <w:rsid w:val="00AA65E3"/>
    <w:rsid w:val="00AA66F1"/>
    <w:rsid w:val="00AA67A0"/>
    <w:rsid w:val="00AA6803"/>
    <w:rsid w:val="00AA6CC3"/>
    <w:rsid w:val="00AA6E2D"/>
    <w:rsid w:val="00AA6E65"/>
    <w:rsid w:val="00AA79E6"/>
    <w:rsid w:val="00AA7A75"/>
    <w:rsid w:val="00AA7BB0"/>
    <w:rsid w:val="00AA7ECA"/>
    <w:rsid w:val="00AB00B4"/>
    <w:rsid w:val="00AB0172"/>
    <w:rsid w:val="00AB0384"/>
    <w:rsid w:val="00AB0A45"/>
    <w:rsid w:val="00AB0CB0"/>
    <w:rsid w:val="00AB0E1C"/>
    <w:rsid w:val="00AB1027"/>
    <w:rsid w:val="00AB132C"/>
    <w:rsid w:val="00AB1C78"/>
    <w:rsid w:val="00AB247C"/>
    <w:rsid w:val="00AB250E"/>
    <w:rsid w:val="00AB2C4D"/>
    <w:rsid w:val="00AB2F1E"/>
    <w:rsid w:val="00AB30B1"/>
    <w:rsid w:val="00AB31F6"/>
    <w:rsid w:val="00AB35D0"/>
    <w:rsid w:val="00AB36AE"/>
    <w:rsid w:val="00AB399E"/>
    <w:rsid w:val="00AB3BF4"/>
    <w:rsid w:val="00AB5614"/>
    <w:rsid w:val="00AB5A67"/>
    <w:rsid w:val="00AB5F21"/>
    <w:rsid w:val="00AB6296"/>
    <w:rsid w:val="00AB65AD"/>
    <w:rsid w:val="00AB6720"/>
    <w:rsid w:val="00AB6829"/>
    <w:rsid w:val="00AB6CFE"/>
    <w:rsid w:val="00AB6D47"/>
    <w:rsid w:val="00AB7089"/>
    <w:rsid w:val="00AB70EE"/>
    <w:rsid w:val="00AB75F7"/>
    <w:rsid w:val="00AB7942"/>
    <w:rsid w:val="00AB7E4C"/>
    <w:rsid w:val="00AC00F6"/>
    <w:rsid w:val="00AC061A"/>
    <w:rsid w:val="00AC06D1"/>
    <w:rsid w:val="00AC0866"/>
    <w:rsid w:val="00AC0D50"/>
    <w:rsid w:val="00AC1298"/>
    <w:rsid w:val="00AC13BB"/>
    <w:rsid w:val="00AC16B0"/>
    <w:rsid w:val="00AC17EA"/>
    <w:rsid w:val="00AC1EC3"/>
    <w:rsid w:val="00AC1FB0"/>
    <w:rsid w:val="00AC257E"/>
    <w:rsid w:val="00AC29E3"/>
    <w:rsid w:val="00AC2BE3"/>
    <w:rsid w:val="00AC2D68"/>
    <w:rsid w:val="00AC308A"/>
    <w:rsid w:val="00AC314C"/>
    <w:rsid w:val="00AC317C"/>
    <w:rsid w:val="00AC3891"/>
    <w:rsid w:val="00AC3AAE"/>
    <w:rsid w:val="00AC3C21"/>
    <w:rsid w:val="00AC4209"/>
    <w:rsid w:val="00AC4545"/>
    <w:rsid w:val="00AC4628"/>
    <w:rsid w:val="00AC4837"/>
    <w:rsid w:val="00AC4903"/>
    <w:rsid w:val="00AC4A9F"/>
    <w:rsid w:val="00AC4DBF"/>
    <w:rsid w:val="00AC52BC"/>
    <w:rsid w:val="00AC52DA"/>
    <w:rsid w:val="00AC54BF"/>
    <w:rsid w:val="00AC572E"/>
    <w:rsid w:val="00AC596F"/>
    <w:rsid w:val="00AC5ADC"/>
    <w:rsid w:val="00AC5F8D"/>
    <w:rsid w:val="00AC669B"/>
    <w:rsid w:val="00AC6AD1"/>
    <w:rsid w:val="00AC6D0A"/>
    <w:rsid w:val="00AC6F9A"/>
    <w:rsid w:val="00AC6FB3"/>
    <w:rsid w:val="00AC733D"/>
    <w:rsid w:val="00AC7809"/>
    <w:rsid w:val="00AC7F82"/>
    <w:rsid w:val="00AD027A"/>
    <w:rsid w:val="00AD081E"/>
    <w:rsid w:val="00AD090A"/>
    <w:rsid w:val="00AD102F"/>
    <w:rsid w:val="00AD10A9"/>
    <w:rsid w:val="00AD12FE"/>
    <w:rsid w:val="00AD151B"/>
    <w:rsid w:val="00AD193B"/>
    <w:rsid w:val="00AD1B13"/>
    <w:rsid w:val="00AD20DF"/>
    <w:rsid w:val="00AD2296"/>
    <w:rsid w:val="00AD2B5A"/>
    <w:rsid w:val="00AD3228"/>
    <w:rsid w:val="00AD3D58"/>
    <w:rsid w:val="00AD49F9"/>
    <w:rsid w:val="00AD4DBE"/>
    <w:rsid w:val="00AD519B"/>
    <w:rsid w:val="00AD56E2"/>
    <w:rsid w:val="00AD5890"/>
    <w:rsid w:val="00AD59BE"/>
    <w:rsid w:val="00AD5E40"/>
    <w:rsid w:val="00AD6196"/>
    <w:rsid w:val="00AD63D0"/>
    <w:rsid w:val="00AD6702"/>
    <w:rsid w:val="00AD69F4"/>
    <w:rsid w:val="00AD6E13"/>
    <w:rsid w:val="00AD76CA"/>
    <w:rsid w:val="00AD7B64"/>
    <w:rsid w:val="00AD7C61"/>
    <w:rsid w:val="00AD7E95"/>
    <w:rsid w:val="00AD7EEC"/>
    <w:rsid w:val="00AE0087"/>
    <w:rsid w:val="00AE01EC"/>
    <w:rsid w:val="00AE0CC9"/>
    <w:rsid w:val="00AE1985"/>
    <w:rsid w:val="00AE1B40"/>
    <w:rsid w:val="00AE1B8D"/>
    <w:rsid w:val="00AE1C9F"/>
    <w:rsid w:val="00AE2327"/>
    <w:rsid w:val="00AE2348"/>
    <w:rsid w:val="00AE2760"/>
    <w:rsid w:val="00AE27E3"/>
    <w:rsid w:val="00AE2DBC"/>
    <w:rsid w:val="00AE2E18"/>
    <w:rsid w:val="00AE2ED0"/>
    <w:rsid w:val="00AE30C2"/>
    <w:rsid w:val="00AE3873"/>
    <w:rsid w:val="00AE3D94"/>
    <w:rsid w:val="00AE3E30"/>
    <w:rsid w:val="00AE3F2A"/>
    <w:rsid w:val="00AE4417"/>
    <w:rsid w:val="00AE4421"/>
    <w:rsid w:val="00AE4787"/>
    <w:rsid w:val="00AE4B13"/>
    <w:rsid w:val="00AE5573"/>
    <w:rsid w:val="00AE572F"/>
    <w:rsid w:val="00AE5C4E"/>
    <w:rsid w:val="00AE6B4A"/>
    <w:rsid w:val="00AE6BD2"/>
    <w:rsid w:val="00AE7212"/>
    <w:rsid w:val="00AE7739"/>
    <w:rsid w:val="00AE7DDA"/>
    <w:rsid w:val="00AF02AA"/>
    <w:rsid w:val="00AF034F"/>
    <w:rsid w:val="00AF056E"/>
    <w:rsid w:val="00AF0B2E"/>
    <w:rsid w:val="00AF0CE7"/>
    <w:rsid w:val="00AF0D95"/>
    <w:rsid w:val="00AF0F34"/>
    <w:rsid w:val="00AF13F9"/>
    <w:rsid w:val="00AF1530"/>
    <w:rsid w:val="00AF1889"/>
    <w:rsid w:val="00AF1CD2"/>
    <w:rsid w:val="00AF1F2B"/>
    <w:rsid w:val="00AF2437"/>
    <w:rsid w:val="00AF29E1"/>
    <w:rsid w:val="00AF2A92"/>
    <w:rsid w:val="00AF3116"/>
    <w:rsid w:val="00AF3CA2"/>
    <w:rsid w:val="00AF3D0E"/>
    <w:rsid w:val="00AF3EFE"/>
    <w:rsid w:val="00AF4007"/>
    <w:rsid w:val="00AF401D"/>
    <w:rsid w:val="00AF406E"/>
    <w:rsid w:val="00AF4115"/>
    <w:rsid w:val="00AF4551"/>
    <w:rsid w:val="00AF4EF6"/>
    <w:rsid w:val="00AF5550"/>
    <w:rsid w:val="00AF5901"/>
    <w:rsid w:val="00AF5B68"/>
    <w:rsid w:val="00AF62F6"/>
    <w:rsid w:val="00AF71A2"/>
    <w:rsid w:val="00AF7329"/>
    <w:rsid w:val="00AF788F"/>
    <w:rsid w:val="00AF795C"/>
    <w:rsid w:val="00AF7C36"/>
    <w:rsid w:val="00B00119"/>
    <w:rsid w:val="00B00134"/>
    <w:rsid w:val="00B004AF"/>
    <w:rsid w:val="00B005B1"/>
    <w:rsid w:val="00B00645"/>
    <w:rsid w:val="00B00988"/>
    <w:rsid w:val="00B019F7"/>
    <w:rsid w:val="00B01C3E"/>
    <w:rsid w:val="00B01D31"/>
    <w:rsid w:val="00B022B3"/>
    <w:rsid w:val="00B02311"/>
    <w:rsid w:val="00B0281D"/>
    <w:rsid w:val="00B02E35"/>
    <w:rsid w:val="00B02F5B"/>
    <w:rsid w:val="00B03280"/>
    <w:rsid w:val="00B03362"/>
    <w:rsid w:val="00B03B8C"/>
    <w:rsid w:val="00B03DC6"/>
    <w:rsid w:val="00B04302"/>
    <w:rsid w:val="00B04421"/>
    <w:rsid w:val="00B045B4"/>
    <w:rsid w:val="00B046B4"/>
    <w:rsid w:val="00B04A7A"/>
    <w:rsid w:val="00B04EFB"/>
    <w:rsid w:val="00B04FF9"/>
    <w:rsid w:val="00B0539B"/>
    <w:rsid w:val="00B05577"/>
    <w:rsid w:val="00B05760"/>
    <w:rsid w:val="00B05794"/>
    <w:rsid w:val="00B059F7"/>
    <w:rsid w:val="00B05C9D"/>
    <w:rsid w:val="00B0608D"/>
    <w:rsid w:val="00B065AF"/>
    <w:rsid w:val="00B06E4A"/>
    <w:rsid w:val="00B06F4A"/>
    <w:rsid w:val="00B07261"/>
    <w:rsid w:val="00B07B2C"/>
    <w:rsid w:val="00B07DB0"/>
    <w:rsid w:val="00B10427"/>
    <w:rsid w:val="00B1053C"/>
    <w:rsid w:val="00B10CB2"/>
    <w:rsid w:val="00B10F0A"/>
    <w:rsid w:val="00B110C8"/>
    <w:rsid w:val="00B11248"/>
    <w:rsid w:val="00B11D3F"/>
    <w:rsid w:val="00B11EA5"/>
    <w:rsid w:val="00B1248A"/>
    <w:rsid w:val="00B126F7"/>
    <w:rsid w:val="00B1345E"/>
    <w:rsid w:val="00B135E1"/>
    <w:rsid w:val="00B13898"/>
    <w:rsid w:val="00B1434C"/>
    <w:rsid w:val="00B143A4"/>
    <w:rsid w:val="00B143A8"/>
    <w:rsid w:val="00B143F8"/>
    <w:rsid w:val="00B14550"/>
    <w:rsid w:val="00B146D8"/>
    <w:rsid w:val="00B147C3"/>
    <w:rsid w:val="00B149FD"/>
    <w:rsid w:val="00B14A48"/>
    <w:rsid w:val="00B15609"/>
    <w:rsid w:val="00B15876"/>
    <w:rsid w:val="00B15E67"/>
    <w:rsid w:val="00B1616D"/>
    <w:rsid w:val="00B1659A"/>
    <w:rsid w:val="00B16996"/>
    <w:rsid w:val="00B16A9B"/>
    <w:rsid w:val="00B1738A"/>
    <w:rsid w:val="00B1759E"/>
    <w:rsid w:val="00B176B8"/>
    <w:rsid w:val="00B1784C"/>
    <w:rsid w:val="00B17E7F"/>
    <w:rsid w:val="00B20BE0"/>
    <w:rsid w:val="00B20C96"/>
    <w:rsid w:val="00B20F76"/>
    <w:rsid w:val="00B21067"/>
    <w:rsid w:val="00B21262"/>
    <w:rsid w:val="00B215D4"/>
    <w:rsid w:val="00B21DA9"/>
    <w:rsid w:val="00B21FAE"/>
    <w:rsid w:val="00B2248C"/>
    <w:rsid w:val="00B2270A"/>
    <w:rsid w:val="00B22D26"/>
    <w:rsid w:val="00B2320E"/>
    <w:rsid w:val="00B232D0"/>
    <w:rsid w:val="00B23361"/>
    <w:rsid w:val="00B233BE"/>
    <w:rsid w:val="00B233E6"/>
    <w:rsid w:val="00B23617"/>
    <w:rsid w:val="00B2391A"/>
    <w:rsid w:val="00B23CC7"/>
    <w:rsid w:val="00B23DB5"/>
    <w:rsid w:val="00B24345"/>
    <w:rsid w:val="00B246A4"/>
    <w:rsid w:val="00B2488F"/>
    <w:rsid w:val="00B25162"/>
    <w:rsid w:val="00B25AA2"/>
    <w:rsid w:val="00B25C9D"/>
    <w:rsid w:val="00B25F51"/>
    <w:rsid w:val="00B2612E"/>
    <w:rsid w:val="00B27308"/>
    <w:rsid w:val="00B2768F"/>
    <w:rsid w:val="00B27923"/>
    <w:rsid w:val="00B27DD6"/>
    <w:rsid w:val="00B3038F"/>
    <w:rsid w:val="00B304E2"/>
    <w:rsid w:val="00B3061C"/>
    <w:rsid w:val="00B30861"/>
    <w:rsid w:val="00B30AF3"/>
    <w:rsid w:val="00B31754"/>
    <w:rsid w:val="00B319C9"/>
    <w:rsid w:val="00B320A9"/>
    <w:rsid w:val="00B3260B"/>
    <w:rsid w:val="00B3268D"/>
    <w:rsid w:val="00B32AEA"/>
    <w:rsid w:val="00B33005"/>
    <w:rsid w:val="00B33387"/>
    <w:rsid w:val="00B3387E"/>
    <w:rsid w:val="00B3415C"/>
    <w:rsid w:val="00B347B3"/>
    <w:rsid w:val="00B34845"/>
    <w:rsid w:val="00B34EF4"/>
    <w:rsid w:val="00B35933"/>
    <w:rsid w:val="00B359AD"/>
    <w:rsid w:val="00B364B8"/>
    <w:rsid w:val="00B364D4"/>
    <w:rsid w:val="00B36710"/>
    <w:rsid w:val="00B36BF2"/>
    <w:rsid w:val="00B37619"/>
    <w:rsid w:val="00B3790F"/>
    <w:rsid w:val="00B37B58"/>
    <w:rsid w:val="00B37E14"/>
    <w:rsid w:val="00B37F29"/>
    <w:rsid w:val="00B400DF"/>
    <w:rsid w:val="00B4013E"/>
    <w:rsid w:val="00B4026E"/>
    <w:rsid w:val="00B4066C"/>
    <w:rsid w:val="00B40674"/>
    <w:rsid w:val="00B40CC8"/>
    <w:rsid w:val="00B40F37"/>
    <w:rsid w:val="00B41326"/>
    <w:rsid w:val="00B41948"/>
    <w:rsid w:val="00B419B7"/>
    <w:rsid w:val="00B41B04"/>
    <w:rsid w:val="00B41BD2"/>
    <w:rsid w:val="00B41C3B"/>
    <w:rsid w:val="00B41D4E"/>
    <w:rsid w:val="00B41DFB"/>
    <w:rsid w:val="00B41EC6"/>
    <w:rsid w:val="00B4203C"/>
    <w:rsid w:val="00B423C0"/>
    <w:rsid w:val="00B42B76"/>
    <w:rsid w:val="00B42BAD"/>
    <w:rsid w:val="00B4306F"/>
    <w:rsid w:val="00B435DC"/>
    <w:rsid w:val="00B4362D"/>
    <w:rsid w:val="00B43686"/>
    <w:rsid w:val="00B43B54"/>
    <w:rsid w:val="00B448E8"/>
    <w:rsid w:val="00B44C79"/>
    <w:rsid w:val="00B44DCD"/>
    <w:rsid w:val="00B44F4A"/>
    <w:rsid w:val="00B45353"/>
    <w:rsid w:val="00B454EE"/>
    <w:rsid w:val="00B455E1"/>
    <w:rsid w:val="00B45A7C"/>
    <w:rsid w:val="00B45C5E"/>
    <w:rsid w:val="00B45E14"/>
    <w:rsid w:val="00B46415"/>
    <w:rsid w:val="00B464AF"/>
    <w:rsid w:val="00B465B8"/>
    <w:rsid w:val="00B46A48"/>
    <w:rsid w:val="00B46BCE"/>
    <w:rsid w:val="00B47045"/>
    <w:rsid w:val="00B473BC"/>
    <w:rsid w:val="00B47448"/>
    <w:rsid w:val="00B47B9F"/>
    <w:rsid w:val="00B47BD8"/>
    <w:rsid w:val="00B47D7A"/>
    <w:rsid w:val="00B500CE"/>
    <w:rsid w:val="00B5026B"/>
    <w:rsid w:val="00B50380"/>
    <w:rsid w:val="00B50A38"/>
    <w:rsid w:val="00B515A2"/>
    <w:rsid w:val="00B51882"/>
    <w:rsid w:val="00B519FB"/>
    <w:rsid w:val="00B51BE5"/>
    <w:rsid w:val="00B51DE9"/>
    <w:rsid w:val="00B51E5E"/>
    <w:rsid w:val="00B524B6"/>
    <w:rsid w:val="00B52726"/>
    <w:rsid w:val="00B5287C"/>
    <w:rsid w:val="00B529A3"/>
    <w:rsid w:val="00B52A45"/>
    <w:rsid w:val="00B52C18"/>
    <w:rsid w:val="00B52F08"/>
    <w:rsid w:val="00B531B2"/>
    <w:rsid w:val="00B53C69"/>
    <w:rsid w:val="00B53EBD"/>
    <w:rsid w:val="00B54024"/>
    <w:rsid w:val="00B54151"/>
    <w:rsid w:val="00B547B3"/>
    <w:rsid w:val="00B54B15"/>
    <w:rsid w:val="00B54C28"/>
    <w:rsid w:val="00B54CAB"/>
    <w:rsid w:val="00B54E6E"/>
    <w:rsid w:val="00B5512E"/>
    <w:rsid w:val="00B55BB9"/>
    <w:rsid w:val="00B55D75"/>
    <w:rsid w:val="00B55DBF"/>
    <w:rsid w:val="00B56D18"/>
    <w:rsid w:val="00B56EC8"/>
    <w:rsid w:val="00B5719A"/>
    <w:rsid w:val="00B57479"/>
    <w:rsid w:val="00B57CF0"/>
    <w:rsid w:val="00B57D3F"/>
    <w:rsid w:val="00B57E79"/>
    <w:rsid w:val="00B57FEA"/>
    <w:rsid w:val="00B60070"/>
    <w:rsid w:val="00B6061D"/>
    <w:rsid w:val="00B60F31"/>
    <w:rsid w:val="00B60F3E"/>
    <w:rsid w:val="00B61842"/>
    <w:rsid w:val="00B62153"/>
    <w:rsid w:val="00B62654"/>
    <w:rsid w:val="00B6286A"/>
    <w:rsid w:val="00B62A8B"/>
    <w:rsid w:val="00B63A4A"/>
    <w:rsid w:val="00B63ED8"/>
    <w:rsid w:val="00B641EB"/>
    <w:rsid w:val="00B645D5"/>
    <w:rsid w:val="00B64A51"/>
    <w:rsid w:val="00B64B92"/>
    <w:rsid w:val="00B653D9"/>
    <w:rsid w:val="00B654C1"/>
    <w:rsid w:val="00B655B4"/>
    <w:rsid w:val="00B657F1"/>
    <w:rsid w:val="00B65EEF"/>
    <w:rsid w:val="00B66073"/>
    <w:rsid w:val="00B6640B"/>
    <w:rsid w:val="00B6644D"/>
    <w:rsid w:val="00B665CF"/>
    <w:rsid w:val="00B66643"/>
    <w:rsid w:val="00B66C39"/>
    <w:rsid w:val="00B6797E"/>
    <w:rsid w:val="00B67BA1"/>
    <w:rsid w:val="00B67E7D"/>
    <w:rsid w:val="00B7045F"/>
    <w:rsid w:val="00B70585"/>
    <w:rsid w:val="00B70BC8"/>
    <w:rsid w:val="00B70BE8"/>
    <w:rsid w:val="00B70D13"/>
    <w:rsid w:val="00B70EF5"/>
    <w:rsid w:val="00B712F9"/>
    <w:rsid w:val="00B71782"/>
    <w:rsid w:val="00B71BBC"/>
    <w:rsid w:val="00B71DE5"/>
    <w:rsid w:val="00B71FD7"/>
    <w:rsid w:val="00B72305"/>
    <w:rsid w:val="00B726B9"/>
    <w:rsid w:val="00B7296F"/>
    <w:rsid w:val="00B72994"/>
    <w:rsid w:val="00B72C43"/>
    <w:rsid w:val="00B72E37"/>
    <w:rsid w:val="00B72F3B"/>
    <w:rsid w:val="00B73002"/>
    <w:rsid w:val="00B73262"/>
    <w:rsid w:val="00B7326B"/>
    <w:rsid w:val="00B73756"/>
    <w:rsid w:val="00B73A31"/>
    <w:rsid w:val="00B73B20"/>
    <w:rsid w:val="00B74C48"/>
    <w:rsid w:val="00B750D9"/>
    <w:rsid w:val="00B7529B"/>
    <w:rsid w:val="00B75816"/>
    <w:rsid w:val="00B7591D"/>
    <w:rsid w:val="00B75959"/>
    <w:rsid w:val="00B75ACC"/>
    <w:rsid w:val="00B75DE1"/>
    <w:rsid w:val="00B7607C"/>
    <w:rsid w:val="00B765D2"/>
    <w:rsid w:val="00B77076"/>
    <w:rsid w:val="00B771CC"/>
    <w:rsid w:val="00B774A4"/>
    <w:rsid w:val="00B77ADF"/>
    <w:rsid w:val="00B77B8C"/>
    <w:rsid w:val="00B803C0"/>
    <w:rsid w:val="00B80502"/>
    <w:rsid w:val="00B80517"/>
    <w:rsid w:val="00B80C34"/>
    <w:rsid w:val="00B80C36"/>
    <w:rsid w:val="00B80C45"/>
    <w:rsid w:val="00B80F77"/>
    <w:rsid w:val="00B81580"/>
    <w:rsid w:val="00B817BF"/>
    <w:rsid w:val="00B817EE"/>
    <w:rsid w:val="00B81D4B"/>
    <w:rsid w:val="00B820EB"/>
    <w:rsid w:val="00B82202"/>
    <w:rsid w:val="00B82429"/>
    <w:rsid w:val="00B825EC"/>
    <w:rsid w:val="00B8272C"/>
    <w:rsid w:val="00B82A0F"/>
    <w:rsid w:val="00B82C4C"/>
    <w:rsid w:val="00B82E18"/>
    <w:rsid w:val="00B831C4"/>
    <w:rsid w:val="00B8384A"/>
    <w:rsid w:val="00B83899"/>
    <w:rsid w:val="00B83C4E"/>
    <w:rsid w:val="00B83D14"/>
    <w:rsid w:val="00B83D69"/>
    <w:rsid w:val="00B83F0A"/>
    <w:rsid w:val="00B84057"/>
    <w:rsid w:val="00B84360"/>
    <w:rsid w:val="00B84583"/>
    <w:rsid w:val="00B845B8"/>
    <w:rsid w:val="00B84659"/>
    <w:rsid w:val="00B8484F"/>
    <w:rsid w:val="00B84946"/>
    <w:rsid w:val="00B84B45"/>
    <w:rsid w:val="00B850E1"/>
    <w:rsid w:val="00B85AA4"/>
    <w:rsid w:val="00B85E43"/>
    <w:rsid w:val="00B85E58"/>
    <w:rsid w:val="00B863EE"/>
    <w:rsid w:val="00B868B1"/>
    <w:rsid w:val="00B869CE"/>
    <w:rsid w:val="00B86B46"/>
    <w:rsid w:val="00B86BAC"/>
    <w:rsid w:val="00B86E4C"/>
    <w:rsid w:val="00B87333"/>
    <w:rsid w:val="00B874CF"/>
    <w:rsid w:val="00B87F7D"/>
    <w:rsid w:val="00B90C87"/>
    <w:rsid w:val="00B9133C"/>
    <w:rsid w:val="00B913F9"/>
    <w:rsid w:val="00B9143B"/>
    <w:rsid w:val="00B91D32"/>
    <w:rsid w:val="00B91D63"/>
    <w:rsid w:val="00B91F3E"/>
    <w:rsid w:val="00B920A3"/>
    <w:rsid w:val="00B922D1"/>
    <w:rsid w:val="00B927E8"/>
    <w:rsid w:val="00B92C44"/>
    <w:rsid w:val="00B92F3A"/>
    <w:rsid w:val="00B930ED"/>
    <w:rsid w:val="00B931E1"/>
    <w:rsid w:val="00B93D56"/>
    <w:rsid w:val="00B93E2B"/>
    <w:rsid w:val="00B93E44"/>
    <w:rsid w:val="00B93F41"/>
    <w:rsid w:val="00B94739"/>
    <w:rsid w:val="00B947B7"/>
    <w:rsid w:val="00B94800"/>
    <w:rsid w:val="00B9511A"/>
    <w:rsid w:val="00B954C1"/>
    <w:rsid w:val="00B963DF"/>
    <w:rsid w:val="00B96E5E"/>
    <w:rsid w:val="00B96F19"/>
    <w:rsid w:val="00B96F3A"/>
    <w:rsid w:val="00B9707F"/>
    <w:rsid w:val="00B971BF"/>
    <w:rsid w:val="00B972D2"/>
    <w:rsid w:val="00B97448"/>
    <w:rsid w:val="00B97A4C"/>
    <w:rsid w:val="00B97AB8"/>
    <w:rsid w:val="00B97E90"/>
    <w:rsid w:val="00BA0296"/>
    <w:rsid w:val="00BA0518"/>
    <w:rsid w:val="00BA0AB0"/>
    <w:rsid w:val="00BA0E2A"/>
    <w:rsid w:val="00BA118D"/>
    <w:rsid w:val="00BA1FFF"/>
    <w:rsid w:val="00BA208A"/>
    <w:rsid w:val="00BA218C"/>
    <w:rsid w:val="00BA21A5"/>
    <w:rsid w:val="00BA2914"/>
    <w:rsid w:val="00BA2BAD"/>
    <w:rsid w:val="00BA3898"/>
    <w:rsid w:val="00BA3B30"/>
    <w:rsid w:val="00BA3B3F"/>
    <w:rsid w:val="00BA3C1A"/>
    <w:rsid w:val="00BA3F93"/>
    <w:rsid w:val="00BA46A2"/>
    <w:rsid w:val="00BA4BFF"/>
    <w:rsid w:val="00BA4C89"/>
    <w:rsid w:val="00BA5444"/>
    <w:rsid w:val="00BA54B5"/>
    <w:rsid w:val="00BA57D9"/>
    <w:rsid w:val="00BA5C56"/>
    <w:rsid w:val="00BA5CF6"/>
    <w:rsid w:val="00BA5F35"/>
    <w:rsid w:val="00BA60F1"/>
    <w:rsid w:val="00BA6887"/>
    <w:rsid w:val="00BA6D32"/>
    <w:rsid w:val="00BA6F01"/>
    <w:rsid w:val="00BA720E"/>
    <w:rsid w:val="00BA7A72"/>
    <w:rsid w:val="00BA7B2A"/>
    <w:rsid w:val="00BA7CAB"/>
    <w:rsid w:val="00BA7F57"/>
    <w:rsid w:val="00BB0674"/>
    <w:rsid w:val="00BB077B"/>
    <w:rsid w:val="00BB092C"/>
    <w:rsid w:val="00BB0995"/>
    <w:rsid w:val="00BB0DF2"/>
    <w:rsid w:val="00BB0FF0"/>
    <w:rsid w:val="00BB1947"/>
    <w:rsid w:val="00BB1A54"/>
    <w:rsid w:val="00BB1DA5"/>
    <w:rsid w:val="00BB1EAB"/>
    <w:rsid w:val="00BB2FB9"/>
    <w:rsid w:val="00BB3075"/>
    <w:rsid w:val="00BB3146"/>
    <w:rsid w:val="00BB34E9"/>
    <w:rsid w:val="00BB37A1"/>
    <w:rsid w:val="00BB3E9F"/>
    <w:rsid w:val="00BB4324"/>
    <w:rsid w:val="00BB4567"/>
    <w:rsid w:val="00BB4639"/>
    <w:rsid w:val="00BB4DB9"/>
    <w:rsid w:val="00BB4ED1"/>
    <w:rsid w:val="00BB505A"/>
    <w:rsid w:val="00BB5AE3"/>
    <w:rsid w:val="00BB5C1E"/>
    <w:rsid w:val="00BB5D66"/>
    <w:rsid w:val="00BB5DE0"/>
    <w:rsid w:val="00BB6446"/>
    <w:rsid w:val="00BB64AD"/>
    <w:rsid w:val="00BB659C"/>
    <w:rsid w:val="00BB67FF"/>
    <w:rsid w:val="00BB71B4"/>
    <w:rsid w:val="00BB793E"/>
    <w:rsid w:val="00BC0091"/>
    <w:rsid w:val="00BC0866"/>
    <w:rsid w:val="00BC0B50"/>
    <w:rsid w:val="00BC0E4E"/>
    <w:rsid w:val="00BC1110"/>
    <w:rsid w:val="00BC1845"/>
    <w:rsid w:val="00BC1C3E"/>
    <w:rsid w:val="00BC1F26"/>
    <w:rsid w:val="00BC2930"/>
    <w:rsid w:val="00BC29A0"/>
    <w:rsid w:val="00BC2B8B"/>
    <w:rsid w:val="00BC2BC7"/>
    <w:rsid w:val="00BC300F"/>
    <w:rsid w:val="00BC3820"/>
    <w:rsid w:val="00BC3BD3"/>
    <w:rsid w:val="00BC3D91"/>
    <w:rsid w:val="00BC4149"/>
    <w:rsid w:val="00BC44A5"/>
    <w:rsid w:val="00BC4576"/>
    <w:rsid w:val="00BC46B5"/>
    <w:rsid w:val="00BC4EF6"/>
    <w:rsid w:val="00BC5092"/>
    <w:rsid w:val="00BC597A"/>
    <w:rsid w:val="00BC5C4B"/>
    <w:rsid w:val="00BC5D1C"/>
    <w:rsid w:val="00BC6563"/>
    <w:rsid w:val="00BC6D07"/>
    <w:rsid w:val="00BC72BA"/>
    <w:rsid w:val="00BC72E5"/>
    <w:rsid w:val="00BC737E"/>
    <w:rsid w:val="00BC7584"/>
    <w:rsid w:val="00BC759A"/>
    <w:rsid w:val="00BD005F"/>
    <w:rsid w:val="00BD024A"/>
    <w:rsid w:val="00BD0FE7"/>
    <w:rsid w:val="00BD1216"/>
    <w:rsid w:val="00BD153C"/>
    <w:rsid w:val="00BD1570"/>
    <w:rsid w:val="00BD1E53"/>
    <w:rsid w:val="00BD2142"/>
    <w:rsid w:val="00BD23F5"/>
    <w:rsid w:val="00BD27E1"/>
    <w:rsid w:val="00BD2873"/>
    <w:rsid w:val="00BD2892"/>
    <w:rsid w:val="00BD2C79"/>
    <w:rsid w:val="00BD339A"/>
    <w:rsid w:val="00BD3675"/>
    <w:rsid w:val="00BD3A1C"/>
    <w:rsid w:val="00BD3C42"/>
    <w:rsid w:val="00BD46D0"/>
    <w:rsid w:val="00BD4730"/>
    <w:rsid w:val="00BD485E"/>
    <w:rsid w:val="00BD4C06"/>
    <w:rsid w:val="00BD4D92"/>
    <w:rsid w:val="00BD534F"/>
    <w:rsid w:val="00BD5491"/>
    <w:rsid w:val="00BD562C"/>
    <w:rsid w:val="00BD56C8"/>
    <w:rsid w:val="00BD56D1"/>
    <w:rsid w:val="00BD57D3"/>
    <w:rsid w:val="00BD5F6F"/>
    <w:rsid w:val="00BD68DD"/>
    <w:rsid w:val="00BD6F70"/>
    <w:rsid w:val="00BD75A8"/>
    <w:rsid w:val="00BD782D"/>
    <w:rsid w:val="00BD7876"/>
    <w:rsid w:val="00BD7995"/>
    <w:rsid w:val="00BE04D3"/>
    <w:rsid w:val="00BE0B5E"/>
    <w:rsid w:val="00BE0C4B"/>
    <w:rsid w:val="00BE0E48"/>
    <w:rsid w:val="00BE103E"/>
    <w:rsid w:val="00BE1058"/>
    <w:rsid w:val="00BE171D"/>
    <w:rsid w:val="00BE19A1"/>
    <w:rsid w:val="00BE1D6E"/>
    <w:rsid w:val="00BE1F63"/>
    <w:rsid w:val="00BE21B6"/>
    <w:rsid w:val="00BE2204"/>
    <w:rsid w:val="00BE26A5"/>
    <w:rsid w:val="00BE2759"/>
    <w:rsid w:val="00BE2D62"/>
    <w:rsid w:val="00BE33C6"/>
    <w:rsid w:val="00BE364C"/>
    <w:rsid w:val="00BE38AA"/>
    <w:rsid w:val="00BE3F1E"/>
    <w:rsid w:val="00BE4114"/>
    <w:rsid w:val="00BE45C8"/>
    <w:rsid w:val="00BE4740"/>
    <w:rsid w:val="00BE4E64"/>
    <w:rsid w:val="00BE5AA2"/>
    <w:rsid w:val="00BE5AF0"/>
    <w:rsid w:val="00BE5DFE"/>
    <w:rsid w:val="00BE6E8B"/>
    <w:rsid w:val="00BE73D1"/>
    <w:rsid w:val="00BE7AA6"/>
    <w:rsid w:val="00BE7FA3"/>
    <w:rsid w:val="00BF0435"/>
    <w:rsid w:val="00BF076B"/>
    <w:rsid w:val="00BF0B5E"/>
    <w:rsid w:val="00BF0F57"/>
    <w:rsid w:val="00BF0FA6"/>
    <w:rsid w:val="00BF0FF8"/>
    <w:rsid w:val="00BF16AF"/>
    <w:rsid w:val="00BF2133"/>
    <w:rsid w:val="00BF2197"/>
    <w:rsid w:val="00BF21D7"/>
    <w:rsid w:val="00BF270A"/>
    <w:rsid w:val="00BF2842"/>
    <w:rsid w:val="00BF2925"/>
    <w:rsid w:val="00BF349C"/>
    <w:rsid w:val="00BF3D41"/>
    <w:rsid w:val="00BF3E21"/>
    <w:rsid w:val="00BF3EEF"/>
    <w:rsid w:val="00BF44E8"/>
    <w:rsid w:val="00BF45D7"/>
    <w:rsid w:val="00BF464C"/>
    <w:rsid w:val="00BF4AA1"/>
    <w:rsid w:val="00BF6316"/>
    <w:rsid w:val="00BF6910"/>
    <w:rsid w:val="00BF6A77"/>
    <w:rsid w:val="00BF6E64"/>
    <w:rsid w:val="00BF70C1"/>
    <w:rsid w:val="00BF70C8"/>
    <w:rsid w:val="00BF7197"/>
    <w:rsid w:val="00BF7297"/>
    <w:rsid w:val="00BF72A8"/>
    <w:rsid w:val="00BF72CB"/>
    <w:rsid w:val="00BF7503"/>
    <w:rsid w:val="00BF7C44"/>
    <w:rsid w:val="00C00087"/>
    <w:rsid w:val="00C0086A"/>
    <w:rsid w:val="00C00FEE"/>
    <w:rsid w:val="00C01090"/>
    <w:rsid w:val="00C017AE"/>
    <w:rsid w:val="00C019B1"/>
    <w:rsid w:val="00C02379"/>
    <w:rsid w:val="00C0290E"/>
    <w:rsid w:val="00C02C88"/>
    <w:rsid w:val="00C02DA8"/>
    <w:rsid w:val="00C02FC8"/>
    <w:rsid w:val="00C03661"/>
    <w:rsid w:val="00C03973"/>
    <w:rsid w:val="00C03F49"/>
    <w:rsid w:val="00C04A89"/>
    <w:rsid w:val="00C04C22"/>
    <w:rsid w:val="00C04C98"/>
    <w:rsid w:val="00C04F02"/>
    <w:rsid w:val="00C0520F"/>
    <w:rsid w:val="00C0538B"/>
    <w:rsid w:val="00C05477"/>
    <w:rsid w:val="00C05E0B"/>
    <w:rsid w:val="00C05EA0"/>
    <w:rsid w:val="00C06160"/>
    <w:rsid w:val="00C0642B"/>
    <w:rsid w:val="00C06B28"/>
    <w:rsid w:val="00C06BCF"/>
    <w:rsid w:val="00C06D84"/>
    <w:rsid w:val="00C06E43"/>
    <w:rsid w:val="00C070D6"/>
    <w:rsid w:val="00C07133"/>
    <w:rsid w:val="00C074A0"/>
    <w:rsid w:val="00C07D73"/>
    <w:rsid w:val="00C07FC1"/>
    <w:rsid w:val="00C1031A"/>
    <w:rsid w:val="00C105B8"/>
    <w:rsid w:val="00C105CE"/>
    <w:rsid w:val="00C109CA"/>
    <w:rsid w:val="00C10C2D"/>
    <w:rsid w:val="00C10D45"/>
    <w:rsid w:val="00C1127E"/>
    <w:rsid w:val="00C11444"/>
    <w:rsid w:val="00C11A54"/>
    <w:rsid w:val="00C11C72"/>
    <w:rsid w:val="00C11E83"/>
    <w:rsid w:val="00C12F6C"/>
    <w:rsid w:val="00C13016"/>
    <w:rsid w:val="00C139F1"/>
    <w:rsid w:val="00C13F37"/>
    <w:rsid w:val="00C14343"/>
    <w:rsid w:val="00C14A44"/>
    <w:rsid w:val="00C15178"/>
    <w:rsid w:val="00C15596"/>
    <w:rsid w:val="00C15827"/>
    <w:rsid w:val="00C1583F"/>
    <w:rsid w:val="00C15F9D"/>
    <w:rsid w:val="00C1613A"/>
    <w:rsid w:val="00C16260"/>
    <w:rsid w:val="00C162F4"/>
    <w:rsid w:val="00C1630E"/>
    <w:rsid w:val="00C16BE9"/>
    <w:rsid w:val="00C170B1"/>
    <w:rsid w:val="00C170D6"/>
    <w:rsid w:val="00C171E0"/>
    <w:rsid w:val="00C172D3"/>
    <w:rsid w:val="00C172E5"/>
    <w:rsid w:val="00C17345"/>
    <w:rsid w:val="00C17412"/>
    <w:rsid w:val="00C174F0"/>
    <w:rsid w:val="00C176ED"/>
    <w:rsid w:val="00C17DB5"/>
    <w:rsid w:val="00C17DF5"/>
    <w:rsid w:val="00C17E0A"/>
    <w:rsid w:val="00C200BD"/>
    <w:rsid w:val="00C20128"/>
    <w:rsid w:val="00C2034B"/>
    <w:rsid w:val="00C2137B"/>
    <w:rsid w:val="00C21A06"/>
    <w:rsid w:val="00C2297D"/>
    <w:rsid w:val="00C22CF0"/>
    <w:rsid w:val="00C23021"/>
    <w:rsid w:val="00C233A9"/>
    <w:rsid w:val="00C2360E"/>
    <w:rsid w:val="00C24050"/>
    <w:rsid w:val="00C24243"/>
    <w:rsid w:val="00C24356"/>
    <w:rsid w:val="00C24B43"/>
    <w:rsid w:val="00C24B97"/>
    <w:rsid w:val="00C251F6"/>
    <w:rsid w:val="00C255E7"/>
    <w:rsid w:val="00C258A1"/>
    <w:rsid w:val="00C25AAF"/>
    <w:rsid w:val="00C25CA1"/>
    <w:rsid w:val="00C25F19"/>
    <w:rsid w:val="00C26927"/>
    <w:rsid w:val="00C27311"/>
    <w:rsid w:val="00C27542"/>
    <w:rsid w:val="00C27BA4"/>
    <w:rsid w:val="00C27BBA"/>
    <w:rsid w:val="00C27E39"/>
    <w:rsid w:val="00C27FA9"/>
    <w:rsid w:val="00C27FE7"/>
    <w:rsid w:val="00C30211"/>
    <w:rsid w:val="00C30F98"/>
    <w:rsid w:val="00C3135C"/>
    <w:rsid w:val="00C32131"/>
    <w:rsid w:val="00C32B00"/>
    <w:rsid w:val="00C332A3"/>
    <w:rsid w:val="00C33354"/>
    <w:rsid w:val="00C33699"/>
    <w:rsid w:val="00C3377B"/>
    <w:rsid w:val="00C33C55"/>
    <w:rsid w:val="00C33DD7"/>
    <w:rsid w:val="00C33EA3"/>
    <w:rsid w:val="00C342C3"/>
    <w:rsid w:val="00C3468B"/>
    <w:rsid w:val="00C34AE2"/>
    <w:rsid w:val="00C356AA"/>
    <w:rsid w:val="00C36356"/>
    <w:rsid w:val="00C369B5"/>
    <w:rsid w:val="00C36DC0"/>
    <w:rsid w:val="00C370F4"/>
    <w:rsid w:val="00C3763B"/>
    <w:rsid w:val="00C376BD"/>
    <w:rsid w:val="00C37AFE"/>
    <w:rsid w:val="00C37D8D"/>
    <w:rsid w:val="00C37F5A"/>
    <w:rsid w:val="00C37FC4"/>
    <w:rsid w:val="00C40131"/>
    <w:rsid w:val="00C40389"/>
    <w:rsid w:val="00C406F3"/>
    <w:rsid w:val="00C40708"/>
    <w:rsid w:val="00C407D1"/>
    <w:rsid w:val="00C40F98"/>
    <w:rsid w:val="00C410B6"/>
    <w:rsid w:val="00C4119D"/>
    <w:rsid w:val="00C4201E"/>
    <w:rsid w:val="00C424D9"/>
    <w:rsid w:val="00C424F9"/>
    <w:rsid w:val="00C4294F"/>
    <w:rsid w:val="00C42A9F"/>
    <w:rsid w:val="00C42B8C"/>
    <w:rsid w:val="00C43135"/>
    <w:rsid w:val="00C432A4"/>
    <w:rsid w:val="00C43620"/>
    <w:rsid w:val="00C43CE6"/>
    <w:rsid w:val="00C441D7"/>
    <w:rsid w:val="00C44CEC"/>
    <w:rsid w:val="00C44DEC"/>
    <w:rsid w:val="00C44E96"/>
    <w:rsid w:val="00C45201"/>
    <w:rsid w:val="00C45896"/>
    <w:rsid w:val="00C459A8"/>
    <w:rsid w:val="00C45B1A"/>
    <w:rsid w:val="00C461A2"/>
    <w:rsid w:val="00C46289"/>
    <w:rsid w:val="00C46879"/>
    <w:rsid w:val="00C469D5"/>
    <w:rsid w:val="00C46CF4"/>
    <w:rsid w:val="00C46F8D"/>
    <w:rsid w:val="00C471B1"/>
    <w:rsid w:val="00C476D8"/>
    <w:rsid w:val="00C50092"/>
    <w:rsid w:val="00C50236"/>
    <w:rsid w:val="00C5084E"/>
    <w:rsid w:val="00C508FC"/>
    <w:rsid w:val="00C51124"/>
    <w:rsid w:val="00C51354"/>
    <w:rsid w:val="00C519DF"/>
    <w:rsid w:val="00C51AF1"/>
    <w:rsid w:val="00C51C3E"/>
    <w:rsid w:val="00C52422"/>
    <w:rsid w:val="00C52600"/>
    <w:rsid w:val="00C52776"/>
    <w:rsid w:val="00C52B3C"/>
    <w:rsid w:val="00C52BFC"/>
    <w:rsid w:val="00C52DC4"/>
    <w:rsid w:val="00C53418"/>
    <w:rsid w:val="00C5350A"/>
    <w:rsid w:val="00C53791"/>
    <w:rsid w:val="00C537B5"/>
    <w:rsid w:val="00C53C60"/>
    <w:rsid w:val="00C54127"/>
    <w:rsid w:val="00C543BD"/>
    <w:rsid w:val="00C543C7"/>
    <w:rsid w:val="00C543E6"/>
    <w:rsid w:val="00C54A56"/>
    <w:rsid w:val="00C54D39"/>
    <w:rsid w:val="00C550FC"/>
    <w:rsid w:val="00C551DA"/>
    <w:rsid w:val="00C552FF"/>
    <w:rsid w:val="00C5544C"/>
    <w:rsid w:val="00C56935"/>
    <w:rsid w:val="00C56CEC"/>
    <w:rsid w:val="00C56E5E"/>
    <w:rsid w:val="00C579D2"/>
    <w:rsid w:val="00C57CF3"/>
    <w:rsid w:val="00C60DFD"/>
    <w:rsid w:val="00C6113E"/>
    <w:rsid w:val="00C61251"/>
    <w:rsid w:val="00C61390"/>
    <w:rsid w:val="00C616E7"/>
    <w:rsid w:val="00C61786"/>
    <w:rsid w:val="00C61876"/>
    <w:rsid w:val="00C61936"/>
    <w:rsid w:val="00C61B71"/>
    <w:rsid w:val="00C61E82"/>
    <w:rsid w:val="00C6209C"/>
    <w:rsid w:val="00C622D5"/>
    <w:rsid w:val="00C6249C"/>
    <w:rsid w:val="00C62536"/>
    <w:rsid w:val="00C6282E"/>
    <w:rsid w:val="00C62A62"/>
    <w:rsid w:val="00C62D6E"/>
    <w:rsid w:val="00C62DA4"/>
    <w:rsid w:val="00C62DAC"/>
    <w:rsid w:val="00C62E57"/>
    <w:rsid w:val="00C62EE4"/>
    <w:rsid w:val="00C635C9"/>
    <w:rsid w:val="00C6382C"/>
    <w:rsid w:val="00C63945"/>
    <w:rsid w:val="00C6440A"/>
    <w:rsid w:val="00C647DC"/>
    <w:rsid w:val="00C64B59"/>
    <w:rsid w:val="00C651FF"/>
    <w:rsid w:val="00C653A6"/>
    <w:rsid w:val="00C65408"/>
    <w:rsid w:val="00C65653"/>
    <w:rsid w:val="00C656AF"/>
    <w:rsid w:val="00C65B91"/>
    <w:rsid w:val="00C65F0E"/>
    <w:rsid w:val="00C65F4B"/>
    <w:rsid w:val="00C66202"/>
    <w:rsid w:val="00C6668E"/>
    <w:rsid w:val="00C667BC"/>
    <w:rsid w:val="00C66849"/>
    <w:rsid w:val="00C675FB"/>
    <w:rsid w:val="00C67648"/>
    <w:rsid w:val="00C67768"/>
    <w:rsid w:val="00C67C03"/>
    <w:rsid w:val="00C70736"/>
    <w:rsid w:val="00C709A4"/>
    <w:rsid w:val="00C70F53"/>
    <w:rsid w:val="00C715F0"/>
    <w:rsid w:val="00C717A1"/>
    <w:rsid w:val="00C71A66"/>
    <w:rsid w:val="00C723C4"/>
    <w:rsid w:val="00C723E6"/>
    <w:rsid w:val="00C72423"/>
    <w:rsid w:val="00C7256E"/>
    <w:rsid w:val="00C72872"/>
    <w:rsid w:val="00C72BAE"/>
    <w:rsid w:val="00C73353"/>
    <w:rsid w:val="00C73597"/>
    <w:rsid w:val="00C739B9"/>
    <w:rsid w:val="00C73BE1"/>
    <w:rsid w:val="00C7495A"/>
    <w:rsid w:val="00C74E34"/>
    <w:rsid w:val="00C75319"/>
    <w:rsid w:val="00C75A7A"/>
    <w:rsid w:val="00C75AF2"/>
    <w:rsid w:val="00C75E90"/>
    <w:rsid w:val="00C7611A"/>
    <w:rsid w:val="00C7651D"/>
    <w:rsid w:val="00C76702"/>
    <w:rsid w:val="00C76709"/>
    <w:rsid w:val="00C770BE"/>
    <w:rsid w:val="00C770C9"/>
    <w:rsid w:val="00C77C04"/>
    <w:rsid w:val="00C807DD"/>
    <w:rsid w:val="00C80B9E"/>
    <w:rsid w:val="00C80C3F"/>
    <w:rsid w:val="00C80FF8"/>
    <w:rsid w:val="00C818DA"/>
    <w:rsid w:val="00C8199A"/>
    <w:rsid w:val="00C81C86"/>
    <w:rsid w:val="00C81F08"/>
    <w:rsid w:val="00C82D76"/>
    <w:rsid w:val="00C8342C"/>
    <w:rsid w:val="00C8374B"/>
    <w:rsid w:val="00C83A71"/>
    <w:rsid w:val="00C840A2"/>
    <w:rsid w:val="00C8432B"/>
    <w:rsid w:val="00C845ED"/>
    <w:rsid w:val="00C8472E"/>
    <w:rsid w:val="00C847AE"/>
    <w:rsid w:val="00C84D90"/>
    <w:rsid w:val="00C84EE8"/>
    <w:rsid w:val="00C8500F"/>
    <w:rsid w:val="00C850E1"/>
    <w:rsid w:val="00C8524F"/>
    <w:rsid w:val="00C85395"/>
    <w:rsid w:val="00C854AB"/>
    <w:rsid w:val="00C8561F"/>
    <w:rsid w:val="00C85A64"/>
    <w:rsid w:val="00C86076"/>
    <w:rsid w:val="00C8608C"/>
    <w:rsid w:val="00C86543"/>
    <w:rsid w:val="00C86BAC"/>
    <w:rsid w:val="00C86E48"/>
    <w:rsid w:val="00C87228"/>
    <w:rsid w:val="00C876A7"/>
    <w:rsid w:val="00C8781B"/>
    <w:rsid w:val="00C87C3A"/>
    <w:rsid w:val="00C87E5D"/>
    <w:rsid w:val="00C902A2"/>
    <w:rsid w:val="00C90332"/>
    <w:rsid w:val="00C9083D"/>
    <w:rsid w:val="00C90CB0"/>
    <w:rsid w:val="00C90CC3"/>
    <w:rsid w:val="00C915A5"/>
    <w:rsid w:val="00C917CD"/>
    <w:rsid w:val="00C91C0F"/>
    <w:rsid w:val="00C92356"/>
    <w:rsid w:val="00C92379"/>
    <w:rsid w:val="00C924F0"/>
    <w:rsid w:val="00C9336F"/>
    <w:rsid w:val="00C9393D"/>
    <w:rsid w:val="00C940F8"/>
    <w:rsid w:val="00C94248"/>
    <w:rsid w:val="00C944DC"/>
    <w:rsid w:val="00C9453C"/>
    <w:rsid w:val="00C945C7"/>
    <w:rsid w:val="00C94648"/>
    <w:rsid w:val="00C946B4"/>
    <w:rsid w:val="00C95577"/>
    <w:rsid w:val="00C955FA"/>
    <w:rsid w:val="00C9568F"/>
    <w:rsid w:val="00C95AFA"/>
    <w:rsid w:val="00C95D34"/>
    <w:rsid w:val="00C95E70"/>
    <w:rsid w:val="00C95F1E"/>
    <w:rsid w:val="00C95F45"/>
    <w:rsid w:val="00C96836"/>
    <w:rsid w:val="00C969E0"/>
    <w:rsid w:val="00C96B5E"/>
    <w:rsid w:val="00C96C6A"/>
    <w:rsid w:val="00C9713D"/>
    <w:rsid w:val="00C971B9"/>
    <w:rsid w:val="00C9721A"/>
    <w:rsid w:val="00C9765D"/>
    <w:rsid w:val="00C97AE8"/>
    <w:rsid w:val="00C97E61"/>
    <w:rsid w:val="00CA00D2"/>
    <w:rsid w:val="00CA071C"/>
    <w:rsid w:val="00CA09CD"/>
    <w:rsid w:val="00CA0BB8"/>
    <w:rsid w:val="00CA0FAD"/>
    <w:rsid w:val="00CA1CAD"/>
    <w:rsid w:val="00CA2196"/>
    <w:rsid w:val="00CA2227"/>
    <w:rsid w:val="00CA22ED"/>
    <w:rsid w:val="00CA2D29"/>
    <w:rsid w:val="00CA2F00"/>
    <w:rsid w:val="00CA3381"/>
    <w:rsid w:val="00CA3469"/>
    <w:rsid w:val="00CA380B"/>
    <w:rsid w:val="00CA39C6"/>
    <w:rsid w:val="00CA3A92"/>
    <w:rsid w:val="00CA3E4C"/>
    <w:rsid w:val="00CA462B"/>
    <w:rsid w:val="00CA474C"/>
    <w:rsid w:val="00CA491E"/>
    <w:rsid w:val="00CA4DFF"/>
    <w:rsid w:val="00CA505D"/>
    <w:rsid w:val="00CA531F"/>
    <w:rsid w:val="00CA5487"/>
    <w:rsid w:val="00CA57B4"/>
    <w:rsid w:val="00CA58AC"/>
    <w:rsid w:val="00CA720D"/>
    <w:rsid w:val="00CA7535"/>
    <w:rsid w:val="00CA7654"/>
    <w:rsid w:val="00CA77F7"/>
    <w:rsid w:val="00CA7A16"/>
    <w:rsid w:val="00CA7A52"/>
    <w:rsid w:val="00CB0ED6"/>
    <w:rsid w:val="00CB1066"/>
    <w:rsid w:val="00CB11C7"/>
    <w:rsid w:val="00CB1B9E"/>
    <w:rsid w:val="00CB2251"/>
    <w:rsid w:val="00CB2794"/>
    <w:rsid w:val="00CB2C7B"/>
    <w:rsid w:val="00CB331A"/>
    <w:rsid w:val="00CB3478"/>
    <w:rsid w:val="00CB3776"/>
    <w:rsid w:val="00CB43CC"/>
    <w:rsid w:val="00CB4F0E"/>
    <w:rsid w:val="00CB4F9F"/>
    <w:rsid w:val="00CB4FBB"/>
    <w:rsid w:val="00CB5B6F"/>
    <w:rsid w:val="00CB5E7A"/>
    <w:rsid w:val="00CB6523"/>
    <w:rsid w:val="00CB6638"/>
    <w:rsid w:val="00CB6E1D"/>
    <w:rsid w:val="00CB7169"/>
    <w:rsid w:val="00CC013C"/>
    <w:rsid w:val="00CC0855"/>
    <w:rsid w:val="00CC0D8A"/>
    <w:rsid w:val="00CC19FA"/>
    <w:rsid w:val="00CC1EFA"/>
    <w:rsid w:val="00CC250A"/>
    <w:rsid w:val="00CC29BA"/>
    <w:rsid w:val="00CC30FC"/>
    <w:rsid w:val="00CC36D2"/>
    <w:rsid w:val="00CC3A93"/>
    <w:rsid w:val="00CC3AE2"/>
    <w:rsid w:val="00CC3D6E"/>
    <w:rsid w:val="00CC3FEB"/>
    <w:rsid w:val="00CC46A7"/>
    <w:rsid w:val="00CC4874"/>
    <w:rsid w:val="00CC4910"/>
    <w:rsid w:val="00CC4CCF"/>
    <w:rsid w:val="00CC510B"/>
    <w:rsid w:val="00CC5486"/>
    <w:rsid w:val="00CC5ECA"/>
    <w:rsid w:val="00CC5F0E"/>
    <w:rsid w:val="00CC5FDB"/>
    <w:rsid w:val="00CC64E7"/>
    <w:rsid w:val="00CC676D"/>
    <w:rsid w:val="00CC6901"/>
    <w:rsid w:val="00CC69DF"/>
    <w:rsid w:val="00CC6C05"/>
    <w:rsid w:val="00CC7053"/>
    <w:rsid w:val="00CC72CE"/>
    <w:rsid w:val="00CC753E"/>
    <w:rsid w:val="00CC7824"/>
    <w:rsid w:val="00CC7A01"/>
    <w:rsid w:val="00CD00C0"/>
    <w:rsid w:val="00CD016E"/>
    <w:rsid w:val="00CD07B8"/>
    <w:rsid w:val="00CD0932"/>
    <w:rsid w:val="00CD0DFF"/>
    <w:rsid w:val="00CD1359"/>
    <w:rsid w:val="00CD1708"/>
    <w:rsid w:val="00CD1F03"/>
    <w:rsid w:val="00CD200A"/>
    <w:rsid w:val="00CD2432"/>
    <w:rsid w:val="00CD256B"/>
    <w:rsid w:val="00CD27CC"/>
    <w:rsid w:val="00CD29A3"/>
    <w:rsid w:val="00CD2D78"/>
    <w:rsid w:val="00CD2FE9"/>
    <w:rsid w:val="00CD336C"/>
    <w:rsid w:val="00CD3512"/>
    <w:rsid w:val="00CD3A8D"/>
    <w:rsid w:val="00CD4030"/>
    <w:rsid w:val="00CD419C"/>
    <w:rsid w:val="00CD4680"/>
    <w:rsid w:val="00CD4798"/>
    <w:rsid w:val="00CD49AC"/>
    <w:rsid w:val="00CD4ABF"/>
    <w:rsid w:val="00CD4B41"/>
    <w:rsid w:val="00CD4DE2"/>
    <w:rsid w:val="00CD4F4C"/>
    <w:rsid w:val="00CD517D"/>
    <w:rsid w:val="00CD55F3"/>
    <w:rsid w:val="00CD5693"/>
    <w:rsid w:val="00CD5B28"/>
    <w:rsid w:val="00CD6135"/>
    <w:rsid w:val="00CD620F"/>
    <w:rsid w:val="00CD62E6"/>
    <w:rsid w:val="00CD644A"/>
    <w:rsid w:val="00CD69C8"/>
    <w:rsid w:val="00CD6ABC"/>
    <w:rsid w:val="00CD6AEC"/>
    <w:rsid w:val="00CD6CFD"/>
    <w:rsid w:val="00CD78EA"/>
    <w:rsid w:val="00CD7D0F"/>
    <w:rsid w:val="00CD7EAB"/>
    <w:rsid w:val="00CE0286"/>
    <w:rsid w:val="00CE1077"/>
    <w:rsid w:val="00CE1711"/>
    <w:rsid w:val="00CE1F6C"/>
    <w:rsid w:val="00CE24C3"/>
    <w:rsid w:val="00CE28D6"/>
    <w:rsid w:val="00CE393F"/>
    <w:rsid w:val="00CE3D31"/>
    <w:rsid w:val="00CE3DA5"/>
    <w:rsid w:val="00CE403B"/>
    <w:rsid w:val="00CE45BA"/>
    <w:rsid w:val="00CE482B"/>
    <w:rsid w:val="00CE53C4"/>
    <w:rsid w:val="00CE58FA"/>
    <w:rsid w:val="00CE595B"/>
    <w:rsid w:val="00CE59CD"/>
    <w:rsid w:val="00CE5B4C"/>
    <w:rsid w:val="00CE5BBA"/>
    <w:rsid w:val="00CE5FDA"/>
    <w:rsid w:val="00CE6293"/>
    <w:rsid w:val="00CE63AE"/>
    <w:rsid w:val="00CE6C34"/>
    <w:rsid w:val="00CE76FA"/>
    <w:rsid w:val="00CE7847"/>
    <w:rsid w:val="00CE7EAC"/>
    <w:rsid w:val="00CF0033"/>
    <w:rsid w:val="00CF018A"/>
    <w:rsid w:val="00CF0303"/>
    <w:rsid w:val="00CF046D"/>
    <w:rsid w:val="00CF06B3"/>
    <w:rsid w:val="00CF0716"/>
    <w:rsid w:val="00CF0F5F"/>
    <w:rsid w:val="00CF101F"/>
    <w:rsid w:val="00CF11BE"/>
    <w:rsid w:val="00CF1310"/>
    <w:rsid w:val="00CF16F5"/>
    <w:rsid w:val="00CF1B46"/>
    <w:rsid w:val="00CF1EF0"/>
    <w:rsid w:val="00CF2B2B"/>
    <w:rsid w:val="00CF2D07"/>
    <w:rsid w:val="00CF2DA9"/>
    <w:rsid w:val="00CF31DA"/>
    <w:rsid w:val="00CF32B9"/>
    <w:rsid w:val="00CF3C2B"/>
    <w:rsid w:val="00CF3C8F"/>
    <w:rsid w:val="00CF3DA9"/>
    <w:rsid w:val="00CF4028"/>
    <w:rsid w:val="00CF43BA"/>
    <w:rsid w:val="00CF4478"/>
    <w:rsid w:val="00CF4BD5"/>
    <w:rsid w:val="00CF5008"/>
    <w:rsid w:val="00CF56BC"/>
    <w:rsid w:val="00CF57C4"/>
    <w:rsid w:val="00CF59C9"/>
    <w:rsid w:val="00CF5CCB"/>
    <w:rsid w:val="00CF6B59"/>
    <w:rsid w:val="00CF76FD"/>
    <w:rsid w:val="00D00149"/>
    <w:rsid w:val="00D001C4"/>
    <w:rsid w:val="00D003A1"/>
    <w:rsid w:val="00D003F5"/>
    <w:rsid w:val="00D0045E"/>
    <w:rsid w:val="00D00478"/>
    <w:rsid w:val="00D00653"/>
    <w:rsid w:val="00D00911"/>
    <w:rsid w:val="00D00D24"/>
    <w:rsid w:val="00D01151"/>
    <w:rsid w:val="00D0127E"/>
    <w:rsid w:val="00D012B4"/>
    <w:rsid w:val="00D01476"/>
    <w:rsid w:val="00D0156A"/>
    <w:rsid w:val="00D01627"/>
    <w:rsid w:val="00D01AEC"/>
    <w:rsid w:val="00D01C27"/>
    <w:rsid w:val="00D01E4E"/>
    <w:rsid w:val="00D03950"/>
    <w:rsid w:val="00D03C09"/>
    <w:rsid w:val="00D03C98"/>
    <w:rsid w:val="00D03D3D"/>
    <w:rsid w:val="00D03D53"/>
    <w:rsid w:val="00D0413E"/>
    <w:rsid w:val="00D0465F"/>
    <w:rsid w:val="00D046C3"/>
    <w:rsid w:val="00D04FCB"/>
    <w:rsid w:val="00D0505A"/>
    <w:rsid w:val="00D0543F"/>
    <w:rsid w:val="00D056A1"/>
    <w:rsid w:val="00D05A53"/>
    <w:rsid w:val="00D063AC"/>
    <w:rsid w:val="00D06447"/>
    <w:rsid w:val="00D06A78"/>
    <w:rsid w:val="00D06A91"/>
    <w:rsid w:val="00D06FC3"/>
    <w:rsid w:val="00D071B2"/>
    <w:rsid w:val="00D07347"/>
    <w:rsid w:val="00D078F9"/>
    <w:rsid w:val="00D07DB4"/>
    <w:rsid w:val="00D07ED3"/>
    <w:rsid w:val="00D1003E"/>
    <w:rsid w:val="00D10258"/>
    <w:rsid w:val="00D104E0"/>
    <w:rsid w:val="00D10530"/>
    <w:rsid w:val="00D10A24"/>
    <w:rsid w:val="00D119CF"/>
    <w:rsid w:val="00D11C4E"/>
    <w:rsid w:val="00D12059"/>
    <w:rsid w:val="00D1209D"/>
    <w:rsid w:val="00D125E5"/>
    <w:rsid w:val="00D1308D"/>
    <w:rsid w:val="00D1402E"/>
    <w:rsid w:val="00D1429C"/>
    <w:rsid w:val="00D1436E"/>
    <w:rsid w:val="00D148D4"/>
    <w:rsid w:val="00D14ABB"/>
    <w:rsid w:val="00D14E0D"/>
    <w:rsid w:val="00D152B5"/>
    <w:rsid w:val="00D156AD"/>
    <w:rsid w:val="00D15E70"/>
    <w:rsid w:val="00D15F59"/>
    <w:rsid w:val="00D15FCB"/>
    <w:rsid w:val="00D16296"/>
    <w:rsid w:val="00D165F4"/>
    <w:rsid w:val="00D16940"/>
    <w:rsid w:val="00D16C6E"/>
    <w:rsid w:val="00D16CB0"/>
    <w:rsid w:val="00D17618"/>
    <w:rsid w:val="00D1769C"/>
    <w:rsid w:val="00D178D3"/>
    <w:rsid w:val="00D17FC3"/>
    <w:rsid w:val="00D202A8"/>
    <w:rsid w:val="00D204BF"/>
    <w:rsid w:val="00D205A5"/>
    <w:rsid w:val="00D20802"/>
    <w:rsid w:val="00D2092D"/>
    <w:rsid w:val="00D20DE3"/>
    <w:rsid w:val="00D20FD3"/>
    <w:rsid w:val="00D210C6"/>
    <w:rsid w:val="00D2125C"/>
    <w:rsid w:val="00D2248D"/>
    <w:rsid w:val="00D2289E"/>
    <w:rsid w:val="00D22C31"/>
    <w:rsid w:val="00D22F0C"/>
    <w:rsid w:val="00D23163"/>
    <w:rsid w:val="00D231A7"/>
    <w:rsid w:val="00D235D3"/>
    <w:rsid w:val="00D247B7"/>
    <w:rsid w:val="00D24A76"/>
    <w:rsid w:val="00D24ADA"/>
    <w:rsid w:val="00D2506C"/>
    <w:rsid w:val="00D25427"/>
    <w:rsid w:val="00D255DE"/>
    <w:rsid w:val="00D257C8"/>
    <w:rsid w:val="00D257CA"/>
    <w:rsid w:val="00D25B08"/>
    <w:rsid w:val="00D25E00"/>
    <w:rsid w:val="00D25F60"/>
    <w:rsid w:val="00D26AFB"/>
    <w:rsid w:val="00D26C56"/>
    <w:rsid w:val="00D26EB7"/>
    <w:rsid w:val="00D27001"/>
    <w:rsid w:val="00D2707D"/>
    <w:rsid w:val="00D27578"/>
    <w:rsid w:val="00D2787E"/>
    <w:rsid w:val="00D27BB0"/>
    <w:rsid w:val="00D302C2"/>
    <w:rsid w:val="00D30407"/>
    <w:rsid w:val="00D30777"/>
    <w:rsid w:val="00D30C38"/>
    <w:rsid w:val="00D311D5"/>
    <w:rsid w:val="00D3186C"/>
    <w:rsid w:val="00D319D2"/>
    <w:rsid w:val="00D31AAC"/>
    <w:rsid w:val="00D31AF5"/>
    <w:rsid w:val="00D31DA6"/>
    <w:rsid w:val="00D32693"/>
    <w:rsid w:val="00D327E7"/>
    <w:rsid w:val="00D3288A"/>
    <w:rsid w:val="00D3299A"/>
    <w:rsid w:val="00D32DB7"/>
    <w:rsid w:val="00D336DB"/>
    <w:rsid w:val="00D33C37"/>
    <w:rsid w:val="00D33E6C"/>
    <w:rsid w:val="00D33EE1"/>
    <w:rsid w:val="00D34301"/>
    <w:rsid w:val="00D35476"/>
    <w:rsid w:val="00D355E3"/>
    <w:rsid w:val="00D35BB7"/>
    <w:rsid w:val="00D35BC6"/>
    <w:rsid w:val="00D35CE2"/>
    <w:rsid w:val="00D360A8"/>
    <w:rsid w:val="00D3614A"/>
    <w:rsid w:val="00D3620E"/>
    <w:rsid w:val="00D3622A"/>
    <w:rsid w:val="00D36383"/>
    <w:rsid w:val="00D3653D"/>
    <w:rsid w:val="00D36F1D"/>
    <w:rsid w:val="00D37741"/>
    <w:rsid w:val="00D4011A"/>
    <w:rsid w:val="00D40CF9"/>
    <w:rsid w:val="00D4101C"/>
    <w:rsid w:val="00D41218"/>
    <w:rsid w:val="00D41439"/>
    <w:rsid w:val="00D414E8"/>
    <w:rsid w:val="00D416DA"/>
    <w:rsid w:val="00D41F92"/>
    <w:rsid w:val="00D41FE8"/>
    <w:rsid w:val="00D42378"/>
    <w:rsid w:val="00D425B4"/>
    <w:rsid w:val="00D43162"/>
    <w:rsid w:val="00D43617"/>
    <w:rsid w:val="00D43652"/>
    <w:rsid w:val="00D43AE4"/>
    <w:rsid w:val="00D43B35"/>
    <w:rsid w:val="00D43CAC"/>
    <w:rsid w:val="00D44056"/>
    <w:rsid w:val="00D440B4"/>
    <w:rsid w:val="00D441B0"/>
    <w:rsid w:val="00D44207"/>
    <w:rsid w:val="00D44714"/>
    <w:rsid w:val="00D44948"/>
    <w:rsid w:val="00D44B22"/>
    <w:rsid w:val="00D44B87"/>
    <w:rsid w:val="00D44C2B"/>
    <w:rsid w:val="00D44E5B"/>
    <w:rsid w:val="00D45019"/>
    <w:rsid w:val="00D450A3"/>
    <w:rsid w:val="00D4522C"/>
    <w:rsid w:val="00D4562D"/>
    <w:rsid w:val="00D456B1"/>
    <w:rsid w:val="00D45945"/>
    <w:rsid w:val="00D45A33"/>
    <w:rsid w:val="00D45ABC"/>
    <w:rsid w:val="00D45B65"/>
    <w:rsid w:val="00D46289"/>
    <w:rsid w:val="00D46743"/>
    <w:rsid w:val="00D4680F"/>
    <w:rsid w:val="00D46AA4"/>
    <w:rsid w:val="00D46E46"/>
    <w:rsid w:val="00D4726B"/>
    <w:rsid w:val="00D472C7"/>
    <w:rsid w:val="00D4761B"/>
    <w:rsid w:val="00D47BC4"/>
    <w:rsid w:val="00D47CEA"/>
    <w:rsid w:val="00D50A49"/>
    <w:rsid w:val="00D50A78"/>
    <w:rsid w:val="00D50F0D"/>
    <w:rsid w:val="00D51ABC"/>
    <w:rsid w:val="00D51C75"/>
    <w:rsid w:val="00D51E0B"/>
    <w:rsid w:val="00D522A8"/>
    <w:rsid w:val="00D52632"/>
    <w:rsid w:val="00D528F0"/>
    <w:rsid w:val="00D52936"/>
    <w:rsid w:val="00D52987"/>
    <w:rsid w:val="00D5313D"/>
    <w:rsid w:val="00D5366D"/>
    <w:rsid w:val="00D5368F"/>
    <w:rsid w:val="00D53AB7"/>
    <w:rsid w:val="00D53CDB"/>
    <w:rsid w:val="00D53E9F"/>
    <w:rsid w:val="00D53F1B"/>
    <w:rsid w:val="00D54116"/>
    <w:rsid w:val="00D54721"/>
    <w:rsid w:val="00D549A5"/>
    <w:rsid w:val="00D54BD4"/>
    <w:rsid w:val="00D54C55"/>
    <w:rsid w:val="00D550F9"/>
    <w:rsid w:val="00D55303"/>
    <w:rsid w:val="00D55D06"/>
    <w:rsid w:val="00D56298"/>
    <w:rsid w:val="00D563A2"/>
    <w:rsid w:val="00D56892"/>
    <w:rsid w:val="00D56A25"/>
    <w:rsid w:val="00D577DF"/>
    <w:rsid w:val="00D57AD1"/>
    <w:rsid w:val="00D57D66"/>
    <w:rsid w:val="00D607B7"/>
    <w:rsid w:val="00D60AA7"/>
    <w:rsid w:val="00D60B38"/>
    <w:rsid w:val="00D60B8C"/>
    <w:rsid w:val="00D61385"/>
    <w:rsid w:val="00D61640"/>
    <w:rsid w:val="00D61788"/>
    <w:rsid w:val="00D61A0E"/>
    <w:rsid w:val="00D61C7E"/>
    <w:rsid w:val="00D61CBC"/>
    <w:rsid w:val="00D623A4"/>
    <w:rsid w:val="00D63B31"/>
    <w:rsid w:val="00D63FD6"/>
    <w:rsid w:val="00D64093"/>
    <w:rsid w:val="00D6417B"/>
    <w:rsid w:val="00D6465C"/>
    <w:rsid w:val="00D64D84"/>
    <w:rsid w:val="00D651A9"/>
    <w:rsid w:val="00D65406"/>
    <w:rsid w:val="00D6596A"/>
    <w:rsid w:val="00D65A6E"/>
    <w:rsid w:val="00D65C84"/>
    <w:rsid w:val="00D65D23"/>
    <w:rsid w:val="00D6606D"/>
    <w:rsid w:val="00D667AD"/>
    <w:rsid w:val="00D66BE9"/>
    <w:rsid w:val="00D6723F"/>
    <w:rsid w:val="00D672F0"/>
    <w:rsid w:val="00D67590"/>
    <w:rsid w:val="00D67756"/>
    <w:rsid w:val="00D6786E"/>
    <w:rsid w:val="00D67FCD"/>
    <w:rsid w:val="00D704CB"/>
    <w:rsid w:val="00D708D0"/>
    <w:rsid w:val="00D7112D"/>
    <w:rsid w:val="00D712B7"/>
    <w:rsid w:val="00D71401"/>
    <w:rsid w:val="00D716C7"/>
    <w:rsid w:val="00D71823"/>
    <w:rsid w:val="00D71957"/>
    <w:rsid w:val="00D71990"/>
    <w:rsid w:val="00D71AE5"/>
    <w:rsid w:val="00D71CBC"/>
    <w:rsid w:val="00D71DCE"/>
    <w:rsid w:val="00D71E8D"/>
    <w:rsid w:val="00D72008"/>
    <w:rsid w:val="00D7220D"/>
    <w:rsid w:val="00D72ABD"/>
    <w:rsid w:val="00D72BED"/>
    <w:rsid w:val="00D72C2C"/>
    <w:rsid w:val="00D72FFC"/>
    <w:rsid w:val="00D73ED6"/>
    <w:rsid w:val="00D7418D"/>
    <w:rsid w:val="00D7442C"/>
    <w:rsid w:val="00D7446E"/>
    <w:rsid w:val="00D745E1"/>
    <w:rsid w:val="00D74D1E"/>
    <w:rsid w:val="00D7589B"/>
    <w:rsid w:val="00D75AC2"/>
    <w:rsid w:val="00D76116"/>
    <w:rsid w:val="00D770EB"/>
    <w:rsid w:val="00D77608"/>
    <w:rsid w:val="00D77D6B"/>
    <w:rsid w:val="00D804A5"/>
    <w:rsid w:val="00D80769"/>
    <w:rsid w:val="00D8115A"/>
    <w:rsid w:val="00D811FB"/>
    <w:rsid w:val="00D81807"/>
    <w:rsid w:val="00D81D62"/>
    <w:rsid w:val="00D81D81"/>
    <w:rsid w:val="00D8240D"/>
    <w:rsid w:val="00D82486"/>
    <w:rsid w:val="00D82630"/>
    <w:rsid w:val="00D82818"/>
    <w:rsid w:val="00D82F5B"/>
    <w:rsid w:val="00D83148"/>
    <w:rsid w:val="00D834F4"/>
    <w:rsid w:val="00D83725"/>
    <w:rsid w:val="00D8398F"/>
    <w:rsid w:val="00D83E1A"/>
    <w:rsid w:val="00D83FF9"/>
    <w:rsid w:val="00D8446A"/>
    <w:rsid w:val="00D846E2"/>
    <w:rsid w:val="00D84CD4"/>
    <w:rsid w:val="00D84D60"/>
    <w:rsid w:val="00D853ED"/>
    <w:rsid w:val="00D85985"/>
    <w:rsid w:val="00D85CC1"/>
    <w:rsid w:val="00D85E16"/>
    <w:rsid w:val="00D85EC5"/>
    <w:rsid w:val="00D86386"/>
    <w:rsid w:val="00D86838"/>
    <w:rsid w:val="00D86AC9"/>
    <w:rsid w:val="00D86B09"/>
    <w:rsid w:val="00D87078"/>
    <w:rsid w:val="00D87088"/>
    <w:rsid w:val="00D87459"/>
    <w:rsid w:val="00D87581"/>
    <w:rsid w:val="00D8769A"/>
    <w:rsid w:val="00D87934"/>
    <w:rsid w:val="00D90567"/>
    <w:rsid w:val="00D90577"/>
    <w:rsid w:val="00D907EF"/>
    <w:rsid w:val="00D90E57"/>
    <w:rsid w:val="00D90EAA"/>
    <w:rsid w:val="00D91189"/>
    <w:rsid w:val="00D925AA"/>
    <w:rsid w:val="00D92741"/>
    <w:rsid w:val="00D92813"/>
    <w:rsid w:val="00D92DB9"/>
    <w:rsid w:val="00D92F40"/>
    <w:rsid w:val="00D93130"/>
    <w:rsid w:val="00D93325"/>
    <w:rsid w:val="00D9381C"/>
    <w:rsid w:val="00D93EC8"/>
    <w:rsid w:val="00D941F0"/>
    <w:rsid w:val="00D94C0B"/>
    <w:rsid w:val="00D95034"/>
    <w:rsid w:val="00D953F3"/>
    <w:rsid w:val="00D9568F"/>
    <w:rsid w:val="00D95ADE"/>
    <w:rsid w:val="00D95B78"/>
    <w:rsid w:val="00D96936"/>
    <w:rsid w:val="00D96B9A"/>
    <w:rsid w:val="00D96BF5"/>
    <w:rsid w:val="00D9723A"/>
    <w:rsid w:val="00D97394"/>
    <w:rsid w:val="00D9739D"/>
    <w:rsid w:val="00D973ED"/>
    <w:rsid w:val="00DA0016"/>
    <w:rsid w:val="00DA0707"/>
    <w:rsid w:val="00DA0938"/>
    <w:rsid w:val="00DA0BCF"/>
    <w:rsid w:val="00DA0CC8"/>
    <w:rsid w:val="00DA1F03"/>
    <w:rsid w:val="00DA1F7D"/>
    <w:rsid w:val="00DA2488"/>
    <w:rsid w:val="00DA25D3"/>
    <w:rsid w:val="00DA2C85"/>
    <w:rsid w:val="00DA2CCF"/>
    <w:rsid w:val="00DA2F84"/>
    <w:rsid w:val="00DA32FC"/>
    <w:rsid w:val="00DA3495"/>
    <w:rsid w:val="00DA3D5F"/>
    <w:rsid w:val="00DA3D63"/>
    <w:rsid w:val="00DA437F"/>
    <w:rsid w:val="00DA4490"/>
    <w:rsid w:val="00DA4A34"/>
    <w:rsid w:val="00DA4E94"/>
    <w:rsid w:val="00DA4F55"/>
    <w:rsid w:val="00DA543E"/>
    <w:rsid w:val="00DA568E"/>
    <w:rsid w:val="00DA5699"/>
    <w:rsid w:val="00DA5750"/>
    <w:rsid w:val="00DA59F8"/>
    <w:rsid w:val="00DA5A9D"/>
    <w:rsid w:val="00DA5AB6"/>
    <w:rsid w:val="00DA5B39"/>
    <w:rsid w:val="00DA5CDE"/>
    <w:rsid w:val="00DA5DD4"/>
    <w:rsid w:val="00DA624F"/>
    <w:rsid w:val="00DA653E"/>
    <w:rsid w:val="00DA6564"/>
    <w:rsid w:val="00DA6659"/>
    <w:rsid w:val="00DA6732"/>
    <w:rsid w:val="00DA69B3"/>
    <w:rsid w:val="00DA6A7F"/>
    <w:rsid w:val="00DA6C13"/>
    <w:rsid w:val="00DA6F9D"/>
    <w:rsid w:val="00DA7530"/>
    <w:rsid w:val="00DA7979"/>
    <w:rsid w:val="00DB015D"/>
    <w:rsid w:val="00DB0374"/>
    <w:rsid w:val="00DB0603"/>
    <w:rsid w:val="00DB0636"/>
    <w:rsid w:val="00DB065D"/>
    <w:rsid w:val="00DB0A6B"/>
    <w:rsid w:val="00DB0B04"/>
    <w:rsid w:val="00DB141E"/>
    <w:rsid w:val="00DB1430"/>
    <w:rsid w:val="00DB150C"/>
    <w:rsid w:val="00DB1A3C"/>
    <w:rsid w:val="00DB1A74"/>
    <w:rsid w:val="00DB1AE7"/>
    <w:rsid w:val="00DB1E3C"/>
    <w:rsid w:val="00DB1EFA"/>
    <w:rsid w:val="00DB2098"/>
    <w:rsid w:val="00DB27AE"/>
    <w:rsid w:val="00DB28D2"/>
    <w:rsid w:val="00DB2A5F"/>
    <w:rsid w:val="00DB2E06"/>
    <w:rsid w:val="00DB2F36"/>
    <w:rsid w:val="00DB2F95"/>
    <w:rsid w:val="00DB2FF0"/>
    <w:rsid w:val="00DB3608"/>
    <w:rsid w:val="00DB3D89"/>
    <w:rsid w:val="00DB40D0"/>
    <w:rsid w:val="00DB4585"/>
    <w:rsid w:val="00DB4D94"/>
    <w:rsid w:val="00DB4FA9"/>
    <w:rsid w:val="00DB52A4"/>
    <w:rsid w:val="00DB560F"/>
    <w:rsid w:val="00DB56D6"/>
    <w:rsid w:val="00DB5D72"/>
    <w:rsid w:val="00DB6019"/>
    <w:rsid w:val="00DB64B2"/>
    <w:rsid w:val="00DB6E14"/>
    <w:rsid w:val="00DB7333"/>
    <w:rsid w:val="00DB7375"/>
    <w:rsid w:val="00DB78BD"/>
    <w:rsid w:val="00DC049D"/>
    <w:rsid w:val="00DC05E7"/>
    <w:rsid w:val="00DC062B"/>
    <w:rsid w:val="00DC06F2"/>
    <w:rsid w:val="00DC0933"/>
    <w:rsid w:val="00DC0B3E"/>
    <w:rsid w:val="00DC0B94"/>
    <w:rsid w:val="00DC0BF1"/>
    <w:rsid w:val="00DC0BFE"/>
    <w:rsid w:val="00DC1726"/>
    <w:rsid w:val="00DC21AA"/>
    <w:rsid w:val="00DC2515"/>
    <w:rsid w:val="00DC2528"/>
    <w:rsid w:val="00DC26B4"/>
    <w:rsid w:val="00DC2B99"/>
    <w:rsid w:val="00DC2C01"/>
    <w:rsid w:val="00DC2EB9"/>
    <w:rsid w:val="00DC3235"/>
    <w:rsid w:val="00DC3519"/>
    <w:rsid w:val="00DC3571"/>
    <w:rsid w:val="00DC3A4C"/>
    <w:rsid w:val="00DC3A6B"/>
    <w:rsid w:val="00DC403D"/>
    <w:rsid w:val="00DC42E9"/>
    <w:rsid w:val="00DC4882"/>
    <w:rsid w:val="00DC4968"/>
    <w:rsid w:val="00DC4C28"/>
    <w:rsid w:val="00DC5248"/>
    <w:rsid w:val="00DC575B"/>
    <w:rsid w:val="00DC5AC6"/>
    <w:rsid w:val="00DC5CFA"/>
    <w:rsid w:val="00DC61A4"/>
    <w:rsid w:val="00DC641E"/>
    <w:rsid w:val="00DC6E95"/>
    <w:rsid w:val="00DD070A"/>
    <w:rsid w:val="00DD13F7"/>
    <w:rsid w:val="00DD156E"/>
    <w:rsid w:val="00DD1860"/>
    <w:rsid w:val="00DD1D6C"/>
    <w:rsid w:val="00DD1DD5"/>
    <w:rsid w:val="00DD2012"/>
    <w:rsid w:val="00DD20C1"/>
    <w:rsid w:val="00DD214C"/>
    <w:rsid w:val="00DD2340"/>
    <w:rsid w:val="00DD2A87"/>
    <w:rsid w:val="00DD31FA"/>
    <w:rsid w:val="00DD3D85"/>
    <w:rsid w:val="00DD3E54"/>
    <w:rsid w:val="00DD40DE"/>
    <w:rsid w:val="00DD42B7"/>
    <w:rsid w:val="00DD4792"/>
    <w:rsid w:val="00DD4923"/>
    <w:rsid w:val="00DD4F20"/>
    <w:rsid w:val="00DD550A"/>
    <w:rsid w:val="00DD559B"/>
    <w:rsid w:val="00DD5809"/>
    <w:rsid w:val="00DD5E3C"/>
    <w:rsid w:val="00DD5FF5"/>
    <w:rsid w:val="00DD60ED"/>
    <w:rsid w:val="00DD61AE"/>
    <w:rsid w:val="00DD68C6"/>
    <w:rsid w:val="00DD68D3"/>
    <w:rsid w:val="00DD693C"/>
    <w:rsid w:val="00DD6B36"/>
    <w:rsid w:val="00DD6C5D"/>
    <w:rsid w:val="00DD719C"/>
    <w:rsid w:val="00DD723B"/>
    <w:rsid w:val="00DD79CD"/>
    <w:rsid w:val="00DD7E7E"/>
    <w:rsid w:val="00DD7EFA"/>
    <w:rsid w:val="00DE0309"/>
    <w:rsid w:val="00DE06B9"/>
    <w:rsid w:val="00DE0B15"/>
    <w:rsid w:val="00DE0BE8"/>
    <w:rsid w:val="00DE0CAD"/>
    <w:rsid w:val="00DE0E49"/>
    <w:rsid w:val="00DE119E"/>
    <w:rsid w:val="00DE181C"/>
    <w:rsid w:val="00DE1AB4"/>
    <w:rsid w:val="00DE1BF2"/>
    <w:rsid w:val="00DE1C53"/>
    <w:rsid w:val="00DE1E29"/>
    <w:rsid w:val="00DE1EA2"/>
    <w:rsid w:val="00DE25FC"/>
    <w:rsid w:val="00DE27C1"/>
    <w:rsid w:val="00DE2CAE"/>
    <w:rsid w:val="00DE318B"/>
    <w:rsid w:val="00DE31B4"/>
    <w:rsid w:val="00DE3502"/>
    <w:rsid w:val="00DE3631"/>
    <w:rsid w:val="00DE3878"/>
    <w:rsid w:val="00DE3A62"/>
    <w:rsid w:val="00DE3F88"/>
    <w:rsid w:val="00DE3FE7"/>
    <w:rsid w:val="00DE42B2"/>
    <w:rsid w:val="00DE48A4"/>
    <w:rsid w:val="00DE4951"/>
    <w:rsid w:val="00DE507D"/>
    <w:rsid w:val="00DE55DC"/>
    <w:rsid w:val="00DE59CF"/>
    <w:rsid w:val="00DE61BF"/>
    <w:rsid w:val="00DE61CD"/>
    <w:rsid w:val="00DE6278"/>
    <w:rsid w:val="00DE63F7"/>
    <w:rsid w:val="00DE77B0"/>
    <w:rsid w:val="00DE77C9"/>
    <w:rsid w:val="00DE7A7B"/>
    <w:rsid w:val="00DF005E"/>
    <w:rsid w:val="00DF083C"/>
    <w:rsid w:val="00DF08E4"/>
    <w:rsid w:val="00DF09F9"/>
    <w:rsid w:val="00DF0CDD"/>
    <w:rsid w:val="00DF0D46"/>
    <w:rsid w:val="00DF1276"/>
    <w:rsid w:val="00DF1365"/>
    <w:rsid w:val="00DF16E7"/>
    <w:rsid w:val="00DF1760"/>
    <w:rsid w:val="00DF1DAB"/>
    <w:rsid w:val="00DF2492"/>
    <w:rsid w:val="00DF2B16"/>
    <w:rsid w:val="00DF2B9E"/>
    <w:rsid w:val="00DF2D10"/>
    <w:rsid w:val="00DF2E47"/>
    <w:rsid w:val="00DF3616"/>
    <w:rsid w:val="00DF4031"/>
    <w:rsid w:val="00DF4663"/>
    <w:rsid w:val="00DF48FB"/>
    <w:rsid w:val="00DF4B0E"/>
    <w:rsid w:val="00DF4CCD"/>
    <w:rsid w:val="00DF4F51"/>
    <w:rsid w:val="00DF60CE"/>
    <w:rsid w:val="00DF64FD"/>
    <w:rsid w:val="00DF66D0"/>
    <w:rsid w:val="00DF6891"/>
    <w:rsid w:val="00DF6AE8"/>
    <w:rsid w:val="00DF6BD5"/>
    <w:rsid w:val="00DF6CE0"/>
    <w:rsid w:val="00DF7B8B"/>
    <w:rsid w:val="00DF7F13"/>
    <w:rsid w:val="00E00E90"/>
    <w:rsid w:val="00E015C3"/>
    <w:rsid w:val="00E01743"/>
    <w:rsid w:val="00E02440"/>
    <w:rsid w:val="00E024F1"/>
    <w:rsid w:val="00E02546"/>
    <w:rsid w:val="00E0298A"/>
    <w:rsid w:val="00E02BC7"/>
    <w:rsid w:val="00E039CD"/>
    <w:rsid w:val="00E03AF2"/>
    <w:rsid w:val="00E03D64"/>
    <w:rsid w:val="00E04144"/>
    <w:rsid w:val="00E04B43"/>
    <w:rsid w:val="00E04B65"/>
    <w:rsid w:val="00E04BE8"/>
    <w:rsid w:val="00E04D00"/>
    <w:rsid w:val="00E05181"/>
    <w:rsid w:val="00E051C2"/>
    <w:rsid w:val="00E057C8"/>
    <w:rsid w:val="00E059CF"/>
    <w:rsid w:val="00E05B05"/>
    <w:rsid w:val="00E06381"/>
    <w:rsid w:val="00E06C03"/>
    <w:rsid w:val="00E06C1E"/>
    <w:rsid w:val="00E06F19"/>
    <w:rsid w:val="00E0782E"/>
    <w:rsid w:val="00E07A4A"/>
    <w:rsid w:val="00E07D1C"/>
    <w:rsid w:val="00E07EA3"/>
    <w:rsid w:val="00E100E3"/>
    <w:rsid w:val="00E10167"/>
    <w:rsid w:val="00E10378"/>
    <w:rsid w:val="00E10767"/>
    <w:rsid w:val="00E10A07"/>
    <w:rsid w:val="00E10B40"/>
    <w:rsid w:val="00E10CDE"/>
    <w:rsid w:val="00E10F44"/>
    <w:rsid w:val="00E11007"/>
    <w:rsid w:val="00E11055"/>
    <w:rsid w:val="00E112CB"/>
    <w:rsid w:val="00E112F7"/>
    <w:rsid w:val="00E11493"/>
    <w:rsid w:val="00E11985"/>
    <w:rsid w:val="00E11A33"/>
    <w:rsid w:val="00E12693"/>
    <w:rsid w:val="00E1271F"/>
    <w:rsid w:val="00E12805"/>
    <w:rsid w:val="00E1284A"/>
    <w:rsid w:val="00E12D38"/>
    <w:rsid w:val="00E1367C"/>
    <w:rsid w:val="00E13B2F"/>
    <w:rsid w:val="00E13E5F"/>
    <w:rsid w:val="00E14129"/>
    <w:rsid w:val="00E14276"/>
    <w:rsid w:val="00E14476"/>
    <w:rsid w:val="00E14794"/>
    <w:rsid w:val="00E14D33"/>
    <w:rsid w:val="00E1548C"/>
    <w:rsid w:val="00E15D1E"/>
    <w:rsid w:val="00E162F7"/>
    <w:rsid w:val="00E16378"/>
    <w:rsid w:val="00E165DE"/>
    <w:rsid w:val="00E16CB1"/>
    <w:rsid w:val="00E16E79"/>
    <w:rsid w:val="00E16F0C"/>
    <w:rsid w:val="00E177C8"/>
    <w:rsid w:val="00E17B2C"/>
    <w:rsid w:val="00E17D49"/>
    <w:rsid w:val="00E2028F"/>
    <w:rsid w:val="00E20D8A"/>
    <w:rsid w:val="00E20DB9"/>
    <w:rsid w:val="00E20F69"/>
    <w:rsid w:val="00E20F86"/>
    <w:rsid w:val="00E21587"/>
    <w:rsid w:val="00E21692"/>
    <w:rsid w:val="00E218CA"/>
    <w:rsid w:val="00E21D34"/>
    <w:rsid w:val="00E2201B"/>
    <w:rsid w:val="00E220FF"/>
    <w:rsid w:val="00E22747"/>
    <w:rsid w:val="00E22900"/>
    <w:rsid w:val="00E22A50"/>
    <w:rsid w:val="00E23508"/>
    <w:rsid w:val="00E236C4"/>
    <w:rsid w:val="00E23B48"/>
    <w:rsid w:val="00E23CE9"/>
    <w:rsid w:val="00E244CE"/>
    <w:rsid w:val="00E24914"/>
    <w:rsid w:val="00E251CE"/>
    <w:rsid w:val="00E2537B"/>
    <w:rsid w:val="00E25382"/>
    <w:rsid w:val="00E2577C"/>
    <w:rsid w:val="00E2588E"/>
    <w:rsid w:val="00E25B48"/>
    <w:rsid w:val="00E25E41"/>
    <w:rsid w:val="00E25FAA"/>
    <w:rsid w:val="00E26540"/>
    <w:rsid w:val="00E26846"/>
    <w:rsid w:val="00E26ACE"/>
    <w:rsid w:val="00E26C7A"/>
    <w:rsid w:val="00E274CD"/>
    <w:rsid w:val="00E274E7"/>
    <w:rsid w:val="00E27753"/>
    <w:rsid w:val="00E27898"/>
    <w:rsid w:val="00E27A87"/>
    <w:rsid w:val="00E27BEB"/>
    <w:rsid w:val="00E3006A"/>
    <w:rsid w:val="00E302BB"/>
    <w:rsid w:val="00E30A98"/>
    <w:rsid w:val="00E30D7D"/>
    <w:rsid w:val="00E30E09"/>
    <w:rsid w:val="00E31330"/>
    <w:rsid w:val="00E31340"/>
    <w:rsid w:val="00E31A21"/>
    <w:rsid w:val="00E3287D"/>
    <w:rsid w:val="00E3349F"/>
    <w:rsid w:val="00E334FB"/>
    <w:rsid w:val="00E335BB"/>
    <w:rsid w:val="00E336F7"/>
    <w:rsid w:val="00E339AA"/>
    <w:rsid w:val="00E33E42"/>
    <w:rsid w:val="00E3413B"/>
    <w:rsid w:val="00E34515"/>
    <w:rsid w:val="00E3471B"/>
    <w:rsid w:val="00E34758"/>
    <w:rsid w:val="00E348A9"/>
    <w:rsid w:val="00E34C5B"/>
    <w:rsid w:val="00E34D0B"/>
    <w:rsid w:val="00E35D94"/>
    <w:rsid w:val="00E35F46"/>
    <w:rsid w:val="00E36446"/>
    <w:rsid w:val="00E36512"/>
    <w:rsid w:val="00E36967"/>
    <w:rsid w:val="00E36FCC"/>
    <w:rsid w:val="00E371BB"/>
    <w:rsid w:val="00E37594"/>
    <w:rsid w:val="00E37867"/>
    <w:rsid w:val="00E37F26"/>
    <w:rsid w:val="00E37F9A"/>
    <w:rsid w:val="00E4093D"/>
    <w:rsid w:val="00E40B44"/>
    <w:rsid w:val="00E40EFC"/>
    <w:rsid w:val="00E41B9C"/>
    <w:rsid w:val="00E41DE5"/>
    <w:rsid w:val="00E4299E"/>
    <w:rsid w:val="00E42D84"/>
    <w:rsid w:val="00E430D1"/>
    <w:rsid w:val="00E4411A"/>
    <w:rsid w:val="00E44544"/>
    <w:rsid w:val="00E448EC"/>
    <w:rsid w:val="00E44B83"/>
    <w:rsid w:val="00E44C27"/>
    <w:rsid w:val="00E44F0C"/>
    <w:rsid w:val="00E457E1"/>
    <w:rsid w:val="00E4592D"/>
    <w:rsid w:val="00E4595D"/>
    <w:rsid w:val="00E45C87"/>
    <w:rsid w:val="00E45CFF"/>
    <w:rsid w:val="00E46687"/>
    <w:rsid w:val="00E4688F"/>
    <w:rsid w:val="00E468FC"/>
    <w:rsid w:val="00E472A9"/>
    <w:rsid w:val="00E477FD"/>
    <w:rsid w:val="00E50557"/>
    <w:rsid w:val="00E50C5E"/>
    <w:rsid w:val="00E50CA4"/>
    <w:rsid w:val="00E513C9"/>
    <w:rsid w:val="00E51FB3"/>
    <w:rsid w:val="00E522AC"/>
    <w:rsid w:val="00E5232E"/>
    <w:rsid w:val="00E53DA7"/>
    <w:rsid w:val="00E53FB1"/>
    <w:rsid w:val="00E5414A"/>
    <w:rsid w:val="00E5437F"/>
    <w:rsid w:val="00E54450"/>
    <w:rsid w:val="00E548E2"/>
    <w:rsid w:val="00E54EB1"/>
    <w:rsid w:val="00E54FE9"/>
    <w:rsid w:val="00E550ED"/>
    <w:rsid w:val="00E5521E"/>
    <w:rsid w:val="00E55444"/>
    <w:rsid w:val="00E55C00"/>
    <w:rsid w:val="00E55D2D"/>
    <w:rsid w:val="00E56269"/>
    <w:rsid w:val="00E562B6"/>
    <w:rsid w:val="00E566F4"/>
    <w:rsid w:val="00E566FD"/>
    <w:rsid w:val="00E569C8"/>
    <w:rsid w:val="00E571E2"/>
    <w:rsid w:val="00E57389"/>
    <w:rsid w:val="00E576C6"/>
    <w:rsid w:val="00E57A7A"/>
    <w:rsid w:val="00E60461"/>
    <w:rsid w:val="00E60858"/>
    <w:rsid w:val="00E608E5"/>
    <w:rsid w:val="00E60A2D"/>
    <w:rsid w:val="00E60E79"/>
    <w:rsid w:val="00E615AB"/>
    <w:rsid w:val="00E618F4"/>
    <w:rsid w:val="00E6222F"/>
    <w:rsid w:val="00E624F0"/>
    <w:rsid w:val="00E62690"/>
    <w:rsid w:val="00E6297F"/>
    <w:rsid w:val="00E62D80"/>
    <w:rsid w:val="00E632C0"/>
    <w:rsid w:val="00E635C6"/>
    <w:rsid w:val="00E640F3"/>
    <w:rsid w:val="00E64387"/>
    <w:rsid w:val="00E643E0"/>
    <w:rsid w:val="00E643ED"/>
    <w:rsid w:val="00E64588"/>
    <w:rsid w:val="00E64B33"/>
    <w:rsid w:val="00E64E3D"/>
    <w:rsid w:val="00E651A8"/>
    <w:rsid w:val="00E655C5"/>
    <w:rsid w:val="00E65B5B"/>
    <w:rsid w:val="00E65D30"/>
    <w:rsid w:val="00E65DB0"/>
    <w:rsid w:val="00E66270"/>
    <w:rsid w:val="00E66299"/>
    <w:rsid w:val="00E66673"/>
    <w:rsid w:val="00E66C6A"/>
    <w:rsid w:val="00E66F26"/>
    <w:rsid w:val="00E66FFD"/>
    <w:rsid w:val="00E6711F"/>
    <w:rsid w:val="00E67570"/>
    <w:rsid w:val="00E678C9"/>
    <w:rsid w:val="00E67B35"/>
    <w:rsid w:val="00E70484"/>
    <w:rsid w:val="00E7091E"/>
    <w:rsid w:val="00E70D64"/>
    <w:rsid w:val="00E70F24"/>
    <w:rsid w:val="00E710F5"/>
    <w:rsid w:val="00E71131"/>
    <w:rsid w:val="00E714FD"/>
    <w:rsid w:val="00E718E0"/>
    <w:rsid w:val="00E71F35"/>
    <w:rsid w:val="00E72023"/>
    <w:rsid w:val="00E7206B"/>
    <w:rsid w:val="00E724D5"/>
    <w:rsid w:val="00E728C4"/>
    <w:rsid w:val="00E7300D"/>
    <w:rsid w:val="00E730A9"/>
    <w:rsid w:val="00E7398E"/>
    <w:rsid w:val="00E73DEA"/>
    <w:rsid w:val="00E74E78"/>
    <w:rsid w:val="00E75042"/>
    <w:rsid w:val="00E75283"/>
    <w:rsid w:val="00E7531A"/>
    <w:rsid w:val="00E75909"/>
    <w:rsid w:val="00E75E82"/>
    <w:rsid w:val="00E7631F"/>
    <w:rsid w:val="00E76555"/>
    <w:rsid w:val="00E77798"/>
    <w:rsid w:val="00E8039D"/>
    <w:rsid w:val="00E8061F"/>
    <w:rsid w:val="00E8074A"/>
    <w:rsid w:val="00E8149C"/>
    <w:rsid w:val="00E8161D"/>
    <w:rsid w:val="00E819AA"/>
    <w:rsid w:val="00E8227B"/>
    <w:rsid w:val="00E82AC0"/>
    <w:rsid w:val="00E838B4"/>
    <w:rsid w:val="00E83B39"/>
    <w:rsid w:val="00E83EB0"/>
    <w:rsid w:val="00E83EB7"/>
    <w:rsid w:val="00E8408B"/>
    <w:rsid w:val="00E84544"/>
    <w:rsid w:val="00E84B72"/>
    <w:rsid w:val="00E84F2F"/>
    <w:rsid w:val="00E84F68"/>
    <w:rsid w:val="00E85023"/>
    <w:rsid w:val="00E850F6"/>
    <w:rsid w:val="00E85290"/>
    <w:rsid w:val="00E852BF"/>
    <w:rsid w:val="00E857BF"/>
    <w:rsid w:val="00E863A9"/>
    <w:rsid w:val="00E86C32"/>
    <w:rsid w:val="00E86E9C"/>
    <w:rsid w:val="00E87078"/>
    <w:rsid w:val="00E87356"/>
    <w:rsid w:val="00E8751A"/>
    <w:rsid w:val="00E875E6"/>
    <w:rsid w:val="00E87794"/>
    <w:rsid w:val="00E8782F"/>
    <w:rsid w:val="00E8790F"/>
    <w:rsid w:val="00E87D4D"/>
    <w:rsid w:val="00E87E38"/>
    <w:rsid w:val="00E87FAE"/>
    <w:rsid w:val="00E90115"/>
    <w:rsid w:val="00E90234"/>
    <w:rsid w:val="00E903D2"/>
    <w:rsid w:val="00E90730"/>
    <w:rsid w:val="00E9079B"/>
    <w:rsid w:val="00E91D83"/>
    <w:rsid w:val="00E9260B"/>
    <w:rsid w:val="00E928A7"/>
    <w:rsid w:val="00E92933"/>
    <w:rsid w:val="00E92FB4"/>
    <w:rsid w:val="00E93483"/>
    <w:rsid w:val="00E9353C"/>
    <w:rsid w:val="00E93604"/>
    <w:rsid w:val="00E936F5"/>
    <w:rsid w:val="00E93B79"/>
    <w:rsid w:val="00E93D8F"/>
    <w:rsid w:val="00E93FA0"/>
    <w:rsid w:val="00E9418D"/>
    <w:rsid w:val="00E941DB"/>
    <w:rsid w:val="00E946C3"/>
    <w:rsid w:val="00E948A9"/>
    <w:rsid w:val="00E9492F"/>
    <w:rsid w:val="00E94CD3"/>
    <w:rsid w:val="00E95317"/>
    <w:rsid w:val="00E956A1"/>
    <w:rsid w:val="00E95A5F"/>
    <w:rsid w:val="00E96569"/>
    <w:rsid w:val="00E96925"/>
    <w:rsid w:val="00E9722C"/>
    <w:rsid w:val="00E97D54"/>
    <w:rsid w:val="00E97EA1"/>
    <w:rsid w:val="00EA0208"/>
    <w:rsid w:val="00EA038B"/>
    <w:rsid w:val="00EA0A6D"/>
    <w:rsid w:val="00EA0EB1"/>
    <w:rsid w:val="00EA1973"/>
    <w:rsid w:val="00EA19C4"/>
    <w:rsid w:val="00EA1F23"/>
    <w:rsid w:val="00EA1FEA"/>
    <w:rsid w:val="00EA285A"/>
    <w:rsid w:val="00EA29FD"/>
    <w:rsid w:val="00EA2A08"/>
    <w:rsid w:val="00EA3113"/>
    <w:rsid w:val="00EA32F2"/>
    <w:rsid w:val="00EA33E0"/>
    <w:rsid w:val="00EA37F3"/>
    <w:rsid w:val="00EA3960"/>
    <w:rsid w:val="00EA3964"/>
    <w:rsid w:val="00EA3A5A"/>
    <w:rsid w:val="00EA3D19"/>
    <w:rsid w:val="00EA4147"/>
    <w:rsid w:val="00EA4226"/>
    <w:rsid w:val="00EA4ADC"/>
    <w:rsid w:val="00EA4B61"/>
    <w:rsid w:val="00EA4C34"/>
    <w:rsid w:val="00EA4C4B"/>
    <w:rsid w:val="00EA501B"/>
    <w:rsid w:val="00EA52C7"/>
    <w:rsid w:val="00EA5953"/>
    <w:rsid w:val="00EA6A98"/>
    <w:rsid w:val="00EA7299"/>
    <w:rsid w:val="00EA7679"/>
    <w:rsid w:val="00EA7A14"/>
    <w:rsid w:val="00EA7C3E"/>
    <w:rsid w:val="00EB0334"/>
    <w:rsid w:val="00EB0DD6"/>
    <w:rsid w:val="00EB11A6"/>
    <w:rsid w:val="00EB17B6"/>
    <w:rsid w:val="00EB1912"/>
    <w:rsid w:val="00EB19ED"/>
    <w:rsid w:val="00EB1ACE"/>
    <w:rsid w:val="00EB1EED"/>
    <w:rsid w:val="00EB20F5"/>
    <w:rsid w:val="00EB24C5"/>
    <w:rsid w:val="00EB2710"/>
    <w:rsid w:val="00EB27AB"/>
    <w:rsid w:val="00EB28EE"/>
    <w:rsid w:val="00EB2C46"/>
    <w:rsid w:val="00EB34B9"/>
    <w:rsid w:val="00EB3523"/>
    <w:rsid w:val="00EB3DC9"/>
    <w:rsid w:val="00EB40A6"/>
    <w:rsid w:val="00EB4139"/>
    <w:rsid w:val="00EB448B"/>
    <w:rsid w:val="00EB4510"/>
    <w:rsid w:val="00EB4B9A"/>
    <w:rsid w:val="00EB4CBE"/>
    <w:rsid w:val="00EB5536"/>
    <w:rsid w:val="00EB5972"/>
    <w:rsid w:val="00EB5D4C"/>
    <w:rsid w:val="00EB7440"/>
    <w:rsid w:val="00EC013C"/>
    <w:rsid w:val="00EC07CA"/>
    <w:rsid w:val="00EC08D3"/>
    <w:rsid w:val="00EC0D8A"/>
    <w:rsid w:val="00EC128D"/>
    <w:rsid w:val="00EC187C"/>
    <w:rsid w:val="00EC1F2F"/>
    <w:rsid w:val="00EC206D"/>
    <w:rsid w:val="00EC226E"/>
    <w:rsid w:val="00EC22D6"/>
    <w:rsid w:val="00EC294E"/>
    <w:rsid w:val="00EC2E8C"/>
    <w:rsid w:val="00EC3479"/>
    <w:rsid w:val="00EC36AC"/>
    <w:rsid w:val="00EC37E2"/>
    <w:rsid w:val="00EC3D8E"/>
    <w:rsid w:val="00EC3E6E"/>
    <w:rsid w:val="00EC4168"/>
    <w:rsid w:val="00EC4212"/>
    <w:rsid w:val="00EC43C5"/>
    <w:rsid w:val="00EC4986"/>
    <w:rsid w:val="00EC4DEB"/>
    <w:rsid w:val="00EC4F17"/>
    <w:rsid w:val="00EC6AEA"/>
    <w:rsid w:val="00EC6C54"/>
    <w:rsid w:val="00EC6D84"/>
    <w:rsid w:val="00EC729E"/>
    <w:rsid w:val="00EC72E4"/>
    <w:rsid w:val="00EC7BCA"/>
    <w:rsid w:val="00EC7E46"/>
    <w:rsid w:val="00ED0094"/>
    <w:rsid w:val="00ED0160"/>
    <w:rsid w:val="00ED03AF"/>
    <w:rsid w:val="00ED03BB"/>
    <w:rsid w:val="00ED03C2"/>
    <w:rsid w:val="00ED05B8"/>
    <w:rsid w:val="00ED06D7"/>
    <w:rsid w:val="00ED13A5"/>
    <w:rsid w:val="00ED13AC"/>
    <w:rsid w:val="00ED1571"/>
    <w:rsid w:val="00ED189A"/>
    <w:rsid w:val="00ED1C06"/>
    <w:rsid w:val="00ED1D82"/>
    <w:rsid w:val="00ED1D86"/>
    <w:rsid w:val="00ED1F40"/>
    <w:rsid w:val="00ED22FB"/>
    <w:rsid w:val="00ED2BFA"/>
    <w:rsid w:val="00ED2CE9"/>
    <w:rsid w:val="00ED2EDD"/>
    <w:rsid w:val="00ED2FDA"/>
    <w:rsid w:val="00ED3AD9"/>
    <w:rsid w:val="00ED3C21"/>
    <w:rsid w:val="00ED3EDA"/>
    <w:rsid w:val="00ED3F30"/>
    <w:rsid w:val="00ED4051"/>
    <w:rsid w:val="00ED447C"/>
    <w:rsid w:val="00ED47C8"/>
    <w:rsid w:val="00ED5540"/>
    <w:rsid w:val="00ED5C2C"/>
    <w:rsid w:val="00ED5CFC"/>
    <w:rsid w:val="00ED5FB4"/>
    <w:rsid w:val="00ED62A9"/>
    <w:rsid w:val="00ED6821"/>
    <w:rsid w:val="00ED68FD"/>
    <w:rsid w:val="00ED6957"/>
    <w:rsid w:val="00ED69E3"/>
    <w:rsid w:val="00ED6BEF"/>
    <w:rsid w:val="00ED70AD"/>
    <w:rsid w:val="00ED7518"/>
    <w:rsid w:val="00ED7562"/>
    <w:rsid w:val="00ED7C93"/>
    <w:rsid w:val="00ED7F94"/>
    <w:rsid w:val="00EE02C7"/>
    <w:rsid w:val="00EE04F9"/>
    <w:rsid w:val="00EE051F"/>
    <w:rsid w:val="00EE0C88"/>
    <w:rsid w:val="00EE0CAA"/>
    <w:rsid w:val="00EE1096"/>
    <w:rsid w:val="00EE147B"/>
    <w:rsid w:val="00EE14D8"/>
    <w:rsid w:val="00EE1995"/>
    <w:rsid w:val="00EE19DE"/>
    <w:rsid w:val="00EE1BC9"/>
    <w:rsid w:val="00EE1CCD"/>
    <w:rsid w:val="00EE20F3"/>
    <w:rsid w:val="00EE21E5"/>
    <w:rsid w:val="00EE26FC"/>
    <w:rsid w:val="00EE2A92"/>
    <w:rsid w:val="00EE2C4F"/>
    <w:rsid w:val="00EE36C1"/>
    <w:rsid w:val="00EE38A0"/>
    <w:rsid w:val="00EE4344"/>
    <w:rsid w:val="00EE4405"/>
    <w:rsid w:val="00EE493E"/>
    <w:rsid w:val="00EE4CFF"/>
    <w:rsid w:val="00EE4F79"/>
    <w:rsid w:val="00EE509E"/>
    <w:rsid w:val="00EE5424"/>
    <w:rsid w:val="00EE5652"/>
    <w:rsid w:val="00EE5A01"/>
    <w:rsid w:val="00EE5FBB"/>
    <w:rsid w:val="00EE6122"/>
    <w:rsid w:val="00EE63FD"/>
    <w:rsid w:val="00EE6461"/>
    <w:rsid w:val="00EE66BA"/>
    <w:rsid w:val="00EE6CCA"/>
    <w:rsid w:val="00EE6DC1"/>
    <w:rsid w:val="00EE78AC"/>
    <w:rsid w:val="00EE7F14"/>
    <w:rsid w:val="00EF0138"/>
    <w:rsid w:val="00EF0198"/>
    <w:rsid w:val="00EF06F4"/>
    <w:rsid w:val="00EF0DAF"/>
    <w:rsid w:val="00EF0E69"/>
    <w:rsid w:val="00EF0F7B"/>
    <w:rsid w:val="00EF10F4"/>
    <w:rsid w:val="00EF1227"/>
    <w:rsid w:val="00EF14BD"/>
    <w:rsid w:val="00EF150F"/>
    <w:rsid w:val="00EF1B22"/>
    <w:rsid w:val="00EF1F43"/>
    <w:rsid w:val="00EF23C1"/>
    <w:rsid w:val="00EF2725"/>
    <w:rsid w:val="00EF2822"/>
    <w:rsid w:val="00EF2CDE"/>
    <w:rsid w:val="00EF30A8"/>
    <w:rsid w:val="00EF31B0"/>
    <w:rsid w:val="00EF35AA"/>
    <w:rsid w:val="00EF3974"/>
    <w:rsid w:val="00EF39AB"/>
    <w:rsid w:val="00EF3D8B"/>
    <w:rsid w:val="00EF425B"/>
    <w:rsid w:val="00EF4427"/>
    <w:rsid w:val="00EF47F3"/>
    <w:rsid w:val="00EF4AE3"/>
    <w:rsid w:val="00EF4C02"/>
    <w:rsid w:val="00EF5281"/>
    <w:rsid w:val="00EF5640"/>
    <w:rsid w:val="00EF5A6A"/>
    <w:rsid w:val="00EF6B09"/>
    <w:rsid w:val="00EF6F96"/>
    <w:rsid w:val="00EF7318"/>
    <w:rsid w:val="00EF7344"/>
    <w:rsid w:val="00EF7472"/>
    <w:rsid w:val="00EF7642"/>
    <w:rsid w:val="00EF7691"/>
    <w:rsid w:val="00EF7F59"/>
    <w:rsid w:val="00F0028F"/>
    <w:rsid w:val="00F00A7F"/>
    <w:rsid w:val="00F00AEE"/>
    <w:rsid w:val="00F00B55"/>
    <w:rsid w:val="00F00D63"/>
    <w:rsid w:val="00F00FFE"/>
    <w:rsid w:val="00F0116A"/>
    <w:rsid w:val="00F0119E"/>
    <w:rsid w:val="00F0181F"/>
    <w:rsid w:val="00F0183B"/>
    <w:rsid w:val="00F019AD"/>
    <w:rsid w:val="00F019E6"/>
    <w:rsid w:val="00F01C9D"/>
    <w:rsid w:val="00F01D8C"/>
    <w:rsid w:val="00F01E12"/>
    <w:rsid w:val="00F01E81"/>
    <w:rsid w:val="00F01FA3"/>
    <w:rsid w:val="00F01FB5"/>
    <w:rsid w:val="00F020AB"/>
    <w:rsid w:val="00F023AC"/>
    <w:rsid w:val="00F0264D"/>
    <w:rsid w:val="00F027C1"/>
    <w:rsid w:val="00F02D08"/>
    <w:rsid w:val="00F030F9"/>
    <w:rsid w:val="00F03153"/>
    <w:rsid w:val="00F03C93"/>
    <w:rsid w:val="00F03CC3"/>
    <w:rsid w:val="00F03DC2"/>
    <w:rsid w:val="00F0414F"/>
    <w:rsid w:val="00F042D3"/>
    <w:rsid w:val="00F04BDF"/>
    <w:rsid w:val="00F04D1E"/>
    <w:rsid w:val="00F04E57"/>
    <w:rsid w:val="00F0537E"/>
    <w:rsid w:val="00F064D2"/>
    <w:rsid w:val="00F06BDE"/>
    <w:rsid w:val="00F06CAB"/>
    <w:rsid w:val="00F06DC3"/>
    <w:rsid w:val="00F06E54"/>
    <w:rsid w:val="00F0748C"/>
    <w:rsid w:val="00F07524"/>
    <w:rsid w:val="00F075C0"/>
    <w:rsid w:val="00F07C9D"/>
    <w:rsid w:val="00F07D2B"/>
    <w:rsid w:val="00F07E68"/>
    <w:rsid w:val="00F100BC"/>
    <w:rsid w:val="00F106A9"/>
    <w:rsid w:val="00F106C8"/>
    <w:rsid w:val="00F10920"/>
    <w:rsid w:val="00F10E82"/>
    <w:rsid w:val="00F11149"/>
    <w:rsid w:val="00F112C3"/>
    <w:rsid w:val="00F1163A"/>
    <w:rsid w:val="00F12140"/>
    <w:rsid w:val="00F12230"/>
    <w:rsid w:val="00F1230E"/>
    <w:rsid w:val="00F125A4"/>
    <w:rsid w:val="00F1276E"/>
    <w:rsid w:val="00F12FF7"/>
    <w:rsid w:val="00F130A4"/>
    <w:rsid w:val="00F13892"/>
    <w:rsid w:val="00F1391E"/>
    <w:rsid w:val="00F13974"/>
    <w:rsid w:val="00F13C84"/>
    <w:rsid w:val="00F1409C"/>
    <w:rsid w:val="00F14B8E"/>
    <w:rsid w:val="00F14EA5"/>
    <w:rsid w:val="00F1524D"/>
    <w:rsid w:val="00F1536A"/>
    <w:rsid w:val="00F157A8"/>
    <w:rsid w:val="00F15D91"/>
    <w:rsid w:val="00F15DBF"/>
    <w:rsid w:val="00F15FE0"/>
    <w:rsid w:val="00F16231"/>
    <w:rsid w:val="00F1657E"/>
    <w:rsid w:val="00F16740"/>
    <w:rsid w:val="00F16CBC"/>
    <w:rsid w:val="00F16D77"/>
    <w:rsid w:val="00F16DE5"/>
    <w:rsid w:val="00F17792"/>
    <w:rsid w:val="00F17A93"/>
    <w:rsid w:val="00F17CD8"/>
    <w:rsid w:val="00F17D87"/>
    <w:rsid w:val="00F17F85"/>
    <w:rsid w:val="00F202D1"/>
    <w:rsid w:val="00F206CC"/>
    <w:rsid w:val="00F20760"/>
    <w:rsid w:val="00F20860"/>
    <w:rsid w:val="00F20C1B"/>
    <w:rsid w:val="00F210EB"/>
    <w:rsid w:val="00F21177"/>
    <w:rsid w:val="00F212BB"/>
    <w:rsid w:val="00F21484"/>
    <w:rsid w:val="00F21667"/>
    <w:rsid w:val="00F216BA"/>
    <w:rsid w:val="00F217AF"/>
    <w:rsid w:val="00F21ABB"/>
    <w:rsid w:val="00F21E70"/>
    <w:rsid w:val="00F2220C"/>
    <w:rsid w:val="00F22620"/>
    <w:rsid w:val="00F22B3F"/>
    <w:rsid w:val="00F22CE2"/>
    <w:rsid w:val="00F22E91"/>
    <w:rsid w:val="00F22FF3"/>
    <w:rsid w:val="00F23305"/>
    <w:rsid w:val="00F233F5"/>
    <w:rsid w:val="00F2376B"/>
    <w:rsid w:val="00F23CC0"/>
    <w:rsid w:val="00F23EA2"/>
    <w:rsid w:val="00F24388"/>
    <w:rsid w:val="00F247A1"/>
    <w:rsid w:val="00F2482F"/>
    <w:rsid w:val="00F24A0B"/>
    <w:rsid w:val="00F24C23"/>
    <w:rsid w:val="00F2541D"/>
    <w:rsid w:val="00F256F0"/>
    <w:rsid w:val="00F25AAA"/>
    <w:rsid w:val="00F25C04"/>
    <w:rsid w:val="00F25EFD"/>
    <w:rsid w:val="00F26189"/>
    <w:rsid w:val="00F26DE6"/>
    <w:rsid w:val="00F27562"/>
    <w:rsid w:val="00F27760"/>
    <w:rsid w:val="00F27936"/>
    <w:rsid w:val="00F27AAA"/>
    <w:rsid w:val="00F27F36"/>
    <w:rsid w:val="00F30339"/>
    <w:rsid w:val="00F316E4"/>
    <w:rsid w:val="00F31730"/>
    <w:rsid w:val="00F31925"/>
    <w:rsid w:val="00F319A1"/>
    <w:rsid w:val="00F319F1"/>
    <w:rsid w:val="00F31D39"/>
    <w:rsid w:val="00F31E1D"/>
    <w:rsid w:val="00F3214C"/>
    <w:rsid w:val="00F32C88"/>
    <w:rsid w:val="00F32DBB"/>
    <w:rsid w:val="00F32DDE"/>
    <w:rsid w:val="00F32ED0"/>
    <w:rsid w:val="00F336CC"/>
    <w:rsid w:val="00F3380E"/>
    <w:rsid w:val="00F3388E"/>
    <w:rsid w:val="00F3489D"/>
    <w:rsid w:val="00F34A74"/>
    <w:rsid w:val="00F34A97"/>
    <w:rsid w:val="00F34AE7"/>
    <w:rsid w:val="00F34DCB"/>
    <w:rsid w:val="00F356E9"/>
    <w:rsid w:val="00F35810"/>
    <w:rsid w:val="00F36336"/>
    <w:rsid w:val="00F365AE"/>
    <w:rsid w:val="00F367C4"/>
    <w:rsid w:val="00F368BE"/>
    <w:rsid w:val="00F36A64"/>
    <w:rsid w:val="00F36AC1"/>
    <w:rsid w:val="00F36CF8"/>
    <w:rsid w:val="00F3739B"/>
    <w:rsid w:val="00F3751E"/>
    <w:rsid w:val="00F3764A"/>
    <w:rsid w:val="00F378DA"/>
    <w:rsid w:val="00F37F59"/>
    <w:rsid w:val="00F40615"/>
    <w:rsid w:val="00F4086A"/>
    <w:rsid w:val="00F40A02"/>
    <w:rsid w:val="00F40C9E"/>
    <w:rsid w:val="00F40E6F"/>
    <w:rsid w:val="00F40EEA"/>
    <w:rsid w:val="00F40F57"/>
    <w:rsid w:val="00F410D0"/>
    <w:rsid w:val="00F41780"/>
    <w:rsid w:val="00F42111"/>
    <w:rsid w:val="00F4278D"/>
    <w:rsid w:val="00F42A93"/>
    <w:rsid w:val="00F437B5"/>
    <w:rsid w:val="00F43902"/>
    <w:rsid w:val="00F43A2F"/>
    <w:rsid w:val="00F43EA2"/>
    <w:rsid w:val="00F43EB7"/>
    <w:rsid w:val="00F43EF0"/>
    <w:rsid w:val="00F43FA2"/>
    <w:rsid w:val="00F44032"/>
    <w:rsid w:val="00F440A9"/>
    <w:rsid w:val="00F441A1"/>
    <w:rsid w:val="00F445AE"/>
    <w:rsid w:val="00F44A3F"/>
    <w:rsid w:val="00F44A6F"/>
    <w:rsid w:val="00F44CD8"/>
    <w:rsid w:val="00F44EF0"/>
    <w:rsid w:val="00F452CC"/>
    <w:rsid w:val="00F453E6"/>
    <w:rsid w:val="00F455B6"/>
    <w:rsid w:val="00F45B67"/>
    <w:rsid w:val="00F45E63"/>
    <w:rsid w:val="00F45F6F"/>
    <w:rsid w:val="00F465C4"/>
    <w:rsid w:val="00F46752"/>
    <w:rsid w:val="00F46FC5"/>
    <w:rsid w:val="00F477D3"/>
    <w:rsid w:val="00F47971"/>
    <w:rsid w:val="00F47C1E"/>
    <w:rsid w:val="00F47EA4"/>
    <w:rsid w:val="00F50042"/>
    <w:rsid w:val="00F50461"/>
    <w:rsid w:val="00F50606"/>
    <w:rsid w:val="00F50D0C"/>
    <w:rsid w:val="00F51372"/>
    <w:rsid w:val="00F51B41"/>
    <w:rsid w:val="00F51C77"/>
    <w:rsid w:val="00F51D8E"/>
    <w:rsid w:val="00F5300D"/>
    <w:rsid w:val="00F53042"/>
    <w:rsid w:val="00F53188"/>
    <w:rsid w:val="00F533BE"/>
    <w:rsid w:val="00F53424"/>
    <w:rsid w:val="00F5352D"/>
    <w:rsid w:val="00F53CD4"/>
    <w:rsid w:val="00F53D8C"/>
    <w:rsid w:val="00F53E65"/>
    <w:rsid w:val="00F53FED"/>
    <w:rsid w:val="00F54136"/>
    <w:rsid w:val="00F541BC"/>
    <w:rsid w:val="00F545D5"/>
    <w:rsid w:val="00F5477F"/>
    <w:rsid w:val="00F54BBB"/>
    <w:rsid w:val="00F54BD8"/>
    <w:rsid w:val="00F55513"/>
    <w:rsid w:val="00F556DB"/>
    <w:rsid w:val="00F560FD"/>
    <w:rsid w:val="00F5645B"/>
    <w:rsid w:val="00F564E7"/>
    <w:rsid w:val="00F5672A"/>
    <w:rsid w:val="00F568A1"/>
    <w:rsid w:val="00F56946"/>
    <w:rsid w:val="00F56BF1"/>
    <w:rsid w:val="00F56F38"/>
    <w:rsid w:val="00F57296"/>
    <w:rsid w:val="00F5792B"/>
    <w:rsid w:val="00F579B4"/>
    <w:rsid w:val="00F57FCC"/>
    <w:rsid w:val="00F60CD6"/>
    <w:rsid w:val="00F60F21"/>
    <w:rsid w:val="00F61411"/>
    <w:rsid w:val="00F61517"/>
    <w:rsid w:val="00F616C1"/>
    <w:rsid w:val="00F61928"/>
    <w:rsid w:val="00F622A1"/>
    <w:rsid w:val="00F622DF"/>
    <w:rsid w:val="00F62432"/>
    <w:rsid w:val="00F6275A"/>
    <w:rsid w:val="00F6299C"/>
    <w:rsid w:val="00F62CED"/>
    <w:rsid w:val="00F6324B"/>
    <w:rsid w:val="00F63BC6"/>
    <w:rsid w:val="00F63FBB"/>
    <w:rsid w:val="00F64138"/>
    <w:rsid w:val="00F6478D"/>
    <w:rsid w:val="00F64D5E"/>
    <w:rsid w:val="00F64DDC"/>
    <w:rsid w:val="00F6503F"/>
    <w:rsid w:val="00F652C7"/>
    <w:rsid w:val="00F65597"/>
    <w:rsid w:val="00F657AC"/>
    <w:rsid w:val="00F65BAF"/>
    <w:rsid w:val="00F65C9B"/>
    <w:rsid w:val="00F6619E"/>
    <w:rsid w:val="00F665CB"/>
    <w:rsid w:val="00F66979"/>
    <w:rsid w:val="00F66A85"/>
    <w:rsid w:val="00F66B64"/>
    <w:rsid w:val="00F66F21"/>
    <w:rsid w:val="00F67997"/>
    <w:rsid w:val="00F7007F"/>
    <w:rsid w:val="00F70155"/>
    <w:rsid w:val="00F70AB5"/>
    <w:rsid w:val="00F70CCC"/>
    <w:rsid w:val="00F70DE2"/>
    <w:rsid w:val="00F713FC"/>
    <w:rsid w:val="00F71487"/>
    <w:rsid w:val="00F71536"/>
    <w:rsid w:val="00F718C5"/>
    <w:rsid w:val="00F71A60"/>
    <w:rsid w:val="00F71AEF"/>
    <w:rsid w:val="00F71D61"/>
    <w:rsid w:val="00F72021"/>
    <w:rsid w:val="00F72534"/>
    <w:rsid w:val="00F72CF3"/>
    <w:rsid w:val="00F72D2D"/>
    <w:rsid w:val="00F73355"/>
    <w:rsid w:val="00F73669"/>
    <w:rsid w:val="00F737C4"/>
    <w:rsid w:val="00F73E3D"/>
    <w:rsid w:val="00F73EFB"/>
    <w:rsid w:val="00F7404D"/>
    <w:rsid w:val="00F7406C"/>
    <w:rsid w:val="00F740D2"/>
    <w:rsid w:val="00F7425C"/>
    <w:rsid w:val="00F74305"/>
    <w:rsid w:val="00F74577"/>
    <w:rsid w:val="00F75052"/>
    <w:rsid w:val="00F7544E"/>
    <w:rsid w:val="00F7558B"/>
    <w:rsid w:val="00F7571B"/>
    <w:rsid w:val="00F75BD8"/>
    <w:rsid w:val="00F76319"/>
    <w:rsid w:val="00F764DE"/>
    <w:rsid w:val="00F7684E"/>
    <w:rsid w:val="00F77188"/>
    <w:rsid w:val="00F774B1"/>
    <w:rsid w:val="00F779C8"/>
    <w:rsid w:val="00F77A8A"/>
    <w:rsid w:val="00F77F60"/>
    <w:rsid w:val="00F80074"/>
    <w:rsid w:val="00F80D7F"/>
    <w:rsid w:val="00F810DD"/>
    <w:rsid w:val="00F812A3"/>
    <w:rsid w:val="00F813EB"/>
    <w:rsid w:val="00F814C4"/>
    <w:rsid w:val="00F814D8"/>
    <w:rsid w:val="00F8153A"/>
    <w:rsid w:val="00F81556"/>
    <w:rsid w:val="00F8198C"/>
    <w:rsid w:val="00F81DAC"/>
    <w:rsid w:val="00F828C3"/>
    <w:rsid w:val="00F82CCD"/>
    <w:rsid w:val="00F82F8C"/>
    <w:rsid w:val="00F831FA"/>
    <w:rsid w:val="00F83C8D"/>
    <w:rsid w:val="00F83DE0"/>
    <w:rsid w:val="00F84077"/>
    <w:rsid w:val="00F84109"/>
    <w:rsid w:val="00F84576"/>
    <w:rsid w:val="00F8484A"/>
    <w:rsid w:val="00F84FA4"/>
    <w:rsid w:val="00F851BD"/>
    <w:rsid w:val="00F8538A"/>
    <w:rsid w:val="00F855A8"/>
    <w:rsid w:val="00F85D97"/>
    <w:rsid w:val="00F8684A"/>
    <w:rsid w:val="00F868AF"/>
    <w:rsid w:val="00F86C23"/>
    <w:rsid w:val="00F86D82"/>
    <w:rsid w:val="00F86EBE"/>
    <w:rsid w:val="00F87022"/>
    <w:rsid w:val="00F879FB"/>
    <w:rsid w:val="00F87B04"/>
    <w:rsid w:val="00F9009B"/>
    <w:rsid w:val="00F901AB"/>
    <w:rsid w:val="00F90790"/>
    <w:rsid w:val="00F90BA5"/>
    <w:rsid w:val="00F90F19"/>
    <w:rsid w:val="00F919F6"/>
    <w:rsid w:val="00F91B00"/>
    <w:rsid w:val="00F91B82"/>
    <w:rsid w:val="00F91E45"/>
    <w:rsid w:val="00F92490"/>
    <w:rsid w:val="00F9256F"/>
    <w:rsid w:val="00F93C8E"/>
    <w:rsid w:val="00F949E7"/>
    <w:rsid w:val="00F94F23"/>
    <w:rsid w:val="00F95131"/>
    <w:rsid w:val="00F95615"/>
    <w:rsid w:val="00F95753"/>
    <w:rsid w:val="00F95B9D"/>
    <w:rsid w:val="00F95CD8"/>
    <w:rsid w:val="00F961D3"/>
    <w:rsid w:val="00F96559"/>
    <w:rsid w:val="00F967C7"/>
    <w:rsid w:val="00F968C8"/>
    <w:rsid w:val="00F96959"/>
    <w:rsid w:val="00F96DDF"/>
    <w:rsid w:val="00F9702E"/>
    <w:rsid w:val="00F971E0"/>
    <w:rsid w:val="00F9723E"/>
    <w:rsid w:val="00F97D91"/>
    <w:rsid w:val="00F97E23"/>
    <w:rsid w:val="00FA0870"/>
    <w:rsid w:val="00FA0B13"/>
    <w:rsid w:val="00FA0E75"/>
    <w:rsid w:val="00FA1925"/>
    <w:rsid w:val="00FA1C42"/>
    <w:rsid w:val="00FA1CE9"/>
    <w:rsid w:val="00FA21CC"/>
    <w:rsid w:val="00FA2233"/>
    <w:rsid w:val="00FA24CE"/>
    <w:rsid w:val="00FA2A08"/>
    <w:rsid w:val="00FA2B88"/>
    <w:rsid w:val="00FA2C5F"/>
    <w:rsid w:val="00FA2EC7"/>
    <w:rsid w:val="00FA303C"/>
    <w:rsid w:val="00FA3077"/>
    <w:rsid w:val="00FA3445"/>
    <w:rsid w:val="00FA3726"/>
    <w:rsid w:val="00FA391D"/>
    <w:rsid w:val="00FA3FB6"/>
    <w:rsid w:val="00FA4048"/>
    <w:rsid w:val="00FA5011"/>
    <w:rsid w:val="00FA56A2"/>
    <w:rsid w:val="00FA587B"/>
    <w:rsid w:val="00FA5A5D"/>
    <w:rsid w:val="00FA5B5A"/>
    <w:rsid w:val="00FA5F69"/>
    <w:rsid w:val="00FA6456"/>
    <w:rsid w:val="00FA66BD"/>
    <w:rsid w:val="00FA66F1"/>
    <w:rsid w:val="00FA6EC9"/>
    <w:rsid w:val="00FA6EE8"/>
    <w:rsid w:val="00FA6FA5"/>
    <w:rsid w:val="00FA727B"/>
    <w:rsid w:val="00FA7538"/>
    <w:rsid w:val="00FA7682"/>
    <w:rsid w:val="00FA778D"/>
    <w:rsid w:val="00FA7C43"/>
    <w:rsid w:val="00FB001D"/>
    <w:rsid w:val="00FB0145"/>
    <w:rsid w:val="00FB0169"/>
    <w:rsid w:val="00FB040D"/>
    <w:rsid w:val="00FB05AE"/>
    <w:rsid w:val="00FB08F3"/>
    <w:rsid w:val="00FB0D60"/>
    <w:rsid w:val="00FB1263"/>
    <w:rsid w:val="00FB127E"/>
    <w:rsid w:val="00FB18CA"/>
    <w:rsid w:val="00FB1A9B"/>
    <w:rsid w:val="00FB1D17"/>
    <w:rsid w:val="00FB20DC"/>
    <w:rsid w:val="00FB212C"/>
    <w:rsid w:val="00FB23AE"/>
    <w:rsid w:val="00FB31B3"/>
    <w:rsid w:val="00FB3347"/>
    <w:rsid w:val="00FB336A"/>
    <w:rsid w:val="00FB3F3B"/>
    <w:rsid w:val="00FB432F"/>
    <w:rsid w:val="00FB4597"/>
    <w:rsid w:val="00FB48FC"/>
    <w:rsid w:val="00FB4B10"/>
    <w:rsid w:val="00FB4C52"/>
    <w:rsid w:val="00FB4C64"/>
    <w:rsid w:val="00FB4DC5"/>
    <w:rsid w:val="00FB4E50"/>
    <w:rsid w:val="00FB5003"/>
    <w:rsid w:val="00FB520B"/>
    <w:rsid w:val="00FB54E7"/>
    <w:rsid w:val="00FB5841"/>
    <w:rsid w:val="00FB5DB1"/>
    <w:rsid w:val="00FB6359"/>
    <w:rsid w:val="00FB699F"/>
    <w:rsid w:val="00FB6AD8"/>
    <w:rsid w:val="00FB70DB"/>
    <w:rsid w:val="00FB73E5"/>
    <w:rsid w:val="00FB7447"/>
    <w:rsid w:val="00FB75BC"/>
    <w:rsid w:val="00FB78DB"/>
    <w:rsid w:val="00FB7AAF"/>
    <w:rsid w:val="00FB7E21"/>
    <w:rsid w:val="00FB7EDC"/>
    <w:rsid w:val="00FC0599"/>
    <w:rsid w:val="00FC1205"/>
    <w:rsid w:val="00FC1B19"/>
    <w:rsid w:val="00FC1CCA"/>
    <w:rsid w:val="00FC1D7D"/>
    <w:rsid w:val="00FC205A"/>
    <w:rsid w:val="00FC2817"/>
    <w:rsid w:val="00FC31AB"/>
    <w:rsid w:val="00FC33CF"/>
    <w:rsid w:val="00FC3574"/>
    <w:rsid w:val="00FC3ADF"/>
    <w:rsid w:val="00FC3B85"/>
    <w:rsid w:val="00FC3E97"/>
    <w:rsid w:val="00FC3F76"/>
    <w:rsid w:val="00FC3F82"/>
    <w:rsid w:val="00FC3FBF"/>
    <w:rsid w:val="00FC43DB"/>
    <w:rsid w:val="00FC45EB"/>
    <w:rsid w:val="00FC4D3E"/>
    <w:rsid w:val="00FC4DDA"/>
    <w:rsid w:val="00FC534C"/>
    <w:rsid w:val="00FC5B14"/>
    <w:rsid w:val="00FC6016"/>
    <w:rsid w:val="00FC603D"/>
    <w:rsid w:val="00FC62FF"/>
    <w:rsid w:val="00FC649E"/>
    <w:rsid w:val="00FC6A44"/>
    <w:rsid w:val="00FC7178"/>
    <w:rsid w:val="00FC7321"/>
    <w:rsid w:val="00FC7419"/>
    <w:rsid w:val="00FC7AC2"/>
    <w:rsid w:val="00FD0148"/>
    <w:rsid w:val="00FD02E8"/>
    <w:rsid w:val="00FD0598"/>
    <w:rsid w:val="00FD062D"/>
    <w:rsid w:val="00FD0744"/>
    <w:rsid w:val="00FD0A3A"/>
    <w:rsid w:val="00FD0B27"/>
    <w:rsid w:val="00FD0E85"/>
    <w:rsid w:val="00FD1032"/>
    <w:rsid w:val="00FD11D5"/>
    <w:rsid w:val="00FD11E5"/>
    <w:rsid w:val="00FD14B4"/>
    <w:rsid w:val="00FD1E8D"/>
    <w:rsid w:val="00FD249A"/>
    <w:rsid w:val="00FD260D"/>
    <w:rsid w:val="00FD284C"/>
    <w:rsid w:val="00FD28B2"/>
    <w:rsid w:val="00FD29F0"/>
    <w:rsid w:val="00FD2CC7"/>
    <w:rsid w:val="00FD35F2"/>
    <w:rsid w:val="00FD3A95"/>
    <w:rsid w:val="00FD3F28"/>
    <w:rsid w:val="00FD4223"/>
    <w:rsid w:val="00FD44FB"/>
    <w:rsid w:val="00FD478D"/>
    <w:rsid w:val="00FD47A4"/>
    <w:rsid w:val="00FD4F9E"/>
    <w:rsid w:val="00FD5088"/>
    <w:rsid w:val="00FD50B8"/>
    <w:rsid w:val="00FD55B7"/>
    <w:rsid w:val="00FD58C9"/>
    <w:rsid w:val="00FD5B49"/>
    <w:rsid w:val="00FD62B7"/>
    <w:rsid w:val="00FD663A"/>
    <w:rsid w:val="00FD6AD4"/>
    <w:rsid w:val="00FD6D41"/>
    <w:rsid w:val="00FD6E92"/>
    <w:rsid w:val="00FD6F4F"/>
    <w:rsid w:val="00FD7189"/>
    <w:rsid w:val="00FD72EE"/>
    <w:rsid w:val="00FD76C4"/>
    <w:rsid w:val="00FD7B90"/>
    <w:rsid w:val="00FE0457"/>
    <w:rsid w:val="00FE06B7"/>
    <w:rsid w:val="00FE0ABF"/>
    <w:rsid w:val="00FE0C8A"/>
    <w:rsid w:val="00FE0F0B"/>
    <w:rsid w:val="00FE1017"/>
    <w:rsid w:val="00FE17B7"/>
    <w:rsid w:val="00FE17EF"/>
    <w:rsid w:val="00FE1EB0"/>
    <w:rsid w:val="00FE2230"/>
    <w:rsid w:val="00FE22E6"/>
    <w:rsid w:val="00FE29DB"/>
    <w:rsid w:val="00FE2DFE"/>
    <w:rsid w:val="00FE3128"/>
    <w:rsid w:val="00FE3434"/>
    <w:rsid w:val="00FE355D"/>
    <w:rsid w:val="00FE39FD"/>
    <w:rsid w:val="00FE3AB5"/>
    <w:rsid w:val="00FE3B76"/>
    <w:rsid w:val="00FE3C33"/>
    <w:rsid w:val="00FE41D3"/>
    <w:rsid w:val="00FE4422"/>
    <w:rsid w:val="00FE47EE"/>
    <w:rsid w:val="00FE4A07"/>
    <w:rsid w:val="00FE4E0D"/>
    <w:rsid w:val="00FE50AE"/>
    <w:rsid w:val="00FE50CC"/>
    <w:rsid w:val="00FE5564"/>
    <w:rsid w:val="00FE5A0D"/>
    <w:rsid w:val="00FE5B92"/>
    <w:rsid w:val="00FE5D7C"/>
    <w:rsid w:val="00FE5EA8"/>
    <w:rsid w:val="00FE618D"/>
    <w:rsid w:val="00FE6424"/>
    <w:rsid w:val="00FE648A"/>
    <w:rsid w:val="00FE6757"/>
    <w:rsid w:val="00FE67D7"/>
    <w:rsid w:val="00FE67F1"/>
    <w:rsid w:val="00FE6B0A"/>
    <w:rsid w:val="00FE6EA3"/>
    <w:rsid w:val="00FE70E6"/>
    <w:rsid w:val="00FE737F"/>
    <w:rsid w:val="00FE7B49"/>
    <w:rsid w:val="00FE7B80"/>
    <w:rsid w:val="00FE7B9C"/>
    <w:rsid w:val="00FE7EEF"/>
    <w:rsid w:val="00FF068E"/>
    <w:rsid w:val="00FF0BE2"/>
    <w:rsid w:val="00FF0C0B"/>
    <w:rsid w:val="00FF0F68"/>
    <w:rsid w:val="00FF0F98"/>
    <w:rsid w:val="00FF117B"/>
    <w:rsid w:val="00FF131E"/>
    <w:rsid w:val="00FF1985"/>
    <w:rsid w:val="00FF1E67"/>
    <w:rsid w:val="00FF2698"/>
    <w:rsid w:val="00FF27A5"/>
    <w:rsid w:val="00FF27E1"/>
    <w:rsid w:val="00FF27F9"/>
    <w:rsid w:val="00FF2986"/>
    <w:rsid w:val="00FF2A51"/>
    <w:rsid w:val="00FF2BFD"/>
    <w:rsid w:val="00FF2EFB"/>
    <w:rsid w:val="00FF3250"/>
    <w:rsid w:val="00FF3328"/>
    <w:rsid w:val="00FF3426"/>
    <w:rsid w:val="00FF3AA9"/>
    <w:rsid w:val="00FF3F99"/>
    <w:rsid w:val="00FF40ED"/>
    <w:rsid w:val="00FF482A"/>
    <w:rsid w:val="00FF49F4"/>
    <w:rsid w:val="00FF4AAF"/>
    <w:rsid w:val="00FF5489"/>
    <w:rsid w:val="00FF550D"/>
    <w:rsid w:val="00FF573E"/>
    <w:rsid w:val="00FF58D1"/>
    <w:rsid w:val="00FF5922"/>
    <w:rsid w:val="00FF5AD7"/>
    <w:rsid w:val="00FF652A"/>
    <w:rsid w:val="00FF659D"/>
    <w:rsid w:val="00FF66F1"/>
    <w:rsid w:val="00FF6990"/>
    <w:rsid w:val="00FF6ABB"/>
    <w:rsid w:val="00FF6B04"/>
    <w:rsid w:val="00FF6EF8"/>
    <w:rsid w:val="00FF7960"/>
    <w:rsid w:val="00FF7979"/>
    <w:rsid w:val="00FF7AD8"/>
    <w:rsid w:val="00FF7C88"/>
    <w:rsid w:val="00FF7F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4B673CDB"/>
  <w15:docId w15:val="{635C03D3-66A3-43E3-AB7B-72BEA8A5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B64"/>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qFormat/>
    <w:rsid w:val="009130E5"/>
    <w:pPr>
      <w:keepNext/>
      <w:spacing w:before="240" w:after="60" w:line="240" w:lineRule="auto"/>
      <w:jc w:val="left"/>
      <w:outlineLvl w:val="1"/>
    </w:pPr>
    <w:rPr>
      <w:rFonts w:cs="Arial"/>
      <w:b/>
      <w:bCs/>
      <w:i/>
      <w:iCs/>
      <w:sz w:val="28"/>
      <w:szCs w:val="28"/>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4">
    <w:name w:val="heading 4"/>
    <w:basedOn w:val="Normal"/>
    <w:next w:val="Normal"/>
    <w:link w:val="Ttulo4Car"/>
    <w:uiPriority w:val="9"/>
    <w:unhideWhenUsed/>
    <w:qFormat/>
    <w:rsid w:val="0080676E"/>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lang w:val="en-US" w:eastAsia="en-US"/>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uiPriority w:val="99"/>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styleId="Ttulo">
    <w:name w:val="Title"/>
    <w:basedOn w:val="Normal"/>
    <w:link w:val="TtuloCar"/>
    <w:qFormat/>
    <w:rsid w:val="00D210C6"/>
    <w:pPr>
      <w:spacing w:line="240" w:lineRule="auto"/>
      <w:jc w:val="center"/>
    </w:pPr>
    <w:rPr>
      <w:rFonts w:eastAsia="Batang" w:cs="Arial"/>
      <w:b/>
      <w:bCs/>
      <w:sz w:val="22"/>
      <w:lang w:val="es-ES_tradnl"/>
    </w:rPr>
  </w:style>
  <w:style w:type="character" w:customStyle="1" w:styleId="TtuloCar">
    <w:name w:val="Título Car"/>
    <w:link w:val="Ttul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customStyle="1" w:styleId="centrado">
    <w:name w:val="centrado"/>
    <w:basedOn w:val="Normal"/>
    <w:uiPriority w:val="99"/>
    <w:rsid w:val="0083126C"/>
    <w:pPr>
      <w:spacing w:before="100" w:beforeAutospacing="1" w:after="100" w:afterAutospacing="1" w:line="240" w:lineRule="auto"/>
      <w:jc w:val="left"/>
    </w:pPr>
    <w:rPr>
      <w:rFonts w:ascii="Times New Roman" w:hAnsi="Times New Roman"/>
    </w:rPr>
  </w:style>
  <w:style w:type="character" w:customStyle="1" w:styleId="baj">
    <w:name w:val="b_aj"/>
    <w:basedOn w:val="Fuentedeprrafopredeter"/>
    <w:rsid w:val="0083126C"/>
  </w:style>
  <w:style w:type="paragraph" w:customStyle="1" w:styleId="indentfl1punto5">
    <w:name w:val="indent_fl_1punto5"/>
    <w:basedOn w:val="Normal"/>
    <w:rsid w:val="007D5184"/>
    <w:pPr>
      <w:spacing w:before="100" w:beforeAutospacing="1" w:after="100" w:afterAutospacing="1" w:line="240" w:lineRule="auto"/>
      <w:jc w:val="left"/>
    </w:pPr>
    <w:rPr>
      <w:rFonts w:ascii="Times New Roman" w:hAnsi="Times New Roman"/>
    </w:rPr>
  </w:style>
  <w:style w:type="paragraph" w:customStyle="1" w:styleId="margenizq2punto0margender1punto0">
    <w:name w:val="margen_izq_2punto0_margen_der_1punto0"/>
    <w:basedOn w:val="Normal"/>
    <w:rsid w:val="007D5184"/>
    <w:pPr>
      <w:spacing w:before="100" w:beforeAutospacing="1" w:after="100" w:afterAutospacing="1" w:line="240" w:lineRule="auto"/>
      <w:jc w:val="left"/>
    </w:pPr>
    <w:rPr>
      <w:rFonts w:ascii="Times New Roman" w:hAnsi="Times New Roman"/>
    </w:rPr>
  </w:style>
  <w:style w:type="character" w:customStyle="1" w:styleId="iaj">
    <w:name w:val="i_aj"/>
    <w:basedOn w:val="Fuentedeprrafopredeter"/>
    <w:rsid w:val="007D5184"/>
  </w:style>
  <w:style w:type="character" w:styleId="nfasis">
    <w:name w:val="Emphasis"/>
    <w:uiPriority w:val="20"/>
    <w:qFormat/>
    <w:rsid w:val="009A709A"/>
    <w:rPr>
      <w:i/>
      <w:iCs/>
    </w:rPr>
  </w:style>
  <w:style w:type="paragraph" w:customStyle="1" w:styleId="western">
    <w:name w:val="western"/>
    <w:basedOn w:val="Normal"/>
    <w:rsid w:val="004560D1"/>
    <w:pPr>
      <w:spacing w:before="100" w:beforeAutospacing="1" w:after="100" w:afterAutospacing="1" w:line="240" w:lineRule="auto"/>
      <w:jc w:val="left"/>
    </w:pPr>
    <w:rPr>
      <w:rFonts w:ascii="Times New Roman" w:hAnsi="Times New Roman"/>
    </w:rPr>
  </w:style>
  <w:style w:type="paragraph" w:customStyle="1" w:styleId="Textosinformato1">
    <w:name w:val="Texto sin formato1"/>
    <w:basedOn w:val="Normal"/>
    <w:rsid w:val="00C6282E"/>
    <w:pPr>
      <w:spacing w:line="240" w:lineRule="auto"/>
      <w:jc w:val="left"/>
    </w:pPr>
    <w:rPr>
      <w:rFonts w:ascii="Courier New" w:hAnsi="Courier New"/>
      <w:sz w:val="20"/>
      <w:szCs w:val="20"/>
    </w:rPr>
  </w:style>
  <w:style w:type="paragraph" w:styleId="Listaconvietas">
    <w:name w:val="List Bullet"/>
    <w:basedOn w:val="Normal"/>
    <w:uiPriority w:val="99"/>
    <w:unhideWhenUsed/>
    <w:rsid w:val="00730CA3"/>
    <w:pPr>
      <w:numPr>
        <w:numId w:val="11"/>
      </w:numPr>
      <w:contextualSpacing/>
    </w:pPr>
  </w:style>
  <w:style w:type="paragraph" w:customStyle="1" w:styleId="Citas">
    <w:name w:val="Citas"/>
    <w:basedOn w:val="Normal"/>
    <w:qFormat/>
    <w:rsid w:val="007C40F8"/>
    <w:pPr>
      <w:overflowPunct w:val="0"/>
      <w:autoSpaceDE w:val="0"/>
      <w:autoSpaceDN w:val="0"/>
      <w:adjustRightInd w:val="0"/>
      <w:spacing w:line="240" w:lineRule="auto"/>
      <w:textAlignment w:val="baseline"/>
    </w:pPr>
    <w:rPr>
      <w:sz w:val="20"/>
      <w:szCs w:val="20"/>
      <w:lang w:val="es-ES_tradnl"/>
    </w:rPr>
  </w:style>
  <w:style w:type="character" w:customStyle="1" w:styleId="Ttulo4Car">
    <w:name w:val="Título 4 Car"/>
    <w:link w:val="Ttulo4"/>
    <w:uiPriority w:val="9"/>
    <w:rsid w:val="0080676E"/>
    <w:rPr>
      <w:rFonts w:ascii="Cambria" w:eastAsia="Times New Roman" w:hAnsi="Cambria" w:cs="Times New Roman"/>
      <w:b/>
      <w:bCs/>
      <w:i/>
      <w:iCs/>
      <w:color w:val="4F81BD"/>
      <w:sz w:val="24"/>
      <w:szCs w:val="24"/>
    </w:rPr>
  </w:style>
  <w:style w:type="paragraph" w:customStyle="1" w:styleId="Sangra3detindependiente2">
    <w:name w:val="Sangría 3 de t. independiente2"/>
    <w:basedOn w:val="Normal"/>
    <w:rsid w:val="00ED447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jc w:val="left"/>
      <w:textAlignment w:val="baseline"/>
    </w:pPr>
    <w:rPr>
      <w:szCs w:val="20"/>
      <w:lang w:val="es-ES_tradnl"/>
    </w:rPr>
  </w:style>
  <w:style w:type="character" w:customStyle="1" w:styleId="Ttulo2Car">
    <w:name w:val="Título 2 Car"/>
    <w:link w:val="Ttulo2"/>
    <w:rsid w:val="009130E5"/>
    <w:rPr>
      <w:rFonts w:ascii="Arial" w:hAnsi="Arial" w:cs="Arial"/>
      <w:b/>
      <w:bCs/>
      <w:i/>
      <w:iCs/>
      <w:sz w:val="28"/>
      <w:szCs w:val="28"/>
    </w:rPr>
  </w:style>
  <w:style w:type="paragraph" w:customStyle="1" w:styleId="Textodecuerpo21">
    <w:name w:val="Texto de cuerpo 21"/>
    <w:basedOn w:val="Normal"/>
    <w:rsid w:val="003F5E91"/>
    <w:pPr>
      <w:overflowPunct w:val="0"/>
      <w:autoSpaceDE w:val="0"/>
      <w:autoSpaceDN w:val="0"/>
      <w:adjustRightInd w:val="0"/>
      <w:textAlignment w:val="baseline"/>
    </w:pPr>
    <w:rPr>
      <w:rFonts w:cs="Arial"/>
      <w:color w:val="008000"/>
      <w:szCs w:val="20"/>
    </w:rPr>
  </w:style>
  <w:style w:type="paragraph" w:customStyle="1" w:styleId="Acuerda-Considerando">
    <w:name w:val="Acuerda-Considerando"/>
    <w:rsid w:val="003F5E91"/>
    <w:pPr>
      <w:jc w:val="center"/>
    </w:pPr>
    <w:rPr>
      <w:rFonts w:ascii="Arial" w:eastAsia="MS Mincho" w:hAnsi="Arial" w:cs="Times New Roman"/>
      <w:b/>
      <w:lang w:val="es-ES" w:eastAsia="es-ES"/>
    </w:rPr>
  </w:style>
  <w:style w:type="character" w:styleId="Refdecomentario">
    <w:name w:val="annotation reference"/>
    <w:uiPriority w:val="99"/>
    <w:semiHidden/>
    <w:unhideWhenUsed/>
    <w:rsid w:val="00A558F0"/>
    <w:rPr>
      <w:sz w:val="16"/>
      <w:szCs w:val="16"/>
    </w:rPr>
  </w:style>
  <w:style w:type="paragraph" w:styleId="Lista2">
    <w:name w:val="List 2"/>
    <w:basedOn w:val="Normal"/>
    <w:uiPriority w:val="99"/>
    <w:unhideWhenUsed/>
    <w:rsid w:val="00272AFB"/>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351">
      <w:bodyDiv w:val="1"/>
      <w:marLeft w:val="0"/>
      <w:marRight w:val="0"/>
      <w:marTop w:val="0"/>
      <w:marBottom w:val="0"/>
      <w:divBdr>
        <w:top w:val="none" w:sz="0" w:space="0" w:color="auto"/>
        <w:left w:val="none" w:sz="0" w:space="0" w:color="auto"/>
        <w:bottom w:val="none" w:sz="0" w:space="0" w:color="auto"/>
        <w:right w:val="none" w:sz="0" w:space="0" w:color="auto"/>
      </w:divBdr>
    </w:div>
    <w:div w:id="42100820">
      <w:bodyDiv w:val="1"/>
      <w:marLeft w:val="0"/>
      <w:marRight w:val="0"/>
      <w:marTop w:val="0"/>
      <w:marBottom w:val="0"/>
      <w:divBdr>
        <w:top w:val="none" w:sz="0" w:space="0" w:color="auto"/>
        <w:left w:val="none" w:sz="0" w:space="0" w:color="auto"/>
        <w:bottom w:val="none" w:sz="0" w:space="0" w:color="auto"/>
        <w:right w:val="none" w:sz="0" w:space="0" w:color="auto"/>
      </w:divBdr>
    </w:div>
    <w:div w:id="195580790">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4435111">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12241403">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487940058">
      <w:bodyDiv w:val="1"/>
      <w:marLeft w:val="0"/>
      <w:marRight w:val="0"/>
      <w:marTop w:val="0"/>
      <w:marBottom w:val="0"/>
      <w:divBdr>
        <w:top w:val="none" w:sz="0" w:space="0" w:color="auto"/>
        <w:left w:val="none" w:sz="0" w:space="0" w:color="auto"/>
        <w:bottom w:val="none" w:sz="0" w:space="0" w:color="auto"/>
        <w:right w:val="none" w:sz="0" w:space="0" w:color="auto"/>
      </w:divBdr>
    </w:div>
    <w:div w:id="521556374">
      <w:bodyDiv w:val="1"/>
      <w:marLeft w:val="0"/>
      <w:marRight w:val="0"/>
      <w:marTop w:val="0"/>
      <w:marBottom w:val="0"/>
      <w:divBdr>
        <w:top w:val="none" w:sz="0" w:space="0" w:color="auto"/>
        <w:left w:val="none" w:sz="0" w:space="0" w:color="auto"/>
        <w:bottom w:val="none" w:sz="0" w:space="0" w:color="auto"/>
        <w:right w:val="none" w:sz="0" w:space="0" w:color="auto"/>
      </w:divBdr>
    </w:div>
    <w:div w:id="526724579">
      <w:bodyDiv w:val="1"/>
      <w:marLeft w:val="0"/>
      <w:marRight w:val="0"/>
      <w:marTop w:val="0"/>
      <w:marBottom w:val="0"/>
      <w:divBdr>
        <w:top w:val="none" w:sz="0" w:space="0" w:color="auto"/>
        <w:left w:val="none" w:sz="0" w:space="0" w:color="auto"/>
        <w:bottom w:val="none" w:sz="0" w:space="0" w:color="auto"/>
        <w:right w:val="none" w:sz="0" w:space="0" w:color="auto"/>
      </w:divBdr>
    </w:div>
    <w:div w:id="535503165">
      <w:bodyDiv w:val="1"/>
      <w:marLeft w:val="0"/>
      <w:marRight w:val="0"/>
      <w:marTop w:val="0"/>
      <w:marBottom w:val="0"/>
      <w:divBdr>
        <w:top w:val="none" w:sz="0" w:space="0" w:color="auto"/>
        <w:left w:val="none" w:sz="0" w:space="0" w:color="auto"/>
        <w:bottom w:val="none" w:sz="0" w:space="0" w:color="auto"/>
        <w:right w:val="none" w:sz="0" w:space="0" w:color="auto"/>
      </w:divBdr>
    </w:div>
    <w:div w:id="538737476">
      <w:bodyDiv w:val="1"/>
      <w:marLeft w:val="0"/>
      <w:marRight w:val="0"/>
      <w:marTop w:val="0"/>
      <w:marBottom w:val="0"/>
      <w:divBdr>
        <w:top w:val="none" w:sz="0" w:space="0" w:color="auto"/>
        <w:left w:val="none" w:sz="0" w:space="0" w:color="auto"/>
        <w:bottom w:val="none" w:sz="0" w:space="0" w:color="auto"/>
        <w:right w:val="none" w:sz="0" w:space="0" w:color="auto"/>
      </w:divBdr>
    </w:div>
    <w:div w:id="540166829">
      <w:bodyDiv w:val="1"/>
      <w:marLeft w:val="0"/>
      <w:marRight w:val="0"/>
      <w:marTop w:val="0"/>
      <w:marBottom w:val="0"/>
      <w:divBdr>
        <w:top w:val="none" w:sz="0" w:space="0" w:color="auto"/>
        <w:left w:val="none" w:sz="0" w:space="0" w:color="auto"/>
        <w:bottom w:val="none" w:sz="0" w:space="0" w:color="auto"/>
        <w:right w:val="none" w:sz="0" w:space="0" w:color="auto"/>
      </w:divBdr>
    </w:div>
    <w:div w:id="629434434">
      <w:bodyDiv w:val="1"/>
      <w:marLeft w:val="0"/>
      <w:marRight w:val="0"/>
      <w:marTop w:val="0"/>
      <w:marBottom w:val="0"/>
      <w:divBdr>
        <w:top w:val="none" w:sz="0" w:space="0" w:color="auto"/>
        <w:left w:val="none" w:sz="0" w:space="0" w:color="auto"/>
        <w:bottom w:val="none" w:sz="0" w:space="0" w:color="auto"/>
        <w:right w:val="none" w:sz="0" w:space="0" w:color="auto"/>
      </w:divBdr>
    </w:div>
    <w:div w:id="720858930">
      <w:bodyDiv w:val="1"/>
      <w:marLeft w:val="0"/>
      <w:marRight w:val="0"/>
      <w:marTop w:val="0"/>
      <w:marBottom w:val="0"/>
      <w:divBdr>
        <w:top w:val="none" w:sz="0" w:space="0" w:color="auto"/>
        <w:left w:val="none" w:sz="0" w:space="0" w:color="auto"/>
        <w:bottom w:val="none" w:sz="0" w:space="0" w:color="auto"/>
        <w:right w:val="none" w:sz="0" w:space="0" w:color="auto"/>
      </w:divBdr>
    </w:div>
    <w:div w:id="733351500">
      <w:bodyDiv w:val="1"/>
      <w:marLeft w:val="0"/>
      <w:marRight w:val="0"/>
      <w:marTop w:val="0"/>
      <w:marBottom w:val="0"/>
      <w:divBdr>
        <w:top w:val="none" w:sz="0" w:space="0" w:color="auto"/>
        <w:left w:val="none" w:sz="0" w:space="0" w:color="auto"/>
        <w:bottom w:val="none" w:sz="0" w:space="0" w:color="auto"/>
        <w:right w:val="none" w:sz="0" w:space="0" w:color="auto"/>
      </w:divBdr>
    </w:div>
    <w:div w:id="746539736">
      <w:bodyDiv w:val="1"/>
      <w:marLeft w:val="0"/>
      <w:marRight w:val="0"/>
      <w:marTop w:val="0"/>
      <w:marBottom w:val="0"/>
      <w:divBdr>
        <w:top w:val="none" w:sz="0" w:space="0" w:color="auto"/>
        <w:left w:val="none" w:sz="0" w:space="0" w:color="auto"/>
        <w:bottom w:val="none" w:sz="0" w:space="0" w:color="auto"/>
        <w:right w:val="none" w:sz="0" w:space="0" w:color="auto"/>
      </w:divBdr>
    </w:div>
    <w:div w:id="77798615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07960586">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032599">
      <w:bodyDiv w:val="1"/>
      <w:marLeft w:val="0"/>
      <w:marRight w:val="0"/>
      <w:marTop w:val="0"/>
      <w:marBottom w:val="0"/>
      <w:divBdr>
        <w:top w:val="none" w:sz="0" w:space="0" w:color="auto"/>
        <w:left w:val="none" w:sz="0" w:space="0" w:color="auto"/>
        <w:bottom w:val="none" w:sz="0" w:space="0" w:color="auto"/>
        <w:right w:val="none" w:sz="0" w:space="0" w:color="auto"/>
      </w:divBdr>
    </w:div>
    <w:div w:id="1030496601">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46832685">
      <w:bodyDiv w:val="1"/>
      <w:marLeft w:val="0"/>
      <w:marRight w:val="0"/>
      <w:marTop w:val="0"/>
      <w:marBottom w:val="0"/>
      <w:divBdr>
        <w:top w:val="none" w:sz="0" w:space="0" w:color="auto"/>
        <w:left w:val="none" w:sz="0" w:space="0" w:color="auto"/>
        <w:bottom w:val="none" w:sz="0" w:space="0" w:color="auto"/>
        <w:right w:val="none" w:sz="0" w:space="0" w:color="auto"/>
      </w:divBdr>
      <w:divsChild>
        <w:div w:id="615672604">
          <w:marLeft w:val="0"/>
          <w:marRight w:val="0"/>
          <w:marTop w:val="0"/>
          <w:marBottom w:val="0"/>
          <w:divBdr>
            <w:top w:val="none" w:sz="0" w:space="0" w:color="auto"/>
            <w:left w:val="none" w:sz="0" w:space="0" w:color="auto"/>
            <w:bottom w:val="none" w:sz="0" w:space="0" w:color="auto"/>
            <w:right w:val="none" w:sz="0" w:space="0" w:color="auto"/>
          </w:divBdr>
        </w:div>
        <w:div w:id="954826548">
          <w:marLeft w:val="0"/>
          <w:marRight w:val="0"/>
          <w:marTop w:val="0"/>
          <w:marBottom w:val="0"/>
          <w:divBdr>
            <w:top w:val="none" w:sz="0" w:space="0" w:color="auto"/>
            <w:left w:val="none" w:sz="0" w:space="0" w:color="auto"/>
            <w:bottom w:val="none" w:sz="0" w:space="0" w:color="auto"/>
            <w:right w:val="none" w:sz="0" w:space="0" w:color="auto"/>
          </w:divBdr>
        </w:div>
      </w:divsChild>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077703477">
      <w:bodyDiv w:val="1"/>
      <w:marLeft w:val="0"/>
      <w:marRight w:val="0"/>
      <w:marTop w:val="0"/>
      <w:marBottom w:val="0"/>
      <w:divBdr>
        <w:top w:val="none" w:sz="0" w:space="0" w:color="auto"/>
        <w:left w:val="none" w:sz="0" w:space="0" w:color="auto"/>
        <w:bottom w:val="none" w:sz="0" w:space="0" w:color="auto"/>
        <w:right w:val="none" w:sz="0" w:space="0" w:color="auto"/>
      </w:divBdr>
    </w:div>
    <w:div w:id="1085414218">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41073985">
      <w:bodyDiv w:val="1"/>
      <w:marLeft w:val="0"/>
      <w:marRight w:val="0"/>
      <w:marTop w:val="0"/>
      <w:marBottom w:val="0"/>
      <w:divBdr>
        <w:top w:val="none" w:sz="0" w:space="0" w:color="auto"/>
        <w:left w:val="none" w:sz="0" w:space="0" w:color="auto"/>
        <w:bottom w:val="none" w:sz="0" w:space="0" w:color="auto"/>
        <w:right w:val="none" w:sz="0" w:space="0" w:color="auto"/>
      </w:divBdr>
    </w:div>
    <w:div w:id="1234437615">
      <w:bodyDiv w:val="1"/>
      <w:marLeft w:val="0"/>
      <w:marRight w:val="0"/>
      <w:marTop w:val="0"/>
      <w:marBottom w:val="0"/>
      <w:divBdr>
        <w:top w:val="none" w:sz="0" w:space="0" w:color="auto"/>
        <w:left w:val="none" w:sz="0" w:space="0" w:color="auto"/>
        <w:bottom w:val="none" w:sz="0" w:space="0" w:color="auto"/>
        <w:right w:val="none" w:sz="0" w:space="0" w:color="auto"/>
      </w:divBdr>
    </w:div>
    <w:div w:id="1253246153">
      <w:bodyDiv w:val="1"/>
      <w:marLeft w:val="0"/>
      <w:marRight w:val="0"/>
      <w:marTop w:val="0"/>
      <w:marBottom w:val="0"/>
      <w:divBdr>
        <w:top w:val="none" w:sz="0" w:space="0" w:color="auto"/>
        <w:left w:val="none" w:sz="0" w:space="0" w:color="auto"/>
        <w:bottom w:val="none" w:sz="0" w:space="0" w:color="auto"/>
        <w:right w:val="none" w:sz="0" w:space="0" w:color="auto"/>
      </w:divBdr>
    </w:div>
    <w:div w:id="1263951904">
      <w:bodyDiv w:val="1"/>
      <w:marLeft w:val="0"/>
      <w:marRight w:val="0"/>
      <w:marTop w:val="0"/>
      <w:marBottom w:val="0"/>
      <w:divBdr>
        <w:top w:val="none" w:sz="0" w:space="0" w:color="auto"/>
        <w:left w:val="none" w:sz="0" w:space="0" w:color="auto"/>
        <w:bottom w:val="none" w:sz="0" w:space="0" w:color="auto"/>
        <w:right w:val="none" w:sz="0" w:space="0" w:color="auto"/>
      </w:divBdr>
    </w:div>
    <w:div w:id="1268198925">
      <w:bodyDiv w:val="1"/>
      <w:marLeft w:val="0"/>
      <w:marRight w:val="0"/>
      <w:marTop w:val="0"/>
      <w:marBottom w:val="0"/>
      <w:divBdr>
        <w:top w:val="none" w:sz="0" w:space="0" w:color="auto"/>
        <w:left w:val="none" w:sz="0" w:space="0" w:color="auto"/>
        <w:bottom w:val="none" w:sz="0" w:space="0" w:color="auto"/>
        <w:right w:val="none" w:sz="0" w:space="0" w:color="auto"/>
      </w:divBdr>
    </w:div>
    <w:div w:id="1282031595">
      <w:bodyDiv w:val="1"/>
      <w:marLeft w:val="0"/>
      <w:marRight w:val="0"/>
      <w:marTop w:val="0"/>
      <w:marBottom w:val="0"/>
      <w:divBdr>
        <w:top w:val="none" w:sz="0" w:space="0" w:color="auto"/>
        <w:left w:val="none" w:sz="0" w:space="0" w:color="auto"/>
        <w:bottom w:val="none" w:sz="0" w:space="0" w:color="auto"/>
        <w:right w:val="none" w:sz="0" w:space="0" w:color="auto"/>
      </w:divBdr>
    </w:div>
    <w:div w:id="1360738884">
      <w:bodyDiv w:val="1"/>
      <w:marLeft w:val="0"/>
      <w:marRight w:val="0"/>
      <w:marTop w:val="0"/>
      <w:marBottom w:val="0"/>
      <w:divBdr>
        <w:top w:val="none" w:sz="0" w:space="0" w:color="auto"/>
        <w:left w:val="none" w:sz="0" w:space="0" w:color="auto"/>
        <w:bottom w:val="none" w:sz="0" w:space="0" w:color="auto"/>
        <w:right w:val="none" w:sz="0" w:space="0" w:color="auto"/>
      </w:divBdr>
    </w:div>
    <w:div w:id="1361393135">
      <w:bodyDiv w:val="1"/>
      <w:marLeft w:val="0"/>
      <w:marRight w:val="0"/>
      <w:marTop w:val="0"/>
      <w:marBottom w:val="0"/>
      <w:divBdr>
        <w:top w:val="none" w:sz="0" w:space="0" w:color="auto"/>
        <w:left w:val="none" w:sz="0" w:space="0" w:color="auto"/>
        <w:bottom w:val="none" w:sz="0" w:space="0" w:color="auto"/>
        <w:right w:val="none" w:sz="0" w:space="0" w:color="auto"/>
      </w:divBdr>
    </w:div>
    <w:div w:id="1380319258">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0734310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4522947">
      <w:bodyDiv w:val="1"/>
      <w:marLeft w:val="0"/>
      <w:marRight w:val="0"/>
      <w:marTop w:val="0"/>
      <w:marBottom w:val="0"/>
      <w:divBdr>
        <w:top w:val="none" w:sz="0" w:space="0" w:color="auto"/>
        <w:left w:val="none" w:sz="0" w:space="0" w:color="auto"/>
        <w:bottom w:val="none" w:sz="0" w:space="0" w:color="auto"/>
        <w:right w:val="none" w:sz="0" w:space="0" w:color="auto"/>
      </w:divBdr>
    </w:div>
    <w:div w:id="1432162613">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10681961">
      <w:bodyDiv w:val="1"/>
      <w:marLeft w:val="0"/>
      <w:marRight w:val="0"/>
      <w:marTop w:val="0"/>
      <w:marBottom w:val="0"/>
      <w:divBdr>
        <w:top w:val="none" w:sz="0" w:space="0" w:color="auto"/>
        <w:left w:val="none" w:sz="0" w:space="0" w:color="auto"/>
        <w:bottom w:val="none" w:sz="0" w:space="0" w:color="auto"/>
        <w:right w:val="none" w:sz="0" w:space="0" w:color="auto"/>
      </w:divBdr>
    </w:div>
    <w:div w:id="1511407061">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9789278">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33968810">
      <w:bodyDiv w:val="1"/>
      <w:marLeft w:val="0"/>
      <w:marRight w:val="0"/>
      <w:marTop w:val="0"/>
      <w:marBottom w:val="0"/>
      <w:divBdr>
        <w:top w:val="none" w:sz="0" w:space="0" w:color="auto"/>
        <w:left w:val="none" w:sz="0" w:space="0" w:color="auto"/>
        <w:bottom w:val="none" w:sz="0" w:space="0" w:color="auto"/>
        <w:right w:val="none" w:sz="0" w:space="0" w:color="auto"/>
      </w:divBdr>
    </w:div>
    <w:div w:id="1745182286">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62627866">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36591861">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79408212">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1997104986">
      <w:bodyDiv w:val="1"/>
      <w:marLeft w:val="0"/>
      <w:marRight w:val="0"/>
      <w:marTop w:val="0"/>
      <w:marBottom w:val="0"/>
      <w:divBdr>
        <w:top w:val="none" w:sz="0" w:space="0" w:color="auto"/>
        <w:left w:val="none" w:sz="0" w:space="0" w:color="auto"/>
        <w:bottom w:val="none" w:sz="0" w:space="0" w:color="auto"/>
        <w:right w:val="none" w:sz="0" w:space="0" w:color="auto"/>
      </w:divBdr>
    </w:div>
    <w:div w:id="2001423098">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54840184">
      <w:bodyDiv w:val="1"/>
      <w:marLeft w:val="0"/>
      <w:marRight w:val="0"/>
      <w:marTop w:val="0"/>
      <w:marBottom w:val="0"/>
      <w:divBdr>
        <w:top w:val="none" w:sz="0" w:space="0" w:color="auto"/>
        <w:left w:val="none" w:sz="0" w:space="0" w:color="auto"/>
        <w:bottom w:val="none" w:sz="0" w:space="0" w:color="auto"/>
        <w:right w:val="none" w:sz="0" w:space="0" w:color="auto"/>
      </w:divBdr>
    </w:div>
    <w:div w:id="2081900471">
      <w:bodyDiv w:val="1"/>
      <w:marLeft w:val="0"/>
      <w:marRight w:val="0"/>
      <w:marTop w:val="0"/>
      <w:marBottom w:val="0"/>
      <w:divBdr>
        <w:top w:val="none" w:sz="0" w:space="0" w:color="auto"/>
        <w:left w:val="none" w:sz="0" w:space="0" w:color="auto"/>
        <w:bottom w:val="none" w:sz="0" w:space="0" w:color="auto"/>
        <w:right w:val="none" w:sz="0" w:space="0" w:color="auto"/>
      </w:divBdr>
    </w:div>
    <w:div w:id="2092964444">
      <w:bodyDiv w:val="1"/>
      <w:marLeft w:val="0"/>
      <w:marRight w:val="0"/>
      <w:marTop w:val="0"/>
      <w:marBottom w:val="0"/>
      <w:divBdr>
        <w:top w:val="none" w:sz="0" w:space="0" w:color="auto"/>
        <w:left w:val="none" w:sz="0" w:space="0" w:color="auto"/>
        <w:bottom w:val="none" w:sz="0" w:space="0" w:color="auto"/>
        <w:right w:val="none" w:sz="0" w:space="0" w:color="auto"/>
      </w:divBdr>
    </w:div>
    <w:div w:id="2105883188">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2A268-6555-4B3E-9719-EF271901727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68A1D6A6-BA39-446B-8BA6-7044E7E6E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CC397-AC4F-421A-8B28-169925A960B6}">
  <ds:schemaRefs>
    <ds:schemaRef ds:uri="http://schemas.microsoft.com/sharepoint/v3/contenttype/forms"/>
  </ds:schemaRefs>
</ds:datastoreItem>
</file>

<file path=customXml/itemProps4.xml><?xml version="1.0" encoding="utf-8"?>
<ds:datastoreItem xmlns:ds="http://schemas.openxmlformats.org/officeDocument/2006/customXml" ds:itemID="{B603A918-8EFE-4601-8F4B-EA1948E4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11629</Words>
  <Characters>61545</Characters>
  <Application>Microsoft Office Word</Application>
  <DocSecurity>0</DocSecurity>
  <Lines>512</Lines>
  <Paragraphs>146</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73028</CharactersWithSpaces>
  <SharedDoc>false</SharedDoc>
  <HLinks>
    <vt:vector size="12" baseType="variant">
      <vt:variant>
        <vt:i4>8192004</vt:i4>
      </vt:variant>
      <vt:variant>
        <vt:i4>0</vt:i4>
      </vt:variant>
      <vt:variant>
        <vt:i4>0</vt:i4>
      </vt:variant>
      <vt:variant>
        <vt:i4>5</vt:i4>
      </vt:variant>
      <vt:variant>
        <vt:lpwstr>http://www.corteconstitucional.gov.co/RELATORIA/2015/C-499-15.htm</vt:lpwstr>
      </vt:variant>
      <vt:variant>
        <vt:lpwstr>_ftn51</vt:lpwstr>
      </vt:variant>
      <vt:variant>
        <vt:i4>6815801</vt:i4>
      </vt:variant>
      <vt:variant>
        <vt:i4>0</vt:i4>
      </vt:variant>
      <vt:variant>
        <vt:i4>0</vt:i4>
      </vt:variant>
      <vt:variant>
        <vt:i4>5</vt:i4>
      </vt:variant>
      <vt:variant>
        <vt:lpwstr>http://www.alcaldiabogota.gov.co/sisjur/normas/Norma1.jsp?i=43292</vt:lpwstr>
      </vt:variant>
      <vt:variant>
        <vt:lpwstr>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 Juliana Saavedra Arguello</cp:lastModifiedBy>
  <cp:revision>2</cp:revision>
  <cp:lastPrinted>2017-11-29T16:30:00Z</cp:lastPrinted>
  <dcterms:created xsi:type="dcterms:W3CDTF">2020-06-11T20:11:00Z</dcterms:created>
  <dcterms:modified xsi:type="dcterms:W3CDTF">2020-06-11T20:11:00Z</dcterms:modified>
</cp:coreProperties>
</file>