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EB2" w:rsidRPr="006C16E8" w:rsidRDefault="008651D6" w:rsidP="00DB2EB2">
      <w:pPr>
        <w:pStyle w:val="Ttulo"/>
        <w:jc w:val="both"/>
        <w:rPr>
          <w:b w:val="0"/>
          <w:szCs w:val="22"/>
          <w:lang w:val="es-ES"/>
        </w:rPr>
      </w:pPr>
      <w:r>
        <w:rPr>
          <w:szCs w:val="22"/>
          <w:lang w:val="es-ES"/>
        </w:rPr>
        <w:t>CONTROVERSIAS CONTRACTUALES</w:t>
      </w:r>
      <w:r w:rsidR="00BF02A2" w:rsidRPr="006C16E8">
        <w:rPr>
          <w:szCs w:val="22"/>
          <w:lang w:val="es-ES"/>
        </w:rPr>
        <w:t xml:space="preserve"> </w:t>
      </w:r>
      <w:r w:rsidR="00DB2EB2" w:rsidRPr="006C16E8">
        <w:rPr>
          <w:szCs w:val="22"/>
          <w:lang w:val="es-ES"/>
        </w:rPr>
        <w:t xml:space="preserve">- </w:t>
      </w:r>
      <w:r w:rsidR="00BF02A2" w:rsidRPr="006C16E8">
        <w:rPr>
          <w:szCs w:val="22"/>
          <w:lang w:val="es-ES"/>
        </w:rPr>
        <w:t>C</w:t>
      </w:r>
      <w:r w:rsidR="00DB2EB2" w:rsidRPr="006C16E8">
        <w:rPr>
          <w:szCs w:val="22"/>
          <w:lang w:val="es-ES"/>
        </w:rPr>
        <w:t>aducid</w:t>
      </w:r>
      <w:r w:rsidR="00DB2EB2" w:rsidRPr="00FF65DD">
        <w:rPr>
          <w:szCs w:val="22"/>
          <w:lang w:val="es-ES"/>
        </w:rPr>
        <w:t xml:space="preserve">ad </w:t>
      </w:r>
      <w:r w:rsidR="00FF65DD" w:rsidRPr="00FF65DD">
        <w:rPr>
          <w:szCs w:val="22"/>
          <w:lang w:val="es-ES"/>
        </w:rPr>
        <w:t>de la acción</w:t>
      </w:r>
    </w:p>
    <w:p w:rsidR="00DB2EB2" w:rsidRPr="006C16E8" w:rsidRDefault="00DB2EB2" w:rsidP="00DB2EB2">
      <w:pPr>
        <w:pStyle w:val="Ttulo"/>
        <w:jc w:val="both"/>
        <w:rPr>
          <w:b w:val="0"/>
          <w:szCs w:val="22"/>
          <w:lang w:val="es-ES"/>
        </w:rPr>
      </w:pPr>
    </w:p>
    <w:p w:rsidR="00DB2EB2" w:rsidRPr="006C16E8" w:rsidRDefault="00DB2EB2" w:rsidP="006C16E8">
      <w:pPr>
        <w:pStyle w:val="Ttulo"/>
        <w:jc w:val="both"/>
        <w:rPr>
          <w:b w:val="0"/>
          <w:szCs w:val="22"/>
        </w:rPr>
      </w:pPr>
      <w:r w:rsidRPr="006C16E8">
        <w:rPr>
          <w:b w:val="0"/>
          <w:szCs w:val="22"/>
          <w:lang w:val="es-CO"/>
        </w:rPr>
        <w:t xml:space="preserve">Las pretensiones de la demanda se refieren al incumplimiento de un contrato de promesa de compraventa que ocurrió el 5 de noviembre 2010, fecha en que venció el plazo para otorgar la escritura pública de la venta prometida. En los términos del artículo 136 del Código Contencioso Administrativo, en cuanto a la caducidad de la acción contractual en tratándose de un contrato de ejecución instantánea - y por tanto no sometido a liquidación- el plazo de caducidad de la acción es de </w:t>
      </w:r>
      <w:r w:rsidRPr="006C16E8">
        <w:rPr>
          <w:b w:val="0"/>
          <w:i/>
          <w:szCs w:val="22"/>
          <w:lang w:val="es-CO"/>
        </w:rPr>
        <w:t>“dos (2)  años siguientes a cuando se cumplió o debió cumplirse el objeto del contrato”.</w:t>
      </w:r>
      <w:r w:rsidRPr="006C16E8">
        <w:rPr>
          <w:b w:val="0"/>
          <w:szCs w:val="22"/>
          <w:lang w:val="es-CO"/>
        </w:rPr>
        <w:t xml:space="preserve"> Como consecuencia, se observa que la demanda de FEDEPALMA se presentó en forma oportuna el 25 de abril de 2011, toda vez que el término de la caducidad vencía el 5 de noviembre de 2012.Por otra parte, se establece que la demanda de reconvención se presentó el 28 de junio de 2011. En ella el ICA no catalogó el tipo de acción que ejerció, empero presentó pretensión de nulidad de la promesa de compraventa y de declaración de ilegalidad del procedimiento precontractual. En relación con las precitadas pretensiones, se esclarece que el plazo para presentar la demanda de nulidad absoluta del contrato de promesa de compraventa, de conformidad con el literal e) del número 10 del artículo 136, era de dos años </w:t>
      </w:r>
      <w:r w:rsidRPr="006C16E8">
        <w:rPr>
          <w:b w:val="0"/>
          <w:i/>
          <w:szCs w:val="22"/>
          <w:lang w:val="es-CO"/>
        </w:rPr>
        <w:t>“siguientes al perfeccionamiento del contrato”.</w:t>
      </w:r>
      <w:r w:rsidRPr="006C16E8">
        <w:rPr>
          <w:b w:val="0"/>
          <w:szCs w:val="22"/>
          <w:lang w:val="es-CO"/>
        </w:rPr>
        <w:t xml:space="preserve"> Teniendo en cuenta que la promesa de compraventa se perfeccionó con la firma, el 30 de septiembre de 2010, la demanda de reconvención orientada a las pretensión de nulidad se presentó en forma oportuna, toda vez que el término de la caducidad de la acción de nulidad absoluta del contrato corrió hasta el 1º de octubre de 2012 y la demanda de reconvención se instauró el 28 de junio de 2011.  En relación con la pretensión de ilegalidad del procedimiento contractual, se hace notar que el ICA no pretendió restitución en su favor, de manera que no procede aplicar el término de caducidad de 30 días, contemplado para los actos previos en el artículo 87 del C.C.A. En cambio, se puede observar que la demanda del ICA se entabló contra su propio acto, apoyada en la violación de la ley en que habría incurrido en el procedimiento precontractual que lo llevó a adjudicar el inmueble objeto de la promesa de compraventa por un precio que a su juicio era violatorio de la ley y por considerar que la venta, de realizarse, significaría un detrimento patrimonial para el ICA. Por lo anterior, se entiende que la acción impetrada frente a ilegalidad de procedimiento contractual fue la de lesividad, la cual debe enfocarse sobre el acto administrativo contentivo de la adjudicación del respectivo bien inmueble, es decir, la Resolución 3098 de 17 de septiembre de 2010, en cuyo caso el término de caducidad se rigió por el artículo 136-7 del C.C.A., según el cual el plazo de dos años se contaba a partir </w:t>
      </w:r>
      <w:r w:rsidRPr="006C16E8">
        <w:rPr>
          <w:b w:val="0"/>
          <w:i/>
          <w:szCs w:val="22"/>
          <w:lang w:val="es-CO"/>
        </w:rPr>
        <w:t>“del día siguiente de su expedición”.</w:t>
      </w:r>
      <w:r w:rsidRPr="006C16E8">
        <w:rPr>
          <w:b w:val="0"/>
          <w:szCs w:val="22"/>
          <w:lang w:val="es-CO"/>
        </w:rPr>
        <w:t xml:space="preserve"> Por ello se establece que el término de caducidad de la acción de lesividad, entablada en este caso contra el acto administrativo mediante el cual se adjudicó el bien inmueble denominado El Mira, corrió hasta el 18 de septiembre de 2012, de manera que la demanda de reconvención se presentó en forma oportuna, el 28 de junio de 2011.  </w:t>
      </w:r>
      <w:r w:rsidRPr="006C16E8">
        <w:rPr>
          <w:b w:val="0"/>
          <w:szCs w:val="22"/>
          <w:lang w:val="es-MX"/>
        </w:rPr>
        <w:t>Como consecuencia, la Sala observa que la demanda principal y la demanda de reconvención se presentaron oportunamente.</w:t>
      </w:r>
    </w:p>
    <w:p w:rsidR="00BF02A2" w:rsidRPr="006C16E8" w:rsidRDefault="00BF02A2" w:rsidP="00BB30C4">
      <w:pPr>
        <w:pStyle w:val="Ttulo"/>
        <w:rPr>
          <w:b w:val="0"/>
          <w:szCs w:val="22"/>
        </w:rPr>
      </w:pPr>
    </w:p>
    <w:p w:rsidR="00DB2EB2" w:rsidRPr="006C16E8" w:rsidRDefault="00DB2EB2" w:rsidP="00DB2EB2">
      <w:pPr>
        <w:pStyle w:val="Ttulo"/>
        <w:jc w:val="both"/>
        <w:rPr>
          <w:szCs w:val="22"/>
          <w:lang w:val="es-MX"/>
        </w:rPr>
      </w:pPr>
      <w:r w:rsidRPr="006C16E8">
        <w:rPr>
          <w:szCs w:val="22"/>
        </w:rPr>
        <w:t>CONTRATACIÓN PARA LA ENAJENACIÓN DE BIENES DEL ESTADO</w:t>
      </w:r>
      <w:r w:rsidR="00BF02A2" w:rsidRPr="006C16E8">
        <w:rPr>
          <w:szCs w:val="22"/>
        </w:rPr>
        <w:t xml:space="preserve"> </w:t>
      </w:r>
      <w:r w:rsidRPr="006C16E8">
        <w:rPr>
          <w:szCs w:val="22"/>
        </w:rPr>
        <w:t>-</w:t>
      </w:r>
      <w:r w:rsidR="00BF02A2" w:rsidRPr="006C16E8">
        <w:rPr>
          <w:szCs w:val="22"/>
        </w:rPr>
        <w:t xml:space="preserve"> M</w:t>
      </w:r>
      <w:r w:rsidRPr="006C16E8">
        <w:rPr>
          <w:szCs w:val="22"/>
          <w:lang w:val="es-MX"/>
        </w:rPr>
        <w:t>arco legal</w:t>
      </w:r>
    </w:p>
    <w:p w:rsidR="00DB2EB2" w:rsidRPr="006C16E8" w:rsidRDefault="00DB2EB2" w:rsidP="00DB2EB2">
      <w:pPr>
        <w:pStyle w:val="Ttulo"/>
        <w:jc w:val="both"/>
        <w:rPr>
          <w:szCs w:val="22"/>
        </w:rPr>
      </w:pPr>
    </w:p>
    <w:p w:rsidR="00DB2EB2" w:rsidRPr="006C16E8" w:rsidRDefault="00DB2EB2" w:rsidP="000425AD">
      <w:pPr>
        <w:tabs>
          <w:tab w:val="left" w:pos="7797"/>
        </w:tabs>
        <w:spacing w:line="240" w:lineRule="auto"/>
        <w:ind w:right="51"/>
        <w:rPr>
          <w:rFonts w:cs="Arial"/>
          <w:color w:val="000000"/>
          <w:sz w:val="22"/>
          <w:szCs w:val="22"/>
        </w:rPr>
      </w:pPr>
      <w:r w:rsidRPr="006C16E8">
        <w:rPr>
          <w:rFonts w:cs="Arial"/>
          <w:sz w:val="22"/>
          <w:szCs w:val="22"/>
          <w:lang w:val="es-MX"/>
        </w:rPr>
        <w:t>Es importante establecer que el procedimiento de contratación que ahora se examina se rigió por la Ley 1150 de 2007, bajo la modalidad denominada selección abreviada, en este caso, de acuerdo con lo previsto para la enajenación de bienes del Estado en el artíc</w:t>
      </w:r>
      <w:r w:rsidR="000425AD" w:rsidRPr="006C16E8">
        <w:rPr>
          <w:rFonts w:cs="Arial"/>
          <w:sz w:val="22"/>
          <w:szCs w:val="22"/>
          <w:lang w:val="es-MX"/>
        </w:rPr>
        <w:t xml:space="preserve">ulo 2º, numeral 2, literal e). </w:t>
      </w:r>
      <w:r w:rsidRPr="006C16E8">
        <w:rPr>
          <w:rFonts w:cs="Arial"/>
          <w:sz w:val="22"/>
          <w:szCs w:val="22"/>
          <w:lang w:val="es-MX"/>
        </w:rPr>
        <w:t xml:space="preserve">Se advierte que para este procedimiento especial, la Ley 1150 de 2007 estableció la posibilidad de acudir a </w:t>
      </w:r>
      <w:r w:rsidRPr="006C16E8">
        <w:rPr>
          <w:rFonts w:cs="Arial"/>
          <w:i/>
          <w:sz w:val="22"/>
          <w:szCs w:val="22"/>
          <w:lang w:val="es-MX"/>
        </w:rPr>
        <w:t>“instrumentos de subasta”</w:t>
      </w:r>
      <w:r w:rsidRPr="006C16E8">
        <w:rPr>
          <w:rFonts w:cs="Arial"/>
          <w:sz w:val="22"/>
          <w:szCs w:val="22"/>
          <w:lang w:val="es-MX"/>
        </w:rPr>
        <w:t xml:space="preserve"> y precisó que </w:t>
      </w:r>
      <w:r w:rsidRPr="006C16E8">
        <w:rPr>
          <w:rFonts w:cs="Arial"/>
          <w:i/>
          <w:color w:val="000000"/>
          <w:sz w:val="22"/>
          <w:szCs w:val="22"/>
        </w:rPr>
        <w:t xml:space="preserve">“Los bienes serán enajenados a través de venta directa en sobre cerrado o en pública subasta”, </w:t>
      </w:r>
      <w:r w:rsidRPr="006C16E8">
        <w:rPr>
          <w:rFonts w:cs="Arial"/>
          <w:color w:val="000000"/>
          <w:sz w:val="22"/>
          <w:szCs w:val="22"/>
        </w:rPr>
        <w:t>al mejor postor.</w:t>
      </w:r>
      <w:r w:rsidRPr="006C16E8">
        <w:rPr>
          <w:rFonts w:cs="Arial"/>
          <w:i/>
          <w:color w:val="000000"/>
          <w:sz w:val="22"/>
          <w:szCs w:val="22"/>
        </w:rPr>
        <w:t xml:space="preserve"> </w:t>
      </w:r>
      <w:r w:rsidRPr="006C16E8">
        <w:rPr>
          <w:rFonts w:cs="Arial"/>
          <w:color w:val="000000"/>
          <w:sz w:val="22"/>
          <w:szCs w:val="22"/>
        </w:rPr>
        <w:t xml:space="preserve">Para la enajenación de bienes del Estado, la Ley 1150 de 2007 dispuso unas reglas especiales en cuanto a la formación del precio, el cual debe fundarse en el avalúo comercial que puede ser ajustado de acuerdo con los gastos de comercialización, administración, impuestos y mantenimiento, para determinar el denominado </w:t>
      </w:r>
      <w:r w:rsidRPr="006C16E8">
        <w:rPr>
          <w:rFonts w:cs="Arial"/>
          <w:i/>
          <w:color w:val="000000"/>
          <w:sz w:val="22"/>
          <w:szCs w:val="22"/>
        </w:rPr>
        <w:t xml:space="preserve">precio mínimo de venta, </w:t>
      </w:r>
      <w:r w:rsidRPr="006C16E8">
        <w:rPr>
          <w:rFonts w:cs="Arial"/>
          <w:color w:val="000000"/>
          <w:sz w:val="22"/>
          <w:szCs w:val="22"/>
        </w:rPr>
        <w:t>que opera como base de la subasta,</w:t>
      </w:r>
      <w:r w:rsidRPr="006C16E8">
        <w:rPr>
          <w:rFonts w:cs="Arial"/>
          <w:i/>
          <w:color w:val="000000"/>
          <w:sz w:val="22"/>
          <w:szCs w:val="22"/>
        </w:rPr>
        <w:t xml:space="preserve"> </w:t>
      </w:r>
      <w:r w:rsidRPr="006C16E8">
        <w:rPr>
          <w:rFonts w:cs="Arial"/>
          <w:color w:val="000000"/>
          <w:sz w:val="22"/>
          <w:szCs w:val="22"/>
        </w:rPr>
        <w:t xml:space="preserve">de acuerdo con la ley y la reglamentación que expidió el Gobierno Nacional. </w:t>
      </w:r>
      <w:r w:rsidR="000425AD" w:rsidRPr="006C16E8">
        <w:rPr>
          <w:rFonts w:cs="Arial"/>
          <w:color w:val="000000"/>
          <w:sz w:val="22"/>
          <w:szCs w:val="22"/>
        </w:rPr>
        <w:t>El proceso de selección abreviada para la enajenación de bienes del Estado fue reglamentado por el Decreto 4444 de 2008, en el que se regularon varios aspectos sobre los estudios previos, los avalúos y la formación del precio mínimo de venta.</w:t>
      </w:r>
      <w:r w:rsidR="00BF02A2" w:rsidRPr="006C16E8">
        <w:rPr>
          <w:rFonts w:cs="Arial"/>
          <w:color w:val="000000"/>
          <w:sz w:val="22"/>
          <w:szCs w:val="22"/>
        </w:rPr>
        <w:t xml:space="preserve"> </w:t>
      </w:r>
      <w:r w:rsidR="000425AD" w:rsidRPr="006C16E8">
        <w:rPr>
          <w:rFonts w:cs="Arial"/>
          <w:color w:val="000000"/>
          <w:sz w:val="22"/>
          <w:szCs w:val="22"/>
        </w:rPr>
        <w:t xml:space="preserve">Por otra parte, debe resaltarse que al amparo de la Ley 708 de 2001 se reglamentaron los planes de enajenación onerosa de bienes inmuebles de carácter fiscal, de propiedad del Estado, a través de los Decretos 4637 de 2008 y 3297 de 2009. </w:t>
      </w:r>
    </w:p>
    <w:p w:rsidR="00BF02A2" w:rsidRPr="006C16E8" w:rsidRDefault="00BF02A2" w:rsidP="000425AD">
      <w:pPr>
        <w:tabs>
          <w:tab w:val="left" w:pos="7797"/>
        </w:tabs>
        <w:spacing w:line="240" w:lineRule="auto"/>
        <w:ind w:right="51"/>
        <w:rPr>
          <w:rFonts w:cs="Arial"/>
          <w:color w:val="000000"/>
          <w:sz w:val="22"/>
          <w:szCs w:val="22"/>
        </w:rPr>
      </w:pPr>
    </w:p>
    <w:p w:rsidR="000425AD" w:rsidRPr="006C16E8" w:rsidRDefault="000425AD" w:rsidP="000425AD">
      <w:pPr>
        <w:tabs>
          <w:tab w:val="left" w:pos="7797"/>
        </w:tabs>
        <w:spacing w:line="240" w:lineRule="auto"/>
        <w:ind w:right="51"/>
        <w:rPr>
          <w:rFonts w:cs="Arial"/>
          <w:b/>
          <w:color w:val="000000"/>
          <w:sz w:val="22"/>
          <w:szCs w:val="22"/>
          <w:lang w:val="es-CO"/>
        </w:rPr>
      </w:pPr>
      <w:r w:rsidRPr="006C16E8">
        <w:rPr>
          <w:rFonts w:cs="Arial"/>
          <w:b/>
          <w:color w:val="000000"/>
          <w:sz w:val="22"/>
          <w:szCs w:val="22"/>
          <w:lang w:val="es-CO"/>
        </w:rPr>
        <w:t>PRECIO MÍNIMO DE VENTA</w:t>
      </w:r>
      <w:r w:rsidR="00A35A47">
        <w:rPr>
          <w:rFonts w:cs="Arial"/>
          <w:b/>
          <w:color w:val="000000"/>
          <w:sz w:val="22"/>
          <w:szCs w:val="22"/>
          <w:lang w:val="es-CO"/>
        </w:rPr>
        <w:t xml:space="preserve"> </w:t>
      </w:r>
      <w:r w:rsidRPr="006C16E8">
        <w:rPr>
          <w:rFonts w:cs="Arial"/>
          <w:b/>
          <w:color w:val="000000"/>
          <w:sz w:val="22"/>
          <w:szCs w:val="22"/>
          <w:lang w:val="es-CO"/>
        </w:rPr>
        <w:t>-</w:t>
      </w:r>
      <w:r w:rsidRPr="006C16E8">
        <w:rPr>
          <w:rFonts w:cs="Arial"/>
          <w:b/>
          <w:sz w:val="22"/>
          <w:szCs w:val="22"/>
          <w:lang w:val="es-CO"/>
        </w:rPr>
        <w:t xml:space="preserve"> </w:t>
      </w:r>
      <w:r w:rsidR="00A35A47">
        <w:rPr>
          <w:rFonts w:cs="Arial"/>
          <w:b/>
          <w:sz w:val="22"/>
          <w:szCs w:val="22"/>
          <w:lang w:val="es-CO"/>
        </w:rPr>
        <w:t>V</w:t>
      </w:r>
      <w:r w:rsidRPr="006C16E8">
        <w:rPr>
          <w:rFonts w:cs="Arial"/>
          <w:b/>
          <w:color w:val="000000"/>
          <w:sz w:val="22"/>
          <w:szCs w:val="22"/>
          <w:lang w:val="es-CO"/>
        </w:rPr>
        <w:t>iolación de la ley</w:t>
      </w:r>
    </w:p>
    <w:p w:rsidR="000425AD" w:rsidRPr="006C16E8" w:rsidRDefault="000425AD" w:rsidP="000425AD">
      <w:pPr>
        <w:tabs>
          <w:tab w:val="left" w:pos="7797"/>
        </w:tabs>
        <w:spacing w:line="240" w:lineRule="auto"/>
        <w:ind w:right="51"/>
        <w:rPr>
          <w:rFonts w:cs="Arial"/>
          <w:color w:val="000000"/>
          <w:sz w:val="22"/>
          <w:szCs w:val="22"/>
          <w:lang w:val="es-CO"/>
        </w:rPr>
      </w:pPr>
    </w:p>
    <w:p w:rsidR="000425AD" w:rsidRPr="006C16E8" w:rsidRDefault="000425AD" w:rsidP="000425AD">
      <w:pPr>
        <w:tabs>
          <w:tab w:val="left" w:pos="7797"/>
        </w:tabs>
        <w:spacing w:line="240" w:lineRule="auto"/>
        <w:ind w:right="51"/>
        <w:rPr>
          <w:rFonts w:cs="Arial"/>
          <w:bCs/>
          <w:color w:val="000000"/>
          <w:sz w:val="22"/>
          <w:szCs w:val="22"/>
        </w:rPr>
      </w:pPr>
      <w:r w:rsidRPr="006C16E8">
        <w:rPr>
          <w:rFonts w:cs="Arial"/>
          <w:color w:val="000000"/>
          <w:sz w:val="22"/>
          <w:szCs w:val="22"/>
          <w:lang w:val="es-CO"/>
        </w:rPr>
        <w:t>Con fundamento en las pruebas analizadas, la Sala establece que el método que utilizó el ICA para fijar el precio mínimo de venta dentro de la ficha que publicó en el proceso de selección abreviada GS-SA-01-32-2010 estuvo orientado por la aplicación del porcentaje referido en el Código de Procedimiento Civil sobre el avalúo de abril de 2010, disponible en la fecha de apertura del proceso. En igual forma, se advierte que los ajustes que realizó la Lonja de Propiedad Raíz de Nariño y Putumayo en el avalúo de septiembre de 2010 también obedecieron al criterio de reducir los valores en un porcentaje similar al utilizado por  el ICA en su proceso de contratación.</w:t>
      </w:r>
      <w:r w:rsidRPr="006C16E8">
        <w:rPr>
          <w:rFonts w:cs="Arial"/>
          <w:bCs/>
          <w:color w:val="000000"/>
          <w:sz w:val="22"/>
          <w:szCs w:val="22"/>
        </w:rPr>
        <w:t xml:space="preserve">De conformidad con las normas aplicables al procedimiento de selección abreviada para la enajenación de bienes del Estado, el valor de avalúo debía ser ajustado con base en los factores previstos en la Ley 1150 de 2007 reglamentados por el Decreto 4444 de 2008, para efectos de determinar el precio mínimo de venta, y no era viable acudir a la reducción del precio con base en la aplicación del porcentaje que  fijaba el Código de Procedimiento Civil. No obstante, </w:t>
      </w:r>
      <w:r w:rsidRPr="006C16E8">
        <w:rPr>
          <w:rFonts w:cs="Arial"/>
          <w:bCs/>
          <w:i/>
          <w:color w:val="000000"/>
          <w:sz w:val="22"/>
          <w:szCs w:val="22"/>
        </w:rPr>
        <w:t xml:space="preserve">los factores previstos en la regulación no fueron los que se tuvieron en cuenta por el ICA en el caso del precio mínimo de venta del </w:t>
      </w:r>
      <w:r w:rsidRPr="006C16E8">
        <w:rPr>
          <w:rFonts w:cs="Arial"/>
          <w:i/>
          <w:color w:val="000000"/>
          <w:sz w:val="22"/>
          <w:szCs w:val="22"/>
          <w:lang w:val="es-CO"/>
        </w:rPr>
        <w:t>proceso de selección abreviada GS-SA-01-32-2010.</w:t>
      </w:r>
      <w:r w:rsidRPr="006C16E8">
        <w:rPr>
          <w:rFonts w:cs="Arial"/>
          <w:color w:val="000000"/>
          <w:sz w:val="22"/>
          <w:szCs w:val="22"/>
          <w:lang w:val="es-CO"/>
        </w:rPr>
        <w:t xml:space="preserve">Por tanto, se concluye que las pruebas dan la razón al ICA en cuanto se demostró la violación de la ley aplicable en el proceso precontractual sub júdice, dado que la fijación del precio mínimo de venta que sirvió como base a la subasta electrónica y a la adjudicación realizada mediante la Resolución 3098 de 2010, se apartó de lo fijado en la ley 1150 de 2007 y en el Decreto 4444 de 2008. </w:t>
      </w:r>
      <w:r w:rsidRPr="006C16E8">
        <w:rPr>
          <w:rFonts w:cs="Arial"/>
          <w:bCs/>
          <w:color w:val="000000"/>
          <w:sz w:val="22"/>
          <w:szCs w:val="22"/>
        </w:rPr>
        <w:t xml:space="preserve">Por esta razón, se reafirma la sentencia de primera instancia en cuanto proceden las pretensiones de la demanda de reconvención, dado que se encuentra acreditado que el procedimiento de contratación se apartó de la ley aplicable al mismo. </w:t>
      </w:r>
    </w:p>
    <w:p w:rsidR="00BF02A2" w:rsidRPr="006C16E8" w:rsidRDefault="00BF02A2" w:rsidP="000425AD">
      <w:pPr>
        <w:tabs>
          <w:tab w:val="left" w:pos="7797"/>
        </w:tabs>
        <w:spacing w:line="240" w:lineRule="auto"/>
        <w:ind w:right="51"/>
        <w:rPr>
          <w:rFonts w:cs="Arial"/>
          <w:bCs/>
          <w:color w:val="000000"/>
          <w:sz w:val="22"/>
          <w:szCs w:val="22"/>
        </w:rPr>
      </w:pPr>
    </w:p>
    <w:p w:rsidR="000425AD" w:rsidRPr="006C16E8" w:rsidRDefault="000425AD" w:rsidP="000425AD">
      <w:pPr>
        <w:tabs>
          <w:tab w:val="left" w:pos="7797"/>
        </w:tabs>
        <w:spacing w:line="240" w:lineRule="auto"/>
        <w:ind w:right="51"/>
        <w:rPr>
          <w:rFonts w:cs="Arial"/>
          <w:b/>
          <w:color w:val="000000"/>
          <w:sz w:val="22"/>
          <w:szCs w:val="22"/>
        </w:rPr>
      </w:pPr>
      <w:r w:rsidRPr="006C16E8">
        <w:rPr>
          <w:rFonts w:cs="Arial"/>
          <w:b/>
          <w:color w:val="000000"/>
          <w:sz w:val="22"/>
          <w:szCs w:val="22"/>
        </w:rPr>
        <w:t>PUBLICIDAD -</w:t>
      </w:r>
      <w:r w:rsidR="00BF02A2" w:rsidRPr="006C16E8">
        <w:rPr>
          <w:rFonts w:cs="Arial"/>
          <w:b/>
          <w:color w:val="000000"/>
          <w:sz w:val="22"/>
          <w:szCs w:val="22"/>
        </w:rPr>
        <w:t xml:space="preserve"> O</w:t>
      </w:r>
      <w:r w:rsidRPr="006C16E8">
        <w:rPr>
          <w:rFonts w:cs="Arial"/>
          <w:b/>
          <w:color w:val="000000"/>
          <w:sz w:val="22"/>
          <w:szCs w:val="22"/>
        </w:rPr>
        <w:t>misión de las reglas</w:t>
      </w:r>
    </w:p>
    <w:p w:rsidR="000425AD" w:rsidRPr="006C16E8" w:rsidRDefault="000425AD" w:rsidP="000425AD">
      <w:pPr>
        <w:tabs>
          <w:tab w:val="left" w:pos="7797"/>
        </w:tabs>
        <w:spacing w:line="240" w:lineRule="auto"/>
        <w:ind w:right="51"/>
        <w:rPr>
          <w:rFonts w:cs="Arial"/>
          <w:b/>
          <w:color w:val="000000"/>
          <w:sz w:val="22"/>
          <w:szCs w:val="22"/>
        </w:rPr>
      </w:pPr>
    </w:p>
    <w:p w:rsidR="000425AD" w:rsidRPr="006C16E8" w:rsidRDefault="000425AD" w:rsidP="000425AD">
      <w:pPr>
        <w:tabs>
          <w:tab w:val="left" w:pos="7797"/>
        </w:tabs>
        <w:spacing w:line="240" w:lineRule="auto"/>
        <w:ind w:right="51"/>
        <w:rPr>
          <w:rFonts w:cs="Arial"/>
          <w:color w:val="000000"/>
          <w:sz w:val="22"/>
          <w:szCs w:val="22"/>
        </w:rPr>
      </w:pPr>
      <w:r w:rsidRPr="006C16E8">
        <w:rPr>
          <w:rFonts w:cs="Arial"/>
          <w:color w:val="000000"/>
          <w:sz w:val="22"/>
          <w:szCs w:val="22"/>
        </w:rPr>
        <w:t>Lo evidenciado hasta aquí permite reafirmar la nulidad de la adjudicación deprecada por el ICA y, en lo pertinente, se debe desestimar la argumentación de la apelante. Sin perjuicio de lo anterior, es de importancia advertir que, adicionalmente, en el proceso de contratación sub júdice se violaron las normas de la publicidad previa exigida para la enajenación onerosa de bienes del Estado que se rige por la Ley 1150 de 2007, dado que el procedimiento estaba sometido a una regla de publicidad especial, contenida en el inciso final del literal e) del punto 2 del artículo 2, así:</w:t>
      </w:r>
      <w:r w:rsidRPr="006C16E8">
        <w:rPr>
          <w:rFonts w:cs="Arial"/>
          <w:i/>
          <w:color w:val="000000"/>
          <w:sz w:val="22"/>
          <w:szCs w:val="22"/>
        </w:rPr>
        <w:t xml:space="preserve"> “La venta implica la publicación previa de los bienes en un diario de amplia circulación nacional, con la determinación del precio base. El interesado en adquirir bienes deberá consignar al menos el 20% del valor base de venta para participar en la oferta”.</w:t>
      </w:r>
      <w:r w:rsidRPr="006C16E8">
        <w:rPr>
          <w:rFonts w:cs="Arial"/>
          <w:color w:val="000000"/>
          <w:sz w:val="22"/>
          <w:szCs w:val="22"/>
        </w:rPr>
        <w:t xml:space="preserve"> Se tiene en cuenta que el Decreto 4444 de 2008 reglamentó la publicidad del proceso de contratación, a través del SECOP o de la página web de la entidad, de acuerdo con lo que disponía el artículo 8 del Decreto 2474 de 2008, contentivo de las normas generales sobre el proceso de selección abreviada. Sin embargo, esta última disposición también debió cumplirse, sin perjuicio de la exigencia especial de la publicación en un diario de amplia circulación, respecto del precio mínimo de venta del respectivo bien, referida en la ley. Se observa que el Decreto 4444 de 2008 indicó que la entidad y su intermediario podían publicar en un diario de amplia circulación el listado de bienes y el precio mínimo de venta, lo cual – se reitera- no tenía el alcance de modificar la exigencia de la publicidad fijada por el artículo 2 de la Ley 1150 de 2007, en forma especial para el precio mínimo de venta…Finalmente, se hace constar que el Decreto 3297 de 2009, referido al plan de enajenación onerosa de bienes del Estado, incluyó igualmente la exigencia de la publicación del precio mínimo de venta en un diario de amplia circulación, de manera congruente con lo que exigió la Ley 1150 de 2007.</w:t>
      </w:r>
      <w:r w:rsidRPr="006C16E8">
        <w:rPr>
          <w:rFonts w:cs="Arial"/>
          <w:color w:val="000000"/>
          <w:sz w:val="22"/>
          <w:szCs w:val="22"/>
          <w:lang w:val="es-CO"/>
        </w:rPr>
        <w:t xml:space="preserve">Se observa que de acuerdo con el contenido de la Resolución 3098 de 2010, el acto de apertura y los pliegos de condiciones se publicaron por el ICA a través del portal de contratación www.contratos.gov.co., pero, a diferencia de las convocatorias anteriores, en la GC-SA-01-32-2010 no se realizó el aviso en un diario de amplia circulación, pese a que, con claridad, se trataba de un proceso de contratación independiente de los anteriores y que, además, el precio mínimo de venta era distinto -e inferior- al fijado en las convocatorias anteriores. Se puntualiza que aunque el ICA aportó al plenario los antecedentes administrativos de los tres procesos de contratación, en el GC-SA-01-32-2010 – a diferencia de los dos anteriores- no allegó la publicación en un diario de amplia circulación, requerida por la Ley </w:t>
      </w:r>
      <w:r w:rsidRPr="006C16E8">
        <w:rPr>
          <w:rFonts w:cs="Arial"/>
          <w:color w:val="000000"/>
          <w:sz w:val="22"/>
          <w:szCs w:val="22"/>
          <w:lang w:val="es-CO"/>
        </w:rPr>
        <w:lastRenderedPageBreak/>
        <w:t>1150 de 2007 para los efectos de la publicidad del precio base de venta. La referencia a una publicación en prensa también se omitió del cronograma incorporado en el respectivo pliego de condiciones de la convocatoria GC-SA-01-32-2010. Se advierte que la publicidad de ley no habría quedado cubierta con un eventual aviso de prensa sobre el plan de enajenación onerosa del ICA, del que tampoco obra prueba en el plenario, toda vez que en el proceso de selección abreviada GC-SA-01-32-2010 se incorporó un precio mínimo de venta inferior al avalúo referido como precio en el plan de enajenación onerosa acreditado en el acervo probatorio.</w:t>
      </w:r>
      <w:r w:rsidRPr="006C16E8">
        <w:rPr>
          <w:rFonts w:cs="Arial"/>
          <w:color w:val="000000"/>
          <w:sz w:val="22"/>
          <w:szCs w:val="22"/>
        </w:rPr>
        <w:t xml:space="preserve">Además, en cuanto a la publicación del pliego de condiciones del proceso </w:t>
      </w:r>
      <w:r w:rsidRPr="006C16E8">
        <w:rPr>
          <w:rFonts w:cs="Arial"/>
          <w:color w:val="000000"/>
          <w:sz w:val="22"/>
          <w:szCs w:val="22"/>
          <w:lang w:val="es-CO"/>
        </w:rPr>
        <w:t xml:space="preserve">GC-SA-01-32-2010 realizado </w:t>
      </w:r>
      <w:r w:rsidRPr="006C16E8">
        <w:rPr>
          <w:rFonts w:cs="Arial"/>
          <w:color w:val="000000"/>
          <w:sz w:val="22"/>
          <w:szCs w:val="22"/>
        </w:rPr>
        <w:t>en el portal del sistema de contratación, las pruebas arrojan que no tuvo la exposición requerida en la reglamentación del proceso de selección abreviada, esto es, durante el tiempo mínimo que exigió el Decreto 2474 de 2008.</w:t>
      </w:r>
      <w:r w:rsidR="00BF02A2" w:rsidRPr="006C16E8">
        <w:rPr>
          <w:rFonts w:cs="Arial"/>
          <w:color w:val="000000"/>
          <w:sz w:val="22"/>
          <w:szCs w:val="22"/>
        </w:rPr>
        <w:t xml:space="preserve"> </w:t>
      </w:r>
      <w:r w:rsidRPr="006C16E8">
        <w:rPr>
          <w:rFonts w:cs="Arial"/>
          <w:color w:val="000000"/>
          <w:sz w:val="22"/>
          <w:szCs w:val="22"/>
          <w:lang w:val="es-CO"/>
        </w:rPr>
        <w:t>En efecto, se advierte que el ICA realizó la publicación simultánea –en la misma fecha- del proyecto de pliegos y de la resolución de apertura del proceso de selección abreviada, con lo cual se violó lo exigido en el artículo 9 del Decreto 2474 de 2008…</w:t>
      </w:r>
      <w:r w:rsidRPr="006C16E8">
        <w:rPr>
          <w:rFonts w:cs="Arial"/>
          <w:color w:val="000000"/>
          <w:sz w:val="22"/>
          <w:szCs w:val="22"/>
        </w:rPr>
        <w:t>Se concluye, entonces, que la nulidad del acto de adjudicación y de la promesa de compraventa del bien adjudicado, procederá, también, por la violación de las normas imperativas sobre la publicidad del procedimiento de selección abreviada para la enajenación onerosa de bienes del Estado, de conformidad con lo que se acaba de citar. Se hace notar que la publicación del proceso de enajenación de bienes del Estado y la debida exposición del mismo a los posibles oferentes constituye un imperativo legal que desarrolla los principios constitucionales de la función administrativa, de igualdad, moralidad, imparcialidad y publicidad. Respecto de la falta de publicidad de los bienes incluidos en el plan de enajenación onerosa, también se puede advertir que dicha omisión se constituye en un bloqueo a la igualdad de acceso y al principio de la libre concurrencia de los oferentes. En el mismo orden de ideas, se advierte que la violación a las reglas imperativas de la publicidad del proceso de contratación conlleva la transgresión del deber de selección objetiva, toda vez que la omisión de las publicaciones de ley impide la participación de los interesados y por ende la comparación entre los distintos oferentes.</w:t>
      </w:r>
    </w:p>
    <w:p w:rsidR="000425AD" w:rsidRPr="006C16E8" w:rsidRDefault="000425AD" w:rsidP="000425AD">
      <w:pPr>
        <w:tabs>
          <w:tab w:val="left" w:pos="7797"/>
        </w:tabs>
        <w:spacing w:line="240" w:lineRule="auto"/>
        <w:ind w:right="51"/>
        <w:rPr>
          <w:rFonts w:cs="Arial"/>
          <w:color w:val="000000"/>
          <w:sz w:val="22"/>
          <w:szCs w:val="22"/>
        </w:rPr>
      </w:pPr>
    </w:p>
    <w:p w:rsidR="002B6B00" w:rsidRPr="006C16E8" w:rsidRDefault="002B6B00" w:rsidP="002B6B00">
      <w:pPr>
        <w:tabs>
          <w:tab w:val="left" w:pos="7797"/>
        </w:tabs>
        <w:spacing w:line="240" w:lineRule="auto"/>
        <w:ind w:right="51"/>
        <w:rPr>
          <w:rFonts w:cs="Arial"/>
          <w:b/>
          <w:color w:val="000000"/>
          <w:sz w:val="22"/>
          <w:szCs w:val="22"/>
        </w:rPr>
      </w:pPr>
      <w:r w:rsidRPr="006C16E8">
        <w:rPr>
          <w:rFonts w:cs="Arial"/>
          <w:b/>
          <w:color w:val="000000"/>
          <w:sz w:val="22"/>
          <w:szCs w:val="22"/>
        </w:rPr>
        <w:t>OBJETO ILÍCITO</w:t>
      </w:r>
      <w:r w:rsidR="006C16E8" w:rsidRPr="006C16E8">
        <w:rPr>
          <w:rFonts w:cs="Arial"/>
          <w:b/>
          <w:color w:val="000000"/>
          <w:sz w:val="22"/>
          <w:szCs w:val="22"/>
        </w:rPr>
        <w:t xml:space="preserve"> </w:t>
      </w:r>
      <w:r w:rsidRPr="006C16E8">
        <w:rPr>
          <w:rFonts w:cs="Arial"/>
          <w:b/>
          <w:color w:val="000000"/>
          <w:sz w:val="22"/>
          <w:szCs w:val="22"/>
        </w:rPr>
        <w:t>-</w:t>
      </w:r>
      <w:r w:rsidRPr="006C16E8">
        <w:rPr>
          <w:rFonts w:cs="Arial"/>
          <w:b/>
          <w:sz w:val="22"/>
          <w:szCs w:val="22"/>
        </w:rPr>
        <w:t xml:space="preserve"> </w:t>
      </w:r>
      <w:r w:rsidR="006C16E8" w:rsidRPr="006C16E8">
        <w:rPr>
          <w:rFonts w:cs="Arial"/>
          <w:b/>
          <w:color w:val="000000"/>
          <w:sz w:val="22"/>
          <w:szCs w:val="22"/>
        </w:rPr>
        <w:t>B</w:t>
      </w:r>
      <w:r w:rsidRPr="006C16E8">
        <w:rPr>
          <w:rFonts w:cs="Arial"/>
          <w:b/>
          <w:color w:val="000000"/>
          <w:sz w:val="22"/>
          <w:szCs w:val="22"/>
        </w:rPr>
        <w:t>anco de germoplasma</w:t>
      </w:r>
    </w:p>
    <w:p w:rsidR="002B6B00" w:rsidRPr="006C16E8" w:rsidRDefault="002B6B00" w:rsidP="002B6B00">
      <w:pPr>
        <w:tabs>
          <w:tab w:val="left" w:pos="7797"/>
        </w:tabs>
        <w:spacing w:line="240" w:lineRule="auto"/>
        <w:ind w:right="51"/>
        <w:rPr>
          <w:rFonts w:cs="Arial"/>
          <w:color w:val="000000"/>
          <w:sz w:val="22"/>
          <w:szCs w:val="22"/>
        </w:rPr>
      </w:pPr>
    </w:p>
    <w:p w:rsidR="002B6B00" w:rsidRPr="006C16E8" w:rsidRDefault="002B6B00" w:rsidP="002B6B00">
      <w:pPr>
        <w:tabs>
          <w:tab w:val="left" w:pos="7797"/>
        </w:tabs>
        <w:spacing w:line="240" w:lineRule="auto"/>
        <w:ind w:right="51"/>
        <w:rPr>
          <w:rFonts w:cs="Arial"/>
          <w:b/>
          <w:color w:val="000000"/>
          <w:sz w:val="22"/>
          <w:szCs w:val="22"/>
        </w:rPr>
      </w:pPr>
      <w:r w:rsidRPr="006C16E8">
        <w:rPr>
          <w:rFonts w:cs="Arial"/>
          <w:color w:val="000000"/>
          <w:sz w:val="22"/>
          <w:szCs w:val="22"/>
        </w:rPr>
        <w:t>En este proceso no se acreditó que el banco de germoplasma ubicado en el predio El Mira constituyera patrimonio cultural de la Nación, como lo alegó el ICA.</w:t>
      </w:r>
      <w:r w:rsidR="00BF02A2" w:rsidRPr="006C16E8">
        <w:rPr>
          <w:rFonts w:cs="Arial"/>
          <w:color w:val="000000"/>
          <w:sz w:val="22"/>
          <w:szCs w:val="22"/>
        </w:rPr>
        <w:t xml:space="preserve"> </w:t>
      </w:r>
      <w:r w:rsidRPr="006C16E8">
        <w:rPr>
          <w:rFonts w:cs="Arial"/>
          <w:color w:val="000000"/>
          <w:sz w:val="22"/>
          <w:szCs w:val="22"/>
        </w:rPr>
        <w:t>Tampoco existen elementos de juicio suficientes para determinar que el área en la que se habría desarrollado el banco de germoplasma configurara una zona legalmente protegida por su diversidad biológica o por una clasificación jurídica del bien bajo la cual pudiera ser catalogado como inenajenable. No desconoce la Sala que, de acuerdo con la regulación aplicable al ICA, el área del banco de germoplasma podía contener material genético de origen vegetal eventualmente bajo control de esa entidad para la investigación agrícola a cargo de la Nación y que en ese supuesto se hubiera podido discutir si el bien inmueble – o por lo menos aquella zona destinada al banco de germoplasma - debió o no excluirse del plan de enajenación onerosa de predios de propiedad del ICA. Sin embargo, se advierte que en este proceso no se demandó el acto administrativo mediante el cual el ICA incluyó la totalidad del predio El Mira en el plan de enajenación onerosa. Así las cosas, desde la perspectiva que otorga este plenario, no se puede concluir acerca de la naturaleza jurídica del banco de germoplasma en el caso en cuestión, ni sobre las modalidades de contratación que podrían haberse desplegado en relación con el mismo.</w:t>
      </w:r>
      <w:r w:rsidR="00BF02A2" w:rsidRPr="006C16E8">
        <w:rPr>
          <w:rFonts w:cs="Arial"/>
          <w:color w:val="000000"/>
          <w:sz w:val="22"/>
          <w:szCs w:val="22"/>
        </w:rPr>
        <w:t xml:space="preserve"> </w:t>
      </w:r>
      <w:r w:rsidRPr="006C16E8">
        <w:rPr>
          <w:rFonts w:cs="Arial"/>
          <w:color w:val="000000"/>
          <w:sz w:val="22"/>
          <w:szCs w:val="22"/>
        </w:rPr>
        <w:t>En el acervo probatorio se observa que en la ficha de identificación del bien materia del proceso de selección abreviada se incluyó una observación escueta sobre la existencia del banco de germoplasma y de los testimonios se concluye que las partes no arribaron a un consenso acerca de que esa zona hiciera o no parte de la adjudicación y de la promesa de compraventa.</w:t>
      </w:r>
      <w:r w:rsidRPr="006C16E8">
        <w:rPr>
          <w:rFonts w:cs="Arial"/>
          <w:color w:val="000000"/>
          <w:sz w:val="22"/>
          <w:szCs w:val="22"/>
          <w:lang w:val="es-ES_tradnl"/>
        </w:rPr>
        <w:t>El representante legal suplente de FEDEPALMA, afirmó que no había claridad sobre ello…</w:t>
      </w:r>
      <w:r w:rsidRPr="006C16E8">
        <w:rPr>
          <w:rFonts w:cs="Arial"/>
          <w:color w:val="000000"/>
          <w:sz w:val="22"/>
          <w:szCs w:val="22"/>
        </w:rPr>
        <w:t>Por su parte, el abogado que se desempeñó como coordinador del grupo de gestión contractual del ICA, indicó que el Banco de Germoplasma era propiedad del Estado y que la observación en la ficha técnica se hizo “</w:t>
      </w:r>
      <w:r w:rsidRPr="006C16E8">
        <w:rPr>
          <w:rFonts w:cs="Arial"/>
          <w:i/>
          <w:color w:val="000000"/>
          <w:sz w:val="22"/>
          <w:szCs w:val="22"/>
        </w:rPr>
        <w:t>con el fin de poner de presente la existencia del mismo”</w:t>
      </w:r>
      <w:r w:rsidRPr="006C16E8">
        <w:rPr>
          <w:rFonts w:cs="Arial"/>
          <w:color w:val="000000"/>
          <w:sz w:val="22"/>
          <w:szCs w:val="22"/>
        </w:rPr>
        <w:t xml:space="preserve">. En forma categórica agregó </w:t>
      </w:r>
      <w:r w:rsidRPr="006C16E8">
        <w:rPr>
          <w:rFonts w:cs="Arial"/>
          <w:i/>
          <w:color w:val="000000"/>
          <w:sz w:val="22"/>
          <w:szCs w:val="22"/>
        </w:rPr>
        <w:t>que “dicho banco de germoplasma no hizo parte del proceso de venta”</w:t>
      </w:r>
      <w:r w:rsidRPr="006C16E8">
        <w:rPr>
          <w:rFonts w:cs="Arial"/>
          <w:color w:val="000000"/>
          <w:sz w:val="22"/>
          <w:szCs w:val="22"/>
        </w:rPr>
        <w:t>.</w:t>
      </w:r>
      <w:r w:rsidR="00BF02A2" w:rsidRPr="006C16E8">
        <w:rPr>
          <w:rFonts w:cs="Arial"/>
          <w:color w:val="000000"/>
          <w:sz w:val="22"/>
          <w:szCs w:val="22"/>
        </w:rPr>
        <w:t xml:space="preserve"> </w:t>
      </w:r>
      <w:r w:rsidRPr="006C16E8">
        <w:rPr>
          <w:rFonts w:cs="Arial"/>
          <w:color w:val="000000"/>
          <w:sz w:val="22"/>
          <w:szCs w:val="22"/>
        </w:rPr>
        <w:t xml:space="preserve">En relación con la credibilidad que se cuestionó por el ICA sobre el dicho de este testigo -por hallarse bajo investigación disciplinaria- la Sala encuentra que no tiene razones para apartarse de las antedichas afirmaciones, las cuales se pueden tomar como una de las pruebas de que no se pretendió enajenar el banco de </w:t>
      </w:r>
      <w:r w:rsidRPr="006C16E8">
        <w:rPr>
          <w:rFonts w:cs="Arial"/>
          <w:color w:val="000000"/>
          <w:sz w:val="22"/>
          <w:szCs w:val="22"/>
        </w:rPr>
        <w:lastRenderedPageBreak/>
        <w:t>germoplasma. Se agrega que de acuerdo con el plenario. La Procuraduría General de la Nación, mediante auto de 31 de octubre de 2012, habiendo realizado la investigación correspondiente, decidió ordenar el archivo parcial de las diligencias de indagación preliminar, por no encontrar al referido profesional como responsable de la falta disciplinaria que se le imputó. Como consecuencia, no procede calificar que el proceso de selección abreviada o la promesa de compraventa celebrada entre las partes de este proceso hubieran adolecido de un objeto ilícito por razón de la mención que se hizo sobre el banco de germoplasma.</w:t>
      </w:r>
    </w:p>
    <w:p w:rsidR="000425AD" w:rsidRPr="006C16E8" w:rsidRDefault="000425AD" w:rsidP="000425AD">
      <w:pPr>
        <w:tabs>
          <w:tab w:val="left" w:pos="7797"/>
        </w:tabs>
        <w:spacing w:line="240" w:lineRule="auto"/>
        <w:ind w:right="51"/>
        <w:rPr>
          <w:rFonts w:cs="Arial"/>
          <w:color w:val="000000"/>
          <w:sz w:val="22"/>
          <w:szCs w:val="22"/>
        </w:rPr>
      </w:pPr>
    </w:p>
    <w:p w:rsidR="000425AD" w:rsidRPr="006C16E8" w:rsidRDefault="002B6B00" w:rsidP="000425AD">
      <w:pPr>
        <w:tabs>
          <w:tab w:val="left" w:pos="7797"/>
        </w:tabs>
        <w:spacing w:line="240" w:lineRule="auto"/>
        <w:ind w:right="51"/>
        <w:rPr>
          <w:rFonts w:cs="Arial"/>
          <w:b/>
          <w:color w:val="000000"/>
          <w:sz w:val="22"/>
          <w:szCs w:val="22"/>
        </w:rPr>
      </w:pPr>
      <w:r w:rsidRPr="006C16E8">
        <w:rPr>
          <w:rFonts w:cs="Arial"/>
          <w:b/>
          <w:color w:val="000000"/>
          <w:sz w:val="22"/>
          <w:szCs w:val="22"/>
        </w:rPr>
        <w:t>RESTITUCIÓN DEL PRECIO PAGADO</w:t>
      </w:r>
      <w:r w:rsidR="00BF02A2" w:rsidRPr="006C16E8">
        <w:rPr>
          <w:rFonts w:cs="Arial"/>
          <w:b/>
          <w:color w:val="000000"/>
          <w:sz w:val="22"/>
          <w:szCs w:val="22"/>
        </w:rPr>
        <w:t xml:space="preserve"> </w:t>
      </w:r>
      <w:bookmarkStart w:id="0" w:name="_GoBack"/>
      <w:r w:rsidRPr="006C16E8">
        <w:rPr>
          <w:rFonts w:cs="Arial"/>
          <w:b/>
          <w:color w:val="000000"/>
          <w:sz w:val="22"/>
          <w:szCs w:val="22"/>
        </w:rPr>
        <w:t>-</w:t>
      </w:r>
      <w:r w:rsidR="006C16E8" w:rsidRPr="006C16E8">
        <w:rPr>
          <w:rFonts w:cs="Arial"/>
          <w:b/>
          <w:color w:val="000000"/>
          <w:sz w:val="22"/>
          <w:szCs w:val="22"/>
        </w:rPr>
        <w:t xml:space="preserve"> S</w:t>
      </w:r>
      <w:r w:rsidRPr="006C16E8">
        <w:rPr>
          <w:rFonts w:cs="Arial"/>
          <w:b/>
          <w:color w:val="000000"/>
          <w:sz w:val="22"/>
          <w:szCs w:val="22"/>
        </w:rPr>
        <w:t xml:space="preserve">anción </w:t>
      </w:r>
      <w:bookmarkEnd w:id="0"/>
    </w:p>
    <w:p w:rsidR="002B6B00" w:rsidRPr="006C16E8" w:rsidRDefault="002B6B00" w:rsidP="000425AD">
      <w:pPr>
        <w:tabs>
          <w:tab w:val="left" w:pos="7797"/>
        </w:tabs>
        <w:spacing w:line="240" w:lineRule="auto"/>
        <w:ind w:right="51"/>
        <w:rPr>
          <w:rFonts w:cs="Arial"/>
          <w:color w:val="000000"/>
          <w:sz w:val="22"/>
          <w:szCs w:val="22"/>
        </w:rPr>
      </w:pPr>
    </w:p>
    <w:p w:rsidR="000425AD" w:rsidRPr="006C16E8" w:rsidRDefault="002B6B00" w:rsidP="000425AD">
      <w:pPr>
        <w:tabs>
          <w:tab w:val="left" w:pos="7797"/>
        </w:tabs>
        <w:spacing w:line="240" w:lineRule="auto"/>
        <w:ind w:right="51"/>
        <w:rPr>
          <w:rFonts w:cs="Arial"/>
          <w:color w:val="000000"/>
          <w:sz w:val="22"/>
          <w:szCs w:val="22"/>
        </w:rPr>
      </w:pPr>
      <w:r w:rsidRPr="006C16E8">
        <w:rPr>
          <w:rFonts w:cs="Arial"/>
          <w:color w:val="000000"/>
          <w:sz w:val="22"/>
          <w:szCs w:val="22"/>
        </w:rPr>
        <w:t>Teniendo en cuenta que procede declarar la nulidad del contrato de promesa de compraventa, la Sala dará aplicación al artículo 1746 del Código Civil, referido a las restituciones mutuas, en este caso a favor de FEDEPALMA. Esta condena comprende la restitución de precio pagado por FEDEPALMA, debidamente actualizado con fundamento en la variación del índice de precios al consumidor. Se aclara que no hay lugar a enfocar la liquidación de la condena desde la perspectiva del artículo 48 de la Ley 80 de 1993, toda vez que esa norma se refiere al contrato de ejecución sucesiva y a los eventos de la nulidad decretada por objeto y causa ilícita. En el presente caso la promesa de compraventa era un contrato de ejecución instantánea, además de que no se puede enmarcar el supuesto sub lite en la ejecución sucesiva de prestaciones por parte de FEDEPALMA, cuyo reconocimiento por parte del Estado estuviera supeditado al artículo 48 de la Ley 80 de 1993, esto es, que no procede apreciar si las prestaciones recibidas por el ICA fueron o no en beneficio del interés general, como alude la norma citada. Lo cierto es que en este proceso se acreditó que el precio se pagó y debe ser restituido como efecto de la declaración de nulidad. Corresponde, por tanto, determinar el precio recibido por razón del contrato de promesa de compraventa que el Estado debe devolver. De acuerdo con la certificación expedida por el ICA se demostró que esa entidad recibió la suma de $4.165’000.000 en cuatro contados, registrados en el mes de octubre de 2010, por concepto del precio total pactado en la promesa de compraventa. No obstante, de acuerdo con las pruebas allegadas al plenario el primer contado correspondió a la consignación realizada el 13 de agosto de 2010, para participar en el proceso de selección; el segundo contado se realizó el 23 de septiembre de 2010, previo a la firma de la promesa de compraventa y los dos últimos pagos se realizaron el 27 de octubre de 2010.</w:t>
      </w:r>
    </w:p>
    <w:p w:rsidR="000425AD" w:rsidRPr="006C16E8" w:rsidRDefault="000425AD" w:rsidP="000425AD">
      <w:pPr>
        <w:tabs>
          <w:tab w:val="left" w:pos="7797"/>
        </w:tabs>
        <w:spacing w:line="240" w:lineRule="auto"/>
        <w:ind w:right="51"/>
        <w:rPr>
          <w:rFonts w:cs="Arial"/>
          <w:color w:val="000000"/>
          <w:sz w:val="22"/>
          <w:szCs w:val="22"/>
        </w:rPr>
      </w:pPr>
    </w:p>
    <w:p w:rsidR="00DB2EB2" w:rsidRDefault="00DB2EB2" w:rsidP="002B6B00">
      <w:pPr>
        <w:pStyle w:val="Ttulo"/>
        <w:jc w:val="both"/>
        <w:rPr>
          <w:sz w:val="24"/>
        </w:rPr>
      </w:pPr>
    </w:p>
    <w:p w:rsidR="00C85395" w:rsidRPr="003006D9" w:rsidRDefault="00C85395" w:rsidP="00BB30C4">
      <w:pPr>
        <w:pStyle w:val="Ttulo"/>
        <w:rPr>
          <w:sz w:val="24"/>
        </w:rPr>
      </w:pPr>
      <w:r w:rsidRPr="003006D9">
        <w:rPr>
          <w:sz w:val="24"/>
        </w:rPr>
        <w:t>CONSEJO DE ESTADO</w:t>
      </w:r>
    </w:p>
    <w:p w:rsidR="00226432" w:rsidRPr="003006D9" w:rsidRDefault="00226432" w:rsidP="00A657D0">
      <w:pPr>
        <w:pStyle w:val="Ttulo"/>
        <w:rPr>
          <w:sz w:val="24"/>
        </w:rPr>
      </w:pPr>
    </w:p>
    <w:p w:rsidR="00C85395" w:rsidRPr="003006D9" w:rsidRDefault="00C85395" w:rsidP="00A657D0">
      <w:pPr>
        <w:pStyle w:val="Ttulo"/>
        <w:rPr>
          <w:sz w:val="24"/>
        </w:rPr>
      </w:pPr>
      <w:r w:rsidRPr="003006D9">
        <w:rPr>
          <w:sz w:val="24"/>
        </w:rPr>
        <w:t>SALA DE LO CONTENCIOSO ADMINISTRATIVO</w:t>
      </w:r>
    </w:p>
    <w:p w:rsidR="00226432" w:rsidRPr="003006D9" w:rsidRDefault="00226432" w:rsidP="00A657D0">
      <w:pPr>
        <w:pStyle w:val="Ttulo"/>
        <w:rPr>
          <w:sz w:val="24"/>
        </w:rPr>
      </w:pPr>
    </w:p>
    <w:p w:rsidR="00226432" w:rsidRPr="003006D9" w:rsidRDefault="000E6697" w:rsidP="00A657D0">
      <w:pPr>
        <w:pStyle w:val="Ttulo"/>
        <w:rPr>
          <w:sz w:val="24"/>
        </w:rPr>
      </w:pPr>
      <w:r w:rsidRPr="003006D9">
        <w:rPr>
          <w:sz w:val="24"/>
        </w:rPr>
        <w:t>SECCIÓ</w:t>
      </w:r>
      <w:r w:rsidR="00C85395" w:rsidRPr="003006D9">
        <w:rPr>
          <w:sz w:val="24"/>
        </w:rPr>
        <w:t>N TERCERA</w:t>
      </w:r>
    </w:p>
    <w:p w:rsidR="00226432" w:rsidRPr="003006D9" w:rsidRDefault="00226432" w:rsidP="00A657D0">
      <w:pPr>
        <w:pStyle w:val="Ttulo"/>
        <w:rPr>
          <w:sz w:val="24"/>
        </w:rPr>
      </w:pPr>
    </w:p>
    <w:p w:rsidR="00C85395" w:rsidRPr="003006D9" w:rsidRDefault="000E6697" w:rsidP="00A657D0">
      <w:pPr>
        <w:pStyle w:val="Ttulo"/>
        <w:rPr>
          <w:sz w:val="24"/>
        </w:rPr>
      </w:pPr>
      <w:r w:rsidRPr="003006D9">
        <w:rPr>
          <w:sz w:val="24"/>
        </w:rPr>
        <w:t>SUBSECCIÓ</w:t>
      </w:r>
      <w:r w:rsidR="009479F7" w:rsidRPr="003006D9">
        <w:rPr>
          <w:sz w:val="24"/>
        </w:rPr>
        <w:t>N A</w:t>
      </w:r>
    </w:p>
    <w:p w:rsidR="00ED77A2" w:rsidRPr="003006D9" w:rsidRDefault="00ED77A2" w:rsidP="00A657D0">
      <w:pPr>
        <w:pStyle w:val="Encabezado"/>
        <w:spacing w:line="240" w:lineRule="auto"/>
        <w:jc w:val="center"/>
        <w:rPr>
          <w:rFonts w:cs="Arial"/>
          <w:b/>
          <w:szCs w:val="24"/>
          <w:lang w:val="es-CO"/>
        </w:rPr>
      </w:pPr>
    </w:p>
    <w:p w:rsidR="00C85395" w:rsidRPr="003006D9" w:rsidRDefault="00C85395" w:rsidP="00A657D0">
      <w:pPr>
        <w:pStyle w:val="Encabezado"/>
        <w:spacing w:line="240" w:lineRule="auto"/>
        <w:jc w:val="center"/>
        <w:rPr>
          <w:rFonts w:cs="Arial"/>
          <w:spacing w:val="-3"/>
          <w:szCs w:val="24"/>
          <w:lang w:val="es-CO"/>
        </w:rPr>
      </w:pPr>
      <w:r w:rsidRPr="003006D9">
        <w:rPr>
          <w:rFonts w:cs="Arial"/>
          <w:b/>
          <w:szCs w:val="24"/>
          <w:lang w:val="es-CO"/>
        </w:rPr>
        <w:t>Consej</w:t>
      </w:r>
      <w:r w:rsidR="00F556DB" w:rsidRPr="003006D9">
        <w:rPr>
          <w:rFonts w:cs="Arial"/>
          <w:b/>
          <w:szCs w:val="24"/>
          <w:lang w:val="es-CO"/>
        </w:rPr>
        <w:t>er</w:t>
      </w:r>
      <w:r w:rsidR="00961FDA" w:rsidRPr="003006D9">
        <w:rPr>
          <w:rFonts w:cs="Arial"/>
          <w:b/>
          <w:szCs w:val="24"/>
          <w:lang w:val="es-CO"/>
        </w:rPr>
        <w:t>a</w:t>
      </w:r>
      <w:r w:rsidR="00F556DB" w:rsidRPr="003006D9">
        <w:rPr>
          <w:rFonts w:cs="Arial"/>
          <w:b/>
          <w:szCs w:val="24"/>
          <w:lang w:val="es-CO"/>
        </w:rPr>
        <w:t xml:space="preserve"> </w:t>
      </w:r>
      <w:r w:rsidR="00226432" w:rsidRPr="003006D9">
        <w:rPr>
          <w:rFonts w:cs="Arial"/>
          <w:b/>
          <w:szCs w:val="24"/>
          <w:lang w:val="es-CO"/>
        </w:rPr>
        <w:t>p</w:t>
      </w:r>
      <w:r w:rsidR="00F556DB" w:rsidRPr="003006D9">
        <w:rPr>
          <w:rFonts w:cs="Arial"/>
          <w:b/>
          <w:szCs w:val="24"/>
          <w:lang w:val="es-CO"/>
        </w:rPr>
        <w:t>onente: MA</w:t>
      </w:r>
      <w:r w:rsidR="00961FDA" w:rsidRPr="003006D9">
        <w:rPr>
          <w:rFonts w:cs="Arial"/>
          <w:b/>
          <w:szCs w:val="24"/>
          <w:lang w:val="es-CO"/>
        </w:rPr>
        <w:t>RTA NUBIA VELÁSQUEZ RICO</w:t>
      </w:r>
    </w:p>
    <w:p w:rsidR="00ED77A2" w:rsidRPr="003006D9" w:rsidRDefault="00ED77A2" w:rsidP="00A657D0">
      <w:pPr>
        <w:spacing w:line="240" w:lineRule="auto"/>
        <w:rPr>
          <w:rFonts w:cs="Arial"/>
        </w:rPr>
      </w:pPr>
    </w:p>
    <w:p w:rsidR="00F21484" w:rsidRPr="003006D9" w:rsidRDefault="00F21484" w:rsidP="00A657D0">
      <w:pPr>
        <w:pStyle w:val="Saludo"/>
        <w:spacing w:line="240" w:lineRule="auto"/>
        <w:rPr>
          <w:rFonts w:cs="Arial"/>
        </w:rPr>
      </w:pPr>
      <w:r w:rsidRPr="003006D9">
        <w:rPr>
          <w:rFonts w:cs="Arial"/>
        </w:rPr>
        <w:t>B</w:t>
      </w:r>
      <w:r w:rsidR="00025C7D" w:rsidRPr="003006D9">
        <w:rPr>
          <w:rFonts w:cs="Arial"/>
        </w:rPr>
        <w:t>ogotá</w:t>
      </w:r>
      <w:r w:rsidR="00A57E29" w:rsidRPr="003006D9">
        <w:rPr>
          <w:rFonts w:cs="Arial"/>
        </w:rPr>
        <w:t>, D.C.,</w:t>
      </w:r>
      <w:r w:rsidR="00961FDA" w:rsidRPr="003006D9">
        <w:rPr>
          <w:rFonts w:cs="Arial"/>
        </w:rPr>
        <w:t xml:space="preserve"> </w:t>
      </w:r>
      <w:r w:rsidR="00E518F9" w:rsidRPr="003006D9">
        <w:rPr>
          <w:rFonts w:cs="Arial"/>
        </w:rPr>
        <w:t xml:space="preserve">diez (10) </w:t>
      </w:r>
      <w:r w:rsidR="003D2359" w:rsidRPr="003006D9">
        <w:rPr>
          <w:rFonts w:cs="Arial"/>
        </w:rPr>
        <w:t xml:space="preserve">de </w:t>
      </w:r>
      <w:r w:rsidR="00E518F9" w:rsidRPr="003006D9">
        <w:rPr>
          <w:rFonts w:cs="Arial"/>
        </w:rPr>
        <w:t xml:space="preserve">mayo de </w:t>
      </w:r>
      <w:r w:rsidR="003D2359" w:rsidRPr="003006D9">
        <w:rPr>
          <w:rFonts w:cs="Arial"/>
        </w:rPr>
        <w:t xml:space="preserve">dos mil </w:t>
      </w:r>
      <w:r w:rsidR="00F773C8" w:rsidRPr="003006D9">
        <w:rPr>
          <w:rFonts w:cs="Arial"/>
        </w:rPr>
        <w:t>diecis</w:t>
      </w:r>
      <w:r w:rsidR="00F42482" w:rsidRPr="003006D9">
        <w:rPr>
          <w:rFonts w:cs="Arial"/>
        </w:rPr>
        <w:t>iete</w:t>
      </w:r>
      <w:r w:rsidR="003D2359" w:rsidRPr="003006D9">
        <w:rPr>
          <w:rFonts w:cs="Arial"/>
        </w:rPr>
        <w:t xml:space="preserve"> (201</w:t>
      </w:r>
      <w:r w:rsidR="00F42482" w:rsidRPr="003006D9">
        <w:rPr>
          <w:rFonts w:cs="Arial"/>
        </w:rPr>
        <w:t>7</w:t>
      </w:r>
      <w:r w:rsidR="003D2359" w:rsidRPr="003006D9">
        <w:rPr>
          <w:rFonts w:cs="Arial"/>
        </w:rPr>
        <w:t>)</w:t>
      </w:r>
    </w:p>
    <w:p w:rsidR="0009687C" w:rsidRPr="003006D9" w:rsidRDefault="0009687C" w:rsidP="00A657D0">
      <w:pPr>
        <w:spacing w:line="240" w:lineRule="auto"/>
        <w:rPr>
          <w:rFonts w:cs="Arial"/>
          <w:b/>
        </w:rPr>
      </w:pPr>
    </w:p>
    <w:p w:rsidR="00CD301A" w:rsidRPr="003006D9" w:rsidRDefault="00A57E29" w:rsidP="00A657D0">
      <w:pPr>
        <w:spacing w:line="240" w:lineRule="auto"/>
        <w:rPr>
          <w:rFonts w:cs="Arial"/>
          <w:b/>
        </w:rPr>
      </w:pPr>
      <w:r w:rsidRPr="003006D9">
        <w:rPr>
          <w:rFonts w:cs="Arial"/>
          <w:b/>
        </w:rPr>
        <w:t xml:space="preserve">Radicación número: </w:t>
      </w:r>
      <w:r w:rsidR="00CD301A" w:rsidRPr="003006D9">
        <w:rPr>
          <w:rFonts w:cs="Arial"/>
          <w:b/>
        </w:rPr>
        <w:t>25000</w:t>
      </w:r>
      <w:r w:rsidR="00226432" w:rsidRPr="003006D9">
        <w:rPr>
          <w:rFonts w:cs="Arial"/>
          <w:b/>
        </w:rPr>
        <w:t>-</w:t>
      </w:r>
      <w:r w:rsidR="00CD301A" w:rsidRPr="003006D9">
        <w:rPr>
          <w:rFonts w:cs="Arial"/>
          <w:b/>
        </w:rPr>
        <w:t>23</w:t>
      </w:r>
      <w:r w:rsidR="00226432" w:rsidRPr="003006D9">
        <w:rPr>
          <w:rFonts w:cs="Arial"/>
          <w:b/>
        </w:rPr>
        <w:t>-</w:t>
      </w:r>
      <w:r w:rsidR="00CD301A" w:rsidRPr="003006D9">
        <w:rPr>
          <w:rFonts w:cs="Arial"/>
          <w:b/>
        </w:rPr>
        <w:t>26</w:t>
      </w:r>
      <w:r w:rsidR="00226432" w:rsidRPr="003006D9">
        <w:rPr>
          <w:rFonts w:cs="Arial"/>
          <w:b/>
        </w:rPr>
        <w:t>-</w:t>
      </w:r>
      <w:r w:rsidR="00CD301A" w:rsidRPr="003006D9">
        <w:rPr>
          <w:rFonts w:cs="Arial"/>
          <w:b/>
        </w:rPr>
        <w:t>000</w:t>
      </w:r>
      <w:r w:rsidR="00226432" w:rsidRPr="003006D9">
        <w:rPr>
          <w:rFonts w:cs="Arial"/>
          <w:b/>
        </w:rPr>
        <w:t>-</w:t>
      </w:r>
      <w:r w:rsidR="00CD301A" w:rsidRPr="003006D9">
        <w:rPr>
          <w:rFonts w:cs="Arial"/>
          <w:b/>
        </w:rPr>
        <w:t>2011</w:t>
      </w:r>
      <w:r w:rsidR="00226432" w:rsidRPr="003006D9">
        <w:rPr>
          <w:rFonts w:cs="Arial"/>
          <w:b/>
        </w:rPr>
        <w:t>-</w:t>
      </w:r>
      <w:r w:rsidR="00CD301A" w:rsidRPr="003006D9">
        <w:rPr>
          <w:rFonts w:cs="Arial"/>
          <w:b/>
        </w:rPr>
        <w:t>00382</w:t>
      </w:r>
      <w:r w:rsidR="00226432" w:rsidRPr="003006D9">
        <w:rPr>
          <w:rFonts w:cs="Arial"/>
          <w:b/>
        </w:rPr>
        <w:t>-01</w:t>
      </w:r>
      <w:r w:rsidR="00CD301A" w:rsidRPr="003006D9">
        <w:rPr>
          <w:rFonts w:cs="Arial"/>
          <w:b/>
        </w:rPr>
        <w:t>(54324)</w:t>
      </w:r>
      <w:r w:rsidR="000637D5">
        <w:rPr>
          <w:rFonts w:cs="Arial"/>
          <w:b/>
        </w:rPr>
        <w:t>A</w:t>
      </w:r>
    </w:p>
    <w:p w:rsidR="00226432" w:rsidRPr="003006D9" w:rsidRDefault="00226432" w:rsidP="00A657D0">
      <w:pPr>
        <w:spacing w:line="240" w:lineRule="auto"/>
        <w:rPr>
          <w:rFonts w:cs="Arial"/>
          <w:b/>
        </w:rPr>
      </w:pPr>
    </w:p>
    <w:p w:rsidR="00CD301A" w:rsidRPr="003006D9" w:rsidRDefault="00CD301A" w:rsidP="00A657D0">
      <w:pPr>
        <w:spacing w:line="240" w:lineRule="auto"/>
        <w:rPr>
          <w:rFonts w:cs="Arial"/>
          <w:b/>
        </w:rPr>
      </w:pPr>
      <w:r w:rsidRPr="003006D9">
        <w:rPr>
          <w:rFonts w:cs="Arial"/>
          <w:b/>
        </w:rPr>
        <w:t xml:space="preserve">Actor: </w:t>
      </w:r>
      <w:r w:rsidR="00F33720" w:rsidRPr="003006D9">
        <w:rPr>
          <w:rFonts w:cs="Arial"/>
          <w:b/>
        </w:rPr>
        <w:t xml:space="preserve">FEDERACIÓN NACIONAL DE CULTIVADORES DE PALMA DE ACEITE - FEDEPALMA </w:t>
      </w:r>
    </w:p>
    <w:p w:rsidR="00F33720" w:rsidRPr="003006D9" w:rsidRDefault="00F33720" w:rsidP="00A657D0">
      <w:pPr>
        <w:spacing w:line="240" w:lineRule="auto"/>
        <w:rPr>
          <w:rFonts w:cs="Arial"/>
          <w:b/>
        </w:rPr>
      </w:pPr>
    </w:p>
    <w:p w:rsidR="00F33720" w:rsidRPr="003006D9" w:rsidRDefault="00F33720" w:rsidP="00A657D0">
      <w:pPr>
        <w:spacing w:line="240" w:lineRule="auto"/>
        <w:rPr>
          <w:rFonts w:cs="Arial"/>
          <w:b/>
        </w:rPr>
      </w:pPr>
      <w:r w:rsidRPr="003006D9">
        <w:rPr>
          <w:rFonts w:cs="Arial"/>
          <w:b/>
        </w:rPr>
        <w:t>Demandado: INSTITUTO COLOMBIANO AGROPECUARIO ICA</w:t>
      </w:r>
    </w:p>
    <w:p w:rsidR="00F33720" w:rsidRPr="003006D9" w:rsidRDefault="00F33720" w:rsidP="00A657D0">
      <w:pPr>
        <w:spacing w:line="240" w:lineRule="auto"/>
        <w:rPr>
          <w:rFonts w:cs="Arial"/>
          <w:b/>
        </w:rPr>
      </w:pPr>
    </w:p>
    <w:p w:rsidR="00226432" w:rsidRPr="003006D9" w:rsidRDefault="00226432" w:rsidP="00A657D0">
      <w:pPr>
        <w:spacing w:line="240" w:lineRule="auto"/>
        <w:rPr>
          <w:rFonts w:cs="Arial"/>
          <w:b/>
        </w:rPr>
      </w:pPr>
    </w:p>
    <w:p w:rsidR="00226432" w:rsidRPr="003006D9" w:rsidRDefault="00226432" w:rsidP="00A657D0">
      <w:pPr>
        <w:spacing w:line="240" w:lineRule="auto"/>
        <w:rPr>
          <w:rFonts w:cs="Arial"/>
          <w:b/>
        </w:rPr>
      </w:pPr>
    </w:p>
    <w:p w:rsidR="00F21484" w:rsidRPr="003006D9" w:rsidRDefault="00226432" w:rsidP="00A657D0">
      <w:pPr>
        <w:widowControl w:val="0"/>
        <w:autoSpaceDE w:val="0"/>
        <w:autoSpaceDN w:val="0"/>
        <w:adjustRightInd w:val="0"/>
        <w:spacing w:line="240" w:lineRule="auto"/>
        <w:rPr>
          <w:rFonts w:cs="Arial"/>
          <w:b/>
        </w:rPr>
      </w:pPr>
      <w:r w:rsidRPr="003006D9">
        <w:rPr>
          <w:rFonts w:cs="Arial"/>
          <w:b/>
        </w:rPr>
        <w:t xml:space="preserve">Referencia: APELACIÓN SENTENCIA – ACCIÓN DE CONTROVERSIAS </w:t>
      </w:r>
      <w:r w:rsidRPr="003006D9">
        <w:rPr>
          <w:rFonts w:cs="Arial"/>
          <w:b/>
        </w:rPr>
        <w:lastRenderedPageBreak/>
        <w:t xml:space="preserve">CONTRACTUALES </w:t>
      </w:r>
    </w:p>
    <w:p w:rsidR="00BA77BD" w:rsidRPr="003006D9" w:rsidRDefault="00BA77BD" w:rsidP="000A295E">
      <w:pPr>
        <w:widowControl w:val="0"/>
        <w:autoSpaceDE w:val="0"/>
        <w:autoSpaceDN w:val="0"/>
        <w:adjustRightInd w:val="0"/>
        <w:spacing w:line="240" w:lineRule="auto"/>
        <w:rPr>
          <w:rFonts w:cs="Arial"/>
          <w:b/>
        </w:rPr>
      </w:pPr>
    </w:p>
    <w:p w:rsidR="00226432" w:rsidRPr="003006D9" w:rsidRDefault="00226432" w:rsidP="000A295E">
      <w:pPr>
        <w:widowControl w:val="0"/>
        <w:autoSpaceDE w:val="0"/>
        <w:autoSpaceDN w:val="0"/>
        <w:adjustRightInd w:val="0"/>
        <w:spacing w:line="240" w:lineRule="auto"/>
        <w:rPr>
          <w:rFonts w:cs="Arial"/>
          <w:b/>
        </w:rPr>
      </w:pPr>
    </w:p>
    <w:p w:rsidR="00226432" w:rsidRPr="003006D9" w:rsidRDefault="00226432" w:rsidP="000A295E">
      <w:pPr>
        <w:widowControl w:val="0"/>
        <w:autoSpaceDE w:val="0"/>
        <w:autoSpaceDN w:val="0"/>
        <w:adjustRightInd w:val="0"/>
        <w:spacing w:line="240" w:lineRule="auto"/>
        <w:rPr>
          <w:rFonts w:cs="Arial"/>
          <w:b/>
        </w:rPr>
      </w:pPr>
    </w:p>
    <w:p w:rsidR="00BA77BD" w:rsidRPr="003006D9" w:rsidRDefault="00BA77BD" w:rsidP="00A657D0">
      <w:pPr>
        <w:widowControl w:val="0"/>
        <w:autoSpaceDE w:val="0"/>
        <w:autoSpaceDN w:val="0"/>
        <w:adjustRightInd w:val="0"/>
        <w:spacing w:line="240" w:lineRule="auto"/>
        <w:rPr>
          <w:rFonts w:cs="Arial"/>
        </w:rPr>
      </w:pPr>
      <w:r w:rsidRPr="003006D9">
        <w:rPr>
          <w:rFonts w:cs="Arial"/>
          <w:b/>
        </w:rPr>
        <w:t>Temas</w:t>
      </w:r>
      <w:r w:rsidR="007E5C64" w:rsidRPr="003006D9">
        <w:rPr>
          <w:rFonts w:cs="Arial"/>
        </w:rPr>
        <w:t xml:space="preserve">: </w:t>
      </w:r>
      <w:r w:rsidR="00A06389" w:rsidRPr="003006D9">
        <w:rPr>
          <w:rFonts w:cs="Arial"/>
        </w:rPr>
        <w:t xml:space="preserve">SELECCIÓN ABREVIADA – </w:t>
      </w:r>
      <w:r w:rsidR="00C12B3F" w:rsidRPr="003006D9">
        <w:rPr>
          <w:rFonts w:cs="Arial"/>
        </w:rPr>
        <w:t xml:space="preserve">Enajenación onerosa </w:t>
      </w:r>
      <w:r w:rsidR="00062001" w:rsidRPr="003006D9">
        <w:rPr>
          <w:rFonts w:cs="Arial"/>
        </w:rPr>
        <w:t xml:space="preserve">de bienes del Estado  - </w:t>
      </w:r>
      <w:r w:rsidR="00A06389" w:rsidRPr="003006D9">
        <w:rPr>
          <w:rFonts w:cs="Arial"/>
        </w:rPr>
        <w:t>avalúo y precio mínimo de venta</w:t>
      </w:r>
      <w:r w:rsidR="006850BD" w:rsidRPr="003006D9">
        <w:rPr>
          <w:rFonts w:cs="Arial"/>
        </w:rPr>
        <w:t xml:space="preserve"> </w:t>
      </w:r>
      <w:r w:rsidR="00C12B3F" w:rsidRPr="003006D9">
        <w:rPr>
          <w:rFonts w:cs="Arial"/>
        </w:rPr>
        <w:t>–</w:t>
      </w:r>
      <w:r w:rsidR="007E5C64" w:rsidRPr="003006D9">
        <w:rPr>
          <w:rFonts w:cs="Arial"/>
        </w:rPr>
        <w:t xml:space="preserve"> </w:t>
      </w:r>
      <w:r w:rsidR="00C12B3F" w:rsidRPr="003006D9">
        <w:rPr>
          <w:rFonts w:cs="Arial"/>
        </w:rPr>
        <w:t xml:space="preserve">omisión </w:t>
      </w:r>
      <w:r w:rsidR="002957B3" w:rsidRPr="003006D9">
        <w:rPr>
          <w:rFonts w:cs="Arial"/>
        </w:rPr>
        <w:t xml:space="preserve">de requisitos de publicidad </w:t>
      </w:r>
      <w:r w:rsidR="00062001" w:rsidRPr="003006D9">
        <w:rPr>
          <w:rFonts w:cs="Arial"/>
        </w:rPr>
        <w:t xml:space="preserve">sobre el </w:t>
      </w:r>
      <w:r w:rsidR="002957B3" w:rsidRPr="003006D9">
        <w:rPr>
          <w:rFonts w:cs="Arial"/>
        </w:rPr>
        <w:t xml:space="preserve">precio </w:t>
      </w:r>
      <w:r w:rsidR="00062001" w:rsidRPr="003006D9">
        <w:rPr>
          <w:rFonts w:cs="Arial"/>
        </w:rPr>
        <w:t xml:space="preserve">base </w:t>
      </w:r>
      <w:r w:rsidR="002957B3" w:rsidRPr="003006D9">
        <w:rPr>
          <w:rFonts w:cs="Arial"/>
        </w:rPr>
        <w:t>genera la nulidad</w:t>
      </w:r>
      <w:r w:rsidR="006850BD" w:rsidRPr="003006D9">
        <w:rPr>
          <w:rFonts w:cs="Arial"/>
        </w:rPr>
        <w:t xml:space="preserve"> </w:t>
      </w:r>
      <w:r w:rsidR="007C6DB3" w:rsidRPr="003006D9">
        <w:rPr>
          <w:rFonts w:cs="Arial"/>
        </w:rPr>
        <w:t xml:space="preserve">/ </w:t>
      </w:r>
      <w:r w:rsidR="00C12B3F" w:rsidRPr="003006D9">
        <w:rPr>
          <w:rFonts w:cs="Arial"/>
        </w:rPr>
        <w:t xml:space="preserve">SUBASTA DIRECTA - </w:t>
      </w:r>
      <w:r w:rsidR="002957B3" w:rsidRPr="003006D9">
        <w:rPr>
          <w:rFonts w:cs="Arial"/>
        </w:rPr>
        <w:t xml:space="preserve">No es ilegal la subasta </w:t>
      </w:r>
      <w:r w:rsidR="00062001" w:rsidRPr="003006D9">
        <w:rPr>
          <w:rFonts w:cs="Arial"/>
        </w:rPr>
        <w:t xml:space="preserve">electrónica </w:t>
      </w:r>
      <w:r w:rsidR="002957B3" w:rsidRPr="003006D9">
        <w:rPr>
          <w:rFonts w:cs="Arial"/>
        </w:rPr>
        <w:t>con un único proponente</w:t>
      </w:r>
      <w:r w:rsidR="007C6DB3" w:rsidRPr="003006D9">
        <w:rPr>
          <w:rFonts w:cs="Arial"/>
        </w:rPr>
        <w:t xml:space="preserve"> / ACCIÓN DE LESIVIDAD – configuración en el presente caso - análisis de los perjuicios causados al adjudicatario. </w:t>
      </w:r>
    </w:p>
    <w:p w:rsidR="00BA77BD" w:rsidRPr="003006D9" w:rsidRDefault="00BA77BD" w:rsidP="00A657D0">
      <w:pPr>
        <w:widowControl w:val="0"/>
        <w:autoSpaceDE w:val="0"/>
        <w:autoSpaceDN w:val="0"/>
        <w:adjustRightInd w:val="0"/>
        <w:spacing w:line="240" w:lineRule="auto"/>
        <w:ind w:hanging="2124"/>
        <w:rPr>
          <w:rFonts w:cs="Arial"/>
        </w:rPr>
      </w:pPr>
    </w:p>
    <w:p w:rsidR="0002254D" w:rsidRPr="003006D9" w:rsidRDefault="0002254D" w:rsidP="00930E5C">
      <w:pPr>
        <w:widowControl w:val="0"/>
        <w:autoSpaceDE w:val="0"/>
        <w:autoSpaceDN w:val="0"/>
        <w:adjustRightInd w:val="0"/>
        <w:rPr>
          <w:rFonts w:cs="Arial"/>
        </w:rPr>
      </w:pPr>
    </w:p>
    <w:p w:rsidR="0002254D" w:rsidRPr="003006D9" w:rsidRDefault="0002254D" w:rsidP="0002254D">
      <w:pPr>
        <w:rPr>
          <w:rFonts w:cs="Arial"/>
          <w:lang w:val="es-CO"/>
        </w:rPr>
      </w:pPr>
      <w:r w:rsidRPr="003006D9">
        <w:rPr>
          <w:rFonts w:cs="Arial"/>
        </w:rPr>
        <w:t xml:space="preserve">En primer lugar, se decide sobre el escrito contentivo del impedimento presentado por el </w:t>
      </w:r>
      <w:r w:rsidRPr="003006D9">
        <w:rPr>
          <w:rFonts w:cs="Arial"/>
          <w:lang w:val="es-CO"/>
        </w:rPr>
        <w:t>Consejero Carlos Alberto Zambrano Barrera, mediante el cual puso en conocimiento que para el presente caso se encontraba en la causal de impedimento consagrada en el numeral 1 del artículo 150 del Código de Procedimiento Civil, de acuerdo con lo que se detalla en su solicitud.</w:t>
      </w:r>
    </w:p>
    <w:p w:rsidR="0002254D" w:rsidRPr="003006D9" w:rsidRDefault="0002254D" w:rsidP="00930E5C">
      <w:pPr>
        <w:widowControl w:val="0"/>
        <w:autoSpaceDE w:val="0"/>
        <w:autoSpaceDN w:val="0"/>
        <w:adjustRightInd w:val="0"/>
        <w:rPr>
          <w:rFonts w:cs="Arial"/>
        </w:rPr>
      </w:pPr>
    </w:p>
    <w:p w:rsidR="0002254D" w:rsidRPr="003006D9" w:rsidRDefault="0002254D" w:rsidP="00930E5C">
      <w:pPr>
        <w:widowControl w:val="0"/>
        <w:autoSpaceDE w:val="0"/>
        <w:autoSpaceDN w:val="0"/>
        <w:adjustRightInd w:val="0"/>
        <w:rPr>
          <w:rFonts w:cs="Arial"/>
        </w:rPr>
      </w:pPr>
      <w:r w:rsidRPr="003006D9">
        <w:rPr>
          <w:rFonts w:cs="Arial"/>
        </w:rPr>
        <w:t>En atención a lo manifestado por el honorable Consejero se acepta el impedimento.</w:t>
      </w:r>
    </w:p>
    <w:p w:rsidR="0002254D" w:rsidRPr="003006D9" w:rsidRDefault="0002254D" w:rsidP="00930E5C">
      <w:pPr>
        <w:widowControl w:val="0"/>
        <w:autoSpaceDE w:val="0"/>
        <w:autoSpaceDN w:val="0"/>
        <w:adjustRightInd w:val="0"/>
        <w:rPr>
          <w:rFonts w:cs="Arial"/>
        </w:rPr>
      </w:pPr>
      <w:r w:rsidRPr="003006D9">
        <w:rPr>
          <w:rFonts w:cs="Arial"/>
        </w:rPr>
        <w:t xml:space="preserve"> </w:t>
      </w:r>
    </w:p>
    <w:p w:rsidR="00F21484" w:rsidRPr="003006D9" w:rsidRDefault="00F21484" w:rsidP="00930E5C">
      <w:pPr>
        <w:widowControl w:val="0"/>
        <w:autoSpaceDE w:val="0"/>
        <w:autoSpaceDN w:val="0"/>
        <w:adjustRightInd w:val="0"/>
        <w:rPr>
          <w:rFonts w:cs="Arial"/>
        </w:rPr>
      </w:pPr>
      <w:r w:rsidRPr="003006D9">
        <w:rPr>
          <w:rFonts w:cs="Arial"/>
        </w:rPr>
        <w:t xml:space="preserve">Conoce la Sala </w:t>
      </w:r>
      <w:r w:rsidR="00C71714" w:rsidRPr="003006D9">
        <w:rPr>
          <w:rFonts w:cs="Arial"/>
        </w:rPr>
        <w:t>el</w:t>
      </w:r>
      <w:r w:rsidR="00F53FED" w:rsidRPr="003006D9">
        <w:rPr>
          <w:rFonts w:cs="Arial"/>
        </w:rPr>
        <w:t xml:space="preserve"> recurso de apelación presentado</w:t>
      </w:r>
      <w:r w:rsidR="00021148" w:rsidRPr="003006D9">
        <w:rPr>
          <w:rFonts w:cs="Arial"/>
        </w:rPr>
        <w:t xml:space="preserve"> por la parte</w:t>
      </w:r>
      <w:r w:rsidR="00C71714" w:rsidRPr="003006D9">
        <w:rPr>
          <w:rFonts w:cs="Arial"/>
        </w:rPr>
        <w:t xml:space="preserve"> </w:t>
      </w:r>
      <w:r w:rsidR="00B21B74" w:rsidRPr="003006D9">
        <w:rPr>
          <w:rFonts w:cs="Arial"/>
        </w:rPr>
        <w:t xml:space="preserve">demandante </w:t>
      </w:r>
      <w:r w:rsidR="00C71714" w:rsidRPr="003006D9">
        <w:rPr>
          <w:rFonts w:cs="Arial"/>
        </w:rPr>
        <w:t xml:space="preserve"> </w:t>
      </w:r>
      <w:r w:rsidR="00F53FED" w:rsidRPr="003006D9">
        <w:rPr>
          <w:rFonts w:cs="Arial"/>
        </w:rPr>
        <w:t>contra</w:t>
      </w:r>
      <w:r w:rsidR="00E875E6" w:rsidRPr="003006D9">
        <w:rPr>
          <w:rFonts w:cs="Arial"/>
        </w:rPr>
        <w:t xml:space="preserve"> la sentencia proferida por </w:t>
      </w:r>
      <w:r w:rsidR="007E4317" w:rsidRPr="003006D9">
        <w:rPr>
          <w:rFonts w:cs="Arial"/>
        </w:rPr>
        <w:t>el Tribunal Administrativo de</w:t>
      </w:r>
      <w:r w:rsidR="005445E9" w:rsidRPr="003006D9">
        <w:rPr>
          <w:rFonts w:cs="Arial"/>
        </w:rPr>
        <w:t xml:space="preserve"> </w:t>
      </w:r>
      <w:r w:rsidR="00930E5C" w:rsidRPr="003006D9">
        <w:rPr>
          <w:rFonts w:cs="Arial"/>
        </w:rPr>
        <w:t>Cundinamarca</w:t>
      </w:r>
      <w:r w:rsidR="00346B74" w:rsidRPr="003006D9">
        <w:rPr>
          <w:rFonts w:cs="Arial"/>
        </w:rPr>
        <w:t>,</w:t>
      </w:r>
      <w:r w:rsidR="005114BC" w:rsidRPr="003006D9">
        <w:rPr>
          <w:rFonts w:cs="Arial"/>
        </w:rPr>
        <w:t xml:space="preserve"> </w:t>
      </w:r>
      <w:r w:rsidR="00E875E6" w:rsidRPr="003006D9">
        <w:rPr>
          <w:rFonts w:cs="Arial"/>
        </w:rPr>
        <w:t xml:space="preserve">el </w:t>
      </w:r>
      <w:r w:rsidR="00930E5C" w:rsidRPr="003006D9">
        <w:rPr>
          <w:rFonts w:cs="Arial"/>
        </w:rPr>
        <w:t>9 de abril de 2014</w:t>
      </w:r>
      <w:r w:rsidRPr="003006D9">
        <w:rPr>
          <w:rFonts w:cs="Arial"/>
        </w:rPr>
        <w:t>, mediante la cual se dispuso:</w:t>
      </w:r>
    </w:p>
    <w:p w:rsidR="00C71714" w:rsidRPr="003006D9" w:rsidRDefault="00C71714" w:rsidP="00930E5C">
      <w:pPr>
        <w:pStyle w:val="Textoindependienteprimerasangra2"/>
        <w:ind w:left="0" w:firstLine="0"/>
        <w:jc w:val="left"/>
        <w:rPr>
          <w:rFonts w:cs="Arial"/>
          <w:b/>
          <w:i/>
        </w:rPr>
      </w:pPr>
    </w:p>
    <w:p w:rsidR="00D158A8" w:rsidRPr="003006D9" w:rsidRDefault="00312E2A" w:rsidP="0058004A">
      <w:pPr>
        <w:pStyle w:val="Textoindependienteprimerasangra2"/>
        <w:spacing w:line="276" w:lineRule="auto"/>
        <w:ind w:left="567" w:right="567" w:firstLine="0"/>
        <w:rPr>
          <w:rFonts w:cs="Arial"/>
          <w:i/>
        </w:rPr>
      </w:pPr>
      <w:r w:rsidRPr="003006D9">
        <w:rPr>
          <w:rFonts w:cs="Arial"/>
          <w:i/>
        </w:rPr>
        <w:t>“</w:t>
      </w:r>
      <w:r w:rsidR="00B5552A" w:rsidRPr="003006D9">
        <w:rPr>
          <w:rFonts w:cs="Arial"/>
          <w:b/>
          <w:i/>
        </w:rPr>
        <w:t xml:space="preserve">PRIMERO: Declárase </w:t>
      </w:r>
      <w:r w:rsidR="00B5552A" w:rsidRPr="003006D9">
        <w:rPr>
          <w:rFonts w:cs="Arial"/>
          <w:i/>
        </w:rPr>
        <w:t>la nulidad del proceso contractual No. GC-SA-01-032-2010,</w:t>
      </w:r>
      <w:r w:rsidR="000D3577" w:rsidRPr="003006D9">
        <w:rPr>
          <w:rFonts w:cs="Arial"/>
          <w:i/>
        </w:rPr>
        <w:t xml:space="preserve"> </w:t>
      </w:r>
      <w:r w:rsidR="00B5552A" w:rsidRPr="003006D9">
        <w:rPr>
          <w:rFonts w:cs="Arial"/>
          <w:i/>
        </w:rPr>
        <w:t xml:space="preserve">cuyo objeto consistía en seleccionar a la persona natural o </w:t>
      </w:r>
      <w:r w:rsidR="006D007C" w:rsidRPr="003006D9">
        <w:rPr>
          <w:rFonts w:cs="Arial"/>
          <w:i/>
        </w:rPr>
        <w:t xml:space="preserve">jurídica que presentara la mejor oferta para la compra del bien inmueble de propiedad del Instituto Colombiano Agropecuario ICA, denominado </w:t>
      </w:r>
      <w:r w:rsidR="00EB6540" w:rsidRPr="003006D9">
        <w:rPr>
          <w:rFonts w:cs="Arial"/>
          <w:i/>
        </w:rPr>
        <w:t>‘</w:t>
      </w:r>
      <w:r w:rsidR="006D007C" w:rsidRPr="003006D9">
        <w:rPr>
          <w:rFonts w:cs="Arial"/>
          <w:i/>
        </w:rPr>
        <w:t xml:space="preserve">El Mira, ubicado en el municipio de Tumaco </w:t>
      </w:r>
      <w:r w:rsidR="00F31BA2" w:rsidRPr="003006D9">
        <w:rPr>
          <w:rFonts w:cs="Arial"/>
          <w:i/>
        </w:rPr>
        <w:t>– Nariño</w:t>
      </w:r>
      <w:r w:rsidR="00D158A8" w:rsidRPr="003006D9">
        <w:rPr>
          <w:rFonts w:cs="Arial"/>
          <w:i/>
        </w:rPr>
        <w:t xml:space="preserve">, de conformidad a lo expuesto en la parte motiva de la presente providencia. </w:t>
      </w:r>
    </w:p>
    <w:p w:rsidR="00D158A8" w:rsidRPr="003006D9" w:rsidRDefault="00D158A8" w:rsidP="0058004A">
      <w:pPr>
        <w:pStyle w:val="Textoindependienteprimerasangra2"/>
        <w:spacing w:line="276" w:lineRule="auto"/>
        <w:ind w:left="567" w:right="567" w:firstLine="0"/>
        <w:rPr>
          <w:rFonts w:cs="Arial"/>
          <w:i/>
        </w:rPr>
      </w:pPr>
    </w:p>
    <w:p w:rsidR="001A45EE" w:rsidRPr="003006D9" w:rsidRDefault="002F5F8F" w:rsidP="0058004A">
      <w:pPr>
        <w:pStyle w:val="Textoindependienteprimerasangra2"/>
        <w:spacing w:line="276" w:lineRule="auto"/>
        <w:ind w:left="567" w:right="567" w:firstLine="0"/>
        <w:rPr>
          <w:rFonts w:cs="Arial"/>
          <w:i/>
        </w:rPr>
      </w:pPr>
      <w:r w:rsidRPr="003006D9">
        <w:rPr>
          <w:rFonts w:cs="Arial"/>
          <w:i/>
        </w:rPr>
        <w:t>“</w:t>
      </w:r>
      <w:r w:rsidR="00D158A8" w:rsidRPr="003006D9">
        <w:rPr>
          <w:rFonts w:cs="Arial"/>
          <w:b/>
          <w:i/>
        </w:rPr>
        <w:t>SEGUNDO:</w:t>
      </w:r>
      <w:r w:rsidR="00D158A8" w:rsidRPr="003006D9">
        <w:rPr>
          <w:rFonts w:cs="Arial"/>
          <w:i/>
        </w:rPr>
        <w:t xml:space="preserve"> Como consecuencia de la anterior declaración, se procede a dejar sin efecto la promesa de compraventa N</w:t>
      </w:r>
      <w:r w:rsidR="00EB6540" w:rsidRPr="003006D9">
        <w:rPr>
          <w:rFonts w:cs="Arial"/>
          <w:i/>
        </w:rPr>
        <w:t>o</w:t>
      </w:r>
      <w:r w:rsidR="00D158A8" w:rsidRPr="003006D9">
        <w:rPr>
          <w:rFonts w:cs="Arial"/>
          <w:i/>
        </w:rPr>
        <w:t>.</w:t>
      </w:r>
      <w:r w:rsidR="00AD6766" w:rsidRPr="003006D9">
        <w:rPr>
          <w:rFonts w:cs="Arial"/>
          <w:i/>
        </w:rPr>
        <w:t xml:space="preserve"> </w:t>
      </w:r>
      <w:r w:rsidR="00D158A8" w:rsidRPr="003006D9">
        <w:rPr>
          <w:rFonts w:cs="Arial"/>
          <w:i/>
        </w:rPr>
        <w:t>002 de 30 de septiembre de 2010</w:t>
      </w:r>
      <w:r w:rsidR="00E13754" w:rsidRPr="003006D9">
        <w:rPr>
          <w:rFonts w:cs="Arial"/>
          <w:i/>
        </w:rPr>
        <w:t xml:space="preserve"> y el Otrosí No.</w:t>
      </w:r>
      <w:r w:rsidR="00AD6766" w:rsidRPr="003006D9">
        <w:rPr>
          <w:rFonts w:cs="Arial"/>
          <w:i/>
        </w:rPr>
        <w:t xml:space="preserve"> </w:t>
      </w:r>
      <w:r w:rsidR="00E13754" w:rsidRPr="003006D9">
        <w:rPr>
          <w:rFonts w:cs="Arial"/>
          <w:i/>
        </w:rPr>
        <w:t>01 de 2010, de conformidad a lo expuesto en la parte motiva de la presente providencia.</w:t>
      </w:r>
    </w:p>
    <w:p w:rsidR="00E13754" w:rsidRPr="003006D9" w:rsidRDefault="00E13754" w:rsidP="0058004A">
      <w:pPr>
        <w:pStyle w:val="Textoindependienteprimerasangra2"/>
        <w:spacing w:line="276" w:lineRule="auto"/>
        <w:ind w:left="567" w:right="567" w:firstLine="0"/>
        <w:rPr>
          <w:rFonts w:cs="Arial"/>
          <w:i/>
        </w:rPr>
      </w:pPr>
    </w:p>
    <w:p w:rsidR="00E13754" w:rsidRPr="003006D9" w:rsidRDefault="00E13754" w:rsidP="0058004A">
      <w:pPr>
        <w:pStyle w:val="Textoindependienteprimerasangra2"/>
        <w:spacing w:line="276" w:lineRule="auto"/>
        <w:ind w:left="567" w:right="567" w:firstLine="0"/>
        <w:rPr>
          <w:rFonts w:cs="Arial"/>
          <w:i/>
        </w:rPr>
      </w:pPr>
      <w:r w:rsidRPr="003006D9">
        <w:rPr>
          <w:rFonts w:cs="Arial"/>
          <w:i/>
        </w:rPr>
        <w:t>“</w:t>
      </w:r>
      <w:r w:rsidRPr="003006D9">
        <w:rPr>
          <w:rFonts w:cs="Arial"/>
          <w:b/>
          <w:i/>
        </w:rPr>
        <w:t>TERCERO</w:t>
      </w:r>
      <w:r w:rsidRPr="003006D9">
        <w:rPr>
          <w:rFonts w:cs="Arial"/>
          <w:i/>
        </w:rPr>
        <w:t>: Ordénese al Instituto Colombiano de Agricultura – ICA- la devolución total de los cuatro mil ciento sesenta y cinco millones de pesos  m/cte ($4.165’000.000.oo</w:t>
      </w:r>
      <w:r w:rsidR="00934C76" w:rsidRPr="003006D9">
        <w:rPr>
          <w:rFonts w:cs="Arial"/>
          <w:i/>
        </w:rPr>
        <w:t>)</w:t>
      </w:r>
      <w:r w:rsidR="0024291D" w:rsidRPr="003006D9">
        <w:rPr>
          <w:rFonts w:cs="Arial"/>
          <w:i/>
        </w:rPr>
        <w:t>,</w:t>
      </w:r>
      <w:r w:rsidRPr="003006D9">
        <w:rPr>
          <w:rFonts w:cs="Arial"/>
          <w:i/>
        </w:rPr>
        <w:t xml:space="preserve"> consignados por la Federación Nacional de Cultivadores de Palma de Aceite – FEDEPALMA-.</w:t>
      </w:r>
    </w:p>
    <w:p w:rsidR="00E13754" w:rsidRPr="003006D9" w:rsidRDefault="00E13754" w:rsidP="0058004A">
      <w:pPr>
        <w:pStyle w:val="Textoindependienteprimerasangra2"/>
        <w:spacing w:line="276" w:lineRule="auto"/>
        <w:ind w:left="567" w:right="567" w:firstLine="0"/>
        <w:rPr>
          <w:rFonts w:cs="Arial"/>
          <w:i/>
        </w:rPr>
      </w:pPr>
    </w:p>
    <w:p w:rsidR="00115515" w:rsidRPr="003006D9" w:rsidRDefault="000D3577" w:rsidP="0058004A">
      <w:pPr>
        <w:pStyle w:val="Textoindependienteprimerasangra2"/>
        <w:spacing w:line="276" w:lineRule="auto"/>
        <w:ind w:left="567" w:right="567" w:firstLine="0"/>
        <w:rPr>
          <w:rFonts w:cs="Arial"/>
          <w:i/>
        </w:rPr>
      </w:pPr>
      <w:r w:rsidRPr="003006D9">
        <w:rPr>
          <w:rFonts w:cs="Arial"/>
          <w:i/>
        </w:rPr>
        <w:t>“</w:t>
      </w:r>
      <w:r w:rsidR="00E13754" w:rsidRPr="003006D9">
        <w:rPr>
          <w:rFonts w:cs="Arial"/>
          <w:i/>
        </w:rPr>
        <w:t>Parágrafo</w:t>
      </w:r>
      <w:r w:rsidR="00115515" w:rsidRPr="003006D9">
        <w:rPr>
          <w:rFonts w:cs="Arial"/>
          <w:i/>
        </w:rPr>
        <w:t>: La anterior suma deberá ser actualizada de conformidad al [con el] índice de precios al consumidor (IPC) a la fecha en que se haga efectiva la sentencia</w:t>
      </w:r>
      <w:r w:rsidR="0062202D" w:rsidRPr="003006D9">
        <w:rPr>
          <w:rFonts w:cs="Arial"/>
          <w:i/>
        </w:rPr>
        <w:t>.</w:t>
      </w:r>
    </w:p>
    <w:p w:rsidR="00115515" w:rsidRPr="003006D9" w:rsidRDefault="00115515" w:rsidP="0058004A">
      <w:pPr>
        <w:pStyle w:val="Textoindependienteprimerasangra2"/>
        <w:spacing w:line="276" w:lineRule="auto"/>
        <w:ind w:left="567" w:right="567" w:firstLine="0"/>
        <w:rPr>
          <w:rFonts w:cs="Arial"/>
          <w:i/>
        </w:rPr>
      </w:pPr>
    </w:p>
    <w:p w:rsidR="00715E00" w:rsidRPr="003006D9" w:rsidRDefault="00115515" w:rsidP="0058004A">
      <w:pPr>
        <w:pStyle w:val="Textoindependienteprimerasangra2"/>
        <w:spacing w:line="276" w:lineRule="auto"/>
        <w:ind w:left="567" w:right="567" w:firstLine="0"/>
        <w:rPr>
          <w:rFonts w:cs="Arial"/>
          <w:i/>
        </w:rPr>
      </w:pPr>
      <w:r w:rsidRPr="003006D9">
        <w:rPr>
          <w:rFonts w:cs="Arial"/>
          <w:i/>
        </w:rPr>
        <w:t>“</w:t>
      </w:r>
      <w:r w:rsidRPr="003006D9">
        <w:rPr>
          <w:rFonts w:cs="Arial"/>
          <w:b/>
          <w:i/>
        </w:rPr>
        <w:t>CUARTO</w:t>
      </w:r>
      <w:r w:rsidRPr="003006D9">
        <w:rPr>
          <w:rFonts w:cs="Arial"/>
          <w:i/>
        </w:rPr>
        <w:t xml:space="preserve">: </w:t>
      </w:r>
      <w:r w:rsidR="00715E00" w:rsidRPr="003006D9">
        <w:rPr>
          <w:rFonts w:cs="Arial"/>
          <w:i/>
        </w:rPr>
        <w:t>Aceptar la renuncia del poder (…)</w:t>
      </w:r>
      <w:r w:rsidR="0024291D" w:rsidRPr="003006D9">
        <w:rPr>
          <w:rFonts w:cs="Arial"/>
          <w:i/>
        </w:rPr>
        <w:t>.</w:t>
      </w:r>
    </w:p>
    <w:p w:rsidR="00715E00" w:rsidRPr="003006D9" w:rsidRDefault="00715E00" w:rsidP="0058004A">
      <w:pPr>
        <w:pStyle w:val="Textoindependienteprimerasangra2"/>
        <w:spacing w:line="276" w:lineRule="auto"/>
        <w:ind w:left="567" w:right="567" w:firstLine="0"/>
        <w:rPr>
          <w:rFonts w:cs="Arial"/>
          <w:i/>
        </w:rPr>
      </w:pPr>
    </w:p>
    <w:p w:rsidR="00715E00" w:rsidRPr="003006D9" w:rsidRDefault="00715E00" w:rsidP="0058004A">
      <w:pPr>
        <w:pStyle w:val="Textoindependienteprimerasangra2"/>
        <w:spacing w:line="276" w:lineRule="auto"/>
        <w:ind w:left="567" w:right="567" w:firstLine="0"/>
        <w:rPr>
          <w:rFonts w:cs="Arial"/>
          <w:i/>
        </w:rPr>
      </w:pPr>
      <w:r w:rsidRPr="003006D9">
        <w:rPr>
          <w:rFonts w:cs="Arial"/>
          <w:i/>
        </w:rPr>
        <w:t>“</w:t>
      </w:r>
      <w:r w:rsidRPr="003006D9">
        <w:rPr>
          <w:rFonts w:cs="Arial"/>
          <w:b/>
          <w:i/>
        </w:rPr>
        <w:t>QUINTO</w:t>
      </w:r>
      <w:r w:rsidRPr="003006D9">
        <w:rPr>
          <w:rFonts w:cs="Arial"/>
          <w:i/>
        </w:rPr>
        <w:t>: Denegar las pretensiones de la demanda principal, de conformidad con lo expuesto en la parte motiva de la presente provide</w:t>
      </w:r>
      <w:r w:rsidR="0062202D" w:rsidRPr="003006D9">
        <w:rPr>
          <w:rFonts w:cs="Arial"/>
          <w:i/>
        </w:rPr>
        <w:t>n</w:t>
      </w:r>
      <w:r w:rsidRPr="003006D9">
        <w:rPr>
          <w:rFonts w:cs="Arial"/>
          <w:i/>
        </w:rPr>
        <w:t xml:space="preserve">cia. </w:t>
      </w:r>
    </w:p>
    <w:p w:rsidR="00715E00" w:rsidRPr="003006D9" w:rsidRDefault="00715E00" w:rsidP="0058004A">
      <w:pPr>
        <w:pStyle w:val="Textoindependienteprimerasangra2"/>
        <w:spacing w:line="276" w:lineRule="auto"/>
        <w:ind w:left="567" w:right="567" w:firstLine="0"/>
        <w:rPr>
          <w:rFonts w:cs="Arial"/>
          <w:i/>
        </w:rPr>
      </w:pPr>
    </w:p>
    <w:p w:rsidR="00934C76" w:rsidRPr="003006D9" w:rsidRDefault="00715E00" w:rsidP="0058004A">
      <w:pPr>
        <w:pStyle w:val="Textoindependienteprimerasangra2"/>
        <w:spacing w:line="276" w:lineRule="auto"/>
        <w:ind w:left="567" w:right="567" w:firstLine="0"/>
        <w:rPr>
          <w:rFonts w:cs="Arial"/>
          <w:i/>
        </w:rPr>
      </w:pPr>
      <w:r w:rsidRPr="003006D9">
        <w:rPr>
          <w:rFonts w:cs="Arial"/>
          <w:i/>
        </w:rPr>
        <w:t>“</w:t>
      </w:r>
      <w:r w:rsidRPr="003006D9">
        <w:rPr>
          <w:rFonts w:cs="Arial"/>
          <w:b/>
          <w:i/>
        </w:rPr>
        <w:t>SEX</w:t>
      </w:r>
      <w:r w:rsidR="0062202D" w:rsidRPr="003006D9">
        <w:rPr>
          <w:rFonts w:cs="Arial"/>
          <w:b/>
          <w:i/>
        </w:rPr>
        <w:t>TO</w:t>
      </w:r>
      <w:r w:rsidR="00FD29DC" w:rsidRPr="003006D9">
        <w:rPr>
          <w:rFonts w:cs="Arial"/>
          <w:i/>
        </w:rPr>
        <w:t>:</w:t>
      </w:r>
      <w:r w:rsidRPr="003006D9">
        <w:rPr>
          <w:rFonts w:cs="Arial"/>
          <w:i/>
        </w:rPr>
        <w:t xml:space="preserve"> Cúmplase lo dispuesto en esta providencia en los </w:t>
      </w:r>
      <w:r w:rsidR="0062202D" w:rsidRPr="003006D9">
        <w:rPr>
          <w:rFonts w:cs="Arial"/>
          <w:i/>
        </w:rPr>
        <w:t>té</w:t>
      </w:r>
      <w:r w:rsidR="00934C76" w:rsidRPr="003006D9">
        <w:rPr>
          <w:rFonts w:cs="Arial"/>
          <w:i/>
        </w:rPr>
        <w:t>r</w:t>
      </w:r>
      <w:r w:rsidR="0062202D" w:rsidRPr="003006D9">
        <w:rPr>
          <w:rFonts w:cs="Arial"/>
          <w:i/>
        </w:rPr>
        <w:t xml:space="preserve">minos </w:t>
      </w:r>
      <w:r w:rsidR="00934C76" w:rsidRPr="003006D9">
        <w:rPr>
          <w:rFonts w:cs="Arial"/>
          <w:i/>
        </w:rPr>
        <w:t>establecidos en los artículos 176 y 177 del Código de Contencioso Administrativo”</w:t>
      </w:r>
      <w:r w:rsidR="00934C76" w:rsidRPr="003006D9">
        <w:rPr>
          <w:rStyle w:val="Refdenotaalpie"/>
          <w:rFonts w:cs="Arial"/>
          <w:i/>
        </w:rPr>
        <w:footnoteReference w:id="1"/>
      </w:r>
      <w:r w:rsidR="00934C76" w:rsidRPr="003006D9">
        <w:rPr>
          <w:rFonts w:cs="Arial"/>
          <w:i/>
        </w:rPr>
        <w:t>.</w:t>
      </w:r>
    </w:p>
    <w:p w:rsidR="0015263D" w:rsidRPr="003006D9" w:rsidRDefault="0015263D" w:rsidP="0058004A">
      <w:pPr>
        <w:widowControl w:val="0"/>
        <w:autoSpaceDE w:val="0"/>
        <w:autoSpaceDN w:val="0"/>
        <w:adjustRightInd w:val="0"/>
        <w:spacing w:line="276" w:lineRule="auto"/>
        <w:ind w:left="851" w:right="567"/>
        <w:jc w:val="center"/>
        <w:rPr>
          <w:rFonts w:cs="Arial"/>
          <w:b/>
        </w:rPr>
      </w:pPr>
    </w:p>
    <w:p w:rsidR="000D3577" w:rsidRPr="003006D9" w:rsidRDefault="000D3577" w:rsidP="001A45EE">
      <w:pPr>
        <w:widowControl w:val="0"/>
        <w:autoSpaceDE w:val="0"/>
        <w:autoSpaceDN w:val="0"/>
        <w:adjustRightInd w:val="0"/>
        <w:spacing w:line="240" w:lineRule="auto"/>
        <w:ind w:left="851" w:right="567"/>
        <w:jc w:val="center"/>
        <w:rPr>
          <w:rFonts w:cs="Arial"/>
          <w:b/>
        </w:rPr>
      </w:pPr>
    </w:p>
    <w:p w:rsidR="00F21484" w:rsidRPr="003006D9" w:rsidRDefault="00F21484" w:rsidP="00F82E49">
      <w:pPr>
        <w:pStyle w:val="Lista"/>
        <w:jc w:val="center"/>
        <w:rPr>
          <w:rFonts w:ascii="Arial" w:hAnsi="Arial" w:cs="Arial"/>
          <w:b/>
        </w:rPr>
      </w:pPr>
      <w:r w:rsidRPr="003006D9">
        <w:rPr>
          <w:rFonts w:ascii="Arial" w:hAnsi="Arial" w:cs="Arial"/>
          <w:b/>
        </w:rPr>
        <w:t>I.</w:t>
      </w:r>
      <w:r w:rsidR="00E759BE" w:rsidRPr="003006D9">
        <w:rPr>
          <w:rFonts w:ascii="Arial" w:hAnsi="Arial" w:cs="Arial"/>
          <w:b/>
        </w:rPr>
        <w:tab/>
      </w:r>
      <w:r w:rsidRPr="003006D9">
        <w:rPr>
          <w:rFonts w:ascii="Arial" w:hAnsi="Arial" w:cs="Arial"/>
          <w:b/>
        </w:rPr>
        <w:t>A N T E C E D E N T E S</w:t>
      </w:r>
    </w:p>
    <w:p w:rsidR="00F00A7F" w:rsidRPr="003006D9" w:rsidRDefault="00F00A7F" w:rsidP="00F21484">
      <w:pPr>
        <w:rPr>
          <w:rFonts w:cs="Arial"/>
          <w:b/>
        </w:rPr>
      </w:pPr>
    </w:p>
    <w:p w:rsidR="00F21484" w:rsidRPr="003006D9" w:rsidRDefault="00F21484" w:rsidP="00F82E49">
      <w:pPr>
        <w:pStyle w:val="Lista2"/>
        <w:ind w:left="0" w:firstLine="0"/>
        <w:rPr>
          <w:rFonts w:cs="Arial"/>
          <w:b/>
        </w:rPr>
      </w:pPr>
      <w:r w:rsidRPr="003006D9">
        <w:rPr>
          <w:rFonts w:cs="Arial"/>
          <w:b/>
        </w:rPr>
        <w:t>1.</w:t>
      </w:r>
      <w:r w:rsidR="009D0836" w:rsidRPr="003006D9">
        <w:rPr>
          <w:rFonts w:cs="Arial"/>
          <w:b/>
        </w:rPr>
        <w:t xml:space="preserve"> </w:t>
      </w:r>
      <w:r w:rsidRPr="003006D9">
        <w:rPr>
          <w:rFonts w:cs="Arial"/>
          <w:b/>
        </w:rPr>
        <w:t>La demanda</w:t>
      </w:r>
    </w:p>
    <w:p w:rsidR="00F21484" w:rsidRPr="003006D9" w:rsidRDefault="00F21484" w:rsidP="00F21484">
      <w:pPr>
        <w:widowControl w:val="0"/>
        <w:autoSpaceDE w:val="0"/>
        <w:autoSpaceDN w:val="0"/>
        <w:adjustRightInd w:val="0"/>
        <w:rPr>
          <w:rFonts w:cs="Arial"/>
        </w:rPr>
      </w:pPr>
    </w:p>
    <w:p w:rsidR="003076F9" w:rsidRPr="003006D9" w:rsidRDefault="00F21484" w:rsidP="002001B2">
      <w:pPr>
        <w:pStyle w:val="Continuarlista2"/>
        <w:ind w:left="0"/>
        <w:rPr>
          <w:rFonts w:cs="Arial"/>
          <w:lang w:val="es-MX"/>
        </w:rPr>
      </w:pPr>
      <w:r w:rsidRPr="003006D9">
        <w:rPr>
          <w:rFonts w:cs="Arial"/>
        </w:rPr>
        <w:t>M</w:t>
      </w:r>
      <w:r w:rsidR="00EA0EB1" w:rsidRPr="003006D9">
        <w:rPr>
          <w:rFonts w:cs="Arial"/>
        </w:rPr>
        <w:t>ediante demanda presentada</w:t>
      </w:r>
      <w:r w:rsidR="00AA67A0" w:rsidRPr="003006D9">
        <w:rPr>
          <w:rFonts w:cs="Arial"/>
        </w:rPr>
        <w:t xml:space="preserve"> </w:t>
      </w:r>
      <w:r w:rsidR="00FD5088" w:rsidRPr="003006D9">
        <w:rPr>
          <w:rFonts w:cs="Arial"/>
        </w:rPr>
        <w:t xml:space="preserve">el </w:t>
      </w:r>
      <w:r w:rsidR="001B503C" w:rsidRPr="003006D9">
        <w:rPr>
          <w:rFonts w:cs="Arial"/>
        </w:rPr>
        <w:t>2</w:t>
      </w:r>
      <w:r w:rsidR="00807E22" w:rsidRPr="003006D9">
        <w:rPr>
          <w:rFonts w:cs="Arial"/>
        </w:rPr>
        <w:t>5</w:t>
      </w:r>
      <w:r w:rsidR="005F5CAA" w:rsidRPr="003006D9">
        <w:rPr>
          <w:rFonts w:cs="Arial"/>
        </w:rPr>
        <w:t xml:space="preserve"> </w:t>
      </w:r>
      <w:r w:rsidR="005E3893" w:rsidRPr="003006D9">
        <w:rPr>
          <w:rFonts w:cs="Arial"/>
        </w:rPr>
        <w:t>de abril de 20</w:t>
      </w:r>
      <w:r w:rsidR="00807E22" w:rsidRPr="003006D9">
        <w:rPr>
          <w:rFonts w:cs="Arial"/>
        </w:rPr>
        <w:t>11</w:t>
      </w:r>
      <w:r w:rsidR="001B503C" w:rsidRPr="003006D9">
        <w:rPr>
          <w:rStyle w:val="Refdenotaalpie"/>
          <w:rFonts w:cs="Arial"/>
        </w:rPr>
        <w:footnoteReference w:id="2"/>
      </w:r>
      <w:r w:rsidR="005E3893" w:rsidRPr="003006D9">
        <w:rPr>
          <w:rFonts w:cs="Arial"/>
        </w:rPr>
        <w:t xml:space="preserve">, </w:t>
      </w:r>
      <w:r w:rsidR="00807E22" w:rsidRPr="003006D9">
        <w:rPr>
          <w:rFonts w:cs="Arial"/>
        </w:rPr>
        <w:t>la Federación Nacional de Cultivadores de Aceite de Palma FEDEPALMA</w:t>
      </w:r>
      <w:r w:rsidR="00807E22" w:rsidRPr="003006D9">
        <w:rPr>
          <w:rStyle w:val="Refdenotaalpie"/>
          <w:rFonts w:cs="Arial"/>
        </w:rPr>
        <w:footnoteReference w:id="3"/>
      </w:r>
      <w:r w:rsidR="00B27AFF" w:rsidRPr="003006D9">
        <w:rPr>
          <w:rFonts w:cs="Arial"/>
        </w:rPr>
        <w:t xml:space="preserve">, </w:t>
      </w:r>
      <w:r w:rsidR="00F5352D" w:rsidRPr="003006D9">
        <w:rPr>
          <w:rFonts w:cs="Arial"/>
        </w:rPr>
        <w:t xml:space="preserve">en ejercicio </w:t>
      </w:r>
      <w:r w:rsidR="00FD5088" w:rsidRPr="003006D9">
        <w:rPr>
          <w:rFonts w:cs="Arial"/>
        </w:rPr>
        <w:t xml:space="preserve">de la acción </w:t>
      </w:r>
      <w:r w:rsidR="001144D2" w:rsidRPr="003006D9">
        <w:rPr>
          <w:rFonts w:cs="Arial"/>
        </w:rPr>
        <w:t xml:space="preserve">contractual prevista en </w:t>
      </w:r>
      <w:r w:rsidR="00C6529F" w:rsidRPr="003006D9">
        <w:rPr>
          <w:rFonts w:cs="Arial"/>
        </w:rPr>
        <w:t xml:space="preserve">el </w:t>
      </w:r>
      <w:r w:rsidR="007A0264" w:rsidRPr="003006D9">
        <w:rPr>
          <w:rFonts w:cs="Arial"/>
        </w:rPr>
        <w:t xml:space="preserve">artículo 87 del Código Contencioso Administrativo, </w:t>
      </w:r>
      <w:r w:rsidRPr="003006D9">
        <w:rPr>
          <w:rFonts w:cs="Arial"/>
        </w:rPr>
        <w:t>solicit</w:t>
      </w:r>
      <w:r w:rsidR="00AC64D6" w:rsidRPr="003006D9">
        <w:rPr>
          <w:rFonts w:cs="Arial"/>
        </w:rPr>
        <w:t>ó</w:t>
      </w:r>
      <w:r w:rsidRPr="003006D9">
        <w:rPr>
          <w:rFonts w:cs="Arial"/>
        </w:rPr>
        <w:t xml:space="preserve"> las siguientes declaraciones y condenas</w:t>
      </w:r>
      <w:r w:rsidR="00F5352D" w:rsidRPr="003006D9">
        <w:rPr>
          <w:rFonts w:cs="Arial"/>
        </w:rPr>
        <w:t xml:space="preserve"> contra</w:t>
      </w:r>
      <w:r w:rsidR="004B723D" w:rsidRPr="003006D9">
        <w:rPr>
          <w:rFonts w:cs="Arial"/>
        </w:rPr>
        <w:t xml:space="preserve"> </w:t>
      </w:r>
      <w:r w:rsidR="002E7905" w:rsidRPr="003006D9">
        <w:rPr>
          <w:rFonts w:cs="Arial"/>
        </w:rPr>
        <w:t>el Instituto Colombiano Agropecuario - ICA</w:t>
      </w:r>
      <w:r w:rsidR="002F5F8F" w:rsidRPr="003006D9">
        <w:rPr>
          <w:rStyle w:val="Refdenotaalpie"/>
          <w:rFonts w:cs="Arial"/>
        </w:rPr>
        <w:footnoteReference w:id="4"/>
      </w:r>
      <w:r w:rsidR="008D4E6C" w:rsidRPr="003006D9">
        <w:rPr>
          <w:rFonts w:cs="Arial"/>
        </w:rPr>
        <w:t xml:space="preserve">: </w:t>
      </w:r>
    </w:p>
    <w:p w:rsidR="005F5CAA" w:rsidRPr="003006D9" w:rsidRDefault="005F5CAA" w:rsidP="000D7FA5">
      <w:pPr>
        <w:pStyle w:val="Continuarlista2"/>
        <w:spacing w:line="276" w:lineRule="auto"/>
        <w:ind w:left="567" w:right="902"/>
        <w:rPr>
          <w:rFonts w:cs="Arial"/>
          <w:i/>
          <w:lang w:val="es-MX"/>
        </w:rPr>
      </w:pPr>
    </w:p>
    <w:p w:rsidR="00EB1B82" w:rsidRPr="003006D9" w:rsidRDefault="005E3893" w:rsidP="007B5595">
      <w:pPr>
        <w:pStyle w:val="Continuarlista2"/>
        <w:spacing w:line="276" w:lineRule="auto"/>
        <w:ind w:left="567" w:right="902"/>
        <w:rPr>
          <w:rFonts w:cs="Arial"/>
          <w:i/>
          <w:lang w:val="es-MX"/>
        </w:rPr>
      </w:pPr>
      <w:r w:rsidRPr="003006D9">
        <w:rPr>
          <w:rFonts w:cs="Arial"/>
          <w:i/>
          <w:lang w:val="es-MX"/>
        </w:rPr>
        <w:t>“</w:t>
      </w:r>
      <w:r w:rsidR="007B5595" w:rsidRPr="003006D9">
        <w:rPr>
          <w:rFonts w:cs="Arial"/>
          <w:b/>
          <w:i/>
          <w:lang w:val="es-MX"/>
        </w:rPr>
        <w:t>1.1.</w:t>
      </w:r>
      <w:r w:rsidR="007B5595" w:rsidRPr="003006D9">
        <w:rPr>
          <w:rFonts w:cs="Arial"/>
          <w:i/>
          <w:lang w:val="es-MX"/>
        </w:rPr>
        <w:t xml:space="preserve"> Declarar que desde el día 6 de noviembre de 2010, el Instituto Colombiano Agropecuario – ICA incumplió con el objeto y las obligaciones del </w:t>
      </w:r>
      <w:r w:rsidR="00B658D1" w:rsidRPr="003006D9">
        <w:rPr>
          <w:rFonts w:cs="Arial"/>
          <w:i/>
          <w:lang w:val="es-MX"/>
        </w:rPr>
        <w:t>contrato de Promesa de Compraventa No. 2 del 30 de septiembre de 2010 y su otrosí No. 1 del 27 de octubre de 2010</w:t>
      </w:r>
      <w:r w:rsidR="00EB1B82" w:rsidRPr="003006D9">
        <w:rPr>
          <w:rFonts w:cs="Arial"/>
          <w:i/>
          <w:lang w:val="es-MX"/>
        </w:rPr>
        <w:t xml:space="preserve">, debidamente celebrado y suscrito entre el Instituto Colombiano Agropecuario – ICA y la Federación Nacional de Cultivadores de Palma de Aceite – Fedepalma. </w:t>
      </w:r>
    </w:p>
    <w:p w:rsidR="00EB1B82" w:rsidRPr="003006D9" w:rsidRDefault="00EB1B82" w:rsidP="007B5595">
      <w:pPr>
        <w:pStyle w:val="Continuarlista2"/>
        <w:spacing w:line="276" w:lineRule="auto"/>
        <w:ind w:left="567" w:right="902"/>
        <w:rPr>
          <w:rFonts w:cs="Arial"/>
          <w:i/>
          <w:lang w:val="es-MX"/>
        </w:rPr>
      </w:pPr>
    </w:p>
    <w:p w:rsidR="00F9260F" w:rsidRPr="003006D9" w:rsidRDefault="00377063" w:rsidP="007B5595">
      <w:pPr>
        <w:pStyle w:val="Continuarlista2"/>
        <w:spacing w:line="276" w:lineRule="auto"/>
        <w:ind w:left="567" w:right="902"/>
        <w:rPr>
          <w:rFonts w:cs="Arial"/>
          <w:i/>
          <w:lang w:val="es-MX"/>
        </w:rPr>
      </w:pPr>
      <w:r w:rsidRPr="003006D9">
        <w:rPr>
          <w:rFonts w:cs="Arial"/>
          <w:i/>
          <w:lang w:val="es-MX"/>
        </w:rPr>
        <w:t>“</w:t>
      </w:r>
      <w:r w:rsidR="0055119E" w:rsidRPr="003006D9">
        <w:rPr>
          <w:rFonts w:cs="Arial"/>
          <w:i/>
          <w:lang w:val="es-MX"/>
        </w:rPr>
        <w:t>El objeto del Contrato de Promesa de Compraventa No. 2 del 30 de septiembre de 2010 y su otrosí N</w:t>
      </w:r>
      <w:r w:rsidR="000D3577" w:rsidRPr="003006D9">
        <w:rPr>
          <w:rFonts w:cs="Arial"/>
          <w:i/>
          <w:lang w:val="es-MX"/>
        </w:rPr>
        <w:t>o</w:t>
      </w:r>
      <w:r w:rsidR="0055119E" w:rsidRPr="003006D9">
        <w:rPr>
          <w:rFonts w:cs="Arial"/>
          <w:i/>
          <w:lang w:val="es-MX"/>
        </w:rPr>
        <w:t>. 1 del 27 de octubre de 2010 e</w:t>
      </w:r>
      <w:r w:rsidR="00F33720" w:rsidRPr="003006D9">
        <w:rPr>
          <w:rFonts w:cs="Arial"/>
          <w:i/>
          <w:lang w:val="es-MX"/>
        </w:rPr>
        <w:t>s</w:t>
      </w:r>
      <w:r w:rsidR="0055119E" w:rsidRPr="003006D9">
        <w:rPr>
          <w:rFonts w:cs="Arial"/>
          <w:i/>
          <w:lang w:val="es-MX"/>
        </w:rPr>
        <w:t xml:space="preserve"> la promesa de vender por parte del ICA y</w:t>
      </w:r>
      <w:r w:rsidR="00A26F91" w:rsidRPr="003006D9">
        <w:rPr>
          <w:rFonts w:cs="Arial"/>
          <w:i/>
          <w:lang w:val="es-MX"/>
        </w:rPr>
        <w:t xml:space="preserve"> la promesa de comprar por parte de </w:t>
      </w:r>
      <w:r w:rsidR="00671413" w:rsidRPr="003006D9">
        <w:rPr>
          <w:rFonts w:cs="Arial"/>
          <w:i/>
          <w:lang w:val="es-MX"/>
        </w:rPr>
        <w:t>F</w:t>
      </w:r>
      <w:r w:rsidR="00A26F91" w:rsidRPr="003006D9">
        <w:rPr>
          <w:rFonts w:cs="Arial"/>
          <w:i/>
          <w:lang w:val="es-MX"/>
        </w:rPr>
        <w:t xml:space="preserve">edepalma de: ‘a) El derecho </w:t>
      </w:r>
      <w:r w:rsidR="00671413" w:rsidRPr="003006D9">
        <w:rPr>
          <w:rFonts w:cs="Arial"/>
          <w:i/>
          <w:lang w:val="es-MX"/>
        </w:rPr>
        <w:t xml:space="preserve">pleno </w:t>
      </w:r>
      <w:r w:rsidR="00A26F91" w:rsidRPr="003006D9">
        <w:rPr>
          <w:rFonts w:cs="Arial"/>
          <w:i/>
          <w:lang w:val="es-MX"/>
        </w:rPr>
        <w:t>de dominio y propiedad que el primero de los nombrados tiene y ejerce sobre el bien inmueble consistente en predio rural, ubicado en el municipio de Tumaco – Nariño con área o extensión superficiaria</w:t>
      </w:r>
      <w:r w:rsidR="00D107FF" w:rsidRPr="003006D9">
        <w:rPr>
          <w:rFonts w:cs="Arial"/>
          <w:i/>
          <w:lang w:val="es-MX"/>
        </w:rPr>
        <w:t xml:space="preserve"> de 449 hectáreas </w:t>
      </w:r>
      <w:r w:rsidR="00671413" w:rsidRPr="003006D9">
        <w:rPr>
          <w:rFonts w:cs="Arial"/>
          <w:i/>
          <w:lang w:val="es-MX"/>
        </w:rPr>
        <w:t>más 8.500 mts2, tal y como consta en el avalúo realizado por la Lonja de Propiedad Raíz de Nariño y Putumayo</w:t>
      </w:r>
      <w:r w:rsidR="002F5F8F" w:rsidRPr="003006D9">
        <w:rPr>
          <w:rFonts w:cs="Arial"/>
          <w:i/>
          <w:lang w:val="es-MX"/>
        </w:rPr>
        <w:t>;</w:t>
      </w:r>
      <w:r w:rsidR="00D107FF" w:rsidRPr="003006D9">
        <w:rPr>
          <w:rFonts w:cs="Arial"/>
          <w:i/>
          <w:lang w:val="es-MX"/>
        </w:rPr>
        <w:t xml:space="preserve"> b) Posesión y mejoras que actualmente goza y tiene el PROMETIENTE VENDEDOR que se encuentra dentro de las demarcaciones del predio ‘El MIRA’ </w:t>
      </w:r>
      <w:r w:rsidR="00A924CE" w:rsidRPr="003006D9">
        <w:rPr>
          <w:rFonts w:cs="Arial"/>
          <w:i/>
          <w:lang w:val="es-MX"/>
        </w:rPr>
        <w:t xml:space="preserve">y que entre otros se encuentran identificados con los folios de matrícula </w:t>
      </w:r>
      <w:r w:rsidR="00A924CE" w:rsidRPr="003006D9">
        <w:rPr>
          <w:rFonts w:cs="Arial"/>
          <w:i/>
          <w:lang w:val="es-MX"/>
        </w:rPr>
        <w:lastRenderedPageBreak/>
        <w:t xml:space="preserve">inmobiliaria descritos en la cláusula segunda del presente contrato’. </w:t>
      </w:r>
      <w:r w:rsidR="00D107FF" w:rsidRPr="003006D9">
        <w:rPr>
          <w:rFonts w:cs="Arial"/>
          <w:i/>
          <w:lang w:val="es-MX"/>
        </w:rPr>
        <w:t>El área total del inmueb</w:t>
      </w:r>
      <w:r w:rsidR="00F9260F" w:rsidRPr="003006D9">
        <w:rPr>
          <w:rFonts w:cs="Arial"/>
          <w:i/>
          <w:lang w:val="es-MX"/>
        </w:rPr>
        <w:t>l</w:t>
      </w:r>
      <w:r w:rsidR="00D107FF" w:rsidRPr="003006D9">
        <w:rPr>
          <w:rFonts w:cs="Arial"/>
          <w:i/>
          <w:lang w:val="es-MX"/>
        </w:rPr>
        <w:t>e</w:t>
      </w:r>
      <w:r w:rsidR="00F9260F" w:rsidRPr="003006D9">
        <w:rPr>
          <w:rFonts w:cs="Arial"/>
          <w:i/>
          <w:lang w:val="es-MX"/>
        </w:rPr>
        <w:t>, conforme al pliego de condiciones, es de 540 hectáreas 500 metros.</w:t>
      </w:r>
    </w:p>
    <w:p w:rsidR="00EB1B82" w:rsidRPr="003006D9" w:rsidRDefault="00EB1B82" w:rsidP="007B5595">
      <w:pPr>
        <w:pStyle w:val="Continuarlista2"/>
        <w:spacing w:line="276" w:lineRule="auto"/>
        <w:ind w:left="567" w:right="902"/>
        <w:rPr>
          <w:rFonts w:cs="Arial"/>
          <w:i/>
          <w:lang w:val="es-MX"/>
        </w:rPr>
      </w:pPr>
    </w:p>
    <w:p w:rsidR="005F5CAA" w:rsidRPr="003006D9" w:rsidRDefault="00377063" w:rsidP="007B5595">
      <w:pPr>
        <w:pStyle w:val="Continuarlista2"/>
        <w:spacing w:line="276" w:lineRule="auto"/>
        <w:ind w:left="567" w:right="902"/>
        <w:rPr>
          <w:rFonts w:cs="Arial"/>
          <w:i/>
          <w:lang w:val="es-MX"/>
        </w:rPr>
      </w:pPr>
      <w:r w:rsidRPr="003006D9">
        <w:rPr>
          <w:rFonts w:cs="Arial"/>
          <w:i/>
          <w:lang w:val="es-MX"/>
        </w:rPr>
        <w:t>“</w:t>
      </w:r>
      <w:r w:rsidR="00EB1B82" w:rsidRPr="003006D9">
        <w:rPr>
          <w:rFonts w:cs="Arial"/>
          <w:i/>
          <w:lang w:val="es-MX"/>
        </w:rPr>
        <w:t>El Instituto Colombiano Agropecuario – ICA, entre o</w:t>
      </w:r>
      <w:r w:rsidR="00A10105" w:rsidRPr="003006D9">
        <w:rPr>
          <w:rFonts w:cs="Arial"/>
          <w:i/>
          <w:lang w:val="es-MX"/>
        </w:rPr>
        <w:t>t</w:t>
      </w:r>
      <w:r w:rsidR="00EB1B82" w:rsidRPr="003006D9">
        <w:rPr>
          <w:rFonts w:cs="Arial"/>
          <w:i/>
          <w:lang w:val="es-MX"/>
        </w:rPr>
        <w:t>ras , incumplió con las obligaciones previstas en la cláusula primera (objeto), cláusula quinta</w:t>
      </w:r>
      <w:r w:rsidR="00A10105" w:rsidRPr="003006D9">
        <w:rPr>
          <w:rFonts w:cs="Arial"/>
          <w:i/>
          <w:lang w:val="es-MX"/>
        </w:rPr>
        <w:t xml:space="preserve"> (cláusula penal), cláusula sexta (entrega), cláusula séptima (declaración), cl</w:t>
      </w:r>
      <w:r w:rsidR="00ED1FEE" w:rsidRPr="003006D9">
        <w:rPr>
          <w:rFonts w:cs="Arial"/>
          <w:i/>
          <w:lang w:val="es-MX"/>
        </w:rPr>
        <w:t>á</w:t>
      </w:r>
      <w:r w:rsidR="00A10105" w:rsidRPr="003006D9">
        <w:rPr>
          <w:rFonts w:cs="Arial"/>
          <w:i/>
          <w:lang w:val="es-MX"/>
        </w:rPr>
        <w:t>usula octava (gastos y costos de escrituración</w:t>
      </w:r>
      <w:r w:rsidR="00ED1FEE" w:rsidRPr="003006D9">
        <w:rPr>
          <w:rFonts w:cs="Arial"/>
          <w:i/>
          <w:lang w:val="es-MX"/>
        </w:rPr>
        <w:t xml:space="preserve"> y registro) y, particularmente la cláusula novena (escrituración), modificada por el otrosí No. 1 del 27 de octubre de 2010, que estableció el día 5 de noviembre de 2010 como la fecha máxima que debería suscribirse la escritura pública de compraventa, sin que, en la oportunidad prevista en el contrato y hasta el día de hoy, la obligación haya sido cumplida por el Instituto Colombiano Agropecuario – ICA.  </w:t>
      </w:r>
    </w:p>
    <w:p w:rsidR="00FF4C3A" w:rsidRPr="003006D9" w:rsidRDefault="00A314F2" w:rsidP="003D123C">
      <w:pPr>
        <w:pStyle w:val="Textoindependienteprimerasangra2"/>
        <w:tabs>
          <w:tab w:val="left" w:pos="7938"/>
        </w:tabs>
        <w:spacing w:line="240" w:lineRule="auto"/>
        <w:ind w:left="567" w:right="902" w:firstLine="0"/>
        <w:rPr>
          <w:rFonts w:cs="Arial"/>
          <w:i/>
        </w:rPr>
      </w:pPr>
      <w:r w:rsidRPr="003006D9">
        <w:rPr>
          <w:rFonts w:cs="Arial"/>
          <w:i/>
        </w:rPr>
        <w:t>”</w:t>
      </w:r>
      <w:r w:rsidR="00377063" w:rsidRPr="003006D9">
        <w:rPr>
          <w:rFonts w:cs="Arial"/>
          <w:b/>
          <w:i/>
        </w:rPr>
        <w:t>1.2.</w:t>
      </w:r>
      <w:r w:rsidR="00377063" w:rsidRPr="003006D9">
        <w:rPr>
          <w:rFonts w:cs="Arial"/>
          <w:i/>
        </w:rPr>
        <w:t xml:space="preserve"> Ordenar al Instituto Colombiano Agropecuario – ICA, que cumpla de manera integral e inmediata con todas las obligaciones que establece el contrato de promesa de compraventa No. 2 del 30 de septiembre de 2010 y su otrosí No. 1 del 27 </w:t>
      </w:r>
      <w:r w:rsidR="003D123C" w:rsidRPr="003006D9">
        <w:rPr>
          <w:rFonts w:cs="Arial"/>
          <w:i/>
        </w:rPr>
        <w:t xml:space="preserve">de octubre de 2010, específicamente, se cumpla con la suscripción inmediata de la escritura pública de compraventa del bien inmueble objeto del contrato de promesa de compraventa y se cumpla con la entrega material del inmueble objeto, </w:t>
      </w:r>
      <w:r w:rsidR="000B1FDB" w:rsidRPr="003006D9">
        <w:rPr>
          <w:rFonts w:cs="Arial"/>
          <w:i/>
        </w:rPr>
        <w:t>en favor de la Federación Nacional de Cultivadores de Palma de Aceite - Fedepalma</w:t>
      </w:r>
      <w:r w:rsidRPr="003006D9">
        <w:rPr>
          <w:rFonts w:cs="Arial"/>
          <w:i/>
        </w:rPr>
        <w:t>.</w:t>
      </w:r>
    </w:p>
    <w:p w:rsidR="000B1FDB" w:rsidRPr="003006D9" w:rsidRDefault="000B1FDB" w:rsidP="003D123C">
      <w:pPr>
        <w:pStyle w:val="Textoindependienteprimerasangra2"/>
        <w:tabs>
          <w:tab w:val="left" w:pos="7938"/>
        </w:tabs>
        <w:spacing w:line="240" w:lineRule="auto"/>
        <w:ind w:left="567" w:right="902" w:firstLine="0"/>
        <w:rPr>
          <w:rFonts w:cs="Arial"/>
          <w:i/>
        </w:rPr>
      </w:pPr>
    </w:p>
    <w:p w:rsidR="000B1FDB" w:rsidRPr="003006D9" w:rsidRDefault="000B1FDB" w:rsidP="003D123C">
      <w:pPr>
        <w:pStyle w:val="Textoindependienteprimerasangra2"/>
        <w:tabs>
          <w:tab w:val="left" w:pos="7938"/>
        </w:tabs>
        <w:spacing w:line="240" w:lineRule="auto"/>
        <w:ind w:left="567" w:right="902" w:firstLine="0"/>
        <w:rPr>
          <w:rFonts w:cs="Arial"/>
          <w:i/>
        </w:rPr>
      </w:pPr>
      <w:r w:rsidRPr="003006D9">
        <w:rPr>
          <w:rFonts w:cs="Arial"/>
          <w:i/>
        </w:rPr>
        <w:t>“</w:t>
      </w:r>
      <w:r w:rsidRPr="003006D9">
        <w:rPr>
          <w:rFonts w:cs="Arial"/>
          <w:b/>
          <w:i/>
        </w:rPr>
        <w:t>1.3.</w:t>
      </w:r>
      <w:r w:rsidRPr="003006D9">
        <w:rPr>
          <w:rFonts w:cs="Arial"/>
          <w:i/>
        </w:rPr>
        <w:t xml:space="preserve"> Ordenar al Instituto Colombiano Agropecuario – ICA, que pague en favor de la Federación Nac</w:t>
      </w:r>
      <w:r w:rsidR="004B229B" w:rsidRPr="003006D9">
        <w:rPr>
          <w:rFonts w:cs="Arial"/>
          <w:i/>
        </w:rPr>
        <w:t>i</w:t>
      </w:r>
      <w:r w:rsidRPr="003006D9">
        <w:rPr>
          <w:rFonts w:cs="Arial"/>
          <w:i/>
        </w:rPr>
        <w:t xml:space="preserve">onal de Cultivadores de Palma de Aceite – Fedepalma, el valor de la </w:t>
      </w:r>
      <w:r w:rsidR="004B229B" w:rsidRPr="003006D9">
        <w:rPr>
          <w:rFonts w:cs="Arial"/>
          <w:i/>
        </w:rPr>
        <w:t xml:space="preserve">cláusula penal pactada en la cláusula quinta del Contrato de Promesa de Compraventa No. 2 del 30 de septiembre de 2010 y su otrosí No. 1 del 27 de octubre de 2010, como consecuencia del claro incumplimiento a las obligaciones contractuales en que incurrió el Instituto Colombiano Agropecuario – ICA. </w:t>
      </w:r>
    </w:p>
    <w:p w:rsidR="00FD29DC" w:rsidRPr="003006D9" w:rsidRDefault="00FD29DC" w:rsidP="003D123C">
      <w:pPr>
        <w:pStyle w:val="Textoindependienteprimerasangra2"/>
        <w:tabs>
          <w:tab w:val="left" w:pos="7938"/>
        </w:tabs>
        <w:spacing w:line="240" w:lineRule="auto"/>
        <w:ind w:left="567" w:right="902" w:firstLine="0"/>
        <w:rPr>
          <w:rFonts w:cs="Arial"/>
          <w:i/>
        </w:rPr>
      </w:pPr>
    </w:p>
    <w:p w:rsidR="00FD29DC" w:rsidRPr="003006D9" w:rsidRDefault="008471AC" w:rsidP="003D123C">
      <w:pPr>
        <w:pStyle w:val="Textoindependienteprimerasangra2"/>
        <w:tabs>
          <w:tab w:val="left" w:pos="7938"/>
        </w:tabs>
        <w:spacing w:line="240" w:lineRule="auto"/>
        <w:ind w:left="567" w:right="902" w:firstLine="0"/>
        <w:rPr>
          <w:rFonts w:cs="Arial"/>
          <w:i/>
        </w:rPr>
      </w:pPr>
      <w:r w:rsidRPr="003006D9">
        <w:rPr>
          <w:rFonts w:cs="Arial"/>
          <w:i/>
        </w:rPr>
        <w:t>“</w:t>
      </w:r>
      <w:r w:rsidR="00054E39" w:rsidRPr="003006D9">
        <w:rPr>
          <w:rFonts w:cs="Arial"/>
          <w:i/>
        </w:rPr>
        <w:t xml:space="preserve">Ordenar que el pago que haga el Instituto Colombiano Agropecuario – ICA a favor de la Federación Nacional de Cultivadores de Palma de Aceite – Fedepalma, por concepto de cláusula penal, que conforme al contrato está tasada en un veinte por ciento (20%) </w:t>
      </w:r>
      <w:r w:rsidR="0060124A" w:rsidRPr="003006D9">
        <w:rPr>
          <w:rFonts w:cs="Arial"/>
          <w:i/>
        </w:rPr>
        <w:t>del valor total del inmueble</w:t>
      </w:r>
      <w:r w:rsidR="00CD032A" w:rsidRPr="003006D9">
        <w:rPr>
          <w:rFonts w:cs="Arial"/>
          <w:i/>
        </w:rPr>
        <w:t>, es decir la suma de ochocientos treinta y tres millones de pesos ($833’000.000,oo), se haga debidamente actualizado y con intereses moratorios a la máxima tasa legalmente permitida</w:t>
      </w:r>
      <w:r w:rsidR="004747DC" w:rsidRPr="003006D9">
        <w:rPr>
          <w:rFonts w:cs="Arial"/>
          <w:i/>
        </w:rPr>
        <w:t>, liquidados desde el 6 de noviembre de 2010, fecha en que se inició el incumplimiento del contrato.</w:t>
      </w:r>
      <w:r w:rsidR="00CD032A" w:rsidRPr="003006D9">
        <w:rPr>
          <w:rFonts w:cs="Arial"/>
          <w:i/>
        </w:rPr>
        <w:t xml:space="preserve"> </w:t>
      </w:r>
    </w:p>
    <w:p w:rsidR="004747DC" w:rsidRPr="003006D9" w:rsidRDefault="004747DC" w:rsidP="003D123C">
      <w:pPr>
        <w:pStyle w:val="Textoindependienteprimerasangra2"/>
        <w:tabs>
          <w:tab w:val="left" w:pos="7938"/>
        </w:tabs>
        <w:spacing w:line="240" w:lineRule="auto"/>
        <w:ind w:left="567" w:right="902" w:firstLine="0"/>
        <w:rPr>
          <w:rFonts w:cs="Arial"/>
          <w:i/>
        </w:rPr>
      </w:pPr>
    </w:p>
    <w:p w:rsidR="006B0AA0" w:rsidRPr="003006D9" w:rsidRDefault="008471AC" w:rsidP="003D123C">
      <w:pPr>
        <w:pStyle w:val="Textoindependienteprimerasangra2"/>
        <w:tabs>
          <w:tab w:val="left" w:pos="7938"/>
        </w:tabs>
        <w:spacing w:line="240" w:lineRule="auto"/>
        <w:ind w:left="567" w:right="902" w:firstLine="0"/>
        <w:rPr>
          <w:rFonts w:cs="Arial"/>
          <w:i/>
        </w:rPr>
      </w:pPr>
      <w:r w:rsidRPr="003006D9">
        <w:rPr>
          <w:rFonts w:cs="Arial"/>
          <w:i/>
        </w:rPr>
        <w:t>“</w:t>
      </w:r>
      <w:r w:rsidR="004747DC" w:rsidRPr="003006D9">
        <w:rPr>
          <w:rFonts w:cs="Arial"/>
          <w:i/>
        </w:rPr>
        <w:t>Que adicional a la orden que se imparta para que el Instituto Colombiano Agropecuario – ICA cumpla con el pago</w:t>
      </w:r>
      <w:r w:rsidR="006B0AA0" w:rsidRPr="003006D9">
        <w:rPr>
          <w:rFonts w:cs="Arial"/>
          <w:i/>
        </w:rPr>
        <w:t xml:space="preserve"> de la cláusula penal, se declare que esta se pactó con carácter sancionatorio, tal y como se concluye de la evaluación del texto contractual.</w:t>
      </w:r>
    </w:p>
    <w:p w:rsidR="006B0AA0" w:rsidRPr="003006D9" w:rsidRDefault="006B0AA0" w:rsidP="003D123C">
      <w:pPr>
        <w:pStyle w:val="Textoindependienteprimerasangra2"/>
        <w:tabs>
          <w:tab w:val="left" w:pos="7938"/>
        </w:tabs>
        <w:spacing w:line="240" w:lineRule="auto"/>
        <w:ind w:left="567" w:right="902" w:firstLine="0"/>
        <w:rPr>
          <w:rFonts w:cs="Arial"/>
          <w:i/>
        </w:rPr>
      </w:pPr>
    </w:p>
    <w:p w:rsidR="00C04582" w:rsidRPr="003006D9" w:rsidRDefault="008471AC" w:rsidP="003D123C">
      <w:pPr>
        <w:pStyle w:val="Textoindependienteprimerasangra2"/>
        <w:tabs>
          <w:tab w:val="left" w:pos="7938"/>
        </w:tabs>
        <w:spacing w:line="240" w:lineRule="auto"/>
        <w:ind w:left="567" w:right="902" w:firstLine="0"/>
        <w:rPr>
          <w:rFonts w:cs="Arial"/>
          <w:i/>
        </w:rPr>
      </w:pPr>
      <w:r w:rsidRPr="003006D9">
        <w:rPr>
          <w:rFonts w:cs="Arial"/>
          <w:i/>
        </w:rPr>
        <w:t>“</w:t>
      </w:r>
      <w:r w:rsidR="006B0AA0" w:rsidRPr="003006D9">
        <w:rPr>
          <w:rFonts w:cs="Arial"/>
          <w:i/>
        </w:rPr>
        <w:t xml:space="preserve">No obstante, en el evento que se considere </w:t>
      </w:r>
      <w:r w:rsidR="00C04582" w:rsidRPr="003006D9">
        <w:rPr>
          <w:rFonts w:cs="Arial"/>
          <w:i/>
        </w:rPr>
        <w:t xml:space="preserve">que la cláusula penal se pactó como tasación anticipada de indemnización de perjuicios, solicito condenar al ICA al pago de la cláusula penal más los valores </w:t>
      </w:r>
      <w:r w:rsidR="00C04582" w:rsidRPr="003006D9">
        <w:rPr>
          <w:rFonts w:cs="Arial"/>
          <w:i/>
        </w:rPr>
        <w:lastRenderedPageBreak/>
        <w:t xml:space="preserve">que por indemnización de perjuicios superen el monto de la cláusula penal. </w:t>
      </w:r>
    </w:p>
    <w:p w:rsidR="00D8521D" w:rsidRPr="003006D9" w:rsidRDefault="00D8521D" w:rsidP="003D123C">
      <w:pPr>
        <w:pStyle w:val="Textoindependienteprimerasangra2"/>
        <w:tabs>
          <w:tab w:val="left" w:pos="7938"/>
        </w:tabs>
        <w:spacing w:line="240" w:lineRule="auto"/>
        <w:ind w:left="567" w:right="902" w:firstLine="0"/>
        <w:rPr>
          <w:rFonts w:cs="Arial"/>
          <w:i/>
        </w:rPr>
      </w:pPr>
    </w:p>
    <w:p w:rsidR="003C61B3" w:rsidRPr="003006D9" w:rsidRDefault="008471AC" w:rsidP="003D123C">
      <w:pPr>
        <w:pStyle w:val="Textoindependienteprimerasangra2"/>
        <w:tabs>
          <w:tab w:val="left" w:pos="7938"/>
        </w:tabs>
        <w:spacing w:line="240" w:lineRule="auto"/>
        <w:ind w:left="567" w:right="902" w:firstLine="0"/>
        <w:rPr>
          <w:rFonts w:cs="Arial"/>
          <w:i/>
        </w:rPr>
      </w:pPr>
      <w:r w:rsidRPr="003006D9">
        <w:rPr>
          <w:rFonts w:cs="Arial"/>
          <w:i/>
        </w:rPr>
        <w:t>“</w:t>
      </w:r>
      <w:r w:rsidR="000C4D89" w:rsidRPr="003006D9">
        <w:rPr>
          <w:rFonts w:cs="Arial"/>
          <w:b/>
          <w:i/>
        </w:rPr>
        <w:t>1.4.</w:t>
      </w:r>
      <w:r w:rsidR="000C4D89" w:rsidRPr="003006D9">
        <w:rPr>
          <w:rFonts w:cs="Arial"/>
          <w:i/>
        </w:rPr>
        <w:t xml:space="preserve"> Condenar al Instituto Colombiano Agropecuario – ICA, a pagar el valor correspondiente a la indemnización de los perju</w:t>
      </w:r>
      <w:r w:rsidR="00F9260F" w:rsidRPr="003006D9">
        <w:rPr>
          <w:rFonts w:cs="Arial"/>
          <w:i/>
        </w:rPr>
        <w:t xml:space="preserve">icios que se le han causado, que se le siguen causando y se le causarán a la Federación Nacional de Cultivadores de Palma- Fedepalma y a sus agremiados, con ocasión del incumplimiento en que incurrió </w:t>
      </w:r>
      <w:r w:rsidR="003C61B3" w:rsidRPr="003006D9">
        <w:rPr>
          <w:rFonts w:cs="Arial"/>
          <w:i/>
        </w:rPr>
        <w:t>el ICA al Contrato de Promesa de Compraventa No. 2 del 30 de septiembre de 2010 y su otrosí No. 1 del 27 de octubre de 2010.</w:t>
      </w:r>
    </w:p>
    <w:p w:rsidR="003C61B3" w:rsidRPr="003006D9" w:rsidRDefault="003C61B3" w:rsidP="003D123C">
      <w:pPr>
        <w:pStyle w:val="Textoindependienteprimerasangra2"/>
        <w:tabs>
          <w:tab w:val="left" w:pos="7938"/>
        </w:tabs>
        <w:spacing w:line="240" w:lineRule="auto"/>
        <w:ind w:left="567" w:right="902" w:firstLine="0"/>
        <w:rPr>
          <w:rFonts w:cs="Arial"/>
          <w:i/>
        </w:rPr>
      </w:pPr>
    </w:p>
    <w:p w:rsidR="003C61B3" w:rsidRPr="003006D9" w:rsidRDefault="008471AC" w:rsidP="003D123C">
      <w:pPr>
        <w:pStyle w:val="Textoindependienteprimerasangra2"/>
        <w:tabs>
          <w:tab w:val="left" w:pos="7938"/>
        </w:tabs>
        <w:spacing w:line="240" w:lineRule="auto"/>
        <w:ind w:left="567" w:right="902" w:firstLine="0"/>
        <w:rPr>
          <w:rFonts w:cs="Arial"/>
          <w:i/>
        </w:rPr>
      </w:pPr>
      <w:r w:rsidRPr="003006D9">
        <w:rPr>
          <w:rFonts w:cs="Arial"/>
          <w:i/>
        </w:rPr>
        <w:t>“</w:t>
      </w:r>
      <w:r w:rsidR="003C61B3" w:rsidRPr="003006D9">
        <w:rPr>
          <w:rFonts w:cs="Arial"/>
          <w:i/>
        </w:rPr>
        <w:t xml:space="preserve">La discriminación y el monto de estos perjuicios es como sigue: </w:t>
      </w:r>
    </w:p>
    <w:p w:rsidR="003C61B3" w:rsidRPr="003006D9" w:rsidRDefault="003C61B3" w:rsidP="003D123C">
      <w:pPr>
        <w:pStyle w:val="Textoindependienteprimerasangra2"/>
        <w:tabs>
          <w:tab w:val="left" w:pos="7938"/>
        </w:tabs>
        <w:spacing w:line="240" w:lineRule="auto"/>
        <w:ind w:left="567" w:right="902" w:firstLine="0"/>
        <w:rPr>
          <w:rFonts w:cs="Arial"/>
          <w:i/>
        </w:rPr>
      </w:pPr>
    </w:p>
    <w:p w:rsidR="003C61B3" w:rsidRPr="003006D9" w:rsidRDefault="008471AC" w:rsidP="003D123C">
      <w:pPr>
        <w:pStyle w:val="Textoindependienteprimerasangra2"/>
        <w:tabs>
          <w:tab w:val="left" w:pos="7938"/>
        </w:tabs>
        <w:spacing w:line="240" w:lineRule="auto"/>
        <w:ind w:left="567" w:right="902" w:firstLine="0"/>
        <w:rPr>
          <w:rFonts w:cs="Arial"/>
          <w:i/>
        </w:rPr>
      </w:pPr>
      <w:r w:rsidRPr="003006D9">
        <w:rPr>
          <w:rFonts w:cs="Arial"/>
          <w:i/>
        </w:rPr>
        <w:t>“</w:t>
      </w:r>
      <w:r w:rsidR="003C61B3" w:rsidRPr="003006D9">
        <w:rPr>
          <w:rFonts w:cs="Arial"/>
          <w:b/>
          <w:i/>
        </w:rPr>
        <w:t>1.4.1.</w:t>
      </w:r>
      <w:r w:rsidR="003C61B3" w:rsidRPr="003006D9">
        <w:rPr>
          <w:rFonts w:cs="Arial"/>
          <w:i/>
        </w:rPr>
        <w:t xml:space="preserve"> Daño Emergente</w:t>
      </w:r>
    </w:p>
    <w:p w:rsidR="00793D86" w:rsidRPr="003006D9" w:rsidRDefault="00793D86" w:rsidP="003D123C">
      <w:pPr>
        <w:pStyle w:val="Textoindependienteprimerasangra2"/>
        <w:tabs>
          <w:tab w:val="left" w:pos="7938"/>
        </w:tabs>
        <w:spacing w:line="240" w:lineRule="auto"/>
        <w:ind w:left="567" w:right="902" w:firstLine="0"/>
        <w:rPr>
          <w:rFonts w:cs="Arial"/>
          <w:i/>
        </w:rPr>
      </w:pPr>
    </w:p>
    <w:p w:rsidR="00793D86" w:rsidRPr="003006D9" w:rsidRDefault="008471AC" w:rsidP="003D123C">
      <w:pPr>
        <w:pStyle w:val="Textoindependienteprimerasangra2"/>
        <w:tabs>
          <w:tab w:val="left" w:pos="7938"/>
        </w:tabs>
        <w:spacing w:line="240" w:lineRule="auto"/>
        <w:ind w:left="567" w:right="902" w:firstLine="0"/>
        <w:rPr>
          <w:rFonts w:cs="Arial"/>
          <w:i/>
        </w:rPr>
      </w:pPr>
      <w:r w:rsidRPr="003006D9">
        <w:rPr>
          <w:rFonts w:cs="Arial"/>
          <w:i/>
        </w:rPr>
        <w:t>“</w:t>
      </w:r>
      <w:r w:rsidR="00793D86" w:rsidRPr="003006D9">
        <w:rPr>
          <w:rFonts w:cs="Arial"/>
          <w:i/>
        </w:rPr>
        <w:t>a. El ICA deberá pagar los gastos mínimos en que incurrió Fedepalma para participar y resultar adjudicataria en el proceso de selección abreviada (…) y se discriminan así (…)</w:t>
      </w:r>
      <w:r w:rsidR="003E77F6" w:rsidRPr="003006D9">
        <w:rPr>
          <w:rStyle w:val="Refdenotaalpie"/>
          <w:rFonts w:cs="Arial"/>
          <w:i/>
        </w:rPr>
        <w:footnoteReference w:id="5"/>
      </w:r>
      <w:r w:rsidR="00793D86" w:rsidRPr="003006D9">
        <w:rPr>
          <w:rFonts w:cs="Arial"/>
          <w:i/>
        </w:rPr>
        <w:t xml:space="preserve"> Total……….$87’108.481.</w:t>
      </w:r>
    </w:p>
    <w:p w:rsidR="00793D86" w:rsidRPr="003006D9" w:rsidRDefault="00793D86" w:rsidP="003D123C">
      <w:pPr>
        <w:pStyle w:val="Textoindependienteprimerasangra2"/>
        <w:tabs>
          <w:tab w:val="left" w:pos="7938"/>
        </w:tabs>
        <w:spacing w:line="240" w:lineRule="auto"/>
        <w:ind w:left="567" w:right="902" w:firstLine="0"/>
        <w:rPr>
          <w:rFonts w:cs="Arial"/>
          <w:i/>
        </w:rPr>
      </w:pPr>
    </w:p>
    <w:p w:rsidR="00181045" w:rsidRPr="003006D9" w:rsidRDefault="008471AC" w:rsidP="003D123C">
      <w:pPr>
        <w:pStyle w:val="Textoindependienteprimerasangra2"/>
        <w:tabs>
          <w:tab w:val="left" w:pos="7938"/>
        </w:tabs>
        <w:spacing w:line="240" w:lineRule="auto"/>
        <w:ind w:left="567" w:right="902" w:firstLine="0"/>
        <w:rPr>
          <w:rFonts w:cs="Arial"/>
          <w:i/>
        </w:rPr>
      </w:pPr>
      <w:r w:rsidRPr="003006D9">
        <w:rPr>
          <w:rFonts w:cs="Arial"/>
          <w:i/>
        </w:rPr>
        <w:t>“</w:t>
      </w:r>
      <w:r w:rsidR="00793D86" w:rsidRPr="003006D9">
        <w:rPr>
          <w:rFonts w:cs="Arial"/>
          <w:b/>
          <w:i/>
        </w:rPr>
        <w:t>b</w:t>
      </w:r>
      <w:r w:rsidR="00793D86" w:rsidRPr="003006D9">
        <w:rPr>
          <w:rFonts w:cs="Arial"/>
          <w:i/>
        </w:rPr>
        <w:t>. El ICA deberá pagar los gastos mínimos en</w:t>
      </w:r>
      <w:r w:rsidR="00A54183" w:rsidRPr="003006D9">
        <w:rPr>
          <w:rFonts w:cs="Arial"/>
          <w:i/>
        </w:rPr>
        <w:t xml:space="preserve"> </w:t>
      </w:r>
      <w:r w:rsidR="00793D86" w:rsidRPr="003006D9">
        <w:rPr>
          <w:rFonts w:cs="Arial"/>
          <w:i/>
        </w:rPr>
        <w:t>que ha incurrido Fedepalma para atender las contingencias administrativas internas, que generó el ICA por su incumplimiento</w:t>
      </w:r>
      <w:r w:rsidR="00181045" w:rsidRPr="003006D9">
        <w:rPr>
          <w:rFonts w:cs="Arial"/>
          <w:i/>
        </w:rPr>
        <w:t xml:space="preserve"> (…). Costos de personal (Total) $57’236.559.</w:t>
      </w:r>
    </w:p>
    <w:p w:rsidR="00A54183" w:rsidRPr="003006D9" w:rsidRDefault="00A54183" w:rsidP="003D123C">
      <w:pPr>
        <w:pStyle w:val="Textoindependienteprimerasangra2"/>
        <w:tabs>
          <w:tab w:val="left" w:pos="7938"/>
        </w:tabs>
        <w:spacing w:line="240" w:lineRule="auto"/>
        <w:ind w:left="567" w:right="902" w:firstLine="0"/>
        <w:rPr>
          <w:rFonts w:cs="Arial"/>
          <w:i/>
        </w:rPr>
      </w:pPr>
    </w:p>
    <w:p w:rsidR="00181045" w:rsidRPr="003006D9" w:rsidRDefault="008471AC" w:rsidP="003D123C">
      <w:pPr>
        <w:pStyle w:val="Textoindependienteprimerasangra2"/>
        <w:tabs>
          <w:tab w:val="left" w:pos="7938"/>
        </w:tabs>
        <w:spacing w:line="240" w:lineRule="auto"/>
        <w:ind w:left="567" w:right="902" w:firstLine="0"/>
        <w:rPr>
          <w:rFonts w:cs="Arial"/>
          <w:i/>
        </w:rPr>
      </w:pPr>
      <w:r w:rsidRPr="003006D9">
        <w:rPr>
          <w:rFonts w:cs="Arial"/>
          <w:i/>
        </w:rPr>
        <w:t>“</w:t>
      </w:r>
      <w:r w:rsidR="00181045" w:rsidRPr="003006D9">
        <w:rPr>
          <w:rFonts w:cs="Arial"/>
          <w:b/>
          <w:i/>
        </w:rPr>
        <w:t>1.4.2.</w:t>
      </w:r>
      <w:r w:rsidR="00181045" w:rsidRPr="003006D9">
        <w:rPr>
          <w:rFonts w:cs="Arial"/>
          <w:i/>
        </w:rPr>
        <w:t xml:space="preserve"> Lucro Cesante: </w:t>
      </w:r>
    </w:p>
    <w:p w:rsidR="008471AC" w:rsidRPr="003006D9" w:rsidRDefault="008471AC" w:rsidP="003D123C">
      <w:pPr>
        <w:pStyle w:val="Textoindependienteprimerasangra2"/>
        <w:tabs>
          <w:tab w:val="left" w:pos="7938"/>
        </w:tabs>
        <w:spacing w:line="240" w:lineRule="auto"/>
        <w:ind w:left="567" w:right="902" w:firstLine="0"/>
        <w:rPr>
          <w:rFonts w:cs="Arial"/>
          <w:b/>
          <w:i/>
        </w:rPr>
      </w:pPr>
    </w:p>
    <w:p w:rsidR="005E7788" w:rsidRPr="003006D9" w:rsidRDefault="008471AC" w:rsidP="003D123C">
      <w:pPr>
        <w:pStyle w:val="Textoindependienteprimerasangra2"/>
        <w:tabs>
          <w:tab w:val="left" w:pos="7938"/>
        </w:tabs>
        <w:spacing w:line="240" w:lineRule="auto"/>
        <w:ind w:left="567" w:right="902" w:firstLine="0"/>
        <w:rPr>
          <w:rFonts w:cs="Arial"/>
          <w:i/>
        </w:rPr>
      </w:pPr>
      <w:r w:rsidRPr="003006D9">
        <w:rPr>
          <w:rFonts w:cs="Arial"/>
          <w:i/>
        </w:rPr>
        <w:t>“</w:t>
      </w:r>
      <w:r w:rsidR="00181045" w:rsidRPr="003006D9">
        <w:rPr>
          <w:rFonts w:cs="Arial"/>
          <w:b/>
          <w:i/>
        </w:rPr>
        <w:t>a.</w:t>
      </w:r>
      <w:r w:rsidR="00181045" w:rsidRPr="003006D9">
        <w:rPr>
          <w:rFonts w:cs="Arial"/>
          <w:i/>
        </w:rPr>
        <w:t xml:space="preserve"> Solicito se liquide y condene al ICA a que pague a favor de Fedepa</w:t>
      </w:r>
      <w:r w:rsidR="0001520C" w:rsidRPr="003006D9">
        <w:rPr>
          <w:rFonts w:cs="Arial"/>
          <w:i/>
        </w:rPr>
        <w:t>l</w:t>
      </w:r>
      <w:r w:rsidR="00181045" w:rsidRPr="003006D9">
        <w:rPr>
          <w:rFonts w:cs="Arial"/>
          <w:i/>
        </w:rPr>
        <w:t>ma el val</w:t>
      </w:r>
      <w:r w:rsidR="00A54183" w:rsidRPr="003006D9">
        <w:rPr>
          <w:rFonts w:cs="Arial"/>
          <w:i/>
        </w:rPr>
        <w:t>or</w:t>
      </w:r>
      <w:r w:rsidR="00181045" w:rsidRPr="003006D9">
        <w:rPr>
          <w:rFonts w:cs="Arial"/>
          <w:i/>
        </w:rPr>
        <w:t xml:space="preserve"> correspondiente a los intereses que han generado los valore</w:t>
      </w:r>
      <w:r w:rsidR="0058004A" w:rsidRPr="003006D9">
        <w:rPr>
          <w:rFonts w:cs="Arial"/>
          <w:i/>
        </w:rPr>
        <w:t>s</w:t>
      </w:r>
      <w:r w:rsidR="00181045" w:rsidRPr="003006D9">
        <w:rPr>
          <w:rFonts w:cs="Arial"/>
          <w:i/>
        </w:rPr>
        <w:t xml:space="preserve"> oportunamente pagados por Fedepalma</w:t>
      </w:r>
      <w:r w:rsidR="005E7788" w:rsidRPr="003006D9">
        <w:rPr>
          <w:rFonts w:cs="Arial"/>
          <w:i/>
        </w:rPr>
        <w:t xml:space="preserve"> (….)</w:t>
      </w:r>
      <w:r w:rsidR="006558A8" w:rsidRPr="003006D9">
        <w:rPr>
          <w:rFonts w:cs="Arial"/>
          <w:i/>
        </w:rPr>
        <w:t>.</w:t>
      </w:r>
    </w:p>
    <w:p w:rsidR="005E7788" w:rsidRPr="003006D9" w:rsidRDefault="005E7788" w:rsidP="003D123C">
      <w:pPr>
        <w:pStyle w:val="Textoindependienteprimerasangra2"/>
        <w:tabs>
          <w:tab w:val="left" w:pos="7938"/>
        </w:tabs>
        <w:spacing w:line="240" w:lineRule="auto"/>
        <w:ind w:left="567" w:right="902" w:firstLine="0"/>
        <w:rPr>
          <w:rFonts w:cs="Arial"/>
          <w:i/>
        </w:rPr>
      </w:pPr>
    </w:p>
    <w:p w:rsidR="005E7788" w:rsidRPr="003006D9" w:rsidRDefault="008471AC" w:rsidP="003D123C">
      <w:pPr>
        <w:pStyle w:val="Textoindependienteprimerasangra2"/>
        <w:tabs>
          <w:tab w:val="left" w:pos="7938"/>
        </w:tabs>
        <w:spacing w:line="240" w:lineRule="auto"/>
        <w:ind w:left="567" w:right="902" w:firstLine="0"/>
        <w:rPr>
          <w:rFonts w:cs="Arial"/>
          <w:i/>
        </w:rPr>
      </w:pPr>
      <w:r w:rsidRPr="003006D9">
        <w:rPr>
          <w:rFonts w:cs="Arial"/>
          <w:i/>
        </w:rPr>
        <w:t>“</w:t>
      </w:r>
      <w:r w:rsidR="00181045" w:rsidRPr="003006D9">
        <w:rPr>
          <w:rFonts w:cs="Arial"/>
          <w:i/>
        </w:rPr>
        <w:t>E</w:t>
      </w:r>
      <w:r w:rsidR="005E7788" w:rsidRPr="003006D9">
        <w:rPr>
          <w:rFonts w:cs="Arial"/>
          <w:i/>
        </w:rPr>
        <w:t>l 14 de abril de 2011, por concepto de intereses moratori</w:t>
      </w:r>
      <w:r w:rsidRPr="003006D9">
        <w:rPr>
          <w:rFonts w:cs="Arial"/>
          <w:i/>
        </w:rPr>
        <w:t>os</w:t>
      </w:r>
      <w:r w:rsidR="005E7788" w:rsidRPr="003006D9">
        <w:rPr>
          <w:rFonts w:cs="Arial"/>
          <w:i/>
        </w:rPr>
        <w:t xml:space="preserve"> la pretensión presenta la siguiente cuantía (…). Valor de la mora y costo de oportunidad al 5 de abril de 2011: $347’083.333.</w:t>
      </w:r>
    </w:p>
    <w:p w:rsidR="00D8521D" w:rsidRPr="003006D9" w:rsidRDefault="00D8521D" w:rsidP="003D123C">
      <w:pPr>
        <w:pStyle w:val="Textoindependienteprimerasangra2"/>
        <w:tabs>
          <w:tab w:val="left" w:pos="7938"/>
        </w:tabs>
        <w:spacing w:line="240" w:lineRule="auto"/>
        <w:ind w:left="567" w:right="902" w:firstLine="0"/>
        <w:rPr>
          <w:rFonts w:cs="Arial"/>
          <w:i/>
        </w:rPr>
      </w:pPr>
    </w:p>
    <w:p w:rsidR="00F93BD3" w:rsidRPr="003006D9" w:rsidRDefault="008471AC" w:rsidP="003D123C">
      <w:pPr>
        <w:pStyle w:val="Textoindependienteprimerasangra2"/>
        <w:tabs>
          <w:tab w:val="left" w:pos="7938"/>
        </w:tabs>
        <w:spacing w:line="240" w:lineRule="auto"/>
        <w:ind w:left="567" w:right="902" w:firstLine="0"/>
        <w:rPr>
          <w:rFonts w:cs="Arial"/>
          <w:i/>
        </w:rPr>
      </w:pPr>
      <w:r w:rsidRPr="003006D9">
        <w:rPr>
          <w:rFonts w:cs="Arial"/>
          <w:i/>
        </w:rPr>
        <w:t>“</w:t>
      </w:r>
      <w:r w:rsidR="005E7788" w:rsidRPr="003006D9">
        <w:rPr>
          <w:rFonts w:cs="Arial"/>
          <w:b/>
          <w:i/>
        </w:rPr>
        <w:t>b.</w:t>
      </w:r>
      <w:r w:rsidR="005E7788" w:rsidRPr="003006D9">
        <w:rPr>
          <w:rFonts w:cs="Arial"/>
          <w:i/>
        </w:rPr>
        <w:t xml:space="preserve"> Por el lucro cesante que genera la no entrega del inmueble por parte del ICA</w:t>
      </w:r>
      <w:r w:rsidR="00F93BD3" w:rsidRPr="003006D9">
        <w:rPr>
          <w:rFonts w:cs="Arial"/>
          <w:i/>
        </w:rPr>
        <w:t>, el consecuente aplazamiento de la siembra (…) el aplazamiento de la producción (…) y el</w:t>
      </w:r>
      <w:r w:rsidR="008B1EE0" w:rsidRPr="003006D9">
        <w:rPr>
          <w:rFonts w:cs="Arial"/>
          <w:i/>
        </w:rPr>
        <w:t xml:space="preserve"> </w:t>
      </w:r>
      <w:r w:rsidR="00F93BD3" w:rsidRPr="003006D9">
        <w:rPr>
          <w:rFonts w:cs="Arial"/>
          <w:i/>
        </w:rPr>
        <w:t>con</w:t>
      </w:r>
      <w:r w:rsidR="00A54183" w:rsidRPr="003006D9">
        <w:rPr>
          <w:rFonts w:cs="Arial"/>
          <w:i/>
        </w:rPr>
        <w:t>s</w:t>
      </w:r>
      <w:r w:rsidR="00F93BD3" w:rsidRPr="003006D9">
        <w:rPr>
          <w:rFonts w:cs="Arial"/>
          <w:i/>
        </w:rPr>
        <w:t>ecuente aplazamiento de la obtención de r</w:t>
      </w:r>
      <w:r w:rsidR="008B1EE0" w:rsidRPr="003006D9">
        <w:rPr>
          <w:rFonts w:cs="Arial"/>
          <w:i/>
        </w:rPr>
        <w:t>é</w:t>
      </w:r>
      <w:r w:rsidR="00F93BD3" w:rsidRPr="003006D9">
        <w:rPr>
          <w:rFonts w:cs="Arial"/>
          <w:i/>
        </w:rPr>
        <w:t>ditos (…)</w:t>
      </w:r>
      <w:r w:rsidR="003E77F6" w:rsidRPr="003006D9">
        <w:rPr>
          <w:rStyle w:val="Refdenotaalpie"/>
          <w:rFonts w:cs="Arial"/>
          <w:i/>
        </w:rPr>
        <w:footnoteReference w:id="6"/>
      </w:r>
      <w:r w:rsidR="00F93BD3" w:rsidRPr="003006D9">
        <w:rPr>
          <w:rFonts w:cs="Arial"/>
          <w:i/>
        </w:rPr>
        <w:t>. Pérdida acumulada al 5 de abril de 2011: $1.612.573.760.</w:t>
      </w:r>
    </w:p>
    <w:p w:rsidR="00F93BD3" w:rsidRPr="003006D9" w:rsidRDefault="00F93BD3" w:rsidP="003D123C">
      <w:pPr>
        <w:pStyle w:val="Textoindependienteprimerasangra2"/>
        <w:tabs>
          <w:tab w:val="left" w:pos="7938"/>
        </w:tabs>
        <w:spacing w:line="240" w:lineRule="auto"/>
        <w:ind w:left="567" w:right="902" w:firstLine="0"/>
        <w:rPr>
          <w:rFonts w:cs="Arial"/>
          <w:i/>
        </w:rPr>
      </w:pPr>
    </w:p>
    <w:p w:rsidR="00C4359B" w:rsidRPr="003006D9" w:rsidRDefault="00076702" w:rsidP="003D123C">
      <w:pPr>
        <w:pStyle w:val="Textoindependienteprimerasangra2"/>
        <w:tabs>
          <w:tab w:val="left" w:pos="7938"/>
        </w:tabs>
        <w:spacing w:line="240" w:lineRule="auto"/>
        <w:ind w:left="567" w:right="902" w:firstLine="0"/>
        <w:rPr>
          <w:rFonts w:cs="Arial"/>
          <w:i/>
        </w:rPr>
      </w:pPr>
      <w:r w:rsidRPr="003006D9">
        <w:rPr>
          <w:rFonts w:cs="Arial"/>
          <w:i/>
        </w:rPr>
        <w:t>“</w:t>
      </w:r>
      <w:r w:rsidR="00F93BD3" w:rsidRPr="003006D9">
        <w:rPr>
          <w:rFonts w:cs="Arial"/>
          <w:b/>
          <w:i/>
        </w:rPr>
        <w:t>1.</w:t>
      </w:r>
      <w:r w:rsidR="00C4359B" w:rsidRPr="003006D9">
        <w:rPr>
          <w:rFonts w:cs="Arial"/>
          <w:b/>
          <w:i/>
        </w:rPr>
        <w:t>5</w:t>
      </w:r>
      <w:r w:rsidR="00F93BD3" w:rsidRPr="003006D9">
        <w:rPr>
          <w:rFonts w:cs="Arial"/>
          <w:i/>
        </w:rPr>
        <w:t>. Condenar al Instituto Colombiano Agropecuario – ICA, a pagar en favor de la Federac</w:t>
      </w:r>
      <w:r w:rsidR="00C4359B" w:rsidRPr="003006D9">
        <w:rPr>
          <w:rFonts w:cs="Arial"/>
          <w:i/>
        </w:rPr>
        <w:t>ión Nacional de Cultivadores de Palma de Aceite – Fedepalma el valor que corresponde a los honorarios jurídicos y en general, al pago de</w:t>
      </w:r>
      <w:r w:rsidR="005950F6" w:rsidRPr="003006D9">
        <w:rPr>
          <w:rFonts w:cs="Arial"/>
          <w:i/>
        </w:rPr>
        <w:t xml:space="preserve"> </w:t>
      </w:r>
      <w:r w:rsidR="00C4359B" w:rsidRPr="003006D9">
        <w:rPr>
          <w:rFonts w:cs="Arial"/>
          <w:i/>
        </w:rPr>
        <w:t>costas y gastos del proceso.</w:t>
      </w:r>
    </w:p>
    <w:p w:rsidR="00C4359B" w:rsidRPr="003006D9" w:rsidRDefault="00C4359B" w:rsidP="003D123C">
      <w:pPr>
        <w:pStyle w:val="Textoindependienteprimerasangra2"/>
        <w:tabs>
          <w:tab w:val="left" w:pos="7938"/>
        </w:tabs>
        <w:spacing w:line="240" w:lineRule="auto"/>
        <w:ind w:left="567" w:right="902" w:firstLine="0"/>
        <w:rPr>
          <w:rFonts w:cs="Arial"/>
          <w:i/>
        </w:rPr>
      </w:pPr>
    </w:p>
    <w:p w:rsidR="005950F6" w:rsidRPr="003006D9" w:rsidRDefault="008471AC" w:rsidP="003D123C">
      <w:pPr>
        <w:pStyle w:val="Textoindependienteprimerasangra2"/>
        <w:tabs>
          <w:tab w:val="left" w:pos="7938"/>
        </w:tabs>
        <w:spacing w:line="240" w:lineRule="auto"/>
        <w:ind w:left="567" w:right="902" w:firstLine="0"/>
        <w:rPr>
          <w:rFonts w:cs="Arial"/>
          <w:i/>
        </w:rPr>
      </w:pPr>
      <w:r w:rsidRPr="003006D9">
        <w:rPr>
          <w:rFonts w:cs="Arial"/>
          <w:i/>
        </w:rPr>
        <w:t>“</w:t>
      </w:r>
      <w:r w:rsidR="00C4359B" w:rsidRPr="003006D9">
        <w:rPr>
          <w:rFonts w:cs="Arial"/>
          <w:b/>
          <w:i/>
        </w:rPr>
        <w:t xml:space="preserve">1.6. </w:t>
      </w:r>
      <w:r w:rsidR="00C4359B" w:rsidRPr="003006D9">
        <w:rPr>
          <w:rFonts w:cs="Arial"/>
          <w:i/>
        </w:rPr>
        <w:t xml:space="preserve">Condenar al Instituto Colombiano Agropecuario ICA, a pagar todas las sumas a que resulte obligado, en valores debidamente </w:t>
      </w:r>
      <w:r w:rsidR="005950F6" w:rsidRPr="003006D9">
        <w:rPr>
          <w:rFonts w:cs="Arial"/>
          <w:i/>
        </w:rPr>
        <w:t>actualizados, confo</w:t>
      </w:r>
      <w:r w:rsidR="008B1EE0" w:rsidRPr="003006D9">
        <w:rPr>
          <w:rFonts w:cs="Arial"/>
          <w:i/>
        </w:rPr>
        <w:t>r</w:t>
      </w:r>
      <w:r w:rsidR="005950F6" w:rsidRPr="003006D9">
        <w:rPr>
          <w:rFonts w:cs="Arial"/>
          <w:i/>
        </w:rPr>
        <w:t>me a lo previsto en el artículo 178 del Código Contencioso Administrativo y demás normas concordantes.</w:t>
      </w:r>
    </w:p>
    <w:p w:rsidR="005950F6" w:rsidRPr="003006D9" w:rsidRDefault="005950F6" w:rsidP="003D123C">
      <w:pPr>
        <w:pStyle w:val="Textoindependienteprimerasangra2"/>
        <w:tabs>
          <w:tab w:val="left" w:pos="7938"/>
        </w:tabs>
        <w:spacing w:line="240" w:lineRule="auto"/>
        <w:ind w:left="567" w:right="902" w:firstLine="0"/>
        <w:rPr>
          <w:rFonts w:cs="Arial"/>
          <w:i/>
        </w:rPr>
      </w:pPr>
    </w:p>
    <w:p w:rsidR="00285321" w:rsidRPr="003006D9" w:rsidRDefault="008471AC" w:rsidP="003D123C">
      <w:pPr>
        <w:pStyle w:val="Textoindependienteprimerasangra2"/>
        <w:tabs>
          <w:tab w:val="left" w:pos="7938"/>
        </w:tabs>
        <w:spacing w:line="240" w:lineRule="auto"/>
        <w:ind w:left="567" w:right="902" w:firstLine="0"/>
        <w:rPr>
          <w:rFonts w:cs="Arial"/>
          <w:i/>
        </w:rPr>
      </w:pPr>
      <w:r w:rsidRPr="003006D9">
        <w:rPr>
          <w:rFonts w:cs="Arial"/>
          <w:i/>
        </w:rPr>
        <w:t>“</w:t>
      </w:r>
      <w:r w:rsidR="005950F6" w:rsidRPr="003006D9">
        <w:rPr>
          <w:rFonts w:cs="Arial"/>
          <w:b/>
          <w:i/>
        </w:rPr>
        <w:t>1.7.</w:t>
      </w:r>
      <w:r w:rsidR="005950F6" w:rsidRPr="003006D9">
        <w:rPr>
          <w:rFonts w:cs="Arial"/>
          <w:i/>
        </w:rPr>
        <w:t xml:space="preserve"> Que se disponga el cumplimiento de la sentencia </w:t>
      </w:r>
      <w:r w:rsidR="00285321" w:rsidRPr="003006D9">
        <w:rPr>
          <w:rFonts w:cs="Arial"/>
          <w:i/>
        </w:rPr>
        <w:t>que ponga fin al proceso en los términos previstos en el Código Contencioso Administrativo, especialmente los artículos 176 y 177.</w:t>
      </w:r>
    </w:p>
    <w:p w:rsidR="00285321" w:rsidRPr="003006D9" w:rsidRDefault="00285321" w:rsidP="003D123C">
      <w:pPr>
        <w:pStyle w:val="Textoindependienteprimerasangra2"/>
        <w:tabs>
          <w:tab w:val="left" w:pos="7938"/>
        </w:tabs>
        <w:spacing w:line="240" w:lineRule="auto"/>
        <w:ind w:left="567" w:right="902" w:firstLine="0"/>
        <w:rPr>
          <w:rFonts w:cs="Arial"/>
          <w:i/>
        </w:rPr>
      </w:pPr>
    </w:p>
    <w:p w:rsidR="002D450D" w:rsidRPr="003006D9" w:rsidRDefault="008471AC" w:rsidP="003D123C">
      <w:pPr>
        <w:pStyle w:val="Textoindependienteprimerasangra2"/>
        <w:tabs>
          <w:tab w:val="left" w:pos="7938"/>
        </w:tabs>
        <w:spacing w:line="240" w:lineRule="auto"/>
        <w:ind w:left="567" w:right="902" w:firstLine="0"/>
        <w:rPr>
          <w:rFonts w:cs="Arial"/>
          <w:i/>
        </w:rPr>
      </w:pPr>
      <w:r w:rsidRPr="003006D9">
        <w:rPr>
          <w:rFonts w:cs="Arial"/>
          <w:i/>
        </w:rPr>
        <w:t>“</w:t>
      </w:r>
      <w:r w:rsidR="00285321" w:rsidRPr="003006D9">
        <w:rPr>
          <w:rFonts w:cs="Arial"/>
          <w:b/>
          <w:i/>
        </w:rPr>
        <w:t>1</w:t>
      </w:r>
      <w:r w:rsidR="008B1EE0" w:rsidRPr="003006D9">
        <w:rPr>
          <w:rFonts w:cs="Arial"/>
          <w:b/>
          <w:i/>
        </w:rPr>
        <w:t>.</w:t>
      </w:r>
      <w:r w:rsidR="00285321" w:rsidRPr="003006D9">
        <w:rPr>
          <w:rFonts w:cs="Arial"/>
          <w:b/>
          <w:i/>
        </w:rPr>
        <w:t>8</w:t>
      </w:r>
      <w:r w:rsidR="008B1EE0" w:rsidRPr="003006D9">
        <w:rPr>
          <w:rFonts w:cs="Arial"/>
          <w:b/>
          <w:i/>
        </w:rPr>
        <w:t>.</w:t>
      </w:r>
      <w:r w:rsidR="00285321" w:rsidRPr="003006D9">
        <w:rPr>
          <w:rFonts w:cs="Arial"/>
          <w:i/>
        </w:rPr>
        <w:t xml:space="preserve"> Como pretensión subsidiaria</w:t>
      </w:r>
      <w:r w:rsidR="008B1EE0" w:rsidRPr="003006D9">
        <w:rPr>
          <w:rFonts w:cs="Arial"/>
          <w:i/>
        </w:rPr>
        <w:t>,</w:t>
      </w:r>
      <w:r w:rsidR="00285321" w:rsidRPr="003006D9">
        <w:rPr>
          <w:rFonts w:cs="Arial"/>
          <w:i/>
        </w:rPr>
        <w:t xml:space="preserve"> en el evento en</w:t>
      </w:r>
      <w:r w:rsidR="008B1EE0" w:rsidRPr="003006D9">
        <w:rPr>
          <w:rFonts w:cs="Arial"/>
          <w:i/>
        </w:rPr>
        <w:t xml:space="preserve"> </w:t>
      </w:r>
      <w:r w:rsidR="00285321" w:rsidRPr="003006D9">
        <w:rPr>
          <w:rFonts w:cs="Arial"/>
          <w:i/>
        </w:rPr>
        <w:t xml:space="preserve">que por cualquier razón no pueda cumplirse con la suscripción de la escritura pública de compraventa y/o con la posterior entrega del inmueble objeto del </w:t>
      </w:r>
      <w:r w:rsidR="002D450D" w:rsidRPr="003006D9">
        <w:rPr>
          <w:rFonts w:cs="Arial"/>
          <w:i/>
        </w:rPr>
        <w:t>Contrato de Promesa de Compraventa No. 2 del 30 de septiembre de 2010 y su otrosí No. 1 del 27 de octubre de 2010, conforme la pretensi</w:t>
      </w:r>
      <w:r w:rsidR="008B1EE0" w:rsidRPr="003006D9">
        <w:rPr>
          <w:rFonts w:cs="Arial"/>
          <w:i/>
        </w:rPr>
        <w:t>ó</w:t>
      </w:r>
      <w:r w:rsidR="002D450D" w:rsidRPr="003006D9">
        <w:rPr>
          <w:rFonts w:cs="Arial"/>
          <w:i/>
        </w:rPr>
        <w:t xml:space="preserve">n prevista en el numeral 1.2. del presente escrito demanda, de manera atenta solicitamos las siguientes declaraciones y condenas: </w:t>
      </w:r>
    </w:p>
    <w:p w:rsidR="008B1EE0" w:rsidRPr="003006D9" w:rsidRDefault="008B1EE0" w:rsidP="003D123C">
      <w:pPr>
        <w:pStyle w:val="Textoindependienteprimerasangra2"/>
        <w:tabs>
          <w:tab w:val="left" w:pos="7938"/>
        </w:tabs>
        <w:spacing w:line="240" w:lineRule="auto"/>
        <w:ind w:left="567" w:right="902" w:firstLine="0"/>
        <w:rPr>
          <w:rFonts w:cs="Arial"/>
          <w:i/>
        </w:rPr>
      </w:pPr>
    </w:p>
    <w:p w:rsidR="000223D8" w:rsidRPr="003006D9" w:rsidRDefault="008471AC" w:rsidP="003D123C">
      <w:pPr>
        <w:pStyle w:val="Textoindependienteprimerasangra2"/>
        <w:tabs>
          <w:tab w:val="left" w:pos="7938"/>
        </w:tabs>
        <w:spacing w:line="240" w:lineRule="auto"/>
        <w:ind w:left="567" w:right="902" w:firstLine="0"/>
        <w:rPr>
          <w:rFonts w:cs="Arial"/>
          <w:i/>
        </w:rPr>
      </w:pPr>
      <w:r w:rsidRPr="003006D9">
        <w:rPr>
          <w:rFonts w:cs="Arial"/>
          <w:i/>
        </w:rPr>
        <w:t>“</w:t>
      </w:r>
      <w:r w:rsidR="002D450D" w:rsidRPr="003006D9">
        <w:rPr>
          <w:rFonts w:cs="Arial"/>
          <w:b/>
          <w:i/>
        </w:rPr>
        <w:t>1.8.1.</w:t>
      </w:r>
      <w:r w:rsidR="002D450D" w:rsidRPr="003006D9">
        <w:rPr>
          <w:rFonts w:cs="Arial"/>
          <w:i/>
        </w:rPr>
        <w:t xml:space="preserve"> Se ordene al Instituto Colombiano Agropecuario – ICA, a que haga la devolución integral del valor que canceló Fedepalma como pago de la totalidad del inmueble es decir, la suma de </w:t>
      </w:r>
      <w:r w:rsidR="000223D8" w:rsidRPr="003006D9">
        <w:rPr>
          <w:rFonts w:cs="Arial"/>
          <w:i/>
        </w:rPr>
        <w:t>(…) $4.165</w:t>
      </w:r>
      <w:r w:rsidR="00076702" w:rsidRPr="003006D9">
        <w:rPr>
          <w:rFonts w:cs="Arial"/>
          <w:i/>
        </w:rPr>
        <w:t>’</w:t>
      </w:r>
      <w:r w:rsidR="000223D8" w:rsidRPr="003006D9">
        <w:rPr>
          <w:rFonts w:cs="Arial"/>
          <w:i/>
        </w:rPr>
        <w:t>000.000, debidamente actualizada, a la fecha del pago efectivo.</w:t>
      </w:r>
    </w:p>
    <w:p w:rsidR="008B1EE0" w:rsidRPr="003006D9" w:rsidRDefault="008B1EE0" w:rsidP="003D123C">
      <w:pPr>
        <w:pStyle w:val="Textoindependienteprimerasangra2"/>
        <w:tabs>
          <w:tab w:val="left" w:pos="7938"/>
        </w:tabs>
        <w:spacing w:line="240" w:lineRule="auto"/>
        <w:ind w:left="567" w:right="902" w:firstLine="0"/>
        <w:rPr>
          <w:rFonts w:cs="Arial"/>
          <w:i/>
        </w:rPr>
      </w:pPr>
    </w:p>
    <w:p w:rsidR="000223D8" w:rsidRPr="003006D9" w:rsidRDefault="008471AC" w:rsidP="003D123C">
      <w:pPr>
        <w:pStyle w:val="Textoindependienteprimerasangra2"/>
        <w:tabs>
          <w:tab w:val="left" w:pos="7938"/>
        </w:tabs>
        <w:spacing w:line="240" w:lineRule="auto"/>
        <w:ind w:left="567" w:right="902" w:firstLine="0"/>
        <w:rPr>
          <w:rFonts w:cs="Arial"/>
          <w:i/>
        </w:rPr>
      </w:pPr>
      <w:r w:rsidRPr="003006D9">
        <w:rPr>
          <w:rFonts w:cs="Arial"/>
          <w:i/>
        </w:rPr>
        <w:t>“</w:t>
      </w:r>
      <w:r w:rsidR="000223D8" w:rsidRPr="003006D9">
        <w:rPr>
          <w:rFonts w:cs="Arial"/>
          <w:b/>
          <w:i/>
        </w:rPr>
        <w:t>1.8.2.</w:t>
      </w:r>
      <w:r w:rsidR="000223D8" w:rsidRPr="003006D9">
        <w:rPr>
          <w:rFonts w:cs="Arial"/>
          <w:i/>
        </w:rPr>
        <w:t xml:space="preserve"> Que se hagan las mismas declaraciones y condenas previstas en los numerales 1.3, 1.4, 1.5, 1.6 y 1.7 del presente escrito de demanda</w:t>
      </w:r>
      <w:r w:rsidR="00A54183" w:rsidRPr="003006D9">
        <w:rPr>
          <w:rFonts w:cs="Arial"/>
          <w:i/>
        </w:rPr>
        <w:t>”</w:t>
      </w:r>
      <w:r w:rsidR="000223D8" w:rsidRPr="003006D9">
        <w:rPr>
          <w:rFonts w:cs="Arial"/>
          <w:i/>
        </w:rPr>
        <w:t>.</w:t>
      </w:r>
    </w:p>
    <w:p w:rsidR="005E7788" w:rsidRPr="003006D9" w:rsidRDefault="005E7788" w:rsidP="003D123C">
      <w:pPr>
        <w:pStyle w:val="Textoindependienteprimerasangra2"/>
        <w:tabs>
          <w:tab w:val="left" w:pos="7938"/>
        </w:tabs>
        <w:spacing w:line="240" w:lineRule="auto"/>
        <w:ind w:left="567" w:right="902" w:firstLine="0"/>
        <w:rPr>
          <w:rFonts w:cs="Arial"/>
          <w:i/>
        </w:rPr>
      </w:pPr>
    </w:p>
    <w:p w:rsidR="008B1EE0" w:rsidRPr="003006D9" w:rsidRDefault="008B1EE0" w:rsidP="003D123C">
      <w:pPr>
        <w:pStyle w:val="Textoindependienteprimerasangra2"/>
        <w:tabs>
          <w:tab w:val="left" w:pos="7938"/>
        </w:tabs>
        <w:spacing w:line="240" w:lineRule="auto"/>
        <w:ind w:left="567" w:right="902" w:firstLine="0"/>
        <w:rPr>
          <w:rFonts w:cs="Arial"/>
          <w:i/>
        </w:rPr>
      </w:pPr>
    </w:p>
    <w:p w:rsidR="00112B0C" w:rsidRPr="003006D9" w:rsidRDefault="00112B0C" w:rsidP="00390A1F">
      <w:pPr>
        <w:pStyle w:val="Textoindependienteprimerasangra2"/>
        <w:tabs>
          <w:tab w:val="left" w:pos="7938"/>
        </w:tabs>
        <w:spacing w:line="240" w:lineRule="auto"/>
        <w:ind w:left="0" w:right="902" w:firstLine="0"/>
        <w:rPr>
          <w:rFonts w:cs="Arial"/>
          <w:b/>
        </w:rPr>
      </w:pPr>
      <w:r w:rsidRPr="003006D9">
        <w:rPr>
          <w:rFonts w:cs="Arial"/>
          <w:b/>
        </w:rPr>
        <w:t>1.2. La demanda de reconvención</w:t>
      </w:r>
    </w:p>
    <w:p w:rsidR="00112B0C" w:rsidRPr="003006D9" w:rsidRDefault="00112B0C" w:rsidP="00390A1F">
      <w:pPr>
        <w:pStyle w:val="Textoindependienteprimerasangra2"/>
        <w:tabs>
          <w:tab w:val="left" w:pos="7938"/>
        </w:tabs>
        <w:spacing w:line="240" w:lineRule="auto"/>
        <w:ind w:left="0" w:right="902" w:firstLine="0"/>
        <w:rPr>
          <w:rFonts w:cs="Arial"/>
          <w:i/>
        </w:rPr>
      </w:pPr>
    </w:p>
    <w:p w:rsidR="00390A1F" w:rsidRPr="003006D9" w:rsidRDefault="00390A1F" w:rsidP="003330AF">
      <w:pPr>
        <w:pStyle w:val="Textoindependienteprimerasangra2"/>
        <w:tabs>
          <w:tab w:val="left" w:pos="8789"/>
        </w:tabs>
        <w:ind w:left="0" w:right="51" w:firstLine="0"/>
        <w:rPr>
          <w:rFonts w:cs="Arial"/>
        </w:rPr>
      </w:pPr>
      <w:r w:rsidRPr="003006D9">
        <w:rPr>
          <w:rFonts w:cs="Arial"/>
        </w:rPr>
        <w:t>Por su parte</w:t>
      </w:r>
      <w:r w:rsidR="00076702" w:rsidRPr="003006D9">
        <w:rPr>
          <w:rFonts w:cs="Arial"/>
        </w:rPr>
        <w:t>,</w:t>
      </w:r>
      <w:r w:rsidRPr="003006D9">
        <w:rPr>
          <w:rFonts w:cs="Arial"/>
        </w:rPr>
        <w:t xml:space="preserve"> el ICA presentó demanda de reconvención en la cual solicitó las siguientes declaraciones y condenas</w:t>
      </w:r>
      <w:r w:rsidR="00076702" w:rsidRPr="003006D9">
        <w:rPr>
          <w:rFonts w:cs="Arial"/>
        </w:rPr>
        <w:t>:</w:t>
      </w:r>
    </w:p>
    <w:p w:rsidR="00390A1F" w:rsidRPr="003006D9" w:rsidRDefault="00390A1F" w:rsidP="00112B0C">
      <w:pPr>
        <w:pStyle w:val="Textoindependienteprimerasangra2"/>
        <w:tabs>
          <w:tab w:val="left" w:pos="7938"/>
        </w:tabs>
        <w:ind w:left="0" w:right="902" w:firstLine="0"/>
        <w:rPr>
          <w:rFonts w:cs="Arial"/>
        </w:rPr>
      </w:pPr>
    </w:p>
    <w:p w:rsidR="00E801E0" w:rsidRPr="003006D9" w:rsidRDefault="00112B0C" w:rsidP="0024291D">
      <w:pPr>
        <w:pStyle w:val="Textoindependienteprimerasangra2"/>
        <w:tabs>
          <w:tab w:val="left" w:pos="7938"/>
        </w:tabs>
        <w:spacing w:line="240" w:lineRule="auto"/>
        <w:ind w:left="567" w:right="902" w:firstLine="0"/>
        <w:rPr>
          <w:rFonts w:cs="Arial"/>
          <w:i/>
          <w:lang w:val="es-MX"/>
        </w:rPr>
      </w:pPr>
      <w:r w:rsidRPr="003006D9">
        <w:rPr>
          <w:rFonts w:cs="Arial"/>
          <w:i/>
        </w:rPr>
        <w:t>“</w:t>
      </w:r>
      <w:r w:rsidR="00390A1F" w:rsidRPr="003006D9">
        <w:rPr>
          <w:rFonts w:cs="Arial"/>
          <w:b/>
          <w:i/>
        </w:rPr>
        <w:t>1.</w:t>
      </w:r>
      <w:r w:rsidR="00390A1F" w:rsidRPr="003006D9">
        <w:rPr>
          <w:rFonts w:cs="Arial"/>
          <w:i/>
        </w:rPr>
        <w:t xml:space="preserve"> Que se declare la nulida</w:t>
      </w:r>
      <w:r w:rsidR="00B74F9F" w:rsidRPr="003006D9">
        <w:rPr>
          <w:rFonts w:cs="Arial"/>
          <w:i/>
        </w:rPr>
        <w:t>d</w:t>
      </w:r>
      <w:r w:rsidR="00390A1F" w:rsidRPr="003006D9">
        <w:rPr>
          <w:rFonts w:cs="Arial"/>
          <w:i/>
        </w:rPr>
        <w:t xml:space="preserve"> absoluta </w:t>
      </w:r>
      <w:r w:rsidR="00B74F9F" w:rsidRPr="003006D9">
        <w:rPr>
          <w:rFonts w:cs="Arial"/>
          <w:i/>
        </w:rPr>
        <w:t>por violación de las normas constitucionales y legales del contrato de promesa de compraventa No. 002-2010 del 30 de septiembre de 2010, suscrito entre el Instituto Colombiano Agr</w:t>
      </w:r>
      <w:r w:rsidRPr="003006D9">
        <w:rPr>
          <w:rFonts w:cs="Arial"/>
          <w:i/>
        </w:rPr>
        <w:t>o</w:t>
      </w:r>
      <w:r w:rsidR="00B74F9F" w:rsidRPr="003006D9">
        <w:rPr>
          <w:rFonts w:cs="Arial"/>
          <w:i/>
        </w:rPr>
        <w:t xml:space="preserve">pecuario ICA y la Federación Nacional de Cultivadores de Palma </w:t>
      </w:r>
      <w:r w:rsidR="005863DE" w:rsidRPr="003006D9">
        <w:rPr>
          <w:rFonts w:cs="Arial"/>
          <w:i/>
        </w:rPr>
        <w:t>de Aceite FEDEPALMA, cuyo objeto de acuerdo con la cláusula primera del citado c</w:t>
      </w:r>
      <w:r w:rsidRPr="003006D9">
        <w:rPr>
          <w:rFonts w:cs="Arial"/>
          <w:i/>
        </w:rPr>
        <w:t>o</w:t>
      </w:r>
      <w:r w:rsidR="005863DE" w:rsidRPr="003006D9">
        <w:rPr>
          <w:rFonts w:cs="Arial"/>
          <w:i/>
        </w:rPr>
        <w:t xml:space="preserve">ntrato </w:t>
      </w:r>
      <w:r w:rsidR="00866CE2" w:rsidRPr="003006D9">
        <w:rPr>
          <w:rFonts w:cs="Arial"/>
          <w:i/>
        </w:rPr>
        <w:t>es el siguiente: ‘Objeto.-Que EL PROMETIENTE VENDEDOR en nombre y representación del INSTITUTO COLO</w:t>
      </w:r>
      <w:r w:rsidR="00076702" w:rsidRPr="003006D9">
        <w:rPr>
          <w:rFonts w:cs="Arial"/>
          <w:i/>
        </w:rPr>
        <w:t>M</w:t>
      </w:r>
      <w:r w:rsidR="00866CE2" w:rsidRPr="003006D9">
        <w:rPr>
          <w:rFonts w:cs="Arial"/>
          <w:i/>
        </w:rPr>
        <w:t>BIANO AGROPECUARIO ICA promete vender y EL PROMETIENTE COMPARDOR promete comprar: a)</w:t>
      </w:r>
      <w:r w:rsidR="002D674B" w:rsidRPr="003006D9">
        <w:rPr>
          <w:rFonts w:cs="Arial"/>
          <w:i/>
          <w:lang w:val="es-MX"/>
        </w:rPr>
        <w:t xml:space="preserve"> El derecho pleno de dominio y propiedad, la posesión plena que el primero de los nombrados en la actualidad tiene y ejerce sobre el bien inmueble consistente en predio rural, ubicado en el municipio de Tumaco – Nariño con área o extensión superficiaria aproximada de 449 hectáreas más 8.500 mts2, tal y como consta en el avalúo realizado por la Lonja de Propiedad Raíz de Nariño y Putumayo. b) Posesión y mejoras </w:t>
      </w:r>
      <w:r w:rsidR="00E801E0" w:rsidRPr="003006D9">
        <w:rPr>
          <w:rFonts w:cs="Arial"/>
          <w:i/>
          <w:lang w:val="es-MX"/>
        </w:rPr>
        <w:t xml:space="preserve">de los lotes </w:t>
      </w:r>
      <w:r w:rsidR="002D674B" w:rsidRPr="003006D9">
        <w:rPr>
          <w:rFonts w:cs="Arial"/>
          <w:i/>
          <w:lang w:val="es-MX"/>
        </w:rPr>
        <w:t>que actualmente goza y tiene el PROMETIENTE VENDEDOR que se encuentra dentro de la demarcaci</w:t>
      </w:r>
      <w:r w:rsidR="00E801E0" w:rsidRPr="003006D9">
        <w:rPr>
          <w:rFonts w:cs="Arial"/>
          <w:i/>
          <w:lang w:val="es-MX"/>
        </w:rPr>
        <w:t>ó</w:t>
      </w:r>
      <w:r w:rsidR="002D674B" w:rsidRPr="003006D9">
        <w:rPr>
          <w:rFonts w:cs="Arial"/>
          <w:i/>
          <w:lang w:val="es-MX"/>
        </w:rPr>
        <w:t xml:space="preserve">n del predio ‘El MIRA’ y que entre otros se encuentran identificados con los folios de matrícula inmobiliaria descritos en la cláusula segunda del presente contrato. </w:t>
      </w:r>
      <w:r w:rsidR="00E801E0" w:rsidRPr="003006D9">
        <w:rPr>
          <w:rFonts w:cs="Arial"/>
          <w:i/>
          <w:lang w:val="es-MX"/>
        </w:rPr>
        <w:t>PARÁGRAFO.- Dentro de la presente promesa de compraventa se incluye también</w:t>
      </w:r>
      <w:r w:rsidR="004860FD" w:rsidRPr="003006D9">
        <w:rPr>
          <w:rFonts w:cs="Arial"/>
          <w:i/>
          <w:lang w:val="es-MX"/>
        </w:rPr>
        <w:t xml:space="preserve"> </w:t>
      </w:r>
      <w:r w:rsidR="00E801E0" w:rsidRPr="003006D9">
        <w:rPr>
          <w:rFonts w:cs="Arial"/>
          <w:i/>
          <w:lang w:val="es-MX"/>
        </w:rPr>
        <w:t xml:space="preserve">todos los servicios de los que actualmente goza el inmueble, </w:t>
      </w:r>
      <w:r w:rsidR="004860FD" w:rsidRPr="003006D9">
        <w:rPr>
          <w:rFonts w:cs="Arial"/>
          <w:i/>
          <w:lang w:val="es-MX"/>
        </w:rPr>
        <w:t>ta</w:t>
      </w:r>
      <w:r w:rsidR="00E801E0" w:rsidRPr="003006D9">
        <w:rPr>
          <w:rFonts w:cs="Arial"/>
          <w:i/>
          <w:lang w:val="es-MX"/>
        </w:rPr>
        <w:t>les como: energía eléctr</w:t>
      </w:r>
      <w:r w:rsidR="004860FD" w:rsidRPr="003006D9">
        <w:rPr>
          <w:rFonts w:cs="Arial"/>
          <w:i/>
          <w:lang w:val="es-MX"/>
        </w:rPr>
        <w:t>i</w:t>
      </w:r>
      <w:r w:rsidR="00E801E0" w:rsidRPr="003006D9">
        <w:rPr>
          <w:rFonts w:cs="Arial"/>
          <w:i/>
          <w:lang w:val="es-MX"/>
        </w:rPr>
        <w:t>ca, acueducto, alcantarillado, teléfono y gas</w:t>
      </w:r>
      <w:r w:rsidR="008F588F" w:rsidRPr="003006D9">
        <w:rPr>
          <w:rFonts w:cs="Arial"/>
          <w:i/>
          <w:lang w:val="es-MX"/>
        </w:rPr>
        <w:t>’</w:t>
      </w:r>
      <w:r w:rsidR="00E801E0" w:rsidRPr="003006D9">
        <w:rPr>
          <w:rFonts w:cs="Arial"/>
          <w:i/>
          <w:lang w:val="es-MX"/>
        </w:rPr>
        <w:t>.</w:t>
      </w:r>
    </w:p>
    <w:p w:rsidR="004860FD" w:rsidRPr="003006D9" w:rsidRDefault="004860FD" w:rsidP="0024291D">
      <w:pPr>
        <w:pStyle w:val="Textoindependienteprimerasangra2"/>
        <w:tabs>
          <w:tab w:val="left" w:pos="7938"/>
        </w:tabs>
        <w:spacing w:line="240" w:lineRule="auto"/>
        <w:ind w:left="567" w:right="902" w:firstLine="0"/>
        <w:rPr>
          <w:rFonts w:cs="Arial"/>
          <w:i/>
          <w:lang w:val="es-MX"/>
        </w:rPr>
      </w:pPr>
    </w:p>
    <w:p w:rsidR="00F34557" w:rsidRPr="003006D9" w:rsidRDefault="00F34557" w:rsidP="0024291D">
      <w:pPr>
        <w:pStyle w:val="Textoindependienteprimerasangra2"/>
        <w:tabs>
          <w:tab w:val="left" w:pos="7938"/>
        </w:tabs>
        <w:spacing w:line="240" w:lineRule="auto"/>
        <w:ind w:left="567" w:right="902" w:firstLine="0"/>
        <w:rPr>
          <w:rFonts w:cs="Arial"/>
          <w:i/>
        </w:rPr>
      </w:pPr>
      <w:r w:rsidRPr="003006D9">
        <w:rPr>
          <w:rFonts w:cs="Arial"/>
          <w:i/>
        </w:rPr>
        <w:lastRenderedPageBreak/>
        <w:t>“</w:t>
      </w:r>
      <w:r w:rsidR="004860FD" w:rsidRPr="003006D9">
        <w:rPr>
          <w:rFonts w:cs="Arial"/>
          <w:b/>
          <w:i/>
        </w:rPr>
        <w:t>2.</w:t>
      </w:r>
      <w:r w:rsidR="004860FD" w:rsidRPr="003006D9">
        <w:rPr>
          <w:rFonts w:cs="Arial"/>
          <w:i/>
        </w:rPr>
        <w:t xml:space="preserve"> Que se declare la ilegalidad del proceso contractual No. GC-SA-01-032-2010, cuyo objeto fue S</w:t>
      </w:r>
      <w:r w:rsidR="00076702" w:rsidRPr="003006D9">
        <w:rPr>
          <w:rFonts w:cs="Arial"/>
          <w:i/>
        </w:rPr>
        <w:t>E</w:t>
      </w:r>
      <w:r w:rsidR="004860FD" w:rsidRPr="003006D9">
        <w:rPr>
          <w:rFonts w:cs="Arial"/>
          <w:i/>
        </w:rPr>
        <w:t>LECCIONAR A UNA PERSONA NATURAL O JURÍDICA QUE PRESENTE LA MEJOR OFERTA PARA LA COMP</w:t>
      </w:r>
      <w:r w:rsidR="00076702" w:rsidRPr="003006D9">
        <w:rPr>
          <w:rFonts w:cs="Arial"/>
          <w:i/>
        </w:rPr>
        <w:t>R</w:t>
      </w:r>
      <w:r w:rsidR="004860FD" w:rsidRPr="003006D9">
        <w:rPr>
          <w:rFonts w:cs="Arial"/>
          <w:i/>
        </w:rPr>
        <w:t xml:space="preserve">A DEL BIEN INMUEBLE DE PROPIEDAD DEL ICA, DENOMINADO EL MIRA, UBICADO EN EL MUNICIPIO DE TUMACO </w:t>
      </w:r>
      <w:r w:rsidRPr="003006D9">
        <w:rPr>
          <w:rFonts w:cs="Arial"/>
          <w:i/>
        </w:rPr>
        <w:t>–</w:t>
      </w:r>
      <w:r w:rsidR="004860FD" w:rsidRPr="003006D9">
        <w:rPr>
          <w:rFonts w:cs="Arial"/>
          <w:i/>
        </w:rPr>
        <w:t xml:space="preserve"> NARI</w:t>
      </w:r>
      <w:r w:rsidR="008F588F" w:rsidRPr="003006D9">
        <w:rPr>
          <w:rFonts w:cs="Arial"/>
          <w:i/>
        </w:rPr>
        <w:t>Ñ</w:t>
      </w:r>
      <w:r w:rsidR="004860FD" w:rsidRPr="003006D9">
        <w:rPr>
          <w:rFonts w:cs="Arial"/>
          <w:i/>
        </w:rPr>
        <w:t>O</w:t>
      </w:r>
      <w:r w:rsidRPr="003006D9">
        <w:rPr>
          <w:rFonts w:cs="Arial"/>
          <w:i/>
        </w:rPr>
        <w:t>.</w:t>
      </w:r>
    </w:p>
    <w:p w:rsidR="00F34557" w:rsidRPr="003006D9" w:rsidRDefault="00F34557" w:rsidP="0024291D">
      <w:pPr>
        <w:pStyle w:val="Textoindependienteprimerasangra2"/>
        <w:tabs>
          <w:tab w:val="left" w:pos="7938"/>
        </w:tabs>
        <w:spacing w:line="240" w:lineRule="auto"/>
        <w:ind w:left="567" w:right="902" w:firstLine="0"/>
        <w:rPr>
          <w:rFonts w:cs="Arial"/>
          <w:i/>
        </w:rPr>
      </w:pPr>
    </w:p>
    <w:p w:rsidR="00F34557" w:rsidRPr="003006D9" w:rsidRDefault="00F34557" w:rsidP="0024291D">
      <w:pPr>
        <w:pStyle w:val="Textoindependienteprimerasangra2"/>
        <w:tabs>
          <w:tab w:val="left" w:pos="7938"/>
        </w:tabs>
        <w:spacing w:line="240" w:lineRule="auto"/>
        <w:ind w:left="567" w:right="902" w:firstLine="0"/>
        <w:rPr>
          <w:rFonts w:cs="Arial"/>
          <w:i/>
        </w:rPr>
      </w:pPr>
      <w:r w:rsidRPr="003006D9">
        <w:rPr>
          <w:rFonts w:cs="Arial"/>
          <w:i/>
        </w:rPr>
        <w:t>“</w:t>
      </w:r>
      <w:r w:rsidRPr="003006D9">
        <w:rPr>
          <w:rFonts w:cs="Arial"/>
          <w:b/>
          <w:i/>
        </w:rPr>
        <w:t>3.</w:t>
      </w:r>
      <w:r w:rsidRPr="003006D9">
        <w:rPr>
          <w:rFonts w:cs="Arial"/>
          <w:i/>
        </w:rPr>
        <w:t xml:space="preserve"> Que como consecuencia de lo anterior se disponga de la inmediata devolución de los dineros entregados por FEDEPA</w:t>
      </w:r>
      <w:r w:rsidR="0001520C" w:rsidRPr="003006D9">
        <w:rPr>
          <w:rFonts w:cs="Arial"/>
          <w:i/>
        </w:rPr>
        <w:t>L</w:t>
      </w:r>
      <w:r w:rsidRPr="003006D9">
        <w:rPr>
          <w:rFonts w:cs="Arial"/>
          <w:i/>
        </w:rPr>
        <w:t>MA al ICA en razón del pago del precio del bien inmueble EL MIRA</w:t>
      </w:r>
      <w:r w:rsidR="0024291D" w:rsidRPr="003006D9">
        <w:rPr>
          <w:rFonts w:cs="Arial"/>
          <w:i/>
        </w:rPr>
        <w:t>”</w:t>
      </w:r>
      <w:r w:rsidRPr="003006D9">
        <w:rPr>
          <w:rStyle w:val="Refdenotaalpie"/>
          <w:rFonts w:cs="Arial"/>
          <w:i/>
        </w:rPr>
        <w:footnoteReference w:id="7"/>
      </w:r>
      <w:r w:rsidR="0024291D" w:rsidRPr="003006D9">
        <w:rPr>
          <w:rFonts w:cs="Arial"/>
          <w:i/>
        </w:rPr>
        <w:t>.</w:t>
      </w:r>
    </w:p>
    <w:p w:rsidR="008F588F" w:rsidRPr="003006D9" w:rsidRDefault="008F588F" w:rsidP="0090169C">
      <w:pPr>
        <w:pStyle w:val="Lista3"/>
        <w:ind w:left="0" w:firstLine="0"/>
        <w:rPr>
          <w:rFonts w:cs="Arial"/>
          <w:b/>
        </w:rPr>
      </w:pPr>
    </w:p>
    <w:p w:rsidR="00F21484" w:rsidRPr="003006D9" w:rsidRDefault="00F21484" w:rsidP="0090169C">
      <w:pPr>
        <w:pStyle w:val="Lista3"/>
        <w:ind w:left="0" w:firstLine="0"/>
        <w:rPr>
          <w:rFonts w:cs="Arial"/>
          <w:b/>
        </w:rPr>
      </w:pPr>
      <w:r w:rsidRPr="003006D9">
        <w:rPr>
          <w:rFonts w:cs="Arial"/>
          <w:b/>
        </w:rPr>
        <w:t>2.</w:t>
      </w:r>
      <w:r w:rsidR="009D0836" w:rsidRPr="003006D9">
        <w:rPr>
          <w:rFonts w:cs="Arial"/>
          <w:b/>
        </w:rPr>
        <w:t xml:space="preserve"> </w:t>
      </w:r>
      <w:r w:rsidRPr="003006D9">
        <w:rPr>
          <w:rFonts w:cs="Arial"/>
          <w:b/>
        </w:rPr>
        <w:t>Los hechos</w:t>
      </w:r>
      <w:r w:rsidR="008F588F" w:rsidRPr="003006D9">
        <w:rPr>
          <w:rFonts w:cs="Arial"/>
          <w:b/>
        </w:rPr>
        <w:t xml:space="preserve"> de la demanda </w:t>
      </w:r>
    </w:p>
    <w:p w:rsidR="005E0015" w:rsidRPr="003006D9" w:rsidRDefault="005E0015" w:rsidP="0090169C">
      <w:pPr>
        <w:widowControl w:val="0"/>
        <w:autoSpaceDE w:val="0"/>
        <w:autoSpaceDN w:val="0"/>
        <w:adjustRightInd w:val="0"/>
        <w:rPr>
          <w:rFonts w:cs="Arial"/>
          <w:lang w:val="es-MX"/>
        </w:rPr>
      </w:pPr>
    </w:p>
    <w:p w:rsidR="00D45ABC" w:rsidRPr="003006D9" w:rsidRDefault="009D56B3" w:rsidP="0090169C">
      <w:pPr>
        <w:pStyle w:val="Textoindependiente"/>
        <w:rPr>
          <w:rFonts w:cs="Arial"/>
          <w:szCs w:val="24"/>
        </w:rPr>
      </w:pPr>
      <w:r w:rsidRPr="003006D9">
        <w:rPr>
          <w:rFonts w:cs="Arial"/>
          <w:szCs w:val="24"/>
          <w:lang w:val="es-CO"/>
        </w:rPr>
        <w:t xml:space="preserve">A continuación se presentan, en forma resumida, los hechos de la demanda: </w:t>
      </w:r>
    </w:p>
    <w:p w:rsidR="00F82E49" w:rsidRPr="003006D9" w:rsidRDefault="00F82E49" w:rsidP="0090169C">
      <w:pPr>
        <w:pStyle w:val="Lista2"/>
        <w:ind w:left="0" w:firstLine="0"/>
        <w:rPr>
          <w:rFonts w:cs="Arial"/>
          <w:b/>
        </w:rPr>
      </w:pPr>
    </w:p>
    <w:p w:rsidR="000B0AB2" w:rsidRPr="003006D9" w:rsidRDefault="000B0AB2" w:rsidP="000B0AB2">
      <w:pPr>
        <w:pStyle w:val="Continuarlista2"/>
        <w:ind w:left="0"/>
        <w:rPr>
          <w:rFonts w:cs="Arial"/>
        </w:rPr>
      </w:pPr>
      <w:r w:rsidRPr="003006D9">
        <w:rPr>
          <w:rFonts w:cs="Arial"/>
          <w:b/>
        </w:rPr>
        <w:t>2.1.</w:t>
      </w:r>
      <w:r w:rsidRPr="003006D9">
        <w:rPr>
          <w:rFonts w:cs="Arial"/>
        </w:rPr>
        <w:t xml:space="preserve"> </w:t>
      </w:r>
      <w:r w:rsidR="00B93570" w:rsidRPr="003006D9">
        <w:rPr>
          <w:rFonts w:cs="Arial"/>
        </w:rPr>
        <w:t>FEDEPALMA</w:t>
      </w:r>
      <w:r w:rsidRPr="003006D9">
        <w:rPr>
          <w:rFonts w:cs="Arial"/>
        </w:rPr>
        <w:t xml:space="preserve"> narró que la agremiación de cultivadores y productores de palma afrontaba una situación crítica </w:t>
      </w:r>
      <w:r w:rsidR="00B93570" w:rsidRPr="003006D9">
        <w:rPr>
          <w:rFonts w:cs="Arial"/>
        </w:rPr>
        <w:t xml:space="preserve">en el municipio de Tumaco </w:t>
      </w:r>
      <w:r w:rsidRPr="003006D9">
        <w:rPr>
          <w:rFonts w:cs="Arial"/>
        </w:rPr>
        <w:t xml:space="preserve">por las condiciones de orden público y por la enfermedad de la pudrición del cogollo PC, ante lo cual </w:t>
      </w:r>
      <w:r w:rsidR="00076702" w:rsidRPr="003006D9">
        <w:rPr>
          <w:rFonts w:cs="Arial"/>
        </w:rPr>
        <w:t xml:space="preserve">esa entidad </w:t>
      </w:r>
      <w:r w:rsidRPr="003006D9">
        <w:rPr>
          <w:rFonts w:cs="Arial"/>
          <w:i/>
        </w:rPr>
        <w:t>“resolvió hacer una adquisición de un predio localizado en la zona crítica de afectación”</w:t>
      </w:r>
      <w:r w:rsidRPr="003006D9">
        <w:rPr>
          <w:rFonts w:cs="Arial"/>
        </w:rPr>
        <w:t xml:space="preserve"> del PC, para destinar</w:t>
      </w:r>
      <w:r w:rsidR="00076702" w:rsidRPr="003006D9">
        <w:rPr>
          <w:rFonts w:cs="Arial"/>
        </w:rPr>
        <w:t xml:space="preserve"> el predio </w:t>
      </w:r>
      <w:r w:rsidRPr="003006D9">
        <w:rPr>
          <w:rFonts w:cs="Arial"/>
        </w:rPr>
        <w:t xml:space="preserve">a fines de desarrollo experimental, en orden a obtener estabilidad y acompañamiento productivo en las soluciones implementadas por los palmicultores. </w:t>
      </w:r>
    </w:p>
    <w:p w:rsidR="000B0AB2" w:rsidRPr="003006D9" w:rsidRDefault="000B0AB2" w:rsidP="000B0AB2">
      <w:pPr>
        <w:pStyle w:val="Continuarlista2"/>
        <w:ind w:left="0"/>
        <w:rPr>
          <w:rFonts w:cs="Arial"/>
        </w:rPr>
      </w:pPr>
    </w:p>
    <w:p w:rsidR="000B0AB2" w:rsidRPr="003006D9" w:rsidRDefault="000B0AB2" w:rsidP="000B0AB2">
      <w:pPr>
        <w:pStyle w:val="Continuarlista2"/>
        <w:ind w:left="0"/>
        <w:rPr>
          <w:rFonts w:cs="Arial"/>
        </w:rPr>
      </w:pPr>
      <w:r w:rsidRPr="003006D9">
        <w:rPr>
          <w:rFonts w:cs="Arial"/>
        </w:rPr>
        <w:t xml:space="preserve">Indicó que </w:t>
      </w:r>
      <w:r w:rsidR="009308CF" w:rsidRPr="003006D9">
        <w:rPr>
          <w:rFonts w:cs="Arial"/>
        </w:rPr>
        <w:t xml:space="preserve">como resultado del </w:t>
      </w:r>
      <w:r w:rsidR="002925A2" w:rsidRPr="003006D9">
        <w:rPr>
          <w:rFonts w:cs="Arial"/>
        </w:rPr>
        <w:t>estudi</w:t>
      </w:r>
      <w:r w:rsidR="009308CF" w:rsidRPr="003006D9">
        <w:rPr>
          <w:rFonts w:cs="Arial"/>
        </w:rPr>
        <w:t xml:space="preserve">o </w:t>
      </w:r>
      <w:r w:rsidR="002925A2" w:rsidRPr="003006D9">
        <w:rPr>
          <w:rFonts w:cs="Arial"/>
        </w:rPr>
        <w:t xml:space="preserve">y </w:t>
      </w:r>
      <w:r w:rsidRPr="003006D9">
        <w:rPr>
          <w:rFonts w:cs="Arial"/>
        </w:rPr>
        <w:t>explor</w:t>
      </w:r>
      <w:r w:rsidR="009308CF" w:rsidRPr="003006D9">
        <w:rPr>
          <w:rFonts w:cs="Arial"/>
        </w:rPr>
        <w:t xml:space="preserve">ación de la </w:t>
      </w:r>
      <w:r w:rsidRPr="003006D9">
        <w:rPr>
          <w:rFonts w:cs="Arial"/>
        </w:rPr>
        <w:t xml:space="preserve">zona </w:t>
      </w:r>
      <w:r w:rsidR="007D5ABB" w:rsidRPr="003006D9">
        <w:rPr>
          <w:rFonts w:cs="Arial"/>
        </w:rPr>
        <w:t>se</w:t>
      </w:r>
      <w:r w:rsidRPr="003006D9">
        <w:rPr>
          <w:rFonts w:cs="Arial"/>
        </w:rPr>
        <w:t xml:space="preserve"> </w:t>
      </w:r>
      <w:r w:rsidR="007D5ABB" w:rsidRPr="003006D9">
        <w:rPr>
          <w:rFonts w:cs="Arial"/>
        </w:rPr>
        <w:t xml:space="preserve">identificó </w:t>
      </w:r>
      <w:r w:rsidR="00674F03" w:rsidRPr="003006D9">
        <w:rPr>
          <w:rFonts w:cs="Arial"/>
        </w:rPr>
        <w:t>el</w:t>
      </w:r>
      <w:r w:rsidRPr="003006D9">
        <w:rPr>
          <w:rFonts w:cs="Arial"/>
        </w:rPr>
        <w:t xml:space="preserve"> inmueble </w:t>
      </w:r>
      <w:r w:rsidR="002925A2" w:rsidRPr="003006D9">
        <w:rPr>
          <w:rFonts w:cs="Arial"/>
        </w:rPr>
        <w:t xml:space="preserve">denominado El Mira, de propiedad del </w:t>
      </w:r>
      <w:r w:rsidRPr="003006D9">
        <w:rPr>
          <w:rFonts w:cs="Arial"/>
        </w:rPr>
        <w:t xml:space="preserve">ICA. Observó que, con absoluta buena fe, </w:t>
      </w:r>
      <w:r w:rsidR="009308CF" w:rsidRPr="003006D9">
        <w:rPr>
          <w:rFonts w:cs="Arial"/>
        </w:rPr>
        <w:t>FEDEPALMA</w:t>
      </w:r>
      <w:r w:rsidRPr="003006D9">
        <w:rPr>
          <w:rFonts w:cs="Arial"/>
        </w:rPr>
        <w:t xml:space="preserve"> hizo una evaluación del </w:t>
      </w:r>
      <w:r w:rsidR="002925A2" w:rsidRPr="003006D9">
        <w:rPr>
          <w:rFonts w:cs="Arial"/>
        </w:rPr>
        <w:t xml:space="preserve">bien </w:t>
      </w:r>
      <w:r w:rsidRPr="003006D9">
        <w:rPr>
          <w:rFonts w:cs="Arial"/>
        </w:rPr>
        <w:t>inmueble y que la presencia del ICA le inspiró confianza respecto de la seguridad, objetividad y transparencia en las condiciones del negocio jurídico</w:t>
      </w:r>
      <w:r w:rsidR="002925A2" w:rsidRPr="003006D9">
        <w:rPr>
          <w:rFonts w:cs="Arial"/>
        </w:rPr>
        <w:t xml:space="preserve"> de venta</w:t>
      </w:r>
      <w:r w:rsidRPr="003006D9">
        <w:rPr>
          <w:rFonts w:cs="Arial"/>
        </w:rPr>
        <w:t>.</w:t>
      </w:r>
    </w:p>
    <w:p w:rsidR="000B0AB2" w:rsidRPr="003006D9" w:rsidRDefault="000B0AB2" w:rsidP="0090169C">
      <w:pPr>
        <w:pStyle w:val="Continuarlista2"/>
        <w:ind w:left="0"/>
        <w:rPr>
          <w:rFonts w:cs="Arial"/>
        </w:rPr>
      </w:pPr>
    </w:p>
    <w:p w:rsidR="00D36B49" w:rsidRPr="003006D9" w:rsidRDefault="00346E02" w:rsidP="0090169C">
      <w:pPr>
        <w:pStyle w:val="Continuarlista2"/>
        <w:ind w:left="0"/>
        <w:rPr>
          <w:rFonts w:cs="Arial"/>
        </w:rPr>
      </w:pPr>
      <w:r w:rsidRPr="003006D9">
        <w:rPr>
          <w:rFonts w:cs="Arial"/>
          <w:b/>
        </w:rPr>
        <w:t>2.</w:t>
      </w:r>
      <w:r w:rsidR="000B0AB2" w:rsidRPr="003006D9">
        <w:rPr>
          <w:rFonts w:cs="Arial"/>
          <w:b/>
        </w:rPr>
        <w:t>2</w:t>
      </w:r>
      <w:r w:rsidRPr="003006D9">
        <w:rPr>
          <w:rFonts w:cs="Arial"/>
          <w:b/>
        </w:rPr>
        <w:t>.</w:t>
      </w:r>
      <w:r w:rsidRPr="003006D9">
        <w:rPr>
          <w:rFonts w:cs="Arial"/>
        </w:rPr>
        <w:t xml:space="preserve"> </w:t>
      </w:r>
      <w:r w:rsidR="00161678" w:rsidRPr="003006D9">
        <w:rPr>
          <w:rFonts w:cs="Arial"/>
        </w:rPr>
        <w:t xml:space="preserve">Mediante Resolución 00261 de 10 de agosto de 2010, el ICA </w:t>
      </w:r>
      <w:r w:rsidR="009D56B3" w:rsidRPr="003006D9">
        <w:rPr>
          <w:rFonts w:cs="Arial"/>
        </w:rPr>
        <w:t xml:space="preserve">ordenó la apertura del proceso de selección </w:t>
      </w:r>
      <w:r w:rsidR="00FB65F0" w:rsidRPr="003006D9">
        <w:rPr>
          <w:rFonts w:cs="Arial"/>
        </w:rPr>
        <w:t>a</w:t>
      </w:r>
      <w:r w:rsidR="009D56B3" w:rsidRPr="003006D9">
        <w:rPr>
          <w:rFonts w:cs="Arial"/>
        </w:rPr>
        <w:t xml:space="preserve">breviada, </w:t>
      </w:r>
      <w:r w:rsidR="00FB65F0" w:rsidRPr="003006D9">
        <w:rPr>
          <w:rFonts w:cs="Arial"/>
        </w:rPr>
        <w:t xml:space="preserve">por la modalidad de </w:t>
      </w:r>
      <w:r w:rsidR="009D56B3" w:rsidRPr="003006D9">
        <w:rPr>
          <w:rFonts w:cs="Arial"/>
        </w:rPr>
        <w:t>subasta pública</w:t>
      </w:r>
      <w:r w:rsidR="00CE4B6A" w:rsidRPr="003006D9">
        <w:rPr>
          <w:rFonts w:cs="Arial"/>
        </w:rPr>
        <w:t xml:space="preserve"> electrónica</w:t>
      </w:r>
      <w:r w:rsidR="00BD3AC8" w:rsidRPr="003006D9">
        <w:rPr>
          <w:rFonts w:cs="Arial"/>
        </w:rPr>
        <w:t>, con el objeto de seleccionar a la persona que presentara la mejor oferta par</w:t>
      </w:r>
      <w:r w:rsidR="00D36B49" w:rsidRPr="003006D9">
        <w:rPr>
          <w:rFonts w:cs="Arial"/>
        </w:rPr>
        <w:t>a</w:t>
      </w:r>
      <w:r w:rsidR="00BD3AC8" w:rsidRPr="003006D9">
        <w:rPr>
          <w:rFonts w:cs="Arial"/>
        </w:rPr>
        <w:t xml:space="preserve"> la compra del inmueble denominado El Mira, ubicado en el municipio de Tum</w:t>
      </w:r>
      <w:r w:rsidR="00D36B49" w:rsidRPr="003006D9">
        <w:rPr>
          <w:rFonts w:cs="Arial"/>
        </w:rPr>
        <w:t>a</w:t>
      </w:r>
      <w:r w:rsidR="00BD3AC8" w:rsidRPr="003006D9">
        <w:rPr>
          <w:rFonts w:cs="Arial"/>
        </w:rPr>
        <w:t>co</w:t>
      </w:r>
      <w:r w:rsidR="000B0AB2" w:rsidRPr="003006D9">
        <w:rPr>
          <w:rFonts w:cs="Arial"/>
        </w:rPr>
        <w:t xml:space="preserve"> </w:t>
      </w:r>
      <w:r w:rsidR="007D5ABB" w:rsidRPr="003006D9">
        <w:rPr>
          <w:rFonts w:cs="Arial"/>
        </w:rPr>
        <w:t>–</w:t>
      </w:r>
      <w:r w:rsidR="00BD3AC8" w:rsidRPr="003006D9">
        <w:rPr>
          <w:rFonts w:cs="Arial"/>
        </w:rPr>
        <w:t xml:space="preserve"> Nari</w:t>
      </w:r>
      <w:r w:rsidR="00D36B49" w:rsidRPr="003006D9">
        <w:rPr>
          <w:rFonts w:cs="Arial"/>
        </w:rPr>
        <w:t>ño</w:t>
      </w:r>
      <w:r w:rsidR="007D5ABB" w:rsidRPr="003006D9">
        <w:rPr>
          <w:rFonts w:cs="Arial"/>
        </w:rPr>
        <w:t xml:space="preserve">. La demandante observó que el inmueble tenía una </w:t>
      </w:r>
      <w:r w:rsidR="00BD3AC8" w:rsidRPr="003006D9">
        <w:rPr>
          <w:rFonts w:cs="Arial"/>
        </w:rPr>
        <w:t>extensión total aproximada de 540 hect</w:t>
      </w:r>
      <w:r w:rsidR="00D36B49" w:rsidRPr="003006D9">
        <w:rPr>
          <w:rFonts w:cs="Arial"/>
        </w:rPr>
        <w:t>á</w:t>
      </w:r>
      <w:r w:rsidR="00BD3AC8" w:rsidRPr="003006D9">
        <w:rPr>
          <w:rFonts w:cs="Arial"/>
        </w:rPr>
        <w:t>reas 500 metros, de l</w:t>
      </w:r>
      <w:r w:rsidR="00FB65F0" w:rsidRPr="003006D9">
        <w:rPr>
          <w:rFonts w:cs="Arial"/>
        </w:rPr>
        <w:t>a</w:t>
      </w:r>
      <w:r w:rsidR="00BD3AC8" w:rsidRPr="003006D9">
        <w:rPr>
          <w:rFonts w:cs="Arial"/>
        </w:rPr>
        <w:t>s cuales</w:t>
      </w:r>
      <w:r w:rsidR="00FB65F0" w:rsidRPr="003006D9">
        <w:rPr>
          <w:rFonts w:cs="Arial"/>
        </w:rPr>
        <w:t>,</w:t>
      </w:r>
      <w:r w:rsidR="00BD3AC8" w:rsidRPr="003006D9">
        <w:rPr>
          <w:rFonts w:cs="Arial"/>
        </w:rPr>
        <w:t xml:space="preserve"> 44</w:t>
      </w:r>
      <w:r w:rsidR="0024291D" w:rsidRPr="003006D9">
        <w:rPr>
          <w:rFonts w:cs="Arial"/>
        </w:rPr>
        <w:t>9</w:t>
      </w:r>
      <w:r w:rsidR="00BD3AC8" w:rsidRPr="003006D9">
        <w:rPr>
          <w:rFonts w:cs="Arial"/>
        </w:rPr>
        <w:t xml:space="preserve"> hectáreas más 8.500 metros cuadrados eran de</w:t>
      </w:r>
      <w:r w:rsidR="00D36B49" w:rsidRPr="003006D9">
        <w:rPr>
          <w:rFonts w:cs="Arial"/>
        </w:rPr>
        <w:t xml:space="preserve"> </w:t>
      </w:r>
      <w:r w:rsidR="00BD3AC8" w:rsidRPr="003006D9">
        <w:rPr>
          <w:rFonts w:cs="Arial"/>
        </w:rPr>
        <w:t>propiedad del ICA y el resto</w:t>
      </w:r>
      <w:r w:rsidR="0027071F" w:rsidRPr="003006D9">
        <w:rPr>
          <w:rFonts w:cs="Arial"/>
        </w:rPr>
        <w:t xml:space="preserve"> </w:t>
      </w:r>
      <w:r w:rsidR="00BD3AC8" w:rsidRPr="003006D9">
        <w:rPr>
          <w:rFonts w:cs="Arial"/>
        </w:rPr>
        <w:t>era objeto de posesión registrada a nombre de esa misma entidad</w:t>
      </w:r>
      <w:r w:rsidR="002925A2" w:rsidRPr="003006D9">
        <w:rPr>
          <w:rFonts w:cs="Arial"/>
        </w:rPr>
        <w:t>.</w:t>
      </w:r>
    </w:p>
    <w:p w:rsidR="002925A2" w:rsidRPr="003006D9" w:rsidRDefault="002925A2" w:rsidP="0090169C">
      <w:pPr>
        <w:pStyle w:val="Continuarlista2"/>
        <w:ind w:left="0"/>
        <w:rPr>
          <w:rFonts w:cs="Arial"/>
        </w:rPr>
      </w:pPr>
    </w:p>
    <w:p w:rsidR="00066D48" w:rsidRPr="003006D9" w:rsidRDefault="00D36B49" w:rsidP="0090169C">
      <w:pPr>
        <w:pStyle w:val="Continuarlista2"/>
        <w:ind w:left="0"/>
        <w:rPr>
          <w:rFonts w:cs="Arial"/>
        </w:rPr>
      </w:pPr>
      <w:r w:rsidRPr="003006D9">
        <w:rPr>
          <w:rFonts w:cs="Arial"/>
          <w:b/>
        </w:rPr>
        <w:lastRenderedPageBreak/>
        <w:t>2.</w:t>
      </w:r>
      <w:r w:rsidR="000B0AB2" w:rsidRPr="003006D9">
        <w:rPr>
          <w:rFonts w:cs="Arial"/>
          <w:b/>
        </w:rPr>
        <w:t>3</w:t>
      </w:r>
      <w:r w:rsidRPr="003006D9">
        <w:rPr>
          <w:rFonts w:cs="Arial"/>
          <w:b/>
        </w:rPr>
        <w:t>.</w:t>
      </w:r>
      <w:r w:rsidRPr="003006D9">
        <w:rPr>
          <w:rFonts w:cs="Arial"/>
        </w:rPr>
        <w:t xml:space="preserve"> En el pliego de condiciones se in</w:t>
      </w:r>
      <w:r w:rsidR="0027071F" w:rsidRPr="003006D9">
        <w:rPr>
          <w:rFonts w:cs="Arial"/>
        </w:rPr>
        <w:t xml:space="preserve">formó </w:t>
      </w:r>
      <w:r w:rsidR="008B2853" w:rsidRPr="003006D9">
        <w:rPr>
          <w:rFonts w:cs="Arial"/>
        </w:rPr>
        <w:t>el avalúo de la Lonja de Propiedad Raíz de Nariño y Putumayo por la</w:t>
      </w:r>
      <w:r w:rsidRPr="003006D9">
        <w:rPr>
          <w:rFonts w:cs="Arial"/>
        </w:rPr>
        <w:t xml:space="preserve"> suma de $8.269</w:t>
      </w:r>
      <w:r w:rsidR="00066D48" w:rsidRPr="003006D9">
        <w:rPr>
          <w:rFonts w:cs="Arial"/>
        </w:rPr>
        <w:t>´410.000</w:t>
      </w:r>
      <w:r w:rsidR="008B2853" w:rsidRPr="003006D9">
        <w:rPr>
          <w:rFonts w:cs="Arial"/>
        </w:rPr>
        <w:t>,</w:t>
      </w:r>
      <w:r w:rsidR="00066D48" w:rsidRPr="003006D9">
        <w:rPr>
          <w:rFonts w:cs="Arial"/>
        </w:rPr>
        <w:t xml:space="preserve"> como valor comercial del inmueble</w:t>
      </w:r>
      <w:r w:rsidR="008B2853" w:rsidRPr="003006D9">
        <w:rPr>
          <w:rFonts w:cs="Arial"/>
        </w:rPr>
        <w:t xml:space="preserve"> y </w:t>
      </w:r>
      <w:r w:rsidR="00066D48" w:rsidRPr="003006D9">
        <w:rPr>
          <w:rFonts w:cs="Arial"/>
        </w:rPr>
        <w:t>se fijó como precio mínimo de venta</w:t>
      </w:r>
      <w:r w:rsidR="000B0AB2" w:rsidRPr="003006D9">
        <w:rPr>
          <w:rFonts w:cs="Arial"/>
        </w:rPr>
        <w:t xml:space="preserve"> el 50% del avalúo, esto es,</w:t>
      </w:r>
      <w:r w:rsidR="00066D48" w:rsidRPr="003006D9">
        <w:rPr>
          <w:rFonts w:cs="Arial"/>
        </w:rPr>
        <w:t xml:space="preserve"> la suma de $4.134’705.000.</w:t>
      </w:r>
    </w:p>
    <w:p w:rsidR="00066D48" w:rsidRPr="003006D9" w:rsidRDefault="00066D48" w:rsidP="0090169C">
      <w:pPr>
        <w:pStyle w:val="Continuarlista2"/>
        <w:ind w:left="0"/>
        <w:rPr>
          <w:rFonts w:cs="Arial"/>
        </w:rPr>
      </w:pPr>
    </w:p>
    <w:p w:rsidR="003B584E" w:rsidRPr="003006D9" w:rsidRDefault="00FB65F0" w:rsidP="0090169C">
      <w:pPr>
        <w:pStyle w:val="Continuarlista2"/>
        <w:ind w:left="0"/>
        <w:rPr>
          <w:rFonts w:cs="Arial"/>
        </w:rPr>
      </w:pPr>
      <w:r w:rsidRPr="003006D9">
        <w:rPr>
          <w:rFonts w:cs="Arial"/>
          <w:b/>
        </w:rPr>
        <w:t>2.</w:t>
      </w:r>
      <w:r w:rsidR="008B2853" w:rsidRPr="003006D9">
        <w:rPr>
          <w:rFonts w:cs="Arial"/>
          <w:b/>
        </w:rPr>
        <w:t>4</w:t>
      </w:r>
      <w:r w:rsidRPr="003006D9">
        <w:rPr>
          <w:rFonts w:cs="Arial"/>
          <w:b/>
        </w:rPr>
        <w:t>.</w:t>
      </w:r>
      <w:r w:rsidRPr="003006D9">
        <w:rPr>
          <w:rFonts w:cs="Arial"/>
        </w:rPr>
        <w:t xml:space="preserve"> </w:t>
      </w:r>
      <w:r w:rsidR="009308CF" w:rsidRPr="003006D9">
        <w:rPr>
          <w:rFonts w:cs="Arial"/>
        </w:rPr>
        <w:t>FEDEPALMA</w:t>
      </w:r>
      <w:r w:rsidRPr="003006D9">
        <w:rPr>
          <w:rFonts w:cs="Arial"/>
        </w:rPr>
        <w:t xml:space="preserve"> </w:t>
      </w:r>
      <w:r w:rsidR="00CE4B6A" w:rsidRPr="003006D9">
        <w:rPr>
          <w:rFonts w:cs="Arial"/>
        </w:rPr>
        <w:t>realizó el pago por concepto de anticipo</w:t>
      </w:r>
      <w:r w:rsidR="00DD095F" w:rsidRPr="003006D9">
        <w:rPr>
          <w:rFonts w:cs="Arial"/>
        </w:rPr>
        <w:t>,</w:t>
      </w:r>
      <w:r w:rsidR="003A2EF5" w:rsidRPr="003006D9">
        <w:rPr>
          <w:rFonts w:cs="Arial"/>
        </w:rPr>
        <w:t xml:space="preserve"> allegó en debida forma todos los documentos habilitantes</w:t>
      </w:r>
      <w:r w:rsidR="00AA2B40" w:rsidRPr="003006D9">
        <w:rPr>
          <w:rFonts w:cs="Arial"/>
        </w:rPr>
        <w:t xml:space="preserve"> y </w:t>
      </w:r>
      <w:r w:rsidR="003A2EF5" w:rsidRPr="003006D9">
        <w:rPr>
          <w:rFonts w:cs="Arial"/>
        </w:rPr>
        <w:t>presentó propuesta inicial por la suma de $4.140’000.000</w:t>
      </w:r>
      <w:r w:rsidR="00AA2B40" w:rsidRPr="003006D9">
        <w:rPr>
          <w:rFonts w:cs="Arial"/>
        </w:rPr>
        <w:t xml:space="preserve">, siendo el </w:t>
      </w:r>
      <w:r w:rsidR="009C6A31" w:rsidRPr="003006D9">
        <w:rPr>
          <w:rFonts w:cs="Arial"/>
        </w:rPr>
        <w:t>único proponente</w:t>
      </w:r>
      <w:r w:rsidR="00AA2B40" w:rsidRPr="003006D9">
        <w:rPr>
          <w:rFonts w:cs="Arial"/>
        </w:rPr>
        <w:t>. Sin embargo</w:t>
      </w:r>
      <w:r w:rsidR="0027071F" w:rsidRPr="003006D9">
        <w:rPr>
          <w:rFonts w:cs="Arial"/>
        </w:rPr>
        <w:t>,</w:t>
      </w:r>
      <w:r w:rsidR="00AA2B40" w:rsidRPr="003006D9">
        <w:rPr>
          <w:rFonts w:cs="Arial"/>
        </w:rPr>
        <w:t xml:space="preserve"> </w:t>
      </w:r>
      <w:r w:rsidR="00DD095F" w:rsidRPr="003006D9">
        <w:rPr>
          <w:rFonts w:cs="Arial"/>
        </w:rPr>
        <w:t>según reseñó FEDEPALMA</w:t>
      </w:r>
      <w:r w:rsidR="0024291D" w:rsidRPr="003006D9">
        <w:rPr>
          <w:rFonts w:cs="Arial"/>
        </w:rPr>
        <w:t>,</w:t>
      </w:r>
      <w:r w:rsidR="00DD095F" w:rsidRPr="003006D9">
        <w:rPr>
          <w:rFonts w:cs="Arial"/>
        </w:rPr>
        <w:t xml:space="preserve"> </w:t>
      </w:r>
      <w:r w:rsidR="00AA2B40" w:rsidRPr="003006D9">
        <w:rPr>
          <w:rFonts w:cs="Arial"/>
        </w:rPr>
        <w:t xml:space="preserve">el ICA no procedió a la adjudicación directa y, </w:t>
      </w:r>
      <w:r w:rsidR="009C6A31" w:rsidRPr="003006D9">
        <w:rPr>
          <w:rFonts w:cs="Arial"/>
        </w:rPr>
        <w:t>por virtud del mecanismo de la subasta pública electrónica</w:t>
      </w:r>
      <w:r w:rsidR="00AA2B40" w:rsidRPr="003006D9">
        <w:rPr>
          <w:rFonts w:cs="Arial"/>
        </w:rPr>
        <w:t xml:space="preserve">, </w:t>
      </w:r>
      <w:r w:rsidR="00DD095F" w:rsidRPr="003006D9">
        <w:rPr>
          <w:rFonts w:cs="Arial"/>
        </w:rPr>
        <w:t xml:space="preserve">esa entidad </w:t>
      </w:r>
      <w:r w:rsidR="00AA2B40" w:rsidRPr="003006D9">
        <w:rPr>
          <w:rFonts w:cs="Arial"/>
        </w:rPr>
        <w:t>obtuvo un beneficio adicional</w:t>
      </w:r>
      <w:r w:rsidR="00733755" w:rsidRPr="003006D9">
        <w:rPr>
          <w:rFonts w:cs="Arial"/>
        </w:rPr>
        <w:t>,</w:t>
      </w:r>
      <w:r w:rsidR="00AA2B40" w:rsidRPr="003006D9">
        <w:rPr>
          <w:rFonts w:cs="Arial"/>
        </w:rPr>
        <w:t xml:space="preserve"> puesto que </w:t>
      </w:r>
      <w:r w:rsidR="00DD095F" w:rsidRPr="003006D9">
        <w:rPr>
          <w:rFonts w:cs="Arial"/>
        </w:rPr>
        <w:t>FEDEPALMA</w:t>
      </w:r>
      <w:r w:rsidR="00AA2B40" w:rsidRPr="003006D9">
        <w:rPr>
          <w:rFonts w:cs="Arial"/>
        </w:rPr>
        <w:t xml:space="preserve"> mejoró su propuesta a la </w:t>
      </w:r>
      <w:r w:rsidR="003A2EF5" w:rsidRPr="003006D9">
        <w:rPr>
          <w:rFonts w:cs="Arial"/>
        </w:rPr>
        <w:t xml:space="preserve">suma de </w:t>
      </w:r>
      <w:r w:rsidR="009C6A31" w:rsidRPr="003006D9">
        <w:rPr>
          <w:rFonts w:cs="Arial"/>
        </w:rPr>
        <w:t>$4.165’000.000, precio final por el que le fue adjudicado el inmueble</w:t>
      </w:r>
      <w:r w:rsidR="00AA2B40" w:rsidRPr="003006D9">
        <w:rPr>
          <w:rFonts w:cs="Arial"/>
        </w:rPr>
        <w:t>, mediante Resolución 3098 de</w:t>
      </w:r>
      <w:r w:rsidR="003B584E" w:rsidRPr="003006D9">
        <w:rPr>
          <w:rFonts w:cs="Arial"/>
        </w:rPr>
        <w:t>l 17 de septiembre de 2010.</w:t>
      </w:r>
    </w:p>
    <w:p w:rsidR="008B2853" w:rsidRPr="003006D9" w:rsidRDefault="008B2853" w:rsidP="0090169C">
      <w:pPr>
        <w:pStyle w:val="Continuarlista2"/>
        <w:ind w:left="0"/>
        <w:rPr>
          <w:rFonts w:cs="Arial"/>
        </w:rPr>
      </w:pPr>
    </w:p>
    <w:p w:rsidR="003B584E" w:rsidRPr="003006D9" w:rsidRDefault="003B584E" w:rsidP="0090169C">
      <w:pPr>
        <w:pStyle w:val="Continuarlista2"/>
        <w:ind w:left="0"/>
        <w:rPr>
          <w:rFonts w:cs="Arial"/>
        </w:rPr>
      </w:pPr>
      <w:r w:rsidRPr="003006D9">
        <w:rPr>
          <w:rFonts w:cs="Arial"/>
          <w:b/>
        </w:rPr>
        <w:t>2.</w:t>
      </w:r>
      <w:r w:rsidR="008B2853" w:rsidRPr="003006D9">
        <w:rPr>
          <w:rFonts w:cs="Arial"/>
          <w:b/>
        </w:rPr>
        <w:t>5</w:t>
      </w:r>
      <w:r w:rsidRPr="003006D9">
        <w:rPr>
          <w:rFonts w:cs="Arial"/>
          <w:b/>
        </w:rPr>
        <w:t>.</w:t>
      </w:r>
      <w:r w:rsidRPr="003006D9">
        <w:rPr>
          <w:rFonts w:cs="Arial"/>
        </w:rPr>
        <w:t xml:space="preserve"> Las partes suscribieron la promesa de compraventa el 30 de septiembre de 2010</w:t>
      </w:r>
      <w:r w:rsidR="00733755" w:rsidRPr="003006D9">
        <w:rPr>
          <w:rFonts w:cs="Arial"/>
        </w:rPr>
        <w:t xml:space="preserve"> y</w:t>
      </w:r>
      <w:r w:rsidR="00844304" w:rsidRPr="003006D9">
        <w:rPr>
          <w:rFonts w:cs="Arial"/>
        </w:rPr>
        <w:t xml:space="preserve">, en cumplimiento de la misma, </w:t>
      </w:r>
      <w:r w:rsidR="00DD095F" w:rsidRPr="003006D9">
        <w:rPr>
          <w:rFonts w:cs="Arial"/>
        </w:rPr>
        <w:t>FEDEPALMA</w:t>
      </w:r>
      <w:r w:rsidRPr="003006D9">
        <w:rPr>
          <w:rFonts w:cs="Arial"/>
        </w:rPr>
        <w:t xml:space="preserve"> realizó los pagos en la forma y términos establecidos en la cláusula cuarta</w:t>
      </w:r>
      <w:r w:rsidR="00844304" w:rsidRPr="003006D9">
        <w:rPr>
          <w:rFonts w:cs="Arial"/>
        </w:rPr>
        <w:t>,</w:t>
      </w:r>
      <w:r w:rsidRPr="003006D9">
        <w:rPr>
          <w:rFonts w:cs="Arial"/>
        </w:rPr>
        <w:t xml:space="preserve"> por un valor total de $4</w:t>
      </w:r>
      <w:r w:rsidR="00C515A9" w:rsidRPr="003006D9">
        <w:rPr>
          <w:rFonts w:cs="Arial"/>
        </w:rPr>
        <w:t>.</w:t>
      </w:r>
      <w:r w:rsidRPr="003006D9">
        <w:rPr>
          <w:rFonts w:cs="Arial"/>
        </w:rPr>
        <w:t>165’000.000</w:t>
      </w:r>
    </w:p>
    <w:p w:rsidR="003B584E" w:rsidRPr="003006D9" w:rsidRDefault="003B584E" w:rsidP="0090169C">
      <w:pPr>
        <w:pStyle w:val="Continuarlista2"/>
        <w:ind w:left="0"/>
        <w:rPr>
          <w:rFonts w:cs="Arial"/>
        </w:rPr>
      </w:pPr>
    </w:p>
    <w:p w:rsidR="008A0267" w:rsidRPr="003006D9" w:rsidRDefault="00C515A9" w:rsidP="0090169C">
      <w:pPr>
        <w:pStyle w:val="Continuarlista2"/>
        <w:ind w:left="0"/>
        <w:rPr>
          <w:rFonts w:cs="Arial"/>
        </w:rPr>
      </w:pPr>
      <w:r w:rsidRPr="003006D9">
        <w:rPr>
          <w:rFonts w:cs="Arial"/>
          <w:b/>
        </w:rPr>
        <w:t>2.</w:t>
      </w:r>
      <w:r w:rsidR="00844304" w:rsidRPr="003006D9">
        <w:rPr>
          <w:rFonts w:cs="Arial"/>
          <w:b/>
        </w:rPr>
        <w:t>6</w:t>
      </w:r>
      <w:r w:rsidRPr="003006D9">
        <w:rPr>
          <w:rFonts w:cs="Arial"/>
          <w:b/>
        </w:rPr>
        <w:t>.</w:t>
      </w:r>
      <w:r w:rsidRPr="003006D9">
        <w:rPr>
          <w:rFonts w:cs="Arial"/>
        </w:rPr>
        <w:t xml:space="preserve"> No obstante la firmeza de las actuaciones contractuales y el cumplimiento de todas las exigencia</w:t>
      </w:r>
      <w:r w:rsidR="00733755" w:rsidRPr="003006D9">
        <w:rPr>
          <w:rFonts w:cs="Arial"/>
        </w:rPr>
        <w:t>s</w:t>
      </w:r>
      <w:r w:rsidRPr="003006D9">
        <w:rPr>
          <w:rFonts w:cs="Arial"/>
        </w:rPr>
        <w:t xml:space="preserve">, incluido el pago de la totalidad del valor de inmueble, el plazo contractual fijado en la promesa de compraventa venció el 5 de noviembre de </w:t>
      </w:r>
      <w:r w:rsidR="00733755" w:rsidRPr="003006D9">
        <w:rPr>
          <w:rFonts w:cs="Arial"/>
        </w:rPr>
        <w:t>2</w:t>
      </w:r>
      <w:r w:rsidRPr="003006D9">
        <w:rPr>
          <w:rFonts w:cs="Arial"/>
        </w:rPr>
        <w:t xml:space="preserve">010 sin que el </w:t>
      </w:r>
      <w:r w:rsidR="008A0267" w:rsidRPr="003006D9">
        <w:rPr>
          <w:rFonts w:cs="Arial"/>
        </w:rPr>
        <w:t>ICA cumpliera c</w:t>
      </w:r>
      <w:r w:rsidR="00733755" w:rsidRPr="003006D9">
        <w:rPr>
          <w:rFonts w:cs="Arial"/>
        </w:rPr>
        <w:t xml:space="preserve">on las obligaciones </w:t>
      </w:r>
      <w:r w:rsidR="008A0267" w:rsidRPr="003006D9">
        <w:rPr>
          <w:rFonts w:cs="Arial"/>
        </w:rPr>
        <w:t>de gestionar el tr</w:t>
      </w:r>
      <w:r w:rsidR="00733755" w:rsidRPr="003006D9">
        <w:rPr>
          <w:rFonts w:cs="Arial"/>
        </w:rPr>
        <w:t>á</w:t>
      </w:r>
      <w:r w:rsidR="008A0267" w:rsidRPr="003006D9">
        <w:rPr>
          <w:rFonts w:cs="Arial"/>
        </w:rPr>
        <w:t>mite de r</w:t>
      </w:r>
      <w:r w:rsidR="00733755" w:rsidRPr="003006D9">
        <w:rPr>
          <w:rFonts w:cs="Arial"/>
        </w:rPr>
        <w:t>e</w:t>
      </w:r>
      <w:r w:rsidR="008A0267" w:rsidRPr="003006D9">
        <w:rPr>
          <w:rFonts w:cs="Arial"/>
        </w:rPr>
        <w:t>parto de notaria, suscri</w:t>
      </w:r>
      <w:r w:rsidR="00733755" w:rsidRPr="003006D9">
        <w:rPr>
          <w:rFonts w:cs="Arial"/>
        </w:rPr>
        <w:t xml:space="preserve">bir </w:t>
      </w:r>
      <w:r w:rsidR="008A0267" w:rsidRPr="003006D9">
        <w:rPr>
          <w:rFonts w:cs="Arial"/>
        </w:rPr>
        <w:t xml:space="preserve">la escritura pública </w:t>
      </w:r>
      <w:r w:rsidR="00733755" w:rsidRPr="003006D9">
        <w:rPr>
          <w:rFonts w:cs="Arial"/>
        </w:rPr>
        <w:t xml:space="preserve">correspondiente </w:t>
      </w:r>
      <w:r w:rsidR="008A0267" w:rsidRPr="003006D9">
        <w:rPr>
          <w:rFonts w:cs="Arial"/>
        </w:rPr>
        <w:t xml:space="preserve">y </w:t>
      </w:r>
      <w:r w:rsidR="00733755" w:rsidRPr="003006D9">
        <w:rPr>
          <w:rFonts w:cs="Arial"/>
        </w:rPr>
        <w:t>realizar la</w:t>
      </w:r>
      <w:r w:rsidR="008A0267" w:rsidRPr="003006D9">
        <w:rPr>
          <w:rFonts w:cs="Arial"/>
        </w:rPr>
        <w:t xml:space="preserve"> entrega del inmueble.</w:t>
      </w:r>
    </w:p>
    <w:p w:rsidR="00E353BE" w:rsidRPr="003006D9" w:rsidRDefault="00E353BE" w:rsidP="0090169C">
      <w:pPr>
        <w:pStyle w:val="Continuarlista2"/>
        <w:ind w:left="0"/>
        <w:rPr>
          <w:rFonts w:cs="Arial"/>
        </w:rPr>
      </w:pPr>
    </w:p>
    <w:p w:rsidR="002925A2" w:rsidRPr="003006D9" w:rsidRDefault="00E353BE" w:rsidP="0090169C">
      <w:pPr>
        <w:pStyle w:val="Continuarlista2"/>
        <w:ind w:left="0"/>
        <w:rPr>
          <w:rFonts w:cs="Arial"/>
        </w:rPr>
      </w:pPr>
      <w:r w:rsidRPr="003006D9">
        <w:rPr>
          <w:rFonts w:cs="Arial"/>
          <w:b/>
        </w:rPr>
        <w:t>2.</w:t>
      </w:r>
      <w:r w:rsidR="00844304" w:rsidRPr="003006D9">
        <w:rPr>
          <w:rFonts w:cs="Arial"/>
          <w:b/>
        </w:rPr>
        <w:t>7</w:t>
      </w:r>
      <w:r w:rsidRPr="003006D9">
        <w:rPr>
          <w:rFonts w:cs="Arial"/>
          <w:b/>
        </w:rPr>
        <w:t>.</w:t>
      </w:r>
      <w:r w:rsidR="002925A2" w:rsidRPr="003006D9">
        <w:rPr>
          <w:rFonts w:cs="Arial"/>
        </w:rPr>
        <w:t xml:space="preserve"> D</w:t>
      </w:r>
      <w:r w:rsidRPr="003006D9">
        <w:rPr>
          <w:rFonts w:cs="Arial"/>
        </w:rPr>
        <w:t>espués de vencido el plazo c</w:t>
      </w:r>
      <w:r w:rsidR="001975C0" w:rsidRPr="003006D9">
        <w:rPr>
          <w:rFonts w:cs="Arial"/>
        </w:rPr>
        <w:t>ontractual</w:t>
      </w:r>
      <w:r w:rsidRPr="003006D9">
        <w:rPr>
          <w:rFonts w:cs="Arial"/>
        </w:rPr>
        <w:t xml:space="preserve">, el ICA </w:t>
      </w:r>
      <w:r w:rsidR="001975C0" w:rsidRPr="003006D9">
        <w:rPr>
          <w:rFonts w:cs="Arial"/>
        </w:rPr>
        <w:t>solicitó</w:t>
      </w:r>
      <w:r w:rsidR="00844304" w:rsidRPr="003006D9">
        <w:rPr>
          <w:rFonts w:cs="Arial"/>
        </w:rPr>
        <w:t>,</w:t>
      </w:r>
      <w:r w:rsidR="001975C0" w:rsidRPr="003006D9">
        <w:rPr>
          <w:rFonts w:cs="Arial"/>
        </w:rPr>
        <w:t xml:space="preserve"> primero</w:t>
      </w:r>
      <w:r w:rsidR="00844304" w:rsidRPr="003006D9">
        <w:rPr>
          <w:rFonts w:cs="Arial"/>
        </w:rPr>
        <w:t>,</w:t>
      </w:r>
      <w:r w:rsidR="001975C0" w:rsidRPr="003006D9">
        <w:rPr>
          <w:rFonts w:cs="Arial"/>
        </w:rPr>
        <w:t xml:space="preserve"> suspende</w:t>
      </w:r>
      <w:r w:rsidR="00844304" w:rsidRPr="003006D9">
        <w:rPr>
          <w:rFonts w:cs="Arial"/>
        </w:rPr>
        <w:t>r</w:t>
      </w:r>
      <w:r w:rsidR="001975C0" w:rsidRPr="003006D9">
        <w:rPr>
          <w:rFonts w:cs="Arial"/>
        </w:rPr>
        <w:t xml:space="preserve"> el plazo</w:t>
      </w:r>
      <w:r w:rsidR="00844304" w:rsidRPr="003006D9">
        <w:rPr>
          <w:rFonts w:cs="Arial"/>
        </w:rPr>
        <w:t xml:space="preserve"> del contrato de </w:t>
      </w:r>
      <w:r w:rsidR="0024291D" w:rsidRPr="003006D9">
        <w:rPr>
          <w:rFonts w:cs="Arial"/>
        </w:rPr>
        <w:t xml:space="preserve">la </w:t>
      </w:r>
      <w:r w:rsidR="00844304" w:rsidRPr="003006D9">
        <w:rPr>
          <w:rFonts w:cs="Arial"/>
        </w:rPr>
        <w:t>promesa</w:t>
      </w:r>
      <w:r w:rsidR="001975C0" w:rsidRPr="003006D9">
        <w:rPr>
          <w:rFonts w:cs="Arial"/>
        </w:rPr>
        <w:t xml:space="preserve">, argumentando anomalías internas y luego, </w:t>
      </w:r>
      <w:r w:rsidR="00C35B86" w:rsidRPr="003006D9">
        <w:rPr>
          <w:rFonts w:cs="Arial"/>
        </w:rPr>
        <w:t>mediante comunicación d</w:t>
      </w:r>
      <w:r w:rsidR="001975C0" w:rsidRPr="003006D9">
        <w:rPr>
          <w:rFonts w:cs="Arial"/>
        </w:rPr>
        <w:t>el 14 de enero de 2011</w:t>
      </w:r>
      <w:r w:rsidR="00186C7A" w:rsidRPr="003006D9">
        <w:rPr>
          <w:rFonts w:cs="Arial"/>
        </w:rPr>
        <w:t>,</w:t>
      </w:r>
      <w:r w:rsidR="001975C0" w:rsidRPr="003006D9">
        <w:rPr>
          <w:rFonts w:cs="Arial"/>
        </w:rPr>
        <w:t xml:space="preserve"> </w:t>
      </w:r>
      <w:r w:rsidR="00844304" w:rsidRPr="003006D9">
        <w:rPr>
          <w:rFonts w:cs="Arial"/>
        </w:rPr>
        <w:t>e</w:t>
      </w:r>
      <w:r w:rsidR="0024291D" w:rsidRPr="003006D9">
        <w:rPr>
          <w:rFonts w:cs="Arial"/>
        </w:rPr>
        <w:t xml:space="preserve">sa entidad </w:t>
      </w:r>
      <w:r w:rsidR="00186C7A" w:rsidRPr="003006D9">
        <w:rPr>
          <w:rFonts w:cs="Arial"/>
        </w:rPr>
        <w:t xml:space="preserve">propuso </w:t>
      </w:r>
      <w:r w:rsidR="001975C0" w:rsidRPr="003006D9">
        <w:rPr>
          <w:rFonts w:cs="Arial"/>
        </w:rPr>
        <w:t xml:space="preserve">a </w:t>
      </w:r>
      <w:r w:rsidR="00DD095F" w:rsidRPr="003006D9">
        <w:rPr>
          <w:rFonts w:cs="Arial"/>
        </w:rPr>
        <w:t>FEDEPALMA</w:t>
      </w:r>
      <w:r w:rsidR="001975C0" w:rsidRPr="003006D9">
        <w:rPr>
          <w:rFonts w:cs="Arial"/>
        </w:rPr>
        <w:t xml:space="preserve"> dejar sin efecto la promesa de compraventa por mutuo acuerdo.</w:t>
      </w:r>
      <w:r w:rsidR="00720C36" w:rsidRPr="003006D9">
        <w:rPr>
          <w:rFonts w:cs="Arial"/>
        </w:rPr>
        <w:t xml:space="preserve"> El ICA argumentó que </w:t>
      </w:r>
      <w:r w:rsidR="002925A2" w:rsidRPr="003006D9">
        <w:rPr>
          <w:rFonts w:cs="Arial"/>
        </w:rPr>
        <w:t xml:space="preserve">de suscribir la escritura de venta </w:t>
      </w:r>
      <w:r w:rsidR="00720C36" w:rsidRPr="003006D9">
        <w:rPr>
          <w:rFonts w:cs="Arial"/>
        </w:rPr>
        <w:t>sufriría un detrimento patrimonial</w:t>
      </w:r>
      <w:r w:rsidR="0024291D" w:rsidRPr="003006D9">
        <w:rPr>
          <w:rFonts w:cs="Arial"/>
        </w:rPr>
        <w:t>,</w:t>
      </w:r>
      <w:r w:rsidR="00720C36" w:rsidRPr="003006D9">
        <w:rPr>
          <w:rFonts w:cs="Arial"/>
        </w:rPr>
        <w:t xml:space="preserve"> de acuerdo con un nuevo avalúo que se efectuó el 27 de diciembre de 2010, </w:t>
      </w:r>
      <w:r w:rsidR="00844304" w:rsidRPr="003006D9">
        <w:rPr>
          <w:rFonts w:cs="Arial"/>
        </w:rPr>
        <w:t xml:space="preserve">cuando ya habían </w:t>
      </w:r>
      <w:r w:rsidR="00720C36" w:rsidRPr="003006D9">
        <w:rPr>
          <w:rFonts w:cs="Arial"/>
        </w:rPr>
        <w:t>vencido todos los plazos precontractuales</w:t>
      </w:r>
      <w:r w:rsidR="002925A2" w:rsidRPr="003006D9">
        <w:rPr>
          <w:rFonts w:cs="Arial"/>
        </w:rPr>
        <w:t>.</w:t>
      </w:r>
    </w:p>
    <w:p w:rsidR="00720C36" w:rsidRPr="003006D9" w:rsidRDefault="00720C36" w:rsidP="0090169C">
      <w:pPr>
        <w:pStyle w:val="Continuarlista2"/>
        <w:ind w:left="0"/>
        <w:rPr>
          <w:rFonts w:cs="Arial"/>
        </w:rPr>
      </w:pPr>
    </w:p>
    <w:p w:rsidR="00960606" w:rsidRPr="003006D9" w:rsidRDefault="00720C36" w:rsidP="0090169C">
      <w:pPr>
        <w:pStyle w:val="Continuarlista2"/>
        <w:ind w:left="0"/>
        <w:rPr>
          <w:rFonts w:cs="Arial"/>
        </w:rPr>
      </w:pPr>
      <w:r w:rsidRPr="003006D9">
        <w:rPr>
          <w:rFonts w:cs="Arial"/>
          <w:b/>
        </w:rPr>
        <w:t>2.</w:t>
      </w:r>
      <w:r w:rsidR="00674F03" w:rsidRPr="003006D9">
        <w:rPr>
          <w:rFonts w:cs="Arial"/>
          <w:b/>
        </w:rPr>
        <w:t>8</w:t>
      </w:r>
      <w:r w:rsidRPr="003006D9">
        <w:rPr>
          <w:rFonts w:cs="Arial"/>
          <w:b/>
        </w:rPr>
        <w:t>.</w:t>
      </w:r>
      <w:r w:rsidRPr="003006D9">
        <w:rPr>
          <w:rFonts w:cs="Arial"/>
        </w:rPr>
        <w:t xml:space="preserve"> </w:t>
      </w:r>
      <w:r w:rsidR="005C47DE" w:rsidRPr="003006D9">
        <w:rPr>
          <w:rFonts w:cs="Arial"/>
        </w:rPr>
        <w:t xml:space="preserve"> La demandante llamó la atención acerca de que el ICA argumentó que e</w:t>
      </w:r>
      <w:r w:rsidR="00A73B83" w:rsidRPr="003006D9">
        <w:rPr>
          <w:rFonts w:cs="Arial"/>
        </w:rPr>
        <w:t xml:space="preserve">l </w:t>
      </w:r>
      <w:r w:rsidR="005C47DE" w:rsidRPr="003006D9">
        <w:rPr>
          <w:rFonts w:cs="Arial"/>
        </w:rPr>
        <w:t>nuevo avalúo por la suma de $7.117</w:t>
      </w:r>
      <w:r w:rsidR="0024291D" w:rsidRPr="003006D9">
        <w:rPr>
          <w:rFonts w:cs="Arial"/>
        </w:rPr>
        <w:t>’</w:t>
      </w:r>
      <w:r w:rsidR="005C47DE" w:rsidRPr="003006D9">
        <w:rPr>
          <w:rFonts w:cs="Arial"/>
        </w:rPr>
        <w:t>023.619</w:t>
      </w:r>
      <w:r w:rsidR="00A73B83" w:rsidRPr="003006D9">
        <w:rPr>
          <w:rFonts w:cs="Arial"/>
        </w:rPr>
        <w:t xml:space="preserve">, resultaba inferior al que se tuvo en cuenta </w:t>
      </w:r>
      <w:r w:rsidR="003775ED" w:rsidRPr="003006D9">
        <w:rPr>
          <w:rFonts w:cs="Arial"/>
        </w:rPr>
        <w:t xml:space="preserve">para </w:t>
      </w:r>
      <w:r w:rsidR="00A73B83" w:rsidRPr="003006D9">
        <w:rPr>
          <w:rFonts w:cs="Arial"/>
        </w:rPr>
        <w:t>la subasta, lo cual no e</w:t>
      </w:r>
      <w:r w:rsidR="00BC3630" w:rsidRPr="003006D9">
        <w:rPr>
          <w:rFonts w:cs="Arial"/>
        </w:rPr>
        <w:t>ra</w:t>
      </w:r>
      <w:r w:rsidR="00A73B83" w:rsidRPr="003006D9">
        <w:rPr>
          <w:rFonts w:cs="Arial"/>
        </w:rPr>
        <w:t xml:space="preserve"> cierto, puesto que</w:t>
      </w:r>
      <w:r w:rsidR="00960606" w:rsidRPr="003006D9">
        <w:rPr>
          <w:rFonts w:cs="Arial"/>
        </w:rPr>
        <w:t xml:space="preserve">, según el pliego de condiciones, </w:t>
      </w:r>
      <w:r w:rsidR="00A73B83" w:rsidRPr="003006D9">
        <w:rPr>
          <w:rFonts w:cs="Arial"/>
        </w:rPr>
        <w:t xml:space="preserve">el avalúo </w:t>
      </w:r>
      <w:r w:rsidR="00960606" w:rsidRPr="003006D9">
        <w:rPr>
          <w:rFonts w:cs="Arial"/>
        </w:rPr>
        <w:t xml:space="preserve">utilizado para el procedimiento de contratación ascendía a la suma de </w:t>
      </w:r>
      <w:r w:rsidR="00960606" w:rsidRPr="003006D9">
        <w:rPr>
          <w:rFonts w:cs="Arial"/>
        </w:rPr>
        <w:lastRenderedPageBreak/>
        <w:t>$8.269´410.000</w:t>
      </w:r>
      <w:r w:rsidR="009A2646" w:rsidRPr="003006D9">
        <w:rPr>
          <w:rFonts w:cs="Arial"/>
        </w:rPr>
        <w:t xml:space="preserve">. </w:t>
      </w:r>
      <w:r w:rsidR="00C35B86" w:rsidRPr="003006D9">
        <w:rPr>
          <w:rFonts w:cs="Arial"/>
        </w:rPr>
        <w:t>FEDEPALMA</w:t>
      </w:r>
      <w:r w:rsidR="009A2646" w:rsidRPr="003006D9">
        <w:rPr>
          <w:rFonts w:cs="Arial"/>
        </w:rPr>
        <w:t xml:space="preserve"> narró que </w:t>
      </w:r>
      <w:r w:rsidR="003775ED" w:rsidRPr="003006D9">
        <w:rPr>
          <w:rFonts w:cs="Arial"/>
        </w:rPr>
        <w:t xml:space="preserve">no </w:t>
      </w:r>
      <w:r w:rsidR="009A2646" w:rsidRPr="003006D9">
        <w:rPr>
          <w:rFonts w:cs="Arial"/>
        </w:rPr>
        <w:t xml:space="preserve">le </w:t>
      </w:r>
      <w:r w:rsidR="00960606" w:rsidRPr="003006D9">
        <w:rPr>
          <w:rFonts w:cs="Arial"/>
        </w:rPr>
        <w:t xml:space="preserve">fue posible obtener la copia auténtica </w:t>
      </w:r>
      <w:r w:rsidR="002925A2" w:rsidRPr="003006D9">
        <w:rPr>
          <w:rFonts w:cs="Arial"/>
        </w:rPr>
        <w:t xml:space="preserve">y completa </w:t>
      </w:r>
      <w:r w:rsidR="009A2646" w:rsidRPr="003006D9">
        <w:rPr>
          <w:rFonts w:cs="Arial"/>
        </w:rPr>
        <w:t>del avalúo</w:t>
      </w:r>
      <w:r w:rsidR="002925A2" w:rsidRPr="003006D9">
        <w:rPr>
          <w:rFonts w:cs="Arial"/>
        </w:rPr>
        <w:t xml:space="preserve">. Explicó </w:t>
      </w:r>
      <w:r w:rsidR="009A2646" w:rsidRPr="003006D9">
        <w:rPr>
          <w:rFonts w:cs="Arial"/>
        </w:rPr>
        <w:t>que</w:t>
      </w:r>
      <w:r w:rsidR="00960606" w:rsidRPr="003006D9">
        <w:rPr>
          <w:rFonts w:cs="Arial"/>
        </w:rPr>
        <w:t xml:space="preserve"> dentro de los antecedentes administrativos que </w:t>
      </w:r>
      <w:r w:rsidR="002925A2" w:rsidRPr="003006D9">
        <w:rPr>
          <w:rFonts w:cs="Arial"/>
        </w:rPr>
        <w:t xml:space="preserve">el </w:t>
      </w:r>
      <w:r w:rsidR="00960606" w:rsidRPr="003006D9">
        <w:rPr>
          <w:rFonts w:cs="Arial"/>
        </w:rPr>
        <w:t>ICA</w:t>
      </w:r>
      <w:r w:rsidR="009A2646" w:rsidRPr="003006D9">
        <w:rPr>
          <w:rFonts w:cs="Arial"/>
        </w:rPr>
        <w:t xml:space="preserve"> </w:t>
      </w:r>
      <w:r w:rsidR="002925A2" w:rsidRPr="003006D9">
        <w:rPr>
          <w:rFonts w:cs="Arial"/>
        </w:rPr>
        <w:t xml:space="preserve">le entregó faltaban </w:t>
      </w:r>
      <w:r w:rsidR="009A2646" w:rsidRPr="003006D9">
        <w:rPr>
          <w:rFonts w:cs="Arial"/>
        </w:rPr>
        <w:t xml:space="preserve">unas hojas del </w:t>
      </w:r>
      <w:r w:rsidR="00BC3630" w:rsidRPr="003006D9">
        <w:rPr>
          <w:rFonts w:cs="Arial"/>
        </w:rPr>
        <w:t>referido avalúo</w:t>
      </w:r>
      <w:r w:rsidR="009A2646" w:rsidRPr="003006D9">
        <w:rPr>
          <w:rFonts w:cs="Arial"/>
        </w:rPr>
        <w:t>.</w:t>
      </w:r>
    </w:p>
    <w:p w:rsidR="009A2646" w:rsidRPr="003006D9" w:rsidRDefault="009A2646" w:rsidP="0090169C">
      <w:pPr>
        <w:pStyle w:val="Continuarlista2"/>
        <w:ind w:left="0"/>
        <w:rPr>
          <w:rFonts w:cs="Arial"/>
        </w:rPr>
      </w:pPr>
    </w:p>
    <w:p w:rsidR="003775ED" w:rsidRPr="003006D9" w:rsidRDefault="009A2646" w:rsidP="0090169C">
      <w:pPr>
        <w:pStyle w:val="Continuarlista2"/>
        <w:ind w:left="0"/>
        <w:rPr>
          <w:rFonts w:cs="Arial"/>
        </w:rPr>
      </w:pPr>
      <w:r w:rsidRPr="003006D9">
        <w:rPr>
          <w:rFonts w:cs="Arial"/>
          <w:b/>
        </w:rPr>
        <w:t>2.9.</w:t>
      </w:r>
      <w:r w:rsidRPr="003006D9">
        <w:rPr>
          <w:rFonts w:cs="Arial"/>
        </w:rPr>
        <w:t xml:space="preserve"> </w:t>
      </w:r>
      <w:r w:rsidR="00C35B86" w:rsidRPr="003006D9">
        <w:rPr>
          <w:rFonts w:cs="Arial"/>
        </w:rPr>
        <w:t xml:space="preserve">FEDEPALMA </w:t>
      </w:r>
      <w:r w:rsidRPr="003006D9">
        <w:rPr>
          <w:rFonts w:cs="Arial"/>
        </w:rPr>
        <w:t>a</w:t>
      </w:r>
      <w:r w:rsidR="00997C9F" w:rsidRPr="003006D9">
        <w:rPr>
          <w:rFonts w:cs="Arial"/>
        </w:rPr>
        <w:t xml:space="preserve">gregó </w:t>
      </w:r>
      <w:r w:rsidRPr="003006D9">
        <w:rPr>
          <w:rFonts w:cs="Arial"/>
        </w:rPr>
        <w:t xml:space="preserve">que no podía aceptar </w:t>
      </w:r>
      <w:r w:rsidR="005857D4" w:rsidRPr="003006D9">
        <w:rPr>
          <w:rFonts w:cs="Arial"/>
        </w:rPr>
        <w:t xml:space="preserve">la propuesta del ICA, </w:t>
      </w:r>
      <w:r w:rsidR="009B56CE" w:rsidRPr="003006D9">
        <w:rPr>
          <w:rFonts w:cs="Arial"/>
        </w:rPr>
        <w:t>para dejar sin efectos el negocio, puesto que la adquisición del inmueble estaba en la ruta crítica de</w:t>
      </w:r>
      <w:r w:rsidR="00C35B86" w:rsidRPr="003006D9">
        <w:rPr>
          <w:rFonts w:cs="Arial"/>
        </w:rPr>
        <w:t xml:space="preserve"> su</w:t>
      </w:r>
      <w:r w:rsidR="009B56CE" w:rsidRPr="003006D9">
        <w:rPr>
          <w:rFonts w:cs="Arial"/>
        </w:rPr>
        <w:t xml:space="preserve"> proyecto y era imperiosa la necesidad de </w:t>
      </w:r>
      <w:r w:rsidR="00BC3630" w:rsidRPr="003006D9">
        <w:rPr>
          <w:rFonts w:cs="Arial"/>
        </w:rPr>
        <w:t xml:space="preserve">su </w:t>
      </w:r>
      <w:r w:rsidR="009B56CE" w:rsidRPr="003006D9">
        <w:rPr>
          <w:rFonts w:cs="Arial"/>
        </w:rPr>
        <w:t>implementación</w:t>
      </w:r>
      <w:r w:rsidR="003775ED" w:rsidRPr="003006D9">
        <w:rPr>
          <w:rFonts w:cs="Arial"/>
        </w:rPr>
        <w:t>.</w:t>
      </w:r>
    </w:p>
    <w:p w:rsidR="009B56CE" w:rsidRPr="003006D9" w:rsidRDefault="003775ED" w:rsidP="0090169C">
      <w:pPr>
        <w:pStyle w:val="Continuarlista2"/>
        <w:ind w:left="0"/>
        <w:rPr>
          <w:rFonts w:cs="Arial"/>
          <w:b/>
        </w:rPr>
      </w:pPr>
      <w:r w:rsidRPr="003006D9">
        <w:rPr>
          <w:rFonts w:cs="Arial"/>
          <w:b/>
        </w:rPr>
        <w:t xml:space="preserve"> </w:t>
      </w:r>
    </w:p>
    <w:p w:rsidR="003D178D" w:rsidRPr="003006D9" w:rsidRDefault="003D178D" w:rsidP="0090169C">
      <w:pPr>
        <w:pStyle w:val="Continuarlista2"/>
        <w:ind w:left="0"/>
        <w:rPr>
          <w:rFonts w:cs="Arial"/>
          <w:b/>
        </w:rPr>
      </w:pPr>
      <w:r w:rsidRPr="003006D9">
        <w:rPr>
          <w:rFonts w:cs="Arial"/>
          <w:b/>
        </w:rPr>
        <w:t>3. Concepto de violación</w:t>
      </w:r>
    </w:p>
    <w:p w:rsidR="000E2AD6" w:rsidRPr="003006D9" w:rsidRDefault="000E2AD6" w:rsidP="0090169C">
      <w:pPr>
        <w:pStyle w:val="Continuarlista2"/>
        <w:ind w:left="0"/>
        <w:rPr>
          <w:rFonts w:cs="Arial"/>
        </w:rPr>
      </w:pPr>
    </w:p>
    <w:p w:rsidR="00571A98" w:rsidRPr="003006D9" w:rsidRDefault="00C35B86" w:rsidP="0090169C">
      <w:pPr>
        <w:pStyle w:val="Continuarlista2"/>
        <w:ind w:left="0"/>
        <w:rPr>
          <w:rFonts w:cs="Arial"/>
        </w:rPr>
      </w:pPr>
      <w:r w:rsidRPr="003006D9">
        <w:rPr>
          <w:rFonts w:cs="Arial"/>
        </w:rPr>
        <w:t>FEDEPALMA</w:t>
      </w:r>
      <w:r w:rsidR="006054C8" w:rsidRPr="003006D9">
        <w:rPr>
          <w:rFonts w:cs="Arial"/>
        </w:rPr>
        <w:t xml:space="preserve"> invocó la firmeza del acto </w:t>
      </w:r>
      <w:r w:rsidR="008E4B55" w:rsidRPr="003006D9">
        <w:rPr>
          <w:rFonts w:cs="Arial"/>
        </w:rPr>
        <w:t xml:space="preserve">administrativo de </w:t>
      </w:r>
      <w:r w:rsidR="006054C8" w:rsidRPr="003006D9">
        <w:rPr>
          <w:rFonts w:cs="Arial"/>
        </w:rPr>
        <w:t>adjudicación</w:t>
      </w:r>
      <w:r w:rsidR="008E4B55" w:rsidRPr="003006D9">
        <w:rPr>
          <w:rFonts w:cs="Arial"/>
        </w:rPr>
        <w:t xml:space="preserve">, de conformidad con la Ley 80 de 1993 y el artículo 9 de la </w:t>
      </w:r>
      <w:r w:rsidR="0024291D" w:rsidRPr="003006D9">
        <w:rPr>
          <w:rFonts w:cs="Arial"/>
        </w:rPr>
        <w:t>L</w:t>
      </w:r>
      <w:r w:rsidR="008E4B55" w:rsidRPr="003006D9">
        <w:rPr>
          <w:rFonts w:cs="Arial"/>
        </w:rPr>
        <w:t xml:space="preserve">ey 1150 de 2007 </w:t>
      </w:r>
      <w:r w:rsidR="006054C8" w:rsidRPr="003006D9">
        <w:rPr>
          <w:rFonts w:cs="Arial"/>
        </w:rPr>
        <w:t xml:space="preserve">y </w:t>
      </w:r>
      <w:r w:rsidR="008E4B55" w:rsidRPr="003006D9">
        <w:rPr>
          <w:rFonts w:cs="Arial"/>
        </w:rPr>
        <w:t xml:space="preserve">advirtió acerca de la </w:t>
      </w:r>
      <w:r w:rsidR="006054C8" w:rsidRPr="003006D9">
        <w:rPr>
          <w:rFonts w:cs="Arial"/>
        </w:rPr>
        <w:t>obligatoriedad del contrato de promesa de compraventa.</w:t>
      </w:r>
      <w:r w:rsidR="008E4B55" w:rsidRPr="003006D9">
        <w:rPr>
          <w:rFonts w:cs="Arial"/>
        </w:rPr>
        <w:t xml:space="preserve"> </w:t>
      </w:r>
    </w:p>
    <w:p w:rsidR="00571A98" w:rsidRPr="003006D9" w:rsidRDefault="00571A98" w:rsidP="0090169C">
      <w:pPr>
        <w:pStyle w:val="Continuarlista2"/>
        <w:ind w:left="0"/>
        <w:rPr>
          <w:rFonts w:cs="Arial"/>
        </w:rPr>
      </w:pPr>
    </w:p>
    <w:p w:rsidR="003775ED" w:rsidRPr="003006D9" w:rsidRDefault="00571A98" w:rsidP="0090169C">
      <w:pPr>
        <w:pStyle w:val="Continuarlista2"/>
        <w:ind w:left="0"/>
        <w:rPr>
          <w:rFonts w:cs="Arial"/>
        </w:rPr>
      </w:pPr>
      <w:r w:rsidRPr="003006D9">
        <w:rPr>
          <w:rFonts w:cs="Arial"/>
        </w:rPr>
        <w:t>A</w:t>
      </w:r>
      <w:r w:rsidR="00050CA2" w:rsidRPr="003006D9">
        <w:rPr>
          <w:rFonts w:cs="Arial"/>
        </w:rPr>
        <w:t xml:space="preserve">gregó </w:t>
      </w:r>
      <w:r w:rsidR="002925A2" w:rsidRPr="003006D9">
        <w:rPr>
          <w:rFonts w:cs="Arial"/>
        </w:rPr>
        <w:t xml:space="preserve">que </w:t>
      </w:r>
      <w:r w:rsidR="009341BF" w:rsidRPr="003006D9">
        <w:rPr>
          <w:rFonts w:cs="Arial"/>
        </w:rPr>
        <w:t xml:space="preserve">a </w:t>
      </w:r>
      <w:r w:rsidR="00C35B86" w:rsidRPr="003006D9">
        <w:rPr>
          <w:rFonts w:cs="Arial"/>
        </w:rPr>
        <w:t xml:space="preserve">FEDEPALMA </w:t>
      </w:r>
      <w:r w:rsidR="009341BF" w:rsidRPr="003006D9">
        <w:rPr>
          <w:rFonts w:cs="Arial"/>
        </w:rPr>
        <w:t>no le conciernen las irregularidades internas que el ICA invocó como causa para no cumplir</w:t>
      </w:r>
      <w:r w:rsidR="003775ED" w:rsidRPr="003006D9">
        <w:rPr>
          <w:rFonts w:cs="Arial"/>
        </w:rPr>
        <w:t>.</w:t>
      </w:r>
    </w:p>
    <w:p w:rsidR="003775ED" w:rsidRPr="003006D9" w:rsidRDefault="003775ED" w:rsidP="0090169C">
      <w:pPr>
        <w:pStyle w:val="Continuarlista2"/>
        <w:ind w:left="0"/>
        <w:rPr>
          <w:rFonts w:cs="Arial"/>
        </w:rPr>
      </w:pPr>
    </w:p>
    <w:p w:rsidR="00571A98" w:rsidRPr="003006D9" w:rsidRDefault="003775ED" w:rsidP="0090169C">
      <w:pPr>
        <w:pStyle w:val="Continuarlista2"/>
        <w:ind w:left="0"/>
        <w:rPr>
          <w:rFonts w:cs="Arial"/>
        </w:rPr>
      </w:pPr>
      <w:r w:rsidRPr="003006D9">
        <w:rPr>
          <w:rFonts w:cs="Arial"/>
        </w:rPr>
        <w:t xml:space="preserve">Expuso la </w:t>
      </w:r>
      <w:r w:rsidR="000360D8" w:rsidRPr="003006D9">
        <w:rPr>
          <w:rFonts w:cs="Arial"/>
        </w:rPr>
        <w:t xml:space="preserve">afectación del principio de legalidad, en cuanto </w:t>
      </w:r>
      <w:r w:rsidR="002925A2" w:rsidRPr="003006D9">
        <w:rPr>
          <w:rFonts w:cs="Arial"/>
        </w:rPr>
        <w:t>el ICA</w:t>
      </w:r>
      <w:r w:rsidRPr="003006D9">
        <w:rPr>
          <w:rFonts w:cs="Arial"/>
        </w:rPr>
        <w:t xml:space="preserve"> </w:t>
      </w:r>
      <w:r w:rsidR="000360D8" w:rsidRPr="003006D9">
        <w:rPr>
          <w:rFonts w:cs="Arial"/>
        </w:rPr>
        <w:t xml:space="preserve">se negó a cumplir con </w:t>
      </w:r>
      <w:r w:rsidR="00DC2E60" w:rsidRPr="003006D9">
        <w:rPr>
          <w:rFonts w:cs="Arial"/>
        </w:rPr>
        <w:t xml:space="preserve">el contrato de promesa de compraventa obrando contra el acto propio y alegando además su propia culpa. </w:t>
      </w:r>
    </w:p>
    <w:p w:rsidR="00571A98" w:rsidRPr="003006D9" w:rsidRDefault="00571A98" w:rsidP="0090169C">
      <w:pPr>
        <w:pStyle w:val="Continuarlista2"/>
        <w:ind w:left="0"/>
        <w:rPr>
          <w:rFonts w:cs="Arial"/>
        </w:rPr>
      </w:pPr>
    </w:p>
    <w:p w:rsidR="00571A98" w:rsidRPr="003006D9" w:rsidRDefault="00571A98" w:rsidP="0090169C">
      <w:pPr>
        <w:pStyle w:val="Continuarlista2"/>
        <w:ind w:left="0"/>
        <w:rPr>
          <w:rFonts w:cs="Arial"/>
        </w:rPr>
      </w:pPr>
      <w:r w:rsidRPr="003006D9">
        <w:rPr>
          <w:rFonts w:cs="Arial"/>
        </w:rPr>
        <w:t xml:space="preserve">Invocó la </w:t>
      </w:r>
      <w:r w:rsidR="00DC2E60" w:rsidRPr="003006D9">
        <w:rPr>
          <w:rFonts w:cs="Arial"/>
        </w:rPr>
        <w:t xml:space="preserve">cláusula penal contenida en </w:t>
      </w:r>
      <w:r w:rsidR="00EB056A" w:rsidRPr="003006D9">
        <w:rPr>
          <w:rFonts w:cs="Arial"/>
        </w:rPr>
        <w:t xml:space="preserve">el </w:t>
      </w:r>
      <w:r w:rsidR="00DC2E60" w:rsidRPr="003006D9">
        <w:rPr>
          <w:rFonts w:cs="Arial"/>
        </w:rPr>
        <w:t xml:space="preserve">contrato de promesa de compraventa y su derecho a hacerla exigible en el caso </w:t>
      </w:r>
      <w:r w:rsidR="00DC2E60" w:rsidRPr="003006D9">
        <w:rPr>
          <w:rFonts w:cs="Arial"/>
          <w:i/>
        </w:rPr>
        <w:t>sub judice</w:t>
      </w:r>
      <w:r w:rsidR="00DC2E60" w:rsidRPr="003006D9">
        <w:rPr>
          <w:rFonts w:cs="Arial"/>
        </w:rPr>
        <w:t xml:space="preserve">. </w:t>
      </w:r>
    </w:p>
    <w:p w:rsidR="00571A98" w:rsidRPr="003006D9" w:rsidRDefault="00571A98" w:rsidP="0090169C">
      <w:pPr>
        <w:pStyle w:val="Continuarlista2"/>
        <w:ind w:left="0"/>
        <w:rPr>
          <w:rFonts w:cs="Arial"/>
        </w:rPr>
      </w:pPr>
    </w:p>
    <w:p w:rsidR="00E528EC" w:rsidRPr="003006D9" w:rsidRDefault="00571A98" w:rsidP="0090169C">
      <w:pPr>
        <w:pStyle w:val="Continuarlista2"/>
        <w:ind w:left="0"/>
        <w:rPr>
          <w:rFonts w:cs="Arial"/>
        </w:rPr>
      </w:pPr>
      <w:r w:rsidRPr="003006D9">
        <w:rPr>
          <w:rFonts w:cs="Arial"/>
        </w:rPr>
        <w:t>Además</w:t>
      </w:r>
      <w:r w:rsidR="003775ED" w:rsidRPr="003006D9">
        <w:rPr>
          <w:rFonts w:cs="Arial"/>
        </w:rPr>
        <w:t>,</w:t>
      </w:r>
      <w:r w:rsidRPr="003006D9">
        <w:rPr>
          <w:rFonts w:cs="Arial"/>
        </w:rPr>
        <w:t xml:space="preserve"> </w:t>
      </w:r>
      <w:r w:rsidR="00C35B86" w:rsidRPr="003006D9">
        <w:rPr>
          <w:rFonts w:cs="Arial"/>
        </w:rPr>
        <w:t xml:space="preserve">FEDEPALMA </w:t>
      </w:r>
      <w:r w:rsidRPr="003006D9">
        <w:rPr>
          <w:rFonts w:cs="Arial"/>
        </w:rPr>
        <w:t>s</w:t>
      </w:r>
      <w:r w:rsidR="008A20CC" w:rsidRPr="003006D9">
        <w:rPr>
          <w:rFonts w:cs="Arial"/>
        </w:rPr>
        <w:t>e</w:t>
      </w:r>
      <w:r w:rsidR="00DC2E60" w:rsidRPr="003006D9">
        <w:rPr>
          <w:rFonts w:cs="Arial"/>
        </w:rPr>
        <w:t xml:space="preserve"> refirió al derecho a la in</w:t>
      </w:r>
      <w:r w:rsidR="008A20CC" w:rsidRPr="003006D9">
        <w:rPr>
          <w:rFonts w:cs="Arial"/>
        </w:rPr>
        <w:t xml:space="preserve">demnización de perjuicios, por la ganancia o provecho dejados de percibir al no disponer del dinero que pagó y al no poder adelantar la actividad </w:t>
      </w:r>
      <w:r w:rsidR="005E01AC" w:rsidRPr="003006D9">
        <w:rPr>
          <w:rFonts w:cs="Arial"/>
        </w:rPr>
        <w:t xml:space="preserve">económica y las acciones científicas que de manera urgente requería. </w:t>
      </w:r>
    </w:p>
    <w:p w:rsidR="00E528EC" w:rsidRPr="003006D9" w:rsidRDefault="00E528EC" w:rsidP="0090169C">
      <w:pPr>
        <w:pStyle w:val="Continuarlista2"/>
        <w:ind w:left="0"/>
        <w:rPr>
          <w:rFonts w:cs="Arial"/>
        </w:rPr>
      </w:pPr>
    </w:p>
    <w:p w:rsidR="005E01AC" w:rsidRPr="003006D9" w:rsidRDefault="005E01AC" w:rsidP="0090169C">
      <w:pPr>
        <w:pStyle w:val="Continuarlista2"/>
        <w:ind w:left="0"/>
        <w:rPr>
          <w:rFonts w:cs="Arial"/>
        </w:rPr>
      </w:pPr>
      <w:r w:rsidRPr="003006D9">
        <w:rPr>
          <w:rFonts w:cs="Arial"/>
        </w:rPr>
        <w:t xml:space="preserve">Presentó y detalló los </w:t>
      </w:r>
      <w:r w:rsidR="00571A98" w:rsidRPr="003006D9">
        <w:rPr>
          <w:rFonts w:cs="Arial"/>
        </w:rPr>
        <w:t xml:space="preserve">perjuicios </w:t>
      </w:r>
      <w:r w:rsidRPr="003006D9">
        <w:rPr>
          <w:rFonts w:cs="Arial"/>
        </w:rPr>
        <w:t xml:space="preserve">correspondientes al lucro cesante y </w:t>
      </w:r>
      <w:r w:rsidR="00EB056A" w:rsidRPr="003006D9">
        <w:rPr>
          <w:rFonts w:cs="Arial"/>
        </w:rPr>
        <w:t xml:space="preserve">al </w:t>
      </w:r>
      <w:r w:rsidRPr="003006D9">
        <w:rPr>
          <w:rFonts w:cs="Arial"/>
        </w:rPr>
        <w:t>daño emergente</w:t>
      </w:r>
      <w:r w:rsidR="00571A98" w:rsidRPr="003006D9">
        <w:rPr>
          <w:rFonts w:cs="Arial"/>
        </w:rPr>
        <w:t>,</w:t>
      </w:r>
      <w:r w:rsidRPr="003006D9">
        <w:rPr>
          <w:rFonts w:cs="Arial"/>
        </w:rPr>
        <w:t xml:space="preserve"> por los conceptos y valores que reclam</w:t>
      </w:r>
      <w:r w:rsidR="002925A2" w:rsidRPr="003006D9">
        <w:rPr>
          <w:rFonts w:cs="Arial"/>
        </w:rPr>
        <w:t>ó</w:t>
      </w:r>
      <w:r w:rsidRPr="003006D9">
        <w:rPr>
          <w:rFonts w:cs="Arial"/>
        </w:rPr>
        <w:t xml:space="preserve"> en el proceso.</w:t>
      </w:r>
    </w:p>
    <w:p w:rsidR="0090169C" w:rsidRPr="003006D9" w:rsidRDefault="0090169C" w:rsidP="0090169C">
      <w:pPr>
        <w:pStyle w:val="Lista3"/>
        <w:ind w:left="0" w:firstLine="0"/>
        <w:rPr>
          <w:rFonts w:cs="Arial"/>
        </w:rPr>
      </w:pPr>
    </w:p>
    <w:p w:rsidR="00F21484" w:rsidRPr="003006D9" w:rsidRDefault="0015263D" w:rsidP="0090169C">
      <w:pPr>
        <w:pStyle w:val="Lista3"/>
        <w:ind w:left="0" w:firstLine="0"/>
        <w:rPr>
          <w:rFonts w:cs="Arial"/>
          <w:b/>
        </w:rPr>
      </w:pPr>
      <w:r w:rsidRPr="003006D9">
        <w:rPr>
          <w:rFonts w:cs="Arial"/>
          <w:b/>
        </w:rPr>
        <w:t>4</w:t>
      </w:r>
      <w:r w:rsidR="00F21484" w:rsidRPr="003006D9">
        <w:rPr>
          <w:rFonts w:cs="Arial"/>
          <w:b/>
        </w:rPr>
        <w:t>.</w:t>
      </w:r>
      <w:r w:rsidR="00CE2A56" w:rsidRPr="003006D9">
        <w:rPr>
          <w:rFonts w:cs="Arial"/>
          <w:b/>
        </w:rPr>
        <w:t xml:space="preserve"> </w:t>
      </w:r>
      <w:r w:rsidR="00F21484" w:rsidRPr="003006D9">
        <w:rPr>
          <w:rFonts w:cs="Arial"/>
          <w:b/>
        </w:rPr>
        <w:t>Actuación procesal</w:t>
      </w:r>
    </w:p>
    <w:p w:rsidR="00F21484" w:rsidRPr="003006D9" w:rsidRDefault="00F21484" w:rsidP="0090169C">
      <w:pPr>
        <w:rPr>
          <w:rFonts w:cs="Arial"/>
          <w:bCs/>
          <w:iCs/>
        </w:rPr>
      </w:pPr>
    </w:p>
    <w:p w:rsidR="00DF0788" w:rsidRPr="003006D9" w:rsidRDefault="0015263D" w:rsidP="00CB0A90">
      <w:pPr>
        <w:pStyle w:val="Lista4"/>
        <w:ind w:left="0" w:firstLine="0"/>
        <w:rPr>
          <w:rFonts w:cs="Arial"/>
        </w:rPr>
      </w:pPr>
      <w:r w:rsidRPr="003006D9">
        <w:rPr>
          <w:rFonts w:cs="Arial"/>
          <w:b/>
        </w:rPr>
        <w:t>4</w:t>
      </w:r>
      <w:r w:rsidR="00265D85" w:rsidRPr="003006D9">
        <w:rPr>
          <w:rFonts w:cs="Arial"/>
          <w:b/>
        </w:rPr>
        <w:t>.1.</w:t>
      </w:r>
      <w:r w:rsidR="00CE2A56" w:rsidRPr="003006D9">
        <w:rPr>
          <w:rFonts w:cs="Arial"/>
          <w:b/>
        </w:rPr>
        <w:t xml:space="preserve"> </w:t>
      </w:r>
      <w:r w:rsidR="0098368A" w:rsidRPr="003006D9">
        <w:rPr>
          <w:rFonts w:cs="Arial"/>
        </w:rPr>
        <w:t>E</w:t>
      </w:r>
      <w:r w:rsidR="00F21484" w:rsidRPr="003006D9">
        <w:rPr>
          <w:rFonts w:cs="Arial"/>
        </w:rPr>
        <w:t>l Tribunal Administrativo de</w:t>
      </w:r>
      <w:r w:rsidR="000E2AD6" w:rsidRPr="003006D9">
        <w:rPr>
          <w:rFonts w:cs="Arial"/>
        </w:rPr>
        <w:t xml:space="preserve"> </w:t>
      </w:r>
      <w:r w:rsidR="00E528EC" w:rsidRPr="003006D9">
        <w:rPr>
          <w:rFonts w:cs="Arial"/>
        </w:rPr>
        <w:t xml:space="preserve">Cundinamarca </w:t>
      </w:r>
      <w:r w:rsidR="006D7845" w:rsidRPr="003006D9">
        <w:rPr>
          <w:rFonts w:cs="Arial"/>
        </w:rPr>
        <w:t>ad</w:t>
      </w:r>
      <w:r w:rsidR="00885A4A" w:rsidRPr="003006D9">
        <w:rPr>
          <w:rFonts w:cs="Arial"/>
        </w:rPr>
        <w:t xml:space="preserve">mitió la </w:t>
      </w:r>
      <w:r w:rsidR="0098368A" w:rsidRPr="003006D9">
        <w:rPr>
          <w:rFonts w:cs="Arial"/>
        </w:rPr>
        <w:t xml:space="preserve">demanda mediante auto de </w:t>
      </w:r>
      <w:r w:rsidR="00E528EC" w:rsidRPr="003006D9">
        <w:rPr>
          <w:rFonts w:cs="Arial"/>
        </w:rPr>
        <w:t>11 de mayo de 2011</w:t>
      </w:r>
      <w:r w:rsidR="00086019" w:rsidRPr="003006D9">
        <w:rPr>
          <w:rFonts w:cs="Arial"/>
        </w:rPr>
        <w:t>.</w:t>
      </w:r>
      <w:r w:rsidR="00E73832" w:rsidRPr="003006D9">
        <w:rPr>
          <w:rFonts w:cs="Arial"/>
        </w:rPr>
        <w:t xml:space="preserve"> </w:t>
      </w:r>
    </w:p>
    <w:p w:rsidR="00CB0A90" w:rsidRPr="003006D9" w:rsidRDefault="00CB0A90" w:rsidP="00CB0A90">
      <w:pPr>
        <w:pStyle w:val="Lista4"/>
        <w:ind w:left="0" w:firstLine="0"/>
        <w:rPr>
          <w:rFonts w:cs="Arial"/>
          <w:b/>
          <w:bCs/>
          <w:iCs/>
        </w:rPr>
      </w:pPr>
    </w:p>
    <w:p w:rsidR="00086019" w:rsidRPr="003006D9" w:rsidRDefault="0015263D" w:rsidP="00F21484">
      <w:pPr>
        <w:rPr>
          <w:rFonts w:cs="Arial"/>
          <w:bCs/>
          <w:iCs/>
        </w:rPr>
      </w:pPr>
      <w:r w:rsidRPr="003006D9">
        <w:rPr>
          <w:rFonts w:cs="Arial"/>
          <w:b/>
          <w:bCs/>
          <w:iCs/>
        </w:rPr>
        <w:lastRenderedPageBreak/>
        <w:t>4</w:t>
      </w:r>
      <w:r w:rsidR="003E4910" w:rsidRPr="003006D9">
        <w:rPr>
          <w:rFonts w:cs="Arial"/>
          <w:b/>
          <w:bCs/>
          <w:iCs/>
        </w:rPr>
        <w:t>.</w:t>
      </w:r>
      <w:r w:rsidR="00A86BF5" w:rsidRPr="003006D9">
        <w:rPr>
          <w:rFonts w:cs="Arial"/>
          <w:b/>
          <w:bCs/>
          <w:iCs/>
        </w:rPr>
        <w:t>2</w:t>
      </w:r>
      <w:r w:rsidR="003E4910" w:rsidRPr="003006D9">
        <w:rPr>
          <w:rFonts w:cs="Arial"/>
          <w:b/>
          <w:bCs/>
          <w:iCs/>
        </w:rPr>
        <w:t>.</w:t>
      </w:r>
      <w:r w:rsidR="006144E0" w:rsidRPr="003006D9">
        <w:rPr>
          <w:rFonts w:cs="Arial"/>
          <w:b/>
          <w:bCs/>
          <w:iCs/>
        </w:rPr>
        <w:t xml:space="preserve"> </w:t>
      </w:r>
      <w:r w:rsidR="00DE5B48" w:rsidRPr="003006D9">
        <w:rPr>
          <w:rFonts w:cs="Arial"/>
          <w:bCs/>
          <w:iCs/>
        </w:rPr>
        <w:t xml:space="preserve">El </w:t>
      </w:r>
      <w:r w:rsidR="00086019" w:rsidRPr="003006D9">
        <w:rPr>
          <w:rFonts w:cs="Arial"/>
          <w:bCs/>
          <w:iCs/>
        </w:rPr>
        <w:t>ICA contestó la demanda, presentó excepciones y, también</w:t>
      </w:r>
      <w:r w:rsidR="00676FF5" w:rsidRPr="003006D9">
        <w:rPr>
          <w:rFonts w:cs="Arial"/>
          <w:bCs/>
          <w:iCs/>
        </w:rPr>
        <w:t xml:space="preserve">, interpuso </w:t>
      </w:r>
      <w:r w:rsidR="00086019" w:rsidRPr="003006D9">
        <w:rPr>
          <w:rFonts w:cs="Arial"/>
          <w:bCs/>
          <w:iCs/>
        </w:rPr>
        <w:t>demanda de reconvención, con fundamento en los hechos y pretensiones que se exponen a continuación</w:t>
      </w:r>
      <w:r w:rsidR="00EB056A" w:rsidRPr="003006D9">
        <w:rPr>
          <w:rFonts w:cs="Arial"/>
          <w:bCs/>
          <w:iCs/>
        </w:rPr>
        <w:t>.</w:t>
      </w:r>
    </w:p>
    <w:p w:rsidR="003B10EC" w:rsidRPr="003006D9" w:rsidRDefault="003B10EC" w:rsidP="0090169C">
      <w:pPr>
        <w:pStyle w:val="Lista2"/>
        <w:ind w:left="0" w:firstLine="0"/>
        <w:rPr>
          <w:rFonts w:cs="Arial"/>
          <w:b/>
        </w:rPr>
      </w:pPr>
    </w:p>
    <w:p w:rsidR="00F21484" w:rsidRPr="003006D9" w:rsidRDefault="00DA6EDD" w:rsidP="0090169C">
      <w:pPr>
        <w:pStyle w:val="Lista2"/>
        <w:ind w:left="0" w:firstLine="0"/>
        <w:rPr>
          <w:rFonts w:cs="Arial"/>
          <w:b/>
        </w:rPr>
      </w:pPr>
      <w:r w:rsidRPr="003006D9">
        <w:rPr>
          <w:rFonts w:cs="Arial"/>
          <w:b/>
        </w:rPr>
        <w:t>5</w:t>
      </w:r>
      <w:r w:rsidR="007524AC" w:rsidRPr="003006D9">
        <w:rPr>
          <w:rFonts w:cs="Arial"/>
          <w:b/>
        </w:rPr>
        <w:t>.</w:t>
      </w:r>
      <w:r w:rsidR="006144E0" w:rsidRPr="003006D9">
        <w:rPr>
          <w:rFonts w:cs="Arial"/>
          <w:b/>
        </w:rPr>
        <w:t xml:space="preserve"> </w:t>
      </w:r>
      <w:r w:rsidR="00F21484" w:rsidRPr="003006D9">
        <w:rPr>
          <w:rFonts w:cs="Arial"/>
          <w:b/>
        </w:rPr>
        <w:t>Contestación de la demanda</w:t>
      </w:r>
      <w:r w:rsidRPr="003006D9">
        <w:rPr>
          <w:rFonts w:cs="Arial"/>
          <w:b/>
        </w:rPr>
        <w:t xml:space="preserve"> y demanda de reconvención</w:t>
      </w:r>
    </w:p>
    <w:p w:rsidR="00F21484" w:rsidRPr="003006D9" w:rsidRDefault="00F21484" w:rsidP="00F21484">
      <w:pPr>
        <w:rPr>
          <w:rFonts w:cs="Arial"/>
          <w:b/>
          <w:bCs/>
          <w:iCs/>
        </w:rPr>
      </w:pPr>
    </w:p>
    <w:p w:rsidR="008F588F" w:rsidRPr="003006D9" w:rsidRDefault="008F588F" w:rsidP="0090169C">
      <w:pPr>
        <w:pStyle w:val="Continuarlista2"/>
        <w:ind w:left="0"/>
        <w:rPr>
          <w:rFonts w:cs="Arial"/>
          <w:b/>
        </w:rPr>
      </w:pPr>
      <w:r w:rsidRPr="003006D9">
        <w:rPr>
          <w:rFonts w:cs="Arial"/>
          <w:b/>
        </w:rPr>
        <w:t>5.1. Contestación de la demanda</w:t>
      </w:r>
    </w:p>
    <w:p w:rsidR="00676FF5" w:rsidRPr="003006D9" w:rsidRDefault="00676FF5" w:rsidP="0090169C">
      <w:pPr>
        <w:pStyle w:val="Continuarlista2"/>
        <w:ind w:left="0"/>
        <w:rPr>
          <w:rFonts w:cs="Arial"/>
        </w:rPr>
      </w:pPr>
    </w:p>
    <w:p w:rsidR="007524AC" w:rsidRPr="003006D9" w:rsidRDefault="00435553" w:rsidP="0090169C">
      <w:pPr>
        <w:pStyle w:val="Continuarlista2"/>
        <w:ind w:left="0"/>
        <w:rPr>
          <w:rFonts w:cs="Arial"/>
        </w:rPr>
      </w:pPr>
      <w:r w:rsidRPr="003006D9">
        <w:rPr>
          <w:rFonts w:cs="Arial"/>
        </w:rPr>
        <w:t xml:space="preserve">En la contestación </w:t>
      </w:r>
      <w:r w:rsidR="00216962" w:rsidRPr="003006D9">
        <w:rPr>
          <w:rFonts w:cs="Arial"/>
        </w:rPr>
        <w:t>de</w:t>
      </w:r>
      <w:r w:rsidRPr="003006D9">
        <w:rPr>
          <w:rFonts w:cs="Arial"/>
        </w:rPr>
        <w:t xml:space="preserve"> la demanda</w:t>
      </w:r>
      <w:r w:rsidR="00CB0A90" w:rsidRPr="003006D9">
        <w:rPr>
          <w:rFonts w:cs="Arial"/>
        </w:rPr>
        <w:t xml:space="preserve">, </w:t>
      </w:r>
      <w:r w:rsidR="00DA6EDD" w:rsidRPr="003006D9">
        <w:rPr>
          <w:rFonts w:cs="Arial"/>
        </w:rPr>
        <w:t xml:space="preserve">el ICA expuso que en </w:t>
      </w:r>
      <w:r w:rsidR="00696990" w:rsidRPr="003006D9">
        <w:rPr>
          <w:rFonts w:cs="Arial"/>
        </w:rPr>
        <w:t xml:space="preserve">la subasta pública se redujo el precio </w:t>
      </w:r>
      <w:r w:rsidR="00F2495B" w:rsidRPr="003006D9">
        <w:rPr>
          <w:rFonts w:cs="Arial"/>
        </w:rPr>
        <w:t xml:space="preserve">mínimo de venta </w:t>
      </w:r>
      <w:r w:rsidR="00696990" w:rsidRPr="003006D9">
        <w:rPr>
          <w:rFonts w:cs="Arial"/>
        </w:rPr>
        <w:t>al 50% del valor del avalúo comercial</w:t>
      </w:r>
      <w:r w:rsidR="00D34BFA" w:rsidRPr="003006D9">
        <w:rPr>
          <w:rFonts w:cs="Arial"/>
        </w:rPr>
        <w:t xml:space="preserve"> </w:t>
      </w:r>
      <w:r w:rsidR="00F2495B" w:rsidRPr="003006D9">
        <w:rPr>
          <w:rFonts w:cs="Arial"/>
        </w:rPr>
        <w:t xml:space="preserve">y que se llevó a cabo la subasta con un solo oferente. </w:t>
      </w:r>
      <w:r w:rsidR="00941FBB" w:rsidRPr="003006D9">
        <w:rPr>
          <w:rFonts w:cs="Arial"/>
        </w:rPr>
        <w:t xml:space="preserve">Frente a esa ilegalidad </w:t>
      </w:r>
      <w:r w:rsidR="00676FF5" w:rsidRPr="003006D9">
        <w:rPr>
          <w:rFonts w:cs="Arial"/>
        </w:rPr>
        <w:t xml:space="preserve">estimó que </w:t>
      </w:r>
      <w:r w:rsidR="00941FBB" w:rsidRPr="003006D9">
        <w:rPr>
          <w:rFonts w:cs="Arial"/>
        </w:rPr>
        <w:t xml:space="preserve">la adjudicación y la promesa </w:t>
      </w:r>
      <w:r w:rsidR="00676FF5" w:rsidRPr="003006D9">
        <w:rPr>
          <w:rFonts w:cs="Arial"/>
        </w:rPr>
        <w:t xml:space="preserve">de compraventa </w:t>
      </w:r>
      <w:r w:rsidR="00941FBB" w:rsidRPr="003006D9">
        <w:rPr>
          <w:rFonts w:cs="Arial"/>
        </w:rPr>
        <w:t xml:space="preserve">adolecían de nulidad absoluta. </w:t>
      </w:r>
    </w:p>
    <w:p w:rsidR="007524AC" w:rsidRPr="003006D9" w:rsidRDefault="007524AC" w:rsidP="0090169C">
      <w:pPr>
        <w:pStyle w:val="Continuarlista2"/>
        <w:ind w:left="0"/>
        <w:rPr>
          <w:rFonts w:cs="Arial"/>
        </w:rPr>
      </w:pPr>
    </w:p>
    <w:p w:rsidR="00D34BFA" w:rsidRPr="003006D9" w:rsidRDefault="00941FBB" w:rsidP="0090169C">
      <w:pPr>
        <w:pStyle w:val="Continuarlista2"/>
        <w:ind w:left="0"/>
        <w:rPr>
          <w:rFonts w:cs="Arial"/>
        </w:rPr>
      </w:pPr>
      <w:r w:rsidRPr="003006D9">
        <w:rPr>
          <w:rFonts w:cs="Arial"/>
        </w:rPr>
        <w:t xml:space="preserve">El ICA dejó constancia de que explicó la situación en varias comunicaciones dirigidas a </w:t>
      </w:r>
      <w:r w:rsidR="007524AC" w:rsidRPr="003006D9">
        <w:rPr>
          <w:rFonts w:cs="Arial"/>
        </w:rPr>
        <w:t xml:space="preserve">FEDEPALMA </w:t>
      </w:r>
      <w:r w:rsidRPr="003006D9">
        <w:rPr>
          <w:rFonts w:cs="Arial"/>
        </w:rPr>
        <w:t>y que le ofreció deshacer el negocio</w:t>
      </w:r>
      <w:r w:rsidR="00D34BFA" w:rsidRPr="003006D9">
        <w:rPr>
          <w:rFonts w:cs="Arial"/>
        </w:rPr>
        <w:t>. Presentó como excepciones las siguientes</w:t>
      </w:r>
      <w:r w:rsidR="00676FF5" w:rsidRPr="003006D9">
        <w:rPr>
          <w:rFonts w:cs="Arial"/>
        </w:rPr>
        <w:t>:</w:t>
      </w:r>
      <w:r w:rsidR="00D34BFA" w:rsidRPr="003006D9">
        <w:rPr>
          <w:rFonts w:cs="Arial"/>
        </w:rPr>
        <w:t xml:space="preserve"> </w:t>
      </w:r>
      <w:r w:rsidR="00D34BFA" w:rsidRPr="003006D9">
        <w:rPr>
          <w:rFonts w:cs="Arial"/>
          <w:b/>
        </w:rPr>
        <w:t>i)</w:t>
      </w:r>
      <w:r w:rsidR="00D34BFA" w:rsidRPr="003006D9">
        <w:rPr>
          <w:rFonts w:cs="Arial"/>
        </w:rPr>
        <w:t xml:space="preserve"> la nulidad absoluta del contrato de promesa de compraventa y </w:t>
      </w:r>
      <w:r w:rsidR="00D34BFA" w:rsidRPr="003006D9">
        <w:rPr>
          <w:rFonts w:cs="Arial"/>
          <w:b/>
        </w:rPr>
        <w:t>ii)</w:t>
      </w:r>
      <w:r w:rsidR="00D34BFA" w:rsidRPr="003006D9">
        <w:rPr>
          <w:rFonts w:cs="Arial"/>
        </w:rPr>
        <w:t xml:space="preserve"> </w:t>
      </w:r>
      <w:r w:rsidR="00676FF5" w:rsidRPr="003006D9">
        <w:rPr>
          <w:rFonts w:cs="Arial"/>
        </w:rPr>
        <w:t xml:space="preserve">el </w:t>
      </w:r>
      <w:r w:rsidR="00D34BFA" w:rsidRPr="003006D9">
        <w:rPr>
          <w:rFonts w:cs="Arial"/>
        </w:rPr>
        <w:t>detrimento patrimonial para el Estado</w:t>
      </w:r>
      <w:r w:rsidR="00676FF5" w:rsidRPr="003006D9">
        <w:rPr>
          <w:rFonts w:cs="Arial"/>
        </w:rPr>
        <w:t>, en el caso de adelantar la escrituración</w:t>
      </w:r>
      <w:r w:rsidR="00D34BFA" w:rsidRPr="003006D9">
        <w:rPr>
          <w:rStyle w:val="Refdenotaalpie"/>
          <w:rFonts w:cs="Arial"/>
        </w:rPr>
        <w:footnoteReference w:id="8"/>
      </w:r>
      <w:r w:rsidR="00D34BFA" w:rsidRPr="003006D9">
        <w:rPr>
          <w:rFonts w:cs="Arial"/>
        </w:rPr>
        <w:t>.</w:t>
      </w:r>
    </w:p>
    <w:p w:rsidR="00D34BFA" w:rsidRPr="003006D9" w:rsidRDefault="00D34BFA" w:rsidP="0090169C">
      <w:pPr>
        <w:pStyle w:val="Continuarlista2"/>
        <w:ind w:left="0"/>
        <w:rPr>
          <w:rFonts w:cs="Arial"/>
        </w:rPr>
      </w:pPr>
    </w:p>
    <w:p w:rsidR="008F588F" w:rsidRPr="003006D9" w:rsidRDefault="008F588F" w:rsidP="0090169C">
      <w:pPr>
        <w:pStyle w:val="Continuarlista2"/>
        <w:ind w:left="0"/>
        <w:rPr>
          <w:rFonts w:cs="Arial"/>
          <w:b/>
        </w:rPr>
      </w:pPr>
      <w:r w:rsidRPr="003006D9">
        <w:rPr>
          <w:rFonts w:cs="Arial"/>
          <w:b/>
        </w:rPr>
        <w:t>5.2. Los hechos de la demanda de reconvención</w:t>
      </w:r>
    </w:p>
    <w:p w:rsidR="008F588F" w:rsidRPr="003006D9" w:rsidRDefault="008F588F" w:rsidP="0090169C">
      <w:pPr>
        <w:pStyle w:val="Continuarlista2"/>
        <w:ind w:left="0"/>
        <w:rPr>
          <w:rFonts w:cs="Arial"/>
        </w:rPr>
      </w:pPr>
    </w:p>
    <w:p w:rsidR="002758A1" w:rsidRPr="003006D9" w:rsidRDefault="0034703D" w:rsidP="0090169C">
      <w:pPr>
        <w:pStyle w:val="Continuarlista2"/>
        <w:ind w:left="0"/>
        <w:rPr>
          <w:rFonts w:cs="Arial"/>
        </w:rPr>
      </w:pPr>
      <w:r w:rsidRPr="003006D9">
        <w:rPr>
          <w:rFonts w:cs="Arial"/>
        </w:rPr>
        <w:t xml:space="preserve">En la </w:t>
      </w:r>
      <w:r w:rsidRPr="003006D9">
        <w:rPr>
          <w:rFonts w:cs="Arial"/>
          <w:b/>
        </w:rPr>
        <w:t>demanda de rec</w:t>
      </w:r>
      <w:r w:rsidR="002758A1" w:rsidRPr="003006D9">
        <w:rPr>
          <w:rFonts w:cs="Arial"/>
          <w:b/>
        </w:rPr>
        <w:t>on</w:t>
      </w:r>
      <w:r w:rsidRPr="003006D9">
        <w:rPr>
          <w:rFonts w:cs="Arial"/>
          <w:b/>
        </w:rPr>
        <w:t>vención</w:t>
      </w:r>
      <w:r w:rsidRPr="003006D9">
        <w:rPr>
          <w:rFonts w:cs="Arial"/>
        </w:rPr>
        <w:t xml:space="preserve"> el ICA narró </w:t>
      </w:r>
      <w:r w:rsidR="002758A1" w:rsidRPr="003006D9">
        <w:rPr>
          <w:rFonts w:cs="Arial"/>
        </w:rPr>
        <w:t>los siguientes hechos</w:t>
      </w:r>
      <w:r w:rsidR="00050CA2" w:rsidRPr="003006D9">
        <w:rPr>
          <w:rFonts w:cs="Arial"/>
        </w:rPr>
        <w:t>:</w:t>
      </w:r>
    </w:p>
    <w:p w:rsidR="002758A1" w:rsidRPr="003006D9" w:rsidRDefault="002758A1" w:rsidP="0090169C">
      <w:pPr>
        <w:pStyle w:val="Continuarlista2"/>
        <w:ind w:left="0"/>
        <w:rPr>
          <w:rFonts w:cs="Arial"/>
        </w:rPr>
      </w:pPr>
    </w:p>
    <w:p w:rsidR="00E706A7" w:rsidRPr="003006D9" w:rsidRDefault="002758A1" w:rsidP="0090169C">
      <w:pPr>
        <w:pStyle w:val="Continuarlista2"/>
        <w:ind w:left="0"/>
        <w:rPr>
          <w:rFonts w:cs="Arial"/>
        </w:rPr>
      </w:pPr>
      <w:r w:rsidRPr="003006D9">
        <w:rPr>
          <w:rFonts w:cs="Arial"/>
          <w:b/>
        </w:rPr>
        <w:t>5.</w:t>
      </w:r>
      <w:r w:rsidR="008F588F" w:rsidRPr="003006D9">
        <w:rPr>
          <w:rFonts w:cs="Arial"/>
          <w:b/>
        </w:rPr>
        <w:t>2.</w:t>
      </w:r>
      <w:r w:rsidRPr="003006D9">
        <w:rPr>
          <w:rFonts w:cs="Arial"/>
          <w:b/>
        </w:rPr>
        <w:t>1.</w:t>
      </w:r>
      <w:r w:rsidRPr="003006D9">
        <w:rPr>
          <w:rFonts w:cs="Arial"/>
        </w:rPr>
        <w:t xml:space="preserve"> El ICA</w:t>
      </w:r>
      <w:r w:rsidR="0034703D" w:rsidRPr="003006D9">
        <w:rPr>
          <w:rFonts w:cs="Arial"/>
        </w:rPr>
        <w:t xml:space="preserve"> adel</w:t>
      </w:r>
      <w:r w:rsidRPr="003006D9">
        <w:rPr>
          <w:rFonts w:cs="Arial"/>
        </w:rPr>
        <w:t>a</w:t>
      </w:r>
      <w:r w:rsidR="0034703D" w:rsidRPr="003006D9">
        <w:rPr>
          <w:rFonts w:cs="Arial"/>
        </w:rPr>
        <w:t>ntó un plan de en</w:t>
      </w:r>
      <w:r w:rsidRPr="003006D9">
        <w:rPr>
          <w:rFonts w:cs="Arial"/>
        </w:rPr>
        <w:t>a</w:t>
      </w:r>
      <w:r w:rsidR="0034703D" w:rsidRPr="003006D9">
        <w:rPr>
          <w:rFonts w:cs="Arial"/>
        </w:rPr>
        <w:t>jenació</w:t>
      </w:r>
      <w:r w:rsidRPr="003006D9">
        <w:rPr>
          <w:rFonts w:cs="Arial"/>
        </w:rPr>
        <w:t>n</w:t>
      </w:r>
      <w:r w:rsidR="0034703D" w:rsidRPr="003006D9">
        <w:rPr>
          <w:rFonts w:cs="Arial"/>
        </w:rPr>
        <w:t xml:space="preserve"> onerosa basado en las previsiones normativas de la Ley 70</w:t>
      </w:r>
      <w:r w:rsidR="000E2E51" w:rsidRPr="003006D9">
        <w:rPr>
          <w:rFonts w:cs="Arial"/>
        </w:rPr>
        <w:t>8</w:t>
      </w:r>
      <w:r w:rsidR="0034703D" w:rsidRPr="003006D9">
        <w:rPr>
          <w:rFonts w:cs="Arial"/>
        </w:rPr>
        <w:t xml:space="preserve"> de 2001 y los </w:t>
      </w:r>
      <w:r w:rsidR="00D338C6" w:rsidRPr="003006D9">
        <w:rPr>
          <w:rFonts w:cs="Arial"/>
        </w:rPr>
        <w:t xml:space="preserve">Decretos </w:t>
      </w:r>
      <w:r w:rsidR="0034703D" w:rsidRPr="003006D9">
        <w:rPr>
          <w:rFonts w:cs="Arial"/>
        </w:rPr>
        <w:t xml:space="preserve">4637 de </w:t>
      </w:r>
      <w:r w:rsidRPr="003006D9">
        <w:rPr>
          <w:rFonts w:cs="Arial"/>
        </w:rPr>
        <w:t>2</w:t>
      </w:r>
      <w:r w:rsidR="0034703D" w:rsidRPr="003006D9">
        <w:rPr>
          <w:rFonts w:cs="Arial"/>
        </w:rPr>
        <w:t xml:space="preserve">008 y 3297 de 2009, </w:t>
      </w:r>
      <w:r w:rsidRPr="003006D9">
        <w:rPr>
          <w:rFonts w:cs="Arial"/>
        </w:rPr>
        <w:t xml:space="preserve">dentro del cual contrató con la Lonja de Propiedad Raíz de </w:t>
      </w:r>
      <w:r w:rsidR="00E706A7" w:rsidRPr="003006D9">
        <w:rPr>
          <w:rFonts w:cs="Arial"/>
        </w:rPr>
        <w:t>N</w:t>
      </w:r>
      <w:r w:rsidRPr="003006D9">
        <w:rPr>
          <w:rFonts w:cs="Arial"/>
        </w:rPr>
        <w:t>ariñ</w:t>
      </w:r>
      <w:r w:rsidR="00E706A7" w:rsidRPr="003006D9">
        <w:rPr>
          <w:rFonts w:cs="Arial"/>
        </w:rPr>
        <w:t>o</w:t>
      </w:r>
      <w:r w:rsidRPr="003006D9">
        <w:rPr>
          <w:rFonts w:cs="Arial"/>
        </w:rPr>
        <w:t xml:space="preserve"> y Putumayo</w:t>
      </w:r>
      <w:r w:rsidR="00C16E47" w:rsidRPr="003006D9">
        <w:rPr>
          <w:rFonts w:cs="Arial"/>
        </w:rPr>
        <w:t xml:space="preserve"> los avalúos correspondientes</w:t>
      </w:r>
      <w:r w:rsidR="007524AC" w:rsidRPr="003006D9">
        <w:rPr>
          <w:rFonts w:cs="Arial"/>
        </w:rPr>
        <w:t>.</w:t>
      </w:r>
      <w:r w:rsidRPr="003006D9">
        <w:rPr>
          <w:rFonts w:cs="Arial"/>
        </w:rPr>
        <w:t xml:space="preserve"> </w:t>
      </w:r>
    </w:p>
    <w:p w:rsidR="007524AC" w:rsidRPr="003006D9" w:rsidRDefault="007524AC" w:rsidP="0090169C">
      <w:pPr>
        <w:pStyle w:val="Continuarlista2"/>
        <w:ind w:left="0"/>
        <w:rPr>
          <w:rFonts w:cs="Arial"/>
        </w:rPr>
      </w:pPr>
    </w:p>
    <w:p w:rsidR="00D338C6" w:rsidRPr="003006D9" w:rsidRDefault="00E706A7" w:rsidP="0090169C">
      <w:pPr>
        <w:pStyle w:val="Continuarlista2"/>
        <w:ind w:left="0"/>
        <w:rPr>
          <w:rFonts w:cs="Arial"/>
        </w:rPr>
      </w:pPr>
      <w:r w:rsidRPr="003006D9">
        <w:rPr>
          <w:rFonts w:cs="Arial"/>
          <w:b/>
        </w:rPr>
        <w:t>5.2.</w:t>
      </w:r>
      <w:r w:rsidR="008F588F" w:rsidRPr="003006D9">
        <w:rPr>
          <w:rFonts w:cs="Arial"/>
          <w:b/>
        </w:rPr>
        <w:t>2.</w:t>
      </w:r>
      <w:r w:rsidRPr="003006D9">
        <w:rPr>
          <w:rFonts w:cs="Arial"/>
        </w:rPr>
        <w:t xml:space="preserve"> Para la enajenación del inmueble El Mira se adelantaron tres procesos de selección abreviad</w:t>
      </w:r>
      <w:r w:rsidR="00D338C6" w:rsidRPr="003006D9">
        <w:rPr>
          <w:rFonts w:cs="Arial"/>
        </w:rPr>
        <w:t>a</w:t>
      </w:r>
      <w:r w:rsidRPr="003006D9">
        <w:rPr>
          <w:rFonts w:cs="Arial"/>
        </w:rPr>
        <w:t xml:space="preserve">. </w:t>
      </w:r>
    </w:p>
    <w:p w:rsidR="00D338C6" w:rsidRPr="003006D9" w:rsidRDefault="00D338C6" w:rsidP="0090169C">
      <w:pPr>
        <w:pStyle w:val="Continuarlista2"/>
        <w:ind w:left="0"/>
        <w:rPr>
          <w:rFonts w:cs="Arial"/>
        </w:rPr>
      </w:pPr>
    </w:p>
    <w:p w:rsidR="006C343D" w:rsidRPr="003006D9" w:rsidRDefault="00D338C6" w:rsidP="0090169C">
      <w:pPr>
        <w:pStyle w:val="Continuarlista2"/>
        <w:ind w:left="0"/>
        <w:rPr>
          <w:rFonts w:cs="Arial"/>
        </w:rPr>
      </w:pPr>
      <w:r w:rsidRPr="003006D9">
        <w:rPr>
          <w:rFonts w:cs="Arial"/>
          <w:b/>
        </w:rPr>
        <w:t>5.2.</w:t>
      </w:r>
      <w:r w:rsidR="008F588F" w:rsidRPr="003006D9">
        <w:rPr>
          <w:rFonts w:cs="Arial"/>
          <w:b/>
        </w:rPr>
        <w:t>3</w:t>
      </w:r>
      <w:r w:rsidRPr="003006D9">
        <w:rPr>
          <w:rFonts w:cs="Arial"/>
          <w:b/>
        </w:rPr>
        <w:t>.</w:t>
      </w:r>
      <w:r w:rsidRPr="003006D9">
        <w:rPr>
          <w:rFonts w:cs="Arial"/>
        </w:rPr>
        <w:t xml:space="preserve"> </w:t>
      </w:r>
      <w:r w:rsidR="00E706A7" w:rsidRPr="003006D9">
        <w:rPr>
          <w:rFonts w:cs="Arial"/>
        </w:rPr>
        <w:t>En el primer proceso se fijó un precio m</w:t>
      </w:r>
      <w:r w:rsidR="0027693C" w:rsidRPr="003006D9">
        <w:rPr>
          <w:rFonts w:cs="Arial"/>
        </w:rPr>
        <w:t>í</w:t>
      </w:r>
      <w:r w:rsidR="00E706A7" w:rsidRPr="003006D9">
        <w:rPr>
          <w:rFonts w:cs="Arial"/>
        </w:rPr>
        <w:t xml:space="preserve">nimo de venta de $8.269’410.000 </w:t>
      </w:r>
      <w:r w:rsidR="006C343D" w:rsidRPr="003006D9">
        <w:rPr>
          <w:rFonts w:cs="Arial"/>
        </w:rPr>
        <w:t>con base en el avalúo que allegó en el mes de abril de 2010 la Lonja de Propiedad Raíz de Nariño y Putumayo. E</w:t>
      </w:r>
      <w:r w:rsidR="00C16E47" w:rsidRPr="003006D9">
        <w:rPr>
          <w:rFonts w:cs="Arial"/>
        </w:rPr>
        <w:t xml:space="preserve">ste </w:t>
      </w:r>
      <w:r w:rsidR="006C343D" w:rsidRPr="003006D9">
        <w:rPr>
          <w:rFonts w:cs="Arial"/>
        </w:rPr>
        <w:t>proceso fue suspendido sin justificación alguna.</w:t>
      </w:r>
    </w:p>
    <w:p w:rsidR="006C343D" w:rsidRPr="003006D9" w:rsidRDefault="006C343D" w:rsidP="0090169C">
      <w:pPr>
        <w:pStyle w:val="Continuarlista2"/>
        <w:ind w:left="0"/>
        <w:rPr>
          <w:rFonts w:cs="Arial"/>
        </w:rPr>
      </w:pPr>
    </w:p>
    <w:p w:rsidR="00925975" w:rsidRPr="003006D9" w:rsidRDefault="006C343D" w:rsidP="0090169C">
      <w:pPr>
        <w:pStyle w:val="Continuarlista2"/>
        <w:ind w:left="0"/>
        <w:rPr>
          <w:rFonts w:cs="Arial"/>
        </w:rPr>
      </w:pPr>
      <w:r w:rsidRPr="003006D9">
        <w:rPr>
          <w:rFonts w:cs="Arial"/>
        </w:rPr>
        <w:lastRenderedPageBreak/>
        <w:t xml:space="preserve">El </w:t>
      </w:r>
      <w:r w:rsidR="00C16E47" w:rsidRPr="003006D9">
        <w:rPr>
          <w:rFonts w:cs="Arial"/>
        </w:rPr>
        <w:t xml:space="preserve">coordinador del grupo de gestión contractual </w:t>
      </w:r>
      <w:r w:rsidRPr="003006D9">
        <w:rPr>
          <w:rFonts w:cs="Arial"/>
        </w:rPr>
        <w:t xml:space="preserve">del ICA </w:t>
      </w:r>
      <w:r w:rsidR="00925975" w:rsidRPr="003006D9">
        <w:rPr>
          <w:rFonts w:cs="Arial"/>
        </w:rPr>
        <w:t xml:space="preserve">solicitó a la </w:t>
      </w:r>
      <w:r w:rsidRPr="003006D9">
        <w:rPr>
          <w:rFonts w:cs="Arial"/>
        </w:rPr>
        <w:t xml:space="preserve">Lonja de Propiedad Raíz de Nariño </w:t>
      </w:r>
      <w:r w:rsidR="00925975" w:rsidRPr="003006D9">
        <w:rPr>
          <w:rFonts w:cs="Arial"/>
        </w:rPr>
        <w:t>y Putumayo</w:t>
      </w:r>
      <w:r w:rsidR="00EB056A" w:rsidRPr="003006D9">
        <w:rPr>
          <w:rFonts w:cs="Arial"/>
        </w:rPr>
        <w:t xml:space="preserve"> una rectificación del avalúo</w:t>
      </w:r>
      <w:r w:rsidR="00925975" w:rsidRPr="003006D9">
        <w:rPr>
          <w:rFonts w:cs="Arial"/>
        </w:rPr>
        <w:t>, mediante comunicación de 21 de julio de 2010, sin que mediara n</w:t>
      </w:r>
      <w:r w:rsidR="00EB056A" w:rsidRPr="003006D9">
        <w:rPr>
          <w:rFonts w:cs="Arial"/>
        </w:rPr>
        <w:t xml:space="preserve">uevo </w:t>
      </w:r>
      <w:r w:rsidR="00925975" w:rsidRPr="003006D9">
        <w:rPr>
          <w:rFonts w:cs="Arial"/>
        </w:rPr>
        <w:t>acuerdo contractual</w:t>
      </w:r>
      <w:r w:rsidR="0027693C" w:rsidRPr="003006D9">
        <w:rPr>
          <w:rFonts w:cs="Arial"/>
        </w:rPr>
        <w:t xml:space="preserve"> con la entidad avaluadora</w:t>
      </w:r>
      <w:r w:rsidR="00925975" w:rsidRPr="003006D9">
        <w:rPr>
          <w:rFonts w:cs="Arial"/>
        </w:rPr>
        <w:t xml:space="preserve">, </w:t>
      </w:r>
      <w:r w:rsidR="00EB056A" w:rsidRPr="003006D9">
        <w:rPr>
          <w:rFonts w:cs="Arial"/>
        </w:rPr>
        <w:t xml:space="preserve">con el </w:t>
      </w:r>
      <w:r w:rsidR="00925975" w:rsidRPr="003006D9">
        <w:rPr>
          <w:rFonts w:cs="Arial"/>
        </w:rPr>
        <w:t>argument</w:t>
      </w:r>
      <w:r w:rsidR="00EB056A" w:rsidRPr="003006D9">
        <w:rPr>
          <w:rFonts w:cs="Arial"/>
        </w:rPr>
        <w:t>o</w:t>
      </w:r>
      <w:r w:rsidR="00925975" w:rsidRPr="003006D9">
        <w:rPr>
          <w:rFonts w:cs="Arial"/>
        </w:rPr>
        <w:t xml:space="preserve"> </w:t>
      </w:r>
      <w:r w:rsidR="009C4919" w:rsidRPr="003006D9">
        <w:rPr>
          <w:rFonts w:cs="Arial"/>
        </w:rPr>
        <w:t xml:space="preserve">de </w:t>
      </w:r>
      <w:r w:rsidR="00925975" w:rsidRPr="003006D9">
        <w:rPr>
          <w:rFonts w:cs="Arial"/>
        </w:rPr>
        <w:t xml:space="preserve">que los procesos de enajenación </w:t>
      </w:r>
      <w:r w:rsidR="00EB056A" w:rsidRPr="003006D9">
        <w:rPr>
          <w:rFonts w:cs="Arial"/>
        </w:rPr>
        <w:t xml:space="preserve">adelantados </w:t>
      </w:r>
      <w:r w:rsidR="00925975" w:rsidRPr="003006D9">
        <w:rPr>
          <w:rFonts w:cs="Arial"/>
        </w:rPr>
        <w:t>no habían llegado a buen t</w:t>
      </w:r>
      <w:r w:rsidR="00676FF5" w:rsidRPr="003006D9">
        <w:rPr>
          <w:rFonts w:cs="Arial"/>
        </w:rPr>
        <w:t>é</w:t>
      </w:r>
      <w:r w:rsidR="00925975" w:rsidRPr="003006D9">
        <w:rPr>
          <w:rFonts w:cs="Arial"/>
        </w:rPr>
        <w:t xml:space="preserve">rmino y </w:t>
      </w:r>
      <w:r w:rsidR="00676FF5" w:rsidRPr="003006D9">
        <w:rPr>
          <w:rFonts w:cs="Arial"/>
        </w:rPr>
        <w:t xml:space="preserve">que </w:t>
      </w:r>
      <w:r w:rsidR="00925975" w:rsidRPr="003006D9">
        <w:rPr>
          <w:rFonts w:cs="Arial"/>
        </w:rPr>
        <w:t xml:space="preserve">las informaciones verbales indicaban que el valor del </w:t>
      </w:r>
      <w:r w:rsidR="00676FF5" w:rsidRPr="003006D9">
        <w:rPr>
          <w:rFonts w:cs="Arial"/>
        </w:rPr>
        <w:t xml:space="preserve">avalúo </w:t>
      </w:r>
      <w:r w:rsidR="00925975" w:rsidRPr="003006D9">
        <w:rPr>
          <w:rFonts w:cs="Arial"/>
        </w:rPr>
        <w:t>se encontraba por encima de los precios de mercado.</w:t>
      </w:r>
    </w:p>
    <w:p w:rsidR="00925975" w:rsidRPr="003006D9" w:rsidRDefault="00925975" w:rsidP="0090169C">
      <w:pPr>
        <w:pStyle w:val="Continuarlista2"/>
        <w:ind w:left="0"/>
        <w:rPr>
          <w:rFonts w:cs="Arial"/>
        </w:rPr>
      </w:pPr>
    </w:p>
    <w:p w:rsidR="003040B9" w:rsidRPr="003006D9" w:rsidRDefault="00925975" w:rsidP="0090169C">
      <w:pPr>
        <w:pStyle w:val="Continuarlista2"/>
        <w:ind w:left="0"/>
        <w:rPr>
          <w:rFonts w:cs="Arial"/>
          <w:i/>
        </w:rPr>
      </w:pPr>
      <w:r w:rsidRPr="003006D9">
        <w:rPr>
          <w:rFonts w:cs="Arial"/>
          <w:b/>
        </w:rPr>
        <w:t>5.</w:t>
      </w:r>
      <w:r w:rsidR="00D338C6" w:rsidRPr="003006D9">
        <w:rPr>
          <w:rFonts w:cs="Arial"/>
          <w:b/>
        </w:rPr>
        <w:t>2.</w:t>
      </w:r>
      <w:r w:rsidR="008F588F" w:rsidRPr="003006D9">
        <w:rPr>
          <w:rFonts w:cs="Arial"/>
          <w:b/>
        </w:rPr>
        <w:t>4</w:t>
      </w:r>
      <w:r w:rsidR="00D338C6" w:rsidRPr="003006D9">
        <w:rPr>
          <w:rFonts w:cs="Arial"/>
          <w:b/>
        </w:rPr>
        <w:t>.</w:t>
      </w:r>
      <w:r w:rsidR="00D338C6" w:rsidRPr="003006D9">
        <w:rPr>
          <w:rFonts w:cs="Arial"/>
        </w:rPr>
        <w:t xml:space="preserve"> </w:t>
      </w:r>
      <w:r w:rsidRPr="003006D9">
        <w:rPr>
          <w:rFonts w:cs="Arial"/>
        </w:rPr>
        <w:t>Dentro del segundo proceso de selecci</w:t>
      </w:r>
      <w:r w:rsidR="000558AB" w:rsidRPr="003006D9">
        <w:rPr>
          <w:rFonts w:cs="Arial"/>
        </w:rPr>
        <w:t xml:space="preserve">ón </w:t>
      </w:r>
      <w:r w:rsidRPr="003006D9">
        <w:rPr>
          <w:rFonts w:cs="Arial"/>
        </w:rPr>
        <w:t>abreviada, a</w:t>
      </w:r>
      <w:r w:rsidR="000558AB" w:rsidRPr="003006D9">
        <w:rPr>
          <w:rFonts w:cs="Arial"/>
        </w:rPr>
        <w:t xml:space="preserve">bierto a través de la </w:t>
      </w:r>
      <w:r w:rsidR="00676FF5" w:rsidRPr="003006D9">
        <w:rPr>
          <w:rFonts w:cs="Arial"/>
        </w:rPr>
        <w:t>R</w:t>
      </w:r>
      <w:r w:rsidR="000558AB" w:rsidRPr="003006D9">
        <w:rPr>
          <w:rFonts w:cs="Arial"/>
        </w:rPr>
        <w:t>esolución 2521 de 29 de julio de 2010, se señaló como valor de avalúo comercial la suma de $8.269’410</w:t>
      </w:r>
      <w:r w:rsidR="00C16E47" w:rsidRPr="003006D9">
        <w:rPr>
          <w:rFonts w:cs="Arial"/>
        </w:rPr>
        <w:t>.</w:t>
      </w:r>
      <w:r w:rsidR="000558AB" w:rsidRPr="003006D9">
        <w:rPr>
          <w:rFonts w:cs="Arial"/>
        </w:rPr>
        <w:t>000</w:t>
      </w:r>
      <w:r w:rsidR="00C16E47" w:rsidRPr="003006D9">
        <w:rPr>
          <w:rFonts w:cs="Arial"/>
        </w:rPr>
        <w:t xml:space="preserve">, empero </w:t>
      </w:r>
      <w:r w:rsidR="007B1393" w:rsidRPr="003006D9">
        <w:rPr>
          <w:rFonts w:cs="Arial"/>
        </w:rPr>
        <w:t xml:space="preserve">se fijó como precio mínimo de venta la </w:t>
      </w:r>
      <w:r w:rsidR="00362424" w:rsidRPr="003006D9">
        <w:rPr>
          <w:rFonts w:cs="Arial"/>
        </w:rPr>
        <w:t>suma de $5</w:t>
      </w:r>
      <w:r w:rsidR="00676FF5" w:rsidRPr="003006D9">
        <w:rPr>
          <w:rFonts w:cs="Arial"/>
        </w:rPr>
        <w:t>.</w:t>
      </w:r>
      <w:r w:rsidR="00362424" w:rsidRPr="003006D9">
        <w:rPr>
          <w:rFonts w:cs="Arial"/>
        </w:rPr>
        <w:t>788</w:t>
      </w:r>
      <w:r w:rsidR="00676FF5" w:rsidRPr="003006D9">
        <w:rPr>
          <w:rFonts w:cs="Arial"/>
        </w:rPr>
        <w:t>’</w:t>
      </w:r>
      <w:r w:rsidR="00362424" w:rsidRPr="003006D9">
        <w:rPr>
          <w:rFonts w:cs="Arial"/>
        </w:rPr>
        <w:t xml:space="preserve">587.000, invocando la aplicación de los artículos 523 y 533 del </w:t>
      </w:r>
      <w:r w:rsidR="00676FF5" w:rsidRPr="003006D9">
        <w:rPr>
          <w:rFonts w:cs="Arial"/>
        </w:rPr>
        <w:t>C</w:t>
      </w:r>
      <w:r w:rsidR="00362424" w:rsidRPr="003006D9">
        <w:rPr>
          <w:rFonts w:cs="Arial"/>
        </w:rPr>
        <w:t xml:space="preserve">ódigo de Procedimiento Civil, en lo cual se incurrió en un claro error, </w:t>
      </w:r>
      <w:r w:rsidR="00EB056A" w:rsidRPr="003006D9">
        <w:rPr>
          <w:rFonts w:cs="Arial"/>
        </w:rPr>
        <w:t xml:space="preserve">dado </w:t>
      </w:r>
      <w:r w:rsidR="00362424" w:rsidRPr="003006D9">
        <w:rPr>
          <w:rFonts w:cs="Arial"/>
        </w:rPr>
        <w:t>que l</w:t>
      </w:r>
      <w:r w:rsidR="00D338C6" w:rsidRPr="003006D9">
        <w:rPr>
          <w:rFonts w:cs="Arial"/>
        </w:rPr>
        <w:t>a</w:t>
      </w:r>
      <w:r w:rsidR="00362424" w:rsidRPr="003006D9">
        <w:rPr>
          <w:rFonts w:cs="Arial"/>
        </w:rPr>
        <w:t xml:space="preserve"> norma</w:t>
      </w:r>
      <w:r w:rsidR="00EB056A" w:rsidRPr="003006D9">
        <w:rPr>
          <w:rFonts w:cs="Arial"/>
        </w:rPr>
        <w:t xml:space="preserve"> jurídica </w:t>
      </w:r>
      <w:r w:rsidR="00362424" w:rsidRPr="003006D9">
        <w:rPr>
          <w:rFonts w:cs="Arial"/>
        </w:rPr>
        <w:t>aplicab</w:t>
      </w:r>
      <w:r w:rsidR="00D338C6" w:rsidRPr="003006D9">
        <w:rPr>
          <w:rFonts w:cs="Arial"/>
        </w:rPr>
        <w:t>l</w:t>
      </w:r>
      <w:r w:rsidR="00362424" w:rsidRPr="003006D9">
        <w:rPr>
          <w:rFonts w:cs="Arial"/>
        </w:rPr>
        <w:t xml:space="preserve">e era el </w:t>
      </w:r>
      <w:r w:rsidR="00D338C6" w:rsidRPr="003006D9">
        <w:rPr>
          <w:rFonts w:cs="Arial"/>
        </w:rPr>
        <w:t>D</w:t>
      </w:r>
      <w:r w:rsidR="00362424" w:rsidRPr="003006D9">
        <w:rPr>
          <w:rFonts w:cs="Arial"/>
        </w:rPr>
        <w:t>ecreto 4444 de 2008.</w:t>
      </w:r>
      <w:r w:rsidR="00D338C6" w:rsidRPr="003006D9">
        <w:rPr>
          <w:rFonts w:cs="Arial"/>
        </w:rPr>
        <w:t xml:space="preserve"> Además,</w:t>
      </w:r>
      <w:r w:rsidR="003E4D4A" w:rsidRPr="003006D9">
        <w:rPr>
          <w:rFonts w:cs="Arial"/>
        </w:rPr>
        <w:t xml:space="preserve"> el ICA </w:t>
      </w:r>
      <w:r w:rsidR="00676FF5" w:rsidRPr="003006D9">
        <w:rPr>
          <w:rFonts w:cs="Arial"/>
        </w:rPr>
        <w:t xml:space="preserve">observó que </w:t>
      </w:r>
      <w:r w:rsidR="00D338C6" w:rsidRPr="003006D9">
        <w:rPr>
          <w:rFonts w:cs="Arial"/>
        </w:rPr>
        <w:t>e</w:t>
      </w:r>
      <w:r w:rsidR="00362424" w:rsidRPr="003006D9">
        <w:rPr>
          <w:rFonts w:cs="Arial"/>
        </w:rPr>
        <w:t xml:space="preserve">n el anexo 1, denominado </w:t>
      </w:r>
      <w:r w:rsidR="00D338C6" w:rsidRPr="003006D9">
        <w:rPr>
          <w:rFonts w:cs="Arial"/>
          <w:i/>
        </w:rPr>
        <w:t>“</w:t>
      </w:r>
      <w:r w:rsidR="00362424" w:rsidRPr="003006D9">
        <w:rPr>
          <w:rFonts w:cs="Arial"/>
          <w:i/>
        </w:rPr>
        <w:t>ficha té</w:t>
      </w:r>
      <w:r w:rsidR="00D338C6" w:rsidRPr="003006D9">
        <w:rPr>
          <w:rFonts w:cs="Arial"/>
          <w:i/>
        </w:rPr>
        <w:t>c</w:t>
      </w:r>
      <w:r w:rsidR="00362424" w:rsidRPr="003006D9">
        <w:rPr>
          <w:rFonts w:cs="Arial"/>
          <w:i/>
        </w:rPr>
        <w:t>nica”</w:t>
      </w:r>
      <w:r w:rsidR="00676FF5" w:rsidRPr="003006D9">
        <w:rPr>
          <w:rFonts w:cs="Arial"/>
        </w:rPr>
        <w:t>,</w:t>
      </w:r>
      <w:r w:rsidR="00362424" w:rsidRPr="003006D9">
        <w:rPr>
          <w:rFonts w:cs="Arial"/>
        </w:rPr>
        <w:t xml:space="preserve"> se incluyó el </w:t>
      </w:r>
      <w:r w:rsidR="00362424" w:rsidRPr="003006D9">
        <w:rPr>
          <w:rFonts w:cs="Arial"/>
          <w:i/>
        </w:rPr>
        <w:t>“Banco de Ge</w:t>
      </w:r>
      <w:r w:rsidR="00D338C6" w:rsidRPr="003006D9">
        <w:rPr>
          <w:rFonts w:cs="Arial"/>
          <w:i/>
        </w:rPr>
        <w:t>r</w:t>
      </w:r>
      <w:r w:rsidR="00362424" w:rsidRPr="003006D9">
        <w:rPr>
          <w:rFonts w:cs="Arial"/>
          <w:i/>
        </w:rPr>
        <w:t>moplasma de 42,27 hect</w:t>
      </w:r>
      <w:r w:rsidR="00D338C6" w:rsidRPr="003006D9">
        <w:rPr>
          <w:rFonts w:cs="Arial"/>
          <w:i/>
        </w:rPr>
        <w:t>á</w:t>
      </w:r>
      <w:r w:rsidR="00362424" w:rsidRPr="003006D9">
        <w:rPr>
          <w:rFonts w:cs="Arial"/>
          <w:i/>
        </w:rPr>
        <w:t>reas</w:t>
      </w:r>
      <w:r w:rsidR="003040B9" w:rsidRPr="003006D9">
        <w:rPr>
          <w:rFonts w:cs="Arial"/>
          <w:i/>
        </w:rPr>
        <w:t>”</w:t>
      </w:r>
      <w:r w:rsidR="00676FF5" w:rsidRPr="003006D9">
        <w:rPr>
          <w:rFonts w:cs="Arial"/>
          <w:i/>
        </w:rPr>
        <w:t>.</w:t>
      </w:r>
    </w:p>
    <w:p w:rsidR="003040B9" w:rsidRPr="003006D9" w:rsidRDefault="003040B9" w:rsidP="0090169C">
      <w:pPr>
        <w:pStyle w:val="Continuarlista2"/>
        <w:ind w:left="0"/>
        <w:rPr>
          <w:rFonts w:cs="Arial"/>
        </w:rPr>
      </w:pPr>
    </w:p>
    <w:p w:rsidR="003040B9" w:rsidRPr="003006D9" w:rsidRDefault="003040B9" w:rsidP="0090169C">
      <w:pPr>
        <w:pStyle w:val="Continuarlista2"/>
        <w:ind w:left="0"/>
        <w:rPr>
          <w:rFonts w:cs="Arial"/>
        </w:rPr>
      </w:pPr>
      <w:r w:rsidRPr="003006D9">
        <w:rPr>
          <w:rFonts w:cs="Arial"/>
        </w:rPr>
        <w:t>Este proceso fue declarado desierto porque no se presentaron ofertas.</w:t>
      </w:r>
    </w:p>
    <w:p w:rsidR="003040B9" w:rsidRPr="003006D9" w:rsidRDefault="003040B9" w:rsidP="0090169C">
      <w:pPr>
        <w:pStyle w:val="Continuarlista2"/>
        <w:ind w:left="0"/>
        <w:rPr>
          <w:rFonts w:cs="Arial"/>
        </w:rPr>
      </w:pPr>
    </w:p>
    <w:p w:rsidR="00DE5C1F" w:rsidRPr="003006D9" w:rsidRDefault="003040B9" w:rsidP="0090169C">
      <w:pPr>
        <w:pStyle w:val="Continuarlista2"/>
        <w:ind w:left="0"/>
        <w:rPr>
          <w:rFonts w:cs="Arial"/>
        </w:rPr>
      </w:pPr>
      <w:r w:rsidRPr="003006D9">
        <w:rPr>
          <w:rFonts w:cs="Arial"/>
          <w:b/>
        </w:rPr>
        <w:t>5.</w:t>
      </w:r>
      <w:r w:rsidR="008F588F" w:rsidRPr="003006D9">
        <w:rPr>
          <w:rFonts w:cs="Arial"/>
          <w:b/>
        </w:rPr>
        <w:t>2.5.</w:t>
      </w:r>
      <w:r w:rsidRPr="003006D9">
        <w:rPr>
          <w:rFonts w:cs="Arial"/>
        </w:rPr>
        <w:t xml:space="preserve"> En el tercer proceso, mediante Resolución 2621 del 10 de agosto de 2010</w:t>
      </w:r>
      <w:r w:rsidR="00EB056A" w:rsidRPr="003006D9">
        <w:rPr>
          <w:rFonts w:cs="Arial"/>
        </w:rPr>
        <w:t>,</w:t>
      </w:r>
      <w:r w:rsidRPr="003006D9">
        <w:rPr>
          <w:rFonts w:cs="Arial"/>
        </w:rPr>
        <w:t xml:space="preserve"> el ICA ordenó la apertura de </w:t>
      </w:r>
      <w:r w:rsidR="003E4D4A" w:rsidRPr="003006D9">
        <w:rPr>
          <w:rFonts w:cs="Arial"/>
        </w:rPr>
        <w:t xml:space="preserve">la </w:t>
      </w:r>
      <w:r w:rsidRPr="003006D9">
        <w:rPr>
          <w:rFonts w:cs="Arial"/>
        </w:rPr>
        <w:t>selecci</w:t>
      </w:r>
      <w:r w:rsidR="00DE5C1F" w:rsidRPr="003006D9">
        <w:rPr>
          <w:rFonts w:cs="Arial"/>
        </w:rPr>
        <w:t>ó</w:t>
      </w:r>
      <w:r w:rsidRPr="003006D9">
        <w:rPr>
          <w:rFonts w:cs="Arial"/>
        </w:rPr>
        <w:t>n abreviada, modalidad subasta electrónica</w:t>
      </w:r>
      <w:r w:rsidR="00EB056A" w:rsidRPr="003006D9">
        <w:rPr>
          <w:rFonts w:cs="Arial"/>
        </w:rPr>
        <w:t>;</w:t>
      </w:r>
      <w:r w:rsidR="003E4D4A" w:rsidRPr="003006D9">
        <w:rPr>
          <w:rFonts w:cs="Arial"/>
        </w:rPr>
        <w:t xml:space="preserve"> se </w:t>
      </w:r>
      <w:r w:rsidR="00DE5C1F" w:rsidRPr="003006D9">
        <w:rPr>
          <w:rFonts w:cs="Arial"/>
        </w:rPr>
        <w:t>señaló como valor de avalúo comercial la suma de $8.269’410</w:t>
      </w:r>
      <w:r w:rsidR="00676FF5" w:rsidRPr="003006D9">
        <w:rPr>
          <w:rFonts w:cs="Arial"/>
        </w:rPr>
        <w:t>.</w:t>
      </w:r>
      <w:r w:rsidR="00DE5C1F" w:rsidRPr="003006D9">
        <w:rPr>
          <w:rFonts w:cs="Arial"/>
        </w:rPr>
        <w:t>000 y como precio mínimo de venta la suma de $4.134’.705</w:t>
      </w:r>
      <w:r w:rsidR="00676FF5" w:rsidRPr="003006D9">
        <w:rPr>
          <w:rFonts w:cs="Arial"/>
        </w:rPr>
        <w:t>.</w:t>
      </w:r>
      <w:r w:rsidR="00DE5C1F" w:rsidRPr="003006D9">
        <w:rPr>
          <w:rFonts w:cs="Arial"/>
        </w:rPr>
        <w:t xml:space="preserve">000. En la ficha técnica </w:t>
      </w:r>
      <w:r w:rsidR="00676FF5" w:rsidRPr="003006D9">
        <w:rPr>
          <w:rFonts w:cs="Arial"/>
        </w:rPr>
        <w:t xml:space="preserve">correspondiente </w:t>
      </w:r>
      <w:r w:rsidR="00DE5C1F" w:rsidRPr="003006D9">
        <w:rPr>
          <w:rFonts w:cs="Arial"/>
        </w:rPr>
        <w:t>se inc</w:t>
      </w:r>
      <w:r w:rsidR="00676FF5" w:rsidRPr="003006D9">
        <w:rPr>
          <w:rFonts w:cs="Arial"/>
        </w:rPr>
        <w:t>l</w:t>
      </w:r>
      <w:r w:rsidR="00DE5C1F" w:rsidRPr="003006D9">
        <w:rPr>
          <w:rFonts w:cs="Arial"/>
        </w:rPr>
        <w:t>uyó, nuevamente</w:t>
      </w:r>
      <w:r w:rsidR="00EB056A" w:rsidRPr="003006D9">
        <w:rPr>
          <w:rFonts w:cs="Arial"/>
        </w:rPr>
        <w:t>,</w:t>
      </w:r>
      <w:r w:rsidR="0027693C" w:rsidRPr="003006D9">
        <w:rPr>
          <w:rFonts w:cs="Arial"/>
        </w:rPr>
        <w:t xml:space="preserve"> la observación </w:t>
      </w:r>
      <w:r w:rsidR="003E4D4A" w:rsidRPr="003006D9">
        <w:rPr>
          <w:rFonts w:cs="Arial"/>
        </w:rPr>
        <w:t xml:space="preserve">acerca del </w:t>
      </w:r>
      <w:r w:rsidR="0027693C" w:rsidRPr="003006D9">
        <w:rPr>
          <w:rFonts w:cs="Arial"/>
        </w:rPr>
        <w:t>área del banco de germoplasma</w:t>
      </w:r>
      <w:r w:rsidR="00DE5C1F" w:rsidRPr="003006D9">
        <w:rPr>
          <w:rFonts w:cs="Arial"/>
        </w:rPr>
        <w:t>.</w:t>
      </w:r>
    </w:p>
    <w:p w:rsidR="00DE5C1F" w:rsidRPr="003006D9" w:rsidRDefault="00DE5C1F" w:rsidP="0090169C">
      <w:pPr>
        <w:pStyle w:val="Continuarlista2"/>
        <w:ind w:left="0"/>
        <w:rPr>
          <w:rFonts w:cs="Arial"/>
        </w:rPr>
      </w:pPr>
    </w:p>
    <w:p w:rsidR="00C42058" w:rsidRPr="003006D9" w:rsidRDefault="000D152D" w:rsidP="0090169C">
      <w:pPr>
        <w:pStyle w:val="Continuarlista2"/>
        <w:ind w:left="0"/>
        <w:rPr>
          <w:rFonts w:cs="Arial"/>
        </w:rPr>
      </w:pPr>
      <w:r w:rsidRPr="003006D9">
        <w:rPr>
          <w:rFonts w:cs="Arial"/>
          <w:b/>
        </w:rPr>
        <w:t>5.2.6.</w:t>
      </w:r>
      <w:r w:rsidRPr="003006D9">
        <w:rPr>
          <w:rFonts w:cs="Arial"/>
        </w:rPr>
        <w:t xml:space="preserve"> </w:t>
      </w:r>
      <w:r w:rsidR="00DE5C1F" w:rsidRPr="003006D9">
        <w:rPr>
          <w:rFonts w:cs="Arial"/>
        </w:rPr>
        <w:t xml:space="preserve">De acuerdo con el Acta 119 de 20 de agosto de 2010, al dar apertura a la urna triclave se encontró que el único proponente era </w:t>
      </w:r>
      <w:r w:rsidR="008C13D2" w:rsidRPr="003006D9">
        <w:rPr>
          <w:rFonts w:cs="Arial"/>
        </w:rPr>
        <w:t>FEDEPALMA</w:t>
      </w:r>
      <w:r w:rsidR="00DE5C1F" w:rsidRPr="003006D9">
        <w:rPr>
          <w:rFonts w:cs="Arial"/>
        </w:rPr>
        <w:t>.</w:t>
      </w:r>
      <w:r w:rsidR="00A147C7" w:rsidRPr="003006D9">
        <w:rPr>
          <w:rFonts w:cs="Arial"/>
        </w:rPr>
        <w:t xml:space="preserve"> El 17 de </w:t>
      </w:r>
      <w:r w:rsidR="00E811A3" w:rsidRPr="003006D9">
        <w:rPr>
          <w:rFonts w:cs="Arial"/>
        </w:rPr>
        <w:t xml:space="preserve">septiembre </w:t>
      </w:r>
      <w:r w:rsidR="00A147C7" w:rsidRPr="003006D9">
        <w:rPr>
          <w:rFonts w:cs="Arial"/>
        </w:rPr>
        <w:t xml:space="preserve">de 2010 se llevó a cabo la subasta </w:t>
      </w:r>
      <w:r w:rsidR="00EB056A" w:rsidRPr="003006D9">
        <w:rPr>
          <w:rFonts w:cs="Arial"/>
        </w:rPr>
        <w:t>electrónica</w:t>
      </w:r>
      <w:r w:rsidR="00A147C7" w:rsidRPr="003006D9">
        <w:rPr>
          <w:rFonts w:cs="Arial"/>
        </w:rPr>
        <w:t xml:space="preserve">, el precio de partida ofrecido fue de $4.140’000.000 </w:t>
      </w:r>
      <w:r w:rsidR="00C42058" w:rsidRPr="003006D9">
        <w:rPr>
          <w:rFonts w:cs="Arial"/>
        </w:rPr>
        <w:t xml:space="preserve">y el precio final fue $4.165’000.000. Mediante </w:t>
      </w:r>
      <w:r w:rsidR="00E811A3" w:rsidRPr="003006D9">
        <w:rPr>
          <w:rFonts w:cs="Arial"/>
        </w:rPr>
        <w:t xml:space="preserve">la </w:t>
      </w:r>
      <w:r w:rsidR="00C42058" w:rsidRPr="003006D9">
        <w:rPr>
          <w:rFonts w:cs="Arial"/>
        </w:rPr>
        <w:t xml:space="preserve">Resolución 3098 de 17 de septiembre de 2010 el ICA adjudicó el inmueble a </w:t>
      </w:r>
      <w:r w:rsidR="008C13D2" w:rsidRPr="003006D9">
        <w:rPr>
          <w:rFonts w:cs="Arial"/>
        </w:rPr>
        <w:t>FEDEPALMA</w:t>
      </w:r>
      <w:r w:rsidR="00C42058" w:rsidRPr="003006D9">
        <w:rPr>
          <w:rFonts w:cs="Arial"/>
        </w:rPr>
        <w:t>.</w:t>
      </w:r>
    </w:p>
    <w:p w:rsidR="00C42058" w:rsidRPr="003006D9" w:rsidRDefault="00C42058" w:rsidP="0090169C">
      <w:pPr>
        <w:pStyle w:val="Continuarlista2"/>
        <w:ind w:left="0"/>
        <w:rPr>
          <w:rFonts w:cs="Arial"/>
        </w:rPr>
      </w:pPr>
    </w:p>
    <w:p w:rsidR="00C04B45" w:rsidRPr="003006D9" w:rsidRDefault="00C42058" w:rsidP="0090169C">
      <w:pPr>
        <w:pStyle w:val="Continuarlista2"/>
        <w:ind w:left="0"/>
        <w:rPr>
          <w:rFonts w:cs="Arial"/>
        </w:rPr>
      </w:pPr>
      <w:r w:rsidRPr="003006D9">
        <w:rPr>
          <w:rFonts w:cs="Arial"/>
          <w:b/>
        </w:rPr>
        <w:t>5.</w:t>
      </w:r>
      <w:r w:rsidR="000D152D" w:rsidRPr="003006D9">
        <w:rPr>
          <w:rFonts w:cs="Arial"/>
          <w:b/>
        </w:rPr>
        <w:t>2.7.</w:t>
      </w:r>
      <w:r w:rsidR="007B4E25" w:rsidRPr="003006D9">
        <w:rPr>
          <w:rFonts w:cs="Arial"/>
        </w:rPr>
        <w:t xml:space="preserve"> El ICA y </w:t>
      </w:r>
      <w:r w:rsidR="008C13D2" w:rsidRPr="003006D9">
        <w:rPr>
          <w:rFonts w:cs="Arial"/>
        </w:rPr>
        <w:t xml:space="preserve">FEDEPALMA </w:t>
      </w:r>
      <w:r w:rsidR="007B4E25" w:rsidRPr="003006D9">
        <w:rPr>
          <w:rFonts w:cs="Arial"/>
        </w:rPr>
        <w:t>suscribieron la promesa de compraventa el 27 de octubre de 2010</w:t>
      </w:r>
      <w:r w:rsidR="00EB056A" w:rsidRPr="003006D9">
        <w:rPr>
          <w:rFonts w:cs="Arial"/>
        </w:rPr>
        <w:t xml:space="preserve"> y </w:t>
      </w:r>
      <w:r w:rsidR="007B4E25" w:rsidRPr="003006D9">
        <w:rPr>
          <w:rFonts w:cs="Arial"/>
        </w:rPr>
        <w:t>fija</w:t>
      </w:r>
      <w:r w:rsidR="00EB056A" w:rsidRPr="003006D9">
        <w:rPr>
          <w:rFonts w:cs="Arial"/>
        </w:rPr>
        <w:t>ron</w:t>
      </w:r>
      <w:r w:rsidR="007B4E25" w:rsidRPr="003006D9">
        <w:rPr>
          <w:rFonts w:cs="Arial"/>
        </w:rPr>
        <w:t xml:space="preserve"> como fecha de perfeccionamiento el 29 de octubre de 2010</w:t>
      </w:r>
      <w:r w:rsidR="00E811A3" w:rsidRPr="003006D9">
        <w:rPr>
          <w:rFonts w:cs="Arial"/>
        </w:rPr>
        <w:t>. D</w:t>
      </w:r>
      <w:r w:rsidR="007B4E25" w:rsidRPr="003006D9">
        <w:rPr>
          <w:rFonts w:cs="Arial"/>
        </w:rPr>
        <w:t>ebid</w:t>
      </w:r>
      <w:r w:rsidR="000D152D" w:rsidRPr="003006D9">
        <w:rPr>
          <w:rFonts w:cs="Arial"/>
        </w:rPr>
        <w:t>o</w:t>
      </w:r>
      <w:r w:rsidR="007B4E25" w:rsidRPr="003006D9">
        <w:rPr>
          <w:rFonts w:cs="Arial"/>
        </w:rPr>
        <w:t xml:space="preserve"> al cambio de directivas del ICA</w:t>
      </w:r>
      <w:r w:rsidR="00EB056A" w:rsidRPr="003006D9">
        <w:rPr>
          <w:rFonts w:cs="Arial"/>
        </w:rPr>
        <w:t>,</w:t>
      </w:r>
      <w:r w:rsidR="007B4E25" w:rsidRPr="003006D9">
        <w:rPr>
          <w:rFonts w:cs="Arial"/>
        </w:rPr>
        <w:t xml:space="preserve"> la fecha se pospuso para el </w:t>
      </w:r>
      <w:r w:rsidR="00C04B45" w:rsidRPr="003006D9">
        <w:rPr>
          <w:rFonts w:cs="Arial"/>
        </w:rPr>
        <w:t>5 de noviembre de 2010</w:t>
      </w:r>
      <w:r w:rsidR="00EB056A" w:rsidRPr="003006D9">
        <w:rPr>
          <w:rFonts w:cs="Arial"/>
        </w:rPr>
        <w:t>,</w:t>
      </w:r>
      <w:r w:rsidR="00C04B45" w:rsidRPr="003006D9">
        <w:rPr>
          <w:rFonts w:cs="Arial"/>
        </w:rPr>
        <w:t xml:space="preserve"> </w:t>
      </w:r>
      <w:r w:rsidR="007B4E25" w:rsidRPr="003006D9">
        <w:rPr>
          <w:rFonts w:cs="Arial"/>
        </w:rPr>
        <w:t>mediante la</w:t>
      </w:r>
      <w:r w:rsidR="00C04B45" w:rsidRPr="003006D9">
        <w:rPr>
          <w:rFonts w:cs="Arial"/>
        </w:rPr>
        <w:t xml:space="preserve"> </w:t>
      </w:r>
      <w:r w:rsidR="007B4E25" w:rsidRPr="003006D9">
        <w:rPr>
          <w:rFonts w:cs="Arial"/>
        </w:rPr>
        <w:t>modificación 01</w:t>
      </w:r>
      <w:r w:rsidR="00C04B45" w:rsidRPr="003006D9">
        <w:rPr>
          <w:rFonts w:cs="Arial"/>
        </w:rPr>
        <w:t>.</w:t>
      </w:r>
    </w:p>
    <w:p w:rsidR="00997C9F" w:rsidRPr="003006D9" w:rsidRDefault="00997C9F" w:rsidP="0090169C">
      <w:pPr>
        <w:pStyle w:val="Continuarlista2"/>
        <w:ind w:left="0"/>
        <w:rPr>
          <w:rFonts w:cs="Arial"/>
          <w:b/>
        </w:rPr>
      </w:pPr>
    </w:p>
    <w:p w:rsidR="00A676FA" w:rsidRPr="003006D9" w:rsidRDefault="0053238D" w:rsidP="0090169C">
      <w:pPr>
        <w:pStyle w:val="Continuarlista2"/>
        <w:ind w:left="0"/>
        <w:rPr>
          <w:rFonts w:cs="Arial"/>
        </w:rPr>
      </w:pPr>
      <w:r w:rsidRPr="003006D9">
        <w:rPr>
          <w:rFonts w:cs="Arial"/>
          <w:b/>
        </w:rPr>
        <w:lastRenderedPageBreak/>
        <w:t>5.</w:t>
      </w:r>
      <w:r w:rsidR="000D152D" w:rsidRPr="003006D9">
        <w:rPr>
          <w:rFonts w:cs="Arial"/>
          <w:b/>
        </w:rPr>
        <w:t>2.8.</w:t>
      </w:r>
      <w:r w:rsidRPr="003006D9">
        <w:rPr>
          <w:rFonts w:cs="Arial"/>
        </w:rPr>
        <w:t xml:space="preserve"> </w:t>
      </w:r>
      <w:r w:rsidR="00E811A3" w:rsidRPr="003006D9">
        <w:rPr>
          <w:rFonts w:cs="Arial"/>
        </w:rPr>
        <w:t xml:space="preserve">A través del </w:t>
      </w:r>
      <w:r w:rsidRPr="003006D9">
        <w:rPr>
          <w:rFonts w:cs="Arial"/>
        </w:rPr>
        <w:t>oficio radicado el 5 de noviembre de 2010, la gerencia del ICA propuso un plazo adicional de 90 d</w:t>
      </w:r>
      <w:r w:rsidR="00997C9F" w:rsidRPr="003006D9">
        <w:rPr>
          <w:rFonts w:cs="Arial"/>
        </w:rPr>
        <w:t>í</w:t>
      </w:r>
      <w:r w:rsidRPr="003006D9">
        <w:rPr>
          <w:rFonts w:cs="Arial"/>
        </w:rPr>
        <w:t xml:space="preserve">as, atendiendo a que </w:t>
      </w:r>
      <w:r w:rsidR="00EB056A" w:rsidRPr="003006D9">
        <w:rPr>
          <w:rFonts w:cs="Arial"/>
        </w:rPr>
        <w:t xml:space="preserve">después de </w:t>
      </w:r>
      <w:r w:rsidRPr="003006D9">
        <w:rPr>
          <w:rFonts w:cs="Arial"/>
        </w:rPr>
        <w:t>revisada la docume</w:t>
      </w:r>
      <w:r w:rsidR="00A676FA" w:rsidRPr="003006D9">
        <w:rPr>
          <w:rFonts w:cs="Arial"/>
        </w:rPr>
        <w:t>n</w:t>
      </w:r>
      <w:r w:rsidRPr="003006D9">
        <w:rPr>
          <w:rFonts w:cs="Arial"/>
        </w:rPr>
        <w:t xml:space="preserve">tación entregada por </w:t>
      </w:r>
      <w:r w:rsidR="0075308D" w:rsidRPr="003006D9">
        <w:rPr>
          <w:rFonts w:cs="Arial"/>
        </w:rPr>
        <w:t>el grupo de gestión contractual</w:t>
      </w:r>
      <w:r w:rsidR="00EB056A" w:rsidRPr="003006D9">
        <w:rPr>
          <w:rFonts w:cs="Arial"/>
        </w:rPr>
        <w:t>,</w:t>
      </w:r>
      <w:r w:rsidR="0075308D" w:rsidRPr="003006D9">
        <w:rPr>
          <w:rFonts w:cs="Arial"/>
        </w:rPr>
        <w:t xml:space="preserve"> </w:t>
      </w:r>
      <w:r w:rsidRPr="003006D9">
        <w:rPr>
          <w:rFonts w:cs="Arial"/>
        </w:rPr>
        <w:t>se encontraron anomal</w:t>
      </w:r>
      <w:r w:rsidR="00A676FA" w:rsidRPr="003006D9">
        <w:rPr>
          <w:rFonts w:cs="Arial"/>
        </w:rPr>
        <w:t xml:space="preserve">ías que habían sido informadas a la Contraloría General de la </w:t>
      </w:r>
      <w:r w:rsidR="00E811A3" w:rsidRPr="003006D9">
        <w:rPr>
          <w:rFonts w:cs="Arial"/>
        </w:rPr>
        <w:t>R</w:t>
      </w:r>
      <w:r w:rsidR="00A676FA" w:rsidRPr="003006D9">
        <w:rPr>
          <w:rFonts w:cs="Arial"/>
        </w:rPr>
        <w:t>epública</w:t>
      </w:r>
      <w:r w:rsidR="0075308D" w:rsidRPr="003006D9">
        <w:rPr>
          <w:rFonts w:cs="Arial"/>
        </w:rPr>
        <w:t>,</w:t>
      </w:r>
      <w:r w:rsidR="00A676FA" w:rsidRPr="003006D9">
        <w:rPr>
          <w:rFonts w:cs="Arial"/>
        </w:rPr>
        <w:t xml:space="preserve"> en comunicación cuya copia se le adjuntó </w:t>
      </w:r>
      <w:r w:rsidR="008C13D2" w:rsidRPr="003006D9">
        <w:rPr>
          <w:rFonts w:cs="Arial"/>
        </w:rPr>
        <w:t xml:space="preserve">en su oportunidad </w:t>
      </w:r>
      <w:r w:rsidR="00A676FA" w:rsidRPr="003006D9">
        <w:rPr>
          <w:rFonts w:cs="Arial"/>
        </w:rPr>
        <w:t xml:space="preserve">a </w:t>
      </w:r>
      <w:r w:rsidR="008C13D2" w:rsidRPr="003006D9">
        <w:rPr>
          <w:rFonts w:cs="Arial"/>
        </w:rPr>
        <w:t>FEDEPALMA</w:t>
      </w:r>
      <w:r w:rsidR="00A676FA" w:rsidRPr="003006D9">
        <w:rPr>
          <w:rFonts w:cs="Arial"/>
        </w:rPr>
        <w:t xml:space="preserve">. </w:t>
      </w:r>
      <w:r w:rsidRPr="003006D9">
        <w:rPr>
          <w:rFonts w:cs="Arial"/>
        </w:rPr>
        <w:t>Ad</w:t>
      </w:r>
      <w:r w:rsidR="00A676FA" w:rsidRPr="003006D9">
        <w:rPr>
          <w:rFonts w:cs="Arial"/>
        </w:rPr>
        <w:t>i</w:t>
      </w:r>
      <w:r w:rsidRPr="003006D9">
        <w:rPr>
          <w:rFonts w:cs="Arial"/>
        </w:rPr>
        <w:t>cionalmente</w:t>
      </w:r>
      <w:r w:rsidR="00EB056A" w:rsidRPr="003006D9">
        <w:rPr>
          <w:rFonts w:cs="Arial"/>
        </w:rPr>
        <w:t>,</w:t>
      </w:r>
      <w:r w:rsidRPr="003006D9">
        <w:rPr>
          <w:rFonts w:cs="Arial"/>
        </w:rPr>
        <w:t xml:space="preserve"> </w:t>
      </w:r>
      <w:r w:rsidR="0075308D" w:rsidRPr="003006D9">
        <w:rPr>
          <w:rFonts w:cs="Arial"/>
        </w:rPr>
        <w:t xml:space="preserve">el ICA </w:t>
      </w:r>
      <w:r w:rsidRPr="003006D9">
        <w:rPr>
          <w:rFonts w:cs="Arial"/>
        </w:rPr>
        <w:t>informó que dentro de este t</w:t>
      </w:r>
      <w:r w:rsidR="00A676FA" w:rsidRPr="003006D9">
        <w:rPr>
          <w:rFonts w:cs="Arial"/>
        </w:rPr>
        <w:t xml:space="preserve">érmino se realizaría un nuevo avalúo. </w:t>
      </w:r>
    </w:p>
    <w:p w:rsidR="00A676FA" w:rsidRPr="003006D9" w:rsidRDefault="00A676FA" w:rsidP="0090169C">
      <w:pPr>
        <w:pStyle w:val="Continuarlista2"/>
        <w:ind w:left="0"/>
        <w:rPr>
          <w:rFonts w:cs="Arial"/>
        </w:rPr>
      </w:pPr>
    </w:p>
    <w:p w:rsidR="001A3D54" w:rsidRPr="003006D9" w:rsidRDefault="00A676FA" w:rsidP="0090169C">
      <w:pPr>
        <w:pStyle w:val="Continuarlista2"/>
        <w:ind w:left="0"/>
        <w:rPr>
          <w:rFonts w:cs="Arial"/>
        </w:rPr>
      </w:pPr>
      <w:r w:rsidRPr="003006D9">
        <w:rPr>
          <w:rFonts w:cs="Arial"/>
          <w:b/>
        </w:rPr>
        <w:t>5.</w:t>
      </w:r>
      <w:r w:rsidR="000D152D" w:rsidRPr="003006D9">
        <w:rPr>
          <w:rFonts w:cs="Arial"/>
          <w:b/>
        </w:rPr>
        <w:t>2.9.</w:t>
      </w:r>
      <w:r w:rsidRPr="003006D9">
        <w:rPr>
          <w:rFonts w:cs="Arial"/>
        </w:rPr>
        <w:t xml:space="preserve"> El nuevo avalúo</w:t>
      </w:r>
      <w:r w:rsidR="00AE60BD" w:rsidRPr="003006D9">
        <w:rPr>
          <w:rFonts w:cs="Arial"/>
        </w:rPr>
        <w:t>, realizado por el Instituto Geográfico Agustín Codazzi</w:t>
      </w:r>
      <w:r w:rsidRPr="003006D9">
        <w:rPr>
          <w:rFonts w:cs="Arial"/>
        </w:rPr>
        <w:t xml:space="preserve"> </w:t>
      </w:r>
      <w:r w:rsidR="00EB056A" w:rsidRPr="003006D9">
        <w:rPr>
          <w:rFonts w:cs="Arial"/>
        </w:rPr>
        <w:t>–</w:t>
      </w:r>
      <w:r w:rsidR="008C13D2" w:rsidRPr="003006D9">
        <w:rPr>
          <w:rFonts w:cs="Arial"/>
        </w:rPr>
        <w:t>I</w:t>
      </w:r>
      <w:r w:rsidR="005B79C1" w:rsidRPr="003006D9">
        <w:rPr>
          <w:rFonts w:cs="Arial"/>
        </w:rPr>
        <w:t>G</w:t>
      </w:r>
      <w:r w:rsidR="008C13D2" w:rsidRPr="003006D9">
        <w:rPr>
          <w:rFonts w:cs="Arial"/>
        </w:rPr>
        <w:t>AG</w:t>
      </w:r>
      <w:r w:rsidR="00EB056A" w:rsidRPr="003006D9">
        <w:rPr>
          <w:rFonts w:cs="Arial"/>
        </w:rPr>
        <w:t>-</w:t>
      </w:r>
      <w:r w:rsidR="008C13D2" w:rsidRPr="003006D9">
        <w:rPr>
          <w:rFonts w:cs="Arial"/>
        </w:rPr>
        <w:t xml:space="preserve"> </w:t>
      </w:r>
      <w:r w:rsidR="00AE60BD" w:rsidRPr="003006D9">
        <w:rPr>
          <w:rFonts w:cs="Arial"/>
        </w:rPr>
        <w:t xml:space="preserve">el 27 de diciembre de 2010, </w:t>
      </w:r>
      <w:r w:rsidRPr="003006D9">
        <w:rPr>
          <w:rFonts w:cs="Arial"/>
        </w:rPr>
        <w:t xml:space="preserve">arrojó la </w:t>
      </w:r>
      <w:r w:rsidR="001A3D54" w:rsidRPr="003006D9">
        <w:rPr>
          <w:rFonts w:cs="Arial"/>
        </w:rPr>
        <w:t xml:space="preserve">suma de </w:t>
      </w:r>
      <w:r w:rsidR="00AE60BD" w:rsidRPr="003006D9">
        <w:rPr>
          <w:rFonts w:cs="Arial"/>
        </w:rPr>
        <w:t>$7.117</w:t>
      </w:r>
      <w:r w:rsidR="00E811A3" w:rsidRPr="003006D9">
        <w:rPr>
          <w:rFonts w:cs="Arial"/>
        </w:rPr>
        <w:t>’</w:t>
      </w:r>
      <w:r w:rsidR="00AE60BD" w:rsidRPr="003006D9">
        <w:rPr>
          <w:rFonts w:cs="Arial"/>
        </w:rPr>
        <w:t>023.619</w:t>
      </w:r>
      <w:r w:rsidR="001A3D54" w:rsidRPr="003006D9">
        <w:rPr>
          <w:rFonts w:cs="Arial"/>
        </w:rPr>
        <w:t>.</w:t>
      </w:r>
    </w:p>
    <w:p w:rsidR="001A3D54" w:rsidRPr="003006D9" w:rsidRDefault="001A3D54" w:rsidP="0090169C">
      <w:pPr>
        <w:pStyle w:val="Continuarlista2"/>
        <w:ind w:left="0"/>
        <w:rPr>
          <w:rFonts w:cs="Arial"/>
        </w:rPr>
      </w:pPr>
    </w:p>
    <w:p w:rsidR="001A3D54" w:rsidRPr="003006D9" w:rsidRDefault="001A3D54" w:rsidP="0090169C">
      <w:pPr>
        <w:pStyle w:val="Continuarlista2"/>
        <w:ind w:left="0"/>
        <w:rPr>
          <w:rFonts w:cs="Arial"/>
        </w:rPr>
      </w:pPr>
      <w:r w:rsidRPr="003006D9">
        <w:rPr>
          <w:rFonts w:cs="Arial"/>
          <w:b/>
        </w:rPr>
        <w:t>5.</w:t>
      </w:r>
      <w:r w:rsidR="000D152D" w:rsidRPr="003006D9">
        <w:rPr>
          <w:rFonts w:cs="Arial"/>
          <w:b/>
        </w:rPr>
        <w:t>2.10.</w:t>
      </w:r>
      <w:r w:rsidR="00E21A5A" w:rsidRPr="003006D9">
        <w:rPr>
          <w:rFonts w:cs="Arial"/>
          <w:b/>
        </w:rPr>
        <w:t xml:space="preserve"> </w:t>
      </w:r>
      <w:r w:rsidRPr="003006D9">
        <w:rPr>
          <w:rFonts w:cs="Arial"/>
        </w:rPr>
        <w:t xml:space="preserve">Dado que el valor </w:t>
      </w:r>
      <w:r w:rsidR="00EB056A" w:rsidRPr="003006D9">
        <w:rPr>
          <w:rFonts w:cs="Arial"/>
        </w:rPr>
        <w:t xml:space="preserve">que arrojó el nuevo </w:t>
      </w:r>
      <w:r w:rsidRPr="003006D9">
        <w:rPr>
          <w:rFonts w:cs="Arial"/>
        </w:rPr>
        <w:t>avalúo era inferior al valor de la adjudic</w:t>
      </w:r>
      <w:r w:rsidR="00E811A3" w:rsidRPr="003006D9">
        <w:rPr>
          <w:rFonts w:cs="Arial"/>
        </w:rPr>
        <w:t>ac</w:t>
      </w:r>
      <w:r w:rsidRPr="003006D9">
        <w:rPr>
          <w:rFonts w:cs="Arial"/>
        </w:rPr>
        <w:t xml:space="preserve">ión, </w:t>
      </w:r>
      <w:r w:rsidR="00A519B4" w:rsidRPr="003006D9">
        <w:rPr>
          <w:rFonts w:cs="Arial"/>
        </w:rPr>
        <w:t xml:space="preserve">mediante oficio de 14 de enero de 2011, </w:t>
      </w:r>
      <w:r w:rsidRPr="003006D9">
        <w:rPr>
          <w:rFonts w:cs="Arial"/>
        </w:rPr>
        <w:t xml:space="preserve">el ICA propuso a </w:t>
      </w:r>
      <w:r w:rsidR="008C13D2" w:rsidRPr="003006D9">
        <w:rPr>
          <w:rFonts w:cs="Arial"/>
        </w:rPr>
        <w:t>FEDEPA</w:t>
      </w:r>
      <w:r w:rsidR="0001520C" w:rsidRPr="003006D9">
        <w:rPr>
          <w:rFonts w:cs="Arial"/>
        </w:rPr>
        <w:t>Ll</w:t>
      </w:r>
      <w:r w:rsidR="008C13D2" w:rsidRPr="003006D9">
        <w:rPr>
          <w:rFonts w:cs="Arial"/>
        </w:rPr>
        <w:t>MA</w:t>
      </w:r>
      <w:r w:rsidRPr="003006D9">
        <w:rPr>
          <w:rFonts w:cs="Arial"/>
        </w:rPr>
        <w:t xml:space="preserve"> dejar sin efectos la promesa de compraventa, con el propósito de impedir un detrimento patrimonial</w:t>
      </w:r>
      <w:r w:rsidR="00E811A3" w:rsidRPr="003006D9">
        <w:rPr>
          <w:rFonts w:cs="Arial"/>
        </w:rPr>
        <w:t>.</w:t>
      </w:r>
    </w:p>
    <w:p w:rsidR="001A3D54" w:rsidRPr="003006D9" w:rsidRDefault="001A3D54" w:rsidP="0090169C">
      <w:pPr>
        <w:pStyle w:val="Continuarlista2"/>
        <w:ind w:left="0"/>
        <w:rPr>
          <w:rFonts w:cs="Arial"/>
        </w:rPr>
      </w:pPr>
    </w:p>
    <w:p w:rsidR="005C38BD" w:rsidRPr="003006D9" w:rsidRDefault="00A519B4" w:rsidP="0090169C">
      <w:pPr>
        <w:pStyle w:val="Continuarlista2"/>
        <w:ind w:left="0"/>
        <w:rPr>
          <w:rFonts w:cs="Arial"/>
        </w:rPr>
      </w:pPr>
      <w:r w:rsidRPr="003006D9">
        <w:rPr>
          <w:rFonts w:cs="Arial"/>
          <w:b/>
        </w:rPr>
        <w:t>5.</w:t>
      </w:r>
      <w:r w:rsidR="000D152D" w:rsidRPr="003006D9">
        <w:rPr>
          <w:rFonts w:cs="Arial"/>
          <w:b/>
        </w:rPr>
        <w:t>2.11.</w:t>
      </w:r>
      <w:r w:rsidRPr="003006D9">
        <w:rPr>
          <w:rFonts w:cs="Arial"/>
        </w:rPr>
        <w:t xml:space="preserve"> El 8 de febrero de 2011, la Contralor</w:t>
      </w:r>
      <w:r w:rsidR="004056CF" w:rsidRPr="003006D9">
        <w:rPr>
          <w:rFonts w:cs="Arial"/>
        </w:rPr>
        <w:t>í</w:t>
      </w:r>
      <w:r w:rsidRPr="003006D9">
        <w:rPr>
          <w:rFonts w:cs="Arial"/>
        </w:rPr>
        <w:t>a General de la República dio traslado al ICA de l</w:t>
      </w:r>
      <w:r w:rsidR="008D19F9" w:rsidRPr="003006D9">
        <w:rPr>
          <w:rFonts w:cs="Arial"/>
        </w:rPr>
        <w:t xml:space="preserve">os hallazgos </w:t>
      </w:r>
      <w:r w:rsidRPr="003006D9">
        <w:rPr>
          <w:rFonts w:cs="Arial"/>
        </w:rPr>
        <w:t>encontrad</w:t>
      </w:r>
      <w:r w:rsidR="008D19F9" w:rsidRPr="003006D9">
        <w:rPr>
          <w:rFonts w:cs="Arial"/>
        </w:rPr>
        <w:t>o</w:t>
      </w:r>
      <w:r w:rsidRPr="003006D9">
        <w:rPr>
          <w:rFonts w:cs="Arial"/>
        </w:rPr>
        <w:t xml:space="preserve">s en </w:t>
      </w:r>
      <w:r w:rsidR="008C13D2" w:rsidRPr="003006D9">
        <w:rPr>
          <w:rFonts w:cs="Arial"/>
        </w:rPr>
        <w:t xml:space="preserve">la revisión del </w:t>
      </w:r>
      <w:r w:rsidRPr="003006D9">
        <w:rPr>
          <w:rFonts w:cs="Arial"/>
        </w:rPr>
        <w:t>procedimiento de selección abreviada</w:t>
      </w:r>
      <w:r w:rsidR="00545F9B" w:rsidRPr="003006D9">
        <w:rPr>
          <w:rFonts w:cs="Arial"/>
        </w:rPr>
        <w:t xml:space="preserve">. Esa entidad </w:t>
      </w:r>
      <w:r w:rsidRPr="003006D9">
        <w:rPr>
          <w:rFonts w:cs="Arial"/>
        </w:rPr>
        <w:t>advirtió</w:t>
      </w:r>
      <w:r w:rsidR="008D19F9" w:rsidRPr="003006D9">
        <w:rPr>
          <w:rFonts w:cs="Arial"/>
        </w:rPr>
        <w:t>, entre otras irregularidades,</w:t>
      </w:r>
      <w:r w:rsidRPr="003006D9">
        <w:rPr>
          <w:rFonts w:cs="Arial"/>
        </w:rPr>
        <w:t xml:space="preserve"> </w:t>
      </w:r>
      <w:r w:rsidR="00B7230C" w:rsidRPr="003006D9">
        <w:rPr>
          <w:rFonts w:cs="Arial"/>
        </w:rPr>
        <w:t xml:space="preserve">la incorrecta aplicación de la normativa incorporada en el pliego de condiciones, por  </w:t>
      </w:r>
      <w:r w:rsidR="00545F9B" w:rsidRPr="003006D9">
        <w:rPr>
          <w:rFonts w:cs="Arial"/>
        </w:rPr>
        <w:t xml:space="preserve">no haber observado el </w:t>
      </w:r>
      <w:r w:rsidR="00B7230C" w:rsidRPr="003006D9">
        <w:rPr>
          <w:rFonts w:cs="Arial"/>
        </w:rPr>
        <w:t>Decreto 4444</w:t>
      </w:r>
      <w:r w:rsidR="00545F9B" w:rsidRPr="003006D9">
        <w:rPr>
          <w:rFonts w:cs="Arial"/>
        </w:rPr>
        <w:t xml:space="preserve"> de 2008; </w:t>
      </w:r>
      <w:r w:rsidR="004056CF" w:rsidRPr="003006D9">
        <w:rPr>
          <w:rFonts w:cs="Arial"/>
        </w:rPr>
        <w:t>por haber llevado a cabo la subasta con un solo proponente en violación del citado decreto y de las reglas de la subasta inversa contenidas en el Decreto 2474 de 2008</w:t>
      </w:r>
      <w:r w:rsidR="00DA5728" w:rsidRPr="003006D9">
        <w:rPr>
          <w:rFonts w:cs="Arial"/>
        </w:rPr>
        <w:t xml:space="preserve">; y </w:t>
      </w:r>
      <w:r w:rsidR="00B7230C" w:rsidRPr="003006D9">
        <w:rPr>
          <w:rFonts w:cs="Arial"/>
        </w:rPr>
        <w:t>por incluir en el plan de enajenaci</w:t>
      </w:r>
      <w:r w:rsidR="00DA5728" w:rsidRPr="003006D9">
        <w:rPr>
          <w:rFonts w:cs="Arial"/>
        </w:rPr>
        <w:t>ón</w:t>
      </w:r>
      <w:r w:rsidR="00B7230C" w:rsidRPr="003006D9">
        <w:rPr>
          <w:rFonts w:cs="Arial"/>
        </w:rPr>
        <w:t xml:space="preserve"> onerosa un inmueble dedicado a propósitos misionales</w:t>
      </w:r>
      <w:r w:rsidR="00DA5728" w:rsidRPr="003006D9">
        <w:rPr>
          <w:rFonts w:cs="Arial"/>
        </w:rPr>
        <w:t xml:space="preserve">, toda vez que en el predio se encontraba un banco de germoplasma. </w:t>
      </w:r>
    </w:p>
    <w:p w:rsidR="005C38BD" w:rsidRPr="003006D9" w:rsidRDefault="005C38BD" w:rsidP="0090169C">
      <w:pPr>
        <w:pStyle w:val="Continuarlista2"/>
        <w:ind w:left="0"/>
        <w:rPr>
          <w:rFonts w:cs="Arial"/>
        </w:rPr>
      </w:pPr>
    </w:p>
    <w:p w:rsidR="00DA5728" w:rsidRPr="003006D9" w:rsidRDefault="0075308D" w:rsidP="0090169C">
      <w:pPr>
        <w:pStyle w:val="Continuarlista2"/>
        <w:ind w:left="0"/>
        <w:rPr>
          <w:rFonts w:cs="Arial"/>
        </w:rPr>
      </w:pPr>
      <w:r w:rsidRPr="003006D9">
        <w:rPr>
          <w:rFonts w:cs="Arial"/>
        </w:rPr>
        <w:t>Según narró el ICA, l</w:t>
      </w:r>
      <w:r w:rsidR="00DA5728" w:rsidRPr="003006D9">
        <w:rPr>
          <w:rFonts w:cs="Arial"/>
        </w:rPr>
        <w:t xml:space="preserve">a Contraloría </w:t>
      </w:r>
      <w:r w:rsidR="00E811A3" w:rsidRPr="003006D9">
        <w:rPr>
          <w:rFonts w:cs="Arial"/>
        </w:rPr>
        <w:t>General de la República observó</w:t>
      </w:r>
      <w:r w:rsidR="00DA5728" w:rsidRPr="003006D9">
        <w:rPr>
          <w:rFonts w:cs="Arial"/>
        </w:rPr>
        <w:t xml:space="preserve"> que no </w:t>
      </w:r>
      <w:r w:rsidR="00E811A3" w:rsidRPr="003006D9">
        <w:rPr>
          <w:rFonts w:cs="Arial"/>
        </w:rPr>
        <w:t xml:space="preserve">se </w:t>
      </w:r>
      <w:r w:rsidR="00DA5728" w:rsidRPr="003006D9">
        <w:rPr>
          <w:rFonts w:cs="Arial"/>
        </w:rPr>
        <w:t>había causado el detrimento en atención a que la venta no se había solemnizado.</w:t>
      </w:r>
      <w:r w:rsidR="005808CC" w:rsidRPr="003006D9">
        <w:rPr>
          <w:rFonts w:cs="Arial"/>
        </w:rPr>
        <w:t xml:space="preserve"> Igualmente </w:t>
      </w:r>
      <w:r w:rsidR="00811E24" w:rsidRPr="003006D9">
        <w:rPr>
          <w:rFonts w:cs="Arial"/>
        </w:rPr>
        <w:t xml:space="preserve">observó </w:t>
      </w:r>
      <w:r w:rsidR="005808CC" w:rsidRPr="003006D9">
        <w:rPr>
          <w:rFonts w:cs="Arial"/>
        </w:rPr>
        <w:t>una presunta incursión en el tipo penal de la celebración indebida de c</w:t>
      </w:r>
      <w:r w:rsidR="00811E24" w:rsidRPr="003006D9">
        <w:rPr>
          <w:rFonts w:cs="Arial"/>
        </w:rPr>
        <w:t>o</w:t>
      </w:r>
      <w:r w:rsidR="005808CC" w:rsidRPr="003006D9">
        <w:rPr>
          <w:rFonts w:cs="Arial"/>
        </w:rPr>
        <w:t>ntratos</w:t>
      </w:r>
      <w:r w:rsidR="00811E24" w:rsidRPr="003006D9">
        <w:rPr>
          <w:rFonts w:cs="Arial"/>
        </w:rPr>
        <w:t xml:space="preserve"> </w:t>
      </w:r>
      <w:r w:rsidR="005808CC" w:rsidRPr="003006D9">
        <w:rPr>
          <w:rFonts w:cs="Arial"/>
        </w:rPr>
        <w:t>y optó por remitir copias a la Fiscalía General de la Nación</w:t>
      </w:r>
      <w:r w:rsidR="00811E24" w:rsidRPr="003006D9">
        <w:rPr>
          <w:rFonts w:cs="Arial"/>
        </w:rPr>
        <w:t>.</w:t>
      </w:r>
    </w:p>
    <w:p w:rsidR="005808CC" w:rsidRPr="003006D9" w:rsidRDefault="005808CC" w:rsidP="0090169C">
      <w:pPr>
        <w:pStyle w:val="Continuarlista2"/>
        <w:ind w:left="0"/>
        <w:rPr>
          <w:rFonts w:cs="Arial"/>
        </w:rPr>
      </w:pPr>
    </w:p>
    <w:p w:rsidR="000D152D" w:rsidRPr="003006D9" w:rsidRDefault="000D152D" w:rsidP="0090169C">
      <w:pPr>
        <w:pStyle w:val="Continuarlista2"/>
        <w:ind w:left="0"/>
        <w:rPr>
          <w:rFonts w:cs="Arial"/>
          <w:b/>
        </w:rPr>
      </w:pPr>
      <w:r w:rsidRPr="003006D9">
        <w:rPr>
          <w:rFonts w:cs="Arial"/>
          <w:b/>
        </w:rPr>
        <w:t xml:space="preserve">5.3. Concepto de violación </w:t>
      </w:r>
      <w:r w:rsidR="00E811A3" w:rsidRPr="003006D9">
        <w:rPr>
          <w:rFonts w:cs="Arial"/>
          <w:b/>
        </w:rPr>
        <w:t xml:space="preserve">según </w:t>
      </w:r>
      <w:r w:rsidRPr="003006D9">
        <w:rPr>
          <w:rFonts w:cs="Arial"/>
          <w:b/>
        </w:rPr>
        <w:t xml:space="preserve">la demanda de reconvención </w:t>
      </w:r>
    </w:p>
    <w:p w:rsidR="000D152D" w:rsidRPr="003006D9" w:rsidRDefault="000D152D" w:rsidP="0090169C">
      <w:pPr>
        <w:pStyle w:val="Continuarlista2"/>
        <w:ind w:left="0"/>
        <w:rPr>
          <w:rFonts w:cs="Arial"/>
        </w:rPr>
      </w:pPr>
    </w:p>
    <w:p w:rsidR="00545F9B" w:rsidRPr="003006D9" w:rsidRDefault="005808CC" w:rsidP="0090169C">
      <w:pPr>
        <w:pStyle w:val="Continuarlista2"/>
        <w:ind w:left="0"/>
        <w:rPr>
          <w:rFonts w:cs="Arial"/>
        </w:rPr>
      </w:pPr>
      <w:r w:rsidRPr="003006D9">
        <w:rPr>
          <w:rFonts w:cs="Arial"/>
        </w:rPr>
        <w:t>En la fundamentación jurídica de las pretensiones el ICA advirtió</w:t>
      </w:r>
      <w:r w:rsidR="00E365E9" w:rsidRPr="003006D9">
        <w:rPr>
          <w:rFonts w:cs="Arial"/>
        </w:rPr>
        <w:t xml:space="preserve"> </w:t>
      </w:r>
      <w:r w:rsidRPr="003006D9">
        <w:rPr>
          <w:rFonts w:cs="Arial"/>
        </w:rPr>
        <w:t>la ilegalidad en el p</w:t>
      </w:r>
      <w:r w:rsidR="00D71C3D" w:rsidRPr="003006D9">
        <w:rPr>
          <w:rFonts w:cs="Arial"/>
        </w:rPr>
        <w:t>r</w:t>
      </w:r>
      <w:r w:rsidRPr="003006D9">
        <w:rPr>
          <w:rFonts w:cs="Arial"/>
        </w:rPr>
        <w:t>ecio m</w:t>
      </w:r>
      <w:r w:rsidR="00811E24" w:rsidRPr="003006D9">
        <w:rPr>
          <w:rFonts w:cs="Arial"/>
        </w:rPr>
        <w:t>ínimo de venta</w:t>
      </w:r>
      <w:r w:rsidR="004B7439" w:rsidRPr="003006D9">
        <w:rPr>
          <w:rFonts w:cs="Arial"/>
        </w:rPr>
        <w:t>, la</w:t>
      </w:r>
      <w:r w:rsidR="00545F9B" w:rsidRPr="003006D9">
        <w:rPr>
          <w:rFonts w:cs="Arial"/>
        </w:rPr>
        <w:t xml:space="preserve"> </w:t>
      </w:r>
      <w:r w:rsidR="00E365E9" w:rsidRPr="003006D9">
        <w:rPr>
          <w:rFonts w:cs="Arial"/>
        </w:rPr>
        <w:t>ilegalidad de la subasta</w:t>
      </w:r>
      <w:r w:rsidR="004B7439" w:rsidRPr="003006D9">
        <w:rPr>
          <w:rFonts w:cs="Arial"/>
        </w:rPr>
        <w:t xml:space="preserve"> pública, la nulidad absoluta de la promesa de compraventa por contener un objeto ilícito al </w:t>
      </w:r>
      <w:r w:rsidR="00E811A3" w:rsidRPr="003006D9">
        <w:rPr>
          <w:rFonts w:cs="Arial"/>
        </w:rPr>
        <w:t xml:space="preserve">acordar la venta de </w:t>
      </w:r>
      <w:r w:rsidR="004B7439" w:rsidRPr="003006D9">
        <w:rPr>
          <w:rFonts w:cs="Arial"/>
        </w:rPr>
        <w:t xml:space="preserve">un </w:t>
      </w:r>
      <w:r w:rsidR="004B7439" w:rsidRPr="003006D9">
        <w:rPr>
          <w:rFonts w:cs="Arial"/>
        </w:rPr>
        <w:lastRenderedPageBreak/>
        <w:t>bien inenajenable</w:t>
      </w:r>
      <w:r w:rsidR="00A82D5A" w:rsidRPr="003006D9">
        <w:rPr>
          <w:rFonts w:cs="Arial"/>
        </w:rPr>
        <w:t xml:space="preserve"> y porque la </w:t>
      </w:r>
      <w:r w:rsidR="00E811A3" w:rsidRPr="003006D9">
        <w:rPr>
          <w:rFonts w:cs="Arial"/>
        </w:rPr>
        <w:t xml:space="preserve">transferencia del </w:t>
      </w:r>
      <w:r w:rsidR="00A82D5A" w:rsidRPr="003006D9">
        <w:rPr>
          <w:rFonts w:cs="Arial"/>
        </w:rPr>
        <w:t xml:space="preserve">predio configuraría un detrimento patrimonial. </w:t>
      </w:r>
    </w:p>
    <w:p w:rsidR="004B7439" w:rsidRPr="003006D9" w:rsidRDefault="004B7439" w:rsidP="0090169C">
      <w:pPr>
        <w:pStyle w:val="Continuarlista2"/>
        <w:ind w:left="0"/>
        <w:rPr>
          <w:rFonts w:cs="Arial"/>
        </w:rPr>
      </w:pPr>
    </w:p>
    <w:p w:rsidR="00CB32CA" w:rsidRPr="003006D9" w:rsidRDefault="00AC7B2E" w:rsidP="0090169C">
      <w:pPr>
        <w:pStyle w:val="Continuarlista2"/>
        <w:ind w:left="0"/>
        <w:rPr>
          <w:rFonts w:cs="Arial"/>
        </w:rPr>
      </w:pPr>
      <w:r w:rsidRPr="003006D9">
        <w:rPr>
          <w:rFonts w:cs="Arial"/>
        </w:rPr>
        <w:t>E</w:t>
      </w:r>
      <w:r w:rsidR="004B7439" w:rsidRPr="003006D9">
        <w:rPr>
          <w:rFonts w:cs="Arial"/>
        </w:rPr>
        <w:t xml:space="preserve">l ICA detalló que </w:t>
      </w:r>
      <w:r w:rsidR="00E811A3" w:rsidRPr="003006D9">
        <w:rPr>
          <w:rFonts w:cs="Arial"/>
        </w:rPr>
        <w:t>su</w:t>
      </w:r>
      <w:r w:rsidR="005A42C7" w:rsidRPr="003006D9">
        <w:rPr>
          <w:rFonts w:cs="Arial"/>
        </w:rPr>
        <w:t xml:space="preserve"> oficina jurídica había advertido </w:t>
      </w:r>
      <w:r w:rsidR="004030B8" w:rsidRPr="003006D9">
        <w:rPr>
          <w:rFonts w:cs="Arial"/>
        </w:rPr>
        <w:t xml:space="preserve">que debía descontar de la adjudicación las áreas ocupadas por el banco de germoplasma, las transferidas a título gratuito </w:t>
      </w:r>
      <w:r w:rsidR="00CB32CA" w:rsidRPr="003006D9">
        <w:rPr>
          <w:rFonts w:cs="Arial"/>
        </w:rPr>
        <w:t>al municipio de Tumaco</w:t>
      </w:r>
      <w:r w:rsidR="004030B8" w:rsidRPr="003006D9">
        <w:rPr>
          <w:rFonts w:cs="Arial"/>
        </w:rPr>
        <w:t xml:space="preserve"> y las </w:t>
      </w:r>
      <w:r w:rsidR="00CB32CA" w:rsidRPr="003006D9">
        <w:rPr>
          <w:rFonts w:cs="Arial"/>
        </w:rPr>
        <w:t xml:space="preserve">que ocupaba </w:t>
      </w:r>
      <w:r w:rsidR="00E811A3" w:rsidRPr="003006D9">
        <w:rPr>
          <w:rFonts w:cs="Arial"/>
        </w:rPr>
        <w:t>la</w:t>
      </w:r>
      <w:r w:rsidR="00CB32CA" w:rsidRPr="003006D9">
        <w:rPr>
          <w:rFonts w:cs="Arial"/>
        </w:rPr>
        <w:t xml:space="preserve"> planta de biodisel</w:t>
      </w:r>
      <w:r w:rsidR="001B7B19" w:rsidRPr="003006D9">
        <w:rPr>
          <w:rFonts w:cs="Arial"/>
        </w:rPr>
        <w:t xml:space="preserve"> de propiedad de CORPOICA</w:t>
      </w:r>
      <w:r w:rsidR="001B7B19" w:rsidRPr="003006D9">
        <w:rPr>
          <w:rStyle w:val="Refdenotaalpie"/>
          <w:rFonts w:cs="Arial"/>
        </w:rPr>
        <w:footnoteReference w:id="9"/>
      </w:r>
      <w:r w:rsidR="00CB32CA" w:rsidRPr="003006D9">
        <w:rPr>
          <w:rFonts w:cs="Arial"/>
        </w:rPr>
        <w:t xml:space="preserve">, lo cual no se tuvo en cuenta y, por el contrario, dentro de la anotación de la ficha 1 se hizo referencia al banco de germoplasma. </w:t>
      </w:r>
    </w:p>
    <w:p w:rsidR="002E0218" w:rsidRPr="003006D9" w:rsidRDefault="002E0218" w:rsidP="0090169C">
      <w:pPr>
        <w:pStyle w:val="Continuarlista2"/>
        <w:ind w:left="0"/>
        <w:rPr>
          <w:rFonts w:cs="Arial"/>
        </w:rPr>
      </w:pPr>
    </w:p>
    <w:p w:rsidR="00E811A3" w:rsidRPr="003006D9" w:rsidRDefault="002E0218" w:rsidP="0090169C">
      <w:pPr>
        <w:pStyle w:val="Continuarlista2"/>
        <w:ind w:left="0"/>
        <w:rPr>
          <w:rFonts w:cs="Arial"/>
        </w:rPr>
      </w:pPr>
      <w:r w:rsidRPr="003006D9">
        <w:rPr>
          <w:rFonts w:cs="Arial"/>
        </w:rPr>
        <w:t>Relacionó la regulación sobre los recursos germopl</w:t>
      </w:r>
      <w:r w:rsidR="000D152D" w:rsidRPr="003006D9">
        <w:rPr>
          <w:rFonts w:cs="Arial"/>
        </w:rPr>
        <w:t>á</w:t>
      </w:r>
      <w:r w:rsidRPr="003006D9">
        <w:rPr>
          <w:rFonts w:cs="Arial"/>
        </w:rPr>
        <w:t xml:space="preserve">smicos </w:t>
      </w:r>
      <w:r w:rsidR="00EE1009" w:rsidRPr="003006D9">
        <w:rPr>
          <w:rFonts w:cs="Arial"/>
        </w:rPr>
        <w:t>contenida en la resolución 3414 de 1992 expedida por el ICA</w:t>
      </w:r>
      <w:r w:rsidR="00DB0999" w:rsidRPr="003006D9">
        <w:rPr>
          <w:rStyle w:val="Refdenotaalpie"/>
          <w:rFonts w:cs="Arial"/>
        </w:rPr>
        <w:footnoteReference w:id="10"/>
      </w:r>
      <w:r w:rsidR="00EE1009" w:rsidRPr="003006D9">
        <w:rPr>
          <w:rFonts w:cs="Arial"/>
        </w:rPr>
        <w:t xml:space="preserve"> y </w:t>
      </w:r>
      <w:r w:rsidR="00E811A3" w:rsidRPr="003006D9">
        <w:rPr>
          <w:rFonts w:cs="Arial"/>
        </w:rPr>
        <w:t xml:space="preserve">destacó </w:t>
      </w:r>
      <w:r w:rsidR="00EE1009" w:rsidRPr="003006D9">
        <w:rPr>
          <w:rFonts w:cs="Arial"/>
        </w:rPr>
        <w:t xml:space="preserve">la responsabilidad </w:t>
      </w:r>
      <w:r w:rsidR="00DB0999" w:rsidRPr="003006D9">
        <w:rPr>
          <w:rFonts w:cs="Arial"/>
        </w:rPr>
        <w:t xml:space="preserve">del </w:t>
      </w:r>
      <w:r w:rsidR="00EE1009" w:rsidRPr="003006D9">
        <w:rPr>
          <w:rFonts w:cs="Arial"/>
        </w:rPr>
        <w:t xml:space="preserve">ICA </w:t>
      </w:r>
      <w:r w:rsidR="00DB0999" w:rsidRPr="003006D9">
        <w:rPr>
          <w:rFonts w:cs="Arial"/>
        </w:rPr>
        <w:t>en</w:t>
      </w:r>
      <w:r w:rsidR="00EE1009" w:rsidRPr="003006D9">
        <w:rPr>
          <w:rFonts w:cs="Arial"/>
        </w:rPr>
        <w:t xml:space="preserve"> velar por los </w:t>
      </w:r>
      <w:r w:rsidR="008A7155" w:rsidRPr="003006D9">
        <w:rPr>
          <w:rFonts w:cs="Arial"/>
        </w:rPr>
        <w:t>r</w:t>
      </w:r>
      <w:r w:rsidR="00EE1009" w:rsidRPr="003006D9">
        <w:rPr>
          <w:rFonts w:cs="Arial"/>
        </w:rPr>
        <w:t>ecur</w:t>
      </w:r>
      <w:r w:rsidR="00AC7B2E" w:rsidRPr="003006D9">
        <w:rPr>
          <w:rFonts w:cs="Arial"/>
        </w:rPr>
        <w:t>s</w:t>
      </w:r>
      <w:r w:rsidR="00EE1009" w:rsidRPr="003006D9">
        <w:rPr>
          <w:rFonts w:cs="Arial"/>
        </w:rPr>
        <w:t>os gen</w:t>
      </w:r>
      <w:r w:rsidR="00AC7B2E" w:rsidRPr="003006D9">
        <w:rPr>
          <w:rFonts w:cs="Arial"/>
        </w:rPr>
        <w:t>é</w:t>
      </w:r>
      <w:r w:rsidR="00EE1009" w:rsidRPr="003006D9">
        <w:rPr>
          <w:rFonts w:cs="Arial"/>
        </w:rPr>
        <w:t>ticos que se encuentran en los bancos de germoplasma del sector oficial</w:t>
      </w:r>
      <w:r w:rsidR="00C726AE" w:rsidRPr="003006D9">
        <w:rPr>
          <w:rFonts w:cs="Arial"/>
        </w:rPr>
        <w:t xml:space="preserve">. </w:t>
      </w:r>
    </w:p>
    <w:p w:rsidR="00E811A3" w:rsidRPr="003006D9" w:rsidRDefault="00E811A3" w:rsidP="0090169C">
      <w:pPr>
        <w:pStyle w:val="Continuarlista2"/>
        <w:ind w:left="0"/>
        <w:rPr>
          <w:rFonts w:cs="Arial"/>
        </w:rPr>
      </w:pPr>
    </w:p>
    <w:p w:rsidR="00A82D5A" w:rsidRPr="003006D9" w:rsidRDefault="00E811A3" w:rsidP="0090169C">
      <w:pPr>
        <w:pStyle w:val="Continuarlista2"/>
        <w:ind w:left="0"/>
        <w:rPr>
          <w:rFonts w:cs="Arial"/>
        </w:rPr>
      </w:pPr>
      <w:r w:rsidRPr="003006D9">
        <w:rPr>
          <w:rFonts w:cs="Arial"/>
        </w:rPr>
        <w:t>Reseñó</w:t>
      </w:r>
      <w:r w:rsidR="00C726AE" w:rsidRPr="003006D9">
        <w:rPr>
          <w:rFonts w:cs="Arial"/>
        </w:rPr>
        <w:t xml:space="preserve"> que </w:t>
      </w:r>
      <w:r w:rsidR="008A7155" w:rsidRPr="003006D9">
        <w:rPr>
          <w:rFonts w:cs="Arial"/>
        </w:rPr>
        <w:t xml:space="preserve">en el predio </w:t>
      </w:r>
      <w:r w:rsidR="00C726AE" w:rsidRPr="003006D9">
        <w:rPr>
          <w:rFonts w:cs="Arial"/>
        </w:rPr>
        <w:t xml:space="preserve">El </w:t>
      </w:r>
      <w:r w:rsidR="008A7155" w:rsidRPr="003006D9">
        <w:rPr>
          <w:rFonts w:cs="Arial"/>
        </w:rPr>
        <w:t xml:space="preserve">Mira </w:t>
      </w:r>
      <w:r w:rsidR="00C726AE" w:rsidRPr="003006D9">
        <w:rPr>
          <w:rFonts w:cs="Arial"/>
        </w:rPr>
        <w:t xml:space="preserve">se encontraba un banco de germoplasma que </w:t>
      </w:r>
      <w:r w:rsidRPr="003006D9">
        <w:rPr>
          <w:rFonts w:cs="Arial"/>
        </w:rPr>
        <w:t xml:space="preserve">contenía </w:t>
      </w:r>
      <w:r w:rsidR="008A7155" w:rsidRPr="003006D9">
        <w:rPr>
          <w:rFonts w:cs="Arial"/>
        </w:rPr>
        <w:t>material vegetal de especies únicas en el país</w:t>
      </w:r>
      <w:r w:rsidR="00AC7B2E" w:rsidRPr="003006D9">
        <w:rPr>
          <w:rFonts w:cs="Arial"/>
        </w:rPr>
        <w:t xml:space="preserve">. </w:t>
      </w:r>
      <w:r w:rsidR="008A7155" w:rsidRPr="003006D9">
        <w:rPr>
          <w:rFonts w:cs="Arial"/>
        </w:rPr>
        <w:t xml:space="preserve">El ICA </w:t>
      </w:r>
      <w:r w:rsidR="00AC7B2E" w:rsidRPr="003006D9">
        <w:rPr>
          <w:rFonts w:cs="Arial"/>
        </w:rPr>
        <w:t xml:space="preserve">afirmó </w:t>
      </w:r>
      <w:r w:rsidR="008A7155" w:rsidRPr="003006D9">
        <w:rPr>
          <w:rFonts w:cs="Arial"/>
        </w:rPr>
        <w:t>que</w:t>
      </w:r>
      <w:r w:rsidR="00AC7B2E" w:rsidRPr="003006D9">
        <w:rPr>
          <w:rFonts w:cs="Arial"/>
        </w:rPr>
        <w:t xml:space="preserve"> e</w:t>
      </w:r>
      <w:r w:rsidR="008A7155" w:rsidRPr="003006D9">
        <w:rPr>
          <w:rFonts w:cs="Arial"/>
        </w:rPr>
        <w:t>se material era</w:t>
      </w:r>
      <w:r w:rsidR="00AC7B2E" w:rsidRPr="003006D9">
        <w:rPr>
          <w:rFonts w:cs="Arial"/>
        </w:rPr>
        <w:t xml:space="preserve"> </w:t>
      </w:r>
      <w:r w:rsidR="008A7155" w:rsidRPr="003006D9">
        <w:rPr>
          <w:rFonts w:cs="Arial"/>
        </w:rPr>
        <w:t xml:space="preserve">parte del patrimonio </w:t>
      </w:r>
      <w:r w:rsidR="00F97ED3" w:rsidRPr="003006D9">
        <w:rPr>
          <w:rFonts w:cs="Arial"/>
        </w:rPr>
        <w:t xml:space="preserve">cultural </w:t>
      </w:r>
      <w:r w:rsidR="00B02AD5" w:rsidRPr="003006D9">
        <w:rPr>
          <w:rFonts w:cs="Arial"/>
        </w:rPr>
        <w:t>y</w:t>
      </w:r>
      <w:r w:rsidR="00F97ED3" w:rsidRPr="003006D9">
        <w:rPr>
          <w:rFonts w:cs="Arial"/>
        </w:rPr>
        <w:t xml:space="preserve"> científico de propiedad de La Nación</w:t>
      </w:r>
      <w:r w:rsidR="008A7155" w:rsidRPr="003006D9">
        <w:rPr>
          <w:rFonts w:cs="Arial"/>
        </w:rPr>
        <w:t>, de conformidad con</w:t>
      </w:r>
      <w:r w:rsidR="00AC7B2E" w:rsidRPr="003006D9">
        <w:rPr>
          <w:rFonts w:cs="Arial"/>
        </w:rPr>
        <w:t xml:space="preserve"> </w:t>
      </w:r>
      <w:r w:rsidR="008A7155" w:rsidRPr="003006D9">
        <w:rPr>
          <w:rFonts w:cs="Arial"/>
        </w:rPr>
        <w:t xml:space="preserve">la Ley </w:t>
      </w:r>
      <w:r w:rsidR="00A82D5A" w:rsidRPr="003006D9">
        <w:rPr>
          <w:rFonts w:cs="Arial"/>
        </w:rPr>
        <w:t xml:space="preserve">397 de 1997 y la Ley 1811 de 2008. </w:t>
      </w:r>
    </w:p>
    <w:p w:rsidR="008168B7" w:rsidRPr="003006D9" w:rsidRDefault="008168B7" w:rsidP="0090169C">
      <w:pPr>
        <w:pStyle w:val="Continuarlista2"/>
        <w:ind w:left="0"/>
        <w:rPr>
          <w:rFonts w:cs="Arial"/>
        </w:rPr>
      </w:pPr>
    </w:p>
    <w:p w:rsidR="0018333A" w:rsidRPr="003006D9" w:rsidRDefault="000D152D" w:rsidP="0018333A">
      <w:pPr>
        <w:rPr>
          <w:rFonts w:cs="Arial"/>
          <w:b/>
          <w:bCs/>
          <w:lang w:val="es-MX"/>
        </w:rPr>
      </w:pPr>
      <w:r w:rsidRPr="003006D9">
        <w:rPr>
          <w:rFonts w:cs="Arial"/>
          <w:b/>
          <w:bCs/>
          <w:lang w:val="es-MX"/>
        </w:rPr>
        <w:t xml:space="preserve">6. </w:t>
      </w:r>
      <w:r w:rsidR="0018333A" w:rsidRPr="003006D9">
        <w:rPr>
          <w:rFonts w:cs="Arial"/>
          <w:b/>
          <w:bCs/>
          <w:lang w:val="es-MX"/>
        </w:rPr>
        <w:t>Diligencia de conciliación</w:t>
      </w:r>
    </w:p>
    <w:p w:rsidR="0018333A" w:rsidRPr="003006D9" w:rsidRDefault="0018333A" w:rsidP="0018333A">
      <w:pPr>
        <w:rPr>
          <w:rFonts w:cs="Arial"/>
          <w:bCs/>
          <w:lang w:val="es-MX"/>
        </w:rPr>
      </w:pPr>
    </w:p>
    <w:p w:rsidR="0018333A" w:rsidRPr="003006D9" w:rsidRDefault="0018333A" w:rsidP="0018333A">
      <w:pPr>
        <w:rPr>
          <w:rFonts w:cs="Arial"/>
          <w:bCs/>
          <w:lang w:val="es-MX"/>
        </w:rPr>
      </w:pPr>
      <w:r w:rsidRPr="003006D9">
        <w:rPr>
          <w:rFonts w:cs="Arial"/>
          <w:bCs/>
          <w:lang w:val="es-MX"/>
        </w:rPr>
        <w:t xml:space="preserve">Consta en el expediente la diligencia de conciliación extrajudicial que se llevó a  cabo el 21 de marzo de 2011, por solicitud </w:t>
      </w:r>
      <w:r w:rsidR="00B02AD5" w:rsidRPr="003006D9">
        <w:rPr>
          <w:rFonts w:cs="Arial"/>
          <w:bCs/>
          <w:lang w:val="es-MX"/>
        </w:rPr>
        <w:t>de</w:t>
      </w:r>
      <w:r w:rsidRPr="003006D9">
        <w:rPr>
          <w:rFonts w:cs="Arial"/>
          <w:bCs/>
          <w:lang w:val="es-MX"/>
        </w:rPr>
        <w:t xml:space="preserve"> </w:t>
      </w:r>
      <w:r w:rsidR="005C38BD" w:rsidRPr="003006D9">
        <w:rPr>
          <w:rFonts w:cs="Arial"/>
          <w:bCs/>
          <w:lang w:val="es-MX"/>
        </w:rPr>
        <w:t>FEDEPALMA</w:t>
      </w:r>
      <w:r w:rsidRPr="003006D9">
        <w:rPr>
          <w:rFonts w:cs="Arial"/>
          <w:bCs/>
          <w:lang w:val="es-MX"/>
        </w:rPr>
        <w:t>. La diligencia de conciliación resultó fallida, por cuanto la entidad convocada no presentó ninguna propuesta conciliatoria</w:t>
      </w:r>
      <w:r w:rsidRPr="003006D9">
        <w:rPr>
          <w:rStyle w:val="Refdenotaalpie"/>
          <w:rFonts w:cs="Arial"/>
          <w:bCs/>
          <w:lang w:val="es-MX"/>
        </w:rPr>
        <w:footnoteReference w:id="11"/>
      </w:r>
      <w:r w:rsidRPr="003006D9">
        <w:rPr>
          <w:rFonts w:cs="Arial"/>
          <w:bCs/>
          <w:lang w:val="es-MX"/>
        </w:rPr>
        <w:t>.</w:t>
      </w:r>
    </w:p>
    <w:p w:rsidR="0018333A" w:rsidRPr="003006D9" w:rsidRDefault="0018333A" w:rsidP="0018333A">
      <w:pPr>
        <w:rPr>
          <w:rFonts w:cs="Arial"/>
          <w:bCs/>
          <w:lang w:val="es-MX"/>
        </w:rPr>
      </w:pPr>
    </w:p>
    <w:p w:rsidR="00F21484" w:rsidRPr="003006D9" w:rsidRDefault="00951634" w:rsidP="00F11F08">
      <w:pPr>
        <w:pStyle w:val="Lista2"/>
        <w:ind w:left="0" w:firstLine="0"/>
        <w:rPr>
          <w:rFonts w:cs="Arial"/>
          <w:b/>
        </w:rPr>
      </w:pPr>
      <w:r w:rsidRPr="003006D9">
        <w:rPr>
          <w:rFonts w:cs="Arial"/>
          <w:b/>
        </w:rPr>
        <w:t>7</w:t>
      </w:r>
      <w:r w:rsidR="000D152D" w:rsidRPr="003006D9">
        <w:rPr>
          <w:rFonts w:cs="Arial"/>
          <w:b/>
        </w:rPr>
        <w:t xml:space="preserve">. </w:t>
      </w:r>
      <w:r w:rsidR="00F21484" w:rsidRPr="003006D9">
        <w:rPr>
          <w:rFonts w:cs="Arial"/>
          <w:b/>
        </w:rPr>
        <w:t>La sentencia impugnada</w:t>
      </w:r>
    </w:p>
    <w:p w:rsidR="00D550F9" w:rsidRPr="003006D9" w:rsidRDefault="00D550F9" w:rsidP="00D550F9">
      <w:pPr>
        <w:numPr>
          <w:ilvl w:val="12"/>
          <w:numId w:val="0"/>
        </w:numPr>
        <w:rPr>
          <w:rFonts w:cs="Arial"/>
          <w:bCs/>
        </w:rPr>
      </w:pPr>
    </w:p>
    <w:p w:rsidR="00102F19" w:rsidRPr="003006D9" w:rsidRDefault="00D550F9" w:rsidP="00F11F08">
      <w:pPr>
        <w:pStyle w:val="Continuarlista2"/>
        <w:ind w:left="0"/>
        <w:rPr>
          <w:rFonts w:cs="Arial"/>
        </w:rPr>
      </w:pPr>
      <w:r w:rsidRPr="003006D9">
        <w:rPr>
          <w:rFonts w:cs="Arial"/>
        </w:rPr>
        <w:t xml:space="preserve">El Tribunal </w:t>
      </w:r>
      <w:r w:rsidR="00C90583" w:rsidRPr="003006D9">
        <w:rPr>
          <w:rFonts w:cs="Arial"/>
        </w:rPr>
        <w:t>Administrativo de</w:t>
      </w:r>
      <w:r w:rsidR="00A44F2D" w:rsidRPr="003006D9">
        <w:rPr>
          <w:rFonts w:cs="Arial"/>
        </w:rPr>
        <w:t xml:space="preserve"> </w:t>
      </w:r>
      <w:r w:rsidR="00A72EF0" w:rsidRPr="003006D9">
        <w:rPr>
          <w:rFonts w:cs="Arial"/>
        </w:rPr>
        <w:t>Cundinamarca</w:t>
      </w:r>
      <w:r w:rsidR="00D71C3D" w:rsidRPr="003006D9">
        <w:rPr>
          <w:rFonts w:cs="Arial"/>
        </w:rPr>
        <w:t xml:space="preserve">, Sección Tercera, Subsección C de descongestión, </w:t>
      </w:r>
      <w:r w:rsidRPr="003006D9">
        <w:rPr>
          <w:rFonts w:cs="Arial"/>
        </w:rPr>
        <w:t xml:space="preserve">profirió sentencia </w:t>
      </w:r>
      <w:r w:rsidR="00276074" w:rsidRPr="003006D9">
        <w:rPr>
          <w:rFonts w:cs="Arial"/>
        </w:rPr>
        <w:t xml:space="preserve">el </w:t>
      </w:r>
      <w:r w:rsidR="00A72EF0" w:rsidRPr="003006D9">
        <w:rPr>
          <w:rFonts w:cs="Arial"/>
        </w:rPr>
        <w:t>9 de abril de 2014</w:t>
      </w:r>
      <w:r w:rsidR="00276074" w:rsidRPr="003006D9">
        <w:rPr>
          <w:rFonts w:cs="Arial"/>
        </w:rPr>
        <w:t>,</w:t>
      </w:r>
      <w:r w:rsidR="00D65BDF" w:rsidRPr="003006D9">
        <w:rPr>
          <w:rFonts w:cs="Arial"/>
        </w:rPr>
        <w:t xml:space="preserve"> </w:t>
      </w:r>
      <w:r w:rsidRPr="003006D9">
        <w:rPr>
          <w:rFonts w:cs="Arial"/>
        </w:rPr>
        <w:t xml:space="preserve">en la cual </w:t>
      </w:r>
      <w:r w:rsidR="00A72EF0" w:rsidRPr="003006D9">
        <w:rPr>
          <w:rFonts w:cs="Arial"/>
        </w:rPr>
        <w:t xml:space="preserve">declaró la nulidad </w:t>
      </w:r>
      <w:r w:rsidR="00A72EF0" w:rsidRPr="003006D9">
        <w:rPr>
          <w:rFonts w:cs="Arial"/>
        </w:rPr>
        <w:lastRenderedPageBreak/>
        <w:t>del proceso contractual GC-SA-01-032-</w:t>
      </w:r>
      <w:r w:rsidR="00E710AC" w:rsidRPr="003006D9">
        <w:rPr>
          <w:rFonts w:cs="Arial"/>
        </w:rPr>
        <w:t xml:space="preserve">2010 y dejó sin efecto la promesa de compraventa </w:t>
      </w:r>
      <w:r w:rsidR="00A72EF0" w:rsidRPr="003006D9">
        <w:rPr>
          <w:rFonts w:cs="Arial"/>
        </w:rPr>
        <w:t>No. 002 de 30 de septiembre de 2010 y el otrosí</w:t>
      </w:r>
      <w:r w:rsidR="001B613B" w:rsidRPr="003006D9">
        <w:rPr>
          <w:rFonts w:cs="Arial"/>
        </w:rPr>
        <w:t xml:space="preserve"> 01 de 2010. </w:t>
      </w:r>
    </w:p>
    <w:p w:rsidR="00102F19" w:rsidRPr="003006D9" w:rsidRDefault="00102F19" w:rsidP="00F11F08">
      <w:pPr>
        <w:pStyle w:val="Continuarlista2"/>
        <w:ind w:left="0"/>
        <w:rPr>
          <w:rFonts w:cs="Arial"/>
        </w:rPr>
      </w:pPr>
    </w:p>
    <w:p w:rsidR="001B613B" w:rsidRPr="003006D9" w:rsidRDefault="001B613B" w:rsidP="00F11F08">
      <w:pPr>
        <w:pStyle w:val="Continuarlista2"/>
        <w:ind w:left="0"/>
        <w:rPr>
          <w:rFonts w:cs="Arial"/>
        </w:rPr>
      </w:pPr>
      <w:r w:rsidRPr="003006D9">
        <w:rPr>
          <w:rFonts w:cs="Arial"/>
        </w:rPr>
        <w:t xml:space="preserve">Como consecuencia, la sentencia </w:t>
      </w:r>
      <w:r w:rsidR="00DB0999" w:rsidRPr="003006D9">
        <w:rPr>
          <w:rFonts w:cs="Arial"/>
        </w:rPr>
        <w:t xml:space="preserve">de primera instancia le </w:t>
      </w:r>
      <w:r w:rsidRPr="003006D9">
        <w:rPr>
          <w:rFonts w:cs="Arial"/>
        </w:rPr>
        <w:t>ordenó al ICA la devolución de $4.165’000.000</w:t>
      </w:r>
      <w:r w:rsidR="00DB0999" w:rsidRPr="003006D9">
        <w:rPr>
          <w:rFonts w:cs="Arial"/>
        </w:rPr>
        <w:t>,</w:t>
      </w:r>
      <w:r w:rsidRPr="003006D9">
        <w:rPr>
          <w:rFonts w:cs="Arial"/>
        </w:rPr>
        <w:t xml:space="preserve"> suma sobre la que dispuso su actualización con </w:t>
      </w:r>
      <w:r w:rsidR="007E43D5" w:rsidRPr="003006D9">
        <w:rPr>
          <w:rFonts w:cs="Arial"/>
        </w:rPr>
        <w:t xml:space="preserve">base en </w:t>
      </w:r>
      <w:r w:rsidRPr="003006D9">
        <w:rPr>
          <w:rFonts w:cs="Arial"/>
        </w:rPr>
        <w:t>el IPC</w:t>
      </w:r>
      <w:r w:rsidR="007E43D5" w:rsidRPr="003006D9">
        <w:rPr>
          <w:rFonts w:cs="Arial"/>
        </w:rPr>
        <w:t>.</w:t>
      </w:r>
    </w:p>
    <w:p w:rsidR="001B613B" w:rsidRPr="003006D9" w:rsidRDefault="001B613B" w:rsidP="00F11F08">
      <w:pPr>
        <w:pStyle w:val="Continuarlista2"/>
        <w:ind w:left="0"/>
        <w:rPr>
          <w:rFonts w:cs="Arial"/>
        </w:rPr>
      </w:pPr>
    </w:p>
    <w:p w:rsidR="00BF40A8" w:rsidRPr="003006D9" w:rsidRDefault="001B613B" w:rsidP="00F11F08">
      <w:pPr>
        <w:pStyle w:val="Continuarlista2"/>
        <w:ind w:left="0"/>
        <w:rPr>
          <w:rFonts w:cs="Arial"/>
        </w:rPr>
      </w:pPr>
      <w:r w:rsidRPr="003006D9">
        <w:rPr>
          <w:rFonts w:cs="Arial"/>
        </w:rPr>
        <w:t>Igualmente, el Tribunal Administrativo de Cund</w:t>
      </w:r>
      <w:r w:rsidR="00BF40A8" w:rsidRPr="003006D9">
        <w:rPr>
          <w:rFonts w:cs="Arial"/>
        </w:rPr>
        <w:t>i</w:t>
      </w:r>
      <w:r w:rsidRPr="003006D9">
        <w:rPr>
          <w:rFonts w:cs="Arial"/>
        </w:rPr>
        <w:t>namarca dene</w:t>
      </w:r>
      <w:r w:rsidR="00BF40A8" w:rsidRPr="003006D9">
        <w:rPr>
          <w:rFonts w:cs="Arial"/>
        </w:rPr>
        <w:t>gó las pretensiones de la demanda principal.</w:t>
      </w:r>
    </w:p>
    <w:p w:rsidR="00D07561" w:rsidRPr="003006D9" w:rsidRDefault="00D07561" w:rsidP="00E759BE">
      <w:pPr>
        <w:pStyle w:val="Continuarlista2"/>
        <w:rPr>
          <w:rFonts w:cs="Arial"/>
          <w:lang w:val="es-MX"/>
        </w:rPr>
      </w:pPr>
    </w:p>
    <w:p w:rsidR="00102F19" w:rsidRPr="003006D9" w:rsidRDefault="00D550F9" w:rsidP="00D07561">
      <w:pPr>
        <w:pStyle w:val="Continuarlista2"/>
        <w:ind w:left="0"/>
        <w:rPr>
          <w:rFonts w:cs="Arial"/>
          <w:lang w:val="es-MX"/>
        </w:rPr>
      </w:pPr>
      <w:r w:rsidRPr="003006D9">
        <w:rPr>
          <w:rFonts w:cs="Arial"/>
          <w:lang w:val="es-MX"/>
        </w:rPr>
        <w:t xml:space="preserve">El Tribunal </w:t>
      </w:r>
      <w:r w:rsidRPr="003006D9">
        <w:rPr>
          <w:rFonts w:cs="Arial"/>
          <w:i/>
          <w:lang w:val="es-MX"/>
        </w:rPr>
        <w:t>a quo</w:t>
      </w:r>
      <w:r w:rsidRPr="003006D9">
        <w:rPr>
          <w:rFonts w:cs="Arial"/>
          <w:lang w:val="es-MX"/>
        </w:rPr>
        <w:t xml:space="preserve"> </w:t>
      </w:r>
      <w:r w:rsidR="008C561C" w:rsidRPr="003006D9">
        <w:rPr>
          <w:rFonts w:cs="Arial"/>
          <w:lang w:val="es-MX"/>
        </w:rPr>
        <w:t xml:space="preserve">consideró que </w:t>
      </w:r>
      <w:r w:rsidR="00132637" w:rsidRPr="003006D9">
        <w:rPr>
          <w:rFonts w:cs="Arial"/>
          <w:lang w:val="es-MX"/>
        </w:rPr>
        <w:t xml:space="preserve">la modalidad del </w:t>
      </w:r>
      <w:r w:rsidR="008C561C" w:rsidRPr="003006D9">
        <w:rPr>
          <w:rFonts w:cs="Arial"/>
          <w:lang w:val="es-MX"/>
        </w:rPr>
        <w:t xml:space="preserve">proceso precontractual </w:t>
      </w:r>
      <w:r w:rsidR="00132637" w:rsidRPr="003006D9">
        <w:rPr>
          <w:rFonts w:cs="Arial"/>
          <w:lang w:val="es-MX"/>
        </w:rPr>
        <w:t xml:space="preserve">fue correcta, </w:t>
      </w:r>
      <w:r w:rsidR="008C561C" w:rsidRPr="003006D9">
        <w:rPr>
          <w:rFonts w:cs="Arial"/>
          <w:lang w:val="es-MX"/>
        </w:rPr>
        <w:t>toda vez que</w:t>
      </w:r>
      <w:r w:rsidR="00FC2DE1" w:rsidRPr="003006D9">
        <w:rPr>
          <w:rFonts w:cs="Arial"/>
          <w:lang w:val="es-MX"/>
        </w:rPr>
        <w:t>, a su juicio,</w:t>
      </w:r>
      <w:r w:rsidR="008C561C" w:rsidRPr="003006D9">
        <w:rPr>
          <w:rFonts w:cs="Arial"/>
          <w:lang w:val="es-MX"/>
        </w:rPr>
        <w:t xml:space="preserve"> la base de venta fue estipulada conforme al Decreto 444</w:t>
      </w:r>
      <w:r w:rsidR="002C1573" w:rsidRPr="003006D9">
        <w:rPr>
          <w:rFonts w:cs="Arial"/>
          <w:lang w:val="es-MX"/>
        </w:rPr>
        <w:t>4</w:t>
      </w:r>
      <w:r w:rsidR="008C561C" w:rsidRPr="003006D9">
        <w:rPr>
          <w:rFonts w:cs="Arial"/>
          <w:lang w:val="es-MX"/>
        </w:rPr>
        <w:t xml:space="preserve"> de 2008</w:t>
      </w:r>
      <w:r w:rsidR="00FC2DE1" w:rsidRPr="003006D9">
        <w:rPr>
          <w:rFonts w:cs="Arial"/>
          <w:lang w:val="es-MX"/>
        </w:rPr>
        <w:t xml:space="preserve"> de conformidad con lo que se </w:t>
      </w:r>
      <w:r w:rsidR="008C561C" w:rsidRPr="003006D9">
        <w:rPr>
          <w:rFonts w:cs="Arial"/>
          <w:lang w:val="es-MX"/>
        </w:rPr>
        <w:t>indicó en el pliego de condiciones</w:t>
      </w:r>
      <w:r w:rsidR="00132637" w:rsidRPr="003006D9">
        <w:rPr>
          <w:rFonts w:cs="Arial"/>
          <w:lang w:val="es-MX"/>
        </w:rPr>
        <w:t xml:space="preserve">. </w:t>
      </w:r>
    </w:p>
    <w:p w:rsidR="00102F19" w:rsidRPr="003006D9" w:rsidRDefault="00102F19" w:rsidP="00D07561">
      <w:pPr>
        <w:pStyle w:val="Continuarlista2"/>
        <w:ind w:left="0"/>
        <w:rPr>
          <w:rFonts w:cs="Arial"/>
          <w:lang w:val="es-MX"/>
        </w:rPr>
      </w:pPr>
    </w:p>
    <w:p w:rsidR="0008387E" w:rsidRPr="003006D9" w:rsidRDefault="00132637" w:rsidP="00D07561">
      <w:pPr>
        <w:pStyle w:val="Continuarlista2"/>
        <w:ind w:left="0"/>
        <w:rPr>
          <w:rFonts w:cs="Arial"/>
          <w:lang w:val="es-MX"/>
        </w:rPr>
      </w:pPr>
      <w:r w:rsidRPr="003006D9">
        <w:rPr>
          <w:rFonts w:cs="Arial"/>
          <w:lang w:val="es-MX"/>
        </w:rPr>
        <w:t>Estimó</w:t>
      </w:r>
      <w:r w:rsidR="008C561C" w:rsidRPr="003006D9">
        <w:rPr>
          <w:rFonts w:cs="Arial"/>
          <w:lang w:val="es-MX"/>
        </w:rPr>
        <w:t xml:space="preserve"> que </w:t>
      </w:r>
      <w:r w:rsidR="00102F19" w:rsidRPr="003006D9">
        <w:rPr>
          <w:rFonts w:cs="Arial"/>
          <w:lang w:val="es-MX"/>
        </w:rPr>
        <w:t xml:space="preserve">no </w:t>
      </w:r>
      <w:r w:rsidR="008C561C" w:rsidRPr="003006D9">
        <w:rPr>
          <w:rFonts w:cs="Arial"/>
          <w:lang w:val="es-MX"/>
        </w:rPr>
        <w:t xml:space="preserve">se configuró la venta con objeto ilícito, toda vez que </w:t>
      </w:r>
      <w:r w:rsidR="00102F19" w:rsidRPr="003006D9">
        <w:rPr>
          <w:rFonts w:cs="Arial"/>
          <w:lang w:val="es-MX"/>
        </w:rPr>
        <w:t>FEDEPALMA</w:t>
      </w:r>
      <w:r w:rsidR="008C561C" w:rsidRPr="003006D9">
        <w:rPr>
          <w:rFonts w:cs="Arial"/>
          <w:lang w:val="es-MX"/>
        </w:rPr>
        <w:t xml:space="preserve"> fue enfático al afirmar que </w:t>
      </w:r>
      <w:r w:rsidR="0008387E" w:rsidRPr="003006D9">
        <w:rPr>
          <w:rFonts w:cs="Arial"/>
          <w:lang w:val="es-MX"/>
        </w:rPr>
        <w:t xml:space="preserve">el área ocupada por el banco de </w:t>
      </w:r>
      <w:r w:rsidR="00DB0999" w:rsidRPr="003006D9">
        <w:rPr>
          <w:rFonts w:cs="Arial"/>
          <w:lang w:val="es-MX"/>
        </w:rPr>
        <w:t>g</w:t>
      </w:r>
      <w:r w:rsidR="0008387E" w:rsidRPr="003006D9">
        <w:rPr>
          <w:rFonts w:cs="Arial"/>
          <w:lang w:val="es-MX"/>
        </w:rPr>
        <w:t xml:space="preserve">ermoplasma </w:t>
      </w:r>
      <w:r w:rsidRPr="003006D9">
        <w:rPr>
          <w:rFonts w:cs="Arial"/>
          <w:lang w:val="es-MX"/>
        </w:rPr>
        <w:t xml:space="preserve">no </w:t>
      </w:r>
      <w:r w:rsidR="0008387E" w:rsidRPr="003006D9">
        <w:rPr>
          <w:rFonts w:cs="Arial"/>
          <w:lang w:val="es-MX"/>
        </w:rPr>
        <w:t xml:space="preserve">fue objeto de la </w:t>
      </w:r>
      <w:r w:rsidRPr="003006D9">
        <w:rPr>
          <w:rFonts w:cs="Arial"/>
          <w:lang w:val="es-MX"/>
        </w:rPr>
        <w:t>promesa de compraventa</w:t>
      </w:r>
      <w:r w:rsidR="00DB0999" w:rsidRPr="003006D9">
        <w:rPr>
          <w:rFonts w:cs="Arial"/>
          <w:lang w:val="es-MX"/>
        </w:rPr>
        <w:t>.</w:t>
      </w:r>
    </w:p>
    <w:p w:rsidR="0008387E" w:rsidRPr="003006D9" w:rsidRDefault="0008387E" w:rsidP="00D07561">
      <w:pPr>
        <w:pStyle w:val="Continuarlista2"/>
        <w:ind w:left="0"/>
        <w:rPr>
          <w:rFonts w:cs="Arial"/>
          <w:lang w:val="es-MX"/>
        </w:rPr>
      </w:pPr>
    </w:p>
    <w:p w:rsidR="00267720" w:rsidRPr="003006D9" w:rsidRDefault="00267720" w:rsidP="00D07561">
      <w:pPr>
        <w:pStyle w:val="Continuarlista2"/>
        <w:ind w:left="0"/>
        <w:rPr>
          <w:rFonts w:cs="Arial"/>
          <w:lang w:val="es-MX"/>
        </w:rPr>
      </w:pPr>
      <w:r w:rsidRPr="003006D9">
        <w:rPr>
          <w:rFonts w:cs="Arial"/>
          <w:lang w:val="es-MX"/>
        </w:rPr>
        <w:t xml:space="preserve">El Tribunal </w:t>
      </w:r>
      <w:r w:rsidRPr="003006D9">
        <w:rPr>
          <w:rFonts w:cs="Arial"/>
          <w:i/>
          <w:lang w:val="es-MX"/>
        </w:rPr>
        <w:t>a quo</w:t>
      </w:r>
      <w:r w:rsidRPr="003006D9">
        <w:rPr>
          <w:rFonts w:cs="Arial"/>
          <w:lang w:val="es-MX"/>
        </w:rPr>
        <w:t xml:space="preserve"> </w:t>
      </w:r>
      <w:r w:rsidR="00053EC5" w:rsidRPr="003006D9">
        <w:rPr>
          <w:rFonts w:cs="Arial"/>
          <w:lang w:val="es-MX"/>
        </w:rPr>
        <w:t xml:space="preserve">se refirió </w:t>
      </w:r>
      <w:r w:rsidR="007E43D5" w:rsidRPr="003006D9">
        <w:rPr>
          <w:rFonts w:cs="Arial"/>
          <w:lang w:val="es-MX"/>
        </w:rPr>
        <w:t xml:space="preserve">al </w:t>
      </w:r>
      <w:r w:rsidRPr="003006D9">
        <w:rPr>
          <w:rFonts w:cs="Arial"/>
          <w:lang w:val="es-MX"/>
        </w:rPr>
        <w:t xml:space="preserve">desconocimiento del </w:t>
      </w:r>
      <w:r w:rsidR="007E43D5" w:rsidRPr="003006D9">
        <w:rPr>
          <w:rFonts w:cs="Arial"/>
          <w:lang w:val="es-MX"/>
        </w:rPr>
        <w:t xml:space="preserve">principio de planeación en la contratación estatal y </w:t>
      </w:r>
      <w:r w:rsidR="00FA366F" w:rsidRPr="003006D9">
        <w:rPr>
          <w:rFonts w:cs="Arial"/>
          <w:lang w:val="es-MX"/>
        </w:rPr>
        <w:t>estableció que la argumentación del ICA resultaba contradic</w:t>
      </w:r>
      <w:r w:rsidRPr="003006D9">
        <w:rPr>
          <w:rFonts w:cs="Arial"/>
          <w:lang w:val="es-MX"/>
        </w:rPr>
        <w:t>t</w:t>
      </w:r>
      <w:r w:rsidR="00FA366F" w:rsidRPr="003006D9">
        <w:rPr>
          <w:rFonts w:cs="Arial"/>
          <w:lang w:val="es-MX"/>
        </w:rPr>
        <w:t xml:space="preserve">oria </w:t>
      </w:r>
      <w:r w:rsidR="00FC2DE1" w:rsidRPr="003006D9">
        <w:rPr>
          <w:rFonts w:cs="Arial"/>
          <w:lang w:val="es-MX"/>
        </w:rPr>
        <w:t xml:space="preserve">dado </w:t>
      </w:r>
      <w:r w:rsidRPr="003006D9">
        <w:rPr>
          <w:rFonts w:cs="Arial"/>
          <w:lang w:val="es-MX"/>
        </w:rPr>
        <w:t xml:space="preserve">que </w:t>
      </w:r>
      <w:r w:rsidR="00FC2DE1" w:rsidRPr="003006D9">
        <w:rPr>
          <w:rFonts w:cs="Arial"/>
          <w:lang w:val="es-MX"/>
        </w:rPr>
        <w:t xml:space="preserve">esa entidad afirmó que </w:t>
      </w:r>
      <w:r w:rsidR="00FA366F" w:rsidRPr="003006D9">
        <w:rPr>
          <w:rFonts w:cs="Arial"/>
          <w:lang w:val="es-MX"/>
        </w:rPr>
        <w:t xml:space="preserve">la fijación del precio mínimo de venta </w:t>
      </w:r>
      <w:r w:rsidRPr="003006D9">
        <w:rPr>
          <w:rFonts w:cs="Arial"/>
          <w:lang w:val="es-MX"/>
        </w:rPr>
        <w:t xml:space="preserve">se había realizado </w:t>
      </w:r>
      <w:r w:rsidR="00FA366F" w:rsidRPr="003006D9">
        <w:rPr>
          <w:rFonts w:cs="Arial"/>
          <w:lang w:val="es-MX"/>
        </w:rPr>
        <w:t xml:space="preserve">con base en los artículos 523 y 533 del C.P.C. y </w:t>
      </w:r>
      <w:r w:rsidR="00FA366F" w:rsidRPr="003006D9">
        <w:rPr>
          <w:rFonts w:cs="Arial"/>
          <w:i/>
          <w:lang w:val="es-MX"/>
        </w:rPr>
        <w:t>“no como lo prevén las leyes de contratación estatal”</w:t>
      </w:r>
      <w:r w:rsidRPr="003006D9">
        <w:rPr>
          <w:rFonts w:cs="Arial"/>
          <w:lang w:val="es-MX"/>
        </w:rPr>
        <w:t>, cuando</w:t>
      </w:r>
      <w:r w:rsidR="00AC7DD4" w:rsidRPr="003006D9">
        <w:rPr>
          <w:rFonts w:cs="Arial"/>
          <w:lang w:val="es-MX"/>
        </w:rPr>
        <w:t>,</w:t>
      </w:r>
      <w:r w:rsidRPr="003006D9">
        <w:rPr>
          <w:rFonts w:cs="Arial"/>
          <w:lang w:val="es-MX"/>
        </w:rPr>
        <w:t xml:space="preserve"> por otra parte, </w:t>
      </w:r>
      <w:r w:rsidR="00643D18" w:rsidRPr="003006D9">
        <w:rPr>
          <w:rFonts w:cs="Arial"/>
          <w:lang w:val="es-MX"/>
        </w:rPr>
        <w:t xml:space="preserve">en </w:t>
      </w:r>
      <w:r w:rsidRPr="003006D9">
        <w:rPr>
          <w:rFonts w:cs="Arial"/>
          <w:lang w:val="es-MX"/>
        </w:rPr>
        <w:t xml:space="preserve">el pliego </w:t>
      </w:r>
      <w:r w:rsidR="00DB0999" w:rsidRPr="003006D9">
        <w:rPr>
          <w:rFonts w:cs="Arial"/>
          <w:lang w:val="es-MX"/>
        </w:rPr>
        <w:t xml:space="preserve">de condiciones se </w:t>
      </w:r>
      <w:r w:rsidRPr="003006D9">
        <w:rPr>
          <w:rFonts w:cs="Arial"/>
          <w:lang w:val="es-MX"/>
        </w:rPr>
        <w:t>invoc</w:t>
      </w:r>
      <w:r w:rsidR="00DB0999" w:rsidRPr="003006D9">
        <w:rPr>
          <w:rFonts w:cs="Arial"/>
          <w:lang w:val="es-MX"/>
        </w:rPr>
        <w:t>ó</w:t>
      </w:r>
      <w:r w:rsidRPr="003006D9">
        <w:rPr>
          <w:rFonts w:cs="Arial"/>
          <w:lang w:val="es-MX"/>
        </w:rPr>
        <w:t xml:space="preserve"> </w:t>
      </w:r>
      <w:r w:rsidR="00102F19" w:rsidRPr="003006D9">
        <w:rPr>
          <w:rFonts w:cs="Arial"/>
          <w:lang w:val="es-MX"/>
        </w:rPr>
        <w:t xml:space="preserve">la aplicación del </w:t>
      </w:r>
      <w:r w:rsidRPr="003006D9">
        <w:rPr>
          <w:rFonts w:cs="Arial"/>
          <w:lang w:val="es-MX"/>
        </w:rPr>
        <w:t xml:space="preserve"> Decreto 444</w:t>
      </w:r>
      <w:r w:rsidR="00643D18" w:rsidRPr="003006D9">
        <w:rPr>
          <w:rFonts w:cs="Arial"/>
          <w:lang w:val="es-MX"/>
        </w:rPr>
        <w:t>4</w:t>
      </w:r>
      <w:r w:rsidRPr="003006D9">
        <w:rPr>
          <w:rFonts w:cs="Arial"/>
          <w:lang w:val="es-MX"/>
        </w:rPr>
        <w:t xml:space="preserve"> de 2008. </w:t>
      </w:r>
    </w:p>
    <w:p w:rsidR="0008387E" w:rsidRPr="003006D9" w:rsidRDefault="00102F19" w:rsidP="00D07561">
      <w:pPr>
        <w:pStyle w:val="Continuarlista2"/>
        <w:ind w:left="0"/>
        <w:rPr>
          <w:rFonts w:cs="Arial"/>
          <w:lang w:val="es-MX"/>
        </w:rPr>
      </w:pPr>
      <w:r w:rsidRPr="003006D9">
        <w:rPr>
          <w:rFonts w:cs="Arial"/>
          <w:lang w:val="es-MX"/>
        </w:rPr>
        <w:t xml:space="preserve"> </w:t>
      </w:r>
    </w:p>
    <w:p w:rsidR="00267720" w:rsidRPr="003006D9" w:rsidRDefault="00DB0999" w:rsidP="00D07561">
      <w:pPr>
        <w:pStyle w:val="Continuarlista2"/>
        <w:ind w:left="0"/>
        <w:rPr>
          <w:rFonts w:cs="Arial"/>
          <w:lang w:val="es-MX"/>
        </w:rPr>
      </w:pPr>
      <w:r w:rsidRPr="003006D9">
        <w:rPr>
          <w:rFonts w:cs="Arial"/>
          <w:lang w:val="es-MX"/>
        </w:rPr>
        <w:t>E</w:t>
      </w:r>
      <w:r w:rsidR="00267720" w:rsidRPr="003006D9">
        <w:rPr>
          <w:rFonts w:cs="Arial"/>
          <w:lang w:val="es-MX"/>
        </w:rPr>
        <w:t>l Tribunal a quo decidió acceder a la</w:t>
      </w:r>
      <w:r w:rsidRPr="003006D9">
        <w:rPr>
          <w:rFonts w:cs="Arial"/>
          <w:lang w:val="es-MX"/>
        </w:rPr>
        <w:t>s pretensiones de la demanda de reconvención</w:t>
      </w:r>
      <w:r w:rsidR="00267720" w:rsidRPr="003006D9">
        <w:rPr>
          <w:rFonts w:cs="Arial"/>
          <w:lang w:val="es-MX"/>
        </w:rPr>
        <w:t xml:space="preserve">, con base en las siguientes consideraciones: </w:t>
      </w:r>
    </w:p>
    <w:p w:rsidR="00267720" w:rsidRPr="003006D9" w:rsidRDefault="00267720" w:rsidP="00D07561">
      <w:pPr>
        <w:pStyle w:val="Continuarlista2"/>
        <w:ind w:left="0"/>
        <w:rPr>
          <w:rFonts w:cs="Arial"/>
          <w:lang w:val="es-MX"/>
        </w:rPr>
      </w:pPr>
    </w:p>
    <w:p w:rsidR="007D5A7C" w:rsidRPr="003006D9" w:rsidRDefault="0008387E" w:rsidP="003157D9">
      <w:pPr>
        <w:pStyle w:val="Continuarlista2"/>
        <w:spacing w:line="276" w:lineRule="auto"/>
        <w:ind w:left="567" w:right="902"/>
        <w:rPr>
          <w:rFonts w:cs="Arial"/>
          <w:i/>
          <w:lang w:val="es-MX"/>
        </w:rPr>
      </w:pPr>
      <w:r w:rsidRPr="003006D9">
        <w:rPr>
          <w:rFonts w:cs="Arial"/>
          <w:i/>
          <w:lang w:val="es-MX"/>
        </w:rPr>
        <w:t xml:space="preserve">“No obstante lo anterior, esta Sala en aras de garantizar el patrimonio del </w:t>
      </w:r>
      <w:r w:rsidR="00132637" w:rsidRPr="003006D9">
        <w:rPr>
          <w:rFonts w:cs="Arial"/>
          <w:i/>
          <w:lang w:val="es-MX"/>
        </w:rPr>
        <w:t>E</w:t>
      </w:r>
      <w:r w:rsidRPr="003006D9">
        <w:rPr>
          <w:rFonts w:cs="Arial"/>
          <w:i/>
          <w:lang w:val="es-MX"/>
        </w:rPr>
        <w:t xml:space="preserve">stado y evitar el detrimento del mismo, dará aplicabilidad al principio del interés general </w:t>
      </w:r>
      <w:r w:rsidR="00B42A6C" w:rsidRPr="003006D9">
        <w:rPr>
          <w:rFonts w:cs="Arial"/>
          <w:i/>
          <w:lang w:val="es-MX"/>
        </w:rPr>
        <w:t>sobre el particular y procede a declarar la nulidad del proceso contractual No. GC-SA.01032-2010 adelantado por el Instituto Colombiano Agropecuario ICA y como consecuencia de ello se deja sin efecto la promesa de compraventa No. 002 de 2010 y el Otrosí No. 001 de 2010, suscrito entre el ICA y FEDEPALMA</w:t>
      </w:r>
      <w:r w:rsidR="00FA6E14" w:rsidRPr="003006D9">
        <w:rPr>
          <w:rFonts w:cs="Arial"/>
          <w:i/>
          <w:lang w:val="es-MX"/>
        </w:rPr>
        <w:t xml:space="preserve"> con ocasión del proceso de selección abreviada, toda vez que al momento que la entidad adelantó el proceso de selección abreviada No. GC-SA.01-032-2010, no tuvo en cuenta el principio de selección objetiva </w:t>
      </w:r>
      <w:r w:rsidR="00FA6E14" w:rsidRPr="003006D9">
        <w:rPr>
          <w:rFonts w:cs="Arial"/>
          <w:i/>
          <w:lang w:val="es-MX"/>
        </w:rPr>
        <w:lastRenderedPageBreak/>
        <w:t>ni le dio aplicabilidad a las normas contractuales para llevar a cabo el avalúo del predio “El Mira”</w:t>
      </w:r>
      <w:r w:rsidR="007D5A7C" w:rsidRPr="003006D9">
        <w:rPr>
          <w:rFonts w:cs="Arial"/>
          <w:i/>
          <w:lang w:val="es-MX"/>
        </w:rPr>
        <w:t>.</w:t>
      </w:r>
    </w:p>
    <w:p w:rsidR="007D5A7C" w:rsidRPr="003006D9" w:rsidRDefault="007D5A7C" w:rsidP="003157D9">
      <w:pPr>
        <w:pStyle w:val="Continuarlista2"/>
        <w:spacing w:line="276" w:lineRule="auto"/>
        <w:ind w:left="567" w:right="902"/>
        <w:rPr>
          <w:rFonts w:cs="Arial"/>
          <w:i/>
          <w:lang w:val="es-MX"/>
        </w:rPr>
      </w:pPr>
    </w:p>
    <w:p w:rsidR="003157D9" w:rsidRPr="003006D9" w:rsidRDefault="00F97ED3" w:rsidP="003157D9">
      <w:pPr>
        <w:pStyle w:val="Continuarlista2"/>
        <w:spacing w:line="276" w:lineRule="auto"/>
        <w:ind w:left="567" w:right="902"/>
        <w:rPr>
          <w:rFonts w:cs="Arial"/>
          <w:i/>
          <w:lang w:val="es-MX"/>
        </w:rPr>
      </w:pPr>
      <w:r w:rsidRPr="003006D9">
        <w:rPr>
          <w:rFonts w:cs="Arial"/>
          <w:i/>
          <w:lang w:val="es-MX"/>
        </w:rPr>
        <w:t>“</w:t>
      </w:r>
      <w:r w:rsidR="007D5A7C" w:rsidRPr="003006D9">
        <w:rPr>
          <w:rFonts w:cs="Arial"/>
          <w:i/>
          <w:lang w:val="es-MX"/>
        </w:rPr>
        <w:t>Como consecuencia de lo anterior, el Tribunal ordenará al Instituto Colombiano Agropecuario – ICA- la restitución en forma inmediata de las sumas de dinero sufragada por la Federación Nacional de Cultivadores de Pa</w:t>
      </w:r>
      <w:r w:rsidR="003157D9" w:rsidRPr="003006D9">
        <w:rPr>
          <w:rFonts w:cs="Arial"/>
          <w:i/>
          <w:lang w:val="es-MX"/>
        </w:rPr>
        <w:t>l</w:t>
      </w:r>
      <w:r w:rsidR="007D5A7C" w:rsidRPr="003006D9">
        <w:rPr>
          <w:rFonts w:cs="Arial"/>
          <w:i/>
          <w:lang w:val="es-MX"/>
        </w:rPr>
        <w:t>m</w:t>
      </w:r>
      <w:r w:rsidR="003157D9" w:rsidRPr="003006D9">
        <w:rPr>
          <w:rFonts w:cs="Arial"/>
          <w:i/>
          <w:lang w:val="es-MX"/>
        </w:rPr>
        <w:t>a</w:t>
      </w:r>
      <w:r w:rsidR="007D5A7C" w:rsidRPr="003006D9">
        <w:rPr>
          <w:rFonts w:cs="Arial"/>
          <w:i/>
          <w:lang w:val="es-MX"/>
        </w:rPr>
        <w:t xml:space="preserve"> de Aceite – FEDEPA</w:t>
      </w:r>
      <w:r w:rsidR="0001520C" w:rsidRPr="003006D9">
        <w:rPr>
          <w:rFonts w:cs="Arial"/>
          <w:i/>
          <w:lang w:val="es-MX"/>
        </w:rPr>
        <w:t>L</w:t>
      </w:r>
      <w:r w:rsidR="007D5A7C" w:rsidRPr="003006D9">
        <w:rPr>
          <w:rFonts w:cs="Arial"/>
          <w:i/>
          <w:lang w:val="es-MX"/>
        </w:rPr>
        <w:t>MA- por el predio ‘El Mira’</w:t>
      </w:r>
      <w:r w:rsidR="003157D9" w:rsidRPr="003006D9">
        <w:rPr>
          <w:rFonts w:cs="Arial"/>
          <w:i/>
          <w:lang w:val="es-MX"/>
        </w:rPr>
        <w:t xml:space="preserve"> ubicado en el municipio de Tumaco Nariño, debidamente indexadas  (…)”</w:t>
      </w:r>
      <w:r w:rsidR="003157D9" w:rsidRPr="003006D9">
        <w:rPr>
          <w:rStyle w:val="Refdenotaalpie"/>
          <w:rFonts w:cs="Arial"/>
          <w:i/>
          <w:lang w:val="es-MX"/>
        </w:rPr>
        <w:footnoteReference w:id="12"/>
      </w:r>
      <w:r w:rsidR="003157D9" w:rsidRPr="003006D9">
        <w:rPr>
          <w:rFonts w:cs="Arial"/>
          <w:i/>
          <w:lang w:val="es-MX"/>
        </w:rPr>
        <w:t>.</w:t>
      </w:r>
    </w:p>
    <w:p w:rsidR="005F1698" w:rsidRPr="003006D9" w:rsidRDefault="005F1698" w:rsidP="00C56CF1">
      <w:pPr>
        <w:pStyle w:val="Lista2"/>
        <w:ind w:left="0" w:firstLine="0"/>
        <w:rPr>
          <w:rFonts w:cs="Arial"/>
          <w:b/>
          <w:i/>
          <w:lang w:val="es-MX"/>
        </w:rPr>
      </w:pPr>
    </w:p>
    <w:p w:rsidR="000E6697" w:rsidRPr="003006D9" w:rsidRDefault="00951634" w:rsidP="00C56CF1">
      <w:pPr>
        <w:pStyle w:val="Lista2"/>
        <w:ind w:left="0" w:firstLine="0"/>
        <w:rPr>
          <w:rFonts w:cs="Arial"/>
          <w:b/>
          <w:lang w:val="es-MX"/>
        </w:rPr>
      </w:pPr>
      <w:r w:rsidRPr="003006D9">
        <w:rPr>
          <w:rFonts w:cs="Arial"/>
          <w:b/>
          <w:lang w:val="es-MX"/>
        </w:rPr>
        <w:t>8.</w:t>
      </w:r>
      <w:r w:rsidR="00A25E83" w:rsidRPr="003006D9">
        <w:rPr>
          <w:rFonts w:cs="Arial"/>
          <w:b/>
          <w:lang w:val="es-MX"/>
        </w:rPr>
        <w:t xml:space="preserve"> </w:t>
      </w:r>
      <w:r w:rsidR="00484F35" w:rsidRPr="003006D9">
        <w:rPr>
          <w:rFonts w:cs="Arial"/>
          <w:b/>
          <w:lang w:val="es-MX"/>
        </w:rPr>
        <w:t>El</w:t>
      </w:r>
      <w:r w:rsidR="000E6697" w:rsidRPr="003006D9">
        <w:rPr>
          <w:rFonts w:cs="Arial"/>
          <w:b/>
          <w:lang w:val="es-MX"/>
        </w:rPr>
        <w:t xml:space="preserve"> recurso de apelación</w:t>
      </w:r>
      <w:r w:rsidR="00F21484" w:rsidRPr="003006D9">
        <w:rPr>
          <w:rFonts w:cs="Arial"/>
          <w:b/>
          <w:lang w:val="es-MX"/>
        </w:rPr>
        <w:t xml:space="preserve"> </w:t>
      </w:r>
    </w:p>
    <w:p w:rsidR="00751B7F" w:rsidRPr="003006D9" w:rsidRDefault="00751B7F" w:rsidP="00F21484">
      <w:pPr>
        <w:rPr>
          <w:rFonts w:cs="Arial"/>
          <w:bCs/>
          <w:lang w:val="es-MX"/>
        </w:rPr>
      </w:pPr>
    </w:p>
    <w:p w:rsidR="00AD6667" w:rsidRPr="003006D9" w:rsidRDefault="00D70853" w:rsidP="007B4785">
      <w:pPr>
        <w:pStyle w:val="Textoindependiente"/>
        <w:rPr>
          <w:rFonts w:cs="Arial"/>
          <w:szCs w:val="24"/>
        </w:rPr>
      </w:pPr>
      <w:r w:rsidRPr="003006D9">
        <w:rPr>
          <w:rFonts w:cs="Arial"/>
          <w:szCs w:val="24"/>
        </w:rPr>
        <w:t xml:space="preserve">La parte </w:t>
      </w:r>
      <w:r w:rsidR="00106CCD" w:rsidRPr="003006D9">
        <w:rPr>
          <w:rFonts w:cs="Arial"/>
          <w:szCs w:val="24"/>
        </w:rPr>
        <w:t xml:space="preserve">demandante </w:t>
      </w:r>
      <w:r w:rsidR="00033A87" w:rsidRPr="003006D9">
        <w:rPr>
          <w:rFonts w:cs="Arial"/>
          <w:szCs w:val="24"/>
        </w:rPr>
        <w:t>impugn</w:t>
      </w:r>
      <w:r w:rsidR="00E84FE1" w:rsidRPr="003006D9">
        <w:rPr>
          <w:rFonts w:cs="Arial"/>
          <w:szCs w:val="24"/>
        </w:rPr>
        <w:t>ó</w:t>
      </w:r>
      <w:r w:rsidR="00033A87" w:rsidRPr="003006D9">
        <w:rPr>
          <w:rFonts w:cs="Arial"/>
          <w:szCs w:val="24"/>
        </w:rPr>
        <w:t xml:space="preserve"> la </w:t>
      </w:r>
      <w:r w:rsidR="00DA568E" w:rsidRPr="003006D9">
        <w:rPr>
          <w:rFonts w:cs="Arial"/>
          <w:szCs w:val="24"/>
        </w:rPr>
        <w:t>sentencia de primera instancia</w:t>
      </w:r>
      <w:r w:rsidR="00C56CF1" w:rsidRPr="003006D9">
        <w:rPr>
          <w:rFonts w:cs="Arial"/>
          <w:szCs w:val="24"/>
        </w:rPr>
        <w:t xml:space="preserve"> </w:t>
      </w:r>
      <w:r w:rsidR="00DD2969" w:rsidRPr="003006D9">
        <w:rPr>
          <w:rFonts w:cs="Arial"/>
          <w:szCs w:val="24"/>
        </w:rPr>
        <w:t xml:space="preserve">el </w:t>
      </w:r>
      <w:r w:rsidR="00643D18" w:rsidRPr="003006D9">
        <w:rPr>
          <w:rFonts w:cs="Arial"/>
          <w:szCs w:val="24"/>
        </w:rPr>
        <w:t>8 de mayo de 201</w:t>
      </w:r>
      <w:r w:rsidR="00733A35" w:rsidRPr="003006D9">
        <w:rPr>
          <w:rFonts w:cs="Arial"/>
          <w:szCs w:val="24"/>
        </w:rPr>
        <w:t>4</w:t>
      </w:r>
      <w:r w:rsidR="00DD2969" w:rsidRPr="003006D9">
        <w:rPr>
          <w:rFonts w:cs="Arial"/>
          <w:szCs w:val="24"/>
        </w:rPr>
        <w:t xml:space="preserve"> </w:t>
      </w:r>
      <w:r w:rsidR="00C56CF1" w:rsidRPr="003006D9">
        <w:rPr>
          <w:rFonts w:cs="Arial"/>
          <w:szCs w:val="24"/>
        </w:rPr>
        <w:t>y</w:t>
      </w:r>
      <w:r w:rsidR="00033A87" w:rsidRPr="003006D9">
        <w:rPr>
          <w:rFonts w:cs="Arial"/>
          <w:szCs w:val="24"/>
        </w:rPr>
        <w:t xml:space="preserve"> sustent</w:t>
      </w:r>
      <w:r w:rsidR="00C56CF1" w:rsidRPr="003006D9">
        <w:rPr>
          <w:rFonts w:cs="Arial"/>
          <w:szCs w:val="24"/>
        </w:rPr>
        <w:t>ó</w:t>
      </w:r>
      <w:r w:rsidR="00033A87" w:rsidRPr="003006D9">
        <w:rPr>
          <w:rFonts w:cs="Arial"/>
          <w:szCs w:val="24"/>
        </w:rPr>
        <w:t xml:space="preserve"> su recurso </w:t>
      </w:r>
      <w:r w:rsidR="00AD6667" w:rsidRPr="003006D9">
        <w:rPr>
          <w:rFonts w:cs="Arial"/>
          <w:szCs w:val="24"/>
        </w:rPr>
        <w:t>en el mismo escrito.</w:t>
      </w:r>
    </w:p>
    <w:p w:rsidR="00AD6667" w:rsidRPr="003006D9" w:rsidRDefault="00AD6667" w:rsidP="007B4785">
      <w:pPr>
        <w:pStyle w:val="Textoindependiente"/>
        <w:rPr>
          <w:rFonts w:cs="Arial"/>
          <w:szCs w:val="24"/>
        </w:rPr>
      </w:pPr>
    </w:p>
    <w:p w:rsidR="00AD6667" w:rsidRPr="003006D9" w:rsidRDefault="00AD6667" w:rsidP="007B4785">
      <w:pPr>
        <w:pStyle w:val="Textoindependiente"/>
        <w:rPr>
          <w:rFonts w:cs="Arial"/>
          <w:szCs w:val="24"/>
        </w:rPr>
      </w:pPr>
      <w:r w:rsidRPr="003006D9">
        <w:rPr>
          <w:rFonts w:cs="Arial"/>
          <w:szCs w:val="24"/>
        </w:rPr>
        <w:t xml:space="preserve">Expuso que si el Tribunal </w:t>
      </w:r>
      <w:r w:rsidRPr="003006D9">
        <w:rPr>
          <w:rFonts w:cs="Arial"/>
          <w:i/>
          <w:szCs w:val="24"/>
        </w:rPr>
        <w:t>a quo</w:t>
      </w:r>
      <w:r w:rsidRPr="003006D9">
        <w:rPr>
          <w:rFonts w:cs="Arial"/>
          <w:szCs w:val="24"/>
        </w:rPr>
        <w:t xml:space="preserve"> hubiera hecho un an</w:t>
      </w:r>
      <w:r w:rsidR="00F97ED3" w:rsidRPr="003006D9">
        <w:rPr>
          <w:rFonts w:cs="Arial"/>
          <w:szCs w:val="24"/>
        </w:rPr>
        <w:t>á</w:t>
      </w:r>
      <w:r w:rsidRPr="003006D9">
        <w:rPr>
          <w:rFonts w:cs="Arial"/>
          <w:szCs w:val="24"/>
        </w:rPr>
        <w:t>lisis de las pru</w:t>
      </w:r>
      <w:r w:rsidR="00F97ED3" w:rsidRPr="003006D9">
        <w:rPr>
          <w:rFonts w:cs="Arial"/>
          <w:szCs w:val="24"/>
        </w:rPr>
        <w:t>e</w:t>
      </w:r>
      <w:r w:rsidRPr="003006D9">
        <w:rPr>
          <w:rFonts w:cs="Arial"/>
          <w:szCs w:val="24"/>
        </w:rPr>
        <w:t>bas recabadas en el expediente y de los argumentos expuestos por FEDEPALMA, otra hubiera sido la conclusión “</w:t>
      </w:r>
      <w:r w:rsidRPr="003006D9">
        <w:rPr>
          <w:rFonts w:cs="Arial"/>
          <w:i/>
          <w:szCs w:val="24"/>
        </w:rPr>
        <w:t>pues están claramente desestimadas todas las supuestas causales de nulidad alegadas por el ICA”.</w:t>
      </w:r>
    </w:p>
    <w:p w:rsidR="00AD6667" w:rsidRPr="003006D9" w:rsidRDefault="00AD6667" w:rsidP="007B4785">
      <w:pPr>
        <w:pStyle w:val="Textoindependiente"/>
        <w:rPr>
          <w:rFonts w:cs="Arial"/>
          <w:szCs w:val="24"/>
        </w:rPr>
      </w:pPr>
    </w:p>
    <w:p w:rsidR="00DC1158" w:rsidRPr="003006D9" w:rsidRDefault="00DC1158" w:rsidP="007B4785">
      <w:pPr>
        <w:pStyle w:val="Textoindependiente"/>
        <w:rPr>
          <w:rFonts w:cs="Arial"/>
          <w:szCs w:val="24"/>
        </w:rPr>
      </w:pPr>
      <w:r w:rsidRPr="003006D9">
        <w:rPr>
          <w:rFonts w:cs="Arial"/>
          <w:szCs w:val="24"/>
        </w:rPr>
        <w:t xml:space="preserve">Advirtió las graves falencias del fallo, puesto que se concluyó que </w:t>
      </w:r>
      <w:r w:rsidR="00AC7DD4" w:rsidRPr="003006D9">
        <w:rPr>
          <w:rFonts w:cs="Arial"/>
          <w:szCs w:val="24"/>
        </w:rPr>
        <w:t xml:space="preserve">en </w:t>
      </w:r>
      <w:r w:rsidRPr="003006D9">
        <w:rPr>
          <w:rFonts w:cs="Arial"/>
          <w:szCs w:val="24"/>
        </w:rPr>
        <w:t xml:space="preserve">el proceso precontractual se siguió el Decreto 4444 de 2008, </w:t>
      </w:r>
      <w:r w:rsidR="00DB0999" w:rsidRPr="003006D9">
        <w:rPr>
          <w:rFonts w:cs="Arial"/>
          <w:szCs w:val="24"/>
        </w:rPr>
        <w:t>sin embargo</w:t>
      </w:r>
      <w:r w:rsidR="00AC7DD4" w:rsidRPr="003006D9">
        <w:rPr>
          <w:rFonts w:cs="Arial"/>
          <w:szCs w:val="24"/>
        </w:rPr>
        <w:t>,</w:t>
      </w:r>
      <w:r w:rsidR="00DB0999" w:rsidRPr="003006D9">
        <w:rPr>
          <w:rFonts w:cs="Arial"/>
          <w:szCs w:val="24"/>
        </w:rPr>
        <w:t xml:space="preserve"> se </w:t>
      </w:r>
      <w:r w:rsidRPr="003006D9">
        <w:rPr>
          <w:rFonts w:cs="Arial"/>
          <w:szCs w:val="24"/>
        </w:rPr>
        <w:t xml:space="preserve">decidió decretar la nulidad de las actuaciones correspondientes. </w:t>
      </w:r>
    </w:p>
    <w:p w:rsidR="00DC1158" w:rsidRPr="003006D9" w:rsidRDefault="00DC1158" w:rsidP="007B4785">
      <w:pPr>
        <w:pStyle w:val="Textoindependiente"/>
        <w:rPr>
          <w:rFonts w:cs="Arial"/>
          <w:szCs w:val="24"/>
        </w:rPr>
      </w:pPr>
    </w:p>
    <w:p w:rsidR="00DC1158" w:rsidRPr="003006D9" w:rsidRDefault="00DC1158" w:rsidP="007B4785">
      <w:pPr>
        <w:pStyle w:val="Textoindependiente"/>
        <w:rPr>
          <w:rFonts w:cs="Arial"/>
          <w:szCs w:val="24"/>
        </w:rPr>
      </w:pPr>
      <w:r w:rsidRPr="003006D9">
        <w:rPr>
          <w:rFonts w:cs="Arial"/>
          <w:szCs w:val="24"/>
        </w:rPr>
        <w:t xml:space="preserve">Observó que el Tribunal </w:t>
      </w:r>
      <w:r w:rsidRPr="003006D9">
        <w:rPr>
          <w:rFonts w:cs="Arial"/>
          <w:i/>
          <w:szCs w:val="24"/>
        </w:rPr>
        <w:t>a quo</w:t>
      </w:r>
      <w:r w:rsidRPr="003006D9">
        <w:rPr>
          <w:rFonts w:cs="Arial"/>
          <w:szCs w:val="24"/>
        </w:rPr>
        <w:t xml:space="preserve"> no se pronunció sobre las pretensiones indemnizatorias que presentó FEDEPALMA en su demanda, las cuales </w:t>
      </w:r>
      <w:r w:rsidR="00DB0999" w:rsidRPr="003006D9">
        <w:rPr>
          <w:rFonts w:cs="Arial"/>
          <w:szCs w:val="24"/>
        </w:rPr>
        <w:t>estim</w:t>
      </w:r>
      <w:r w:rsidR="005A09CE" w:rsidRPr="003006D9">
        <w:rPr>
          <w:rFonts w:cs="Arial"/>
          <w:szCs w:val="24"/>
        </w:rPr>
        <w:t>ó</w:t>
      </w:r>
      <w:r w:rsidR="00DB0999" w:rsidRPr="003006D9">
        <w:rPr>
          <w:rFonts w:cs="Arial"/>
          <w:szCs w:val="24"/>
        </w:rPr>
        <w:t xml:space="preserve"> como </w:t>
      </w:r>
      <w:r w:rsidRPr="003006D9">
        <w:rPr>
          <w:rFonts w:cs="Arial"/>
          <w:szCs w:val="24"/>
        </w:rPr>
        <w:t>procedentes</w:t>
      </w:r>
      <w:r w:rsidR="00AC7DD4" w:rsidRPr="003006D9">
        <w:rPr>
          <w:rFonts w:cs="Arial"/>
          <w:szCs w:val="24"/>
        </w:rPr>
        <w:t>,</w:t>
      </w:r>
      <w:r w:rsidRPr="003006D9">
        <w:rPr>
          <w:rFonts w:cs="Arial"/>
          <w:szCs w:val="24"/>
        </w:rPr>
        <w:t xml:space="preserve"> a</w:t>
      </w:r>
      <w:r w:rsidR="00AC7DD4" w:rsidRPr="003006D9">
        <w:rPr>
          <w:rFonts w:cs="Arial"/>
          <w:szCs w:val="24"/>
        </w:rPr>
        <w:t>ú</w:t>
      </w:r>
      <w:r w:rsidRPr="003006D9">
        <w:rPr>
          <w:rFonts w:cs="Arial"/>
          <w:szCs w:val="24"/>
        </w:rPr>
        <w:t>n en el caso de que se decid</w:t>
      </w:r>
      <w:r w:rsidR="00DB0999" w:rsidRPr="003006D9">
        <w:rPr>
          <w:rFonts w:cs="Arial"/>
          <w:szCs w:val="24"/>
        </w:rPr>
        <w:t>iera</w:t>
      </w:r>
      <w:r w:rsidRPr="003006D9">
        <w:rPr>
          <w:rFonts w:cs="Arial"/>
          <w:szCs w:val="24"/>
        </w:rPr>
        <w:t xml:space="preserve"> confirmar la nulidad de las actuaciones precontractuales.</w:t>
      </w:r>
    </w:p>
    <w:p w:rsidR="00DC1158" w:rsidRPr="003006D9" w:rsidRDefault="00DC1158" w:rsidP="007B4785">
      <w:pPr>
        <w:pStyle w:val="Textoindependiente"/>
        <w:rPr>
          <w:rFonts w:cs="Arial"/>
          <w:szCs w:val="24"/>
        </w:rPr>
      </w:pPr>
    </w:p>
    <w:p w:rsidR="00387DE0" w:rsidRPr="003006D9" w:rsidRDefault="007273C1" w:rsidP="007B4785">
      <w:pPr>
        <w:pStyle w:val="Textoindependiente"/>
        <w:rPr>
          <w:rFonts w:cs="Arial"/>
          <w:szCs w:val="24"/>
        </w:rPr>
      </w:pPr>
      <w:r w:rsidRPr="003006D9">
        <w:rPr>
          <w:rFonts w:cs="Arial"/>
          <w:szCs w:val="24"/>
        </w:rPr>
        <w:t xml:space="preserve">Sustentó sus consideraciones con fundamento en </w:t>
      </w:r>
      <w:r w:rsidRPr="003006D9">
        <w:rPr>
          <w:rFonts w:cs="Arial"/>
          <w:b/>
          <w:szCs w:val="24"/>
        </w:rPr>
        <w:t>i)</w:t>
      </w:r>
      <w:r w:rsidRPr="003006D9">
        <w:rPr>
          <w:rFonts w:cs="Arial"/>
          <w:szCs w:val="24"/>
        </w:rPr>
        <w:t xml:space="preserve"> La violación al derecho de defensa de FEDEPALMA, por la mención de causales de nulidad que no fueron alegadas por el ICA en la demanda de reconvención y que no hicieron parte de la litis – concretamente </w:t>
      </w:r>
      <w:r w:rsidR="005A09CE" w:rsidRPr="003006D9">
        <w:rPr>
          <w:rFonts w:cs="Arial"/>
          <w:szCs w:val="24"/>
        </w:rPr>
        <w:t>se refirió a</w:t>
      </w:r>
      <w:r w:rsidRPr="003006D9">
        <w:rPr>
          <w:rFonts w:cs="Arial"/>
          <w:szCs w:val="24"/>
        </w:rPr>
        <w:t xml:space="preserve">l incumplimiento en la enajenación de bienes públicos y la </w:t>
      </w:r>
      <w:r w:rsidR="00A61A0A" w:rsidRPr="003006D9">
        <w:rPr>
          <w:rFonts w:cs="Arial"/>
          <w:szCs w:val="24"/>
        </w:rPr>
        <w:t>enajenación de un bien asignado para propósitos misionales</w:t>
      </w:r>
      <w:r w:rsidRPr="003006D9">
        <w:rPr>
          <w:rFonts w:cs="Arial"/>
          <w:szCs w:val="24"/>
        </w:rPr>
        <w:t xml:space="preserve">; </w:t>
      </w:r>
      <w:r w:rsidRPr="003006D9">
        <w:rPr>
          <w:rFonts w:cs="Arial"/>
          <w:b/>
          <w:szCs w:val="24"/>
        </w:rPr>
        <w:t>ii)</w:t>
      </w:r>
      <w:r w:rsidRPr="003006D9">
        <w:rPr>
          <w:rFonts w:cs="Arial"/>
          <w:szCs w:val="24"/>
        </w:rPr>
        <w:t xml:space="preserve"> </w:t>
      </w:r>
      <w:r w:rsidR="00A61A0A" w:rsidRPr="003006D9">
        <w:rPr>
          <w:rFonts w:cs="Arial"/>
          <w:szCs w:val="24"/>
        </w:rPr>
        <w:t xml:space="preserve">la inexistente motivación del fallo, toda vez que el Tribunal </w:t>
      </w:r>
      <w:r w:rsidR="00A61A0A" w:rsidRPr="003006D9">
        <w:rPr>
          <w:rFonts w:cs="Arial"/>
          <w:i/>
          <w:szCs w:val="24"/>
        </w:rPr>
        <w:t>a quo</w:t>
      </w:r>
      <w:r w:rsidR="00A61A0A" w:rsidRPr="003006D9">
        <w:rPr>
          <w:rFonts w:cs="Arial"/>
          <w:szCs w:val="24"/>
        </w:rPr>
        <w:t xml:space="preserve"> enlistó las causales de nulidad, invocadas pero concluyó que no </w:t>
      </w:r>
      <w:r w:rsidR="00757848" w:rsidRPr="003006D9">
        <w:rPr>
          <w:rFonts w:cs="Arial"/>
          <w:szCs w:val="24"/>
        </w:rPr>
        <w:t xml:space="preserve">se </w:t>
      </w:r>
      <w:r w:rsidR="00A61A0A" w:rsidRPr="003006D9">
        <w:rPr>
          <w:rFonts w:cs="Arial"/>
          <w:szCs w:val="24"/>
        </w:rPr>
        <w:t xml:space="preserve">configuraban; </w:t>
      </w:r>
      <w:r w:rsidR="00A61A0A" w:rsidRPr="003006D9">
        <w:rPr>
          <w:rFonts w:cs="Arial"/>
          <w:b/>
          <w:szCs w:val="24"/>
        </w:rPr>
        <w:t>iii)</w:t>
      </w:r>
      <w:r w:rsidR="00A61A0A" w:rsidRPr="003006D9">
        <w:rPr>
          <w:rFonts w:cs="Arial"/>
          <w:szCs w:val="24"/>
        </w:rPr>
        <w:t xml:space="preserve"> la</w:t>
      </w:r>
      <w:r w:rsidR="00656AA5" w:rsidRPr="003006D9">
        <w:rPr>
          <w:rFonts w:cs="Arial"/>
          <w:szCs w:val="24"/>
        </w:rPr>
        <w:t xml:space="preserve"> </w:t>
      </w:r>
      <w:r w:rsidR="00A61A0A" w:rsidRPr="003006D9">
        <w:rPr>
          <w:rFonts w:cs="Arial"/>
          <w:szCs w:val="24"/>
        </w:rPr>
        <w:t xml:space="preserve">inexistencia de </w:t>
      </w:r>
      <w:r w:rsidR="00A61A0A" w:rsidRPr="003006D9">
        <w:rPr>
          <w:rFonts w:cs="Arial"/>
          <w:szCs w:val="24"/>
        </w:rPr>
        <w:lastRenderedPageBreak/>
        <w:t xml:space="preserve">análisis y </w:t>
      </w:r>
      <w:r w:rsidR="00387DE0" w:rsidRPr="003006D9">
        <w:rPr>
          <w:rFonts w:cs="Arial"/>
          <w:szCs w:val="24"/>
        </w:rPr>
        <w:t xml:space="preserve">de </w:t>
      </w:r>
      <w:r w:rsidR="00A61A0A" w:rsidRPr="003006D9">
        <w:rPr>
          <w:rFonts w:cs="Arial"/>
          <w:szCs w:val="24"/>
        </w:rPr>
        <w:t>sustento probatorio</w:t>
      </w:r>
      <w:r w:rsidR="00644A9B" w:rsidRPr="003006D9">
        <w:rPr>
          <w:rFonts w:cs="Arial"/>
          <w:szCs w:val="24"/>
        </w:rPr>
        <w:t xml:space="preserve">, toda vez que </w:t>
      </w:r>
      <w:r w:rsidR="00387DE0" w:rsidRPr="003006D9">
        <w:rPr>
          <w:rFonts w:cs="Arial"/>
          <w:szCs w:val="24"/>
        </w:rPr>
        <w:t xml:space="preserve">el Tribunal </w:t>
      </w:r>
      <w:r w:rsidR="00644A9B" w:rsidRPr="003006D9">
        <w:rPr>
          <w:rFonts w:cs="Arial"/>
          <w:szCs w:val="24"/>
        </w:rPr>
        <w:t>valoró adecuadamente los pliegos</w:t>
      </w:r>
      <w:r w:rsidR="00387DE0" w:rsidRPr="003006D9">
        <w:rPr>
          <w:rFonts w:cs="Arial"/>
          <w:szCs w:val="24"/>
        </w:rPr>
        <w:t xml:space="preserve"> de condiciones </w:t>
      </w:r>
      <w:r w:rsidR="00644A9B" w:rsidRPr="003006D9">
        <w:rPr>
          <w:rFonts w:cs="Arial"/>
          <w:szCs w:val="24"/>
        </w:rPr>
        <w:t>pero llegó a la conclusión de la nulidad sin la</w:t>
      </w:r>
      <w:r w:rsidR="00387DE0" w:rsidRPr="003006D9">
        <w:rPr>
          <w:rFonts w:cs="Arial"/>
          <w:szCs w:val="24"/>
        </w:rPr>
        <w:t xml:space="preserve"> </w:t>
      </w:r>
      <w:r w:rsidR="00644A9B" w:rsidRPr="003006D9">
        <w:rPr>
          <w:rFonts w:cs="Arial"/>
          <w:szCs w:val="24"/>
        </w:rPr>
        <w:t>m</w:t>
      </w:r>
      <w:r w:rsidR="004C29F2" w:rsidRPr="003006D9">
        <w:rPr>
          <w:rFonts w:cs="Arial"/>
          <w:szCs w:val="24"/>
        </w:rPr>
        <w:t>ínima</w:t>
      </w:r>
      <w:r w:rsidR="00644A9B" w:rsidRPr="003006D9">
        <w:rPr>
          <w:rFonts w:cs="Arial"/>
          <w:szCs w:val="24"/>
        </w:rPr>
        <w:t xml:space="preserve"> mención de causalidad entre las pruebas que se citaron y las conclusiones del fallo; </w:t>
      </w:r>
      <w:r w:rsidR="00644A9B" w:rsidRPr="003006D9">
        <w:rPr>
          <w:rFonts w:cs="Arial"/>
          <w:b/>
          <w:szCs w:val="24"/>
        </w:rPr>
        <w:t>iv)</w:t>
      </w:r>
      <w:r w:rsidR="00644A9B" w:rsidRPr="003006D9">
        <w:rPr>
          <w:rFonts w:cs="Arial"/>
          <w:szCs w:val="24"/>
        </w:rPr>
        <w:t xml:space="preserve"> </w:t>
      </w:r>
      <w:r w:rsidR="005A09CE" w:rsidRPr="003006D9">
        <w:rPr>
          <w:rFonts w:cs="Arial"/>
          <w:szCs w:val="24"/>
        </w:rPr>
        <w:t xml:space="preserve">la </w:t>
      </w:r>
      <w:r w:rsidR="00644A9B" w:rsidRPr="003006D9">
        <w:rPr>
          <w:rFonts w:cs="Arial"/>
          <w:szCs w:val="24"/>
        </w:rPr>
        <w:t>improcedencia sustantiva de las con</w:t>
      </w:r>
      <w:r w:rsidR="004C29F2" w:rsidRPr="003006D9">
        <w:rPr>
          <w:rFonts w:cs="Arial"/>
          <w:szCs w:val="24"/>
        </w:rPr>
        <w:t>c</w:t>
      </w:r>
      <w:r w:rsidR="00644A9B" w:rsidRPr="003006D9">
        <w:rPr>
          <w:rFonts w:cs="Arial"/>
          <w:szCs w:val="24"/>
        </w:rPr>
        <w:t>lu</w:t>
      </w:r>
      <w:r w:rsidR="004C29F2" w:rsidRPr="003006D9">
        <w:rPr>
          <w:rFonts w:cs="Arial"/>
          <w:szCs w:val="24"/>
        </w:rPr>
        <w:t>s</w:t>
      </w:r>
      <w:r w:rsidR="00644A9B" w:rsidRPr="003006D9">
        <w:rPr>
          <w:rFonts w:cs="Arial"/>
          <w:szCs w:val="24"/>
        </w:rPr>
        <w:t>iones del fallo y de la</w:t>
      </w:r>
      <w:r w:rsidR="00047EA8" w:rsidRPr="003006D9">
        <w:rPr>
          <w:rFonts w:cs="Arial"/>
          <w:szCs w:val="24"/>
        </w:rPr>
        <w:t>s</w:t>
      </w:r>
      <w:r w:rsidR="005A09CE" w:rsidRPr="003006D9">
        <w:rPr>
          <w:rFonts w:cs="Arial"/>
          <w:szCs w:val="24"/>
        </w:rPr>
        <w:t xml:space="preserve"> </w:t>
      </w:r>
      <w:r w:rsidR="00644A9B" w:rsidRPr="003006D9">
        <w:rPr>
          <w:rFonts w:cs="Arial"/>
          <w:szCs w:val="24"/>
        </w:rPr>
        <w:t xml:space="preserve">causales de nulidad. </w:t>
      </w:r>
      <w:r w:rsidR="00676215" w:rsidRPr="003006D9">
        <w:rPr>
          <w:rFonts w:cs="Arial"/>
          <w:szCs w:val="24"/>
        </w:rPr>
        <w:t>La apelante e</w:t>
      </w:r>
      <w:r w:rsidR="00644A9B" w:rsidRPr="003006D9">
        <w:rPr>
          <w:rFonts w:cs="Arial"/>
          <w:szCs w:val="24"/>
        </w:rPr>
        <w:t>xpuso que la sola intención d</w:t>
      </w:r>
      <w:r w:rsidR="00E16D6D" w:rsidRPr="003006D9">
        <w:rPr>
          <w:rFonts w:cs="Arial"/>
          <w:szCs w:val="24"/>
        </w:rPr>
        <w:t>e p</w:t>
      </w:r>
      <w:r w:rsidR="00644A9B" w:rsidRPr="003006D9">
        <w:rPr>
          <w:rFonts w:cs="Arial"/>
          <w:szCs w:val="24"/>
        </w:rPr>
        <w:t>roteger el patrimonio del Estado no es causal de nulidad y a</w:t>
      </w:r>
      <w:r w:rsidR="00757848" w:rsidRPr="003006D9">
        <w:rPr>
          <w:rFonts w:cs="Arial"/>
          <w:szCs w:val="24"/>
        </w:rPr>
        <w:t>dvirtió</w:t>
      </w:r>
      <w:r w:rsidR="00644A9B" w:rsidRPr="003006D9">
        <w:rPr>
          <w:rFonts w:cs="Arial"/>
          <w:szCs w:val="24"/>
        </w:rPr>
        <w:t xml:space="preserve"> que en todo caso el Estado debe responder</w:t>
      </w:r>
      <w:r w:rsidR="00047EA8" w:rsidRPr="003006D9">
        <w:rPr>
          <w:rFonts w:cs="Arial"/>
          <w:szCs w:val="24"/>
        </w:rPr>
        <w:t xml:space="preserve"> por la indemnización de </w:t>
      </w:r>
      <w:r w:rsidR="00676215" w:rsidRPr="003006D9">
        <w:rPr>
          <w:rFonts w:cs="Arial"/>
          <w:szCs w:val="24"/>
        </w:rPr>
        <w:t xml:space="preserve">los </w:t>
      </w:r>
      <w:r w:rsidR="00047EA8" w:rsidRPr="003006D9">
        <w:rPr>
          <w:rFonts w:cs="Arial"/>
          <w:szCs w:val="24"/>
        </w:rPr>
        <w:t>perjuicios</w:t>
      </w:r>
      <w:r w:rsidR="00676215" w:rsidRPr="003006D9">
        <w:rPr>
          <w:rFonts w:cs="Arial"/>
          <w:szCs w:val="24"/>
        </w:rPr>
        <w:t xml:space="preserve"> que cause</w:t>
      </w:r>
      <w:r w:rsidR="00047EA8" w:rsidRPr="003006D9">
        <w:rPr>
          <w:rFonts w:cs="Arial"/>
          <w:szCs w:val="24"/>
        </w:rPr>
        <w:t>.</w:t>
      </w:r>
      <w:r w:rsidR="00644A9B" w:rsidRPr="003006D9">
        <w:rPr>
          <w:rFonts w:cs="Arial"/>
          <w:szCs w:val="24"/>
        </w:rPr>
        <w:t xml:space="preserve"> </w:t>
      </w:r>
    </w:p>
    <w:p w:rsidR="00387DE0" w:rsidRPr="003006D9" w:rsidRDefault="00387DE0" w:rsidP="007B4785">
      <w:pPr>
        <w:pStyle w:val="Textoindependiente"/>
        <w:rPr>
          <w:rFonts w:cs="Arial"/>
          <w:szCs w:val="24"/>
        </w:rPr>
      </w:pPr>
    </w:p>
    <w:p w:rsidR="00387DE0" w:rsidRPr="003006D9" w:rsidRDefault="00047EA8" w:rsidP="007B4785">
      <w:pPr>
        <w:pStyle w:val="Textoindependiente"/>
        <w:rPr>
          <w:rFonts w:cs="Arial"/>
          <w:szCs w:val="24"/>
        </w:rPr>
      </w:pPr>
      <w:r w:rsidRPr="003006D9">
        <w:rPr>
          <w:rFonts w:cs="Arial"/>
          <w:szCs w:val="24"/>
        </w:rPr>
        <w:t xml:space="preserve">FEDEPALMA  agregó </w:t>
      </w:r>
      <w:r w:rsidR="00B2554E" w:rsidRPr="003006D9">
        <w:rPr>
          <w:rFonts w:cs="Arial"/>
          <w:szCs w:val="24"/>
        </w:rPr>
        <w:t>que no existe prueba que permita desestimar los avalúos y que</w:t>
      </w:r>
      <w:r w:rsidR="00757848" w:rsidRPr="003006D9">
        <w:rPr>
          <w:rFonts w:cs="Arial"/>
          <w:szCs w:val="24"/>
        </w:rPr>
        <w:t>,</w:t>
      </w:r>
      <w:r w:rsidR="00B2554E" w:rsidRPr="003006D9">
        <w:rPr>
          <w:rFonts w:cs="Arial"/>
          <w:szCs w:val="24"/>
        </w:rPr>
        <w:t xml:space="preserve"> en todo caso, el avalúo utilizado arrojó un valor m</w:t>
      </w:r>
      <w:r w:rsidRPr="003006D9">
        <w:rPr>
          <w:rFonts w:cs="Arial"/>
          <w:szCs w:val="24"/>
        </w:rPr>
        <w:t>á</w:t>
      </w:r>
      <w:r w:rsidR="00B2554E" w:rsidRPr="003006D9">
        <w:rPr>
          <w:rFonts w:cs="Arial"/>
          <w:szCs w:val="24"/>
        </w:rPr>
        <w:t>s alto que los que se practicaron con posterioridad a la adjudicación.</w:t>
      </w:r>
      <w:r w:rsidR="00E30D0E" w:rsidRPr="003006D9">
        <w:rPr>
          <w:rFonts w:cs="Arial"/>
          <w:szCs w:val="24"/>
        </w:rPr>
        <w:t xml:space="preserve"> Finalmente, observó que de acuerdo con la</w:t>
      </w:r>
      <w:r w:rsidR="00066599" w:rsidRPr="003006D9">
        <w:rPr>
          <w:rFonts w:cs="Arial"/>
          <w:szCs w:val="24"/>
        </w:rPr>
        <w:t xml:space="preserve"> </w:t>
      </w:r>
      <w:r w:rsidR="00E30D0E" w:rsidRPr="003006D9">
        <w:rPr>
          <w:rFonts w:cs="Arial"/>
          <w:szCs w:val="24"/>
        </w:rPr>
        <w:t xml:space="preserve">jurisprudencia del Consejo de </w:t>
      </w:r>
      <w:r w:rsidR="00387DE0" w:rsidRPr="003006D9">
        <w:rPr>
          <w:rFonts w:cs="Arial"/>
          <w:szCs w:val="24"/>
        </w:rPr>
        <w:t>E</w:t>
      </w:r>
      <w:r w:rsidR="00E30D0E" w:rsidRPr="003006D9">
        <w:rPr>
          <w:rFonts w:cs="Arial"/>
          <w:szCs w:val="24"/>
        </w:rPr>
        <w:t>stado era viable l</w:t>
      </w:r>
      <w:r w:rsidR="00387DE0" w:rsidRPr="003006D9">
        <w:rPr>
          <w:rFonts w:cs="Arial"/>
          <w:szCs w:val="24"/>
        </w:rPr>
        <w:t>a</w:t>
      </w:r>
      <w:r w:rsidR="00E30D0E" w:rsidRPr="003006D9">
        <w:rPr>
          <w:rFonts w:cs="Arial"/>
          <w:szCs w:val="24"/>
        </w:rPr>
        <w:t xml:space="preserve"> adjudicación </w:t>
      </w:r>
      <w:r w:rsidR="00D33F20" w:rsidRPr="003006D9">
        <w:rPr>
          <w:rFonts w:cs="Arial"/>
          <w:szCs w:val="24"/>
        </w:rPr>
        <w:t xml:space="preserve">en el </w:t>
      </w:r>
      <w:r w:rsidR="00E30D0E" w:rsidRPr="003006D9">
        <w:rPr>
          <w:rFonts w:cs="Arial"/>
          <w:szCs w:val="24"/>
        </w:rPr>
        <w:t>proce</w:t>
      </w:r>
      <w:r w:rsidR="00D33F20" w:rsidRPr="003006D9">
        <w:rPr>
          <w:rFonts w:cs="Arial"/>
          <w:szCs w:val="24"/>
        </w:rPr>
        <w:t xml:space="preserve">dimiento </w:t>
      </w:r>
      <w:r w:rsidR="00E30D0E" w:rsidRPr="003006D9">
        <w:rPr>
          <w:rFonts w:cs="Arial"/>
          <w:szCs w:val="24"/>
        </w:rPr>
        <w:t xml:space="preserve"> de selección ab</w:t>
      </w:r>
      <w:r w:rsidRPr="003006D9">
        <w:rPr>
          <w:rFonts w:cs="Arial"/>
          <w:szCs w:val="24"/>
        </w:rPr>
        <w:t xml:space="preserve">reviada </w:t>
      </w:r>
      <w:r w:rsidR="00E30D0E" w:rsidRPr="003006D9">
        <w:rPr>
          <w:rFonts w:cs="Arial"/>
          <w:szCs w:val="24"/>
        </w:rPr>
        <w:t>a</w:t>
      </w:r>
      <w:r w:rsidR="00387DE0" w:rsidRPr="003006D9">
        <w:rPr>
          <w:rFonts w:cs="Arial"/>
          <w:szCs w:val="24"/>
        </w:rPr>
        <w:t xml:space="preserve">unque se hubiera </w:t>
      </w:r>
      <w:r w:rsidR="00E30D0E" w:rsidRPr="003006D9">
        <w:rPr>
          <w:rFonts w:cs="Arial"/>
          <w:szCs w:val="24"/>
        </w:rPr>
        <w:t xml:space="preserve">presentado un solo proponente. </w:t>
      </w:r>
    </w:p>
    <w:p w:rsidR="00387DE0" w:rsidRPr="003006D9" w:rsidRDefault="00387DE0" w:rsidP="007B4785">
      <w:pPr>
        <w:pStyle w:val="Textoindependiente"/>
        <w:rPr>
          <w:rFonts w:cs="Arial"/>
          <w:szCs w:val="24"/>
        </w:rPr>
      </w:pPr>
    </w:p>
    <w:p w:rsidR="00C366E2" w:rsidRPr="003006D9" w:rsidRDefault="004D7F78" w:rsidP="007B4785">
      <w:pPr>
        <w:pStyle w:val="Textoindependiente"/>
        <w:rPr>
          <w:rFonts w:cs="Arial"/>
          <w:szCs w:val="24"/>
        </w:rPr>
      </w:pPr>
      <w:r w:rsidRPr="003006D9">
        <w:rPr>
          <w:rFonts w:cs="Arial"/>
          <w:szCs w:val="24"/>
        </w:rPr>
        <w:t>En relación con el detrimento patrimonial</w:t>
      </w:r>
      <w:r w:rsidR="002C550D" w:rsidRPr="003006D9">
        <w:rPr>
          <w:rFonts w:cs="Arial"/>
          <w:szCs w:val="24"/>
        </w:rPr>
        <w:t>,</w:t>
      </w:r>
      <w:r w:rsidRPr="003006D9">
        <w:rPr>
          <w:rFonts w:cs="Arial"/>
          <w:szCs w:val="24"/>
        </w:rPr>
        <w:t xml:space="preserve"> argumentó </w:t>
      </w:r>
      <w:r w:rsidR="00C366E2" w:rsidRPr="003006D9">
        <w:rPr>
          <w:rFonts w:cs="Arial"/>
          <w:szCs w:val="24"/>
        </w:rPr>
        <w:t>que en el expediente constaba un avalúo del predio “La Providencia”, colindan</w:t>
      </w:r>
      <w:r w:rsidRPr="003006D9">
        <w:rPr>
          <w:rFonts w:cs="Arial"/>
          <w:szCs w:val="24"/>
        </w:rPr>
        <w:t>t</w:t>
      </w:r>
      <w:r w:rsidR="00C366E2" w:rsidRPr="003006D9">
        <w:rPr>
          <w:rFonts w:cs="Arial"/>
          <w:szCs w:val="24"/>
        </w:rPr>
        <w:t xml:space="preserve">e con El Mira, del cual </w:t>
      </w:r>
      <w:r w:rsidR="00AF610F" w:rsidRPr="003006D9">
        <w:rPr>
          <w:rFonts w:cs="Arial"/>
          <w:szCs w:val="24"/>
        </w:rPr>
        <w:t xml:space="preserve">afirmó que </w:t>
      </w:r>
      <w:r w:rsidR="00C366E2" w:rsidRPr="003006D9">
        <w:rPr>
          <w:rFonts w:cs="Arial"/>
          <w:szCs w:val="24"/>
        </w:rPr>
        <w:t>el precio por hectárea e</w:t>
      </w:r>
      <w:r w:rsidR="00676215" w:rsidRPr="003006D9">
        <w:rPr>
          <w:rFonts w:cs="Arial"/>
          <w:szCs w:val="24"/>
        </w:rPr>
        <w:t>ra</w:t>
      </w:r>
      <w:r w:rsidR="00C366E2" w:rsidRPr="003006D9">
        <w:rPr>
          <w:rFonts w:cs="Arial"/>
          <w:szCs w:val="24"/>
        </w:rPr>
        <w:t xml:space="preserve"> similar al de la adjudicación materia de debate en este proceso.</w:t>
      </w:r>
    </w:p>
    <w:p w:rsidR="00B2554E" w:rsidRPr="003006D9" w:rsidRDefault="00B2554E" w:rsidP="007B4785">
      <w:pPr>
        <w:pStyle w:val="Textoindependiente"/>
        <w:rPr>
          <w:rFonts w:cs="Arial"/>
          <w:szCs w:val="24"/>
        </w:rPr>
      </w:pPr>
    </w:p>
    <w:p w:rsidR="004D7F78" w:rsidRPr="003006D9" w:rsidRDefault="00387DE0" w:rsidP="007B4785">
      <w:pPr>
        <w:pStyle w:val="Textoindependiente"/>
        <w:rPr>
          <w:rFonts w:cs="Arial"/>
          <w:szCs w:val="24"/>
        </w:rPr>
      </w:pPr>
      <w:r w:rsidRPr="003006D9">
        <w:rPr>
          <w:rFonts w:cs="Arial"/>
          <w:szCs w:val="24"/>
        </w:rPr>
        <w:t>Finalmente a</w:t>
      </w:r>
      <w:r w:rsidR="004D7F78" w:rsidRPr="003006D9">
        <w:rPr>
          <w:rFonts w:cs="Arial"/>
          <w:szCs w:val="24"/>
        </w:rPr>
        <w:t>nexó como prueba un auto de 31 de octubre de 2012, proferido por la Procuraduría Segunda Delegada para la Contratación Estata</w:t>
      </w:r>
      <w:r w:rsidR="00066599" w:rsidRPr="003006D9">
        <w:rPr>
          <w:rFonts w:cs="Arial"/>
          <w:szCs w:val="24"/>
        </w:rPr>
        <w:t>l</w:t>
      </w:r>
      <w:r w:rsidR="004D7F78" w:rsidRPr="003006D9">
        <w:rPr>
          <w:rFonts w:cs="Arial"/>
          <w:szCs w:val="24"/>
        </w:rPr>
        <w:t xml:space="preserve">, </w:t>
      </w:r>
      <w:r w:rsidR="00066599" w:rsidRPr="003006D9">
        <w:rPr>
          <w:rFonts w:cs="Arial"/>
          <w:szCs w:val="24"/>
        </w:rPr>
        <w:t>mediante el cual se archiv</w:t>
      </w:r>
      <w:r w:rsidR="00D7145D" w:rsidRPr="003006D9">
        <w:rPr>
          <w:rFonts w:cs="Arial"/>
          <w:szCs w:val="24"/>
        </w:rPr>
        <w:t>ó</w:t>
      </w:r>
      <w:r w:rsidR="00066599" w:rsidRPr="003006D9">
        <w:rPr>
          <w:rFonts w:cs="Arial"/>
          <w:szCs w:val="24"/>
        </w:rPr>
        <w:t xml:space="preserve"> la diligencia preliminar </w:t>
      </w:r>
      <w:r w:rsidR="002222CF" w:rsidRPr="003006D9">
        <w:rPr>
          <w:rFonts w:cs="Arial"/>
          <w:szCs w:val="24"/>
        </w:rPr>
        <w:t xml:space="preserve">adelantada </w:t>
      </w:r>
      <w:r w:rsidR="00066599" w:rsidRPr="003006D9">
        <w:rPr>
          <w:rFonts w:cs="Arial"/>
          <w:szCs w:val="24"/>
        </w:rPr>
        <w:t xml:space="preserve">contra el </w:t>
      </w:r>
      <w:r w:rsidRPr="003006D9">
        <w:rPr>
          <w:rFonts w:cs="Arial"/>
          <w:szCs w:val="24"/>
        </w:rPr>
        <w:t xml:space="preserve">funcionario </w:t>
      </w:r>
      <w:r w:rsidR="00066599" w:rsidRPr="003006D9">
        <w:rPr>
          <w:rFonts w:cs="Arial"/>
          <w:szCs w:val="24"/>
        </w:rPr>
        <w:t>Héctor José García Santiago.</w:t>
      </w:r>
      <w:r w:rsidR="00D7145D" w:rsidRPr="003006D9">
        <w:rPr>
          <w:rFonts w:cs="Arial"/>
          <w:szCs w:val="24"/>
        </w:rPr>
        <w:t xml:space="preserve"> Dich</w:t>
      </w:r>
      <w:r w:rsidR="002C550D" w:rsidRPr="003006D9">
        <w:rPr>
          <w:rFonts w:cs="Arial"/>
          <w:szCs w:val="24"/>
        </w:rPr>
        <w:t xml:space="preserve">o pronunciamiento </w:t>
      </w:r>
      <w:r w:rsidR="00D7145D" w:rsidRPr="003006D9">
        <w:rPr>
          <w:rFonts w:cs="Arial"/>
          <w:szCs w:val="24"/>
        </w:rPr>
        <w:t>se decretó como prueba mediante auto de 24 de septiembre de 2015, en segunda instancia</w:t>
      </w:r>
      <w:r w:rsidR="00D7145D" w:rsidRPr="003006D9">
        <w:rPr>
          <w:rStyle w:val="Refdenotaalpie"/>
          <w:rFonts w:cs="Arial"/>
          <w:szCs w:val="24"/>
        </w:rPr>
        <w:footnoteReference w:id="13"/>
      </w:r>
      <w:r w:rsidR="00D7145D" w:rsidRPr="003006D9">
        <w:rPr>
          <w:rFonts w:cs="Arial"/>
          <w:szCs w:val="24"/>
        </w:rPr>
        <w:t>.</w:t>
      </w:r>
    </w:p>
    <w:p w:rsidR="00066599" w:rsidRPr="003006D9" w:rsidRDefault="00066599" w:rsidP="007B4785">
      <w:pPr>
        <w:pStyle w:val="Textoindependiente"/>
        <w:rPr>
          <w:rFonts w:cs="Arial"/>
          <w:szCs w:val="24"/>
        </w:rPr>
      </w:pPr>
    </w:p>
    <w:p w:rsidR="00066599" w:rsidRPr="003006D9" w:rsidRDefault="00951634" w:rsidP="007B4785">
      <w:pPr>
        <w:pStyle w:val="Textoindependiente"/>
        <w:rPr>
          <w:rFonts w:cs="Arial"/>
          <w:b/>
          <w:szCs w:val="24"/>
        </w:rPr>
      </w:pPr>
      <w:r w:rsidRPr="003006D9">
        <w:rPr>
          <w:rFonts w:cs="Arial"/>
          <w:b/>
          <w:szCs w:val="24"/>
        </w:rPr>
        <w:t>9</w:t>
      </w:r>
      <w:r w:rsidR="00066599" w:rsidRPr="003006D9">
        <w:rPr>
          <w:rFonts w:cs="Arial"/>
          <w:b/>
          <w:szCs w:val="24"/>
        </w:rPr>
        <w:t>. Diligencias de conciliación en segunda instancia</w:t>
      </w:r>
    </w:p>
    <w:p w:rsidR="009319E4" w:rsidRPr="003006D9" w:rsidRDefault="009319E4" w:rsidP="007B4785">
      <w:pPr>
        <w:pStyle w:val="Textoindependiente"/>
        <w:rPr>
          <w:rFonts w:cs="Arial"/>
          <w:szCs w:val="24"/>
        </w:rPr>
      </w:pPr>
    </w:p>
    <w:p w:rsidR="007273C1" w:rsidRPr="003006D9" w:rsidRDefault="009319E4" w:rsidP="00067466">
      <w:pPr>
        <w:pStyle w:val="Textoindependiente"/>
        <w:rPr>
          <w:rFonts w:cs="Arial"/>
          <w:szCs w:val="24"/>
        </w:rPr>
      </w:pPr>
      <w:r w:rsidRPr="003006D9">
        <w:rPr>
          <w:rFonts w:cs="Arial"/>
          <w:szCs w:val="24"/>
        </w:rPr>
        <w:t xml:space="preserve">El 23 de septiembre de 2014 se llevó a cabo la audiencia de conciliación judicial, </w:t>
      </w:r>
      <w:r w:rsidR="00067466" w:rsidRPr="003006D9">
        <w:rPr>
          <w:rFonts w:cs="Arial"/>
          <w:szCs w:val="24"/>
        </w:rPr>
        <w:t>sin acuerdo entre las partes. El 4 de marzo de 2015, se declaró fallida la diligencia de conciliación, ante la inasistencia del ICA</w:t>
      </w:r>
      <w:r w:rsidR="00067466" w:rsidRPr="003006D9">
        <w:rPr>
          <w:rStyle w:val="Refdenotaalpie"/>
          <w:rFonts w:cs="Arial"/>
          <w:szCs w:val="24"/>
        </w:rPr>
        <w:footnoteReference w:id="14"/>
      </w:r>
      <w:r w:rsidR="00067466" w:rsidRPr="003006D9">
        <w:rPr>
          <w:rFonts w:cs="Arial"/>
          <w:szCs w:val="24"/>
        </w:rPr>
        <w:t xml:space="preserve">. </w:t>
      </w:r>
    </w:p>
    <w:p w:rsidR="005F1698" w:rsidRPr="003006D9" w:rsidRDefault="005F1698" w:rsidP="00106CCD">
      <w:pPr>
        <w:rPr>
          <w:rFonts w:cs="Arial"/>
          <w:bCs/>
          <w:lang w:val="es-MX"/>
        </w:rPr>
      </w:pPr>
    </w:p>
    <w:p w:rsidR="00771917" w:rsidRPr="003006D9" w:rsidRDefault="00951634" w:rsidP="00484F35">
      <w:pPr>
        <w:rPr>
          <w:rFonts w:cs="Arial"/>
          <w:b/>
          <w:bCs/>
          <w:lang w:val="es-MX"/>
        </w:rPr>
      </w:pPr>
      <w:r w:rsidRPr="003006D9">
        <w:rPr>
          <w:rFonts w:cs="Arial"/>
          <w:b/>
          <w:bCs/>
          <w:lang w:val="es-MX"/>
        </w:rPr>
        <w:t>10</w:t>
      </w:r>
      <w:r w:rsidR="002D0DAD" w:rsidRPr="003006D9">
        <w:rPr>
          <w:rFonts w:cs="Arial"/>
          <w:b/>
          <w:bCs/>
          <w:lang w:val="es-MX"/>
        </w:rPr>
        <w:t>.</w:t>
      </w:r>
      <w:r w:rsidR="00B82FEE" w:rsidRPr="003006D9">
        <w:rPr>
          <w:rFonts w:cs="Arial"/>
          <w:b/>
          <w:bCs/>
          <w:lang w:val="es-MX"/>
        </w:rPr>
        <w:t xml:space="preserve"> </w:t>
      </w:r>
      <w:r w:rsidR="007B4785" w:rsidRPr="003006D9">
        <w:rPr>
          <w:rFonts w:cs="Arial"/>
          <w:b/>
          <w:bCs/>
          <w:lang w:val="es-MX"/>
        </w:rPr>
        <w:t>Alegatos en segunda instancia</w:t>
      </w:r>
    </w:p>
    <w:p w:rsidR="007B4785" w:rsidRPr="003006D9" w:rsidRDefault="007B4785" w:rsidP="00484F35">
      <w:pPr>
        <w:rPr>
          <w:rFonts w:cs="Arial"/>
          <w:bCs/>
          <w:lang w:val="es-MX"/>
        </w:rPr>
      </w:pPr>
    </w:p>
    <w:p w:rsidR="00CF14BC" w:rsidRPr="003006D9" w:rsidRDefault="0018333A" w:rsidP="00484F35">
      <w:pPr>
        <w:rPr>
          <w:rFonts w:cs="Arial"/>
          <w:bCs/>
          <w:lang w:val="es-MX"/>
        </w:rPr>
      </w:pPr>
      <w:r w:rsidRPr="003006D9">
        <w:rPr>
          <w:rFonts w:cs="Arial"/>
          <w:bCs/>
          <w:lang w:val="es-MX"/>
        </w:rPr>
        <w:lastRenderedPageBreak/>
        <w:t xml:space="preserve">FEDEPALMA reiteró </w:t>
      </w:r>
      <w:r w:rsidR="00CB1553" w:rsidRPr="003006D9">
        <w:rPr>
          <w:rFonts w:cs="Arial"/>
          <w:bCs/>
          <w:lang w:val="es-MX"/>
        </w:rPr>
        <w:t xml:space="preserve">el contenido de la demanda y de la apelación. Expuso el análisis del Decreto 2474 de 2008 acerca de la adjudicación con oferta única; </w:t>
      </w:r>
      <w:r w:rsidR="008878AE" w:rsidRPr="003006D9">
        <w:rPr>
          <w:rFonts w:cs="Arial"/>
          <w:bCs/>
          <w:lang w:val="es-MX"/>
        </w:rPr>
        <w:t xml:space="preserve">afirmó </w:t>
      </w:r>
      <w:r w:rsidR="00CB1553" w:rsidRPr="003006D9">
        <w:rPr>
          <w:rFonts w:cs="Arial"/>
          <w:bCs/>
          <w:lang w:val="es-MX"/>
        </w:rPr>
        <w:t xml:space="preserve">la </w:t>
      </w:r>
      <w:r w:rsidR="00CB1553" w:rsidRPr="003006D9">
        <w:rPr>
          <w:rFonts w:cs="Arial"/>
          <w:bCs/>
          <w:i/>
          <w:lang w:val="es-MX"/>
        </w:rPr>
        <w:t>“condición de precio justo”</w:t>
      </w:r>
      <w:r w:rsidR="008878AE" w:rsidRPr="003006D9">
        <w:rPr>
          <w:rFonts w:cs="Arial"/>
          <w:bCs/>
          <w:lang w:val="es-MX"/>
        </w:rPr>
        <w:t xml:space="preserve"> que se tuvo en cuenta en la adjudicación</w:t>
      </w:r>
      <w:r w:rsidR="002513E6" w:rsidRPr="003006D9">
        <w:rPr>
          <w:rFonts w:cs="Arial"/>
          <w:bCs/>
          <w:lang w:val="es-MX"/>
        </w:rPr>
        <w:t>;</w:t>
      </w:r>
      <w:r w:rsidR="00841ABE" w:rsidRPr="003006D9">
        <w:rPr>
          <w:rFonts w:cs="Arial"/>
          <w:bCs/>
          <w:lang w:val="es-MX"/>
        </w:rPr>
        <w:t xml:space="preserve"> insistió en que el precio mínimo </w:t>
      </w:r>
      <w:r w:rsidR="008878AE" w:rsidRPr="003006D9">
        <w:rPr>
          <w:rFonts w:cs="Arial"/>
          <w:bCs/>
          <w:lang w:val="es-MX"/>
        </w:rPr>
        <w:t xml:space="preserve">de venta </w:t>
      </w:r>
      <w:r w:rsidR="00841ABE" w:rsidRPr="003006D9">
        <w:rPr>
          <w:rFonts w:cs="Arial"/>
          <w:bCs/>
          <w:lang w:val="es-MX"/>
        </w:rPr>
        <w:t xml:space="preserve">fue correctamente fijado, con base en el avalúo. Reafirmó que el ICA fue negligente en la conservación de los antecedentes administrativos </w:t>
      </w:r>
      <w:r w:rsidR="008878AE" w:rsidRPr="003006D9">
        <w:rPr>
          <w:rFonts w:cs="Arial"/>
          <w:bCs/>
          <w:lang w:val="es-MX"/>
        </w:rPr>
        <w:t xml:space="preserve">y que </w:t>
      </w:r>
      <w:r w:rsidR="00071507" w:rsidRPr="003006D9">
        <w:rPr>
          <w:rFonts w:cs="Arial"/>
          <w:bCs/>
          <w:lang w:val="es-MX"/>
        </w:rPr>
        <w:t xml:space="preserve">ello debe ser interpretado en su contra y precisamente como base de la responsabilidad </w:t>
      </w:r>
      <w:r w:rsidR="002513E6" w:rsidRPr="003006D9">
        <w:rPr>
          <w:rFonts w:cs="Arial"/>
          <w:bCs/>
          <w:lang w:val="es-MX"/>
        </w:rPr>
        <w:t xml:space="preserve">de esa entidad </w:t>
      </w:r>
      <w:r w:rsidR="00071507" w:rsidRPr="003006D9">
        <w:rPr>
          <w:rFonts w:cs="Arial"/>
          <w:bCs/>
          <w:lang w:val="es-MX"/>
        </w:rPr>
        <w:t xml:space="preserve">en los hechos que alegó. </w:t>
      </w:r>
    </w:p>
    <w:p w:rsidR="00CF14BC" w:rsidRPr="003006D9" w:rsidRDefault="00CF14BC" w:rsidP="00484F35">
      <w:pPr>
        <w:rPr>
          <w:rFonts w:cs="Arial"/>
          <w:bCs/>
          <w:lang w:val="es-MX"/>
        </w:rPr>
      </w:pPr>
    </w:p>
    <w:p w:rsidR="008878AE" w:rsidRPr="003006D9" w:rsidRDefault="00071507" w:rsidP="00484F35">
      <w:pPr>
        <w:rPr>
          <w:rFonts w:cs="Arial"/>
          <w:bCs/>
          <w:lang w:val="es-MX"/>
        </w:rPr>
      </w:pPr>
      <w:r w:rsidRPr="003006D9">
        <w:rPr>
          <w:rFonts w:cs="Arial"/>
          <w:bCs/>
          <w:lang w:val="es-MX"/>
        </w:rPr>
        <w:t>Agregó que el</w:t>
      </w:r>
      <w:r w:rsidR="008878AE" w:rsidRPr="003006D9">
        <w:rPr>
          <w:rFonts w:cs="Arial"/>
          <w:bCs/>
          <w:lang w:val="es-MX"/>
        </w:rPr>
        <w:t xml:space="preserve"> apoderado </w:t>
      </w:r>
      <w:r w:rsidRPr="003006D9">
        <w:rPr>
          <w:rFonts w:cs="Arial"/>
          <w:bCs/>
          <w:lang w:val="es-MX"/>
        </w:rPr>
        <w:t xml:space="preserve">del ICA </w:t>
      </w:r>
      <w:r w:rsidR="008878AE" w:rsidRPr="003006D9">
        <w:rPr>
          <w:rFonts w:cs="Arial"/>
          <w:bCs/>
          <w:lang w:val="es-MX"/>
        </w:rPr>
        <w:t>en e</w:t>
      </w:r>
      <w:r w:rsidRPr="003006D9">
        <w:rPr>
          <w:rFonts w:cs="Arial"/>
          <w:bCs/>
          <w:lang w:val="es-MX"/>
        </w:rPr>
        <w:t xml:space="preserve">ste </w:t>
      </w:r>
      <w:r w:rsidR="008878AE" w:rsidRPr="003006D9">
        <w:rPr>
          <w:rFonts w:cs="Arial"/>
          <w:bCs/>
          <w:lang w:val="es-MX"/>
        </w:rPr>
        <w:t>proceso utilizó la cita de los artículos 523 y 533 del Código de Procedimiento Civil por fuera de su contexto</w:t>
      </w:r>
      <w:r w:rsidRPr="003006D9">
        <w:rPr>
          <w:rFonts w:cs="Arial"/>
          <w:bCs/>
          <w:lang w:val="es-MX"/>
        </w:rPr>
        <w:t xml:space="preserve"> y en forma subjetiva</w:t>
      </w:r>
      <w:r w:rsidR="008878AE" w:rsidRPr="003006D9">
        <w:rPr>
          <w:rFonts w:cs="Arial"/>
          <w:bCs/>
          <w:lang w:val="es-MX"/>
        </w:rPr>
        <w:t>.</w:t>
      </w:r>
    </w:p>
    <w:p w:rsidR="0018333A" w:rsidRPr="003006D9" w:rsidRDefault="0018333A" w:rsidP="00484F35">
      <w:pPr>
        <w:rPr>
          <w:rFonts w:cs="Arial"/>
          <w:bCs/>
          <w:lang w:val="es-MX"/>
        </w:rPr>
      </w:pPr>
    </w:p>
    <w:p w:rsidR="006702A9" w:rsidRPr="003006D9" w:rsidRDefault="00D21852" w:rsidP="000519A7">
      <w:pPr>
        <w:rPr>
          <w:rFonts w:cs="Arial"/>
          <w:bCs/>
          <w:lang w:val="es-MX"/>
        </w:rPr>
      </w:pPr>
      <w:r w:rsidRPr="003006D9">
        <w:rPr>
          <w:rFonts w:cs="Arial"/>
          <w:bCs/>
          <w:lang w:val="es-MX"/>
        </w:rPr>
        <w:t>Por su parte, e</w:t>
      </w:r>
      <w:r w:rsidR="00436B29" w:rsidRPr="003006D9">
        <w:rPr>
          <w:rFonts w:cs="Arial"/>
          <w:bCs/>
          <w:lang w:val="es-MX"/>
        </w:rPr>
        <w:t xml:space="preserve">l ICA </w:t>
      </w:r>
      <w:r w:rsidR="00CF14BC" w:rsidRPr="003006D9">
        <w:rPr>
          <w:rFonts w:cs="Arial"/>
          <w:bCs/>
          <w:lang w:val="es-MX"/>
        </w:rPr>
        <w:t>en el alega</w:t>
      </w:r>
      <w:r w:rsidR="003F1706" w:rsidRPr="003006D9">
        <w:rPr>
          <w:rFonts w:cs="Arial"/>
          <w:bCs/>
          <w:lang w:val="es-MX"/>
        </w:rPr>
        <w:t>t</w:t>
      </w:r>
      <w:r w:rsidR="00CF14BC" w:rsidRPr="003006D9">
        <w:rPr>
          <w:rFonts w:cs="Arial"/>
          <w:bCs/>
          <w:lang w:val="es-MX"/>
        </w:rPr>
        <w:t xml:space="preserve">o de segunda instancia </w:t>
      </w:r>
      <w:r w:rsidR="004C29F2" w:rsidRPr="003006D9">
        <w:rPr>
          <w:rFonts w:cs="Arial"/>
          <w:bCs/>
          <w:lang w:val="es-MX"/>
        </w:rPr>
        <w:t xml:space="preserve">solicitó confirmar la sentencia de primera instancia, </w:t>
      </w:r>
      <w:r w:rsidR="00436B29" w:rsidRPr="003006D9">
        <w:rPr>
          <w:rFonts w:cs="Arial"/>
          <w:bCs/>
          <w:lang w:val="es-MX"/>
        </w:rPr>
        <w:t>a</w:t>
      </w:r>
      <w:r w:rsidR="00CF14BC" w:rsidRPr="003006D9">
        <w:rPr>
          <w:rFonts w:cs="Arial"/>
          <w:bCs/>
          <w:lang w:val="es-MX"/>
        </w:rPr>
        <w:t xml:space="preserve">firmó </w:t>
      </w:r>
      <w:r w:rsidR="00436B29" w:rsidRPr="003006D9">
        <w:rPr>
          <w:rFonts w:cs="Arial"/>
          <w:bCs/>
          <w:lang w:val="es-MX"/>
        </w:rPr>
        <w:t xml:space="preserve">la ilegalidad de la forma en que se determinó el precio mínimo de venta, </w:t>
      </w:r>
      <w:r w:rsidR="00CF14BC" w:rsidRPr="003006D9">
        <w:rPr>
          <w:rFonts w:cs="Arial"/>
          <w:bCs/>
          <w:lang w:val="es-MX"/>
        </w:rPr>
        <w:t>lo</w:t>
      </w:r>
      <w:r w:rsidR="00436B29" w:rsidRPr="003006D9">
        <w:rPr>
          <w:rFonts w:cs="Arial"/>
          <w:bCs/>
          <w:lang w:val="es-MX"/>
        </w:rPr>
        <w:t xml:space="preserve"> cual quedó probado </w:t>
      </w:r>
      <w:r w:rsidR="00CF14BC" w:rsidRPr="003006D9">
        <w:rPr>
          <w:rFonts w:cs="Arial"/>
          <w:bCs/>
          <w:lang w:val="es-MX"/>
        </w:rPr>
        <w:t xml:space="preserve">con </w:t>
      </w:r>
      <w:r w:rsidR="00436B29" w:rsidRPr="003006D9">
        <w:rPr>
          <w:rFonts w:cs="Arial"/>
          <w:bCs/>
          <w:lang w:val="es-MX"/>
        </w:rPr>
        <w:t>el anexo 1 del pliego de condiciones, toda vez que se utilizó la disminución de</w:t>
      </w:r>
      <w:r w:rsidR="003F1706" w:rsidRPr="003006D9">
        <w:rPr>
          <w:rFonts w:cs="Arial"/>
          <w:bCs/>
          <w:lang w:val="es-MX"/>
        </w:rPr>
        <w:t>l</w:t>
      </w:r>
      <w:r w:rsidR="00436B29" w:rsidRPr="003006D9">
        <w:rPr>
          <w:rFonts w:cs="Arial"/>
          <w:bCs/>
          <w:lang w:val="es-MX"/>
        </w:rPr>
        <w:t xml:space="preserve"> precio </w:t>
      </w:r>
      <w:r w:rsidR="006F09BA" w:rsidRPr="003006D9">
        <w:rPr>
          <w:rFonts w:cs="Arial"/>
          <w:bCs/>
          <w:lang w:val="es-MX"/>
        </w:rPr>
        <w:t xml:space="preserve">mínimo de venta por aplicación de los </w:t>
      </w:r>
      <w:r w:rsidR="00436B29" w:rsidRPr="003006D9">
        <w:rPr>
          <w:rFonts w:cs="Arial"/>
          <w:bCs/>
          <w:lang w:val="es-MX"/>
        </w:rPr>
        <w:t xml:space="preserve">artículos </w:t>
      </w:r>
      <w:r w:rsidR="006F09BA" w:rsidRPr="003006D9">
        <w:rPr>
          <w:rFonts w:cs="Arial"/>
          <w:bCs/>
          <w:lang w:val="es-MX"/>
        </w:rPr>
        <w:t>523 y 533 del Código de Procedimiento Civil. Advirtió la vi</w:t>
      </w:r>
      <w:r w:rsidR="004C29F2" w:rsidRPr="003006D9">
        <w:rPr>
          <w:rFonts w:cs="Arial"/>
          <w:bCs/>
          <w:lang w:val="es-MX"/>
        </w:rPr>
        <w:t>ol</w:t>
      </w:r>
      <w:r w:rsidR="006F09BA" w:rsidRPr="003006D9">
        <w:rPr>
          <w:rFonts w:cs="Arial"/>
          <w:bCs/>
          <w:lang w:val="es-MX"/>
        </w:rPr>
        <w:t xml:space="preserve">ación de los </w:t>
      </w:r>
      <w:r w:rsidR="00CF14BC" w:rsidRPr="003006D9">
        <w:rPr>
          <w:rFonts w:cs="Arial"/>
          <w:bCs/>
          <w:lang w:val="es-MX"/>
        </w:rPr>
        <w:t xml:space="preserve">artículos 10 y 11 del Decreto 4444 de 2008 </w:t>
      </w:r>
      <w:r w:rsidR="006F09BA" w:rsidRPr="003006D9">
        <w:rPr>
          <w:rFonts w:cs="Arial"/>
          <w:bCs/>
          <w:lang w:val="es-MX"/>
        </w:rPr>
        <w:t>que regularon l</w:t>
      </w:r>
      <w:r w:rsidR="006702A9" w:rsidRPr="003006D9">
        <w:rPr>
          <w:rFonts w:cs="Arial"/>
          <w:bCs/>
          <w:lang w:val="es-MX"/>
        </w:rPr>
        <w:t xml:space="preserve">a </w:t>
      </w:r>
      <w:r w:rsidR="006F09BA" w:rsidRPr="003006D9">
        <w:rPr>
          <w:rFonts w:cs="Arial"/>
          <w:bCs/>
          <w:lang w:val="es-MX"/>
        </w:rPr>
        <w:t>enajenación onerosa de los bienes de entidades públicas</w:t>
      </w:r>
      <w:r w:rsidR="006702A9" w:rsidRPr="003006D9">
        <w:rPr>
          <w:rFonts w:cs="Arial"/>
          <w:bCs/>
          <w:lang w:val="es-MX"/>
        </w:rPr>
        <w:t>.</w:t>
      </w:r>
    </w:p>
    <w:p w:rsidR="0018333A" w:rsidRPr="003006D9" w:rsidRDefault="0018333A" w:rsidP="00484F35">
      <w:pPr>
        <w:rPr>
          <w:rFonts w:cs="Arial"/>
          <w:bCs/>
          <w:lang w:val="es-MX"/>
        </w:rPr>
      </w:pPr>
    </w:p>
    <w:p w:rsidR="00A353B1" w:rsidRPr="003006D9" w:rsidRDefault="00951634" w:rsidP="00484F35">
      <w:pPr>
        <w:rPr>
          <w:rFonts w:cs="Arial"/>
          <w:b/>
          <w:bCs/>
          <w:lang w:val="es-MX"/>
        </w:rPr>
      </w:pPr>
      <w:r w:rsidRPr="003006D9">
        <w:rPr>
          <w:rFonts w:cs="Arial"/>
          <w:b/>
          <w:bCs/>
          <w:lang w:val="es-MX"/>
        </w:rPr>
        <w:t>11</w:t>
      </w:r>
      <w:r w:rsidR="002513E6" w:rsidRPr="003006D9">
        <w:rPr>
          <w:rFonts w:cs="Arial"/>
          <w:b/>
          <w:bCs/>
          <w:lang w:val="es-MX"/>
        </w:rPr>
        <w:t>. Concepto de la Procuradur</w:t>
      </w:r>
      <w:r w:rsidR="002F465B" w:rsidRPr="003006D9">
        <w:rPr>
          <w:rFonts w:cs="Arial"/>
          <w:b/>
          <w:bCs/>
          <w:lang w:val="es-MX"/>
        </w:rPr>
        <w:t>í</w:t>
      </w:r>
      <w:r w:rsidR="002513E6" w:rsidRPr="003006D9">
        <w:rPr>
          <w:rFonts w:cs="Arial"/>
          <w:b/>
          <w:bCs/>
          <w:lang w:val="es-MX"/>
        </w:rPr>
        <w:t xml:space="preserve">a </w:t>
      </w:r>
      <w:r w:rsidR="002222CF" w:rsidRPr="003006D9">
        <w:rPr>
          <w:rFonts w:cs="Arial"/>
          <w:b/>
          <w:bCs/>
          <w:lang w:val="es-MX"/>
        </w:rPr>
        <w:t>Cuarta Delegada ante el Consejo de Estado</w:t>
      </w:r>
    </w:p>
    <w:p w:rsidR="002513E6" w:rsidRPr="003006D9" w:rsidRDefault="002513E6" w:rsidP="00484F35">
      <w:pPr>
        <w:rPr>
          <w:rFonts w:cs="Arial"/>
          <w:bCs/>
          <w:lang w:val="es-MX"/>
        </w:rPr>
      </w:pPr>
    </w:p>
    <w:p w:rsidR="00C23021" w:rsidRPr="003006D9" w:rsidRDefault="002F465B" w:rsidP="000519FC">
      <w:pPr>
        <w:rPr>
          <w:rFonts w:cs="Arial"/>
          <w:b/>
        </w:rPr>
      </w:pPr>
      <w:r w:rsidRPr="003006D9">
        <w:rPr>
          <w:rFonts w:cs="Arial"/>
          <w:bCs/>
          <w:lang w:val="es-MX"/>
        </w:rPr>
        <w:t>Mediante concepto 251 de 3 de diciembre de 2015, e</w:t>
      </w:r>
      <w:r w:rsidR="000519FC" w:rsidRPr="003006D9">
        <w:rPr>
          <w:rFonts w:cs="Arial"/>
          <w:bCs/>
          <w:lang w:val="es-MX"/>
        </w:rPr>
        <w:t xml:space="preserve">l Ministerio Público solicitó revocar la sentencia recurrida, toda vez que </w:t>
      </w:r>
      <w:r w:rsidR="006702A9" w:rsidRPr="003006D9">
        <w:rPr>
          <w:rFonts w:cs="Arial"/>
          <w:bCs/>
          <w:lang w:val="es-MX"/>
        </w:rPr>
        <w:t xml:space="preserve">a su juicio se encuentra </w:t>
      </w:r>
      <w:r w:rsidR="000519FC" w:rsidRPr="003006D9">
        <w:rPr>
          <w:rFonts w:cs="Arial"/>
          <w:bCs/>
          <w:lang w:val="es-MX"/>
        </w:rPr>
        <w:t xml:space="preserve">demostrado que el ICA incumplió la promesa </w:t>
      </w:r>
      <w:r w:rsidR="006702A9" w:rsidRPr="003006D9">
        <w:rPr>
          <w:rFonts w:cs="Arial"/>
          <w:bCs/>
          <w:lang w:val="es-MX"/>
        </w:rPr>
        <w:t xml:space="preserve">de compraventa </w:t>
      </w:r>
      <w:r w:rsidR="000519FC" w:rsidRPr="003006D9">
        <w:rPr>
          <w:rFonts w:cs="Arial"/>
          <w:bCs/>
          <w:lang w:val="es-MX"/>
        </w:rPr>
        <w:t xml:space="preserve">y que pretendió sustentarse en un avalúo practicado luego de haber adjudicado el inmueble, causando perjuicios a la parte actora. </w:t>
      </w:r>
      <w:r w:rsidRPr="003006D9">
        <w:rPr>
          <w:rFonts w:cs="Arial"/>
          <w:bCs/>
          <w:lang w:val="es-MX"/>
        </w:rPr>
        <w:t>Solicitó recordar a la parte demandada el deber de incoar la acción de repetición contra los funcionarios responsables.</w:t>
      </w:r>
      <w:r w:rsidR="000519FC" w:rsidRPr="003006D9">
        <w:rPr>
          <w:rFonts w:cs="Arial"/>
          <w:bCs/>
          <w:lang w:val="es-MX"/>
        </w:rPr>
        <w:t xml:space="preserve"> </w:t>
      </w:r>
    </w:p>
    <w:p w:rsidR="00A86BF5" w:rsidRPr="003006D9" w:rsidRDefault="00A86BF5" w:rsidP="00F21484">
      <w:pPr>
        <w:jc w:val="center"/>
        <w:rPr>
          <w:rFonts w:cs="Arial"/>
          <w:b/>
        </w:rPr>
      </w:pPr>
    </w:p>
    <w:p w:rsidR="00F21484" w:rsidRPr="003006D9" w:rsidRDefault="00F21484" w:rsidP="00E84FE1">
      <w:pPr>
        <w:pStyle w:val="Lista"/>
        <w:jc w:val="center"/>
        <w:rPr>
          <w:rFonts w:ascii="Arial" w:hAnsi="Arial" w:cs="Arial"/>
          <w:b/>
        </w:rPr>
      </w:pPr>
      <w:r w:rsidRPr="003006D9">
        <w:rPr>
          <w:rFonts w:ascii="Arial" w:hAnsi="Arial" w:cs="Arial"/>
          <w:b/>
        </w:rPr>
        <w:t>II.</w:t>
      </w:r>
      <w:r w:rsidR="00E759BE" w:rsidRPr="003006D9">
        <w:rPr>
          <w:rFonts w:ascii="Arial" w:hAnsi="Arial" w:cs="Arial"/>
          <w:b/>
        </w:rPr>
        <w:tab/>
      </w:r>
      <w:r w:rsidRPr="003006D9">
        <w:rPr>
          <w:rFonts w:ascii="Arial" w:hAnsi="Arial" w:cs="Arial"/>
          <w:b/>
        </w:rPr>
        <w:t>C O N S I D E R A C I O N E S</w:t>
      </w:r>
    </w:p>
    <w:p w:rsidR="00C23021" w:rsidRPr="003006D9" w:rsidRDefault="00C23021" w:rsidP="00050CA0">
      <w:pPr>
        <w:jc w:val="center"/>
        <w:rPr>
          <w:rFonts w:cs="Arial"/>
          <w:b/>
        </w:rPr>
      </w:pPr>
    </w:p>
    <w:p w:rsidR="00ED77A2" w:rsidRPr="003006D9" w:rsidRDefault="00ED77A2" w:rsidP="0099010A">
      <w:pPr>
        <w:rPr>
          <w:rFonts w:cs="Arial"/>
        </w:rPr>
      </w:pPr>
    </w:p>
    <w:p w:rsidR="00551555" w:rsidRPr="003006D9" w:rsidRDefault="0052529B" w:rsidP="00947479">
      <w:pPr>
        <w:tabs>
          <w:tab w:val="left" w:pos="7797"/>
        </w:tabs>
        <w:ind w:right="51"/>
        <w:rPr>
          <w:rFonts w:cs="Arial"/>
        </w:rPr>
      </w:pPr>
      <w:r w:rsidRPr="003006D9">
        <w:rPr>
          <w:rFonts w:cs="Arial"/>
        </w:rPr>
        <w:t xml:space="preserve">Para resolver la segunda instancia de la presente </w:t>
      </w:r>
      <w:r w:rsidRPr="003006D9">
        <w:rPr>
          <w:rFonts w:cs="Arial"/>
          <w:i/>
        </w:rPr>
        <w:t>litis</w:t>
      </w:r>
      <w:r w:rsidR="00DD3E54" w:rsidRPr="003006D9">
        <w:rPr>
          <w:rFonts w:cs="Arial"/>
        </w:rPr>
        <w:t>, se abordará</w:t>
      </w:r>
      <w:r w:rsidRPr="003006D9">
        <w:rPr>
          <w:rFonts w:cs="Arial"/>
        </w:rPr>
        <w:t xml:space="preserve">n los siguientes temas: </w:t>
      </w:r>
    </w:p>
    <w:p w:rsidR="00551555" w:rsidRPr="003006D9" w:rsidRDefault="00551555" w:rsidP="00947479">
      <w:pPr>
        <w:tabs>
          <w:tab w:val="left" w:pos="7797"/>
        </w:tabs>
        <w:ind w:right="51"/>
        <w:rPr>
          <w:rFonts w:cs="Arial"/>
        </w:rPr>
      </w:pPr>
    </w:p>
    <w:p w:rsidR="0052529B" w:rsidRPr="003006D9" w:rsidRDefault="00445973" w:rsidP="00947479">
      <w:pPr>
        <w:tabs>
          <w:tab w:val="left" w:pos="7797"/>
        </w:tabs>
        <w:ind w:right="51"/>
        <w:rPr>
          <w:rFonts w:cs="Arial"/>
        </w:rPr>
      </w:pPr>
      <w:r w:rsidRPr="003006D9">
        <w:rPr>
          <w:rFonts w:cs="Arial"/>
          <w:b/>
        </w:rPr>
        <w:t>1</w:t>
      </w:r>
      <w:r w:rsidR="00A50912" w:rsidRPr="003006D9">
        <w:rPr>
          <w:rFonts w:cs="Arial"/>
          <w:b/>
        </w:rPr>
        <w:t>)</w:t>
      </w:r>
      <w:r w:rsidR="00F813EB" w:rsidRPr="003006D9">
        <w:rPr>
          <w:rFonts w:cs="Arial"/>
        </w:rPr>
        <w:t xml:space="preserve"> </w:t>
      </w:r>
      <w:r w:rsidR="00BF3EF6" w:rsidRPr="003006D9">
        <w:rPr>
          <w:rFonts w:cs="Arial"/>
        </w:rPr>
        <w:t xml:space="preserve">jurisdicción y </w:t>
      </w:r>
      <w:r w:rsidR="00CA1EB0" w:rsidRPr="003006D9">
        <w:rPr>
          <w:rFonts w:cs="Arial"/>
        </w:rPr>
        <w:t>c</w:t>
      </w:r>
      <w:r w:rsidR="00DF40B5" w:rsidRPr="003006D9">
        <w:rPr>
          <w:rFonts w:cs="Arial"/>
        </w:rPr>
        <w:t xml:space="preserve">ompetencia del Consejo de Estado; </w:t>
      </w:r>
      <w:r w:rsidRPr="003006D9">
        <w:rPr>
          <w:rFonts w:cs="Arial"/>
          <w:b/>
        </w:rPr>
        <w:t>2</w:t>
      </w:r>
      <w:r w:rsidR="00A50912" w:rsidRPr="003006D9">
        <w:rPr>
          <w:rFonts w:cs="Arial"/>
          <w:b/>
        </w:rPr>
        <w:t>)</w:t>
      </w:r>
      <w:r w:rsidR="00E8149C" w:rsidRPr="003006D9">
        <w:rPr>
          <w:rFonts w:cs="Arial"/>
        </w:rPr>
        <w:t xml:space="preserve"> </w:t>
      </w:r>
      <w:r w:rsidR="00CA1EB0" w:rsidRPr="003006D9">
        <w:rPr>
          <w:rFonts w:cs="Arial"/>
        </w:rPr>
        <w:t>c</w:t>
      </w:r>
      <w:r w:rsidR="00E939A0" w:rsidRPr="003006D9">
        <w:rPr>
          <w:rFonts w:cs="Arial"/>
        </w:rPr>
        <w:t xml:space="preserve">aducidad de la acción contractual; </w:t>
      </w:r>
      <w:r w:rsidR="00E939A0" w:rsidRPr="003006D9">
        <w:rPr>
          <w:rFonts w:cs="Arial"/>
          <w:b/>
        </w:rPr>
        <w:t>3</w:t>
      </w:r>
      <w:r w:rsidR="002114CA" w:rsidRPr="003006D9">
        <w:rPr>
          <w:rFonts w:cs="Arial"/>
          <w:b/>
        </w:rPr>
        <w:t>)</w:t>
      </w:r>
      <w:r w:rsidR="00D21852" w:rsidRPr="003006D9">
        <w:rPr>
          <w:rFonts w:cs="Arial"/>
          <w:b/>
        </w:rPr>
        <w:t xml:space="preserve"> </w:t>
      </w:r>
      <w:r w:rsidR="00D21852" w:rsidRPr="003006D9">
        <w:rPr>
          <w:rFonts w:cs="Arial"/>
        </w:rPr>
        <w:t>delimitación de la apelación</w:t>
      </w:r>
      <w:r w:rsidR="009265BB" w:rsidRPr="003006D9">
        <w:rPr>
          <w:rFonts w:cs="Arial"/>
        </w:rPr>
        <w:t xml:space="preserve">; </w:t>
      </w:r>
      <w:r w:rsidR="00E939A0" w:rsidRPr="003006D9">
        <w:rPr>
          <w:rFonts w:cs="Arial"/>
          <w:b/>
        </w:rPr>
        <w:t>4)</w:t>
      </w:r>
      <w:r w:rsidR="001E5BA6" w:rsidRPr="003006D9">
        <w:rPr>
          <w:rFonts w:cs="Arial"/>
          <w:bCs/>
          <w:color w:val="000000"/>
        </w:rPr>
        <w:t xml:space="preserve"> </w:t>
      </w:r>
      <w:r w:rsidR="00947479" w:rsidRPr="003006D9">
        <w:rPr>
          <w:rFonts w:cs="Arial"/>
          <w:bCs/>
          <w:color w:val="000000"/>
        </w:rPr>
        <w:t xml:space="preserve">marco legal de la enajenación de </w:t>
      </w:r>
      <w:r w:rsidR="00947479" w:rsidRPr="003006D9">
        <w:rPr>
          <w:rFonts w:cs="Arial"/>
          <w:bCs/>
          <w:color w:val="000000"/>
        </w:rPr>
        <w:lastRenderedPageBreak/>
        <w:t xml:space="preserve">bienes del Estado; </w:t>
      </w:r>
      <w:r w:rsidR="00947479" w:rsidRPr="003006D9">
        <w:rPr>
          <w:rFonts w:cs="Arial"/>
          <w:b/>
          <w:bCs/>
          <w:color w:val="000000"/>
        </w:rPr>
        <w:t>5)</w:t>
      </w:r>
      <w:r w:rsidR="00947479" w:rsidRPr="003006D9">
        <w:rPr>
          <w:rFonts w:cs="Arial"/>
          <w:bCs/>
          <w:color w:val="000000"/>
        </w:rPr>
        <w:t xml:space="preserve"> </w:t>
      </w:r>
      <w:r w:rsidR="00172885" w:rsidRPr="003006D9">
        <w:rPr>
          <w:rFonts w:cs="Arial"/>
          <w:bCs/>
          <w:color w:val="000000"/>
        </w:rPr>
        <w:t>a</w:t>
      </w:r>
      <w:r w:rsidR="00172885" w:rsidRPr="003006D9">
        <w:rPr>
          <w:rFonts w:cs="Arial"/>
          <w:lang w:val="es-CO"/>
        </w:rPr>
        <w:t>nálisis de las pruebas atinentes al proceso precontractual</w:t>
      </w:r>
      <w:r w:rsidR="00172885" w:rsidRPr="003006D9">
        <w:rPr>
          <w:rFonts w:cs="Arial"/>
          <w:b/>
          <w:lang w:val="es-CO"/>
        </w:rPr>
        <w:t xml:space="preserve">; </w:t>
      </w:r>
      <w:r w:rsidR="00947479" w:rsidRPr="003006D9">
        <w:rPr>
          <w:rFonts w:cs="Arial"/>
          <w:b/>
          <w:color w:val="000000"/>
        </w:rPr>
        <w:t xml:space="preserve">6) </w:t>
      </w:r>
      <w:r w:rsidR="00947479" w:rsidRPr="003006D9">
        <w:rPr>
          <w:rFonts w:cs="Arial"/>
          <w:color w:val="000000"/>
        </w:rPr>
        <w:t xml:space="preserve">conclusiones sobre el apartamiento </w:t>
      </w:r>
      <w:r w:rsidR="0076404F" w:rsidRPr="003006D9">
        <w:rPr>
          <w:rFonts w:cs="Arial"/>
          <w:color w:val="000000"/>
        </w:rPr>
        <w:t xml:space="preserve">de </w:t>
      </w:r>
      <w:r w:rsidR="00947479" w:rsidRPr="003006D9">
        <w:rPr>
          <w:rFonts w:cs="Arial"/>
          <w:color w:val="000000"/>
        </w:rPr>
        <w:t>las reglas del precio m</w:t>
      </w:r>
      <w:r w:rsidR="00D006CD" w:rsidRPr="003006D9">
        <w:rPr>
          <w:rFonts w:cs="Arial"/>
          <w:color w:val="000000"/>
        </w:rPr>
        <w:t>í</w:t>
      </w:r>
      <w:r w:rsidR="00947479" w:rsidRPr="003006D9">
        <w:rPr>
          <w:rFonts w:cs="Arial"/>
          <w:color w:val="000000"/>
        </w:rPr>
        <w:t>nimo de venta;</w:t>
      </w:r>
      <w:r w:rsidR="00947479" w:rsidRPr="003006D9">
        <w:rPr>
          <w:rFonts w:cs="Arial"/>
          <w:b/>
          <w:color w:val="000000"/>
        </w:rPr>
        <w:t xml:space="preserve"> 7) </w:t>
      </w:r>
      <w:r w:rsidR="00947479" w:rsidRPr="003006D9">
        <w:rPr>
          <w:rFonts w:cs="Arial"/>
          <w:color w:val="000000"/>
        </w:rPr>
        <w:t>omisión de las reglas de la publicidad del proceso</w:t>
      </w:r>
      <w:r w:rsidR="0076404F" w:rsidRPr="003006D9">
        <w:rPr>
          <w:rFonts w:cs="Arial"/>
          <w:color w:val="000000"/>
        </w:rPr>
        <w:t xml:space="preserve"> de contratación</w:t>
      </w:r>
      <w:r w:rsidR="00947479" w:rsidRPr="003006D9">
        <w:rPr>
          <w:rFonts w:cs="Arial"/>
          <w:color w:val="000000"/>
        </w:rPr>
        <w:t xml:space="preserve">; </w:t>
      </w:r>
      <w:r w:rsidR="00947479" w:rsidRPr="003006D9">
        <w:rPr>
          <w:rFonts w:cs="Arial"/>
          <w:b/>
          <w:color w:val="000000"/>
        </w:rPr>
        <w:t>8</w:t>
      </w:r>
      <w:r w:rsidR="00172885" w:rsidRPr="003006D9">
        <w:rPr>
          <w:rFonts w:cs="Arial"/>
          <w:b/>
          <w:lang w:val="es-CO"/>
        </w:rPr>
        <w:t xml:space="preserve">) </w:t>
      </w:r>
      <w:r w:rsidR="00727DF3" w:rsidRPr="003006D9">
        <w:rPr>
          <w:rFonts w:cs="Arial"/>
          <w:lang w:val="es-CO"/>
        </w:rPr>
        <w:t>c</w:t>
      </w:r>
      <w:r w:rsidR="00727DF3" w:rsidRPr="003006D9">
        <w:rPr>
          <w:rFonts w:cs="Arial"/>
          <w:bCs/>
          <w:color w:val="000000"/>
        </w:rPr>
        <w:t>ausales de nulidad;</w:t>
      </w:r>
      <w:r w:rsidR="00727DF3" w:rsidRPr="003006D9">
        <w:rPr>
          <w:rFonts w:cs="Arial"/>
          <w:b/>
          <w:bCs/>
          <w:color w:val="000000"/>
        </w:rPr>
        <w:t xml:space="preserve"> </w:t>
      </w:r>
      <w:r w:rsidR="00947479" w:rsidRPr="003006D9">
        <w:rPr>
          <w:rFonts w:cs="Arial"/>
          <w:b/>
          <w:bCs/>
          <w:color w:val="000000"/>
        </w:rPr>
        <w:t>9</w:t>
      </w:r>
      <w:r w:rsidR="00727DF3" w:rsidRPr="003006D9">
        <w:rPr>
          <w:rFonts w:cs="Arial"/>
          <w:b/>
          <w:bCs/>
          <w:color w:val="000000"/>
        </w:rPr>
        <w:t xml:space="preserve">) </w:t>
      </w:r>
      <w:r w:rsidR="00F25224" w:rsidRPr="003006D9">
        <w:rPr>
          <w:rFonts w:cs="Arial"/>
          <w:bCs/>
          <w:color w:val="000000"/>
        </w:rPr>
        <w:t>c</w:t>
      </w:r>
      <w:r w:rsidR="00E86CCD" w:rsidRPr="003006D9">
        <w:rPr>
          <w:rFonts w:cs="Arial"/>
        </w:rPr>
        <w:t>onsideraciones acerca del objeto ilícito por la supuesta inclusión de un banco de germoplasma;</w:t>
      </w:r>
      <w:r w:rsidR="00E86CCD" w:rsidRPr="003006D9">
        <w:rPr>
          <w:rFonts w:cs="Arial"/>
          <w:b/>
        </w:rPr>
        <w:t xml:space="preserve"> </w:t>
      </w:r>
      <w:r w:rsidR="00947479" w:rsidRPr="003006D9">
        <w:rPr>
          <w:rFonts w:cs="Arial"/>
          <w:b/>
        </w:rPr>
        <w:t>10</w:t>
      </w:r>
      <w:r w:rsidR="00F25224" w:rsidRPr="003006D9">
        <w:rPr>
          <w:rFonts w:cs="Arial"/>
          <w:b/>
        </w:rPr>
        <w:t>)</w:t>
      </w:r>
      <w:r w:rsidR="00E86CCD" w:rsidRPr="003006D9">
        <w:rPr>
          <w:rFonts w:cs="Arial"/>
          <w:b/>
        </w:rPr>
        <w:t xml:space="preserve"> </w:t>
      </w:r>
      <w:r w:rsidR="008F22E9" w:rsidRPr="003006D9">
        <w:rPr>
          <w:rFonts w:cs="Arial"/>
        </w:rPr>
        <w:t>n</w:t>
      </w:r>
      <w:r w:rsidR="00E86CCD" w:rsidRPr="003006D9">
        <w:rPr>
          <w:rFonts w:cs="Arial"/>
        </w:rPr>
        <w:t>o proced</w:t>
      </w:r>
      <w:r w:rsidR="00F25224" w:rsidRPr="003006D9">
        <w:rPr>
          <w:rFonts w:cs="Arial"/>
        </w:rPr>
        <w:t>e</w:t>
      </w:r>
      <w:r w:rsidR="00E86CCD" w:rsidRPr="003006D9">
        <w:rPr>
          <w:rFonts w:cs="Arial"/>
        </w:rPr>
        <w:t xml:space="preserve"> la exigencia de la pluralidad de ofertas para la subasta electrónica</w:t>
      </w:r>
      <w:r w:rsidR="00F25224" w:rsidRPr="003006D9">
        <w:rPr>
          <w:rFonts w:cs="Arial"/>
        </w:rPr>
        <w:t>;</w:t>
      </w:r>
      <w:r w:rsidR="00947479" w:rsidRPr="003006D9">
        <w:rPr>
          <w:rFonts w:cs="Arial"/>
          <w:b/>
        </w:rPr>
        <w:t>11</w:t>
      </w:r>
      <w:r w:rsidR="008F22E9" w:rsidRPr="003006D9">
        <w:rPr>
          <w:rFonts w:cs="Arial"/>
          <w:b/>
        </w:rPr>
        <w:t>)</w:t>
      </w:r>
      <w:r w:rsidR="00F25224" w:rsidRPr="003006D9">
        <w:rPr>
          <w:rFonts w:cs="Arial"/>
          <w:b/>
        </w:rPr>
        <w:t xml:space="preserve"> </w:t>
      </w:r>
      <w:r w:rsidR="008F22E9" w:rsidRPr="003006D9">
        <w:rPr>
          <w:rFonts w:cs="Arial"/>
        </w:rPr>
        <w:t>r</w:t>
      </w:r>
      <w:r w:rsidR="00F25224" w:rsidRPr="003006D9">
        <w:rPr>
          <w:rFonts w:cs="Arial"/>
        </w:rPr>
        <w:t xml:space="preserve">estitución del precio pagado; </w:t>
      </w:r>
      <w:r w:rsidR="00947479" w:rsidRPr="003006D9">
        <w:rPr>
          <w:rFonts w:cs="Arial"/>
          <w:b/>
        </w:rPr>
        <w:t>12</w:t>
      </w:r>
      <w:r w:rsidR="00F25224" w:rsidRPr="003006D9">
        <w:rPr>
          <w:rFonts w:cs="Arial"/>
          <w:b/>
        </w:rPr>
        <w:t>)</w:t>
      </w:r>
      <w:r w:rsidR="00F25224" w:rsidRPr="003006D9">
        <w:rPr>
          <w:rFonts w:cs="Arial"/>
        </w:rPr>
        <w:t xml:space="preserve"> </w:t>
      </w:r>
      <w:r w:rsidR="008F22E9" w:rsidRPr="003006D9">
        <w:rPr>
          <w:rFonts w:cs="Arial"/>
        </w:rPr>
        <w:t>a</w:t>
      </w:r>
      <w:r w:rsidR="00F25224" w:rsidRPr="003006D9">
        <w:rPr>
          <w:rFonts w:cs="Arial"/>
        </w:rPr>
        <w:t>nálisis de los perjuicios reclamados</w:t>
      </w:r>
      <w:r w:rsidR="0012593C" w:rsidRPr="003006D9">
        <w:rPr>
          <w:rFonts w:cs="Arial"/>
        </w:rPr>
        <w:t xml:space="preserve"> </w:t>
      </w:r>
      <w:r w:rsidR="00F810DD" w:rsidRPr="003006D9">
        <w:rPr>
          <w:rFonts w:cs="Arial"/>
        </w:rPr>
        <w:t xml:space="preserve">y </w:t>
      </w:r>
      <w:r w:rsidR="008F22E9" w:rsidRPr="003006D9">
        <w:rPr>
          <w:rFonts w:cs="Arial"/>
          <w:b/>
        </w:rPr>
        <w:t>1</w:t>
      </w:r>
      <w:r w:rsidR="00947479" w:rsidRPr="003006D9">
        <w:rPr>
          <w:rFonts w:cs="Arial"/>
          <w:b/>
        </w:rPr>
        <w:t>3</w:t>
      </w:r>
      <w:r w:rsidR="00FA2EC7" w:rsidRPr="003006D9">
        <w:rPr>
          <w:rFonts w:cs="Arial"/>
          <w:b/>
        </w:rPr>
        <w:t>)</w:t>
      </w:r>
      <w:r w:rsidR="00A10418" w:rsidRPr="003006D9">
        <w:rPr>
          <w:rFonts w:cs="Arial"/>
        </w:rPr>
        <w:t xml:space="preserve"> </w:t>
      </w:r>
      <w:r w:rsidR="00F810DD" w:rsidRPr="003006D9">
        <w:rPr>
          <w:rFonts w:cs="Arial"/>
        </w:rPr>
        <w:t>costas</w:t>
      </w:r>
      <w:r w:rsidR="0052529B" w:rsidRPr="003006D9">
        <w:rPr>
          <w:rFonts w:cs="Arial"/>
        </w:rPr>
        <w:t>.</w:t>
      </w:r>
    </w:p>
    <w:p w:rsidR="00551555" w:rsidRPr="003006D9" w:rsidRDefault="00551555" w:rsidP="009265BB">
      <w:pPr>
        <w:pStyle w:val="NormalWeb"/>
        <w:spacing w:before="0" w:beforeAutospacing="0" w:after="0" w:afterAutospacing="0"/>
        <w:rPr>
          <w:rFonts w:cs="Arial"/>
        </w:rPr>
      </w:pPr>
    </w:p>
    <w:p w:rsidR="00117C54" w:rsidRPr="003006D9" w:rsidRDefault="00CD461C" w:rsidP="00CD461C">
      <w:pPr>
        <w:rPr>
          <w:rFonts w:cs="Arial"/>
          <w:b/>
          <w:lang w:val="es-CO"/>
        </w:rPr>
      </w:pPr>
      <w:r w:rsidRPr="003006D9">
        <w:rPr>
          <w:rFonts w:cs="Arial"/>
          <w:b/>
          <w:lang w:val="es-CO"/>
        </w:rPr>
        <w:t>1</w:t>
      </w:r>
      <w:r w:rsidR="00F971DB" w:rsidRPr="003006D9">
        <w:rPr>
          <w:rFonts w:cs="Arial"/>
          <w:b/>
          <w:lang w:val="es-CO"/>
        </w:rPr>
        <w:t>.</w:t>
      </w:r>
      <w:r w:rsidR="002B5EAB" w:rsidRPr="003006D9">
        <w:rPr>
          <w:rFonts w:cs="Arial"/>
          <w:b/>
          <w:lang w:val="es-CO"/>
        </w:rPr>
        <w:t xml:space="preserve"> </w:t>
      </w:r>
      <w:r w:rsidR="00C874B4" w:rsidRPr="003006D9">
        <w:rPr>
          <w:rFonts w:cs="Arial"/>
          <w:b/>
          <w:lang w:val="es-CO"/>
        </w:rPr>
        <w:t>Competencia del Consejo de Estado</w:t>
      </w:r>
    </w:p>
    <w:p w:rsidR="00205871" w:rsidRPr="003006D9" w:rsidRDefault="00205871" w:rsidP="00117C54">
      <w:pPr>
        <w:rPr>
          <w:rFonts w:cs="Arial"/>
          <w:b/>
          <w:lang w:val="es-CO"/>
        </w:rPr>
      </w:pPr>
    </w:p>
    <w:p w:rsidR="00205871" w:rsidRPr="003006D9" w:rsidRDefault="00F971DB" w:rsidP="00F971DB">
      <w:pPr>
        <w:rPr>
          <w:rFonts w:cs="Arial"/>
          <w:b/>
          <w:lang w:val="es-CO"/>
        </w:rPr>
      </w:pPr>
      <w:r w:rsidRPr="003006D9">
        <w:rPr>
          <w:rFonts w:cs="Arial"/>
          <w:b/>
          <w:lang w:val="es-CO"/>
        </w:rPr>
        <w:t xml:space="preserve">1.1. </w:t>
      </w:r>
      <w:r w:rsidR="00205871" w:rsidRPr="003006D9">
        <w:rPr>
          <w:rFonts w:cs="Arial"/>
          <w:b/>
          <w:lang w:val="es-CO"/>
        </w:rPr>
        <w:t>Jurisdicción Competente</w:t>
      </w:r>
    </w:p>
    <w:p w:rsidR="00A43131" w:rsidRPr="003006D9" w:rsidRDefault="00A43131" w:rsidP="00E27368">
      <w:pPr>
        <w:pStyle w:val="Textoindependiente"/>
        <w:autoSpaceDE/>
        <w:adjustRightInd/>
        <w:rPr>
          <w:rFonts w:cs="Arial"/>
          <w:szCs w:val="24"/>
          <w:lang w:val="es-CO"/>
        </w:rPr>
      </w:pPr>
    </w:p>
    <w:p w:rsidR="00FC1C91" w:rsidRPr="003006D9" w:rsidRDefault="00FD7C79" w:rsidP="00205871">
      <w:pPr>
        <w:rPr>
          <w:rFonts w:cs="Arial"/>
        </w:rPr>
      </w:pPr>
      <w:r w:rsidRPr="003006D9">
        <w:rPr>
          <w:rFonts w:cs="Arial"/>
        </w:rPr>
        <w:t xml:space="preserve">Con </w:t>
      </w:r>
      <w:r w:rsidR="0081321A" w:rsidRPr="003006D9">
        <w:rPr>
          <w:rFonts w:cs="Arial"/>
        </w:rPr>
        <w:t xml:space="preserve">fundamento en el </w:t>
      </w:r>
      <w:r w:rsidRPr="003006D9">
        <w:rPr>
          <w:rFonts w:cs="Arial"/>
        </w:rPr>
        <w:t xml:space="preserve">criterio orgánico que </w:t>
      </w:r>
      <w:r w:rsidR="001F0064" w:rsidRPr="003006D9">
        <w:rPr>
          <w:rFonts w:cs="Arial"/>
        </w:rPr>
        <w:t>se a</w:t>
      </w:r>
      <w:r w:rsidR="00FC1C91" w:rsidRPr="003006D9">
        <w:rPr>
          <w:rFonts w:cs="Arial"/>
        </w:rPr>
        <w:t>doptó en la Ley 80 de 1993</w:t>
      </w:r>
      <w:r w:rsidR="00CF1943" w:rsidRPr="003006D9">
        <w:rPr>
          <w:rStyle w:val="Refdenotaalpie"/>
          <w:rFonts w:cs="Arial"/>
        </w:rPr>
        <w:footnoteReference w:id="15"/>
      </w:r>
      <w:r w:rsidR="00CF1943" w:rsidRPr="003006D9">
        <w:rPr>
          <w:rFonts w:cs="Arial"/>
        </w:rPr>
        <w:t>, en concordancia con el artículo 82 del Código Contencioso Administrativo</w:t>
      </w:r>
      <w:r w:rsidR="00C045C1" w:rsidRPr="003006D9">
        <w:rPr>
          <w:rStyle w:val="Refdenotaalpie"/>
          <w:rFonts w:cs="Arial"/>
        </w:rPr>
        <w:footnoteReference w:id="16"/>
      </w:r>
      <w:r w:rsidR="00C045C1" w:rsidRPr="003006D9">
        <w:rPr>
          <w:rFonts w:cs="Arial"/>
        </w:rPr>
        <w:t>,</w:t>
      </w:r>
      <w:r w:rsidR="001F0064" w:rsidRPr="003006D9">
        <w:rPr>
          <w:rFonts w:cs="Arial"/>
        </w:rPr>
        <w:t xml:space="preserve"> </w:t>
      </w:r>
      <w:r w:rsidR="009951F0" w:rsidRPr="003006D9">
        <w:rPr>
          <w:rFonts w:cs="Arial"/>
        </w:rPr>
        <w:t xml:space="preserve">siendo </w:t>
      </w:r>
      <w:r w:rsidR="00096035" w:rsidRPr="003006D9">
        <w:rPr>
          <w:rFonts w:cs="Arial"/>
        </w:rPr>
        <w:t xml:space="preserve">en este caso </w:t>
      </w:r>
      <w:r w:rsidR="00FC1C91" w:rsidRPr="003006D9">
        <w:rPr>
          <w:rFonts w:cs="Arial"/>
        </w:rPr>
        <w:t xml:space="preserve">una de las partes </w:t>
      </w:r>
      <w:r w:rsidR="00F139E7" w:rsidRPr="003006D9">
        <w:rPr>
          <w:rFonts w:cs="Arial"/>
        </w:rPr>
        <w:t xml:space="preserve">del </w:t>
      </w:r>
      <w:r w:rsidR="0099010A" w:rsidRPr="003006D9">
        <w:rPr>
          <w:rFonts w:cs="Arial"/>
        </w:rPr>
        <w:t xml:space="preserve">proceso precontractual y del contrato </w:t>
      </w:r>
      <w:r w:rsidR="00F139E7" w:rsidRPr="003006D9">
        <w:rPr>
          <w:rFonts w:cs="Arial"/>
        </w:rPr>
        <w:t xml:space="preserve">en cuyo seno se suscitó la controversia </w:t>
      </w:r>
      <w:r w:rsidR="00FC1C91" w:rsidRPr="003006D9">
        <w:rPr>
          <w:rFonts w:cs="Arial"/>
        </w:rPr>
        <w:t xml:space="preserve">una </w:t>
      </w:r>
      <w:r w:rsidR="009951F0" w:rsidRPr="003006D9">
        <w:rPr>
          <w:rFonts w:cs="Arial"/>
        </w:rPr>
        <w:t>entidad estatal</w:t>
      </w:r>
      <w:r w:rsidR="00F139E7" w:rsidRPr="003006D9">
        <w:rPr>
          <w:rFonts w:cs="Arial"/>
        </w:rPr>
        <w:t xml:space="preserve"> </w:t>
      </w:r>
      <w:r w:rsidR="00330C5F" w:rsidRPr="003006D9">
        <w:rPr>
          <w:rFonts w:cs="Arial"/>
        </w:rPr>
        <w:t>-el ICA</w:t>
      </w:r>
      <w:r w:rsidR="00330C5F" w:rsidRPr="003006D9">
        <w:rPr>
          <w:rStyle w:val="Refdenotaalpie"/>
          <w:rFonts w:cs="Arial"/>
        </w:rPr>
        <w:footnoteReference w:id="17"/>
      </w:r>
      <w:r w:rsidR="00F139E7" w:rsidRPr="003006D9">
        <w:rPr>
          <w:rFonts w:cs="Arial"/>
        </w:rPr>
        <w:t>–</w:t>
      </w:r>
      <w:r w:rsidR="003117F3" w:rsidRPr="003006D9">
        <w:rPr>
          <w:rFonts w:cs="Arial"/>
        </w:rPr>
        <w:t>,</w:t>
      </w:r>
      <w:r w:rsidR="00F139E7" w:rsidRPr="003006D9">
        <w:rPr>
          <w:rFonts w:cs="Arial"/>
        </w:rPr>
        <w:t xml:space="preserve"> </w:t>
      </w:r>
      <w:r w:rsidR="0081321A" w:rsidRPr="003006D9">
        <w:rPr>
          <w:rFonts w:cs="Arial"/>
        </w:rPr>
        <w:t>se confirma la competencia de la Jurisdicción de lo Contencioso Administrativo</w:t>
      </w:r>
      <w:r w:rsidR="00F139E7" w:rsidRPr="003006D9">
        <w:rPr>
          <w:rFonts w:cs="Arial"/>
        </w:rPr>
        <w:t xml:space="preserve"> para conocer del presente proceso</w:t>
      </w:r>
      <w:r w:rsidR="00FC1C91" w:rsidRPr="003006D9">
        <w:rPr>
          <w:rFonts w:cs="Arial"/>
        </w:rPr>
        <w:t>.</w:t>
      </w:r>
    </w:p>
    <w:p w:rsidR="003117F3" w:rsidRPr="003006D9" w:rsidRDefault="003117F3" w:rsidP="00483B19">
      <w:pPr>
        <w:rPr>
          <w:rFonts w:cs="Arial"/>
        </w:rPr>
      </w:pPr>
    </w:p>
    <w:p w:rsidR="00C874B4" w:rsidRPr="003006D9" w:rsidRDefault="00483B19" w:rsidP="00483B19">
      <w:pPr>
        <w:rPr>
          <w:rFonts w:cs="Arial"/>
          <w:b/>
          <w:color w:val="000000"/>
        </w:rPr>
      </w:pPr>
      <w:r w:rsidRPr="003006D9">
        <w:rPr>
          <w:rFonts w:cs="Arial"/>
          <w:b/>
          <w:color w:val="000000"/>
        </w:rPr>
        <w:t xml:space="preserve">1.2. </w:t>
      </w:r>
      <w:r w:rsidR="00C874B4" w:rsidRPr="003006D9">
        <w:rPr>
          <w:rFonts w:cs="Arial"/>
          <w:b/>
          <w:color w:val="000000"/>
        </w:rPr>
        <w:t>Cuantía</w:t>
      </w:r>
    </w:p>
    <w:p w:rsidR="0071284F" w:rsidRPr="003006D9" w:rsidRDefault="0071284F" w:rsidP="00724307">
      <w:pPr>
        <w:rPr>
          <w:rFonts w:cs="Arial"/>
          <w:color w:val="000000"/>
        </w:rPr>
      </w:pPr>
    </w:p>
    <w:p w:rsidR="00724307" w:rsidRPr="003006D9" w:rsidRDefault="00724307" w:rsidP="00724307">
      <w:pPr>
        <w:rPr>
          <w:rFonts w:cs="Arial"/>
        </w:rPr>
      </w:pPr>
      <w:r w:rsidRPr="003006D9">
        <w:rPr>
          <w:rFonts w:cs="Arial"/>
          <w:color w:val="000000"/>
        </w:rPr>
        <w:t>P</w:t>
      </w:r>
      <w:r w:rsidRPr="003006D9">
        <w:rPr>
          <w:rFonts w:cs="Arial"/>
        </w:rPr>
        <w:t xml:space="preserve">recisa la Sala que le asiste competencia para conocer del presente proceso en segunda instancia, toda vez que la </w:t>
      </w:r>
      <w:r w:rsidR="009B0C91" w:rsidRPr="003006D9">
        <w:rPr>
          <w:rFonts w:cs="Arial"/>
        </w:rPr>
        <w:t>pretensión mayor se determinó en la suma de $4.165’000.000</w:t>
      </w:r>
      <w:r w:rsidRPr="003006D9">
        <w:rPr>
          <w:rFonts w:cs="Arial"/>
        </w:rPr>
        <w:t xml:space="preserve">, valor que resulta superior </w:t>
      </w:r>
      <w:r w:rsidR="00DF7D73" w:rsidRPr="003006D9">
        <w:rPr>
          <w:rFonts w:cs="Arial"/>
        </w:rPr>
        <w:t xml:space="preserve">al monto </w:t>
      </w:r>
      <w:r w:rsidRPr="003006D9">
        <w:rPr>
          <w:rFonts w:cs="Arial"/>
        </w:rPr>
        <w:t xml:space="preserve">equivalente a 500 S.M.L.M.V </w:t>
      </w:r>
      <w:r w:rsidRPr="003006D9">
        <w:rPr>
          <w:rFonts w:cs="Arial"/>
        </w:rPr>
        <w:lastRenderedPageBreak/>
        <w:t>($</w:t>
      </w:r>
      <w:r w:rsidR="00DF7D73" w:rsidRPr="003006D9">
        <w:rPr>
          <w:rFonts w:cs="Arial"/>
        </w:rPr>
        <w:t>535</w:t>
      </w:r>
      <w:r w:rsidR="009B0C91" w:rsidRPr="003006D9">
        <w:rPr>
          <w:rFonts w:cs="Arial"/>
        </w:rPr>
        <w:t>.</w:t>
      </w:r>
      <w:r w:rsidR="00DF7D73" w:rsidRPr="003006D9">
        <w:rPr>
          <w:rFonts w:cs="Arial"/>
        </w:rPr>
        <w:t>6</w:t>
      </w:r>
      <w:r w:rsidR="009B0C91" w:rsidRPr="003006D9">
        <w:rPr>
          <w:rFonts w:cs="Arial"/>
        </w:rPr>
        <w:t>00</w:t>
      </w:r>
      <w:r w:rsidR="00DF7D73" w:rsidRPr="003006D9">
        <w:rPr>
          <w:rFonts w:cs="Arial"/>
        </w:rPr>
        <w:t xml:space="preserve"> </w:t>
      </w:r>
      <w:r w:rsidRPr="003006D9">
        <w:rPr>
          <w:rFonts w:cs="Arial"/>
        </w:rPr>
        <w:t>x 500 = $</w:t>
      </w:r>
      <w:r w:rsidR="00DF7D73" w:rsidRPr="003006D9">
        <w:rPr>
          <w:rFonts w:cs="Arial"/>
        </w:rPr>
        <w:t>267’800.000</w:t>
      </w:r>
      <w:r w:rsidRPr="003006D9">
        <w:rPr>
          <w:rFonts w:cs="Arial"/>
        </w:rPr>
        <w:t>)</w:t>
      </w:r>
      <w:r w:rsidRPr="003006D9">
        <w:rPr>
          <w:rStyle w:val="Refdenotaalpie"/>
          <w:rFonts w:cs="Arial"/>
        </w:rPr>
        <w:footnoteReference w:id="18"/>
      </w:r>
      <w:r w:rsidRPr="003006D9">
        <w:rPr>
          <w:rFonts w:cs="Arial"/>
        </w:rPr>
        <w:t>, exigid</w:t>
      </w:r>
      <w:r w:rsidR="00DF7D73" w:rsidRPr="003006D9">
        <w:rPr>
          <w:rFonts w:cs="Arial"/>
        </w:rPr>
        <w:t>o</w:t>
      </w:r>
      <w:r w:rsidRPr="003006D9">
        <w:rPr>
          <w:rFonts w:cs="Arial"/>
        </w:rPr>
        <w:t xml:space="preserve"> de conformidad con la Ley 1437 de 2011 contentiva del Código de Procedimiento Administrativo y Contencioso Administrativo (C.P.A.C.A.)</w:t>
      </w:r>
      <w:r w:rsidR="001B503C" w:rsidRPr="003006D9">
        <w:rPr>
          <w:rStyle w:val="Refdenotaalpie"/>
          <w:rFonts w:cs="Arial"/>
        </w:rPr>
        <w:footnoteReference w:id="19"/>
      </w:r>
      <w:r w:rsidR="003117F3" w:rsidRPr="003006D9">
        <w:rPr>
          <w:rFonts w:cs="Arial"/>
        </w:rPr>
        <w:t>, para que el proceso tenga vocación de doble instancia.</w:t>
      </w:r>
      <w:r w:rsidRPr="003006D9">
        <w:rPr>
          <w:rFonts w:cs="Arial"/>
        </w:rPr>
        <w:t xml:space="preserve"> </w:t>
      </w:r>
    </w:p>
    <w:p w:rsidR="00724307" w:rsidRPr="003006D9" w:rsidRDefault="00724307" w:rsidP="00205871">
      <w:pPr>
        <w:rPr>
          <w:rFonts w:cs="Arial"/>
        </w:rPr>
      </w:pPr>
    </w:p>
    <w:p w:rsidR="00205871" w:rsidRPr="003006D9" w:rsidRDefault="00483B19" w:rsidP="00483B19">
      <w:pPr>
        <w:spacing w:line="240" w:lineRule="auto"/>
        <w:rPr>
          <w:rFonts w:cs="Arial"/>
          <w:b/>
        </w:rPr>
      </w:pPr>
      <w:r w:rsidRPr="003006D9">
        <w:rPr>
          <w:rFonts w:cs="Arial"/>
          <w:b/>
        </w:rPr>
        <w:t>2</w:t>
      </w:r>
      <w:r w:rsidR="00177B46" w:rsidRPr="003006D9">
        <w:rPr>
          <w:rFonts w:cs="Arial"/>
          <w:b/>
        </w:rPr>
        <w:t xml:space="preserve">. </w:t>
      </w:r>
      <w:r w:rsidR="006821A8" w:rsidRPr="003006D9">
        <w:rPr>
          <w:rFonts w:cs="Arial"/>
          <w:b/>
        </w:rPr>
        <w:t>C</w:t>
      </w:r>
      <w:r w:rsidR="00205871" w:rsidRPr="003006D9">
        <w:rPr>
          <w:rFonts w:cs="Arial"/>
          <w:b/>
        </w:rPr>
        <w:t xml:space="preserve">aducidad de la acción contractual </w:t>
      </w:r>
    </w:p>
    <w:p w:rsidR="00205871" w:rsidRPr="003006D9" w:rsidRDefault="00205871" w:rsidP="00205871">
      <w:pPr>
        <w:rPr>
          <w:rFonts w:cs="Arial"/>
          <w:b/>
        </w:rPr>
      </w:pPr>
    </w:p>
    <w:p w:rsidR="0020541B" w:rsidRPr="003006D9" w:rsidRDefault="00751B17" w:rsidP="00402F72">
      <w:pPr>
        <w:ind w:right="-284"/>
        <w:rPr>
          <w:rFonts w:cs="Arial"/>
          <w:lang w:val="es-CO"/>
        </w:rPr>
      </w:pPr>
      <w:r w:rsidRPr="003006D9">
        <w:rPr>
          <w:rFonts w:cs="Arial"/>
          <w:lang w:val="es-CO"/>
        </w:rPr>
        <w:t xml:space="preserve">Las pretensiones de la demanda se refieren al incumplimiento de un contrato de promesa de compraventa que </w:t>
      </w:r>
      <w:r w:rsidR="00DB278F" w:rsidRPr="003006D9">
        <w:rPr>
          <w:rFonts w:cs="Arial"/>
          <w:lang w:val="es-CO"/>
        </w:rPr>
        <w:t>ocurr</w:t>
      </w:r>
      <w:r w:rsidR="003117F3" w:rsidRPr="003006D9">
        <w:rPr>
          <w:rFonts w:cs="Arial"/>
          <w:lang w:val="es-CO"/>
        </w:rPr>
        <w:t xml:space="preserve">ió </w:t>
      </w:r>
      <w:r w:rsidRPr="003006D9">
        <w:rPr>
          <w:rFonts w:cs="Arial"/>
          <w:lang w:val="es-CO"/>
        </w:rPr>
        <w:t xml:space="preserve">el </w:t>
      </w:r>
      <w:r w:rsidR="00DB278F" w:rsidRPr="003006D9">
        <w:rPr>
          <w:rFonts w:cs="Arial"/>
          <w:lang w:val="es-CO"/>
        </w:rPr>
        <w:t>5</w:t>
      </w:r>
      <w:r w:rsidRPr="003006D9">
        <w:rPr>
          <w:rFonts w:cs="Arial"/>
          <w:lang w:val="es-CO"/>
        </w:rPr>
        <w:t xml:space="preserve"> de noviembre 2010, </w:t>
      </w:r>
      <w:r w:rsidR="0020541B" w:rsidRPr="003006D9">
        <w:rPr>
          <w:rFonts w:cs="Arial"/>
          <w:lang w:val="es-CO"/>
        </w:rPr>
        <w:t xml:space="preserve">fecha en que </w:t>
      </w:r>
      <w:r w:rsidRPr="003006D9">
        <w:rPr>
          <w:rFonts w:cs="Arial"/>
          <w:lang w:val="es-CO"/>
        </w:rPr>
        <w:t>venci</w:t>
      </w:r>
      <w:r w:rsidR="0020541B" w:rsidRPr="003006D9">
        <w:rPr>
          <w:rFonts w:cs="Arial"/>
          <w:lang w:val="es-CO"/>
        </w:rPr>
        <w:t>ó</w:t>
      </w:r>
      <w:r w:rsidRPr="003006D9">
        <w:rPr>
          <w:rFonts w:cs="Arial"/>
          <w:lang w:val="es-CO"/>
        </w:rPr>
        <w:t xml:space="preserve"> el plazo para otorgar la escritura pública de la venta prometida</w:t>
      </w:r>
      <w:r w:rsidR="00DB278F" w:rsidRPr="003006D9">
        <w:rPr>
          <w:rFonts w:cs="Arial"/>
          <w:lang w:val="es-CO"/>
        </w:rPr>
        <w:t xml:space="preserve">. En los términos del </w:t>
      </w:r>
      <w:r w:rsidR="00402F72" w:rsidRPr="003006D9">
        <w:rPr>
          <w:rFonts w:cs="Arial"/>
          <w:lang w:val="es-CO"/>
        </w:rPr>
        <w:t>artículo 136 del Código Contencioso Administrativo</w:t>
      </w:r>
      <w:r w:rsidR="003416A2" w:rsidRPr="003006D9">
        <w:rPr>
          <w:rFonts w:cs="Arial"/>
          <w:lang w:val="es-CO"/>
        </w:rPr>
        <w:t>,</w:t>
      </w:r>
      <w:r w:rsidR="00402F72" w:rsidRPr="003006D9">
        <w:rPr>
          <w:rFonts w:cs="Arial"/>
          <w:lang w:val="es-CO"/>
        </w:rPr>
        <w:t xml:space="preserve"> en cuanto a la caducidad de la acción </w:t>
      </w:r>
      <w:r w:rsidR="00F80D7E" w:rsidRPr="003006D9">
        <w:rPr>
          <w:rFonts w:cs="Arial"/>
          <w:lang w:val="es-CO"/>
        </w:rPr>
        <w:t xml:space="preserve">contractual </w:t>
      </w:r>
      <w:r w:rsidR="00402F72" w:rsidRPr="003006D9">
        <w:rPr>
          <w:rFonts w:cs="Arial"/>
          <w:lang w:val="es-CO"/>
        </w:rPr>
        <w:t xml:space="preserve">en tratándose de </w:t>
      </w:r>
      <w:r w:rsidR="00DB278F" w:rsidRPr="003006D9">
        <w:rPr>
          <w:rFonts w:cs="Arial"/>
          <w:lang w:val="es-CO"/>
        </w:rPr>
        <w:t>un contrato de ejecución instantánea</w:t>
      </w:r>
      <w:r w:rsidR="00446F6A" w:rsidRPr="003006D9">
        <w:rPr>
          <w:rFonts w:cs="Arial"/>
          <w:lang w:val="es-CO"/>
        </w:rPr>
        <w:t xml:space="preserve"> -</w:t>
      </w:r>
      <w:r w:rsidR="00DB278F" w:rsidRPr="003006D9">
        <w:rPr>
          <w:rFonts w:cs="Arial"/>
          <w:lang w:val="es-CO"/>
        </w:rPr>
        <w:t xml:space="preserve"> </w:t>
      </w:r>
      <w:r w:rsidR="00446F6A" w:rsidRPr="003006D9">
        <w:rPr>
          <w:rFonts w:cs="Arial"/>
          <w:lang w:val="es-CO"/>
        </w:rPr>
        <w:t xml:space="preserve">y por tanto </w:t>
      </w:r>
      <w:r w:rsidR="00DB278F" w:rsidRPr="003006D9">
        <w:rPr>
          <w:rFonts w:cs="Arial"/>
          <w:lang w:val="es-CO"/>
        </w:rPr>
        <w:t>no sometido a liquidación</w:t>
      </w:r>
      <w:r w:rsidR="00446F6A" w:rsidRPr="003006D9">
        <w:rPr>
          <w:rFonts w:cs="Arial"/>
          <w:lang w:val="es-CO"/>
        </w:rPr>
        <w:t>-</w:t>
      </w:r>
      <w:r w:rsidR="00DB278F" w:rsidRPr="003006D9">
        <w:rPr>
          <w:rFonts w:cs="Arial"/>
          <w:lang w:val="es-CO"/>
        </w:rPr>
        <w:t xml:space="preserve"> el plazo de caducidad de la acción es de </w:t>
      </w:r>
      <w:r w:rsidR="0020541B" w:rsidRPr="003006D9">
        <w:rPr>
          <w:rFonts w:cs="Arial"/>
          <w:i/>
          <w:lang w:val="es-CO"/>
        </w:rPr>
        <w:t>“</w:t>
      </w:r>
      <w:r w:rsidR="00DB278F" w:rsidRPr="003006D9">
        <w:rPr>
          <w:rFonts w:cs="Arial"/>
          <w:i/>
          <w:lang w:val="es-CO"/>
        </w:rPr>
        <w:t>dos</w:t>
      </w:r>
      <w:r w:rsidR="0020541B" w:rsidRPr="003006D9">
        <w:rPr>
          <w:rFonts w:cs="Arial"/>
          <w:i/>
          <w:lang w:val="es-CO"/>
        </w:rPr>
        <w:t xml:space="preserve"> (2) </w:t>
      </w:r>
      <w:r w:rsidR="00DB278F" w:rsidRPr="003006D9">
        <w:rPr>
          <w:rFonts w:cs="Arial"/>
          <w:i/>
          <w:lang w:val="es-CO"/>
        </w:rPr>
        <w:t xml:space="preserve"> años</w:t>
      </w:r>
      <w:r w:rsidR="0020541B" w:rsidRPr="003006D9">
        <w:rPr>
          <w:rFonts w:cs="Arial"/>
          <w:i/>
          <w:lang w:val="es-CO"/>
        </w:rPr>
        <w:t xml:space="preserve"> siguientes a cuando se cumplió o debió cumplirse el objeto del contrato”.</w:t>
      </w:r>
    </w:p>
    <w:p w:rsidR="0020541B" w:rsidRPr="003006D9" w:rsidRDefault="0020541B" w:rsidP="00402F72">
      <w:pPr>
        <w:ind w:right="-284"/>
        <w:rPr>
          <w:rFonts w:cs="Arial"/>
          <w:lang w:val="es-CO"/>
        </w:rPr>
      </w:pPr>
    </w:p>
    <w:p w:rsidR="0020541B" w:rsidRPr="003006D9" w:rsidRDefault="0020541B" w:rsidP="00402F72">
      <w:pPr>
        <w:ind w:right="-284"/>
        <w:rPr>
          <w:rFonts w:cs="Arial"/>
          <w:lang w:val="es-CO"/>
        </w:rPr>
      </w:pPr>
      <w:r w:rsidRPr="003006D9">
        <w:rPr>
          <w:rFonts w:cs="Arial"/>
          <w:lang w:val="es-CO"/>
        </w:rPr>
        <w:t>Como consecuencia, se observa que la demanda de FEDEPA</w:t>
      </w:r>
      <w:r w:rsidR="0001520C" w:rsidRPr="003006D9">
        <w:rPr>
          <w:rFonts w:cs="Arial"/>
          <w:lang w:val="es-CO"/>
        </w:rPr>
        <w:t>L</w:t>
      </w:r>
      <w:r w:rsidRPr="003006D9">
        <w:rPr>
          <w:rFonts w:cs="Arial"/>
          <w:lang w:val="es-CO"/>
        </w:rPr>
        <w:t>MA se presentó en forma oportuna el 25 de abril de 2011</w:t>
      </w:r>
      <w:r w:rsidR="002D5707" w:rsidRPr="003006D9">
        <w:rPr>
          <w:rFonts w:cs="Arial"/>
          <w:lang w:val="es-CO"/>
        </w:rPr>
        <w:t>, toda vez que el término de la caducidad vencía el 5 de noviembre de 2012</w:t>
      </w:r>
      <w:r w:rsidRPr="003006D9">
        <w:rPr>
          <w:rFonts w:cs="Arial"/>
          <w:lang w:val="es-CO"/>
        </w:rPr>
        <w:t>.</w:t>
      </w:r>
    </w:p>
    <w:p w:rsidR="0020541B" w:rsidRPr="003006D9" w:rsidRDefault="0020541B" w:rsidP="00402F72">
      <w:pPr>
        <w:ind w:right="-284"/>
        <w:rPr>
          <w:rFonts w:cs="Arial"/>
          <w:lang w:val="es-CO"/>
        </w:rPr>
      </w:pPr>
    </w:p>
    <w:p w:rsidR="00F80D7E" w:rsidRPr="003006D9" w:rsidRDefault="00330C5F" w:rsidP="00402F72">
      <w:pPr>
        <w:ind w:right="-284"/>
        <w:rPr>
          <w:rFonts w:cs="Arial"/>
          <w:lang w:val="es-CO"/>
        </w:rPr>
      </w:pPr>
      <w:r w:rsidRPr="003006D9">
        <w:rPr>
          <w:rFonts w:cs="Arial"/>
          <w:lang w:val="es-CO"/>
        </w:rPr>
        <w:t xml:space="preserve">Por otra parte, se </w:t>
      </w:r>
      <w:r w:rsidR="006A17BC" w:rsidRPr="003006D9">
        <w:rPr>
          <w:rFonts w:cs="Arial"/>
          <w:lang w:val="es-CO"/>
        </w:rPr>
        <w:t>establece</w:t>
      </w:r>
      <w:r w:rsidRPr="003006D9">
        <w:rPr>
          <w:rFonts w:cs="Arial"/>
          <w:lang w:val="es-CO"/>
        </w:rPr>
        <w:t xml:space="preserve"> que l</w:t>
      </w:r>
      <w:r w:rsidR="001D226E" w:rsidRPr="003006D9">
        <w:rPr>
          <w:rFonts w:cs="Arial"/>
          <w:lang w:val="es-CO"/>
        </w:rPr>
        <w:t xml:space="preserve">a demanda de reconvención se </w:t>
      </w:r>
      <w:r w:rsidR="007D357A" w:rsidRPr="003006D9">
        <w:rPr>
          <w:rFonts w:cs="Arial"/>
          <w:lang w:val="es-CO"/>
        </w:rPr>
        <w:t>presentó el 28 de junio de 2011</w:t>
      </w:r>
      <w:r w:rsidR="00253994" w:rsidRPr="003006D9">
        <w:rPr>
          <w:rFonts w:cs="Arial"/>
          <w:lang w:val="es-CO"/>
        </w:rPr>
        <w:t>. En ella el ICA</w:t>
      </w:r>
      <w:r w:rsidR="00FC481C" w:rsidRPr="003006D9">
        <w:rPr>
          <w:rFonts w:cs="Arial"/>
          <w:lang w:val="es-CO"/>
        </w:rPr>
        <w:t xml:space="preserve"> no </w:t>
      </w:r>
      <w:r w:rsidR="004A5E4D" w:rsidRPr="003006D9">
        <w:rPr>
          <w:rFonts w:cs="Arial"/>
          <w:lang w:val="es-CO"/>
        </w:rPr>
        <w:t xml:space="preserve">catalogó </w:t>
      </w:r>
      <w:r w:rsidR="00FC481C" w:rsidRPr="003006D9">
        <w:rPr>
          <w:rFonts w:cs="Arial"/>
          <w:lang w:val="es-CO"/>
        </w:rPr>
        <w:t xml:space="preserve">el tipo de acción que ejerció, empero </w:t>
      </w:r>
      <w:r w:rsidR="00253994" w:rsidRPr="003006D9">
        <w:rPr>
          <w:rFonts w:cs="Arial"/>
          <w:lang w:val="es-CO"/>
        </w:rPr>
        <w:t xml:space="preserve">presentó pretensión de nulidad </w:t>
      </w:r>
      <w:r w:rsidR="001D226E" w:rsidRPr="003006D9">
        <w:rPr>
          <w:rFonts w:cs="Arial"/>
          <w:lang w:val="es-CO"/>
        </w:rPr>
        <w:t>de la promesa de compraventa</w:t>
      </w:r>
      <w:r w:rsidR="007D357A" w:rsidRPr="003006D9">
        <w:rPr>
          <w:rFonts w:cs="Arial"/>
          <w:lang w:val="es-CO"/>
        </w:rPr>
        <w:t xml:space="preserve"> y </w:t>
      </w:r>
      <w:r w:rsidR="000E3A11" w:rsidRPr="003006D9">
        <w:rPr>
          <w:rFonts w:cs="Arial"/>
          <w:lang w:val="es-CO"/>
        </w:rPr>
        <w:t xml:space="preserve">de declaración de </w:t>
      </w:r>
      <w:r w:rsidR="007D357A" w:rsidRPr="003006D9">
        <w:rPr>
          <w:rFonts w:cs="Arial"/>
          <w:lang w:val="es-CO"/>
        </w:rPr>
        <w:t xml:space="preserve">ilegalidad del procedimiento precontractual. </w:t>
      </w:r>
    </w:p>
    <w:p w:rsidR="00F80D7E" w:rsidRPr="003006D9" w:rsidRDefault="00F80D7E" w:rsidP="00402F72">
      <w:pPr>
        <w:ind w:right="-284"/>
        <w:rPr>
          <w:rFonts w:cs="Arial"/>
          <w:lang w:val="es-CO"/>
        </w:rPr>
      </w:pPr>
    </w:p>
    <w:p w:rsidR="002D5707" w:rsidRPr="003006D9" w:rsidRDefault="007D357A" w:rsidP="00402F72">
      <w:pPr>
        <w:ind w:right="-284"/>
        <w:rPr>
          <w:rFonts w:cs="Arial"/>
          <w:lang w:val="es-CO"/>
        </w:rPr>
      </w:pPr>
      <w:r w:rsidRPr="003006D9">
        <w:rPr>
          <w:rFonts w:cs="Arial"/>
          <w:lang w:val="es-CO"/>
        </w:rPr>
        <w:lastRenderedPageBreak/>
        <w:t xml:space="preserve">En relación con las precitadas pretensiones, </w:t>
      </w:r>
      <w:r w:rsidR="009C2394" w:rsidRPr="003006D9">
        <w:rPr>
          <w:rFonts w:cs="Arial"/>
          <w:lang w:val="es-CO"/>
        </w:rPr>
        <w:t xml:space="preserve">se </w:t>
      </w:r>
      <w:r w:rsidR="00F80D7E" w:rsidRPr="003006D9">
        <w:rPr>
          <w:rFonts w:cs="Arial"/>
          <w:lang w:val="es-CO"/>
        </w:rPr>
        <w:t xml:space="preserve">esclarece </w:t>
      </w:r>
      <w:r w:rsidR="003A5E92" w:rsidRPr="003006D9">
        <w:rPr>
          <w:rFonts w:cs="Arial"/>
          <w:lang w:val="es-CO"/>
        </w:rPr>
        <w:t xml:space="preserve">que </w:t>
      </w:r>
      <w:r w:rsidRPr="003006D9">
        <w:rPr>
          <w:rFonts w:cs="Arial"/>
          <w:lang w:val="es-CO"/>
        </w:rPr>
        <w:t xml:space="preserve">el plazo para presentar la demanda </w:t>
      </w:r>
      <w:r w:rsidR="009C2394" w:rsidRPr="003006D9">
        <w:rPr>
          <w:rFonts w:cs="Arial"/>
          <w:lang w:val="es-CO"/>
        </w:rPr>
        <w:t>de nulidad</w:t>
      </w:r>
      <w:r w:rsidR="001457F0" w:rsidRPr="003006D9">
        <w:rPr>
          <w:rFonts w:cs="Arial"/>
          <w:lang w:val="es-CO"/>
        </w:rPr>
        <w:t xml:space="preserve"> absoluta del contrato de promesa de compraventa</w:t>
      </w:r>
      <w:r w:rsidR="009C2394" w:rsidRPr="003006D9">
        <w:rPr>
          <w:rFonts w:cs="Arial"/>
          <w:lang w:val="es-CO"/>
        </w:rPr>
        <w:t xml:space="preserve">, de conformidad con el literal e) del número 10 del artículo 136, era de dos años </w:t>
      </w:r>
      <w:r w:rsidR="009C2394" w:rsidRPr="003006D9">
        <w:rPr>
          <w:rFonts w:cs="Arial"/>
          <w:i/>
          <w:lang w:val="es-CO"/>
        </w:rPr>
        <w:t>“siguientes al perfeccionamiento del contrato”</w:t>
      </w:r>
      <w:r w:rsidR="003A5E92" w:rsidRPr="003006D9">
        <w:rPr>
          <w:rFonts w:cs="Arial"/>
          <w:i/>
          <w:lang w:val="es-CO"/>
        </w:rPr>
        <w:t>.</w:t>
      </w:r>
    </w:p>
    <w:p w:rsidR="003A5E92" w:rsidRPr="003006D9" w:rsidRDefault="003A5E92" w:rsidP="00402F72">
      <w:pPr>
        <w:ind w:right="-284"/>
        <w:rPr>
          <w:rFonts w:cs="Arial"/>
          <w:lang w:val="es-CO"/>
        </w:rPr>
      </w:pPr>
    </w:p>
    <w:p w:rsidR="00275B3F" w:rsidRPr="003006D9" w:rsidRDefault="002D5707" w:rsidP="00402F72">
      <w:pPr>
        <w:ind w:right="-284"/>
        <w:rPr>
          <w:rFonts w:cs="Arial"/>
          <w:lang w:val="es-CO"/>
        </w:rPr>
      </w:pPr>
      <w:r w:rsidRPr="003006D9">
        <w:rPr>
          <w:rFonts w:cs="Arial"/>
          <w:lang w:val="es-CO"/>
        </w:rPr>
        <w:t xml:space="preserve">Teniendo en cuenta que la promesa de compraventa se </w:t>
      </w:r>
      <w:r w:rsidR="001E44C8" w:rsidRPr="003006D9">
        <w:rPr>
          <w:rFonts w:cs="Arial"/>
          <w:lang w:val="es-CO"/>
        </w:rPr>
        <w:t xml:space="preserve">perfeccionó con la firma, el </w:t>
      </w:r>
      <w:r w:rsidRPr="003006D9">
        <w:rPr>
          <w:rFonts w:cs="Arial"/>
          <w:lang w:val="es-CO"/>
        </w:rPr>
        <w:t xml:space="preserve">30 de </w:t>
      </w:r>
      <w:r w:rsidR="001E44C8" w:rsidRPr="003006D9">
        <w:rPr>
          <w:rFonts w:cs="Arial"/>
          <w:lang w:val="es-CO"/>
        </w:rPr>
        <w:t>septiembre de 2010, la demanda de reconvención orientada a las pretensión de nulidad se presentó en forma oportuna, t</w:t>
      </w:r>
      <w:r w:rsidR="00275B3F" w:rsidRPr="003006D9">
        <w:rPr>
          <w:rFonts w:cs="Arial"/>
          <w:lang w:val="es-CO"/>
        </w:rPr>
        <w:t xml:space="preserve">oda vez que </w:t>
      </w:r>
      <w:r w:rsidR="001E44C8" w:rsidRPr="003006D9">
        <w:rPr>
          <w:rFonts w:cs="Arial"/>
          <w:lang w:val="es-CO"/>
        </w:rPr>
        <w:t xml:space="preserve">el término de la caducidad </w:t>
      </w:r>
      <w:r w:rsidR="00275B3F" w:rsidRPr="003006D9">
        <w:rPr>
          <w:rFonts w:cs="Arial"/>
          <w:lang w:val="es-CO"/>
        </w:rPr>
        <w:t xml:space="preserve">de la acción de nulidad absoluta del contrato </w:t>
      </w:r>
      <w:r w:rsidR="001E44C8" w:rsidRPr="003006D9">
        <w:rPr>
          <w:rFonts w:cs="Arial"/>
          <w:lang w:val="es-CO"/>
        </w:rPr>
        <w:t xml:space="preserve">corrió hasta el </w:t>
      </w:r>
      <w:r w:rsidR="00DA7805" w:rsidRPr="003006D9">
        <w:rPr>
          <w:rFonts w:cs="Arial"/>
          <w:lang w:val="es-CO"/>
        </w:rPr>
        <w:t xml:space="preserve">1º de octubre de 2012 y la demanda de reconvención se instauró el 28 de junio de 2011.  </w:t>
      </w:r>
    </w:p>
    <w:p w:rsidR="00275B3F" w:rsidRPr="003006D9" w:rsidRDefault="00275B3F" w:rsidP="00402F72">
      <w:pPr>
        <w:ind w:right="-284"/>
        <w:rPr>
          <w:rFonts w:cs="Arial"/>
          <w:lang w:val="es-CO"/>
        </w:rPr>
      </w:pPr>
    </w:p>
    <w:p w:rsidR="003D0930" w:rsidRPr="003006D9" w:rsidRDefault="00657FB6" w:rsidP="00402F72">
      <w:pPr>
        <w:ind w:right="-284"/>
        <w:rPr>
          <w:rFonts w:cs="Arial"/>
          <w:lang w:val="es-CO"/>
        </w:rPr>
      </w:pPr>
      <w:r w:rsidRPr="003006D9">
        <w:rPr>
          <w:rFonts w:cs="Arial"/>
          <w:lang w:val="es-CO"/>
        </w:rPr>
        <w:t xml:space="preserve">En relación con </w:t>
      </w:r>
      <w:r w:rsidR="000E3A11" w:rsidRPr="003006D9">
        <w:rPr>
          <w:rFonts w:cs="Arial"/>
          <w:lang w:val="es-CO"/>
        </w:rPr>
        <w:t xml:space="preserve">la pretensión de </w:t>
      </w:r>
      <w:r w:rsidR="009E1D3B" w:rsidRPr="003006D9">
        <w:rPr>
          <w:rFonts w:cs="Arial"/>
          <w:lang w:val="es-CO"/>
        </w:rPr>
        <w:t xml:space="preserve">ilegalidad del procedimiento contractual, </w:t>
      </w:r>
      <w:r w:rsidRPr="003006D9">
        <w:rPr>
          <w:rFonts w:cs="Arial"/>
          <w:lang w:val="es-CO"/>
        </w:rPr>
        <w:t xml:space="preserve">se hace notar que </w:t>
      </w:r>
      <w:r w:rsidR="00DA7805" w:rsidRPr="003006D9">
        <w:rPr>
          <w:rFonts w:cs="Arial"/>
          <w:lang w:val="es-CO"/>
        </w:rPr>
        <w:t>el ICA no pretendió restitución en su favor</w:t>
      </w:r>
      <w:r w:rsidRPr="003006D9">
        <w:rPr>
          <w:rFonts w:cs="Arial"/>
          <w:lang w:val="es-CO"/>
        </w:rPr>
        <w:t xml:space="preserve">, de manera que </w:t>
      </w:r>
      <w:r w:rsidR="003D0930" w:rsidRPr="003006D9">
        <w:rPr>
          <w:rFonts w:cs="Arial"/>
          <w:lang w:val="es-CO"/>
        </w:rPr>
        <w:t xml:space="preserve">no procede aplicar el término de </w:t>
      </w:r>
      <w:r w:rsidRPr="003006D9">
        <w:rPr>
          <w:rFonts w:cs="Arial"/>
          <w:lang w:val="es-CO"/>
        </w:rPr>
        <w:t>caducidad de 30 días, contemplad</w:t>
      </w:r>
      <w:r w:rsidR="003D0930" w:rsidRPr="003006D9">
        <w:rPr>
          <w:rFonts w:cs="Arial"/>
          <w:lang w:val="es-CO"/>
        </w:rPr>
        <w:t>o</w:t>
      </w:r>
      <w:r w:rsidRPr="003006D9">
        <w:rPr>
          <w:rFonts w:cs="Arial"/>
          <w:lang w:val="es-CO"/>
        </w:rPr>
        <w:t xml:space="preserve"> para los actos previos</w:t>
      </w:r>
      <w:r w:rsidR="009E0319" w:rsidRPr="003006D9">
        <w:rPr>
          <w:rFonts w:cs="Arial"/>
          <w:lang w:val="es-CO"/>
        </w:rPr>
        <w:t xml:space="preserve"> en el artículo 87 del C.C.A</w:t>
      </w:r>
      <w:r w:rsidR="003D0930" w:rsidRPr="003006D9">
        <w:rPr>
          <w:rFonts w:cs="Arial"/>
          <w:lang w:val="es-CO"/>
        </w:rPr>
        <w:t>.</w:t>
      </w:r>
    </w:p>
    <w:p w:rsidR="001457F0" w:rsidRPr="003006D9" w:rsidRDefault="001457F0" w:rsidP="00402F72">
      <w:pPr>
        <w:ind w:right="-284"/>
        <w:rPr>
          <w:rFonts w:cs="Arial"/>
          <w:lang w:val="es-CO"/>
        </w:rPr>
      </w:pPr>
    </w:p>
    <w:p w:rsidR="009E1D3B" w:rsidRPr="003006D9" w:rsidRDefault="009E0319" w:rsidP="00402F72">
      <w:pPr>
        <w:ind w:right="-284"/>
        <w:rPr>
          <w:rFonts w:cs="Arial"/>
          <w:lang w:val="es-CO"/>
        </w:rPr>
      </w:pPr>
      <w:r w:rsidRPr="003006D9">
        <w:rPr>
          <w:rFonts w:cs="Arial"/>
          <w:lang w:val="es-CO"/>
        </w:rPr>
        <w:t xml:space="preserve">En cambio, </w:t>
      </w:r>
      <w:r w:rsidR="002E2FAB" w:rsidRPr="003006D9">
        <w:rPr>
          <w:rFonts w:cs="Arial"/>
          <w:lang w:val="es-CO"/>
        </w:rPr>
        <w:t xml:space="preserve">se puede observar que la demanda del ICA se entabló contra su propio acto, </w:t>
      </w:r>
      <w:r w:rsidR="00E938B3" w:rsidRPr="003006D9">
        <w:rPr>
          <w:rFonts w:cs="Arial"/>
          <w:lang w:val="es-CO"/>
        </w:rPr>
        <w:t>apoyada en la violación de la ley en que habría incurrido</w:t>
      </w:r>
      <w:r w:rsidR="00F93454" w:rsidRPr="003006D9">
        <w:rPr>
          <w:rFonts w:cs="Arial"/>
          <w:lang w:val="es-CO"/>
        </w:rPr>
        <w:t xml:space="preserve"> en el procedimiento precontractual que lo llevó a adjudicar el inmueble objeto de la promesa de compraventa</w:t>
      </w:r>
      <w:r w:rsidR="009E1D3B" w:rsidRPr="003006D9">
        <w:rPr>
          <w:rFonts w:cs="Arial"/>
          <w:lang w:val="es-CO"/>
        </w:rPr>
        <w:t xml:space="preserve"> por un precio que a su juicio era violatorio de la ley y </w:t>
      </w:r>
      <w:r w:rsidR="00FC481C" w:rsidRPr="003006D9">
        <w:rPr>
          <w:rFonts w:cs="Arial"/>
          <w:lang w:val="es-CO"/>
        </w:rPr>
        <w:t xml:space="preserve">por considerar que </w:t>
      </w:r>
      <w:r w:rsidR="009E1D3B" w:rsidRPr="003006D9">
        <w:rPr>
          <w:rFonts w:cs="Arial"/>
          <w:lang w:val="es-CO"/>
        </w:rPr>
        <w:t xml:space="preserve">la venta, </w:t>
      </w:r>
      <w:r w:rsidR="00FC481C" w:rsidRPr="003006D9">
        <w:rPr>
          <w:rFonts w:cs="Arial"/>
          <w:lang w:val="es-CO"/>
        </w:rPr>
        <w:t xml:space="preserve">de realizarse, </w:t>
      </w:r>
      <w:r w:rsidR="009E1D3B" w:rsidRPr="003006D9">
        <w:rPr>
          <w:rFonts w:cs="Arial"/>
          <w:lang w:val="es-CO"/>
        </w:rPr>
        <w:t xml:space="preserve">significaría un detrimento patrimonial para el ICA. </w:t>
      </w:r>
    </w:p>
    <w:p w:rsidR="009E1D3B" w:rsidRPr="003006D9" w:rsidRDefault="009E1D3B" w:rsidP="00402F72">
      <w:pPr>
        <w:ind w:right="-284"/>
        <w:rPr>
          <w:rFonts w:cs="Arial"/>
          <w:lang w:val="es-CO"/>
        </w:rPr>
      </w:pPr>
    </w:p>
    <w:p w:rsidR="009E0319" w:rsidRPr="003006D9" w:rsidRDefault="009E1D3B" w:rsidP="00402F72">
      <w:pPr>
        <w:ind w:right="-284"/>
        <w:rPr>
          <w:rFonts w:cs="Arial"/>
          <w:lang w:val="es-CO"/>
        </w:rPr>
      </w:pPr>
      <w:r w:rsidRPr="003006D9">
        <w:rPr>
          <w:rFonts w:cs="Arial"/>
          <w:lang w:val="es-CO"/>
        </w:rPr>
        <w:t xml:space="preserve">Por lo anterior, </w:t>
      </w:r>
      <w:r w:rsidR="002E2FAB" w:rsidRPr="003006D9">
        <w:rPr>
          <w:rFonts w:cs="Arial"/>
          <w:lang w:val="es-CO"/>
        </w:rPr>
        <w:t>se ent</w:t>
      </w:r>
      <w:r w:rsidR="001457F0" w:rsidRPr="003006D9">
        <w:rPr>
          <w:rFonts w:cs="Arial"/>
          <w:lang w:val="es-CO"/>
        </w:rPr>
        <w:t xml:space="preserve">iende </w:t>
      </w:r>
      <w:r w:rsidR="002E2FAB" w:rsidRPr="003006D9">
        <w:rPr>
          <w:rFonts w:cs="Arial"/>
          <w:lang w:val="es-CO"/>
        </w:rPr>
        <w:t xml:space="preserve">que la acción impetrada </w:t>
      </w:r>
      <w:r w:rsidRPr="003006D9">
        <w:rPr>
          <w:rFonts w:cs="Arial"/>
          <w:lang w:val="es-CO"/>
        </w:rPr>
        <w:t xml:space="preserve">frente a ilegalidad de procedimiento contractual </w:t>
      </w:r>
      <w:r w:rsidR="002E2FAB" w:rsidRPr="003006D9">
        <w:rPr>
          <w:rFonts w:cs="Arial"/>
          <w:lang w:val="es-CO"/>
        </w:rPr>
        <w:t xml:space="preserve">fue la </w:t>
      </w:r>
      <w:r w:rsidR="00003737" w:rsidRPr="003006D9">
        <w:rPr>
          <w:rFonts w:cs="Arial"/>
          <w:lang w:val="es-CO"/>
        </w:rPr>
        <w:t xml:space="preserve">de </w:t>
      </w:r>
      <w:r w:rsidR="002E2FAB" w:rsidRPr="003006D9">
        <w:rPr>
          <w:rFonts w:cs="Arial"/>
          <w:lang w:val="es-CO"/>
        </w:rPr>
        <w:t>lesividad</w:t>
      </w:r>
      <w:r w:rsidR="009C4AB8" w:rsidRPr="003006D9">
        <w:rPr>
          <w:rStyle w:val="Refdenotaalpie"/>
          <w:rFonts w:cs="Arial"/>
          <w:lang w:val="es-CO"/>
        </w:rPr>
        <w:footnoteReference w:id="20"/>
      </w:r>
      <w:r w:rsidR="002C156E" w:rsidRPr="003006D9">
        <w:rPr>
          <w:rFonts w:cs="Arial"/>
          <w:lang w:val="es-CO"/>
        </w:rPr>
        <w:t xml:space="preserve">, </w:t>
      </w:r>
      <w:r w:rsidR="003D0930" w:rsidRPr="003006D9">
        <w:rPr>
          <w:rFonts w:cs="Arial"/>
          <w:lang w:val="es-CO"/>
        </w:rPr>
        <w:t xml:space="preserve">la cual debe enfocarse sobre el acto administrativo contentivo de la adjudicación del </w:t>
      </w:r>
      <w:r w:rsidR="00E34C67" w:rsidRPr="003006D9">
        <w:rPr>
          <w:rFonts w:cs="Arial"/>
          <w:lang w:val="es-CO"/>
        </w:rPr>
        <w:t>respectivo bien inmueble,</w:t>
      </w:r>
      <w:r w:rsidR="003D0930" w:rsidRPr="003006D9">
        <w:rPr>
          <w:rFonts w:cs="Arial"/>
          <w:lang w:val="es-CO"/>
        </w:rPr>
        <w:t xml:space="preserve"> </w:t>
      </w:r>
      <w:r w:rsidR="008D10B2" w:rsidRPr="003006D9">
        <w:rPr>
          <w:rFonts w:cs="Arial"/>
          <w:lang w:val="es-CO"/>
        </w:rPr>
        <w:t xml:space="preserve">es decir, la Resolución 3098 de 17 de septiembre de 2010, en </w:t>
      </w:r>
      <w:r w:rsidR="002E2FAB" w:rsidRPr="003006D9">
        <w:rPr>
          <w:rFonts w:cs="Arial"/>
          <w:lang w:val="es-CO"/>
        </w:rPr>
        <w:t xml:space="preserve">cuyo </w:t>
      </w:r>
      <w:r w:rsidR="008D10B2" w:rsidRPr="003006D9">
        <w:rPr>
          <w:rFonts w:cs="Arial"/>
          <w:lang w:val="es-CO"/>
        </w:rPr>
        <w:t xml:space="preserve">caso el </w:t>
      </w:r>
      <w:r w:rsidR="002E2FAB" w:rsidRPr="003006D9">
        <w:rPr>
          <w:rFonts w:cs="Arial"/>
          <w:lang w:val="es-CO"/>
        </w:rPr>
        <w:t xml:space="preserve">término de caducidad </w:t>
      </w:r>
      <w:r w:rsidR="00E938B3" w:rsidRPr="003006D9">
        <w:rPr>
          <w:rFonts w:cs="Arial"/>
          <w:lang w:val="es-CO"/>
        </w:rPr>
        <w:t>se rig</w:t>
      </w:r>
      <w:r w:rsidR="001457F0" w:rsidRPr="003006D9">
        <w:rPr>
          <w:rFonts w:cs="Arial"/>
          <w:lang w:val="es-CO"/>
        </w:rPr>
        <w:t>ió</w:t>
      </w:r>
      <w:r w:rsidR="00E938B3" w:rsidRPr="003006D9">
        <w:rPr>
          <w:rFonts w:cs="Arial"/>
          <w:lang w:val="es-CO"/>
        </w:rPr>
        <w:t xml:space="preserve"> por el artículo 136-7 del C.C.A., </w:t>
      </w:r>
      <w:r w:rsidR="003A2A54" w:rsidRPr="003006D9">
        <w:rPr>
          <w:rFonts w:cs="Arial"/>
          <w:lang w:val="es-CO"/>
        </w:rPr>
        <w:t xml:space="preserve">según </w:t>
      </w:r>
      <w:r w:rsidR="00E938B3" w:rsidRPr="003006D9">
        <w:rPr>
          <w:rFonts w:cs="Arial"/>
          <w:lang w:val="es-CO"/>
        </w:rPr>
        <w:t>el cual el plazo de dos años se c</w:t>
      </w:r>
      <w:r w:rsidR="001457F0" w:rsidRPr="003006D9">
        <w:rPr>
          <w:rFonts w:cs="Arial"/>
          <w:lang w:val="es-CO"/>
        </w:rPr>
        <w:t>ontaba</w:t>
      </w:r>
      <w:r w:rsidR="00E938B3" w:rsidRPr="003006D9">
        <w:rPr>
          <w:rFonts w:cs="Arial"/>
          <w:lang w:val="es-CO"/>
        </w:rPr>
        <w:t xml:space="preserve"> a partir </w:t>
      </w:r>
      <w:r w:rsidR="00E938B3" w:rsidRPr="003006D9">
        <w:rPr>
          <w:rFonts w:cs="Arial"/>
          <w:i/>
          <w:lang w:val="es-CO"/>
        </w:rPr>
        <w:t>“del día siguiente de su expedición”</w:t>
      </w:r>
      <w:r w:rsidR="00F93454" w:rsidRPr="003006D9">
        <w:rPr>
          <w:rFonts w:cs="Arial"/>
          <w:i/>
          <w:lang w:val="es-CO"/>
        </w:rPr>
        <w:t>.</w:t>
      </w:r>
      <w:r w:rsidR="00F93454" w:rsidRPr="003006D9">
        <w:rPr>
          <w:rFonts w:cs="Arial"/>
          <w:lang w:val="es-CO"/>
        </w:rPr>
        <w:t xml:space="preserve"> </w:t>
      </w:r>
    </w:p>
    <w:p w:rsidR="009E0319" w:rsidRPr="003006D9" w:rsidRDefault="009E0319" w:rsidP="00402F72">
      <w:pPr>
        <w:ind w:right="-284"/>
        <w:rPr>
          <w:rFonts w:cs="Arial"/>
          <w:lang w:val="es-CO"/>
        </w:rPr>
      </w:pPr>
    </w:p>
    <w:p w:rsidR="005B10DE" w:rsidRPr="003006D9" w:rsidRDefault="00F93454" w:rsidP="00402F72">
      <w:pPr>
        <w:ind w:right="-284"/>
        <w:rPr>
          <w:rFonts w:cs="Arial"/>
          <w:lang w:val="es-CO"/>
        </w:rPr>
      </w:pPr>
      <w:r w:rsidRPr="003006D9">
        <w:rPr>
          <w:rFonts w:cs="Arial"/>
          <w:lang w:val="es-CO"/>
        </w:rPr>
        <w:t xml:space="preserve">Por ello se establece que </w:t>
      </w:r>
      <w:r w:rsidR="005E22D9" w:rsidRPr="003006D9">
        <w:rPr>
          <w:rFonts w:cs="Arial"/>
          <w:lang w:val="es-CO"/>
        </w:rPr>
        <w:t>e</w:t>
      </w:r>
      <w:r w:rsidR="009E0319" w:rsidRPr="003006D9">
        <w:rPr>
          <w:rFonts w:cs="Arial"/>
          <w:lang w:val="es-CO"/>
        </w:rPr>
        <w:t>l</w:t>
      </w:r>
      <w:r w:rsidR="005E22D9" w:rsidRPr="003006D9">
        <w:rPr>
          <w:rFonts w:cs="Arial"/>
          <w:lang w:val="es-CO"/>
        </w:rPr>
        <w:t xml:space="preserve"> término de caducidad de la acción de lesividad</w:t>
      </w:r>
      <w:r w:rsidR="001E5B69" w:rsidRPr="003006D9">
        <w:rPr>
          <w:rFonts w:cs="Arial"/>
          <w:lang w:val="es-CO"/>
        </w:rPr>
        <w:t xml:space="preserve">, entablada en este caso </w:t>
      </w:r>
      <w:r w:rsidR="005E22D9" w:rsidRPr="003006D9">
        <w:rPr>
          <w:rFonts w:cs="Arial"/>
          <w:lang w:val="es-CO"/>
        </w:rPr>
        <w:t xml:space="preserve">contra el </w:t>
      </w:r>
      <w:r w:rsidR="00E34C67" w:rsidRPr="003006D9">
        <w:rPr>
          <w:rFonts w:cs="Arial"/>
          <w:lang w:val="es-CO"/>
        </w:rPr>
        <w:t xml:space="preserve">acto administrativo mediante el cual se adjudicó el bien inmueble denominado El Mira, </w:t>
      </w:r>
      <w:r w:rsidR="00003737" w:rsidRPr="003006D9">
        <w:rPr>
          <w:rFonts w:cs="Arial"/>
          <w:lang w:val="es-CO"/>
        </w:rPr>
        <w:t xml:space="preserve">corrió </w:t>
      </w:r>
      <w:r w:rsidR="001457F0" w:rsidRPr="003006D9">
        <w:rPr>
          <w:rFonts w:cs="Arial"/>
          <w:lang w:val="es-CO"/>
        </w:rPr>
        <w:t xml:space="preserve">hasta el 18 de septiembre de 2012, de manera que la </w:t>
      </w:r>
      <w:r w:rsidR="005E22D9" w:rsidRPr="003006D9">
        <w:rPr>
          <w:rFonts w:cs="Arial"/>
          <w:lang w:val="es-CO"/>
        </w:rPr>
        <w:t xml:space="preserve">demanda de reconvención se </w:t>
      </w:r>
      <w:r w:rsidR="001457F0" w:rsidRPr="003006D9">
        <w:rPr>
          <w:rFonts w:cs="Arial"/>
          <w:lang w:val="es-CO"/>
        </w:rPr>
        <w:t>presentó en forma oportuna</w:t>
      </w:r>
      <w:r w:rsidR="00E17393" w:rsidRPr="003006D9">
        <w:rPr>
          <w:rFonts w:cs="Arial"/>
          <w:lang w:val="es-CO"/>
        </w:rPr>
        <w:t>, el 28 de junio de 2011</w:t>
      </w:r>
      <w:r w:rsidR="001457F0" w:rsidRPr="003006D9">
        <w:rPr>
          <w:rFonts w:cs="Arial"/>
          <w:lang w:val="es-CO"/>
        </w:rPr>
        <w:t xml:space="preserve">. </w:t>
      </w:r>
      <w:r w:rsidR="005B10DE" w:rsidRPr="003006D9">
        <w:rPr>
          <w:rFonts w:cs="Arial"/>
          <w:lang w:val="es-CO"/>
        </w:rPr>
        <w:t xml:space="preserve"> </w:t>
      </w:r>
    </w:p>
    <w:p w:rsidR="005B10DE" w:rsidRPr="003006D9" w:rsidRDefault="005B10DE" w:rsidP="00402F72">
      <w:pPr>
        <w:ind w:right="-284"/>
        <w:rPr>
          <w:rFonts w:cs="Arial"/>
          <w:lang w:val="es-CO"/>
        </w:rPr>
      </w:pPr>
    </w:p>
    <w:p w:rsidR="00BC0EC4" w:rsidRPr="003006D9" w:rsidRDefault="00275B3F" w:rsidP="003B69F2">
      <w:pPr>
        <w:tabs>
          <w:tab w:val="left" w:pos="7797"/>
        </w:tabs>
        <w:ind w:right="-284"/>
        <w:rPr>
          <w:rFonts w:cs="Arial"/>
          <w:lang w:val="es-MX"/>
        </w:rPr>
      </w:pPr>
      <w:r w:rsidRPr="003006D9">
        <w:rPr>
          <w:rFonts w:cs="Arial"/>
          <w:lang w:val="es-MX"/>
        </w:rPr>
        <w:lastRenderedPageBreak/>
        <w:t xml:space="preserve">Como </w:t>
      </w:r>
      <w:r w:rsidR="001603D6" w:rsidRPr="003006D9">
        <w:rPr>
          <w:rFonts w:cs="Arial"/>
          <w:lang w:val="es-MX"/>
        </w:rPr>
        <w:t xml:space="preserve">consecuencia, la Sala observa que la demanda </w:t>
      </w:r>
      <w:r w:rsidRPr="003006D9">
        <w:rPr>
          <w:rFonts w:cs="Arial"/>
          <w:lang w:val="es-MX"/>
        </w:rPr>
        <w:t xml:space="preserve">principal y la demanda de reconvención se presentaron </w:t>
      </w:r>
      <w:r w:rsidR="001603D6" w:rsidRPr="003006D9">
        <w:rPr>
          <w:rFonts w:cs="Arial"/>
          <w:lang w:val="es-MX"/>
        </w:rPr>
        <w:t>oportunamente</w:t>
      </w:r>
      <w:r w:rsidRPr="003006D9">
        <w:rPr>
          <w:rFonts w:cs="Arial"/>
          <w:lang w:val="es-MX"/>
        </w:rPr>
        <w:t>.</w:t>
      </w:r>
    </w:p>
    <w:p w:rsidR="002A6EA8" w:rsidRPr="003006D9" w:rsidRDefault="002A6EA8" w:rsidP="00BE793C">
      <w:pPr>
        <w:pStyle w:val="Lista"/>
        <w:rPr>
          <w:rFonts w:ascii="Arial" w:hAnsi="Arial" w:cs="Arial"/>
          <w:b/>
        </w:rPr>
      </w:pPr>
    </w:p>
    <w:p w:rsidR="00BE793C" w:rsidRPr="003006D9" w:rsidRDefault="003926D5" w:rsidP="00BE793C">
      <w:pPr>
        <w:pStyle w:val="Lista"/>
        <w:rPr>
          <w:rFonts w:ascii="Arial" w:hAnsi="Arial" w:cs="Arial"/>
          <w:b/>
        </w:rPr>
      </w:pPr>
      <w:r w:rsidRPr="003006D9">
        <w:rPr>
          <w:rFonts w:ascii="Arial" w:hAnsi="Arial" w:cs="Arial"/>
          <w:b/>
        </w:rPr>
        <w:t>3</w:t>
      </w:r>
      <w:r w:rsidR="00BE793C" w:rsidRPr="003006D9">
        <w:rPr>
          <w:rFonts w:ascii="Arial" w:hAnsi="Arial" w:cs="Arial"/>
          <w:b/>
        </w:rPr>
        <w:t>.</w:t>
      </w:r>
      <w:r w:rsidR="004A49A0" w:rsidRPr="003006D9">
        <w:rPr>
          <w:rFonts w:ascii="Arial" w:hAnsi="Arial" w:cs="Arial"/>
          <w:b/>
        </w:rPr>
        <w:tab/>
      </w:r>
      <w:r w:rsidR="00003737" w:rsidRPr="003006D9">
        <w:rPr>
          <w:rFonts w:ascii="Arial" w:hAnsi="Arial" w:cs="Arial"/>
          <w:b/>
        </w:rPr>
        <w:t xml:space="preserve">Delimitación de la apelación </w:t>
      </w:r>
    </w:p>
    <w:p w:rsidR="00E7557C" w:rsidRPr="003006D9" w:rsidRDefault="00E7557C" w:rsidP="00267437">
      <w:pPr>
        <w:widowControl w:val="0"/>
        <w:rPr>
          <w:rFonts w:cs="Arial"/>
          <w:lang w:val="es-ES_tradnl"/>
        </w:rPr>
      </w:pPr>
    </w:p>
    <w:p w:rsidR="00C5514D" w:rsidRPr="003006D9" w:rsidRDefault="00656AA5" w:rsidP="00267437">
      <w:pPr>
        <w:widowControl w:val="0"/>
        <w:rPr>
          <w:rFonts w:cs="Arial"/>
          <w:lang w:val="es-ES_tradnl"/>
        </w:rPr>
      </w:pPr>
      <w:r w:rsidRPr="003006D9">
        <w:rPr>
          <w:rFonts w:cs="Arial"/>
          <w:lang w:val="es-ES_tradnl"/>
        </w:rPr>
        <w:t xml:space="preserve">Teniendo en cuenta que </w:t>
      </w:r>
      <w:r w:rsidR="001E5B69" w:rsidRPr="003006D9">
        <w:rPr>
          <w:rFonts w:cs="Arial"/>
          <w:lang w:val="es-ES_tradnl"/>
        </w:rPr>
        <w:t>la</w:t>
      </w:r>
      <w:r w:rsidRPr="003006D9">
        <w:rPr>
          <w:rFonts w:cs="Arial"/>
          <w:lang w:val="es-ES_tradnl"/>
        </w:rPr>
        <w:t xml:space="preserve"> demandante funda el recurso de apelación en </w:t>
      </w:r>
      <w:r w:rsidR="00C5514D" w:rsidRPr="003006D9">
        <w:rPr>
          <w:rFonts w:cs="Arial"/>
          <w:lang w:val="es-ES_tradnl"/>
        </w:rPr>
        <w:t xml:space="preserve">que se le desconocieron las pruebas obrantes en el proceso y </w:t>
      </w:r>
      <w:r w:rsidR="00387DE0" w:rsidRPr="003006D9">
        <w:rPr>
          <w:rFonts w:cs="Arial"/>
          <w:lang w:val="es-ES_tradnl"/>
        </w:rPr>
        <w:t xml:space="preserve">en que </w:t>
      </w:r>
      <w:r w:rsidR="00570534" w:rsidRPr="003006D9">
        <w:rPr>
          <w:rFonts w:cs="Arial"/>
          <w:lang w:val="es-ES_tradnl"/>
        </w:rPr>
        <w:t xml:space="preserve">no </w:t>
      </w:r>
      <w:r w:rsidR="00387DE0" w:rsidRPr="003006D9">
        <w:rPr>
          <w:rFonts w:cs="Arial"/>
          <w:lang w:val="es-ES_tradnl"/>
        </w:rPr>
        <w:t xml:space="preserve">se </w:t>
      </w:r>
      <w:r w:rsidR="00570534" w:rsidRPr="003006D9">
        <w:rPr>
          <w:rFonts w:cs="Arial"/>
          <w:lang w:val="es-ES_tradnl"/>
        </w:rPr>
        <w:t xml:space="preserve">tipificó </w:t>
      </w:r>
      <w:r w:rsidR="00003737" w:rsidRPr="003006D9">
        <w:rPr>
          <w:rFonts w:cs="Arial"/>
          <w:lang w:val="es-ES_tradnl"/>
        </w:rPr>
        <w:t xml:space="preserve">la </w:t>
      </w:r>
      <w:r w:rsidR="00C5514D" w:rsidRPr="003006D9">
        <w:rPr>
          <w:rFonts w:cs="Arial"/>
          <w:lang w:val="es-ES_tradnl"/>
        </w:rPr>
        <w:t xml:space="preserve">causal de nulidad </w:t>
      </w:r>
      <w:r w:rsidR="00003737" w:rsidRPr="003006D9">
        <w:rPr>
          <w:rFonts w:cs="Arial"/>
          <w:lang w:val="es-ES_tradnl"/>
        </w:rPr>
        <w:t>impetrada</w:t>
      </w:r>
      <w:r w:rsidR="00C5514D" w:rsidRPr="003006D9">
        <w:rPr>
          <w:rFonts w:cs="Arial"/>
          <w:lang w:val="es-ES_tradnl"/>
        </w:rPr>
        <w:t>, la Sala se ocupará</w:t>
      </w:r>
      <w:r w:rsidR="00570534" w:rsidRPr="003006D9">
        <w:rPr>
          <w:rFonts w:cs="Arial"/>
          <w:lang w:val="es-ES_tradnl"/>
        </w:rPr>
        <w:t>,</w:t>
      </w:r>
      <w:r w:rsidR="00C5514D" w:rsidRPr="003006D9">
        <w:rPr>
          <w:rFonts w:cs="Arial"/>
          <w:lang w:val="es-ES_tradnl"/>
        </w:rPr>
        <w:t xml:space="preserve"> en primer lugar</w:t>
      </w:r>
      <w:r w:rsidR="00570534" w:rsidRPr="003006D9">
        <w:rPr>
          <w:rFonts w:cs="Arial"/>
          <w:lang w:val="es-ES_tradnl"/>
        </w:rPr>
        <w:t>,</w:t>
      </w:r>
      <w:r w:rsidR="00C5514D" w:rsidRPr="003006D9">
        <w:rPr>
          <w:rFonts w:cs="Arial"/>
          <w:lang w:val="es-ES_tradnl"/>
        </w:rPr>
        <w:t xml:space="preserve"> del análisis de</w:t>
      </w:r>
      <w:r w:rsidR="00570534" w:rsidRPr="003006D9">
        <w:rPr>
          <w:rFonts w:cs="Arial"/>
          <w:lang w:val="es-ES_tradnl"/>
        </w:rPr>
        <w:t xml:space="preserve">l acervo probatorio </w:t>
      </w:r>
      <w:r w:rsidR="00C5514D" w:rsidRPr="003006D9">
        <w:rPr>
          <w:rFonts w:cs="Arial"/>
          <w:lang w:val="es-ES_tradnl"/>
        </w:rPr>
        <w:t xml:space="preserve">y luego </w:t>
      </w:r>
      <w:r w:rsidR="007915CC" w:rsidRPr="003006D9">
        <w:rPr>
          <w:rFonts w:cs="Arial"/>
          <w:lang w:val="es-ES_tradnl"/>
        </w:rPr>
        <w:t xml:space="preserve">pasará a estudiar </w:t>
      </w:r>
      <w:r w:rsidR="00C5514D" w:rsidRPr="003006D9">
        <w:rPr>
          <w:rFonts w:cs="Arial"/>
          <w:lang w:val="es-ES_tradnl"/>
        </w:rPr>
        <w:t>las causales de nulidad</w:t>
      </w:r>
      <w:r w:rsidR="00446F6A" w:rsidRPr="003006D9">
        <w:rPr>
          <w:rFonts w:cs="Arial"/>
          <w:lang w:val="es-ES_tradnl"/>
        </w:rPr>
        <w:t xml:space="preserve"> aplicables al caso sub júdice</w:t>
      </w:r>
      <w:r w:rsidR="00C5514D" w:rsidRPr="003006D9">
        <w:rPr>
          <w:rFonts w:cs="Arial"/>
          <w:lang w:val="es-ES_tradnl"/>
        </w:rPr>
        <w:t>.</w:t>
      </w:r>
    </w:p>
    <w:p w:rsidR="00570534" w:rsidRPr="003006D9" w:rsidRDefault="00570534" w:rsidP="00267437">
      <w:pPr>
        <w:widowControl w:val="0"/>
        <w:rPr>
          <w:rFonts w:cs="Arial"/>
          <w:lang w:val="es-ES_tradnl"/>
        </w:rPr>
      </w:pPr>
    </w:p>
    <w:p w:rsidR="006715F6" w:rsidRPr="003006D9" w:rsidRDefault="009C5182" w:rsidP="00267437">
      <w:pPr>
        <w:widowControl w:val="0"/>
        <w:rPr>
          <w:rFonts w:cs="Arial"/>
          <w:lang w:val="es-ES_tradnl"/>
        </w:rPr>
      </w:pPr>
      <w:r w:rsidRPr="003006D9">
        <w:rPr>
          <w:rFonts w:cs="Arial"/>
          <w:lang w:val="es-ES_tradnl"/>
        </w:rPr>
        <w:t xml:space="preserve">Es preciso </w:t>
      </w:r>
      <w:r w:rsidR="00C57665" w:rsidRPr="003006D9">
        <w:rPr>
          <w:rFonts w:cs="Arial"/>
          <w:lang w:val="es-ES_tradnl"/>
        </w:rPr>
        <w:t xml:space="preserve">esclarecer previamente el argumento según el cual </w:t>
      </w:r>
      <w:r w:rsidR="008F230F" w:rsidRPr="003006D9">
        <w:rPr>
          <w:rFonts w:cs="Arial"/>
          <w:lang w:val="es-ES_tradnl"/>
        </w:rPr>
        <w:t xml:space="preserve">la </w:t>
      </w:r>
      <w:r w:rsidRPr="003006D9">
        <w:rPr>
          <w:rFonts w:cs="Arial"/>
          <w:lang w:val="es-ES_tradnl"/>
        </w:rPr>
        <w:t xml:space="preserve">sentencia de primera instancia </w:t>
      </w:r>
      <w:r w:rsidR="008F230F" w:rsidRPr="003006D9">
        <w:rPr>
          <w:rFonts w:cs="Arial"/>
          <w:lang w:val="es-ES_tradnl"/>
        </w:rPr>
        <w:t xml:space="preserve">se habría apoyado en causales de nulidad no invocadas por </w:t>
      </w:r>
      <w:r w:rsidR="003D4C2F" w:rsidRPr="003006D9">
        <w:rPr>
          <w:rFonts w:cs="Arial"/>
          <w:lang w:val="es-ES_tradnl"/>
        </w:rPr>
        <w:t xml:space="preserve">el ICA, </w:t>
      </w:r>
      <w:r w:rsidR="006715F6" w:rsidRPr="003006D9">
        <w:rPr>
          <w:rFonts w:cs="Arial"/>
          <w:lang w:val="es-ES_tradnl"/>
        </w:rPr>
        <w:t xml:space="preserve">entidad </w:t>
      </w:r>
      <w:r w:rsidR="00FE0766" w:rsidRPr="003006D9">
        <w:rPr>
          <w:rFonts w:cs="Arial"/>
          <w:lang w:val="es-ES_tradnl"/>
        </w:rPr>
        <w:t>demandada que a su vez</w:t>
      </w:r>
      <w:r w:rsidR="006715F6" w:rsidRPr="003006D9">
        <w:rPr>
          <w:rFonts w:cs="Arial"/>
          <w:lang w:val="es-ES_tradnl"/>
        </w:rPr>
        <w:t xml:space="preserve"> </w:t>
      </w:r>
      <w:r w:rsidR="003D4C2F" w:rsidRPr="003006D9">
        <w:rPr>
          <w:rFonts w:cs="Arial"/>
          <w:lang w:val="es-ES_tradnl"/>
        </w:rPr>
        <w:t>obr</w:t>
      </w:r>
      <w:r w:rsidR="006715F6" w:rsidRPr="003006D9">
        <w:rPr>
          <w:rFonts w:cs="Arial"/>
          <w:lang w:val="es-ES_tradnl"/>
        </w:rPr>
        <w:t>ó</w:t>
      </w:r>
      <w:r w:rsidR="003D4C2F" w:rsidRPr="003006D9">
        <w:rPr>
          <w:rFonts w:cs="Arial"/>
          <w:lang w:val="es-ES_tradnl"/>
        </w:rPr>
        <w:t xml:space="preserve"> como </w:t>
      </w:r>
      <w:r w:rsidR="008F230F" w:rsidRPr="003006D9">
        <w:rPr>
          <w:rFonts w:cs="Arial"/>
          <w:lang w:val="es-ES_tradnl"/>
        </w:rPr>
        <w:t xml:space="preserve">demandante en reconvención. </w:t>
      </w:r>
    </w:p>
    <w:p w:rsidR="006715F6" w:rsidRPr="003006D9" w:rsidRDefault="006715F6" w:rsidP="00267437">
      <w:pPr>
        <w:widowControl w:val="0"/>
        <w:rPr>
          <w:rFonts w:cs="Arial"/>
          <w:lang w:val="es-ES_tradnl"/>
        </w:rPr>
      </w:pPr>
    </w:p>
    <w:p w:rsidR="00385B88" w:rsidRPr="003006D9" w:rsidRDefault="00C57665" w:rsidP="00267437">
      <w:pPr>
        <w:widowControl w:val="0"/>
        <w:rPr>
          <w:rFonts w:cs="Arial"/>
          <w:lang w:val="es-ES_tradnl"/>
        </w:rPr>
      </w:pPr>
      <w:r w:rsidRPr="003006D9">
        <w:rPr>
          <w:rFonts w:cs="Arial"/>
          <w:lang w:val="es-ES_tradnl"/>
        </w:rPr>
        <w:t>En efecto</w:t>
      </w:r>
      <w:r w:rsidR="006715F6" w:rsidRPr="003006D9">
        <w:rPr>
          <w:rFonts w:cs="Arial"/>
          <w:lang w:val="es-ES_tradnl"/>
        </w:rPr>
        <w:t>,</w:t>
      </w:r>
      <w:r w:rsidRPr="003006D9">
        <w:rPr>
          <w:rFonts w:cs="Arial"/>
          <w:lang w:val="es-ES_tradnl"/>
        </w:rPr>
        <w:t xml:space="preserve"> existen en la sentencia consideraciones acerca de las fallas en el principio de planeación</w:t>
      </w:r>
      <w:r w:rsidR="00B05843" w:rsidRPr="003006D9">
        <w:rPr>
          <w:rFonts w:cs="Arial"/>
          <w:lang w:val="es-ES_tradnl"/>
        </w:rPr>
        <w:t xml:space="preserve">, al paso que esta </w:t>
      </w:r>
      <w:r w:rsidR="00CB7631" w:rsidRPr="003006D9">
        <w:rPr>
          <w:rFonts w:cs="Arial"/>
          <w:lang w:val="es-ES_tradnl"/>
        </w:rPr>
        <w:t xml:space="preserve">causa que no fue invocada por el </w:t>
      </w:r>
      <w:r w:rsidR="00385B88" w:rsidRPr="003006D9">
        <w:rPr>
          <w:rFonts w:cs="Arial"/>
          <w:lang w:val="es-ES_tradnl"/>
        </w:rPr>
        <w:t xml:space="preserve">ICA </w:t>
      </w:r>
      <w:r w:rsidR="00DF199B" w:rsidRPr="003006D9">
        <w:rPr>
          <w:rFonts w:cs="Arial"/>
          <w:lang w:val="es-ES_tradnl"/>
        </w:rPr>
        <w:t xml:space="preserve">al </w:t>
      </w:r>
      <w:r w:rsidR="00FC4504" w:rsidRPr="003006D9">
        <w:rPr>
          <w:rFonts w:cs="Arial"/>
          <w:lang w:val="es-ES_tradnl"/>
        </w:rPr>
        <w:t xml:space="preserve">demandar </w:t>
      </w:r>
      <w:r w:rsidR="00CB7631" w:rsidRPr="003006D9">
        <w:rPr>
          <w:rFonts w:cs="Arial"/>
          <w:lang w:val="es-ES_tradnl"/>
        </w:rPr>
        <w:t xml:space="preserve">la </w:t>
      </w:r>
      <w:r w:rsidR="00385B88" w:rsidRPr="003006D9">
        <w:rPr>
          <w:rFonts w:cs="Arial"/>
          <w:lang w:val="es-ES_tradnl"/>
        </w:rPr>
        <w:t>nulidad</w:t>
      </w:r>
      <w:r w:rsidR="004A5E4D" w:rsidRPr="003006D9">
        <w:rPr>
          <w:rFonts w:cs="Arial"/>
          <w:lang w:val="es-ES_tradnl"/>
        </w:rPr>
        <w:t xml:space="preserve"> del procedimiento </w:t>
      </w:r>
      <w:r w:rsidR="00CB7631" w:rsidRPr="003006D9">
        <w:rPr>
          <w:rFonts w:cs="Arial"/>
          <w:lang w:val="es-ES_tradnl"/>
        </w:rPr>
        <w:t>contractual</w:t>
      </w:r>
      <w:r w:rsidR="00385B88" w:rsidRPr="003006D9">
        <w:rPr>
          <w:rFonts w:cs="Arial"/>
          <w:lang w:val="es-ES_tradnl"/>
        </w:rPr>
        <w:t xml:space="preserve">. </w:t>
      </w:r>
    </w:p>
    <w:p w:rsidR="00FC4504" w:rsidRPr="003006D9" w:rsidRDefault="00FC4504" w:rsidP="00267437">
      <w:pPr>
        <w:widowControl w:val="0"/>
        <w:rPr>
          <w:rFonts w:cs="Arial"/>
          <w:lang w:val="es-ES_tradnl"/>
        </w:rPr>
      </w:pPr>
    </w:p>
    <w:p w:rsidR="00732700" w:rsidRPr="003006D9" w:rsidRDefault="00032337" w:rsidP="00267437">
      <w:pPr>
        <w:widowControl w:val="0"/>
        <w:rPr>
          <w:rFonts w:cs="Arial"/>
          <w:lang w:val="es-ES_tradnl"/>
        </w:rPr>
      </w:pPr>
      <w:r w:rsidRPr="003006D9">
        <w:rPr>
          <w:rFonts w:cs="Arial"/>
          <w:lang w:val="es-ES_tradnl"/>
        </w:rPr>
        <w:t xml:space="preserve">Sin embargo, debe advertirse que si los hechos descritos en la </w:t>
      </w:r>
      <w:r w:rsidRPr="003006D9">
        <w:rPr>
          <w:rFonts w:cs="Arial"/>
          <w:i/>
          <w:lang w:val="es-ES_tradnl"/>
        </w:rPr>
        <w:t>causa petendi</w:t>
      </w:r>
      <w:r w:rsidRPr="003006D9">
        <w:rPr>
          <w:rFonts w:cs="Arial"/>
          <w:lang w:val="es-ES_tradnl"/>
        </w:rPr>
        <w:t xml:space="preserve"> </w:t>
      </w:r>
      <w:r w:rsidR="00F35C06" w:rsidRPr="003006D9">
        <w:rPr>
          <w:rFonts w:cs="Arial"/>
          <w:lang w:val="es-ES_tradnl"/>
        </w:rPr>
        <w:t xml:space="preserve">y </w:t>
      </w:r>
      <w:r w:rsidR="00A137AD" w:rsidRPr="003006D9">
        <w:rPr>
          <w:rFonts w:cs="Arial"/>
          <w:lang w:val="es-ES_tradnl"/>
        </w:rPr>
        <w:t xml:space="preserve">debidamente </w:t>
      </w:r>
      <w:r w:rsidR="00F35C06" w:rsidRPr="003006D9">
        <w:rPr>
          <w:rFonts w:cs="Arial"/>
          <w:lang w:val="es-ES_tradnl"/>
        </w:rPr>
        <w:t xml:space="preserve">probados en el proceso </w:t>
      </w:r>
      <w:r w:rsidR="00A137AD" w:rsidRPr="003006D9">
        <w:rPr>
          <w:rFonts w:cs="Arial"/>
          <w:lang w:val="es-ES_tradnl"/>
        </w:rPr>
        <w:t xml:space="preserve">contractual </w:t>
      </w:r>
      <w:r w:rsidR="00EB0A0B" w:rsidRPr="003006D9">
        <w:rPr>
          <w:rFonts w:cs="Arial"/>
          <w:lang w:val="es-ES_tradnl"/>
        </w:rPr>
        <w:t xml:space="preserve">evidencian </w:t>
      </w:r>
      <w:r w:rsidRPr="003006D9">
        <w:rPr>
          <w:rFonts w:cs="Arial"/>
          <w:lang w:val="es-ES_tradnl"/>
        </w:rPr>
        <w:t xml:space="preserve">una violación de la ley imperativa del procedimiento de contratación, </w:t>
      </w:r>
      <w:r w:rsidR="00B05843" w:rsidRPr="003006D9">
        <w:rPr>
          <w:rFonts w:cs="Arial"/>
          <w:lang w:val="es-ES_tradnl"/>
        </w:rPr>
        <w:t xml:space="preserve">procederá la declaratoria de nulidad del acto precontractual y la del contrato adjudicado, en su caso, </w:t>
      </w:r>
      <w:r w:rsidR="00A137AD" w:rsidRPr="003006D9">
        <w:rPr>
          <w:rFonts w:cs="Arial"/>
          <w:lang w:val="es-ES_tradnl"/>
        </w:rPr>
        <w:t xml:space="preserve">aunque </w:t>
      </w:r>
      <w:r w:rsidR="00B05843" w:rsidRPr="003006D9">
        <w:rPr>
          <w:rFonts w:cs="Arial"/>
          <w:lang w:val="es-ES_tradnl"/>
        </w:rPr>
        <w:t xml:space="preserve">dicha violación </w:t>
      </w:r>
      <w:r w:rsidR="00A137AD" w:rsidRPr="003006D9">
        <w:rPr>
          <w:rFonts w:cs="Arial"/>
          <w:lang w:val="es-ES_tradnl"/>
        </w:rPr>
        <w:t xml:space="preserve">se encuentre </w:t>
      </w:r>
      <w:r w:rsidRPr="003006D9">
        <w:rPr>
          <w:rFonts w:cs="Arial"/>
          <w:lang w:val="es-ES_tradnl"/>
        </w:rPr>
        <w:t xml:space="preserve">referida </w:t>
      </w:r>
      <w:r w:rsidR="00A137AD" w:rsidRPr="003006D9">
        <w:rPr>
          <w:rFonts w:cs="Arial"/>
          <w:lang w:val="es-ES_tradnl"/>
        </w:rPr>
        <w:t xml:space="preserve">a </w:t>
      </w:r>
      <w:r w:rsidR="00F35C06" w:rsidRPr="003006D9">
        <w:rPr>
          <w:rFonts w:cs="Arial"/>
          <w:lang w:val="es-ES_tradnl"/>
        </w:rPr>
        <w:t xml:space="preserve">una </w:t>
      </w:r>
      <w:r w:rsidR="00A137AD" w:rsidRPr="003006D9">
        <w:rPr>
          <w:rFonts w:cs="Arial"/>
          <w:lang w:val="es-ES_tradnl"/>
        </w:rPr>
        <w:t xml:space="preserve">norma jurídica </w:t>
      </w:r>
      <w:r w:rsidR="00F35C06" w:rsidRPr="003006D9">
        <w:rPr>
          <w:rFonts w:cs="Arial"/>
          <w:lang w:val="es-ES_tradnl"/>
        </w:rPr>
        <w:t xml:space="preserve">distinta de la que fue invocada en el concepto de violación </w:t>
      </w:r>
      <w:r w:rsidR="00A61DC5" w:rsidRPr="003006D9">
        <w:rPr>
          <w:rFonts w:cs="Arial"/>
          <w:lang w:val="es-ES_tradnl"/>
        </w:rPr>
        <w:t xml:space="preserve">expuesto en </w:t>
      </w:r>
      <w:r w:rsidR="00F35C06" w:rsidRPr="003006D9">
        <w:rPr>
          <w:rFonts w:cs="Arial"/>
          <w:lang w:val="es-ES_tradnl"/>
        </w:rPr>
        <w:t xml:space="preserve">la </w:t>
      </w:r>
      <w:r w:rsidR="00A61DC5" w:rsidRPr="003006D9">
        <w:rPr>
          <w:rFonts w:cs="Arial"/>
          <w:lang w:val="es-ES_tradnl"/>
        </w:rPr>
        <w:t xml:space="preserve">respectiva </w:t>
      </w:r>
      <w:r w:rsidR="00F35C06" w:rsidRPr="003006D9">
        <w:rPr>
          <w:rFonts w:cs="Arial"/>
          <w:lang w:val="es-ES_tradnl"/>
        </w:rPr>
        <w:t>demanda</w:t>
      </w:r>
      <w:r w:rsidR="00A137AD" w:rsidRPr="003006D9">
        <w:rPr>
          <w:rFonts w:cs="Arial"/>
          <w:lang w:val="es-ES_tradnl"/>
        </w:rPr>
        <w:t xml:space="preserve">. </w:t>
      </w:r>
      <w:r w:rsidR="00732700" w:rsidRPr="003006D9">
        <w:rPr>
          <w:rFonts w:cs="Arial"/>
          <w:lang w:val="es-ES_tradnl"/>
        </w:rPr>
        <w:t xml:space="preserve"> Ello es así en desarrollo del principio de </w:t>
      </w:r>
      <w:r w:rsidR="00732700" w:rsidRPr="003006D9">
        <w:rPr>
          <w:rFonts w:cs="Arial"/>
          <w:i/>
          <w:lang w:val="es-ES_tradnl"/>
        </w:rPr>
        <w:t>iura novit curia</w:t>
      </w:r>
      <w:r w:rsidR="00732700" w:rsidRPr="003006D9">
        <w:rPr>
          <w:rFonts w:cs="Arial"/>
          <w:lang w:val="es-ES_tradnl"/>
        </w:rPr>
        <w:t>, es decir que corresponde al juez</w:t>
      </w:r>
      <w:r w:rsidR="00EB0A0B" w:rsidRPr="003006D9">
        <w:rPr>
          <w:rFonts w:cs="Arial"/>
          <w:lang w:val="es-ES_tradnl"/>
        </w:rPr>
        <w:t xml:space="preserve"> del proceso contractual </w:t>
      </w:r>
      <w:r w:rsidR="00732700" w:rsidRPr="003006D9">
        <w:rPr>
          <w:rFonts w:cs="Arial"/>
          <w:lang w:val="es-ES_tradnl"/>
        </w:rPr>
        <w:t>identificar el derecho aplicable al caso, con independencia del que las partes hayan invocado.</w:t>
      </w:r>
    </w:p>
    <w:p w:rsidR="004F0E58" w:rsidRPr="003006D9" w:rsidRDefault="00732700" w:rsidP="004F0E58">
      <w:pPr>
        <w:widowControl w:val="0"/>
        <w:rPr>
          <w:rFonts w:cs="Arial"/>
          <w:lang w:val="es-ES_tradnl"/>
        </w:rPr>
      </w:pPr>
      <w:r w:rsidRPr="003006D9">
        <w:rPr>
          <w:rFonts w:cs="Arial"/>
          <w:lang w:val="es-ES_tradnl"/>
        </w:rPr>
        <w:t xml:space="preserve"> </w:t>
      </w:r>
    </w:p>
    <w:p w:rsidR="00EB296B" w:rsidRPr="003006D9" w:rsidRDefault="002311FC" w:rsidP="00267437">
      <w:pPr>
        <w:widowControl w:val="0"/>
        <w:rPr>
          <w:rFonts w:cs="Arial"/>
          <w:lang w:val="es-ES_tradnl"/>
        </w:rPr>
      </w:pPr>
      <w:r w:rsidRPr="003006D9">
        <w:rPr>
          <w:rFonts w:cs="Arial"/>
          <w:lang w:val="es-ES_tradnl"/>
        </w:rPr>
        <w:t>E</w:t>
      </w:r>
      <w:r w:rsidR="00E80F9A" w:rsidRPr="003006D9">
        <w:rPr>
          <w:rFonts w:cs="Arial"/>
          <w:lang w:val="es-ES_tradnl"/>
        </w:rPr>
        <w:t xml:space="preserve">n el marco de </w:t>
      </w:r>
      <w:r w:rsidR="00DF199B" w:rsidRPr="003006D9">
        <w:rPr>
          <w:rFonts w:cs="Arial"/>
          <w:lang w:val="es-ES_tradnl"/>
        </w:rPr>
        <w:t xml:space="preserve">una </w:t>
      </w:r>
      <w:r w:rsidR="00E80F9A" w:rsidRPr="003006D9">
        <w:rPr>
          <w:rFonts w:cs="Arial"/>
          <w:lang w:val="es-ES_tradnl"/>
        </w:rPr>
        <w:t xml:space="preserve">acción contractual </w:t>
      </w:r>
      <w:r w:rsidR="00EB0A0B" w:rsidRPr="003006D9">
        <w:rPr>
          <w:rFonts w:cs="Arial"/>
          <w:lang w:val="es-ES_tradnl"/>
        </w:rPr>
        <w:t xml:space="preserve">de incumplimiento </w:t>
      </w:r>
      <w:r w:rsidR="00DF199B" w:rsidRPr="003006D9">
        <w:rPr>
          <w:rFonts w:cs="Arial"/>
          <w:lang w:val="es-ES_tradnl"/>
        </w:rPr>
        <w:t xml:space="preserve">como la </w:t>
      </w:r>
      <w:r w:rsidR="00E80F9A" w:rsidRPr="003006D9">
        <w:rPr>
          <w:rFonts w:cs="Arial"/>
          <w:lang w:val="es-ES_tradnl"/>
        </w:rPr>
        <w:t>que impetró la demandante</w:t>
      </w:r>
      <w:r w:rsidR="00EB0A0B" w:rsidRPr="003006D9">
        <w:rPr>
          <w:rFonts w:cs="Arial"/>
          <w:lang w:val="es-ES_tradnl"/>
        </w:rPr>
        <w:t xml:space="preserve">, contrapuesto, en este proceso, con </w:t>
      </w:r>
      <w:r w:rsidR="00E80F9A" w:rsidRPr="003006D9">
        <w:rPr>
          <w:rFonts w:cs="Arial"/>
          <w:lang w:val="es-ES_tradnl"/>
        </w:rPr>
        <w:t>el de la acción de lesividad que</w:t>
      </w:r>
      <w:r w:rsidR="00EB0A0B" w:rsidRPr="003006D9">
        <w:rPr>
          <w:rFonts w:cs="Arial"/>
          <w:lang w:val="es-ES_tradnl"/>
        </w:rPr>
        <w:t xml:space="preserve"> por su parte </w:t>
      </w:r>
      <w:r w:rsidR="00E80F9A" w:rsidRPr="003006D9">
        <w:rPr>
          <w:rFonts w:cs="Arial"/>
          <w:lang w:val="es-ES_tradnl"/>
        </w:rPr>
        <w:t xml:space="preserve">ejerció </w:t>
      </w:r>
      <w:r w:rsidR="00DF199B" w:rsidRPr="003006D9">
        <w:rPr>
          <w:rFonts w:cs="Arial"/>
          <w:lang w:val="es-ES_tradnl"/>
        </w:rPr>
        <w:t xml:space="preserve">el demandado </w:t>
      </w:r>
      <w:r w:rsidR="00EB0A0B" w:rsidRPr="003006D9">
        <w:rPr>
          <w:rFonts w:cs="Arial"/>
          <w:lang w:val="es-ES_tradnl"/>
        </w:rPr>
        <w:t xml:space="preserve">a través de su </w:t>
      </w:r>
      <w:r w:rsidR="00E80F9A" w:rsidRPr="003006D9">
        <w:rPr>
          <w:rFonts w:cs="Arial"/>
          <w:lang w:val="es-ES_tradnl"/>
        </w:rPr>
        <w:t xml:space="preserve">demanda de reconvención, </w:t>
      </w:r>
      <w:r w:rsidR="00EB296B" w:rsidRPr="003006D9">
        <w:rPr>
          <w:rFonts w:cs="Arial"/>
          <w:lang w:val="es-ES_tradnl"/>
        </w:rPr>
        <w:t>s</w:t>
      </w:r>
      <w:r w:rsidR="00A61DC5" w:rsidRPr="003006D9">
        <w:rPr>
          <w:rFonts w:cs="Arial"/>
          <w:lang w:val="es-ES_tradnl"/>
        </w:rPr>
        <w:t>e</w:t>
      </w:r>
      <w:r w:rsidR="00EB296B" w:rsidRPr="003006D9">
        <w:rPr>
          <w:rFonts w:cs="Arial"/>
          <w:lang w:val="es-ES_tradnl"/>
        </w:rPr>
        <w:t xml:space="preserve"> encontró </w:t>
      </w:r>
      <w:r w:rsidR="00DF199B" w:rsidRPr="003006D9">
        <w:rPr>
          <w:rFonts w:cs="Arial"/>
          <w:lang w:val="es-ES_tradnl"/>
        </w:rPr>
        <w:t>expuest</w:t>
      </w:r>
      <w:r w:rsidR="008718A5" w:rsidRPr="003006D9">
        <w:rPr>
          <w:rFonts w:cs="Arial"/>
          <w:lang w:val="es-ES_tradnl"/>
        </w:rPr>
        <w:t xml:space="preserve">a </w:t>
      </w:r>
      <w:r w:rsidR="00DF199B" w:rsidRPr="003006D9">
        <w:rPr>
          <w:rFonts w:cs="Arial"/>
          <w:lang w:val="es-ES_tradnl"/>
        </w:rPr>
        <w:t>al debate judicial la legitimidad de</w:t>
      </w:r>
      <w:r w:rsidR="00EB0A0B" w:rsidRPr="003006D9">
        <w:rPr>
          <w:rFonts w:cs="Arial"/>
          <w:lang w:val="es-ES_tradnl"/>
        </w:rPr>
        <w:t xml:space="preserve"> todo e</w:t>
      </w:r>
      <w:r w:rsidR="00DF199B" w:rsidRPr="003006D9">
        <w:rPr>
          <w:rFonts w:cs="Arial"/>
          <w:lang w:val="es-ES_tradnl"/>
        </w:rPr>
        <w:t xml:space="preserve">l procedimiento precontractual y </w:t>
      </w:r>
      <w:r w:rsidR="00EB0A0B" w:rsidRPr="003006D9">
        <w:rPr>
          <w:rFonts w:cs="Arial"/>
          <w:lang w:val="es-ES_tradnl"/>
        </w:rPr>
        <w:t xml:space="preserve">la </w:t>
      </w:r>
      <w:r w:rsidR="00DF199B" w:rsidRPr="003006D9">
        <w:rPr>
          <w:rFonts w:cs="Arial"/>
          <w:lang w:val="es-ES_tradnl"/>
        </w:rPr>
        <w:t>del contrato adjudicado</w:t>
      </w:r>
      <w:r w:rsidR="00EB0A0B" w:rsidRPr="003006D9">
        <w:rPr>
          <w:rFonts w:cs="Arial"/>
          <w:lang w:val="es-ES_tradnl"/>
        </w:rPr>
        <w:t xml:space="preserve">. </w:t>
      </w:r>
    </w:p>
    <w:p w:rsidR="00EB296B" w:rsidRPr="003006D9" w:rsidRDefault="00EB296B" w:rsidP="00267437">
      <w:pPr>
        <w:widowControl w:val="0"/>
        <w:rPr>
          <w:rFonts w:cs="Arial"/>
          <w:lang w:val="es-ES_tradnl"/>
        </w:rPr>
      </w:pPr>
    </w:p>
    <w:p w:rsidR="009B7784" w:rsidRPr="003006D9" w:rsidRDefault="00A61DC5" w:rsidP="00267437">
      <w:pPr>
        <w:widowControl w:val="0"/>
        <w:rPr>
          <w:rFonts w:cs="Arial"/>
          <w:lang w:val="es-ES_tradnl"/>
        </w:rPr>
      </w:pPr>
      <w:r w:rsidRPr="003006D9">
        <w:rPr>
          <w:rFonts w:cs="Arial"/>
          <w:lang w:val="es-ES_tradnl"/>
        </w:rPr>
        <w:t xml:space="preserve">Por ello, </w:t>
      </w:r>
      <w:r w:rsidR="008718A5" w:rsidRPr="003006D9">
        <w:rPr>
          <w:rFonts w:cs="Arial"/>
          <w:lang w:val="es-ES_tradnl"/>
        </w:rPr>
        <w:t xml:space="preserve">en </w:t>
      </w:r>
      <w:r w:rsidRPr="003006D9">
        <w:rPr>
          <w:rFonts w:cs="Arial"/>
          <w:lang w:val="es-ES_tradnl"/>
        </w:rPr>
        <w:t>e</w:t>
      </w:r>
      <w:r w:rsidR="002311FC" w:rsidRPr="003006D9">
        <w:rPr>
          <w:rFonts w:cs="Arial"/>
          <w:lang w:val="es-ES_tradnl"/>
        </w:rPr>
        <w:t xml:space="preserve">l </w:t>
      </w:r>
      <w:r w:rsidR="008718A5" w:rsidRPr="003006D9">
        <w:rPr>
          <w:rFonts w:cs="Arial"/>
          <w:lang w:val="es-ES_tradnl"/>
        </w:rPr>
        <w:t xml:space="preserve">supuesto como el que ahora se debate, el </w:t>
      </w:r>
      <w:r w:rsidR="00EB296B" w:rsidRPr="003006D9">
        <w:rPr>
          <w:rFonts w:cs="Arial"/>
          <w:lang w:val="es-ES_tradnl"/>
        </w:rPr>
        <w:t>J</w:t>
      </w:r>
      <w:r w:rsidR="002311FC" w:rsidRPr="003006D9">
        <w:rPr>
          <w:rFonts w:cs="Arial"/>
          <w:lang w:val="es-ES_tradnl"/>
        </w:rPr>
        <w:t xml:space="preserve">uez </w:t>
      </w:r>
      <w:r w:rsidR="00EB296B" w:rsidRPr="003006D9">
        <w:rPr>
          <w:rFonts w:cs="Arial"/>
          <w:lang w:val="es-ES_tradnl"/>
        </w:rPr>
        <w:t>del proce</w:t>
      </w:r>
      <w:r w:rsidR="008718A5" w:rsidRPr="003006D9">
        <w:rPr>
          <w:rFonts w:cs="Arial"/>
          <w:lang w:val="es-ES_tradnl"/>
        </w:rPr>
        <w:t>dimiento pre</w:t>
      </w:r>
      <w:r w:rsidR="00EB296B" w:rsidRPr="003006D9">
        <w:rPr>
          <w:rFonts w:cs="Arial"/>
          <w:lang w:val="es-ES_tradnl"/>
        </w:rPr>
        <w:t xml:space="preserve">contractual </w:t>
      </w:r>
      <w:r w:rsidR="002311FC" w:rsidRPr="003006D9">
        <w:rPr>
          <w:rFonts w:cs="Arial"/>
          <w:lang w:val="es-ES_tradnl"/>
        </w:rPr>
        <w:t>debe declarar la nulidad del acto de adjudicación</w:t>
      </w:r>
      <w:r w:rsidR="00DF199B" w:rsidRPr="003006D9">
        <w:rPr>
          <w:rFonts w:cs="Arial"/>
          <w:lang w:val="es-ES_tradnl"/>
        </w:rPr>
        <w:t xml:space="preserve"> cuando se </w:t>
      </w:r>
      <w:r w:rsidR="00DF199B" w:rsidRPr="003006D9">
        <w:rPr>
          <w:rFonts w:cs="Arial"/>
          <w:lang w:val="es-ES_tradnl"/>
        </w:rPr>
        <w:lastRenderedPageBreak/>
        <w:t>evidencia en el proceso</w:t>
      </w:r>
      <w:r w:rsidR="00EB296B" w:rsidRPr="003006D9">
        <w:rPr>
          <w:rFonts w:cs="Arial"/>
          <w:lang w:val="es-ES_tradnl"/>
        </w:rPr>
        <w:t xml:space="preserve"> la transgresión de la ley imperativa</w:t>
      </w:r>
      <w:r w:rsidR="00971462" w:rsidRPr="003006D9">
        <w:rPr>
          <w:rFonts w:cs="Arial"/>
          <w:lang w:val="es-ES_tradnl"/>
        </w:rPr>
        <w:t>,</w:t>
      </w:r>
      <w:r w:rsidR="002311FC" w:rsidRPr="003006D9">
        <w:rPr>
          <w:rFonts w:cs="Arial"/>
          <w:lang w:val="es-ES_tradnl"/>
        </w:rPr>
        <w:t xml:space="preserve"> </w:t>
      </w:r>
      <w:r w:rsidR="009B7784" w:rsidRPr="003006D9">
        <w:rPr>
          <w:rFonts w:cs="Arial"/>
          <w:lang w:val="es-ES_tradnl"/>
        </w:rPr>
        <w:t xml:space="preserve">con independencia de la forma como </w:t>
      </w:r>
      <w:r w:rsidR="00983E19" w:rsidRPr="003006D9">
        <w:rPr>
          <w:rFonts w:cs="Arial"/>
          <w:lang w:val="es-ES_tradnl"/>
        </w:rPr>
        <w:t xml:space="preserve">cada parte </w:t>
      </w:r>
      <w:r w:rsidR="009B7784" w:rsidRPr="003006D9">
        <w:rPr>
          <w:rFonts w:cs="Arial"/>
          <w:lang w:val="es-ES_tradnl"/>
        </w:rPr>
        <w:t xml:space="preserve">haya estructurado </w:t>
      </w:r>
      <w:r w:rsidR="00EB296B" w:rsidRPr="003006D9">
        <w:rPr>
          <w:rFonts w:cs="Arial"/>
          <w:lang w:val="es-ES_tradnl"/>
        </w:rPr>
        <w:t>su</w:t>
      </w:r>
      <w:r w:rsidR="009B7784" w:rsidRPr="003006D9">
        <w:rPr>
          <w:rFonts w:cs="Arial"/>
          <w:lang w:val="es-ES_tradnl"/>
        </w:rPr>
        <w:t xml:space="preserve"> concepto de </w:t>
      </w:r>
      <w:r w:rsidR="00EB296B" w:rsidRPr="003006D9">
        <w:rPr>
          <w:rFonts w:cs="Arial"/>
          <w:lang w:val="es-ES_tradnl"/>
        </w:rPr>
        <w:t xml:space="preserve">la </w:t>
      </w:r>
      <w:r w:rsidR="009B7784" w:rsidRPr="003006D9">
        <w:rPr>
          <w:rFonts w:cs="Arial"/>
          <w:lang w:val="es-ES_tradnl"/>
        </w:rPr>
        <w:t xml:space="preserve">violación </w:t>
      </w:r>
      <w:r w:rsidR="00983E19" w:rsidRPr="003006D9">
        <w:rPr>
          <w:rFonts w:cs="Arial"/>
          <w:lang w:val="es-ES_tradnl"/>
        </w:rPr>
        <w:t>legal</w:t>
      </w:r>
      <w:r w:rsidR="00EB296B" w:rsidRPr="003006D9">
        <w:rPr>
          <w:rFonts w:cs="Arial"/>
          <w:lang w:val="es-ES_tradnl"/>
        </w:rPr>
        <w:t>. Es más</w:t>
      </w:r>
      <w:r w:rsidR="008718A5" w:rsidRPr="003006D9">
        <w:rPr>
          <w:rFonts w:cs="Arial"/>
          <w:lang w:val="es-ES_tradnl"/>
        </w:rPr>
        <w:t>,</w:t>
      </w:r>
      <w:r w:rsidR="00EB296B" w:rsidRPr="003006D9">
        <w:rPr>
          <w:rFonts w:cs="Arial"/>
          <w:lang w:val="es-ES_tradnl"/>
        </w:rPr>
        <w:t xml:space="preserve"> el Juez del contrato tiene </w:t>
      </w:r>
      <w:r w:rsidR="008718A5" w:rsidRPr="003006D9">
        <w:rPr>
          <w:rFonts w:cs="Arial"/>
          <w:lang w:val="es-ES_tradnl"/>
        </w:rPr>
        <w:t>esa</w:t>
      </w:r>
      <w:r w:rsidR="00EB296B" w:rsidRPr="003006D9">
        <w:rPr>
          <w:rFonts w:cs="Arial"/>
          <w:lang w:val="es-ES_tradnl"/>
        </w:rPr>
        <w:t xml:space="preserve"> potestad </w:t>
      </w:r>
      <w:r w:rsidR="008718A5" w:rsidRPr="003006D9">
        <w:rPr>
          <w:rFonts w:cs="Arial"/>
          <w:lang w:val="es-ES_tradnl"/>
        </w:rPr>
        <w:t xml:space="preserve">en forma </w:t>
      </w:r>
      <w:r w:rsidR="00EB296B" w:rsidRPr="003006D9">
        <w:rPr>
          <w:rFonts w:cs="Arial"/>
          <w:lang w:val="es-ES_tradnl"/>
        </w:rPr>
        <w:t>oficiosa</w:t>
      </w:r>
      <w:r w:rsidR="001244B5" w:rsidRPr="003006D9">
        <w:rPr>
          <w:rFonts w:cs="Arial"/>
          <w:lang w:val="es-ES_tradnl"/>
        </w:rPr>
        <w:t xml:space="preserve"> </w:t>
      </w:r>
      <w:r w:rsidR="000975DC" w:rsidRPr="003006D9">
        <w:rPr>
          <w:rFonts w:cs="Arial"/>
          <w:lang w:val="es-ES_tradnl"/>
        </w:rPr>
        <w:t xml:space="preserve">siempre que </w:t>
      </w:r>
      <w:r w:rsidR="003C4A44" w:rsidRPr="003006D9">
        <w:rPr>
          <w:rFonts w:cs="Arial"/>
          <w:lang w:val="es-ES_tradnl"/>
        </w:rPr>
        <w:t xml:space="preserve">la </w:t>
      </w:r>
      <w:r w:rsidR="002311FC" w:rsidRPr="003006D9">
        <w:rPr>
          <w:rFonts w:cs="Arial"/>
          <w:lang w:val="es-ES_tradnl"/>
        </w:rPr>
        <w:t xml:space="preserve">violación de la ley imperativa se encuentre </w:t>
      </w:r>
      <w:r w:rsidR="00946E43" w:rsidRPr="003006D9">
        <w:rPr>
          <w:rFonts w:cs="Arial"/>
          <w:lang w:val="es-ES_tradnl"/>
        </w:rPr>
        <w:t>acreditada en el plenario</w:t>
      </w:r>
      <w:r w:rsidR="00BA3D88" w:rsidRPr="003006D9">
        <w:rPr>
          <w:rFonts w:cs="Arial"/>
          <w:lang w:val="es-ES_tradnl"/>
        </w:rPr>
        <w:t xml:space="preserve"> y</w:t>
      </w:r>
      <w:r w:rsidR="000975DC" w:rsidRPr="003006D9">
        <w:rPr>
          <w:rFonts w:cs="Arial"/>
          <w:lang w:val="es-ES_tradnl"/>
        </w:rPr>
        <w:t xml:space="preserve"> que</w:t>
      </w:r>
      <w:r w:rsidR="00971462" w:rsidRPr="003006D9">
        <w:rPr>
          <w:rFonts w:cs="Arial"/>
          <w:lang w:val="es-ES_tradnl"/>
        </w:rPr>
        <w:t xml:space="preserve"> sobre </w:t>
      </w:r>
      <w:r w:rsidR="00EB296B" w:rsidRPr="003006D9">
        <w:rPr>
          <w:rFonts w:cs="Arial"/>
          <w:lang w:val="es-ES_tradnl"/>
        </w:rPr>
        <w:t xml:space="preserve">las respectivas pruebas </w:t>
      </w:r>
      <w:r w:rsidR="00BA3D88" w:rsidRPr="003006D9">
        <w:rPr>
          <w:rFonts w:cs="Arial"/>
          <w:lang w:val="es-ES_tradnl"/>
        </w:rPr>
        <w:t xml:space="preserve">haya </w:t>
      </w:r>
      <w:r w:rsidR="00971462" w:rsidRPr="003006D9">
        <w:rPr>
          <w:rFonts w:cs="Arial"/>
          <w:lang w:val="es-ES_tradnl"/>
        </w:rPr>
        <w:t xml:space="preserve">versado </w:t>
      </w:r>
      <w:r w:rsidR="00BA3D88" w:rsidRPr="003006D9">
        <w:rPr>
          <w:rFonts w:cs="Arial"/>
          <w:lang w:val="es-ES_tradnl"/>
        </w:rPr>
        <w:t xml:space="preserve">el debate </w:t>
      </w:r>
      <w:r w:rsidR="00EB296B" w:rsidRPr="003006D9">
        <w:rPr>
          <w:rFonts w:cs="Arial"/>
          <w:lang w:val="es-ES_tradnl"/>
        </w:rPr>
        <w:t>judicial</w:t>
      </w:r>
      <w:r w:rsidR="008D7645" w:rsidRPr="003006D9">
        <w:rPr>
          <w:rFonts w:cs="Arial"/>
          <w:lang w:val="es-ES_tradnl"/>
        </w:rPr>
        <w:t xml:space="preserve">. </w:t>
      </w:r>
    </w:p>
    <w:p w:rsidR="00EB7C27" w:rsidRPr="003006D9" w:rsidRDefault="00EB7C27" w:rsidP="00570534">
      <w:pPr>
        <w:rPr>
          <w:rFonts w:cs="Arial"/>
          <w:b/>
          <w:lang w:val="es-CO"/>
        </w:rPr>
      </w:pPr>
    </w:p>
    <w:p w:rsidR="00983E19" w:rsidRPr="003006D9" w:rsidRDefault="003926D5" w:rsidP="0062481B">
      <w:pPr>
        <w:tabs>
          <w:tab w:val="left" w:pos="7797"/>
        </w:tabs>
        <w:spacing w:line="240" w:lineRule="auto"/>
        <w:ind w:right="51"/>
        <w:rPr>
          <w:rFonts w:cs="Arial"/>
          <w:b/>
          <w:lang w:val="es-MX"/>
        </w:rPr>
      </w:pPr>
      <w:r w:rsidRPr="003006D9">
        <w:rPr>
          <w:rFonts w:cs="Arial"/>
          <w:b/>
          <w:lang w:val="es-MX"/>
        </w:rPr>
        <w:t>4</w:t>
      </w:r>
      <w:r w:rsidR="00983E19" w:rsidRPr="003006D9">
        <w:rPr>
          <w:rFonts w:cs="Arial"/>
          <w:b/>
          <w:lang w:val="es-MX"/>
        </w:rPr>
        <w:t xml:space="preserve">. Marco legal de la contratación para la enajenación de bienes del Estado </w:t>
      </w:r>
    </w:p>
    <w:p w:rsidR="00983E19" w:rsidRPr="003006D9" w:rsidRDefault="00983E19" w:rsidP="0062481B">
      <w:pPr>
        <w:tabs>
          <w:tab w:val="left" w:pos="7797"/>
        </w:tabs>
        <w:ind w:right="51"/>
        <w:rPr>
          <w:rFonts w:cs="Arial"/>
          <w:lang w:val="es-MX"/>
        </w:rPr>
      </w:pPr>
    </w:p>
    <w:p w:rsidR="00983E19" w:rsidRPr="003006D9" w:rsidRDefault="00983E19" w:rsidP="0062481B">
      <w:pPr>
        <w:tabs>
          <w:tab w:val="left" w:pos="7797"/>
        </w:tabs>
        <w:ind w:right="51"/>
        <w:rPr>
          <w:rFonts w:cs="Arial"/>
          <w:lang w:val="es-MX"/>
        </w:rPr>
      </w:pPr>
      <w:r w:rsidRPr="003006D9">
        <w:rPr>
          <w:rFonts w:cs="Arial"/>
          <w:lang w:val="es-MX"/>
        </w:rPr>
        <w:t>E</w:t>
      </w:r>
      <w:r w:rsidR="00EB296B" w:rsidRPr="003006D9">
        <w:rPr>
          <w:rFonts w:cs="Arial"/>
          <w:lang w:val="es-MX"/>
        </w:rPr>
        <w:t>s importante establecer que e</w:t>
      </w:r>
      <w:r w:rsidRPr="003006D9">
        <w:rPr>
          <w:rFonts w:cs="Arial"/>
          <w:lang w:val="es-MX"/>
        </w:rPr>
        <w:t>l procedimiento de contratación que ahora se examina se rigió por la Ley 1150 de 2007, bajo la modalidad de</w:t>
      </w:r>
      <w:r w:rsidR="00EB296B" w:rsidRPr="003006D9">
        <w:rPr>
          <w:rFonts w:cs="Arial"/>
          <w:lang w:val="es-MX"/>
        </w:rPr>
        <w:t>nominada</w:t>
      </w:r>
      <w:r w:rsidRPr="003006D9">
        <w:rPr>
          <w:rFonts w:cs="Arial"/>
          <w:lang w:val="es-MX"/>
        </w:rPr>
        <w:t xml:space="preserve"> selección abreviada, </w:t>
      </w:r>
      <w:r w:rsidR="00EB296B" w:rsidRPr="003006D9">
        <w:rPr>
          <w:rFonts w:cs="Arial"/>
          <w:lang w:val="es-MX"/>
        </w:rPr>
        <w:t xml:space="preserve">en este caso, </w:t>
      </w:r>
      <w:r w:rsidRPr="003006D9">
        <w:rPr>
          <w:rFonts w:cs="Arial"/>
          <w:lang w:val="es-MX"/>
        </w:rPr>
        <w:t xml:space="preserve">de acuerdo con lo previsto para la enajenación de bienes del Estado en el artículo 2º, numeral 2, literal e). </w:t>
      </w:r>
    </w:p>
    <w:p w:rsidR="00983E19" w:rsidRPr="003006D9" w:rsidRDefault="00983E19" w:rsidP="0062481B">
      <w:pPr>
        <w:tabs>
          <w:tab w:val="left" w:pos="7797"/>
        </w:tabs>
        <w:ind w:right="51"/>
        <w:rPr>
          <w:rFonts w:cs="Arial"/>
          <w:lang w:val="es-MX"/>
        </w:rPr>
      </w:pPr>
    </w:p>
    <w:p w:rsidR="00983E19" w:rsidRPr="003006D9" w:rsidRDefault="00983E19" w:rsidP="0062481B">
      <w:pPr>
        <w:tabs>
          <w:tab w:val="left" w:pos="7797"/>
        </w:tabs>
        <w:ind w:right="51"/>
        <w:rPr>
          <w:rFonts w:cs="Arial"/>
          <w:i/>
          <w:color w:val="000000"/>
        </w:rPr>
      </w:pPr>
      <w:r w:rsidRPr="003006D9">
        <w:rPr>
          <w:rFonts w:cs="Arial"/>
          <w:lang w:val="es-MX"/>
        </w:rPr>
        <w:t>Se advierte que para este procedimiento</w:t>
      </w:r>
      <w:r w:rsidR="00EB296B" w:rsidRPr="003006D9">
        <w:rPr>
          <w:rFonts w:cs="Arial"/>
          <w:lang w:val="es-MX"/>
        </w:rPr>
        <w:t xml:space="preserve"> especial</w:t>
      </w:r>
      <w:r w:rsidRPr="003006D9">
        <w:rPr>
          <w:rFonts w:cs="Arial"/>
          <w:lang w:val="es-MX"/>
        </w:rPr>
        <w:t xml:space="preserve">, la Ley 1150 de 2007 estableció la posibilidad de acudir a </w:t>
      </w:r>
      <w:r w:rsidRPr="003006D9">
        <w:rPr>
          <w:rFonts w:cs="Arial"/>
          <w:i/>
          <w:lang w:val="es-MX"/>
        </w:rPr>
        <w:t>“instrumentos de subasta”</w:t>
      </w:r>
      <w:r w:rsidRPr="003006D9">
        <w:rPr>
          <w:rFonts w:cs="Arial"/>
          <w:lang w:val="es-MX"/>
        </w:rPr>
        <w:t xml:space="preserve"> y precisó que </w:t>
      </w:r>
      <w:r w:rsidRPr="003006D9">
        <w:rPr>
          <w:rFonts w:cs="Arial"/>
          <w:i/>
          <w:color w:val="000000"/>
        </w:rPr>
        <w:t xml:space="preserve">“Los bienes serán enajenados a través de venta directa en sobre cerrado o en pública subasta”, </w:t>
      </w:r>
      <w:r w:rsidRPr="003006D9">
        <w:rPr>
          <w:rFonts w:cs="Arial"/>
          <w:color w:val="000000"/>
        </w:rPr>
        <w:t>al mejor postor.</w:t>
      </w:r>
      <w:r w:rsidRPr="003006D9">
        <w:rPr>
          <w:rFonts w:cs="Arial"/>
          <w:i/>
          <w:color w:val="000000"/>
        </w:rPr>
        <w:t xml:space="preserve"> </w:t>
      </w:r>
    </w:p>
    <w:p w:rsidR="00983E19" w:rsidRPr="003006D9" w:rsidRDefault="00983E19" w:rsidP="0062481B">
      <w:pPr>
        <w:tabs>
          <w:tab w:val="left" w:pos="7797"/>
        </w:tabs>
        <w:ind w:right="51"/>
        <w:rPr>
          <w:rFonts w:cs="Arial"/>
          <w:i/>
          <w:color w:val="000000"/>
        </w:rPr>
      </w:pPr>
    </w:p>
    <w:p w:rsidR="00983E19" w:rsidRPr="003006D9" w:rsidRDefault="007E159F" w:rsidP="0062481B">
      <w:pPr>
        <w:tabs>
          <w:tab w:val="left" w:pos="7797"/>
        </w:tabs>
        <w:ind w:right="51"/>
        <w:rPr>
          <w:rFonts w:cs="Arial"/>
          <w:color w:val="000000"/>
        </w:rPr>
      </w:pPr>
      <w:r w:rsidRPr="003006D9">
        <w:rPr>
          <w:rFonts w:cs="Arial"/>
          <w:color w:val="000000"/>
        </w:rPr>
        <w:t>Para la enajenación de bienes del Estado, l</w:t>
      </w:r>
      <w:r w:rsidR="00983E19" w:rsidRPr="003006D9">
        <w:rPr>
          <w:rFonts w:cs="Arial"/>
          <w:color w:val="000000"/>
        </w:rPr>
        <w:t xml:space="preserve">a Ley 1150 de 2007 dispuso unas reglas especiales en cuanto a la formación del precio, </w:t>
      </w:r>
      <w:r w:rsidR="00C37F9F" w:rsidRPr="003006D9">
        <w:rPr>
          <w:rFonts w:cs="Arial"/>
          <w:color w:val="000000"/>
        </w:rPr>
        <w:t xml:space="preserve">el cual </w:t>
      </w:r>
      <w:r w:rsidR="00EB296B" w:rsidRPr="003006D9">
        <w:rPr>
          <w:rFonts w:cs="Arial"/>
          <w:color w:val="000000"/>
        </w:rPr>
        <w:t xml:space="preserve">debe fundarse en </w:t>
      </w:r>
      <w:r w:rsidR="00C37F9F" w:rsidRPr="003006D9">
        <w:rPr>
          <w:rFonts w:cs="Arial"/>
          <w:color w:val="000000"/>
        </w:rPr>
        <w:t xml:space="preserve">el </w:t>
      </w:r>
      <w:r w:rsidR="00983E19" w:rsidRPr="003006D9">
        <w:rPr>
          <w:rFonts w:cs="Arial"/>
          <w:color w:val="000000"/>
        </w:rPr>
        <w:t>avalúo</w:t>
      </w:r>
      <w:r w:rsidR="00C37F9F" w:rsidRPr="003006D9">
        <w:rPr>
          <w:rFonts w:cs="Arial"/>
          <w:color w:val="000000"/>
        </w:rPr>
        <w:t xml:space="preserve"> comercial que </w:t>
      </w:r>
      <w:r w:rsidR="00022375" w:rsidRPr="003006D9">
        <w:rPr>
          <w:rFonts w:cs="Arial"/>
          <w:color w:val="000000"/>
        </w:rPr>
        <w:t>p</w:t>
      </w:r>
      <w:r w:rsidR="00EB296B" w:rsidRPr="003006D9">
        <w:rPr>
          <w:rFonts w:cs="Arial"/>
          <w:color w:val="000000"/>
        </w:rPr>
        <w:t xml:space="preserve">uede </w:t>
      </w:r>
      <w:r w:rsidR="00983E19" w:rsidRPr="003006D9">
        <w:rPr>
          <w:rFonts w:cs="Arial"/>
          <w:color w:val="000000"/>
        </w:rPr>
        <w:t xml:space="preserve">ser ajustado de acuerdo con los gastos de comercialización, administración, impuestos y mantenimiento, para determinar el </w:t>
      </w:r>
      <w:r w:rsidR="00EB296B" w:rsidRPr="003006D9">
        <w:rPr>
          <w:rFonts w:cs="Arial"/>
          <w:color w:val="000000"/>
        </w:rPr>
        <w:t xml:space="preserve">denominado </w:t>
      </w:r>
      <w:r w:rsidR="00983E19" w:rsidRPr="003006D9">
        <w:rPr>
          <w:rFonts w:cs="Arial"/>
          <w:i/>
          <w:color w:val="000000"/>
        </w:rPr>
        <w:t>precio mínimo de venta</w:t>
      </w:r>
      <w:r w:rsidR="0062481B" w:rsidRPr="003006D9">
        <w:rPr>
          <w:rStyle w:val="Refdenotaalpie"/>
          <w:rFonts w:cs="Arial"/>
          <w:color w:val="000000"/>
        </w:rPr>
        <w:footnoteReference w:id="21"/>
      </w:r>
      <w:r w:rsidR="00C37F9F" w:rsidRPr="003006D9">
        <w:rPr>
          <w:rFonts w:cs="Arial"/>
          <w:i/>
          <w:color w:val="000000"/>
        </w:rPr>
        <w:t xml:space="preserve">, </w:t>
      </w:r>
      <w:r w:rsidR="00646FF3" w:rsidRPr="003006D9">
        <w:rPr>
          <w:rFonts w:cs="Arial"/>
          <w:color w:val="000000"/>
        </w:rPr>
        <w:t>que opera como base de la subasta,</w:t>
      </w:r>
      <w:r w:rsidR="00646FF3" w:rsidRPr="003006D9">
        <w:rPr>
          <w:rFonts w:cs="Arial"/>
          <w:i/>
          <w:color w:val="000000"/>
        </w:rPr>
        <w:t xml:space="preserve"> </w:t>
      </w:r>
      <w:r w:rsidR="00C37F9F" w:rsidRPr="003006D9">
        <w:rPr>
          <w:rFonts w:cs="Arial"/>
          <w:color w:val="000000"/>
        </w:rPr>
        <w:t xml:space="preserve">de acuerdo con la </w:t>
      </w:r>
      <w:r w:rsidR="0098719F" w:rsidRPr="003006D9">
        <w:rPr>
          <w:rFonts w:cs="Arial"/>
          <w:color w:val="000000"/>
        </w:rPr>
        <w:t xml:space="preserve">ley y la </w:t>
      </w:r>
      <w:r w:rsidR="00C37F9F" w:rsidRPr="003006D9">
        <w:rPr>
          <w:rFonts w:cs="Arial"/>
          <w:color w:val="000000"/>
        </w:rPr>
        <w:t>reglamentación que expidió el Gobierno Nacional</w:t>
      </w:r>
      <w:r w:rsidR="00983E19" w:rsidRPr="003006D9">
        <w:rPr>
          <w:rFonts w:cs="Arial"/>
          <w:color w:val="000000"/>
        </w:rPr>
        <w:t xml:space="preserve">. </w:t>
      </w:r>
    </w:p>
    <w:p w:rsidR="00983E19" w:rsidRPr="003006D9" w:rsidRDefault="0098719F" w:rsidP="0062481B">
      <w:pPr>
        <w:shd w:val="clear" w:color="auto" w:fill="FFFFFF"/>
        <w:spacing w:before="100" w:beforeAutospacing="1" w:after="100" w:afterAutospacing="1"/>
        <w:ind w:right="51"/>
        <w:rPr>
          <w:rFonts w:cs="Arial"/>
          <w:color w:val="000000"/>
        </w:rPr>
      </w:pPr>
      <w:bookmarkStart w:id="1" w:name="2.2"/>
      <w:r w:rsidRPr="003006D9">
        <w:rPr>
          <w:rFonts w:cs="Arial"/>
          <w:color w:val="000000"/>
        </w:rPr>
        <w:lastRenderedPageBreak/>
        <w:t>E</w:t>
      </w:r>
      <w:r w:rsidR="00983E19" w:rsidRPr="003006D9">
        <w:rPr>
          <w:rFonts w:cs="Arial"/>
          <w:color w:val="000000"/>
        </w:rPr>
        <w:t xml:space="preserve">l proceso de selección abreviada para la enajenación de bienes del Estado fue reglamentado por el Decreto 4444 de 2008, </w:t>
      </w:r>
      <w:r w:rsidR="007E159F" w:rsidRPr="003006D9">
        <w:rPr>
          <w:rFonts w:cs="Arial"/>
          <w:color w:val="000000"/>
        </w:rPr>
        <w:t xml:space="preserve">en el que </w:t>
      </w:r>
      <w:r w:rsidR="00983E19" w:rsidRPr="003006D9">
        <w:rPr>
          <w:rFonts w:cs="Arial"/>
          <w:color w:val="000000"/>
        </w:rPr>
        <w:t>se regularon varios aspectos sobre los estudios previos, los avalúos y la formación del precio mínimo de venta</w:t>
      </w:r>
      <w:r w:rsidR="006E3F4F" w:rsidRPr="003006D9">
        <w:rPr>
          <w:rStyle w:val="Refdenotaalpie"/>
          <w:rFonts w:cs="Arial"/>
          <w:color w:val="000000"/>
        </w:rPr>
        <w:footnoteReference w:id="22"/>
      </w:r>
      <w:r w:rsidR="00983E19" w:rsidRPr="003006D9">
        <w:rPr>
          <w:rFonts w:cs="Arial"/>
          <w:color w:val="000000"/>
        </w:rPr>
        <w:t>.</w:t>
      </w:r>
    </w:p>
    <w:p w:rsidR="00022375" w:rsidRPr="003006D9" w:rsidRDefault="00983E19" w:rsidP="0062481B">
      <w:pPr>
        <w:shd w:val="clear" w:color="auto" w:fill="FFFFFF"/>
        <w:spacing w:before="100" w:beforeAutospacing="1" w:after="100" w:afterAutospacing="1"/>
        <w:ind w:right="51"/>
        <w:rPr>
          <w:rFonts w:cs="Arial"/>
          <w:color w:val="000000"/>
        </w:rPr>
      </w:pPr>
      <w:r w:rsidRPr="003006D9">
        <w:rPr>
          <w:rFonts w:cs="Arial"/>
          <w:color w:val="000000"/>
        </w:rPr>
        <w:t>Por otra parte, debe resaltarse que al amparo de la Ley 708 de 2001 se reglamentaron los planes de enajenación onerosa de bienes inmuebles de carácter fiscal</w:t>
      </w:r>
      <w:r w:rsidR="00EB296B" w:rsidRPr="003006D9">
        <w:rPr>
          <w:rFonts w:cs="Arial"/>
          <w:color w:val="000000"/>
        </w:rPr>
        <w:t>,</w:t>
      </w:r>
      <w:r w:rsidRPr="003006D9">
        <w:rPr>
          <w:rFonts w:cs="Arial"/>
          <w:color w:val="000000"/>
        </w:rPr>
        <w:t xml:space="preserve"> de propiedad del Estado, a través de los Decretos </w:t>
      </w:r>
      <w:r w:rsidRPr="003006D9">
        <w:rPr>
          <w:rFonts w:cs="Arial"/>
          <w:color w:val="000000"/>
          <w:shd w:val="clear" w:color="auto" w:fill="FFFFFF"/>
        </w:rPr>
        <w:t xml:space="preserve">4637 de 2008 y </w:t>
      </w:r>
      <w:r w:rsidRPr="003006D9">
        <w:rPr>
          <w:rFonts w:cs="Arial"/>
          <w:color w:val="000000"/>
        </w:rPr>
        <w:t>3297 de 2009</w:t>
      </w:r>
      <w:r w:rsidRPr="003006D9">
        <w:rPr>
          <w:rStyle w:val="Refdenotaalpie"/>
          <w:rFonts w:cs="Arial"/>
          <w:color w:val="000000"/>
        </w:rPr>
        <w:footnoteReference w:id="23"/>
      </w:r>
      <w:r w:rsidRPr="003006D9">
        <w:rPr>
          <w:rFonts w:cs="Arial"/>
          <w:color w:val="000000"/>
        </w:rPr>
        <w:t xml:space="preserve">. </w:t>
      </w:r>
    </w:p>
    <w:bookmarkEnd w:id="1"/>
    <w:p w:rsidR="00170AC7" w:rsidRPr="003006D9" w:rsidRDefault="003926D5" w:rsidP="00570534">
      <w:pPr>
        <w:rPr>
          <w:rFonts w:cs="Arial"/>
          <w:b/>
          <w:lang w:val="es-CO"/>
        </w:rPr>
      </w:pPr>
      <w:r w:rsidRPr="003006D9">
        <w:rPr>
          <w:rFonts w:cs="Arial"/>
          <w:b/>
          <w:lang w:val="es-CO"/>
        </w:rPr>
        <w:t>5</w:t>
      </w:r>
      <w:r w:rsidR="00170AC7" w:rsidRPr="003006D9">
        <w:rPr>
          <w:rFonts w:cs="Arial"/>
          <w:b/>
          <w:lang w:val="es-CO"/>
        </w:rPr>
        <w:t>. Análisis de las pruebas atinentes al proce</w:t>
      </w:r>
      <w:r w:rsidR="00172885" w:rsidRPr="003006D9">
        <w:rPr>
          <w:rFonts w:cs="Arial"/>
          <w:b/>
          <w:lang w:val="es-CO"/>
        </w:rPr>
        <w:t xml:space="preserve">so precontractual </w:t>
      </w:r>
    </w:p>
    <w:p w:rsidR="00EB296B" w:rsidRPr="003006D9" w:rsidRDefault="00EB296B" w:rsidP="00570534">
      <w:pPr>
        <w:rPr>
          <w:rFonts w:cs="Arial"/>
          <w:b/>
          <w:lang w:val="es-CO"/>
        </w:rPr>
      </w:pPr>
    </w:p>
    <w:p w:rsidR="00EB296B" w:rsidRPr="003006D9" w:rsidRDefault="00EF7C91" w:rsidP="00570534">
      <w:pPr>
        <w:rPr>
          <w:rFonts w:cs="Arial"/>
          <w:lang w:val="es-CO"/>
        </w:rPr>
      </w:pPr>
      <w:r w:rsidRPr="003006D9">
        <w:rPr>
          <w:rFonts w:cs="Arial"/>
          <w:lang w:val="es-CO"/>
        </w:rPr>
        <w:t xml:space="preserve">Teniendo en cuenta el contenido de la apelación, resulta indispensable detenerse en </w:t>
      </w:r>
      <w:r w:rsidR="007F3E37" w:rsidRPr="003006D9">
        <w:rPr>
          <w:rFonts w:cs="Arial"/>
          <w:lang w:val="es-CO"/>
        </w:rPr>
        <w:t xml:space="preserve">las pruebas relacionadas con los </w:t>
      </w:r>
      <w:r w:rsidR="00EB296B" w:rsidRPr="003006D9">
        <w:rPr>
          <w:rFonts w:cs="Arial"/>
          <w:lang w:val="es-CO"/>
        </w:rPr>
        <w:t xml:space="preserve">tres procedimientos precontractuales acreditados en el plenario y las actuaciones </w:t>
      </w:r>
      <w:r w:rsidR="00732209" w:rsidRPr="003006D9">
        <w:rPr>
          <w:rFonts w:cs="Arial"/>
          <w:lang w:val="es-CO"/>
        </w:rPr>
        <w:t xml:space="preserve">adelantadas en </w:t>
      </w:r>
      <w:r w:rsidR="00EB296B" w:rsidRPr="003006D9">
        <w:rPr>
          <w:rFonts w:cs="Arial"/>
          <w:lang w:val="es-CO"/>
        </w:rPr>
        <w:t>cada uno de ellos.</w:t>
      </w:r>
    </w:p>
    <w:p w:rsidR="00EB296B" w:rsidRPr="003006D9" w:rsidRDefault="00EB296B" w:rsidP="00570534">
      <w:pPr>
        <w:rPr>
          <w:rFonts w:cs="Arial"/>
          <w:b/>
          <w:lang w:val="es-CO"/>
        </w:rPr>
      </w:pPr>
    </w:p>
    <w:p w:rsidR="00570534" w:rsidRPr="003006D9" w:rsidRDefault="003926D5" w:rsidP="00570534">
      <w:pPr>
        <w:rPr>
          <w:rFonts w:cs="Arial"/>
          <w:b/>
          <w:lang w:val="es-CO"/>
        </w:rPr>
      </w:pPr>
      <w:r w:rsidRPr="003006D9">
        <w:rPr>
          <w:rFonts w:cs="Arial"/>
          <w:b/>
          <w:lang w:val="es-CO"/>
        </w:rPr>
        <w:lastRenderedPageBreak/>
        <w:t>5</w:t>
      </w:r>
      <w:r w:rsidR="007915CC" w:rsidRPr="003006D9">
        <w:rPr>
          <w:rFonts w:cs="Arial"/>
          <w:b/>
          <w:lang w:val="es-CO"/>
        </w:rPr>
        <w:t xml:space="preserve">.1. </w:t>
      </w:r>
      <w:r w:rsidR="00570534" w:rsidRPr="003006D9">
        <w:rPr>
          <w:rFonts w:cs="Arial"/>
          <w:b/>
          <w:lang w:val="es-CO"/>
        </w:rPr>
        <w:t xml:space="preserve">Primer </w:t>
      </w:r>
      <w:r w:rsidR="00B71532" w:rsidRPr="003006D9">
        <w:rPr>
          <w:rFonts w:cs="Arial"/>
          <w:b/>
          <w:lang w:val="es-CO"/>
        </w:rPr>
        <w:t>p</w:t>
      </w:r>
      <w:r w:rsidR="00570534" w:rsidRPr="003006D9">
        <w:rPr>
          <w:rFonts w:cs="Arial"/>
          <w:b/>
          <w:lang w:val="es-CO"/>
        </w:rPr>
        <w:t xml:space="preserve">roceso de </w:t>
      </w:r>
      <w:r w:rsidR="00B71532" w:rsidRPr="003006D9">
        <w:rPr>
          <w:rFonts w:cs="Arial"/>
          <w:b/>
          <w:lang w:val="es-CO"/>
        </w:rPr>
        <w:t>s</w:t>
      </w:r>
      <w:r w:rsidR="00570534" w:rsidRPr="003006D9">
        <w:rPr>
          <w:rFonts w:cs="Arial"/>
          <w:b/>
          <w:lang w:val="es-CO"/>
        </w:rPr>
        <w:t xml:space="preserve">elección </w:t>
      </w:r>
      <w:r w:rsidR="00B71532" w:rsidRPr="003006D9">
        <w:rPr>
          <w:rFonts w:cs="Arial"/>
          <w:b/>
          <w:lang w:val="es-CO"/>
        </w:rPr>
        <w:t xml:space="preserve">abreviada </w:t>
      </w:r>
      <w:r w:rsidR="00E00ADE" w:rsidRPr="003006D9">
        <w:rPr>
          <w:rFonts w:cs="Arial"/>
          <w:b/>
          <w:lang w:val="es-CO"/>
        </w:rPr>
        <w:t>GC-SA-01-18-2010</w:t>
      </w:r>
    </w:p>
    <w:p w:rsidR="00570534" w:rsidRPr="003006D9" w:rsidRDefault="00570534" w:rsidP="00570534">
      <w:pPr>
        <w:rPr>
          <w:rFonts w:cs="Arial"/>
          <w:lang w:val="es-CO"/>
        </w:rPr>
      </w:pPr>
    </w:p>
    <w:p w:rsidR="00266AF7" w:rsidRPr="003006D9" w:rsidRDefault="00266AF7" w:rsidP="00266AF7">
      <w:pPr>
        <w:rPr>
          <w:rFonts w:cs="Arial"/>
          <w:lang w:val="es-CO"/>
        </w:rPr>
      </w:pPr>
      <w:r w:rsidRPr="003006D9">
        <w:rPr>
          <w:rFonts w:cs="Arial"/>
          <w:lang w:val="es-CO"/>
        </w:rPr>
        <w:t xml:space="preserve">Obran en el expediente dos copias del Avalúo de la Lonja de Propiedad Raíz de Nariño y Putumayo de </w:t>
      </w:r>
      <w:r w:rsidR="00B13796" w:rsidRPr="003006D9">
        <w:rPr>
          <w:rFonts w:cs="Arial"/>
          <w:lang w:val="es-CO"/>
        </w:rPr>
        <w:t>a</w:t>
      </w:r>
      <w:r w:rsidRPr="003006D9">
        <w:rPr>
          <w:rFonts w:cs="Arial"/>
          <w:lang w:val="es-CO"/>
        </w:rPr>
        <w:t xml:space="preserve">bril de 2010, una completa y otra parcial. En </w:t>
      </w:r>
      <w:r w:rsidR="00C7362D" w:rsidRPr="003006D9">
        <w:rPr>
          <w:rFonts w:cs="Arial"/>
          <w:lang w:val="es-CO"/>
        </w:rPr>
        <w:t>ambas copias</w:t>
      </w:r>
      <w:r w:rsidRPr="003006D9">
        <w:rPr>
          <w:rFonts w:cs="Arial"/>
          <w:lang w:val="es-CO"/>
        </w:rPr>
        <w:t>, se lee</w:t>
      </w:r>
      <w:r w:rsidR="0081592B" w:rsidRPr="003006D9">
        <w:rPr>
          <w:rFonts w:cs="Arial"/>
          <w:lang w:val="es-CO"/>
        </w:rPr>
        <w:t xml:space="preserve"> la identificación del área así: </w:t>
      </w:r>
    </w:p>
    <w:p w:rsidR="00266AF7" w:rsidRPr="003006D9" w:rsidRDefault="00266AF7" w:rsidP="00266AF7">
      <w:pPr>
        <w:rPr>
          <w:rFonts w:cs="Arial"/>
          <w:lang w:val="es-CO"/>
        </w:rPr>
      </w:pPr>
    </w:p>
    <w:p w:rsidR="00266AF7" w:rsidRPr="003006D9" w:rsidRDefault="00266AF7" w:rsidP="00883730">
      <w:pPr>
        <w:spacing w:line="276" w:lineRule="auto"/>
        <w:ind w:left="567" w:right="708"/>
        <w:rPr>
          <w:rFonts w:cs="Arial"/>
          <w:lang w:val="es-CO"/>
        </w:rPr>
      </w:pPr>
      <w:r w:rsidRPr="003006D9">
        <w:rPr>
          <w:rFonts w:cs="Arial"/>
          <w:lang w:val="es-CO"/>
        </w:rPr>
        <w:t>“3.2. ÁREA</w:t>
      </w:r>
    </w:p>
    <w:p w:rsidR="00266AF7" w:rsidRPr="003006D9" w:rsidRDefault="00266AF7" w:rsidP="00883730">
      <w:pPr>
        <w:spacing w:line="276" w:lineRule="auto"/>
        <w:ind w:left="567" w:right="708"/>
        <w:rPr>
          <w:rFonts w:cs="Arial"/>
          <w:lang w:val="es-CO"/>
        </w:rPr>
      </w:pPr>
    </w:p>
    <w:p w:rsidR="00266AF7" w:rsidRPr="003006D9" w:rsidRDefault="00266AF7" w:rsidP="00883730">
      <w:pPr>
        <w:spacing w:line="276" w:lineRule="auto"/>
        <w:ind w:left="567" w:right="708"/>
        <w:rPr>
          <w:rFonts w:cs="Arial"/>
          <w:lang w:val="es-CO"/>
        </w:rPr>
      </w:pPr>
      <w:r w:rsidRPr="003006D9">
        <w:rPr>
          <w:rFonts w:cs="Arial"/>
          <w:lang w:val="es-CO"/>
        </w:rPr>
        <w:t>“</w:t>
      </w:r>
      <w:r w:rsidRPr="003006D9">
        <w:rPr>
          <w:rFonts w:cs="Arial"/>
          <w:i/>
          <w:lang w:val="es-CO"/>
        </w:rPr>
        <w:t>Lote de terreno de 449 hectáreas + 8.500 M2, área titulada por el Incora y 91 hectáreas + 3.500 M2, área colonos (sin información sobre escrituras de propiedad) para un total de 541 Has + 2.000 M2”</w:t>
      </w:r>
      <w:r w:rsidRPr="003006D9">
        <w:rPr>
          <w:rStyle w:val="Refdenotaalpie"/>
          <w:rFonts w:cs="Arial"/>
          <w:i/>
          <w:lang w:val="es-CO"/>
        </w:rPr>
        <w:footnoteReference w:id="24"/>
      </w:r>
      <w:r w:rsidRPr="003006D9">
        <w:rPr>
          <w:rFonts w:cs="Arial"/>
          <w:lang w:val="es-CO"/>
        </w:rPr>
        <w:t xml:space="preserve"> </w:t>
      </w:r>
    </w:p>
    <w:p w:rsidR="00266AF7" w:rsidRPr="003006D9" w:rsidRDefault="00266AF7" w:rsidP="00266AF7">
      <w:pPr>
        <w:rPr>
          <w:rFonts w:cs="Arial"/>
          <w:lang w:val="es-CO"/>
        </w:rPr>
      </w:pPr>
    </w:p>
    <w:p w:rsidR="00266AF7" w:rsidRPr="003006D9" w:rsidRDefault="00266AF7" w:rsidP="00266AF7">
      <w:pPr>
        <w:rPr>
          <w:rFonts w:cs="Arial"/>
          <w:lang w:val="es-CO"/>
        </w:rPr>
      </w:pPr>
      <w:r w:rsidRPr="003006D9">
        <w:rPr>
          <w:rFonts w:cs="Arial"/>
          <w:lang w:val="es-CO"/>
        </w:rPr>
        <w:t xml:space="preserve">El cuadro consolidado de los valores del </w:t>
      </w:r>
      <w:r w:rsidR="0081592B" w:rsidRPr="003006D9">
        <w:rPr>
          <w:rFonts w:cs="Arial"/>
          <w:lang w:val="es-CO"/>
        </w:rPr>
        <w:t xml:space="preserve">referido </w:t>
      </w:r>
      <w:r w:rsidRPr="003006D9">
        <w:rPr>
          <w:rFonts w:cs="Arial"/>
          <w:lang w:val="es-CO"/>
        </w:rPr>
        <w:t xml:space="preserve">avalúo es el siguiente: </w:t>
      </w:r>
    </w:p>
    <w:p w:rsidR="00B71532" w:rsidRPr="003006D9" w:rsidRDefault="00B71532" w:rsidP="00266AF7">
      <w:pPr>
        <w:rPr>
          <w:rFonts w:cs="Arial"/>
          <w:lang w:val="es-C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9"/>
        <w:gridCol w:w="3795"/>
      </w:tblGrid>
      <w:tr w:rsidR="00266AF7" w:rsidRPr="003006D9" w:rsidTr="002F5F8F">
        <w:tc>
          <w:tcPr>
            <w:tcW w:w="3859" w:type="dxa"/>
            <w:shd w:val="clear" w:color="auto" w:fill="auto"/>
          </w:tcPr>
          <w:p w:rsidR="00266AF7" w:rsidRPr="003006D9" w:rsidRDefault="00266AF7" w:rsidP="002F5F8F">
            <w:pPr>
              <w:ind w:left="567"/>
              <w:rPr>
                <w:rFonts w:cs="Arial"/>
                <w:i/>
                <w:lang w:val="es-CO"/>
              </w:rPr>
            </w:pPr>
            <w:r w:rsidRPr="003006D9">
              <w:rPr>
                <w:rFonts w:cs="Arial"/>
                <w:i/>
                <w:lang w:val="es-CO"/>
              </w:rPr>
              <w:t>“DESCRIPCIÓN</w:t>
            </w:r>
          </w:p>
        </w:tc>
        <w:tc>
          <w:tcPr>
            <w:tcW w:w="3795" w:type="dxa"/>
            <w:shd w:val="clear" w:color="auto" w:fill="auto"/>
          </w:tcPr>
          <w:p w:rsidR="00266AF7" w:rsidRPr="003006D9" w:rsidRDefault="00266AF7" w:rsidP="002F5F8F">
            <w:pPr>
              <w:ind w:left="143" w:right="632"/>
              <w:rPr>
                <w:rFonts w:cs="Arial"/>
                <w:i/>
                <w:lang w:val="es-CO"/>
              </w:rPr>
            </w:pPr>
            <w:r w:rsidRPr="003006D9">
              <w:rPr>
                <w:rFonts w:cs="Arial"/>
                <w:i/>
                <w:lang w:val="es-CO"/>
              </w:rPr>
              <w:t>VALOR TOTAL</w:t>
            </w:r>
          </w:p>
        </w:tc>
      </w:tr>
      <w:tr w:rsidR="00266AF7" w:rsidRPr="003006D9" w:rsidTr="002F5F8F">
        <w:tc>
          <w:tcPr>
            <w:tcW w:w="3859" w:type="dxa"/>
            <w:shd w:val="clear" w:color="auto" w:fill="auto"/>
          </w:tcPr>
          <w:p w:rsidR="00266AF7" w:rsidRPr="003006D9" w:rsidRDefault="00266AF7" w:rsidP="002F5F8F">
            <w:pPr>
              <w:spacing w:line="240" w:lineRule="auto"/>
              <w:ind w:left="567"/>
              <w:rPr>
                <w:rFonts w:cs="Arial"/>
                <w:i/>
                <w:lang w:val="es-CO"/>
              </w:rPr>
            </w:pPr>
            <w:r w:rsidRPr="003006D9">
              <w:rPr>
                <w:rFonts w:cs="Arial"/>
                <w:i/>
                <w:lang w:val="es-CO"/>
              </w:rPr>
              <w:t>VALOR TERRENO</w:t>
            </w:r>
          </w:p>
        </w:tc>
        <w:tc>
          <w:tcPr>
            <w:tcW w:w="3795" w:type="dxa"/>
            <w:shd w:val="clear" w:color="auto" w:fill="auto"/>
          </w:tcPr>
          <w:p w:rsidR="00266AF7" w:rsidRPr="003006D9" w:rsidRDefault="00266AF7" w:rsidP="00693D2D">
            <w:pPr>
              <w:spacing w:line="240" w:lineRule="auto"/>
              <w:ind w:left="143" w:right="632"/>
              <w:jc w:val="right"/>
              <w:rPr>
                <w:rFonts w:cs="Arial"/>
                <w:i/>
                <w:lang w:val="es-CO"/>
              </w:rPr>
            </w:pPr>
            <w:r w:rsidRPr="003006D9">
              <w:rPr>
                <w:rFonts w:cs="Arial"/>
                <w:i/>
                <w:lang w:val="es-CO"/>
              </w:rPr>
              <w:t>6.183’600.000</w:t>
            </w:r>
            <w:r w:rsidRPr="003006D9">
              <w:rPr>
                <w:rStyle w:val="Refdenotaalpie"/>
                <w:rFonts w:cs="Arial"/>
                <w:i/>
                <w:lang w:val="es-CO"/>
              </w:rPr>
              <w:footnoteReference w:id="25"/>
            </w:r>
          </w:p>
        </w:tc>
      </w:tr>
      <w:tr w:rsidR="00266AF7" w:rsidRPr="003006D9" w:rsidTr="002F5F8F">
        <w:tc>
          <w:tcPr>
            <w:tcW w:w="3859" w:type="dxa"/>
            <w:shd w:val="clear" w:color="auto" w:fill="auto"/>
          </w:tcPr>
          <w:p w:rsidR="00266AF7" w:rsidRPr="003006D9" w:rsidRDefault="00266AF7" w:rsidP="002F5F8F">
            <w:pPr>
              <w:spacing w:line="240" w:lineRule="auto"/>
              <w:ind w:left="567"/>
              <w:rPr>
                <w:rFonts w:cs="Arial"/>
                <w:i/>
                <w:lang w:val="es-CO"/>
              </w:rPr>
            </w:pPr>
            <w:r w:rsidRPr="003006D9">
              <w:rPr>
                <w:rFonts w:cs="Arial"/>
                <w:i/>
                <w:lang w:val="es-CO"/>
              </w:rPr>
              <w:t>VALOR EDIFICACIONES</w:t>
            </w:r>
          </w:p>
        </w:tc>
        <w:tc>
          <w:tcPr>
            <w:tcW w:w="3795" w:type="dxa"/>
            <w:shd w:val="clear" w:color="auto" w:fill="auto"/>
          </w:tcPr>
          <w:p w:rsidR="00266AF7" w:rsidRPr="003006D9" w:rsidRDefault="00266AF7" w:rsidP="00693D2D">
            <w:pPr>
              <w:spacing w:line="240" w:lineRule="auto"/>
              <w:ind w:left="143" w:right="632"/>
              <w:jc w:val="right"/>
              <w:rPr>
                <w:rFonts w:cs="Arial"/>
                <w:i/>
                <w:lang w:val="es-CO"/>
              </w:rPr>
            </w:pPr>
            <w:r w:rsidRPr="003006D9">
              <w:rPr>
                <w:rFonts w:cs="Arial"/>
                <w:i/>
                <w:lang w:val="es-CO"/>
              </w:rPr>
              <w:t>1.597’120.000</w:t>
            </w:r>
            <w:r w:rsidRPr="003006D9">
              <w:rPr>
                <w:rStyle w:val="Refdenotaalpie"/>
                <w:rFonts w:cs="Arial"/>
                <w:i/>
                <w:lang w:val="es-CO"/>
              </w:rPr>
              <w:footnoteReference w:id="26"/>
            </w:r>
          </w:p>
        </w:tc>
      </w:tr>
      <w:tr w:rsidR="00266AF7" w:rsidRPr="003006D9" w:rsidTr="002F5F8F">
        <w:tc>
          <w:tcPr>
            <w:tcW w:w="3859" w:type="dxa"/>
            <w:shd w:val="clear" w:color="auto" w:fill="auto"/>
          </w:tcPr>
          <w:p w:rsidR="00266AF7" w:rsidRPr="003006D9" w:rsidRDefault="00266AF7" w:rsidP="002F5F8F">
            <w:pPr>
              <w:spacing w:line="240" w:lineRule="auto"/>
              <w:ind w:left="567"/>
              <w:rPr>
                <w:rFonts w:cs="Arial"/>
                <w:i/>
                <w:lang w:val="es-CO"/>
              </w:rPr>
            </w:pPr>
            <w:r w:rsidRPr="003006D9">
              <w:rPr>
                <w:rFonts w:cs="Arial"/>
                <w:i/>
                <w:lang w:val="es-CO"/>
              </w:rPr>
              <w:t>VIAS INTERNAS</w:t>
            </w:r>
          </w:p>
        </w:tc>
        <w:tc>
          <w:tcPr>
            <w:tcW w:w="3795" w:type="dxa"/>
            <w:shd w:val="clear" w:color="auto" w:fill="auto"/>
          </w:tcPr>
          <w:p w:rsidR="00266AF7" w:rsidRPr="003006D9" w:rsidRDefault="00266AF7" w:rsidP="00693D2D">
            <w:pPr>
              <w:spacing w:line="240" w:lineRule="auto"/>
              <w:ind w:left="143" w:right="632"/>
              <w:jc w:val="right"/>
              <w:rPr>
                <w:rFonts w:cs="Arial"/>
                <w:i/>
                <w:lang w:val="es-CO"/>
              </w:rPr>
            </w:pPr>
            <w:r w:rsidRPr="003006D9">
              <w:rPr>
                <w:rFonts w:cs="Arial"/>
                <w:i/>
                <w:lang w:val="es-CO"/>
              </w:rPr>
              <w:t>110’000.000</w:t>
            </w:r>
            <w:r w:rsidRPr="003006D9">
              <w:rPr>
                <w:rStyle w:val="Refdenotaalpie"/>
                <w:rFonts w:cs="Arial"/>
                <w:i/>
                <w:lang w:val="es-CO"/>
              </w:rPr>
              <w:footnoteReference w:id="27"/>
            </w:r>
          </w:p>
        </w:tc>
      </w:tr>
      <w:tr w:rsidR="00266AF7" w:rsidRPr="003006D9" w:rsidTr="002F5F8F">
        <w:tc>
          <w:tcPr>
            <w:tcW w:w="3859" w:type="dxa"/>
            <w:shd w:val="clear" w:color="auto" w:fill="auto"/>
          </w:tcPr>
          <w:p w:rsidR="00266AF7" w:rsidRPr="003006D9" w:rsidRDefault="00266AF7" w:rsidP="002F5F8F">
            <w:pPr>
              <w:spacing w:line="240" w:lineRule="auto"/>
              <w:ind w:left="567"/>
              <w:rPr>
                <w:rFonts w:cs="Arial"/>
                <w:i/>
                <w:lang w:val="es-CO"/>
              </w:rPr>
            </w:pPr>
            <w:r w:rsidRPr="003006D9">
              <w:rPr>
                <w:rFonts w:cs="Arial"/>
                <w:i/>
                <w:lang w:val="es-CO"/>
              </w:rPr>
              <w:t>CULTIVOS PERMANENTES</w:t>
            </w:r>
          </w:p>
        </w:tc>
        <w:tc>
          <w:tcPr>
            <w:tcW w:w="3795" w:type="dxa"/>
            <w:shd w:val="clear" w:color="auto" w:fill="auto"/>
          </w:tcPr>
          <w:p w:rsidR="00266AF7" w:rsidRPr="003006D9" w:rsidRDefault="00266AF7" w:rsidP="00693D2D">
            <w:pPr>
              <w:spacing w:line="240" w:lineRule="auto"/>
              <w:ind w:left="143" w:right="632"/>
              <w:jc w:val="right"/>
              <w:rPr>
                <w:rFonts w:cs="Arial"/>
                <w:i/>
                <w:lang w:val="es-CO"/>
              </w:rPr>
            </w:pPr>
            <w:r w:rsidRPr="003006D9">
              <w:rPr>
                <w:rFonts w:cs="Arial"/>
                <w:i/>
                <w:lang w:val="es-CO"/>
              </w:rPr>
              <w:t>378’690.000</w:t>
            </w:r>
            <w:r w:rsidRPr="003006D9">
              <w:rPr>
                <w:rStyle w:val="Refdenotaalpie"/>
                <w:rFonts w:cs="Arial"/>
                <w:i/>
                <w:lang w:val="es-CO"/>
              </w:rPr>
              <w:footnoteReference w:id="28"/>
            </w:r>
          </w:p>
        </w:tc>
      </w:tr>
      <w:tr w:rsidR="00266AF7" w:rsidRPr="003006D9" w:rsidTr="002F5F8F">
        <w:tc>
          <w:tcPr>
            <w:tcW w:w="3859" w:type="dxa"/>
            <w:shd w:val="clear" w:color="auto" w:fill="auto"/>
          </w:tcPr>
          <w:p w:rsidR="00266AF7" w:rsidRPr="003006D9" w:rsidRDefault="00266AF7" w:rsidP="002F5F8F">
            <w:pPr>
              <w:spacing w:line="240" w:lineRule="auto"/>
              <w:ind w:left="567"/>
              <w:rPr>
                <w:rFonts w:cs="Arial"/>
                <w:i/>
                <w:lang w:val="es-CO"/>
              </w:rPr>
            </w:pPr>
            <w:r w:rsidRPr="003006D9">
              <w:rPr>
                <w:rFonts w:cs="Arial"/>
                <w:i/>
                <w:lang w:val="es-CO"/>
              </w:rPr>
              <w:t>VALOR TOTAL DEL AVALÚO</w:t>
            </w:r>
          </w:p>
        </w:tc>
        <w:tc>
          <w:tcPr>
            <w:tcW w:w="3795" w:type="dxa"/>
            <w:shd w:val="clear" w:color="auto" w:fill="auto"/>
          </w:tcPr>
          <w:p w:rsidR="00266AF7" w:rsidRPr="003006D9" w:rsidRDefault="00693D2D" w:rsidP="00693D2D">
            <w:pPr>
              <w:tabs>
                <w:tab w:val="left" w:pos="3579"/>
              </w:tabs>
              <w:spacing w:line="240" w:lineRule="auto"/>
              <w:ind w:left="143" w:right="34"/>
              <w:rPr>
                <w:rFonts w:cs="Arial"/>
                <w:lang w:val="es-CO"/>
              </w:rPr>
            </w:pPr>
            <w:r w:rsidRPr="003006D9">
              <w:rPr>
                <w:rFonts w:cs="Arial"/>
                <w:lang w:val="es-CO"/>
              </w:rPr>
              <w:t>[</w:t>
            </w:r>
            <w:r w:rsidR="00266AF7" w:rsidRPr="003006D9">
              <w:rPr>
                <w:rFonts w:cs="Arial"/>
                <w:lang w:val="es-CO"/>
              </w:rPr>
              <w:t xml:space="preserve">En la copia del avalúo que suministró el ICA A </w:t>
            </w:r>
            <w:r w:rsidR="00172885" w:rsidRPr="003006D9">
              <w:rPr>
                <w:rFonts w:cs="Arial"/>
                <w:lang w:val="es-CO"/>
              </w:rPr>
              <w:t>FEDEPAMA</w:t>
            </w:r>
            <w:r w:rsidR="00266AF7" w:rsidRPr="003006D9">
              <w:rPr>
                <w:rFonts w:cs="Arial"/>
                <w:lang w:val="es-CO"/>
              </w:rPr>
              <w:t xml:space="preserve"> no aparece la página 26 del avalúo, en la cual debería encontrarse el cuadro consolidado y las firmas</w:t>
            </w:r>
            <w:r w:rsidR="00266AF7" w:rsidRPr="003006D9">
              <w:rPr>
                <w:rStyle w:val="Refdenotaalpie"/>
                <w:rFonts w:cs="Arial"/>
                <w:lang w:val="es-CO"/>
              </w:rPr>
              <w:footnoteReference w:id="29"/>
            </w:r>
            <w:r w:rsidR="00266AF7" w:rsidRPr="003006D9">
              <w:rPr>
                <w:rFonts w:cs="Arial"/>
                <w:lang w:val="es-CO"/>
              </w:rPr>
              <w:t>.</w:t>
            </w:r>
          </w:p>
          <w:p w:rsidR="006B43A9" w:rsidRPr="003006D9" w:rsidRDefault="006B43A9" w:rsidP="00693D2D">
            <w:pPr>
              <w:tabs>
                <w:tab w:val="left" w:pos="3579"/>
              </w:tabs>
              <w:spacing w:line="240" w:lineRule="auto"/>
              <w:ind w:left="143" w:right="34"/>
              <w:rPr>
                <w:rFonts w:cs="Arial"/>
                <w:lang w:val="es-CO"/>
              </w:rPr>
            </w:pPr>
          </w:p>
          <w:p w:rsidR="00266AF7" w:rsidRPr="003006D9" w:rsidRDefault="00266AF7" w:rsidP="00693D2D">
            <w:pPr>
              <w:tabs>
                <w:tab w:val="left" w:pos="3579"/>
              </w:tabs>
              <w:spacing w:line="240" w:lineRule="auto"/>
              <w:ind w:left="143" w:right="34"/>
              <w:rPr>
                <w:rFonts w:cs="Arial"/>
                <w:lang w:val="es-CO"/>
              </w:rPr>
            </w:pPr>
            <w:r w:rsidRPr="003006D9">
              <w:rPr>
                <w:rFonts w:cs="Arial"/>
                <w:lang w:val="es-CO"/>
              </w:rPr>
              <w:t>En la copia que allegó el ICA al proceso, aparece la hoja 26</w:t>
            </w:r>
            <w:r w:rsidRPr="003006D9">
              <w:rPr>
                <w:rStyle w:val="Refdenotaalpie"/>
                <w:rFonts w:cs="Arial"/>
                <w:lang w:val="es-CO"/>
              </w:rPr>
              <w:footnoteReference w:id="30"/>
            </w:r>
            <w:r w:rsidRPr="003006D9">
              <w:rPr>
                <w:rFonts w:cs="Arial"/>
                <w:lang w:val="es-CO"/>
              </w:rPr>
              <w:t xml:space="preserve"> con el cuadro consolidado por valor total de </w:t>
            </w:r>
            <w:r w:rsidR="00693D2D" w:rsidRPr="003006D9">
              <w:rPr>
                <w:rFonts w:cs="Arial"/>
                <w:lang w:val="es-CO"/>
              </w:rPr>
              <w:t>“</w:t>
            </w:r>
            <w:r w:rsidRPr="003006D9">
              <w:rPr>
                <w:rFonts w:cs="Arial"/>
                <w:i/>
                <w:lang w:val="es-CO"/>
              </w:rPr>
              <w:t>$8.269</w:t>
            </w:r>
            <w:r w:rsidR="00732209" w:rsidRPr="003006D9">
              <w:rPr>
                <w:rFonts w:cs="Arial"/>
                <w:i/>
                <w:lang w:val="es-CO"/>
              </w:rPr>
              <w:t>’</w:t>
            </w:r>
            <w:r w:rsidRPr="003006D9">
              <w:rPr>
                <w:rFonts w:cs="Arial"/>
                <w:i/>
                <w:lang w:val="es-CO"/>
              </w:rPr>
              <w:t>410.000</w:t>
            </w:r>
            <w:r w:rsidR="00693D2D" w:rsidRPr="003006D9">
              <w:rPr>
                <w:rFonts w:cs="Arial"/>
                <w:i/>
                <w:lang w:val="es-CO"/>
              </w:rPr>
              <w:t>”</w:t>
            </w:r>
            <w:r w:rsidRPr="003006D9">
              <w:rPr>
                <w:rFonts w:cs="Arial"/>
                <w:lang w:val="es-CO"/>
              </w:rPr>
              <w:t xml:space="preserve">, mismo que se obtiene de la sumatoria de los valores anteriores. </w:t>
            </w:r>
          </w:p>
          <w:p w:rsidR="006B43A9" w:rsidRPr="003006D9" w:rsidRDefault="006B43A9" w:rsidP="00693D2D">
            <w:pPr>
              <w:tabs>
                <w:tab w:val="left" w:pos="3579"/>
              </w:tabs>
              <w:spacing w:line="240" w:lineRule="auto"/>
              <w:ind w:left="143" w:right="34"/>
              <w:rPr>
                <w:rFonts w:cs="Arial"/>
                <w:lang w:val="es-CO"/>
              </w:rPr>
            </w:pPr>
          </w:p>
          <w:p w:rsidR="00266AF7" w:rsidRPr="003006D9" w:rsidRDefault="00266AF7" w:rsidP="00010888">
            <w:pPr>
              <w:tabs>
                <w:tab w:val="left" w:pos="3579"/>
              </w:tabs>
              <w:spacing w:line="240" w:lineRule="auto"/>
              <w:ind w:left="143" w:right="34"/>
              <w:rPr>
                <w:rFonts w:cs="Arial"/>
                <w:i/>
                <w:lang w:val="es-CO"/>
              </w:rPr>
            </w:pPr>
            <w:r w:rsidRPr="003006D9">
              <w:rPr>
                <w:rFonts w:cs="Arial"/>
                <w:lang w:val="es-CO"/>
              </w:rPr>
              <w:t xml:space="preserve">Esta hoja 26 </w:t>
            </w:r>
            <w:r w:rsidR="00693D2D" w:rsidRPr="003006D9">
              <w:rPr>
                <w:rFonts w:cs="Arial"/>
                <w:lang w:val="es-CO"/>
              </w:rPr>
              <w:t>con</w:t>
            </w:r>
            <w:r w:rsidRPr="003006D9">
              <w:rPr>
                <w:rFonts w:cs="Arial"/>
                <w:lang w:val="es-CO"/>
              </w:rPr>
              <w:t xml:space="preserve">tiene las firmas del ingeniero Cesar Augusto Vallejo Coordinador de Avalúos y Orlando Caicedo Rueda, Presidente de La Lonja </w:t>
            </w:r>
            <w:r w:rsidR="00010888" w:rsidRPr="003006D9">
              <w:rPr>
                <w:rFonts w:cs="Arial"/>
                <w:lang w:val="es-CO"/>
              </w:rPr>
              <w:t>d</w:t>
            </w:r>
            <w:r w:rsidRPr="003006D9">
              <w:rPr>
                <w:rFonts w:cs="Arial"/>
                <w:lang w:val="es-CO"/>
              </w:rPr>
              <w:t>e Propiedad Raíz de Nariño y Putumayo</w:t>
            </w:r>
            <w:r w:rsidR="00693D2D" w:rsidRPr="003006D9">
              <w:rPr>
                <w:rFonts w:cs="Arial"/>
                <w:lang w:val="es-CO"/>
              </w:rPr>
              <w:t>]</w:t>
            </w:r>
            <w:r w:rsidRPr="003006D9">
              <w:rPr>
                <w:rFonts w:cs="Arial"/>
                <w:lang w:val="es-CO"/>
              </w:rPr>
              <w:t>.</w:t>
            </w:r>
            <w:r w:rsidRPr="003006D9">
              <w:rPr>
                <w:rFonts w:cs="Arial"/>
                <w:i/>
                <w:lang w:val="es-CO"/>
              </w:rPr>
              <w:t xml:space="preserve"> </w:t>
            </w:r>
          </w:p>
        </w:tc>
      </w:tr>
      <w:tr w:rsidR="005B79C1" w:rsidRPr="003006D9" w:rsidTr="002F5F8F">
        <w:tc>
          <w:tcPr>
            <w:tcW w:w="3859" w:type="dxa"/>
            <w:shd w:val="clear" w:color="auto" w:fill="auto"/>
          </w:tcPr>
          <w:p w:rsidR="005B79C1" w:rsidRPr="003006D9" w:rsidRDefault="005B79C1" w:rsidP="002F5F8F">
            <w:pPr>
              <w:spacing w:line="240" w:lineRule="auto"/>
              <w:ind w:left="567"/>
              <w:rPr>
                <w:rFonts w:cs="Arial"/>
                <w:i/>
                <w:lang w:val="es-CO"/>
              </w:rPr>
            </w:pPr>
          </w:p>
        </w:tc>
        <w:tc>
          <w:tcPr>
            <w:tcW w:w="3795" w:type="dxa"/>
            <w:shd w:val="clear" w:color="auto" w:fill="auto"/>
          </w:tcPr>
          <w:p w:rsidR="005B79C1" w:rsidRPr="003006D9" w:rsidRDefault="005B79C1" w:rsidP="00693D2D">
            <w:pPr>
              <w:tabs>
                <w:tab w:val="left" w:pos="3579"/>
              </w:tabs>
              <w:spacing w:line="240" w:lineRule="auto"/>
              <w:ind w:left="143" w:right="34"/>
              <w:rPr>
                <w:rFonts w:cs="Arial"/>
                <w:lang w:val="es-CO"/>
              </w:rPr>
            </w:pPr>
          </w:p>
        </w:tc>
      </w:tr>
    </w:tbl>
    <w:p w:rsidR="00266AF7" w:rsidRPr="003006D9" w:rsidRDefault="00266AF7" w:rsidP="00266AF7">
      <w:pPr>
        <w:rPr>
          <w:rFonts w:cs="Arial"/>
          <w:lang w:val="es-CO"/>
        </w:rPr>
      </w:pPr>
    </w:p>
    <w:p w:rsidR="00266AF7" w:rsidRPr="003006D9" w:rsidRDefault="00266AF7" w:rsidP="00266AF7">
      <w:pPr>
        <w:rPr>
          <w:rFonts w:cs="Arial"/>
          <w:lang w:val="es-CO"/>
        </w:rPr>
      </w:pPr>
      <w:r w:rsidRPr="003006D9">
        <w:rPr>
          <w:rFonts w:cs="Arial"/>
          <w:lang w:val="es-CO"/>
        </w:rPr>
        <w:t>Sin embargo en el cuadro titulado DETERMINACI</w:t>
      </w:r>
      <w:r w:rsidR="00C7362D" w:rsidRPr="003006D9">
        <w:rPr>
          <w:rFonts w:cs="Arial"/>
          <w:lang w:val="es-CO"/>
        </w:rPr>
        <w:t>Ó</w:t>
      </w:r>
      <w:r w:rsidRPr="003006D9">
        <w:rPr>
          <w:rFonts w:cs="Arial"/>
          <w:lang w:val="es-CO"/>
        </w:rPr>
        <w:t>N DE AVALÚO, en la hoja 26 del avalúo de abril de 2010, cuyo contenido aparece completo, se cometió un error sobre la identidad del bien avaluado,</w:t>
      </w:r>
      <w:r w:rsidRPr="003006D9">
        <w:rPr>
          <w:rFonts w:cs="Arial"/>
          <w:b/>
          <w:lang w:val="es-CO"/>
        </w:rPr>
        <w:t xml:space="preserve"> </w:t>
      </w:r>
      <w:r w:rsidRPr="003006D9">
        <w:rPr>
          <w:rFonts w:cs="Arial"/>
          <w:lang w:val="es-CO"/>
        </w:rPr>
        <w:t xml:space="preserve">por cuanto se </w:t>
      </w:r>
      <w:r w:rsidR="001244B5" w:rsidRPr="003006D9">
        <w:rPr>
          <w:rFonts w:cs="Arial"/>
          <w:lang w:val="es-CO"/>
        </w:rPr>
        <w:t>indicó</w:t>
      </w:r>
      <w:r w:rsidRPr="003006D9">
        <w:rPr>
          <w:rFonts w:cs="Arial"/>
          <w:lang w:val="es-CO"/>
        </w:rPr>
        <w:t xml:space="preserve"> </w:t>
      </w:r>
    </w:p>
    <w:p w:rsidR="00E00ADE" w:rsidRPr="003006D9" w:rsidRDefault="00E00ADE" w:rsidP="00266AF7">
      <w:pPr>
        <w:rPr>
          <w:rFonts w:cs="Arial"/>
          <w:lang w:val="es-CO"/>
        </w:rPr>
      </w:pPr>
    </w:p>
    <w:p w:rsidR="00266AF7" w:rsidRPr="003006D9" w:rsidRDefault="00266AF7" w:rsidP="00B13796">
      <w:pPr>
        <w:spacing w:line="276" w:lineRule="auto"/>
        <w:ind w:left="567" w:right="708"/>
        <w:rPr>
          <w:rFonts w:cs="Arial"/>
          <w:b/>
          <w:i/>
          <w:lang w:val="es-CO"/>
        </w:rPr>
      </w:pPr>
      <w:r w:rsidRPr="003006D9">
        <w:rPr>
          <w:rFonts w:cs="Arial"/>
          <w:i/>
          <w:lang w:val="es-CO"/>
        </w:rPr>
        <w:t>“</w:t>
      </w:r>
      <w:r w:rsidRPr="003006D9">
        <w:rPr>
          <w:rFonts w:cs="Arial"/>
          <w:b/>
          <w:i/>
          <w:lang w:val="es-CO"/>
        </w:rPr>
        <w:t>9. DETERMINACIÓN DE AVALÚO</w:t>
      </w:r>
    </w:p>
    <w:p w:rsidR="006D2A44" w:rsidRPr="003006D9" w:rsidRDefault="006D2A44" w:rsidP="00B13796">
      <w:pPr>
        <w:spacing w:line="276" w:lineRule="auto"/>
        <w:ind w:left="567" w:right="708"/>
        <w:rPr>
          <w:rFonts w:cs="Arial"/>
          <w:b/>
          <w:i/>
          <w:lang w:val="es-CO"/>
        </w:rPr>
      </w:pPr>
    </w:p>
    <w:p w:rsidR="00266AF7" w:rsidRPr="003006D9" w:rsidRDefault="00266AF7" w:rsidP="00B13796">
      <w:pPr>
        <w:spacing w:line="276" w:lineRule="auto"/>
        <w:ind w:left="567" w:right="708"/>
        <w:rPr>
          <w:rFonts w:cs="Arial"/>
          <w:lang w:val="es-CO"/>
        </w:rPr>
      </w:pPr>
      <w:r w:rsidRPr="003006D9">
        <w:rPr>
          <w:rFonts w:cs="Arial"/>
          <w:i/>
          <w:lang w:val="es-CO"/>
        </w:rPr>
        <w:t xml:space="preserve">El siguiente es nuestro concepto de avalúo comercial para </w:t>
      </w:r>
      <w:r w:rsidRPr="003006D9">
        <w:rPr>
          <w:rFonts w:cs="Arial"/>
          <w:b/>
          <w:i/>
          <w:lang w:val="es-CO"/>
        </w:rPr>
        <w:t>el predio rural La Esperanza Segunda, vereda Guacamaya, Corregimiento Llorente, municipio de T</w:t>
      </w:r>
      <w:r w:rsidR="00AD4FB3" w:rsidRPr="003006D9">
        <w:rPr>
          <w:rFonts w:cs="Arial"/>
          <w:b/>
          <w:i/>
          <w:lang w:val="es-CO"/>
        </w:rPr>
        <w:t>u</w:t>
      </w:r>
      <w:r w:rsidRPr="003006D9">
        <w:rPr>
          <w:rFonts w:cs="Arial"/>
          <w:b/>
          <w:i/>
          <w:lang w:val="es-CO"/>
        </w:rPr>
        <w:t>maco, al 11 de marzo de 2008</w:t>
      </w:r>
      <w:r w:rsidRPr="003006D9">
        <w:rPr>
          <w:rFonts w:cs="Arial"/>
          <w:i/>
          <w:lang w:val="es-CO"/>
        </w:rPr>
        <w:t>”</w:t>
      </w:r>
      <w:r w:rsidRPr="003006D9">
        <w:rPr>
          <w:rFonts w:cs="Arial"/>
          <w:b/>
          <w:i/>
          <w:lang w:val="es-CO"/>
        </w:rPr>
        <w:t xml:space="preserve"> </w:t>
      </w:r>
      <w:r w:rsidRPr="003006D9">
        <w:rPr>
          <w:rFonts w:cs="Arial"/>
          <w:lang w:val="es-CO"/>
        </w:rPr>
        <w:t>(</w:t>
      </w:r>
      <w:r w:rsidR="00010888" w:rsidRPr="003006D9">
        <w:rPr>
          <w:rFonts w:cs="Arial"/>
          <w:lang w:val="es-CO"/>
        </w:rPr>
        <w:t>l</w:t>
      </w:r>
      <w:r w:rsidRPr="003006D9">
        <w:rPr>
          <w:rFonts w:cs="Arial"/>
          <w:lang w:val="es-CO"/>
        </w:rPr>
        <w:t>a negrilla no es del texto)</w:t>
      </w:r>
      <w:r w:rsidRPr="003006D9">
        <w:rPr>
          <w:rStyle w:val="Refdenotaalpie"/>
          <w:rFonts w:cs="Arial"/>
          <w:lang w:val="es-CO"/>
        </w:rPr>
        <w:footnoteReference w:id="31"/>
      </w:r>
    </w:p>
    <w:p w:rsidR="00266AF7" w:rsidRPr="003006D9" w:rsidRDefault="00266AF7" w:rsidP="00570534">
      <w:pPr>
        <w:rPr>
          <w:rFonts w:cs="Arial"/>
          <w:i/>
          <w:lang w:val="es-CO"/>
        </w:rPr>
      </w:pPr>
    </w:p>
    <w:p w:rsidR="00570534" w:rsidRPr="003006D9" w:rsidRDefault="00B13796" w:rsidP="00570534">
      <w:pPr>
        <w:rPr>
          <w:rFonts w:cs="Arial"/>
          <w:lang w:val="es-CO"/>
        </w:rPr>
      </w:pPr>
      <w:r w:rsidRPr="003006D9">
        <w:rPr>
          <w:rFonts w:cs="Arial"/>
          <w:lang w:val="es-CO"/>
        </w:rPr>
        <w:t>P</w:t>
      </w:r>
      <w:r w:rsidR="00570534" w:rsidRPr="003006D9">
        <w:rPr>
          <w:rFonts w:cs="Arial"/>
          <w:lang w:val="es-CO"/>
        </w:rPr>
        <w:t xml:space="preserve">ese al </w:t>
      </w:r>
      <w:r w:rsidR="006B43A9" w:rsidRPr="003006D9">
        <w:rPr>
          <w:rFonts w:cs="Arial"/>
          <w:lang w:val="es-CO"/>
        </w:rPr>
        <w:t xml:space="preserve">anterior </w:t>
      </w:r>
      <w:r w:rsidR="00570534" w:rsidRPr="003006D9">
        <w:rPr>
          <w:rFonts w:cs="Arial"/>
          <w:lang w:val="es-CO"/>
        </w:rPr>
        <w:t>error</w:t>
      </w:r>
      <w:r w:rsidR="00EB296B" w:rsidRPr="003006D9">
        <w:rPr>
          <w:rFonts w:cs="Arial"/>
          <w:lang w:val="es-CO"/>
        </w:rPr>
        <w:t xml:space="preserve">, en el </w:t>
      </w:r>
      <w:r w:rsidR="006D2A44" w:rsidRPr="003006D9">
        <w:rPr>
          <w:rFonts w:cs="Arial"/>
          <w:lang w:val="es-CO"/>
        </w:rPr>
        <w:t xml:space="preserve">cuadro final del </w:t>
      </w:r>
      <w:r w:rsidR="00570534" w:rsidRPr="003006D9">
        <w:rPr>
          <w:rFonts w:cs="Arial"/>
          <w:lang w:val="es-CO"/>
        </w:rPr>
        <w:t>avalúo</w:t>
      </w:r>
      <w:r w:rsidR="00EB296B" w:rsidRPr="003006D9">
        <w:rPr>
          <w:rFonts w:cs="Arial"/>
          <w:lang w:val="es-CO"/>
        </w:rPr>
        <w:t xml:space="preserve">, referido a la </w:t>
      </w:r>
      <w:r w:rsidR="00570534" w:rsidRPr="003006D9">
        <w:rPr>
          <w:rFonts w:cs="Arial"/>
          <w:lang w:val="es-CO"/>
        </w:rPr>
        <w:t xml:space="preserve"> identificación del bien</w:t>
      </w:r>
      <w:r w:rsidR="003222AA" w:rsidRPr="003006D9">
        <w:rPr>
          <w:rFonts w:cs="Arial"/>
          <w:lang w:val="es-CO"/>
        </w:rPr>
        <w:t xml:space="preserve"> inmueble materia del mismo</w:t>
      </w:r>
      <w:r w:rsidR="00570534" w:rsidRPr="003006D9">
        <w:rPr>
          <w:rFonts w:cs="Arial"/>
          <w:lang w:val="es-CO"/>
        </w:rPr>
        <w:t xml:space="preserve">, se advierte la suma de $8.269’410.000 fijada en el avalúo de abril de 2010 </w:t>
      </w:r>
      <w:r w:rsidR="001244B5" w:rsidRPr="003006D9">
        <w:rPr>
          <w:rFonts w:cs="Arial"/>
          <w:lang w:val="es-CO"/>
        </w:rPr>
        <w:t xml:space="preserve">que </w:t>
      </w:r>
      <w:r w:rsidR="00570534" w:rsidRPr="003006D9">
        <w:rPr>
          <w:rFonts w:cs="Arial"/>
          <w:lang w:val="es-CO"/>
        </w:rPr>
        <w:t>es la misma que se utilizó en la convocatoria al procedimiento de selección abreviada</w:t>
      </w:r>
      <w:r w:rsidR="00570534" w:rsidRPr="003006D9">
        <w:rPr>
          <w:rFonts w:cs="Arial"/>
          <w:i/>
          <w:lang w:val="es-CO"/>
        </w:rPr>
        <w:t xml:space="preserve"> </w:t>
      </w:r>
      <w:r w:rsidR="00570534" w:rsidRPr="003006D9">
        <w:rPr>
          <w:rFonts w:cs="Arial"/>
          <w:lang w:val="es-CO"/>
        </w:rPr>
        <w:t xml:space="preserve">GC-SA-01-018-2010 para el Predio El Mira, según se observa en el </w:t>
      </w:r>
      <w:r w:rsidR="00C37164" w:rsidRPr="003006D9">
        <w:rPr>
          <w:rFonts w:cs="Arial"/>
          <w:lang w:val="es-CO"/>
        </w:rPr>
        <w:t>a</w:t>
      </w:r>
      <w:r w:rsidR="00570534" w:rsidRPr="003006D9">
        <w:rPr>
          <w:rFonts w:cs="Arial"/>
          <w:lang w:val="es-CO"/>
        </w:rPr>
        <w:t xml:space="preserve">viso de prensa, Diario La República, Selección Abreviada No. GC-SA-01-018-2010, en el cual se indicó, como precio mínimo de venta $8.269’410.000. </w:t>
      </w:r>
    </w:p>
    <w:p w:rsidR="00570534" w:rsidRPr="003006D9" w:rsidRDefault="00570534" w:rsidP="00570534">
      <w:pPr>
        <w:rPr>
          <w:rFonts w:cs="Arial"/>
          <w:lang w:val="es-CO"/>
        </w:rPr>
      </w:pPr>
    </w:p>
    <w:p w:rsidR="00570534" w:rsidRPr="003006D9" w:rsidRDefault="00570534" w:rsidP="00570534">
      <w:pPr>
        <w:rPr>
          <w:rFonts w:cs="Arial"/>
          <w:lang w:val="es-CO"/>
        </w:rPr>
      </w:pPr>
      <w:r w:rsidRPr="003006D9">
        <w:rPr>
          <w:rFonts w:cs="Arial"/>
          <w:lang w:val="es-CO"/>
        </w:rPr>
        <w:t>En la copia allegada al expediente no se puede determinar la fecha de la publicación de este aviso</w:t>
      </w:r>
      <w:r w:rsidR="00B13796" w:rsidRPr="003006D9">
        <w:rPr>
          <w:rFonts w:cs="Arial"/>
          <w:lang w:val="es-CO"/>
        </w:rPr>
        <w:t xml:space="preserve"> en la prensa</w:t>
      </w:r>
      <w:r w:rsidRPr="003006D9">
        <w:rPr>
          <w:rFonts w:cs="Arial"/>
          <w:lang w:val="es-CO"/>
        </w:rPr>
        <w:t xml:space="preserve">. Sin embargo, en dicho aviso se indicó que la fecha de apertura </w:t>
      </w:r>
      <w:r w:rsidR="00B13796" w:rsidRPr="003006D9">
        <w:rPr>
          <w:rFonts w:cs="Arial"/>
          <w:lang w:val="es-CO"/>
        </w:rPr>
        <w:t xml:space="preserve">del proceso </w:t>
      </w:r>
      <w:r w:rsidRPr="003006D9">
        <w:rPr>
          <w:rFonts w:cs="Arial"/>
          <w:lang w:val="es-CO"/>
        </w:rPr>
        <w:t>era el 21 de junio de 2010 y la de cierre el 2 de julio de 2010</w:t>
      </w:r>
      <w:r w:rsidRPr="003006D9">
        <w:rPr>
          <w:rStyle w:val="Refdenotaalpie"/>
          <w:rFonts w:cs="Arial"/>
          <w:lang w:val="es-CO"/>
        </w:rPr>
        <w:footnoteReference w:id="32"/>
      </w:r>
      <w:r w:rsidRPr="003006D9">
        <w:rPr>
          <w:rFonts w:cs="Arial"/>
          <w:lang w:val="es-CO"/>
        </w:rPr>
        <w:t>.</w:t>
      </w:r>
    </w:p>
    <w:p w:rsidR="00517825" w:rsidRPr="003006D9" w:rsidRDefault="00517825" w:rsidP="00570534">
      <w:pPr>
        <w:rPr>
          <w:rFonts w:cs="Arial"/>
          <w:lang w:val="es-CO"/>
        </w:rPr>
      </w:pPr>
    </w:p>
    <w:p w:rsidR="00570534" w:rsidRPr="003006D9" w:rsidRDefault="00570534" w:rsidP="00570534">
      <w:pPr>
        <w:rPr>
          <w:rFonts w:cs="Arial"/>
          <w:lang w:val="es-CO"/>
        </w:rPr>
      </w:pPr>
      <w:r w:rsidRPr="003006D9">
        <w:rPr>
          <w:rFonts w:cs="Arial"/>
          <w:lang w:val="es-CO"/>
        </w:rPr>
        <w:t xml:space="preserve">Se conoce que FEDEPALMA tuvo noticia del valor del referido avalúo aun antes de la apertura de la primera convocatoria, toda vez que </w:t>
      </w:r>
      <w:r w:rsidR="00C7362D" w:rsidRPr="003006D9">
        <w:rPr>
          <w:rFonts w:cs="Arial"/>
          <w:lang w:val="es-CO"/>
        </w:rPr>
        <w:t>la c</w:t>
      </w:r>
      <w:r w:rsidRPr="003006D9">
        <w:rPr>
          <w:rFonts w:cs="Arial"/>
          <w:lang w:val="es-CO"/>
        </w:rPr>
        <w:t xml:space="preserve">omunicación 2.11.2 de 22 de abril de 2010, suscrita por el </w:t>
      </w:r>
      <w:r w:rsidR="007915CC" w:rsidRPr="003006D9">
        <w:rPr>
          <w:rFonts w:cs="Arial"/>
          <w:lang w:val="es-CO"/>
        </w:rPr>
        <w:t xml:space="preserve">abogado </w:t>
      </w:r>
      <w:r w:rsidRPr="003006D9">
        <w:rPr>
          <w:rFonts w:cs="Arial"/>
          <w:lang w:val="es-CO"/>
        </w:rPr>
        <w:t>H</w:t>
      </w:r>
      <w:r w:rsidR="007915CC" w:rsidRPr="003006D9">
        <w:rPr>
          <w:rFonts w:cs="Arial"/>
          <w:lang w:val="es-CO"/>
        </w:rPr>
        <w:t>é</w:t>
      </w:r>
      <w:r w:rsidRPr="003006D9">
        <w:rPr>
          <w:rFonts w:cs="Arial"/>
          <w:lang w:val="es-CO"/>
        </w:rPr>
        <w:t xml:space="preserve">ctor José García Santiago, </w:t>
      </w:r>
      <w:r w:rsidR="00C7362D" w:rsidRPr="003006D9">
        <w:rPr>
          <w:rFonts w:cs="Arial"/>
          <w:lang w:val="es-CO"/>
        </w:rPr>
        <w:t xml:space="preserve">coordinador del grupo de gestión contractual </w:t>
      </w:r>
      <w:r w:rsidR="007915CC" w:rsidRPr="003006D9">
        <w:rPr>
          <w:rFonts w:cs="Arial"/>
          <w:lang w:val="es-CO"/>
        </w:rPr>
        <w:t xml:space="preserve">del </w:t>
      </w:r>
      <w:r w:rsidRPr="003006D9">
        <w:rPr>
          <w:rFonts w:cs="Arial"/>
          <w:lang w:val="es-CO"/>
        </w:rPr>
        <w:t>ICA, el referido funcionario le remitió al señor Fabio Zuluaga, Director de la Unidad de Servicios Compartidos de FEDEPALMA, el avalúo del predio del ICA denominado EL MIRA</w:t>
      </w:r>
      <w:r w:rsidRPr="003006D9">
        <w:rPr>
          <w:rStyle w:val="Refdenotaalpie"/>
          <w:rFonts w:cs="Arial"/>
          <w:lang w:val="es-CO"/>
        </w:rPr>
        <w:footnoteReference w:id="33"/>
      </w:r>
      <w:r w:rsidRPr="003006D9">
        <w:rPr>
          <w:rFonts w:cs="Arial"/>
          <w:lang w:val="es-CO"/>
        </w:rPr>
        <w:t xml:space="preserve">. </w:t>
      </w:r>
    </w:p>
    <w:p w:rsidR="00517825" w:rsidRPr="003006D9" w:rsidRDefault="00517825" w:rsidP="00570534">
      <w:pPr>
        <w:rPr>
          <w:rFonts w:cs="Arial"/>
          <w:lang w:val="es-CO"/>
        </w:rPr>
      </w:pPr>
    </w:p>
    <w:p w:rsidR="00570534" w:rsidRPr="003006D9" w:rsidRDefault="00570534" w:rsidP="00570534">
      <w:pPr>
        <w:rPr>
          <w:rFonts w:cs="Arial"/>
          <w:lang w:val="es-CO"/>
        </w:rPr>
      </w:pPr>
      <w:r w:rsidRPr="003006D9">
        <w:rPr>
          <w:rFonts w:cs="Arial"/>
          <w:lang w:val="es-CO"/>
        </w:rPr>
        <w:lastRenderedPageBreak/>
        <w:t>Ahora bien</w:t>
      </w:r>
      <w:r w:rsidR="00C37164" w:rsidRPr="003006D9">
        <w:rPr>
          <w:rFonts w:cs="Arial"/>
          <w:lang w:val="es-CO"/>
        </w:rPr>
        <w:t>,</w:t>
      </w:r>
      <w:r w:rsidRPr="003006D9">
        <w:rPr>
          <w:rFonts w:cs="Arial"/>
          <w:lang w:val="es-CO"/>
        </w:rPr>
        <w:t xml:space="preserve"> en el documento de la minuta de estudios previos</w:t>
      </w:r>
      <w:r w:rsidR="00517825" w:rsidRPr="003006D9">
        <w:rPr>
          <w:rFonts w:cs="Arial"/>
          <w:lang w:val="es-CO"/>
        </w:rPr>
        <w:t xml:space="preserve"> del procedimiento de </w:t>
      </w:r>
      <w:r w:rsidR="008C039F" w:rsidRPr="003006D9">
        <w:rPr>
          <w:rFonts w:cs="Arial"/>
          <w:lang w:val="es-CO"/>
        </w:rPr>
        <w:t xml:space="preserve">selección abreviada </w:t>
      </w:r>
      <w:r w:rsidR="00517825" w:rsidRPr="003006D9">
        <w:rPr>
          <w:rFonts w:cs="Arial"/>
          <w:lang w:val="es-CO"/>
        </w:rPr>
        <w:t>No. GC-SA-01-018-2010</w:t>
      </w:r>
      <w:r w:rsidRPr="003006D9">
        <w:rPr>
          <w:rFonts w:cs="Arial"/>
          <w:lang w:val="es-CO"/>
        </w:rPr>
        <w:t xml:space="preserve">, en el cuadro de especificaciones especiales, se observa que el valor de avalúo fue incorporado así: </w:t>
      </w:r>
    </w:p>
    <w:p w:rsidR="00517825" w:rsidRPr="003006D9" w:rsidRDefault="00517825" w:rsidP="00570534">
      <w:pPr>
        <w:rPr>
          <w:rFonts w:cs="Arial"/>
          <w:lang w:val="es-CO"/>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3795"/>
      </w:tblGrid>
      <w:tr w:rsidR="00570534" w:rsidRPr="003006D9" w:rsidTr="002F5F8F">
        <w:tc>
          <w:tcPr>
            <w:tcW w:w="3718" w:type="dxa"/>
            <w:shd w:val="clear" w:color="auto" w:fill="auto"/>
          </w:tcPr>
          <w:p w:rsidR="00570534" w:rsidRPr="003006D9" w:rsidRDefault="007036B8" w:rsidP="007036B8">
            <w:pPr>
              <w:tabs>
                <w:tab w:val="left" w:pos="3294"/>
              </w:tabs>
              <w:spacing w:line="276" w:lineRule="auto"/>
              <w:ind w:left="176" w:right="208"/>
              <w:rPr>
                <w:rFonts w:cs="Arial"/>
                <w:i/>
                <w:lang w:val="es-CO"/>
              </w:rPr>
            </w:pPr>
            <w:r w:rsidRPr="003006D9">
              <w:rPr>
                <w:rFonts w:cs="Arial"/>
                <w:i/>
                <w:lang w:val="es-CO"/>
              </w:rPr>
              <w:t>“</w:t>
            </w:r>
            <w:r w:rsidR="00570534" w:rsidRPr="003006D9">
              <w:rPr>
                <w:rFonts w:cs="Arial"/>
                <w:i/>
                <w:lang w:val="es-CO"/>
              </w:rPr>
              <w:t>FECHA DEL AVALÚO</w:t>
            </w:r>
          </w:p>
        </w:tc>
        <w:tc>
          <w:tcPr>
            <w:tcW w:w="3795" w:type="dxa"/>
            <w:shd w:val="clear" w:color="auto" w:fill="auto"/>
          </w:tcPr>
          <w:p w:rsidR="00570534" w:rsidRPr="003006D9" w:rsidRDefault="00570534" w:rsidP="00E829C0">
            <w:pPr>
              <w:spacing w:line="276" w:lineRule="auto"/>
              <w:ind w:left="285" w:right="34"/>
              <w:rPr>
                <w:rFonts w:cs="Arial"/>
                <w:i/>
                <w:lang w:val="es-CO"/>
              </w:rPr>
            </w:pPr>
            <w:r w:rsidRPr="003006D9">
              <w:rPr>
                <w:rFonts w:cs="Arial"/>
                <w:i/>
                <w:lang w:val="es-CO"/>
              </w:rPr>
              <w:t xml:space="preserve">Fuente documentación del ICA y avalúo comercial de </w:t>
            </w:r>
            <w:r w:rsidRPr="003006D9">
              <w:rPr>
                <w:rFonts w:cs="Arial"/>
                <w:b/>
                <w:i/>
                <w:lang w:val="es-CO"/>
              </w:rPr>
              <w:t>marzo</w:t>
            </w:r>
            <w:r w:rsidRPr="003006D9">
              <w:rPr>
                <w:rFonts w:cs="Arial"/>
                <w:i/>
                <w:lang w:val="es-CO"/>
              </w:rPr>
              <w:t xml:space="preserve"> de 2010</w:t>
            </w:r>
            <w:r w:rsidRPr="003006D9">
              <w:rPr>
                <w:rStyle w:val="Refdenotaalpie"/>
                <w:rFonts w:cs="Arial"/>
                <w:i/>
                <w:lang w:val="es-CO"/>
              </w:rPr>
              <w:footnoteReference w:id="34"/>
            </w:r>
            <w:r w:rsidRPr="003006D9">
              <w:rPr>
                <w:rFonts w:cs="Arial"/>
                <w:i/>
                <w:lang w:val="es-CO"/>
              </w:rPr>
              <w:t xml:space="preserve">. </w:t>
            </w:r>
          </w:p>
        </w:tc>
      </w:tr>
      <w:tr w:rsidR="00570534" w:rsidRPr="003006D9" w:rsidTr="002F5F8F">
        <w:tc>
          <w:tcPr>
            <w:tcW w:w="3718" w:type="dxa"/>
            <w:shd w:val="clear" w:color="auto" w:fill="auto"/>
          </w:tcPr>
          <w:p w:rsidR="00570534" w:rsidRPr="003006D9" w:rsidRDefault="007036B8" w:rsidP="007036B8">
            <w:pPr>
              <w:tabs>
                <w:tab w:val="left" w:pos="3294"/>
              </w:tabs>
              <w:spacing w:line="276" w:lineRule="auto"/>
              <w:ind w:left="176" w:right="208"/>
              <w:rPr>
                <w:rFonts w:cs="Arial"/>
                <w:i/>
                <w:lang w:val="es-CO"/>
              </w:rPr>
            </w:pPr>
            <w:r w:rsidRPr="003006D9">
              <w:rPr>
                <w:rFonts w:cs="Arial"/>
                <w:i/>
                <w:lang w:val="es-CO"/>
              </w:rPr>
              <w:t>“</w:t>
            </w:r>
            <w:r w:rsidR="00570534" w:rsidRPr="003006D9">
              <w:rPr>
                <w:rFonts w:cs="Arial"/>
                <w:i/>
                <w:lang w:val="es-CO"/>
              </w:rPr>
              <w:t>AVALUADOR</w:t>
            </w:r>
          </w:p>
        </w:tc>
        <w:tc>
          <w:tcPr>
            <w:tcW w:w="3795" w:type="dxa"/>
            <w:shd w:val="clear" w:color="auto" w:fill="auto"/>
          </w:tcPr>
          <w:p w:rsidR="00570534" w:rsidRPr="003006D9" w:rsidRDefault="00570534" w:rsidP="00E829C0">
            <w:pPr>
              <w:spacing w:line="276" w:lineRule="auto"/>
              <w:ind w:left="285" w:right="34"/>
              <w:rPr>
                <w:rFonts w:cs="Arial"/>
                <w:i/>
                <w:lang w:val="es-CO"/>
              </w:rPr>
            </w:pPr>
            <w:r w:rsidRPr="003006D9">
              <w:rPr>
                <w:rFonts w:cs="Arial"/>
                <w:i/>
                <w:lang w:val="es-CO"/>
              </w:rPr>
              <w:t>Lonja de propiedad Raíz de Nariño y Putumayo – Fedelonjas</w:t>
            </w:r>
          </w:p>
        </w:tc>
      </w:tr>
      <w:tr w:rsidR="00570534" w:rsidRPr="003006D9" w:rsidTr="002F5F8F">
        <w:tc>
          <w:tcPr>
            <w:tcW w:w="3718" w:type="dxa"/>
            <w:shd w:val="clear" w:color="auto" w:fill="auto"/>
          </w:tcPr>
          <w:p w:rsidR="00570534" w:rsidRPr="003006D9" w:rsidRDefault="007036B8" w:rsidP="007036B8">
            <w:pPr>
              <w:tabs>
                <w:tab w:val="left" w:pos="3294"/>
              </w:tabs>
              <w:spacing w:line="276" w:lineRule="auto"/>
              <w:ind w:left="176" w:right="208"/>
              <w:rPr>
                <w:rFonts w:cs="Arial"/>
                <w:i/>
                <w:lang w:val="es-CO"/>
              </w:rPr>
            </w:pPr>
            <w:r w:rsidRPr="003006D9">
              <w:rPr>
                <w:rFonts w:cs="Arial"/>
                <w:i/>
                <w:lang w:val="es-CO"/>
              </w:rPr>
              <w:t>“</w:t>
            </w:r>
            <w:r w:rsidR="00570534" w:rsidRPr="003006D9">
              <w:rPr>
                <w:rFonts w:cs="Arial"/>
                <w:i/>
                <w:lang w:val="es-CO"/>
              </w:rPr>
              <w:t>PRECIO MÍNIMO DE VENTA</w:t>
            </w:r>
          </w:p>
        </w:tc>
        <w:tc>
          <w:tcPr>
            <w:tcW w:w="3795" w:type="dxa"/>
            <w:shd w:val="clear" w:color="auto" w:fill="auto"/>
          </w:tcPr>
          <w:p w:rsidR="00570534" w:rsidRPr="003006D9" w:rsidRDefault="00570534" w:rsidP="00E829C0">
            <w:pPr>
              <w:spacing w:line="276" w:lineRule="auto"/>
              <w:ind w:left="285" w:right="34"/>
              <w:jc w:val="right"/>
              <w:rPr>
                <w:rFonts w:cs="Arial"/>
                <w:i/>
                <w:lang w:val="es-CO"/>
              </w:rPr>
            </w:pPr>
            <w:r w:rsidRPr="003006D9">
              <w:rPr>
                <w:rFonts w:cs="Arial"/>
                <w:i/>
                <w:lang w:val="es-CO"/>
              </w:rPr>
              <w:t>$8.269’410.000</w:t>
            </w:r>
          </w:p>
        </w:tc>
      </w:tr>
      <w:tr w:rsidR="00570534" w:rsidRPr="003006D9" w:rsidTr="002F5F8F">
        <w:tc>
          <w:tcPr>
            <w:tcW w:w="3718" w:type="dxa"/>
            <w:shd w:val="clear" w:color="auto" w:fill="auto"/>
          </w:tcPr>
          <w:p w:rsidR="00570534" w:rsidRPr="003006D9" w:rsidRDefault="007036B8" w:rsidP="007036B8">
            <w:pPr>
              <w:tabs>
                <w:tab w:val="left" w:pos="3294"/>
              </w:tabs>
              <w:spacing w:line="276" w:lineRule="auto"/>
              <w:ind w:left="176" w:right="208"/>
              <w:rPr>
                <w:rFonts w:cs="Arial"/>
                <w:i/>
                <w:lang w:val="es-CO"/>
              </w:rPr>
            </w:pPr>
            <w:r w:rsidRPr="003006D9">
              <w:rPr>
                <w:rFonts w:cs="Arial"/>
                <w:i/>
                <w:lang w:val="es-CO"/>
              </w:rPr>
              <w:t>“</w:t>
            </w:r>
            <w:r w:rsidR="00570534" w:rsidRPr="003006D9">
              <w:rPr>
                <w:rFonts w:cs="Arial"/>
                <w:i/>
                <w:lang w:val="es-CO"/>
              </w:rPr>
              <w:t>ACTIVO SANEADO TRANSFERIBLE</w:t>
            </w:r>
          </w:p>
        </w:tc>
        <w:tc>
          <w:tcPr>
            <w:tcW w:w="3795" w:type="dxa"/>
            <w:shd w:val="clear" w:color="auto" w:fill="auto"/>
          </w:tcPr>
          <w:p w:rsidR="00570534" w:rsidRPr="003006D9" w:rsidRDefault="00570534" w:rsidP="00E829C0">
            <w:pPr>
              <w:spacing w:line="276" w:lineRule="auto"/>
              <w:ind w:left="285" w:right="34"/>
              <w:jc w:val="right"/>
              <w:rPr>
                <w:rFonts w:cs="Arial"/>
                <w:i/>
                <w:lang w:val="es-CO"/>
              </w:rPr>
            </w:pPr>
            <w:r w:rsidRPr="003006D9">
              <w:rPr>
                <w:rFonts w:cs="Arial"/>
                <w:i/>
                <w:lang w:val="es-CO"/>
              </w:rPr>
              <w:t>X</w:t>
            </w:r>
          </w:p>
        </w:tc>
      </w:tr>
      <w:tr w:rsidR="00570534" w:rsidRPr="003006D9" w:rsidTr="002F5F8F">
        <w:tc>
          <w:tcPr>
            <w:tcW w:w="3718" w:type="dxa"/>
            <w:shd w:val="clear" w:color="auto" w:fill="auto"/>
          </w:tcPr>
          <w:p w:rsidR="00570534" w:rsidRPr="003006D9" w:rsidRDefault="007036B8" w:rsidP="007036B8">
            <w:pPr>
              <w:tabs>
                <w:tab w:val="left" w:pos="3294"/>
              </w:tabs>
              <w:spacing w:line="276" w:lineRule="auto"/>
              <w:ind w:left="176" w:right="208"/>
              <w:rPr>
                <w:rFonts w:cs="Arial"/>
                <w:i/>
                <w:lang w:val="es-CO"/>
              </w:rPr>
            </w:pPr>
            <w:r w:rsidRPr="003006D9">
              <w:rPr>
                <w:rFonts w:cs="Arial"/>
                <w:i/>
                <w:lang w:val="es-CO"/>
              </w:rPr>
              <w:t>“</w:t>
            </w:r>
            <w:r w:rsidR="00570534" w:rsidRPr="003006D9">
              <w:rPr>
                <w:rFonts w:cs="Arial"/>
                <w:i/>
                <w:lang w:val="es-CO"/>
              </w:rPr>
              <w:t>Observaciones</w:t>
            </w:r>
          </w:p>
        </w:tc>
        <w:tc>
          <w:tcPr>
            <w:tcW w:w="3795" w:type="dxa"/>
            <w:shd w:val="clear" w:color="auto" w:fill="auto"/>
          </w:tcPr>
          <w:p w:rsidR="00570534" w:rsidRPr="003006D9" w:rsidRDefault="00570534" w:rsidP="007036B8">
            <w:pPr>
              <w:spacing w:line="276" w:lineRule="auto"/>
              <w:ind w:left="143" w:right="34"/>
              <w:rPr>
                <w:rFonts w:cs="Arial"/>
                <w:i/>
                <w:lang w:val="es-CO"/>
              </w:rPr>
            </w:pPr>
            <w:r w:rsidRPr="003006D9">
              <w:rPr>
                <w:rFonts w:cs="Arial"/>
                <w:i/>
                <w:lang w:val="es-CO"/>
              </w:rPr>
              <w:t>Banco de Germoplasma de 42,27 Hectáreas aproximadamente</w:t>
            </w:r>
            <w:r w:rsidR="007036B8" w:rsidRPr="003006D9">
              <w:rPr>
                <w:rFonts w:cs="Arial"/>
                <w:i/>
                <w:lang w:val="es-CO"/>
              </w:rPr>
              <w:t>”.</w:t>
            </w:r>
          </w:p>
        </w:tc>
      </w:tr>
    </w:tbl>
    <w:p w:rsidR="00570534" w:rsidRPr="003006D9" w:rsidRDefault="00570534" w:rsidP="008C039F">
      <w:pPr>
        <w:spacing w:line="276" w:lineRule="auto"/>
        <w:ind w:left="567" w:right="708"/>
        <w:rPr>
          <w:rFonts w:cs="Arial"/>
          <w:i/>
          <w:lang w:val="es-CO"/>
        </w:rPr>
      </w:pPr>
    </w:p>
    <w:p w:rsidR="00570534" w:rsidRPr="003006D9" w:rsidRDefault="0021031B" w:rsidP="00570534">
      <w:pPr>
        <w:rPr>
          <w:rFonts w:cs="Arial"/>
          <w:lang w:val="es-CO"/>
        </w:rPr>
      </w:pPr>
      <w:r w:rsidRPr="003006D9">
        <w:rPr>
          <w:rFonts w:cs="Arial"/>
          <w:lang w:val="es-CO"/>
        </w:rPr>
        <w:t>No obstante</w:t>
      </w:r>
      <w:r w:rsidR="00570534" w:rsidRPr="003006D9">
        <w:rPr>
          <w:rFonts w:cs="Arial"/>
          <w:lang w:val="es-CO"/>
        </w:rPr>
        <w:t>, en el respectivo estudio, en el acápite del valor estimado de venta se presenta</w:t>
      </w:r>
      <w:r w:rsidRPr="003006D9">
        <w:rPr>
          <w:rFonts w:cs="Arial"/>
          <w:lang w:val="es-CO"/>
        </w:rPr>
        <w:t>ron</w:t>
      </w:r>
      <w:r w:rsidR="00570534" w:rsidRPr="003006D9">
        <w:rPr>
          <w:rFonts w:cs="Arial"/>
          <w:lang w:val="es-CO"/>
        </w:rPr>
        <w:t xml:space="preserve"> las siguientes cifras, que </w:t>
      </w:r>
      <w:r w:rsidR="003222AA" w:rsidRPr="003006D9">
        <w:rPr>
          <w:rFonts w:cs="Arial"/>
          <w:lang w:val="es-CO"/>
        </w:rPr>
        <w:t xml:space="preserve">evidencian la </w:t>
      </w:r>
      <w:r w:rsidR="00570534" w:rsidRPr="003006D9">
        <w:rPr>
          <w:rFonts w:cs="Arial"/>
          <w:lang w:val="es-CO"/>
        </w:rPr>
        <w:t>confusión</w:t>
      </w:r>
      <w:r w:rsidR="00C37164" w:rsidRPr="003006D9">
        <w:rPr>
          <w:rFonts w:cs="Arial"/>
          <w:lang w:val="es-CO"/>
        </w:rPr>
        <w:t>,</w:t>
      </w:r>
      <w:r w:rsidR="00570534" w:rsidRPr="003006D9">
        <w:rPr>
          <w:rFonts w:cs="Arial"/>
          <w:lang w:val="es-CO"/>
        </w:rPr>
        <w:t xml:space="preserve"> </w:t>
      </w:r>
      <w:r w:rsidR="00C37164" w:rsidRPr="003006D9">
        <w:rPr>
          <w:rFonts w:cs="Arial"/>
          <w:lang w:val="es-CO"/>
        </w:rPr>
        <w:t xml:space="preserve">adicional a la citada en los antecedentes, </w:t>
      </w:r>
      <w:r w:rsidR="00570534" w:rsidRPr="003006D9">
        <w:rPr>
          <w:rFonts w:cs="Arial"/>
          <w:lang w:val="es-CO"/>
        </w:rPr>
        <w:t xml:space="preserve">sobre el precio mínimo de venta. En esos estudios se lee: </w:t>
      </w:r>
    </w:p>
    <w:p w:rsidR="00517825" w:rsidRPr="003006D9" w:rsidRDefault="00517825" w:rsidP="00570534">
      <w:pPr>
        <w:rPr>
          <w:rFonts w:cs="Arial"/>
          <w:lang w:val="es-CO"/>
        </w:rPr>
      </w:pPr>
    </w:p>
    <w:p w:rsidR="00570534" w:rsidRPr="003006D9" w:rsidRDefault="00570534" w:rsidP="006B43A9">
      <w:pPr>
        <w:spacing w:line="276" w:lineRule="auto"/>
        <w:ind w:left="567" w:right="708"/>
        <w:rPr>
          <w:rFonts w:cs="Arial"/>
          <w:i/>
          <w:lang w:val="es-CO"/>
        </w:rPr>
      </w:pPr>
      <w:r w:rsidRPr="003006D9">
        <w:rPr>
          <w:rFonts w:cs="Arial"/>
          <w:i/>
          <w:lang w:val="es-CO"/>
        </w:rPr>
        <w:t xml:space="preserve">“El precio mínimo de venta PMV del inmueble asciende a </w:t>
      </w:r>
      <w:r w:rsidRPr="003006D9">
        <w:rPr>
          <w:rFonts w:cs="Arial"/>
          <w:b/>
          <w:i/>
          <w:lang w:val="es-CO"/>
        </w:rPr>
        <w:t>$2.699’810.000.</w:t>
      </w:r>
    </w:p>
    <w:p w:rsidR="00517825" w:rsidRPr="003006D9" w:rsidRDefault="00517825" w:rsidP="006B43A9">
      <w:pPr>
        <w:spacing w:line="276" w:lineRule="auto"/>
        <w:ind w:left="567" w:right="708"/>
        <w:rPr>
          <w:rFonts w:cs="Arial"/>
          <w:i/>
          <w:lang w:val="es-CO"/>
        </w:rPr>
      </w:pPr>
    </w:p>
    <w:p w:rsidR="00570534" w:rsidRPr="003006D9" w:rsidRDefault="00570534" w:rsidP="006B43A9">
      <w:pPr>
        <w:spacing w:line="276" w:lineRule="auto"/>
        <w:ind w:left="567" w:right="708"/>
        <w:rPr>
          <w:rFonts w:cs="Arial"/>
          <w:i/>
          <w:lang w:val="es-CO"/>
        </w:rPr>
      </w:pPr>
      <w:r w:rsidRPr="003006D9">
        <w:rPr>
          <w:rFonts w:cs="Arial"/>
          <w:i/>
          <w:lang w:val="es-CO"/>
        </w:rPr>
        <w:t>“RAZONES DEL VALOR ESTIMADO:</w:t>
      </w:r>
    </w:p>
    <w:p w:rsidR="008C039F" w:rsidRPr="003006D9" w:rsidRDefault="008C039F" w:rsidP="006B43A9">
      <w:pPr>
        <w:spacing w:line="276" w:lineRule="auto"/>
        <w:ind w:left="567" w:right="708"/>
        <w:rPr>
          <w:rFonts w:cs="Arial"/>
          <w:i/>
          <w:lang w:val="es-CO"/>
        </w:rPr>
      </w:pPr>
    </w:p>
    <w:p w:rsidR="00570534" w:rsidRPr="003006D9" w:rsidRDefault="00087EFC" w:rsidP="006B43A9">
      <w:pPr>
        <w:spacing w:line="276" w:lineRule="auto"/>
        <w:ind w:left="567" w:right="708"/>
        <w:rPr>
          <w:rFonts w:cs="Arial"/>
          <w:lang w:val="es-CO"/>
        </w:rPr>
      </w:pPr>
      <w:r w:rsidRPr="003006D9">
        <w:rPr>
          <w:rFonts w:cs="Arial"/>
          <w:i/>
          <w:lang w:val="es-CO"/>
        </w:rPr>
        <w:t>“</w:t>
      </w:r>
      <w:r w:rsidR="00570534" w:rsidRPr="003006D9">
        <w:rPr>
          <w:rFonts w:cs="Arial"/>
          <w:i/>
          <w:lang w:val="es-CO"/>
        </w:rPr>
        <w:t xml:space="preserve">El Precio mínimo de venta es el </w:t>
      </w:r>
      <w:r w:rsidR="00570534" w:rsidRPr="003006D9">
        <w:rPr>
          <w:rFonts w:cs="Arial"/>
          <w:b/>
          <w:i/>
          <w:lang w:val="es-CO"/>
        </w:rPr>
        <w:t>valor del avalúo del inmueble</w:t>
      </w:r>
      <w:r w:rsidR="00570534" w:rsidRPr="003006D9">
        <w:rPr>
          <w:rFonts w:cs="Arial"/>
          <w:i/>
          <w:lang w:val="es-CO"/>
        </w:rPr>
        <w:t>”</w:t>
      </w:r>
      <w:r w:rsidR="00570534" w:rsidRPr="003006D9">
        <w:rPr>
          <w:rStyle w:val="Refdenotaalpie"/>
          <w:rFonts w:cs="Arial"/>
          <w:i/>
          <w:lang w:val="es-CO"/>
        </w:rPr>
        <w:footnoteReference w:id="35"/>
      </w:r>
      <w:r w:rsidR="00570534" w:rsidRPr="003006D9">
        <w:rPr>
          <w:rFonts w:cs="Arial"/>
          <w:i/>
          <w:lang w:val="es-CO"/>
        </w:rPr>
        <w:t xml:space="preserve">. </w:t>
      </w:r>
      <w:r w:rsidR="00570534" w:rsidRPr="003006D9">
        <w:rPr>
          <w:rFonts w:cs="Arial"/>
          <w:lang w:val="es-CO"/>
        </w:rPr>
        <w:t>[Se destaca en negrilla para resaltar la contradicción de los valores referidos en el estudio].</w:t>
      </w:r>
    </w:p>
    <w:p w:rsidR="00570534" w:rsidRPr="003006D9" w:rsidRDefault="00570534" w:rsidP="006B43A9">
      <w:pPr>
        <w:spacing w:line="276" w:lineRule="auto"/>
        <w:rPr>
          <w:rFonts w:cs="Arial"/>
          <w:lang w:val="es-CO"/>
        </w:rPr>
      </w:pPr>
    </w:p>
    <w:p w:rsidR="00570534" w:rsidRPr="003006D9" w:rsidRDefault="00570534" w:rsidP="00570534">
      <w:pPr>
        <w:rPr>
          <w:rFonts w:cs="Arial"/>
          <w:lang w:val="es-CO"/>
        </w:rPr>
      </w:pPr>
      <w:r w:rsidRPr="003006D9">
        <w:rPr>
          <w:rFonts w:cs="Arial"/>
          <w:lang w:val="es-CO"/>
        </w:rPr>
        <w:t xml:space="preserve">Los errores antedichos se </w:t>
      </w:r>
      <w:r w:rsidR="00E829C0" w:rsidRPr="003006D9">
        <w:rPr>
          <w:rFonts w:cs="Arial"/>
          <w:lang w:val="es-CO"/>
        </w:rPr>
        <w:t xml:space="preserve">repiten </w:t>
      </w:r>
      <w:r w:rsidRPr="003006D9">
        <w:rPr>
          <w:rFonts w:cs="Arial"/>
          <w:lang w:val="es-CO"/>
        </w:rPr>
        <w:t xml:space="preserve">en el documento titulado </w:t>
      </w:r>
      <w:r w:rsidR="00087EFC" w:rsidRPr="003006D9">
        <w:rPr>
          <w:rFonts w:cs="Arial"/>
          <w:i/>
          <w:lang w:val="es-CO"/>
        </w:rPr>
        <w:t>“</w:t>
      </w:r>
      <w:r w:rsidRPr="003006D9">
        <w:rPr>
          <w:rFonts w:cs="Arial"/>
          <w:i/>
          <w:lang w:val="es-CO"/>
        </w:rPr>
        <w:t>Borrador del Pliego de Condiciones GC-SA-01-18-2010</w:t>
      </w:r>
      <w:r w:rsidR="00087EFC" w:rsidRPr="003006D9">
        <w:rPr>
          <w:rFonts w:cs="Arial"/>
          <w:i/>
          <w:lang w:val="es-CO"/>
        </w:rPr>
        <w:t>”</w:t>
      </w:r>
      <w:r w:rsidRPr="003006D9">
        <w:rPr>
          <w:rFonts w:cs="Arial"/>
          <w:lang w:val="es-CO"/>
        </w:rPr>
        <w:t xml:space="preserve"> de junio de 2010, en cuyo anexo se encuentra la identificación del inmueble, así: </w:t>
      </w:r>
    </w:p>
    <w:p w:rsidR="008C039F" w:rsidRPr="003006D9" w:rsidRDefault="008C039F" w:rsidP="008C039F">
      <w:pPr>
        <w:spacing w:line="276" w:lineRule="auto"/>
        <w:rPr>
          <w:rFonts w:cs="Arial"/>
          <w:lang w:val="es-CO"/>
        </w:rPr>
      </w:pPr>
    </w:p>
    <w:p w:rsidR="00570534" w:rsidRPr="003006D9" w:rsidRDefault="00570534" w:rsidP="002273B0">
      <w:pPr>
        <w:spacing w:line="276" w:lineRule="auto"/>
        <w:ind w:left="567" w:right="902"/>
        <w:rPr>
          <w:rFonts w:cs="Arial"/>
          <w:i/>
          <w:lang w:val="es-CO"/>
        </w:rPr>
      </w:pPr>
      <w:r w:rsidRPr="003006D9">
        <w:rPr>
          <w:rFonts w:cs="Arial"/>
          <w:i/>
          <w:lang w:val="es-CO"/>
        </w:rPr>
        <w:t xml:space="preserve">“ANEXO 1 FICHA TÉCNICA DEL PREDIO EL MIRA </w:t>
      </w:r>
    </w:p>
    <w:p w:rsidR="00570534" w:rsidRPr="003006D9" w:rsidRDefault="00570534" w:rsidP="002273B0">
      <w:pPr>
        <w:spacing w:line="276" w:lineRule="auto"/>
        <w:ind w:left="567" w:right="902"/>
        <w:rPr>
          <w:rFonts w:cs="Arial"/>
          <w:i/>
          <w:lang w:val="es-CO"/>
        </w:rPr>
      </w:pPr>
      <w:r w:rsidRPr="003006D9">
        <w:rPr>
          <w:rFonts w:cs="Arial"/>
          <w:i/>
          <w:lang w:val="es-CO"/>
        </w:rPr>
        <w:t xml:space="preserve">“SUBASTA PÚBLICA ELECTRÓNICA </w:t>
      </w:r>
    </w:p>
    <w:p w:rsidR="00570534" w:rsidRPr="003006D9" w:rsidRDefault="00570534" w:rsidP="002273B0">
      <w:pPr>
        <w:spacing w:line="276" w:lineRule="auto"/>
        <w:ind w:left="567" w:right="902"/>
        <w:rPr>
          <w:rFonts w:cs="Arial"/>
          <w:i/>
          <w:lang w:val="es-CO"/>
        </w:rPr>
      </w:pPr>
      <w:r w:rsidRPr="003006D9">
        <w:rPr>
          <w:rFonts w:cs="Arial"/>
          <w:i/>
          <w:lang w:val="es-CO"/>
        </w:rPr>
        <w:t>“No. SG-SA- 01-18-2010</w:t>
      </w:r>
    </w:p>
    <w:p w:rsidR="008C039F" w:rsidRPr="003006D9" w:rsidRDefault="008C039F" w:rsidP="002273B0">
      <w:pPr>
        <w:spacing w:line="276" w:lineRule="auto"/>
        <w:ind w:left="567" w:right="902"/>
        <w:rPr>
          <w:rFonts w:cs="Arial"/>
          <w:i/>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3795"/>
      </w:tblGrid>
      <w:tr w:rsidR="00570534" w:rsidRPr="003006D9" w:rsidTr="002273B0">
        <w:tc>
          <w:tcPr>
            <w:tcW w:w="4393" w:type="dxa"/>
            <w:shd w:val="clear" w:color="auto" w:fill="auto"/>
          </w:tcPr>
          <w:p w:rsidR="00570534" w:rsidRPr="003006D9" w:rsidRDefault="00B71532" w:rsidP="002273B0">
            <w:pPr>
              <w:spacing w:line="276" w:lineRule="auto"/>
              <w:ind w:left="567" w:right="902"/>
              <w:rPr>
                <w:rFonts w:cs="Arial"/>
                <w:i/>
                <w:lang w:val="es-CO"/>
              </w:rPr>
            </w:pPr>
            <w:r w:rsidRPr="003006D9">
              <w:rPr>
                <w:rFonts w:cs="Arial"/>
                <w:i/>
                <w:lang w:val="es-CO"/>
              </w:rPr>
              <w:t>“</w:t>
            </w:r>
            <w:r w:rsidR="00570534" w:rsidRPr="003006D9">
              <w:rPr>
                <w:rFonts w:cs="Arial"/>
                <w:i/>
                <w:lang w:val="es-CO"/>
              </w:rPr>
              <w:t xml:space="preserve">VALOR DEL AVALUO </w:t>
            </w:r>
          </w:p>
        </w:tc>
        <w:tc>
          <w:tcPr>
            <w:tcW w:w="3795" w:type="dxa"/>
            <w:shd w:val="clear" w:color="auto" w:fill="auto"/>
          </w:tcPr>
          <w:p w:rsidR="00570534" w:rsidRPr="003006D9" w:rsidRDefault="00570534" w:rsidP="002273B0">
            <w:pPr>
              <w:spacing w:line="276" w:lineRule="auto"/>
              <w:ind w:left="567" w:right="902"/>
              <w:jc w:val="right"/>
              <w:rPr>
                <w:rFonts w:cs="Arial"/>
                <w:i/>
                <w:lang w:val="es-CO"/>
              </w:rPr>
            </w:pPr>
            <w:r w:rsidRPr="003006D9">
              <w:rPr>
                <w:rFonts w:cs="Arial"/>
                <w:i/>
                <w:lang w:val="es-CO"/>
              </w:rPr>
              <w:t>8.269´410.000</w:t>
            </w:r>
          </w:p>
        </w:tc>
      </w:tr>
      <w:tr w:rsidR="00570534" w:rsidRPr="003006D9" w:rsidTr="002273B0">
        <w:tc>
          <w:tcPr>
            <w:tcW w:w="4393" w:type="dxa"/>
            <w:shd w:val="clear" w:color="auto" w:fill="auto"/>
          </w:tcPr>
          <w:p w:rsidR="00570534" w:rsidRPr="003006D9" w:rsidRDefault="003A3B9D" w:rsidP="002273B0">
            <w:pPr>
              <w:spacing w:line="276" w:lineRule="auto"/>
              <w:ind w:left="567" w:right="902"/>
              <w:rPr>
                <w:rFonts w:cs="Arial"/>
                <w:i/>
                <w:lang w:val="es-CO"/>
              </w:rPr>
            </w:pPr>
            <w:r w:rsidRPr="003006D9">
              <w:rPr>
                <w:rFonts w:cs="Arial"/>
                <w:i/>
                <w:lang w:val="es-CO"/>
              </w:rPr>
              <w:t>“(…).</w:t>
            </w:r>
          </w:p>
        </w:tc>
        <w:tc>
          <w:tcPr>
            <w:tcW w:w="3795" w:type="dxa"/>
            <w:shd w:val="clear" w:color="auto" w:fill="auto"/>
          </w:tcPr>
          <w:p w:rsidR="00570534" w:rsidRPr="003006D9" w:rsidRDefault="00570534" w:rsidP="002273B0">
            <w:pPr>
              <w:spacing w:line="276" w:lineRule="auto"/>
              <w:ind w:left="567" w:right="902"/>
              <w:jc w:val="right"/>
              <w:rPr>
                <w:rFonts w:cs="Arial"/>
                <w:i/>
                <w:lang w:val="es-CO"/>
              </w:rPr>
            </w:pPr>
          </w:p>
        </w:tc>
      </w:tr>
      <w:tr w:rsidR="00570534" w:rsidRPr="003006D9" w:rsidTr="002273B0">
        <w:tc>
          <w:tcPr>
            <w:tcW w:w="4393" w:type="dxa"/>
            <w:shd w:val="clear" w:color="auto" w:fill="auto"/>
          </w:tcPr>
          <w:p w:rsidR="00570534" w:rsidRPr="003006D9" w:rsidRDefault="00B71532" w:rsidP="002273B0">
            <w:pPr>
              <w:spacing w:line="276" w:lineRule="auto"/>
              <w:ind w:left="567" w:right="902"/>
              <w:rPr>
                <w:rFonts w:cs="Arial"/>
                <w:i/>
                <w:lang w:val="es-CO"/>
              </w:rPr>
            </w:pPr>
            <w:r w:rsidRPr="003006D9">
              <w:rPr>
                <w:rFonts w:cs="Arial"/>
                <w:i/>
                <w:lang w:val="es-CO"/>
              </w:rPr>
              <w:lastRenderedPageBreak/>
              <w:t>“</w:t>
            </w:r>
            <w:r w:rsidR="00570534" w:rsidRPr="003006D9">
              <w:rPr>
                <w:rFonts w:cs="Arial"/>
                <w:i/>
                <w:lang w:val="es-CO"/>
              </w:rPr>
              <w:t>FECHA DEL AVALÚO</w:t>
            </w:r>
          </w:p>
        </w:tc>
        <w:tc>
          <w:tcPr>
            <w:tcW w:w="3795" w:type="dxa"/>
            <w:shd w:val="clear" w:color="auto" w:fill="auto"/>
          </w:tcPr>
          <w:p w:rsidR="00570534" w:rsidRPr="003006D9" w:rsidRDefault="00570534" w:rsidP="002273B0">
            <w:pPr>
              <w:spacing w:line="276" w:lineRule="auto"/>
              <w:ind w:left="143" w:right="175"/>
              <w:rPr>
                <w:rFonts w:cs="Arial"/>
                <w:i/>
                <w:lang w:val="es-CO"/>
              </w:rPr>
            </w:pPr>
            <w:r w:rsidRPr="003006D9">
              <w:rPr>
                <w:rFonts w:cs="Arial"/>
                <w:i/>
                <w:lang w:val="es-CO"/>
              </w:rPr>
              <w:t xml:space="preserve">Fuente documentación del ICA y avalúo comercial </w:t>
            </w:r>
            <w:r w:rsidRPr="003006D9">
              <w:rPr>
                <w:rFonts w:cs="Arial"/>
                <w:b/>
                <w:i/>
                <w:lang w:val="es-CO"/>
              </w:rPr>
              <w:t xml:space="preserve">de marzo de 2010 </w:t>
            </w:r>
            <w:r w:rsidRPr="003006D9">
              <w:rPr>
                <w:rFonts w:cs="Arial"/>
                <w:lang w:val="es-CO"/>
              </w:rPr>
              <w:t>[se destaca la inconsistencia en la fecha del avalúo]</w:t>
            </w:r>
          </w:p>
        </w:tc>
      </w:tr>
      <w:tr w:rsidR="00E829C0" w:rsidRPr="003006D9" w:rsidTr="002273B0">
        <w:tc>
          <w:tcPr>
            <w:tcW w:w="4393" w:type="dxa"/>
            <w:shd w:val="clear" w:color="auto" w:fill="auto"/>
          </w:tcPr>
          <w:p w:rsidR="00E829C0" w:rsidRPr="003006D9" w:rsidRDefault="00E829C0" w:rsidP="002273B0">
            <w:pPr>
              <w:spacing w:line="276" w:lineRule="auto"/>
              <w:ind w:left="567" w:right="902"/>
              <w:rPr>
                <w:rFonts w:cs="Arial"/>
                <w:i/>
                <w:lang w:val="es-CO"/>
              </w:rPr>
            </w:pPr>
            <w:r w:rsidRPr="003006D9">
              <w:rPr>
                <w:rFonts w:cs="Arial"/>
                <w:i/>
                <w:lang w:val="es-CO"/>
              </w:rPr>
              <w:t>“(…)</w:t>
            </w:r>
          </w:p>
        </w:tc>
        <w:tc>
          <w:tcPr>
            <w:tcW w:w="3795" w:type="dxa"/>
            <w:shd w:val="clear" w:color="auto" w:fill="auto"/>
          </w:tcPr>
          <w:p w:rsidR="00E829C0" w:rsidRPr="003006D9" w:rsidRDefault="00E829C0" w:rsidP="00BF258C">
            <w:pPr>
              <w:spacing w:line="276" w:lineRule="auto"/>
              <w:ind w:left="567" w:right="902"/>
              <w:jc w:val="right"/>
              <w:rPr>
                <w:rFonts w:cs="Arial"/>
                <w:i/>
                <w:lang w:val="es-CO"/>
              </w:rPr>
            </w:pPr>
          </w:p>
        </w:tc>
      </w:tr>
      <w:tr w:rsidR="00570534" w:rsidRPr="003006D9" w:rsidTr="002273B0">
        <w:tc>
          <w:tcPr>
            <w:tcW w:w="4393" w:type="dxa"/>
            <w:shd w:val="clear" w:color="auto" w:fill="auto"/>
          </w:tcPr>
          <w:p w:rsidR="00570534" w:rsidRPr="003006D9" w:rsidRDefault="00B71532" w:rsidP="002273B0">
            <w:pPr>
              <w:spacing w:line="276" w:lineRule="auto"/>
              <w:ind w:left="567" w:right="902"/>
              <w:rPr>
                <w:rFonts w:cs="Arial"/>
                <w:i/>
                <w:lang w:val="es-CO"/>
              </w:rPr>
            </w:pPr>
            <w:r w:rsidRPr="003006D9">
              <w:rPr>
                <w:rFonts w:cs="Arial"/>
                <w:i/>
                <w:lang w:val="es-CO"/>
              </w:rPr>
              <w:t>“</w:t>
            </w:r>
            <w:r w:rsidR="00570534" w:rsidRPr="003006D9">
              <w:rPr>
                <w:rFonts w:cs="Arial"/>
                <w:i/>
                <w:lang w:val="es-CO"/>
              </w:rPr>
              <w:t xml:space="preserve">PRECIO MÍNIMO DE VENTA </w:t>
            </w:r>
          </w:p>
        </w:tc>
        <w:tc>
          <w:tcPr>
            <w:tcW w:w="3795" w:type="dxa"/>
            <w:shd w:val="clear" w:color="auto" w:fill="auto"/>
          </w:tcPr>
          <w:p w:rsidR="00570534" w:rsidRPr="003006D9" w:rsidRDefault="00570534" w:rsidP="003A3B9D">
            <w:pPr>
              <w:spacing w:line="276" w:lineRule="auto"/>
              <w:ind w:left="567" w:right="175"/>
              <w:jc w:val="right"/>
              <w:rPr>
                <w:rFonts w:cs="Arial"/>
                <w:i/>
                <w:lang w:val="es-CO"/>
              </w:rPr>
            </w:pPr>
            <w:r w:rsidRPr="003006D9">
              <w:rPr>
                <w:rFonts w:cs="Arial"/>
                <w:i/>
                <w:lang w:val="es-CO"/>
              </w:rPr>
              <w:t>8.269.410.000</w:t>
            </w:r>
          </w:p>
        </w:tc>
      </w:tr>
      <w:tr w:rsidR="00570534" w:rsidRPr="003006D9" w:rsidTr="002273B0">
        <w:tc>
          <w:tcPr>
            <w:tcW w:w="4393" w:type="dxa"/>
            <w:shd w:val="clear" w:color="auto" w:fill="auto"/>
          </w:tcPr>
          <w:p w:rsidR="00570534" w:rsidRPr="003006D9" w:rsidRDefault="00B71532" w:rsidP="008C039F">
            <w:pPr>
              <w:spacing w:line="276" w:lineRule="auto"/>
              <w:ind w:left="567" w:right="708"/>
              <w:rPr>
                <w:rFonts w:cs="Arial"/>
                <w:i/>
                <w:lang w:val="es-CO"/>
              </w:rPr>
            </w:pPr>
            <w:r w:rsidRPr="003006D9">
              <w:rPr>
                <w:rFonts w:cs="Arial"/>
                <w:i/>
                <w:lang w:val="es-CO"/>
              </w:rPr>
              <w:t>“</w:t>
            </w:r>
            <w:r w:rsidR="00570534" w:rsidRPr="003006D9">
              <w:rPr>
                <w:rFonts w:cs="Arial"/>
                <w:i/>
                <w:lang w:val="es-CO"/>
              </w:rPr>
              <w:t>Activo saneado transferible</w:t>
            </w:r>
          </w:p>
        </w:tc>
        <w:tc>
          <w:tcPr>
            <w:tcW w:w="3795" w:type="dxa"/>
            <w:shd w:val="clear" w:color="auto" w:fill="auto"/>
          </w:tcPr>
          <w:p w:rsidR="00570534" w:rsidRPr="003006D9" w:rsidRDefault="00570534" w:rsidP="003A3B9D">
            <w:pPr>
              <w:spacing w:line="276" w:lineRule="auto"/>
              <w:ind w:left="567" w:right="175"/>
              <w:jc w:val="right"/>
              <w:rPr>
                <w:rFonts w:cs="Arial"/>
                <w:i/>
                <w:lang w:val="es-CO"/>
              </w:rPr>
            </w:pPr>
            <w:r w:rsidRPr="003006D9">
              <w:rPr>
                <w:rFonts w:cs="Arial"/>
                <w:i/>
                <w:lang w:val="es-CO"/>
              </w:rPr>
              <w:t>X</w:t>
            </w:r>
          </w:p>
        </w:tc>
      </w:tr>
      <w:tr w:rsidR="00570534" w:rsidRPr="003006D9" w:rsidTr="002273B0">
        <w:tc>
          <w:tcPr>
            <w:tcW w:w="4393" w:type="dxa"/>
            <w:shd w:val="clear" w:color="auto" w:fill="auto"/>
          </w:tcPr>
          <w:p w:rsidR="00570534" w:rsidRPr="003006D9" w:rsidRDefault="00B71532" w:rsidP="008C039F">
            <w:pPr>
              <w:spacing w:line="276" w:lineRule="auto"/>
              <w:ind w:left="567" w:right="708"/>
              <w:rPr>
                <w:rFonts w:cs="Arial"/>
                <w:i/>
                <w:lang w:val="es-CO"/>
              </w:rPr>
            </w:pPr>
            <w:r w:rsidRPr="003006D9">
              <w:rPr>
                <w:rFonts w:cs="Arial"/>
                <w:i/>
                <w:lang w:val="es-CO"/>
              </w:rPr>
              <w:t>“</w:t>
            </w:r>
            <w:r w:rsidR="00570534" w:rsidRPr="003006D9">
              <w:rPr>
                <w:rFonts w:cs="Arial"/>
                <w:i/>
                <w:lang w:val="es-CO"/>
              </w:rPr>
              <w:t>Observaciones</w:t>
            </w:r>
          </w:p>
        </w:tc>
        <w:tc>
          <w:tcPr>
            <w:tcW w:w="3795" w:type="dxa"/>
            <w:shd w:val="clear" w:color="auto" w:fill="auto"/>
          </w:tcPr>
          <w:p w:rsidR="00570534" w:rsidRPr="003006D9" w:rsidRDefault="00570534" w:rsidP="003A3B9D">
            <w:pPr>
              <w:spacing w:line="276" w:lineRule="auto"/>
              <w:ind w:left="567" w:right="175"/>
              <w:rPr>
                <w:rFonts w:cs="Arial"/>
                <w:i/>
                <w:lang w:val="es-CO"/>
              </w:rPr>
            </w:pPr>
            <w:r w:rsidRPr="003006D9">
              <w:rPr>
                <w:rFonts w:cs="Arial"/>
                <w:i/>
                <w:lang w:val="es-CO"/>
              </w:rPr>
              <w:t>Banco de Germoplasma de 42.27 hectáreas aproximadamente</w:t>
            </w:r>
            <w:r w:rsidR="00B71532" w:rsidRPr="003006D9">
              <w:rPr>
                <w:rFonts w:cs="Arial"/>
                <w:i/>
                <w:lang w:val="es-CO"/>
              </w:rPr>
              <w:t>”</w:t>
            </w:r>
            <w:r w:rsidRPr="003006D9">
              <w:rPr>
                <w:rStyle w:val="Refdenotaalpie"/>
                <w:rFonts w:cs="Arial"/>
                <w:i/>
                <w:lang w:val="es-CO"/>
              </w:rPr>
              <w:footnoteReference w:id="36"/>
            </w:r>
            <w:r w:rsidRPr="003006D9">
              <w:rPr>
                <w:rFonts w:cs="Arial"/>
                <w:i/>
                <w:lang w:val="es-CO"/>
              </w:rPr>
              <w:t>.</w:t>
            </w:r>
          </w:p>
        </w:tc>
      </w:tr>
    </w:tbl>
    <w:p w:rsidR="00570534" w:rsidRPr="003006D9" w:rsidRDefault="00570534" w:rsidP="00570534">
      <w:pPr>
        <w:rPr>
          <w:rFonts w:cs="Arial"/>
          <w:lang w:val="es-CO"/>
        </w:rPr>
      </w:pPr>
    </w:p>
    <w:p w:rsidR="00570534" w:rsidRPr="003006D9" w:rsidRDefault="00570534" w:rsidP="00570534">
      <w:pPr>
        <w:rPr>
          <w:rFonts w:cs="Arial"/>
          <w:lang w:val="es-CO"/>
        </w:rPr>
      </w:pPr>
      <w:r w:rsidRPr="003006D9">
        <w:rPr>
          <w:rFonts w:cs="Arial"/>
          <w:lang w:val="es-CO"/>
        </w:rPr>
        <w:t>Igualmente se encuentra probado que una vez cerrad</w:t>
      </w:r>
      <w:r w:rsidR="00517825" w:rsidRPr="003006D9">
        <w:rPr>
          <w:rFonts w:cs="Arial"/>
          <w:lang w:val="es-CO"/>
        </w:rPr>
        <w:t xml:space="preserve">o el plazo para presentar las propuestas, </w:t>
      </w:r>
      <w:r w:rsidRPr="003006D9">
        <w:rPr>
          <w:rFonts w:cs="Arial"/>
          <w:lang w:val="es-CO"/>
        </w:rPr>
        <w:t xml:space="preserve">mediante comunicación de julio 21 de 2010, dirigida por el </w:t>
      </w:r>
      <w:r w:rsidR="007915CC" w:rsidRPr="003006D9">
        <w:rPr>
          <w:rFonts w:cs="Arial"/>
          <w:lang w:val="es-CO"/>
        </w:rPr>
        <w:t xml:space="preserve">abogado </w:t>
      </w:r>
      <w:r w:rsidRPr="003006D9">
        <w:rPr>
          <w:rFonts w:cs="Arial"/>
          <w:lang w:val="es-CO"/>
        </w:rPr>
        <w:t xml:space="preserve">Héctor José García Santiago, </w:t>
      </w:r>
      <w:r w:rsidR="007915CC" w:rsidRPr="003006D9">
        <w:rPr>
          <w:rFonts w:cs="Arial"/>
          <w:lang w:val="es-CO"/>
        </w:rPr>
        <w:t xml:space="preserve">coordinador del grupo de gestión contractual </w:t>
      </w:r>
      <w:r w:rsidRPr="003006D9">
        <w:rPr>
          <w:rFonts w:cs="Arial"/>
          <w:lang w:val="es-CO"/>
        </w:rPr>
        <w:t xml:space="preserve">del ICA, al coordinador de avalúos de la Lonja de Propiedad Raíz de Nariño y Tumaco, se solicitó rectificar el valor del avalúo con la siguiente fundamentación: </w:t>
      </w:r>
    </w:p>
    <w:p w:rsidR="00517825" w:rsidRPr="003006D9" w:rsidRDefault="00517825" w:rsidP="00570534">
      <w:pPr>
        <w:ind w:left="567" w:right="708"/>
        <w:rPr>
          <w:rFonts w:cs="Arial"/>
          <w:i/>
          <w:lang w:val="es-CO"/>
        </w:rPr>
      </w:pPr>
    </w:p>
    <w:p w:rsidR="00570534" w:rsidRPr="003006D9" w:rsidRDefault="00570534" w:rsidP="0093240A">
      <w:pPr>
        <w:spacing w:line="276" w:lineRule="auto"/>
        <w:ind w:left="567" w:right="708"/>
        <w:rPr>
          <w:rFonts w:cs="Arial"/>
          <w:i/>
          <w:lang w:val="es-CO"/>
        </w:rPr>
      </w:pPr>
      <w:r w:rsidRPr="003006D9">
        <w:rPr>
          <w:rFonts w:cs="Arial"/>
          <w:i/>
          <w:lang w:val="es-CO"/>
        </w:rPr>
        <w:t>“Referencia: Solicitud de rectificación avalúo predio EL MIRA propiedad Instituto Colombiano Agropecuario</w:t>
      </w:r>
    </w:p>
    <w:p w:rsidR="00BF258C" w:rsidRPr="003006D9" w:rsidRDefault="00BF258C" w:rsidP="0093240A">
      <w:pPr>
        <w:spacing w:line="276" w:lineRule="auto"/>
        <w:ind w:left="567" w:right="708"/>
        <w:rPr>
          <w:rFonts w:cs="Arial"/>
          <w:i/>
          <w:lang w:val="es-CO"/>
        </w:rPr>
      </w:pPr>
    </w:p>
    <w:p w:rsidR="00570534" w:rsidRPr="003006D9" w:rsidRDefault="00570534" w:rsidP="003A3B9D">
      <w:pPr>
        <w:spacing w:line="276" w:lineRule="auto"/>
        <w:ind w:left="567" w:right="902"/>
        <w:rPr>
          <w:rFonts w:cs="Arial"/>
          <w:i/>
          <w:lang w:val="es-CO"/>
        </w:rPr>
      </w:pPr>
      <w:r w:rsidRPr="003006D9">
        <w:rPr>
          <w:rFonts w:cs="Arial"/>
          <w:i/>
          <w:lang w:val="es-CO"/>
        </w:rPr>
        <w:t>“Respetado Ingeniero:</w:t>
      </w:r>
    </w:p>
    <w:p w:rsidR="008C039F" w:rsidRPr="003006D9" w:rsidRDefault="008C039F" w:rsidP="003A3B9D">
      <w:pPr>
        <w:spacing w:line="276" w:lineRule="auto"/>
        <w:ind w:left="567" w:right="902"/>
        <w:rPr>
          <w:rFonts w:cs="Arial"/>
          <w:i/>
          <w:lang w:val="es-CO"/>
        </w:rPr>
      </w:pPr>
    </w:p>
    <w:p w:rsidR="00570534" w:rsidRPr="003006D9" w:rsidRDefault="00570534" w:rsidP="003A3B9D">
      <w:pPr>
        <w:spacing w:line="276" w:lineRule="auto"/>
        <w:ind w:left="567" w:right="902"/>
        <w:rPr>
          <w:rFonts w:cs="Arial"/>
          <w:i/>
          <w:lang w:val="es-CO"/>
        </w:rPr>
      </w:pPr>
      <w:r w:rsidRPr="003006D9">
        <w:rPr>
          <w:rFonts w:cs="Arial"/>
          <w:i/>
          <w:lang w:val="es-CO"/>
        </w:rPr>
        <w:t>“Con preocupación hemos visto que los proceso de enajenación de bienes inmuebles en particular el del predio MIRA no ha llegado a buen término, con ocasión de que el precio según informaciones verbales, está por encima de precios de mercado al no tenerse en cuenta el estado y edad de la palma en dicho predio.</w:t>
      </w:r>
    </w:p>
    <w:p w:rsidR="008C039F" w:rsidRPr="003006D9" w:rsidRDefault="008C039F" w:rsidP="003A3B9D">
      <w:pPr>
        <w:spacing w:line="276" w:lineRule="auto"/>
        <w:ind w:left="567" w:right="902"/>
        <w:rPr>
          <w:rFonts w:cs="Arial"/>
          <w:i/>
          <w:lang w:val="es-CO"/>
        </w:rPr>
      </w:pPr>
    </w:p>
    <w:p w:rsidR="00570534" w:rsidRPr="003006D9" w:rsidRDefault="00570534" w:rsidP="003A3B9D">
      <w:pPr>
        <w:spacing w:line="276" w:lineRule="auto"/>
        <w:ind w:left="567" w:right="902"/>
        <w:rPr>
          <w:rFonts w:cs="Arial"/>
          <w:i/>
          <w:lang w:val="es-CO"/>
        </w:rPr>
      </w:pPr>
      <w:r w:rsidRPr="003006D9">
        <w:rPr>
          <w:rFonts w:cs="Arial"/>
          <w:i/>
          <w:lang w:val="es-CO"/>
        </w:rPr>
        <w:t>“Por lo anterior, en virtud del contratos suscrito entre las partes, y teniendo en cuenta que se trata de una rectificación de un trabajo que ya se adelantó y que se quiere sea revisado, agradecemos toda su colaboración en el sentido de revisar el avalúo presentado y de ser el caso si el estudio así lo arroja, actualizar y corregir el mismo, según las condiciones del predio”</w:t>
      </w:r>
      <w:r w:rsidRPr="003006D9">
        <w:rPr>
          <w:rStyle w:val="Refdenotaalpie"/>
          <w:rFonts w:cs="Arial"/>
          <w:i/>
          <w:lang w:val="es-CO"/>
        </w:rPr>
        <w:footnoteReference w:id="37"/>
      </w:r>
      <w:r w:rsidRPr="003006D9">
        <w:rPr>
          <w:rFonts w:cs="Arial"/>
          <w:i/>
          <w:lang w:val="es-CO"/>
        </w:rPr>
        <w:t>.</w:t>
      </w:r>
    </w:p>
    <w:p w:rsidR="00517825" w:rsidRPr="003006D9" w:rsidRDefault="00517825" w:rsidP="00570534">
      <w:pPr>
        <w:ind w:right="-1"/>
        <w:rPr>
          <w:rFonts w:cs="Arial"/>
          <w:lang w:val="es-CO"/>
        </w:rPr>
      </w:pPr>
    </w:p>
    <w:p w:rsidR="00570534" w:rsidRPr="003006D9" w:rsidRDefault="00570534" w:rsidP="00570534">
      <w:pPr>
        <w:ind w:right="-1"/>
        <w:rPr>
          <w:rFonts w:cs="Arial"/>
          <w:lang w:val="es-CO"/>
        </w:rPr>
      </w:pPr>
      <w:r w:rsidRPr="003006D9">
        <w:rPr>
          <w:rFonts w:cs="Arial"/>
          <w:lang w:val="es-CO"/>
        </w:rPr>
        <w:lastRenderedPageBreak/>
        <w:t xml:space="preserve">Esta comunicación fue recibida por la Lonja de </w:t>
      </w:r>
      <w:r w:rsidR="0093240A" w:rsidRPr="003006D9">
        <w:rPr>
          <w:rFonts w:cs="Arial"/>
          <w:lang w:val="es-CO"/>
        </w:rPr>
        <w:t>P</w:t>
      </w:r>
      <w:r w:rsidRPr="003006D9">
        <w:rPr>
          <w:rFonts w:cs="Arial"/>
          <w:lang w:val="es-CO"/>
        </w:rPr>
        <w:t>ropiedad Raíz de Nariño y Putumayo el 23 de julio de 2010, de acuerdo con el sello impuesto en la copia autenticada, allegada al plenario</w:t>
      </w:r>
      <w:r w:rsidRPr="003006D9">
        <w:rPr>
          <w:rStyle w:val="Refdenotaalpie"/>
          <w:rFonts w:cs="Arial"/>
          <w:lang w:val="es-CO"/>
        </w:rPr>
        <w:footnoteReference w:id="38"/>
      </w:r>
      <w:r w:rsidRPr="003006D9">
        <w:rPr>
          <w:rFonts w:cs="Arial"/>
          <w:lang w:val="es-CO"/>
        </w:rPr>
        <w:t>.</w:t>
      </w:r>
    </w:p>
    <w:p w:rsidR="008C039F" w:rsidRPr="003006D9" w:rsidRDefault="008C039F" w:rsidP="00570534">
      <w:pPr>
        <w:rPr>
          <w:rFonts w:cs="Arial"/>
          <w:lang w:val="es-CO"/>
        </w:rPr>
      </w:pPr>
    </w:p>
    <w:p w:rsidR="00E00ADE" w:rsidRPr="003006D9" w:rsidRDefault="008C039F" w:rsidP="00570534">
      <w:pPr>
        <w:rPr>
          <w:rFonts w:cs="Arial"/>
          <w:lang w:val="es-CO"/>
        </w:rPr>
      </w:pPr>
      <w:r w:rsidRPr="003006D9">
        <w:rPr>
          <w:rFonts w:cs="Arial"/>
          <w:lang w:val="es-CO"/>
        </w:rPr>
        <w:t xml:space="preserve">Según se aprecia de las pruebas </w:t>
      </w:r>
      <w:r w:rsidR="0021031B" w:rsidRPr="003006D9">
        <w:rPr>
          <w:rFonts w:cs="Arial"/>
          <w:lang w:val="es-CO"/>
        </w:rPr>
        <w:t xml:space="preserve">referidas a la </w:t>
      </w:r>
      <w:r w:rsidR="00967697" w:rsidRPr="003006D9">
        <w:rPr>
          <w:rFonts w:cs="Arial"/>
          <w:lang w:val="es-CO"/>
        </w:rPr>
        <w:t>selección abreviada GC-SA-01-18-2010</w:t>
      </w:r>
      <w:r w:rsidR="00BF258C" w:rsidRPr="003006D9">
        <w:rPr>
          <w:rFonts w:cs="Arial"/>
          <w:lang w:val="es-CO"/>
        </w:rPr>
        <w:t>,</w:t>
      </w:r>
      <w:r w:rsidR="006B43A9" w:rsidRPr="003006D9">
        <w:rPr>
          <w:rFonts w:cs="Arial"/>
          <w:lang w:val="es-CO"/>
        </w:rPr>
        <w:t xml:space="preserve"> </w:t>
      </w:r>
      <w:r w:rsidR="0021031B" w:rsidRPr="003006D9">
        <w:rPr>
          <w:rFonts w:cs="Arial"/>
          <w:lang w:val="es-CO"/>
        </w:rPr>
        <w:t xml:space="preserve">el procedimiento </w:t>
      </w:r>
      <w:r w:rsidR="00E00ADE" w:rsidRPr="003006D9">
        <w:rPr>
          <w:rFonts w:cs="Arial"/>
          <w:lang w:val="es-CO"/>
        </w:rPr>
        <w:t xml:space="preserve">no siguió su curso y no culminó con acto alguno. </w:t>
      </w:r>
    </w:p>
    <w:p w:rsidR="008C039F" w:rsidRPr="003006D9" w:rsidRDefault="008C039F" w:rsidP="00570534">
      <w:pPr>
        <w:rPr>
          <w:rFonts w:cs="Arial"/>
          <w:lang w:val="es-CO"/>
        </w:rPr>
      </w:pPr>
    </w:p>
    <w:p w:rsidR="00570534" w:rsidRPr="003006D9" w:rsidRDefault="003926D5" w:rsidP="00570534">
      <w:pPr>
        <w:rPr>
          <w:rFonts w:cs="Arial"/>
          <w:b/>
          <w:lang w:val="es-CO"/>
        </w:rPr>
      </w:pPr>
      <w:r w:rsidRPr="003006D9">
        <w:rPr>
          <w:rFonts w:cs="Arial"/>
          <w:b/>
          <w:lang w:val="es-CO"/>
        </w:rPr>
        <w:t>5</w:t>
      </w:r>
      <w:r w:rsidR="007915CC" w:rsidRPr="003006D9">
        <w:rPr>
          <w:rFonts w:cs="Arial"/>
          <w:b/>
          <w:lang w:val="es-CO"/>
        </w:rPr>
        <w:t xml:space="preserve">.2. </w:t>
      </w:r>
      <w:r w:rsidR="00570534" w:rsidRPr="003006D9">
        <w:rPr>
          <w:rFonts w:cs="Arial"/>
          <w:b/>
          <w:lang w:val="es-CO"/>
        </w:rPr>
        <w:t>Segundo proce</w:t>
      </w:r>
      <w:r w:rsidR="00381D67" w:rsidRPr="003006D9">
        <w:rPr>
          <w:rFonts w:cs="Arial"/>
          <w:b/>
          <w:lang w:val="es-CO"/>
        </w:rPr>
        <w:t xml:space="preserve">dimiento </w:t>
      </w:r>
      <w:r w:rsidR="00570534" w:rsidRPr="003006D9">
        <w:rPr>
          <w:rFonts w:cs="Arial"/>
          <w:b/>
          <w:lang w:val="es-CO"/>
        </w:rPr>
        <w:t xml:space="preserve">de selección </w:t>
      </w:r>
      <w:r w:rsidR="00517825" w:rsidRPr="003006D9">
        <w:rPr>
          <w:rFonts w:cs="Arial"/>
          <w:b/>
          <w:lang w:val="es-CO"/>
        </w:rPr>
        <w:t>abreviada GC-SA-01-31-2010</w:t>
      </w:r>
    </w:p>
    <w:p w:rsidR="00381D67" w:rsidRPr="003006D9" w:rsidRDefault="00381D67" w:rsidP="00570534">
      <w:pPr>
        <w:rPr>
          <w:rFonts w:cs="Arial"/>
          <w:lang w:val="es-CO"/>
        </w:rPr>
      </w:pPr>
    </w:p>
    <w:p w:rsidR="00570534" w:rsidRPr="003006D9" w:rsidRDefault="00570534" w:rsidP="00570534">
      <w:pPr>
        <w:rPr>
          <w:rFonts w:cs="Arial"/>
          <w:lang w:val="es-CO"/>
        </w:rPr>
      </w:pPr>
      <w:r w:rsidRPr="003006D9">
        <w:rPr>
          <w:rFonts w:cs="Arial"/>
          <w:lang w:val="es-CO"/>
        </w:rPr>
        <w:t xml:space="preserve">En el borrador del </w:t>
      </w:r>
      <w:r w:rsidR="00087EFC" w:rsidRPr="003006D9">
        <w:rPr>
          <w:rFonts w:cs="Arial"/>
          <w:lang w:val="es-CO"/>
        </w:rPr>
        <w:t>pliego de condiciones</w:t>
      </w:r>
      <w:r w:rsidRPr="003006D9">
        <w:rPr>
          <w:rFonts w:cs="Arial"/>
          <w:lang w:val="es-CO"/>
        </w:rPr>
        <w:t>, correspondiente al proceso de selección abreviada modalidad subasta pública electrónica GC-SA-01-31-2010 de julio de 2010, el ICA mant</w:t>
      </w:r>
      <w:r w:rsidR="00BF258C" w:rsidRPr="003006D9">
        <w:rPr>
          <w:rFonts w:cs="Arial"/>
          <w:lang w:val="es-CO"/>
        </w:rPr>
        <w:t>uvo</w:t>
      </w:r>
      <w:r w:rsidRPr="003006D9">
        <w:rPr>
          <w:rFonts w:cs="Arial"/>
          <w:lang w:val="es-CO"/>
        </w:rPr>
        <w:t xml:space="preserve"> el valor de avalúo de abril de 2010, pero introdu</w:t>
      </w:r>
      <w:r w:rsidR="00BF258C" w:rsidRPr="003006D9">
        <w:rPr>
          <w:rFonts w:cs="Arial"/>
          <w:lang w:val="es-CO"/>
        </w:rPr>
        <w:t>jo</w:t>
      </w:r>
      <w:r w:rsidRPr="003006D9">
        <w:rPr>
          <w:rFonts w:cs="Arial"/>
          <w:lang w:val="es-CO"/>
        </w:rPr>
        <w:t xml:space="preserve"> un precio mínimo </w:t>
      </w:r>
      <w:r w:rsidR="005B2141" w:rsidRPr="003006D9">
        <w:rPr>
          <w:rFonts w:cs="Arial"/>
          <w:lang w:val="es-CO"/>
        </w:rPr>
        <w:t xml:space="preserve">de venta </w:t>
      </w:r>
      <w:r w:rsidRPr="003006D9">
        <w:rPr>
          <w:rFonts w:cs="Arial"/>
          <w:lang w:val="es-CO"/>
        </w:rPr>
        <w:t xml:space="preserve">inferior, argumentando, en ese borrador, la aplicación del Código de Procedimiento Civil, es decir que se aplicó el 70% al valor de avalúo, bajo la interpretación errónea de que el ICA podía reconsiderar el precio </w:t>
      </w:r>
      <w:r w:rsidR="00FF2212" w:rsidRPr="003006D9">
        <w:rPr>
          <w:rFonts w:cs="Arial"/>
          <w:lang w:val="es-CO"/>
        </w:rPr>
        <w:t xml:space="preserve">mínimo de venta </w:t>
      </w:r>
      <w:r w:rsidRPr="003006D9">
        <w:rPr>
          <w:rFonts w:cs="Arial"/>
          <w:lang w:val="es-CO"/>
        </w:rPr>
        <w:t xml:space="preserve">con base en las normas del remate judicial, así: </w:t>
      </w:r>
    </w:p>
    <w:p w:rsidR="00570534" w:rsidRPr="003006D9" w:rsidRDefault="00570534" w:rsidP="00570534">
      <w:pPr>
        <w:rPr>
          <w:rFonts w:cs="Arial"/>
          <w:lang w:val="es-CO"/>
        </w:rPr>
      </w:pPr>
    </w:p>
    <w:p w:rsidR="00570534" w:rsidRPr="003006D9" w:rsidRDefault="00570534" w:rsidP="00087EFC">
      <w:pPr>
        <w:spacing w:line="276" w:lineRule="auto"/>
        <w:ind w:left="567"/>
        <w:rPr>
          <w:rFonts w:cs="Arial"/>
          <w:i/>
          <w:lang w:val="es-CO"/>
        </w:rPr>
      </w:pPr>
      <w:r w:rsidRPr="003006D9">
        <w:rPr>
          <w:rFonts w:cs="Arial"/>
          <w:i/>
          <w:lang w:val="es-CO"/>
        </w:rPr>
        <w:t>“Anexo 1 ficha técnica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394"/>
      </w:tblGrid>
      <w:tr w:rsidR="00570534" w:rsidRPr="003006D9" w:rsidTr="00AF3312">
        <w:tc>
          <w:tcPr>
            <w:tcW w:w="3119" w:type="dxa"/>
            <w:shd w:val="clear" w:color="auto" w:fill="auto"/>
          </w:tcPr>
          <w:p w:rsidR="00570534" w:rsidRPr="003006D9" w:rsidRDefault="00087EFC" w:rsidP="00AF3312">
            <w:pPr>
              <w:spacing w:line="276" w:lineRule="auto"/>
              <w:ind w:left="34" w:hanging="34"/>
              <w:rPr>
                <w:rFonts w:cs="Arial"/>
                <w:i/>
                <w:lang w:val="es-CO"/>
              </w:rPr>
            </w:pPr>
            <w:r w:rsidRPr="003006D9">
              <w:rPr>
                <w:rFonts w:cs="Arial"/>
                <w:i/>
                <w:lang w:val="es-CO"/>
              </w:rPr>
              <w:t>“</w:t>
            </w:r>
            <w:r w:rsidR="00570534" w:rsidRPr="003006D9">
              <w:rPr>
                <w:rFonts w:cs="Arial"/>
                <w:i/>
                <w:lang w:val="es-CO"/>
              </w:rPr>
              <w:t>VALOR DE AVALÚO</w:t>
            </w:r>
          </w:p>
        </w:tc>
        <w:tc>
          <w:tcPr>
            <w:tcW w:w="4394" w:type="dxa"/>
            <w:shd w:val="clear" w:color="auto" w:fill="auto"/>
          </w:tcPr>
          <w:p w:rsidR="00570534" w:rsidRPr="003006D9" w:rsidRDefault="00570534" w:rsidP="004C5DEA">
            <w:pPr>
              <w:spacing w:line="276" w:lineRule="auto"/>
              <w:ind w:left="175" w:right="632"/>
              <w:rPr>
                <w:rFonts w:cs="Arial"/>
                <w:i/>
                <w:lang w:val="es-CO"/>
              </w:rPr>
            </w:pPr>
            <w:r w:rsidRPr="003006D9">
              <w:rPr>
                <w:rFonts w:cs="Arial"/>
                <w:i/>
                <w:lang w:val="es-CO"/>
              </w:rPr>
              <w:t>$8.269’410.000</w:t>
            </w:r>
          </w:p>
        </w:tc>
      </w:tr>
      <w:tr w:rsidR="00570534" w:rsidRPr="003006D9" w:rsidTr="00AF3312">
        <w:tc>
          <w:tcPr>
            <w:tcW w:w="3119" w:type="dxa"/>
            <w:shd w:val="clear" w:color="auto" w:fill="auto"/>
          </w:tcPr>
          <w:p w:rsidR="00570534" w:rsidRPr="003006D9" w:rsidRDefault="008C57C9" w:rsidP="00AF3312">
            <w:pPr>
              <w:spacing w:line="276" w:lineRule="auto"/>
              <w:ind w:left="34" w:hanging="34"/>
              <w:rPr>
                <w:rFonts w:cs="Arial"/>
                <w:i/>
                <w:lang w:val="es-CO"/>
              </w:rPr>
            </w:pPr>
            <w:r w:rsidRPr="003006D9">
              <w:rPr>
                <w:rFonts w:cs="Arial"/>
                <w:i/>
                <w:lang w:val="es-CO"/>
              </w:rPr>
              <w:t>“</w:t>
            </w:r>
            <w:r w:rsidR="00570534" w:rsidRPr="003006D9">
              <w:rPr>
                <w:rFonts w:cs="Arial"/>
                <w:i/>
                <w:lang w:val="es-CO"/>
              </w:rPr>
              <w:t>(…)</w:t>
            </w:r>
          </w:p>
        </w:tc>
        <w:tc>
          <w:tcPr>
            <w:tcW w:w="4394" w:type="dxa"/>
            <w:shd w:val="clear" w:color="auto" w:fill="auto"/>
          </w:tcPr>
          <w:p w:rsidR="00570534" w:rsidRPr="003006D9" w:rsidRDefault="00570534" w:rsidP="004C5DEA">
            <w:pPr>
              <w:spacing w:line="276" w:lineRule="auto"/>
              <w:ind w:left="175" w:right="632"/>
              <w:rPr>
                <w:rFonts w:cs="Arial"/>
                <w:i/>
                <w:lang w:val="es-CO"/>
              </w:rPr>
            </w:pPr>
          </w:p>
        </w:tc>
      </w:tr>
      <w:tr w:rsidR="00570534" w:rsidRPr="003006D9" w:rsidTr="00AF3312">
        <w:tc>
          <w:tcPr>
            <w:tcW w:w="3119" w:type="dxa"/>
            <w:shd w:val="clear" w:color="auto" w:fill="auto"/>
          </w:tcPr>
          <w:p w:rsidR="00570534" w:rsidRPr="003006D9" w:rsidRDefault="008C57C9" w:rsidP="00AF3312">
            <w:pPr>
              <w:spacing w:line="276" w:lineRule="auto"/>
              <w:ind w:left="34" w:hanging="34"/>
              <w:rPr>
                <w:rFonts w:cs="Arial"/>
                <w:i/>
                <w:lang w:val="es-CO"/>
              </w:rPr>
            </w:pPr>
            <w:r w:rsidRPr="003006D9">
              <w:rPr>
                <w:rFonts w:cs="Arial"/>
                <w:i/>
                <w:lang w:val="es-CO"/>
              </w:rPr>
              <w:t>“</w:t>
            </w:r>
            <w:r w:rsidR="00570534" w:rsidRPr="003006D9">
              <w:rPr>
                <w:rFonts w:cs="Arial"/>
                <w:i/>
                <w:lang w:val="es-CO"/>
              </w:rPr>
              <w:t>FECHA DEL AVALÚO</w:t>
            </w:r>
          </w:p>
        </w:tc>
        <w:tc>
          <w:tcPr>
            <w:tcW w:w="4394" w:type="dxa"/>
            <w:shd w:val="clear" w:color="auto" w:fill="auto"/>
          </w:tcPr>
          <w:p w:rsidR="00570534" w:rsidRPr="003006D9" w:rsidRDefault="00570534" w:rsidP="004C5DEA">
            <w:pPr>
              <w:spacing w:line="276" w:lineRule="auto"/>
              <w:ind w:left="175" w:right="34"/>
              <w:rPr>
                <w:rFonts w:cs="Arial"/>
                <w:i/>
                <w:lang w:val="es-CO"/>
              </w:rPr>
            </w:pPr>
            <w:r w:rsidRPr="003006D9">
              <w:rPr>
                <w:rFonts w:cs="Arial"/>
                <w:i/>
                <w:lang w:val="es-CO"/>
              </w:rPr>
              <w:t xml:space="preserve">Fuente documentación del ICA y avalúo comercial de marzo de 2010. </w:t>
            </w:r>
          </w:p>
        </w:tc>
      </w:tr>
      <w:tr w:rsidR="003A3B9D" w:rsidRPr="003006D9" w:rsidTr="00AF3312">
        <w:tc>
          <w:tcPr>
            <w:tcW w:w="3119" w:type="dxa"/>
            <w:shd w:val="clear" w:color="auto" w:fill="auto"/>
          </w:tcPr>
          <w:p w:rsidR="003A3B9D" w:rsidRPr="003006D9" w:rsidRDefault="003A3B9D" w:rsidP="00AF3312">
            <w:pPr>
              <w:spacing w:line="276" w:lineRule="auto"/>
              <w:ind w:left="34" w:hanging="34"/>
              <w:rPr>
                <w:rFonts w:cs="Arial"/>
                <w:i/>
                <w:lang w:val="es-CO"/>
              </w:rPr>
            </w:pPr>
            <w:r w:rsidRPr="003006D9">
              <w:rPr>
                <w:rFonts w:cs="Arial"/>
                <w:i/>
                <w:lang w:val="es-CO"/>
              </w:rPr>
              <w:t>“(…).</w:t>
            </w:r>
          </w:p>
        </w:tc>
        <w:tc>
          <w:tcPr>
            <w:tcW w:w="4394" w:type="dxa"/>
            <w:shd w:val="clear" w:color="auto" w:fill="auto"/>
          </w:tcPr>
          <w:p w:rsidR="003A3B9D" w:rsidRPr="003006D9" w:rsidRDefault="003A3B9D" w:rsidP="004C5DEA">
            <w:pPr>
              <w:spacing w:line="276" w:lineRule="auto"/>
              <w:ind w:left="175" w:right="34"/>
              <w:rPr>
                <w:rFonts w:cs="Arial"/>
                <w:i/>
                <w:lang w:val="es-CO"/>
              </w:rPr>
            </w:pPr>
          </w:p>
        </w:tc>
      </w:tr>
      <w:tr w:rsidR="00570534" w:rsidRPr="003006D9" w:rsidTr="00AF3312">
        <w:tc>
          <w:tcPr>
            <w:tcW w:w="3119" w:type="dxa"/>
            <w:shd w:val="clear" w:color="auto" w:fill="auto"/>
          </w:tcPr>
          <w:p w:rsidR="00570534" w:rsidRPr="003006D9" w:rsidRDefault="00087EFC" w:rsidP="00AF3312">
            <w:pPr>
              <w:spacing w:line="276" w:lineRule="auto"/>
              <w:ind w:left="34" w:hanging="34"/>
              <w:rPr>
                <w:rFonts w:cs="Arial"/>
                <w:i/>
                <w:lang w:val="es-CO"/>
              </w:rPr>
            </w:pPr>
            <w:r w:rsidRPr="003006D9">
              <w:rPr>
                <w:rFonts w:cs="Arial"/>
                <w:i/>
                <w:lang w:val="es-CO"/>
              </w:rPr>
              <w:t>“</w:t>
            </w:r>
            <w:r w:rsidR="00570534" w:rsidRPr="003006D9">
              <w:rPr>
                <w:rFonts w:cs="Arial"/>
                <w:i/>
                <w:lang w:val="es-CO"/>
              </w:rPr>
              <w:t>PRECIO MÍNIMO DE VENTA</w:t>
            </w:r>
          </w:p>
        </w:tc>
        <w:tc>
          <w:tcPr>
            <w:tcW w:w="4394" w:type="dxa"/>
            <w:shd w:val="clear" w:color="auto" w:fill="auto"/>
          </w:tcPr>
          <w:p w:rsidR="00570534" w:rsidRPr="003006D9" w:rsidRDefault="00570534" w:rsidP="004C5DEA">
            <w:pPr>
              <w:spacing w:line="276" w:lineRule="auto"/>
              <w:ind w:left="175" w:right="34"/>
              <w:rPr>
                <w:rFonts w:cs="Arial"/>
                <w:i/>
                <w:lang w:val="es-CO"/>
              </w:rPr>
            </w:pPr>
            <w:r w:rsidRPr="003006D9">
              <w:rPr>
                <w:rFonts w:cs="Arial"/>
                <w:i/>
                <w:lang w:val="es-CO"/>
              </w:rPr>
              <w:t>$5.788’587.000</w:t>
            </w:r>
          </w:p>
        </w:tc>
      </w:tr>
      <w:tr w:rsidR="00570534" w:rsidRPr="003006D9" w:rsidTr="00AF3312">
        <w:tc>
          <w:tcPr>
            <w:tcW w:w="3119" w:type="dxa"/>
            <w:shd w:val="clear" w:color="auto" w:fill="auto"/>
          </w:tcPr>
          <w:p w:rsidR="00570534" w:rsidRPr="003006D9" w:rsidRDefault="00570534" w:rsidP="00AF3312">
            <w:pPr>
              <w:spacing w:line="276" w:lineRule="auto"/>
              <w:ind w:left="34" w:hanging="34"/>
              <w:rPr>
                <w:rFonts w:cs="Arial"/>
                <w:i/>
                <w:lang w:val="es-CO"/>
              </w:rPr>
            </w:pPr>
          </w:p>
        </w:tc>
        <w:tc>
          <w:tcPr>
            <w:tcW w:w="4394" w:type="dxa"/>
            <w:shd w:val="clear" w:color="auto" w:fill="auto"/>
          </w:tcPr>
          <w:p w:rsidR="00570534" w:rsidRPr="003006D9" w:rsidRDefault="00570534" w:rsidP="004C5DEA">
            <w:pPr>
              <w:spacing w:line="276" w:lineRule="auto"/>
              <w:ind w:left="175" w:right="34"/>
              <w:rPr>
                <w:rFonts w:cs="Arial"/>
                <w:i/>
                <w:lang w:val="es-CO"/>
              </w:rPr>
            </w:pPr>
            <w:r w:rsidRPr="003006D9">
              <w:rPr>
                <w:rFonts w:cs="Arial"/>
                <w:b/>
                <w:i/>
                <w:lang w:val="es-CO"/>
              </w:rPr>
              <w:t>EL ICA RECONSIDERÓ EL PRECIO DE VENTA, SIGUIENDO LOS LINEAMINETOS DEL CAPITULO 4º REMATE DE BIENES Y PAGO AL ACREEDOR DEL CÓDIGO DE PROCEDIMIENTO CIVIL EN PARTICULAR LOS ARTÍCULOS 523 Y 533</w:t>
            </w:r>
            <w:r w:rsidRPr="003006D9">
              <w:rPr>
                <w:rStyle w:val="Refdenotaalpie"/>
                <w:rFonts w:cs="Arial"/>
                <w:i/>
                <w:lang w:val="es-CO"/>
              </w:rPr>
              <w:footnoteReference w:id="39"/>
            </w:r>
            <w:r w:rsidRPr="003006D9">
              <w:rPr>
                <w:rFonts w:cs="Arial"/>
                <w:i/>
                <w:lang w:val="es-CO"/>
              </w:rPr>
              <w:t>. (La negrilla no es del texto)</w:t>
            </w:r>
          </w:p>
        </w:tc>
      </w:tr>
      <w:tr w:rsidR="00570534" w:rsidRPr="003006D9" w:rsidTr="00AF3312">
        <w:tc>
          <w:tcPr>
            <w:tcW w:w="3119" w:type="dxa"/>
            <w:shd w:val="clear" w:color="auto" w:fill="auto"/>
          </w:tcPr>
          <w:p w:rsidR="00570534" w:rsidRPr="003006D9" w:rsidRDefault="00087EFC" w:rsidP="00AF3312">
            <w:pPr>
              <w:spacing w:line="276" w:lineRule="auto"/>
              <w:ind w:left="34" w:hanging="34"/>
              <w:rPr>
                <w:rFonts w:cs="Arial"/>
                <w:i/>
                <w:lang w:val="es-CO"/>
              </w:rPr>
            </w:pPr>
            <w:r w:rsidRPr="003006D9">
              <w:rPr>
                <w:rFonts w:cs="Arial"/>
                <w:i/>
                <w:lang w:val="es-CO"/>
              </w:rPr>
              <w:t>“</w:t>
            </w:r>
            <w:r w:rsidR="00570534" w:rsidRPr="003006D9">
              <w:rPr>
                <w:rFonts w:cs="Arial"/>
                <w:i/>
                <w:lang w:val="es-CO"/>
              </w:rPr>
              <w:t>ACTIVO SANEADO TRANSFERIBLE</w:t>
            </w:r>
          </w:p>
        </w:tc>
        <w:tc>
          <w:tcPr>
            <w:tcW w:w="4394" w:type="dxa"/>
            <w:shd w:val="clear" w:color="auto" w:fill="auto"/>
          </w:tcPr>
          <w:p w:rsidR="00570534" w:rsidRPr="003006D9" w:rsidRDefault="00570534" w:rsidP="003A3B9D">
            <w:pPr>
              <w:spacing w:line="276" w:lineRule="auto"/>
              <w:ind w:left="175" w:right="632"/>
              <w:jc w:val="right"/>
              <w:rPr>
                <w:rFonts w:cs="Arial"/>
                <w:i/>
                <w:lang w:val="es-CO"/>
              </w:rPr>
            </w:pPr>
            <w:r w:rsidRPr="003006D9">
              <w:rPr>
                <w:rFonts w:cs="Arial"/>
                <w:i/>
                <w:lang w:val="es-CO"/>
              </w:rPr>
              <w:t>X</w:t>
            </w:r>
          </w:p>
        </w:tc>
      </w:tr>
      <w:tr w:rsidR="00570534" w:rsidRPr="003006D9" w:rsidTr="00AF3312">
        <w:tc>
          <w:tcPr>
            <w:tcW w:w="3119" w:type="dxa"/>
            <w:shd w:val="clear" w:color="auto" w:fill="auto"/>
          </w:tcPr>
          <w:p w:rsidR="00570534" w:rsidRPr="003006D9" w:rsidRDefault="00087EFC" w:rsidP="00AF3312">
            <w:pPr>
              <w:spacing w:line="276" w:lineRule="auto"/>
              <w:ind w:left="34" w:hanging="34"/>
              <w:rPr>
                <w:rFonts w:cs="Arial"/>
                <w:i/>
                <w:lang w:val="es-CO"/>
              </w:rPr>
            </w:pPr>
            <w:r w:rsidRPr="003006D9">
              <w:rPr>
                <w:rFonts w:cs="Arial"/>
                <w:i/>
                <w:lang w:val="es-CO"/>
              </w:rPr>
              <w:t>“</w:t>
            </w:r>
            <w:r w:rsidR="00570534" w:rsidRPr="003006D9">
              <w:rPr>
                <w:rFonts w:cs="Arial"/>
                <w:i/>
                <w:lang w:val="es-CO"/>
              </w:rPr>
              <w:t>OBSERVACIONES</w:t>
            </w:r>
          </w:p>
        </w:tc>
        <w:tc>
          <w:tcPr>
            <w:tcW w:w="4394" w:type="dxa"/>
            <w:shd w:val="clear" w:color="auto" w:fill="auto"/>
          </w:tcPr>
          <w:p w:rsidR="00570534" w:rsidRPr="003006D9" w:rsidRDefault="00570534" w:rsidP="004C5DEA">
            <w:pPr>
              <w:tabs>
                <w:tab w:val="left" w:pos="4144"/>
              </w:tabs>
              <w:spacing w:line="276" w:lineRule="auto"/>
              <w:ind w:left="175" w:right="34"/>
              <w:rPr>
                <w:rFonts w:cs="Arial"/>
                <w:i/>
                <w:lang w:val="es-CO"/>
              </w:rPr>
            </w:pPr>
            <w:r w:rsidRPr="003006D9">
              <w:rPr>
                <w:rFonts w:cs="Arial"/>
                <w:i/>
                <w:lang w:val="es-CO"/>
              </w:rPr>
              <w:t>Banco de Germoplasma de 42,27 Hectáreas aproximadamente</w:t>
            </w:r>
            <w:r w:rsidR="00087EFC" w:rsidRPr="003006D9">
              <w:rPr>
                <w:rFonts w:cs="Arial"/>
                <w:i/>
                <w:lang w:val="es-CO"/>
              </w:rPr>
              <w:t>”</w:t>
            </w:r>
            <w:r w:rsidRPr="003006D9">
              <w:rPr>
                <w:rStyle w:val="Refdenotaalpie"/>
                <w:rFonts w:cs="Arial"/>
                <w:i/>
                <w:lang w:val="es-CO"/>
              </w:rPr>
              <w:footnoteReference w:id="40"/>
            </w:r>
            <w:r w:rsidR="00087EFC" w:rsidRPr="003006D9">
              <w:rPr>
                <w:rFonts w:cs="Arial"/>
                <w:i/>
                <w:lang w:val="es-CO"/>
              </w:rPr>
              <w:t>.</w:t>
            </w:r>
          </w:p>
        </w:tc>
      </w:tr>
    </w:tbl>
    <w:p w:rsidR="00570534" w:rsidRPr="003006D9" w:rsidRDefault="00570534" w:rsidP="00570534">
      <w:pPr>
        <w:rPr>
          <w:rFonts w:cs="Arial"/>
          <w:lang w:val="es-CO"/>
        </w:rPr>
      </w:pPr>
    </w:p>
    <w:p w:rsidR="00F45751" w:rsidRPr="003006D9" w:rsidRDefault="00570534" w:rsidP="00570534">
      <w:pPr>
        <w:ind w:right="-1"/>
        <w:rPr>
          <w:rFonts w:cs="Arial"/>
          <w:lang w:val="es-CO"/>
        </w:rPr>
      </w:pPr>
      <w:r w:rsidRPr="003006D9">
        <w:rPr>
          <w:rFonts w:cs="Arial"/>
          <w:lang w:val="es-CO"/>
        </w:rPr>
        <w:t>El dato del antedicho borrador se utilizó para el aviso de prensa</w:t>
      </w:r>
      <w:r w:rsidR="008C57C9" w:rsidRPr="003006D9">
        <w:rPr>
          <w:rFonts w:cs="Arial"/>
          <w:lang w:val="es-CO"/>
        </w:rPr>
        <w:t xml:space="preserve"> que se publicó para </w:t>
      </w:r>
      <w:r w:rsidR="00AF3312" w:rsidRPr="003006D9">
        <w:rPr>
          <w:rFonts w:cs="Arial"/>
          <w:lang w:val="es-CO"/>
        </w:rPr>
        <w:t xml:space="preserve">convocar al </w:t>
      </w:r>
      <w:r w:rsidRPr="003006D9">
        <w:rPr>
          <w:rFonts w:cs="Arial"/>
          <w:lang w:val="es-CO"/>
        </w:rPr>
        <w:t>procedimiento de selección abreviada GC-SA-01-031-2010</w:t>
      </w:r>
      <w:r w:rsidR="00F45751" w:rsidRPr="003006D9">
        <w:rPr>
          <w:rFonts w:cs="Arial"/>
          <w:lang w:val="es-CO"/>
        </w:rPr>
        <w:t>.</w:t>
      </w:r>
    </w:p>
    <w:p w:rsidR="00F45751" w:rsidRPr="003006D9" w:rsidRDefault="00F45751" w:rsidP="00570534">
      <w:pPr>
        <w:ind w:right="-1"/>
        <w:rPr>
          <w:rFonts w:cs="Arial"/>
          <w:lang w:val="es-CO"/>
        </w:rPr>
      </w:pPr>
    </w:p>
    <w:p w:rsidR="00570534" w:rsidRPr="003006D9" w:rsidRDefault="00F45751" w:rsidP="00570534">
      <w:pPr>
        <w:ind w:right="-1"/>
        <w:rPr>
          <w:rFonts w:cs="Arial"/>
          <w:lang w:val="es-CO"/>
        </w:rPr>
      </w:pPr>
      <w:r w:rsidRPr="003006D9">
        <w:rPr>
          <w:rFonts w:cs="Arial"/>
          <w:lang w:val="es-CO"/>
        </w:rPr>
        <w:t>D</w:t>
      </w:r>
      <w:r w:rsidR="0083025A" w:rsidRPr="003006D9">
        <w:rPr>
          <w:rFonts w:cs="Arial"/>
          <w:lang w:val="es-CO"/>
        </w:rPr>
        <w:t xml:space="preserve">e </w:t>
      </w:r>
      <w:r w:rsidR="00570534" w:rsidRPr="003006D9">
        <w:rPr>
          <w:rFonts w:cs="Arial"/>
          <w:lang w:val="es-CO"/>
        </w:rPr>
        <w:t xml:space="preserve">acuerdo con </w:t>
      </w:r>
      <w:r w:rsidR="0083025A" w:rsidRPr="003006D9">
        <w:rPr>
          <w:rFonts w:cs="Arial"/>
          <w:lang w:val="es-CO"/>
        </w:rPr>
        <w:t xml:space="preserve">el contenido del </w:t>
      </w:r>
      <w:r w:rsidR="003222AA" w:rsidRPr="003006D9">
        <w:rPr>
          <w:rFonts w:cs="Arial"/>
          <w:lang w:val="es-CO"/>
        </w:rPr>
        <w:t xml:space="preserve">citado </w:t>
      </w:r>
      <w:r w:rsidR="0083025A" w:rsidRPr="003006D9">
        <w:rPr>
          <w:rFonts w:cs="Arial"/>
          <w:lang w:val="es-CO"/>
        </w:rPr>
        <w:t>aviso</w:t>
      </w:r>
      <w:r w:rsidRPr="003006D9">
        <w:rPr>
          <w:rFonts w:cs="Arial"/>
          <w:lang w:val="es-CO"/>
        </w:rPr>
        <w:t>,</w:t>
      </w:r>
      <w:r w:rsidR="0083025A" w:rsidRPr="003006D9">
        <w:rPr>
          <w:rFonts w:cs="Arial"/>
          <w:lang w:val="es-CO"/>
        </w:rPr>
        <w:t xml:space="preserve"> la </w:t>
      </w:r>
      <w:r w:rsidR="003222AA" w:rsidRPr="003006D9">
        <w:rPr>
          <w:rFonts w:cs="Arial"/>
          <w:lang w:val="es-CO"/>
        </w:rPr>
        <w:t xml:space="preserve">respectiva </w:t>
      </w:r>
      <w:r w:rsidR="0083025A" w:rsidRPr="003006D9">
        <w:rPr>
          <w:rFonts w:cs="Arial"/>
          <w:lang w:val="es-CO"/>
        </w:rPr>
        <w:t xml:space="preserve">convocatoria </w:t>
      </w:r>
      <w:r w:rsidR="00570534" w:rsidRPr="003006D9">
        <w:rPr>
          <w:rFonts w:cs="Arial"/>
          <w:lang w:val="es-CO"/>
        </w:rPr>
        <w:t xml:space="preserve">se abrió el 2 de agosto de 2010 y se cerró el 6 de agosto de 2010. Allí se publicó como precio mínimo de venta </w:t>
      </w:r>
      <w:r w:rsidR="00C93B7A" w:rsidRPr="003006D9">
        <w:rPr>
          <w:rFonts w:cs="Arial"/>
          <w:lang w:val="es-CO"/>
        </w:rPr>
        <w:t xml:space="preserve">la suma de </w:t>
      </w:r>
      <w:r w:rsidR="00570534" w:rsidRPr="003006D9">
        <w:rPr>
          <w:rFonts w:cs="Arial"/>
          <w:lang w:val="es-CO"/>
        </w:rPr>
        <w:t>$5.788’587.000</w:t>
      </w:r>
      <w:r w:rsidR="00570534" w:rsidRPr="003006D9">
        <w:rPr>
          <w:rStyle w:val="Refdenotaalpie"/>
          <w:rFonts w:cs="Arial"/>
          <w:lang w:val="es-CO"/>
        </w:rPr>
        <w:footnoteReference w:id="41"/>
      </w:r>
      <w:r w:rsidR="00570534" w:rsidRPr="003006D9">
        <w:rPr>
          <w:rFonts w:cs="Arial"/>
          <w:lang w:val="es-CO"/>
        </w:rPr>
        <w:t>.</w:t>
      </w:r>
    </w:p>
    <w:p w:rsidR="00381D67" w:rsidRPr="003006D9" w:rsidRDefault="00381D67" w:rsidP="00570534">
      <w:pPr>
        <w:rPr>
          <w:rFonts w:cs="Arial"/>
          <w:i/>
          <w:lang w:val="es-CO"/>
        </w:rPr>
      </w:pPr>
    </w:p>
    <w:p w:rsidR="00570534" w:rsidRPr="003006D9" w:rsidRDefault="00570534" w:rsidP="00570534">
      <w:pPr>
        <w:rPr>
          <w:rFonts w:cs="Arial"/>
          <w:lang w:val="es-CO"/>
        </w:rPr>
      </w:pPr>
      <w:r w:rsidRPr="003006D9">
        <w:rPr>
          <w:rFonts w:cs="Arial"/>
          <w:i/>
          <w:lang w:val="es-CO"/>
        </w:rPr>
        <w:t>En la “MINUTA DE ESTUDIOS Y DOCUMENTOS PREVIOS</w:t>
      </w:r>
      <w:r w:rsidRPr="003006D9">
        <w:rPr>
          <w:rFonts w:cs="Arial"/>
          <w:lang w:val="es-CO"/>
        </w:rPr>
        <w:t>”</w:t>
      </w:r>
      <w:r w:rsidR="00381D67" w:rsidRPr="003006D9">
        <w:rPr>
          <w:rFonts w:cs="Arial"/>
          <w:lang w:val="es-CO"/>
        </w:rPr>
        <w:t xml:space="preserve"> del procedimiento de selección abreviada GC-SA-01-31-2010</w:t>
      </w:r>
      <w:r w:rsidRPr="003006D9">
        <w:rPr>
          <w:rFonts w:cs="Arial"/>
          <w:lang w:val="es-CO"/>
        </w:rPr>
        <w:t xml:space="preserve"> se mant</w:t>
      </w:r>
      <w:r w:rsidR="004C5DEA" w:rsidRPr="003006D9">
        <w:rPr>
          <w:rFonts w:cs="Arial"/>
          <w:lang w:val="es-CO"/>
        </w:rPr>
        <w:t xml:space="preserve">uvo </w:t>
      </w:r>
      <w:r w:rsidRPr="003006D9">
        <w:rPr>
          <w:rFonts w:cs="Arial"/>
          <w:lang w:val="es-CO"/>
        </w:rPr>
        <w:t xml:space="preserve">el error </w:t>
      </w:r>
      <w:r w:rsidR="003222AA" w:rsidRPr="003006D9">
        <w:rPr>
          <w:rFonts w:cs="Arial"/>
          <w:lang w:val="es-CO"/>
        </w:rPr>
        <w:t xml:space="preserve">cometido </w:t>
      </w:r>
      <w:r w:rsidR="004C5DEA" w:rsidRPr="003006D9">
        <w:rPr>
          <w:rFonts w:cs="Arial"/>
          <w:lang w:val="es-CO"/>
        </w:rPr>
        <w:t xml:space="preserve">en la cita </w:t>
      </w:r>
      <w:r w:rsidRPr="003006D9">
        <w:rPr>
          <w:rFonts w:cs="Arial"/>
          <w:lang w:val="es-CO"/>
        </w:rPr>
        <w:t>de la fecha del avalúo</w:t>
      </w:r>
      <w:r w:rsidR="003222AA" w:rsidRPr="003006D9">
        <w:rPr>
          <w:rFonts w:cs="Arial"/>
          <w:lang w:val="es-CO"/>
        </w:rPr>
        <w:t xml:space="preserve">. Por otra parte, </w:t>
      </w:r>
      <w:r w:rsidRPr="003006D9">
        <w:rPr>
          <w:rFonts w:cs="Arial"/>
          <w:lang w:val="es-CO"/>
        </w:rPr>
        <w:t>se incorpor</w:t>
      </w:r>
      <w:r w:rsidR="004C5DEA" w:rsidRPr="003006D9">
        <w:rPr>
          <w:rFonts w:cs="Arial"/>
          <w:lang w:val="es-CO"/>
        </w:rPr>
        <w:t>ó</w:t>
      </w:r>
      <w:r w:rsidRPr="003006D9">
        <w:rPr>
          <w:rFonts w:cs="Arial"/>
          <w:lang w:val="es-CO"/>
        </w:rPr>
        <w:t xml:space="preserve"> el nuevo precio mínimo de venta, citado en el referido documento, con fundamento en la aplicación del  Código de Procedimiento Civil</w:t>
      </w:r>
      <w:r w:rsidR="003222AA" w:rsidRPr="003006D9">
        <w:rPr>
          <w:rFonts w:cs="Arial"/>
          <w:lang w:val="es-CO"/>
        </w:rPr>
        <w:t>, así</w:t>
      </w:r>
      <w:r w:rsidRPr="003006D9">
        <w:rPr>
          <w:rFonts w:cs="Arial"/>
          <w:lang w:val="es-CO"/>
        </w:rPr>
        <w:t>:</w:t>
      </w:r>
    </w:p>
    <w:p w:rsidR="00570534" w:rsidRPr="003006D9" w:rsidRDefault="00570534" w:rsidP="008C57C9">
      <w:pPr>
        <w:spacing w:line="276" w:lineRule="auto"/>
        <w:rPr>
          <w:rFonts w:cs="Arial"/>
          <w:lang w:val="es-CO"/>
        </w:rPr>
      </w:pPr>
      <w:r w:rsidRPr="003006D9">
        <w:rPr>
          <w:rFonts w:cs="Arial"/>
          <w:lang w:val="es-CO"/>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3795"/>
      </w:tblGrid>
      <w:tr w:rsidR="00570534" w:rsidRPr="003006D9" w:rsidTr="0083025A">
        <w:tc>
          <w:tcPr>
            <w:tcW w:w="3718" w:type="dxa"/>
            <w:shd w:val="clear" w:color="auto" w:fill="auto"/>
          </w:tcPr>
          <w:p w:rsidR="00570534" w:rsidRPr="003006D9" w:rsidRDefault="008C57C9" w:rsidP="0083025A">
            <w:pPr>
              <w:spacing w:line="276" w:lineRule="auto"/>
              <w:ind w:firstLine="34"/>
              <w:rPr>
                <w:rFonts w:cs="Arial"/>
                <w:i/>
                <w:lang w:val="es-CO"/>
              </w:rPr>
            </w:pPr>
            <w:r w:rsidRPr="003006D9">
              <w:rPr>
                <w:rFonts w:cs="Arial"/>
                <w:i/>
                <w:lang w:val="es-CO"/>
              </w:rPr>
              <w:t>“</w:t>
            </w:r>
            <w:r w:rsidR="00570534" w:rsidRPr="003006D9">
              <w:rPr>
                <w:rFonts w:cs="Arial"/>
                <w:i/>
                <w:lang w:val="es-CO"/>
              </w:rPr>
              <w:t>FECHA DEL AVALÚO</w:t>
            </w:r>
          </w:p>
        </w:tc>
        <w:tc>
          <w:tcPr>
            <w:tcW w:w="3795" w:type="dxa"/>
            <w:shd w:val="clear" w:color="auto" w:fill="auto"/>
          </w:tcPr>
          <w:p w:rsidR="00570534" w:rsidRPr="003006D9" w:rsidRDefault="00570534" w:rsidP="004C5DEA">
            <w:pPr>
              <w:spacing w:line="276" w:lineRule="auto"/>
              <w:ind w:left="143" w:right="34"/>
              <w:rPr>
                <w:rFonts w:cs="Arial"/>
                <w:i/>
                <w:lang w:val="es-CO"/>
              </w:rPr>
            </w:pPr>
            <w:r w:rsidRPr="003006D9">
              <w:rPr>
                <w:rFonts w:cs="Arial"/>
                <w:i/>
                <w:lang w:val="es-CO"/>
              </w:rPr>
              <w:t xml:space="preserve">Fuente documentación del ICA y avalúo comercial de </w:t>
            </w:r>
            <w:r w:rsidRPr="003006D9">
              <w:rPr>
                <w:rFonts w:cs="Arial"/>
                <w:b/>
                <w:i/>
                <w:lang w:val="es-CO"/>
              </w:rPr>
              <w:t xml:space="preserve">marzo de 2010. </w:t>
            </w:r>
          </w:p>
        </w:tc>
      </w:tr>
      <w:tr w:rsidR="00C93B7A" w:rsidRPr="003006D9" w:rsidTr="0083025A">
        <w:tc>
          <w:tcPr>
            <w:tcW w:w="3718" w:type="dxa"/>
            <w:shd w:val="clear" w:color="auto" w:fill="auto"/>
          </w:tcPr>
          <w:p w:rsidR="00C93B7A" w:rsidRPr="003006D9" w:rsidRDefault="00C93B7A" w:rsidP="0083025A">
            <w:pPr>
              <w:spacing w:line="276" w:lineRule="auto"/>
              <w:ind w:firstLine="34"/>
              <w:rPr>
                <w:rFonts w:cs="Arial"/>
                <w:i/>
                <w:lang w:val="es-CO"/>
              </w:rPr>
            </w:pPr>
            <w:r w:rsidRPr="003006D9">
              <w:rPr>
                <w:rFonts w:cs="Arial"/>
                <w:i/>
                <w:lang w:val="es-CO"/>
              </w:rPr>
              <w:t>“(…).</w:t>
            </w:r>
          </w:p>
        </w:tc>
        <w:tc>
          <w:tcPr>
            <w:tcW w:w="3795" w:type="dxa"/>
            <w:shd w:val="clear" w:color="auto" w:fill="auto"/>
          </w:tcPr>
          <w:p w:rsidR="00C93B7A" w:rsidRPr="003006D9" w:rsidRDefault="00C93B7A" w:rsidP="00BE4D9E">
            <w:pPr>
              <w:tabs>
                <w:tab w:val="left" w:pos="3545"/>
              </w:tabs>
              <w:spacing w:line="276" w:lineRule="auto"/>
              <w:ind w:left="143" w:right="34"/>
              <w:jc w:val="right"/>
              <w:rPr>
                <w:rFonts w:cs="Arial"/>
                <w:i/>
                <w:lang w:val="es-CO"/>
              </w:rPr>
            </w:pPr>
          </w:p>
        </w:tc>
      </w:tr>
      <w:tr w:rsidR="00570534" w:rsidRPr="003006D9" w:rsidTr="0083025A">
        <w:tc>
          <w:tcPr>
            <w:tcW w:w="3718" w:type="dxa"/>
            <w:shd w:val="clear" w:color="auto" w:fill="auto"/>
          </w:tcPr>
          <w:p w:rsidR="00570534" w:rsidRPr="003006D9" w:rsidRDefault="008C57C9" w:rsidP="0083025A">
            <w:pPr>
              <w:spacing w:line="276" w:lineRule="auto"/>
              <w:ind w:firstLine="34"/>
              <w:rPr>
                <w:rFonts w:cs="Arial"/>
                <w:i/>
                <w:lang w:val="es-CO"/>
              </w:rPr>
            </w:pPr>
            <w:r w:rsidRPr="003006D9">
              <w:rPr>
                <w:rFonts w:cs="Arial"/>
                <w:i/>
                <w:lang w:val="es-CO"/>
              </w:rPr>
              <w:t>“</w:t>
            </w:r>
            <w:r w:rsidR="00570534" w:rsidRPr="003006D9">
              <w:rPr>
                <w:rFonts w:cs="Arial"/>
                <w:i/>
                <w:lang w:val="es-CO"/>
              </w:rPr>
              <w:t>PRECIO MÍNIMO DE VENTA</w:t>
            </w:r>
          </w:p>
        </w:tc>
        <w:tc>
          <w:tcPr>
            <w:tcW w:w="3795" w:type="dxa"/>
            <w:shd w:val="clear" w:color="auto" w:fill="auto"/>
          </w:tcPr>
          <w:p w:rsidR="00570534" w:rsidRPr="003006D9" w:rsidRDefault="00570534" w:rsidP="00BE4D9E">
            <w:pPr>
              <w:tabs>
                <w:tab w:val="left" w:pos="3545"/>
              </w:tabs>
              <w:spacing w:line="276" w:lineRule="auto"/>
              <w:ind w:left="143" w:right="34"/>
              <w:jc w:val="right"/>
              <w:rPr>
                <w:rFonts w:cs="Arial"/>
                <w:i/>
                <w:lang w:val="es-CO"/>
              </w:rPr>
            </w:pPr>
            <w:r w:rsidRPr="003006D9">
              <w:rPr>
                <w:rFonts w:cs="Arial"/>
                <w:i/>
                <w:lang w:val="es-CO"/>
              </w:rPr>
              <w:t>$5.788’587.000</w:t>
            </w:r>
          </w:p>
        </w:tc>
      </w:tr>
      <w:tr w:rsidR="00570534" w:rsidRPr="003006D9" w:rsidTr="0083025A">
        <w:tc>
          <w:tcPr>
            <w:tcW w:w="3718" w:type="dxa"/>
            <w:shd w:val="clear" w:color="auto" w:fill="auto"/>
          </w:tcPr>
          <w:p w:rsidR="00570534" w:rsidRPr="003006D9" w:rsidRDefault="00570534" w:rsidP="0083025A">
            <w:pPr>
              <w:spacing w:line="276" w:lineRule="auto"/>
              <w:ind w:firstLine="34"/>
              <w:rPr>
                <w:rFonts w:cs="Arial"/>
                <w:i/>
                <w:lang w:val="es-CO"/>
              </w:rPr>
            </w:pPr>
          </w:p>
        </w:tc>
        <w:tc>
          <w:tcPr>
            <w:tcW w:w="3795" w:type="dxa"/>
            <w:shd w:val="clear" w:color="auto" w:fill="auto"/>
          </w:tcPr>
          <w:p w:rsidR="00570534" w:rsidRPr="003006D9" w:rsidRDefault="00570534" w:rsidP="004C5DEA">
            <w:pPr>
              <w:spacing w:line="276" w:lineRule="auto"/>
              <w:ind w:left="143" w:right="34"/>
              <w:rPr>
                <w:rFonts w:cs="Arial"/>
                <w:i/>
                <w:lang w:val="es-CO"/>
              </w:rPr>
            </w:pPr>
            <w:r w:rsidRPr="003006D9">
              <w:rPr>
                <w:rFonts w:cs="Arial"/>
                <w:i/>
                <w:lang w:val="es-CO"/>
              </w:rPr>
              <w:t>EL ICA RECONSIDERÓ EL PRECIO DE VENTA, SIGUIENDO LOS LINEAMIENTOS DEL CAPITULO 4º REMATE DE BIENES Y PAGO AL ACREEDOR DEL CÓDIGO DE PTOCEDIMIENTO CIVIL EN PARTICULAR LOS ARTÍCULOS 523 Y 533</w:t>
            </w:r>
            <w:r w:rsidRPr="003006D9">
              <w:rPr>
                <w:rStyle w:val="Refdenotaalpie"/>
                <w:rFonts w:cs="Arial"/>
                <w:i/>
                <w:lang w:val="es-CO"/>
              </w:rPr>
              <w:footnoteReference w:id="42"/>
            </w:r>
            <w:r w:rsidRPr="003006D9">
              <w:rPr>
                <w:rFonts w:cs="Arial"/>
                <w:i/>
                <w:lang w:val="es-CO"/>
              </w:rPr>
              <w:t>.</w:t>
            </w:r>
          </w:p>
        </w:tc>
      </w:tr>
      <w:tr w:rsidR="00570534" w:rsidRPr="003006D9" w:rsidTr="0083025A">
        <w:tc>
          <w:tcPr>
            <w:tcW w:w="3718" w:type="dxa"/>
            <w:shd w:val="clear" w:color="auto" w:fill="auto"/>
          </w:tcPr>
          <w:p w:rsidR="00570534" w:rsidRPr="003006D9" w:rsidRDefault="008C57C9" w:rsidP="008C57C9">
            <w:pPr>
              <w:spacing w:line="276" w:lineRule="auto"/>
              <w:ind w:left="567"/>
              <w:rPr>
                <w:rFonts w:cs="Arial"/>
                <w:i/>
                <w:lang w:val="es-CO"/>
              </w:rPr>
            </w:pPr>
            <w:r w:rsidRPr="003006D9">
              <w:rPr>
                <w:rFonts w:cs="Arial"/>
                <w:i/>
                <w:lang w:val="es-CO"/>
              </w:rPr>
              <w:t>“</w:t>
            </w:r>
            <w:r w:rsidR="00570534" w:rsidRPr="003006D9">
              <w:rPr>
                <w:rFonts w:cs="Arial"/>
                <w:i/>
                <w:lang w:val="es-CO"/>
              </w:rPr>
              <w:t>ACTIVO SANEADO TRANSFERIBLE</w:t>
            </w:r>
          </w:p>
        </w:tc>
        <w:tc>
          <w:tcPr>
            <w:tcW w:w="3795" w:type="dxa"/>
            <w:shd w:val="clear" w:color="auto" w:fill="auto"/>
          </w:tcPr>
          <w:p w:rsidR="00570534" w:rsidRPr="003006D9" w:rsidRDefault="00570534" w:rsidP="00C93B7A">
            <w:pPr>
              <w:spacing w:line="276" w:lineRule="auto"/>
              <w:ind w:left="143" w:right="34"/>
              <w:jc w:val="right"/>
              <w:rPr>
                <w:rFonts w:cs="Arial"/>
                <w:i/>
                <w:lang w:val="es-CO"/>
              </w:rPr>
            </w:pPr>
            <w:r w:rsidRPr="003006D9">
              <w:rPr>
                <w:rFonts w:cs="Arial"/>
                <w:i/>
                <w:lang w:val="es-CO"/>
              </w:rPr>
              <w:t>X</w:t>
            </w:r>
          </w:p>
        </w:tc>
      </w:tr>
      <w:tr w:rsidR="00570534" w:rsidRPr="003006D9" w:rsidTr="0083025A">
        <w:tc>
          <w:tcPr>
            <w:tcW w:w="3718" w:type="dxa"/>
            <w:shd w:val="clear" w:color="auto" w:fill="auto"/>
          </w:tcPr>
          <w:p w:rsidR="00570534" w:rsidRPr="003006D9" w:rsidRDefault="008C57C9" w:rsidP="008C57C9">
            <w:pPr>
              <w:spacing w:line="276" w:lineRule="auto"/>
              <w:ind w:left="567"/>
              <w:rPr>
                <w:rFonts w:cs="Arial"/>
                <w:i/>
                <w:lang w:val="es-CO"/>
              </w:rPr>
            </w:pPr>
            <w:r w:rsidRPr="003006D9">
              <w:rPr>
                <w:rFonts w:cs="Arial"/>
                <w:i/>
                <w:lang w:val="es-CO"/>
              </w:rPr>
              <w:t>“</w:t>
            </w:r>
            <w:r w:rsidR="00570534" w:rsidRPr="003006D9">
              <w:rPr>
                <w:rFonts w:cs="Arial"/>
                <w:i/>
                <w:lang w:val="es-CO"/>
              </w:rPr>
              <w:t>OBSERVACIONES</w:t>
            </w:r>
          </w:p>
        </w:tc>
        <w:tc>
          <w:tcPr>
            <w:tcW w:w="3795" w:type="dxa"/>
            <w:shd w:val="clear" w:color="auto" w:fill="auto"/>
          </w:tcPr>
          <w:p w:rsidR="00570534" w:rsidRPr="003006D9" w:rsidRDefault="00570534" w:rsidP="00C93B7A">
            <w:pPr>
              <w:spacing w:line="276" w:lineRule="auto"/>
              <w:ind w:left="143" w:right="34"/>
              <w:rPr>
                <w:rFonts w:cs="Arial"/>
                <w:i/>
                <w:lang w:val="es-CO"/>
              </w:rPr>
            </w:pPr>
            <w:r w:rsidRPr="003006D9">
              <w:rPr>
                <w:rFonts w:cs="Arial"/>
                <w:i/>
                <w:lang w:val="es-CO"/>
              </w:rPr>
              <w:t>Banco de Germoplasma de 42,27 Hectáreas aproximadamente</w:t>
            </w:r>
          </w:p>
        </w:tc>
      </w:tr>
    </w:tbl>
    <w:p w:rsidR="00570534" w:rsidRPr="003006D9" w:rsidRDefault="00570534" w:rsidP="00570534">
      <w:pPr>
        <w:rPr>
          <w:rFonts w:cs="Arial"/>
          <w:lang w:val="es-CO"/>
        </w:rPr>
      </w:pPr>
    </w:p>
    <w:p w:rsidR="00570534" w:rsidRPr="003006D9" w:rsidRDefault="003222AA" w:rsidP="00570534">
      <w:pPr>
        <w:rPr>
          <w:rFonts w:cs="Arial"/>
          <w:lang w:val="es-CO"/>
        </w:rPr>
      </w:pPr>
      <w:r w:rsidRPr="003006D9">
        <w:rPr>
          <w:rFonts w:cs="Arial"/>
          <w:lang w:val="es-CO"/>
        </w:rPr>
        <w:t>E</w:t>
      </w:r>
      <w:r w:rsidR="00570534" w:rsidRPr="003006D9">
        <w:rPr>
          <w:rFonts w:cs="Arial"/>
          <w:lang w:val="es-CO"/>
        </w:rPr>
        <w:t xml:space="preserve">n los estudios previos </w:t>
      </w:r>
      <w:r w:rsidR="00381D67" w:rsidRPr="003006D9">
        <w:rPr>
          <w:rFonts w:cs="Arial"/>
          <w:lang w:val="es-CO"/>
        </w:rPr>
        <w:t xml:space="preserve">del procedimiento de selección abreviada GC-SA-01-31-2010 </w:t>
      </w:r>
      <w:r w:rsidR="00570534" w:rsidRPr="003006D9">
        <w:rPr>
          <w:rFonts w:cs="Arial"/>
          <w:lang w:val="es-CO"/>
        </w:rPr>
        <w:t>se agrav</w:t>
      </w:r>
      <w:r w:rsidR="00F47D13" w:rsidRPr="003006D9">
        <w:rPr>
          <w:rFonts w:cs="Arial"/>
          <w:lang w:val="es-CO"/>
        </w:rPr>
        <w:t>ó</w:t>
      </w:r>
      <w:r w:rsidR="00570534" w:rsidRPr="003006D9">
        <w:rPr>
          <w:rFonts w:cs="Arial"/>
          <w:lang w:val="es-CO"/>
        </w:rPr>
        <w:t xml:space="preserve"> la con</w:t>
      </w:r>
      <w:r w:rsidR="00B71532" w:rsidRPr="003006D9">
        <w:rPr>
          <w:rFonts w:cs="Arial"/>
          <w:lang w:val="es-CO"/>
        </w:rPr>
        <w:t xml:space="preserve">fusión </w:t>
      </w:r>
      <w:r w:rsidR="00570534" w:rsidRPr="003006D9">
        <w:rPr>
          <w:rFonts w:cs="Arial"/>
          <w:lang w:val="es-CO"/>
        </w:rPr>
        <w:t xml:space="preserve">entre el precio mínimo de venta y el valor de avalúo, así: </w:t>
      </w:r>
    </w:p>
    <w:p w:rsidR="00381D67" w:rsidRPr="003006D9" w:rsidRDefault="00381D67" w:rsidP="00570534">
      <w:pPr>
        <w:ind w:left="567" w:right="708"/>
        <w:rPr>
          <w:rFonts w:cs="Arial"/>
          <w:i/>
          <w:lang w:val="es-CO"/>
        </w:rPr>
      </w:pPr>
    </w:p>
    <w:p w:rsidR="00570534" w:rsidRPr="003006D9" w:rsidRDefault="00570534" w:rsidP="00B71532">
      <w:pPr>
        <w:spacing w:line="276" w:lineRule="auto"/>
        <w:ind w:left="567" w:right="708"/>
        <w:rPr>
          <w:rFonts w:cs="Arial"/>
          <w:i/>
          <w:lang w:val="es-CO"/>
        </w:rPr>
      </w:pPr>
      <w:r w:rsidRPr="003006D9">
        <w:rPr>
          <w:rFonts w:cs="Arial"/>
          <w:i/>
          <w:lang w:val="es-CO"/>
        </w:rPr>
        <w:lastRenderedPageBreak/>
        <w:t>“(…)</w:t>
      </w:r>
    </w:p>
    <w:p w:rsidR="00381D67" w:rsidRPr="003006D9" w:rsidRDefault="00381D67" w:rsidP="00B71532">
      <w:pPr>
        <w:spacing w:line="276" w:lineRule="auto"/>
        <w:ind w:left="567" w:right="708"/>
        <w:rPr>
          <w:rFonts w:cs="Arial"/>
          <w:i/>
          <w:lang w:val="es-CO"/>
        </w:rPr>
      </w:pPr>
    </w:p>
    <w:p w:rsidR="00570534" w:rsidRPr="003006D9" w:rsidRDefault="00570534" w:rsidP="00B71532">
      <w:pPr>
        <w:spacing w:line="276" w:lineRule="auto"/>
        <w:ind w:left="567" w:right="708"/>
        <w:rPr>
          <w:rFonts w:cs="Arial"/>
          <w:i/>
          <w:lang w:val="es-CO"/>
        </w:rPr>
      </w:pPr>
      <w:r w:rsidRPr="003006D9">
        <w:rPr>
          <w:rFonts w:cs="Arial"/>
          <w:i/>
          <w:lang w:val="es-CO"/>
        </w:rPr>
        <w:t xml:space="preserve">“VALOR ESTIMADO DE VENTA </w:t>
      </w:r>
    </w:p>
    <w:p w:rsidR="00381D67" w:rsidRPr="003006D9" w:rsidRDefault="00381D67" w:rsidP="00B71532">
      <w:pPr>
        <w:spacing w:line="276" w:lineRule="auto"/>
        <w:ind w:left="567" w:right="708"/>
        <w:rPr>
          <w:rFonts w:cs="Arial"/>
          <w:i/>
          <w:lang w:val="es-CO"/>
        </w:rPr>
      </w:pPr>
    </w:p>
    <w:p w:rsidR="00570534" w:rsidRPr="003006D9" w:rsidRDefault="00381D67" w:rsidP="00B71532">
      <w:pPr>
        <w:spacing w:line="276" w:lineRule="auto"/>
        <w:ind w:left="567" w:right="708"/>
        <w:rPr>
          <w:rFonts w:cs="Arial"/>
          <w:i/>
          <w:lang w:val="es-CO"/>
        </w:rPr>
      </w:pPr>
      <w:r w:rsidRPr="003006D9">
        <w:rPr>
          <w:rFonts w:cs="Arial"/>
          <w:i/>
          <w:lang w:val="es-CO"/>
        </w:rPr>
        <w:t>“</w:t>
      </w:r>
      <w:r w:rsidR="00570534" w:rsidRPr="003006D9">
        <w:rPr>
          <w:rFonts w:cs="Arial"/>
          <w:i/>
          <w:lang w:val="es-CO"/>
        </w:rPr>
        <w:t>El precio mínimo de venta PMV del inmueble asciende a la suma de $5.788’587.000.</w:t>
      </w:r>
    </w:p>
    <w:p w:rsidR="00381D67" w:rsidRPr="003006D9" w:rsidRDefault="00381D67" w:rsidP="00B71532">
      <w:pPr>
        <w:spacing w:line="276" w:lineRule="auto"/>
        <w:ind w:left="567" w:right="708"/>
        <w:rPr>
          <w:rFonts w:cs="Arial"/>
          <w:i/>
          <w:lang w:val="es-CO"/>
        </w:rPr>
      </w:pPr>
    </w:p>
    <w:p w:rsidR="00570534" w:rsidRPr="003006D9" w:rsidRDefault="00570534" w:rsidP="00B71532">
      <w:pPr>
        <w:spacing w:line="276" w:lineRule="auto"/>
        <w:ind w:left="567" w:right="708"/>
        <w:rPr>
          <w:rFonts w:cs="Arial"/>
          <w:i/>
          <w:lang w:val="es-CO"/>
        </w:rPr>
      </w:pPr>
      <w:r w:rsidRPr="003006D9">
        <w:rPr>
          <w:rFonts w:cs="Arial"/>
          <w:i/>
          <w:lang w:val="es-CO"/>
        </w:rPr>
        <w:t>“RAZONES DEL VALOR ESTIMADO</w:t>
      </w:r>
    </w:p>
    <w:p w:rsidR="00381D67" w:rsidRPr="003006D9" w:rsidRDefault="00381D67" w:rsidP="00B71532">
      <w:pPr>
        <w:spacing w:line="276" w:lineRule="auto"/>
        <w:ind w:left="567" w:right="708"/>
        <w:rPr>
          <w:rFonts w:cs="Arial"/>
          <w:i/>
          <w:lang w:val="es-CO"/>
        </w:rPr>
      </w:pPr>
    </w:p>
    <w:p w:rsidR="00570534" w:rsidRPr="003006D9" w:rsidRDefault="00570534" w:rsidP="00B71532">
      <w:pPr>
        <w:spacing w:line="276" w:lineRule="auto"/>
        <w:ind w:left="567" w:right="708"/>
        <w:rPr>
          <w:rFonts w:cs="Arial"/>
          <w:lang w:val="es-CO"/>
        </w:rPr>
      </w:pPr>
      <w:r w:rsidRPr="003006D9">
        <w:rPr>
          <w:rFonts w:cs="Arial"/>
          <w:i/>
          <w:lang w:val="es-CO"/>
        </w:rPr>
        <w:t xml:space="preserve">“El Precio mínimo de venta es el </w:t>
      </w:r>
      <w:r w:rsidRPr="003006D9">
        <w:rPr>
          <w:rFonts w:cs="Arial"/>
          <w:b/>
          <w:i/>
          <w:lang w:val="es-CO"/>
        </w:rPr>
        <w:t>valor del avalúo</w:t>
      </w:r>
      <w:r w:rsidRPr="003006D9">
        <w:rPr>
          <w:rFonts w:cs="Arial"/>
          <w:i/>
          <w:lang w:val="es-CO"/>
        </w:rPr>
        <w:t xml:space="preserve"> del inmueble”</w:t>
      </w:r>
      <w:r w:rsidRPr="003006D9">
        <w:rPr>
          <w:rStyle w:val="Refdenotaalpie"/>
          <w:rFonts w:cs="Arial"/>
          <w:i/>
          <w:lang w:val="es-CO"/>
        </w:rPr>
        <w:footnoteReference w:id="43"/>
      </w:r>
      <w:r w:rsidRPr="003006D9">
        <w:rPr>
          <w:rFonts w:cs="Arial"/>
          <w:i/>
          <w:lang w:val="es-CO"/>
        </w:rPr>
        <w:t xml:space="preserve">. </w:t>
      </w:r>
      <w:r w:rsidRPr="003006D9">
        <w:rPr>
          <w:rFonts w:cs="Arial"/>
          <w:lang w:val="es-CO"/>
        </w:rPr>
        <w:t>(Se destaca la inconsistencia).</w:t>
      </w:r>
    </w:p>
    <w:p w:rsidR="00570534" w:rsidRPr="003006D9" w:rsidRDefault="00570534" w:rsidP="00570534">
      <w:pPr>
        <w:ind w:left="567" w:right="708"/>
        <w:rPr>
          <w:rFonts w:cs="Arial"/>
          <w:i/>
          <w:lang w:val="es-CO"/>
        </w:rPr>
      </w:pPr>
    </w:p>
    <w:p w:rsidR="00570534" w:rsidRPr="003006D9" w:rsidRDefault="00570534" w:rsidP="00570534">
      <w:pPr>
        <w:rPr>
          <w:rFonts w:cs="Arial"/>
          <w:lang w:val="es-CO"/>
        </w:rPr>
      </w:pPr>
      <w:r w:rsidRPr="003006D9">
        <w:rPr>
          <w:rFonts w:cs="Arial"/>
          <w:lang w:val="es-CO"/>
        </w:rPr>
        <w:t xml:space="preserve">Mediante la Resolución 002567 de 6 de agosto de 2010, suscrita por Luis Fernando Caicedo, Gerente General del ICA, se declaró desierto el proceso GC-SA-01-31-2010-ICA, teniendo en cuenta que </w:t>
      </w:r>
      <w:r w:rsidRPr="003006D9">
        <w:rPr>
          <w:rFonts w:cs="Arial"/>
          <w:i/>
          <w:lang w:val="es-CO"/>
        </w:rPr>
        <w:t>“no se presentaron ofertas”</w:t>
      </w:r>
      <w:r w:rsidRPr="003006D9">
        <w:rPr>
          <w:rStyle w:val="Refdenotaalpie"/>
          <w:rFonts w:cs="Arial"/>
          <w:lang w:val="es-CO"/>
        </w:rPr>
        <w:footnoteReference w:id="44"/>
      </w:r>
      <w:r w:rsidR="00BE4D9E" w:rsidRPr="003006D9">
        <w:rPr>
          <w:rFonts w:cs="Arial"/>
          <w:i/>
          <w:lang w:val="es-CO"/>
        </w:rPr>
        <w:t>.</w:t>
      </w:r>
      <w:r w:rsidRPr="003006D9">
        <w:rPr>
          <w:rFonts w:cs="Arial"/>
          <w:lang w:val="es-CO"/>
        </w:rPr>
        <w:t xml:space="preserve"> </w:t>
      </w:r>
    </w:p>
    <w:p w:rsidR="00BE4D9E" w:rsidRPr="003006D9" w:rsidRDefault="00BE4D9E" w:rsidP="00570534">
      <w:pPr>
        <w:rPr>
          <w:rFonts w:cs="Arial"/>
          <w:b/>
          <w:lang w:val="es-CO"/>
        </w:rPr>
      </w:pPr>
    </w:p>
    <w:p w:rsidR="00570534" w:rsidRPr="003006D9" w:rsidRDefault="003926D5" w:rsidP="00570534">
      <w:pPr>
        <w:rPr>
          <w:rFonts w:cs="Arial"/>
          <w:b/>
          <w:lang w:val="es-CO"/>
        </w:rPr>
      </w:pPr>
      <w:r w:rsidRPr="003006D9">
        <w:rPr>
          <w:rFonts w:cs="Arial"/>
          <w:b/>
          <w:lang w:val="es-CO"/>
        </w:rPr>
        <w:t>5</w:t>
      </w:r>
      <w:r w:rsidR="007915CC" w:rsidRPr="003006D9">
        <w:rPr>
          <w:rFonts w:cs="Arial"/>
          <w:b/>
          <w:lang w:val="es-CO"/>
        </w:rPr>
        <w:t xml:space="preserve">.3. </w:t>
      </w:r>
      <w:r w:rsidR="00570534" w:rsidRPr="003006D9">
        <w:rPr>
          <w:rFonts w:cs="Arial"/>
          <w:b/>
          <w:lang w:val="es-CO"/>
        </w:rPr>
        <w:t>Tercer proce</w:t>
      </w:r>
      <w:r w:rsidR="00381D67" w:rsidRPr="003006D9">
        <w:rPr>
          <w:rFonts w:cs="Arial"/>
          <w:b/>
          <w:lang w:val="es-CO"/>
        </w:rPr>
        <w:t xml:space="preserve">dimiento de </w:t>
      </w:r>
      <w:r w:rsidR="00570534" w:rsidRPr="003006D9">
        <w:rPr>
          <w:rFonts w:cs="Arial"/>
          <w:b/>
          <w:lang w:val="es-CO"/>
        </w:rPr>
        <w:t xml:space="preserve">selección </w:t>
      </w:r>
      <w:r w:rsidR="00381D67" w:rsidRPr="003006D9">
        <w:rPr>
          <w:rFonts w:cs="Arial"/>
          <w:b/>
          <w:lang w:val="es-CO"/>
        </w:rPr>
        <w:t>abreviada GC-SA-01-032-2010</w:t>
      </w:r>
    </w:p>
    <w:p w:rsidR="00570534" w:rsidRPr="003006D9" w:rsidRDefault="00570534" w:rsidP="00570534">
      <w:pPr>
        <w:rPr>
          <w:rFonts w:cs="Arial"/>
          <w:lang w:val="es-CO"/>
        </w:rPr>
      </w:pPr>
    </w:p>
    <w:p w:rsidR="00570534" w:rsidRPr="003006D9" w:rsidRDefault="00570534" w:rsidP="00570534">
      <w:pPr>
        <w:rPr>
          <w:rFonts w:cs="Arial"/>
          <w:lang w:val="es-CO"/>
        </w:rPr>
      </w:pPr>
      <w:r w:rsidRPr="003006D9">
        <w:rPr>
          <w:rFonts w:cs="Arial"/>
          <w:lang w:val="es-CO"/>
        </w:rPr>
        <w:t xml:space="preserve">A través de la Resolución 2621 de 10 de agosto de 2010, se ordenó la apertura del proceso de selección abreviada, modalidad subasta pública electrónica, GC-SA-01-032-2010, </w:t>
      </w:r>
      <w:r w:rsidR="000D3DB6" w:rsidRPr="003006D9">
        <w:rPr>
          <w:rFonts w:cs="Arial"/>
          <w:lang w:val="es-CO"/>
        </w:rPr>
        <w:t xml:space="preserve">cuya adjudicación </w:t>
      </w:r>
      <w:r w:rsidRPr="003006D9">
        <w:rPr>
          <w:rFonts w:cs="Arial"/>
          <w:lang w:val="es-CO"/>
        </w:rPr>
        <w:t>es objeto de debate en el proceso sub j</w:t>
      </w:r>
      <w:r w:rsidR="003222AA" w:rsidRPr="003006D9">
        <w:rPr>
          <w:rFonts w:cs="Arial"/>
          <w:lang w:val="es-CO"/>
        </w:rPr>
        <w:t>ú</w:t>
      </w:r>
      <w:r w:rsidRPr="003006D9">
        <w:rPr>
          <w:rFonts w:cs="Arial"/>
          <w:lang w:val="es-CO"/>
        </w:rPr>
        <w:t xml:space="preserve">dice. </w:t>
      </w:r>
    </w:p>
    <w:p w:rsidR="00570534" w:rsidRPr="003006D9" w:rsidRDefault="00570534" w:rsidP="00570534">
      <w:pPr>
        <w:rPr>
          <w:rFonts w:cs="Arial"/>
          <w:lang w:val="es-CO"/>
        </w:rPr>
      </w:pPr>
    </w:p>
    <w:p w:rsidR="00695403" w:rsidRPr="003006D9" w:rsidRDefault="00570534" w:rsidP="00570534">
      <w:pPr>
        <w:rPr>
          <w:rFonts w:cs="Arial"/>
          <w:lang w:val="es-CO"/>
        </w:rPr>
      </w:pPr>
      <w:r w:rsidRPr="003006D9">
        <w:rPr>
          <w:rFonts w:cs="Arial"/>
          <w:lang w:val="es-CO"/>
        </w:rPr>
        <w:t xml:space="preserve">En el </w:t>
      </w:r>
      <w:r w:rsidR="0093240A" w:rsidRPr="003006D9">
        <w:rPr>
          <w:rFonts w:cs="Arial"/>
          <w:lang w:val="es-CO"/>
        </w:rPr>
        <w:t xml:space="preserve">pliego de condiciones definitivo </w:t>
      </w:r>
      <w:r w:rsidRPr="003006D9">
        <w:rPr>
          <w:rFonts w:cs="Arial"/>
          <w:lang w:val="es-CO"/>
        </w:rPr>
        <w:t xml:space="preserve">GC-SA-01-32-2010 de agosto de 2010, se </w:t>
      </w:r>
      <w:r w:rsidR="003222AA" w:rsidRPr="003006D9">
        <w:rPr>
          <w:rFonts w:cs="Arial"/>
          <w:lang w:val="es-CO"/>
        </w:rPr>
        <w:t xml:space="preserve">indicó </w:t>
      </w:r>
      <w:r w:rsidRPr="003006D9">
        <w:rPr>
          <w:rFonts w:cs="Arial"/>
          <w:lang w:val="es-CO"/>
        </w:rPr>
        <w:t xml:space="preserve">como fecha de apertura </w:t>
      </w:r>
      <w:r w:rsidR="003222AA" w:rsidRPr="003006D9">
        <w:rPr>
          <w:rFonts w:cs="Arial"/>
          <w:lang w:val="es-CO"/>
        </w:rPr>
        <w:t xml:space="preserve">el </w:t>
      </w:r>
      <w:r w:rsidRPr="003006D9">
        <w:rPr>
          <w:rFonts w:cs="Arial"/>
          <w:lang w:val="es-CO"/>
        </w:rPr>
        <w:t xml:space="preserve">11 de agosto de 2010 y fecha de cierre para presentar propuestas el 20 de agosto de 2010. </w:t>
      </w:r>
    </w:p>
    <w:p w:rsidR="00695403" w:rsidRPr="003006D9" w:rsidRDefault="00695403" w:rsidP="00570534">
      <w:pPr>
        <w:rPr>
          <w:rFonts w:cs="Arial"/>
          <w:lang w:val="es-CO"/>
        </w:rPr>
      </w:pPr>
    </w:p>
    <w:p w:rsidR="00570534" w:rsidRPr="003006D9" w:rsidRDefault="00570534" w:rsidP="00570534">
      <w:pPr>
        <w:rPr>
          <w:rFonts w:cs="Arial"/>
          <w:lang w:val="es-CO"/>
        </w:rPr>
      </w:pPr>
      <w:r w:rsidRPr="003006D9">
        <w:rPr>
          <w:rFonts w:cs="Arial"/>
          <w:lang w:val="es-CO"/>
        </w:rPr>
        <w:t xml:space="preserve">En el </w:t>
      </w:r>
      <w:r w:rsidR="0093240A" w:rsidRPr="003006D9">
        <w:rPr>
          <w:rFonts w:cs="Arial"/>
          <w:lang w:val="es-CO"/>
        </w:rPr>
        <w:t xml:space="preserve">aludido </w:t>
      </w:r>
      <w:r w:rsidRPr="003006D9">
        <w:rPr>
          <w:rFonts w:cs="Arial"/>
          <w:lang w:val="es-CO"/>
        </w:rPr>
        <w:t>pliego de condiciones se refirió el valor del avalúo de abril de 2010, pero se indicó como precio mínimo de venta una cifra que correspond</w:t>
      </w:r>
      <w:r w:rsidR="00CA159B" w:rsidRPr="003006D9">
        <w:rPr>
          <w:rFonts w:cs="Arial"/>
          <w:lang w:val="es-CO"/>
        </w:rPr>
        <w:t>ió</w:t>
      </w:r>
      <w:r w:rsidRPr="003006D9">
        <w:rPr>
          <w:rFonts w:cs="Arial"/>
          <w:lang w:val="es-CO"/>
        </w:rPr>
        <w:t xml:space="preserve"> al 50% del referido avalúo, así. </w:t>
      </w:r>
    </w:p>
    <w:p w:rsidR="00570534" w:rsidRPr="003006D9" w:rsidRDefault="00570534" w:rsidP="0093240A">
      <w:pPr>
        <w:spacing w:line="276" w:lineRule="auto"/>
        <w:ind w:left="567" w:right="708"/>
        <w:rPr>
          <w:rFonts w:cs="Arial"/>
          <w:i/>
          <w:lang w:val="es-CO"/>
        </w:rPr>
      </w:pPr>
    </w:p>
    <w:p w:rsidR="00570534" w:rsidRPr="003006D9" w:rsidRDefault="00570534" w:rsidP="0093240A">
      <w:pPr>
        <w:spacing w:line="276" w:lineRule="auto"/>
        <w:ind w:left="567" w:right="708"/>
        <w:rPr>
          <w:rFonts w:cs="Arial"/>
          <w:i/>
          <w:lang w:val="es-CO"/>
        </w:rPr>
      </w:pPr>
      <w:r w:rsidRPr="003006D9">
        <w:rPr>
          <w:rFonts w:cs="Arial"/>
          <w:i/>
          <w:lang w:val="es-CO"/>
        </w:rPr>
        <w:t xml:space="preserve">“ANEXO 1 FICHA TÉCNICA DEL PREDIO EL MIRA </w:t>
      </w:r>
    </w:p>
    <w:p w:rsidR="00570534" w:rsidRPr="003006D9" w:rsidRDefault="00570534" w:rsidP="0093240A">
      <w:pPr>
        <w:spacing w:line="276" w:lineRule="auto"/>
        <w:ind w:left="567" w:right="708"/>
        <w:rPr>
          <w:rFonts w:cs="Arial"/>
          <w:i/>
          <w:lang w:val="es-CO"/>
        </w:rPr>
      </w:pPr>
      <w:r w:rsidRPr="003006D9">
        <w:rPr>
          <w:rFonts w:cs="Arial"/>
          <w:i/>
          <w:lang w:val="es-CO"/>
        </w:rPr>
        <w:t xml:space="preserve">“SUBASTA PÚBLICA ELECTRÓNICA </w:t>
      </w:r>
    </w:p>
    <w:p w:rsidR="00570534" w:rsidRPr="003006D9" w:rsidRDefault="00570534" w:rsidP="0093240A">
      <w:pPr>
        <w:spacing w:line="276" w:lineRule="auto"/>
        <w:ind w:left="567" w:right="708"/>
        <w:rPr>
          <w:rFonts w:cs="Arial"/>
          <w:i/>
          <w:lang w:val="es-CO"/>
        </w:rPr>
      </w:pPr>
      <w:r w:rsidRPr="003006D9">
        <w:rPr>
          <w:rFonts w:cs="Arial"/>
          <w:i/>
          <w:lang w:val="es-CO"/>
        </w:rPr>
        <w:t>“No. SG-SA- 01-18-2010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3795"/>
      </w:tblGrid>
      <w:tr w:rsidR="00570534" w:rsidRPr="003006D9" w:rsidTr="00F64A80">
        <w:tc>
          <w:tcPr>
            <w:tcW w:w="4393" w:type="dxa"/>
            <w:shd w:val="clear" w:color="auto" w:fill="auto"/>
          </w:tcPr>
          <w:p w:rsidR="00570534" w:rsidRPr="003006D9" w:rsidRDefault="0093240A" w:rsidP="0093240A">
            <w:pPr>
              <w:spacing w:line="276" w:lineRule="auto"/>
              <w:ind w:left="567" w:right="708"/>
              <w:rPr>
                <w:rFonts w:cs="Arial"/>
                <w:i/>
                <w:lang w:val="es-CO"/>
              </w:rPr>
            </w:pPr>
            <w:r w:rsidRPr="003006D9">
              <w:rPr>
                <w:rFonts w:cs="Arial"/>
                <w:i/>
                <w:lang w:val="es-CO"/>
              </w:rPr>
              <w:t>“</w:t>
            </w:r>
            <w:r w:rsidR="00570534" w:rsidRPr="003006D9">
              <w:rPr>
                <w:rFonts w:cs="Arial"/>
                <w:i/>
                <w:lang w:val="es-CO"/>
              </w:rPr>
              <w:t xml:space="preserve">VALOR DEL AVALUO </w:t>
            </w:r>
          </w:p>
        </w:tc>
        <w:tc>
          <w:tcPr>
            <w:tcW w:w="3795" w:type="dxa"/>
            <w:shd w:val="clear" w:color="auto" w:fill="auto"/>
          </w:tcPr>
          <w:p w:rsidR="00570534" w:rsidRPr="003006D9" w:rsidRDefault="00570534" w:rsidP="00F64A80">
            <w:pPr>
              <w:spacing w:line="276" w:lineRule="auto"/>
              <w:ind w:left="143" w:right="34"/>
              <w:jc w:val="right"/>
              <w:rPr>
                <w:rFonts w:cs="Arial"/>
                <w:i/>
                <w:lang w:val="es-CO"/>
              </w:rPr>
            </w:pPr>
            <w:r w:rsidRPr="003006D9">
              <w:rPr>
                <w:rFonts w:cs="Arial"/>
                <w:i/>
                <w:lang w:val="es-CO"/>
              </w:rPr>
              <w:t>8.269´410.000</w:t>
            </w:r>
          </w:p>
        </w:tc>
      </w:tr>
      <w:tr w:rsidR="00570534" w:rsidRPr="003006D9" w:rsidTr="00F64A80">
        <w:tc>
          <w:tcPr>
            <w:tcW w:w="4393" w:type="dxa"/>
            <w:shd w:val="clear" w:color="auto" w:fill="auto"/>
          </w:tcPr>
          <w:p w:rsidR="00570534" w:rsidRPr="003006D9" w:rsidRDefault="0093240A" w:rsidP="0093240A">
            <w:pPr>
              <w:spacing w:line="276" w:lineRule="auto"/>
              <w:ind w:left="567" w:right="708"/>
              <w:rPr>
                <w:rFonts w:cs="Arial"/>
                <w:i/>
                <w:lang w:val="es-CO"/>
              </w:rPr>
            </w:pPr>
            <w:r w:rsidRPr="003006D9">
              <w:rPr>
                <w:rFonts w:cs="Arial"/>
                <w:i/>
                <w:lang w:val="es-CO"/>
              </w:rPr>
              <w:t>“</w:t>
            </w:r>
            <w:r w:rsidR="00570534" w:rsidRPr="003006D9">
              <w:rPr>
                <w:rFonts w:cs="Arial"/>
                <w:i/>
                <w:lang w:val="es-CO"/>
              </w:rPr>
              <w:t xml:space="preserve">VALOR DEL TERRENO </w:t>
            </w:r>
          </w:p>
        </w:tc>
        <w:tc>
          <w:tcPr>
            <w:tcW w:w="3795" w:type="dxa"/>
            <w:shd w:val="clear" w:color="auto" w:fill="auto"/>
          </w:tcPr>
          <w:p w:rsidR="00570534" w:rsidRPr="003006D9" w:rsidRDefault="00570534" w:rsidP="00F64A80">
            <w:pPr>
              <w:spacing w:line="276" w:lineRule="auto"/>
              <w:ind w:left="143" w:right="34"/>
              <w:jc w:val="right"/>
              <w:rPr>
                <w:rFonts w:cs="Arial"/>
                <w:i/>
                <w:lang w:val="es-CO"/>
              </w:rPr>
            </w:pPr>
            <w:r w:rsidRPr="003006D9">
              <w:rPr>
                <w:rFonts w:cs="Arial"/>
                <w:i/>
                <w:lang w:val="es-CO"/>
              </w:rPr>
              <w:t>6.183.600.000</w:t>
            </w:r>
          </w:p>
        </w:tc>
      </w:tr>
      <w:tr w:rsidR="00570534" w:rsidRPr="003006D9" w:rsidTr="00F64A80">
        <w:tc>
          <w:tcPr>
            <w:tcW w:w="4393" w:type="dxa"/>
            <w:shd w:val="clear" w:color="auto" w:fill="auto"/>
          </w:tcPr>
          <w:p w:rsidR="00570534" w:rsidRPr="003006D9" w:rsidRDefault="0093240A" w:rsidP="0093240A">
            <w:pPr>
              <w:spacing w:line="276" w:lineRule="auto"/>
              <w:ind w:left="567" w:right="708"/>
              <w:rPr>
                <w:rFonts w:cs="Arial"/>
                <w:i/>
                <w:lang w:val="es-CO"/>
              </w:rPr>
            </w:pPr>
            <w:r w:rsidRPr="003006D9">
              <w:rPr>
                <w:rFonts w:cs="Arial"/>
                <w:i/>
                <w:lang w:val="es-CO"/>
              </w:rPr>
              <w:t>“</w:t>
            </w:r>
            <w:r w:rsidR="00570534" w:rsidRPr="003006D9">
              <w:rPr>
                <w:rFonts w:cs="Arial"/>
                <w:i/>
                <w:lang w:val="es-CO"/>
              </w:rPr>
              <w:t xml:space="preserve">VALOR DE EDIFICACIONES  </w:t>
            </w:r>
          </w:p>
        </w:tc>
        <w:tc>
          <w:tcPr>
            <w:tcW w:w="3795" w:type="dxa"/>
            <w:shd w:val="clear" w:color="auto" w:fill="auto"/>
          </w:tcPr>
          <w:p w:rsidR="00570534" w:rsidRPr="003006D9" w:rsidRDefault="00570534" w:rsidP="00F64A80">
            <w:pPr>
              <w:spacing w:line="276" w:lineRule="auto"/>
              <w:ind w:left="143" w:right="34"/>
              <w:jc w:val="right"/>
              <w:rPr>
                <w:rFonts w:cs="Arial"/>
                <w:i/>
                <w:lang w:val="es-CO"/>
              </w:rPr>
            </w:pPr>
            <w:r w:rsidRPr="003006D9">
              <w:rPr>
                <w:rFonts w:cs="Arial"/>
                <w:i/>
                <w:lang w:val="es-CO"/>
              </w:rPr>
              <w:t>1.597’120.000</w:t>
            </w:r>
          </w:p>
        </w:tc>
      </w:tr>
      <w:tr w:rsidR="00570534" w:rsidRPr="003006D9" w:rsidTr="00F64A80">
        <w:tc>
          <w:tcPr>
            <w:tcW w:w="4393" w:type="dxa"/>
            <w:shd w:val="clear" w:color="auto" w:fill="auto"/>
          </w:tcPr>
          <w:p w:rsidR="00570534" w:rsidRPr="003006D9" w:rsidRDefault="0093240A" w:rsidP="0093240A">
            <w:pPr>
              <w:spacing w:line="276" w:lineRule="auto"/>
              <w:ind w:left="567" w:right="708"/>
              <w:rPr>
                <w:rFonts w:cs="Arial"/>
                <w:i/>
                <w:lang w:val="es-CO"/>
              </w:rPr>
            </w:pPr>
            <w:r w:rsidRPr="003006D9">
              <w:rPr>
                <w:rFonts w:cs="Arial"/>
                <w:i/>
                <w:lang w:val="es-CO"/>
              </w:rPr>
              <w:t>“</w:t>
            </w:r>
            <w:r w:rsidR="00570534" w:rsidRPr="003006D9">
              <w:rPr>
                <w:rFonts w:cs="Arial"/>
                <w:i/>
                <w:lang w:val="es-CO"/>
              </w:rPr>
              <w:t xml:space="preserve">VALOR VIAS INTERNAS  </w:t>
            </w:r>
          </w:p>
        </w:tc>
        <w:tc>
          <w:tcPr>
            <w:tcW w:w="3795" w:type="dxa"/>
            <w:shd w:val="clear" w:color="auto" w:fill="auto"/>
          </w:tcPr>
          <w:p w:rsidR="00570534" w:rsidRPr="003006D9" w:rsidRDefault="00570534" w:rsidP="00F64A80">
            <w:pPr>
              <w:spacing w:line="276" w:lineRule="auto"/>
              <w:ind w:left="143" w:right="34"/>
              <w:jc w:val="right"/>
              <w:rPr>
                <w:rFonts w:cs="Arial"/>
                <w:i/>
                <w:lang w:val="es-CO"/>
              </w:rPr>
            </w:pPr>
            <w:r w:rsidRPr="003006D9">
              <w:rPr>
                <w:rFonts w:cs="Arial"/>
                <w:i/>
                <w:lang w:val="es-CO"/>
              </w:rPr>
              <w:t>110’000.000</w:t>
            </w:r>
          </w:p>
        </w:tc>
      </w:tr>
      <w:tr w:rsidR="00570534" w:rsidRPr="003006D9" w:rsidTr="00F64A80">
        <w:tc>
          <w:tcPr>
            <w:tcW w:w="4393" w:type="dxa"/>
            <w:shd w:val="clear" w:color="auto" w:fill="auto"/>
          </w:tcPr>
          <w:p w:rsidR="00570534" w:rsidRPr="003006D9" w:rsidRDefault="00A114B5" w:rsidP="0093240A">
            <w:pPr>
              <w:spacing w:line="276" w:lineRule="auto"/>
              <w:ind w:left="567" w:right="708"/>
              <w:rPr>
                <w:rFonts w:cs="Arial"/>
                <w:i/>
                <w:lang w:val="es-CO"/>
              </w:rPr>
            </w:pPr>
            <w:r w:rsidRPr="003006D9">
              <w:rPr>
                <w:rFonts w:cs="Arial"/>
                <w:i/>
                <w:lang w:val="es-CO"/>
              </w:rPr>
              <w:lastRenderedPageBreak/>
              <w:t>“</w:t>
            </w:r>
            <w:r w:rsidR="00570534" w:rsidRPr="003006D9">
              <w:rPr>
                <w:rFonts w:cs="Arial"/>
                <w:i/>
                <w:lang w:val="es-CO"/>
              </w:rPr>
              <w:t>VALOR CULTIVOS PERMANENTES</w:t>
            </w:r>
          </w:p>
        </w:tc>
        <w:tc>
          <w:tcPr>
            <w:tcW w:w="3795" w:type="dxa"/>
            <w:shd w:val="clear" w:color="auto" w:fill="auto"/>
          </w:tcPr>
          <w:p w:rsidR="00570534" w:rsidRPr="003006D9" w:rsidRDefault="00570534" w:rsidP="00F64A80">
            <w:pPr>
              <w:spacing w:line="276" w:lineRule="auto"/>
              <w:ind w:left="143" w:right="34"/>
              <w:jc w:val="right"/>
              <w:rPr>
                <w:rFonts w:cs="Arial"/>
                <w:i/>
                <w:lang w:val="es-CO"/>
              </w:rPr>
            </w:pPr>
            <w:r w:rsidRPr="003006D9">
              <w:rPr>
                <w:rFonts w:cs="Arial"/>
                <w:i/>
                <w:lang w:val="es-CO"/>
              </w:rPr>
              <w:t>378’690.000</w:t>
            </w:r>
          </w:p>
        </w:tc>
      </w:tr>
      <w:tr w:rsidR="00570534" w:rsidRPr="003006D9" w:rsidTr="00F64A80">
        <w:tc>
          <w:tcPr>
            <w:tcW w:w="4393" w:type="dxa"/>
            <w:shd w:val="clear" w:color="auto" w:fill="auto"/>
          </w:tcPr>
          <w:p w:rsidR="00570534" w:rsidRPr="003006D9" w:rsidRDefault="00A114B5" w:rsidP="0093240A">
            <w:pPr>
              <w:spacing w:line="276" w:lineRule="auto"/>
              <w:ind w:left="567" w:right="708"/>
              <w:rPr>
                <w:rFonts w:cs="Arial"/>
                <w:i/>
                <w:lang w:val="es-CO"/>
              </w:rPr>
            </w:pPr>
            <w:r w:rsidRPr="003006D9">
              <w:rPr>
                <w:rFonts w:cs="Arial"/>
                <w:i/>
                <w:lang w:val="es-CO"/>
              </w:rPr>
              <w:t>“</w:t>
            </w:r>
            <w:r w:rsidR="00570534" w:rsidRPr="003006D9">
              <w:rPr>
                <w:rFonts w:cs="Arial"/>
                <w:i/>
                <w:lang w:val="es-CO"/>
              </w:rPr>
              <w:t>FECHA DEL AVALÚO</w:t>
            </w:r>
          </w:p>
        </w:tc>
        <w:tc>
          <w:tcPr>
            <w:tcW w:w="3795" w:type="dxa"/>
            <w:shd w:val="clear" w:color="auto" w:fill="auto"/>
          </w:tcPr>
          <w:p w:rsidR="00570534" w:rsidRPr="003006D9" w:rsidRDefault="00570534" w:rsidP="00F64A80">
            <w:pPr>
              <w:spacing w:line="276" w:lineRule="auto"/>
              <w:ind w:left="143" w:right="34"/>
              <w:rPr>
                <w:rFonts w:cs="Arial"/>
                <w:i/>
                <w:lang w:val="es-CO"/>
              </w:rPr>
            </w:pPr>
            <w:r w:rsidRPr="003006D9">
              <w:rPr>
                <w:rFonts w:cs="Arial"/>
                <w:i/>
                <w:lang w:val="es-CO"/>
              </w:rPr>
              <w:t>Fuente documentación del ICA y avalúo comercial de marzo de 2010</w:t>
            </w:r>
          </w:p>
        </w:tc>
      </w:tr>
      <w:tr w:rsidR="00570534" w:rsidRPr="003006D9" w:rsidTr="00F64A80">
        <w:tc>
          <w:tcPr>
            <w:tcW w:w="4393" w:type="dxa"/>
            <w:shd w:val="clear" w:color="auto" w:fill="auto"/>
          </w:tcPr>
          <w:p w:rsidR="00570534" w:rsidRPr="003006D9" w:rsidRDefault="00A114B5" w:rsidP="0093240A">
            <w:pPr>
              <w:spacing w:line="276" w:lineRule="auto"/>
              <w:ind w:left="567" w:right="708"/>
              <w:rPr>
                <w:rFonts w:cs="Arial"/>
                <w:i/>
                <w:lang w:val="es-CO"/>
              </w:rPr>
            </w:pPr>
            <w:r w:rsidRPr="003006D9">
              <w:rPr>
                <w:rFonts w:cs="Arial"/>
                <w:i/>
                <w:lang w:val="es-CO"/>
              </w:rPr>
              <w:t>“</w:t>
            </w:r>
            <w:r w:rsidR="00570534" w:rsidRPr="003006D9">
              <w:rPr>
                <w:rFonts w:cs="Arial"/>
                <w:i/>
                <w:lang w:val="es-CO"/>
              </w:rPr>
              <w:t>AVALUADOR</w:t>
            </w:r>
          </w:p>
        </w:tc>
        <w:tc>
          <w:tcPr>
            <w:tcW w:w="3795" w:type="dxa"/>
            <w:shd w:val="clear" w:color="auto" w:fill="auto"/>
          </w:tcPr>
          <w:p w:rsidR="00570534" w:rsidRPr="003006D9" w:rsidRDefault="00570534" w:rsidP="00F64A80">
            <w:pPr>
              <w:spacing w:line="276" w:lineRule="auto"/>
              <w:ind w:left="143" w:right="34"/>
              <w:rPr>
                <w:rFonts w:cs="Arial"/>
                <w:b/>
                <w:i/>
                <w:lang w:val="es-CO"/>
              </w:rPr>
            </w:pPr>
            <w:r w:rsidRPr="003006D9">
              <w:rPr>
                <w:rFonts w:cs="Arial"/>
                <w:i/>
                <w:lang w:val="es-CO"/>
              </w:rPr>
              <w:t xml:space="preserve">Lonja de Propiedad Raíz de Nariño y Putumayo FEDELONJAS  </w:t>
            </w:r>
          </w:p>
        </w:tc>
      </w:tr>
      <w:tr w:rsidR="00570534" w:rsidRPr="003006D9" w:rsidTr="00F64A80">
        <w:tc>
          <w:tcPr>
            <w:tcW w:w="4393" w:type="dxa"/>
            <w:shd w:val="clear" w:color="auto" w:fill="auto"/>
          </w:tcPr>
          <w:p w:rsidR="00570534" w:rsidRPr="003006D9" w:rsidRDefault="00A114B5" w:rsidP="0093240A">
            <w:pPr>
              <w:spacing w:line="276" w:lineRule="auto"/>
              <w:ind w:left="567" w:right="708"/>
              <w:rPr>
                <w:rFonts w:cs="Arial"/>
                <w:i/>
                <w:lang w:val="es-CO"/>
              </w:rPr>
            </w:pPr>
            <w:r w:rsidRPr="003006D9">
              <w:rPr>
                <w:rFonts w:cs="Arial"/>
                <w:i/>
                <w:lang w:val="es-CO"/>
              </w:rPr>
              <w:t>“</w:t>
            </w:r>
            <w:r w:rsidR="00570534" w:rsidRPr="003006D9">
              <w:rPr>
                <w:rFonts w:cs="Arial"/>
                <w:i/>
                <w:lang w:val="es-CO"/>
              </w:rPr>
              <w:t xml:space="preserve">MÉTODO DE AVALÚO </w:t>
            </w:r>
          </w:p>
        </w:tc>
        <w:tc>
          <w:tcPr>
            <w:tcW w:w="3795" w:type="dxa"/>
            <w:shd w:val="clear" w:color="auto" w:fill="auto"/>
          </w:tcPr>
          <w:p w:rsidR="00570534" w:rsidRPr="003006D9" w:rsidRDefault="00570534" w:rsidP="00F64A80">
            <w:pPr>
              <w:spacing w:line="276" w:lineRule="auto"/>
              <w:ind w:left="143" w:right="34"/>
              <w:rPr>
                <w:rFonts w:cs="Arial"/>
                <w:i/>
                <w:lang w:val="es-CO"/>
              </w:rPr>
            </w:pPr>
            <w:r w:rsidRPr="003006D9">
              <w:rPr>
                <w:rFonts w:cs="Arial"/>
                <w:i/>
                <w:lang w:val="es-CO"/>
              </w:rPr>
              <w:t>Para el valor comercial comparación de mercado, método de reposición. Para la investigación económica, método de comparación o de mercado para el terreno y el método de reposición para las mejoras</w:t>
            </w:r>
          </w:p>
        </w:tc>
      </w:tr>
      <w:tr w:rsidR="00570534" w:rsidRPr="003006D9" w:rsidTr="00F64A80">
        <w:tc>
          <w:tcPr>
            <w:tcW w:w="4393" w:type="dxa"/>
            <w:shd w:val="clear" w:color="auto" w:fill="auto"/>
          </w:tcPr>
          <w:p w:rsidR="00570534" w:rsidRPr="003006D9" w:rsidRDefault="00A114B5" w:rsidP="0093240A">
            <w:pPr>
              <w:spacing w:line="276" w:lineRule="auto"/>
              <w:ind w:left="567" w:right="708"/>
              <w:rPr>
                <w:rFonts w:cs="Arial"/>
                <w:b/>
                <w:i/>
                <w:lang w:val="es-CO"/>
              </w:rPr>
            </w:pPr>
            <w:r w:rsidRPr="003006D9">
              <w:rPr>
                <w:rFonts w:cs="Arial"/>
                <w:b/>
                <w:i/>
                <w:lang w:val="es-CO"/>
              </w:rPr>
              <w:t>“</w:t>
            </w:r>
            <w:r w:rsidR="00570534" w:rsidRPr="003006D9">
              <w:rPr>
                <w:rFonts w:cs="Arial"/>
                <w:b/>
                <w:i/>
                <w:lang w:val="es-CO"/>
              </w:rPr>
              <w:t xml:space="preserve">PRECIO MÍNIMO DE VENTA </w:t>
            </w:r>
          </w:p>
        </w:tc>
        <w:tc>
          <w:tcPr>
            <w:tcW w:w="3795" w:type="dxa"/>
            <w:shd w:val="clear" w:color="auto" w:fill="auto"/>
          </w:tcPr>
          <w:p w:rsidR="00570534" w:rsidRPr="003006D9" w:rsidRDefault="00570534" w:rsidP="00F64A80">
            <w:pPr>
              <w:spacing w:line="276" w:lineRule="auto"/>
              <w:ind w:left="143" w:right="34"/>
              <w:rPr>
                <w:rFonts w:cs="Arial"/>
                <w:b/>
                <w:i/>
                <w:lang w:val="es-CO"/>
              </w:rPr>
            </w:pPr>
            <w:r w:rsidRPr="003006D9">
              <w:rPr>
                <w:rFonts w:cs="Arial"/>
                <w:b/>
                <w:i/>
                <w:lang w:val="es-CO"/>
              </w:rPr>
              <w:t>4.134’ 705.000</w:t>
            </w:r>
          </w:p>
        </w:tc>
      </w:tr>
      <w:tr w:rsidR="00570534" w:rsidRPr="003006D9" w:rsidTr="00F64A80">
        <w:tc>
          <w:tcPr>
            <w:tcW w:w="4393" w:type="dxa"/>
            <w:shd w:val="clear" w:color="auto" w:fill="auto"/>
          </w:tcPr>
          <w:p w:rsidR="00570534" w:rsidRPr="003006D9" w:rsidRDefault="00A114B5" w:rsidP="0093240A">
            <w:pPr>
              <w:spacing w:line="276" w:lineRule="auto"/>
              <w:ind w:left="567" w:right="708"/>
              <w:rPr>
                <w:rFonts w:cs="Arial"/>
                <w:i/>
                <w:lang w:val="es-CO"/>
              </w:rPr>
            </w:pPr>
            <w:r w:rsidRPr="003006D9">
              <w:rPr>
                <w:rFonts w:cs="Arial"/>
                <w:i/>
                <w:lang w:val="es-CO"/>
              </w:rPr>
              <w:t>“</w:t>
            </w:r>
            <w:r w:rsidR="00570534" w:rsidRPr="003006D9">
              <w:rPr>
                <w:rFonts w:cs="Arial"/>
                <w:i/>
                <w:lang w:val="es-CO"/>
              </w:rPr>
              <w:t>Activo saneado transferible</w:t>
            </w:r>
          </w:p>
        </w:tc>
        <w:tc>
          <w:tcPr>
            <w:tcW w:w="3795" w:type="dxa"/>
            <w:shd w:val="clear" w:color="auto" w:fill="auto"/>
          </w:tcPr>
          <w:p w:rsidR="00570534" w:rsidRPr="003006D9" w:rsidRDefault="00570534" w:rsidP="00F64A80">
            <w:pPr>
              <w:spacing w:line="276" w:lineRule="auto"/>
              <w:ind w:left="143" w:right="34"/>
              <w:rPr>
                <w:rFonts w:cs="Arial"/>
                <w:i/>
                <w:lang w:val="es-CO"/>
              </w:rPr>
            </w:pPr>
            <w:r w:rsidRPr="003006D9">
              <w:rPr>
                <w:rFonts w:cs="Arial"/>
                <w:i/>
                <w:lang w:val="es-CO"/>
              </w:rPr>
              <w:t>X</w:t>
            </w:r>
          </w:p>
        </w:tc>
      </w:tr>
      <w:tr w:rsidR="00570534" w:rsidRPr="003006D9" w:rsidTr="00F64A80">
        <w:tc>
          <w:tcPr>
            <w:tcW w:w="4393" w:type="dxa"/>
            <w:shd w:val="clear" w:color="auto" w:fill="auto"/>
          </w:tcPr>
          <w:p w:rsidR="00570534" w:rsidRPr="003006D9" w:rsidRDefault="0093240A" w:rsidP="0093240A">
            <w:pPr>
              <w:spacing w:line="276" w:lineRule="auto"/>
              <w:ind w:left="567" w:right="708"/>
              <w:rPr>
                <w:rFonts w:cs="Arial"/>
                <w:i/>
                <w:lang w:val="es-CO"/>
              </w:rPr>
            </w:pPr>
            <w:r w:rsidRPr="003006D9">
              <w:rPr>
                <w:rFonts w:cs="Arial"/>
                <w:i/>
                <w:lang w:val="es-CO"/>
              </w:rPr>
              <w:t>“</w:t>
            </w:r>
            <w:r w:rsidR="00570534" w:rsidRPr="003006D9">
              <w:rPr>
                <w:rFonts w:cs="Arial"/>
                <w:i/>
                <w:lang w:val="es-CO"/>
              </w:rPr>
              <w:t>Observaciones</w:t>
            </w:r>
          </w:p>
        </w:tc>
        <w:tc>
          <w:tcPr>
            <w:tcW w:w="3795" w:type="dxa"/>
            <w:shd w:val="clear" w:color="auto" w:fill="auto"/>
          </w:tcPr>
          <w:p w:rsidR="00570534" w:rsidRPr="003006D9" w:rsidRDefault="00570534" w:rsidP="00F64A80">
            <w:pPr>
              <w:spacing w:line="276" w:lineRule="auto"/>
              <w:ind w:left="143" w:right="34"/>
              <w:rPr>
                <w:rFonts w:cs="Arial"/>
                <w:i/>
                <w:lang w:val="es-CO"/>
              </w:rPr>
            </w:pPr>
            <w:r w:rsidRPr="003006D9">
              <w:rPr>
                <w:rFonts w:cs="Arial"/>
                <w:i/>
                <w:lang w:val="es-CO"/>
              </w:rPr>
              <w:t>Banco de Germoplasma de 42.27 hectáreas aproximadamente</w:t>
            </w:r>
            <w:r w:rsidR="0093240A" w:rsidRPr="003006D9">
              <w:rPr>
                <w:rFonts w:cs="Arial"/>
                <w:i/>
                <w:lang w:val="es-CO"/>
              </w:rPr>
              <w:t>”</w:t>
            </w:r>
            <w:r w:rsidRPr="003006D9">
              <w:rPr>
                <w:rStyle w:val="Refdenotaalpie"/>
                <w:rFonts w:cs="Arial"/>
                <w:i/>
                <w:lang w:val="es-CO"/>
              </w:rPr>
              <w:footnoteReference w:id="45"/>
            </w:r>
            <w:r w:rsidRPr="003006D9">
              <w:rPr>
                <w:rFonts w:cs="Arial"/>
                <w:i/>
                <w:lang w:val="es-CO"/>
              </w:rPr>
              <w:t>.</w:t>
            </w:r>
          </w:p>
        </w:tc>
      </w:tr>
    </w:tbl>
    <w:p w:rsidR="00570534" w:rsidRPr="003006D9" w:rsidRDefault="00570534" w:rsidP="0093240A">
      <w:pPr>
        <w:rPr>
          <w:rFonts w:cs="Arial"/>
          <w:lang w:val="es-CO"/>
        </w:rPr>
      </w:pPr>
    </w:p>
    <w:p w:rsidR="00195F18" w:rsidRPr="003006D9" w:rsidRDefault="00195F18" w:rsidP="0093240A">
      <w:pPr>
        <w:rPr>
          <w:rFonts w:cs="Arial"/>
          <w:lang w:val="es-CO"/>
        </w:rPr>
      </w:pPr>
      <w:r w:rsidRPr="003006D9">
        <w:rPr>
          <w:rFonts w:cs="Arial"/>
          <w:lang w:val="es-CO"/>
        </w:rPr>
        <w:t xml:space="preserve">Debe anotarse que el inmueble se identificó como de propiedad del ICA en un 100%, no obstante lo cual </w:t>
      </w:r>
      <w:r w:rsidR="00470731" w:rsidRPr="003006D9">
        <w:rPr>
          <w:rFonts w:cs="Arial"/>
          <w:lang w:val="es-CO"/>
        </w:rPr>
        <w:t xml:space="preserve">en </w:t>
      </w:r>
      <w:r w:rsidRPr="003006D9">
        <w:rPr>
          <w:rFonts w:cs="Arial"/>
          <w:lang w:val="es-CO"/>
        </w:rPr>
        <w:t xml:space="preserve">la promesa de compraventa </w:t>
      </w:r>
      <w:r w:rsidR="00470731" w:rsidRPr="003006D9">
        <w:rPr>
          <w:rFonts w:cs="Arial"/>
          <w:lang w:val="es-CO"/>
        </w:rPr>
        <w:t xml:space="preserve">se detallaron </w:t>
      </w:r>
      <w:r w:rsidRPr="003006D9">
        <w:rPr>
          <w:rFonts w:cs="Arial"/>
          <w:lang w:val="es-CO"/>
        </w:rPr>
        <w:t xml:space="preserve">catorce lotes </w:t>
      </w:r>
      <w:r w:rsidR="00C70487" w:rsidRPr="003006D9">
        <w:rPr>
          <w:rFonts w:cs="Arial"/>
          <w:lang w:val="es-CO"/>
        </w:rPr>
        <w:t>materia de posesión.</w:t>
      </w:r>
    </w:p>
    <w:p w:rsidR="00C70487" w:rsidRPr="003006D9" w:rsidRDefault="00C70487" w:rsidP="0093240A">
      <w:pPr>
        <w:rPr>
          <w:rFonts w:cs="Arial"/>
          <w:lang w:val="es-CO"/>
        </w:rPr>
      </w:pPr>
    </w:p>
    <w:p w:rsidR="00650A61" w:rsidRPr="003006D9" w:rsidRDefault="00650A61" w:rsidP="0093240A">
      <w:pPr>
        <w:rPr>
          <w:rFonts w:cs="Arial"/>
          <w:lang w:val="es-CO"/>
        </w:rPr>
      </w:pPr>
      <w:r w:rsidRPr="003006D9">
        <w:rPr>
          <w:rFonts w:cs="Arial"/>
          <w:lang w:val="es-CO"/>
        </w:rPr>
        <w:t xml:space="preserve">Las pruebas antes relacionadas permiten observar que, tal como lo afirmó el ICA en la demanda de reconvención, esa entidad cometió un error en la determinación del precio mínimo de venta </w:t>
      </w:r>
      <w:r w:rsidR="00A01744" w:rsidRPr="003006D9">
        <w:rPr>
          <w:rFonts w:cs="Arial"/>
          <w:lang w:val="es-CO"/>
        </w:rPr>
        <w:t xml:space="preserve">que fijó en el pliego de condiciones, </w:t>
      </w:r>
      <w:r w:rsidR="00B4722A" w:rsidRPr="003006D9">
        <w:rPr>
          <w:rFonts w:cs="Arial"/>
          <w:lang w:val="es-CO"/>
        </w:rPr>
        <w:t xml:space="preserve">al </w:t>
      </w:r>
      <w:r w:rsidRPr="003006D9">
        <w:rPr>
          <w:rFonts w:cs="Arial"/>
          <w:lang w:val="es-CO"/>
        </w:rPr>
        <w:t xml:space="preserve">guiarse por las normas del Código de Procedimiento Civil, toda vez que las reglas </w:t>
      </w:r>
      <w:r w:rsidR="00A114B5" w:rsidRPr="003006D9">
        <w:rPr>
          <w:rFonts w:cs="Arial"/>
          <w:lang w:val="es-CO"/>
        </w:rPr>
        <w:t xml:space="preserve">aplicables </w:t>
      </w:r>
      <w:r w:rsidR="00034B20" w:rsidRPr="003006D9">
        <w:rPr>
          <w:rFonts w:cs="Arial"/>
          <w:lang w:val="es-CO"/>
        </w:rPr>
        <w:t xml:space="preserve">para ese evento </w:t>
      </w:r>
      <w:r w:rsidR="00A114B5" w:rsidRPr="003006D9">
        <w:rPr>
          <w:rFonts w:cs="Arial"/>
          <w:lang w:val="es-CO"/>
        </w:rPr>
        <w:t xml:space="preserve">eran las previstas en el </w:t>
      </w:r>
      <w:r w:rsidRPr="003006D9">
        <w:rPr>
          <w:rFonts w:cs="Arial"/>
          <w:lang w:val="es-CO"/>
        </w:rPr>
        <w:t>Decreto 4444 de 2008.</w:t>
      </w:r>
    </w:p>
    <w:p w:rsidR="00650A61" w:rsidRPr="003006D9" w:rsidRDefault="00650A61" w:rsidP="00570534">
      <w:pPr>
        <w:rPr>
          <w:rFonts w:cs="Arial"/>
          <w:lang w:val="es-CO"/>
        </w:rPr>
      </w:pPr>
    </w:p>
    <w:p w:rsidR="00B4722A" w:rsidRPr="003006D9" w:rsidRDefault="00034B20" w:rsidP="00570534">
      <w:pPr>
        <w:rPr>
          <w:rFonts w:cs="Arial"/>
          <w:lang w:val="es-CO"/>
        </w:rPr>
      </w:pPr>
      <w:r w:rsidRPr="003006D9">
        <w:rPr>
          <w:rFonts w:cs="Arial"/>
          <w:lang w:val="es-CO"/>
        </w:rPr>
        <w:t>Como conclusión, r</w:t>
      </w:r>
      <w:r w:rsidR="00695403" w:rsidRPr="003006D9">
        <w:rPr>
          <w:rFonts w:cs="Arial"/>
          <w:lang w:val="es-CO"/>
        </w:rPr>
        <w:t xml:space="preserve">esulta cierto que </w:t>
      </w:r>
      <w:r w:rsidR="00570534" w:rsidRPr="003006D9">
        <w:rPr>
          <w:rFonts w:cs="Arial"/>
          <w:lang w:val="es-CO"/>
        </w:rPr>
        <w:t xml:space="preserve">en los documentos del proceso de selección abreviada </w:t>
      </w:r>
      <w:r w:rsidR="006059C0" w:rsidRPr="003006D9">
        <w:rPr>
          <w:rFonts w:cs="Arial"/>
          <w:lang w:val="es-CO"/>
        </w:rPr>
        <w:t xml:space="preserve">GC-SA-01-032-2010 </w:t>
      </w:r>
      <w:r w:rsidR="00570534" w:rsidRPr="003006D9">
        <w:rPr>
          <w:rFonts w:cs="Arial"/>
          <w:lang w:val="es-CO"/>
        </w:rPr>
        <w:t xml:space="preserve">el ICA se refirió un avalúo de marzo de 2010, </w:t>
      </w:r>
      <w:r w:rsidR="001C2CAA" w:rsidRPr="003006D9">
        <w:rPr>
          <w:rFonts w:cs="Arial"/>
          <w:lang w:val="es-CO"/>
        </w:rPr>
        <w:t xml:space="preserve">pero </w:t>
      </w:r>
      <w:r w:rsidR="00570534" w:rsidRPr="003006D9">
        <w:rPr>
          <w:rFonts w:cs="Arial"/>
          <w:lang w:val="es-CO"/>
        </w:rPr>
        <w:t>incluyó el precio del avalúo de abril de 2010</w:t>
      </w:r>
      <w:r w:rsidR="00DA0D6A" w:rsidRPr="003006D9">
        <w:rPr>
          <w:rFonts w:cs="Arial"/>
          <w:lang w:val="es-CO"/>
        </w:rPr>
        <w:t xml:space="preserve"> y</w:t>
      </w:r>
      <w:r w:rsidR="001C2CAA" w:rsidRPr="003006D9">
        <w:rPr>
          <w:rFonts w:cs="Arial"/>
          <w:lang w:val="es-CO"/>
        </w:rPr>
        <w:t>, además,</w:t>
      </w:r>
      <w:r w:rsidR="00DA0D6A" w:rsidRPr="003006D9">
        <w:rPr>
          <w:rFonts w:cs="Arial"/>
          <w:lang w:val="es-CO"/>
        </w:rPr>
        <w:t xml:space="preserve"> </w:t>
      </w:r>
      <w:r w:rsidR="00570534" w:rsidRPr="003006D9">
        <w:rPr>
          <w:rFonts w:cs="Arial"/>
          <w:lang w:val="es-CO"/>
        </w:rPr>
        <w:t>modificó el precio mínimo de venta, respecto de la convocatoria anterior, llevándolo al 50% del valor de avalúo de abril de 2010.</w:t>
      </w:r>
      <w:r w:rsidR="00B4722A" w:rsidRPr="003006D9">
        <w:rPr>
          <w:rFonts w:cs="Arial"/>
          <w:lang w:val="es-CO"/>
        </w:rPr>
        <w:t xml:space="preserve"> </w:t>
      </w:r>
    </w:p>
    <w:p w:rsidR="00B4722A" w:rsidRPr="003006D9" w:rsidRDefault="00B4722A" w:rsidP="00570534">
      <w:pPr>
        <w:rPr>
          <w:rFonts w:cs="Arial"/>
          <w:lang w:val="es-CO"/>
        </w:rPr>
      </w:pPr>
    </w:p>
    <w:p w:rsidR="00570534" w:rsidRPr="003006D9" w:rsidRDefault="00B4722A" w:rsidP="00570534">
      <w:pPr>
        <w:rPr>
          <w:rFonts w:cs="Arial"/>
          <w:lang w:val="es-CO"/>
        </w:rPr>
      </w:pPr>
      <w:r w:rsidRPr="003006D9">
        <w:rPr>
          <w:rFonts w:cs="Arial"/>
          <w:lang w:val="es-CO"/>
        </w:rPr>
        <w:lastRenderedPageBreak/>
        <w:t>Esas pruebas demuestran la violación de la Ley 1150 de 2007</w:t>
      </w:r>
      <w:r w:rsidR="00C2242B" w:rsidRPr="003006D9">
        <w:rPr>
          <w:rStyle w:val="Refdenotaalpie"/>
          <w:rFonts w:cs="Arial"/>
          <w:lang w:val="es-CO"/>
        </w:rPr>
        <w:footnoteReference w:id="46"/>
      </w:r>
      <w:r w:rsidRPr="003006D9">
        <w:rPr>
          <w:rFonts w:cs="Arial"/>
          <w:lang w:val="es-CO"/>
        </w:rPr>
        <w:t xml:space="preserve"> y del  Decreto 4444 de 2008 en el proceso de selección abreviada GC-SA-01-032-2010, por cuanto se ignoraron las normas que disponían </w:t>
      </w:r>
      <w:r w:rsidR="001C2CAA" w:rsidRPr="003006D9">
        <w:rPr>
          <w:rFonts w:cs="Arial"/>
          <w:lang w:val="es-CO"/>
        </w:rPr>
        <w:t>el requisito de</w:t>
      </w:r>
      <w:r w:rsidR="003222AA" w:rsidRPr="003006D9">
        <w:rPr>
          <w:rFonts w:cs="Arial"/>
          <w:lang w:val="es-CO"/>
        </w:rPr>
        <w:t xml:space="preserve"> establecer un </w:t>
      </w:r>
      <w:r w:rsidR="001C2CAA" w:rsidRPr="003006D9">
        <w:rPr>
          <w:rFonts w:cs="Arial"/>
          <w:lang w:val="es-CO"/>
        </w:rPr>
        <w:t xml:space="preserve">avalúo previo y </w:t>
      </w:r>
      <w:r w:rsidR="003222AA" w:rsidRPr="003006D9">
        <w:rPr>
          <w:rFonts w:cs="Arial"/>
          <w:lang w:val="es-CO"/>
        </w:rPr>
        <w:t xml:space="preserve">a partir de éste </w:t>
      </w:r>
      <w:r w:rsidR="008808F1" w:rsidRPr="003006D9">
        <w:rPr>
          <w:rFonts w:cs="Arial"/>
          <w:lang w:val="es-CO"/>
        </w:rPr>
        <w:t>fijar el precio mínimo de venta para la enajenación de bienes del Estado</w:t>
      </w:r>
      <w:r w:rsidR="00810B5F" w:rsidRPr="003006D9">
        <w:rPr>
          <w:rStyle w:val="Refdenotaalpie"/>
          <w:rFonts w:cs="Arial"/>
          <w:lang w:val="es-CO"/>
        </w:rPr>
        <w:footnoteReference w:id="47"/>
      </w:r>
      <w:r w:rsidR="003222AA" w:rsidRPr="003006D9">
        <w:rPr>
          <w:rFonts w:cs="Arial"/>
          <w:lang w:val="es-CO"/>
        </w:rPr>
        <w:t>, con base en los factores claramente definidos por las normas citadas</w:t>
      </w:r>
      <w:r w:rsidR="008808F1" w:rsidRPr="003006D9">
        <w:rPr>
          <w:rFonts w:cs="Arial"/>
          <w:lang w:val="es-CO"/>
        </w:rPr>
        <w:t xml:space="preserve">. La Sala </w:t>
      </w:r>
      <w:r w:rsidR="003222AA" w:rsidRPr="003006D9">
        <w:rPr>
          <w:rFonts w:cs="Arial"/>
          <w:lang w:val="es-CO"/>
        </w:rPr>
        <w:t xml:space="preserve">transcribirá en detalle las normas correspondientes, </w:t>
      </w:r>
      <w:r w:rsidR="008808F1" w:rsidRPr="003006D9">
        <w:rPr>
          <w:rFonts w:cs="Arial"/>
          <w:lang w:val="es-CO"/>
        </w:rPr>
        <w:t>en el análisis de las causales de anulación del acto administrativo de adjudicación y del contrato correspondiente.</w:t>
      </w:r>
    </w:p>
    <w:p w:rsidR="006059C0" w:rsidRPr="003006D9" w:rsidRDefault="006059C0" w:rsidP="00570534">
      <w:pPr>
        <w:rPr>
          <w:rFonts w:cs="Arial"/>
          <w:lang w:val="es-CO"/>
        </w:rPr>
      </w:pPr>
    </w:p>
    <w:p w:rsidR="00570534" w:rsidRPr="003006D9" w:rsidRDefault="00695403" w:rsidP="00570534">
      <w:pPr>
        <w:rPr>
          <w:rFonts w:cs="Arial"/>
          <w:lang w:val="es-CO"/>
        </w:rPr>
      </w:pPr>
      <w:r w:rsidRPr="003006D9">
        <w:rPr>
          <w:rFonts w:cs="Arial"/>
          <w:lang w:val="es-CO"/>
        </w:rPr>
        <w:t xml:space="preserve">Ahora bien, </w:t>
      </w:r>
      <w:r w:rsidR="00721E3E" w:rsidRPr="003006D9">
        <w:rPr>
          <w:rFonts w:cs="Arial"/>
          <w:lang w:val="es-CO"/>
        </w:rPr>
        <w:t xml:space="preserve">continuando con la secuencia de las pruebas, </w:t>
      </w:r>
      <w:r w:rsidRPr="003006D9">
        <w:rPr>
          <w:rFonts w:cs="Arial"/>
          <w:lang w:val="es-CO"/>
        </w:rPr>
        <w:t>d</w:t>
      </w:r>
      <w:r w:rsidR="00570534" w:rsidRPr="003006D9">
        <w:rPr>
          <w:rFonts w:cs="Arial"/>
          <w:lang w:val="es-CO"/>
        </w:rPr>
        <w:t>e acuerdo con lo que se acredita en el plenario</w:t>
      </w:r>
      <w:r w:rsidR="00F4003A" w:rsidRPr="003006D9">
        <w:rPr>
          <w:rFonts w:cs="Arial"/>
          <w:lang w:val="es-CO"/>
        </w:rPr>
        <w:t>,</w:t>
      </w:r>
      <w:r w:rsidR="00570534" w:rsidRPr="003006D9">
        <w:rPr>
          <w:rFonts w:cs="Arial"/>
          <w:lang w:val="es-CO"/>
        </w:rPr>
        <w:t xml:space="preserve"> </w:t>
      </w:r>
      <w:r w:rsidR="00B62AA8" w:rsidRPr="003006D9">
        <w:rPr>
          <w:rFonts w:cs="Arial"/>
          <w:lang w:val="es-CO"/>
        </w:rPr>
        <w:t xml:space="preserve">se establece que </w:t>
      </w:r>
      <w:r w:rsidR="00570534" w:rsidRPr="003006D9">
        <w:rPr>
          <w:rFonts w:cs="Arial"/>
          <w:lang w:val="es-CO"/>
        </w:rPr>
        <w:t xml:space="preserve">encontrándose abierto el proceso de selección abreviada  GC-SA-01-032-2010, mediante memorando de 19 de agosto de 2010, copia informativa No. 2003214313, la oficina asesora jurídica emitió su concepto </w:t>
      </w:r>
      <w:r w:rsidR="003222AA" w:rsidRPr="003006D9">
        <w:rPr>
          <w:rFonts w:cs="Arial"/>
          <w:lang w:val="es-CO"/>
        </w:rPr>
        <w:t xml:space="preserve">con destino </w:t>
      </w:r>
      <w:r w:rsidR="00570534" w:rsidRPr="003006D9">
        <w:rPr>
          <w:rFonts w:cs="Arial"/>
          <w:lang w:val="es-CO"/>
        </w:rPr>
        <w:t>a la gerencia general del ICA, sobre la no aplicación del Código de Procedimiento Civil, así:</w:t>
      </w:r>
    </w:p>
    <w:p w:rsidR="006059C0" w:rsidRPr="003006D9" w:rsidRDefault="006059C0" w:rsidP="00570534">
      <w:pPr>
        <w:rPr>
          <w:rFonts w:cs="Arial"/>
          <w:lang w:val="es-CO"/>
        </w:rPr>
      </w:pPr>
    </w:p>
    <w:p w:rsidR="00570534" w:rsidRPr="003006D9" w:rsidRDefault="00570534" w:rsidP="00B65988">
      <w:pPr>
        <w:spacing w:line="276" w:lineRule="auto"/>
        <w:ind w:left="567" w:right="708"/>
        <w:rPr>
          <w:rFonts w:cs="Arial"/>
          <w:i/>
          <w:lang w:val="es-CO"/>
        </w:rPr>
      </w:pPr>
      <w:r w:rsidRPr="003006D9">
        <w:rPr>
          <w:rFonts w:cs="Arial"/>
          <w:i/>
          <w:lang w:val="es-CO"/>
        </w:rPr>
        <w:t>“Por todo lo expuesto, consideramos que las previsiones contenidas en los artículos 523 y siguientes del Código de Procedimiento Civil que regulan la posibilidad de vender al 70% del valor del avalúo del bien inmueble o de presentar un nuevo avalúo si fracasa la segunda licitación, no son aplicables al proceso de enajenación de inmuebles por parte de las entidades públicas, No obstante es preciso señalar que la normatividad contenida en el Decreto 4444 de 2008, reglamentario de la Ley 1150 de 2007, contiene una serie de criterios que como lo expusimos anteriormente, permiten que la entidad tenga un espacio relativamente amplio para la determinación del precio mínimo de venta, que perfectamente puede ser un precio inferior al del avalúo comercial, dependiendo de las especiales características del bien inmueble a enajenar”</w:t>
      </w:r>
      <w:r w:rsidRPr="003006D9">
        <w:rPr>
          <w:rStyle w:val="Refdenotaalpie"/>
          <w:rFonts w:cs="Arial"/>
          <w:i/>
          <w:lang w:val="es-CO"/>
        </w:rPr>
        <w:footnoteReference w:id="48"/>
      </w:r>
      <w:r w:rsidRPr="003006D9">
        <w:rPr>
          <w:rFonts w:cs="Arial"/>
          <w:i/>
          <w:lang w:val="es-CO"/>
        </w:rPr>
        <w:t>.</w:t>
      </w:r>
    </w:p>
    <w:p w:rsidR="00570534" w:rsidRPr="003006D9" w:rsidRDefault="00570534" w:rsidP="00570534">
      <w:pPr>
        <w:ind w:left="567" w:right="708"/>
        <w:rPr>
          <w:rFonts w:cs="Arial"/>
          <w:i/>
          <w:lang w:val="es-CO"/>
        </w:rPr>
      </w:pPr>
    </w:p>
    <w:p w:rsidR="00570534" w:rsidRPr="003006D9" w:rsidRDefault="00570534" w:rsidP="00570534">
      <w:pPr>
        <w:rPr>
          <w:rFonts w:cs="Arial"/>
          <w:lang w:val="es-CO"/>
        </w:rPr>
      </w:pPr>
      <w:r w:rsidRPr="003006D9">
        <w:rPr>
          <w:rFonts w:cs="Arial"/>
          <w:lang w:val="es-CO"/>
        </w:rPr>
        <w:t>Según los documentos que obran en el proceso</w:t>
      </w:r>
      <w:r w:rsidR="00B65988" w:rsidRPr="003006D9">
        <w:rPr>
          <w:rFonts w:cs="Arial"/>
          <w:lang w:val="es-CO"/>
        </w:rPr>
        <w:t>,</w:t>
      </w:r>
      <w:r w:rsidRPr="003006D9">
        <w:rPr>
          <w:rFonts w:cs="Arial"/>
          <w:lang w:val="es-CO"/>
        </w:rPr>
        <w:t xml:space="preserve"> FEDEPALMA presentó propuesta el 20 de agosto de 2010 en el proceso de selección abreviada GC-SA-01-32 de 2010</w:t>
      </w:r>
      <w:r w:rsidRPr="003006D9">
        <w:rPr>
          <w:rStyle w:val="Refdenotaalpie"/>
          <w:rFonts w:cs="Arial"/>
          <w:lang w:val="es-CO"/>
        </w:rPr>
        <w:footnoteReference w:id="49"/>
      </w:r>
      <w:r w:rsidRPr="003006D9">
        <w:rPr>
          <w:rFonts w:cs="Arial"/>
          <w:lang w:val="es-CO"/>
        </w:rPr>
        <w:t xml:space="preserve">. En estos documentos se destaca el anexo No. 2, contentivo de la propuesta </w:t>
      </w:r>
      <w:r w:rsidRPr="003006D9">
        <w:rPr>
          <w:rFonts w:cs="Arial"/>
          <w:lang w:val="es-CO"/>
        </w:rPr>
        <w:lastRenderedPageBreak/>
        <w:t>económica, por la suma de $4.140’000.000 y el extracto de acta No. 44</w:t>
      </w:r>
      <w:r w:rsidR="00BA6D8B" w:rsidRPr="003006D9">
        <w:rPr>
          <w:rFonts w:cs="Arial"/>
          <w:lang w:val="es-CO"/>
        </w:rPr>
        <w:t>4</w:t>
      </w:r>
      <w:r w:rsidRPr="003006D9">
        <w:rPr>
          <w:rFonts w:cs="Arial"/>
          <w:lang w:val="es-CO"/>
        </w:rPr>
        <w:t xml:space="preserve">0 de 11 de agosto de 2010, de la Junta Directiva de </w:t>
      </w:r>
      <w:r w:rsidR="00B65988" w:rsidRPr="003006D9">
        <w:rPr>
          <w:rFonts w:cs="Arial"/>
          <w:lang w:val="es-CO"/>
        </w:rPr>
        <w:t>FEDEPALMA</w:t>
      </w:r>
      <w:r w:rsidRPr="003006D9">
        <w:rPr>
          <w:rFonts w:cs="Arial"/>
          <w:lang w:val="es-CO"/>
        </w:rPr>
        <w:t>, en la cual consta la autorización al representante legal para participar en el proceso de selección abreviada y para celebrar el contrato de compraventa correspondiente</w:t>
      </w:r>
      <w:r w:rsidRPr="003006D9">
        <w:rPr>
          <w:rStyle w:val="Refdenotaalpie"/>
          <w:rFonts w:cs="Arial"/>
          <w:lang w:val="es-CO"/>
        </w:rPr>
        <w:footnoteReference w:id="50"/>
      </w:r>
      <w:r w:rsidRPr="003006D9">
        <w:rPr>
          <w:rFonts w:cs="Arial"/>
          <w:lang w:val="es-CO"/>
        </w:rPr>
        <w:t>.</w:t>
      </w:r>
    </w:p>
    <w:p w:rsidR="00B62AA8" w:rsidRPr="003006D9" w:rsidRDefault="00B62AA8" w:rsidP="00570534">
      <w:pPr>
        <w:rPr>
          <w:rFonts w:cs="Arial"/>
          <w:lang w:val="es-CO"/>
        </w:rPr>
      </w:pPr>
    </w:p>
    <w:p w:rsidR="00570534" w:rsidRPr="003006D9" w:rsidRDefault="00570534" w:rsidP="00570534">
      <w:pPr>
        <w:rPr>
          <w:rFonts w:cs="Arial"/>
          <w:lang w:val="es-CO"/>
        </w:rPr>
      </w:pPr>
      <w:r w:rsidRPr="003006D9">
        <w:rPr>
          <w:rFonts w:cs="Arial"/>
          <w:lang w:val="es-CO"/>
        </w:rPr>
        <w:t>El 27 de agosto de 2010 el grupo de gestión contractual del ICA presentó el informe de calificación GS-SA-01-32-2010</w:t>
      </w:r>
      <w:r w:rsidR="00D92B6F" w:rsidRPr="003006D9">
        <w:rPr>
          <w:rFonts w:cs="Arial"/>
          <w:lang w:val="es-CO"/>
        </w:rPr>
        <w:t>,</w:t>
      </w:r>
      <w:r w:rsidRPr="003006D9">
        <w:rPr>
          <w:rFonts w:cs="Arial"/>
          <w:lang w:val="es-CO"/>
        </w:rPr>
        <w:t xml:space="preserve"> en el cual se </w:t>
      </w:r>
      <w:r w:rsidR="00B65988" w:rsidRPr="003006D9">
        <w:rPr>
          <w:rFonts w:cs="Arial"/>
          <w:lang w:val="es-CO"/>
        </w:rPr>
        <w:t xml:space="preserve">informó </w:t>
      </w:r>
      <w:r w:rsidRPr="003006D9">
        <w:rPr>
          <w:rFonts w:cs="Arial"/>
          <w:lang w:val="es-CO"/>
        </w:rPr>
        <w:t>que FEDEPALMA reunía los requisitos</w:t>
      </w:r>
      <w:r w:rsidR="001C2CAA" w:rsidRPr="003006D9">
        <w:rPr>
          <w:rFonts w:cs="Arial"/>
          <w:lang w:val="es-CO"/>
        </w:rPr>
        <w:t>,</w:t>
      </w:r>
      <w:r w:rsidRPr="003006D9">
        <w:rPr>
          <w:rFonts w:cs="Arial"/>
          <w:lang w:val="es-CO"/>
        </w:rPr>
        <w:t xml:space="preserve"> de habilitación y se indicó que el </w:t>
      </w:r>
      <w:r w:rsidRPr="003006D9">
        <w:rPr>
          <w:rFonts w:cs="Arial"/>
          <w:i/>
          <w:lang w:val="es-CO"/>
        </w:rPr>
        <w:t>“proceso de subasta pública electrónica continua con el oferente habilitado”</w:t>
      </w:r>
      <w:r w:rsidRPr="003006D9">
        <w:rPr>
          <w:rStyle w:val="Refdenotaalpie"/>
          <w:rFonts w:cs="Arial"/>
          <w:lang w:val="es-CO"/>
        </w:rPr>
        <w:footnoteReference w:id="51"/>
      </w:r>
      <w:r w:rsidRPr="003006D9">
        <w:rPr>
          <w:rFonts w:cs="Arial"/>
          <w:lang w:val="es-CO"/>
        </w:rPr>
        <w:t>.</w:t>
      </w:r>
    </w:p>
    <w:p w:rsidR="006059C0" w:rsidRPr="003006D9" w:rsidRDefault="006059C0" w:rsidP="00570534">
      <w:pPr>
        <w:rPr>
          <w:rFonts w:cs="Arial"/>
          <w:lang w:val="es-CO"/>
        </w:rPr>
      </w:pPr>
    </w:p>
    <w:p w:rsidR="00570534" w:rsidRPr="003006D9" w:rsidRDefault="00570534" w:rsidP="00570534">
      <w:pPr>
        <w:rPr>
          <w:rFonts w:cs="Arial"/>
          <w:lang w:val="es-CO"/>
        </w:rPr>
      </w:pPr>
      <w:r w:rsidRPr="003006D9">
        <w:rPr>
          <w:rFonts w:cs="Arial"/>
          <w:lang w:val="es-CO"/>
        </w:rPr>
        <w:t xml:space="preserve">Se encuentra en el expediente el documento de evaluación cuantitativa de las plantaciones de palma de aceite y cacao, elaborado por José Roberto Galindo </w:t>
      </w:r>
      <w:r w:rsidR="00D92B6F" w:rsidRPr="003006D9">
        <w:rPr>
          <w:rFonts w:cs="Arial"/>
          <w:lang w:val="es-CO"/>
        </w:rPr>
        <w:t>Á</w:t>
      </w:r>
      <w:r w:rsidRPr="003006D9">
        <w:rPr>
          <w:rFonts w:cs="Arial"/>
          <w:lang w:val="es-CO"/>
        </w:rPr>
        <w:t xml:space="preserve">lvarez- ingeniero agrónomo, con fecha </w:t>
      </w:r>
      <w:r w:rsidR="001C2CAA" w:rsidRPr="003006D9">
        <w:rPr>
          <w:rFonts w:cs="Arial"/>
          <w:lang w:val="es-CO"/>
        </w:rPr>
        <w:t xml:space="preserve">1º </w:t>
      </w:r>
      <w:r w:rsidRPr="003006D9">
        <w:rPr>
          <w:rFonts w:cs="Arial"/>
          <w:lang w:val="es-CO"/>
        </w:rPr>
        <w:t xml:space="preserve">de septiembre de 2010. No </w:t>
      </w:r>
      <w:r w:rsidR="00D92B6F" w:rsidRPr="003006D9">
        <w:rPr>
          <w:rFonts w:cs="Arial"/>
          <w:lang w:val="es-CO"/>
        </w:rPr>
        <w:t>o</w:t>
      </w:r>
      <w:r w:rsidR="00644C16" w:rsidRPr="003006D9">
        <w:rPr>
          <w:rFonts w:cs="Arial"/>
          <w:lang w:val="es-CO"/>
        </w:rPr>
        <w:t>b</w:t>
      </w:r>
      <w:r w:rsidR="00D92B6F" w:rsidRPr="003006D9">
        <w:rPr>
          <w:rFonts w:cs="Arial"/>
          <w:lang w:val="es-CO"/>
        </w:rPr>
        <w:t>ra</w:t>
      </w:r>
      <w:r w:rsidRPr="003006D9">
        <w:rPr>
          <w:rFonts w:cs="Arial"/>
          <w:lang w:val="es-CO"/>
        </w:rPr>
        <w:t xml:space="preserve"> constancia de que este informe hubiera sido </w:t>
      </w:r>
      <w:r w:rsidR="001619E2" w:rsidRPr="003006D9">
        <w:rPr>
          <w:rFonts w:cs="Arial"/>
          <w:lang w:val="es-CO"/>
        </w:rPr>
        <w:t>utilizado para estimar los ingreso</w:t>
      </w:r>
      <w:r w:rsidR="00034B20" w:rsidRPr="003006D9">
        <w:rPr>
          <w:rFonts w:cs="Arial"/>
          <w:lang w:val="es-CO"/>
        </w:rPr>
        <w:t>s</w:t>
      </w:r>
      <w:r w:rsidR="001619E2" w:rsidRPr="003006D9">
        <w:rPr>
          <w:rFonts w:cs="Arial"/>
          <w:lang w:val="es-CO"/>
        </w:rPr>
        <w:t xml:space="preserve"> y egresos que soportarían e</w:t>
      </w:r>
      <w:r w:rsidR="00644C16" w:rsidRPr="003006D9">
        <w:rPr>
          <w:rFonts w:cs="Arial"/>
          <w:lang w:val="es-CO"/>
        </w:rPr>
        <w:t>l</w:t>
      </w:r>
      <w:r w:rsidR="001619E2" w:rsidRPr="003006D9">
        <w:rPr>
          <w:rFonts w:cs="Arial"/>
          <w:lang w:val="es-CO"/>
        </w:rPr>
        <w:t xml:space="preserve"> </w:t>
      </w:r>
      <w:r w:rsidR="001C2CAA" w:rsidRPr="003006D9">
        <w:rPr>
          <w:rFonts w:cs="Arial"/>
          <w:lang w:val="es-CO"/>
        </w:rPr>
        <w:t xml:space="preserve">ajuste del avalúo </w:t>
      </w:r>
      <w:r w:rsidR="00A97166" w:rsidRPr="003006D9">
        <w:rPr>
          <w:rFonts w:cs="Arial"/>
          <w:lang w:val="es-CO"/>
        </w:rPr>
        <w:t xml:space="preserve">en orden a </w:t>
      </w:r>
      <w:r w:rsidR="001C2CAA" w:rsidRPr="003006D9">
        <w:rPr>
          <w:rFonts w:cs="Arial"/>
          <w:lang w:val="es-CO"/>
        </w:rPr>
        <w:t xml:space="preserve">definir el </w:t>
      </w:r>
      <w:r w:rsidR="001619E2" w:rsidRPr="003006D9">
        <w:rPr>
          <w:rFonts w:cs="Arial"/>
          <w:lang w:val="es-CO"/>
        </w:rPr>
        <w:t xml:space="preserve">precio </w:t>
      </w:r>
      <w:r w:rsidR="00034B20" w:rsidRPr="003006D9">
        <w:rPr>
          <w:rFonts w:cs="Arial"/>
          <w:lang w:val="es-CO"/>
        </w:rPr>
        <w:t xml:space="preserve">base de la subasta electrónica </w:t>
      </w:r>
      <w:r w:rsidR="00C60D7A" w:rsidRPr="003006D9">
        <w:rPr>
          <w:rFonts w:cs="Arial"/>
          <w:lang w:val="es-CO"/>
        </w:rPr>
        <w:t xml:space="preserve">o precio </w:t>
      </w:r>
      <w:r w:rsidR="001619E2" w:rsidRPr="003006D9">
        <w:rPr>
          <w:rFonts w:cs="Arial"/>
          <w:lang w:val="es-CO"/>
        </w:rPr>
        <w:t xml:space="preserve">mínimo de venta en el proceso de selección abreviada, </w:t>
      </w:r>
      <w:r w:rsidR="00D5287D" w:rsidRPr="003006D9">
        <w:rPr>
          <w:rFonts w:cs="Arial"/>
          <w:lang w:val="es-CO"/>
        </w:rPr>
        <w:t xml:space="preserve">teniendo en cuenta </w:t>
      </w:r>
      <w:r w:rsidR="001619E2" w:rsidRPr="003006D9">
        <w:rPr>
          <w:rFonts w:cs="Arial"/>
          <w:lang w:val="es-CO"/>
        </w:rPr>
        <w:t xml:space="preserve">que </w:t>
      </w:r>
      <w:r w:rsidRPr="003006D9">
        <w:rPr>
          <w:rFonts w:cs="Arial"/>
          <w:lang w:val="es-CO"/>
        </w:rPr>
        <w:t>la fecha en que fue elaborado</w:t>
      </w:r>
      <w:r w:rsidR="001619E2" w:rsidRPr="003006D9">
        <w:rPr>
          <w:rFonts w:cs="Arial"/>
          <w:lang w:val="es-CO"/>
        </w:rPr>
        <w:t xml:space="preserve"> </w:t>
      </w:r>
      <w:r w:rsidR="00A97166" w:rsidRPr="003006D9">
        <w:rPr>
          <w:rFonts w:cs="Arial"/>
          <w:lang w:val="es-CO"/>
        </w:rPr>
        <w:t xml:space="preserve">este informe </w:t>
      </w:r>
      <w:r w:rsidR="001619E2" w:rsidRPr="003006D9">
        <w:rPr>
          <w:rFonts w:cs="Arial"/>
          <w:lang w:val="es-CO"/>
        </w:rPr>
        <w:t xml:space="preserve">es posterior a la </w:t>
      </w:r>
      <w:r w:rsidR="00C60D7A" w:rsidRPr="003006D9">
        <w:rPr>
          <w:rFonts w:cs="Arial"/>
          <w:lang w:val="es-CO"/>
        </w:rPr>
        <w:t xml:space="preserve">fecha </w:t>
      </w:r>
      <w:r w:rsidR="001619E2" w:rsidRPr="003006D9">
        <w:rPr>
          <w:rFonts w:cs="Arial"/>
          <w:lang w:val="es-CO"/>
        </w:rPr>
        <w:t>del cierre para presentar propuestas</w:t>
      </w:r>
      <w:r w:rsidRPr="003006D9">
        <w:rPr>
          <w:rFonts w:cs="Arial"/>
          <w:lang w:val="es-CO"/>
        </w:rPr>
        <w:t xml:space="preserve">. </w:t>
      </w:r>
    </w:p>
    <w:p w:rsidR="00B61DA6" w:rsidRPr="003006D9" w:rsidRDefault="00B61DA6" w:rsidP="00570534">
      <w:pPr>
        <w:rPr>
          <w:rFonts w:cs="Arial"/>
          <w:lang w:val="es-CO"/>
        </w:rPr>
      </w:pPr>
    </w:p>
    <w:p w:rsidR="00570534" w:rsidRPr="003006D9" w:rsidRDefault="006F090A" w:rsidP="00570534">
      <w:pPr>
        <w:rPr>
          <w:rFonts w:cs="Arial"/>
          <w:lang w:val="es-CO"/>
        </w:rPr>
      </w:pPr>
      <w:r w:rsidRPr="003006D9">
        <w:rPr>
          <w:rFonts w:cs="Arial"/>
          <w:lang w:val="es-CO"/>
        </w:rPr>
        <w:t>Por otra parte, h</w:t>
      </w:r>
      <w:r w:rsidR="00570534" w:rsidRPr="003006D9">
        <w:rPr>
          <w:rFonts w:cs="Arial"/>
          <w:lang w:val="es-CO"/>
        </w:rPr>
        <w:t>abi</w:t>
      </w:r>
      <w:r w:rsidR="005B4E52" w:rsidRPr="003006D9">
        <w:rPr>
          <w:rFonts w:cs="Arial"/>
          <w:lang w:val="es-CO"/>
        </w:rPr>
        <w:t>e</w:t>
      </w:r>
      <w:r w:rsidR="00570534" w:rsidRPr="003006D9">
        <w:rPr>
          <w:rFonts w:cs="Arial"/>
          <w:lang w:val="es-CO"/>
        </w:rPr>
        <w:t xml:space="preserve">ndo </w:t>
      </w:r>
      <w:r w:rsidR="005B4E52" w:rsidRPr="003006D9">
        <w:rPr>
          <w:rFonts w:cs="Arial"/>
          <w:lang w:val="es-CO"/>
        </w:rPr>
        <w:t xml:space="preserve">ocurrido el cierre del </w:t>
      </w:r>
      <w:r w:rsidR="00570534" w:rsidRPr="003006D9">
        <w:rPr>
          <w:rFonts w:cs="Arial"/>
          <w:lang w:val="es-CO"/>
        </w:rPr>
        <w:t>plazo para presentar las ofertas en el proceso de selección abreviada</w:t>
      </w:r>
      <w:r w:rsidR="005B4E52" w:rsidRPr="003006D9">
        <w:rPr>
          <w:rFonts w:cs="Arial"/>
          <w:lang w:val="es-CO"/>
        </w:rPr>
        <w:t xml:space="preserve"> GC-SA-01-32-2010</w:t>
      </w:r>
      <w:r w:rsidR="00570534" w:rsidRPr="003006D9">
        <w:rPr>
          <w:rFonts w:cs="Arial"/>
          <w:lang w:val="es-CO"/>
        </w:rPr>
        <w:t>-</w:t>
      </w:r>
      <w:r w:rsidR="005B4E52" w:rsidRPr="003006D9">
        <w:rPr>
          <w:rFonts w:cs="Arial"/>
          <w:lang w:val="es-CO"/>
        </w:rPr>
        <w:t xml:space="preserve"> el </w:t>
      </w:r>
      <w:r w:rsidR="00570534" w:rsidRPr="003006D9">
        <w:rPr>
          <w:rFonts w:cs="Arial"/>
          <w:lang w:val="es-CO"/>
        </w:rPr>
        <w:t>20 de agosto de 2010-, mediante comunicación 1810-2010 de 16 de septiembre de 2010, suscrita por el jefe de la oficina asesora jurídica, dirigida a Héctor José García Santiago, Grupo de Gestión Contractual del ICA, esa oficina presentó sus observaciones, así:</w:t>
      </w:r>
    </w:p>
    <w:p w:rsidR="00B61DA6" w:rsidRPr="003006D9" w:rsidRDefault="00B61DA6" w:rsidP="00BD1AF6">
      <w:pPr>
        <w:spacing w:line="276" w:lineRule="auto"/>
        <w:ind w:left="567" w:right="708"/>
        <w:rPr>
          <w:rFonts w:cs="Arial"/>
          <w:i/>
          <w:lang w:val="es-CO"/>
        </w:rPr>
      </w:pPr>
    </w:p>
    <w:p w:rsidR="00570534" w:rsidRPr="003006D9" w:rsidRDefault="00570534" w:rsidP="00327E72">
      <w:pPr>
        <w:spacing w:line="276" w:lineRule="auto"/>
        <w:ind w:left="567" w:right="708"/>
        <w:rPr>
          <w:rFonts w:cs="Arial"/>
          <w:i/>
          <w:lang w:val="es-CO"/>
        </w:rPr>
      </w:pPr>
      <w:r w:rsidRPr="003006D9">
        <w:rPr>
          <w:rFonts w:cs="Arial"/>
          <w:i/>
          <w:lang w:val="es-CO"/>
        </w:rPr>
        <w:t>“De conformidad con lo anteriormente expuesto, esta Oficina Asesora Jurídica considera que el área correspondiente al banco de germoplasma de chontaduro existente en el predio El Mira no debe ser objeto de enajenación, sino que se debe mantener la propiedad en cabeza del Instituto Agropecuario ICA.</w:t>
      </w:r>
    </w:p>
    <w:p w:rsidR="00B61DA6" w:rsidRPr="003006D9" w:rsidRDefault="00B61DA6" w:rsidP="00327E72">
      <w:pPr>
        <w:spacing w:line="276" w:lineRule="auto"/>
        <w:ind w:left="567" w:right="708"/>
        <w:rPr>
          <w:rFonts w:cs="Arial"/>
          <w:i/>
          <w:lang w:val="es-CO"/>
        </w:rPr>
      </w:pPr>
    </w:p>
    <w:p w:rsidR="00570534" w:rsidRPr="003006D9" w:rsidRDefault="00570534" w:rsidP="00327E72">
      <w:pPr>
        <w:spacing w:line="276" w:lineRule="auto"/>
        <w:ind w:left="567" w:right="708"/>
        <w:rPr>
          <w:rFonts w:cs="Arial"/>
          <w:i/>
          <w:lang w:val="es-CO"/>
        </w:rPr>
      </w:pPr>
      <w:r w:rsidRPr="003006D9">
        <w:rPr>
          <w:rFonts w:cs="Arial"/>
          <w:i/>
          <w:lang w:val="es-CO"/>
        </w:rPr>
        <w:t>“En el mismo sentido consideramos que la enajenación tampoco debe incluir la planta de biodisel instalada en los terrenos de El Mira, de propiedad de la Corporación Colombiana de Investigación CORPOICA, de lo cual es conveniente dejar constancia en el acto de transferencia</w:t>
      </w:r>
      <w:r w:rsidRPr="003006D9">
        <w:rPr>
          <w:rStyle w:val="Refdenotaalpie"/>
          <w:rFonts w:cs="Arial"/>
          <w:i/>
          <w:lang w:val="es-CO"/>
        </w:rPr>
        <w:footnoteReference w:id="52"/>
      </w:r>
      <w:r w:rsidRPr="003006D9">
        <w:rPr>
          <w:rFonts w:cs="Arial"/>
          <w:i/>
          <w:lang w:val="es-CO"/>
        </w:rPr>
        <w:t>.</w:t>
      </w:r>
    </w:p>
    <w:p w:rsidR="00B61DA6" w:rsidRPr="003006D9" w:rsidRDefault="00B61DA6" w:rsidP="00327E72">
      <w:pPr>
        <w:spacing w:line="276" w:lineRule="auto"/>
        <w:ind w:left="567" w:right="708"/>
        <w:rPr>
          <w:rFonts w:cs="Arial"/>
          <w:i/>
          <w:lang w:val="es-CO"/>
        </w:rPr>
      </w:pPr>
    </w:p>
    <w:p w:rsidR="00570534" w:rsidRPr="003006D9" w:rsidRDefault="00570534" w:rsidP="00327E72">
      <w:pPr>
        <w:spacing w:line="276" w:lineRule="auto"/>
        <w:ind w:left="567" w:right="708"/>
        <w:rPr>
          <w:rFonts w:cs="Arial"/>
          <w:i/>
          <w:lang w:val="es-CO"/>
        </w:rPr>
      </w:pPr>
      <w:r w:rsidRPr="003006D9">
        <w:rPr>
          <w:rFonts w:cs="Arial"/>
          <w:i/>
          <w:lang w:val="es-CO"/>
        </w:rPr>
        <w:lastRenderedPageBreak/>
        <w:t>“Finalmente, reiteramos que en criterio de esta Oficina Asesora el proceso de enajenación de los bienes inmuebles incluidos en el plan de enajenación, no permite la aplicación de las normas del remate contenidas en el Código de Procedimiento Civil, por existir normas especiales aplicables, según lo disponen las Leyes 80 de 1993, 1150 de 2007 y el Decreto 4444 de 2008”</w:t>
      </w:r>
      <w:r w:rsidRPr="003006D9">
        <w:rPr>
          <w:rStyle w:val="Refdenotaalpie"/>
          <w:rFonts w:cs="Arial"/>
          <w:i/>
          <w:lang w:val="es-CO"/>
        </w:rPr>
        <w:footnoteReference w:id="53"/>
      </w:r>
      <w:r w:rsidRPr="003006D9">
        <w:rPr>
          <w:rFonts w:cs="Arial"/>
          <w:i/>
          <w:lang w:val="es-CO"/>
        </w:rPr>
        <w:t>.</w:t>
      </w:r>
    </w:p>
    <w:p w:rsidR="00570534" w:rsidRPr="003006D9" w:rsidRDefault="00570534" w:rsidP="00327E72">
      <w:pPr>
        <w:spacing w:line="276" w:lineRule="auto"/>
        <w:rPr>
          <w:rFonts w:cs="Arial"/>
          <w:lang w:val="es-CO"/>
        </w:rPr>
      </w:pPr>
    </w:p>
    <w:p w:rsidR="00E0560B" w:rsidRPr="003006D9" w:rsidRDefault="005B4E52" w:rsidP="00570534">
      <w:pPr>
        <w:rPr>
          <w:rFonts w:cs="Arial"/>
          <w:lang w:val="es-CO"/>
        </w:rPr>
      </w:pPr>
      <w:r w:rsidRPr="003006D9">
        <w:rPr>
          <w:rFonts w:cs="Arial"/>
          <w:lang w:val="es-CO"/>
        </w:rPr>
        <w:t>También c</w:t>
      </w:r>
      <w:r w:rsidR="00570534" w:rsidRPr="003006D9">
        <w:rPr>
          <w:rFonts w:cs="Arial"/>
          <w:lang w:val="es-CO"/>
        </w:rPr>
        <w:t xml:space="preserve">on fecha posterior a aquella en que se cerró el plazo para presentar ofertas dentro del procedimiento de selección </w:t>
      </w:r>
      <w:r w:rsidR="00C60D7A" w:rsidRPr="003006D9">
        <w:rPr>
          <w:rFonts w:cs="Arial"/>
          <w:lang w:val="es-CO"/>
        </w:rPr>
        <w:t xml:space="preserve">abreviada </w:t>
      </w:r>
      <w:r w:rsidR="00E0560B" w:rsidRPr="003006D9">
        <w:rPr>
          <w:rFonts w:cs="Arial"/>
          <w:lang w:val="es-CO"/>
        </w:rPr>
        <w:t>GS-SA-01-32-2010  -</w:t>
      </w:r>
      <w:r w:rsidR="00570534" w:rsidRPr="003006D9">
        <w:rPr>
          <w:rFonts w:cs="Arial"/>
          <w:lang w:val="es-CO"/>
        </w:rPr>
        <w:t>al que solo se presentó FEDEPALMA</w:t>
      </w:r>
      <w:r w:rsidR="00E0560B" w:rsidRPr="003006D9">
        <w:rPr>
          <w:rFonts w:cs="Arial"/>
          <w:lang w:val="es-CO"/>
        </w:rPr>
        <w:t xml:space="preserve">- </w:t>
      </w:r>
      <w:r w:rsidR="00570534" w:rsidRPr="003006D9">
        <w:rPr>
          <w:rFonts w:cs="Arial"/>
          <w:lang w:val="es-CO"/>
        </w:rPr>
        <w:t xml:space="preserve">se </w:t>
      </w:r>
      <w:r w:rsidR="00327E72" w:rsidRPr="003006D9">
        <w:rPr>
          <w:rFonts w:cs="Arial"/>
          <w:lang w:val="es-CO"/>
        </w:rPr>
        <w:t xml:space="preserve">allegó al ICA </w:t>
      </w:r>
      <w:r w:rsidR="00A97166" w:rsidRPr="003006D9">
        <w:rPr>
          <w:rFonts w:cs="Arial"/>
          <w:lang w:val="es-CO"/>
        </w:rPr>
        <w:t xml:space="preserve">un nuevo </w:t>
      </w:r>
      <w:r w:rsidR="00327E72" w:rsidRPr="003006D9">
        <w:rPr>
          <w:rFonts w:cs="Arial"/>
          <w:lang w:val="es-CO"/>
        </w:rPr>
        <w:t>a</w:t>
      </w:r>
      <w:r w:rsidR="00570534" w:rsidRPr="003006D9">
        <w:rPr>
          <w:rFonts w:cs="Arial"/>
          <w:lang w:val="es-CO"/>
        </w:rPr>
        <w:t xml:space="preserve">valúo de la Lonja de Propiedad Raíz de Nariño y Putumayo de </w:t>
      </w:r>
      <w:r w:rsidR="000676AF" w:rsidRPr="003006D9">
        <w:rPr>
          <w:rFonts w:cs="Arial"/>
          <w:lang w:val="es-CO"/>
        </w:rPr>
        <w:t>s</w:t>
      </w:r>
      <w:r w:rsidR="00570534" w:rsidRPr="003006D9">
        <w:rPr>
          <w:rFonts w:cs="Arial"/>
          <w:lang w:val="es-CO"/>
        </w:rPr>
        <w:t>eptiembre de 2010</w:t>
      </w:r>
      <w:r w:rsidR="00570534" w:rsidRPr="003006D9">
        <w:rPr>
          <w:rStyle w:val="Refdenotaalpie"/>
          <w:rFonts w:cs="Arial"/>
          <w:lang w:val="es-CO"/>
        </w:rPr>
        <w:footnoteReference w:id="54"/>
      </w:r>
      <w:r w:rsidR="00570534" w:rsidRPr="003006D9">
        <w:rPr>
          <w:rFonts w:cs="Arial"/>
          <w:lang w:val="es-CO"/>
        </w:rPr>
        <w:t xml:space="preserve">, el cual arrojó un valor total de $4.070’799.000, ligeramente inferior a la suma de $4.134’ 705.000, que se había fijado como precio mínimo de venta en la convocatoria al procedimiento de selección GS-SA-01-32-2010. </w:t>
      </w:r>
    </w:p>
    <w:p w:rsidR="00E0560B" w:rsidRPr="003006D9" w:rsidRDefault="00E0560B" w:rsidP="00570534">
      <w:pPr>
        <w:rPr>
          <w:rFonts w:cs="Arial"/>
          <w:lang w:val="es-CO"/>
        </w:rPr>
      </w:pPr>
    </w:p>
    <w:p w:rsidR="00570534" w:rsidRPr="003006D9" w:rsidRDefault="00570534" w:rsidP="00570534">
      <w:pPr>
        <w:rPr>
          <w:rFonts w:cs="Arial"/>
          <w:lang w:val="es-CO"/>
        </w:rPr>
      </w:pPr>
      <w:r w:rsidRPr="003006D9">
        <w:rPr>
          <w:rFonts w:cs="Arial"/>
          <w:lang w:val="es-CO"/>
        </w:rPr>
        <w:t xml:space="preserve">En </w:t>
      </w:r>
      <w:r w:rsidR="000676AF" w:rsidRPr="003006D9">
        <w:rPr>
          <w:rFonts w:cs="Arial"/>
          <w:lang w:val="es-CO"/>
        </w:rPr>
        <w:t xml:space="preserve">el </w:t>
      </w:r>
      <w:r w:rsidRPr="003006D9">
        <w:rPr>
          <w:rFonts w:cs="Arial"/>
          <w:lang w:val="es-CO"/>
        </w:rPr>
        <w:t xml:space="preserve">avalúo de septiembre de 2010 </w:t>
      </w:r>
      <w:r w:rsidR="000676AF" w:rsidRPr="003006D9">
        <w:rPr>
          <w:rFonts w:cs="Arial"/>
          <w:lang w:val="es-CO"/>
        </w:rPr>
        <w:t xml:space="preserve">se </w:t>
      </w:r>
      <w:r w:rsidRPr="003006D9">
        <w:rPr>
          <w:rFonts w:cs="Arial"/>
          <w:lang w:val="es-CO"/>
        </w:rPr>
        <w:t>present</w:t>
      </w:r>
      <w:r w:rsidR="000676AF" w:rsidRPr="003006D9">
        <w:rPr>
          <w:rFonts w:cs="Arial"/>
          <w:lang w:val="es-CO"/>
        </w:rPr>
        <w:t xml:space="preserve">aron </w:t>
      </w:r>
      <w:r w:rsidRPr="003006D9">
        <w:rPr>
          <w:rFonts w:cs="Arial"/>
          <w:lang w:val="es-CO"/>
        </w:rPr>
        <w:t>las siguientes cifras:</w:t>
      </w:r>
    </w:p>
    <w:p w:rsidR="00D94ACE" w:rsidRPr="003006D9" w:rsidRDefault="00D94ACE" w:rsidP="00570534">
      <w:pPr>
        <w:rPr>
          <w:rFonts w:cs="Arial"/>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716"/>
      </w:tblGrid>
      <w:tr w:rsidR="00570534" w:rsidRPr="003006D9" w:rsidTr="00D94ACE">
        <w:tc>
          <w:tcPr>
            <w:tcW w:w="5070" w:type="dxa"/>
            <w:shd w:val="clear" w:color="auto" w:fill="auto"/>
          </w:tcPr>
          <w:p w:rsidR="00570534" w:rsidRPr="003006D9" w:rsidRDefault="000676AF" w:rsidP="00327E72">
            <w:pPr>
              <w:spacing w:line="276" w:lineRule="auto"/>
              <w:ind w:left="567" w:right="902"/>
              <w:rPr>
                <w:rFonts w:cs="Arial"/>
                <w:i/>
                <w:lang w:val="es-CO"/>
              </w:rPr>
            </w:pPr>
            <w:r w:rsidRPr="003006D9">
              <w:rPr>
                <w:rFonts w:cs="Arial"/>
                <w:i/>
                <w:lang w:val="es-CO"/>
              </w:rPr>
              <w:t>“</w:t>
            </w:r>
            <w:r w:rsidR="00570534" w:rsidRPr="003006D9">
              <w:rPr>
                <w:rFonts w:cs="Arial"/>
                <w:i/>
                <w:lang w:val="es-CO"/>
              </w:rPr>
              <w:t>DESCRIPCIÓN</w:t>
            </w:r>
          </w:p>
        </w:tc>
        <w:tc>
          <w:tcPr>
            <w:tcW w:w="3716" w:type="dxa"/>
            <w:shd w:val="clear" w:color="auto" w:fill="auto"/>
          </w:tcPr>
          <w:p w:rsidR="00570534" w:rsidRPr="003006D9" w:rsidRDefault="00570534" w:rsidP="00327E72">
            <w:pPr>
              <w:spacing w:line="276" w:lineRule="auto"/>
              <w:ind w:left="567" w:right="902"/>
              <w:jc w:val="right"/>
              <w:rPr>
                <w:rFonts w:cs="Arial"/>
                <w:i/>
                <w:lang w:val="es-CO"/>
              </w:rPr>
            </w:pPr>
            <w:r w:rsidRPr="003006D9">
              <w:rPr>
                <w:rFonts w:cs="Arial"/>
                <w:i/>
                <w:lang w:val="es-CO"/>
              </w:rPr>
              <w:t>VALOR TOTAL</w:t>
            </w:r>
          </w:p>
        </w:tc>
      </w:tr>
      <w:tr w:rsidR="00570534" w:rsidRPr="003006D9" w:rsidTr="00D94ACE">
        <w:tc>
          <w:tcPr>
            <w:tcW w:w="5070" w:type="dxa"/>
            <w:shd w:val="clear" w:color="auto" w:fill="auto"/>
          </w:tcPr>
          <w:p w:rsidR="00570534" w:rsidRPr="003006D9" w:rsidRDefault="000676AF" w:rsidP="00327E72">
            <w:pPr>
              <w:spacing w:line="276" w:lineRule="auto"/>
              <w:ind w:left="567" w:right="902"/>
              <w:rPr>
                <w:rFonts w:cs="Arial"/>
                <w:i/>
                <w:lang w:val="es-CO"/>
              </w:rPr>
            </w:pPr>
            <w:r w:rsidRPr="003006D9">
              <w:rPr>
                <w:rFonts w:cs="Arial"/>
                <w:i/>
                <w:lang w:val="es-CO"/>
              </w:rPr>
              <w:t>“</w:t>
            </w:r>
            <w:r w:rsidR="00570534" w:rsidRPr="003006D9">
              <w:rPr>
                <w:rFonts w:cs="Arial"/>
                <w:i/>
                <w:lang w:val="es-CO"/>
              </w:rPr>
              <w:t>VALOR TERRENO</w:t>
            </w:r>
          </w:p>
        </w:tc>
        <w:tc>
          <w:tcPr>
            <w:tcW w:w="3716" w:type="dxa"/>
            <w:shd w:val="clear" w:color="auto" w:fill="auto"/>
          </w:tcPr>
          <w:p w:rsidR="00570534" w:rsidRPr="003006D9" w:rsidRDefault="00570534" w:rsidP="00253840">
            <w:pPr>
              <w:spacing w:line="276" w:lineRule="auto"/>
              <w:ind w:left="567" w:right="902"/>
              <w:jc w:val="right"/>
              <w:rPr>
                <w:rFonts w:cs="Arial"/>
                <w:i/>
                <w:lang w:val="es-CO"/>
              </w:rPr>
            </w:pPr>
            <w:r w:rsidRPr="003006D9">
              <w:rPr>
                <w:rFonts w:cs="Arial"/>
                <w:i/>
                <w:lang w:val="es-CO"/>
              </w:rPr>
              <w:t>2.609</w:t>
            </w:r>
            <w:r w:rsidR="00253840" w:rsidRPr="003006D9">
              <w:rPr>
                <w:rFonts w:cs="Arial"/>
                <w:i/>
                <w:lang w:val="es-CO"/>
              </w:rPr>
              <w:t>’</w:t>
            </w:r>
            <w:r w:rsidRPr="003006D9">
              <w:rPr>
                <w:rFonts w:cs="Arial"/>
                <w:i/>
                <w:lang w:val="es-CO"/>
              </w:rPr>
              <w:t>775.000</w:t>
            </w:r>
          </w:p>
        </w:tc>
      </w:tr>
      <w:tr w:rsidR="00570534" w:rsidRPr="003006D9" w:rsidTr="00D94ACE">
        <w:tc>
          <w:tcPr>
            <w:tcW w:w="5070" w:type="dxa"/>
            <w:shd w:val="clear" w:color="auto" w:fill="auto"/>
          </w:tcPr>
          <w:p w:rsidR="00570534" w:rsidRPr="003006D9" w:rsidRDefault="000676AF" w:rsidP="00327E72">
            <w:pPr>
              <w:spacing w:line="276" w:lineRule="auto"/>
              <w:ind w:left="567" w:right="902"/>
              <w:rPr>
                <w:rFonts w:cs="Arial"/>
                <w:i/>
                <w:lang w:val="es-CO"/>
              </w:rPr>
            </w:pPr>
            <w:r w:rsidRPr="003006D9">
              <w:rPr>
                <w:rFonts w:cs="Arial"/>
                <w:i/>
                <w:lang w:val="es-CO"/>
              </w:rPr>
              <w:t>“</w:t>
            </w:r>
            <w:r w:rsidR="00570534" w:rsidRPr="003006D9">
              <w:rPr>
                <w:rFonts w:cs="Arial"/>
                <w:i/>
                <w:lang w:val="es-CO"/>
              </w:rPr>
              <w:t>VALOR EDIFICACIONES</w:t>
            </w:r>
          </w:p>
        </w:tc>
        <w:tc>
          <w:tcPr>
            <w:tcW w:w="3716" w:type="dxa"/>
            <w:shd w:val="clear" w:color="auto" w:fill="auto"/>
          </w:tcPr>
          <w:p w:rsidR="00570534" w:rsidRPr="003006D9" w:rsidRDefault="00570534" w:rsidP="00327E72">
            <w:pPr>
              <w:spacing w:line="276" w:lineRule="auto"/>
              <w:ind w:left="567" w:right="902"/>
              <w:jc w:val="right"/>
              <w:rPr>
                <w:rFonts w:cs="Arial"/>
                <w:i/>
                <w:lang w:val="es-CO"/>
              </w:rPr>
            </w:pPr>
            <w:r w:rsidRPr="003006D9">
              <w:rPr>
                <w:rFonts w:cs="Arial"/>
                <w:i/>
                <w:lang w:val="es-CO"/>
              </w:rPr>
              <w:t>1.117’984.000</w:t>
            </w:r>
          </w:p>
        </w:tc>
      </w:tr>
      <w:tr w:rsidR="00570534" w:rsidRPr="003006D9" w:rsidTr="00D94ACE">
        <w:tc>
          <w:tcPr>
            <w:tcW w:w="5070" w:type="dxa"/>
            <w:shd w:val="clear" w:color="auto" w:fill="auto"/>
          </w:tcPr>
          <w:p w:rsidR="00570534" w:rsidRPr="003006D9" w:rsidRDefault="000676AF" w:rsidP="00327E72">
            <w:pPr>
              <w:spacing w:line="276" w:lineRule="auto"/>
              <w:ind w:left="567" w:right="902"/>
              <w:rPr>
                <w:rFonts w:cs="Arial"/>
                <w:i/>
                <w:lang w:val="es-CO"/>
              </w:rPr>
            </w:pPr>
            <w:r w:rsidRPr="003006D9">
              <w:rPr>
                <w:rFonts w:cs="Arial"/>
                <w:i/>
                <w:lang w:val="es-CO"/>
              </w:rPr>
              <w:t>“</w:t>
            </w:r>
            <w:r w:rsidR="00570534" w:rsidRPr="003006D9">
              <w:rPr>
                <w:rFonts w:cs="Arial"/>
                <w:i/>
                <w:lang w:val="es-CO"/>
              </w:rPr>
              <w:t>VIAS INTERNAS</w:t>
            </w:r>
          </w:p>
        </w:tc>
        <w:tc>
          <w:tcPr>
            <w:tcW w:w="3716" w:type="dxa"/>
            <w:shd w:val="clear" w:color="auto" w:fill="auto"/>
          </w:tcPr>
          <w:p w:rsidR="00570534" w:rsidRPr="003006D9" w:rsidRDefault="00570534" w:rsidP="00327E72">
            <w:pPr>
              <w:spacing w:line="276" w:lineRule="auto"/>
              <w:ind w:left="567" w:right="902"/>
              <w:jc w:val="right"/>
              <w:rPr>
                <w:rFonts w:cs="Arial"/>
                <w:i/>
                <w:lang w:val="es-CO"/>
              </w:rPr>
            </w:pPr>
            <w:r w:rsidRPr="003006D9">
              <w:rPr>
                <w:rFonts w:cs="Arial"/>
                <w:i/>
                <w:lang w:val="es-CO"/>
              </w:rPr>
              <w:t>110’000.000</w:t>
            </w:r>
          </w:p>
        </w:tc>
      </w:tr>
      <w:tr w:rsidR="00570534" w:rsidRPr="003006D9" w:rsidTr="00D94ACE">
        <w:tc>
          <w:tcPr>
            <w:tcW w:w="5070" w:type="dxa"/>
            <w:shd w:val="clear" w:color="auto" w:fill="auto"/>
          </w:tcPr>
          <w:p w:rsidR="00570534" w:rsidRPr="003006D9" w:rsidRDefault="000676AF" w:rsidP="00327E72">
            <w:pPr>
              <w:spacing w:line="276" w:lineRule="auto"/>
              <w:ind w:left="567" w:right="902"/>
              <w:rPr>
                <w:rFonts w:cs="Arial"/>
                <w:i/>
                <w:lang w:val="es-CO"/>
              </w:rPr>
            </w:pPr>
            <w:r w:rsidRPr="003006D9">
              <w:rPr>
                <w:rFonts w:cs="Arial"/>
                <w:i/>
                <w:lang w:val="es-CO"/>
              </w:rPr>
              <w:t>“</w:t>
            </w:r>
            <w:r w:rsidR="00570534" w:rsidRPr="003006D9">
              <w:rPr>
                <w:rFonts w:cs="Arial"/>
                <w:i/>
                <w:lang w:val="es-CO"/>
              </w:rPr>
              <w:t>CULTIVOS PERMANENTES</w:t>
            </w:r>
          </w:p>
        </w:tc>
        <w:tc>
          <w:tcPr>
            <w:tcW w:w="3716" w:type="dxa"/>
            <w:shd w:val="clear" w:color="auto" w:fill="auto"/>
          </w:tcPr>
          <w:p w:rsidR="00570534" w:rsidRPr="003006D9" w:rsidRDefault="00570534" w:rsidP="00327E72">
            <w:pPr>
              <w:spacing w:line="276" w:lineRule="auto"/>
              <w:ind w:left="567" w:right="902"/>
              <w:jc w:val="right"/>
              <w:rPr>
                <w:rFonts w:cs="Arial"/>
                <w:i/>
                <w:lang w:val="es-CO"/>
              </w:rPr>
            </w:pPr>
            <w:r w:rsidRPr="003006D9">
              <w:rPr>
                <w:rFonts w:cs="Arial"/>
                <w:i/>
                <w:lang w:val="es-CO"/>
              </w:rPr>
              <w:t>233’040.000</w:t>
            </w:r>
          </w:p>
        </w:tc>
      </w:tr>
      <w:tr w:rsidR="00570534" w:rsidRPr="003006D9" w:rsidTr="00D94ACE">
        <w:tc>
          <w:tcPr>
            <w:tcW w:w="5070" w:type="dxa"/>
            <w:shd w:val="clear" w:color="auto" w:fill="auto"/>
          </w:tcPr>
          <w:p w:rsidR="00570534" w:rsidRPr="003006D9" w:rsidRDefault="000676AF" w:rsidP="00327E72">
            <w:pPr>
              <w:spacing w:line="276" w:lineRule="auto"/>
              <w:ind w:left="567" w:right="902"/>
              <w:rPr>
                <w:rFonts w:cs="Arial"/>
                <w:b/>
                <w:i/>
                <w:lang w:val="es-CO"/>
              </w:rPr>
            </w:pPr>
            <w:r w:rsidRPr="003006D9">
              <w:rPr>
                <w:rFonts w:cs="Arial"/>
                <w:i/>
                <w:lang w:val="es-CO"/>
              </w:rPr>
              <w:t>“</w:t>
            </w:r>
            <w:r w:rsidR="00570534" w:rsidRPr="003006D9">
              <w:rPr>
                <w:rFonts w:cs="Arial"/>
                <w:b/>
                <w:i/>
                <w:lang w:val="es-CO"/>
              </w:rPr>
              <w:t>VALOR TOTAL DEL AVALÚO</w:t>
            </w:r>
            <w:r w:rsidR="001C2CAA" w:rsidRPr="003006D9">
              <w:rPr>
                <w:rStyle w:val="Refdenotaalpie"/>
                <w:rFonts w:cs="Arial"/>
                <w:b/>
                <w:i/>
                <w:lang w:val="es-CO"/>
              </w:rPr>
              <w:footnoteReference w:id="55"/>
            </w:r>
            <w:r w:rsidR="001C2CAA" w:rsidRPr="003006D9">
              <w:rPr>
                <w:rFonts w:cs="Arial"/>
                <w:b/>
                <w:i/>
                <w:lang w:val="es-CO"/>
              </w:rPr>
              <w:t>.</w:t>
            </w:r>
          </w:p>
        </w:tc>
        <w:tc>
          <w:tcPr>
            <w:tcW w:w="3716" w:type="dxa"/>
            <w:shd w:val="clear" w:color="auto" w:fill="auto"/>
          </w:tcPr>
          <w:p w:rsidR="00570534" w:rsidRPr="003006D9" w:rsidRDefault="00570534" w:rsidP="001C2CAA">
            <w:pPr>
              <w:spacing w:line="276" w:lineRule="auto"/>
              <w:ind w:left="567" w:right="902"/>
              <w:jc w:val="right"/>
              <w:rPr>
                <w:rFonts w:cs="Arial"/>
                <w:b/>
                <w:i/>
                <w:lang w:val="es-CO"/>
              </w:rPr>
            </w:pPr>
            <w:r w:rsidRPr="003006D9">
              <w:rPr>
                <w:rFonts w:cs="Arial"/>
                <w:b/>
                <w:i/>
                <w:lang w:val="es-CO"/>
              </w:rPr>
              <w:t>4.070’799.000</w:t>
            </w:r>
            <w:r w:rsidR="001C2CAA" w:rsidRPr="003006D9">
              <w:rPr>
                <w:rFonts w:cs="Arial"/>
                <w:i/>
                <w:lang w:val="es-CO"/>
              </w:rPr>
              <w:t>”</w:t>
            </w:r>
          </w:p>
        </w:tc>
      </w:tr>
    </w:tbl>
    <w:p w:rsidR="00570534" w:rsidRPr="003006D9" w:rsidRDefault="00570534" w:rsidP="000676AF">
      <w:pPr>
        <w:spacing w:line="276" w:lineRule="auto"/>
        <w:ind w:left="567" w:right="902"/>
        <w:rPr>
          <w:rFonts w:cs="Arial"/>
          <w:i/>
          <w:lang w:val="es-CO"/>
        </w:rPr>
      </w:pPr>
    </w:p>
    <w:p w:rsidR="00B61DA6" w:rsidRPr="003006D9" w:rsidRDefault="00C60D7A" w:rsidP="00B61DA6">
      <w:pPr>
        <w:rPr>
          <w:rFonts w:cs="Arial"/>
          <w:lang w:val="es-CO"/>
        </w:rPr>
      </w:pPr>
      <w:r w:rsidRPr="003006D9">
        <w:rPr>
          <w:rFonts w:cs="Arial"/>
          <w:lang w:val="es-CO"/>
        </w:rPr>
        <w:t xml:space="preserve">Finalmente, se encuentra acreditado en el </w:t>
      </w:r>
      <w:r w:rsidR="00D23378" w:rsidRPr="003006D9">
        <w:rPr>
          <w:rFonts w:cs="Arial"/>
          <w:lang w:val="es-CO"/>
        </w:rPr>
        <w:t xml:space="preserve">expediente </w:t>
      </w:r>
      <w:r w:rsidRPr="003006D9">
        <w:rPr>
          <w:rFonts w:cs="Arial"/>
          <w:lang w:val="es-CO"/>
        </w:rPr>
        <w:t xml:space="preserve">que el </w:t>
      </w:r>
      <w:r w:rsidR="00B61DA6" w:rsidRPr="003006D9">
        <w:rPr>
          <w:rFonts w:cs="Arial"/>
          <w:lang w:val="es-CO"/>
        </w:rPr>
        <w:t>17 de septiembre de 2010 se llevó a cabo la subasta pública electrónica, en la cual FEDEPALMA presentó postura por $4.165’000.000</w:t>
      </w:r>
      <w:r w:rsidR="00B61DA6" w:rsidRPr="003006D9">
        <w:rPr>
          <w:rStyle w:val="Refdenotaalpie"/>
          <w:rFonts w:cs="Arial"/>
          <w:lang w:val="es-CO"/>
        </w:rPr>
        <w:footnoteReference w:id="56"/>
      </w:r>
      <w:r w:rsidR="00E52AC0" w:rsidRPr="003006D9">
        <w:rPr>
          <w:rFonts w:cs="Arial"/>
          <w:lang w:val="es-CO"/>
        </w:rPr>
        <w:t xml:space="preserve"> y que m</w:t>
      </w:r>
      <w:r w:rsidR="00B61DA6" w:rsidRPr="003006D9">
        <w:rPr>
          <w:rFonts w:cs="Arial"/>
          <w:lang w:val="es-CO"/>
        </w:rPr>
        <w:t>ediante la Resolución 003098 de 17 de septiembre de 2010, suscrita por el gerente general del ICA, se resolvió adjudicar el bien inmueble “de propiedad del ICA</w:t>
      </w:r>
      <w:r w:rsidR="00A97166" w:rsidRPr="003006D9">
        <w:rPr>
          <w:rFonts w:cs="Arial"/>
          <w:lang w:val="es-CO"/>
        </w:rPr>
        <w:t>”</w:t>
      </w:r>
      <w:r w:rsidR="00B61DA6" w:rsidRPr="003006D9">
        <w:rPr>
          <w:rFonts w:cs="Arial"/>
          <w:lang w:val="es-CO"/>
        </w:rPr>
        <w:t>, denominado El Mira a FEDEPALMA, por la suma de $4.165’000.000</w:t>
      </w:r>
      <w:r w:rsidR="00B61DA6" w:rsidRPr="003006D9">
        <w:rPr>
          <w:rStyle w:val="Refdenotaalpie"/>
          <w:rFonts w:cs="Arial"/>
          <w:lang w:val="es-CO"/>
        </w:rPr>
        <w:footnoteReference w:id="57"/>
      </w:r>
      <w:r w:rsidR="00B61DA6" w:rsidRPr="003006D9">
        <w:rPr>
          <w:rFonts w:cs="Arial"/>
          <w:lang w:val="es-CO"/>
        </w:rPr>
        <w:t>.</w:t>
      </w:r>
    </w:p>
    <w:p w:rsidR="00077304" w:rsidRPr="003006D9" w:rsidRDefault="00077304" w:rsidP="00077304">
      <w:pPr>
        <w:spacing w:line="240" w:lineRule="auto"/>
        <w:rPr>
          <w:rFonts w:cs="Arial"/>
          <w:b/>
          <w:lang w:val="es-CO"/>
        </w:rPr>
      </w:pPr>
    </w:p>
    <w:p w:rsidR="00570534" w:rsidRPr="003006D9" w:rsidRDefault="003926D5" w:rsidP="00077304">
      <w:pPr>
        <w:spacing w:line="240" w:lineRule="auto"/>
        <w:rPr>
          <w:rFonts w:cs="Arial"/>
          <w:b/>
          <w:lang w:val="es-CO"/>
        </w:rPr>
      </w:pPr>
      <w:r w:rsidRPr="003006D9">
        <w:rPr>
          <w:rFonts w:cs="Arial"/>
          <w:b/>
          <w:lang w:val="es-CO"/>
        </w:rPr>
        <w:t>5</w:t>
      </w:r>
      <w:r w:rsidR="00B61DA6" w:rsidRPr="003006D9">
        <w:rPr>
          <w:rFonts w:cs="Arial"/>
          <w:b/>
          <w:lang w:val="es-CO"/>
        </w:rPr>
        <w:t xml:space="preserve">.4. </w:t>
      </w:r>
      <w:r w:rsidR="00570534" w:rsidRPr="003006D9">
        <w:rPr>
          <w:rFonts w:cs="Arial"/>
          <w:b/>
          <w:lang w:val="es-CO"/>
        </w:rPr>
        <w:t>Análisis de las diferencias en</w:t>
      </w:r>
      <w:r w:rsidR="001C2CAA" w:rsidRPr="003006D9">
        <w:rPr>
          <w:rFonts w:cs="Arial"/>
          <w:b/>
          <w:lang w:val="es-CO"/>
        </w:rPr>
        <w:t>tre</w:t>
      </w:r>
      <w:r w:rsidR="00570534" w:rsidRPr="003006D9">
        <w:rPr>
          <w:rFonts w:cs="Arial"/>
          <w:b/>
          <w:lang w:val="es-CO"/>
        </w:rPr>
        <w:t xml:space="preserve"> los avalúos de la Lonja de Propiedad Raíz de Nariño y Putumayo</w:t>
      </w:r>
    </w:p>
    <w:p w:rsidR="00E0560B" w:rsidRPr="003006D9" w:rsidRDefault="00E0560B" w:rsidP="00570534">
      <w:pPr>
        <w:rPr>
          <w:rFonts w:cs="Arial"/>
          <w:lang w:val="es-CO"/>
        </w:rPr>
      </w:pPr>
    </w:p>
    <w:p w:rsidR="00570534" w:rsidRPr="003006D9" w:rsidRDefault="00570534" w:rsidP="00570534">
      <w:pPr>
        <w:rPr>
          <w:rFonts w:cs="Arial"/>
          <w:lang w:val="es-CO"/>
        </w:rPr>
      </w:pPr>
      <w:r w:rsidRPr="003006D9">
        <w:rPr>
          <w:rFonts w:cs="Arial"/>
          <w:lang w:val="es-CO"/>
        </w:rPr>
        <w:t>La diferencia entre el avalúo de abril de 2010 y el avalúo de septiembre de 2010 consistió</w:t>
      </w:r>
      <w:r w:rsidR="004B4CD9" w:rsidRPr="003006D9">
        <w:rPr>
          <w:rFonts w:cs="Arial"/>
          <w:lang w:val="es-CO"/>
        </w:rPr>
        <w:t>,</w:t>
      </w:r>
      <w:r w:rsidRPr="003006D9">
        <w:rPr>
          <w:rFonts w:cs="Arial"/>
          <w:lang w:val="es-CO"/>
        </w:rPr>
        <w:t xml:space="preserve"> básicamente</w:t>
      </w:r>
      <w:r w:rsidR="004B4CD9" w:rsidRPr="003006D9">
        <w:rPr>
          <w:rFonts w:cs="Arial"/>
          <w:lang w:val="es-CO"/>
        </w:rPr>
        <w:t>,</w:t>
      </w:r>
      <w:r w:rsidRPr="003006D9">
        <w:rPr>
          <w:rFonts w:cs="Arial"/>
          <w:lang w:val="es-CO"/>
        </w:rPr>
        <w:t xml:space="preserve"> en lo siguiente: </w:t>
      </w:r>
      <w:r w:rsidRPr="003006D9">
        <w:rPr>
          <w:rFonts w:cs="Arial"/>
          <w:b/>
          <w:lang w:val="es-CO"/>
        </w:rPr>
        <w:t>i)</w:t>
      </w:r>
      <w:r w:rsidRPr="003006D9">
        <w:rPr>
          <w:rFonts w:cs="Arial"/>
          <w:lang w:val="es-CO"/>
        </w:rPr>
        <w:t xml:space="preserve"> e</w:t>
      </w:r>
      <w:r w:rsidR="00C73651" w:rsidRPr="003006D9">
        <w:rPr>
          <w:rFonts w:cs="Arial"/>
          <w:lang w:val="es-CO"/>
        </w:rPr>
        <w:t xml:space="preserve">n el avalúo de septiembre de 2010 el </w:t>
      </w:r>
      <w:r w:rsidRPr="003006D9">
        <w:rPr>
          <w:rFonts w:cs="Arial"/>
          <w:lang w:val="es-CO"/>
        </w:rPr>
        <w:t xml:space="preserve"> avaluador presentó nuevos datos en el cuadro de la</w:t>
      </w:r>
      <w:r w:rsidR="00920F1F" w:rsidRPr="003006D9">
        <w:rPr>
          <w:rFonts w:cs="Arial"/>
          <w:lang w:val="es-CO"/>
        </w:rPr>
        <w:t xml:space="preserve"> </w:t>
      </w:r>
      <w:r w:rsidR="00A03137" w:rsidRPr="003006D9">
        <w:rPr>
          <w:rFonts w:cs="Arial"/>
          <w:i/>
          <w:lang w:val="es-CO"/>
        </w:rPr>
        <w:t>“</w:t>
      </w:r>
      <w:r w:rsidR="00920F1F" w:rsidRPr="003006D9">
        <w:rPr>
          <w:rFonts w:cs="Arial"/>
          <w:i/>
          <w:lang w:val="es-CO"/>
        </w:rPr>
        <w:t>investigación directa</w:t>
      </w:r>
      <w:r w:rsidR="00A03137" w:rsidRPr="003006D9">
        <w:rPr>
          <w:rFonts w:cs="Arial"/>
          <w:lang w:val="es-CO"/>
        </w:rPr>
        <w:t>”</w:t>
      </w:r>
      <w:r w:rsidR="00920F1F" w:rsidRPr="003006D9">
        <w:rPr>
          <w:rFonts w:cs="Arial"/>
          <w:lang w:val="es-CO"/>
        </w:rPr>
        <w:t>, esto es</w:t>
      </w:r>
      <w:r w:rsidR="002C2405" w:rsidRPr="003006D9">
        <w:rPr>
          <w:rFonts w:cs="Arial"/>
          <w:lang w:val="es-CO"/>
        </w:rPr>
        <w:t>,</w:t>
      </w:r>
      <w:r w:rsidR="00920F1F" w:rsidRPr="003006D9">
        <w:rPr>
          <w:rFonts w:cs="Arial"/>
          <w:lang w:val="es-CO"/>
        </w:rPr>
        <w:t xml:space="preserve"> la</w:t>
      </w:r>
      <w:r w:rsidR="00A03137" w:rsidRPr="003006D9">
        <w:rPr>
          <w:rFonts w:cs="Arial"/>
          <w:lang w:val="es-CO"/>
        </w:rPr>
        <w:t xml:space="preserve"> referida a la</w:t>
      </w:r>
      <w:r w:rsidR="00920F1F" w:rsidRPr="003006D9">
        <w:rPr>
          <w:rFonts w:cs="Arial"/>
          <w:lang w:val="es-CO"/>
        </w:rPr>
        <w:t xml:space="preserve">s </w:t>
      </w:r>
      <w:r w:rsidRPr="003006D9">
        <w:rPr>
          <w:rFonts w:cs="Arial"/>
          <w:lang w:val="es-CO"/>
        </w:rPr>
        <w:t xml:space="preserve">encuestas realizadas </w:t>
      </w:r>
      <w:r w:rsidR="00A03137" w:rsidRPr="003006D9">
        <w:rPr>
          <w:rFonts w:cs="Arial"/>
          <w:lang w:val="es-CO"/>
        </w:rPr>
        <w:t xml:space="preserve">a expertos, </w:t>
      </w:r>
      <w:r w:rsidR="004B4CD9" w:rsidRPr="003006D9">
        <w:rPr>
          <w:rFonts w:cs="Arial"/>
          <w:lang w:val="es-CO"/>
        </w:rPr>
        <w:t xml:space="preserve">a partir de lo cual aplicó </w:t>
      </w:r>
      <w:r w:rsidRPr="003006D9">
        <w:rPr>
          <w:rFonts w:cs="Arial"/>
          <w:lang w:val="es-CO"/>
        </w:rPr>
        <w:t xml:space="preserve">el procedimiento estadístico </w:t>
      </w:r>
      <w:r w:rsidR="00E52AC0" w:rsidRPr="003006D9">
        <w:rPr>
          <w:rFonts w:cs="Arial"/>
          <w:lang w:val="es-CO"/>
        </w:rPr>
        <w:t xml:space="preserve">para calcular </w:t>
      </w:r>
      <w:r w:rsidRPr="003006D9">
        <w:rPr>
          <w:rFonts w:cs="Arial"/>
          <w:lang w:val="es-CO"/>
        </w:rPr>
        <w:t>la media aritmética, la desviación estándar y el resultado final del valor adoptado para el terreno</w:t>
      </w:r>
      <w:r w:rsidR="00D32206" w:rsidRPr="003006D9">
        <w:rPr>
          <w:rFonts w:cs="Arial"/>
          <w:lang w:val="es-CO"/>
        </w:rPr>
        <w:t xml:space="preserve">, </w:t>
      </w:r>
      <w:r w:rsidR="00A97166" w:rsidRPr="003006D9">
        <w:rPr>
          <w:rFonts w:cs="Arial"/>
          <w:lang w:val="es-CO"/>
        </w:rPr>
        <w:t xml:space="preserve">en </w:t>
      </w:r>
      <w:r w:rsidR="00735D74" w:rsidRPr="003006D9">
        <w:rPr>
          <w:rFonts w:cs="Arial"/>
          <w:lang w:val="es-CO"/>
        </w:rPr>
        <w:t>el cual se modificó a la baja el valor del terreno</w:t>
      </w:r>
      <w:r w:rsidR="00A97166" w:rsidRPr="003006D9">
        <w:rPr>
          <w:rFonts w:cs="Arial"/>
          <w:lang w:val="es-CO"/>
        </w:rPr>
        <w:t>,</w:t>
      </w:r>
      <w:r w:rsidR="00735D74" w:rsidRPr="003006D9">
        <w:rPr>
          <w:rFonts w:cs="Arial"/>
          <w:lang w:val="es-CO"/>
        </w:rPr>
        <w:t xml:space="preserve"> e</w:t>
      </w:r>
      <w:r w:rsidR="00D32206" w:rsidRPr="003006D9">
        <w:rPr>
          <w:rFonts w:cs="Arial"/>
          <w:lang w:val="es-CO"/>
        </w:rPr>
        <w:t xml:space="preserve">n relación </w:t>
      </w:r>
      <w:r w:rsidR="002C2405" w:rsidRPr="003006D9">
        <w:rPr>
          <w:rFonts w:cs="Arial"/>
          <w:lang w:val="es-CO"/>
        </w:rPr>
        <w:t>con el</w:t>
      </w:r>
      <w:r w:rsidR="00D32206" w:rsidRPr="003006D9">
        <w:rPr>
          <w:rFonts w:cs="Arial"/>
          <w:lang w:val="es-CO"/>
        </w:rPr>
        <w:t xml:space="preserve"> avalúo </w:t>
      </w:r>
      <w:r w:rsidR="00A97166" w:rsidRPr="003006D9">
        <w:rPr>
          <w:rFonts w:cs="Arial"/>
          <w:lang w:val="es-CO"/>
        </w:rPr>
        <w:t>de abril de 2010</w:t>
      </w:r>
      <w:r w:rsidR="00E52AC0" w:rsidRPr="003006D9">
        <w:rPr>
          <w:rFonts w:cs="Arial"/>
          <w:lang w:val="es-CO"/>
        </w:rPr>
        <w:t xml:space="preserve"> </w:t>
      </w:r>
      <w:r w:rsidRPr="003006D9">
        <w:rPr>
          <w:rFonts w:cs="Arial"/>
          <w:lang w:val="es-CO"/>
        </w:rPr>
        <w:t xml:space="preserve">y </w:t>
      </w:r>
      <w:r w:rsidRPr="003006D9">
        <w:rPr>
          <w:rFonts w:cs="Arial"/>
          <w:b/>
          <w:lang w:val="es-CO"/>
        </w:rPr>
        <w:t>ii)</w:t>
      </w:r>
      <w:r w:rsidRPr="003006D9">
        <w:rPr>
          <w:rFonts w:cs="Arial"/>
          <w:lang w:val="es-CO"/>
        </w:rPr>
        <w:t xml:space="preserve"> </w:t>
      </w:r>
      <w:r w:rsidR="00D32206" w:rsidRPr="003006D9">
        <w:rPr>
          <w:rFonts w:cs="Arial"/>
          <w:lang w:val="es-CO"/>
        </w:rPr>
        <w:t>en el aval</w:t>
      </w:r>
      <w:r w:rsidR="001C2CAA" w:rsidRPr="003006D9">
        <w:rPr>
          <w:rFonts w:cs="Arial"/>
          <w:lang w:val="es-CO"/>
        </w:rPr>
        <w:t>úo</w:t>
      </w:r>
      <w:r w:rsidR="00D32206" w:rsidRPr="003006D9">
        <w:rPr>
          <w:rFonts w:cs="Arial"/>
          <w:lang w:val="es-CO"/>
        </w:rPr>
        <w:t xml:space="preserve"> de septiembre de 2010 </w:t>
      </w:r>
      <w:r w:rsidR="00A97166" w:rsidRPr="003006D9">
        <w:rPr>
          <w:rFonts w:cs="Arial"/>
          <w:lang w:val="es-CO"/>
        </w:rPr>
        <w:t xml:space="preserve">la entidad avaluadora </w:t>
      </w:r>
      <w:r w:rsidRPr="003006D9">
        <w:rPr>
          <w:rFonts w:cs="Arial"/>
          <w:lang w:val="es-CO"/>
        </w:rPr>
        <w:t>redujo el estimativo de todas las construcciones</w:t>
      </w:r>
      <w:r w:rsidR="00A03137" w:rsidRPr="003006D9">
        <w:rPr>
          <w:rFonts w:cs="Arial"/>
          <w:lang w:val="es-CO"/>
        </w:rPr>
        <w:t xml:space="preserve"> en relación con el asignado en el avalúo de abril</w:t>
      </w:r>
      <w:r w:rsidR="00A97166" w:rsidRPr="003006D9">
        <w:rPr>
          <w:rFonts w:cs="Arial"/>
          <w:lang w:val="es-CO"/>
        </w:rPr>
        <w:t xml:space="preserve"> </w:t>
      </w:r>
      <w:r w:rsidR="00A03137" w:rsidRPr="003006D9">
        <w:rPr>
          <w:rFonts w:cs="Arial"/>
          <w:lang w:val="es-CO"/>
        </w:rPr>
        <w:t>de 2010</w:t>
      </w:r>
      <w:r w:rsidRPr="003006D9">
        <w:rPr>
          <w:rFonts w:cs="Arial"/>
          <w:lang w:val="es-CO"/>
        </w:rPr>
        <w:t xml:space="preserve">. </w:t>
      </w:r>
    </w:p>
    <w:p w:rsidR="00E0560B" w:rsidRPr="003006D9" w:rsidRDefault="00E0560B" w:rsidP="00570534">
      <w:pPr>
        <w:rPr>
          <w:rFonts w:cs="Arial"/>
          <w:lang w:val="es-CO"/>
        </w:rPr>
      </w:pPr>
    </w:p>
    <w:p w:rsidR="00570534" w:rsidRPr="003006D9" w:rsidRDefault="00570534" w:rsidP="00570534">
      <w:pPr>
        <w:rPr>
          <w:rFonts w:cs="Arial"/>
          <w:lang w:val="es-CO"/>
        </w:rPr>
      </w:pPr>
      <w:r w:rsidRPr="003006D9">
        <w:rPr>
          <w:rFonts w:cs="Arial"/>
          <w:lang w:val="es-CO"/>
        </w:rPr>
        <w:t>En</w:t>
      </w:r>
      <w:r w:rsidR="001C2CAA" w:rsidRPr="003006D9">
        <w:rPr>
          <w:rFonts w:cs="Arial"/>
          <w:lang w:val="es-CO"/>
        </w:rPr>
        <w:t>tr</w:t>
      </w:r>
      <w:r w:rsidR="00735D74" w:rsidRPr="003006D9">
        <w:rPr>
          <w:rFonts w:cs="Arial"/>
          <w:lang w:val="es-CO"/>
        </w:rPr>
        <w:t>ando en mayor detalle, entre</w:t>
      </w:r>
      <w:r w:rsidR="001C2CAA" w:rsidRPr="003006D9">
        <w:rPr>
          <w:rFonts w:cs="Arial"/>
          <w:lang w:val="es-CO"/>
        </w:rPr>
        <w:t xml:space="preserve"> los dos avalúos se observa la diferencia </w:t>
      </w:r>
      <w:r w:rsidR="00A35030" w:rsidRPr="003006D9">
        <w:rPr>
          <w:rFonts w:cs="Arial"/>
          <w:lang w:val="es-CO"/>
        </w:rPr>
        <w:t xml:space="preserve">en el </w:t>
      </w:r>
      <w:r w:rsidR="001C2CAA" w:rsidRPr="003006D9">
        <w:rPr>
          <w:rFonts w:cs="Arial"/>
          <w:lang w:val="es-CO"/>
        </w:rPr>
        <w:t xml:space="preserve">resultado que se obtuvo </w:t>
      </w:r>
      <w:r w:rsidR="00A35030" w:rsidRPr="003006D9">
        <w:rPr>
          <w:rFonts w:cs="Arial"/>
          <w:lang w:val="es-CO"/>
        </w:rPr>
        <w:t xml:space="preserve">a través </w:t>
      </w:r>
      <w:r w:rsidRPr="003006D9">
        <w:rPr>
          <w:rFonts w:cs="Arial"/>
          <w:lang w:val="es-CO"/>
        </w:rPr>
        <w:t xml:space="preserve">procesamiento de los datos de las encuestas </w:t>
      </w:r>
      <w:r w:rsidR="00A35030" w:rsidRPr="003006D9">
        <w:rPr>
          <w:rFonts w:cs="Arial"/>
          <w:lang w:val="es-CO"/>
        </w:rPr>
        <w:t xml:space="preserve">con relación al valor del terreno para la zona UF1 (área útil), el cual, sumado a la zona de reserva forestal (UF2), arrojó los siguientes valores: </w:t>
      </w:r>
    </w:p>
    <w:p w:rsidR="00551555" w:rsidRPr="003006D9" w:rsidRDefault="00551555" w:rsidP="00570534">
      <w:pPr>
        <w:rPr>
          <w:rFonts w:cs="Arial"/>
          <w:lang w:val="es-CO"/>
        </w:rPr>
      </w:pPr>
    </w:p>
    <w:p w:rsidR="00A35030" w:rsidRPr="003006D9" w:rsidRDefault="00A35030" w:rsidP="00570534">
      <w:pPr>
        <w:rPr>
          <w:rFonts w:cs="Arial"/>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2672"/>
        <w:gridCol w:w="3653"/>
      </w:tblGrid>
      <w:tr w:rsidR="00570534" w:rsidRPr="003006D9" w:rsidTr="0045182D">
        <w:tc>
          <w:tcPr>
            <w:tcW w:w="2518" w:type="dxa"/>
            <w:shd w:val="clear" w:color="auto" w:fill="auto"/>
          </w:tcPr>
          <w:p w:rsidR="00570534" w:rsidRPr="003006D9" w:rsidRDefault="00570534" w:rsidP="0045182D">
            <w:pPr>
              <w:spacing w:line="240" w:lineRule="auto"/>
              <w:rPr>
                <w:rFonts w:cs="Arial"/>
                <w:lang w:val="es-CO"/>
              </w:rPr>
            </w:pPr>
            <w:r w:rsidRPr="003006D9">
              <w:rPr>
                <w:rFonts w:cs="Arial"/>
                <w:lang w:val="es-CO"/>
              </w:rPr>
              <w:t>Avalúo</w:t>
            </w:r>
          </w:p>
        </w:tc>
        <w:tc>
          <w:tcPr>
            <w:tcW w:w="2693" w:type="dxa"/>
            <w:shd w:val="clear" w:color="auto" w:fill="auto"/>
          </w:tcPr>
          <w:p w:rsidR="00570534" w:rsidRPr="003006D9" w:rsidRDefault="00570534" w:rsidP="0045182D">
            <w:pPr>
              <w:spacing w:line="240" w:lineRule="auto"/>
              <w:rPr>
                <w:rFonts w:cs="Arial"/>
                <w:lang w:val="es-CO"/>
              </w:rPr>
            </w:pPr>
            <w:r w:rsidRPr="003006D9">
              <w:rPr>
                <w:rFonts w:cs="Arial"/>
                <w:lang w:val="es-CO"/>
              </w:rPr>
              <w:t>Valor por hectárea UF1</w:t>
            </w:r>
          </w:p>
        </w:tc>
        <w:tc>
          <w:tcPr>
            <w:tcW w:w="3686" w:type="dxa"/>
            <w:shd w:val="clear" w:color="auto" w:fill="auto"/>
          </w:tcPr>
          <w:p w:rsidR="00570534" w:rsidRPr="003006D9" w:rsidRDefault="00570534" w:rsidP="0045182D">
            <w:pPr>
              <w:spacing w:line="240" w:lineRule="auto"/>
              <w:rPr>
                <w:rFonts w:cs="Arial"/>
                <w:lang w:val="es-CO"/>
              </w:rPr>
            </w:pPr>
            <w:r w:rsidRPr="003006D9">
              <w:rPr>
                <w:rFonts w:cs="Arial"/>
                <w:lang w:val="es-CO"/>
              </w:rPr>
              <w:t>Valor terreno (</w:t>
            </w:r>
            <w:r w:rsidR="00C24259" w:rsidRPr="003006D9">
              <w:rPr>
                <w:rFonts w:cs="Arial"/>
                <w:lang w:val="es-CO"/>
              </w:rPr>
              <w:t xml:space="preserve">incluye áreas </w:t>
            </w:r>
            <w:r w:rsidR="00102F72" w:rsidRPr="003006D9">
              <w:rPr>
                <w:rFonts w:cs="Arial"/>
                <w:lang w:val="es-CO"/>
              </w:rPr>
              <w:t xml:space="preserve">total </w:t>
            </w:r>
            <w:r w:rsidR="00C24259" w:rsidRPr="003006D9">
              <w:rPr>
                <w:rFonts w:cs="Arial"/>
                <w:lang w:val="es-CO"/>
              </w:rPr>
              <w:t xml:space="preserve">de </w:t>
            </w:r>
            <w:r w:rsidRPr="003006D9">
              <w:rPr>
                <w:rFonts w:cs="Arial"/>
                <w:lang w:val="es-CO"/>
              </w:rPr>
              <w:t xml:space="preserve">UF 1 </w:t>
            </w:r>
            <w:r w:rsidR="006F4DA7" w:rsidRPr="003006D9">
              <w:rPr>
                <w:rFonts w:cs="Arial"/>
                <w:lang w:val="es-CO"/>
              </w:rPr>
              <w:t>y</w:t>
            </w:r>
            <w:r w:rsidRPr="003006D9">
              <w:rPr>
                <w:rFonts w:cs="Arial"/>
                <w:lang w:val="es-CO"/>
              </w:rPr>
              <w:t xml:space="preserve"> UF 2-)</w:t>
            </w:r>
          </w:p>
        </w:tc>
      </w:tr>
      <w:tr w:rsidR="00570534" w:rsidRPr="003006D9" w:rsidTr="0045182D">
        <w:tc>
          <w:tcPr>
            <w:tcW w:w="2518" w:type="dxa"/>
            <w:shd w:val="clear" w:color="auto" w:fill="auto"/>
          </w:tcPr>
          <w:p w:rsidR="00570534" w:rsidRPr="003006D9" w:rsidRDefault="00570534" w:rsidP="0045182D">
            <w:pPr>
              <w:spacing w:line="240" w:lineRule="auto"/>
              <w:rPr>
                <w:rFonts w:cs="Arial"/>
                <w:lang w:val="es-CO"/>
              </w:rPr>
            </w:pPr>
            <w:r w:rsidRPr="003006D9">
              <w:rPr>
                <w:rFonts w:cs="Arial"/>
                <w:lang w:val="es-CO"/>
              </w:rPr>
              <w:t xml:space="preserve">ABRIL 2010 UF 1 </w:t>
            </w:r>
          </w:p>
        </w:tc>
        <w:tc>
          <w:tcPr>
            <w:tcW w:w="2693" w:type="dxa"/>
            <w:shd w:val="clear" w:color="auto" w:fill="auto"/>
          </w:tcPr>
          <w:p w:rsidR="00D32206" w:rsidRPr="003006D9" w:rsidRDefault="00570534" w:rsidP="0045182D">
            <w:pPr>
              <w:spacing w:line="240" w:lineRule="auto"/>
              <w:jc w:val="right"/>
              <w:rPr>
                <w:rFonts w:cs="Arial"/>
                <w:lang w:val="es-CO"/>
              </w:rPr>
            </w:pPr>
            <w:r w:rsidRPr="003006D9">
              <w:rPr>
                <w:rFonts w:cs="Arial"/>
                <w:lang w:val="es-CO"/>
              </w:rPr>
              <w:t xml:space="preserve">$12’000.000 </w:t>
            </w:r>
          </w:p>
          <w:p w:rsidR="00570534" w:rsidRPr="003006D9" w:rsidRDefault="00570534" w:rsidP="0045182D">
            <w:pPr>
              <w:spacing w:line="240" w:lineRule="auto"/>
              <w:jc w:val="right"/>
              <w:rPr>
                <w:rFonts w:cs="Arial"/>
                <w:lang w:val="es-CO"/>
              </w:rPr>
            </w:pPr>
            <w:r w:rsidRPr="003006D9">
              <w:rPr>
                <w:rFonts w:cs="Arial"/>
                <w:lang w:val="es-CO"/>
              </w:rPr>
              <w:t>Valor Ha</w:t>
            </w:r>
          </w:p>
        </w:tc>
        <w:tc>
          <w:tcPr>
            <w:tcW w:w="3686" w:type="dxa"/>
            <w:shd w:val="clear" w:color="auto" w:fill="auto"/>
          </w:tcPr>
          <w:p w:rsidR="00570534" w:rsidRPr="003006D9" w:rsidRDefault="00570534" w:rsidP="003B202F">
            <w:pPr>
              <w:spacing w:line="240" w:lineRule="auto"/>
              <w:jc w:val="right"/>
              <w:rPr>
                <w:rFonts w:cs="Arial"/>
                <w:i/>
                <w:lang w:val="es-CO"/>
              </w:rPr>
            </w:pPr>
            <w:r w:rsidRPr="003006D9">
              <w:rPr>
                <w:rFonts w:cs="Arial"/>
                <w:i/>
                <w:lang w:val="es-CO"/>
              </w:rPr>
              <w:t>$6.183</w:t>
            </w:r>
            <w:r w:rsidR="00253840" w:rsidRPr="003006D9">
              <w:rPr>
                <w:rFonts w:cs="Arial"/>
                <w:i/>
                <w:lang w:val="es-CO"/>
              </w:rPr>
              <w:t>’</w:t>
            </w:r>
            <w:r w:rsidRPr="003006D9">
              <w:rPr>
                <w:rFonts w:cs="Arial"/>
                <w:i/>
                <w:lang w:val="es-CO"/>
              </w:rPr>
              <w:t>600.000</w:t>
            </w:r>
            <w:r w:rsidR="00D32206" w:rsidRPr="003006D9">
              <w:rPr>
                <w:rFonts w:cs="Arial"/>
                <w:i/>
                <w:lang w:val="es-CO"/>
              </w:rPr>
              <w:t xml:space="preserve"> </w:t>
            </w:r>
          </w:p>
        </w:tc>
      </w:tr>
      <w:tr w:rsidR="00570534" w:rsidRPr="003006D9" w:rsidTr="0045182D">
        <w:tc>
          <w:tcPr>
            <w:tcW w:w="2518" w:type="dxa"/>
            <w:shd w:val="clear" w:color="auto" w:fill="auto"/>
          </w:tcPr>
          <w:p w:rsidR="00570534" w:rsidRPr="003006D9" w:rsidRDefault="00570534" w:rsidP="0045182D">
            <w:pPr>
              <w:spacing w:line="240" w:lineRule="auto"/>
              <w:rPr>
                <w:rFonts w:cs="Arial"/>
                <w:lang w:val="es-CO"/>
              </w:rPr>
            </w:pPr>
            <w:r w:rsidRPr="003006D9">
              <w:rPr>
                <w:rFonts w:cs="Arial"/>
                <w:lang w:val="es-CO"/>
              </w:rPr>
              <w:t xml:space="preserve">SEPTIEMBRE 2010 UF1 </w:t>
            </w:r>
          </w:p>
        </w:tc>
        <w:tc>
          <w:tcPr>
            <w:tcW w:w="2693" w:type="dxa"/>
            <w:shd w:val="clear" w:color="auto" w:fill="auto"/>
          </w:tcPr>
          <w:p w:rsidR="00D32206" w:rsidRPr="003006D9" w:rsidRDefault="00570534" w:rsidP="0045182D">
            <w:pPr>
              <w:spacing w:line="240" w:lineRule="auto"/>
              <w:jc w:val="right"/>
              <w:rPr>
                <w:rFonts w:cs="Arial"/>
                <w:lang w:val="es-CO"/>
              </w:rPr>
            </w:pPr>
            <w:r w:rsidRPr="003006D9">
              <w:rPr>
                <w:rFonts w:cs="Arial"/>
                <w:lang w:val="es-CO"/>
              </w:rPr>
              <w:t xml:space="preserve">$5’000.000 </w:t>
            </w:r>
          </w:p>
          <w:p w:rsidR="00570534" w:rsidRPr="003006D9" w:rsidRDefault="00570534" w:rsidP="0045182D">
            <w:pPr>
              <w:spacing w:line="240" w:lineRule="auto"/>
              <w:jc w:val="right"/>
              <w:rPr>
                <w:rFonts w:cs="Arial"/>
                <w:lang w:val="es-CO"/>
              </w:rPr>
            </w:pPr>
            <w:r w:rsidRPr="003006D9">
              <w:rPr>
                <w:rFonts w:cs="Arial"/>
                <w:lang w:val="es-CO"/>
              </w:rPr>
              <w:t>Valor Ha</w:t>
            </w:r>
            <w:r w:rsidR="003B202F" w:rsidRPr="003006D9">
              <w:rPr>
                <w:rStyle w:val="Refdenotaalpie"/>
                <w:rFonts w:cs="Arial"/>
                <w:lang w:val="es-CO"/>
              </w:rPr>
              <w:footnoteReference w:id="58"/>
            </w:r>
          </w:p>
        </w:tc>
        <w:tc>
          <w:tcPr>
            <w:tcW w:w="3686" w:type="dxa"/>
            <w:shd w:val="clear" w:color="auto" w:fill="auto"/>
          </w:tcPr>
          <w:p w:rsidR="00570534" w:rsidRPr="003006D9" w:rsidRDefault="00570534" w:rsidP="00253840">
            <w:pPr>
              <w:spacing w:line="240" w:lineRule="auto"/>
              <w:jc w:val="right"/>
              <w:rPr>
                <w:rFonts w:cs="Arial"/>
                <w:i/>
                <w:lang w:val="es-CO"/>
              </w:rPr>
            </w:pPr>
            <w:r w:rsidRPr="003006D9">
              <w:rPr>
                <w:rFonts w:cs="Arial"/>
                <w:i/>
                <w:lang w:val="es-CO"/>
              </w:rPr>
              <w:t>$2.609</w:t>
            </w:r>
            <w:r w:rsidR="00253840" w:rsidRPr="003006D9">
              <w:rPr>
                <w:rFonts w:cs="Arial"/>
                <w:i/>
                <w:lang w:val="es-CO"/>
              </w:rPr>
              <w:t>’</w:t>
            </w:r>
            <w:r w:rsidRPr="003006D9">
              <w:rPr>
                <w:rFonts w:cs="Arial"/>
                <w:i/>
                <w:lang w:val="es-CO"/>
              </w:rPr>
              <w:t>775.000</w:t>
            </w:r>
          </w:p>
        </w:tc>
      </w:tr>
    </w:tbl>
    <w:p w:rsidR="00570534" w:rsidRPr="003006D9" w:rsidRDefault="00570534" w:rsidP="00570534">
      <w:pPr>
        <w:rPr>
          <w:rFonts w:cs="Arial"/>
          <w:lang w:val="es-CO"/>
        </w:rPr>
      </w:pPr>
    </w:p>
    <w:p w:rsidR="00570534" w:rsidRPr="003006D9" w:rsidRDefault="00570534" w:rsidP="00570534">
      <w:pPr>
        <w:rPr>
          <w:rFonts w:cs="Arial"/>
          <w:lang w:val="es-CO"/>
        </w:rPr>
      </w:pPr>
      <w:r w:rsidRPr="003006D9">
        <w:rPr>
          <w:rFonts w:cs="Arial"/>
          <w:lang w:val="es-CO"/>
        </w:rPr>
        <w:t>En cuanto a</w:t>
      </w:r>
      <w:r w:rsidR="00A35030" w:rsidRPr="003006D9">
        <w:rPr>
          <w:rFonts w:cs="Arial"/>
          <w:lang w:val="es-CO"/>
        </w:rPr>
        <w:t>l comparativo de los valores de</w:t>
      </w:r>
      <w:r w:rsidRPr="003006D9">
        <w:rPr>
          <w:rFonts w:cs="Arial"/>
          <w:lang w:val="es-CO"/>
        </w:rPr>
        <w:t xml:space="preserve"> las construcciones, se </w:t>
      </w:r>
      <w:r w:rsidR="0045182D" w:rsidRPr="003006D9">
        <w:rPr>
          <w:rFonts w:cs="Arial"/>
          <w:lang w:val="es-CO"/>
        </w:rPr>
        <w:t xml:space="preserve">observa que se </w:t>
      </w:r>
      <w:r w:rsidRPr="003006D9">
        <w:rPr>
          <w:rFonts w:cs="Arial"/>
          <w:lang w:val="es-CO"/>
        </w:rPr>
        <w:t xml:space="preserve">redujeron todos los </w:t>
      </w:r>
      <w:r w:rsidR="00A35030" w:rsidRPr="003006D9">
        <w:rPr>
          <w:rFonts w:cs="Arial"/>
          <w:lang w:val="es-CO"/>
        </w:rPr>
        <w:t xml:space="preserve">precios </w:t>
      </w:r>
      <w:r w:rsidRPr="003006D9">
        <w:rPr>
          <w:rFonts w:cs="Arial"/>
          <w:lang w:val="es-CO"/>
        </w:rPr>
        <w:t xml:space="preserve">unitarios </w:t>
      </w:r>
      <w:r w:rsidR="00A35030" w:rsidRPr="003006D9">
        <w:rPr>
          <w:rFonts w:cs="Arial"/>
          <w:lang w:val="es-CO"/>
        </w:rPr>
        <w:t xml:space="preserve">estimados </w:t>
      </w:r>
      <w:r w:rsidRPr="003006D9">
        <w:rPr>
          <w:rFonts w:cs="Arial"/>
          <w:lang w:val="es-CO"/>
        </w:rPr>
        <w:t>por metro cuadrado</w:t>
      </w:r>
      <w:r w:rsidR="00A97166" w:rsidRPr="003006D9">
        <w:rPr>
          <w:rFonts w:cs="Arial"/>
          <w:lang w:val="es-CO"/>
        </w:rPr>
        <w:t xml:space="preserve"> y c</w:t>
      </w:r>
      <w:r w:rsidR="00A35030" w:rsidRPr="003006D9">
        <w:rPr>
          <w:rFonts w:cs="Arial"/>
          <w:lang w:val="es-CO"/>
        </w:rPr>
        <w:t xml:space="preserve">omo consecuencia, se presentó </w:t>
      </w:r>
      <w:r w:rsidRPr="003006D9">
        <w:rPr>
          <w:rFonts w:cs="Arial"/>
          <w:lang w:val="es-CO"/>
        </w:rPr>
        <w:t xml:space="preserve">la siguiente variación </w:t>
      </w:r>
      <w:r w:rsidR="00A97166" w:rsidRPr="003006D9">
        <w:rPr>
          <w:rFonts w:cs="Arial"/>
          <w:lang w:val="es-CO"/>
        </w:rPr>
        <w:t xml:space="preserve">del valor total de la construcción </w:t>
      </w:r>
      <w:r w:rsidR="0045182D" w:rsidRPr="003006D9">
        <w:rPr>
          <w:rFonts w:cs="Arial"/>
          <w:lang w:val="es-CO"/>
        </w:rPr>
        <w:t>entre los avalúos que ahora se examinan</w:t>
      </w:r>
      <w:r w:rsidRPr="003006D9">
        <w:rPr>
          <w:rFonts w:cs="Arial"/>
          <w:lang w:val="es-CO"/>
        </w:rPr>
        <w:t>:</w:t>
      </w:r>
    </w:p>
    <w:p w:rsidR="00102F72" w:rsidRPr="003006D9" w:rsidRDefault="00102F72" w:rsidP="00570534">
      <w:pPr>
        <w:rPr>
          <w:rFonts w:cs="Arial"/>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5343"/>
      </w:tblGrid>
      <w:tr w:rsidR="00570534" w:rsidRPr="003006D9" w:rsidTr="0045182D">
        <w:tc>
          <w:tcPr>
            <w:tcW w:w="3510" w:type="dxa"/>
            <w:shd w:val="clear" w:color="auto" w:fill="auto"/>
          </w:tcPr>
          <w:p w:rsidR="00570534" w:rsidRPr="003006D9" w:rsidRDefault="00570534" w:rsidP="002F5F8F">
            <w:pPr>
              <w:rPr>
                <w:rFonts w:cs="Arial"/>
                <w:lang w:val="es-CO"/>
              </w:rPr>
            </w:pPr>
            <w:r w:rsidRPr="003006D9">
              <w:rPr>
                <w:rFonts w:cs="Arial"/>
                <w:lang w:val="es-CO"/>
              </w:rPr>
              <w:t>Avalúo</w:t>
            </w:r>
          </w:p>
        </w:tc>
        <w:tc>
          <w:tcPr>
            <w:tcW w:w="5387" w:type="dxa"/>
            <w:shd w:val="clear" w:color="auto" w:fill="auto"/>
          </w:tcPr>
          <w:p w:rsidR="00570534" w:rsidRPr="003006D9" w:rsidRDefault="00570534" w:rsidP="0045182D">
            <w:pPr>
              <w:jc w:val="right"/>
              <w:rPr>
                <w:rFonts w:cs="Arial"/>
                <w:lang w:val="es-CO"/>
              </w:rPr>
            </w:pPr>
            <w:r w:rsidRPr="003006D9">
              <w:rPr>
                <w:rFonts w:cs="Arial"/>
                <w:lang w:val="es-CO"/>
              </w:rPr>
              <w:t>Valor  construcciones</w:t>
            </w:r>
          </w:p>
        </w:tc>
      </w:tr>
      <w:tr w:rsidR="00570534" w:rsidRPr="003006D9" w:rsidTr="0045182D">
        <w:tc>
          <w:tcPr>
            <w:tcW w:w="3510" w:type="dxa"/>
            <w:shd w:val="clear" w:color="auto" w:fill="auto"/>
          </w:tcPr>
          <w:p w:rsidR="00570534" w:rsidRPr="003006D9" w:rsidRDefault="00570534" w:rsidP="002F5F8F">
            <w:pPr>
              <w:rPr>
                <w:rFonts w:cs="Arial"/>
                <w:lang w:val="es-CO"/>
              </w:rPr>
            </w:pPr>
            <w:r w:rsidRPr="003006D9">
              <w:rPr>
                <w:rFonts w:cs="Arial"/>
                <w:lang w:val="es-CO"/>
              </w:rPr>
              <w:t xml:space="preserve">ABRIL 2010 </w:t>
            </w:r>
          </w:p>
        </w:tc>
        <w:tc>
          <w:tcPr>
            <w:tcW w:w="5387" w:type="dxa"/>
            <w:shd w:val="clear" w:color="auto" w:fill="auto"/>
          </w:tcPr>
          <w:p w:rsidR="00570534" w:rsidRPr="003006D9" w:rsidRDefault="00570534" w:rsidP="0045182D">
            <w:pPr>
              <w:jc w:val="right"/>
              <w:rPr>
                <w:rFonts w:cs="Arial"/>
                <w:lang w:val="es-CO"/>
              </w:rPr>
            </w:pPr>
            <w:r w:rsidRPr="003006D9">
              <w:rPr>
                <w:rFonts w:cs="Arial"/>
                <w:lang w:val="es-CO"/>
              </w:rPr>
              <w:t>$1.597’120.000</w:t>
            </w:r>
            <w:r w:rsidRPr="003006D9">
              <w:rPr>
                <w:rStyle w:val="Refdenotaalpie"/>
                <w:rFonts w:cs="Arial"/>
                <w:lang w:val="es-CO"/>
              </w:rPr>
              <w:footnoteReference w:id="59"/>
            </w:r>
          </w:p>
        </w:tc>
      </w:tr>
      <w:tr w:rsidR="00570534" w:rsidRPr="003006D9" w:rsidTr="0045182D">
        <w:tc>
          <w:tcPr>
            <w:tcW w:w="3510" w:type="dxa"/>
            <w:shd w:val="clear" w:color="auto" w:fill="auto"/>
          </w:tcPr>
          <w:p w:rsidR="00570534" w:rsidRPr="003006D9" w:rsidRDefault="00570534" w:rsidP="002F5F8F">
            <w:pPr>
              <w:rPr>
                <w:rFonts w:cs="Arial"/>
                <w:lang w:val="es-CO"/>
              </w:rPr>
            </w:pPr>
            <w:r w:rsidRPr="003006D9">
              <w:rPr>
                <w:rFonts w:cs="Arial"/>
                <w:lang w:val="es-CO"/>
              </w:rPr>
              <w:t xml:space="preserve">SEPTIEMBRE 2010 </w:t>
            </w:r>
          </w:p>
        </w:tc>
        <w:tc>
          <w:tcPr>
            <w:tcW w:w="5387" w:type="dxa"/>
            <w:shd w:val="clear" w:color="auto" w:fill="auto"/>
          </w:tcPr>
          <w:p w:rsidR="00570534" w:rsidRPr="003006D9" w:rsidRDefault="00570534" w:rsidP="0045182D">
            <w:pPr>
              <w:jc w:val="right"/>
              <w:rPr>
                <w:rFonts w:cs="Arial"/>
                <w:lang w:val="es-CO"/>
              </w:rPr>
            </w:pPr>
            <w:r w:rsidRPr="003006D9">
              <w:rPr>
                <w:rFonts w:cs="Arial"/>
                <w:lang w:val="es-CO"/>
              </w:rPr>
              <w:t>$1.117’984.000</w:t>
            </w:r>
            <w:r w:rsidRPr="003006D9">
              <w:rPr>
                <w:rStyle w:val="Refdenotaalpie"/>
                <w:rFonts w:cs="Arial"/>
                <w:lang w:val="es-CO"/>
              </w:rPr>
              <w:footnoteReference w:id="60"/>
            </w:r>
          </w:p>
        </w:tc>
      </w:tr>
    </w:tbl>
    <w:p w:rsidR="00570534" w:rsidRPr="003006D9" w:rsidRDefault="00570534" w:rsidP="00570534">
      <w:pPr>
        <w:rPr>
          <w:rFonts w:cs="Arial"/>
          <w:lang w:val="es-CO"/>
        </w:rPr>
      </w:pPr>
    </w:p>
    <w:p w:rsidR="00570534" w:rsidRPr="003006D9" w:rsidRDefault="00570534" w:rsidP="00570534">
      <w:pPr>
        <w:rPr>
          <w:rFonts w:cs="Arial"/>
          <w:lang w:val="es-CO"/>
        </w:rPr>
      </w:pPr>
      <w:r w:rsidRPr="003006D9">
        <w:rPr>
          <w:rFonts w:cs="Arial"/>
          <w:lang w:val="es-CO"/>
        </w:rPr>
        <w:t xml:space="preserve">Como resultado de esas rectificaciones </w:t>
      </w:r>
      <w:r w:rsidR="00A97166" w:rsidRPr="003006D9">
        <w:rPr>
          <w:rFonts w:cs="Arial"/>
          <w:lang w:val="es-CO"/>
        </w:rPr>
        <w:t xml:space="preserve">en los valores del terreno y de las construcciones, el </w:t>
      </w:r>
      <w:r w:rsidRPr="003006D9">
        <w:rPr>
          <w:rFonts w:cs="Arial"/>
          <w:lang w:val="es-CO"/>
        </w:rPr>
        <w:t>valor total de avalúo se redujo así:</w:t>
      </w:r>
    </w:p>
    <w:p w:rsidR="00570534" w:rsidRPr="003006D9" w:rsidRDefault="00570534" w:rsidP="00570534">
      <w:pPr>
        <w:rPr>
          <w:rFonts w:cs="Arial"/>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8"/>
        <w:gridCol w:w="5342"/>
      </w:tblGrid>
      <w:tr w:rsidR="00570534" w:rsidRPr="003006D9" w:rsidTr="0045182D">
        <w:tc>
          <w:tcPr>
            <w:tcW w:w="3510" w:type="dxa"/>
            <w:shd w:val="clear" w:color="auto" w:fill="auto"/>
          </w:tcPr>
          <w:p w:rsidR="00570534" w:rsidRPr="003006D9" w:rsidRDefault="00570534" w:rsidP="002F5F8F">
            <w:pPr>
              <w:rPr>
                <w:rFonts w:cs="Arial"/>
                <w:lang w:val="es-CO"/>
              </w:rPr>
            </w:pPr>
            <w:r w:rsidRPr="003006D9">
              <w:rPr>
                <w:rFonts w:cs="Arial"/>
                <w:lang w:val="es-CO"/>
              </w:rPr>
              <w:t>Avalúo</w:t>
            </w:r>
          </w:p>
        </w:tc>
        <w:tc>
          <w:tcPr>
            <w:tcW w:w="5387" w:type="dxa"/>
            <w:shd w:val="clear" w:color="auto" w:fill="auto"/>
          </w:tcPr>
          <w:p w:rsidR="00570534" w:rsidRPr="003006D9" w:rsidRDefault="00570534" w:rsidP="0045182D">
            <w:pPr>
              <w:jc w:val="right"/>
              <w:rPr>
                <w:rFonts w:cs="Arial"/>
                <w:lang w:val="es-CO"/>
              </w:rPr>
            </w:pPr>
            <w:r w:rsidRPr="003006D9">
              <w:rPr>
                <w:rFonts w:cs="Arial"/>
                <w:lang w:val="es-CO"/>
              </w:rPr>
              <w:t>Valor  total</w:t>
            </w:r>
          </w:p>
        </w:tc>
      </w:tr>
      <w:tr w:rsidR="00570534" w:rsidRPr="003006D9" w:rsidTr="0045182D">
        <w:tc>
          <w:tcPr>
            <w:tcW w:w="3510" w:type="dxa"/>
            <w:shd w:val="clear" w:color="auto" w:fill="auto"/>
          </w:tcPr>
          <w:p w:rsidR="00570534" w:rsidRPr="003006D9" w:rsidRDefault="00570534" w:rsidP="002F5F8F">
            <w:pPr>
              <w:rPr>
                <w:rFonts w:cs="Arial"/>
                <w:lang w:val="es-CO"/>
              </w:rPr>
            </w:pPr>
            <w:r w:rsidRPr="003006D9">
              <w:rPr>
                <w:rFonts w:cs="Arial"/>
                <w:lang w:val="es-CO"/>
              </w:rPr>
              <w:t xml:space="preserve">ABRIL 2010 </w:t>
            </w:r>
          </w:p>
        </w:tc>
        <w:tc>
          <w:tcPr>
            <w:tcW w:w="5387" w:type="dxa"/>
            <w:shd w:val="clear" w:color="auto" w:fill="auto"/>
          </w:tcPr>
          <w:p w:rsidR="00570534" w:rsidRPr="003006D9" w:rsidRDefault="00570534" w:rsidP="0045182D">
            <w:pPr>
              <w:jc w:val="right"/>
              <w:rPr>
                <w:rFonts w:cs="Arial"/>
                <w:lang w:val="es-CO"/>
              </w:rPr>
            </w:pPr>
            <w:r w:rsidRPr="003006D9">
              <w:rPr>
                <w:rFonts w:cs="Arial"/>
                <w:lang w:val="es-CO"/>
              </w:rPr>
              <w:t>$8.269’410.000</w:t>
            </w:r>
          </w:p>
        </w:tc>
      </w:tr>
      <w:tr w:rsidR="00570534" w:rsidRPr="003006D9" w:rsidTr="0045182D">
        <w:tc>
          <w:tcPr>
            <w:tcW w:w="3510" w:type="dxa"/>
            <w:shd w:val="clear" w:color="auto" w:fill="auto"/>
          </w:tcPr>
          <w:p w:rsidR="00570534" w:rsidRPr="003006D9" w:rsidRDefault="00570534" w:rsidP="002F5F8F">
            <w:pPr>
              <w:rPr>
                <w:rFonts w:cs="Arial"/>
                <w:lang w:val="es-CO"/>
              </w:rPr>
            </w:pPr>
            <w:r w:rsidRPr="003006D9">
              <w:rPr>
                <w:rFonts w:cs="Arial"/>
                <w:lang w:val="es-CO"/>
              </w:rPr>
              <w:t xml:space="preserve">SEPTIEMBRE 2010 </w:t>
            </w:r>
          </w:p>
        </w:tc>
        <w:tc>
          <w:tcPr>
            <w:tcW w:w="5387" w:type="dxa"/>
            <w:shd w:val="clear" w:color="auto" w:fill="auto"/>
          </w:tcPr>
          <w:p w:rsidR="00570534" w:rsidRPr="003006D9" w:rsidRDefault="00570534" w:rsidP="0045182D">
            <w:pPr>
              <w:jc w:val="right"/>
              <w:rPr>
                <w:rFonts w:cs="Arial"/>
                <w:lang w:val="es-CO"/>
              </w:rPr>
            </w:pPr>
            <w:r w:rsidRPr="003006D9">
              <w:rPr>
                <w:rFonts w:cs="Arial"/>
                <w:lang w:val="es-CO"/>
              </w:rPr>
              <w:t xml:space="preserve">$4.070’799.000 </w:t>
            </w:r>
          </w:p>
        </w:tc>
      </w:tr>
    </w:tbl>
    <w:p w:rsidR="00570534" w:rsidRPr="003006D9" w:rsidRDefault="00570534" w:rsidP="00570534">
      <w:pPr>
        <w:rPr>
          <w:rFonts w:cs="Arial"/>
          <w:lang w:val="es-CO"/>
        </w:rPr>
      </w:pPr>
    </w:p>
    <w:p w:rsidR="00570534" w:rsidRPr="003006D9" w:rsidRDefault="00570534" w:rsidP="00570534">
      <w:pPr>
        <w:rPr>
          <w:rFonts w:cs="Arial"/>
          <w:lang w:val="es-CO"/>
        </w:rPr>
      </w:pPr>
      <w:r w:rsidRPr="003006D9">
        <w:rPr>
          <w:rFonts w:cs="Arial"/>
          <w:lang w:val="es-CO"/>
        </w:rPr>
        <w:t>Se reitera que</w:t>
      </w:r>
      <w:r w:rsidR="00A97166" w:rsidRPr="003006D9">
        <w:rPr>
          <w:rFonts w:cs="Arial"/>
          <w:lang w:val="es-CO"/>
        </w:rPr>
        <w:t xml:space="preserve">: </w:t>
      </w:r>
      <w:r w:rsidR="00A97166" w:rsidRPr="003006D9">
        <w:rPr>
          <w:rFonts w:cs="Arial"/>
          <w:b/>
          <w:lang w:val="es-CO"/>
        </w:rPr>
        <w:t>i)</w:t>
      </w:r>
      <w:r w:rsidR="00A97166" w:rsidRPr="003006D9">
        <w:rPr>
          <w:rFonts w:cs="Arial"/>
          <w:lang w:val="es-CO"/>
        </w:rPr>
        <w:t xml:space="preserve"> </w:t>
      </w:r>
      <w:r w:rsidRPr="003006D9">
        <w:rPr>
          <w:rFonts w:cs="Arial"/>
          <w:lang w:val="es-CO"/>
        </w:rPr>
        <w:t>e</w:t>
      </w:r>
      <w:r w:rsidR="002D5E40" w:rsidRPr="003006D9">
        <w:rPr>
          <w:rFonts w:cs="Arial"/>
          <w:lang w:val="es-CO"/>
        </w:rPr>
        <w:t xml:space="preserve">l segundo </w:t>
      </w:r>
      <w:r w:rsidRPr="003006D9">
        <w:rPr>
          <w:rFonts w:cs="Arial"/>
          <w:lang w:val="es-CO"/>
        </w:rPr>
        <w:t>avalúo no hizo parte de</w:t>
      </w:r>
      <w:r w:rsidR="002D5E40" w:rsidRPr="003006D9">
        <w:rPr>
          <w:rFonts w:cs="Arial"/>
          <w:lang w:val="es-CO"/>
        </w:rPr>
        <w:t xml:space="preserve"> los documentos </w:t>
      </w:r>
      <w:r w:rsidR="007019E3" w:rsidRPr="003006D9">
        <w:rPr>
          <w:rFonts w:cs="Arial"/>
          <w:lang w:val="es-CO"/>
        </w:rPr>
        <w:t>en que se apoyó e</w:t>
      </w:r>
      <w:r w:rsidRPr="003006D9">
        <w:rPr>
          <w:rFonts w:cs="Arial"/>
          <w:lang w:val="es-CO"/>
        </w:rPr>
        <w:t>l procedimiento de selección abreviada</w:t>
      </w:r>
      <w:r w:rsidR="00A9412B" w:rsidRPr="003006D9">
        <w:rPr>
          <w:rFonts w:cs="Arial"/>
          <w:lang w:val="es-CO"/>
        </w:rPr>
        <w:t xml:space="preserve"> y </w:t>
      </w:r>
      <w:r w:rsidR="00A97166" w:rsidRPr="003006D9">
        <w:rPr>
          <w:rFonts w:cs="Arial"/>
          <w:b/>
          <w:lang w:val="es-CO"/>
        </w:rPr>
        <w:t>ii)</w:t>
      </w:r>
      <w:r w:rsidR="00A97166" w:rsidRPr="003006D9">
        <w:rPr>
          <w:rFonts w:cs="Arial"/>
          <w:lang w:val="es-CO"/>
        </w:rPr>
        <w:t xml:space="preserve"> </w:t>
      </w:r>
      <w:r w:rsidR="00A9412B" w:rsidRPr="003006D9">
        <w:rPr>
          <w:rFonts w:cs="Arial"/>
          <w:lang w:val="es-CO"/>
        </w:rPr>
        <w:t>el precio minimo de venta que se tomó para la respectiva convocatoria correspondió al 50% del primer avalúo.</w:t>
      </w:r>
      <w:r w:rsidRPr="003006D9">
        <w:rPr>
          <w:rFonts w:cs="Arial"/>
          <w:lang w:val="es-CO"/>
        </w:rPr>
        <w:t xml:space="preserve"> </w:t>
      </w:r>
    </w:p>
    <w:p w:rsidR="002D5E40" w:rsidRPr="003006D9" w:rsidRDefault="002D5E40" w:rsidP="00570534">
      <w:pPr>
        <w:rPr>
          <w:rFonts w:cs="Arial"/>
          <w:lang w:val="es-CO"/>
        </w:rPr>
      </w:pPr>
    </w:p>
    <w:p w:rsidR="00A97166" w:rsidRPr="003006D9" w:rsidRDefault="001A2CBB" w:rsidP="00570534">
      <w:pPr>
        <w:rPr>
          <w:rFonts w:cs="Arial"/>
          <w:lang w:val="es-CO"/>
        </w:rPr>
      </w:pPr>
      <w:r w:rsidRPr="003006D9">
        <w:rPr>
          <w:rFonts w:cs="Arial"/>
          <w:lang w:val="es-CO"/>
        </w:rPr>
        <w:t xml:space="preserve">Por otra parte, </w:t>
      </w:r>
      <w:r w:rsidR="00A9412B" w:rsidRPr="003006D9">
        <w:rPr>
          <w:rFonts w:cs="Arial"/>
          <w:lang w:val="es-CO"/>
        </w:rPr>
        <w:t xml:space="preserve">con el fin </w:t>
      </w:r>
      <w:r w:rsidR="002D5E40" w:rsidRPr="003006D9">
        <w:rPr>
          <w:rFonts w:cs="Arial"/>
          <w:lang w:val="es-CO"/>
        </w:rPr>
        <w:t xml:space="preserve">de acreditar </w:t>
      </w:r>
      <w:r w:rsidR="008839DF" w:rsidRPr="003006D9">
        <w:rPr>
          <w:rFonts w:cs="Arial"/>
          <w:lang w:val="es-CO"/>
        </w:rPr>
        <w:t xml:space="preserve">el detrimento </w:t>
      </w:r>
      <w:r w:rsidR="002D5E40" w:rsidRPr="003006D9">
        <w:rPr>
          <w:rFonts w:cs="Arial"/>
          <w:lang w:val="es-CO"/>
        </w:rPr>
        <w:t xml:space="preserve">que habría significado para el ICA proceder a la transferencia del inmueble </w:t>
      </w:r>
      <w:r w:rsidR="00102F72" w:rsidRPr="003006D9">
        <w:rPr>
          <w:rFonts w:cs="Arial"/>
          <w:lang w:val="es-CO"/>
        </w:rPr>
        <w:t xml:space="preserve">denominado </w:t>
      </w:r>
      <w:r w:rsidR="002D5E40" w:rsidRPr="003006D9">
        <w:rPr>
          <w:rFonts w:cs="Arial"/>
          <w:lang w:val="es-CO"/>
        </w:rPr>
        <w:t>El Mira</w:t>
      </w:r>
      <w:r w:rsidR="00853309" w:rsidRPr="003006D9">
        <w:rPr>
          <w:rFonts w:cs="Arial"/>
          <w:lang w:val="es-CO"/>
        </w:rPr>
        <w:t>,</w:t>
      </w:r>
      <w:r w:rsidR="008839DF" w:rsidRPr="003006D9">
        <w:rPr>
          <w:rFonts w:cs="Arial"/>
          <w:lang w:val="es-CO"/>
        </w:rPr>
        <w:t xml:space="preserve"> e</w:t>
      </w:r>
      <w:r w:rsidR="002D5E40" w:rsidRPr="003006D9">
        <w:rPr>
          <w:rFonts w:cs="Arial"/>
          <w:lang w:val="es-CO"/>
        </w:rPr>
        <w:t xml:space="preserve">sa entidad aportó </w:t>
      </w:r>
      <w:r w:rsidR="002C2405" w:rsidRPr="003006D9">
        <w:rPr>
          <w:rFonts w:cs="Arial"/>
          <w:lang w:val="es-CO"/>
        </w:rPr>
        <w:t>al</w:t>
      </w:r>
      <w:r w:rsidR="00A03137" w:rsidRPr="003006D9">
        <w:rPr>
          <w:rFonts w:cs="Arial"/>
          <w:lang w:val="es-CO"/>
        </w:rPr>
        <w:t xml:space="preserve"> presente </w:t>
      </w:r>
      <w:r w:rsidR="00C24259" w:rsidRPr="003006D9">
        <w:rPr>
          <w:rFonts w:cs="Arial"/>
          <w:lang w:val="es-CO"/>
        </w:rPr>
        <w:t xml:space="preserve">proceso </w:t>
      </w:r>
      <w:r w:rsidR="00735D74" w:rsidRPr="003006D9">
        <w:rPr>
          <w:rFonts w:cs="Arial"/>
          <w:lang w:val="es-CO"/>
        </w:rPr>
        <w:t>un tercer a</w:t>
      </w:r>
      <w:r w:rsidR="002D5E40" w:rsidRPr="003006D9">
        <w:rPr>
          <w:rFonts w:cs="Arial"/>
          <w:lang w:val="es-CO"/>
        </w:rPr>
        <w:t>valúo</w:t>
      </w:r>
      <w:r w:rsidR="00735D74" w:rsidRPr="003006D9">
        <w:rPr>
          <w:rFonts w:cs="Arial"/>
          <w:lang w:val="es-CO"/>
        </w:rPr>
        <w:t>,</w:t>
      </w:r>
      <w:r w:rsidR="002D5E40" w:rsidRPr="003006D9">
        <w:rPr>
          <w:rFonts w:cs="Arial"/>
          <w:lang w:val="es-CO"/>
        </w:rPr>
        <w:t xml:space="preserve"> realizado por el ICA en diciembre de 2010, el cual </w:t>
      </w:r>
      <w:r w:rsidR="006D175D" w:rsidRPr="003006D9">
        <w:rPr>
          <w:rFonts w:cs="Arial"/>
          <w:lang w:val="es-CO"/>
        </w:rPr>
        <w:t>arrojó la suma de $7.117’023.619</w:t>
      </w:r>
      <w:r w:rsidR="008E1CCC" w:rsidRPr="003006D9">
        <w:rPr>
          <w:rFonts w:cs="Arial"/>
          <w:lang w:val="es-CO"/>
        </w:rPr>
        <w:t xml:space="preserve">, </w:t>
      </w:r>
      <w:r w:rsidR="00735D74" w:rsidRPr="003006D9">
        <w:rPr>
          <w:rFonts w:cs="Arial"/>
          <w:lang w:val="es-CO"/>
        </w:rPr>
        <w:t xml:space="preserve">sobre la base de </w:t>
      </w:r>
      <w:r w:rsidR="00D635B4" w:rsidRPr="003006D9">
        <w:rPr>
          <w:rFonts w:cs="Arial"/>
          <w:lang w:val="es-CO"/>
        </w:rPr>
        <w:t>525.25 hectáreas</w:t>
      </w:r>
      <w:r w:rsidRPr="003006D9">
        <w:rPr>
          <w:rFonts w:cs="Arial"/>
          <w:lang w:val="es-CO"/>
        </w:rPr>
        <w:t xml:space="preserve">. </w:t>
      </w:r>
    </w:p>
    <w:p w:rsidR="00A97166" w:rsidRPr="003006D9" w:rsidRDefault="00A97166" w:rsidP="00570534">
      <w:pPr>
        <w:rPr>
          <w:rFonts w:cs="Arial"/>
          <w:lang w:val="es-CO"/>
        </w:rPr>
      </w:pPr>
    </w:p>
    <w:p w:rsidR="00C24259" w:rsidRPr="003006D9" w:rsidRDefault="001A2CBB" w:rsidP="00570534">
      <w:pPr>
        <w:rPr>
          <w:rFonts w:cs="Arial"/>
          <w:lang w:val="es-CO"/>
        </w:rPr>
      </w:pPr>
      <w:r w:rsidRPr="003006D9">
        <w:rPr>
          <w:rFonts w:cs="Arial"/>
          <w:lang w:val="es-CO"/>
        </w:rPr>
        <w:t xml:space="preserve">Se advierte que en el avalúo del IGAC </w:t>
      </w:r>
      <w:r w:rsidR="00102F72" w:rsidRPr="003006D9">
        <w:rPr>
          <w:rFonts w:cs="Arial"/>
          <w:lang w:val="es-CO"/>
        </w:rPr>
        <w:t xml:space="preserve">se excluyeron las </w:t>
      </w:r>
      <w:r w:rsidR="008E1CCC" w:rsidRPr="003006D9">
        <w:rPr>
          <w:rFonts w:cs="Arial"/>
          <w:lang w:val="es-CO"/>
        </w:rPr>
        <w:t xml:space="preserve">hectáreas </w:t>
      </w:r>
      <w:r w:rsidR="00102F72" w:rsidRPr="003006D9">
        <w:rPr>
          <w:rFonts w:cs="Arial"/>
          <w:lang w:val="es-CO"/>
        </w:rPr>
        <w:t xml:space="preserve">correspondientes al </w:t>
      </w:r>
      <w:r w:rsidR="008E1CCC" w:rsidRPr="003006D9">
        <w:rPr>
          <w:rFonts w:cs="Arial"/>
          <w:lang w:val="es-CO"/>
        </w:rPr>
        <w:t>banco de germoplasma</w:t>
      </w:r>
      <w:r w:rsidR="006D175D" w:rsidRPr="003006D9">
        <w:rPr>
          <w:rFonts w:cs="Arial"/>
          <w:lang w:val="es-CO"/>
        </w:rPr>
        <w:t xml:space="preserve">. </w:t>
      </w:r>
    </w:p>
    <w:p w:rsidR="00C24259" w:rsidRPr="003006D9" w:rsidRDefault="00C24259" w:rsidP="00570534">
      <w:pPr>
        <w:rPr>
          <w:rFonts w:cs="Arial"/>
          <w:lang w:val="es-CO"/>
        </w:rPr>
      </w:pPr>
    </w:p>
    <w:p w:rsidR="0089550C" w:rsidRPr="003006D9" w:rsidRDefault="006D175D" w:rsidP="0089550C">
      <w:pPr>
        <w:rPr>
          <w:rFonts w:cs="Arial"/>
          <w:lang w:val="es-CO"/>
        </w:rPr>
      </w:pPr>
      <w:r w:rsidRPr="003006D9">
        <w:rPr>
          <w:rFonts w:cs="Arial"/>
          <w:lang w:val="es-CO"/>
        </w:rPr>
        <w:t>La Sala observa que</w:t>
      </w:r>
      <w:r w:rsidR="00D15394" w:rsidRPr="003006D9">
        <w:rPr>
          <w:rFonts w:cs="Arial"/>
          <w:lang w:val="es-CO"/>
        </w:rPr>
        <w:t xml:space="preserve"> el IGAC </w:t>
      </w:r>
      <w:r w:rsidR="00A35030" w:rsidRPr="003006D9">
        <w:rPr>
          <w:rFonts w:cs="Arial"/>
          <w:lang w:val="es-CO"/>
        </w:rPr>
        <w:t xml:space="preserve">estableció </w:t>
      </w:r>
      <w:r w:rsidRPr="003006D9">
        <w:rPr>
          <w:rFonts w:cs="Arial"/>
          <w:lang w:val="es-CO"/>
        </w:rPr>
        <w:t xml:space="preserve">el avalúo por hectárea </w:t>
      </w:r>
      <w:r w:rsidR="0089550C" w:rsidRPr="003006D9">
        <w:rPr>
          <w:rFonts w:cs="Arial"/>
          <w:lang w:val="es-CO"/>
        </w:rPr>
        <w:t xml:space="preserve">con base en dos </w:t>
      </w:r>
      <w:r w:rsidR="00E20DDA" w:rsidRPr="003006D9">
        <w:rPr>
          <w:rFonts w:cs="Arial"/>
          <w:lang w:val="es-CO"/>
        </w:rPr>
        <w:t>sistemas de investigación</w:t>
      </w:r>
      <w:r w:rsidR="0089550C" w:rsidRPr="003006D9">
        <w:rPr>
          <w:rFonts w:cs="Arial"/>
          <w:lang w:val="es-CO"/>
        </w:rPr>
        <w:t>:</w:t>
      </w:r>
      <w:r w:rsidR="00E20DDA" w:rsidRPr="003006D9">
        <w:rPr>
          <w:rFonts w:cs="Arial"/>
          <w:lang w:val="es-CO"/>
        </w:rPr>
        <w:t xml:space="preserve"> directa </w:t>
      </w:r>
      <w:r w:rsidR="00C37ABE" w:rsidRPr="003006D9">
        <w:rPr>
          <w:rFonts w:cs="Arial"/>
          <w:lang w:val="es-CO"/>
        </w:rPr>
        <w:t xml:space="preserve">(encuestas) </w:t>
      </w:r>
      <w:r w:rsidR="00E20DDA" w:rsidRPr="003006D9">
        <w:rPr>
          <w:rFonts w:cs="Arial"/>
          <w:lang w:val="es-CO"/>
        </w:rPr>
        <w:t>e</w:t>
      </w:r>
      <w:r w:rsidRPr="003006D9">
        <w:rPr>
          <w:rFonts w:cs="Arial"/>
          <w:lang w:val="es-CO"/>
        </w:rPr>
        <w:t xml:space="preserve"> </w:t>
      </w:r>
      <w:r w:rsidR="008F4517" w:rsidRPr="003006D9">
        <w:rPr>
          <w:rFonts w:cs="Arial"/>
          <w:lang w:val="es-CO"/>
        </w:rPr>
        <w:t>indirecta (transacciones en la zona)</w:t>
      </w:r>
      <w:r w:rsidR="0089550C" w:rsidRPr="003006D9">
        <w:rPr>
          <w:rFonts w:cs="Arial"/>
          <w:lang w:val="es-CO"/>
        </w:rPr>
        <w:t xml:space="preserve">. Los avalúos de la Lonja de Propiedad Raíz de Nariño y Putumayo solo acudieron al método de investigación directa (encuestas a personas conocedoras del mercado) por cuanto esa entidad indicó que no encontró </w:t>
      </w:r>
      <w:r w:rsidR="0089550C" w:rsidRPr="003006D9">
        <w:rPr>
          <w:rFonts w:cs="Arial"/>
          <w:i/>
          <w:lang w:val="es-CO"/>
        </w:rPr>
        <w:t>“avalúos realizados por otras entidades para predios con características similares”</w:t>
      </w:r>
      <w:r w:rsidR="0089550C" w:rsidRPr="003006D9">
        <w:rPr>
          <w:rStyle w:val="Refdenotaalpie"/>
          <w:rFonts w:cs="Arial"/>
          <w:lang w:val="es-CO"/>
        </w:rPr>
        <w:footnoteReference w:id="61"/>
      </w:r>
      <w:r w:rsidR="0089550C" w:rsidRPr="003006D9">
        <w:rPr>
          <w:rFonts w:cs="Arial"/>
          <w:i/>
          <w:lang w:val="es-CO"/>
        </w:rPr>
        <w:t>.</w:t>
      </w:r>
    </w:p>
    <w:p w:rsidR="0089550C" w:rsidRPr="003006D9" w:rsidRDefault="0089550C" w:rsidP="00570534">
      <w:pPr>
        <w:rPr>
          <w:rFonts w:cs="Arial"/>
          <w:lang w:val="es-CO"/>
        </w:rPr>
      </w:pPr>
    </w:p>
    <w:p w:rsidR="00A97166" w:rsidRPr="003006D9" w:rsidRDefault="0089550C" w:rsidP="00570534">
      <w:pPr>
        <w:rPr>
          <w:rFonts w:cs="Arial"/>
          <w:lang w:val="es-CO"/>
        </w:rPr>
      </w:pPr>
      <w:r w:rsidRPr="003006D9">
        <w:rPr>
          <w:rFonts w:cs="Arial"/>
          <w:lang w:val="es-CO"/>
        </w:rPr>
        <w:t xml:space="preserve">Según el avalúo del IGAC, el </w:t>
      </w:r>
      <w:r w:rsidR="003D2E72" w:rsidRPr="003006D9">
        <w:rPr>
          <w:rFonts w:cs="Arial"/>
          <w:lang w:val="es-CO"/>
        </w:rPr>
        <w:t xml:space="preserve">precio </w:t>
      </w:r>
      <w:r w:rsidRPr="003006D9">
        <w:rPr>
          <w:rFonts w:cs="Arial"/>
          <w:lang w:val="es-CO"/>
        </w:rPr>
        <w:t xml:space="preserve">por </w:t>
      </w:r>
      <w:r w:rsidR="00856864" w:rsidRPr="003006D9">
        <w:rPr>
          <w:rFonts w:cs="Arial"/>
          <w:lang w:val="es-CO"/>
        </w:rPr>
        <w:t>h</w:t>
      </w:r>
      <w:r w:rsidRPr="003006D9">
        <w:rPr>
          <w:rFonts w:cs="Arial"/>
          <w:lang w:val="es-CO"/>
        </w:rPr>
        <w:t xml:space="preserve">ectárea apta para la siembra con adecuación </w:t>
      </w:r>
      <w:r w:rsidR="008F4517" w:rsidRPr="003006D9">
        <w:rPr>
          <w:rFonts w:cs="Arial"/>
          <w:lang w:val="es-CO"/>
        </w:rPr>
        <w:t xml:space="preserve">oscilaba </w:t>
      </w:r>
      <w:r w:rsidR="003D2E72" w:rsidRPr="003006D9">
        <w:rPr>
          <w:rFonts w:cs="Arial"/>
          <w:lang w:val="es-CO"/>
        </w:rPr>
        <w:t>entre $9’000</w:t>
      </w:r>
      <w:r w:rsidR="00DE2489" w:rsidRPr="003006D9">
        <w:rPr>
          <w:rFonts w:cs="Arial"/>
          <w:lang w:val="es-CO"/>
        </w:rPr>
        <w:t>.</w:t>
      </w:r>
      <w:r w:rsidR="003D2E72" w:rsidRPr="003006D9">
        <w:rPr>
          <w:rFonts w:cs="Arial"/>
          <w:lang w:val="es-CO"/>
        </w:rPr>
        <w:t>000 y $9’800.000</w:t>
      </w:r>
      <w:r w:rsidR="003B202F" w:rsidRPr="003006D9">
        <w:rPr>
          <w:rFonts w:cs="Arial"/>
          <w:lang w:val="es-CO"/>
        </w:rPr>
        <w:t xml:space="preserve">, </w:t>
      </w:r>
      <w:r w:rsidR="00A63ECC" w:rsidRPr="003006D9">
        <w:rPr>
          <w:rFonts w:cs="Arial"/>
          <w:lang w:val="es-CO"/>
        </w:rPr>
        <w:t xml:space="preserve">rango que </w:t>
      </w:r>
      <w:r w:rsidR="003B202F" w:rsidRPr="003006D9">
        <w:rPr>
          <w:rFonts w:cs="Arial"/>
          <w:lang w:val="es-CO"/>
        </w:rPr>
        <w:t xml:space="preserve">se estableció </w:t>
      </w:r>
      <w:r w:rsidR="00A63ECC" w:rsidRPr="003006D9">
        <w:rPr>
          <w:rFonts w:cs="Arial"/>
          <w:lang w:val="es-CO"/>
        </w:rPr>
        <w:t xml:space="preserve">por esa entidad, </w:t>
      </w:r>
      <w:r w:rsidR="003B202F" w:rsidRPr="003006D9">
        <w:rPr>
          <w:rFonts w:cs="Arial"/>
          <w:lang w:val="es-CO"/>
        </w:rPr>
        <w:t xml:space="preserve">con fundamento </w:t>
      </w:r>
      <w:r w:rsidR="00735D74" w:rsidRPr="003006D9">
        <w:rPr>
          <w:rFonts w:cs="Arial"/>
          <w:lang w:val="es-CO"/>
        </w:rPr>
        <w:t xml:space="preserve">en </w:t>
      </w:r>
      <w:r w:rsidR="003B202F" w:rsidRPr="003006D9">
        <w:rPr>
          <w:rFonts w:cs="Arial"/>
          <w:lang w:val="es-CO"/>
        </w:rPr>
        <w:t xml:space="preserve">las encuestas y </w:t>
      </w:r>
      <w:r w:rsidR="00A97166" w:rsidRPr="003006D9">
        <w:rPr>
          <w:rFonts w:cs="Arial"/>
          <w:lang w:val="es-CO"/>
        </w:rPr>
        <w:t xml:space="preserve">en </w:t>
      </w:r>
      <w:r w:rsidR="003B202F" w:rsidRPr="003006D9">
        <w:rPr>
          <w:rFonts w:cs="Arial"/>
          <w:lang w:val="es-CO"/>
        </w:rPr>
        <w:t xml:space="preserve">las transacciones </w:t>
      </w:r>
      <w:r w:rsidR="00A97166" w:rsidRPr="003006D9">
        <w:rPr>
          <w:rFonts w:cs="Arial"/>
          <w:lang w:val="es-CO"/>
        </w:rPr>
        <w:t xml:space="preserve">realizadas </w:t>
      </w:r>
      <w:r w:rsidR="003B202F" w:rsidRPr="003006D9">
        <w:rPr>
          <w:rFonts w:cs="Arial"/>
          <w:lang w:val="es-CO"/>
        </w:rPr>
        <w:t xml:space="preserve">en la </w:t>
      </w:r>
      <w:r w:rsidR="00A97166" w:rsidRPr="003006D9">
        <w:rPr>
          <w:rFonts w:cs="Arial"/>
          <w:lang w:val="es-CO"/>
        </w:rPr>
        <w:t xml:space="preserve">misma </w:t>
      </w:r>
      <w:r w:rsidR="003B202F" w:rsidRPr="003006D9">
        <w:rPr>
          <w:rFonts w:cs="Arial"/>
          <w:lang w:val="es-CO"/>
        </w:rPr>
        <w:t>zona, de acuerdo con la metodología expuesta</w:t>
      </w:r>
      <w:r w:rsidR="00DE2489" w:rsidRPr="003006D9">
        <w:rPr>
          <w:rFonts w:cs="Arial"/>
          <w:lang w:val="es-CO"/>
        </w:rPr>
        <w:t xml:space="preserve"> por el IGAC</w:t>
      </w:r>
      <w:r w:rsidR="00856864" w:rsidRPr="003006D9">
        <w:rPr>
          <w:rFonts w:cs="Arial"/>
          <w:lang w:val="es-CO"/>
        </w:rPr>
        <w:t xml:space="preserve"> en su avalúo. </w:t>
      </w:r>
    </w:p>
    <w:p w:rsidR="00A97166" w:rsidRPr="003006D9" w:rsidRDefault="00A97166" w:rsidP="00570534">
      <w:pPr>
        <w:rPr>
          <w:rFonts w:cs="Arial"/>
          <w:lang w:val="es-CO"/>
        </w:rPr>
      </w:pPr>
    </w:p>
    <w:p w:rsidR="00A97166" w:rsidRPr="003006D9" w:rsidRDefault="00A9412B" w:rsidP="00570534">
      <w:pPr>
        <w:rPr>
          <w:rFonts w:cs="Arial"/>
          <w:lang w:val="es-CO"/>
        </w:rPr>
      </w:pPr>
      <w:r w:rsidRPr="003006D9">
        <w:rPr>
          <w:rFonts w:cs="Arial"/>
          <w:lang w:val="es-CO"/>
        </w:rPr>
        <w:t xml:space="preserve">Nótese que </w:t>
      </w:r>
      <w:r w:rsidR="00BA015C" w:rsidRPr="003006D9">
        <w:rPr>
          <w:rFonts w:cs="Arial"/>
          <w:lang w:val="es-CO"/>
        </w:rPr>
        <w:t xml:space="preserve">de </w:t>
      </w:r>
      <w:r w:rsidR="00A97166" w:rsidRPr="003006D9">
        <w:rPr>
          <w:rFonts w:cs="Arial"/>
          <w:lang w:val="es-CO"/>
        </w:rPr>
        <w:t xml:space="preserve">conformidad </w:t>
      </w:r>
      <w:r w:rsidR="00BA015C" w:rsidRPr="003006D9">
        <w:rPr>
          <w:rFonts w:cs="Arial"/>
          <w:lang w:val="es-CO"/>
        </w:rPr>
        <w:t xml:space="preserve">con </w:t>
      </w:r>
      <w:r w:rsidR="00856864" w:rsidRPr="003006D9">
        <w:rPr>
          <w:rFonts w:cs="Arial"/>
          <w:lang w:val="es-CO"/>
        </w:rPr>
        <w:t xml:space="preserve">el avalúo de </w:t>
      </w:r>
      <w:r w:rsidR="00A63ECC" w:rsidRPr="003006D9">
        <w:rPr>
          <w:rFonts w:cs="Arial"/>
          <w:lang w:val="es-CO"/>
        </w:rPr>
        <w:t xml:space="preserve">la Lonja de Propiedad Raíz de Nariño y Putumayo realizado en </w:t>
      </w:r>
      <w:r w:rsidR="00BA015C" w:rsidRPr="003006D9">
        <w:rPr>
          <w:rFonts w:cs="Arial"/>
          <w:lang w:val="es-CO"/>
        </w:rPr>
        <w:t xml:space="preserve">abril de </w:t>
      </w:r>
      <w:r w:rsidR="00856864" w:rsidRPr="003006D9">
        <w:rPr>
          <w:rFonts w:cs="Arial"/>
          <w:lang w:val="es-CO"/>
        </w:rPr>
        <w:t>2010</w:t>
      </w:r>
      <w:r w:rsidR="00BA015C" w:rsidRPr="003006D9">
        <w:rPr>
          <w:rFonts w:cs="Arial"/>
          <w:lang w:val="es-CO"/>
        </w:rPr>
        <w:t>,</w:t>
      </w:r>
      <w:r w:rsidR="00856864" w:rsidRPr="003006D9">
        <w:rPr>
          <w:rFonts w:cs="Arial"/>
          <w:lang w:val="es-CO"/>
        </w:rPr>
        <w:t xml:space="preserve"> el valor por hectárea era de $12’000.000</w:t>
      </w:r>
      <w:r w:rsidR="00A63ECC" w:rsidRPr="003006D9">
        <w:rPr>
          <w:rFonts w:cs="Arial"/>
          <w:lang w:val="es-CO"/>
        </w:rPr>
        <w:t>, no obstante lo cual</w:t>
      </w:r>
      <w:r w:rsidR="002C2405" w:rsidRPr="003006D9">
        <w:rPr>
          <w:rFonts w:cs="Arial"/>
          <w:lang w:val="es-CO"/>
        </w:rPr>
        <w:t>,</w:t>
      </w:r>
      <w:r w:rsidR="00A63ECC" w:rsidRPr="003006D9">
        <w:rPr>
          <w:rFonts w:cs="Arial"/>
          <w:lang w:val="es-CO"/>
        </w:rPr>
        <w:t xml:space="preserve"> a </w:t>
      </w:r>
      <w:r w:rsidR="00856864" w:rsidRPr="003006D9">
        <w:rPr>
          <w:rFonts w:cs="Arial"/>
          <w:lang w:val="es-CO"/>
        </w:rPr>
        <w:t>partir de</w:t>
      </w:r>
      <w:r w:rsidR="00A63ECC" w:rsidRPr="003006D9">
        <w:rPr>
          <w:rFonts w:cs="Arial"/>
          <w:lang w:val="es-CO"/>
        </w:rPr>
        <w:t xml:space="preserve"> allí se </w:t>
      </w:r>
      <w:r w:rsidR="00856864" w:rsidRPr="003006D9">
        <w:rPr>
          <w:rFonts w:cs="Arial"/>
          <w:lang w:val="es-CO"/>
        </w:rPr>
        <w:t xml:space="preserve">fijó el precio mínimo de venta </w:t>
      </w:r>
      <w:r w:rsidR="00A63ECC" w:rsidRPr="003006D9">
        <w:rPr>
          <w:rFonts w:cs="Arial"/>
          <w:lang w:val="es-CO"/>
        </w:rPr>
        <w:t xml:space="preserve">en </w:t>
      </w:r>
      <w:r w:rsidR="00735D74" w:rsidRPr="003006D9">
        <w:rPr>
          <w:rFonts w:cs="Arial"/>
          <w:lang w:val="es-CO"/>
        </w:rPr>
        <w:t>un</w:t>
      </w:r>
      <w:r w:rsidR="00A63ECC" w:rsidRPr="003006D9">
        <w:rPr>
          <w:rFonts w:cs="Arial"/>
          <w:lang w:val="es-CO"/>
        </w:rPr>
        <w:t xml:space="preserve"> 50%, </w:t>
      </w:r>
      <w:r w:rsidR="00BA015C" w:rsidRPr="003006D9">
        <w:rPr>
          <w:rFonts w:cs="Arial"/>
          <w:lang w:val="es-CO"/>
        </w:rPr>
        <w:t>es decir que el terreno se ofreció en $6’000.000 por hectárea</w:t>
      </w:r>
      <w:r w:rsidR="0074435D" w:rsidRPr="003006D9">
        <w:rPr>
          <w:rFonts w:cs="Arial"/>
          <w:lang w:val="es-CO"/>
        </w:rPr>
        <w:t>,</w:t>
      </w:r>
      <w:r w:rsidR="00BA015C" w:rsidRPr="003006D9">
        <w:rPr>
          <w:rFonts w:cs="Arial"/>
          <w:lang w:val="es-CO"/>
        </w:rPr>
        <w:t xml:space="preserve"> </w:t>
      </w:r>
      <w:r w:rsidR="00A63ECC" w:rsidRPr="003006D9">
        <w:rPr>
          <w:rFonts w:cs="Arial"/>
          <w:lang w:val="es-CO"/>
        </w:rPr>
        <w:t>cifra que resultaba inferior a</w:t>
      </w:r>
      <w:r w:rsidR="0074435D" w:rsidRPr="003006D9">
        <w:rPr>
          <w:rFonts w:cs="Arial"/>
          <w:lang w:val="es-CO"/>
        </w:rPr>
        <w:t xml:space="preserve">l valor </w:t>
      </w:r>
      <w:r w:rsidR="00A97166" w:rsidRPr="003006D9">
        <w:rPr>
          <w:rFonts w:cs="Arial"/>
          <w:lang w:val="es-CO"/>
        </w:rPr>
        <w:t xml:space="preserve">terreno </w:t>
      </w:r>
      <w:r w:rsidR="00BA015C" w:rsidRPr="003006D9">
        <w:rPr>
          <w:rFonts w:cs="Arial"/>
          <w:lang w:val="es-CO"/>
        </w:rPr>
        <w:t xml:space="preserve">de acuerdo con </w:t>
      </w:r>
      <w:r w:rsidR="00A63ECC" w:rsidRPr="003006D9">
        <w:rPr>
          <w:rFonts w:cs="Arial"/>
          <w:lang w:val="es-CO"/>
        </w:rPr>
        <w:t>el avalúo del IGAC.</w:t>
      </w:r>
      <w:r w:rsidR="00856864" w:rsidRPr="003006D9">
        <w:rPr>
          <w:rFonts w:cs="Arial"/>
          <w:lang w:val="es-CO"/>
        </w:rPr>
        <w:t xml:space="preserve"> </w:t>
      </w:r>
      <w:r w:rsidR="00735D74" w:rsidRPr="003006D9">
        <w:rPr>
          <w:rFonts w:cs="Arial"/>
          <w:lang w:val="es-CO"/>
        </w:rPr>
        <w:t xml:space="preserve"> </w:t>
      </w:r>
    </w:p>
    <w:p w:rsidR="00A97166" w:rsidRPr="003006D9" w:rsidRDefault="00A97166" w:rsidP="00570534">
      <w:pPr>
        <w:rPr>
          <w:rFonts w:cs="Arial"/>
          <w:lang w:val="es-CO"/>
        </w:rPr>
      </w:pPr>
    </w:p>
    <w:p w:rsidR="00735D74" w:rsidRPr="003006D9" w:rsidRDefault="00A97166" w:rsidP="00570534">
      <w:pPr>
        <w:rPr>
          <w:rFonts w:cs="Arial"/>
          <w:lang w:val="es-CO"/>
        </w:rPr>
      </w:pPr>
      <w:r w:rsidRPr="003006D9">
        <w:rPr>
          <w:rFonts w:cs="Arial"/>
          <w:lang w:val="es-CO"/>
        </w:rPr>
        <w:lastRenderedPageBreak/>
        <w:t xml:space="preserve">Por </w:t>
      </w:r>
      <w:r w:rsidR="0074435D" w:rsidRPr="003006D9">
        <w:rPr>
          <w:rFonts w:cs="Arial"/>
          <w:lang w:val="es-CO"/>
        </w:rPr>
        <w:t xml:space="preserve">otra </w:t>
      </w:r>
      <w:r w:rsidRPr="003006D9">
        <w:rPr>
          <w:rFonts w:cs="Arial"/>
          <w:lang w:val="es-CO"/>
        </w:rPr>
        <w:t>parte, l</w:t>
      </w:r>
      <w:r w:rsidR="00735D74" w:rsidRPr="003006D9">
        <w:rPr>
          <w:rFonts w:cs="Arial"/>
          <w:lang w:val="es-CO"/>
        </w:rPr>
        <w:t>a comparación con el avalúo de septiembre de 2010 arroja una distancia mayor</w:t>
      </w:r>
      <w:r w:rsidR="007C294E" w:rsidRPr="003006D9">
        <w:rPr>
          <w:rFonts w:cs="Arial"/>
          <w:lang w:val="es-CO"/>
        </w:rPr>
        <w:t xml:space="preserve"> en el valor adoptado</w:t>
      </w:r>
      <w:r w:rsidR="00735D74" w:rsidRPr="003006D9">
        <w:rPr>
          <w:rFonts w:cs="Arial"/>
          <w:lang w:val="es-CO"/>
        </w:rPr>
        <w:t>, toda vez que el valor de la hectárea se fijó en $5’000.000</w:t>
      </w:r>
      <w:r w:rsidR="0074435D" w:rsidRPr="003006D9">
        <w:rPr>
          <w:rFonts w:cs="Arial"/>
          <w:lang w:val="es-CO"/>
        </w:rPr>
        <w:t>,</w:t>
      </w:r>
      <w:r w:rsidR="00735D74" w:rsidRPr="003006D9">
        <w:rPr>
          <w:rFonts w:cs="Arial"/>
          <w:lang w:val="es-CO"/>
        </w:rPr>
        <w:t xml:space="preserve"> al paso que el IGAC indicó un valor entre $9’000.000 y $9’800.000 por hectárea.</w:t>
      </w:r>
    </w:p>
    <w:p w:rsidR="00BA015C" w:rsidRPr="003006D9" w:rsidRDefault="00BA015C" w:rsidP="00570534">
      <w:pPr>
        <w:rPr>
          <w:rFonts w:cs="Arial"/>
          <w:lang w:val="es-CO"/>
        </w:rPr>
      </w:pPr>
    </w:p>
    <w:p w:rsidR="006A1061" w:rsidRPr="003006D9" w:rsidRDefault="00853309" w:rsidP="00570534">
      <w:pPr>
        <w:rPr>
          <w:rFonts w:cs="Arial"/>
          <w:lang w:val="es-CO"/>
        </w:rPr>
      </w:pPr>
      <w:r w:rsidRPr="003006D9">
        <w:rPr>
          <w:rFonts w:cs="Arial"/>
          <w:lang w:val="es-CO"/>
        </w:rPr>
        <w:t xml:space="preserve">Con todo y que </w:t>
      </w:r>
      <w:r w:rsidR="001A2111" w:rsidRPr="003006D9">
        <w:rPr>
          <w:rFonts w:cs="Arial"/>
          <w:lang w:val="es-CO"/>
        </w:rPr>
        <w:t xml:space="preserve">el IGAC estimó </w:t>
      </w:r>
      <w:r w:rsidR="00A63ECC" w:rsidRPr="003006D9">
        <w:rPr>
          <w:rFonts w:cs="Arial"/>
          <w:lang w:val="es-CO"/>
        </w:rPr>
        <w:t xml:space="preserve">en su avalúo </w:t>
      </w:r>
      <w:r w:rsidR="007019E3" w:rsidRPr="003006D9">
        <w:rPr>
          <w:rFonts w:cs="Arial"/>
          <w:lang w:val="es-CO"/>
        </w:rPr>
        <w:t xml:space="preserve">las </w:t>
      </w:r>
      <w:r w:rsidRPr="003006D9">
        <w:rPr>
          <w:rFonts w:cs="Arial"/>
          <w:lang w:val="es-CO"/>
        </w:rPr>
        <w:t>construcci</w:t>
      </w:r>
      <w:r w:rsidR="007019E3" w:rsidRPr="003006D9">
        <w:rPr>
          <w:rFonts w:cs="Arial"/>
          <w:lang w:val="es-CO"/>
        </w:rPr>
        <w:t xml:space="preserve">ones </w:t>
      </w:r>
      <w:r w:rsidRPr="003006D9">
        <w:rPr>
          <w:rFonts w:cs="Arial"/>
          <w:lang w:val="es-CO"/>
        </w:rPr>
        <w:t xml:space="preserve">y los cultivos </w:t>
      </w:r>
      <w:r w:rsidR="001A2111" w:rsidRPr="003006D9">
        <w:rPr>
          <w:rFonts w:cs="Arial"/>
          <w:lang w:val="es-CO"/>
        </w:rPr>
        <w:t xml:space="preserve">por </w:t>
      </w:r>
      <w:r w:rsidR="00735D74" w:rsidRPr="003006D9">
        <w:rPr>
          <w:rFonts w:cs="Arial"/>
          <w:lang w:val="es-CO"/>
        </w:rPr>
        <w:t>montos</w:t>
      </w:r>
      <w:r w:rsidRPr="003006D9">
        <w:rPr>
          <w:rFonts w:cs="Arial"/>
          <w:lang w:val="es-CO"/>
        </w:rPr>
        <w:t xml:space="preserve"> más alto</w:t>
      </w:r>
      <w:r w:rsidR="00302524" w:rsidRPr="003006D9">
        <w:rPr>
          <w:rFonts w:cs="Arial"/>
          <w:lang w:val="es-CO"/>
        </w:rPr>
        <w:t>s</w:t>
      </w:r>
      <w:r w:rsidRPr="003006D9">
        <w:rPr>
          <w:rFonts w:cs="Arial"/>
          <w:lang w:val="es-CO"/>
        </w:rPr>
        <w:t xml:space="preserve"> que </w:t>
      </w:r>
      <w:r w:rsidR="00302524" w:rsidRPr="003006D9">
        <w:rPr>
          <w:rFonts w:cs="Arial"/>
          <w:lang w:val="es-CO"/>
        </w:rPr>
        <w:t xml:space="preserve">los </w:t>
      </w:r>
      <w:r w:rsidR="007019E3" w:rsidRPr="003006D9">
        <w:rPr>
          <w:rFonts w:cs="Arial"/>
          <w:lang w:val="es-CO"/>
        </w:rPr>
        <w:t xml:space="preserve">contenidos en </w:t>
      </w:r>
      <w:r w:rsidR="00302524" w:rsidRPr="003006D9">
        <w:rPr>
          <w:rFonts w:cs="Arial"/>
          <w:lang w:val="es-CO"/>
        </w:rPr>
        <w:t>los avalúos de la Lonja de Propiedad Raíz de Nariño y Putumayo</w:t>
      </w:r>
      <w:r w:rsidRPr="003006D9">
        <w:rPr>
          <w:rFonts w:cs="Arial"/>
          <w:lang w:val="es-CO"/>
        </w:rPr>
        <w:t>, la diferencia</w:t>
      </w:r>
      <w:r w:rsidR="001A2111" w:rsidRPr="003006D9">
        <w:rPr>
          <w:rFonts w:cs="Arial"/>
          <w:lang w:val="es-CO"/>
        </w:rPr>
        <w:t xml:space="preserve"> en los </w:t>
      </w:r>
      <w:r w:rsidRPr="003006D9">
        <w:rPr>
          <w:rFonts w:cs="Arial"/>
          <w:lang w:val="es-CO"/>
        </w:rPr>
        <w:t>estimativos del terreno marc</w:t>
      </w:r>
      <w:r w:rsidR="001A2111" w:rsidRPr="003006D9">
        <w:rPr>
          <w:rFonts w:cs="Arial"/>
          <w:lang w:val="es-CO"/>
        </w:rPr>
        <w:t>ó</w:t>
      </w:r>
      <w:r w:rsidRPr="003006D9">
        <w:rPr>
          <w:rFonts w:cs="Arial"/>
          <w:lang w:val="es-CO"/>
        </w:rPr>
        <w:t xml:space="preserve"> </w:t>
      </w:r>
      <w:r w:rsidR="001A2111" w:rsidRPr="003006D9">
        <w:rPr>
          <w:rFonts w:cs="Arial"/>
          <w:lang w:val="es-CO"/>
        </w:rPr>
        <w:t xml:space="preserve">el menor </w:t>
      </w:r>
      <w:r w:rsidR="00735D74" w:rsidRPr="003006D9">
        <w:rPr>
          <w:rFonts w:cs="Arial"/>
          <w:lang w:val="es-CO"/>
        </w:rPr>
        <w:t xml:space="preserve">valor </w:t>
      </w:r>
      <w:r w:rsidR="00A63ECC" w:rsidRPr="003006D9">
        <w:rPr>
          <w:rFonts w:cs="Arial"/>
          <w:lang w:val="es-CO"/>
        </w:rPr>
        <w:t xml:space="preserve">que el ICA </w:t>
      </w:r>
      <w:r w:rsidR="006A1061" w:rsidRPr="003006D9">
        <w:rPr>
          <w:rFonts w:cs="Arial"/>
          <w:lang w:val="es-CO"/>
        </w:rPr>
        <w:t xml:space="preserve">reseñó </w:t>
      </w:r>
      <w:r w:rsidR="00A63ECC" w:rsidRPr="003006D9">
        <w:rPr>
          <w:rFonts w:cs="Arial"/>
          <w:lang w:val="es-CO"/>
        </w:rPr>
        <w:t xml:space="preserve">en este proceso para fundar </w:t>
      </w:r>
      <w:r w:rsidR="00735D74" w:rsidRPr="003006D9">
        <w:rPr>
          <w:rFonts w:cs="Arial"/>
          <w:lang w:val="es-CO"/>
        </w:rPr>
        <w:t>la prueba d</w:t>
      </w:r>
      <w:r w:rsidR="00BA015C" w:rsidRPr="003006D9">
        <w:rPr>
          <w:rFonts w:cs="Arial"/>
          <w:lang w:val="es-CO"/>
        </w:rPr>
        <w:t xml:space="preserve">el detrimento </w:t>
      </w:r>
      <w:r w:rsidR="006A1061" w:rsidRPr="003006D9">
        <w:rPr>
          <w:rFonts w:cs="Arial"/>
          <w:lang w:val="es-CO"/>
        </w:rPr>
        <w:t xml:space="preserve">patrimonial </w:t>
      </w:r>
      <w:r w:rsidR="00BA015C" w:rsidRPr="003006D9">
        <w:rPr>
          <w:rFonts w:cs="Arial"/>
          <w:lang w:val="es-CO"/>
        </w:rPr>
        <w:t>que pretendió evitar</w:t>
      </w:r>
      <w:r w:rsidR="006A1061" w:rsidRPr="003006D9">
        <w:rPr>
          <w:rFonts w:cs="Arial"/>
          <w:lang w:val="es-CO"/>
        </w:rPr>
        <w:t>.</w:t>
      </w:r>
    </w:p>
    <w:p w:rsidR="00853309" w:rsidRPr="003006D9" w:rsidRDefault="00853309" w:rsidP="00570534">
      <w:pPr>
        <w:rPr>
          <w:rFonts w:cs="Arial"/>
          <w:lang w:val="es-CO"/>
        </w:rPr>
      </w:pPr>
    </w:p>
    <w:p w:rsidR="00603F0E" w:rsidRPr="003006D9" w:rsidRDefault="00C70487" w:rsidP="00570534">
      <w:pPr>
        <w:rPr>
          <w:rFonts w:cs="Arial"/>
          <w:lang w:val="es-CO"/>
        </w:rPr>
      </w:pPr>
      <w:r w:rsidRPr="003006D9">
        <w:rPr>
          <w:rFonts w:cs="Arial"/>
          <w:lang w:val="es-CO"/>
        </w:rPr>
        <w:t xml:space="preserve">Se puede agregar que tanto el IGAC como la Lonja de Propiedad Raíz de Nariño y Putumayo </w:t>
      </w:r>
      <w:r w:rsidR="00603F0E" w:rsidRPr="003006D9">
        <w:rPr>
          <w:rFonts w:cs="Arial"/>
          <w:lang w:val="es-CO"/>
        </w:rPr>
        <w:t xml:space="preserve">dejaron de </w:t>
      </w:r>
      <w:r w:rsidR="00F21E72" w:rsidRPr="003006D9">
        <w:rPr>
          <w:rFonts w:cs="Arial"/>
          <w:lang w:val="es-CO"/>
        </w:rPr>
        <w:t>consider</w:t>
      </w:r>
      <w:r w:rsidR="0074435D" w:rsidRPr="003006D9">
        <w:rPr>
          <w:rFonts w:cs="Arial"/>
          <w:lang w:val="es-CO"/>
        </w:rPr>
        <w:t>ar</w:t>
      </w:r>
      <w:r w:rsidR="00F21E72" w:rsidRPr="003006D9">
        <w:rPr>
          <w:rFonts w:cs="Arial"/>
          <w:lang w:val="es-CO"/>
        </w:rPr>
        <w:t xml:space="preserve"> </w:t>
      </w:r>
      <w:r w:rsidR="0074435D" w:rsidRPr="003006D9">
        <w:rPr>
          <w:rFonts w:cs="Arial"/>
          <w:lang w:val="es-CO"/>
        </w:rPr>
        <w:t xml:space="preserve">una reducción del </w:t>
      </w:r>
      <w:r w:rsidR="00F21E72" w:rsidRPr="003006D9">
        <w:rPr>
          <w:rFonts w:cs="Arial"/>
          <w:lang w:val="es-CO"/>
        </w:rPr>
        <w:t xml:space="preserve">precio </w:t>
      </w:r>
      <w:r w:rsidR="001274CE" w:rsidRPr="003006D9">
        <w:rPr>
          <w:rFonts w:cs="Arial"/>
          <w:lang w:val="es-CO"/>
        </w:rPr>
        <w:t>p</w:t>
      </w:r>
      <w:r w:rsidR="008E0AA3" w:rsidRPr="003006D9">
        <w:rPr>
          <w:rFonts w:cs="Arial"/>
          <w:lang w:val="es-CO"/>
        </w:rPr>
        <w:t>ara</w:t>
      </w:r>
      <w:r w:rsidR="001274CE" w:rsidRPr="003006D9">
        <w:rPr>
          <w:rFonts w:cs="Arial"/>
          <w:lang w:val="es-CO"/>
        </w:rPr>
        <w:t xml:space="preserve"> </w:t>
      </w:r>
      <w:r w:rsidR="00F21E72" w:rsidRPr="003006D9">
        <w:rPr>
          <w:rFonts w:cs="Arial"/>
          <w:lang w:val="es-CO"/>
        </w:rPr>
        <w:t>aquella zona que no era materia de propiedad (91 hectáreas aprox</w:t>
      </w:r>
      <w:r w:rsidR="00FF6727" w:rsidRPr="003006D9">
        <w:rPr>
          <w:rFonts w:cs="Arial"/>
          <w:lang w:val="es-CO"/>
        </w:rPr>
        <w:t>imadamente</w:t>
      </w:r>
      <w:r w:rsidR="00F21E72" w:rsidRPr="003006D9">
        <w:rPr>
          <w:rFonts w:cs="Arial"/>
          <w:lang w:val="es-CO"/>
        </w:rPr>
        <w:t>)</w:t>
      </w:r>
      <w:r w:rsidR="00FF6727" w:rsidRPr="003006D9">
        <w:rPr>
          <w:rFonts w:cs="Arial"/>
          <w:lang w:val="es-CO"/>
        </w:rPr>
        <w:t xml:space="preserve">. </w:t>
      </w:r>
    </w:p>
    <w:p w:rsidR="00603F0E" w:rsidRPr="003006D9" w:rsidRDefault="00603F0E" w:rsidP="00570534">
      <w:pPr>
        <w:rPr>
          <w:rFonts w:cs="Arial"/>
          <w:lang w:val="es-CO"/>
        </w:rPr>
      </w:pPr>
    </w:p>
    <w:p w:rsidR="00C70487" w:rsidRPr="003006D9" w:rsidRDefault="00FF6727" w:rsidP="00570534">
      <w:pPr>
        <w:rPr>
          <w:rFonts w:cs="Arial"/>
          <w:lang w:val="es-CO"/>
        </w:rPr>
      </w:pPr>
      <w:r w:rsidRPr="003006D9">
        <w:rPr>
          <w:rFonts w:cs="Arial"/>
          <w:lang w:val="es-CO"/>
        </w:rPr>
        <w:t xml:space="preserve">Se resalta que </w:t>
      </w:r>
      <w:r w:rsidR="00C70487" w:rsidRPr="003006D9">
        <w:rPr>
          <w:rFonts w:cs="Arial"/>
          <w:lang w:val="es-CO"/>
        </w:rPr>
        <w:t>el ICA no tenía la propiedad del 100% del inmueble</w:t>
      </w:r>
      <w:r w:rsidR="001274CE" w:rsidRPr="003006D9">
        <w:rPr>
          <w:rFonts w:cs="Arial"/>
          <w:lang w:val="es-CO"/>
        </w:rPr>
        <w:t>,</w:t>
      </w:r>
      <w:r w:rsidR="00C70487" w:rsidRPr="003006D9">
        <w:rPr>
          <w:rFonts w:cs="Arial"/>
          <w:lang w:val="es-CO"/>
        </w:rPr>
        <w:t xml:space="preserve"> dado que, según se refirió en </w:t>
      </w:r>
      <w:r w:rsidRPr="003006D9">
        <w:rPr>
          <w:rFonts w:cs="Arial"/>
          <w:lang w:val="es-CO"/>
        </w:rPr>
        <w:t xml:space="preserve">la </w:t>
      </w:r>
      <w:r w:rsidR="00C70487" w:rsidRPr="003006D9">
        <w:rPr>
          <w:rFonts w:cs="Arial"/>
          <w:lang w:val="es-CO"/>
        </w:rPr>
        <w:t xml:space="preserve">promesa de compraventa, catorce lotes eran </w:t>
      </w:r>
      <w:r w:rsidR="001274CE" w:rsidRPr="003006D9">
        <w:rPr>
          <w:rFonts w:cs="Arial"/>
          <w:lang w:val="es-CO"/>
        </w:rPr>
        <w:t xml:space="preserve">objeto </w:t>
      </w:r>
      <w:r w:rsidR="00C70487" w:rsidRPr="003006D9">
        <w:rPr>
          <w:rFonts w:cs="Arial"/>
          <w:lang w:val="es-CO"/>
        </w:rPr>
        <w:t>de posesión</w:t>
      </w:r>
      <w:r w:rsidRPr="003006D9">
        <w:rPr>
          <w:rFonts w:cs="Arial"/>
          <w:lang w:val="es-CO"/>
        </w:rPr>
        <w:t>, de acuerdo con los certificados de libertad que se allegaron al plenario</w:t>
      </w:r>
      <w:r w:rsidR="007C294E" w:rsidRPr="003006D9">
        <w:rPr>
          <w:rFonts w:cs="Arial"/>
          <w:lang w:val="es-CO"/>
        </w:rPr>
        <w:t>, referidos a la adquisición de mejoras en esos lotes</w:t>
      </w:r>
      <w:r w:rsidR="00F21E72" w:rsidRPr="003006D9">
        <w:rPr>
          <w:rStyle w:val="Refdenotaalpie"/>
          <w:rFonts w:cs="Arial"/>
          <w:lang w:val="es-CO"/>
        </w:rPr>
        <w:footnoteReference w:id="62"/>
      </w:r>
      <w:r w:rsidR="00C70487" w:rsidRPr="003006D9">
        <w:rPr>
          <w:rFonts w:cs="Arial"/>
          <w:lang w:val="es-CO"/>
        </w:rPr>
        <w:t xml:space="preserve">. </w:t>
      </w:r>
    </w:p>
    <w:p w:rsidR="00C70487" w:rsidRPr="003006D9" w:rsidRDefault="00C70487" w:rsidP="00570534">
      <w:pPr>
        <w:rPr>
          <w:rFonts w:cs="Arial"/>
          <w:b/>
          <w:lang w:val="es-CO"/>
        </w:rPr>
      </w:pPr>
    </w:p>
    <w:p w:rsidR="00253840" w:rsidRPr="003006D9" w:rsidRDefault="003C0C91" w:rsidP="007F3E37">
      <w:pPr>
        <w:spacing w:line="240" w:lineRule="auto"/>
        <w:rPr>
          <w:rFonts w:cs="Arial"/>
          <w:b/>
          <w:lang w:val="es-CO"/>
        </w:rPr>
      </w:pPr>
      <w:r w:rsidRPr="003006D9">
        <w:rPr>
          <w:rFonts w:cs="Arial"/>
          <w:b/>
          <w:lang w:val="es-CO"/>
        </w:rPr>
        <w:t>6</w:t>
      </w:r>
      <w:r w:rsidR="00DE2489" w:rsidRPr="003006D9">
        <w:rPr>
          <w:rFonts w:cs="Arial"/>
          <w:b/>
          <w:lang w:val="es-CO"/>
        </w:rPr>
        <w:t xml:space="preserve">. </w:t>
      </w:r>
      <w:r w:rsidR="00253840" w:rsidRPr="003006D9">
        <w:rPr>
          <w:rFonts w:cs="Arial"/>
          <w:b/>
          <w:lang w:val="es-CO"/>
        </w:rPr>
        <w:t>Conclusiones</w:t>
      </w:r>
      <w:r w:rsidR="00776855" w:rsidRPr="003006D9">
        <w:rPr>
          <w:rFonts w:cs="Arial"/>
          <w:b/>
          <w:lang w:val="es-CO"/>
        </w:rPr>
        <w:t xml:space="preserve"> acerca de la violación de la ley aplicable acerca del precio mínimo de venta</w:t>
      </w:r>
    </w:p>
    <w:p w:rsidR="0012137F" w:rsidRPr="003006D9" w:rsidRDefault="0012137F" w:rsidP="00570534">
      <w:pPr>
        <w:rPr>
          <w:rFonts w:cs="Arial"/>
          <w:lang w:val="es-CO"/>
        </w:rPr>
      </w:pPr>
    </w:p>
    <w:p w:rsidR="00A46D15" w:rsidRPr="003006D9" w:rsidRDefault="004A3BAC" w:rsidP="00570534">
      <w:pPr>
        <w:rPr>
          <w:rFonts w:cs="Arial"/>
          <w:lang w:val="es-CO"/>
        </w:rPr>
      </w:pPr>
      <w:r w:rsidRPr="003006D9">
        <w:rPr>
          <w:rFonts w:cs="Arial"/>
          <w:lang w:val="es-CO"/>
        </w:rPr>
        <w:t>Con fundamento en las pruebas analizadas</w:t>
      </w:r>
      <w:r w:rsidR="00BA015C" w:rsidRPr="003006D9">
        <w:rPr>
          <w:rFonts w:cs="Arial"/>
          <w:lang w:val="es-CO"/>
        </w:rPr>
        <w:t>,</w:t>
      </w:r>
      <w:r w:rsidRPr="003006D9">
        <w:rPr>
          <w:rFonts w:cs="Arial"/>
          <w:lang w:val="es-CO"/>
        </w:rPr>
        <w:t xml:space="preserve"> l</w:t>
      </w:r>
      <w:r w:rsidR="002F62E9" w:rsidRPr="003006D9">
        <w:rPr>
          <w:rFonts w:cs="Arial"/>
          <w:lang w:val="es-CO"/>
        </w:rPr>
        <w:t xml:space="preserve">a Sala </w:t>
      </w:r>
      <w:r w:rsidR="00D55EE5" w:rsidRPr="003006D9">
        <w:rPr>
          <w:rFonts w:cs="Arial"/>
          <w:lang w:val="es-CO"/>
        </w:rPr>
        <w:t>establece</w:t>
      </w:r>
      <w:r w:rsidR="002F62E9" w:rsidRPr="003006D9">
        <w:rPr>
          <w:rFonts w:cs="Arial"/>
          <w:lang w:val="es-CO"/>
        </w:rPr>
        <w:t xml:space="preserve"> que el método que utilizó </w:t>
      </w:r>
      <w:r w:rsidR="00CF6304" w:rsidRPr="003006D9">
        <w:rPr>
          <w:rFonts w:cs="Arial"/>
          <w:lang w:val="es-CO"/>
        </w:rPr>
        <w:t>el ICA para fijar el precio mínimo de venta dentro de la ficha que publicó en el proceso de selección abreviada GS-SA-01-32-2010</w:t>
      </w:r>
      <w:r w:rsidR="002F62E9" w:rsidRPr="003006D9">
        <w:rPr>
          <w:rFonts w:cs="Arial"/>
          <w:lang w:val="es-CO"/>
        </w:rPr>
        <w:t xml:space="preserve"> estuvo orientado por la aplicación del porcentaje referido en el Código de Procedimiento Civil </w:t>
      </w:r>
      <w:r w:rsidRPr="003006D9">
        <w:rPr>
          <w:rFonts w:cs="Arial"/>
          <w:lang w:val="es-CO"/>
        </w:rPr>
        <w:t>sobre e</w:t>
      </w:r>
      <w:r w:rsidR="00CF6304" w:rsidRPr="003006D9">
        <w:rPr>
          <w:rFonts w:cs="Arial"/>
          <w:lang w:val="es-CO"/>
        </w:rPr>
        <w:t xml:space="preserve">l avalúo de abril de 2010, disponible en </w:t>
      </w:r>
      <w:r w:rsidR="00DF43E6" w:rsidRPr="003006D9">
        <w:rPr>
          <w:rFonts w:cs="Arial"/>
          <w:lang w:val="es-CO"/>
        </w:rPr>
        <w:t>la fecha de apertura del proceso</w:t>
      </w:r>
      <w:r w:rsidR="00CF6304" w:rsidRPr="003006D9">
        <w:rPr>
          <w:rFonts w:cs="Arial"/>
          <w:lang w:val="es-CO"/>
        </w:rPr>
        <w:t xml:space="preserve">. </w:t>
      </w:r>
    </w:p>
    <w:p w:rsidR="00A46D15" w:rsidRPr="003006D9" w:rsidRDefault="00A46D15" w:rsidP="00570534">
      <w:pPr>
        <w:rPr>
          <w:rFonts w:cs="Arial"/>
          <w:lang w:val="es-CO"/>
        </w:rPr>
      </w:pPr>
    </w:p>
    <w:p w:rsidR="004A3BAC" w:rsidRPr="003006D9" w:rsidRDefault="00CF6304" w:rsidP="00570534">
      <w:pPr>
        <w:rPr>
          <w:rFonts w:cs="Arial"/>
          <w:lang w:val="es-CO"/>
        </w:rPr>
      </w:pPr>
      <w:r w:rsidRPr="003006D9">
        <w:rPr>
          <w:rFonts w:cs="Arial"/>
          <w:lang w:val="es-CO"/>
        </w:rPr>
        <w:t>En igual forma</w:t>
      </w:r>
      <w:r w:rsidR="008E0AA3" w:rsidRPr="003006D9">
        <w:rPr>
          <w:rFonts w:cs="Arial"/>
          <w:lang w:val="es-CO"/>
        </w:rPr>
        <w:t>,</w:t>
      </w:r>
      <w:r w:rsidRPr="003006D9">
        <w:rPr>
          <w:rFonts w:cs="Arial"/>
          <w:lang w:val="es-CO"/>
        </w:rPr>
        <w:t xml:space="preserve"> </w:t>
      </w:r>
      <w:r w:rsidR="006A1061" w:rsidRPr="003006D9">
        <w:rPr>
          <w:rFonts w:cs="Arial"/>
          <w:lang w:val="es-CO"/>
        </w:rPr>
        <w:t xml:space="preserve">se </w:t>
      </w:r>
      <w:r w:rsidRPr="003006D9">
        <w:rPr>
          <w:rFonts w:cs="Arial"/>
          <w:lang w:val="es-CO"/>
        </w:rPr>
        <w:t xml:space="preserve">advierte que los ajustes que realizó la Lonja de Propiedad </w:t>
      </w:r>
      <w:r w:rsidR="00A46D15" w:rsidRPr="003006D9">
        <w:rPr>
          <w:rFonts w:cs="Arial"/>
          <w:lang w:val="es-CO"/>
        </w:rPr>
        <w:t xml:space="preserve">Raíz de Nariño y Putumayo en el avalúo de septiembre de 2010 </w:t>
      </w:r>
      <w:r w:rsidR="00784BBC" w:rsidRPr="003006D9">
        <w:rPr>
          <w:rFonts w:cs="Arial"/>
          <w:lang w:val="es-CO"/>
        </w:rPr>
        <w:t xml:space="preserve">también obedecieron al </w:t>
      </w:r>
      <w:r w:rsidR="00A46D15" w:rsidRPr="003006D9">
        <w:rPr>
          <w:rFonts w:cs="Arial"/>
          <w:lang w:val="es-CO"/>
        </w:rPr>
        <w:t>criterio de reducir los valores en un porcentaje similar al utilizado por  el ICA en su proceso</w:t>
      </w:r>
      <w:r w:rsidR="00DF43E6" w:rsidRPr="003006D9">
        <w:rPr>
          <w:rFonts w:cs="Arial"/>
          <w:lang w:val="es-CO"/>
        </w:rPr>
        <w:t xml:space="preserve"> de contratación</w:t>
      </w:r>
      <w:r w:rsidR="004A3BAC" w:rsidRPr="003006D9">
        <w:rPr>
          <w:rFonts w:cs="Arial"/>
          <w:lang w:val="es-CO"/>
        </w:rPr>
        <w:t>.</w:t>
      </w:r>
    </w:p>
    <w:p w:rsidR="006E0CB0" w:rsidRPr="003006D9" w:rsidRDefault="00DF43E6" w:rsidP="00B61DA6">
      <w:pPr>
        <w:pStyle w:val="NormalWeb"/>
        <w:shd w:val="clear" w:color="auto" w:fill="FFFFFF"/>
        <w:rPr>
          <w:rFonts w:cs="Arial"/>
          <w:bCs/>
          <w:color w:val="000000"/>
        </w:rPr>
      </w:pPr>
      <w:r w:rsidRPr="003006D9">
        <w:rPr>
          <w:rFonts w:cs="Arial"/>
          <w:bCs/>
          <w:color w:val="000000"/>
        </w:rPr>
        <w:t xml:space="preserve">De conformidad con las </w:t>
      </w:r>
      <w:r w:rsidR="00812B9B" w:rsidRPr="003006D9">
        <w:rPr>
          <w:rFonts w:cs="Arial"/>
          <w:bCs/>
          <w:color w:val="000000"/>
        </w:rPr>
        <w:t>norma</w:t>
      </w:r>
      <w:r w:rsidR="00CF44BC" w:rsidRPr="003006D9">
        <w:rPr>
          <w:rFonts w:cs="Arial"/>
          <w:bCs/>
          <w:color w:val="000000"/>
        </w:rPr>
        <w:t xml:space="preserve">s </w:t>
      </w:r>
      <w:r w:rsidR="00812B9B" w:rsidRPr="003006D9">
        <w:rPr>
          <w:rFonts w:cs="Arial"/>
          <w:bCs/>
          <w:color w:val="000000"/>
        </w:rPr>
        <w:t>aplicable</w:t>
      </w:r>
      <w:r w:rsidR="00CF44BC" w:rsidRPr="003006D9">
        <w:rPr>
          <w:rFonts w:cs="Arial"/>
          <w:bCs/>
          <w:color w:val="000000"/>
        </w:rPr>
        <w:t>s</w:t>
      </w:r>
      <w:r w:rsidR="00812B9B" w:rsidRPr="003006D9">
        <w:rPr>
          <w:rFonts w:cs="Arial"/>
          <w:bCs/>
          <w:color w:val="000000"/>
        </w:rPr>
        <w:t xml:space="preserve"> </w:t>
      </w:r>
      <w:r w:rsidR="008E0AA3" w:rsidRPr="003006D9">
        <w:rPr>
          <w:rFonts w:cs="Arial"/>
          <w:bCs/>
          <w:color w:val="000000"/>
        </w:rPr>
        <w:t>al</w:t>
      </w:r>
      <w:r w:rsidR="00DE2489" w:rsidRPr="003006D9">
        <w:rPr>
          <w:rFonts w:cs="Arial"/>
          <w:bCs/>
          <w:color w:val="000000"/>
        </w:rPr>
        <w:t xml:space="preserve"> procedi</w:t>
      </w:r>
      <w:r w:rsidR="006E0CB0" w:rsidRPr="003006D9">
        <w:rPr>
          <w:rFonts w:cs="Arial"/>
          <w:bCs/>
          <w:color w:val="000000"/>
        </w:rPr>
        <w:t xml:space="preserve">miento de selección abreviada para la enajenación de bienes del Estado, el </w:t>
      </w:r>
      <w:r w:rsidR="00312A75" w:rsidRPr="003006D9">
        <w:rPr>
          <w:rFonts w:cs="Arial"/>
          <w:bCs/>
          <w:color w:val="000000"/>
        </w:rPr>
        <w:t xml:space="preserve">valor </w:t>
      </w:r>
      <w:r w:rsidR="00C70487" w:rsidRPr="003006D9">
        <w:rPr>
          <w:rFonts w:cs="Arial"/>
          <w:bCs/>
          <w:color w:val="000000"/>
        </w:rPr>
        <w:t xml:space="preserve">de </w:t>
      </w:r>
      <w:r w:rsidR="00812B9B" w:rsidRPr="003006D9">
        <w:rPr>
          <w:rFonts w:cs="Arial"/>
          <w:bCs/>
          <w:color w:val="000000"/>
        </w:rPr>
        <w:t xml:space="preserve">avalúo </w:t>
      </w:r>
      <w:r w:rsidR="00784BBC" w:rsidRPr="003006D9">
        <w:rPr>
          <w:rFonts w:cs="Arial"/>
          <w:bCs/>
          <w:color w:val="000000"/>
        </w:rPr>
        <w:t xml:space="preserve">debía </w:t>
      </w:r>
      <w:r w:rsidR="00812B9B" w:rsidRPr="003006D9">
        <w:rPr>
          <w:rFonts w:cs="Arial"/>
          <w:bCs/>
          <w:color w:val="000000"/>
        </w:rPr>
        <w:t xml:space="preserve">ser ajustado con base en los factores </w:t>
      </w:r>
      <w:r w:rsidR="00C000B9" w:rsidRPr="003006D9">
        <w:rPr>
          <w:rFonts w:cs="Arial"/>
          <w:bCs/>
          <w:color w:val="000000"/>
        </w:rPr>
        <w:t xml:space="preserve">previstos en </w:t>
      </w:r>
      <w:r w:rsidRPr="003006D9">
        <w:rPr>
          <w:rFonts w:cs="Arial"/>
          <w:bCs/>
          <w:color w:val="000000"/>
        </w:rPr>
        <w:t xml:space="preserve">la </w:t>
      </w:r>
      <w:r w:rsidR="008E0AA3" w:rsidRPr="003006D9">
        <w:rPr>
          <w:rFonts w:cs="Arial"/>
          <w:bCs/>
          <w:color w:val="000000"/>
        </w:rPr>
        <w:t>L</w:t>
      </w:r>
      <w:r w:rsidRPr="003006D9">
        <w:rPr>
          <w:rFonts w:cs="Arial"/>
          <w:bCs/>
          <w:color w:val="000000"/>
        </w:rPr>
        <w:t xml:space="preserve">ey 1150 de 2007 reglamentados por </w:t>
      </w:r>
      <w:r w:rsidR="00812B9B" w:rsidRPr="003006D9">
        <w:rPr>
          <w:rFonts w:cs="Arial"/>
          <w:bCs/>
          <w:color w:val="000000"/>
        </w:rPr>
        <w:t>el Decreto 4444 de 2008, para efectos de determinar el precio mínimo de venta</w:t>
      </w:r>
      <w:r w:rsidR="00784BBC" w:rsidRPr="003006D9">
        <w:rPr>
          <w:rFonts w:cs="Arial"/>
          <w:bCs/>
          <w:color w:val="000000"/>
        </w:rPr>
        <w:t>, y no era viable acudir a la reducción del precio con base en la aplicación del porcentaje que  fijaba el Código de Procedimiento Civil</w:t>
      </w:r>
      <w:r w:rsidR="007F3E37" w:rsidRPr="003006D9">
        <w:rPr>
          <w:rStyle w:val="Refdenotaalpie"/>
          <w:rFonts w:cs="Arial"/>
          <w:bCs/>
          <w:color w:val="000000"/>
        </w:rPr>
        <w:footnoteReference w:id="63"/>
      </w:r>
      <w:r w:rsidR="00784BBC" w:rsidRPr="003006D9">
        <w:rPr>
          <w:rFonts w:cs="Arial"/>
          <w:bCs/>
          <w:color w:val="000000"/>
        </w:rPr>
        <w:t>.</w:t>
      </w:r>
      <w:r w:rsidR="00812B9B" w:rsidRPr="003006D9">
        <w:rPr>
          <w:rFonts w:cs="Arial"/>
          <w:bCs/>
          <w:color w:val="000000"/>
        </w:rPr>
        <w:t xml:space="preserve"> </w:t>
      </w:r>
    </w:p>
    <w:p w:rsidR="00A545D3" w:rsidRPr="003006D9" w:rsidRDefault="00812B9B" w:rsidP="00B61DA6">
      <w:pPr>
        <w:pStyle w:val="NormalWeb"/>
        <w:shd w:val="clear" w:color="auto" w:fill="FFFFFF"/>
        <w:rPr>
          <w:rFonts w:cs="Arial"/>
          <w:i/>
          <w:lang w:val="es-CO"/>
        </w:rPr>
      </w:pPr>
      <w:r w:rsidRPr="003006D9">
        <w:rPr>
          <w:rFonts w:cs="Arial"/>
          <w:bCs/>
          <w:color w:val="000000"/>
        </w:rPr>
        <w:t>No obstante</w:t>
      </w:r>
      <w:r w:rsidR="006C594D" w:rsidRPr="003006D9">
        <w:rPr>
          <w:rFonts w:cs="Arial"/>
          <w:bCs/>
          <w:color w:val="000000"/>
        </w:rPr>
        <w:t>,</w:t>
      </w:r>
      <w:r w:rsidRPr="003006D9">
        <w:rPr>
          <w:rFonts w:cs="Arial"/>
          <w:bCs/>
          <w:color w:val="000000"/>
        </w:rPr>
        <w:t xml:space="preserve"> </w:t>
      </w:r>
      <w:r w:rsidR="00784BBC" w:rsidRPr="003006D9">
        <w:rPr>
          <w:rFonts w:cs="Arial"/>
          <w:bCs/>
          <w:i/>
          <w:color w:val="000000"/>
        </w:rPr>
        <w:t>los</w:t>
      </w:r>
      <w:r w:rsidRPr="003006D9">
        <w:rPr>
          <w:rFonts w:cs="Arial"/>
          <w:bCs/>
          <w:i/>
          <w:color w:val="000000"/>
        </w:rPr>
        <w:t xml:space="preserve"> factores </w:t>
      </w:r>
      <w:r w:rsidR="00784BBC" w:rsidRPr="003006D9">
        <w:rPr>
          <w:rFonts w:cs="Arial"/>
          <w:bCs/>
          <w:i/>
          <w:color w:val="000000"/>
        </w:rPr>
        <w:t xml:space="preserve">previstos en la regulación </w:t>
      </w:r>
      <w:r w:rsidRPr="003006D9">
        <w:rPr>
          <w:rFonts w:cs="Arial"/>
          <w:bCs/>
          <w:i/>
          <w:color w:val="000000"/>
        </w:rPr>
        <w:t xml:space="preserve">no fueron </w:t>
      </w:r>
      <w:r w:rsidR="004866EB" w:rsidRPr="003006D9">
        <w:rPr>
          <w:rFonts w:cs="Arial"/>
          <w:bCs/>
          <w:i/>
          <w:color w:val="000000"/>
        </w:rPr>
        <w:t xml:space="preserve">los que se tuvieron en cuenta </w:t>
      </w:r>
      <w:r w:rsidR="006C594D" w:rsidRPr="003006D9">
        <w:rPr>
          <w:rFonts w:cs="Arial"/>
          <w:bCs/>
          <w:i/>
          <w:color w:val="000000"/>
        </w:rPr>
        <w:t xml:space="preserve">por </w:t>
      </w:r>
      <w:r w:rsidRPr="003006D9">
        <w:rPr>
          <w:rFonts w:cs="Arial"/>
          <w:bCs/>
          <w:i/>
          <w:color w:val="000000"/>
        </w:rPr>
        <w:t>e</w:t>
      </w:r>
      <w:r w:rsidR="006C594D" w:rsidRPr="003006D9">
        <w:rPr>
          <w:rFonts w:cs="Arial"/>
          <w:bCs/>
          <w:i/>
          <w:color w:val="000000"/>
        </w:rPr>
        <w:t xml:space="preserve">l ICA en el caso del </w:t>
      </w:r>
      <w:r w:rsidR="00BA015C" w:rsidRPr="003006D9">
        <w:rPr>
          <w:rFonts w:cs="Arial"/>
          <w:bCs/>
          <w:i/>
          <w:color w:val="000000"/>
        </w:rPr>
        <w:t xml:space="preserve">precio mínimo de venta del </w:t>
      </w:r>
      <w:r w:rsidR="006C594D" w:rsidRPr="003006D9">
        <w:rPr>
          <w:rFonts w:cs="Arial"/>
          <w:i/>
          <w:lang w:val="es-CO"/>
        </w:rPr>
        <w:t>proceso de selección abreviada GS-SA-01-32-2010</w:t>
      </w:r>
      <w:r w:rsidR="00A545D3" w:rsidRPr="003006D9">
        <w:rPr>
          <w:rFonts w:cs="Arial"/>
          <w:i/>
          <w:lang w:val="es-CO"/>
        </w:rPr>
        <w:t>.</w:t>
      </w:r>
    </w:p>
    <w:p w:rsidR="004866EB" w:rsidRPr="003006D9" w:rsidRDefault="007076B2" w:rsidP="00B61DA6">
      <w:pPr>
        <w:pStyle w:val="NormalWeb"/>
        <w:shd w:val="clear" w:color="auto" w:fill="FFFFFF"/>
        <w:rPr>
          <w:rFonts w:cs="Arial"/>
          <w:lang w:val="es-CO"/>
        </w:rPr>
      </w:pPr>
      <w:r w:rsidRPr="003006D9">
        <w:rPr>
          <w:rFonts w:cs="Arial"/>
          <w:lang w:val="es-CO"/>
        </w:rPr>
        <w:t xml:space="preserve">Por tanto, se concluye que </w:t>
      </w:r>
      <w:r w:rsidR="00A545D3" w:rsidRPr="003006D9">
        <w:rPr>
          <w:rFonts w:cs="Arial"/>
          <w:lang w:val="es-CO"/>
        </w:rPr>
        <w:t xml:space="preserve">las pruebas </w:t>
      </w:r>
      <w:r w:rsidRPr="003006D9">
        <w:rPr>
          <w:rFonts w:cs="Arial"/>
          <w:lang w:val="es-CO"/>
        </w:rPr>
        <w:t xml:space="preserve">dan la razón al ICA en cuanto se demostró </w:t>
      </w:r>
      <w:r w:rsidR="00A545D3" w:rsidRPr="003006D9">
        <w:rPr>
          <w:rFonts w:cs="Arial"/>
          <w:lang w:val="es-CO"/>
        </w:rPr>
        <w:t xml:space="preserve">la </w:t>
      </w:r>
      <w:r w:rsidR="004866EB" w:rsidRPr="003006D9">
        <w:rPr>
          <w:rFonts w:cs="Arial"/>
          <w:lang w:val="es-CO"/>
        </w:rPr>
        <w:t xml:space="preserve">violación de la ley </w:t>
      </w:r>
      <w:r w:rsidR="006A1061" w:rsidRPr="003006D9">
        <w:rPr>
          <w:rFonts w:cs="Arial"/>
          <w:lang w:val="es-CO"/>
        </w:rPr>
        <w:t xml:space="preserve">aplicable </w:t>
      </w:r>
      <w:r w:rsidR="004866EB" w:rsidRPr="003006D9">
        <w:rPr>
          <w:rFonts w:cs="Arial"/>
          <w:lang w:val="es-CO"/>
        </w:rPr>
        <w:t>en el proceso precontractual sub j</w:t>
      </w:r>
      <w:r w:rsidR="00A30AE5" w:rsidRPr="003006D9">
        <w:rPr>
          <w:rFonts w:cs="Arial"/>
          <w:lang w:val="es-CO"/>
        </w:rPr>
        <w:t>ú</w:t>
      </w:r>
      <w:r w:rsidR="004866EB" w:rsidRPr="003006D9">
        <w:rPr>
          <w:rFonts w:cs="Arial"/>
          <w:lang w:val="es-CO"/>
        </w:rPr>
        <w:t>dice</w:t>
      </w:r>
      <w:r w:rsidR="00A545D3" w:rsidRPr="003006D9">
        <w:rPr>
          <w:rFonts w:cs="Arial"/>
          <w:lang w:val="es-CO"/>
        </w:rPr>
        <w:t xml:space="preserve">, </w:t>
      </w:r>
      <w:r w:rsidR="00A30AE5" w:rsidRPr="003006D9">
        <w:rPr>
          <w:rFonts w:cs="Arial"/>
          <w:lang w:val="es-CO"/>
        </w:rPr>
        <w:t xml:space="preserve">dado que </w:t>
      </w:r>
      <w:r w:rsidR="006E0CB0" w:rsidRPr="003006D9">
        <w:rPr>
          <w:rFonts w:cs="Arial"/>
          <w:lang w:val="es-CO"/>
        </w:rPr>
        <w:t xml:space="preserve">la </w:t>
      </w:r>
      <w:r w:rsidR="00A545D3" w:rsidRPr="003006D9">
        <w:rPr>
          <w:rFonts w:cs="Arial"/>
          <w:lang w:val="es-CO"/>
        </w:rPr>
        <w:t>fijación del precio mínimo de venta</w:t>
      </w:r>
      <w:r w:rsidR="009474C5" w:rsidRPr="003006D9">
        <w:rPr>
          <w:rFonts w:cs="Arial"/>
          <w:lang w:val="es-CO"/>
        </w:rPr>
        <w:t xml:space="preserve"> que sirvió como base a la subasta electrónica y </w:t>
      </w:r>
      <w:r w:rsidR="009474C5" w:rsidRPr="003006D9">
        <w:rPr>
          <w:rFonts w:cs="Arial"/>
          <w:lang w:val="es-CO"/>
        </w:rPr>
        <w:lastRenderedPageBreak/>
        <w:t>a la adjudicación realizada mediante la Resolución 3098 de 2010</w:t>
      </w:r>
      <w:r w:rsidR="00A30AE5" w:rsidRPr="003006D9">
        <w:rPr>
          <w:rFonts w:cs="Arial"/>
          <w:lang w:val="es-CO"/>
        </w:rPr>
        <w:t>, se apartó de lo fijado en la ley 1150 de 2007</w:t>
      </w:r>
      <w:r w:rsidR="00E65C45" w:rsidRPr="003006D9">
        <w:rPr>
          <w:rStyle w:val="Refdenotaalpie"/>
          <w:rFonts w:cs="Arial"/>
          <w:lang w:val="es-CO"/>
        </w:rPr>
        <w:footnoteReference w:id="64"/>
      </w:r>
      <w:r w:rsidR="00A30AE5" w:rsidRPr="003006D9">
        <w:rPr>
          <w:rFonts w:cs="Arial"/>
          <w:lang w:val="es-CO"/>
        </w:rPr>
        <w:t xml:space="preserve"> y </w:t>
      </w:r>
      <w:r w:rsidR="00776855" w:rsidRPr="003006D9">
        <w:rPr>
          <w:rFonts w:cs="Arial"/>
          <w:lang w:val="es-CO"/>
        </w:rPr>
        <w:t xml:space="preserve">en </w:t>
      </w:r>
      <w:r w:rsidR="00A30AE5" w:rsidRPr="003006D9">
        <w:rPr>
          <w:rFonts w:cs="Arial"/>
          <w:lang w:val="es-CO"/>
        </w:rPr>
        <w:t>el Decreto 4444 de 2008</w:t>
      </w:r>
      <w:r w:rsidR="009C09F3" w:rsidRPr="003006D9">
        <w:rPr>
          <w:rStyle w:val="Refdenotaalpie"/>
          <w:rFonts w:cs="Arial"/>
          <w:lang w:val="es-CO"/>
        </w:rPr>
        <w:footnoteReference w:id="65"/>
      </w:r>
      <w:r w:rsidR="00A30AE5" w:rsidRPr="003006D9">
        <w:rPr>
          <w:rFonts w:cs="Arial"/>
          <w:lang w:val="es-CO"/>
        </w:rPr>
        <w:t>.</w:t>
      </w:r>
      <w:r w:rsidR="00A545D3" w:rsidRPr="003006D9">
        <w:rPr>
          <w:rFonts w:cs="Arial"/>
          <w:lang w:val="es-CO"/>
        </w:rPr>
        <w:t xml:space="preserve"> </w:t>
      </w:r>
    </w:p>
    <w:p w:rsidR="003443CC" w:rsidRPr="003006D9" w:rsidRDefault="006E0CB0" w:rsidP="00B61DA6">
      <w:pPr>
        <w:pStyle w:val="NormalWeb"/>
        <w:shd w:val="clear" w:color="auto" w:fill="FFFFFF"/>
        <w:rPr>
          <w:rFonts w:cs="Arial"/>
          <w:bCs/>
          <w:color w:val="000000"/>
        </w:rPr>
      </w:pPr>
      <w:r w:rsidRPr="003006D9">
        <w:rPr>
          <w:rFonts w:cs="Arial"/>
          <w:bCs/>
          <w:color w:val="000000"/>
        </w:rPr>
        <w:t xml:space="preserve">Por esta razón, </w:t>
      </w:r>
      <w:r w:rsidR="00776855" w:rsidRPr="003006D9">
        <w:rPr>
          <w:rFonts w:cs="Arial"/>
          <w:bCs/>
          <w:color w:val="000000"/>
        </w:rPr>
        <w:t xml:space="preserve">se reafirma la sentencia de primera instancia en cuanto </w:t>
      </w:r>
      <w:r w:rsidRPr="003006D9">
        <w:rPr>
          <w:rFonts w:cs="Arial"/>
          <w:bCs/>
          <w:color w:val="000000"/>
        </w:rPr>
        <w:t>procede</w:t>
      </w:r>
      <w:r w:rsidR="00776855" w:rsidRPr="003006D9">
        <w:rPr>
          <w:rFonts w:cs="Arial"/>
          <w:bCs/>
          <w:color w:val="000000"/>
        </w:rPr>
        <w:t>n</w:t>
      </w:r>
      <w:r w:rsidR="00CF44BC" w:rsidRPr="003006D9">
        <w:rPr>
          <w:rFonts w:cs="Arial"/>
          <w:bCs/>
          <w:color w:val="000000"/>
        </w:rPr>
        <w:t xml:space="preserve"> </w:t>
      </w:r>
      <w:r w:rsidRPr="003006D9">
        <w:rPr>
          <w:rFonts w:cs="Arial"/>
          <w:bCs/>
          <w:color w:val="000000"/>
        </w:rPr>
        <w:t xml:space="preserve">las pretensiones de la demanda de reconvención, </w:t>
      </w:r>
      <w:r w:rsidR="00776855" w:rsidRPr="003006D9">
        <w:rPr>
          <w:rFonts w:cs="Arial"/>
          <w:bCs/>
          <w:color w:val="000000"/>
        </w:rPr>
        <w:t xml:space="preserve">dado que </w:t>
      </w:r>
      <w:r w:rsidRPr="003006D9">
        <w:rPr>
          <w:rFonts w:cs="Arial"/>
          <w:bCs/>
          <w:color w:val="000000"/>
        </w:rPr>
        <w:t xml:space="preserve">se encuentra acreditado que el procedimiento de </w:t>
      </w:r>
      <w:r w:rsidR="00CF44BC" w:rsidRPr="003006D9">
        <w:rPr>
          <w:rFonts w:cs="Arial"/>
          <w:bCs/>
          <w:color w:val="000000"/>
        </w:rPr>
        <w:t xml:space="preserve">contratación </w:t>
      </w:r>
      <w:r w:rsidRPr="003006D9">
        <w:rPr>
          <w:rFonts w:cs="Arial"/>
          <w:bCs/>
          <w:color w:val="000000"/>
        </w:rPr>
        <w:t>se apartó de la ley aplicable</w:t>
      </w:r>
      <w:r w:rsidR="00C70487" w:rsidRPr="003006D9">
        <w:rPr>
          <w:rFonts w:cs="Arial"/>
          <w:bCs/>
          <w:color w:val="000000"/>
        </w:rPr>
        <w:t xml:space="preserve"> al mismo</w:t>
      </w:r>
      <w:r w:rsidR="00FE11BA">
        <w:rPr>
          <w:rFonts w:cs="Arial"/>
          <w:bCs/>
          <w:color w:val="000000"/>
        </w:rPr>
        <w:t xml:space="preserve">. </w:t>
      </w:r>
    </w:p>
    <w:p w:rsidR="00947479" w:rsidRPr="003006D9" w:rsidRDefault="003C0C91" w:rsidP="00947479">
      <w:pPr>
        <w:tabs>
          <w:tab w:val="left" w:pos="7797"/>
        </w:tabs>
        <w:ind w:right="51"/>
        <w:rPr>
          <w:rFonts w:cs="Arial"/>
          <w:b/>
          <w:color w:val="000000"/>
        </w:rPr>
      </w:pPr>
      <w:r w:rsidRPr="003006D9">
        <w:rPr>
          <w:rFonts w:cs="Arial"/>
          <w:b/>
          <w:color w:val="000000"/>
        </w:rPr>
        <w:t>7</w:t>
      </w:r>
      <w:r w:rsidR="00947479" w:rsidRPr="003006D9">
        <w:rPr>
          <w:rFonts w:cs="Arial"/>
          <w:b/>
          <w:color w:val="000000"/>
        </w:rPr>
        <w:t xml:space="preserve">. Omisión de las reglas de la </w:t>
      </w:r>
      <w:r w:rsidR="00C70487" w:rsidRPr="003006D9">
        <w:rPr>
          <w:rFonts w:cs="Arial"/>
          <w:b/>
          <w:color w:val="000000"/>
        </w:rPr>
        <w:t>p</w:t>
      </w:r>
      <w:r w:rsidR="00947479" w:rsidRPr="003006D9">
        <w:rPr>
          <w:rFonts w:cs="Arial"/>
          <w:b/>
          <w:color w:val="000000"/>
        </w:rPr>
        <w:t>ublicidad del proceso</w:t>
      </w:r>
    </w:p>
    <w:p w:rsidR="00947479" w:rsidRPr="003006D9" w:rsidRDefault="00947479" w:rsidP="00947479">
      <w:pPr>
        <w:tabs>
          <w:tab w:val="left" w:pos="7797"/>
        </w:tabs>
        <w:ind w:right="51"/>
        <w:rPr>
          <w:rFonts w:cs="Arial"/>
          <w:color w:val="000000"/>
        </w:rPr>
      </w:pPr>
    </w:p>
    <w:p w:rsidR="00D16E85" w:rsidRPr="003006D9" w:rsidRDefault="00D16E85" w:rsidP="00947479">
      <w:pPr>
        <w:tabs>
          <w:tab w:val="left" w:pos="7797"/>
        </w:tabs>
        <w:ind w:right="51"/>
        <w:rPr>
          <w:rFonts w:cs="Arial"/>
          <w:color w:val="000000"/>
        </w:rPr>
      </w:pPr>
      <w:r w:rsidRPr="003006D9">
        <w:rPr>
          <w:rFonts w:cs="Arial"/>
          <w:color w:val="000000"/>
        </w:rPr>
        <w:t>Lo</w:t>
      </w:r>
      <w:r w:rsidR="00A30AE5" w:rsidRPr="003006D9">
        <w:rPr>
          <w:rFonts w:cs="Arial"/>
          <w:color w:val="000000"/>
        </w:rPr>
        <w:t xml:space="preserve"> evidenciado </w:t>
      </w:r>
      <w:r w:rsidR="00C70487" w:rsidRPr="003006D9">
        <w:rPr>
          <w:rFonts w:cs="Arial"/>
          <w:color w:val="000000"/>
        </w:rPr>
        <w:t xml:space="preserve">hasta aquí </w:t>
      </w:r>
      <w:r w:rsidR="00A30AE5" w:rsidRPr="003006D9">
        <w:rPr>
          <w:rFonts w:cs="Arial"/>
          <w:color w:val="000000"/>
        </w:rPr>
        <w:t>permite reafirmar la nulidad de la adjudicación deprecada por el ICA</w:t>
      </w:r>
      <w:r w:rsidR="00BA46B1" w:rsidRPr="003006D9">
        <w:rPr>
          <w:rFonts w:cs="Arial"/>
          <w:color w:val="000000"/>
        </w:rPr>
        <w:t xml:space="preserve"> y</w:t>
      </w:r>
      <w:r w:rsidRPr="003006D9">
        <w:rPr>
          <w:rFonts w:cs="Arial"/>
          <w:color w:val="000000"/>
        </w:rPr>
        <w:t xml:space="preserve">, en lo pertinente, se debe </w:t>
      </w:r>
      <w:r w:rsidR="00BA46B1" w:rsidRPr="003006D9">
        <w:rPr>
          <w:rFonts w:cs="Arial"/>
          <w:color w:val="000000"/>
        </w:rPr>
        <w:t>desestimar la argumentación de la apelante</w:t>
      </w:r>
      <w:r w:rsidRPr="003006D9">
        <w:rPr>
          <w:rFonts w:cs="Arial"/>
          <w:color w:val="000000"/>
        </w:rPr>
        <w:t xml:space="preserve">. </w:t>
      </w:r>
    </w:p>
    <w:p w:rsidR="00D16E85" w:rsidRPr="003006D9" w:rsidRDefault="00D16E85" w:rsidP="00947479">
      <w:pPr>
        <w:tabs>
          <w:tab w:val="left" w:pos="7797"/>
        </w:tabs>
        <w:ind w:right="51"/>
        <w:rPr>
          <w:rFonts w:cs="Arial"/>
          <w:color w:val="000000"/>
        </w:rPr>
      </w:pPr>
    </w:p>
    <w:p w:rsidR="00947479" w:rsidRPr="003006D9" w:rsidRDefault="00D16E85" w:rsidP="00947479">
      <w:pPr>
        <w:tabs>
          <w:tab w:val="left" w:pos="7797"/>
        </w:tabs>
        <w:ind w:right="51"/>
        <w:rPr>
          <w:rFonts w:cs="Arial"/>
          <w:color w:val="000000"/>
        </w:rPr>
      </w:pPr>
      <w:r w:rsidRPr="003006D9">
        <w:rPr>
          <w:rFonts w:cs="Arial"/>
          <w:color w:val="000000"/>
        </w:rPr>
        <w:t>Sin perjuicio de lo anterior, e</w:t>
      </w:r>
      <w:r w:rsidR="00947479" w:rsidRPr="003006D9">
        <w:rPr>
          <w:rFonts w:cs="Arial"/>
          <w:color w:val="000000"/>
        </w:rPr>
        <w:t>s de importancia advertir que</w:t>
      </w:r>
      <w:r w:rsidR="00A30AE5" w:rsidRPr="003006D9">
        <w:rPr>
          <w:rFonts w:cs="Arial"/>
          <w:color w:val="000000"/>
        </w:rPr>
        <w:t xml:space="preserve">, adicionalmente, </w:t>
      </w:r>
      <w:r w:rsidR="004C67FB" w:rsidRPr="003006D9">
        <w:rPr>
          <w:rFonts w:cs="Arial"/>
          <w:color w:val="000000"/>
        </w:rPr>
        <w:t xml:space="preserve">en el proceso de contratación sub júdice </w:t>
      </w:r>
      <w:r w:rsidR="00C70487" w:rsidRPr="003006D9">
        <w:rPr>
          <w:rFonts w:cs="Arial"/>
          <w:color w:val="000000"/>
        </w:rPr>
        <w:t xml:space="preserve">se violaron las normas de </w:t>
      </w:r>
      <w:r w:rsidRPr="003006D9">
        <w:rPr>
          <w:rFonts w:cs="Arial"/>
          <w:color w:val="000000"/>
        </w:rPr>
        <w:t xml:space="preserve">la </w:t>
      </w:r>
      <w:r w:rsidR="00C70487" w:rsidRPr="003006D9">
        <w:rPr>
          <w:rFonts w:cs="Arial"/>
          <w:color w:val="000000"/>
        </w:rPr>
        <w:t xml:space="preserve">publicidad previa </w:t>
      </w:r>
      <w:r w:rsidR="004C67FB" w:rsidRPr="003006D9">
        <w:rPr>
          <w:rFonts w:cs="Arial"/>
          <w:color w:val="000000"/>
        </w:rPr>
        <w:t xml:space="preserve">exigida </w:t>
      </w:r>
      <w:r w:rsidR="00C70487" w:rsidRPr="003006D9">
        <w:rPr>
          <w:rFonts w:cs="Arial"/>
          <w:color w:val="000000"/>
        </w:rPr>
        <w:t xml:space="preserve">para la </w:t>
      </w:r>
      <w:r w:rsidR="00A30AE5" w:rsidRPr="003006D9">
        <w:rPr>
          <w:rFonts w:cs="Arial"/>
          <w:color w:val="000000"/>
        </w:rPr>
        <w:t xml:space="preserve">enajenación onerosa </w:t>
      </w:r>
      <w:r w:rsidR="00947479" w:rsidRPr="003006D9">
        <w:rPr>
          <w:rFonts w:cs="Arial"/>
          <w:color w:val="000000"/>
        </w:rPr>
        <w:t xml:space="preserve">de bienes del Estado que se rige por la Ley 1150 de 2007, </w:t>
      </w:r>
      <w:r w:rsidR="00C70487" w:rsidRPr="003006D9">
        <w:rPr>
          <w:rFonts w:cs="Arial"/>
          <w:color w:val="000000"/>
        </w:rPr>
        <w:t xml:space="preserve">dado que el procedimiento estaba </w:t>
      </w:r>
      <w:r w:rsidR="00947479" w:rsidRPr="003006D9">
        <w:rPr>
          <w:rFonts w:cs="Arial"/>
          <w:color w:val="000000"/>
        </w:rPr>
        <w:t>sometid</w:t>
      </w:r>
      <w:r w:rsidR="00C70487" w:rsidRPr="003006D9">
        <w:rPr>
          <w:rFonts w:cs="Arial"/>
          <w:color w:val="000000"/>
        </w:rPr>
        <w:t>o</w:t>
      </w:r>
      <w:r w:rsidR="00947479" w:rsidRPr="003006D9">
        <w:rPr>
          <w:rFonts w:cs="Arial"/>
          <w:color w:val="000000"/>
        </w:rPr>
        <w:t xml:space="preserve"> a una regla de publicidad especial, </w:t>
      </w:r>
      <w:r w:rsidR="00C70487" w:rsidRPr="003006D9">
        <w:rPr>
          <w:rFonts w:cs="Arial"/>
          <w:color w:val="000000"/>
        </w:rPr>
        <w:t xml:space="preserve">contenida en el </w:t>
      </w:r>
      <w:r w:rsidR="00A30AE5" w:rsidRPr="003006D9">
        <w:rPr>
          <w:rFonts w:cs="Arial"/>
          <w:color w:val="000000"/>
        </w:rPr>
        <w:t>inciso final del literal e) del punto 2 del artículo 2</w:t>
      </w:r>
      <w:r w:rsidR="00C70487" w:rsidRPr="003006D9">
        <w:rPr>
          <w:rFonts w:cs="Arial"/>
          <w:color w:val="000000"/>
        </w:rPr>
        <w:t>, así:</w:t>
      </w:r>
    </w:p>
    <w:p w:rsidR="00947479" w:rsidRPr="003006D9" w:rsidRDefault="00947479" w:rsidP="00947479">
      <w:pPr>
        <w:pStyle w:val="NormalWeb"/>
        <w:spacing w:line="276" w:lineRule="auto"/>
        <w:ind w:left="567" w:right="902"/>
        <w:rPr>
          <w:rFonts w:cs="Arial"/>
          <w:i/>
        </w:rPr>
      </w:pPr>
      <w:r w:rsidRPr="003006D9">
        <w:rPr>
          <w:rFonts w:cs="Arial"/>
          <w:i/>
        </w:rPr>
        <w:lastRenderedPageBreak/>
        <w:t>“La venta implica la publicación previa de los bienes en un diario de amplia circulación nacional, con la determinación del precio base. El interesado en adquirir bienes deberá consignar al menos el 20% del valor base de venta para participar en la oferta”.</w:t>
      </w:r>
    </w:p>
    <w:p w:rsidR="00947479" w:rsidRPr="003006D9" w:rsidRDefault="002D6C44" w:rsidP="00947479">
      <w:pPr>
        <w:shd w:val="clear" w:color="auto" w:fill="FFFFFF"/>
        <w:spacing w:before="100" w:beforeAutospacing="1" w:after="100" w:afterAutospacing="1"/>
        <w:ind w:right="51"/>
        <w:rPr>
          <w:rFonts w:cs="Arial"/>
          <w:color w:val="000000"/>
        </w:rPr>
      </w:pPr>
      <w:r w:rsidRPr="003006D9">
        <w:rPr>
          <w:rFonts w:cs="Arial"/>
          <w:color w:val="000000"/>
        </w:rPr>
        <w:t xml:space="preserve">Se tiene en cuenta que </w:t>
      </w:r>
      <w:r w:rsidR="00A30AE5" w:rsidRPr="003006D9">
        <w:rPr>
          <w:rFonts w:cs="Arial"/>
          <w:color w:val="000000"/>
        </w:rPr>
        <w:t>e</w:t>
      </w:r>
      <w:r w:rsidR="00947479" w:rsidRPr="003006D9">
        <w:rPr>
          <w:rFonts w:cs="Arial"/>
          <w:color w:val="000000"/>
        </w:rPr>
        <w:t xml:space="preserve">l Decreto 4444 de 2008 reglamentó la publicidad del proceso de contratación, a través del SECOP o </w:t>
      </w:r>
      <w:r w:rsidR="00A30AE5" w:rsidRPr="003006D9">
        <w:rPr>
          <w:rFonts w:cs="Arial"/>
          <w:color w:val="000000"/>
        </w:rPr>
        <w:t xml:space="preserve">de </w:t>
      </w:r>
      <w:r w:rsidR="00947479" w:rsidRPr="003006D9">
        <w:rPr>
          <w:rFonts w:cs="Arial"/>
          <w:color w:val="000000"/>
        </w:rPr>
        <w:t>la página web de la entidad, de acuerdo con lo que disponía el artículo 8 del Decreto 2474 de 2008</w:t>
      </w:r>
      <w:r w:rsidR="00DC6873" w:rsidRPr="003006D9">
        <w:rPr>
          <w:rStyle w:val="Refdenotaalpie"/>
          <w:rFonts w:cs="Arial"/>
          <w:color w:val="000000"/>
        </w:rPr>
        <w:footnoteReference w:id="66"/>
      </w:r>
      <w:r w:rsidR="00947479" w:rsidRPr="003006D9">
        <w:rPr>
          <w:rFonts w:cs="Arial"/>
          <w:color w:val="000000"/>
        </w:rPr>
        <w:t>, contentivo de las normas generales sobre el proceso de selección abreviada</w:t>
      </w:r>
      <w:r w:rsidR="004C67FB" w:rsidRPr="003006D9">
        <w:rPr>
          <w:rFonts w:cs="Arial"/>
          <w:color w:val="000000"/>
        </w:rPr>
        <w:t xml:space="preserve">. </w:t>
      </w:r>
      <w:r w:rsidRPr="003006D9">
        <w:rPr>
          <w:rFonts w:cs="Arial"/>
          <w:color w:val="000000"/>
        </w:rPr>
        <w:t>Sin embargo, e</w:t>
      </w:r>
      <w:r w:rsidR="004C67FB" w:rsidRPr="003006D9">
        <w:rPr>
          <w:rFonts w:cs="Arial"/>
          <w:color w:val="000000"/>
        </w:rPr>
        <w:t>sta última disposición</w:t>
      </w:r>
      <w:r w:rsidR="00C70487" w:rsidRPr="003006D9">
        <w:rPr>
          <w:rFonts w:cs="Arial"/>
          <w:color w:val="000000"/>
        </w:rPr>
        <w:t xml:space="preserve"> también debió cumplirse</w:t>
      </w:r>
      <w:r w:rsidRPr="003006D9">
        <w:rPr>
          <w:rFonts w:cs="Arial"/>
          <w:color w:val="000000"/>
        </w:rPr>
        <w:t>,</w:t>
      </w:r>
      <w:r w:rsidR="00C70487" w:rsidRPr="003006D9">
        <w:rPr>
          <w:rFonts w:cs="Arial"/>
          <w:color w:val="000000"/>
        </w:rPr>
        <w:t xml:space="preserve"> sin perjuicio de la exigencia especial de la publicación en un diario de</w:t>
      </w:r>
      <w:r w:rsidR="002E0D5C" w:rsidRPr="003006D9">
        <w:rPr>
          <w:rFonts w:cs="Arial"/>
          <w:color w:val="000000"/>
        </w:rPr>
        <w:t xml:space="preserve"> </w:t>
      </w:r>
      <w:r w:rsidR="00C70487" w:rsidRPr="003006D9">
        <w:rPr>
          <w:rFonts w:cs="Arial"/>
          <w:color w:val="000000"/>
        </w:rPr>
        <w:t>amplia circulación, respecto del precio m</w:t>
      </w:r>
      <w:r w:rsidR="002E0D5C" w:rsidRPr="003006D9">
        <w:rPr>
          <w:rFonts w:cs="Arial"/>
          <w:color w:val="000000"/>
        </w:rPr>
        <w:t>í</w:t>
      </w:r>
      <w:r w:rsidR="00C70487" w:rsidRPr="003006D9">
        <w:rPr>
          <w:rFonts w:cs="Arial"/>
          <w:color w:val="000000"/>
        </w:rPr>
        <w:t>nimo de venta del respectivo bien</w:t>
      </w:r>
      <w:r w:rsidRPr="003006D9">
        <w:rPr>
          <w:rFonts w:cs="Arial"/>
          <w:color w:val="000000"/>
        </w:rPr>
        <w:t>, referida en la ley</w:t>
      </w:r>
      <w:r w:rsidR="00C70487" w:rsidRPr="003006D9">
        <w:rPr>
          <w:rFonts w:cs="Arial"/>
          <w:color w:val="000000"/>
        </w:rPr>
        <w:t>.</w:t>
      </w:r>
      <w:r w:rsidR="00947479" w:rsidRPr="003006D9">
        <w:rPr>
          <w:rFonts w:cs="Arial"/>
          <w:color w:val="000000"/>
        </w:rPr>
        <w:t xml:space="preserve"> </w:t>
      </w:r>
    </w:p>
    <w:p w:rsidR="00947479" w:rsidRPr="003006D9" w:rsidRDefault="002D6C44" w:rsidP="00947479">
      <w:pPr>
        <w:shd w:val="clear" w:color="auto" w:fill="FFFFFF"/>
        <w:spacing w:before="100" w:beforeAutospacing="1" w:after="100" w:afterAutospacing="1"/>
        <w:ind w:right="51"/>
        <w:rPr>
          <w:rFonts w:cs="Arial"/>
          <w:color w:val="000000"/>
        </w:rPr>
      </w:pPr>
      <w:r w:rsidRPr="003006D9">
        <w:rPr>
          <w:rFonts w:cs="Arial"/>
          <w:color w:val="000000"/>
        </w:rPr>
        <w:t>Se observa que</w:t>
      </w:r>
      <w:r w:rsidR="004C67FB" w:rsidRPr="003006D9">
        <w:rPr>
          <w:rFonts w:cs="Arial"/>
          <w:color w:val="000000"/>
        </w:rPr>
        <w:t xml:space="preserve"> e</w:t>
      </w:r>
      <w:r w:rsidR="00947479" w:rsidRPr="003006D9">
        <w:rPr>
          <w:rFonts w:cs="Arial"/>
          <w:color w:val="000000"/>
        </w:rPr>
        <w:t>l Decreto 4444 de 2008 indicó</w:t>
      </w:r>
      <w:r w:rsidR="004C67FB" w:rsidRPr="003006D9">
        <w:rPr>
          <w:rFonts w:cs="Arial"/>
          <w:color w:val="000000"/>
        </w:rPr>
        <w:t xml:space="preserve"> </w:t>
      </w:r>
      <w:r w:rsidR="00947479" w:rsidRPr="003006D9">
        <w:rPr>
          <w:rFonts w:cs="Arial"/>
          <w:color w:val="000000"/>
        </w:rPr>
        <w:t>que la entidad y su intermediario podían publicar en un diario de amplia circulación el listado de bienes y el precio mínimo de venta</w:t>
      </w:r>
      <w:r w:rsidR="00947479" w:rsidRPr="003006D9">
        <w:rPr>
          <w:rStyle w:val="Refdenotaalpie"/>
          <w:rFonts w:cs="Arial"/>
          <w:color w:val="000000"/>
        </w:rPr>
        <w:footnoteReference w:id="67"/>
      </w:r>
      <w:r w:rsidRPr="003006D9">
        <w:rPr>
          <w:rFonts w:cs="Arial"/>
          <w:color w:val="000000"/>
        </w:rPr>
        <w:t xml:space="preserve">, lo cual – se reitera- no </w:t>
      </w:r>
      <w:r w:rsidR="00A94358" w:rsidRPr="003006D9">
        <w:rPr>
          <w:rFonts w:cs="Arial"/>
          <w:color w:val="000000"/>
        </w:rPr>
        <w:t xml:space="preserve">tenía el alcance de </w:t>
      </w:r>
      <w:r w:rsidRPr="003006D9">
        <w:rPr>
          <w:rFonts w:cs="Arial"/>
          <w:color w:val="000000"/>
        </w:rPr>
        <w:t>modificar la exigencia de la publicidad fijada por el artículo 2 de la Ley 1150 de 2007, en forma especial para el precio mínimo de venta.</w:t>
      </w:r>
    </w:p>
    <w:p w:rsidR="00947479" w:rsidRPr="003006D9" w:rsidRDefault="00947479" w:rsidP="00947479">
      <w:pPr>
        <w:tabs>
          <w:tab w:val="left" w:pos="7797"/>
        </w:tabs>
        <w:spacing w:line="276" w:lineRule="auto"/>
        <w:ind w:left="567" w:right="902"/>
        <w:rPr>
          <w:rFonts w:cs="Arial"/>
          <w:i/>
          <w:color w:val="000000"/>
        </w:rPr>
      </w:pPr>
      <w:r w:rsidRPr="003006D9">
        <w:rPr>
          <w:rFonts w:cs="Arial"/>
          <w:i/>
          <w:color w:val="000000"/>
        </w:rPr>
        <w:t xml:space="preserve">“La venta implica la publicación previa de los bienes en un diario de amplia circulación nacional, con la determinación del precio base”. </w:t>
      </w:r>
    </w:p>
    <w:p w:rsidR="00947479" w:rsidRPr="003006D9" w:rsidRDefault="00A30AE5" w:rsidP="00947479">
      <w:pPr>
        <w:shd w:val="clear" w:color="auto" w:fill="FFFFFF"/>
        <w:spacing w:before="100" w:beforeAutospacing="1" w:after="100" w:afterAutospacing="1"/>
        <w:rPr>
          <w:rFonts w:cs="Arial"/>
          <w:color w:val="000000"/>
        </w:rPr>
      </w:pPr>
      <w:r w:rsidRPr="003006D9">
        <w:rPr>
          <w:rFonts w:cs="Arial"/>
          <w:color w:val="000000"/>
        </w:rPr>
        <w:lastRenderedPageBreak/>
        <w:t xml:space="preserve">Finalmente, </w:t>
      </w:r>
      <w:r w:rsidR="009F7E25" w:rsidRPr="003006D9">
        <w:rPr>
          <w:rFonts w:cs="Arial"/>
          <w:color w:val="000000"/>
        </w:rPr>
        <w:t xml:space="preserve">se hace constar que </w:t>
      </w:r>
      <w:r w:rsidRPr="003006D9">
        <w:rPr>
          <w:rFonts w:cs="Arial"/>
          <w:color w:val="000000"/>
        </w:rPr>
        <w:t>e</w:t>
      </w:r>
      <w:r w:rsidR="00947479" w:rsidRPr="003006D9">
        <w:rPr>
          <w:rFonts w:cs="Arial"/>
          <w:color w:val="000000"/>
        </w:rPr>
        <w:t>l Decreto 3297 de 2009</w:t>
      </w:r>
      <w:r w:rsidRPr="003006D9">
        <w:rPr>
          <w:rFonts w:cs="Arial"/>
          <w:color w:val="000000"/>
        </w:rPr>
        <w:t xml:space="preserve">, referido al plan de enajenación onerosa de bienes del Estado, </w:t>
      </w:r>
      <w:r w:rsidR="00947479" w:rsidRPr="003006D9">
        <w:rPr>
          <w:rFonts w:cs="Arial"/>
          <w:color w:val="000000"/>
        </w:rPr>
        <w:t>incluyó igualmente la exigencia de la publicación del precio mínimo de venta en un diario de amplia circulación, de manera congruente con lo que exigió la Ley 1150 de 2007.</w:t>
      </w:r>
    </w:p>
    <w:p w:rsidR="00AE14E4" w:rsidRPr="003006D9" w:rsidRDefault="00AE14E4" w:rsidP="00947479">
      <w:pPr>
        <w:rPr>
          <w:rFonts w:cs="Arial"/>
          <w:lang w:val="es-CO"/>
        </w:rPr>
      </w:pPr>
      <w:r w:rsidRPr="003006D9">
        <w:rPr>
          <w:rFonts w:cs="Arial"/>
          <w:lang w:val="es-CO"/>
        </w:rPr>
        <w:t xml:space="preserve">Se </w:t>
      </w:r>
      <w:r w:rsidR="009F7E25" w:rsidRPr="003006D9">
        <w:rPr>
          <w:rFonts w:cs="Arial"/>
          <w:lang w:val="es-CO"/>
        </w:rPr>
        <w:t xml:space="preserve">observa que </w:t>
      </w:r>
      <w:r w:rsidRPr="003006D9">
        <w:rPr>
          <w:rFonts w:cs="Arial"/>
          <w:lang w:val="es-CO"/>
        </w:rPr>
        <w:t>d</w:t>
      </w:r>
      <w:r w:rsidR="00947479" w:rsidRPr="003006D9">
        <w:rPr>
          <w:rFonts w:cs="Arial"/>
          <w:lang w:val="es-CO"/>
        </w:rPr>
        <w:t xml:space="preserve">e acuerdo con el contenido de la </w:t>
      </w:r>
      <w:r w:rsidRPr="003006D9">
        <w:rPr>
          <w:rFonts w:cs="Arial"/>
          <w:lang w:val="es-CO"/>
        </w:rPr>
        <w:t>R</w:t>
      </w:r>
      <w:r w:rsidR="00947479" w:rsidRPr="003006D9">
        <w:rPr>
          <w:rFonts w:cs="Arial"/>
          <w:lang w:val="es-CO"/>
        </w:rPr>
        <w:t>esolución</w:t>
      </w:r>
      <w:r w:rsidRPr="003006D9">
        <w:rPr>
          <w:rFonts w:cs="Arial"/>
          <w:lang w:val="es-CO"/>
        </w:rPr>
        <w:t xml:space="preserve"> 3098 de 2010</w:t>
      </w:r>
      <w:r w:rsidR="00947479" w:rsidRPr="003006D9">
        <w:rPr>
          <w:rFonts w:cs="Arial"/>
          <w:lang w:val="es-CO"/>
        </w:rPr>
        <w:t>, el acto de apertura y los pliegos de condiciones se publicaron por el ICA a través del portal de contratación www.contratos.gov.co.</w:t>
      </w:r>
      <w:r w:rsidRPr="003006D9">
        <w:rPr>
          <w:rFonts w:cs="Arial"/>
          <w:lang w:val="es-CO"/>
        </w:rPr>
        <w:t xml:space="preserve">, pero, a diferencia de las convocatorias anteriores, en la GC-SA-01-32-2010 no se realizó el aviso </w:t>
      </w:r>
      <w:r w:rsidR="009F7E25" w:rsidRPr="003006D9">
        <w:rPr>
          <w:rFonts w:cs="Arial"/>
          <w:lang w:val="es-CO"/>
        </w:rPr>
        <w:t xml:space="preserve">en un diario de amplia circulación, </w:t>
      </w:r>
      <w:r w:rsidRPr="003006D9">
        <w:rPr>
          <w:rFonts w:cs="Arial"/>
          <w:lang w:val="es-CO"/>
        </w:rPr>
        <w:t>pese a que</w:t>
      </w:r>
      <w:r w:rsidR="00DC6873" w:rsidRPr="003006D9">
        <w:rPr>
          <w:rFonts w:cs="Arial"/>
          <w:lang w:val="es-CO"/>
        </w:rPr>
        <w:t>,</w:t>
      </w:r>
      <w:r w:rsidRPr="003006D9">
        <w:rPr>
          <w:rFonts w:cs="Arial"/>
          <w:lang w:val="es-CO"/>
        </w:rPr>
        <w:t xml:space="preserve"> con claridad</w:t>
      </w:r>
      <w:r w:rsidR="00DC6873" w:rsidRPr="003006D9">
        <w:rPr>
          <w:rFonts w:cs="Arial"/>
          <w:lang w:val="es-CO"/>
        </w:rPr>
        <w:t>,</w:t>
      </w:r>
      <w:r w:rsidRPr="003006D9">
        <w:rPr>
          <w:rFonts w:cs="Arial"/>
          <w:lang w:val="es-CO"/>
        </w:rPr>
        <w:t xml:space="preserve"> </w:t>
      </w:r>
      <w:r w:rsidR="00DC6873" w:rsidRPr="003006D9">
        <w:rPr>
          <w:rFonts w:cs="Arial"/>
          <w:lang w:val="es-CO"/>
        </w:rPr>
        <w:t xml:space="preserve">se trataba de </w:t>
      </w:r>
      <w:r w:rsidRPr="003006D9">
        <w:rPr>
          <w:rFonts w:cs="Arial"/>
          <w:lang w:val="es-CO"/>
        </w:rPr>
        <w:t xml:space="preserve">un proceso de contratación </w:t>
      </w:r>
      <w:r w:rsidR="00DC6873" w:rsidRPr="003006D9">
        <w:rPr>
          <w:rFonts w:cs="Arial"/>
          <w:lang w:val="es-CO"/>
        </w:rPr>
        <w:t xml:space="preserve">independiente de los anteriores </w:t>
      </w:r>
      <w:r w:rsidRPr="003006D9">
        <w:rPr>
          <w:rFonts w:cs="Arial"/>
          <w:lang w:val="es-CO"/>
        </w:rPr>
        <w:t>y que</w:t>
      </w:r>
      <w:r w:rsidR="00DC6873" w:rsidRPr="003006D9">
        <w:rPr>
          <w:rFonts w:cs="Arial"/>
          <w:lang w:val="es-CO"/>
        </w:rPr>
        <w:t xml:space="preserve">, además, </w:t>
      </w:r>
      <w:r w:rsidRPr="003006D9">
        <w:rPr>
          <w:rFonts w:cs="Arial"/>
          <w:lang w:val="es-CO"/>
        </w:rPr>
        <w:t xml:space="preserve">el precio mínimo de venta era distinto </w:t>
      </w:r>
      <w:r w:rsidR="009F7E25" w:rsidRPr="003006D9">
        <w:rPr>
          <w:rFonts w:cs="Arial"/>
          <w:lang w:val="es-CO"/>
        </w:rPr>
        <w:t>-</w:t>
      </w:r>
      <w:r w:rsidRPr="003006D9">
        <w:rPr>
          <w:rFonts w:cs="Arial"/>
          <w:lang w:val="es-CO"/>
        </w:rPr>
        <w:t>e inferior</w:t>
      </w:r>
      <w:r w:rsidR="009F7E25" w:rsidRPr="003006D9">
        <w:rPr>
          <w:rFonts w:cs="Arial"/>
          <w:lang w:val="es-CO"/>
        </w:rPr>
        <w:t>-</w:t>
      </w:r>
      <w:r w:rsidRPr="003006D9">
        <w:rPr>
          <w:rFonts w:cs="Arial"/>
          <w:lang w:val="es-CO"/>
        </w:rPr>
        <w:t xml:space="preserve"> al fijado en las convocatorias anteriores. </w:t>
      </w:r>
    </w:p>
    <w:p w:rsidR="00947479" w:rsidRPr="003006D9" w:rsidRDefault="00947479" w:rsidP="00947479">
      <w:pPr>
        <w:rPr>
          <w:rFonts w:cs="Arial"/>
          <w:lang w:val="es-CO"/>
        </w:rPr>
      </w:pPr>
    </w:p>
    <w:p w:rsidR="00947479" w:rsidRPr="003006D9" w:rsidRDefault="00947479" w:rsidP="00947479">
      <w:pPr>
        <w:rPr>
          <w:rFonts w:cs="Arial"/>
          <w:lang w:val="es-CO"/>
        </w:rPr>
      </w:pPr>
      <w:r w:rsidRPr="003006D9">
        <w:rPr>
          <w:rFonts w:cs="Arial"/>
          <w:lang w:val="es-CO"/>
        </w:rPr>
        <w:t xml:space="preserve">Se </w:t>
      </w:r>
      <w:r w:rsidR="00DC6873" w:rsidRPr="003006D9">
        <w:rPr>
          <w:rFonts w:cs="Arial"/>
          <w:lang w:val="es-CO"/>
        </w:rPr>
        <w:t xml:space="preserve">puntualiza </w:t>
      </w:r>
      <w:r w:rsidRPr="003006D9">
        <w:rPr>
          <w:rFonts w:cs="Arial"/>
          <w:lang w:val="es-CO"/>
        </w:rPr>
        <w:t xml:space="preserve">que aunque el ICA aportó </w:t>
      </w:r>
      <w:r w:rsidR="00AE14E4" w:rsidRPr="003006D9">
        <w:rPr>
          <w:rFonts w:cs="Arial"/>
          <w:lang w:val="es-CO"/>
        </w:rPr>
        <w:t xml:space="preserve">al plenario </w:t>
      </w:r>
      <w:r w:rsidRPr="003006D9">
        <w:rPr>
          <w:rFonts w:cs="Arial"/>
          <w:lang w:val="es-CO"/>
        </w:rPr>
        <w:t>los antecedentes administrativos de</w:t>
      </w:r>
      <w:r w:rsidR="00AE14E4" w:rsidRPr="003006D9">
        <w:rPr>
          <w:rFonts w:cs="Arial"/>
          <w:lang w:val="es-CO"/>
        </w:rPr>
        <w:t xml:space="preserve"> los tres procesos de contratación, en el </w:t>
      </w:r>
      <w:r w:rsidRPr="003006D9">
        <w:rPr>
          <w:rFonts w:cs="Arial"/>
          <w:lang w:val="es-CO"/>
        </w:rPr>
        <w:t xml:space="preserve">GC-SA-01-32-2010 – a diferencia de los </w:t>
      </w:r>
      <w:r w:rsidR="00D13047" w:rsidRPr="003006D9">
        <w:rPr>
          <w:rFonts w:cs="Arial"/>
          <w:lang w:val="es-CO"/>
        </w:rPr>
        <w:t xml:space="preserve">dos </w:t>
      </w:r>
      <w:r w:rsidRPr="003006D9">
        <w:rPr>
          <w:rFonts w:cs="Arial"/>
          <w:lang w:val="es-CO"/>
        </w:rPr>
        <w:t>anteriores</w:t>
      </w:r>
      <w:r w:rsidR="00AE14E4" w:rsidRPr="003006D9">
        <w:rPr>
          <w:rFonts w:cs="Arial"/>
          <w:lang w:val="es-CO"/>
        </w:rPr>
        <w:t>-</w:t>
      </w:r>
      <w:r w:rsidRPr="003006D9">
        <w:rPr>
          <w:rFonts w:cs="Arial"/>
          <w:lang w:val="es-CO"/>
        </w:rPr>
        <w:t xml:space="preserve"> no allegó la publicación en un diario de amplia circulación, requerida por la Ley 1150 de 2007 </w:t>
      </w:r>
      <w:r w:rsidR="00D13047" w:rsidRPr="003006D9">
        <w:rPr>
          <w:rFonts w:cs="Arial"/>
          <w:lang w:val="es-CO"/>
        </w:rPr>
        <w:t xml:space="preserve">para los efectos de la publicidad del </w:t>
      </w:r>
      <w:r w:rsidRPr="003006D9">
        <w:rPr>
          <w:rFonts w:cs="Arial"/>
          <w:lang w:val="es-CO"/>
        </w:rPr>
        <w:t>precio base de venta</w:t>
      </w:r>
      <w:r w:rsidRPr="003006D9">
        <w:rPr>
          <w:rStyle w:val="Refdenotaalpie"/>
          <w:rFonts w:cs="Arial"/>
          <w:lang w:val="es-CO"/>
        </w:rPr>
        <w:footnoteReference w:id="68"/>
      </w:r>
      <w:r w:rsidRPr="003006D9">
        <w:rPr>
          <w:rFonts w:cs="Arial"/>
          <w:lang w:val="es-CO"/>
        </w:rPr>
        <w:t xml:space="preserve">. </w:t>
      </w:r>
    </w:p>
    <w:p w:rsidR="00947479" w:rsidRPr="003006D9" w:rsidRDefault="00947479" w:rsidP="00947479">
      <w:pPr>
        <w:rPr>
          <w:rFonts w:cs="Arial"/>
          <w:lang w:val="es-CO"/>
        </w:rPr>
      </w:pPr>
    </w:p>
    <w:p w:rsidR="00947479" w:rsidRPr="003006D9" w:rsidRDefault="00A94358" w:rsidP="00947479">
      <w:pPr>
        <w:rPr>
          <w:rFonts w:cs="Arial"/>
          <w:lang w:val="es-CO"/>
        </w:rPr>
      </w:pPr>
      <w:r w:rsidRPr="003006D9">
        <w:rPr>
          <w:rFonts w:cs="Arial"/>
          <w:lang w:val="es-CO"/>
        </w:rPr>
        <w:t xml:space="preserve">La referencia a una </w:t>
      </w:r>
      <w:r w:rsidR="00947479" w:rsidRPr="003006D9">
        <w:rPr>
          <w:rFonts w:cs="Arial"/>
          <w:lang w:val="es-CO"/>
        </w:rPr>
        <w:t xml:space="preserve">publicación </w:t>
      </w:r>
      <w:r w:rsidR="00AE14E4" w:rsidRPr="003006D9">
        <w:rPr>
          <w:rFonts w:cs="Arial"/>
          <w:lang w:val="es-CO"/>
        </w:rPr>
        <w:t xml:space="preserve">en prensa </w:t>
      </w:r>
      <w:r w:rsidR="00947479" w:rsidRPr="003006D9">
        <w:rPr>
          <w:rFonts w:cs="Arial"/>
          <w:lang w:val="es-CO"/>
        </w:rPr>
        <w:t>tam</w:t>
      </w:r>
      <w:r w:rsidR="00DC6873" w:rsidRPr="003006D9">
        <w:rPr>
          <w:rFonts w:cs="Arial"/>
          <w:lang w:val="es-CO"/>
        </w:rPr>
        <w:t xml:space="preserve">bién se omitió </w:t>
      </w:r>
      <w:r w:rsidR="009F7E25" w:rsidRPr="003006D9">
        <w:rPr>
          <w:rFonts w:cs="Arial"/>
          <w:lang w:val="es-CO"/>
        </w:rPr>
        <w:t xml:space="preserve">del </w:t>
      </w:r>
      <w:r w:rsidR="00947479" w:rsidRPr="003006D9">
        <w:rPr>
          <w:rFonts w:cs="Arial"/>
          <w:lang w:val="es-CO"/>
        </w:rPr>
        <w:t xml:space="preserve">cronograma incorporado en el </w:t>
      </w:r>
      <w:r w:rsidR="00AE14E4" w:rsidRPr="003006D9">
        <w:rPr>
          <w:rFonts w:cs="Arial"/>
          <w:lang w:val="es-CO"/>
        </w:rPr>
        <w:t>re</w:t>
      </w:r>
      <w:r w:rsidR="00DC6873" w:rsidRPr="003006D9">
        <w:rPr>
          <w:rFonts w:cs="Arial"/>
          <w:lang w:val="es-CO"/>
        </w:rPr>
        <w:t>s</w:t>
      </w:r>
      <w:r w:rsidR="00AE14E4" w:rsidRPr="003006D9">
        <w:rPr>
          <w:rFonts w:cs="Arial"/>
          <w:lang w:val="es-CO"/>
        </w:rPr>
        <w:t xml:space="preserve">pectivo </w:t>
      </w:r>
      <w:r w:rsidR="00947479" w:rsidRPr="003006D9">
        <w:rPr>
          <w:rFonts w:cs="Arial"/>
          <w:lang w:val="es-CO"/>
        </w:rPr>
        <w:t>pliego de condiciones</w:t>
      </w:r>
      <w:r w:rsidR="00AE14E4" w:rsidRPr="003006D9">
        <w:rPr>
          <w:rFonts w:cs="Arial"/>
          <w:lang w:val="es-CO"/>
        </w:rPr>
        <w:t xml:space="preserve"> de la convocatoria GC-SA-01-32-2010</w:t>
      </w:r>
      <w:r w:rsidR="00947479" w:rsidRPr="003006D9">
        <w:rPr>
          <w:rStyle w:val="Refdenotaalpie"/>
          <w:rFonts w:cs="Arial"/>
          <w:lang w:val="es-CO"/>
        </w:rPr>
        <w:footnoteReference w:id="69"/>
      </w:r>
      <w:r w:rsidR="00947479" w:rsidRPr="003006D9">
        <w:rPr>
          <w:rFonts w:cs="Arial"/>
          <w:lang w:val="es-CO"/>
        </w:rPr>
        <w:t xml:space="preserve">. </w:t>
      </w:r>
    </w:p>
    <w:p w:rsidR="00947479" w:rsidRPr="003006D9" w:rsidRDefault="00947479" w:rsidP="00947479">
      <w:pPr>
        <w:rPr>
          <w:rFonts w:cs="Arial"/>
          <w:lang w:val="es-CO"/>
        </w:rPr>
      </w:pPr>
    </w:p>
    <w:p w:rsidR="00947479" w:rsidRPr="003006D9" w:rsidRDefault="00947479" w:rsidP="00947479">
      <w:pPr>
        <w:rPr>
          <w:rFonts w:cs="Arial"/>
          <w:lang w:val="es-CO"/>
        </w:rPr>
      </w:pPr>
      <w:r w:rsidRPr="003006D9">
        <w:rPr>
          <w:rFonts w:cs="Arial"/>
          <w:lang w:val="es-CO"/>
        </w:rPr>
        <w:t xml:space="preserve">Se advierte que la publicidad de ley no </w:t>
      </w:r>
      <w:r w:rsidR="00AE14E4" w:rsidRPr="003006D9">
        <w:rPr>
          <w:rFonts w:cs="Arial"/>
          <w:lang w:val="es-CO"/>
        </w:rPr>
        <w:t xml:space="preserve">habría </w:t>
      </w:r>
      <w:r w:rsidR="009F7E25" w:rsidRPr="003006D9">
        <w:rPr>
          <w:rFonts w:cs="Arial"/>
          <w:lang w:val="es-CO"/>
        </w:rPr>
        <w:t xml:space="preserve">quedado </w:t>
      </w:r>
      <w:r w:rsidR="00AE14E4" w:rsidRPr="003006D9">
        <w:rPr>
          <w:rFonts w:cs="Arial"/>
          <w:lang w:val="es-CO"/>
        </w:rPr>
        <w:t xml:space="preserve">cubierta con un </w:t>
      </w:r>
      <w:r w:rsidRPr="003006D9">
        <w:rPr>
          <w:rFonts w:cs="Arial"/>
          <w:lang w:val="es-CO"/>
        </w:rPr>
        <w:t xml:space="preserve">eventual </w:t>
      </w:r>
      <w:r w:rsidR="00AE14E4" w:rsidRPr="003006D9">
        <w:rPr>
          <w:rFonts w:cs="Arial"/>
          <w:lang w:val="es-CO"/>
        </w:rPr>
        <w:t xml:space="preserve">aviso de prensa sobre </w:t>
      </w:r>
      <w:r w:rsidRPr="003006D9">
        <w:rPr>
          <w:rFonts w:cs="Arial"/>
          <w:lang w:val="es-CO"/>
        </w:rPr>
        <w:t>el plan de enajenación onerosa</w:t>
      </w:r>
      <w:r w:rsidR="00AE14E4" w:rsidRPr="003006D9">
        <w:rPr>
          <w:rFonts w:cs="Arial"/>
          <w:lang w:val="es-CO"/>
        </w:rPr>
        <w:t xml:space="preserve"> del ICA</w:t>
      </w:r>
      <w:r w:rsidRPr="003006D9">
        <w:rPr>
          <w:rFonts w:cs="Arial"/>
          <w:lang w:val="es-CO"/>
        </w:rPr>
        <w:t>, de</w:t>
      </w:r>
      <w:r w:rsidR="00AE14E4" w:rsidRPr="003006D9">
        <w:rPr>
          <w:rFonts w:cs="Arial"/>
          <w:lang w:val="es-CO"/>
        </w:rPr>
        <w:t xml:space="preserve">l </w:t>
      </w:r>
      <w:r w:rsidRPr="003006D9">
        <w:rPr>
          <w:rFonts w:cs="Arial"/>
          <w:lang w:val="es-CO"/>
        </w:rPr>
        <w:t>que tampoco obra prueba en el p</w:t>
      </w:r>
      <w:r w:rsidR="00AE14E4" w:rsidRPr="003006D9">
        <w:rPr>
          <w:rFonts w:cs="Arial"/>
          <w:lang w:val="es-CO"/>
        </w:rPr>
        <w:t>lenario</w:t>
      </w:r>
      <w:r w:rsidRPr="003006D9">
        <w:rPr>
          <w:rFonts w:cs="Arial"/>
          <w:lang w:val="es-CO"/>
        </w:rPr>
        <w:t xml:space="preserve">, toda vez que </w:t>
      </w:r>
      <w:r w:rsidR="00DC6873" w:rsidRPr="003006D9">
        <w:rPr>
          <w:rFonts w:cs="Arial"/>
          <w:lang w:val="es-CO"/>
        </w:rPr>
        <w:t xml:space="preserve">en el </w:t>
      </w:r>
      <w:r w:rsidRPr="003006D9">
        <w:rPr>
          <w:rFonts w:cs="Arial"/>
          <w:lang w:val="es-CO"/>
        </w:rPr>
        <w:t xml:space="preserve">proceso de selección abreviada </w:t>
      </w:r>
      <w:r w:rsidR="00AE14E4" w:rsidRPr="003006D9">
        <w:rPr>
          <w:rFonts w:cs="Arial"/>
          <w:lang w:val="es-CO"/>
        </w:rPr>
        <w:t xml:space="preserve">GC-SA-01-32-2010 </w:t>
      </w:r>
      <w:r w:rsidRPr="003006D9">
        <w:rPr>
          <w:rFonts w:cs="Arial"/>
          <w:lang w:val="es-CO"/>
        </w:rPr>
        <w:t xml:space="preserve">se incorporó un precio mínimo de venta inferior al avalúo </w:t>
      </w:r>
      <w:r w:rsidR="00AE14E4" w:rsidRPr="003006D9">
        <w:rPr>
          <w:rFonts w:cs="Arial"/>
          <w:lang w:val="es-CO"/>
        </w:rPr>
        <w:t xml:space="preserve">referido </w:t>
      </w:r>
      <w:r w:rsidRPr="003006D9">
        <w:rPr>
          <w:rFonts w:cs="Arial"/>
          <w:lang w:val="es-CO"/>
        </w:rPr>
        <w:t>como precio en el plan de enajenación onerosa</w:t>
      </w:r>
      <w:r w:rsidR="00AE14E4" w:rsidRPr="003006D9">
        <w:rPr>
          <w:rFonts w:cs="Arial"/>
          <w:lang w:val="es-CO"/>
        </w:rPr>
        <w:t xml:space="preserve"> acreditado en el acervo probatorio</w:t>
      </w:r>
      <w:r w:rsidRPr="003006D9">
        <w:rPr>
          <w:rStyle w:val="Refdenotaalpie"/>
          <w:rFonts w:cs="Arial"/>
          <w:lang w:val="es-CO"/>
        </w:rPr>
        <w:footnoteReference w:id="70"/>
      </w:r>
      <w:r w:rsidRPr="003006D9">
        <w:rPr>
          <w:rFonts w:cs="Arial"/>
          <w:lang w:val="es-CO"/>
        </w:rPr>
        <w:t>.</w:t>
      </w:r>
    </w:p>
    <w:p w:rsidR="00AE14E4" w:rsidRPr="003006D9" w:rsidRDefault="00AE14E4" w:rsidP="00947479">
      <w:pPr>
        <w:rPr>
          <w:rFonts w:cs="Arial"/>
          <w:lang w:val="es-CO"/>
        </w:rPr>
      </w:pPr>
    </w:p>
    <w:p w:rsidR="00947479" w:rsidRPr="003006D9" w:rsidRDefault="00AE14E4" w:rsidP="00947479">
      <w:pPr>
        <w:rPr>
          <w:rFonts w:cs="Arial"/>
        </w:rPr>
      </w:pPr>
      <w:r w:rsidRPr="003006D9">
        <w:rPr>
          <w:rFonts w:cs="Arial"/>
        </w:rPr>
        <w:t>Además, e</w:t>
      </w:r>
      <w:r w:rsidR="00947479" w:rsidRPr="003006D9">
        <w:rPr>
          <w:rFonts w:cs="Arial"/>
        </w:rPr>
        <w:t xml:space="preserve">n cuanto a la publicación del pliego de condiciones del proceso </w:t>
      </w:r>
      <w:r w:rsidR="00947479" w:rsidRPr="003006D9">
        <w:rPr>
          <w:rFonts w:cs="Arial"/>
          <w:lang w:val="es-CO"/>
        </w:rPr>
        <w:t xml:space="preserve">GC-SA-01-32-2010 </w:t>
      </w:r>
      <w:r w:rsidRPr="003006D9">
        <w:rPr>
          <w:rFonts w:cs="Arial"/>
          <w:lang w:val="es-CO"/>
        </w:rPr>
        <w:t xml:space="preserve">realizado </w:t>
      </w:r>
      <w:r w:rsidR="00947479" w:rsidRPr="003006D9">
        <w:rPr>
          <w:rFonts w:cs="Arial"/>
        </w:rPr>
        <w:t xml:space="preserve">en el portal del sistema de contratación, las pruebas arrojan que no tuvo la exposición </w:t>
      </w:r>
      <w:r w:rsidR="00D13047" w:rsidRPr="003006D9">
        <w:rPr>
          <w:rFonts w:cs="Arial"/>
        </w:rPr>
        <w:t xml:space="preserve">requerida </w:t>
      </w:r>
      <w:r w:rsidR="000D458E" w:rsidRPr="003006D9">
        <w:rPr>
          <w:rFonts w:cs="Arial"/>
        </w:rPr>
        <w:t xml:space="preserve">en </w:t>
      </w:r>
      <w:r w:rsidR="00D13047" w:rsidRPr="003006D9">
        <w:rPr>
          <w:rFonts w:cs="Arial"/>
        </w:rPr>
        <w:t xml:space="preserve">la reglamentación del proceso de selección abreviada, esto es, </w:t>
      </w:r>
      <w:r w:rsidR="00947479" w:rsidRPr="003006D9">
        <w:rPr>
          <w:rFonts w:cs="Arial"/>
        </w:rPr>
        <w:t>durante el tiempo mínimo que exigió el Decreto 2474 de 2008</w:t>
      </w:r>
      <w:r w:rsidR="00947479" w:rsidRPr="003006D9">
        <w:rPr>
          <w:rStyle w:val="Refdenotaalpie"/>
          <w:rFonts w:cs="Arial"/>
          <w:i/>
          <w:color w:val="000000"/>
          <w:shd w:val="clear" w:color="auto" w:fill="FFFFFF"/>
        </w:rPr>
        <w:footnoteReference w:id="71"/>
      </w:r>
      <w:r w:rsidR="00947479" w:rsidRPr="003006D9">
        <w:rPr>
          <w:rFonts w:cs="Arial"/>
        </w:rPr>
        <w:t xml:space="preserve">. </w:t>
      </w:r>
    </w:p>
    <w:p w:rsidR="00947479" w:rsidRPr="003006D9" w:rsidRDefault="00947479" w:rsidP="00947479">
      <w:pPr>
        <w:tabs>
          <w:tab w:val="left" w:pos="7797"/>
        </w:tabs>
        <w:ind w:right="-284"/>
        <w:rPr>
          <w:rFonts w:cs="Arial"/>
          <w:color w:val="000000"/>
        </w:rPr>
      </w:pPr>
    </w:p>
    <w:p w:rsidR="00947479" w:rsidRPr="003006D9" w:rsidRDefault="00947479" w:rsidP="00947479">
      <w:pPr>
        <w:tabs>
          <w:tab w:val="left" w:pos="7797"/>
        </w:tabs>
        <w:ind w:right="-284"/>
        <w:rPr>
          <w:rFonts w:cs="Arial"/>
          <w:lang w:val="es-CO"/>
        </w:rPr>
      </w:pPr>
      <w:r w:rsidRPr="003006D9">
        <w:rPr>
          <w:rFonts w:cs="Arial"/>
          <w:lang w:val="es-CO"/>
        </w:rPr>
        <w:t xml:space="preserve">En efecto, se advierte </w:t>
      </w:r>
      <w:r w:rsidR="00D13047" w:rsidRPr="003006D9">
        <w:rPr>
          <w:rFonts w:cs="Arial"/>
          <w:lang w:val="es-CO"/>
        </w:rPr>
        <w:t xml:space="preserve">que </w:t>
      </w:r>
      <w:r w:rsidR="00B94DF5" w:rsidRPr="003006D9">
        <w:rPr>
          <w:rFonts w:cs="Arial"/>
          <w:lang w:val="es-CO"/>
        </w:rPr>
        <w:t xml:space="preserve">el ICA realizó </w:t>
      </w:r>
      <w:r w:rsidRPr="003006D9">
        <w:rPr>
          <w:rFonts w:cs="Arial"/>
          <w:lang w:val="es-CO"/>
        </w:rPr>
        <w:t xml:space="preserve">la publicación simultánea </w:t>
      </w:r>
      <w:r w:rsidR="00470731" w:rsidRPr="003006D9">
        <w:rPr>
          <w:rFonts w:cs="Arial"/>
          <w:lang w:val="es-CO"/>
        </w:rPr>
        <w:t xml:space="preserve">–en la misma fecha- </w:t>
      </w:r>
      <w:r w:rsidRPr="003006D9">
        <w:rPr>
          <w:rFonts w:cs="Arial"/>
          <w:lang w:val="es-CO"/>
        </w:rPr>
        <w:t>del proyecto de pliegos y de la resolución de apertura del proceso de selección abreviada</w:t>
      </w:r>
      <w:r w:rsidR="00DC6873" w:rsidRPr="003006D9">
        <w:rPr>
          <w:rFonts w:cs="Arial"/>
          <w:lang w:val="es-CO"/>
        </w:rPr>
        <w:t xml:space="preserve">, con lo cual se violó </w:t>
      </w:r>
      <w:r w:rsidRPr="003006D9">
        <w:rPr>
          <w:rFonts w:cs="Arial"/>
          <w:lang w:val="es-CO"/>
        </w:rPr>
        <w:t>lo exigido en el artículo 9 del Decreto 2474 de 2008, a cuyo tenor:</w:t>
      </w:r>
    </w:p>
    <w:p w:rsidR="00947479" w:rsidRPr="003006D9" w:rsidRDefault="00947479" w:rsidP="00947479">
      <w:pPr>
        <w:shd w:val="clear" w:color="auto" w:fill="FFFFFF"/>
        <w:spacing w:before="100" w:beforeAutospacing="1" w:after="100" w:afterAutospacing="1" w:line="240" w:lineRule="auto"/>
        <w:ind w:left="567" w:right="902"/>
        <w:rPr>
          <w:rFonts w:cs="Arial"/>
          <w:i/>
          <w:color w:val="000000"/>
        </w:rPr>
      </w:pPr>
      <w:r w:rsidRPr="003006D9">
        <w:rPr>
          <w:rFonts w:cs="Arial"/>
          <w:bCs/>
          <w:i/>
          <w:color w:val="000000"/>
        </w:rPr>
        <w:t>“Artículo 9°</w:t>
      </w:r>
      <w:r w:rsidRPr="003006D9">
        <w:rPr>
          <w:rFonts w:cs="Arial"/>
          <w:b/>
          <w:bCs/>
          <w:i/>
          <w:color w:val="000000"/>
        </w:rPr>
        <w:t>. </w:t>
      </w:r>
      <w:r w:rsidRPr="003006D9">
        <w:rPr>
          <w:rFonts w:cs="Arial"/>
          <w:i/>
          <w:iCs/>
          <w:color w:val="000000"/>
        </w:rPr>
        <w:t>Publicidad del proyecto de pliego de condiciones y del pliego de condiciones definitivo</w:t>
      </w:r>
      <w:r w:rsidRPr="003006D9">
        <w:rPr>
          <w:rFonts w:cs="Arial"/>
          <w:i/>
          <w:color w:val="000000"/>
        </w:rPr>
        <w:t>. La entidad estatal publicará el proyecto de pliego de condiciones y el pliego de condiciones definitivo de conformidad con el artículo anterior. Esta publicación aplica para las modalidades de selección de licitación pública, concurso de méritos y selección abreviada.</w:t>
      </w:r>
    </w:p>
    <w:p w:rsidR="00947479" w:rsidRPr="003006D9" w:rsidRDefault="00947479" w:rsidP="00947479">
      <w:pPr>
        <w:shd w:val="clear" w:color="auto" w:fill="FFFFFF"/>
        <w:spacing w:before="100" w:beforeAutospacing="1" w:after="100" w:afterAutospacing="1" w:line="240" w:lineRule="auto"/>
        <w:ind w:left="567" w:right="902"/>
        <w:rPr>
          <w:rFonts w:cs="Arial"/>
          <w:color w:val="000000"/>
        </w:rPr>
      </w:pPr>
      <w:r w:rsidRPr="003006D9">
        <w:rPr>
          <w:rFonts w:cs="Arial"/>
          <w:i/>
          <w:color w:val="000000"/>
        </w:rPr>
        <w:t xml:space="preserve">“El proyecto de pliego de condiciones se publicará cuando menos con diez (10) días hábiles de antelación a la fecha del acto que ordena su apertura, en el caso de la licitación y concurso de méritos con propuesta técnica detallada (PTD), y </w:t>
      </w:r>
      <w:r w:rsidRPr="003006D9">
        <w:rPr>
          <w:rFonts w:cs="Arial"/>
          <w:b/>
          <w:i/>
          <w:color w:val="000000"/>
        </w:rPr>
        <w:t>con una antelación no inferior a cinco (5) días hábiles a la misma fecha, en la selección abreviada</w:t>
      </w:r>
      <w:r w:rsidRPr="003006D9">
        <w:rPr>
          <w:rFonts w:cs="Arial"/>
          <w:i/>
          <w:color w:val="000000"/>
        </w:rPr>
        <w:t xml:space="preserve"> y concurso de méritos con propuesta técnica simplificada (PTS). La publicación del proyecto de pliego de condiciones no genera obligación para la entidad de dar apertura al proceso de selección”. </w:t>
      </w:r>
      <w:r w:rsidRPr="003006D9">
        <w:rPr>
          <w:rFonts w:cs="Arial"/>
          <w:color w:val="000000"/>
        </w:rPr>
        <w:t>(La negrilla no es del texto).</w:t>
      </w:r>
    </w:p>
    <w:p w:rsidR="00947479" w:rsidRPr="003006D9" w:rsidRDefault="00947479" w:rsidP="00947479">
      <w:pPr>
        <w:tabs>
          <w:tab w:val="left" w:pos="7797"/>
        </w:tabs>
        <w:ind w:right="-284"/>
        <w:rPr>
          <w:rFonts w:cs="Arial"/>
          <w:color w:val="000000"/>
        </w:rPr>
      </w:pPr>
    </w:p>
    <w:p w:rsidR="00195F18" w:rsidRPr="003006D9" w:rsidRDefault="00947479" w:rsidP="00947479">
      <w:pPr>
        <w:tabs>
          <w:tab w:val="left" w:pos="7797"/>
        </w:tabs>
        <w:ind w:right="-284"/>
        <w:rPr>
          <w:rFonts w:cs="Arial"/>
          <w:color w:val="000000"/>
        </w:rPr>
      </w:pPr>
      <w:r w:rsidRPr="003006D9">
        <w:rPr>
          <w:rFonts w:cs="Arial"/>
          <w:color w:val="000000"/>
        </w:rPr>
        <w:t xml:space="preserve">Se </w:t>
      </w:r>
      <w:r w:rsidR="00195F18" w:rsidRPr="003006D9">
        <w:rPr>
          <w:rFonts w:cs="Arial"/>
          <w:color w:val="000000"/>
        </w:rPr>
        <w:t>concluye, entonces</w:t>
      </w:r>
      <w:r w:rsidR="000D458E" w:rsidRPr="003006D9">
        <w:rPr>
          <w:rFonts w:cs="Arial"/>
          <w:color w:val="000000"/>
        </w:rPr>
        <w:t>,</w:t>
      </w:r>
      <w:r w:rsidR="00195F18" w:rsidRPr="003006D9">
        <w:rPr>
          <w:rFonts w:cs="Arial"/>
          <w:color w:val="000000"/>
        </w:rPr>
        <w:t xml:space="preserve"> que </w:t>
      </w:r>
      <w:r w:rsidRPr="003006D9">
        <w:rPr>
          <w:rFonts w:cs="Arial"/>
          <w:color w:val="000000"/>
        </w:rPr>
        <w:t>la nulidad del acto de adjudicación y de la promesa de compraventa del bien adjudicado, procederá</w:t>
      </w:r>
      <w:r w:rsidR="00195F18" w:rsidRPr="003006D9">
        <w:rPr>
          <w:rFonts w:cs="Arial"/>
          <w:color w:val="000000"/>
        </w:rPr>
        <w:t xml:space="preserve">, también, por </w:t>
      </w:r>
      <w:r w:rsidRPr="003006D9">
        <w:rPr>
          <w:rFonts w:cs="Arial"/>
          <w:color w:val="000000"/>
        </w:rPr>
        <w:t xml:space="preserve">la violación de las normas imperativas sobre </w:t>
      </w:r>
      <w:r w:rsidR="00195F18" w:rsidRPr="003006D9">
        <w:rPr>
          <w:rFonts w:cs="Arial"/>
          <w:color w:val="000000"/>
        </w:rPr>
        <w:t>la publicidad d</w:t>
      </w:r>
      <w:r w:rsidRPr="003006D9">
        <w:rPr>
          <w:rFonts w:cs="Arial"/>
          <w:color w:val="000000"/>
        </w:rPr>
        <w:t xml:space="preserve">el procedimiento de selección abreviada para la enajenación onerosa de bienes del Estado, </w:t>
      </w:r>
      <w:r w:rsidR="00195F18" w:rsidRPr="003006D9">
        <w:rPr>
          <w:rFonts w:cs="Arial"/>
          <w:color w:val="000000"/>
        </w:rPr>
        <w:t xml:space="preserve">de conformidad con lo que </w:t>
      </w:r>
      <w:r w:rsidRPr="003006D9">
        <w:rPr>
          <w:rFonts w:cs="Arial"/>
          <w:color w:val="000000"/>
        </w:rPr>
        <w:t xml:space="preserve">se acaba de citar. </w:t>
      </w:r>
    </w:p>
    <w:p w:rsidR="00947479" w:rsidRPr="003006D9" w:rsidRDefault="00947479" w:rsidP="00947479">
      <w:pPr>
        <w:tabs>
          <w:tab w:val="left" w:pos="7797"/>
        </w:tabs>
        <w:ind w:right="-284"/>
        <w:rPr>
          <w:rFonts w:cs="Arial"/>
          <w:color w:val="000000"/>
        </w:rPr>
      </w:pPr>
    </w:p>
    <w:p w:rsidR="00947479" w:rsidRPr="003006D9" w:rsidRDefault="00947479" w:rsidP="00947479">
      <w:pPr>
        <w:tabs>
          <w:tab w:val="left" w:pos="7797"/>
        </w:tabs>
        <w:ind w:right="-284"/>
        <w:rPr>
          <w:rFonts w:cs="Arial"/>
          <w:color w:val="000000"/>
          <w:shd w:val="clear" w:color="auto" w:fill="FFFFFF"/>
        </w:rPr>
      </w:pPr>
      <w:r w:rsidRPr="003006D9">
        <w:rPr>
          <w:rFonts w:cs="Arial"/>
        </w:rPr>
        <w:t xml:space="preserve">Se hace notar que la publicación del proceso de enajenación de bienes del Estado y la debida exposición del mismo a los posibles oferentes constituye un imperativo legal </w:t>
      </w:r>
      <w:r w:rsidRPr="003006D9">
        <w:rPr>
          <w:rFonts w:cs="Arial"/>
        </w:rPr>
        <w:lastRenderedPageBreak/>
        <w:t xml:space="preserve">que desarrolla los principios constitucionales de la función administrativa, de </w:t>
      </w:r>
      <w:r w:rsidRPr="003006D9">
        <w:rPr>
          <w:rFonts w:cs="Arial"/>
          <w:color w:val="000000"/>
          <w:shd w:val="clear" w:color="auto" w:fill="FFFFFF"/>
        </w:rPr>
        <w:t>igualdad, moralidad, imparcialidad y publicidad</w:t>
      </w:r>
      <w:r w:rsidRPr="003006D9">
        <w:rPr>
          <w:rStyle w:val="Refdenotaalpie"/>
          <w:rFonts w:cs="Arial"/>
          <w:color w:val="000000"/>
          <w:shd w:val="clear" w:color="auto" w:fill="FFFFFF"/>
        </w:rPr>
        <w:footnoteReference w:id="72"/>
      </w:r>
      <w:r w:rsidRPr="003006D9">
        <w:rPr>
          <w:rFonts w:cs="Arial"/>
          <w:color w:val="000000"/>
          <w:shd w:val="clear" w:color="auto" w:fill="FFFFFF"/>
        </w:rPr>
        <w:t xml:space="preserve">. </w:t>
      </w:r>
    </w:p>
    <w:p w:rsidR="00947479" w:rsidRPr="003006D9" w:rsidRDefault="00947479" w:rsidP="00947479">
      <w:pPr>
        <w:tabs>
          <w:tab w:val="left" w:pos="7797"/>
        </w:tabs>
        <w:ind w:right="-284"/>
        <w:rPr>
          <w:rFonts w:cs="Arial"/>
          <w:color w:val="000000"/>
          <w:shd w:val="clear" w:color="auto" w:fill="FFFFFF"/>
        </w:rPr>
      </w:pPr>
    </w:p>
    <w:p w:rsidR="00947479" w:rsidRPr="003006D9" w:rsidRDefault="00947479" w:rsidP="00947479">
      <w:pPr>
        <w:tabs>
          <w:tab w:val="left" w:pos="7797"/>
        </w:tabs>
        <w:ind w:right="-284"/>
        <w:rPr>
          <w:rFonts w:cs="Arial"/>
          <w:color w:val="000000"/>
          <w:shd w:val="clear" w:color="auto" w:fill="FFFFFF"/>
        </w:rPr>
      </w:pPr>
      <w:r w:rsidRPr="003006D9">
        <w:rPr>
          <w:rFonts w:cs="Arial"/>
          <w:color w:val="000000"/>
          <w:shd w:val="clear" w:color="auto" w:fill="FFFFFF"/>
        </w:rPr>
        <w:t>Respecto de la falta de publicidad de los bienes incluidos en el plan de enajenación onerosa</w:t>
      </w:r>
      <w:r w:rsidR="003552DF" w:rsidRPr="003006D9">
        <w:rPr>
          <w:rFonts w:cs="Arial"/>
          <w:color w:val="000000"/>
          <w:shd w:val="clear" w:color="auto" w:fill="FFFFFF"/>
        </w:rPr>
        <w:t>,</w:t>
      </w:r>
      <w:r w:rsidRPr="003006D9">
        <w:rPr>
          <w:rFonts w:cs="Arial"/>
          <w:color w:val="000000"/>
          <w:shd w:val="clear" w:color="auto" w:fill="FFFFFF"/>
        </w:rPr>
        <w:t xml:space="preserve"> también se puede advertir que </w:t>
      </w:r>
      <w:r w:rsidR="00195F18" w:rsidRPr="003006D9">
        <w:rPr>
          <w:rFonts w:cs="Arial"/>
          <w:color w:val="000000"/>
          <w:shd w:val="clear" w:color="auto" w:fill="FFFFFF"/>
        </w:rPr>
        <w:t xml:space="preserve">dicha omisión se constituye en un </w:t>
      </w:r>
      <w:r w:rsidRPr="003006D9">
        <w:rPr>
          <w:rFonts w:cs="Arial"/>
          <w:color w:val="000000"/>
          <w:shd w:val="clear" w:color="auto" w:fill="FFFFFF"/>
        </w:rPr>
        <w:t>bloque</w:t>
      </w:r>
      <w:r w:rsidR="00195F18" w:rsidRPr="003006D9">
        <w:rPr>
          <w:rFonts w:cs="Arial"/>
          <w:color w:val="000000"/>
          <w:shd w:val="clear" w:color="auto" w:fill="FFFFFF"/>
        </w:rPr>
        <w:t xml:space="preserve">o </w:t>
      </w:r>
      <w:r w:rsidRPr="003006D9">
        <w:rPr>
          <w:rFonts w:cs="Arial"/>
          <w:color w:val="000000"/>
          <w:shd w:val="clear" w:color="auto" w:fill="FFFFFF"/>
        </w:rPr>
        <w:t xml:space="preserve">a la igualdad de acceso y </w:t>
      </w:r>
      <w:r w:rsidR="00195F18" w:rsidRPr="003006D9">
        <w:rPr>
          <w:rFonts w:cs="Arial"/>
          <w:color w:val="000000"/>
          <w:shd w:val="clear" w:color="auto" w:fill="FFFFFF"/>
        </w:rPr>
        <w:t>a</w:t>
      </w:r>
      <w:r w:rsidRPr="003006D9">
        <w:rPr>
          <w:rFonts w:cs="Arial"/>
          <w:color w:val="000000"/>
          <w:shd w:val="clear" w:color="auto" w:fill="FFFFFF"/>
        </w:rPr>
        <w:t>l principio de la libre concurrencia</w:t>
      </w:r>
      <w:r w:rsidR="00195F18" w:rsidRPr="003006D9">
        <w:rPr>
          <w:rFonts w:cs="Arial"/>
          <w:color w:val="000000"/>
          <w:shd w:val="clear" w:color="auto" w:fill="FFFFFF"/>
        </w:rPr>
        <w:t xml:space="preserve"> de los oferentes. </w:t>
      </w:r>
    </w:p>
    <w:p w:rsidR="00353105" w:rsidRPr="003006D9" w:rsidRDefault="00353105" w:rsidP="00947479">
      <w:pPr>
        <w:tabs>
          <w:tab w:val="left" w:pos="7797"/>
        </w:tabs>
        <w:ind w:right="-284"/>
        <w:rPr>
          <w:rFonts w:cs="Arial"/>
          <w:color w:val="000000"/>
          <w:shd w:val="clear" w:color="auto" w:fill="FFFFFF"/>
        </w:rPr>
      </w:pPr>
    </w:p>
    <w:p w:rsidR="00947479" w:rsidRPr="003006D9" w:rsidRDefault="00947479" w:rsidP="00947479">
      <w:pPr>
        <w:tabs>
          <w:tab w:val="left" w:pos="7797"/>
        </w:tabs>
        <w:ind w:right="-284"/>
        <w:rPr>
          <w:rFonts w:cs="Arial"/>
          <w:color w:val="000000"/>
          <w:shd w:val="clear" w:color="auto" w:fill="FFFFFF"/>
        </w:rPr>
      </w:pPr>
      <w:r w:rsidRPr="003006D9">
        <w:rPr>
          <w:rFonts w:cs="Arial"/>
          <w:color w:val="000000"/>
          <w:shd w:val="clear" w:color="auto" w:fill="FFFFFF"/>
        </w:rPr>
        <w:t>En el mismo orden de ideas</w:t>
      </w:r>
      <w:r w:rsidR="000D458E" w:rsidRPr="003006D9">
        <w:rPr>
          <w:rFonts w:cs="Arial"/>
          <w:color w:val="000000"/>
          <w:shd w:val="clear" w:color="auto" w:fill="FFFFFF"/>
        </w:rPr>
        <w:t>,</w:t>
      </w:r>
      <w:r w:rsidRPr="003006D9">
        <w:rPr>
          <w:rFonts w:cs="Arial"/>
          <w:color w:val="000000"/>
          <w:shd w:val="clear" w:color="auto" w:fill="FFFFFF"/>
        </w:rPr>
        <w:t xml:space="preserve"> se advierte que la violación a las reglas imperativas de la publicidad del proceso</w:t>
      </w:r>
      <w:r w:rsidR="000D458E" w:rsidRPr="003006D9">
        <w:rPr>
          <w:rFonts w:cs="Arial"/>
          <w:color w:val="000000"/>
          <w:shd w:val="clear" w:color="auto" w:fill="FFFFFF"/>
        </w:rPr>
        <w:t xml:space="preserve"> de contratación</w:t>
      </w:r>
      <w:r w:rsidRPr="003006D9">
        <w:rPr>
          <w:rFonts w:cs="Arial"/>
          <w:color w:val="000000"/>
          <w:shd w:val="clear" w:color="auto" w:fill="FFFFFF"/>
        </w:rPr>
        <w:t xml:space="preserve"> </w:t>
      </w:r>
      <w:r w:rsidR="00195F18" w:rsidRPr="003006D9">
        <w:rPr>
          <w:rFonts w:cs="Arial"/>
          <w:color w:val="000000"/>
          <w:shd w:val="clear" w:color="auto" w:fill="FFFFFF"/>
        </w:rPr>
        <w:t xml:space="preserve">conlleva </w:t>
      </w:r>
      <w:r w:rsidRPr="003006D9">
        <w:rPr>
          <w:rFonts w:cs="Arial"/>
          <w:color w:val="000000"/>
          <w:shd w:val="clear" w:color="auto" w:fill="FFFFFF"/>
        </w:rPr>
        <w:t>la</w:t>
      </w:r>
      <w:r w:rsidR="00195F18" w:rsidRPr="003006D9">
        <w:rPr>
          <w:rFonts w:cs="Arial"/>
          <w:color w:val="000000"/>
          <w:shd w:val="clear" w:color="auto" w:fill="FFFFFF"/>
        </w:rPr>
        <w:t xml:space="preserve"> transgresión del </w:t>
      </w:r>
      <w:r w:rsidRPr="003006D9">
        <w:rPr>
          <w:rFonts w:cs="Arial"/>
          <w:color w:val="000000"/>
          <w:shd w:val="clear" w:color="auto" w:fill="FFFFFF"/>
        </w:rPr>
        <w:t>deber de selección objetiva</w:t>
      </w:r>
      <w:r w:rsidRPr="003006D9">
        <w:rPr>
          <w:rStyle w:val="Refdenotaalpie"/>
          <w:rFonts w:cs="Arial"/>
          <w:color w:val="000000"/>
          <w:shd w:val="clear" w:color="auto" w:fill="FFFFFF"/>
        </w:rPr>
        <w:footnoteReference w:id="73"/>
      </w:r>
      <w:r w:rsidRPr="003006D9">
        <w:rPr>
          <w:rFonts w:cs="Arial"/>
          <w:color w:val="000000"/>
          <w:shd w:val="clear" w:color="auto" w:fill="FFFFFF"/>
        </w:rPr>
        <w:t>, toda vez que la omisión de las publicaciones de ley impide la participación de los interesados y por ende la comparación entre los distintos oferentes.</w:t>
      </w:r>
    </w:p>
    <w:p w:rsidR="00947479" w:rsidRPr="003006D9" w:rsidRDefault="00947479" w:rsidP="00947479">
      <w:pPr>
        <w:rPr>
          <w:rFonts w:cs="Arial"/>
          <w:b/>
          <w:lang w:val="es-CO"/>
        </w:rPr>
      </w:pPr>
    </w:p>
    <w:p w:rsidR="00A156E8" w:rsidRPr="003006D9" w:rsidRDefault="00D006CD" w:rsidP="00B61DA6">
      <w:pPr>
        <w:pStyle w:val="NormalWeb"/>
        <w:shd w:val="clear" w:color="auto" w:fill="FFFFFF"/>
        <w:rPr>
          <w:rFonts w:cs="Arial"/>
          <w:b/>
          <w:bCs/>
          <w:color w:val="000000"/>
        </w:rPr>
      </w:pPr>
      <w:r w:rsidRPr="003006D9">
        <w:rPr>
          <w:rFonts w:cs="Arial"/>
          <w:b/>
          <w:bCs/>
          <w:color w:val="000000"/>
        </w:rPr>
        <w:t>8</w:t>
      </w:r>
      <w:r w:rsidR="004640DE" w:rsidRPr="003006D9">
        <w:rPr>
          <w:rFonts w:cs="Arial"/>
          <w:b/>
          <w:bCs/>
          <w:color w:val="000000"/>
        </w:rPr>
        <w:t xml:space="preserve">. </w:t>
      </w:r>
      <w:r w:rsidR="00B61DA6" w:rsidRPr="003006D9">
        <w:rPr>
          <w:rFonts w:cs="Arial"/>
          <w:b/>
          <w:bCs/>
          <w:color w:val="000000"/>
        </w:rPr>
        <w:t xml:space="preserve">Causales de nulidad </w:t>
      </w:r>
    </w:p>
    <w:p w:rsidR="00A94358" w:rsidRPr="003006D9" w:rsidRDefault="00A94358" w:rsidP="00B61DA6">
      <w:pPr>
        <w:pStyle w:val="NormalWeb"/>
        <w:shd w:val="clear" w:color="auto" w:fill="FFFFFF"/>
        <w:rPr>
          <w:rFonts w:cs="Arial"/>
          <w:bCs/>
          <w:color w:val="000000"/>
        </w:rPr>
      </w:pPr>
      <w:r w:rsidRPr="003006D9">
        <w:rPr>
          <w:rFonts w:cs="Arial"/>
          <w:bCs/>
          <w:color w:val="000000"/>
        </w:rPr>
        <w:t xml:space="preserve">El </w:t>
      </w:r>
      <w:r w:rsidRPr="003006D9">
        <w:rPr>
          <w:rFonts w:cs="Arial"/>
          <w:b/>
          <w:bCs/>
          <w:color w:val="000000"/>
        </w:rPr>
        <w:t>problema jurídico</w:t>
      </w:r>
      <w:r w:rsidRPr="003006D9">
        <w:rPr>
          <w:rFonts w:cs="Arial"/>
          <w:bCs/>
          <w:color w:val="000000"/>
        </w:rPr>
        <w:t xml:space="preserve"> planteado en el marco de la apelación se concreta en definir si se tipificaron </w:t>
      </w:r>
      <w:r w:rsidR="006877F3" w:rsidRPr="003006D9">
        <w:rPr>
          <w:rFonts w:cs="Arial"/>
          <w:bCs/>
          <w:color w:val="000000"/>
        </w:rPr>
        <w:t xml:space="preserve">o no </w:t>
      </w:r>
      <w:r w:rsidRPr="003006D9">
        <w:rPr>
          <w:rFonts w:cs="Arial"/>
          <w:bCs/>
          <w:color w:val="000000"/>
        </w:rPr>
        <w:t>las causales de nulidad</w:t>
      </w:r>
      <w:r w:rsidR="006877F3" w:rsidRPr="003006D9">
        <w:rPr>
          <w:rFonts w:cs="Arial"/>
          <w:bCs/>
          <w:color w:val="000000"/>
        </w:rPr>
        <w:t xml:space="preserve"> previstas en la ley aplicable al procedimiento de contratación sub júdice.  </w:t>
      </w:r>
    </w:p>
    <w:p w:rsidR="00B61DA6" w:rsidRPr="003006D9" w:rsidRDefault="00195F18" w:rsidP="00B61DA6">
      <w:pPr>
        <w:pStyle w:val="NormalWeb"/>
        <w:shd w:val="clear" w:color="auto" w:fill="FFFFFF"/>
        <w:rPr>
          <w:rFonts w:cs="Arial"/>
          <w:bCs/>
          <w:color w:val="000000"/>
        </w:rPr>
      </w:pPr>
      <w:r w:rsidRPr="003006D9">
        <w:rPr>
          <w:rFonts w:cs="Arial"/>
          <w:bCs/>
          <w:color w:val="000000"/>
        </w:rPr>
        <w:t>De conformidad con lo evidenciado en este proceso</w:t>
      </w:r>
      <w:r w:rsidR="003552DF" w:rsidRPr="003006D9">
        <w:rPr>
          <w:rFonts w:cs="Arial"/>
          <w:bCs/>
          <w:color w:val="000000"/>
        </w:rPr>
        <w:t>,</w:t>
      </w:r>
      <w:r w:rsidRPr="003006D9">
        <w:rPr>
          <w:rFonts w:cs="Arial"/>
          <w:bCs/>
          <w:color w:val="000000"/>
        </w:rPr>
        <w:t xml:space="preserve"> c</w:t>
      </w:r>
      <w:r w:rsidR="00B61DA6" w:rsidRPr="003006D9">
        <w:rPr>
          <w:rFonts w:cs="Arial"/>
          <w:bCs/>
          <w:color w:val="000000"/>
        </w:rPr>
        <w:t xml:space="preserve">onsidera la Sala que </w:t>
      </w:r>
      <w:r w:rsidRPr="003006D9">
        <w:rPr>
          <w:rFonts w:cs="Arial"/>
          <w:bCs/>
          <w:color w:val="000000"/>
        </w:rPr>
        <w:t xml:space="preserve">existen elementos de juicio suficientes para </w:t>
      </w:r>
      <w:r w:rsidR="00B61DA6" w:rsidRPr="003006D9">
        <w:rPr>
          <w:rFonts w:cs="Arial"/>
          <w:bCs/>
          <w:color w:val="000000"/>
        </w:rPr>
        <w:t xml:space="preserve">confirmar la declaración de nulidad del acto de adjudicación y </w:t>
      </w:r>
      <w:r w:rsidR="004640DE" w:rsidRPr="003006D9">
        <w:rPr>
          <w:rFonts w:cs="Arial"/>
          <w:bCs/>
          <w:color w:val="000000"/>
        </w:rPr>
        <w:t xml:space="preserve">declarar en igual forma la nulidad </w:t>
      </w:r>
      <w:r w:rsidR="00B61DA6" w:rsidRPr="003006D9">
        <w:rPr>
          <w:rFonts w:cs="Arial"/>
          <w:bCs/>
          <w:color w:val="000000"/>
        </w:rPr>
        <w:t xml:space="preserve">del contrato de promesa de compraventa, con fundamento en las siguientes causales contenidas en la Ley 80 de 1993: </w:t>
      </w:r>
    </w:p>
    <w:p w:rsidR="00B61DA6" w:rsidRPr="003006D9" w:rsidRDefault="00B61DA6" w:rsidP="00B61DA6">
      <w:pPr>
        <w:pStyle w:val="NormalWeb"/>
        <w:shd w:val="clear" w:color="auto" w:fill="FFFFFF"/>
        <w:spacing w:line="276" w:lineRule="auto"/>
        <w:ind w:left="567" w:right="900"/>
        <w:rPr>
          <w:rFonts w:cs="Arial"/>
          <w:i/>
          <w:color w:val="000000"/>
        </w:rPr>
      </w:pPr>
      <w:r w:rsidRPr="003006D9">
        <w:rPr>
          <w:rFonts w:cs="Arial"/>
          <w:bCs/>
          <w:i/>
          <w:color w:val="000000"/>
        </w:rPr>
        <w:t>“Artículo </w:t>
      </w:r>
      <w:bookmarkStart w:id="4" w:name="44"/>
      <w:r w:rsidRPr="003006D9">
        <w:rPr>
          <w:rFonts w:cs="Arial"/>
          <w:bCs/>
          <w:i/>
          <w:color w:val="000000"/>
        </w:rPr>
        <w:t> </w:t>
      </w:r>
      <w:bookmarkEnd w:id="4"/>
      <w:r w:rsidRPr="003006D9">
        <w:rPr>
          <w:rFonts w:cs="Arial"/>
          <w:bCs/>
          <w:i/>
          <w:color w:val="000000"/>
        </w:rPr>
        <w:t>44º</w:t>
      </w:r>
      <w:r w:rsidRPr="003006D9">
        <w:rPr>
          <w:rFonts w:cs="Arial"/>
          <w:b/>
          <w:bCs/>
          <w:i/>
          <w:color w:val="000000"/>
        </w:rPr>
        <w:t>.-</w:t>
      </w:r>
      <w:r w:rsidRPr="003006D9">
        <w:rPr>
          <w:rStyle w:val="apple-converted-space"/>
          <w:rFonts w:cs="Arial"/>
          <w:b/>
          <w:bCs/>
          <w:i/>
          <w:color w:val="000000"/>
        </w:rPr>
        <w:t> </w:t>
      </w:r>
      <w:r w:rsidRPr="003006D9">
        <w:rPr>
          <w:rFonts w:cs="Arial"/>
          <w:i/>
          <w:iCs/>
          <w:color w:val="000000"/>
        </w:rPr>
        <w:t>De las Causales de Nulidad Absoluta</w:t>
      </w:r>
      <w:r w:rsidRPr="003006D9">
        <w:rPr>
          <w:rFonts w:cs="Arial"/>
          <w:i/>
          <w:color w:val="000000"/>
        </w:rPr>
        <w:t>. Los contratos del Estado son absolutamente nulos en los casos previstos en el derecho común y además cuando:</w:t>
      </w:r>
    </w:p>
    <w:p w:rsidR="00B61DA6" w:rsidRPr="003006D9" w:rsidRDefault="00B61DA6" w:rsidP="00B61DA6">
      <w:pPr>
        <w:pStyle w:val="NormalWeb"/>
        <w:shd w:val="clear" w:color="auto" w:fill="FFFFFF"/>
        <w:spacing w:line="276" w:lineRule="auto"/>
        <w:ind w:left="567" w:right="900"/>
        <w:rPr>
          <w:rFonts w:cs="Arial"/>
          <w:i/>
          <w:color w:val="000000"/>
        </w:rPr>
      </w:pPr>
      <w:r w:rsidRPr="003006D9">
        <w:rPr>
          <w:rFonts w:cs="Arial"/>
          <w:i/>
          <w:color w:val="000000"/>
        </w:rPr>
        <w:t>“(…)</w:t>
      </w:r>
      <w:r w:rsidR="002B03DB" w:rsidRPr="003006D9">
        <w:rPr>
          <w:rFonts w:cs="Arial"/>
          <w:i/>
          <w:color w:val="000000"/>
        </w:rPr>
        <w:t>.</w:t>
      </w:r>
    </w:p>
    <w:p w:rsidR="00B61DA6" w:rsidRPr="003006D9" w:rsidRDefault="00B61DA6" w:rsidP="00B61DA6">
      <w:pPr>
        <w:pStyle w:val="NormalWeb"/>
        <w:shd w:val="clear" w:color="auto" w:fill="FFFFFF"/>
        <w:spacing w:line="276" w:lineRule="auto"/>
        <w:ind w:left="567" w:right="900"/>
        <w:rPr>
          <w:rFonts w:cs="Arial"/>
          <w:i/>
          <w:color w:val="000000"/>
        </w:rPr>
      </w:pPr>
      <w:r w:rsidRPr="003006D9">
        <w:rPr>
          <w:rFonts w:cs="Arial"/>
          <w:i/>
          <w:color w:val="000000"/>
        </w:rPr>
        <w:t>“2o. </w:t>
      </w:r>
      <w:bookmarkStart w:id="5" w:name="44.2"/>
      <w:r w:rsidRPr="003006D9">
        <w:rPr>
          <w:rFonts w:cs="Arial"/>
          <w:i/>
          <w:color w:val="000000"/>
        </w:rPr>
        <w:t> </w:t>
      </w:r>
      <w:bookmarkEnd w:id="5"/>
      <w:r w:rsidRPr="003006D9">
        <w:rPr>
          <w:rFonts w:cs="Arial"/>
          <w:i/>
          <w:color w:val="000000"/>
        </w:rPr>
        <w:t>Se celebren contra expresa prohibición constitucional o legal.</w:t>
      </w:r>
    </w:p>
    <w:p w:rsidR="00B61DA6" w:rsidRPr="003006D9" w:rsidRDefault="00B61DA6" w:rsidP="00B61DA6">
      <w:pPr>
        <w:pStyle w:val="NormalWeb"/>
        <w:shd w:val="clear" w:color="auto" w:fill="FFFFFF"/>
        <w:spacing w:line="276" w:lineRule="auto"/>
        <w:ind w:left="567" w:right="900"/>
        <w:rPr>
          <w:rFonts w:cs="Arial"/>
          <w:i/>
          <w:color w:val="000000"/>
        </w:rPr>
      </w:pPr>
      <w:r w:rsidRPr="003006D9">
        <w:rPr>
          <w:rFonts w:cs="Arial"/>
          <w:i/>
          <w:color w:val="000000"/>
        </w:rPr>
        <w:t>“(…)</w:t>
      </w:r>
      <w:r w:rsidR="002B03DB" w:rsidRPr="003006D9">
        <w:rPr>
          <w:rFonts w:cs="Arial"/>
          <w:i/>
          <w:color w:val="000000"/>
        </w:rPr>
        <w:t>.</w:t>
      </w:r>
    </w:p>
    <w:p w:rsidR="00B61DA6" w:rsidRPr="003006D9" w:rsidRDefault="00B61DA6" w:rsidP="00B61DA6">
      <w:pPr>
        <w:pStyle w:val="NormalWeb"/>
        <w:shd w:val="clear" w:color="auto" w:fill="FFFFFF"/>
        <w:spacing w:line="276" w:lineRule="auto"/>
        <w:ind w:left="567" w:right="900"/>
        <w:rPr>
          <w:rFonts w:cs="Arial"/>
          <w:i/>
          <w:color w:val="000000"/>
        </w:rPr>
      </w:pPr>
      <w:r w:rsidRPr="003006D9">
        <w:rPr>
          <w:rFonts w:cs="Arial"/>
          <w:i/>
          <w:color w:val="000000"/>
        </w:rPr>
        <w:t>“4o. Se declaren nulos los actos administrativos en que se fundamenten</w:t>
      </w:r>
      <w:r w:rsidR="004866EB" w:rsidRPr="003006D9">
        <w:rPr>
          <w:rFonts w:cs="Arial"/>
          <w:i/>
          <w:color w:val="000000"/>
        </w:rPr>
        <w:t>”</w:t>
      </w:r>
      <w:r w:rsidR="00A545D3" w:rsidRPr="003006D9">
        <w:rPr>
          <w:rFonts w:cs="Arial"/>
          <w:i/>
          <w:color w:val="000000"/>
        </w:rPr>
        <w:t>.</w:t>
      </w:r>
      <w:r w:rsidRPr="003006D9">
        <w:rPr>
          <w:rFonts w:cs="Arial"/>
          <w:i/>
          <w:color w:val="000000"/>
        </w:rPr>
        <w:t xml:space="preserve"> </w:t>
      </w:r>
    </w:p>
    <w:p w:rsidR="00B61DA6" w:rsidRPr="003006D9" w:rsidRDefault="00B61DA6" w:rsidP="00B61DA6">
      <w:pPr>
        <w:pStyle w:val="NormalWeb"/>
        <w:shd w:val="clear" w:color="auto" w:fill="FFFFFF"/>
        <w:spacing w:line="276" w:lineRule="auto"/>
        <w:ind w:left="567" w:right="900"/>
        <w:rPr>
          <w:rFonts w:cs="Arial"/>
          <w:b/>
          <w:bCs/>
          <w:i/>
          <w:color w:val="000000"/>
        </w:rPr>
      </w:pPr>
    </w:p>
    <w:p w:rsidR="004640DE" w:rsidRPr="003006D9" w:rsidRDefault="004640DE" w:rsidP="00B61DA6">
      <w:pPr>
        <w:pStyle w:val="NormalWeb"/>
        <w:shd w:val="clear" w:color="auto" w:fill="FFFFFF"/>
        <w:rPr>
          <w:rFonts w:cs="Arial"/>
          <w:bCs/>
          <w:color w:val="000000"/>
        </w:rPr>
      </w:pPr>
      <w:r w:rsidRPr="003006D9">
        <w:rPr>
          <w:rFonts w:cs="Arial"/>
          <w:bCs/>
          <w:color w:val="000000"/>
        </w:rPr>
        <w:t xml:space="preserve">Se advierte que la sentencia de primera instancia será modificada en cuanto a que en esa providencia se decidió </w:t>
      </w:r>
      <w:r w:rsidRPr="003006D9">
        <w:rPr>
          <w:rFonts w:cs="Arial"/>
          <w:bCs/>
          <w:i/>
          <w:color w:val="000000"/>
        </w:rPr>
        <w:t>dejar sin efecto</w:t>
      </w:r>
      <w:r w:rsidRPr="003006D9">
        <w:rPr>
          <w:rFonts w:cs="Arial"/>
          <w:bCs/>
          <w:color w:val="000000"/>
        </w:rPr>
        <w:t xml:space="preserve"> la promesa de compraventa, cuando lo procedente, partiendo de la pretensión del ICA, de lo acreditado en el proceso y de las normas legales aplicables, era declarar la nulidad del referido contrato. </w:t>
      </w:r>
    </w:p>
    <w:p w:rsidR="00B61DA6" w:rsidRPr="003006D9" w:rsidRDefault="005E0387" w:rsidP="00B61DA6">
      <w:pPr>
        <w:pStyle w:val="NormalWeb"/>
        <w:shd w:val="clear" w:color="auto" w:fill="FFFFFF"/>
        <w:rPr>
          <w:rFonts w:cs="Arial"/>
          <w:bCs/>
          <w:color w:val="000000"/>
        </w:rPr>
      </w:pPr>
      <w:r w:rsidRPr="003006D9">
        <w:rPr>
          <w:rFonts w:cs="Arial"/>
          <w:bCs/>
          <w:color w:val="000000"/>
        </w:rPr>
        <w:t>D</w:t>
      </w:r>
      <w:r w:rsidR="00B61DA6" w:rsidRPr="003006D9">
        <w:rPr>
          <w:rFonts w:cs="Arial"/>
          <w:bCs/>
          <w:color w:val="000000"/>
        </w:rPr>
        <w:t xml:space="preserve">e acuerdo con las pruebas que se han descrito y valorado en esta providencia, se concluye que el proceso de selección abreviada </w:t>
      </w:r>
      <w:r w:rsidR="006C594D" w:rsidRPr="003006D9">
        <w:rPr>
          <w:rFonts w:cs="Arial"/>
          <w:lang w:val="es-CO"/>
        </w:rPr>
        <w:t xml:space="preserve">GS-SA-01-32-2010 </w:t>
      </w:r>
      <w:r w:rsidR="00B61DA6" w:rsidRPr="003006D9">
        <w:rPr>
          <w:rFonts w:cs="Arial"/>
          <w:bCs/>
          <w:color w:val="000000"/>
        </w:rPr>
        <w:t xml:space="preserve">se enmarcó dentro de la modalidad </w:t>
      </w:r>
      <w:r w:rsidR="00C000B9" w:rsidRPr="003006D9">
        <w:rPr>
          <w:rFonts w:cs="Arial"/>
          <w:bCs/>
          <w:color w:val="000000"/>
        </w:rPr>
        <w:t xml:space="preserve">de </w:t>
      </w:r>
      <w:r w:rsidR="006A1061" w:rsidRPr="003006D9">
        <w:rPr>
          <w:rFonts w:cs="Arial"/>
          <w:bCs/>
          <w:color w:val="000000"/>
        </w:rPr>
        <w:t xml:space="preserve">contratación </w:t>
      </w:r>
      <w:r w:rsidR="00B61DA6" w:rsidRPr="003006D9">
        <w:rPr>
          <w:rFonts w:cs="Arial"/>
          <w:bCs/>
          <w:color w:val="000000"/>
        </w:rPr>
        <w:t xml:space="preserve">permitida en el punto 2, literal e) del </w:t>
      </w:r>
      <w:r w:rsidR="00AD4FB3" w:rsidRPr="003006D9">
        <w:rPr>
          <w:rFonts w:cs="Arial"/>
          <w:bCs/>
          <w:color w:val="000000"/>
        </w:rPr>
        <w:t>artículo</w:t>
      </w:r>
      <w:r w:rsidR="00B61DA6" w:rsidRPr="003006D9">
        <w:rPr>
          <w:rFonts w:cs="Arial"/>
          <w:bCs/>
          <w:color w:val="000000"/>
        </w:rPr>
        <w:t xml:space="preserve"> 2º) de la Ley 1150 de 2007</w:t>
      </w:r>
      <w:r w:rsidR="00B61DA6" w:rsidRPr="003006D9">
        <w:rPr>
          <w:rStyle w:val="Refdenotaalpie"/>
          <w:rFonts w:cs="Arial"/>
          <w:bCs/>
          <w:color w:val="000000"/>
        </w:rPr>
        <w:footnoteReference w:id="74"/>
      </w:r>
      <w:r w:rsidR="00152C1C" w:rsidRPr="003006D9">
        <w:rPr>
          <w:rFonts w:cs="Arial"/>
          <w:bCs/>
          <w:color w:val="000000"/>
        </w:rPr>
        <w:t xml:space="preserve"> para la adjudicación de bienes del Estado</w:t>
      </w:r>
      <w:r w:rsidR="00B61DA6" w:rsidRPr="003006D9">
        <w:rPr>
          <w:rFonts w:cs="Arial"/>
          <w:bCs/>
          <w:i/>
          <w:color w:val="000000"/>
        </w:rPr>
        <w:t>, empero se adelantó en violación de las normas legales de formación del precio mínimo de venta</w:t>
      </w:r>
      <w:r w:rsidR="00195F18" w:rsidRPr="003006D9">
        <w:rPr>
          <w:rFonts w:cs="Arial"/>
          <w:bCs/>
          <w:i/>
          <w:color w:val="000000"/>
        </w:rPr>
        <w:t xml:space="preserve"> y de publicidad</w:t>
      </w:r>
      <w:r w:rsidR="00B61DA6" w:rsidRPr="003006D9">
        <w:rPr>
          <w:rFonts w:cs="Arial"/>
          <w:bCs/>
          <w:color w:val="000000"/>
        </w:rPr>
        <w:t xml:space="preserve">, que se </w:t>
      </w:r>
      <w:r w:rsidR="00195F18" w:rsidRPr="003006D9">
        <w:rPr>
          <w:rFonts w:cs="Arial"/>
          <w:bCs/>
          <w:color w:val="000000"/>
        </w:rPr>
        <w:t xml:space="preserve">transcriben a </w:t>
      </w:r>
      <w:r w:rsidR="00B61DA6" w:rsidRPr="003006D9">
        <w:rPr>
          <w:rFonts w:cs="Arial"/>
          <w:bCs/>
          <w:color w:val="000000"/>
        </w:rPr>
        <w:t xml:space="preserve">continuación: </w:t>
      </w:r>
    </w:p>
    <w:p w:rsidR="00B61DA6" w:rsidRPr="003006D9" w:rsidRDefault="00B61DA6" w:rsidP="007646F9">
      <w:pPr>
        <w:pStyle w:val="NormalWeb"/>
        <w:shd w:val="clear" w:color="auto" w:fill="FFFFFF"/>
        <w:spacing w:line="276" w:lineRule="auto"/>
        <w:ind w:left="567" w:right="900"/>
        <w:rPr>
          <w:rFonts w:cs="Arial"/>
          <w:i/>
          <w:color w:val="000000"/>
        </w:rPr>
      </w:pPr>
      <w:r w:rsidRPr="003006D9">
        <w:rPr>
          <w:rFonts w:cs="Arial"/>
          <w:bCs/>
          <w:i/>
          <w:color w:val="000000"/>
        </w:rPr>
        <w:t>“</w:t>
      </w:r>
      <w:r w:rsidRPr="003006D9">
        <w:rPr>
          <w:rFonts w:cs="Arial"/>
          <w:i/>
          <w:color w:val="000000"/>
        </w:rPr>
        <w:t>e) </w:t>
      </w:r>
      <w:r w:rsidR="00A545D3" w:rsidRPr="003006D9">
        <w:rPr>
          <w:rFonts w:cs="Arial"/>
          <w:i/>
          <w:color w:val="000000"/>
        </w:rPr>
        <w:t>(…)</w:t>
      </w:r>
      <w:r w:rsidRPr="003006D9">
        <w:rPr>
          <w:rFonts w:cs="Arial"/>
          <w:i/>
          <w:color w:val="000000"/>
        </w:rPr>
        <w:t>.</w:t>
      </w:r>
      <w:r w:rsidR="00152C1C" w:rsidRPr="003006D9">
        <w:rPr>
          <w:rFonts w:cs="Arial"/>
          <w:i/>
          <w:color w:val="000000"/>
        </w:rPr>
        <w:t xml:space="preserve"> </w:t>
      </w:r>
      <w:r w:rsidRPr="003006D9">
        <w:rPr>
          <w:rFonts w:cs="Arial"/>
          <w:i/>
          <w:color w:val="000000"/>
        </w:rPr>
        <w:t>En los procesos de enajenación de los bienes del Estado se podrán utilizar instrumentos de subasta y en general de todos aquellos mecanismos autorizados por el derecho privado, siempre y cuando en desarrollo del proceso de enajenación se garantice la transparencia, la eficiencia y la selección objetiva.</w:t>
      </w:r>
    </w:p>
    <w:p w:rsidR="00B61DA6" w:rsidRPr="003006D9" w:rsidRDefault="00CC3007" w:rsidP="007646F9">
      <w:pPr>
        <w:pStyle w:val="NormalWeb"/>
        <w:shd w:val="clear" w:color="auto" w:fill="FFFFFF"/>
        <w:spacing w:line="276" w:lineRule="auto"/>
        <w:ind w:left="567" w:right="900"/>
        <w:rPr>
          <w:rFonts w:cs="Arial"/>
          <w:i/>
          <w:color w:val="000000"/>
        </w:rPr>
      </w:pPr>
      <w:r w:rsidRPr="003006D9">
        <w:rPr>
          <w:rFonts w:cs="Arial"/>
          <w:i/>
          <w:color w:val="000000"/>
        </w:rPr>
        <w:t>“</w:t>
      </w:r>
      <w:r w:rsidR="00B61DA6" w:rsidRPr="003006D9">
        <w:rPr>
          <w:rFonts w:cs="Arial"/>
          <w:i/>
          <w:color w:val="000000"/>
        </w:rPr>
        <w:t>En todo caso, para la venta de los bienes se debe tener como base el valor del avalúo comercial y</w:t>
      </w:r>
      <w:r w:rsidR="00B61DA6" w:rsidRPr="003006D9">
        <w:rPr>
          <w:rFonts w:cs="Arial"/>
          <w:b/>
          <w:i/>
          <w:color w:val="000000"/>
        </w:rPr>
        <w:t xml:space="preserve"> ajustar dicho avalúo de acuerdo a los gastos asociados al tiempo de comercialización esperada, administración, impuestos y mantenimiento</w:t>
      </w:r>
      <w:r w:rsidR="00B61DA6" w:rsidRPr="003006D9">
        <w:rPr>
          <w:rFonts w:cs="Arial"/>
          <w:i/>
          <w:color w:val="000000"/>
        </w:rPr>
        <w:t>, para determinar el precio mínimo al que se debe enajenar el bien, de conformidad con la reglamentación que para el efecto expida el Gobierno Nacional.</w:t>
      </w:r>
    </w:p>
    <w:p w:rsidR="00B61DA6" w:rsidRPr="003006D9" w:rsidRDefault="00CC3007" w:rsidP="007646F9">
      <w:pPr>
        <w:pStyle w:val="NormalWeb"/>
        <w:shd w:val="clear" w:color="auto" w:fill="FFFFFF"/>
        <w:spacing w:line="276" w:lineRule="auto"/>
        <w:ind w:left="567" w:right="900"/>
        <w:rPr>
          <w:rFonts w:cs="Arial"/>
          <w:i/>
          <w:color w:val="000000"/>
        </w:rPr>
      </w:pPr>
      <w:r w:rsidRPr="003006D9">
        <w:rPr>
          <w:rFonts w:cs="Arial"/>
          <w:i/>
          <w:color w:val="000000"/>
        </w:rPr>
        <w:t>“</w:t>
      </w:r>
      <w:r w:rsidR="00B61DA6" w:rsidRPr="003006D9">
        <w:rPr>
          <w:rFonts w:cs="Arial"/>
          <w:i/>
          <w:color w:val="000000"/>
        </w:rPr>
        <w:t>(…)</w:t>
      </w:r>
      <w:r w:rsidRPr="003006D9">
        <w:rPr>
          <w:rFonts w:cs="Arial"/>
          <w:i/>
          <w:color w:val="000000"/>
        </w:rPr>
        <w:t>.</w:t>
      </w:r>
    </w:p>
    <w:p w:rsidR="00B61DA6" w:rsidRPr="003006D9" w:rsidRDefault="00CC3007" w:rsidP="00CB518B">
      <w:pPr>
        <w:pStyle w:val="NormalWeb"/>
        <w:shd w:val="clear" w:color="auto" w:fill="FFFFFF"/>
        <w:spacing w:line="276" w:lineRule="auto"/>
        <w:ind w:left="567" w:right="900"/>
        <w:rPr>
          <w:rFonts w:cs="Arial"/>
          <w:color w:val="000000"/>
        </w:rPr>
      </w:pPr>
      <w:r w:rsidRPr="003006D9">
        <w:rPr>
          <w:rFonts w:cs="Arial"/>
          <w:i/>
          <w:color w:val="000000"/>
        </w:rPr>
        <w:t>“</w:t>
      </w:r>
      <w:r w:rsidR="00B61DA6" w:rsidRPr="003006D9">
        <w:rPr>
          <w:rFonts w:cs="Arial"/>
          <w:b/>
          <w:i/>
          <w:color w:val="000000"/>
        </w:rPr>
        <w:t>La venta implica la publicación previa de los bienes en un diario de amplia circulación nacional, con la determinación del precio base</w:t>
      </w:r>
      <w:r w:rsidR="00B61DA6" w:rsidRPr="003006D9">
        <w:rPr>
          <w:rFonts w:cs="Arial"/>
          <w:i/>
          <w:color w:val="000000"/>
        </w:rPr>
        <w:t>. El interesado en adquirir bienes deberá consignar al menos el 20% del valor base de venta para participar en la oferta” (</w:t>
      </w:r>
      <w:r w:rsidR="00164100" w:rsidRPr="003006D9">
        <w:rPr>
          <w:rFonts w:cs="Arial"/>
          <w:i/>
          <w:color w:val="000000"/>
        </w:rPr>
        <w:t>s</w:t>
      </w:r>
      <w:r w:rsidR="00B61DA6" w:rsidRPr="003006D9">
        <w:rPr>
          <w:rFonts w:cs="Arial"/>
          <w:color w:val="000000"/>
        </w:rPr>
        <w:t xml:space="preserve">e destaca en negrilla para el propósito de </w:t>
      </w:r>
      <w:r w:rsidR="001654B2" w:rsidRPr="003006D9">
        <w:rPr>
          <w:rFonts w:cs="Arial"/>
          <w:color w:val="000000"/>
        </w:rPr>
        <w:t>resaltar</w:t>
      </w:r>
      <w:r w:rsidR="00195F18" w:rsidRPr="003006D9">
        <w:rPr>
          <w:rFonts w:cs="Arial"/>
          <w:color w:val="000000"/>
        </w:rPr>
        <w:t xml:space="preserve"> l</w:t>
      </w:r>
      <w:r w:rsidR="001654B2" w:rsidRPr="003006D9">
        <w:rPr>
          <w:rFonts w:cs="Arial"/>
          <w:color w:val="000000"/>
        </w:rPr>
        <w:t>os requerimientos violados</w:t>
      </w:r>
      <w:r w:rsidR="00195F18" w:rsidRPr="003006D9">
        <w:rPr>
          <w:rFonts w:cs="Arial"/>
          <w:color w:val="000000"/>
        </w:rPr>
        <w:t>)</w:t>
      </w:r>
      <w:r w:rsidR="00B61DA6" w:rsidRPr="003006D9">
        <w:rPr>
          <w:rFonts w:cs="Arial"/>
          <w:color w:val="000000"/>
        </w:rPr>
        <w:t>.</w:t>
      </w:r>
    </w:p>
    <w:p w:rsidR="00B61DA6" w:rsidRPr="003006D9" w:rsidRDefault="00553879" w:rsidP="00B61DA6">
      <w:pPr>
        <w:rPr>
          <w:rFonts w:cs="Arial"/>
          <w:lang w:val="es-CO"/>
        </w:rPr>
      </w:pPr>
      <w:r w:rsidRPr="003006D9">
        <w:rPr>
          <w:rFonts w:cs="Arial"/>
          <w:lang w:val="es-CO"/>
        </w:rPr>
        <w:t>De lo expuesto en esta providencia, en resumen, f</w:t>
      </w:r>
      <w:r w:rsidR="00B61DA6" w:rsidRPr="003006D9">
        <w:rPr>
          <w:rFonts w:cs="Arial"/>
          <w:lang w:val="es-CO"/>
        </w:rPr>
        <w:t>rente a las disposiciones de</w:t>
      </w:r>
      <w:r w:rsidR="00077304" w:rsidRPr="003006D9">
        <w:rPr>
          <w:rFonts w:cs="Arial"/>
          <w:lang w:val="es-CO"/>
        </w:rPr>
        <w:t xml:space="preserve"> los </w:t>
      </w:r>
      <w:r w:rsidR="00B61DA6" w:rsidRPr="003006D9">
        <w:rPr>
          <w:rFonts w:cs="Arial"/>
          <w:lang w:val="es-CO"/>
        </w:rPr>
        <w:t>Decreto</w:t>
      </w:r>
      <w:r w:rsidR="00077304" w:rsidRPr="003006D9">
        <w:rPr>
          <w:rFonts w:cs="Arial"/>
          <w:lang w:val="es-CO"/>
        </w:rPr>
        <w:t>s</w:t>
      </w:r>
      <w:r w:rsidR="00B61DA6" w:rsidRPr="003006D9">
        <w:rPr>
          <w:rFonts w:cs="Arial"/>
          <w:lang w:val="es-CO"/>
        </w:rPr>
        <w:t xml:space="preserve"> 4444 de 2008</w:t>
      </w:r>
      <w:r w:rsidR="00077304" w:rsidRPr="003006D9">
        <w:rPr>
          <w:rFonts w:cs="Arial"/>
          <w:lang w:val="es-CO"/>
        </w:rPr>
        <w:t xml:space="preserve"> y 2474 de 2008</w:t>
      </w:r>
      <w:r w:rsidR="00B61DA6" w:rsidRPr="003006D9">
        <w:rPr>
          <w:rFonts w:cs="Arial"/>
          <w:lang w:val="es-CO"/>
        </w:rPr>
        <w:t>, reglamentario</w:t>
      </w:r>
      <w:r w:rsidR="00077304" w:rsidRPr="003006D9">
        <w:rPr>
          <w:rFonts w:cs="Arial"/>
          <w:lang w:val="es-CO"/>
        </w:rPr>
        <w:t>s</w:t>
      </w:r>
      <w:r w:rsidR="00B61DA6" w:rsidRPr="003006D9">
        <w:rPr>
          <w:rFonts w:cs="Arial"/>
          <w:lang w:val="es-CO"/>
        </w:rPr>
        <w:t xml:space="preserve"> de la Ley 1150 de 2007, </w:t>
      </w:r>
      <w:r w:rsidR="00B61DA6" w:rsidRPr="003006D9">
        <w:rPr>
          <w:rFonts w:cs="Arial"/>
          <w:lang w:val="es-CO"/>
        </w:rPr>
        <w:lastRenderedPageBreak/>
        <w:t xml:space="preserve">también se advierte la transgresión de las </w:t>
      </w:r>
      <w:r w:rsidR="00077304" w:rsidRPr="003006D9">
        <w:rPr>
          <w:rFonts w:cs="Arial"/>
          <w:lang w:val="es-CO"/>
        </w:rPr>
        <w:t xml:space="preserve">normas </w:t>
      </w:r>
      <w:r w:rsidR="00B61DA6" w:rsidRPr="003006D9">
        <w:rPr>
          <w:rFonts w:cs="Arial"/>
          <w:lang w:val="es-CO"/>
        </w:rPr>
        <w:t>bajo las cuales se debió adelantar la adjudicación del bien inmueble de propiedad de la entidad pública</w:t>
      </w:r>
      <w:r w:rsidR="00DA5487" w:rsidRPr="003006D9">
        <w:rPr>
          <w:rFonts w:cs="Arial"/>
          <w:lang w:val="es-CO"/>
        </w:rPr>
        <w:t xml:space="preserve"> en el proceso de selección abreviada</w:t>
      </w:r>
      <w:r w:rsidR="00B61DA6" w:rsidRPr="003006D9">
        <w:rPr>
          <w:rFonts w:cs="Arial"/>
          <w:lang w:val="es-CO"/>
        </w:rPr>
        <w:t xml:space="preserve"> </w:t>
      </w:r>
      <w:r w:rsidR="00DA5487" w:rsidRPr="003006D9">
        <w:rPr>
          <w:rFonts w:cs="Arial"/>
          <w:lang w:val="es-CO"/>
        </w:rPr>
        <w:t xml:space="preserve">GS-SA-01-32-2010, </w:t>
      </w:r>
      <w:r w:rsidR="00077304" w:rsidRPr="003006D9">
        <w:rPr>
          <w:rFonts w:cs="Arial"/>
          <w:lang w:val="es-CO"/>
        </w:rPr>
        <w:t>así:</w:t>
      </w:r>
      <w:r w:rsidR="00B61DA6" w:rsidRPr="003006D9">
        <w:rPr>
          <w:rFonts w:cs="Arial"/>
          <w:lang w:val="es-CO"/>
        </w:rPr>
        <w:t xml:space="preserve"> </w:t>
      </w:r>
      <w:r w:rsidR="00B61DA6" w:rsidRPr="003006D9">
        <w:rPr>
          <w:rFonts w:cs="Arial"/>
          <w:b/>
          <w:lang w:val="es-CO"/>
        </w:rPr>
        <w:t>i)</w:t>
      </w:r>
      <w:r w:rsidR="00B61DA6" w:rsidRPr="003006D9">
        <w:rPr>
          <w:rFonts w:cs="Arial"/>
          <w:lang w:val="es-CO"/>
        </w:rPr>
        <w:t xml:space="preserve"> en los estudios previos y en la convocatoria no se identificaron correctamente los datos y el estado del bien, se afirmó la propiedad del 100%, pero lo cierto era que existían 14 lotes de los que solo se tenía la posesión; </w:t>
      </w:r>
      <w:r w:rsidR="00B61DA6" w:rsidRPr="003006D9">
        <w:rPr>
          <w:rFonts w:cs="Arial"/>
          <w:b/>
          <w:lang w:val="es-CO"/>
        </w:rPr>
        <w:t>ii)</w:t>
      </w:r>
      <w:r w:rsidR="00B61DA6" w:rsidRPr="003006D9">
        <w:rPr>
          <w:rFonts w:cs="Arial"/>
          <w:lang w:val="es-CO"/>
        </w:rPr>
        <w:t xml:space="preserve"> el precio mínimo de venta no se ajustó con base en los ingresos (por ejemplo, cánones de arrendamiento) y los egresos (por ejemplo, los costos asociados al proceso de comercialización y los referidos al sostenimiento del inmueble)</w:t>
      </w:r>
      <w:r w:rsidR="00CB518B" w:rsidRPr="003006D9">
        <w:rPr>
          <w:rFonts w:cs="Arial"/>
          <w:lang w:val="es-CO"/>
        </w:rPr>
        <w:t>;</w:t>
      </w:r>
      <w:r w:rsidR="00B61DA6" w:rsidRPr="003006D9">
        <w:rPr>
          <w:rFonts w:cs="Arial"/>
          <w:lang w:val="es-CO"/>
        </w:rPr>
        <w:t xml:space="preserve"> </w:t>
      </w:r>
      <w:r w:rsidR="005E0387" w:rsidRPr="003006D9">
        <w:rPr>
          <w:rFonts w:cs="Arial"/>
          <w:b/>
          <w:lang w:val="es-CO"/>
        </w:rPr>
        <w:t>i</w:t>
      </w:r>
      <w:r w:rsidR="00640C1A" w:rsidRPr="003006D9">
        <w:rPr>
          <w:rFonts w:cs="Arial"/>
          <w:b/>
          <w:lang w:val="es-CO"/>
        </w:rPr>
        <w:t>ii</w:t>
      </w:r>
      <w:r w:rsidR="00E36CDF" w:rsidRPr="003006D9">
        <w:rPr>
          <w:rFonts w:cs="Arial"/>
          <w:b/>
          <w:lang w:val="es-CO"/>
        </w:rPr>
        <w:t>)</w:t>
      </w:r>
      <w:r w:rsidR="00E36CDF" w:rsidRPr="003006D9">
        <w:rPr>
          <w:rFonts w:cs="Arial"/>
          <w:lang w:val="es-CO"/>
        </w:rPr>
        <w:t xml:space="preserve"> </w:t>
      </w:r>
      <w:r w:rsidR="00640C1A" w:rsidRPr="003006D9">
        <w:rPr>
          <w:rFonts w:cs="Arial"/>
          <w:lang w:val="es-CO"/>
        </w:rPr>
        <w:t xml:space="preserve">el precio mínimo de venta no se publicó en un diario de amplia circulación y </w:t>
      </w:r>
      <w:r w:rsidR="00640C1A" w:rsidRPr="003006D9">
        <w:rPr>
          <w:rFonts w:cs="Arial"/>
          <w:b/>
          <w:lang w:val="es-CO"/>
        </w:rPr>
        <w:t xml:space="preserve">iv) </w:t>
      </w:r>
      <w:r w:rsidR="00E36CDF" w:rsidRPr="003006D9">
        <w:rPr>
          <w:rFonts w:cs="Arial"/>
          <w:lang w:val="es-CO"/>
        </w:rPr>
        <w:t>la publicación de</w:t>
      </w:r>
      <w:r w:rsidR="00640C1A" w:rsidRPr="003006D9">
        <w:rPr>
          <w:rFonts w:cs="Arial"/>
          <w:lang w:val="es-CO"/>
        </w:rPr>
        <w:t xml:space="preserve">l pliego de condiciones en el SECOP </w:t>
      </w:r>
      <w:r w:rsidR="00E36CDF" w:rsidRPr="003006D9">
        <w:rPr>
          <w:rFonts w:cs="Arial"/>
          <w:lang w:val="es-CO"/>
        </w:rPr>
        <w:t>no se realizó con la debida antelación al acto de apertura</w:t>
      </w:r>
      <w:r w:rsidR="006877F3" w:rsidRPr="003006D9">
        <w:rPr>
          <w:rFonts w:cs="Arial"/>
          <w:lang w:val="es-CO"/>
        </w:rPr>
        <w:t>.</w:t>
      </w:r>
      <w:r w:rsidR="00640C1A" w:rsidRPr="003006D9">
        <w:rPr>
          <w:rFonts w:cs="Arial"/>
          <w:lang w:val="es-CO"/>
        </w:rPr>
        <w:t xml:space="preserve"> </w:t>
      </w:r>
    </w:p>
    <w:p w:rsidR="00B61DA6" w:rsidRPr="003006D9" w:rsidRDefault="00B61DA6" w:rsidP="00B61DA6">
      <w:pPr>
        <w:pStyle w:val="NormalWeb"/>
        <w:rPr>
          <w:rFonts w:cs="Arial"/>
          <w:bCs/>
          <w:color w:val="000000"/>
          <w:shd w:val="clear" w:color="auto" w:fill="FFFFFF"/>
        </w:rPr>
      </w:pPr>
      <w:r w:rsidRPr="003006D9">
        <w:rPr>
          <w:rFonts w:cs="Arial"/>
          <w:bCs/>
          <w:color w:val="000000"/>
          <w:shd w:val="clear" w:color="auto" w:fill="FFFFFF"/>
        </w:rPr>
        <w:t xml:space="preserve">Las normas del Decreto 4444 de 2008 que se </w:t>
      </w:r>
      <w:r w:rsidR="006A1061" w:rsidRPr="003006D9">
        <w:rPr>
          <w:rFonts w:cs="Arial"/>
          <w:bCs/>
          <w:color w:val="000000"/>
          <w:shd w:val="clear" w:color="auto" w:fill="FFFFFF"/>
        </w:rPr>
        <w:t xml:space="preserve">vulneraron son, </w:t>
      </w:r>
      <w:r w:rsidRPr="003006D9">
        <w:rPr>
          <w:rFonts w:cs="Arial"/>
          <w:bCs/>
          <w:color w:val="000000"/>
          <w:shd w:val="clear" w:color="auto" w:fill="FFFFFF"/>
        </w:rPr>
        <w:t>específicamente</w:t>
      </w:r>
      <w:r w:rsidR="006A1061" w:rsidRPr="003006D9">
        <w:rPr>
          <w:rFonts w:cs="Arial"/>
          <w:bCs/>
          <w:color w:val="000000"/>
          <w:shd w:val="clear" w:color="auto" w:fill="FFFFFF"/>
        </w:rPr>
        <w:t>,</w:t>
      </w:r>
      <w:r w:rsidRPr="003006D9">
        <w:rPr>
          <w:rFonts w:cs="Arial"/>
          <w:bCs/>
          <w:color w:val="000000"/>
          <w:shd w:val="clear" w:color="auto" w:fill="FFFFFF"/>
        </w:rPr>
        <w:t xml:space="preserve"> las siguientes:</w:t>
      </w:r>
    </w:p>
    <w:p w:rsidR="00B61DA6" w:rsidRPr="003006D9" w:rsidRDefault="00B61DA6" w:rsidP="00B61DA6">
      <w:pPr>
        <w:pStyle w:val="NormalWeb"/>
        <w:spacing w:before="0" w:beforeAutospacing="0" w:after="0" w:afterAutospacing="0" w:line="276" w:lineRule="auto"/>
        <w:ind w:left="567" w:right="900"/>
        <w:rPr>
          <w:rFonts w:cs="Arial"/>
          <w:b/>
          <w:bCs/>
          <w:i/>
          <w:color w:val="000000"/>
          <w:shd w:val="clear" w:color="auto" w:fill="FFFFFF"/>
        </w:rPr>
      </w:pPr>
      <w:r w:rsidRPr="003006D9">
        <w:rPr>
          <w:rFonts w:cs="Arial"/>
          <w:bCs/>
          <w:i/>
          <w:color w:val="000000"/>
          <w:shd w:val="clear" w:color="auto" w:fill="FFFFFF"/>
        </w:rPr>
        <w:t>“</w:t>
      </w:r>
      <w:r w:rsidRPr="003006D9">
        <w:rPr>
          <w:rFonts w:cs="Arial"/>
          <w:b/>
          <w:bCs/>
          <w:i/>
          <w:color w:val="000000"/>
          <w:shd w:val="clear" w:color="auto" w:fill="FFFFFF"/>
        </w:rPr>
        <w:t>Artículo 3. Estudios previos y convocatoria</w:t>
      </w:r>
    </w:p>
    <w:p w:rsidR="00B61DA6" w:rsidRPr="003006D9" w:rsidRDefault="00B61DA6" w:rsidP="00B61DA6">
      <w:pPr>
        <w:pStyle w:val="NormalWeb"/>
        <w:shd w:val="clear" w:color="auto" w:fill="FFFFFF"/>
        <w:spacing w:before="0" w:beforeAutospacing="0" w:after="0" w:afterAutospacing="0" w:line="276" w:lineRule="auto"/>
        <w:ind w:left="567" w:right="900"/>
        <w:rPr>
          <w:rFonts w:cs="Arial"/>
          <w:i/>
          <w:color w:val="000000"/>
        </w:rPr>
      </w:pPr>
    </w:p>
    <w:p w:rsidR="00B61DA6" w:rsidRPr="003006D9" w:rsidRDefault="00B61DA6" w:rsidP="00B61DA6">
      <w:pPr>
        <w:pStyle w:val="NormalWeb"/>
        <w:shd w:val="clear" w:color="auto" w:fill="FFFFFF"/>
        <w:spacing w:before="0" w:beforeAutospacing="0" w:after="0" w:afterAutospacing="0" w:line="276" w:lineRule="auto"/>
        <w:ind w:left="567" w:right="900"/>
        <w:rPr>
          <w:rFonts w:cs="Arial"/>
          <w:i/>
          <w:color w:val="000000"/>
        </w:rPr>
      </w:pPr>
      <w:r w:rsidRPr="003006D9">
        <w:rPr>
          <w:rFonts w:cs="Arial"/>
          <w:i/>
          <w:color w:val="000000"/>
        </w:rPr>
        <w:t xml:space="preserve">“(…) </w:t>
      </w:r>
    </w:p>
    <w:p w:rsidR="00B61DA6" w:rsidRPr="003006D9" w:rsidRDefault="00B61DA6" w:rsidP="00B61DA6">
      <w:pPr>
        <w:pStyle w:val="NormalWeb"/>
        <w:shd w:val="clear" w:color="auto" w:fill="FFFFFF"/>
        <w:spacing w:before="0" w:beforeAutospacing="0" w:after="0" w:afterAutospacing="0" w:line="276" w:lineRule="auto"/>
        <w:ind w:left="567" w:right="900"/>
        <w:rPr>
          <w:rFonts w:cs="Arial"/>
          <w:i/>
          <w:color w:val="000000"/>
        </w:rPr>
      </w:pPr>
    </w:p>
    <w:p w:rsidR="00B61DA6" w:rsidRPr="003006D9" w:rsidRDefault="00B61DA6" w:rsidP="00B61DA6">
      <w:pPr>
        <w:pStyle w:val="NormalWeb"/>
        <w:shd w:val="clear" w:color="auto" w:fill="FFFFFF"/>
        <w:spacing w:before="0" w:beforeAutospacing="0" w:after="0" w:afterAutospacing="0" w:line="276" w:lineRule="auto"/>
        <w:ind w:left="567" w:right="900"/>
        <w:rPr>
          <w:rFonts w:cs="Arial"/>
          <w:i/>
          <w:color w:val="000000"/>
        </w:rPr>
      </w:pPr>
      <w:r w:rsidRPr="003006D9">
        <w:rPr>
          <w:rFonts w:cs="Arial"/>
          <w:i/>
          <w:color w:val="000000"/>
        </w:rPr>
        <w:t>“Si se trata de bienes inmuebles en dicho aviso se señalará, por lo menos, el municipio o distrito donde se ubican, su localización exacta con indicación de su nomenclatura; tipo de inmueble;</w:t>
      </w:r>
      <w:r w:rsidR="006A1061" w:rsidRPr="003006D9">
        <w:rPr>
          <w:rFonts w:cs="Arial"/>
          <w:i/>
          <w:color w:val="000000"/>
        </w:rPr>
        <w:t xml:space="preserve"> </w:t>
      </w:r>
      <w:r w:rsidRPr="003006D9">
        <w:rPr>
          <w:rFonts w:cs="Arial"/>
          <w:b/>
          <w:i/>
          <w:color w:val="000000"/>
        </w:rPr>
        <w:t>porcentaje de propiedad;</w:t>
      </w:r>
      <w:r w:rsidRPr="003006D9">
        <w:rPr>
          <w:rFonts w:cs="Arial"/>
          <w:i/>
          <w:color w:val="000000"/>
        </w:rPr>
        <w:t xml:space="preserve"> número de folio de matrícula inmobiliaria; cedula catastral; uso del suelo; área del terreno y de la construcción en metros cuadrados; la existencia o no de gravámenes deudas o afectaciones de carácter jurídico, administrativo o técnico que limiten el goce al derecho de dominio; la existencia de contratos que afecten o limiten el uso; y la identificación del estado de ocupación del inmueble.</w:t>
      </w:r>
    </w:p>
    <w:p w:rsidR="00B61DA6" w:rsidRPr="003006D9" w:rsidRDefault="00B61DA6" w:rsidP="00B61DA6">
      <w:pPr>
        <w:pStyle w:val="NormalWeb"/>
        <w:shd w:val="clear" w:color="auto" w:fill="FFFFFF"/>
        <w:spacing w:before="0" w:beforeAutospacing="0" w:after="0" w:afterAutospacing="0" w:line="276" w:lineRule="auto"/>
        <w:ind w:left="567" w:right="900"/>
        <w:rPr>
          <w:rFonts w:cs="Arial"/>
          <w:b/>
          <w:i/>
          <w:color w:val="000000"/>
        </w:rPr>
      </w:pPr>
    </w:p>
    <w:p w:rsidR="00B61DA6" w:rsidRPr="003006D9" w:rsidRDefault="006555AB" w:rsidP="00B61DA6">
      <w:pPr>
        <w:pStyle w:val="NormalWeb"/>
        <w:spacing w:before="0" w:beforeAutospacing="0" w:after="0" w:afterAutospacing="0" w:line="276" w:lineRule="auto"/>
        <w:ind w:left="567" w:right="900"/>
        <w:rPr>
          <w:rFonts w:cs="Arial"/>
          <w:b/>
          <w:bCs/>
          <w:i/>
          <w:color w:val="000000"/>
          <w:shd w:val="clear" w:color="auto" w:fill="FFFFFF"/>
        </w:rPr>
      </w:pPr>
      <w:r w:rsidRPr="003006D9">
        <w:rPr>
          <w:rFonts w:cs="Arial"/>
          <w:bCs/>
          <w:i/>
          <w:color w:val="000000"/>
          <w:shd w:val="clear" w:color="auto" w:fill="FFFFFF"/>
        </w:rPr>
        <w:t xml:space="preserve"> </w:t>
      </w:r>
      <w:r w:rsidR="00B61DA6" w:rsidRPr="003006D9">
        <w:rPr>
          <w:rFonts w:cs="Arial"/>
          <w:bCs/>
          <w:i/>
          <w:color w:val="000000"/>
          <w:shd w:val="clear" w:color="auto" w:fill="FFFFFF"/>
        </w:rPr>
        <w:t>“</w:t>
      </w:r>
      <w:r w:rsidR="00B61DA6" w:rsidRPr="003006D9">
        <w:rPr>
          <w:rFonts w:cs="Arial"/>
          <w:b/>
          <w:bCs/>
          <w:i/>
          <w:color w:val="000000"/>
          <w:shd w:val="clear" w:color="auto" w:fill="FFFFFF"/>
        </w:rPr>
        <w:t>Artículo 10. Avalúo comercial</w:t>
      </w:r>
    </w:p>
    <w:p w:rsidR="00B61DA6" w:rsidRPr="003006D9" w:rsidRDefault="00B61DA6" w:rsidP="00B61DA6">
      <w:pPr>
        <w:pStyle w:val="NormalWeb"/>
        <w:shd w:val="clear" w:color="auto" w:fill="FFFFFF"/>
        <w:spacing w:before="0" w:beforeAutospacing="0" w:after="0" w:afterAutospacing="0" w:line="276" w:lineRule="auto"/>
        <w:ind w:left="567" w:right="900"/>
        <w:rPr>
          <w:rFonts w:cs="Arial"/>
          <w:i/>
          <w:color w:val="000000"/>
        </w:rPr>
      </w:pPr>
    </w:p>
    <w:p w:rsidR="00B61DA6" w:rsidRPr="003006D9" w:rsidRDefault="006A1061" w:rsidP="00B61DA6">
      <w:pPr>
        <w:pStyle w:val="NormalWeb"/>
        <w:shd w:val="clear" w:color="auto" w:fill="FFFFFF"/>
        <w:spacing w:before="0" w:beforeAutospacing="0" w:after="0" w:afterAutospacing="0" w:line="276" w:lineRule="auto"/>
        <w:ind w:left="567" w:right="900"/>
        <w:rPr>
          <w:rFonts w:cs="Arial"/>
          <w:i/>
          <w:color w:val="000000"/>
        </w:rPr>
      </w:pPr>
      <w:r w:rsidRPr="003006D9">
        <w:rPr>
          <w:rFonts w:cs="Arial"/>
          <w:i/>
          <w:color w:val="000000"/>
        </w:rPr>
        <w:t>“</w:t>
      </w:r>
      <w:r w:rsidR="00B61DA6" w:rsidRPr="003006D9">
        <w:rPr>
          <w:rFonts w:cs="Arial"/>
          <w:i/>
          <w:color w:val="000000"/>
        </w:rPr>
        <w:t>(…)</w:t>
      </w:r>
      <w:r w:rsidRPr="003006D9">
        <w:rPr>
          <w:rFonts w:cs="Arial"/>
          <w:i/>
          <w:color w:val="000000"/>
        </w:rPr>
        <w:t>.</w:t>
      </w:r>
    </w:p>
    <w:p w:rsidR="00B61DA6" w:rsidRPr="003006D9" w:rsidRDefault="00B61DA6" w:rsidP="00B61DA6">
      <w:pPr>
        <w:pStyle w:val="NormalWeb"/>
        <w:shd w:val="clear" w:color="auto" w:fill="FFFFFF"/>
        <w:spacing w:before="0" w:beforeAutospacing="0" w:after="0" w:afterAutospacing="0" w:line="276" w:lineRule="auto"/>
        <w:ind w:left="567" w:right="900"/>
        <w:rPr>
          <w:rFonts w:cs="Arial"/>
          <w:i/>
          <w:color w:val="000000"/>
        </w:rPr>
      </w:pPr>
    </w:p>
    <w:p w:rsidR="00B61DA6" w:rsidRPr="003006D9" w:rsidRDefault="00B61DA6" w:rsidP="00B61DA6">
      <w:pPr>
        <w:pStyle w:val="NormalWeb"/>
        <w:shd w:val="clear" w:color="auto" w:fill="FFFFFF"/>
        <w:spacing w:before="0" w:beforeAutospacing="0" w:after="0" w:afterAutospacing="0" w:line="276" w:lineRule="auto"/>
        <w:ind w:left="567" w:right="900"/>
        <w:rPr>
          <w:rFonts w:cs="Arial"/>
          <w:i/>
          <w:color w:val="000000"/>
        </w:rPr>
      </w:pPr>
      <w:r w:rsidRPr="003006D9">
        <w:rPr>
          <w:rFonts w:cs="Arial"/>
          <w:i/>
          <w:color w:val="000000"/>
        </w:rPr>
        <w:t xml:space="preserve">“El avalúo deberá tener una vigencia máxima de un año contado a partir de su expedición </w:t>
      </w:r>
      <w:r w:rsidRPr="003006D9">
        <w:rPr>
          <w:rFonts w:cs="Arial"/>
          <w:b/>
          <w:i/>
          <w:color w:val="000000"/>
        </w:rPr>
        <w:t>y encontrarse vigente al momento de determinar el precio mínimo de venta.</w:t>
      </w:r>
    </w:p>
    <w:p w:rsidR="00B61DA6" w:rsidRPr="003006D9" w:rsidRDefault="00B61DA6" w:rsidP="00B61DA6">
      <w:pPr>
        <w:pStyle w:val="NormalWeb"/>
        <w:shd w:val="clear" w:color="auto" w:fill="FFFFFF"/>
        <w:spacing w:before="0" w:beforeAutospacing="0" w:after="0" w:afterAutospacing="0" w:line="276" w:lineRule="auto"/>
        <w:ind w:left="567" w:right="900"/>
        <w:rPr>
          <w:rFonts w:cs="Arial"/>
          <w:b/>
          <w:i/>
          <w:color w:val="000000"/>
        </w:rPr>
      </w:pPr>
    </w:p>
    <w:p w:rsidR="00B61DA6" w:rsidRPr="003006D9" w:rsidRDefault="00B61DA6" w:rsidP="00B61DA6">
      <w:pPr>
        <w:pStyle w:val="NormalWeb"/>
        <w:spacing w:before="0" w:beforeAutospacing="0" w:after="0" w:afterAutospacing="0" w:line="276" w:lineRule="auto"/>
        <w:ind w:left="567" w:right="900"/>
        <w:rPr>
          <w:rFonts w:cs="Arial"/>
          <w:b/>
          <w:bCs/>
          <w:i/>
          <w:color w:val="000000"/>
          <w:shd w:val="clear" w:color="auto" w:fill="FFFFFF"/>
        </w:rPr>
      </w:pPr>
      <w:r w:rsidRPr="003006D9">
        <w:rPr>
          <w:rFonts w:cs="Arial"/>
          <w:bCs/>
          <w:i/>
          <w:color w:val="000000"/>
          <w:shd w:val="clear" w:color="auto" w:fill="FFFFFF"/>
        </w:rPr>
        <w:t>“</w:t>
      </w:r>
      <w:r w:rsidRPr="003006D9">
        <w:rPr>
          <w:rFonts w:cs="Arial"/>
          <w:b/>
          <w:bCs/>
          <w:i/>
          <w:color w:val="000000"/>
          <w:shd w:val="clear" w:color="auto" w:fill="FFFFFF"/>
        </w:rPr>
        <w:t>Artículo 11. Precio mínimo de venta</w:t>
      </w:r>
    </w:p>
    <w:p w:rsidR="006555AB" w:rsidRPr="003006D9" w:rsidRDefault="006555AB" w:rsidP="00B61DA6">
      <w:pPr>
        <w:pStyle w:val="NormalWeb"/>
        <w:shd w:val="clear" w:color="auto" w:fill="FFFFFF"/>
        <w:spacing w:before="0" w:beforeAutospacing="0" w:after="0" w:afterAutospacing="0" w:line="276" w:lineRule="auto"/>
        <w:ind w:left="567" w:right="900"/>
        <w:rPr>
          <w:rFonts w:cs="Arial"/>
          <w:i/>
          <w:color w:val="000000"/>
        </w:rPr>
      </w:pPr>
    </w:p>
    <w:p w:rsidR="00B61DA6" w:rsidRPr="003006D9" w:rsidRDefault="00B61DA6" w:rsidP="00B61DA6">
      <w:pPr>
        <w:pStyle w:val="NormalWeb"/>
        <w:shd w:val="clear" w:color="auto" w:fill="FFFFFF"/>
        <w:spacing w:before="0" w:beforeAutospacing="0" w:after="0" w:afterAutospacing="0" w:line="276" w:lineRule="auto"/>
        <w:ind w:left="567" w:right="900"/>
        <w:rPr>
          <w:rFonts w:cs="Arial"/>
          <w:i/>
          <w:color w:val="000000"/>
        </w:rPr>
      </w:pPr>
      <w:r w:rsidRPr="003006D9">
        <w:rPr>
          <w:rFonts w:cs="Arial"/>
          <w:i/>
          <w:color w:val="000000"/>
        </w:rPr>
        <w:t>“Una vez obtenido el avalúo comercial de que trata el artículo anterior, la entidad lo ajustará para obtener el precio mínimo de venta.</w:t>
      </w:r>
    </w:p>
    <w:p w:rsidR="00B61DA6" w:rsidRPr="003006D9" w:rsidRDefault="00B61DA6" w:rsidP="00B61DA6">
      <w:pPr>
        <w:pStyle w:val="NormalWeb"/>
        <w:shd w:val="clear" w:color="auto" w:fill="FFFFFF"/>
        <w:spacing w:before="0" w:beforeAutospacing="0" w:after="0" w:afterAutospacing="0" w:line="276" w:lineRule="auto"/>
        <w:ind w:left="567" w:right="900"/>
        <w:rPr>
          <w:rFonts w:cs="Arial"/>
          <w:b/>
          <w:i/>
          <w:color w:val="000000"/>
        </w:rPr>
      </w:pPr>
    </w:p>
    <w:p w:rsidR="00B61DA6" w:rsidRPr="003006D9" w:rsidRDefault="00B61DA6" w:rsidP="00B61DA6">
      <w:pPr>
        <w:pStyle w:val="NormalWeb"/>
        <w:shd w:val="clear" w:color="auto" w:fill="FFFFFF"/>
        <w:spacing w:before="0" w:beforeAutospacing="0" w:after="0" w:afterAutospacing="0" w:line="276" w:lineRule="auto"/>
        <w:ind w:left="567" w:right="900"/>
        <w:rPr>
          <w:rFonts w:cs="Arial"/>
          <w:b/>
          <w:i/>
          <w:color w:val="000000"/>
        </w:rPr>
      </w:pPr>
      <w:r w:rsidRPr="003006D9">
        <w:rPr>
          <w:rFonts w:cs="Arial"/>
          <w:i/>
          <w:color w:val="000000"/>
        </w:rPr>
        <w:lastRenderedPageBreak/>
        <w:t>“</w:t>
      </w:r>
      <w:r w:rsidRPr="003006D9">
        <w:rPr>
          <w:rFonts w:cs="Arial"/>
          <w:b/>
          <w:i/>
          <w:color w:val="000000"/>
        </w:rPr>
        <w:t>La entidad, al ajustar el avalúo comercial para establecer el precio mínimo de venta del bien inmueble deberá tener en consideración las siguientes variables:</w:t>
      </w:r>
    </w:p>
    <w:p w:rsidR="00B61DA6" w:rsidRPr="003006D9" w:rsidRDefault="00B61DA6" w:rsidP="00B61DA6">
      <w:pPr>
        <w:pStyle w:val="NormalWeb"/>
        <w:shd w:val="clear" w:color="auto" w:fill="FFFFFF"/>
        <w:spacing w:before="0" w:beforeAutospacing="0" w:after="0" w:afterAutospacing="0" w:line="276" w:lineRule="auto"/>
        <w:ind w:left="567" w:right="900"/>
        <w:rPr>
          <w:rFonts w:cs="Arial"/>
          <w:bCs/>
          <w:i/>
          <w:color w:val="000000"/>
        </w:rPr>
      </w:pPr>
    </w:p>
    <w:p w:rsidR="00B61DA6" w:rsidRPr="003006D9" w:rsidRDefault="00B61DA6" w:rsidP="00B61DA6">
      <w:pPr>
        <w:pStyle w:val="NormalWeb"/>
        <w:shd w:val="clear" w:color="auto" w:fill="FFFFFF"/>
        <w:spacing w:before="0" w:beforeAutospacing="0" w:after="0" w:afterAutospacing="0" w:line="276" w:lineRule="auto"/>
        <w:ind w:left="567" w:right="900"/>
        <w:rPr>
          <w:rFonts w:cs="Arial"/>
          <w:i/>
          <w:color w:val="000000"/>
        </w:rPr>
      </w:pPr>
      <w:r w:rsidRPr="003006D9">
        <w:rPr>
          <w:rFonts w:cs="Arial"/>
          <w:bCs/>
          <w:i/>
          <w:color w:val="000000"/>
        </w:rPr>
        <w:t>“1. Valor del avalúo</w:t>
      </w:r>
      <w:r w:rsidRPr="003006D9">
        <w:rPr>
          <w:rFonts w:cs="Arial"/>
          <w:i/>
          <w:color w:val="000000"/>
        </w:rPr>
        <w:t>: Corresponde al valor arrojado por el avalúo comercial vigente.</w:t>
      </w:r>
    </w:p>
    <w:p w:rsidR="00B61DA6" w:rsidRPr="003006D9" w:rsidRDefault="00B61DA6" w:rsidP="00B61DA6">
      <w:pPr>
        <w:pStyle w:val="NormalWeb"/>
        <w:shd w:val="clear" w:color="auto" w:fill="FFFFFF"/>
        <w:spacing w:before="0" w:beforeAutospacing="0" w:after="0" w:afterAutospacing="0" w:line="276" w:lineRule="auto"/>
        <w:ind w:left="567" w:right="900"/>
        <w:rPr>
          <w:rFonts w:cs="Arial"/>
          <w:b/>
          <w:bCs/>
          <w:i/>
          <w:color w:val="000000"/>
        </w:rPr>
      </w:pPr>
    </w:p>
    <w:p w:rsidR="00B61DA6" w:rsidRPr="003006D9" w:rsidRDefault="00B61DA6" w:rsidP="00B61DA6">
      <w:pPr>
        <w:pStyle w:val="NormalWeb"/>
        <w:shd w:val="clear" w:color="auto" w:fill="FFFFFF"/>
        <w:spacing w:before="0" w:beforeAutospacing="0" w:after="0" w:afterAutospacing="0" w:line="276" w:lineRule="auto"/>
        <w:ind w:left="567" w:right="900"/>
        <w:rPr>
          <w:rFonts w:cs="Arial"/>
          <w:i/>
          <w:color w:val="000000"/>
        </w:rPr>
      </w:pPr>
      <w:r w:rsidRPr="003006D9">
        <w:rPr>
          <w:rFonts w:cs="Arial"/>
          <w:bCs/>
          <w:i/>
          <w:color w:val="000000"/>
        </w:rPr>
        <w:t>“</w:t>
      </w:r>
      <w:r w:rsidRPr="003006D9">
        <w:rPr>
          <w:rFonts w:cs="Arial"/>
          <w:b/>
          <w:bCs/>
          <w:i/>
          <w:color w:val="000000"/>
        </w:rPr>
        <w:t>2. Ingresos</w:t>
      </w:r>
      <w:r w:rsidRPr="003006D9">
        <w:rPr>
          <w:rFonts w:cs="Arial"/>
          <w:i/>
          <w:color w:val="000000"/>
        </w:rPr>
        <w:t xml:space="preserve">: </w:t>
      </w:r>
      <w:r w:rsidRPr="003006D9">
        <w:rPr>
          <w:rFonts w:cs="Arial"/>
          <w:b/>
          <w:i/>
          <w:color w:val="000000"/>
        </w:rPr>
        <w:t>Corresponden a cualquier tipo de recursos que perciba la entidad, proveniente del bien, tales como cánones de arrendamiento</w:t>
      </w:r>
      <w:r w:rsidRPr="003006D9">
        <w:rPr>
          <w:rFonts w:cs="Arial"/>
          <w:i/>
          <w:color w:val="000000"/>
        </w:rPr>
        <w:t xml:space="preserve"> y rendimientos.</w:t>
      </w:r>
    </w:p>
    <w:p w:rsidR="00B61DA6" w:rsidRPr="003006D9" w:rsidRDefault="00B61DA6" w:rsidP="00B61DA6">
      <w:pPr>
        <w:pStyle w:val="NormalWeb"/>
        <w:shd w:val="clear" w:color="auto" w:fill="FFFFFF"/>
        <w:spacing w:before="0" w:beforeAutospacing="0" w:after="0" w:afterAutospacing="0" w:line="276" w:lineRule="auto"/>
        <w:ind w:left="567" w:right="900"/>
        <w:rPr>
          <w:rFonts w:cs="Arial"/>
          <w:b/>
          <w:bCs/>
          <w:i/>
          <w:color w:val="000000"/>
        </w:rPr>
      </w:pPr>
    </w:p>
    <w:p w:rsidR="00B61DA6" w:rsidRPr="003006D9" w:rsidRDefault="00B61DA6" w:rsidP="00B61DA6">
      <w:pPr>
        <w:pStyle w:val="NormalWeb"/>
        <w:shd w:val="clear" w:color="auto" w:fill="FFFFFF"/>
        <w:spacing w:before="0" w:beforeAutospacing="0" w:after="0" w:afterAutospacing="0" w:line="276" w:lineRule="auto"/>
        <w:ind w:left="567" w:right="900"/>
        <w:rPr>
          <w:rFonts w:cs="Arial"/>
          <w:i/>
          <w:color w:val="000000"/>
        </w:rPr>
      </w:pPr>
      <w:r w:rsidRPr="003006D9">
        <w:rPr>
          <w:rFonts w:cs="Arial"/>
          <w:bCs/>
          <w:i/>
          <w:color w:val="000000"/>
        </w:rPr>
        <w:t>“</w:t>
      </w:r>
      <w:r w:rsidRPr="003006D9">
        <w:rPr>
          <w:rFonts w:cs="Arial"/>
          <w:b/>
          <w:bCs/>
          <w:i/>
          <w:color w:val="000000"/>
        </w:rPr>
        <w:t>3. Gastos:</w:t>
      </w:r>
      <w:r w:rsidRPr="003006D9">
        <w:rPr>
          <w:rStyle w:val="apple-converted-space"/>
          <w:rFonts w:cs="Arial"/>
          <w:i/>
          <w:color w:val="000000"/>
        </w:rPr>
        <w:t> </w:t>
      </w:r>
      <w:r w:rsidRPr="003006D9">
        <w:rPr>
          <w:rFonts w:cs="Arial"/>
          <w:i/>
          <w:color w:val="000000"/>
        </w:rPr>
        <w:t xml:space="preserve">Se refiere a la totalidad de los </w:t>
      </w:r>
      <w:r w:rsidRPr="003006D9">
        <w:rPr>
          <w:rFonts w:cs="Arial"/>
          <w:b/>
          <w:i/>
          <w:color w:val="000000"/>
        </w:rPr>
        <w:t>gastos en que incurre la entidad</w:t>
      </w:r>
      <w:r w:rsidRPr="003006D9">
        <w:rPr>
          <w:rFonts w:cs="Arial"/>
          <w:i/>
          <w:color w:val="000000"/>
        </w:rPr>
        <w:t>, dependiendo del tipo de bien, que se deriven de la titularidad, la comercialización, el saneamiento, el mantenimiento y la administración del mismo, tales como: (…)</w:t>
      </w:r>
      <w:r w:rsidR="006A1061" w:rsidRPr="003006D9">
        <w:rPr>
          <w:rFonts w:cs="Arial"/>
          <w:i/>
          <w:color w:val="000000"/>
        </w:rPr>
        <w:t>.</w:t>
      </w:r>
    </w:p>
    <w:p w:rsidR="00B61DA6" w:rsidRPr="003006D9" w:rsidRDefault="00B61DA6" w:rsidP="00B61DA6">
      <w:pPr>
        <w:pStyle w:val="NormalWeb"/>
        <w:shd w:val="clear" w:color="auto" w:fill="FFFFFF"/>
        <w:spacing w:before="0" w:beforeAutospacing="0" w:after="0" w:afterAutospacing="0" w:line="276" w:lineRule="auto"/>
        <w:ind w:left="567" w:right="900"/>
        <w:rPr>
          <w:rFonts w:cs="Arial"/>
          <w:b/>
          <w:bCs/>
          <w:i/>
          <w:color w:val="000000"/>
        </w:rPr>
      </w:pPr>
    </w:p>
    <w:p w:rsidR="00B61DA6" w:rsidRPr="003006D9" w:rsidRDefault="00B61DA6" w:rsidP="00B61DA6">
      <w:pPr>
        <w:pStyle w:val="NormalWeb"/>
        <w:shd w:val="clear" w:color="auto" w:fill="FFFFFF"/>
        <w:spacing w:before="0" w:beforeAutospacing="0" w:after="0" w:afterAutospacing="0" w:line="276" w:lineRule="auto"/>
        <w:ind w:left="567" w:right="900"/>
        <w:rPr>
          <w:rFonts w:cs="Arial"/>
          <w:i/>
          <w:color w:val="000000"/>
        </w:rPr>
      </w:pPr>
      <w:r w:rsidRPr="003006D9">
        <w:rPr>
          <w:rFonts w:cs="Arial"/>
          <w:bCs/>
          <w:i/>
          <w:color w:val="000000"/>
        </w:rPr>
        <w:t>“</w:t>
      </w:r>
      <w:r w:rsidRPr="003006D9">
        <w:rPr>
          <w:rFonts w:cs="Arial"/>
          <w:b/>
          <w:bCs/>
          <w:i/>
          <w:color w:val="000000"/>
        </w:rPr>
        <w:t xml:space="preserve">4. </w:t>
      </w:r>
      <w:r w:rsidRPr="003006D9">
        <w:rPr>
          <w:rFonts w:cs="Arial"/>
          <w:bCs/>
          <w:i/>
          <w:color w:val="000000"/>
        </w:rPr>
        <w:t>Tasa de Descuento</w:t>
      </w:r>
      <w:r w:rsidRPr="003006D9">
        <w:rPr>
          <w:rFonts w:cs="Arial"/>
          <w:i/>
          <w:color w:val="000000"/>
        </w:rPr>
        <w:t xml:space="preserve">: </w:t>
      </w:r>
      <w:r w:rsidR="00DA5487" w:rsidRPr="003006D9">
        <w:rPr>
          <w:rFonts w:cs="Arial"/>
          <w:i/>
          <w:color w:val="000000"/>
        </w:rPr>
        <w:t>(…)</w:t>
      </w:r>
      <w:r w:rsidR="006A1061" w:rsidRPr="003006D9">
        <w:rPr>
          <w:rFonts w:cs="Arial"/>
          <w:i/>
          <w:color w:val="000000"/>
        </w:rPr>
        <w:t>.</w:t>
      </w:r>
    </w:p>
    <w:p w:rsidR="00DA5487" w:rsidRPr="003006D9" w:rsidRDefault="00DA5487" w:rsidP="00B61DA6">
      <w:pPr>
        <w:pStyle w:val="NormalWeb"/>
        <w:shd w:val="clear" w:color="auto" w:fill="FFFFFF"/>
        <w:spacing w:before="0" w:beforeAutospacing="0" w:after="0" w:afterAutospacing="0" w:line="276" w:lineRule="auto"/>
        <w:ind w:left="567" w:right="900"/>
        <w:rPr>
          <w:rFonts w:cs="Arial"/>
          <w:bCs/>
          <w:i/>
          <w:color w:val="000000"/>
        </w:rPr>
      </w:pPr>
    </w:p>
    <w:p w:rsidR="00B61DA6" w:rsidRPr="003006D9" w:rsidRDefault="00B61DA6" w:rsidP="00B61DA6">
      <w:pPr>
        <w:pStyle w:val="NormalWeb"/>
        <w:shd w:val="clear" w:color="auto" w:fill="FFFFFF"/>
        <w:spacing w:before="0" w:beforeAutospacing="0" w:after="0" w:afterAutospacing="0" w:line="276" w:lineRule="auto"/>
        <w:ind w:left="567" w:right="900"/>
        <w:rPr>
          <w:rFonts w:cs="Arial"/>
          <w:i/>
          <w:color w:val="000000"/>
        </w:rPr>
      </w:pPr>
      <w:r w:rsidRPr="003006D9">
        <w:rPr>
          <w:rFonts w:cs="Arial"/>
          <w:bCs/>
          <w:i/>
          <w:color w:val="000000"/>
        </w:rPr>
        <w:t>“</w:t>
      </w:r>
      <w:r w:rsidRPr="003006D9">
        <w:rPr>
          <w:rFonts w:cs="Arial"/>
          <w:b/>
          <w:bCs/>
          <w:i/>
          <w:color w:val="000000"/>
        </w:rPr>
        <w:t xml:space="preserve">7. </w:t>
      </w:r>
      <w:r w:rsidRPr="003006D9">
        <w:rPr>
          <w:rFonts w:cs="Arial"/>
          <w:bCs/>
          <w:i/>
          <w:color w:val="000000"/>
        </w:rPr>
        <w:t>Estado de saneamiento de los activos:</w:t>
      </w:r>
      <w:r w:rsidRPr="003006D9">
        <w:rPr>
          <w:rStyle w:val="apple-converted-space"/>
          <w:rFonts w:cs="Arial"/>
          <w:i/>
          <w:color w:val="000000"/>
        </w:rPr>
        <w:t> </w:t>
      </w:r>
      <w:r w:rsidRPr="003006D9">
        <w:rPr>
          <w:rFonts w:cs="Arial"/>
          <w:i/>
          <w:color w:val="000000"/>
        </w:rPr>
        <w:t>Para efecto de determinar el estado jurídico de los activos, se tendrá en cuenta, además, si el mismo está saneado.</w:t>
      </w:r>
    </w:p>
    <w:p w:rsidR="00B61DA6" w:rsidRPr="003006D9" w:rsidRDefault="00B61DA6" w:rsidP="00B61DA6">
      <w:pPr>
        <w:pStyle w:val="NormalWeb"/>
        <w:shd w:val="clear" w:color="auto" w:fill="FFFFFF"/>
        <w:spacing w:before="0" w:beforeAutospacing="0" w:after="0" w:afterAutospacing="0" w:line="276" w:lineRule="auto"/>
        <w:ind w:left="567" w:right="900"/>
        <w:rPr>
          <w:rFonts w:cs="Arial"/>
          <w:i/>
          <w:color w:val="000000"/>
        </w:rPr>
      </w:pPr>
    </w:p>
    <w:p w:rsidR="00B61DA6" w:rsidRPr="003006D9" w:rsidRDefault="00B61DA6" w:rsidP="00B61DA6">
      <w:pPr>
        <w:pStyle w:val="NormalWeb"/>
        <w:shd w:val="clear" w:color="auto" w:fill="FFFFFF"/>
        <w:spacing w:before="0" w:beforeAutospacing="0" w:after="0" w:afterAutospacing="0" w:line="276" w:lineRule="auto"/>
        <w:ind w:left="567" w:right="900"/>
        <w:rPr>
          <w:rFonts w:cs="Arial"/>
          <w:i/>
          <w:color w:val="000000"/>
        </w:rPr>
      </w:pPr>
      <w:r w:rsidRPr="003006D9">
        <w:rPr>
          <w:rFonts w:cs="Arial"/>
          <w:i/>
          <w:color w:val="000000"/>
        </w:rPr>
        <w:t>“(…).</w:t>
      </w:r>
    </w:p>
    <w:p w:rsidR="00B61DA6" w:rsidRPr="003006D9" w:rsidRDefault="00B61DA6" w:rsidP="00B61DA6">
      <w:pPr>
        <w:pStyle w:val="NormalWeb"/>
        <w:shd w:val="clear" w:color="auto" w:fill="FFFFFF"/>
        <w:spacing w:before="0" w:beforeAutospacing="0" w:after="0" w:afterAutospacing="0" w:line="276" w:lineRule="auto"/>
        <w:ind w:left="567" w:right="900"/>
        <w:rPr>
          <w:rFonts w:cs="Arial"/>
          <w:i/>
          <w:color w:val="000000"/>
        </w:rPr>
      </w:pPr>
    </w:p>
    <w:p w:rsidR="00B61DA6" w:rsidRPr="003006D9" w:rsidRDefault="00B61DA6" w:rsidP="00B61DA6">
      <w:pPr>
        <w:pStyle w:val="NormalWeb"/>
        <w:shd w:val="clear" w:color="auto" w:fill="FFFFFF"/>
        <w:spacing w:before="0" w:beforeAutospacing="0" w:after="0" w:afterAutospacing="0" w:line="276" w:lineRule="auto"/>
        <w:ind w:left="567" w:right="900"/>
        <w:rPr>
          <w:rFonts w:cs="Arial"/>
          <w:i/>
          <w:color w:val="000000"/>
        </w:rPr>
      </w:pPr>
      <w:r w:rsidRPr="003006D9">
        <w:rPr>
          <w:rFonts w:cs="Arial"/>
          <w:i/>
          <w:color w:val="000000"/>
        </w:rPr>
        <w:t xml:space="preserve">“b) Activo no saneado transferible: Es el activo que presenta problemas jurídicos, técnicos o administrativos </w:t>
      </w:r>
      <w:r w:rsidRPr="003006D9">
        <w:rPr>
          <w:rFonts w:cs="Arial"/>
          <w:b/>
          <w:i/>
          <w:color w:val="000000"/>
        </w:rPr>
        <w:t>que limitan su uso, goce y disfrute</w:t>
      </w:r>
      <w:r w:rsidRPr="003006D9">
        <w:rPr>
          <w:rFonts w:cs="Arial"/>
          <w:i/>
          <w:color w:val="000000"/>
        </w:rPr>
        <w:t>, pero que no impiden su transferencia a favor de terceros.</w:t>
      </w:r>
    </w:p>
    <w:p w:rsidR="00B61DA6" w:rsidRPr="003006D9" w:rsidRDefault="00B61DA6" w:rsidP="00B61DA6">
      <w:pPr>
        <w:pStyle w:val="NormalWeb"/>
        <w:shd w:val="clear" w:color="auto" w:fill="FFFFFF"/>
        <w:spacing w:before="0" w:beforeAutospacing="0" w:after="0" w:afterAutospacing="0" w:line="276" w:lineRule="auto"/>
        <w:ind w:left="567" w:right="900"/>
        <w:rPr>
          <w:rFonts w:cs="Arial"/>
          <w:b/>
          <w:bCs/>
          <w:i/>
          <w:color w:val="000000"/>
        </w:rPr>
      </w:pPr>
    </w:p>
    <w:p w:rsidR="00B61DA6" w:rsidRPr="003006D9" w:rsidRDefault="00B61DA6" w:rsidP="00B61DA6">
      <w:pPr>
        <w:pStyle w:val="NormalWeb"/>
        <w:shd w:val="clear" w:color="auto" w:fill="FFFFFF"/>
        <w:spacing w:before="0" w:beforeAutospacing="0" w:after="0" w:afterAutospacing="0" w:line="276" w:lineRule="auto"/>
        <w:ind w:left="567" w:right="900"/>
        <w:rPr>
          <w:rFonts w:cs="Arial"/>
          <w:i/>
          <w:color w:val="000000"/>
        </w:rPr>
      </w:pPr>
      <w:r w:rsidRPr="003006D9">
        <w:rPr>
          <w:rFonts w:cs="Arial"/>
          <w:bCs/>
          <w:i/>
          <w:color w:val="000000"/>
        </w:rPr>
        <w:t>“</w:t>
      </w:r>
      <w:r w:rsidRPr="003006D9">
        <w:rPr>
          <w:rFonts w:cs="Arial"/>
          <w:b/>
          <w:bCs/>
          <w:i/>
          <w:color w:val="000000"/>
        </w:rPr>
        <w:t>8. Cálculo del Precio Mínimo de Venta (PMV):</w:t>
      </w:r>
      <w:r w:rsidRPr="003006D9">
        <w:rPr>
          <w:rStyle w:val="apple-converted-space"/>
          <w:rFonts w:cs="Arial"/>
          <w:i/>
          <w:color w:val="000000"/>
        </w:rPr>
        <w:t> </w:t>
      </w:r>
      <w:r w:rsidRPr="003006D9">
        <w:rPr>
          <w:rFonts w:cs="Arial"/>
          <w:i/>
          <w:color w:val="000000"/>
        </w:rPr>
        <w:t xml:space="preserve">El precio mínimo de venta se calcula como </w:t>
      </w:r>
      <w:r w:rsidRPr="003006D9">
        <w:rPr>
          <w:rFonts w:cs="Arial"/>
          <w:b/>
          <w:i/>
          <w:color w:val="000000"/>
        </w:rPr>
        <w:t>la diferencia entre el valor actualizado de los ingresos incluido el valor del avalúo del bien y el valor actualizado de los egresos a una tasa de descuento dada</w:t>
      </w:r>
      <w:r w:rsidRPr="003006D9">
        <w:rPr>
          <w:rFonts w:cs="Arial"/>
          <w:i/>
          <w:color w:val="000000"/>
        </w:rPr>
        <w:t>.</w:t>
      </w:r>
    </w:p>
    <w:p w:rsidR="00B61DA6" w:rsidRPr="003006D9" w:rsidRDefault="00B61DA6" w:rsidP="00B61DA6">
      <w:pPr>
        <w:pStyle w:val="NormalWeb"/>
        <w:shd w:val="clear" w:color="auto" w:fill="FFFFFF"/>
        <w:spacing w:before="0" w:beforeAutospacing="0" w:after="0" w:afterAutospacing="0" w:line="276" w:lineRule="auto"/>
        <w:ind w:left="567" w:right="900"/>
        <w:rPr>
          <w:rFonts w:cs="Arial"/>
          <w:i/>
          <w:color w:val="000000"/>
        </w:rPr>
      </w:pPr>
    </w:p>
    <w:p w:rsidR="00B61DA6" w:rsidRPr="003006D9" w:rsidRDefault="00B61DA6" w:rsidP="00B61DA6">
      <w:pPr>
        <w:pStyle w:val="NormalWeb"/>
        <w:shd w:val="clear" w:color="auto" w:fill="FFFFFF"/>
        <w:spacing w:before="0" w:beforeAutospacing="0" w:after="0" w:afterAutospacing="0" w:line="276" w:lineRule="auto"/>
        <w:ind w:left="567" w:right="900"/>
        <w:rPr>
          <w:rFonts w:cs="Arial"/>
          <w:color w:val="000000"/>
        </w:rPr>
      </w:pPr>
      <w:r w:rsidRPr="003006D9">
        <w:rPr>
          <w:rFonts w:cs="Arial"/>
          <w:i/>
          <w:color w:val="000000"/>
        </w:rPr>
        <w:t>“La justificación de calcular esta relación es la de establecer el precio de referencia por el cual se puede enajenar el bien teniendo en cuenta el tiempo de comercialización y los costos en que incurre la entidad por ser la propietaria del activo”</w:t>
      </w:r>
      <w:r w:rsidR="001A29B0" w:rsidRPr="003006D9">
        <w:rPr>
          <w:rFonts w:cs="Arial"/>
          <w:i/>
          <w:color w:val="000000"/>
        </w:rPr>
        <w:t xml:space="preserve"> </w:t>
      </w:r>
      <w:r w:rsidR="001A29B0" w:rsidRPr="003006D9">
        <w:rPr>
          <w:rFonts w:cs="Arial"/>
          <w:color w:val="000000"/>
        </w:rPr>
        <w:t>(la negrilla no es del texto).</w:t>
      </w:r>
    </w:p>
    <w:p w:rsidR="00E93C33" w:rsidRPr="003006D9" w:rsidRDefault="00E93C33" w:rsidP="00B61DA6">
      <w:pPr>
        <w:pStyle w:val="NormalWeb"/>
        <w:shd w:val="clear" w:color="auto" w:fill="FFFFFF"/>
        <w:spacing w:before="0" w:beforeAutospacing="0" w:after="0" w:afterAutospacing="0" w:line="276" w:lineRule="auto"/>
        <w:ind w:left="567" w:right="900"/>
        <w:rPr>
          <w:rFonts w:cs="Arial"/>
          <w:color w:val="000000"/>
        </w:rPr>
      </w:pPr>
    </w:p>
    <w:p w:rsidR="00E70CEC" w:rsidRPr="003006D9" w:rsidRDefault="00E70CEC" w:rsidP="00B61DA6">
      <w:pPr>
        <w:pStyle w:val="NormalWeb"/>
        <w:shd w:val="clear" w:color="auto" w:fill="FFFFFF"/>
        <w:spacing w:before="0" w:beforeAutospacing="0" w:after="0" w:afterAutospacing="0"/>
        <w:rPr>
          <w:rFonts w:cs="Arial"/>
          <w:color w:val="000000"/>
          <w:shd w:val="clear" w:color="auto" w:fill="FFFFFF"/>
        </w:rPr>
      </w:pPr>
      <w:r w:rsidRPr="003006D9">
        <w:rPr>
          <w:rFonts w:cs="Arial"/>
          <w:color w:val="000000"/>
          <w:shd w:val="clear" w:color="auto" w:fill="FFFFFF"/>
        </w:rPr>
        <w:t xml:space="preserve">En igual forma, se </w:t>
      </w:r>
      <w:r w:rsidR="00B94DF5" w:rsidRPr="003006D9">
        <w:rPr>
          <w:rFonts w:cs="Arial"/>
          <w:color w:val="000000"/>
          <w:shd w:val="clear" w:color="auto" w:fill="FFFFFF"/>
        </w:rPr>
        <w:t xml:space="preserve">evidencia </w:t>
      </w:r>
      <w:r w:rsidRPr="003006D9">
        <w:rPr>
          <w:rFonts w:cs="Arial"/>
          <w:color w:val="000000"/>
          <w:shd w:val="clear" w:color="auto" w:fill="FFFFFF"/>
        </w:rPr>
        <w:t xml:space="preserve">la violación </w:t>
      </w:r>
      <w:r w:rsidR="00452D8F" w:rsidRPr="003006D9">
        <w:rPr>
          <w:rFonts w:cs="Arial"/>
          <w:color w:val="000000"/>
          <w:shd w:val="clear" w:color="auto" w:fill="FFFFFF"/>
        </w:rPr>
        <w:t xml:space="preserve">de la regla de publicidad exigida </w:t>
      </w:r>
      <w:r w:rsidRPr="003006D9">
        <w:rPr>
          <w:rFonts w:cs="Arial"/>
          <w:color w:val="000000"/>
          <w:shd w:val="clear" w:color="auto" w:fill="FFFFFF"/>
        </w:rPr>
        <w:t>en relación con el artículo 9 del Decreto 2474 de 2008, el cual disponía:</w:t>
      </w:r>
    </w:p>
    <w:p w:rsidR="00D45D51" w:rsidRPr="003006D9" w:rsidRDefault="00E70CEC" w:rsidP="00E70CEC">
      <w:pPr>
        <w:shd w:val="clear" w:color="auto" w:fill="FFFFFF"/>
        <w:spacing w:before="100" w:beforeAutospacing="1" w:after="100" w:afterAutospacing="1" w:line="276" w:lineRule="auto"/>
        <w:ind w:left="567" w:right="902"/>
        <w:rPr>
          <w:rFonts w:cs="Arial"/>
          <w:i/>
          <w:color w:val="000000"/>
        </w:rPr>
      </w:pPr>
      <w:r w:rsidRPr="003006D9">
        <w:rPr>
          <w:rFonts w:cs="Arial"/>
          <w:bCs/>
          <w:i/>
          <w:color w:val="000000"/>
        </w:rPr>
        <w:t>“Artículo 9°.</w:t>
      </w:r>
      <w:r w:rsidRPr="003006D9">
        <w:rPr>
          <w:rFonts w:cs="Arial"/>
          <w:b/>
          <w:bCs/>
          <w:i/>
          <w:color w:val="000000"/>
        </w:rPr>
        <w:t> </w:t>
      </w:r>
      <w:r w:rsidRPr="003006D9">
        <w:rPr>
          <w:rFonts w:cs="Arial"/>
          <w:i/>
          <w:iCs/>
          <w:color w:val="000000"/>
        </w:rPr>
        <w:t>Publicidad del proyecto de pliego de condiciones y del pliego de condiciones definitivo</w:t>
      </w:r>
      <w:r w:rsidRPr="003006D9">
        <w:rPr>
          <w:rFonts w:cs="Arial"/>
          <w:i/>
          <w:color w:val="000000"/>
        </w:rPr>
        <w:t xml:space="preserve">. </w:t>
      </w:r>
    </w:p>
    <w:p w:rsidR="00D45D51" w:rsidRPr="003006D9" w:rsidRDefault="00D45D51" w:rsidP="00E70CEC">
      <w:pPr>
        <w:shd w:val="clear" w:color="auto" w:fill="FFFFFF"/>
        <w:spacing w:before="100" w:beforeAutospacing="1" w:after="100" w:afterAutospacing="1" w:line="276" w:lineRule="auto"/>
        <w:ind w:left="567" w:right="902"/>
        <w:rPr>
          <w:rFonts w:cs="Arial"/>
          <w:i/>
          <w:color w:val="000000"/>
        </w:rPr>
      </w:pPr>
      <w:r w:rsidRPr="003006D9">
        <w:rPr>
          <w:rFonts w:cs="Arial"/>
          <w:i/>
          <w:color w:val="000000"/>
        </w:rPr>
        <w:t>“(…).</w:t>
      </w:r>
    </w:p>
    <w:p w:rsidR="00E70CEC" w:rsidRPr="003006D9" w:rsidRDefault="00D45D51" w:rsidP="00E70CEC">
      <w:pPr>
        <w:shd w:val="clear" w:color="auto" w:fill="FFFFFF"/>
        <w:spacing w:before="100" w:beforeAutospacing="1" w:after="100" w:afterAutospacing="1" w:line="276" w:lineRule="auto"/>
        <w:ind w:left="567" w:right="902"/>
        <w:rPr>
          <w:rFonts w:cs="Arial"/>
          <w:i/>
          <w:color w:val="000000"/>
        </w:rPr>
      </w:pPr>
      <w:r w:rsidRPr="003006D9">
        <w:rPr>
          <w:rFonts w:cs="Arial"/>
          <w:i/>
          <w:color w:val="000000"/>
        </w:rPr>
        <w:lastRenderedPageBreak/>
        <w:t xml:space="preserve"> </w:t>
      </w:r>
      <w:r w:rsidR="00452D8F" w:rsidRPr="003006D9">
        <w:rPr>
          <w:rFonts w:cs="Arial"/>
          <w:i/>
          <w:color w:val="000000"/>
        </w:rPr>
        <w:t>“</w:t>
      </w:r>
      <w:r w:rsidR="00E70CEC" w:rsidRPr="003006D9">
        <w:rPr>
          <w:rFonts w:cs="Arial"/>
          <w:i/>
          <w:color w:val="000000"/>
        </w:rPr>
        <w:t xml:space="preserve">El proyecto de pliego de condiciones se publicará cuando menos con diez (10) días hábiles de antelación a la fecha del acto que ordena su apertura, en el caso de la licitación y concurso de méritos con propuesta técnica detallada (PTD), y </w:t>
      </w:r>
      <w:r w:rsidR="00E70CEC" w:rsidRPr="003006D9">
        <w:rPr>
          <w:rFonts w:cs="Arial"/>
          <w:b/>
          <w:i/>
          <w:color w:val="000000"/>
        </w:rPr>
        <w:t>con una antelación no inferior a cinco (5) días hábiles a la misma fecha, en la selección abreviada</w:t>
      </w:r>
      <w:r w:rsidR="00E70CEC" w:rsidRPr="003006D9">
        <w:rPr>
          <w:rFonts w:cs="Arial"/>
          <w:i/>
          <w:color w:val="000000"/>
        </w:rPr>
        <w:t xml:space="preserve"> y concurso de méritos con propuesta técnica simplificada (PTS). La publicación del proyecto de pliego de condiciones no genera obligación para la entidad de dar apertura al proceso de selección</w:t>
      </w:r>
      <w:r w:rsidR="00452D8F" w:rsidRPr="003006D9">
        <w:rPr>
          <w:rFonts w:cs="Arial"/>
          <w:i/>
          <w:color w:val="000000"/>
        </w:rPr>
        <w:t>”</w:t>
      </w:r>
      <w:r w:rsidR="001654B2" w:rsidRPr="003006D9">
        <w:rPr>
          <w:rFonts w:cs="Arial"/>
          <w:i/>
          <w:color w:val="000000"/>
        </w:rPr>
        <w:t xml:space="preserve"> (</w:t>
      </w:r>
      <w:r w:rsidR="001654B2" w:rsidRPr="003006D9">
        <w:rPr>
          <w:rFonts w:cs="Arial"/>
          <w:color w:val="000000"/>
        </w:rPr>
        <w:t>la negrilla no es del texto).</w:t>
      </w:r>
    </w:p>
    <w:p w:rsidR="00ED3CC7" w:rsidRPr="003006D9" w:rsidRDefault="00ED3CC7" w:rsidP="00B61DA6">
      <w:pPr>
        <w:pStyle w:val="NormalWeb"/>
        <w:shd w:val="clear" w:color="auto" w:fill="FFFFFF"/>
        <w:spacing w:before="0" w:beforeAutospacing="0" w:after="0" w:afterAutospacing="0"/>
        <w:rPr>
          <w:rFonts w:cs="Arial"/>
          <w:color w:val="000000"/>
          <w:shd w:val="clear" w:color="auto" w:fill="FFFFFF"/>
        </w:rPr>
      </w:pPr>
      <w:r w:rsidRPr="003006D9">
        <w:rPr>
          <w:rFonts w:cs="Arial"/>
          <w:color w:val="000000"/>
          <w:shd w:val="clear" w:color="auto" w:fill="FFFFFF"/>
        </w:rPr>
        <w:t>La violación de las normas legales en el procedimiento de contratación administrativa sub júdice se encuentra demostrada en el proceso, con fundamento en las pruebas que se han relacionado</w:t>
      </w:r>
      <w:r w:rsidR="006A1061" w:rsidRPr="003006D9">
        <w:rPr>
          <w:rFonts w:cs="Arial"/>
          <w:color w:val="000000"/>
          <w:shd w:val="clear" w:color="auto" w:fill="FFFFFF"/>
        </w:rPr>
        <w:t xml:space="preserve"> en esta providencia</w:t>
      </w:r>
      <w:r w:rsidRPr="003006D9">
        <w:rPr>
          <w:rFonts w:cs="Arial"/>
          <w:color w:val="000000"/>
          <w:shd w:val="clear" w:color="auto" w:fill="FFFFFF"/>
        </w:rPr>
        <w:t>.</w:t>
      </w:r>
    </w:p>
    <w:p w:rsidR="00ED3CC7" w:rsidRPr="003006D9" w:rsidRDefault="00ED3CC7" w:rsidP="00B61DA6">
      <w:pPr>
        <w:pStyle w:val="NormalWeb"/>
        <w:shd w:val="clear" w:color="auto" w:fill="FFFFFF"/>
        <w:spacing w:before="0" w:beforeAutospacing="0" w:after="0" w:afterAutospacing="0"/>
        <w:rPr>
          <w:rFonts w:cs="Arial"/>
          <w:color w:val="000000"/>
          <w:shd w:val="clear" w:color="auto" w:fill="FFFFFF"/>
        </w:rPr>
      </w:pPr>
    </w:p>
    <w:p w:rsidR="00B61DA6" w:rsidRPr="003006D9" w:rsidRDefault="0059318E" w:rsidP="00B61DA6">
      <w:pPr>
        <w:pStyle w:val="NormalWeb"/>
        <w:shd w:val="clear" w:color="auto" w:fill="FFFFFF"/>
        <w:spacing w:before="0" w:beforeAutospacing="0" w:after="0" w:afterAutospacing="0"/>
        <w:rPr>
          <w:rFonts w:cs="Arial"/>
          <w:color w:val="000000"/>
          <w:shd w:val="clear" w:color="auto" w:fill="FFFFFF"/>
        </w:rPr>
      </w:pPr>
      <w:r w:rsidRPr="003006D9">
        <w:rPr>
          <w:rFonts w:cs="Arial"/>
          <w:color w:val="000000"/>
          <w:shd w:val="clear" w:color="auto" w:fill="FFFFFF"/>
        </w:rPr>
        <w:t>Además, la ilegalidad</w:t>
      </w:r>
      <w:r w:rsidR="00B10800" w:rsidRPr="003006D9">
        <w:rPr>
          <w:rFonts w:cs="Arial"/>
          <w:color w:val="000000"/>
          <w:shd w:val="clear" w:color="auto" w:fill="FFFFFF"/>
        </w:rPr>
        <w:t xml:space="preserve"> evidenciada en </w:t>
      </w:r>
      <w:r w:rsidR="006A1061" w:rsidRPr="003006D9">
        <w:rPr>
          <w:rFonts w:cs="Arial"/>
          <w:color w:val="000000"/>
          <w:shd w:val="clear" w:color="auto" w:fill="FFFFFF"/>
        </w:rPr>
        <w:t xml:space="preserve">el plenario en </w:t>
      </w:r>
      <w:r w:rsidR="00B10800" w:rsidRPr="003006D9">
        <w:rPr>
          <w:rFonts w:cs="Arial"/>
          <w:color w:val="000000"/>
          <w:shd w:val="clear" w:color="auto" w:fill="FFFFFF"/>
        </w:rPr>
        <w:t xml:space="preserve">relación con la publicidad del procedimiento de selección abreviada, coincide con los </w:t>
      </w:r>
      <w:r w:rsidR="00B61DA6" w:rsidRPr="003006D9">
        <w:rPr>
          <w:rFonts w:cs="Arial"/>
          <w:color w:val="000000"/>
          <w:shd w:val="clear" w:color="auto" w:fill="FFFFFF"/>
        </w:rPr>
        <w:t>hallazgos identificados por la Contraloría General de la República con ocasión de l</w:t>
      </w:r>
      <w:r w:rsidR="006A1061" w:rsidRPr="003006D9">
        <w:rPr>
          <w:rFonts w:cs="Arial"/>
          <w:color w:val="000000"/>
          <w:shd w:val="clear" w:color="auto" w:fill="FFFFFF"/>
        </w:rPr>
        <w:t xml:space="preserve">a denuncia presentada </w:t>
      </w:r>
      <w:r w:rsidR="00B61DA6" w:rsidRPr="003006D9">
        <w:rPr>
          <w:rFonts w:cs="Arial"/>
          <w:color w:val="000000"/>
          <w:shd w:val="clear" w:color="auto" w:fill="FFFFFF"/>
        </w:rPr>
        <w:t>por parte de la nueva gerente general del ICA</w:t>
      </w:r>
      <w:r w:rsidR="00B61DA6" w:rsidRPr="003006D9">
        <w:rPr>
          <w:rStyle w:val="Refdenotaalpie"/>
          <w:rFonts w:cs="Arial"/>
          <w:color w:val="000000"/>
          <w:shd w:val="clear" w:color="auto" w:fill="FFFFFF"/>
        </w:rPr>
        <w:footnoteReference w:id="75"/>
      </w:r>
      <w:r w:rsidR="00B61DA6" w:rsidRPr="003006D9">
        <w:rPr>
          <w:rFonts w:cs="Arial"/>
          <w:color w:val="000000"/>
          <w:shd w:val="clear" w:color="auto" w:fill="FFFFFF"/>
        </w:rPr>
        <w:t>, de acuerdo con el oficio 2011EE8303 de 8 de febrero de 2011</w:t>
      </w:r>
      <w:r w:rsidR="00EC4BE2" w:rsidRPr="003006D9">
        <w:rPr>
          <w:rFonts w:cs="Arial"/>
          <w:color w:val="000000"/>
          <w:shd w:val="clear" w:color="auto" w:fill="FFFFFF"/>
        </w:rPr>
        <w:t xml:space="preserve"> que obra como prueba en el proceso</w:t>
      </w:r>
      <w:r w:rsidR="00D45D51" w:rsidRPr="003006D9">
        <w:rPr>
          <w:rFonts w:cs="Arial"/>
          <w:color w:val="000000"/>
          <w:shd w:val="clear" w:color="auto" w:fill="FFFFFF"/>
        </w:rPr>
        <w:t xml:space="preserve">. En lo que importa para este caso, </w:t>
      </w:r>
      <w:r w:rsidR="00B61DA6" w:rsidRPr="003006D9">
        <w:rPr>
          <w:rFonts w:cs="Arial"/>
          <w:color w:val="000000"/>
          <w:shd w:val="clear" w:color="auto" w:fill="FFFFFF"/>
        </w:rPr>
        <w:t>se destaca l</w:t>
      </w:r>
      <w:r w:rsidR="006A1061" w:rsidRPr="003006D9">
        <w:rPr>
          <w:rFonts w:cs="Arial"/>
          <w:color w:val="000000"/>
          <w:shd w:val="clear" w:color="auto" w:fill="FFFFFF"/>
        </w:rPr>
        <w:t>o</w:t>
      </w:r>
      <w:r w:rsidR="00B61DA6" w:rsidRPr="003006D9">
        <w:rPr>
          <w:rFonts w:cs="Arial"/>
          <w:color w:val="000000"/>
          <w:shd w:val="clear" w:color="auto" w:fill="FFFFFF"/>
        </w:rPr>
        <w:t xml:space="preserve"> siguiente</w:t>
      </w:r>
      <w:r w:rsidR="006A1061" w:rsidRPr="003006D9">
        <w:rPr>
          <w:rFonts w:cs="Arial"/>
          <w:color w:val="000000"/>
          <w:shd w:val="clear" w:color="auto" w:fill="FFFFFF"/>
        </w:rPr>
        <w:t>:</w:t>
      </w:r>
    </w:p>
    <w:p w:rsidR="00164100" w:rsidRPr="003006D9" w:rsidRDefault="00164100" w:rsidP="00B61DA6">
      <w:pPr>
        <w:pStyle w:val="NormalWeb"/>
        <w:shd w:val="clear" w:color="auto" w:fill="FFFFFF"/>
        <w:spacing w:line="276" w:lineRule="auto"/>
        <w:ind w:left="567" w:right="708"/>
        <w:rPr>
          <w:rFonts w:cs="Arial"/>
          <w:i/>
          <w:color w:val="000000"/>
          <w:shd w:val="clear" w:color="auto" w:fill="FFFFFF"/>
        </w:rPr>
      </w:pPr>
    </w:p>
    <w:p w:rsidR="00B61DA6" w:rsidRPr="003006D9" w:rsidRDefault="00B61DA6" w:rsidP="00B61DA6">
      <w:pPr>
        <w:pStyle w:val="NormalWeb"/>
        <w:shd w:val="clear" w:color="auto" w:fill="FFFFFF"/>
        <w:spacing w:line="276" w:lineRule="auto"/>
        <w:ind w:left="567" w:right="708"/>
        <w:rPr>
          <w:rFonts w:cs="Arial"/>
          <w:b/>
          <w:i/>
          <w:color w:val="000000"/>
          <w:shd w:val="clear" w:color="auto" w:fill="FFFFFF"/>
        </w:rPr>
      </w:pPr>
      <w:r w:rsidRPr="003006D9">
        <w:rPr>
          <w:rFonts w:cs="Arial"/>
          <w:i/>
          <w:color w:val="000000"/>
          <w:shd w:val="clear" w:color="auto" w:fill="FFFFFF"/>
        </w:rPr>
        <w:t>“</w:t>
      </w:r>
      <w:r w:rsidRPr="003006D9">
        <w:rPr>
          <w:rFonts w:cs="Arial"/>
          <w:b/>
          <w:i/>
          <w:color w:val="000000"/>
          <w:shd w:val="clear" w:color="auto" w:fill="FFFFFF"/>
        </w:rPr>
        <w:t>Proceso GC SA O1 -032- 2010 observamos</w:t>
      </w:r>
    </w:p>
    <w:p w:rsidR="00B61DA6" w:rsidRPr="003006D9" w:rsidRDefault="00B61DA6" w:rsidP="00B61DA6">
      <w:pPr>
        <w:pStyle w:val="NormalWeb"/>
        <w:shd w:val="clear" w:color="auto" w:fill="FFFFFF"/>
        <w:spacing w:line="276" w:lineRule="auto"/>
        <w:ind w:left="567" w:right="708"/>
        <w:rPr>
          <w:rFonts w:cs="Arial"/>
          <w:i/>
          <w:color w:val="000000"/>
          <w:shd w:val="clear" w:color="auto" w:fill="FFFFFF"/>
        </w:rPr>
      </w:pPr>
      <w:r w:rsidRPr="003006D9">
        <w:rPr>
          <w:rFonts w:cs="Arial"/>
          <w:i/>
          <w:color w:val="000000"/>
          <w:shd w:val="clear" w:color="auto" w:fill="FFFFFF"/>
        </w:rPr>
        <w:t>“(…)</w:t>
      </w:r>
      <w:r w:rsidR="006A1061" w:rsidRPr="003006D9">
        <w:rPr>
          <w:rFonts w:cs="Arial"/>
          <w:i/>
          <w:color w:val="000000"/>
          <w:shd w:val="clear" w:color="auto" w:fill="FFFFFF"/>
        </w:rPr>
        <w:t>.</w:t>
      </w:r>
    </w:p>
    <w:p w:rsidR="00B61DA6" w:rsidRPr="003006D9" w:rsidRDefault="00B61DA6" w:rsidP="00B61DA6">
      <w:pPr>
        <w:pStyle w:val="NormalWeb"/>
        <w:shd w:val="clear" w:color="auto" w:fill="FFFFFF"/>
        <w:spacing w:line="276" w:lineRule="auto"/>
        <w:ind w:left="567" w:right="708"/>
        <w:rPr>
          <w:rFonts w:cs="Arial"/>
          <w:i/>
          <w:color w:val="000000"/>
          <w:shd w:val="clear" w:color="auto" w:fill="FFFFFF"/>
        </w:rPr>
      </w:pPr>
      <w:r w:rsidRPr="003006D9">
        <w:rPr>
          <w:rFonts w:cs="Arial"/>
          <w:i/>
          <w:color w:val="000000"/>
          <w:shd w:val="clear" w:color="auto" w:fill="FFFFFF"/>
        </w:rPr>
        <w:t>“2) No aparece que la Entidad haya dado aplicación al Decreto 4444 de 2008 para determinar el precio mínimo de venta, al contrario, en el documentos de estudios pre</w:t>
      </w:r>
      <w:r w:rsidR="006A1061" w:rsidRPr="003006D9">
        <w:rPr>
          <w:rFonts w:cs="Arial"/>
          <w:i/>
          <w:color w:val="000000"/>
          <w:shd w:val="clear" w:color="auto" w:fill="FFFFFF"/>
        </w:rPr>
        <w:t>v</w:t>
      </w:r>
      <w:r w:rsidRPr="003006D9">
        <w:rPr>
          <w:rFonts w:cs="Arial"/>
          <w:i/>
          <w:color w:val="000000"/>
          <w:shd w:val="clear" w:color="auto" w:fill="FFFFFF"/>
        </w:rPr>
        <w:t xml:space="preserve">ios publicado en el SECOP, el 11 de agosto de 2011, hacen referencia a que para determinarlo siguen los lineamientos del capítulo 4 del Código de Procedimiento Civil </w:t>
      </w:r>
      <w:r w:rsidR="00CC49C0" w:rsidRPr="003006D9">
        <w:rPr>
          <w:rFonts w:cs="Arial"/>
          <w:i/>
          <w:color w:val="000000"/>
          <w:shd w:val="clear" w:color="auto" w:fill="FFFFFF"/>
        </w:rPr>
        <w:t>‘</w:t>
      </w:r>
      <w:r w:rsidRPr="003006D9">
        <w:rPr>
          <w:rFonts w:cs="Arial"/>
          <w:i/>
          <w:color w:val="000000"/>
          <w:shd w:val="clear" w:color="auto" w:fill="FFFFFF"/>
        </w:rPr>
        <w:t xml:space="preserve">remate de bienes y pago al acreedor’ en particular los artículos 523 y 524. En los pliegos de condiciones definitivos, publicados para </w:t>
      </w:r>
      <w:r w:rsidR="00CC49C0" w:rsidRPr="003006D9">
        <w:rPr>
          <w:rFonts w:cs="Arial"/>
          <w:i/>
          <w:color w:val="000000"/>
          <w:shd w:val="clear" w:color="auto" w:fill="FFFFFF"/>
        </w:rPr>
        <w:t>e</w:t>
      </w:r>
      <w:r w:rsidRPr="003006D9">
        <w:rPr>
          <w:rFonts w:cs="Arial"/>
          <w:i/>
          <w:color w:val="000000"/>
          <w:shd w:val="clear" w:color="auto" w:fill="FFFFFF"/>
        </w:rPr>
        <w:t>ste proceso se establece como fundamento normativo, el decreto 4444/08, sin embargo, la sustentación al mismo no parece reflejada en ningún documento del proceso conforme lo establece el artículo 13 de este decreto.</w:t>
      </w:r>
    </w:p>
    <w:p w:rsidR="00B61DA6" w:rsidRPr="003006D9" w:rsidRDefault="00B61DA6" w:rsidP="00B61DA6">
      <w:pPr>
        <w:pStyle w:val="NormalWeb"/>
        <w:shd w:val="clear" w:color="auto" w:fill="FFFFFF"/>
        <w:spacing w:line="276" w:lineRule="auto"/>
        <w:ind w:left="567" w:right="708"/>
        <w:rPr>
          <w:rFonts w:cs="Arial"/>
          <w:i/>
          <w:color w:val="000000"/>
          <w:shd w:val="clear" w:color="auto" w:fill="FFFFFF"/>
        </w:rPr>
      </w:pPr>
      <w:r w:rsidRPr="003006D9">
        <w:rPr>
          <w:rFonts w:cs="Arial"/>
          <w:i/>
          <w:color w:val="000000"/>
          <w:shd w:val="clear" w:color="auto" w:fill="FFFFFF"/>
        </w:rPr>
        <w:t>“3) Nótese que para la apertura del proceso el ICA, aun no contaba con la aclaración del avalúo (…)</w:t>
      </w:r>
      <w:r w:rsidR="00CC49C0" w:rsidRPr="003006D9">
        <w:rPr>
          <w:rFonts w:cs="Arial"/>
          <w:i/>
          <w:color w:val="000000"/>
          <w:shd w:val="clear" w:color="auto" w:fill="FFFFFF"/>
        </w:rPr>
        <w:t>.</w:t>
      </w:r>
    </w:p>
    <w:p w:rsidR="00B61DA6" w:rsidRPr="003006D9" w:rsidRDefault="00B61DA6" w:rsidP="00B61DA6">
      <w:pPr>
        <w:pStyle w:val="NormalWeb"/>
        <w:shd w:val="clear" w:color="auto" w:fill="FFFFFF"/>
        <w:spacing w:line="276" w:lineRule="auto"/>
        <w:ind w:left="567" w:right="708"/>
        <w:rPr>
          <w:rFonts w:cs="Arial"/>
          <w:i/>
          <w:color w:val="000000"/>
          <w:shd w:val="clear" w:color="auto" w:fill="FFFFFF"/>
        </w:rPr>
      </w:pPr>
      <w:r w:rsidRPr="003006D9">
        <w:rPr>
          <w:rFonts w:cs="Arial"/>
          <w:i/>
          <w:color w:val="000000"/>
          <w:shd w:val="clear" w:color="auto" w:fill="FFFFFF"/>
        </w:rPr>
        <w:lastRenderedPageBreak/>
        <w:t>“(…)</w:t>
      </w:r>
      <w:r w:rsidR="00CC49C0" w:rsidRPr="003006D9">
        <w:rPr>
          <w:rFonts w:cs="Arial"/>
          <w:i/>
          <w:color w:val="000000"/>
          <w:shd w:val="clear" w:color="auto" w:fill="FFFFFF"/>
        </w:rPr>
        <w:t>.</w:t>
      </w:r>
    </w:p>
    <w:p w:rsidR="00B61DA6" w:rsidRPr="003006D9" w:rsidRDefault="00B61DA6" w:rsidP="00B61DA6">
      <w:pPr>
        <w:pStyle w:val="NormalWeb"/>
        <w:shd w:val="clear" w:color="auto" w:fill="FFFFFF"/>
        <w:spacing w:line="276" w:lineRule="auto"/>
        <w:ind w:left="567" w:right="708"/>
        <w:rPr>
          <w:rFonts w:cs="Arial"/>
          <w:i/>
          <w:color w:val="000000"/>
          <w:shd w:val="clear" w:color="auto" w:fill="FFFFFF"/>
        </w:rPr>
      </w:pPr>
      <w:r w:rsidRPr="003006D9">
        <w:rPr>
          <w:rFonts w:cs="Arial"/>
          <w:i/>
          <w:color w:val="000000"/>
          <w:shd w:val="clear" w:color="auto" w:fill="FFFFFF"/>
        </w:rPr>
        <w:t>“11) El proyecto de pliegos fue publicado en el SECOP desconociendo los alcances del artículo 9 del Decreto 2474 de 2008, no fue publicado con los cinco días de antelación al auto que ordenó la apertura. Ambos se publicaron en la misma fecha, agosto 11 de 2010</w:t>
      </w:r>
      <w:r w:rsidRPr="003006D9">
        <w:rPr>
          <w:rStyle w:val="Refdenotaalpie"/>
          <w:rFonts w:cs="Arial"/>
          <w:i/>
          <w:color w:val="000000"/>
          <w:shd w:val="clear" w:color="auto" w:fill="FFFFFF"/>
        </w:rPr>
        <w:footnoteReference w:id="76"/>
      </w:r>
      <w:r w:rsidRPr="003006D9">
        <w:rPr>
          <w:rFonts w:cs="Arial"/>
          <w:i/>
          <w:color w:val="000000"/>
          <w:shd w:val="clear" w:color="auto" w:fill="FFFFFF"/>
        </w:rPr>
        <w:t>.</w:t>
      </w:r>
    </w:p>
    <w:p w:rsidR="00164100" w:rsidRPr="003006D9" w:rsidRDefault="00164100" w:rsidP="00407BB6">
      <w:pPr>
        <w:spacing w:line="240" w:lineRule="auto"/>
        <w:rPr>
          <w:rFonts w:cs="Arial"/>
          <w:b/>
        </w:rPr>
      </w:pPr>
    </w:p>
    <w:p w:rsidR="00B61DA6" w:rsidRPr="003006D9" w:rsidRDefault="00D006CD" w:rsidP="00407BB6">
      <w:pPr>
        <w:spacing w:line="240" w:lineRule="auto"/>
        <w:rPr>
          <w:rFonts w:cs="Arial"/>
          <w:b/>
        </w:rPr>
      </w:pPr>
      <w:r w:rsidRPr="003006D9">
        <w:rPr>
          <w:rFonts w:cs="Arial"/>
          <w:b/>
        </w:rPr>
        <w:t>9</w:t>
      </w:r>
      <w:r w:rsidR="001870DE" w:rsidRPr="003006D9">
        <w:rPr>
          <w:rFonts w:cs="Arial"/>
          <w:b/>
        </w:rPr>
        <w:t xml:space="preserve">. </w:t>
      </w:r>
      <w:r w:rsidR="00C8241C" w:rsidRPr="003006D9">
        <w:rPr>
          <w:rFonts w:cs="Arial"/>
          <w:b/>
        </w:rPr>
        <w:t xml:space="preserve">Consideraciones </w:t>
      </w:r>
      <w:r w:rsidR="00B61DA6" w:rsidRPr="003006D9">
        <w:rPr>
          <w:rFonts w:cs="Arial"/>
          <w:b/>
        </w:rPr>
        <w:t>acerca del objeto il</w:t>
      </w:r>
      <w:r w:rsidR="00E93C33" w:rsidRPr="003006D9">
        <w:rPr>
          <w:rFonts w:cs="Arial"/>
          <w:b/>
        </w:rPr>
        <w:t>í</w:t>
      </w:r>
      <w:r w:rsidR="00B61DA6" w:rsidRPr="003006D9">
        <w:rPr>
          <w:rFonts w:cs="Arial"/>
          <w:b/>
        </w:rPr>
        <w:t xml:space="preserve">cito por la supuesta inclusión de un </w:t>
      </w:r>
      <w:r w:rsidR="00E93C33" w:rsidRPr="003006D9">
        <w:rPr>
          <w:rFonts w:cs="Arial"/>
          <w:b/>
        </w:rPr>
        <w:t>banco de germoplasma</w:t>
      </w:r>
    </w:p>
    <w:p w:rsidR="004A0D46" w:rsidRPr="003006D9" w:rsidRDefault="004A0D46" w:rsidP="00407BB6">
      <w:pPr>
        <w:rPr>
          <w:rFonts w:cs="Arial"/>
        </w:rPr>
      </w:pPr>
    </w:p>
    <w:p w:rsidR="00B61DA6" w:rsidRPr="003006D9" w:rsidRDefault="00B61DA6" w:rsidP="00407BB6">
      <w:pPr>
        <w:rPr>
          <w:rFonts w:cs="Arial"/>
        </w:rPr>
      </w:pPr>
      <w:r w:rsidRPr="003006D9">
        <w:rPr>
          <w:rFonts w:cs="Arial"/>
        </w:rPr>
        <w:t xml:space="preserve">En este proceso no se acreditó que el </w:t>
      </w:r>
      <w:r w:rsidR="004A0D46" w:rsidRPr="003006D9">
        <w:rPr>
          <w:rFonts w:cs="Arial"/>
        </w:rPr>
        <w:t>banco de germoplasma</w:t>
      </w:r>
      <w:r w:rsidRPr="003006D9">
        <w:rPr>
          <w:rFonts w:cs="Arial"/>
        </w:rPr>
        <w:t xml:space="preserve"> ubicado en el predio El Mira constituyera patrimonio cultural de la Nación, como lo alegó el ICA</w:t>
      </w:r>
      <w:r w:rsidRPr="003006D9">
        <w:rPr>
          <w:rStyle w:val="Refdenotaalpie"/>
          <w:rFonts w:cs="Arial"/>
        </w:rPr>
        <w:footnoteReference w:id="77"/>
      </w:r>
      <w:r w:rsidRPr="003006D9">
        <w:rPr>
          <w:rFonts w:cs="Arial"/>
        </w:rPr>
        <w:t xml:space="preserve">. </w:t>
      </w:r>
    </w:p>
    <w:p w:rsidR="006F38DF" w:rsidRPr="003006D9" w:rsidRDefault="006F38DF" w:rsidP="00407BB6">
      <w:pPr>
        <w:rPr>
          <w:rFonts w:cs="Arial"/>
        </w:rPr>
      </w:pPr>
    </w:p>
    <w:p w:rsidR="001870DE" w:rsidRPr="003006D9" w:rsidRDefault="00B61DA6" w:rsidP="00407BB6">
      <w:pPr>
        <w:rPr>
          <w:rFonts w:cs="Arial"/>
        </w:rPr>
      </w:pPr>
      <w:r w:rsidRPr="003006D9">
        <w:rPr>
          <w:rFonts w:cs="Arial"/>
        </w:rPr>
        <w:t>Tampoco existen elementos de juicio suficientes para determinar que el área en la que se hab</w:t>
      </w:r>
      <w:r w:rsidR="00CC49C0" w:rsidRPr="003006D9">
        <w:rPr>
          <w:rFonts w:cs="Arial"/>
        </w:rPr>
        <w:t>r</w:t>
      </w:r>
      <w:r w:rsidR="006F38DF" w:rsidRPr="003006D9">
        <w:rPr>
          <w:rFonts w:cs="Arial"/>
        </w:rPr>
        <w:t>ía</w:t>
      </w:r>
      <w:r w:rsidRPr="003006D9">
        <w:rPr>
          <w:rFonts w:cs="Arial"/>
        </w:rPr>
        <w:t xml:space="preserve"> desarrollado el</w:t>
      </w:r>
      <w:r w:rsidR="006F38DF" w:rsidRPr="003006D9">
        <w:rPr>
          <w:rFonts w:cs="Arial"/>
        </w:rPr>
        <w:t xml:space="preserve"> banco de germoplasma </w:t>
      </w:r>
      <w:r w:rsidRPr="003006D9">
        <w:rPr>
          <w:rFonts w:cs="Arial"/>
        </w:rPr>
        <w:t xml:space="preserve">configurara una zona legalmente protegida por su diversidad biológica o por </w:t>
      </w:r>
      <w:r w:rsidR="00407BB6" w:rsidRPr="003006D9">
        <w:rPr>
          <w:rFonts w:cs="Arial"/>
        </w:rPr>
        <w:t xml:space="preserve">una </w:t>
      </w:r>
      <w:r w:rsidR="006F38DF" w:rsidRPr="003006D9">
        <w:rPr>
          <w:rFonts w:cs="Arial"/>
        </w:rPr>
        <w:t xml:space="preserve">clasificación </w:t>
      </w:r>
      <w:r w:rsidRPr="003006D9">
        <w:rPr>
          <w:rFonts w:cs="Arial"/>
        </w:rPr>
        <w:t>jurídica de</w:t>
      </w:r>
      <w:r w:rsidR="001870DE" w:rsidRPr="003006D9">
        <w:rPr>
          <w:rFonts w:cs="Arial"/>
        </w:rPr>
        <w:t>l</w:t>
      </w:r>
      <w:r w:rsidR="0015238E" w:rsidRPr="003006D9">
        <w:rPr>
          <w:rFonts w:cs="Arial"/>
        </w:rPr>
        <w:t xml:space="preserve"> </w:t>
      </w:r>
      <w:r w:rsidRPr="003006D9">
        <w:rPr>
          <w:rFonts w:cs="Arial"/>
        </w:rPr>
        <w:t xml:space="preserve">bien </w:t>
      </w:r>
      <w:r w:rsidR="00407BB6" w:rsidRPr="003006D9">
        <w:rPr>
          <w:rFonts w:cs="Arial"/>
        </w:rPr>
        <w:t xml:space="preserve">bajo la cual </w:t>
      </w:r>
      <w:r w:rsidRPr="003006D9">
        <w:rPr>
          <w:rFonts w:cs="Arial"/>
        </w:rPr>
        <w:t>pudiera ser catalogado como inenajenable</w:t>
      </w:r>
      <w:r w:rsidRPr="003006D9">
        <w:rPr>
          <w:rStyle w:val="Refdenotaalpie"/>
          <w:rFonts w:cs="Arial"/>
        </w:rPr>
        <w:footnoteReference w:id="78"/>
      </w:r>
      <w:r w:rsidR="001870DE" w:rsidRPr="003006D9">
        <w:rPr>
          <w:rFonts w:cs="Arial"/>
        </w:rPr>
        <w:t>.</w:t>
      </w:r>
    </w:p>
    <w:p w:rsidR="006F38DF" w:rsidRPr="003006D9" w:rsidRDefault="006F38DF" w:rsidP="00407BB6">
      <w:pPr>
        <w:rPr>
          <w:rFonts w:cs="Arial"/>
        </w:rPr>
      </w:pPr>
    </w:p>
    <w:p w:rsidR="00B61DA6" w:rsidRPr="003006D9" w:rsidRDefault="00B61DA6" w:rsidP="00407BB6">
      <w:pPr>
        <w:rPr>
          <w:rFonts w:cs="Arial"/>
        </w:rPr>
      </w:pPr>
      <w:r w:rsidRPr="003006D9">
        <w:rPr>
          <w:rFonts w:cs="Arial"/>
        </w:rPr>
        <w:t>No desconoce la Sala que</w:t>
      </w:r>
      <w:r w:rsidR="00CC49C0" w:rsidRPr="003006D9">
        <w:rPr>
          <w:rFonts w:cs="Arial"/>
        </w:rPr>
        <w:t>,</w:t>
      </w:r>
      <w:r w:rsidRPr="003006D9">
        <w:rPr>
          <w:rFonts w:cs="Arial"/>
        </w:rPr>
        <w:t xml:space="preserve"> de acuerdo con la regulación aplicable </w:t>
      </w:r>
      <w:r w:rsidR="00CC49C0" w:rsidRPr="003006D9">
        <w:rPr>
          <w:rFonts w:cs="Arial"/>
        </w:rPr>
        <w:t>al</w:t>
      </w:r>
      <w:r w:rsidRPr="003006D9">
        <w:rPr>
          <w:rFonts w:cs="Arial"/>
        </w:rPr>
        <w:t xml:space="preserve"> ICA</w:t>
      </w:r>
      <w:r w:rsidR="00CC49C0" w:rsidRPr="003006D9">
        <w:rPr>
          <w:rFonts w:cs="Arial"/>
        </w:rPr>
        <w:t>,</w:t>
      </w:r>
      <w:r w:rsidRPr="003006D9">
        <w:rPr>
          <w:rFonts w:cs="Arial"/>
        </w:rPr>
        <w:t xml:space="preserve"> el </w:t>
      </w:r>
      <w:r w:rsidR="0049518E" w:rsidRPr="003006D9">
        <w:rPr>
          <w:rFonts w:cs="Arial"/>
        </w:rPr>
        <w:t>á</w:t>
      </w:r>
      <w:r w:rsidRPr="003006D9">
        <w:rPr>
          <w:rFonts w:cs="Arial"/>
        </w:rPr>
        <w:t xml:space="preserve">rea del </w:t>
      </w:r>
      <w:r w:rsidR="00AB7F5C" w:rsidRPr="003006D9">
        <w:rPr>
          <w:rFonts w:cs="Arial"/>
        </w:rPr>
        <w:t xml:space="preserve">banco de germoplasma </w:t>
      </w:r>
      <w:r w:rsidRPr="003006D9">
        <w:rPr>
          <w:rFonts w:cs="Arial"/>
        </w:rPr>
        <w:t>pod</w:t>
      </w:r>
      <w:r w:rsidR="0049518E" w:rsidRPr="003006D9">
        <w:rPr>
          <w:rFonts w:cs="Arial"/>
        </w:rPr>
        <w:t>í</w:t>
      </w:r>
      <w:r w:rsidRPr="003006D9">
        <w:rPr>
          <w:rFonts w:cs="Arial"/>
        </w:rPr>
        <w:t xml:space="preserve">a contener material genético de origen vegetal eventualmente bajo control de </w:t>
      </w:r>
      <w:r w:rsidR="00CC49C0" w:rsidRPr="003006D9">
        <w:rPr>
          <w:rFonts w:cs="Arial"/>
        </w:rPr>
        <w:t>esa</w:t>
      </w:r>
      <w:r w:rsidRPr="003006D9">
        <w:rPr>
          <w:rFonts w:cs="Arial"/>
        </w:rPr>
        <w:t xml:space="preserve"> entidad para la investigación agr</w:t>
      </w:r>
      <w:r w:rsidR="00E93C33" w:rsidRPr="003006D9">
        <w:rPr>
          <w:rFonts w:cs="Arial"/>
        </w:rPr>
        <w:t>í</w:t>
      </w:r>
      <w:r w:rsidRPr="003006D9">
        <w:rPr>
          <w:rFonts w:cs="Arial"/>
        </w:rPr>
        <w:t xml:space="preserve">cola a cargo de </w:t>
      </w:r>
      <w:r w:rsidRPr="003006D9">
        <w:rPr>
          <w:rFonts w:cs="Arial"/>
        </w:rPr>
        <w:lastRenderedPageBreak/>
        <w:t>la Nación</w:t>
      </w:r>
      <w:r w:rsidRPr="003006D9">
        <w:rPr>
          <w:rStyle w:val="Refdenotaalpie"/>
          <w:rFonts w:cs="Arial"/>
        </w:rPr>
        <w:footnoteReference w:id="79"/>
      </w:r>
      <w:r w:rsidRPr="003006D9">
        <w:rPr>
          <w:rFonts w:cs="Arial"/>
        </w:rPr>
        <w:t xml:space="preserve"> y que en ese supuesto se hubiera podido discutir si el </w:t>
      </w:r>
      <w:r w:rsidR="00CC49C0" w:rsidRPr="003006D9">
        <w:rPr>
          <w:rFonts w:cs="Arial"/>
        </w:rPr>
        <w:t xml:space="preserve">bien inmueble </w:t>
      </w:r>
      <w:r w:rsidRPr="003006D9">
        <w:rPr>
          <w:rFonts w:cs="Arial"/>
        </w:rPr>
        <w:t>–</w:t>
      </w:r>
      <w:r w:rsidR="00CC49C0" w:rsidRPr="003006D9">
        <w:rPr>
          <w:rFonts w:cs="Arial"/>
        </w:rPr>
        <w:t xml:space="preserve"> </w:t>
      </w:r>
      <w:r w:rsidRPr="003006D9">
        <w:rPr>
          <w:rFonts w:cs="Arial"/>
        </w:rPr>
        <w:t>o por lo menos aquella</w:t>
      </w:r>
      <w:r w:rsidR="0015238E" w:rsidRPr="003006D9">
        <w:rPr>
          <w:rFonts w:cs="Arial"/>
        </w:rPr>
        <w:t xml:space="preserve"> </w:t>
      </w:r>
      <w:r w:rsidR="00090B9D" w:rsidRPr="003006D9">
        <w:rPr>
          <w:rFonts w:cs="Arial"/>
        </w:rPr>
        <w:t xml:space="preserve">zona </w:t>
      </w:r>
      <w:r w:rsidRPr="003006D9">
        <w:rPr>
          <w:rFonts w:cs="Arial"/>
        </w:rPr>
        <w:t xml:space="preserve">destinada al </w:t>
      </w:r>
      <w:r w:rsidR="00E93C33" w:rsidRPr="003006D9">
        <w:rPr>
          <w:rFonts w:cs="Arial"/>
        </w:rPr>
        <w:t>banco de germoplasma</w:t>
      </w:r>
      <w:r w:rsidR="00CC49C0" w:rsidRPr="003006D9">
        <w:rPr>
          <w:rFonts w:cs="Arial"/>
        </w:rPr>
        <w:t xml:space="preserve"> </w:t>
      </w:r>
      <w:r w:rsidRPr="003006D9">
        <w:rPr>
          <w:rFonts w:cs="Arial"/>
        </w:rPr>
        <w:t>- debió o no excluirse del plan de enajenación onerosa de</w:t>
      </w:r>
      <w:r w:rsidR="00E93C33" w:rsidRPr="003006D9">
        <w:rPr>
          <w:rFonts w:cs="Arial"/>
        </w:rPr>
        <w:t xml:space="preserve"> predios de propiedad del ICA</w:t>
      </w:r>
      <w:r w:rsidRPr="003006D9">
        <w:rPr>
          <w:rStyle w:val="Refdenotaalpie"/>
          <w:rFonts w:cs="Arial"/>
        </w:rPr>
        <w:footnoteReference w:id="80"/>
      </w:r>
      <w:r w:rsidRPr="003006D9">
        <w:rPr>
          <w:rFonts w:cs="Arial"/>
        </w:rPr>
        <w:t xml:space="preserve">. Sin embargo, </w:t>
      </w:r>
      <w:r w:rsidR="00407BB6" w:rsidRPr="003006D9">
        <w:rPr>
          <w:rFonts w:cs="Arial"/>
        </w:rPr>
        <w:t xml:space="preserve">se </w:t>
      </w:r>
      <w:r w:rsidR="00090B9D" w:rsidRPr="003006D9">
        <w:rPr>
          <w:rFonts w:cs="Arial"/>
        </w:rPr>
        <w:t xml:space="preserve">advierte </w:t>
      </w:r>
      <w:r w:rsidR="00407BB6" w:rsidRPr="003006D9">
        <w:rPr>
          <w:rFonts w:cs="Arial"/>
        </w:rPr>
        <w:t xml:space="preserve">que </w:t>
      </w:r>
      <w:r w:rsidRPr="003006D9">
        <w:rPr>
          <w:rFonts w:cs="Arial"/>
        </w:rPr>
        <w:t xml:space="preserve">en este proceso no se demandó el acto administrativo mediante el cual el ICA incluyó la totalidad del predio El Mira en el plan de enajenación onerosa. </w:t>
      </w:r>
    </w:p>
    <w:p w:rsidR="001870DE" w:rsidRPr="003006D9" w:rsidRDefault="001870DE" w:rsidP="00407BB6">
      <w:pPr>
        <w:rPr>
          <w:rFonts w:cs="Arial"/>
        </w:rPr>
      </w:pPr>
    </w:p>
    <w:p w:rsidR="00B61DA6" w:rsidRPr="003006D9" w:rsidRDefault="00F570A5" w:rsidP="00407BB6">
      <w:pPr>
        <w:rPr>
          <w:rFonts w:cs="Arial"/>
        </w:rPr>
      </w:pPr>
      <w:r w:rsidRPr="003006D9">
        <w:rPr>
          <w:rFonts w:cs="Arial"/>
        </w:rPr>
        <w:t>Así las cosas, d</w:t>
      </w:r>
      <w:r w:rsidR="00B61DA6" w:rsidRPr="003006D9">
        <w:rPr>
          <w:rFonts w:cs="Arial"/>
        </w:rPr>
        <w:t>esde la perspectiva que otorga este plenario</w:t>
      </w:r>
      <w:r w:rsidR="00CC49C0" w:rsidRPr="003006D9">
        <w:rPr>
          <w:rFonts w:cs="Arial"/>
        </w:rPr>
        <w:t>,</w:t>
      </w:r>
      <w:r w:rsidR="00B61DA6" w:rsidRPr="003006D9">
        <w:rPr>
          <w:rFonts w:cs="Arial"/>
        </w:rPr>
        <w:t xml:space="preserve"> no </w:t>
      </w:r>
      <w:r w:rsidR="001870DE" w:rsidRPr="003006D9">
        <w:rPr>
          <w:rFonts w:cs="Arial"/>
        </w:rPr>
        <w:t xml:space="preserve">se puede </w:t>
      </w:r>
      <w:r w:rsidR="00B61DA6" w:rsidRPr="003006D9">
        <w:rPr>
          <w:rFonts w:cs="Arial"/>
        </w:rPr>
        <w:t xml:space="preserve">concluir acerca de la naturaleza jurídica del </w:t>
      </w:r>
      <w:r w:rsidR="001870DE" w:rsidRPr="003006D9">
        <w:rPr>
          <w:rFonts w:cs="Arial"/>
        </w:rPr>
        <w:t>b</w:t>
      </w:r>
      <w:r w:rsidR="00B61DA6" w:rsidRPr="003006D9">
        <w:rPr>
          <w:rFonts w:cs="Arial"/>
        </w:rPr>
        <w:t xml:space="preserve">anco de </w:t>
      </w:r>
      <w:r w:rsidR="001870DE" w:rsidRPr="003006D9">
        <w:rPr>
          <w:rFonts w:cs="Arial"/>
        </w:rPr>
        <w:t>g</w:t>
      </w:r>
      <w:r w:rsidR="00B61DA6" w:rsidRPr="003006D9">
        <w:rPr>
          <w:rFonts w:cs="Arial"/>
        </w:rPr>
        <w:t>ermoplasma en el caso en cuestión, ni sobre las modalidades de contratación que podr</w:t>
      </w:r>
      <w:r w:rsidR="00E15577" w:rsidRPr="003006D9">
        <w:rPr>
          <w:rFonts w:cs="Arial"/>
        </w:rPr>
        <w:t>í</w:t>
      </w:r>
      <w:r w:rsidR="00B61DA6" w:rsidRPr="003006D9">
        <w:rPr>
          <w:rFonts w:cs="Arial"/>
        </w:rPr>
        <w:t>an haberse desplegado en relación con el mismo.</w:t>
      </w:r>
    </w:p>
    <w:p w:rsidR="00A315E9" w:rsidRPr="003006D9" w:rsidRDefault="00A315E9" w:rsidP="00407BB6">
      <w:pPr>
        <w:rPr>
          <w:rFonts w:cs="Arial"/>
        </w:rPr>
      </w:pPr>
    </w:p>
    <w:p w:rsidR="00B61DA6" w:rsidRPr="003006D9" w:rsidRDefault="00673B79" w:rsidP="00407BB6">
      <w:pPr>
        <w:rPr>
          <w:rFonts w:cs="Arial"/>
        </w:rPr>
      </w:pPr>
      <w:r w:rsidRPr="003006D9">
        <w:rPr>
          <w:rFonts w:cs="Arial"/>
        </w:rPr>
        <w:t>E</w:t>
      </w:r>
      <w:r w:rsidR="00B61DA6" w:rsidRPr="003006D9">
        <w:rPr>
          <w:rFonts w:cs="Arial"/>
        </w:rPr>
        <w:t xml:space="preserve">n el acervo probatorio se observa que </w:t>
      </w:r>
      <w:r w:rsidR="00CC49C0" w:rsidRPr="003006D9">
        <w:rPr>
          <w:rFonts w:cs="Arial"/>
        </w:rPr>
        <w:t xml:space="preserve">en </w:t>
      </w:r>
      <w:r w:rsidR="00B61DA6" w:rsidRPr="003006D9">
        <w:rPr>
          <w:rFonts w:cs="Arial"/>
        </w:rPr>
        <w:t xml:space="preserve">la ficha de identificación del bien materia del proceso de selección </w:t>
      </w:r>
      <w:r w:rsidR="00090B9D" w:rsidRPr="003006D9">
        <w:rPr>
          <w:rFonts w:cs="Arial"/>
        </w:rPr>
        <w:t xml:space="preserve">abreviada </w:t>
      </w:r>
      <w:r w:rsidR="00B61DA6" w:rsidRPr="003006D9">
        <w:rPr>
          <w:rFonts w:cs="Arial"/>
        </w:rPr>
        <w:t xml:space="preserve">se incluyó una observación escueta sobre la existencia del banco de germoplasma y </w:t>
      </w:r>
      <w:r w:rsidRPr="003006D9">
        <w:rPr>
          <w:rFonts w:cs="Arial"/>
        </w:rPr>
        <w:t xml:space="preserve">de los testimonios se concluye </w:t>
      </w:r>
      <w:r w:rsidR="00B61DA6" w:rsidRPr="003006D9">
        <w:rPr>
          <w:rFonts w:cs="Arial"/>
        </w:rPr>
        <w:t>que las partes no arribaron a un consenso acerca de que esa zona hiciera o no parte de la adjudicación y de la promesa de compraventa.</w:t>
      </w:r>
    </w:p>
    <w:p w:rsidR="00A315E9" w:rsidRPr="003006D9" w:rsidRDefault="00A315E9" w:rsidP="00407BB6">
      <w:pPr>
        <w:widowControl w:val="0"/>
        <w:rPr>
          <w:rFonts w:cs="Arial"/>
          <w:lang w:val="es-ES_tradnl"/>
        </w:rPr>
      </w:pPr>
    </w:p>
    <w:p w:rsidR="00B61DA6" w:rsidRPr="003006D9" w:rsidRDefault="00A315E9" w:rsidP="00407BB6">
      <w:pPr>
        <w:widowControl w:val="0"/>
        <w:rPr>
          <w:rFonts w:cs="Arial"/>
          <w:lang w:val="es-ES_tradnl"/>
        </w:rPr>
      </w:pPr>
      <w:r w:rsidRPr="003006D9">
        <w:rPr>
          <w:rFonts w:cs="Arial"/>
          <w:lang w:val="es-ES_tradnl"/>
        </w:rPr>
        <w:t>E</w:t>
      </w:r>
      <w:r w:rsidR="00B61DA6" w:rsidRPr="003006D9">
        <w:rPr>
          <w:rFonts w:cs="Arial"/>
          <w:lang w:val="es-ES_tradnl"/>
        </w:rPr>
        <w:t>l representante legal suplente de FEDEPALMA, afirmó que no había claridad sobre ello, así:</w:t>
      </w:r>
    </w:p>
    <w:p w:rsidR="00B61DA6" w:rsidRPr="003006D9" w:rsidRDefault="00B61DA6" w:rsidP="00B61DA6">
      <w:pPr>
        <w:widowControl w:val="0"/>
        <w:rPr>
          <w:rFonts w:cs="Arial"/>
          <w:lang w:val="es-ES_tradnl"/>
        </w:rPr>
      </w:pPr>
    </w:p>
    <w:p w:rsidR="00B61DA6" w:rsidRPr="003006D9" w:rsidRDefault="00B61DA6" w:rsidP="0015238E">
      <w:pPr>
        <w:widowControl w:val="0"/>
        <w:spacing w:line="276" w:lineRule="auto"/>
        <w:ind w:left="567" w:right="902"/>
        <w:rPr>
          <w:rFonts w:cs="Arial"/>
          <w:i/>
          <w:lang w:val="es-ES_tradnl"/>
        </w:rPr>
      </w:pPr>
      <w:r w:rsidRPr="003006D9">
        <w:rPr>
          <w:rFonts w:cs="Arial"/>
          <w:i/>
          <w:lang w:val="es-ES_tradnl"/>
        </w:rPr>
        <w:t xml:space="preserve">“No tengo claro si en la promesa de compraventa se hacía relación expresa al banco de germoplasma, en la promesa se hacía relación expresa del pliego de condiciones donde figuraba el banco de germoplasma, inicialmente en el pliego de condiciones se hablaba de que el banco estaba en un área aproximada de 42 hectáreas, en razón </w:t>
      </w:r>
      <w:r w:rsidRPr="003006D9">
        <w:rPr>
          <w:rFonts w:cs="Arial"/>
          <w:i/>
          <w:lang w:val="es-ES_tradnl"/>
        </w:rPr>
        <w:lastRenderedPageBreak/>
        <w:t>de la enfermedad de la pudrición del cogollo, tuvimos información de que solo quedaban 13 hectáreas, la federación pretendía al momento de la escritura dejar claro el tema</w:t>
      </w:r>
      <w:r w:rsidR="00800819" w:rsidRPr="003006D9">
        <w:rPr>
          <w:rFonts w:cs="Arial"/>
          <w:i/>
          <w:lang w:val="es-ES_tradnl"/>
        </w:rPr>
        <w:t>”</w:t>
      </w:r>
      <w:r w:rsidRPr="003006D9">
        <w:rPr>
          <w:rStyle w:val="Refdenotaalpie"/>
          <w:rFonts w:cs="Arial"/>
          <w:i/>
          <w:lang w:val="es-ES_tradnl"/>
        </w:rPr>
        <w:footnoteReference w:id="81"/>
      </w:r>
      <w:r w:rsidR="00CC49C0" w:rsidRPr="003006D9">
        <w:rPr>
          <w:rFonts w:cs="Arial"/>
          <w:i/>
          <w:lang w:val="es-ES_tradnl"/>
        </w:rPr>
        <w:t>.</w:t>
      </w:r>
    </w:p>
    <w:p w:rsidR="00B61DA6" w:rsidRPr="003006D9" w:rsidRDefault="00B61DA6" w:rsidP="00B61DA6">
      <w:pPr>
        <w:widowControl w:val="0"/>
        <w:ind w:left="567" w:right="902"/>
        <w:rPr>
          <w:rFonts w:cs="Arial"/>
          <w:i/>
          <w:lang w:val="es-ES_tradnl"/>
        </w:rPr>
      </w:pPr>
    </w:p>
    <w:p w:rsidR="00B61DA6" w:rsidRPr="003006D9" w:rsidRDefault="00B61DA6" w:rsidP="00B61DA6">
      <w:pPr>
        <w:rPr>
          <w:rFonts w:cs="Arial"/>
        </w:rPr>
      </w:pPr>
      <w:r w:rsidRPr="003006D9">
        <w:rPr>
          <w:rFonts w:cs="Arial"/>
        </w:rPr>
        <w:t xml:space="preserve">Por su parte, el abogado </w:t>
      </w:r>
      <w:r w:rsidR="00800819" w:rsidRPr="003006D9">
        <w:rPr>
          <w:rFonts w:cs="Arial"/>
        </w:rPr>
        <w:t xml:space="preserve">que </w:t>
      </w:r>
      <w:r w:rsidRPr="003006D9">
        <w:rPr>
          <w:rFonts w:cs="Arial"/>
        </w:rPr>
        <w:t>se desempeñó como coordinador del grupo de gestión contractual del ICA, indicó que el Banco de Germoplasma era propiedad del Estado y que la observación en la ficha técnica se hizo “</w:t>
      </w:r>
      <w:r w:rsidRPr="003006D9">
        <w:rPr>
          <w:rFonts w:cs="Arial"/>
          <w:i/>
        </w:rPr>
        <w:t>con el fin de poner de presente la existencia del mismo”</w:t>
      </w:r>
      <w:r w:rsidRPr="003006D9">
        <w:rPr>
          <w:rFonts w:cs="Arial"/>
        </w:rPr>
        <w:t xml:space="preserve">. En forma categórica agregó </w:t>
      </w:r>
      <w:r w:rsidRPr="003006D9">
        <w:rPr>
          <w:rFonts w:cs="Arial"/>
          <w:i/>
        </w:rPr>
        <w:t>que “dicho banco de germoplasma no hizo parte del proceso de venta”</w:t>
      </w:r>
      <w:r w:rsidRPr="003006D9">
        <w:rPr>
          <w:rFonts w:cs="Arial"/>
        </w:rPr>
        <w:t>.</w:t>
      </w:r>
    </w:p>
    <w:p w:rsidR="00F64D23" w:rsidRPr="003006D9" w:rsidRDefault="00F64D23" w:rsidP="00B61DA6">
      <w:pPr>
        <w:rPr>
          <w:rFonts w:cs="Arial"/>
        </w:rPr>
      </w:pPr>
    </w:p>
    <w:p w:rsidR="00F64D23" w:rsidRPr="003006D9" w:rsidRDefault="00B61DA6" w:rsidP="00B61DA6">
      <w:pPr>
        <w:rPr>
          <w:rFonts w:cs="Arial"/>
        </w:rPr>
      </w:pPr>
      <w:r w:rsidRPr="003006D9">
        <w:rPr>
          <w:rFonts w:cs="Arial"/>
        </w:rPr>
        <w:t xml:space="preserve">En relación con la credibilidad que se cuestionó </w:t>
      </w:r>
      <w:r w:rsidR="006A0A85" w:rsidRPr="003006D9">
        <w:rPr>
          <w:rFonts w:cs="Arial"/>
        </w:rPr>
        <w:t xml:space="preserve">por el ICA </w:t>
      </w:r>
      <w:r w:rsidRPr="003006D9">
        <w:rPr>
          <w:rFonts w:cs="Arial"/>
        </w:rPr>
        <w:t xml:space="preserve">sobre </w:t>
      </w:r>
      <w:r w:rsidR="00F64D23" w:rsidRPr="003006D9">
        <w:rPr>
          <w:rFonts w:cs="Arial"/>
        </w:rPr>
        <w:t xml:space="preserve">el dicho de </w:t>
      </w:r>
      <w:r w:rsidRPr="003006D9">
        <w:rPr>
          <w:rFonts w:cs="Arial"/>
        </w:rPr>
        <w:t>este testigo</w:t>
      </w:r>
      <w:r w:rsidR="00751975" w:rsidRPr="003006D9">
        <w:rPr>
          <w:rFonts w:cs="Arial"/>
        </w:rPr>
        <w:t xml:space="preserve"> -</w:t>
      </w:r>
      <w:r w:rsidR="00F64D23" w:rsidRPr="003006D9">
        <w:rPr>
          <w:rFonts w:cs="Arial"/>
        </w:rPr>
        <w:t xml:space="preserve">por </w:t>
      </w:r>
      <w:r w:rsidR="00CC49C0" w:rsidRPr="003006D9">
        <w:rPr>
          <w:rFonts w:cs="Arial"/>
        </w:rPr>
        <w:t>hallarse</w:t>
      </w:r>
      <w:r w:rsidR="00F64D23" w:rsidRPr="003006D9">
        <w:rPr>
          <w:rFonts w:cs="Arial"/>
        </w:rPr>
        <w:t xml:space="preserve"> bajo investigación</w:t>
      </w:r>
      <w:r w:rsidR="00751975" w:rsidRPr="003006D9">
        <w:rPr>
          <w:rFonts w:cs="Arial"/>
        </w:rPr>
        <w:t xml:space="preserve"> disciplinaria-</w:t>
      </w:r>
      <w:r w:rsidR="00F570A5" w:rsidRPr="003006D9">
        <w:rPr>
          <w:rFonts w:cs="Arial"/>
        </w:rPr>
        <w:t xml:space="preserve"> l</w:t>
      </w:r>
      <w:r w:rsidRPr="003006D9">
        <w:rPr>
          <w:rFonts w:cs="Arial"/>
        </w:rPr>
        <w:t xml:space="preserve">a Sala encuentra que </w:t>
      </w:r>
      <w:r w:rsidR="00F64D23" w:rsidRPr="003006D9">
        <w:rPr>
          <w:rFonts w:cs="Arial"/>
        </w:rPr>
        <w:t>no tiene razones para apartarse de las antedichas afirmaciones</w:t>
      </w:r>
      <w:r w:rsidR="00751975" w:rsidRPr="003006D9">
        <w:rPr>
          <w:rFonts w:cs="Arial"/>
        </w:rPr>
        <w:t xml:space="preserve">, las cuales se pueden tomar como </w:t>
      </w:r>
      <w:r w:rsidR="00225846" w:rsidRPr="003006D9">
        <w:rPr>
          <w:rFonts w:cs="Arial"/>
        </w:rPr>
        <w:t xml:space="preserve">una de las </w:t>
      </w:r>
      <w:r w:rsidR="00F64D23" w:rsidRPr="003006D9">
        <w:rPr>
          <w:rFonts w:cs="Arial"/>
        </w:rPr>
        <w:t>prueba</w:t>
      </w:r>
      <w:r w:rsidR="00225846" w:rsidRPr="003006D9">
        <w:rPr>
          <w:rFonts w:cs="Arial"/>
        </w:rPr>
        <w:t>s de que no se pretendió enajenar el banco de germoplasma</w:t>
      </w:r>
      <w:r w:rsidR="00F570A5" w:rsidRPr="003006D9">
        <w:rPr>
          <w:rFonts w:cs="Arial"/>
        </w:rPr>
        <w:t xml:space="preserve">. Se agrega que </w:t>
      </w:r>
      <w:r w:rsidR="006A0A85" w:rsidRPr="003006D9">
        <w:rPr>
          <w:rFonts w:cs="Arial"/>
        </w:rPr>
        <w:t>de acuerdo con el plenario</w:t>
      </w:r>
      <w:r w:rsidR="005D42EC" w:rsidRPr="003006D9">
        <w:rPr>
          <w:rFonts w:cs="Arial"/>
        </w:rPr>
        <w:t>.</w:t>
      </w:r>
      <w:r w:rsidR="006A0A85" w:rsidRPr="003006D9">
        <w:rPr>
          <w:rFonts w:cs="Arial"/>
        </w:rPr>
        <w:t xml:space="preserve"> </w:t>
      </w:r>
      <w:r w:rsidRPr="003006D9">
        <w:rPr>
          <w:rFonts w:cs="Arial"/>
        </w:rPr>
        <w:t>la Procuraduría General de la Nación</w:t>
      </w:r>
      <w:r w:rsidR="005D42EC" w:rsidRPr="003006D9">
        <w:rPr>
          <w:rFonts w:cs="Arial"/>
        </w:rPr>
        <w:t>,</w:t>
      </w:r>
      <w:r w:rsidRPr="003006D9">
        <w:rPr>
          <w:rFonts w:cs="Arial"/>
        </w:rPr>
        <w:t xml:space="preserve"> mediante auto de 31 de octubre de 2012, habiendo realizado la investigación correspondiente, decidió ordenar el archivo parcial de las diligencias de indagación preliminar</w:t>
      </w:r>
      <w:r w:rsidRPr="003006D9">
        <w:rPr>
          <w:rStyle w:val="Refdenotaalpie"/>
          <w:rFonts w:cs="Arial"/>
        </w:rPr>
        <w:footnoteReference w:id="82"/>
      </w:r>
      <w:r w:rsidR="00F64D23" w:rsidRPr="003006D9">
        <w:rPr>
          <w:rFonts w:cs="Arial"/>
        </w:rPr>
        <w:t>, por no encontra</w:t>
      </w:r>
      <w:r w:rsidR="00225846" w:rsidRPr="003006D9">
        <w:rPr>
          <w:rFonts w:cs="Arial"/>
        </w:rPr>
        <w:t xml:space="preserve">r al referido profesional como </w:t>
      </w:r>
      <w:r w:rsidR="00F64D23" w:rsidRPr="003006D9">
        <w:rPr>
          <w:rFonts w:cs="Arial"/>
        </w:rPr>
        <w:t>responsable de la falta disciplinaria que se le imputó.</w:t>
      </w:r>
    </w:p>
    <w:p w:rsidR="00B61DA6" w:rsidRPr="003006D9" w:rsidRDefault="00B61DA6" w:rsidP="00B61DA6">
      <w:pPr>
        <w:rPr>
          <w:rFonts w:cs="Arial"/>
        </w:rPr>
      </w:pPr>
      <w:r w:rsidRPr="003006D9">
        <w:rPr>
          <w:rFonts w:cs="Arial"/>
        </w:rPr>
        <w:t>.</w:t>
      </w:r>
    </w:p>
    <w:p w:rsidR="00B61DA6" w:rsidRPr="003006D9" w:rsidRDefault="00B61DA6" w:rsidP="0015238E">
      <w:pPr>
        <w:ind w:right="51"/>
        <w:rPr>
          <w:rFonts w:cs="Arial"/>
        </w:rPr>
      </w:pPr>
      <w:r w:rsidRPr="003006D9">
        <w:rPr>
          <w:rFonts w:cs="Arial"/>
        </w:rPr>
        <w:t>Como consecuencia, no procede calificar que el proceso de selección abreviada o la promesa de compraventa</w:t>
      </w:r>
      <w:r w:rsidR="00AA0FF7" w:rsidRPr="003006D9">
        <w:rPr>
          <w:rFonts w:cs="Arial"/>
        </w:rPr>
        <w:t xml:space="preserve"> celebrada entre las partes de este proceso</w:t>
      </w:r>
      <w:r w:rsidRPr="003006D9">
        <w:rPr>
          <w:rFonts w:cs="Arial"/>
        </w:rPr>
        <w:t xml:space="preserve"> hubieran adolecido de un objeto il</w:t>
      </w:r>
      <w:r w:rsidR="00F64D23" w:rsidRPr="003006D9">
        <w:rPr>
          <w:rFonts w:cs="Arial"/>
        </w:rPr>
        <w:t>í</w:t>
      </w:r>
      <w:r w:rsidRPr="003006D9">
        <w:rPr>
          <w:rFonts w:cs="Arial"/>
        </w:rPr>
        <w:t>cito</w:t>
      </w:r>
      <w:r w:rsidR="0015238E" w:rsidRPr="003006D9">
        <w:rPr>
          <w:rFonts w:cs="Arial"/>
        </w:rPr>
        <w:t xml:space="preserve"> por razón de la mención que se hizo sobre el banco de germoplasma</w:t>
      </w:r>
      <w:r w:rsidRPr="003006D9">
        <w:rPr>
          <w:rFonts w:cs="Arial"/>
        </w:rPr>
        <w:t>.</w:t>
      </w:r>
    </w:p>
    <w:p w:rsidR="00F5215D" w:rsidRPr="003006D9" w:rsidRDefault="00F5215D" w:rsidP="00B61DA6">
      <w:pPr>
        <w:ind w:right="333"/>
        <w:rPr>
          <w:rFonts w:cs="Arial"/>
          <w:b/>
        </w:rPr>
      </w:pPr>
    </w:p>
    <w:p w:rsidR="00B61DA6" w:rsidRPr="003006D9" w:rsidRDefault="00D006CD" w:rsidP="00F570A5">
      <w:pPr>
        <w:spacing w:line="240" w:lineRule="auto"/>
        <w:ind w:right="51"/>
        <w:rPr>
          <w:rFonts w:cs="Arial"/>
          <w:b/>
        </w:rPr>
      </w:pPr>
      <w:r w:rsidRPr="003006D9">
        <w:rPr>
          <w:rFonts w:cs="Arial"/>
          <w:b/>
        </w:rPr>
        <w:t>10</w:t>
      </w:r>
      <w:r w:rsidR="0071441F" w:rsidRPr="003006D9">
        <w:rPr>
          <w:rFonts w:cs="Arial"/>
          <w:b/>
        </w:rPr>
        <w:t xml:space="preserve">. </w:t>
      </w:r>
      <w:r w:rsidR="00225846" w:rsidRPr="003006D9">
        <w:rPr>
          <w:rFonts w:cs="Arial"/>
          <w:b/>
        </w:rPr>
        <w:t>La</w:t>
      </w:r>
      <w:r w:rsidR="00E86CCD" w:rsidRPr="003006D9">
        <w:rPr>
          <w:rFonts w:cs="Arial"/>
          <w:b/>
        </w:rPr>
        <w:t xml:space="preserve"> </w:t>
      </w:r>
      <w:r w:rsidR="00225846" w:rsidRPr="003006D9">
        <w:rPr>
          <w:rFonts w:cs="Arial"/>
          <w:b/>
        </w:rPr>
        <w:t xml:space="preserve">no </w:t>
      </w:r>
      <w:r w:rsidR="00E86CCD" w:rsidRPr="003006D9">
        <w:rPr>
          <w:rFonts w:cs="Arial"/>
          <w:b/>
        </w:rPr>
        <w:t>e</w:t>
      </w:r>
      <w:r w:rsidR="00B61DA6" w:rsidRPr="003006D9">
        <w:rPr>
          <w:rFonts w:cs="Arial"/>
          <w:b/>
        </w:rPr>
        <w:t>xigencia de la pluralidad de ofertas para la subasta electrónica</w:t>
      </w:r>
      <w:r w:rsidR="00751975" w:rsidRPr="003006D9">
        <w:rPr>
          <w:rFonts w:cs="Arial"/>
          <w:b/>
        </w:rPr>
        <w:t xml:space="preserve"> en la adjudicación de bienes del Estado de que trata el literal e) del </w:t>
      </w:r>
      <w:r w:rsidR="00225846" w:rsidRPr="003006D9">
        <w:rPr>
          <w:rFonts w:cs="Arial"/>
          <w:b/>
        </w:rPr>
        <w:t xml:space="preserve">numeral 2, del </w:t>
      </w:r>
      <w:r w:rsidR="00751975" w:rsidRPr="003006D9">
        <w:rPr>
          <w:rFonts w:cs="Arial"/>
          <w:b/>
        </w:rPr>
        <w:t xml:space="preserve">artículo 2 de la Ley 1150 de 2007 </w:t>
      </w:r>
    </w:p>
    <w:p w:rsidR="00B61DA6" w:rsidRPr="003006D9" w:rsidRDefault="00B61DA6" w:rsidP="00F570A5">
      <w:pPr>
        <w:ind w:right="51"/>
        <w:rPr>
          <w:rFonts w:cs="Arial"/>
        </w:rPr>
      </w:pPr>
    </w:p>
    <w:p w:rsidR="00673B79" w:rsidRPr="003006D9" w:rsidRDefault="0071441F" w:rsidP="00F570A5">
      <w:pPr>
        <w:ind w:right="51"/>
        <w:rPr>
          <w:rFonts w:cs="Arial"/>
        </w:rPr>
      </w:pPr>
      <w:r w:rsidRPr="003006D9">
        <w:rPr>
          <w:rFonts w:cs="Arial"/>
        </w:rPr>
        <w:t xml:space="preserve">Se </w:t>
      </w:r>
      <w:r w:rsidR="00B61DA6" w:rsidRPr="003006D9">
        <w:rPr>
          <w:rFonts w:cs="Arial"/>
        </w:rPr>
        <w:t xml:space="preserve">reitera la jurisprudencia de la Sala Plena de la Sección Tercera del Consejo de Estado, </w:t>
      </w:r>
      <w:r w:rsidRPr="003006D9">
        <w:rPr>
          <w:rFonts w:cs="Arial"/>
        </w:rPr>
        <w:t xml:space="preserve">en el sentido de que </w:t>
      </w:r>
      <w:r w:rsidR="00B61DA6" w:rsidRPr="003006D9">
        <w:rPr>
          <w:rFonts w:cs="Arial"/>
        </w:rPr>
        <w:t>la Ley 80 de 1993 y la Ley 1150 de 2007</w:t>
      </w:r>
      <w:r w:rsidR="00911C50" w:rsidRPr="003006D9">
        <w:rPr>
          <w:rFonts w:cs="Arial"/>
        </w:rPr>
        <w:t>,</w:t>
      </w:r>
      <w:r w:rsidR="00B61DA6" w:rsidRPr="003006D9">
        <w:rPr>
          <w:rFonts w:cs="Arial"/>
        </w:rPr>
        <w:t xml:space="preserve"> exigieron la </w:t>
      </w:r>
      <w:r w:rsidR="006A233F" w:rsidRPr="003006D9">
        <w:rPr>
          <w:rFonts w:cs="Arial"/>
        </w:rPr>
        <w:t xml:space="preserve">libre concurrencia y </w:t>
      </w:r>
      <w:r w:rsidR="00911C50" w:rsidRPr="003006D9">
        <w:rPr>
          <w:rFonts w:cs="Arial"/>
        </w:rPr>
        <w:t xml:space="preserve">la </w:t>
      </w:r>
      <w:r w:rsidR="00615AEC" w:rsidRPr="003006D9">
        <w:rPr>
          <w:rFonts w:cs="Arial"/>
        </w:rPr>
        <w:t>selección objetiva</w:t>
      </w:r>
      <w:r w:rsidRPr="003006D9">
        <w:rPr>
          <w:rFonts w:cs="Arial"/>
        </w:rPr>
        <w:t xml:space="preserve"> </w:t>
      </w:r>
      <w:r w:rsidR="00B61DA6" w:rsidRPr="003006D9">
        <w:rPr>
          <w:rFonts w:cs="Arial"/>
        </w:rPr>
        <w:t>en la contratación</w:t>
      </w:r>
      <w:r w:rsidR="00225846" w:rsidRPr="003006D9">
        <w:rPr>
          <w:rFonts w:cs="Arial"/>
        </w:rPr>
        <w:t xml:space="preserve">, empero, tal como ha </w:t>
      </w:r>
      <w:r w:rsidR="00225846" w:rsidRPr="003006D9">
        <w:rPr>
          <w:rFonts w:cs="Arial"/>
        </w:rPr>
        <w:lastRenderedPageBreak/>
        <w:t>advertido e</w:t>
      </w:r>
      <w:r w:rsidR="009A0D03" w:rsidRPr="003006D9">
        <w:rPr>
          <w:rFonts w:cs="Arial"/>
        </w:rPr>
        <w:t>sta Corporación</w:t>
      </w:r>
      <w:r w:rsidR="00225846" w:rsidRPr="003006D9">
        <w:rPr>
          <w:rFonts w:cs="Arial"/>
        </w:rPr>
        <w:t xml:space="preserve">, </w:t>
      </w:r>
      <w:r w:rsidR="00C969CB" w:rsidRPr="003006D9">
        <w:rPr>
          <w:rFonts w:cs="Arial"/>
        </w:rPr>
        <w:t xml:space="preserve">la Ley 1150 de 2007 no impuso </w:t>
      </w:r>
      <w:r w:rsidR="00B61DA6" w:rsidRPr="003006D9">
        <w:rPr>
          <w:rFonts w:cs="Arial"/>
        </w:rPr>
        <w:t xml:space="preserve">la regla general de la pluralidad efectiva de oferentes </w:t>
      </w:r>
      <w:r w:rsidR="006A233F" w:rsidRPr="003006D9">
        <w:rPr>
          <w:rFonts w:cs="Arial"/>
        </w:rPr>
        <w:t xml:space="preserve">dentro de la subasta, </w:t>
      </w:r>
      <w:r w:rsidR="00B61DA6" w:rsidRPr="003006D9">
        <w:rPr>
          <w:rFonts w:cs="Arial"/>
        </w:rPr>
        <w:t>como requisito de la adjudicación.</w:t>
      </w:r>
      <w:r w:rsidR="00642C9F" w:rsidRPr="003006D9">
        <w:rPr>
          <w:rFonts w:cs="Arial"/>
        </w:rPr>
        <w:t xml:space="preserve"> </w:t>
      </w:r>
    </w:p>
    <w:p w:rsidR="00673B79" w:rsidRPr="003006D9" w:rsidRDefault="00673B79" w:rsidP="00F570A5">
      <w:pPr>
        <w:ind w:right="51"/>
        <w:rPr>
          <w:rFonts w:cs="Arial"/>
        </w:rPr>
      </w:pPr>
    </w:p>
    <w:p w:rsidR="00225846" w:rsidRPr="003006D9" w:rsidRDefault="00642C9F" w:rsidP="000E4F41">
      <w:pPr>
        <w:ind w:right="51"/>
        <w:rPr>
          <w:rFonts w:cs="Arial"/>
        </w:rPr>
      </w:pPr>
      <w:r w:rsidRPr="003006D9">
        <w:rPr>
          <w:rFonts w:cs="Arial"/>
        </w:rPr>
        <w:t xml:space="preserve">En </w:t>
      </w:r>
      <w:r w:rsidR="00225846" w:rsidRPr="003006D9">
        <w:rPr>
          <w:rFonts w:cs="Arial"/>
        </w:rPr>
        <w:t xml:space="preserve">el escenario de </w:t>
      </w:r>
      <w:r w:rsidR="006B6D12" w:rsidRPr="003006D9">
        <w:rPr>
          <w:rFonts w:cs="Arial"/>
        </w:rPr>
        <w:t xml:space="preserve">la acción de nulidad </w:t>
      </w:r>
      <w:r w:rsidR="004341A4" w:rsidRPr="003006D9">
        <w:rPr>
          <w:rFonts w:cs="Arial"/>
        </w:rPr>
        <w:t xml:space="preserve">impetrada </w:t>
      </w:r>
      <w:r w:rsidR="006B6D12" w:rsidRPr="003006D9">
        <w:rPr>
          <w:rFonts w:cs="Arial"/>
        </w:rPr>
        <w:t xml:space="preserve">contra </w:t>
      </w:r>
      <w:r w:rsidR="00E043C9" w:rsidRPr="003006D9">
        <w:rPr>
          <w:rFonts w:cs="Arial"/>
        </w:rPr>
        <w:t xml:space="preserve">diversas normas del </w:t>
      </w:r>
      <w:r w:rsidR="00057712" w:rsidRPr="003006D9">
        <w:rPr>
          <w:rFonts w:cs="Arial"/>
        </w:rPr>
        <w:t>D</w:t>
      </w:r>
      <w:r w:rsidR="008A4622" w:rsidRPr="003006D9">
        <w:rPr>
          <w:rFonts w:cs="Arial"/>
        </w:rPr>
        <w:t>ecreto 2474 de 2008</w:t>
      </w:r>
      <w:r w:rsidR="00CE6391" w:rsidRPr="003006D9">
        <w:rPr>
          <w:rStyle w:val="Refdenotaalpie"/>
          <w:rFonts w:cs="Arial"/>
        </w:rPr>
        <w:footnoteReference w:id="83"/>
      </w:r>
      <w:r w:rsidR="009E5EB2" w:rsidRPr="003006D9">
        <w:rPr>
          <w:rFonts w:cs="Arial"/>
        </w:rPr>
        <w:t xml:space="preserve">, la Sala Plena anuló </w:t>
      </w:r>
      <w:r w:rsidR="00225846" w:rsidRPr="003006D9">
        <w:rPr>
          <w:rFonts w:cs="Arial"/>
        </w:rPr>
        <w:t xml:space="preserve">algunas </w:t>
      </w:r>
      <w:r w:rsidR="009E5EB2" w:rsidRPr="003006D9">
        <w:rPr>
          <w:rFonts w:cs="Arial"/>
        </w:rPr>
        <w:t>disposici</w:t>
      </w:r>
      <w:r w:rsidR="00E043C9" w:rsidRPr="003006D9">
        <w:rPr>
          <w:rFonts w:cs="Arial"/>
        </w:rPr>
        <w:t xml:space="preserve">ones </w:t>
      </w:r>
      <w:r w:rsidR="0051351D" w:rsidRPr="003006D9">
        <w:rPr>
          <w:rFonts w:cs="Arial"/>
        </w:rPr>
        <w:t>de la reglamentación de la selección abreviada</w:t>
      </w:r>
      <w:r w:rsidR="00225846" w:rsidRPr="003006D9">
        <w:rPr>
          <w:rFonts w:cs="Arial"/>
        </w:rPr>
        <w:t xml:space="preserve">, </w:t>
      </w:r>
      <w:r w:rsidR="00057712" w:rsidRPr="003006D9">
        <w:rPr>
          <w:rFonts w:cs="Arial"/>
        </w:rPr>
        <w:t xml:space="preserve">por </w:t>
      </w:r>
      <w:r w:rsidR="00225846" w:rsidRPr="003006D9">
        <w:rPr>
          <w:rFonts w:cs="Arial"/>
        </w:rPr>
        <w:t xml:space="preserve">considerar que </w:t>
      </w:r>
      <w:r w:rsidR="00E043C9" w:rsidRPr="003006D9">
        <w:rPr>
          <w:rFonts w:cs="Arial"/>
        </w:rPr>
        <w:t>estructura</w:t>
      </w:r>
      <w:r w:rsidR="00225846" w:rsidRPr="003006D9">
        <w:rPr>
          <w:rFonts w:cs="Arial"/>
        </w:rPr>
        <w:t>ban</w:t>
      </w:r>
      <w:r w:rsidR="00E043C9" w:rsidRPr="003006D9">
        <w:rPr>
          <w:rFonts w:cs="Arial"/>
        </w:rPr>
        <w:t xml:space="preserve"> un proceso en el que no se garantizaba la </w:t>
      </w:r>
      <w:r w:rsidR="007A7A4D" w:rsidRPr="003006D9">
        <w:rPr>
          <w:rFonts w:cs="Arial"/>
        </w:rPr>
        <w:t xml:space="preserve">participación de la </w:t>
      </w:r>
      <w:r w:rsidR="00E043C9" w:rsidRPr="003006D9">
        <w:rPr>
          <w:rFonts w:cs="Arial"/>
        </w:rPr>
        <w:t>pluralidad de ofer</w:t>
      </w:r>
      <w:r w:rsidR="007A7A4D" w:rsidRPr="003006D9">
        <w:rPr>
          <w:rFonts w:cs="Arial"/>
        </w:rPr>
        <w:t>en</w:t>
      </w:r>
      <w:r w:rsidR="00E043C9" w:rsidRPr="003006D9">
        <w:rPr>
          <w:rFonts w:cs="Arial"/>
        </w:rPr>
        <w:t>t</w:t>
      </w:r>
      <w:r w:rsidR="007A7A4D" w:rsidRPr="003006D9">
        <w:rPr>
          <w:rFonts w:cs="Arial"/>
        </w:rPr>
        <w:t>es</w:t>
      </w:r>
      <w:r w:rsidR="00437869" w:rsidRPr="003006D9">
        <w:rPr>
          <w:rStyle w:val="Refdenotaalpie"/>
          <w:rFonts w:cs="Arial"/>
        </w:rPr>
        <w:footnoteReference w:id="84"/>
      </w:r>
      <w:r w:rsidR="00C55C01" w:rsidRPr="003006D9">
        <w:rPr>
          <w:rFonts w:cs="Arial"/>
        </w:rPr>
        <w:t xml:space="preserve">. </w:t>
      </w:r>
    </w:p>
    <w:p w:rsidR="00225846" w:rsidRPr="003006D9" w:rsidRDefault="00225846" w:rsidP="000E4F41">
      <w:pPr>
        <w:ind w:right="51"/>
        <w:rPr>
          <w:rFonts w:cs="Arial"/>
        </w:rPr>
      </w:pPr>
    </w:p>
    <w:p w:rsidR="009E5EB2" w:rsidRPr="003006D9" w:rsidRDefault="00C55C01" w:rsidP="000E4F41">
      <w:pPr>
        <w:ind w:right="51"/>
        <w:rPr>
          <w:rFonts w:cs="Arial"/>
        </w:rPr>
      </w:pPr>
      <w:r w:rsidRPr="003006D9">
        <w:rPr>
          <w:rFonts w:cs="Arial"/>
        </w:rPr>
        <w:t xml:space="preserve">Respecto de la contratación directa, de manera general refiriéndose al contenido normativo de la selección objetiva, </w:t>
      </w:r>
      <w:r w:rsidR="00225846" w:rsidRPr="003006D9">
        <w:rPr>
          <w:rFonts w:cs="Arial"/>
        </w:rPr>
        <w:t xml:space="preserve">la Sala Plena </w:t>
      </w:r>
      <w:r w:rsidR="00115071" w:rsidRPr="003006D9">
        <w:rPr>
          <w:rFonts w:cs="Arial"/>
        </w:rPr>
        <w:t>consideró lo siguiente:</w:t>
      </w:r>
      <w:r w:rsidR="009E5EB2" w:rsidRPr="003006D9">
        <w:rPr>
          <w:rFonts w:cs="Arial"/>
        </w:rPr>
        <w:t xml:space="preserve"> </w:t>
      </w:r>
    </w:p>
    <w:p w:rsidR="009E5EB2" w:rsidRPr="003006D9" w:rsidRDefault="009E5EB2" w:rsidP="00B61DA6">
      <w:pPr>
        <w:ind w:left="567" w:right="900"/>
        <w:rPr>
          <w:rFonts w:cs="Arial"/>
          <w:i/>
          <w:lang w:val="es-ES_tradnl"/>
        </w:rPr>
      </w:pPr>
    </w:p>
    <w:p w:rsidR="00C911D9" w:rsidRPr="003006D9" w:rsidRDefault="009E5EB2" w:rsidP="000042D9">
      <w:pPr>
        <w:spacing w:line="276" w:lineRule="auto"/>
        <w:ind w:left="567" w:right="900"/>
        <w:rPr>
          <w:rFonts w:cs="Arial"/>
          <w:i/>
          <w:lang w:val="es-ES_tradnl"/>
        </w:rPr>
      </w:pPr>
      <w:r w:rsidRPr="003006D9">
        <w:rPr>
          <w:rFonts w:cs="Arial"/>
          <w:i/>
          <w:lang w:val="es-ES_tradnl"/>
        </w:rPr>
        <w:t xml:space="preserve"> </w:t>
      </w:r>
      <w:r w:rsidR="00B61DA6" w:rsidRPr="003006D9">
        <w:rPr>
          <w:rFonts w:cs="Arial"/>
          <w:i/>
          <w:lang w:val="es-ES_tradnl"/>
        </w:rPr>
        <w:t>“</w:t>
      </w:r>
      <w:r w:rsidR="00C911D9" w:rsidRPr="003006D9">
        <w:rPr>
          <w:rFonts w:cs="Arial"/>
          <w:i/>
        </w:rPr>
        <w:t>5.3.5.3. La selección objetiva, entonces, como regla de conducta impone que siempre, en toda actuación contractual, ella debe estar presente. Así, por lo tanto, la jurisprudencia de esta Corporación ha señalado de manera reiterada que en todas las modalidades de contratación previstas en la ley, incluida la contratación directa, debe atenderse tal deber como expresión del interés general o interés público</w:t>
      </w:r>
      <w:r w:rsidR="00437869" w:rsidRPr="003006D9">
        <w:rPr>
          <w:rFonts w:cs="Arial"/>
          <w:i/>
        </w:rPr>
        <w:t>.</w:t>
      </w:r>
    </w:p>
    <w:p w:rsidR="00C911D9" w:rsidRPr="003006D9" w:rsidRDefault="00C911D9" w:rsidP="000042D9">
      <w:pPr>
        <w:spacing w:line="276" w:lineRule="auto"/>
        <w:ind w:left="567" w:right="900"/>
        <w:rPr>
          <w:rFonts w:cs="Arial"/>
          <w:i/>
          <w:lang w:val="es-ES_tradnl"/>
        </w:rPr>
      </w:pPr>
    </w:p>
    <w:p w:rsidR="00C911D9" w:rsidRPr="003006D9" w:rsidRDefault="00437869" w:rsidP="000042D9">
      <w:pPr>
        <w:spacing w:line="276" w:lineRule="auto"/>
        <w:ind w:left="567" w:right="900"/>
        <w:rPr>
          <w:rFonts w:cs="Arial"/>
          <w:i/>
          <w:lang w:val="es-ES_tradnl"/>
        </w:rPr>
      </w:pPr>
      <w:r w:rsidRPr="003006D9">
        <w:rPr>
          <w:rFonts w:cs="Arial"/>
          <w:i/>
          <w:lang w:val="es-ES_tradnl"/>
        </w:rPr>
        <w:t>“</w:t>
      </w:r>
      <w:r w:rsidR="00C911D9" w:rsidRPr="003006D9">
        <w:rPr>
          <w:rFonts w:cs="Arial"/>
          <w:i/>
          <w:lang w:val="es-ES_tradnl"/>
        </w:rPr>
        <w:t>(…)</w:t>
      </w:r>
      <w:r w:rsidR="00225846" w:rsidRPr="003006D9">
        <w:rPr>
          <w:rFonts w:cs="Arial"/>
          <w:i/>
          <w:lang w:val="es-ES_tradnl"/>
        </w:rPr>
        <w:t>.</w:t>
      </w:r>
    </w:p>
    <w:p w:rsidR="00C911D9" w:rsidRPr="003006D9" w:rsidRDefault="00C911D9" w:rsidP="000042D9">
      <w:pPr>
        <w:spacing w:line="276" w:lineRule="auto"/>
        <w:ind w:left="567" w:right="900"/>
        <w:rPr>
          <w:rFonts w:cs="Arial"/>
          <w:i/>
          <w:lang w:val="es-ES_tradnl"/>
        </w:rPr>
      </w:pPr>
    </w:p>
    <w:p w:rsidR="00B61DA6" w:rsidRPr="003006D9" w:rsidRDefault="00C911D9" w:rsidP="000042D9">
      <w:pPr>
        <w:spacing w:line="276" w:lineRule="auto"/>
        <w:ind w:left="567" w:right="900"/>
        <w:rPr>
          <w:rFonts w:cs="Arial"/>
          <w:i/>
          <w:lang w:val="es-ES_tradnl"/>
        </w:rPr>
      </w:pPr>
      <w:r w:rsidRPr="003006D9">
        <w:rPr>
          <w:rFonts w:cs="Arial"/>
          <w:i/>
          <w:lang w:val="es-ES_tradnl"/>
        </w:rPr>
        <w:t>“</w:t>
      </w:r>
      <w:r w:rsidR="00B61DA6" w:rsidRPr="003006D9">
        <w:rPr>
          <w:rFonts w:cs="Arial"/>
          <w:i/>
          <w:lang w:val="es-ES_tradnl"/>
        </w:rPr>
        <w:t xml:space="preserve">Al respecto, en términos generales, puede señalarse que la regulación contenida en la Ley 80 de 1993 superó una de las dificultades más habituales en presencia del estatuto anterior (Decreto – Ley 222 de 1983, artículo 30 número 2, letra i y 42 número 1), pues consideró procedente la adjudicación de contratos sometidos a </w:t>
      </w:r>
      <w:r w:rsidR="00B61DA6" w:rsidRPr="003006D9">
        <w:rPr>
          <w:rFonts w:cs="Arial"/>
          <w:i/>
          <w:lang w:val="es-ES_tradnl"/>
        </w:rPr>
        <w:lastRenderedPageBreak/>
        <w:t>licitación pública cuando sólo se presentaba una propuesta. Sobre este particular, la Sala sostuvo:</w:t>
      </w:r>
    </w:p>
    <w:p w:rsidR="000E4F41" w:rsidRPr="003006D9" w:rsidRDefault="000E4F41" w:rsidP="000042D9">
      <w:pPr>
        <w:spacing w:line="276" w:lineRule="auto"/>
        <w:ind w:left="567" w:right="900"/>
        <w:rPr>
          <w:rFonts w:cs="Arial"/>
          <w:i/>
          <w:lang w:val="es-ES_tradnl"/>
        </w:rPr>
      </w:pPr>
    </w:p>
    <w:p w:rsidR="00B61DA6" w:rsidRPr="003006D9" w:rsidRDefault="00642C9F" w:rsidP="000042D9">
      <w:pPr>
        <w:spacing w:line="276" w:lineRule="auto"/>
        <w:ind w:left="567" w:right="900"/>
        <w:rPr>
          <w:rFonts w:cs="Arial"/>
          <w:i/>
          <w:lang w:val="es-ES_tradnl"/>
        </w:rPr>
      </w:pPr>
      <w:r w:rsidRPr="003006D9">
        <w:rPr>
          <w:rFonts w:cs="Arial"/>
          <w:i/>
          <w:lang w:val="es-ES_tradnl"/>
        </w:rPr>
        <w:t>“</w:t>
      </w:r>
      <w:r w:rsidR="00B61DA6" w:rsidRPr="003006D9">
        <w:rPr>
          <w:rFonts w:cs="Arial"/>
          <w:i/>
          <w:lang w:val="es-ES_tradnl"/>
        </w:rPr>
        <w:t>(…)</w:t>
      </w:r>
      <w:r w:rsidR="00225846" w:rsidRPr="003006D9">
        <w:rPr>
          <w:rFonts w:cs="Arial"/>
          <w:i/>
          <w:lang w:val="es-ES_tradnl"/>
        </w:rPr>
        <w:t>.</w:t>
      </w:r>
    </w:p>
    <w:p w:rsidR="00642C9F" w:rsidRPr="003006D9" w:rsidRDefault="00642C9F" w:rsidP="000042D9">
      <w:pPr>
        <w:spacing w:line="276" w:lineRule="auto"/>
        <w:ind w:left="567" w:right="900"/>
        <w:rPr>
          <w:rFonts w:cs="Arial"/>
          <w:i/>
          <w:lang w:val="es-ES_tradnl"/>
        </w:rPr>
      </w:pPr>
    </w:p>
    <w:p w:rsidR="00B61DA6" w:rsidRPr="003006D9" w:rsidRDefault="00642C9F" w:rsidP="000042D9">
      <w:pPr>
        <w:spacing w:line="276" w:lineRule="auto"/>
        <w:ind w:left="567" w:right="900"/>
        <w:rPr>
          <w:rFonts w:cs="Arial"/>
          <w:i/>
          <w:lang w:val="es-ES_tradnl"/>
        </w:rPr>
      </w:pPr>
      <w:r w:rsidRPr="003006D9">
        <w:rPr>
          <w:rFonts w:cs="Arial"/>
          <w:i/>
          <w:lang w:val="es-ES_tradnl"/>
        </w:rPr>
        <w:t>“</w:t>
      </w:r>
      <w:r w:rsidR="00B61DA6" w:rsidRPr="003006D9">
        <w:rPr>
          <w:rFonts w:cs="Arial"/>
          <w:i/>
          <w:lang w:val="es-ES_tradnl"/>
        </w:rPr>
        <w:t>Se desprende de lo indicado, que si bien, en general, la comparación de ofertas es un mecanismo que garantiza el deber de selección objetiva, no es una conditio sine qua non para tales propósitos, pues existen otros métodos por cuya virtud tal deber puede ser cumplido. En tal sentido, la Sala no halla fundados los reproches presentados por el actor”.</w:t>
      </w:r>
    </w:p>
    <w:p w:rsidR="00642C9F" w:rsidRPr="003006D9" w:rsidRDefault="00642C9F" w:rsidP="000042D9">
      <w:pPr>
        <w:spacing w:line="276" w:lineRule="auto"/>
        <w:ind w:left="567" w:right="900"/>
        <w:rPr>
          <w:rFonts w:cs="Arial"/>
          <w:i/>
        </w:rPr>
      </w:pPr>
    </w:p>
    <w:p w:rsidR="00B61DA6" w:rsidRPr="003006D9" w:rsidRDefault="00642C9F" w:rsidP="000042D9">
      <w:pPr>
        <w:spacing w:line="276" w:lineRule="auto"/>
        <w:ind w:left="567" w:right="900"/>
        <w:rPr>
          <w:rFonts w:cs="Arial"/>
          <w:i/>
        </w:rPr>
      </w:pPr>
      <w:r w:rsidRPr="003006D9">
        <w:rPr>
          <w:rFonts w:cs="Arial"/>
          <w:i/>
        </w:rPr>
        <w:t>“</w:t>
      </w:r>
      <w:r w:rsidR="00B61DA6" w:rsidRPr="003006D9">
        <w:rPr>
          <w:rFonts w:cs="Arial"/>
          <w:i/>
        </w:rPr>
        <w:t>(…)</w:t>
      </w:r>
      <w:r w:rsidRPr="003006D9">
        <w:rPr>
          <w:rFonts w:cs="Arial"/>
          <w:i/>
        </w:rPr>
        <w:t>.</w:t>
      </w:r>
    </w:p>
    <w:p w:rsidR="00642C9F" w:rsidRPr="003006D9" w:rsidRDefault="00642C9F" w:rsidP="000042D9">
      <w:pPr>
        <w:spacing w:line="276" w:lineRule="auto"/>
        <w:ind w:left="567" w:right="900"/>
        <w:rPr>
          <w:rFonts w:cs="Arial"/>
          <w:b/>
          <w:i/>
        </w:rPr>
      </w:pPr>
    </w:p>
    <w:p w:rsidR="00B61DA6" w:rsidRPr="003006D9" w:rsidRDefault="00642C9F" w:rsidP="000042D9">
      <w:pPr>
        <w:spacing w:line="276" w:lineRule="auto"/>
        <w:ind w:left="567" w:right="900"/>
        <w:rPr>
          <w:rFonts w:cs="Arial"/>
          <w:i/>
          <w:lang w:val="es-ES_tradnl"/>
        </w:rPr>
      </w:pPr>
      <w:r w:rsidRPr="003006D9">
        <w:rPr>
          <w:rFonts w:cs="Arial"/>
          <w:i/>
          <w:lang w:val="es-ES_tradnl"/>
        </w:rPr>
        <w:t>“</w:t>
      </w:r>
      <w:r w:rsidR="00B61DA6" w:rsidRPr="003006D9">
        <w:rPr>
          <w:rFonts w:cs="Arial"/>
          <w:i/>
          <w:lang w:val="es-ES_tradnl"/>
        </w:rPr>
        <w:t xml:space="preserve">Adicionalmente, dentro de la regulación correspondiente a la selección objetiva, la Ley 1150 de 2007 establece que en el proceso de escogencia y calificación que adopten las entidades, tendrán en cuenta los criterios que allí se indican. Entre ellos se señala que la </w:t>
      </w:r>
      <w:r w:rsidR="00911C50" w:rsidRPr="003006D9">
        <w:rPr>
          <w:rFonts w:cs="Arial"/>
          <w:i/>
          <w:lang w:val="es-ES_tradnl"/>
        </w:rPr>
        <w:t>‘</w:t>
      </w:r>
      <w:r w:rsidR="00B61DA6" w:rsidRPr="003006D9">
        <w:rPr>
          <w:rFonts w:cs="Arial"/>
          <w:i/>
          <w:lang w:val="es-ES_tradnl"/>
        </w:rPr>
        <w:t>…entidad efectuará las comparaciones del caso mediante el cotejo de los ofrecimientos recibidos y la consulta de precios o condiciones del mercado y los estudios y deducciones de la entidad o de los organismos consultores o asesores designados para ello</w:t>
      </w:r>
      <w:r w:rsidR="00911C50" w:rsidRPr="003006D9">
        <w:rPr>
          <w:rFonts w:cs="Arial"/>
          <w:i/>
          <w:lang w:val="es-ES_tradnl"/>
        </w:rPr>
        <w:t>’</w:t>
      </w:r>
      <w:r w:rsidR="00B61DA6" w:rsidRPr="003006D9">
        <w:rPr>
          <w:rFonts w:cs="Arial"/>
          <w:i/>
          <w:lang w:val="es-ES_tradnl"/>
        </w:rPr>
        <w:t>. Así las cosas, de la norma se deriva que en el proceso de selección objetiva serán procedentes tanto las comparaciones de los ofrecimientos recibidos, unos con otros, y estos con los estudios efectuados por la entidad. Ante la ausencia de pluralidad de ofertas –situación que, por lo demás debería ser excepcional, así como lo debe ser acudir a la modalidad de contratación directa, pues memórese que la regla general es la licitación pública en garantía de la máxima publicidad y concurrencia en la contratación estatal–, será procedente comparar el único ofrecimiento con los criterios objetivos elaborados por la entidad. En este evento, por lo tanto, los métodos a los que se debe acudir para garantizar la selección objetiva se ven reducidos en comparación con las demás modalidades de contratación, en tanto no hay comparación de ofertas, sin que ello implique que se incumpla con tal regla, pues persiste, necesariamente una confrontación de la única oferta con los estudios previos que elaboró la entidad, lo cual ofrecerá la objetividad necesaria para evitar imparcialidad en la contratación de los bienes o servicios de que se trate”</w:t>
      </w:r>
      <w:r w:rsidR="00B61DA6" w:rsidRPr="003006D9">
        <w:rPr>
          <w:rStyle w:val="Refdenotaalpie"/>
          <w:rFonts w:cs="Arial"/>
          <w:i/>
          <w:lang w:val="es-ES_tradnl"/>
        </w:rPr>
        <w:footnoteReference w:id="85"/>
      </w:r>
      <w:r w:rsidR="00B61DA6" w:rsidRPr="003006D9">
        <w:rPr>
          <w:rFonts w:cs="Arial"/>
          <w:i/>
          <w:lang w:val="es-ES_tradnl"/>
        </w:rPr>
        <w:t xml:space="preserve">. </w:t>
      </w:r>
    </w:p>
    <w:p w:rsidR="00B61DA6" w:rsidRPr="003006D9" w:rsidRDefault="00B61DA6" w:rsidP="00B61DA6">
      <w:pPr>
        <w:ind w:right="333"/>
        <w:rPr>
          <w:rFonts w:cs="Arial"/>
          <w:b/>
        </w:rPr>
      </w:pPr>
    </w:p>
    <w:p w:rsidR="008A4622" w:rsidRPr="003006D9" w:rsidRDefault="008A4622" w:rsidP="00547BC8">
      <w:pPr>
        <w:ind w:right="333"/>
        <w:rPr>
          <w:rFonts w:cs="Arial"/>
        </w:rPr>
      </w:pPr>
      <w:r w:rsidRPr="003006D9">
        <w:rPr>
          <w:rFonts w:cs="Arial"/>
        </w:rPr>
        <w:t xml:space="preserve">En </w:t>
      </w:r>
      <w:r w:rsidR="006A233F" w:rsidRPr="003006D9">
        <w:rPr>
          <w:rFonts w:cs="Arial"/>
        </w:rPr>
        <w:t xml:space="preserve">el </w:t>
      </w:r>
      <w:r w:rsidR="00115071" w:rsidRPr="003006D9">
        <w:rPr>
          <w:rFonts w:cs="Arial"/>
        </w:rPr>
        <w:t xml:space="preserve">análisis de los cargos en </w:t>
      </w:r>
      <w:r w:rsidR="006A233F" w:rsidRPr="003006D9">
        <w:rPr>
          <w:rFonts w:cs="Arial"/>
        </w:rPr>
        <w:t xml:space="preserve">la acción de nulidad </w:t>
      </w:r>
      <w:r w:rsidR="005558DB" w:rsidRPr="003006D9">
        <w:rPr>
          <w:rFonts w:cs="Arial"/>
        </w:rPr>
        <w:t xml:space="preserve">incoada </w:t>
      </w:r>
      <w:r w:rsidR="00271E47" w:rsidRPr="003006D9">
        <w:rPr>
          <w:rFonts w:cs="Arial"/>
        </w:rPr>
        <w:t xml:space="preserve">contra el </w:t>
      </w:r>
      <w:r w:rsidRPr="003006D9">
        <w:rPr>
          <w:rFonts w:cs="Arial"/>
        </w:rPr>
        <w:t>reglamento de enajenación de acciones de ISAGEN</w:t>
      </w:r>
      <w:r w:rsidR="00AA2239" w:rsidRPr="003006D9">
        <w:rPr>
          <w:rFonts w:cs="Arial"/>
        </w:rPr>
        <w:t xml:space="preserve">, por </w:t>
      </w:r>
      <w:r w:rsidR="00167974" w:rsidRPr="003006D9">
        <w:rPr>
          <w:rFonts w:cs="Arial"/>
        </w:rPr>
        <w:t xml:space="preserve">razón de la </w:t>
      </w:r>
      <w:r w:rsidR="00AA2239" w:rsidRPr="003006D9">
        <w:rPr>
          <w:rFonts w:cs="Arial"/>
        </w:rPr>
        <w:t>subasta</w:t>
      </w:r>
      <w:r w:rsidR="00547BC8" w:rsidRPr="003006D9">
        <w:rPr>
          <w:rFonts w:cs="Arial"/>
        </w:rPr>
        <w:t xml:space="preserve"> </w:t>
      </w:r>
      <w:r w:rsidR="00167974" w:rsidRPr="003006D9">
        <w:rPr>
          <w:rFonts w:cs="Arial"/>
        </w:rPr>
        <w:t xml:space="preserve">adelantada con </w:t>
      </w:r>
      <w:r w:rsidR="00547BC8" w:rsidRPr="003006D9">
        <w:rPr>
          <w:rFonts w:cs="Arial"/>
        </w:rPr>
        <w:lastRenderedPageBreak/>
        <w:t>un oferente único</w:t>
      </w:r>
      <w:r w:rsidR="00FA3E60" w:rsidRPr="003006D9">
        <w:rPr>
          <w:rFonts w:cs="Arial"/>
        </w:rPr>
        <w:t xml:space="preserve"> (bajo el régimen de la </w:t>
      </w:r>
      <w:r w:rsidR="009405EC" w:rsidRPr="003006D9">
        <w:rPr>
          <w:rFonts w:cs="Arial"/>
        </w:rPr>
        <w:t>L</w:t>
      </w:r>
      <w:r w:rsidR="00FA3E60" w:rsidRPr="003006D9">
        <w:rPr>
          <w:rFonts w:cs="Arial"/>
        </w:rPr>
        <w:t xml:space="preserve">ey 226 de 1995), la Sección Cuarta del Consejo de Estado razonó de </w:t>
      </w:r>
      <w:r w:rsidR="00BB231F" w:rsidRPr="003006D9">
        <w:rPr>
          <w:rFonts w:cs="Arial"/>
        </w:rPr>
        <w:t xml:space="preserve">la siguiente </w:t>
      </w:r>
      <w:r w:rsidR="00FA3E60" w:rsidRPr="003006D9">
        <w:rPr>
          <w:rFonts w:cs="Arial"/>
        </w:rPr>
        <w:t>manera</w:t>
      </w:r>
      <w:r w:rsidR="00BB231F" w:rsidRPr="003006D9">
        <w:rPr>
          <w:rFonts w:cs="Arial"/>
        </w:rPr>
        <w:t>,</w:t>
      </w:r>
      <w:r w:rsidR="00FA3E60" w:rsidRPr="003006D9">
        <w:rPr>
          <w:rFonts w:cs="Arial"/>
        </w:rPr>
        <w:t xml:space="preserve"> acerca de</w:t>
      </w:r>
      <w:r w:rsidR="00352905" w:rsidRPr="003006D9">
        <w:rPr>
          <w:rFonts w:cs="Arial"/>
        </w:rPr>
        <w:t xml:space="preserve"> la concurrencia de un oferente único</w:t>
      </w:r>
      <w:r w:rsidR="007A7A4D" w:rsidRPr="003006D9">
        <w:rPr>
          <w:rFonts w:cs="Arial"/>
        </w:rPr>
        <w:t xml:space="preserve"> a la subasta</w:t>
      </w:r>
      <w:r w:rsidR="00547BC8" w:rsidRPr="003006D9">
        <w:rPr>
          <w:rFonts w:cs="Arial"/>
        </w:rPr>
        <w:t>:</w:t>
      </w:r>
    </w:p>
    <w:p w:rsidR="00547BC8" w:rsidRPr="003006D9" w:rsidRDefault="00547BC8" w:rsidP="00547BC8">
      <w:pPr>
        <w:ind w:right="333"/>
        <w:rPr>
          <w:rFonts w:cs="Arial"/>
          <w:b/>
        </w:rPr>
      </w:pPr>
    </w:p>
    <w:p w:rsidR="008A4622" w:rsidRPr="003006D9" w:rsidRDefault="008A4622" w:rsidP="00AA2239">
      <w:pPr>
        <w:pStyle w:val="Prrafodelista"/>
        <w:spacing w:line="276" w:lineRule="auto"/>
        <w:ind w:left="567" w:right="902"/>
        <w:rPr>
          <w:rFonts w:cs="Arial"/>
          <w:i/>
        </w:rPr>
      </w:pPr>
      <w:r w:rsidRPr="003006D9">
        <w:rPr>
          <w:rFonts w:cs="Arial"/>
          <w:i/>
        </w:rPr>
        <w:t>“</w:t>
      </w:r>
      <w:r w:rsidRPr="003006D9">
        <w:rPr>
          <w:rFonts w:cs="Arial"/>
          <w:b/>
          <w:i/>
        </w:rPr>
        <w:t>Por norma general</w:t>
      </w:r>
      <w:r w:rsidRPr="003006D9">
        <w:rPr>
          <w:rFonts w:cs="Arial"/>
          <w:i/>
        </w:rPr>
        <w:t xml:space="preserve">, </w:t>
      </w:r>
      <w:r w:rsidRPr="003006D9">
        <w:rPr>
          <w:rFonts w:cs="Arial"/>
          <w:b/>
          <w:i/>
        </w:rPr>
        <w:t>no es imperativa la presentación plural de ofertas dentro del procedimiento contractual correspondiente</w:t>
      </w:r>
      <w:r w:rsidRPr="003006D9">
        <w:rPr>
          <w:rFonts w:cs="Arial"/>
          <w:i/>
        </w:rPr>
        <w:t xml:space="preserve">, ya que la obligación de la administración es la de asegurar condiciones que garanticen una libre participación de los interesados, no su efectiva concurrencia: obligar a los entes públicos o privados a participar en un proceso determinado vulnera, en principio, la libertad de empresa y, por ende, de competencia. </w:t>
      </w:r>
      <w:r w:rsidRPr="003006D9">
        <w:rPr>
          <w:rFonts w:cs="Arial"/>
          <w:b/>
          <w:i/>
        </w:rPr>
        <w:t>De ahí que ante la concurrencia de un oferente único, siempre que se garanticen las condiciones dichas, sea factible su selección,</w:t>
      </w:r>
      <w:r w:rsidRPr="003006D9">
        <w:rPr>
          <w:rFonts w:cs="Arial"/>
          <w:i/>
        </w:rPr>
        <w:t xml:space="preserve"> cuando su oferta sea la más favorable para la administración por cumplir con los requisitos y condiciones objetivas dispuestas en el acto que regula el proceso. </w:t>
      </w:r>
    </w:p>
    <w:p w:rsidR="008A4622" w:rsidRPr="003006D9" w:rsidRDefault="008A4622" w:rsidP="00AA2239">
      <w:pPr>
        <w:pStyle w:val="Prrafodelista"/>
        <w:spacing w:line="276" w:lineRule="auto"/>
        <w:ind w:left="567" w:right="902"/>
        <w:rPr>
          <w:rFonts w:cs="Arial"/>
          <w:i/>
        </w:rPr>
      </w:pPr>
    </w:p>
    <w:p w:rsidR="008A4622" w:rsidRPr="003006D9" w:rsidRDefault="007A7A4D" w:rsidP="00AA2239">
      <w:pPr>
        <w:spacing w:line="276" w:lineRule="auto"/>
        <w:ind w:left="567" w:right="902"/>
        <w:rPr>
          <w:rFonts w:cs="Arial"/>
          <w:i/>
        </w:rPr>
      </w:pPr>
      <w:r w:rsidRPr="003006D9">
        <w:rPr>
          <w:rFonts w:cs="Arial"/>
          <w:i/>
        </w:rPr>
        <w:t>“</w:t>
      </w:r>
      <w:r w:rsidR="008A4622" w:rsidRPr="003006D9">
        <w:rPr>
          <w:rFonts w:cs="Arial"/>
          <w:i/>
        </w:rPr>
        <w:t xml:space="preserve">Siendo esa la regla general en materia de libertad de concurrencia, </w:t>
      </w:r>
      <w:r w:rsidR="008A4622" w:rsidRPr="003006D9">
        <w:rPr>
          <w:rFonts w:cs="Arial"/>
          <w:b/>
          <w:i/>
        </w:rPr>
        <w:t>su derogatoria o excepción requiere una norma especial o exceptiva que establezca un contenido o alcance diferente del principio</w:t>
      </w:r>
      <w:r w:rsidR="008A4622" w:rsidRPr="003006D9">
        <w:rPr>
          <w:rFonts w:cs="Arial"/>
          <w:i/>
        </w:rPr>
        <w:t>. En esa medida, solo puede descartarse cuando el legislador o el gobierno prohíben la posibilidad de un único oferente mediante reglas especiales.</w:t>
      </w:r>
    </w:p>
    <w:p w:rsidR="00AA2239" w:rsidRPr="003006D9" w:rsidRDefault="00AA2239" w:rsidP="00AA2239">
      <w:pPr>
        <w:spacing w:line="276" w:lineRule="auto"/>
        <w:ind w:left="567" w:right="902"/>
        <w:rPr>
          <w:rFonts w:cs="Arial"/>
          <w:i/>
        </w:rPr>
      </w:pPr>
    </w:p>
    <w:p w:rsidR="00AA2239" w:rsidRPr="003006D9" w:rsidRDefault="007A7A4D" w:rsidP="00AA2239">
      <w:pPr>
        <w:spacing w:line="276" w:lineRule="auto"/>
        <w:ind w:left="567" w:right="902"/>
        <w:rPr>
          <w:rFonts w:cs="Arial"/>
          <w:i/>
        </w:rPr>
      </w:pPr>
      <w:r w:rsidRPr="003006D9">
        <w:rPr>
          <w:rFonts w:cs="Arial"/>
          <w:i/>
        </w:rPr>
        <w:t>“</w:t>
      </w:r>
      <w:r w:rsidR="00AA2239" w:rsidRPr="003006D9">
        <w:rPr>
          <w:rFonts w:cs="Arial"/>
          <w:i/>
        </w:rPr>
        <w:t xml:space="preserve">2.1.1.3.- En los procesos de asignación del espectro electromagnético con pluralidad de interesados, supuesto del </w:t>
      </w:r>
      <w:r w:rsidR="009A0D03" w:rsidRPr="003006D9">
        <w:rPr>
          <w:rFonts w:cs="Arial"/>
          <w:i/>
        </w:rPr>
        <w:t>‘</w:t>
      </w:r>
      <w:r w:rsidR="00AA2239" w:rsidRPr="003006D9">
        <w:rPr>
          <w:rFonts w:cs="Arial"/>
          <w:i/>
        </w:rPr>
        <w:t>Tercer Canal</w:t>
      </w:r>
      <w:r w:rsidR="009A0D03" w:rsidRPr="003006D9">
        <w:rPr>
          <w:rFonts w:cs="Arial"/>
          <w:i/>
        </w:rPr>
        <w:t>’</w:t>
      </w:r>
      <w:r w:rsidR="00AA2239" w:rsidRPr="003006D9">
        <w:rPr>
          <w:rFonts w:cs="Arial"/>
          <w:i/>
        </w:rPr>
        <w:t>, existió una regla especial que requería la pluralidad de oferentes durante todo el proceso contractual. Ese fue el alcance que de la Sala Plena de lo Contencioso Administrativo del Consejo de Estado determinó en la sentencia del 14 de febrero de 2012</w:t>
      </w:r>
      <w:r w:rsidR="00AA2239" w:rsidRPr="003006D9">
        <w:rPr>
          <w:rStyle w:val="Refdenotaalpie"/>
          <w:rFonts w:cs="Arial"/>
          <w:i/>
        </w:rPr>
        <w:footnoteReference w:id="86"/>
      </w:r>
      <w:r w:rsidR="00AA2239" w:rsidRPr="003006D9">
        <w:rPr>
          <w:rFonts w:cs="Arial"/>
          <w:i/>
        </w:rPr>
        <w:t xml:space="preserve"> para el inciso 3º del artículo 72 de la Ley 1341 de 2009, lo que explica, entonces, que no se aplicara la regla general de la libre concurrencia</w:t>
      </w:r>
      <w:r w:rsidR="009A0D03" w:rsidRPr="003006D9">
        <w:rPr>
          <w:rFonts w:cs="Arial"/>
          <w:i/>
        </w:rPr>
        <w:t>.</w:t>
      </w:r>
    </w:p>
    <w:p w:rsidR="00AA2239" w:rsidRPr="003006D9" w:rsidRDefault="00AA2239" w:rsidP="00AA2239">
      <w:pPr>
        <w:spacing w:line="276" w:lineRule="auto"/>
        <w:ind w:left="567" w:right="902"/>
        <w:rPr>
          <w:rFonts w:cs="Arial"/>
          <w:i/>
        </w:rPr>
      </w:pPr>
    </w:p>
    <w:p w:rsidR="00AA2239" w:rsidRPr="003006D9" w:rsidRDefault="007A7A4D" w:rsidP="00AA2239">
      <w:pPr>
        <w:pStyle w:val="Prrafodelista"/>
        <w:spacing w:line="276" w:lineRule="auto"/>
        <w:ind w:left="567" w:right="902"/>
        <w:rPr>
          <w:rFonts w:cs="Arial"/>
          <w:i/>
        </w:rPr>
      </w:pPr>
      <w:r w:rsidRPr="003006D9">
        <w:rPr>
          <w:rFonts w:cs="Arial"/>
          <w:i/>
        </w:rPr>
        <w:t>“</w:t>
      </w:r>
      <w:r w:rsidR="00AA2239" w:rsidRPr="003006D9">
        <w:rPr>
          <w:rFonts w:cs="Arial"/>
          <w:i/>
        </w:rPr>
        <w:t>Sin embargo, en la enajenación de la participación estatal en Isagen no existe una regla especial que exceptúe la aplicación de la norma general que opera en materia de libre concurrencia. El artículo 60 superior, la Ley 226, los Decretos por medio de los que se aprobó el programa de venta de participación accionaria de la Nación en la empresa</w:t>
      </w:r>
      <w:r w:rsidR="00AA2239" w:rsidRPr="003006D9">
        <w:rPr>
          <w:rStyle w:val="Refdenotaalpie"/>
          <w:rFonts w:cs="Arial"/>
          <w:i/>
        </w:rPr>
        <w:footnoteReference w:id="87"/>
      </w:r>
      <w:r w:rsidR="00AA2239" w:rsidRPr="003006D9">
        <w:rPr>
          <w:rFonts w:cs="Arial"/>
          <w:i/>
        </w:rPr>
        <w:t xml:space="preserve">, y el Reglamento parcialmente acusado, no prevén la </w:t>
      </w:r>
      <w:r w:rsidR="00AA2239" w:rsidRPr="003006D9">
        <w:rPr>
          <w:rFonts w:cs="Arial"/>
          <w:i/>
        </w:rPr>
        <w:lastRenderedPageBreak/>
        <w:t xml:space="preserve">presentación plural de oferentes durante el proceso de privatización, como parte de la libertad de concurrencia. </w:t>
      </w:r>
    </w:p>
    <w:p w:rsidR="00AA2239" w:rsidRPr="003006D9" w:rsidRDefault="00AA2239" w:rsidP="00AA2239">
      <w:pPr>
        <w:pStyle w:val="Prrafodelista"/>
        <w:spacing w:line="276" w:lineRule="auto"/>
        <w:ind w:left="567" w:right="902"/>
        <w:rPr>
          <w:rFonts w:cs="Arial"/>
          <w:i/>
        </w:rPr>
      </w:pPr>
    </w:p>
    <w:p w:rsidR="00AA2239" w:rsidRPr="003006D9" w:rsidRDefault="007A7A4D" w:rsidP="00AA2239">
      <w:pPr>
        <w:spacing w:line="276" w:lineRule="auto"/>
        <w:ind w:left="567" w:right="902"/>
        <w:rPr>
          <w:rFonts w:cs="Arial"/>
        </w:rPr>
      </w:pPr>
      <w:r w:rsidRPr="003006D9">
        <w:rPr>
          <w:rFonts w:cs="Arial"/>
          <w:i/>
        </w:rPr>
        <w:t>“</w:t>
      </w:r>
      <w:r w:rsidR="00AA2239" w:rsidRPr="003006D9">
        <w:rPr>
          <w:rFonts w:cs="Arial"/>
          <w:b/>
          <w:i/>
        </w:rPr>
        <w:t>Luego, en este caso, no es procedente descartar la regla general que opera en materia de libre concurrencia: posibilidad de oferta única</w:t>
      </w:r>
      <w:r w:rsidR="00AA2239" w:rsidRPr="003006D9">
        <w:rPr>
          <w:rFonts w:cs="Arial"/>
          <w:i/>
        </w:rPr>
        <w:t>.”</w:t>
      </w:r>
      <w:r w:rsidR="00547BC8" w:rsidRPr="003006D9">
        <w:rPr>
          <w:rStyle w:val="Refdenotaalpie"/>
          <w:rFonts w:cs="Arial"/>
          <w:i/>
        </w:rPr>
        <w:footnoteReference w:id="88"/>
      </w:r>
      <w:r w:rsidR="002A4D80" w:rsidRPr="003006D9">
        <w:rPr>
          <w:rFonts w:cs="Arial"/>
        </w:rPr>
        <w:t xml:space="preserve"> (</w:t>
      </w:r>
      <w:r w:rsidR="009A0D03" w:rsidRPr="003006D9">
        <w:rPr>
          <w:rFonts w:cs="Arial"/>
        </w:rPr>
        <w:t>l</w:t>
      </w:r>
      <w:r w:rsidR="002A4D80" w:rsidRPr="003006D9">
        <w:rPr>
          <w:rFonts w:cs="Arial"/>
        </w:rPr>
        <w:t>a negrilla no es del texto).</w:t>
      </w:r>
    </w:p>
    <w:p w:rsidR="00CF2025" w:rsidRPr="003006D9" w:rsidRDefault="00CF2025" w:rsidP="00AA2239">
      <w:pPr>
        <w:spacing w:line="276" w:lineRule="auto"/>
        <w:ind w:left="567" w:right="902"/>
        <w:rPr>
          <w:rFonts w:cs="Arial"/>
          <w:i/>
        </w:rPr>
      </w:pPr>
    </w:p>
    <w:p w:rsidR="00701CCA" w:rsidRPr="003006D9" w:rsidRDefault="009405EC" w:rsidP="009405EC">
      <w:pPr>
        <w:ind w:right="51"/>
        <w:rPr>
          <w:rFonts w:cs="Arial"/>
        </w:rPr>
      </w:pPr>
      <w:r w:rsidRPr="003006D9">
        <w:rPr>
          <w:rFonts w:cs="Arial"/>
        </w:rPr>
        <w:t>En el caso concreto, en el proceso de selección abreviada con adjudicación por la modalidad de subasta electrónica que ahora ocupa la atención de la Sala, se  requería de una convocatoria abierta</w:t>
      </w:r>
      <w:r w:rsidR="005C4840" w:rsidRPr="003006D9">
        <w:rPr>
          <w:rFonts w:cs="Arial"/>
        </w:rPr>
        <w:t>, previa publicación de</w:t>
      </w:r>
      <w:r w:rsidR="00AA1BEF" w:rsidRPr="003006D9">
        <w:rPr>
          <w:rFonts w:cs="Arial"/>
        </w:rPr>
        <w:t xml:space="preserve"> los bienes y su</w:t>
      </w:r>
      <w:r w:rsidR="005C4840" w:rsidRPr="003006D9">
        <w:rPr>
          <w:rFonts w:cs="Arial"/>
        </w:rPr>
        <w:t xml:space="preserve"> precio base </w:t>
      </w:r>
      <w:r w:rsidR="00AA1BEF" w:rsidRPr="003006D9">
        <w:rPr>
          <w:rFonts w:cs="Arial"/>
        </w:rPr>
        <w:t xml:space="preserve">de venta </w:t>
      </w:r>
      <w:r w:rsidR="005C4840" w:rsidRPr="003006D9">
        <w:rPr>
          <w:rFonts w:cs="Arial"/>
        </w:rPr>
        <w:t xml:space="preserve">en un diario de amplia circulación, </w:t>
      </w:r>
      <w:r w:rsidRPr="003006D9">
        <w:rPr>
          <w:rFonts w:cs="Arial"/>
        </w:rPr>
        <w:t>para que se pudieran presentar los oferentes interesados</w:t>
      </w:r>
      <w:r w:rsidR="005C4840" w:rsidRPr="003006D9">
        <w:rPr>
          <w:rFonts w:cs="Arial"/>
        </w:rPr>
        <w:t xml:space="preserve">. No obstante, </w:t>
      </w:r>
      <w:r w:rsidRPr="003006D9">
        <w:rPr>
          <w:rFonts w:cs="Arial"/>
        </w:rPr>
        <w:t xml:space="preserve">la pluralidad </w:t>
      </w:r>
      <w:r w:rsidR="00495637" w:rsidRPr="003006D9">
        <w:rPr>
          <w:rFonts w:cs="Arial"/>
        </w:rPr>
        <w:t xml:space="preserve">efectiva </w:t>
      </w:r>
      <w:r w:rsidRPr="003006D9">
        <w:rPr>
          <w:rFonts w:cs="Arial"/>
        </w:rPr>
        <w:t xml:space="preserve">de </w:t>
      </w:r>
      <w:r w:rsidR="005558DB" w:rsidRPr="003006D9">
        <w:rPr>
          <w:rFonts w:cs="Arial"/>
        </w:rPr>
        <w:t xml:space="preserve">posturas o lances en la subasta </w:t>
      </w:r>
      <w:r w:rsidR="00495637" w:rsidRPr="003006D9">
        <w:rPr>
          <w:rFonts w:cs="Arial"/>
        </w:rPr>
        <w:t xml:space="preserve">electrónica </w:t>
      </w:r>
      <w:r w:rsidRPr="003006D9">
        <w:rPr>
          <w:rFonts w:cs="Arial"/>
        </w:rPr>
        <w:t>no era un requisito legal para proceder a la adjudicación del bien.</w:t>
      </w:r>
      <w:r w:rsidR="00291500" w:rsidRPr="003006D9">
        <w:rPr>
          <w:rFonts w:cs="Arial"/>
        </w:rPr>
        <w:t xml:space="preserve"> </w:t>
      </w:r>
    </w:p>
    <w:p w:rsidR="00701CCA" w:rsidRPr="003006D9" w:rsidRDefault="00701CCA" w:rsidP="009405EC">
      <w:pPr>
        <w:ind w:right="51"/>
        <w:rPr>
          <w:rFonts w:cs="Arial"/>
        </w:rPr>
      </w:pPr>
    </w:p>
    <w:p w:rsidR="00291500" w:rsidRPr="003006D9" w:rsidRDefault="00291500" w:rsidP="009405EC">
      <w:pPr>
        <w:ind w:right="51"/>
        <w:rPr>
          <w:rFonts w:cs="Arial"/>
        </w:rPr>
      </w:pPr>
      <w:r w:rsidRPr="003006D9">
        <w:rPr>
          <w:rFonts w:cs="Arial"/>
        </w:rPr>
        <w:t>En otras palabras</w:t>
      </w:r>
      <w:r w:rsidR="00701CCA" w:rsidRPr="003006D9">
        <w:rPr>
          <w:rFonts w:cs="Arial"/>
        </w:rPr>
        <w:t>,</w:t>
      </w:r>
      <w:r w:rsidRPr="003006D9">
        <w:rPr>
          <w:rFonts w:cs="Arial"/>
        </w:rPr>
        <w:t xml:space="preserve"> </w:t>
      </w:r>
      <w:r w:rsidR="00701CCA" w:rsidRPr="003006D9">
        <w:rPr>
          <w:rFonts w:cs="Arial"/>
        </w:rPr>
        <w:t xml:space="preserve">la Ley 1150 de 2007 dispuso que </w:t>
      </w:r>
      <w:r w:rsidRPr="003006D9">
        <w:rPr>
          <w:rFonts w:cs="Arial"/>
        </w:rPr>
        <w:t xml:space="preserve">se </w:t>
      </w:r>
      <w:r w:rsidR="00701CCA" w:rsidRPr="003006D9">
        <w:rPr>
          <w:rFonts w:cs="Arial"/>
        </w:rPr>
        <w:t xml:space="preserve">debía publicar </w:t>
      </w:r>
      <w:r w:rsidR="00AA1BEF" w:rsidRPr="003006D9">
        <w:rPr>
          <w:rFonts w:cs="Arial"/>
        </w:rPr>
        <w:t>en un diario de amplia circulación</w:t>
      </w:r>
      <w:r w:rsidR="009A0D03" w:rsidRPr="003006D9">
        <w:rPr>
          <w:rFonts w:cs="Arial"/>
        </w:rPr>
        <w:t xml:space="preserve"> </w:t>
      </w:r>
      <w:r w:rsidR="00AA1BEF" w:rsidRPr="003006D9">
        <w:rPr>
          <w:rFonts w:cs="Arial"/>
        </w:rPr>
        <w:t xml:space="preserve">la lista de bienes y </w:t>
      </w:r>
      <w:r w:rsidR="00701CCA" w:rsidRPr="003006D9">
        <w:rPr>
          <w:rFonts w:cs="Arial"/>
        </w:rPr>
        <w:t xml:space="preserve">el </w:t>
      </w:r>
      <w:r w:rsidR="00B75772" w:rsidRPr="003006D9">
        <w:rPr>
          <w:rFonts w:cs="Arial"/>
        </w:rPr>
        <w:t>precio base</w:t>
      </w:r>
      <w:r w:rsidR="0003649C" w:rsidRPr="003006D9">
        <w:rPr>
          <w:rFonts w:cs="Arial"/>
        </w:rPr>
        <w:t xml:space="preserve"> de la venta</w:t>
      </w:r>
      <w:r w:rsidR="00B75772" w:rsidRPr="003006D9">
        <w:rPr>
          <w:rFonts w:cs="Arial"/>
        </w:rPr>
        <w:t>, esto es</w:t>
      </w:r>
      <w:r w:rsidR="0003649C" w:rsidRPr="003006D9">
        <w:rPr>
          <w:rFonts w:cs="Arial"/>
        </w:rPr>
        <w:t>,</w:t>
      </w:r>
      <w:r w:rsidR="00B75772" w:rsidRPr="003006D9">
        <w:rPr>
          <w:rFonts w:cs="Arial"/>
        </w:rPr>
        <w:t xml:space="preserve"> avisar </w:t>
      </w:r>
      <w:r w:rsidR="00701CCA" w:rsidRPr="003006D9">
        <w:rPr>
          <w:rFonts w:cs="Arial"/>
        </w:rPr>
        <w:t xml:space="preserve">en </w:t>
      </w:r>
      <w:r w:rsidR="007B2ECA" w:rsidRPr="003006D9">
        <w:rPr>
          <w:rFonts w:cs="Arial"/>
        </w:rPr>
        <w:t>forma abierta</w:t>
      </w:r>
      <w:r w:rsidR="00B75772" w:rsidRPr="003006D9">
        <w:rPr>
          <w:rFonts w:cs="Arial"/>
        </w:rPr>
        <w:t xml:space="preserve">, lo cual se entiende como </w:t>
      </w:r>
      <w:r w:rsidR="00813A1B" w:rsidRPr="003006D9">
        <w:rPr>
          <w:rFonts w:cs="Arial"/>
        </w:rPr>
        <w:t xml:space="preserve">equivalente a la </w:t>
      </w:r>
      <w:r w:rsidR="00B75772" w:rsidRPr="003006D9">
        <w:rPr>
          <w:rFonts w:cs="Arial"/>
        </w:rPr>
        <w:t xml:space="preserve">exigencia de </w:t>
      </w:r>
      <w:r w:rsidRPr="003006D9">
        <w:rPr>
          <w:rFonts w:cs="Arial"/>
          <w:i/>
        </w:rPr>
        <w:t xml:space="preserve">pedir </w:t>
      </w:r>
      <w:r w:rsidRPr="003006D9">
        <w:rPr>
          <w:rFonts w:cs="Arial"/>
        </w:rPr>
        <w:t>ofertas</w:t>
      </w:r>
      <w:r w:rsidR="00AA1BEF" w:rsidRPr="003006D9">
        <w:rPr>
          <w:rFonts w:cs="Arial"/>
        </w:rPr>
        <w:t>,</w:t>
      </w:r>
      <w:r w:rsidRPr="003006D9">
        <w:rPr>
          <w:rFonts w:cs="Arial"/>
        </w:rPr>
        <w:t xml:space="preserve"> </w:t>
      </w:r>
      <w:r w:rsidR="007B2ECA" w:rsidRPr="003006D9">
        <w:rPr>
          <w:rFonts w:cs="Arial"/>
        </w:rPr>
        <w:t>en búsqueda de la pluralidad</w:t>
      </w:r>
      <w:r w:rsidR="00AA1BEF" w:rsidRPr="003006D9">
        <w:rPr>
          <w:rFonts w:cs="Arial"/>
        </w:rPr>
        <w:t xml:space="preserve">. No obstante, </w:t>
      </w:r>
      <w:r w:rsidRPr="003006D9">
        <w:rPr>
          <w:rFonts w:cs="Arial"/>
        </w:rPr>
        <w:t xml:space="preserve">si </w:t>
      </w:r>
      <w:r w:rsidR="007B2ECA" w:rsidRPr="003006D9">
        <w:rPr>
          <w:rFonts w:cs="Arial"/>
        </w:rPr>
        <w:t xml:space="preserve">sólo se recibía </w:t>
      </w:r>
      <w:r w:rsidRPr="003006D9">
        <w:rPr>
          <w:rFonts w:cs="Arial"/>
        </w:rPr>
        <w:t>una</w:t>
      </w:r>
      <w:r w:rsidR="007B2ECA" w:rsidRPr="003006D9">
        <w:rPr>
          <w:rFonts w:cs="Arial"/>
        </w:rPr>
        <w:t xml:space="preserve"> oferta</w:t>
      </w:r>
      <w:r w:rsidRPr="003006D9">
        <w:rPr>
          <w:rFonts w:cs="Arial"/>
        </w:rPr>
        <w:t>, ello no era óbice para adelantar la subasta</w:t>
      </w:r>
      <w:r w:rsidR="007B2ECA" w:rsidRPr="003006D9">
        <w:rPr>
          <w:rFonts w:cs="Arial"/>
        </w:rPr>
        <w:t xml:space="preserve"> y adjudicar al mejor </w:t>
      </w:r>
      <w:r w:rsidR="0003649C" w:rsidRPr="003006D9">
        <w:rPr>
          <w:rFonts w:cs="Arial"/>
        </w:rPr>
        <w:t>oferente</w:t>
      </w:r>
      <w:r w:rsidR="007B2ECA" w:rsidRPr="003006D9">
        <w:rPr>
          <w:rFonts w:cs="Arial"/>
        </w:rPr>
        <w:t>, aunque solo uno fuera.</w:t>
      </w:r>
      <w:r w:rsidRPr="003006D9">
        <w:rPr>
          <w:rFonts w:cs="Arial"/>
        </w:rPr>
        <w:t xml:space="preserve"> </w:t>
      </w:r>
    </w:p>
    <w:p w:rsidR="009405EC" w:rsidRPr="003006D9" w:rsidRDefault="009405EC" w:rsidP="00A2420B">
      <w:pPr>
        <w:ind w:right="51"/>
        <w:rPr>
          <w:rFonts w:cs="Arial"/>
        </w:rPr>
      </w:pPr>
    </w:p>
    <w:p w:rsidR="00615AEC" w:rsidRPr="003006D9" w:rsidRDefault="00167974" w:rsidP="00A2420B">
      <w:pPr>
        <w:ind w:right="51"/>
        <w:rPr>
          <w:rFonts w:cs="Arial"/>
        </w:rPr>
      </w:pPr>
      <w:r w:rsidRPr="003006D9">
        <w:rPr>
          <w:rFonts w:cs="Arial"/>
        </w:rPr>
        <w:t xml:space="preserve">Debe </w:t>
      </w:r>
      <w:r w:rsidR="00AA1BEF" w:rsidRPr="003006D9">
        <w:rPr>
          <w:rFonts w:cs="Arial"/>
        </w:rPr>
        <w:t xml:space="preserve">reiterarse </w:t>
      </w:r>
      <w:r w:rsidRPr="003006D9">
        <w:rPr>
          <w:rFonts w:cs="Arial"/>
        </w:rPr>
        <w:t xml:space="preserve">que </w:t>
      </w:r>
      <w:r w:rsidR="00B61DA6" w:rsidRPr="003006D9">
        <w:rPr>
          <w:rFonts w:cs="Arial"/>
        </w:rPr>
        <w:t>en el proceso de selección abreviada para la enajenación de bienes del Estado</w:t>
      </w:r>
      <w:r w:rsidR="005C4840" w:rsidRPr="003006D9">
        <w:rPr>
          <w:rFonts w:cs="Arial"/>
        </w:rPr>
        <w:t xml:space="preserve">, previsto en </w:t>
      </w:r>
      <w:r w:rsidR="00B61DA6" w:rsidRPr="003006D9">
        <w:rPr>
          <w:rFonts w:cs="Arial"/>
        </w:rPr>
        <w:t xml:space="preserve">el literal e) del punto 2, artículo 2o de la Ley 1150 de 2007 </w:t>
      </w:r>
      <w:r w:rsidR="005C4840" w:rsidRPr="003006D9">
        <w:rPr>
          <w:rFonts w:cs="Arial"/>
        </w:rPr>
        <w:t xml:space="preserve">se </w:t>
      </w:r>
      <w:r w:rsidR="00B61DA6" w:rsidRPr="003006D9">
        <w:rPr>
          <w:rFonts w:cs="Arial"/>
        </w:rPr>
        <w:t xml:space="preserve">dispuso que </w:t>
      </w:r>
      <w:r w:rsidR="00B61DA6" w:rsidRPr="003006D9">
        <w:rPr>
          <w:rFonts w:cs="Arial"/>
          <w:i/>
        </w:rPr>
        <w:t>“</w:t>
      </w:r>
      <w:r w:rsidR="00B61DA6" w:rsidRPr="003006D9">
        <w:rPr>
          <w:rFonts w:cs="Arial"/>
          <w:i/>
          <w:color w:val="000000"/>
        </w:rPr>
        <w:t>La venta implica la publicación previa de los bienes en un diario de amplia circulación nacional, con la determinación del precio base”</w:t>
      </w:r>
      <w:r w:rsidR="00B61DA6" w:rsidRPr="003006D9">
        <w:rPr>
          <w:rFonts w:cs="Arial"/>
        </w:rPr>
        <w:t xml:space="preserve"> lo cual se entiende como </w:t>
      </w:r>
      <w:r w:rsidR="00FA3E60" w:rsidRPr="003006D9">
        <w:rPr>
          <w:rFonts w:cs="Arial"/>
        </w:rPr>
        <w:t xml:space="preserve">una norma especial </w:t>
      </w:r>
      <w:r w:rsidR="005558DB" w:rsidRPr="003006D9">
        <w:rPr>
          <w:rFonts w:cs="Arial"/>
        </w:rPr>
        <w:t xml:space="preserve">contentiva de un </w:t>
      </w:r>
      <w:r w:rsidR="00B61DA6" w:rsidRPr="003006D9">
        <w:rPr>
          <w:rFonts w:cs="Arial"/>
        </w:rPr>
        <w:t xml:space="preserve">mecanismo </w:t>
      </w:r>
      <w:r w:rsidR="00615AEC" w:rsidRPr="003006D9">
        <w:rPr>
          <w:rFonts w:cs="Arial"/>
        </w:rPr>
        <w:t xml:space="preserve">imperativo </w:t>
      </w:r>
      <w:r w:rsidR="00B61DA6" w:rsidRPr="003006D9">
        <w:rPr>
          <w:rFonts w:cs="Arial"/>
        </w:rPr>
        <w:t xml:space="preserve">para asegurar la publicidad </w:t>
      </w:r>
      <w:r w:rsidR="001C0603" w:rsidRPr="003006D9">
        <w:rPr>
          <w:rFonts w:cs="Arial"/>
        </w:rPr>
        <w:t>de</w:t>
      </w:r>
      <w:r w:rsidR="00AA1BEF" w:rsidRPr="003006D9">
        <w:rPr>
          <w:rFonts w:cs="Arial"/>
        </w:rPr>
        <w:t xml:space="preserve"> los bienes y de su </w:t>
      </w:r>
      <w:r w:rsidR="001C0603" w:rsidRPr="003006D9">
        <w:rPr>
          <w:rFonts w:cs="Arial"/>
        </w:rPr>
        <w:t xml:space="preserve">precio base </w:t>
      </w:r>
      <w:r w:rsidR="00AA1BEF" w:rsidRPr="003006D9">
        <w:rPr>
          <w:rFonts w:cs="Arial"/>
        </w:rPr>
        <w:t xml:space="preserve">de venta </w:t>
      </w:r>
      <w:r w:rsidR="00B61DA6" w:rsidRPr="003006D9">
        <w:rPr>
          <w:rFonts w:cs="Arial"/>
        </w:rPr>
        <w:t>y</w:t>
      </w:r>
      <w:r w:rsidR="00AA1BEF" w:rsidRPr="003006D9">
        <w:rPr>
          <w:rFonts w:cs="Arial"/>
        </w:rPr>
        <w:t xml:space="preserve">, con ello, garantizar </w:t>
      </w:r>
      <w:r w:rsidR="00B61DA6" w:rsidRPr="003006D9">
        <w:rPr>
          <w:rFonts w:cs="Arial"/>
        </w:rPr>
        <w:t>la oportunidad de la libre concurrencia</w:t>
      </w:r>
      <w:r w:rsidR="00FA3E60" w:rsidRPr="003006D9">
        <w:rPr>
          <w:rFonts w:cs="Arial"/>
        </w:rPr>
        <w:t xml:space="preserve"> </w:t>
      </w:r>
      <w:r w:rsidR="0003649C" w:rsidRPr="003006D9">
        <w:rPr>
          <w:rFonts w:cs="Arial"/>
        </w:rPr>
        <w:t xml:space="preserve">de interesados en participar en </w:t>
      </w:r>
      <w:r w:rsidR="00FA3E60" w:rsidRPr="003006D9">
        <w:rPr>
          <w:rFonts w:cs="Arial"/>
        </w:rPr>
        <w:t>la adjudicación de bienes del Estado</w:t>
      </w:r>
      <w:r w:rsidR="00B61DA6" w:rsidRPr="003006D9">
        <w:rPr>
          <w:rFonts w:cs="Arial"/>
        </w:rPr>
        <w:t xml:space="preserve">. </w:t>
      </w:r>
    </w:p>
    <w:p w:rsidR="00615AEC" w:rsidRPr="003006D9" w:rsidRDefault="00615AEC" w:rsidP="00A2420B">
      <w:pPr>
        <w:ind w:right="51"/>
        <w:rPr>
          <w:rFonts w:cs="Arial"/>
        </w:rPr>
      </w:pPr>
    </w:p>
    <w:p w:rsidR="00B61DA6" w:rsidRPr="003006D9" w:rsidRDefault="00B61DA6" w:rsidP="00A2420B">
      <w:pPr>
        <w:ind w:right="51"/>
        <w:rPr>
          <w:rFonts w:cs="Arial"/>
        </w:rPr>
      </w:pPr>
      <w:r w:rsidRPr="003006D9">
        <w:rPr>
          <w:rFonts w:cs="Arial"/>
        </w:rPr>
        <w:lastRenderedPageBreak/>
        <w:t xml:space="preserve">Empero, </w:t>
      </w:r>
      <w:r w:rsidR="00A2420B" w:rsidRPr="003006D9">
        <w:rPr>
          <w:rFonts w:cs="Arial"/>
        </w:rPr>
        <w:t xml:space="preserve">en el supuesto que ahora se estudia, </w:t>
      </w:r>
      <w:r w:rsidRPr="003006D9">
        <w:rPr>
          <w:rFonts w:cs="Arial"/>
        </w:rPr>
        <w:t xml:space="preserve">ni la ley ni el reglamento contenido en el Decreto 4444 de 2008 exigieron la pluralidad </w:t>
      </w:r>
      <w:r w:rsidR="00495637" w:rsidRPr="003006D9">
        <w:rPr>
          <w:rFonts w:cs="Arial"/>
        </w:rPr>
        <w:t xml:space="preserve">efectiva </w:t>
      </w:r>
      <w:r w:rsidRPr="003006D9">
        <w:rPr>
          <w:rFonts w:cs="Arial"/>
        </w:rPr>
        <w:t xml:space="preserve">de ofertas para proceder al mecanismo de subasta electrónica. </w:t>
      </w:r>
    </w:p>
    <w:p w:rsidR="00CF2025" w:rsidRPr="003006D9" w:rsidRDefault="00CF2025" w:rsidP="00A2420B">
      <w:pPr>
        <w:ind w:right="51"/>
        <w:rPr>
          <w:rFonts w:cs="Arial"/>
        </w:rPr>
      </w:pPr>
    </w:p>
    <w:p w:rsidR="007648ED" w:rsidRPr="003006D9" w:rsidRDefault="009E557B" w:rsidP="00A2420B">
      <w:pPr>
        <w:ind w:right="51"/>
        <w:rPr>
          <w:rFonts w:cs="Arial"/>
        </w:rPr>
      </w:pPr>
      <w:r w:rsidRPr="003006D9">
        <w:rPr>
          <w:rFonts w:cs="Arial"/>
        </w:rPr>
        <w:t xml:space="preserve">Como consecuencia, </w:t>
      </w:r>
      <w:r w:rsidR="00BB3C29" w:rsidRPr="003006D9">
        <w:rPr>
          <w:rFonts w:cs="Arial"/>
        </w:rPr>
        <w:t xml:space="preserve">se repite, </w:t>
      </w:r>
      <w:r w:rsidRPr="003006D9">
        <w:rPr>
          <w:rFonts w:cs="Arial"/>
        </w:rPr>
        <w:t xml:space="preserve">la exigencia de la </w:t>
      </w:r>
      <w:r w:rsidR="009A0D03" w:rsidRPr="003006D9">
        <w:rPr>
          <w:rFonts w:cs="Arial"/>
        </w:rPr>
        <w:t xml:space="preserve">Ley </w:t>
      </w:r>
      <w:r w:rsidRPr="003006D9">
        <w:rPr>
          <w:rFonts w:cs="Arial"/>
        </w:rPr>
        <w:t xml:space="preserve">1150 de 2007 se refiere a que el proceso </w:t>
      </w:r>
      <w:r w:rsidR="002A4D80" w:rsidRPr="003006D9">
        <w:rPr>
          <w:rFonts w:cs="Arial"/>
        </w:rPr>
        <w:t xml:space="preserve">de </w:t>
      </w:r>
      <w:r w:rsidR="00AA1BEF" w:rsidRPr="003006D9">
        <w:rPr>
          <w:rFonts w:cs="Arial"/>
        </w:rPr>
        <w:t>enajenación onerosa</w:t>
      </w:r>
      <w:r w:rsidR="002A4D80" w:rsidRPr="003006D9">
        <w:rPr>
          <w:rFonts w:cs="Arial"/>
        </w:rPr>
        <w:t xml:space="preserve"> </w:t>
      </w:r>
      <w:r w:rsidRPr="003006D9">
        <w:rPr>
          <w:rFonts w:cs="Arial"/>
        </w:rPr>
        <w:t>debe estruct</w:t>
      </w:r>
      <w:r w:rsidR="007648ED" w:rsidRPr="003006D9">
        <w:rPr>
          <w:rFonts w:cs="Arial"/>
        </w:rPr>
        <w:t>u</w:t>
      </w:r>
      <w:r w:rsidRPr="003006D9">
        <w:rPr>
          <w:rFonts w:cs="Arial"/>
        </w:rPr>
        <w:t>ra</w:t>
      </w:r>
      <w:r w:rsidR="007648ED" w:rsidRPr="003006D9">
        <w:rPr>
          <w:rFonts w:cs="Arial"/>
        </w:rPr>
        <w:t>r</w:t>
      </w:r>
      <w:r w:rsidRPr="003006D9">
        <w:rPr>
          <w:rFonts w:cs="Arial"/>
        </w:rPr>
        <w:t xml:space="preserve">se </w:t>
      </w:r>
      <w:r w:rsidR="007648ED" w:rsidRPr="003006D9">
        <w:rPr>
          <w:rFonts w:cs="Arial"/>
        </w:rPr>
        <w:t>d</w:t>
      </w:r>
      <w:r w:rsidR="00AA1BEF" w:rsidRPr="003006D9">
        <w:rPr>
          <w:rFonts w:cs="Arial"/>
        </w:rPr>
        <w:t>á</w:t>
      </w:r>
      <w:r w:rsidR="007648ED" w:rsidRPr="003006D9">
        <w:rPr>
          <w:rFonts w:cs="Arial"/>
        </w:rPr>
        <w:t>ndo</w:t>
      </w:r>
      <w:r w:rsidR="00AA1BEF" w:rsidRPr="003006D9">
        <w:rPr>
          <w:rFonts w:cs="Arial"/>
        </w:rPr>
        <w:t>le</w:t>
      </w:r>
      <w:r w:rsidR="007648ED" w:rsidRPr="003006D9">
        <w:rPr>
          <w:rFonts w:cs="Arial"/>
        </w:rPr>
        <w:t xml:space="preserve"> la publicidad propia para que se permita la libre concurrencia y la pluralidad de ofertas, empero</w:t>
      </w:r>
      <w:r w:rsidR="00033F1C" w:rsidRPr="003006D9">
        <w:rPr>
          <w:rFonts w:cs="Arial"/>
        </w:rPr>
        <w:t>,</w:t>
      </w:r>
      <w:r w:rsidR="007648ED" w:rsidRPr="003006D9">
        <w:rPr>
          <w:rFonts w:cs="Arial"/>
        </w:rPr>
        <w:t xml:space="preserve"> si pese a ello no se presentan varias ofertas, la subasta directa puede adelantarse con el único oferente</w:t>
      </w:r>
      <w:r w:rsidR="00BB3C29" w:rsidRPr="003006D9">
        <w:rPr>
          <w:rFonts w:cs="Arial"/>
        </w:rPr>
        <w:t xml:space="preserve">. Se agrega que el oferente </w:t>
      </w:r>
      <w:r w:rsidR="007648ED" w:rsidRPr="003006D9">
        <w:rPr>
          <w:rFonts w:cs="Arial"/>
        </w:rPr>
        <w:t xml:space="preserve">puede </w:t>
      </w:r>
      <w:r w:rsidR="002A4D80" w:rsidRPr="003006D9">
        <w:rPr>
          <w:rFonts w:cs="Arial"/>
        </w:rPr>
        <w:t xml:space="preserve">o no realizar </w:t>
      </w:r>
      <w:r w:rsidR="007648ED" w:rsidRPr="003006D9">
        <w:rPr>
          <w:rFonts w:cs="Arial"/>
        </w:rPr>
        <w:t>un lance por valor superior al precio base de su oferta.</w:t>
      </w:r>
    </w:p>
    <w:p w:rsidR="000042D9" w:rsidRPr="003006D9" w:rsidRDefault="000042D9" w:rsidP="00A2420B">
      <w:pPr>
        <w:ind w:right="51"/>
        <w:rPr>
          <w:rFonts w:cs="Arial"/>
        </w:rPr>
      </w:pPr>
    </w:p>
    <w:p w:rsidR="00601F1C" w:rsidRPr="003006D9" w:rsidRDefault="00D11C10" w:rsidP="00A2420B">
      <w:pPr>
        <w:ind w:right="51"/>
        <w:rPr>
          <w:rFonts w:cs="Arial"/>
        </w:rPr>
      </w:pPr>
      <w:r w:rsidRPr="003006D9">
        <w:rPr>
          <w:rFonts w:cs="Arial"/>
        </w:rPr>
        <w:t xml:space="preserve">Se puntualiza que </w:t>
      </w:r>
      <w:r w:rsidR="00AA1BEF" w:rsidRPr="003006D9">
        <w:rPr>
          <w:rFonts w:cs="Arial"/>
        </w:rPr>
        <w:t xml:space="preserve">en el proceso sub júdice no era </w:t>
      </w:r>
      <w:r w:rsidR="00115071" w:rsidRPr="003006D9">
        <w:rPr>
          <w:rFonts w:cs="Arial"/>
        </w:rPr>
        <w:t xml:space="preserve">pertinente </w:t>
      </w:r>
      <w:r w:rsidR="00816E96" w:rsidRPr="003006D9">
        <w:rPr>
          <w:rFonts w:cs="Arial"/>
        </w:rPr>
        <w:t xml:space="preserve">invocar el artículo 22 </w:t>
      </w:r>
      <w:r w:rsidRPr="003006D9">
        <w:rPr>
          <w:rFonts w:cs="Arial"/>
        </w:rPr>
        <w:t>del Decreto 2474 de 2008 que se refiri</w:t>
      </w:r>
      <w:r w:rsidR="00816E96" w:rsidRPr="003006D9">
        <w:rPr>
          <w:rFonts w:cs="Arial"/>
        </w:rPr>
        <w:t>ó</w:t>
      </w:r>
      <w:r w:rsidRPr="003006D9">
        <w:rPr>
          <w:rFonts w:cs="Arial"/>
        </w:rPr>
        <w:t xml:space="preserve"> a la </w:t>
      </w:r>
      <w:r w:rsidR="00E003C5" w:rsidRPr="003006D9">
        <w:rPr>
          <w:rFonts w:cs="Arial"/>
        </w:rPr>
        <w:t xml:space="preserve">verificación de requisitos en la </w:t>
      </w:r>
      <w:r w:rsidRPr="003006D9">
        <w:rPr>
          <w:rFonts w:cs="Arial"/>
        </w:rPr>
        <w:t xml:space="preserve">subasta </w:t>
      </w:r>
      <w:r w:rsidRPr="003006D9">
        <w:rPr>
          <w:rFonts w:cs="Arial"/>
          <w:i/>
        </w:rPr>
        <w:t>inversa</w:t>
      </w:r>
      <w:r w:rsidR="00723372" w:rsidRPr="003006D9">
        <w:rPr>
          <w:rStyle w:val="Refdenotaalpie"/>
          <w:rFonts w:cs="Arial"/>
          <w:i/>
        </w:rPr>
        <w:footnoteReference w:id="89"/>
      </w:r>
      <w:r w:rsidRPr="003006D9">
        <w:rPr>
          <w:rFonts w:cs="Arial"/>
        </w:rPr>
        <w:t xml:space="preserve">, </w:t>
      </w:r>
      <w:r w:rsidR="00AA1BEF" w:rsidRPr="003006D9">
        <w:rPr>
          <w:rFonts w:cs="Arial"/>
        </w:rPr>
        <w:t xml:space="preserve">para el </w:t>
      </w:r>
      <w:r w:rsidR="00115071" w:rsidRPr="003006D9">
        <w:rPr>
          <w:rFonts w:cs="Arial"/>
        </w:rPr>
        <w:t xml:space="preserve">evento </w:t>
      </w:r>
      <w:r w:rsidR="00AA1BEF" w:rsidRPr="003006D9">
        <w:rPr>
          <w:rFonts w:cs="Arial"/>
        </w:rPr>
        <w:t xml:space="preserve">de </w:t>
      </w:r>
      <w:r w:rsidR="00E003C5" w:rsidRPr="003006D9">
        <w:rPr>
          <w:rFonts w:cs="Arial"/>
        </w:rPr>
        <w:t xml:space="preserve">ampliar el plazo </w:t>
      </w:r>
      <w:r w:rsidR="00723372" w:rsidRPr="003006D9">
        <w:rPr>
          <w:rFonts w:cs="Arial"/>
        </w:rPr>
        <w:t>a</w:t>
      </w:r>
      <w:r w:rsidR="00E003C5" w:rsidRPr="003006D9">
        <w:rPr>
          <w:rFonts w:cs="Arial"/>
        </w:rPr>
        <w:t xml:space="preserve"> los </w:t>
      </w:r>
      <w:r w:rsidR="00AA1BEF" w:rsidRPr="003006D9">
        <w:rPr>
          <w:rFonts w:cs="Arial"/>
        </w:rPr>
        <w:t>oferentes</w:t>
      </w:r>
      <w:r w:rsidR="00E003C5" w:rsidRPr="003006D9">
        <w:rPr>
          <w:rFonts w:cs="Arial"/>
        </w:rPr>
        <w:t xml:space="preserve"> no habilitados</w:t>
      </w:r>
      <w:r w:rsidR="00AA1BEF" w:rsidRPr="003006D9">
        <w:rPr>
          <w:rFonts w:cs="Arial"/>
        </w:rPr>
        <w:t xml:space="preserve">, </w:t>
      </w:r>
      <w:r w:rsidRPr="003006D9">
        <w:rPr>
          <w:rFonts w:cs="Arial"/>
        </w:rPr>
        <w:t>pues</w:t>
      </w:r>
      <w:r w:rsidR="00E003C5" w:rsidRPr="003006D9">
        <w:rPr>
          <w:rFonts w:cs="Arial"/>
        </w:rPr>
        <w:t>to que allí mismo se dispuso la viabilidad de la adjudicación al oferente único</w:t>
      </w:r>
      <w:r w:rsidR="00E003C5" w:rsidRPr="003006D9">
        <w:rPr>
          <w:rStyle w:val="Refdenotaalpie"/>
          <w:rFonts w:cs="Arial"/>
        </w:rPr>
        <w:footnoteReference w:id="90"/>
      </w:r>
      <w:r w:rsidR="00E003C5" w:rsidRPr="003006D9">
        <w:rPr>
          <w:rFonts w:cs="Arial"/>
        </w:rPr>
        <w:t xml:space="preserve">, además de que el proceso sub júdice era de subasta </w:t>
      </w:r>
      <w:r w:rsidR="00E003C5" w:rsidRPr="003006D9">
        <w:rPr>
          <w:rFonts w:cs="Arial"/>
          <w:i/>
        </w:rPr>
        <w:t>directa</w:t>
      </w:r>
      <w:r w:rsidR="00E003C5" w:rsidRPr="003006D9">
        <w:rPr>
          <w:rFonts w:cs="Arial"/>
        </w:rPr>
        <w:t xml:space="preserve"> y en las disposiciones generales del Decreto 2474 de 2008, en el articulo 90, se contempló la </w:t>
      </w:r>
      <w:r w:rsidR="00723372" w:rsidRPr="003006D9">
        <w:rPr>
          <w:rFonts w:cs="Arial"/>
        </w:rPr>
        <w:t>adjudicación al oferente único</w:t>
      </w:r>
      <w:r w:rsidR="00E003C5" w:rsidRPr="003006D9">
        <w:rPr>
          <w:rStyle w:val="Refdenotaalpie"/>
          <w:rFonts w:cs="Arial"/>
        </w:rPr>
        <w:footnoteReference w:id="91"/>
      </w:r>
      <w:r w:rsidR="00723372" w:rsidRPr="003006D9">
        <w:rPr>
          <w:rFonts w:cs="Arial"/>
        </w:rPr>
        <w:t>. Se agrega</w:t>
      </w:r>
      <w:r w:rsidRPr="003006D9">
        <w:rPr>
          <w:rFonts w:cs="Arial"/>
        </w:rPr>
        <w:t xml:space="preserve"> que </w:t>
      </w:r>
      <w:r w:rsidR="00AA1BEF" w:rsidRPr="003006D9">
        <w:rPr>
          <w:rFonts w:cs="Arial"/>
        </w:rPr>
        <w:t xml:space="preserve">la enajenación onerosa de bienes del Estado </w:t>
      </w:r>
      <w:r w:rsidR="00601F1C" w:rsidRPr="003006D9">
        <w:rPr>
          <w:rFonts w:cs="Arial"/>
        </w:rPr>
        <w:t>tenía una reglamentación especial en el Decreto 4444 de 2008.</w:t>
      </w:r>
    </w:p>
    <w:p w:rsidR="00601F1C" w:rsidRPr="003006D9" w:rsidRDefault="00601F1C" w:rsidP="00A2420B">
      <w:pPr>
        <w:ind w:right="51"/>
        <w:rPr>
          <w:rFonts w:cs="Arial"/>
        </w:rPr>
      </w:pPr>
    </w:p>
    <w:p w:rsidR="00615AEC" w:rsidRPr="003006D9" w:rsidRDefault="00B61DA6" w:rsidP="00A2420B">
      <w:pPr>
        <w:ind w:right="51"/>
        <w:rPr>
          <w:rFonts w:cs="Arial"/>
        </w:rPr>
      </w:pPr>
      <w:r w:rsidRPr="003006D9">
        <w:rPr>
          <w:rFonts w:cs="Arial"/>
        </w:rPr>
        <w:t xml:space="preserve">De esta manera, </w:t>
      </w:r>
      <w:r w:rsidR="00495637" w:rsidRPr="003006D9">
        <w:rPr>
          <w:rFonts w:cs="Arial"/>
        </w:rPr>
        <w:t xml:space="preserve">se concluye que </w:t>
      </w:r>
      <w:r w:rsidRPr="003006D9">
        <w:rPr>
          <w:rFonts w:cs="Arial"/>
        </w:rPr>
        <w:t xml:space="preserve">FEDEPALMA no sufrió una </w:t>
      </w:r>
      <w:r w:rsidR="00615AEC" w:rsidRPr="003006D9">
        <w:rPr>
          <w:rFonts w:cs="Arial"/>
        </w:rPr>
        <w:t xml:space="preserve">mayor carga económica </w:t>
      </w:r>
      <w:r w:rsidRPr="003006D9">
        <w:rPr>
          <w:rFonts w:cs="Arial"/>
        </w:rPr>
        <w:t>por el hecho de que se hubiera exigido el mecanismo de subasta electrónica, aunque era el único proponente que se hab</w:t>
      </w:r>
      <w:r w:rsidR="00615AEC" w:rsidRPr="003006D9">
        <w:rPr>
          <w:rFonts w:cs="Arial"/>
        </w:rPr>
        <w:t>í</w:t>
      </w:r>
      <w:r w:rsidRPr="003006D9">
        <w:rPr>
          <w:rFonts w:cs="Arial"/>
        </w:rPr>
        <w:t xml:space="preserve">a presentado. </w:t>
      </w:r>
    </w:p>
    <w:p w:rsidR="00615AEC" w:rsidRPr="003006D9" w:rsidRDefault="00615AEC" w:rsidP="00A2420B">
      <w:pPr>
        <w:ind w:right="51"/>
        <w:rPr>
          <w:rFonts w:cs="Arial"/>
        </w:rPr>
      </w:pPr>
    </w:p>
    <w:p w:rsidR="00B61DA6" w:rsidRPr="003006D9" w:rsidRDefault="00B61DA6" w:rsidP="00A2420B">
      <w:pPr>
        <w:ind w:right="51"/>
        <w:rPr>
          <w:rFonts w:cs="Arial"/>
        </w:rPr>
      </w:pPr>
      <w:r w:rsidRPr="003006D9">
        <w:rPr>
          <w:rFonts w:cs="Arial"/>
        </w:rPr>
        <w:t>Por el contrario, en ese aspecto, el ICA siguió lo previsto en el pliego de condiciones.</w:t>
      </w:r>
    </w:p>
    <w:p w:rsidR="001C0603" w:rsidRPr="003006D9" w:rsidRDefault="001C0603" w:rsidP="00A2420B">
      <w:pPr>
        <w:ind w:right="51"/>
        <w:rPr>
          <w:rFonts w:cs="Arial"/>
        </w:rPr>
      </w:pPr>
    </w:p>
    <w:p w:rsidR="005C4840" w:rsidRPr="003006D9" w:rsidRDefault="001C0603" w:rsidP="00A2420B">
      <w:pPr>
        <w:ind w:right="51"/>
        <w:rPr>
          <w:rFonts w:cs="Arial"/>
        </w:rPr>
      </w:pPr>
      <w:r w:rsidRPr="003006D9">
        <w:rPr>
          <w:rFonts w:cs="Arial"/>
        </w:rPr>
        <w:t xml:space="preserve">Se desestiman, entonces, las imputaciones </w:t>
      </w:r>
      <w:r w:rsidR="00E33AB0" w:rsidRPr="003006D9">
        <w:rPr>
          <w:rFonts w:cs="Arial"/>
        </w:rPr>
        <w:t xml:space="preserve">acerca de </w:t>
      </w:r>
      <w:r w:rsidRPr="003006D9">
        <w:rPr>
          <w:rFonts w:cs="Arial"/>
        </w:rPr>
        <w:t xml:space="preserve">la ilegalidad de la subasta electrónica </w:t>
      </w:r>
      <w:r w:rsidR="00E33AB0" w:rsidRPr="003006D9">
        <w:rPr>
          <w:rFonts w:cs="Arial"/>
        </w:rPr>
        <w:t xml:space="preserve">realizada en este caso </w:t>
      </w:r>
      <w:r w:rsidRPr="003006D9">
        <w:rPr>
          <w:rFonts w:cs="Arial"/>
        </w:rPr>
        <w:t>con un único proponente</w:t>
      </w:r>
      <w:r w:rsidR="009405EC" w:rsidRPr="003006D9">
        <w:rPr>
          <w:rFonts w:cs="Arial"/>
        </w:rPr>
        <w:t xml:space="preserve">. </w:t>
      </w:r>
    </w:p>
    <w:p w:rsidR="005C4840" w:rsidRPr="003006D9" w:rsidRDefault="005C4840" w:rsidP="00A2420B">
      <w:pPr>
        <w:ind w:right="51"/>
        <w:rPr>
          <w:rFonts w:cs="Arial"/>
        </w:rPr>
      </w:pPr>
    </w:p>
    <w:p w:rsidR="005F3C35" w:rsidRPr="003006D9" w:rsidRDefault="009405EC" w:rsidP="00A2420B">
      <w:pPr>
        <w:ind w:right="51"/>
        <w:rPr>
          <w:rFonts w:cs="Arial"/>
        </w:rPr>
      </w:pPr>
      <w:r w:rsidRPr="003006D9">
        <w:rPr>
          <w:rFonts w:cs="Arial"/>
        </w:rPr>
        <w:lastRenderedPageBreak/>
        <w:t xml:space="preserve">Sin embargo, se </w:t>
      </w:r>
      <w:r w:rsidR="005C4840" w:rsidRPr="003006D9">
        <w:rPr>
          <w:rFonts w:cs="Arial"/>
        </w:rPr>
        <w:t xml:space="preserve">reitera </w:t>
      </w:r>
      <w:r w:rsidR="00601F1C" w:rsidRPr="003006D9">
        <w:rPr>
          <w:rFonts w:cs="Arial"/>
        </w:rPr>
        <w:t xml:space="preserve">que la nulidad </w:t>
      </w:r>
      <w:r w:rsidR="001F5B15" w:rsidRPr="003006D9">
        <w:rPr>
          <w:rFonts w:cs="Arial"/>
        </w:rPr>
        <w:t xml:space="preserve">del acto de adjudicación y del contrato de promesa de compraventa </w:t>
      </w:r>
      <w:r w:rsidR="00601F1C" w:rsidRPr="003006D9">
        <w:rPr>
          <w:rFonts w:cs="Arial"/>
        </w:rPr>
        <w:t>que se dec</w:t>
      </w:r>
      <w:r w:rsidR="0074483B" w:rsidRPr="003006D9">
        <w:rPr>
          <w:rFonts w:cs="Arial"/>
        </w:rPr>
        <w:t xml:space="preserve">larará </w:t>
      </w:r>
      <w:r w:rsidR="001F5B15" w:rsidRPr="003006D9">
        <w:rPr>
          <w:rFonts w:cs="Arial"/>
        </w:rPr>
        <w:t>en est</w:t>
      </w:r>
      <w:r w:rsidR="0074483B" w:rsidRPr="003006D9">
        <w:rPr>
          <w:rFonts w:cs="Arial"/>
        </w:rPr>
        <w:t>a</w:t>
      </w:r>
      <w:r w:rsidR="001F5B15" w:rsidRPr="003006D9">
        <w:rPr>
          <w:rFonts w:cs="Arial"/>
        </w:rPr>
        <w:t xml:space="preserve"> pro</w:t>
      </w:r>
      <w:r w:rsidR="0074483B" w:rsidRPr="003006D9">
        <w:rPr>
          <w:rFonts w:cs="Arial"/>
        </w:rPr>
        <w:t>videncia</w:t>
      </w:r>
      <w:r w:rsidR="001F5B15" w:rsidRPr="003006D9">
        <w:rPr>
          <w:rFonts w:cs="Arial"/>
        </w:rPr>
        <w:t xml:space="preserve"> </w:t>
      </w:r>
      <w:r w:rsidR="00E022AC" w:rsidRPr="003006D9">
        <w:rPr>
          <w:rFonts w:cs="Arial"/>
        </w:rPr>
        <w:t>obedece, entr</w:t>
      </w:r>
      <w:r w:rsidR="004631C1" w:rsidRPr="003006D9">
        <w:rPr>
          <w:rFonts w:cs="Arial"/>
        </w:rPr>
        <w:t>e</w:t>
      </w:r>
      <w:r w:rsidR="00E022AC" w:rsidRPr="003006D9">
        <w:rPr>
          <w:rFonts w:cs="Arial"/>
        </w:rPr>
        <w:t xml:space="preserve"> otras causas, a que </w:t>
      </w:r>
      <w:r w:rsidR="001F5B15" w:rsidRPr="003006D9">
        <w:rPr>
          <w:rFonts w:cs="Arial"/>
        </w:rPr>
        <w:t xml:space="preserve">en el procedimiento de contratación </w:t>
      </w:r>
      <w:r w:rsidR="00601F1C" w:rsidRPr="003006D9">
        <w:rPr>
          <w:rFonts w:cs="Arial"/>
        </w:rPr>
        <w:t xml:space="preserve">no </w:t>
      </w:r>
      <w:r w:rsidR="004631C1" w:rsidRPr="003006D9">
        <w:rPr>
          <w:rFonts w:cs="Arial"/>
        </w:rPr>
        <w:t xml:space="preserve">se dio </w:t>
      </w:r>
      <w:r w:rsidR="00601F1C" w:rsidRPr="003006D9">
        <w:rPr>
          <w:rFonts w:cs="Arial"/>
        </w:rPr>
        <w:t xml:space="preserve">oportunidad para la libre concurrencia de oferentes, por la omisión de la publicación </w:t>
      </w:r>
      <w:r w:rsidR="005F3C35" w:rsidRPr="003006D9">
        <w:rPr>
          <w:rFonts w:cs="Arial"/>
        </w:rPr>
        <w:t xml:space="preserve">del precio base </w:t>
      </w:r>
      <w:r w:rsidR="001F5B15" w:rsidRPr="003006D9">
        <w:rPr>
          <w:rFonts w:cs="Arial"/>
        </w:rPr>
        <w:t xml:space="preserve">de la </w:t>
      </w:r>
      <w:r w:rsidR="005F3C35" w:rsidRPr="003006D9">
        <w:rPr>
          <w:rFonts w:cs="Arial"/>
        </w:rPr>
        <w:t xml:space="preserve">subasta en un </w:t>
      </w:r>
      <w:r w:rsidR="00601F1C" w:rsidRPr="003006D9">
        <w:rPr>
          <w:rFonts w:cs="Arial"/>
        </w:rPr>
        <w:t>diario de amplia circulación</w:t>
      </w:r>
      <w:r w:rsidR="005F3C35" w:rsidRPr="003006D9">
        <w:rPr>
          <w:rFonts w:cs="Arial"/>
        </w:rPr>
        <w:t xml:space="preserve">, </w:t>
      </w:r>
      <w:r w:rsidR="001F5B15" w:rsidRPr="003006D9">
        <w:rPr>
          <w:rFonts w:cs="Arial"/>
        </w:rPr>
        <w:t xml:space="preserve">conducta que fue </w:t>
      </w:r>
      <w:r w:rsidR="005F3C35" w:rsidRPr="003006D9">
        <w:rPr>
          <w:rFonts w:cs="Arial"/>
        </w:rPr>
        <w:t xml:space="preserve">cometida en violación de las exigencias especiales </w:t>
      </w:r>
      <w:r w:rsidR="00275462" w:rsidRPr="003006D9">
        <w:rPr>
          <w:rFonts w:cs="Arial"/>
        </w:rPr>
        <w:t xml:space="preserve">contenidas en </w:t>
      </w:r>
      <w:r w:rsidR="005F3C35" w:rsidRPr="003006D9">
        <w:rPr>
          <w:rFonts w:cs="Arial"/>
        </w:rPr>
        <w:t>e</w:t>
      </w:r>
      <w:r w:rsidR="00275462" w:rsidRPr="003006D9">
        <w:rPr>
          <w:rFonts w:cs="Arial"/>
        </w:rPr>
        <w:t>l</w:t>
      </w:r>
      <w:r w:rsidR="005F3C35" w:rsidRPr="003006D9">
        <w:rPr>
          <w:rFonts w:cs="Arial"/>
        </w:rPr>
        <w:t xml:space="preserve"> </w:t>
      </w:r>
      <w:r w:rsidR="00BB3C29" w:rsidRPr="003006D9">
        <w:rPr>
          <w:rFonts w:cs="Arial"/>
        </w:rPr>
        <w:t>literal e) del punto 2, artículo 2o de la Ley 1150 de 2007</w:t>
      </w:r>
      <w:r w:rsidR="00275462" w:rsidRPr="003006D9">
        <w:rPr>
          <w:rFonts w:cs="Arial"/>
        </w:rPr>
        <w:t>,</w:t>
      </w:r>
      <w:r w:rsidR="00BB3C29" w:rsidRPr="003006D9">
        <w:rPr>
          <w:rFonts w:cs="Arial"/>
        </w:rPr>
        <w:t xml:space="preserve"> </w:t>
      </w:r>
      <w:r w:rsidRPr="003006D9">
        <w:rPr>
          <w:rFonts w:cs="Arial"/>
        </w:rPr>
        <w:t xml:space="preserve">previstas </w:t>
      </w:r>
      <w:r w:rsidR="005F3C35" w:rsidRPr="003006D9">
        <w:rPr>
          <w:rFonts w:cs="Arial"/>
        </w:rPr>
        <w:t xml:space="preserve">para </w:t>
      </w:r>
      <w:r w:rsidR="00275462" w:rsidRPr="003006D9">
        <w:rPr>
          <w:rFonts w:cs="Arial"/>
        </w:rPr>
        <w:t>un</w:t>
      </w:r>
      <w:r w:rsidR="005F3C35" w:rsidRPr="003006D9">
        <w:rPr>
          <w:rFonts w:cs="Arial"/>
        </w:rPr>
        <w:t xml:space="preserve"> procedimiento de adjudicación de bienes del Estado</w:t>
      </w:r>
      <w:r w:rsidRPr="003006D9">
        <w:rPr>
          <w:rFonts w:cs="Arial"/>
        </w:rPr>
        <w:t xml:space="preserve"> que se regía por esa Ley.</w:t>
      </w:r>
    </w:p>
    <w:p w:rsidR="001F5B15" w:rsidRPr="003006D9" w:rsidRDefault="001F5B15" w:rsidP="001F5B15">
      <w:pPr>
        <w:ind w:right="51"/>
        <w:rPr>
          <w:rFonts w:cs="Arial"/>
        </w:rPr>
      </w:pPr>
    </w:p>
    <w:p w:rsidR="00B61DA6" w:rsidRPr="003006D9" w:rsidRDefault="00D006CD" w:rsidP="00A2420B">
      <w:pPr>
        <w:ind w:right="51"/>
        <w:rPr>
          <w:rFonts w:cs="Arial"/>
          <w:b/>
        </w:rPr>
      </w:pPr>
      <w:r w:rsidRPr="003006D9">
        <w:rPr>
          <w:rFonts w:cs="Arial"/>
          <w:b/>
        </w:rPr>
        <w:t>11</w:t>
      </w:r>
      <w:r w:rsidR="00615AEC" w:rsidRPr="003006D9">
        <w:rPr>
          <w:rFonts w:cs="Arial"/>
          <w:b/>
        </w:rPr>
        <w:t xml:space="preserve">. </w:t>
      </w:r>
      <w:r w:rsidR="00B61DA6" w:rsidRPr="003006D9">
        <w:rPr>
          <w:rFonts w:cs="Arial"/>
          <w:b/>
        </w:rPr>
        <w:t>Restituci</w:t>
      </w:r>
      <w:r w:rsidR="005D2709" w:rsidRPr="003006D9">
        <w:rPr>
          <w:rFonts w:cs="Arial"/>
          <w:b/>
        </w:rPr>
        <w:t xml:space="preserve">ón del precio </w:t>
      </w:r>
      <w:r w:rsidR="004A2032" w:rsidRPr="003006D9">
        <w:rPr>
          <w:rFonts w:cs="Arial"/>
          <w:b/>
        </w:rPr>
        <w:t>pagado</w:t>
      </w:r>
    </w:p>
    <w:p w:rsidR="007C791A" w:rsidRPr="003006D9" w:rsidRDefault="007C791A" w:rsidP="00A2420B">
      <w:pPr>
        <w:ind w:right="51"/>
        <w:rPr>
          <w:rFonts w:cs="Arial"/>
        </w:rPr>
      </w:pPr>
    </w:p>
    <w:p w:rsidR="00B61DA6" w:rsidRPr="003006D9" w:rsidRDefault="00A2420B" w:rsidP="00A2420B">
      <w:pPr>
        <w:ind w:right="51"/>
        <w:rPr>
          <w:rFonts w:cs="Arial"/>
        </w:rPr>
      </w:pPr>
      <w:r w:rsidRPr="003006D9">
        <w:rPr>
          <w:rFonts w:cs="Arial"/>
        </w:rPr>
        <w:t>Teniendo en cuenta que procede declara</w:t>
      </w:r>
      <w:r w:rsidR="00CB1138" w:rsidRPr="003006D9">
        <w:rPr>
          <w:rFonts w:cs="Arial"/>
        </w:rPr>
        <w:t>r</w:t>
      </w:r>
      <w:r w:rsidRPr="003006D9">
        <w:rPr>
          <w:rFonts w:cs="Arial"/>
        </w:rPr>
        <w:t xml:space="preserve"> la nulidad del contrato de promesa de compraventa</w:t>
      </w:r>
      <w:r w:rsidR="00691952" w:rsidRPr="003006D9">
        <w:rPr>
          <w:rFonts w:cs="Arial"/>
        </w:rPr>
        <w:t>,</w:t>
      </w:r>
      <w:r w:rsidRPr="003006D9">
        <w:rPr>
          <w:rFonts w:cs="Arial"/>
        </w:rPr>
        <w:t xml:space="preserve"> la </w:t>
      </w:r>
      <w:r w:rsidR="00B61DA6" w:rsidRPr="003006D9">
        <w:rPr>
          <w:rFonts w:cs="Arial"/>
        </w:rPr>
        <w:t xml:space="preserve">Sala dará aplicación al artículo 1746 del Código Civil, </w:t>
      </w:r>
      <w:r w:rsidR="00691952" w:rsidRPr="003006D9">
        <w:rPr>
          <w:rFonts w:cs="Arial"/>
        </w:rPr>
        <w:t xml:space="preserve">referido a las </w:t>
      </w:r>
      <w:r w:rsidR="00B61DA6" w:rsidRPr="003006D9">
        <w:rPr>
          <w:rFonts w:cs="Arial"/>
        </w:rPr>
        <w:t>restituciones mutuas</w:t>
      </w:r>
      <w:r w:rsidR="00B61DA6" w:rsidRPr="003006D9">
        <w:rPr>
          <w:rStyle w:val="Refdenotaalpie"/>
          <w:rFonts w:cs="Arial"/>
        </w:rPr>
        <w:footnoteReference w:id="92"/>
      </w:r>
      <w:r w:rsidR="00B61DA6" w:rsidRPr="003006D9">
        <w:rPr>
          <w:rFonts w:cs="Arial"/>
        </w:rPr>
        <w:t xml:space="preserve">, </w:t>
      </w:r>
      <w:r w:rsidR="00691952" w:rsidRPr="003006D9">
        <w:rPr>
          <w:rFonts w:cs="Arial"/>
        </w:rPr>
        <w:t xml:space="preserve">en este caso a favor de FEDEPALMA. Esta condena </w:t>
      </w:r>
      <w:r w:rsidR="00B61DA6" w:rsidRPr="003006D9">
        <w:rPr>
          <w:rFonts w:cs="Arial"/>
        </w:rPr>
        <w:t>comprende la restitución de precio pagado por FEDEPA</w:t>
      </w:r>
      <w:r w:rsidR="005B79C1" w:rsidRPr="003006D9">
        <w:rPr>
          <w:rFonts w:cs="Arial"/>
        </w:rPr>
        <w:t>L</w:t>
      </w:r>
      <w:r w:rsidR="00B61DA6" w:rsidRPr="003006D9">
        <w:rPr>
          <w:rFonts w:cs="Arial"/>
        </w:rPr>
        <w:t>MA</w:t>
      </w:r>
      <w:r w:rsidR="00691952" w:rsidRPr="003006D9">
        <w:rPr>
          <w:rFonts w:cs="Arial"/>
        </w:rPr>
        <w:t>,</w:t>
      </w:r>
      <w:r w:rsidR="00B61DA6" w:rsidRPr="003006D9">
        <w:rPr>
          <w:rFonts w:cs="Arial"/>
        </w:rPr>
        <w:t xml:space="preserve"> debidamente actualizado con </w:t>
      </w:r>
      <w:r w:rsidR="00AE5834" w:rsidRPr="003006D9">
        <w:rPr>
          <w:rFonts w:cs="Arial"/>
        </w:rPr>
        <w:t xml:space="preserve">fundamento en la variación del </w:t>
      </w:r>
      <w:r w:rsidR="004652D6" w:rsidRPr="003006D9">
        <w:rPr>
          <w:rFonts w:cs="Arial"/>
        </w:rPr>
        <w:t>í</w:t>
      </w:r>
      <w:r w:rsidR="00B61DA6" w:rsidRPr="003006D9">
        <w:rPr>
          <w:rFonts w:cs="Arial"/>
        </w:rPr>
        <w:t>ndice de precios al consumidor.</w:t>
      </w:r>
    </w:p>
    <w:p w:rsidR="00C430BC" w:rsidRPr="003006D9" w:rsidRDefault="00C430BC" w:rsidP="00A2420B">
      <w:pPr>
        <w:ind w:right="51"/>
        <w:rPr>
          <w:rFonts w:cs="Arial"/>
        </w:rPr>
      </w:pPr>
    </w:p>
    <w:p w:rsidR="00C430BC" w:rsidRPr="003006D9" w:rsidRDefault="00691952" w:rsidP="00A2420B">
      <w:pPr>
        <w:ind w:right="51"/>
        <w:rPr>
          <w:rFonts w:cs="Arial"/>
        </w:rPr>
      </w:pPr>
      <w:r w:rsidRPr="003006D9">
        <w:rPr>
          <w:rFonts w:cs="Arial"/>
        </w:rPr>
        <w:t>Se aclara que n</w:t>
      </w:r>
      <w:r w:rsidR="00C430BC" w:rsidRPr="003006D9">
        <w:rPr>
          <w:rFonts w:cs="Arial"/>
        </w:rPr>
        <w:t>o hay lugar a e</w:t>
      </w:r>
      <w:r w:rsidRPr="003006D9">
        <w:rPr>
          <w:rFonts w:cs="Arial"/>
        </w:rPr>
        <w:t xml:space="preserve">nfocar la liquidación </w:t>
      </w:r>
      <w:r w:rsidR="008707C5" w:rsidRPr="003006D9">
        <w:rPr>
          <w:rFonts w:cs="Arial"/>
        </w:rPr>
        <w:t xml:space="preserve">de la condena </w:t>
      </w:r>
      <w:r w:rsidRPr="003006D9">
        <w:rPr>
          <w:rFonts w:cs="Arial"/>
        </w:rPr>
        <w:t xml:space="preserve">desde la perspectiva del </w:t>
      </w:r>
      <w:r w:rsidR="00C430BC" w:rsidRPr="003006D9">
        <w:rPr>
          <w:rFonts w:cs="Arial"/>
        </w:rPr>
        <w:t>artículo 48 de la Ley 80 de 1993, toda vez que esa norma se refiere al contrato de ejecución sucesiva y a los eventos de la nulidad decretada por objeto y causa ilícita</w:t>
      </w:r>
      <w:r w:rsidR="00C430BC" w:rsidRPr="003006D9">
        <w:rPr>
          <w:rStyle w:val="Refdenotaalpie"/>
          <w:rFonts w:cs="Arial"/>
        </w:rPr>
        <w:footnoteReference w:id="93"/>
      </w:r>
      <w:r w:rsidR="00C430BC" w:rsidRPr="003006D9">
        <w:rPr>
          <w:rFonts w:cs="Arial"/>
        </w:rPr>
        <w:t>. En e</w:t>
      </w:r>
      <w:r w:rsidR="008707C5" w:rsidRPr="003006D9">
        <w:rPr>
          <w:rFonts w:cs="Arial"/>
        </w:rPr>
        <w:t xml:space="preserve">l presente </w:t>
      </w:r>
      <w:r w:rsidR="00C430BC" w:rsidRPr="003006D9">
        <w:rPr>
          <w:rFonts w:cs="Arial"/>
        </w:rPr>
        <w:t xml:space="preserve">caso </w:t>
      </w:r>
      <w:r w:rsidR="00AA1458" w:rsidRPr="003006D9">
        <w:rPr>
          <w:rFonts w:cs="Arial"/>
        </w:rPr>
        <w:t>la promesa de compraventa era un contrato de ejecución instantánea, además de que no</w:t>
      </w:r>
      <w:r w:rsidR="00C430BC" w:rsidRPr="003006D9">
        <w:rPr>
          <w:rFonts w:cs="Arial"/>
        </w:rPr>
        <w:t xml:space="preserve"> se puede enmarcar el supuesto sub lite en la ejecución sucesiva </w:t>
      </w:r>
      <w:r w:rsidR="008707C5" w:rsidRPr="003006D9">
        <w:rPr>
          <w:rFonts w:cs="Arial"/>
        </w:rPr>
        <w:t xml:space="preserve">de prestaciones por parte de FEDEPALMA, </w:t>
      </w:r>
      <w:r w:rsidR="007E73F4" w:rsidRPr="003006D9">
        <w:rPr>
          <w:rFonts w:cs="Arial"/>
        </w:rPr>
        <w:t xml:space="preserve">cuyo reconocimiento por parte del Estado </w:t>
      </w:r>
      <w:r w:rsidR="008707C5" w:rsidRPr="003006D9">
        <w:rPr>
          <w:rFonts w:cs="Arial"/>
        </w:rPr>
        <w:t>estuviera supeditado</w:t>
      </w:r>
      <w:r w:rsidR="005A1787" w:rsidRPr="003006D9">
        <w:rPr>
          <w:rFonts w:cs="Arial"/>
        </w:rPr>
        <w:t xml:space="preserve"> al artículo 48 de la Ley </w:t>
      </w:r>
      <w:r w:rsidR="005A1787" w:rsidRPr="003006D9">
        <w:rPr>
          <w:rFonts w:cs="Arial"/>
        </w:rPr>
        <w:lastRenderedPageBreak/>
        <w:t xml:space="preserve">80 de 1993, esto </w:t>
      </w:r>
      <w:r w:rsidR="001E570B" w:rsidRPr="003006D9">
        <w:rPr>
          <w:rFonts w:cs="Arial"/>
        </w:rPr>
        <w:t xml:space="preserve">es, </w:t>
      </w:r>
      <w:r w:rsidR="005A1787" w:rsidRPr="003006D9">
        <w:rPr>
          <w:rFonts w:cs="Arial"/>
        </w:rPr>
        <w:t xml:space="preserve">que no procede apreciar </w:t>
      </w:r>
      <w:r w:rsidR="00C430BC" w:rsidRPr="003006D9">
        <w:rPr>
          <w:rFonts w:cs="Arial"/>
        </w:rPr>
        <w:t>si l</w:t>
      </w:r>
      <w:r w:rsidR="007E73F4" w:rsidRPr="003006D9">
        <w:rPr>
          <w:rFonts w:cs="Arial"/>
        </w:rPr>
        <w:t xml:space="preserve">as prestaciones </w:t>
      </w:r>
      <w:r w:rsidR="00C430BC" w:rsidRPr="003006D9">
        <w:rPr>
          <w:rFonts w:cs="Arial"/>
        </w:rPr>
        <w:t>recibid</w:t>
      </w:r>
      <w:r w:rsidR="007E73F4" w:rsidRPr="003006D9">
        <w:rPr>
          <w:rFonts w:cs="Arial"/>
        </w:rPr>
        <w:t>as</w:t>
      </w:r>
      <w:r w:rsidR="00C430BC" w:rsidRPr="003006D9">
        <w:rPr>
          <w:rFonts w:cs="Arial"/>
        </w:rPr>
        <w:t xml:space="preserve"> por el </w:t>
      </w:r>
      <w:r w:rsidR="008707C5" w:rsidRPr="003006D9">
        <w:rPr>
          <w:rFonts w:cs="Arial"/>
        </w:rPr>
        <w:t xml:space="preserve">ICA </w:t>
      </w:r>
      <w:r w:rsidR="00C430BC" w:rsidRPr="003006D9">
        <w:rPr>
          <w:rFonts w:cs="Arial"/>
        </w:rPr>
        <w:t>fue</w:t>
      </w:r>
      <w:r w:rsidR="007E73F4" w:rsidRPr="003006D9">
        <w:rPr>
          <w:rFonts w:cs="Arial"/>
        </w:rPr>
        <w:t>ron</w:t>
      </w:r>
      <w:r w:rsidR="00C430BC" w:rsidRPr="003006D9">
        <w:rPr>
          <w:rFonts w:cs="Arial"/>
        </w:rPr>
        <w:t xml:space="preserve"> </w:t>
      </w:r>
      <w:r w:rsidR="005A1787" w:rsidRPr="003006D9">
        <w:rPr>
          <w:rFonts w:cs="Arial"/>
        </w:rPr>
        <w:t xml:space="preserve">o no </w:t>
      </w:r>
      <w:r w:rsidR="00C430BC" w:rsidRPr="003006D9">
        <w:rPr>
          <w:rFonts w:cs="Arial"/>
        </w:rPr>
        <w:t>en beneficio del interés general</w:t>
      </w:r>
      <w:r w:rsidR="005A1787" w:rsidRPr="003006D9">
        <w:rPr>
          <w:rFonts w:cs="Arial"/>
        </w:rPr>
        <w:t>, como alude la norma citada</w:t>
      </w:r>
      <w:r w:rsidR="00C430BC" w:rsidRPr="003006D9">
        <w:rPr>
          <w:rFonts w:cs="Arial"/>
        </w:rPr>
        <w:t>.</w:t>
      </w:r>
      <w:r w:rsidR="008707C5" w:rsidRPr="003006D9">
        <w:rPr>
          <w:rFonts w:cs="Arial"/>
        </w:rPr>
        <w:t xml:space="preserve"> Lo cierto </w:t>
      </w:r>
      <w:r w:rsidR="001E570B" w:rsidRPr="003006D9">
        <w:rPr>
          <w:rFonts w:cs="Arial"/>
        </w:rPr>
        <w:t xml:space="preserve">es que </w:t>
      </w:r>
      <w:r w:rsidR="005A1787" w:rsidRPr="003006D9">
        <w:rPr>
          <w:rFonts w:cs="Arial"/>
        </w:rPr>
        <w:t xml:space="preserve">en este proceso </w:t>
      </w:r>
      <w:r w:rsidR="001E570B" w:rsidRPr="003006D9">
        <w:rPr>
          <w:rFonts w:cs="Arial"/>
        </w:rPr>
        <w:t xml:space="preserve">se acreditó que </w:t>
      </w:r>
      <w:r w:rsidR="008707C5" w:rsidRPr="003006D9">
        <w:rPr>
          <w:rFonts w:cs="Arial"/>
        </w:rPr>
        <w:t>el precio se pagó y debe ser restituido co</w:t>
      </w:r>
      <w:r w:rsidR="005A1787" w:rsidRPr="003006D9">
        <w:rPr>
          <w:rFonts w:cs="Arial"/>
        </w:rPr>
        <w:t xml:space="preserve">mo efecto de la declaración de nulidad. </w:t>
      </w:r>
    </w:p>
    <w:p w:rsidR="007E73F4" w:rsidRPr="003006D9" w:rsidRDefault="007E73F4" w:rsidP="00A2420B">
      <w:pPr>
        <w:ind w:right="51"/>
        <w:rPr>
          <w:rFonts w:cs="Arial"/>
        </w:rPr>
      </w:pPr>
    </w:p>
    <w:p w:rsidR="007E73F4" w:rsidRPr="003006D9" w:rsidRDefault="007E73F4" w:rsidP="00A2420B">
      <w:pPr>
        <w:ind w:right="51"/>
        <w:rPr>
          <w:rFonts w:cs="Arial"/>
        </w:rPr>
      </w:pPr>
      <w:r w:rsidRPr="003006D9">
        <w:rPr>
          <w:rFonts w:cs="Arial"/>
        </w:rPr>
        <w:t>Corresponde, por tanto, determinar el precio recibido por razón del contrato de promesa de compraventa que el Estado debe devolver.</w:t>
      </w:r>
    </w:p>
    <w:p w:rsidR="004652D6" w:rsidRPr="003006D9" w:rsidRDefault="007E73F4" w:rsidP="00A2420B">
      <w:pPr>
        <w:ind w:right="51"/>
        <w:rPr>
          <w:rFonts w:cs="Arial"/>
        </w:rPr>
      </w:pPr>
      <w:r w:rsidRPr="003006D9">
        <w:rPr>
          <w:rFonts w:cs="Arial"/>
        </w:rPr>
        <w:t xml:space="preserve"> </w:t>
      </w:r>
    </w:p>
    <w:p w:rsidR="00CD04BB" w:rsidRPr="003006D9" w:rsidRDefault="004652D6" w:rsidP="00A2420B">
      <w:pPr>
        <w:ind w:right="51"/>
        <w:rPr>
          <w:rFonts w:cs="Arial"/>
        </w:rPr>
      </w:pPr>
      <w:r w:rsidRPr="003006D9">
        <w:rPr>
          <w:rFonts w:cs="Arial"/>
        </w:rPr>
        <w:t xml:space="preserve">De acuerdo con la certificación expedida por el ICA se </w:t>
      </w:r>
      <w:r w:rsidR="001E570B" w:rsidRPr="003006D9">
        <w:rPr>
          <w:rFonts w:cs="Arial"/>
        </w:rPr>
        <w:t xml:space="preserve">demostró </w:t>
      </w:r>
      <w:r w:rsidRPr="003006D9">
        <w:rPr>
          <w:rFonts w:cs="Arial"/>
        </w:rPr>
        <w:t xml:space="preserve">que </w:t>
      </w:r>
      <w:r w:rsidR="00B504D7" w:rsidRPr="003006D9">
        <w:rPr>
          <w:rFonts w:cs="Arial"/>
        </w:rPr>
        <w:t>esa entidad recibió la suma de $4.165’000.000 en cuatro contados, registrados en el mes de octubre de 2010</w:t>
      </w:r>
      <w:r w:rsidR="00B504D7" w:rsidRPr="003006D9">
        <w:rPr>
          <w:rStyle w:val="Refdenotaalpie"/>
          <w:rFonts w:cs="Arial"/>
        </w:rPr>
        <w:footnoteReference w:id="94"/>
      </w:r>
      <w:r w:rsidR="00CD04BB" w:rsidRPr="003006D9">
        <w:rPr>
          <w:rFonts w:cs="Arial"/>
        </w:rPr>
        <w:t>, por concepto del precio total pactado en la promesa de compraventa</w:t>
      </w:r>
      <w:r w:rsidR="00B504D7" w:rsidRPr="003006D9">
        <w:rPr>
          <w:rFonts w:cs="Arial"/>
        </w:rPr>
        <w:t>.</w:t>
      </w:r>
      <w:r w:rsidR="00E022AC" w:rsidRPr="003006D9">
        <w:rPr>
          <w:rFonts w:cs="Arial"/>
        </w:rPr>
        <w:t xml:space="preserve"> No obstante, </w:t>
      </w:r>
      <w:r w:rsidR="00666E43" w:rsidRPr="003006D9">
        <w:rPr>
          <w:rFonts w:cs="Arial"/>
        </w:rPr>
        <w:t xml:space="preserve">de acuerdo con las pruebas allegadas al plenario el primer contado correspondió a la consignación realizada el 13 de agosto de 2010, para participar en el proceso de selección; el segundo contado </w:t>
      </w:r>
      <w:r w:rsidR="00A500BC" w:rsidRPr="003006D9">
        <w:rPr>
          <w:rFonts w:cs="Arial"/>
        </w:rPr>
        <w:t xml:space="preserve">se realizó el 23 de septiembre de </w:t>
      </w:r>
      <w:r w:rsidR="00E022AC" w:rsidRPr="003006D9">
        <w:rPr>
          <w:rFonts w:cs="Arial"/>
        </w:rPr>
        <w:t>2010</w:t>
      </w:r>
      <w:r w:rsidR="00E20745" w:rsidRPr="003006D9">
        <w:rPr>
          <w:rFonts w:cs="Arial"/>
        </w:rPr>
        <w:t xml:space="preserve">, previo a la firma de la promesa de compraventa </w:t>
      </w:r>
      <w:r w:rsidR="00A500BC" w:rsidRPr="003006D9">
        <w:rPr>
          <w:rFonts w:cs="Arial"/>
        </w:rPr>
        <w:t xml:space="preserve"> y los dos últimos pagos se realizaron el 27 de  </w:t>
      </w:r>
      <w:r w:rsidR="007E73F4" w:rsidRPr="003006D9">
        <w:rPr>
          <w:rFonts w:cs="Arial"/>
        </w:rPr>
        <w:t>octubre de 2010</w:t>
      </w:r>
      <w:r w:rsidR="00A500BC" w:rsidRPr="003006D9">
        <w:rPr>
          <w:rFonts w:cs="Arial"/>
        </w:rPr>
        <w:t>.</w:t>
      </w:r>
    </w:p>
    <w:p w:rsidR="00DC15D2" w:rsidRPr="003006D9" w:rsidRDefault="00DC15D2" w:rsidP="00A2420B">
      <w:pPr>
        <w:ind w:right="51"/>
        <w:rPr>
          <w:rFonts w:cs="Arial"/>
        </w:rPr>
      </w:pPr>
    </w:p>
    <w:p w:rsidR="00FB2B46" w:rsidRPr="003006D9" w:rsidRDefault="00FB2B46" w:rsidP="00A2420B">
      <w:pPr>
        <w:pStyle w:val="Lista2"/>
        <w:ind w:left="0" w:right="51" w:firstLine="0"/>
        <w:rPr>
          <w:rFonts w:cs="Arial"/>
        </w:rPr>
      </w:pPr>
      <w:r w:rsidRPr="003006D9">
        <w:rPr>
          <w:rFonts w:cs="Arial"/>
        </w:rPr>
        <w:t>Como consecuencia</w:t>
      </w:r>
      <w:r w:rsidR="001173F2" w:rsidRPr="003006D9">
        <w:rPr>
          <w:rFonts w:cs="Arial"/>
        </w:rPr>
        <w:t>,</w:t>
      </w:r>
      <w:r w:rsidRPr="003006D9">
        <w:rPr>
          <w:rFonts w:cs="Arial"/>
        </w:rPr>
        <w:t xml:space="preserve"> se actualiza la condena</w:t>
      </w:r>
      <w:r w:rsidR="007E73F4" w:rsidRPr="003006D9">
        <w:rPr>
          <w:rFonts w:cs="Arial"/>
        </w:rPr>
        <w:t xml:space="preserve"> a cargo del ICA, correspondiente a la restitución del precio recibido</w:t>
      </w:r>
      <w:r w:rsidR="00DC15D2" w:rsidRPr="003006D9">
        <w:rPr>
          <w:rFonts w:cs="Arial"/>
        </w:rPr>
        <w:t xml:space="preserve">, teniendo en cuenta el mes en que se realizó cada </w:t>
      </w:r>
      <w:r w:rsidR="00A500BC" w:rsidRPr="003006D9">
        <w:rPr>
          <w:rFonts w:cs="Arial"/>
        </w:rPr>
        <w:t xml:space="preserve">una de las </w:t>
      </w:r>
      <w:r w:rsidR="00DC15D2" w:rsidRPr="003006D9">
        <w:rPr>
          <w:rFonts w:cs="Arial"/>
        </w:rPr>
        <w:t>consignaci</w:t>
      </w:r>
      <w:r w:rsidR="00A500BC" w:rsidRPr="003006D9">
        <w:rPr>
          <w:rFonts w:cs="Arial"/>
        </w:rPr>
        <w:t>ones</w:t>
      </w:r>
      <w:r w:rsidR="00DC15D2" w:rsidRPr="003006D9">
        <w:rPr>
          <w:rFonts w:cs="Arial"/>
        </w:rPr>
        <w:t xml:space="preserve">, </w:t>
      </w:r>
      <w:r w:rsidR="007339F2" w:rsidRPr="003006D9">
        <w:rPr>
          <w:rFonts w:cs="Arial"/>
        </w:rPr>
        <w:t xml:space="preserve">con base en la </w:t>
      </w:r>
      <w:r w:rsidRPr="003006D9">
        <w:rPr>
          <w:rFonts w:cs="Arial"/>
        </w:rPr>
        <w:t xml:space="preserve">siguiente </w:t>
      </w:r>
      <w:r w:rsidR="007339F2" w:rsidRPr="003006D9">
        <w:rPr>
          <w:rFonts w:cs="Arial"/>
        </w:rPr>
        <w:t>fórmula</w:t>
      </w:r>
      <w:r w:rsidRPr="003006D9">
        <w:rPr>
          <w:rFonts w:cs="Arial"/>
        </w:rPr>
        <w:t>:</w:t>
      </w:r>
    </w:p>
    <w:p w:rsidR="00DC15D2" w:rsidRPr="003006D9" w:rsidRDefault="00DC15D2" w:rsidP="00FB2B46">
      <w:pPr>
        <w:pStyle w:val="Lista2"/>
        <w:ind w:left="0" w:firstLine="0"/>
        <w:rPr>
          <w:rFonts w:cs="Arial"/>
        </w:rPr>
      </w:pPr>
    </w:p>
    <w:p w:rsidR="007339F2" w:rsidRPr="003006D9" w:rsidRDefault="007339F2" w:rsidP="007339F2">
      <w:pPr>
        <w:pStyle w:val="Lista2"/>
        <w:ind w:left="0" w:firstLine="0"/>
        <w:rPr>
          <w:rFonts w:cs="Arial"/>
        </w:rPr>
      </w:pPr>
      <w:r w:rsidRPr="003006D9">
        <w:rPr>
          <w:rFonts w:cs="Arial"/>
        </w:rPr>
        <w:t>Valor actualizado = Valor histórico x índice final</w:t>
      </w:r>
      <w:r w:rsidRPr="003006D9">
        <w:rPr>
          <w:rStyle w:val="Refdenotaalpie"/>
          <w:rFonts w:cs="Arial"/>
        </w:rPr>
        <w:footnoteReference w:id="95"/>
      </w:r>
      <w:r w:rsidRPr="003006D9">
        <w:rPr>
          <w:rFonts w:cs="Arial"/>
        </w:rPr>
        <w:t xml:space="preserve"> / índice inicial</w:t>
      </w:r>
      <w:r w:rsidRPr="003006D9">
        <w:rPr>
          <w:rStyle w:val="Refdenotaalpie"/>
          <w:rFonts w:cs="Arial"/>
        </w:rPr>
        <w:footnoteReference w:id="96"/>
      </w:r>
    </w:p>
    <w:p w:rsidR="00901D49" w:rsidRPr="003006D9" w:rsidRDefault="00901D49" w:rsidP="00835BEF">
      <w:pPr>
        <w:pStyle w:val="Lista2"/>
        <w:spacing w:line="240" w:lineRule="auto"/>
        <w:ind w:left="0" w:firstLine="0"/>
        <w:rPr>
          <w:rFonts w:cs="Arial"/>
          <w:b/>
        </w:rPr>
      </w:pPr>
    </w:p>
    <w:p w:rsidR="00901D49" w:rsidRPr="003006D9" w:rsidRDefault="00901D49" w:rsidP="00835BEF">
      <w:pPr>
        <w:pStyle w:val="Lista2"/>
        <w:spacing w:line="240" w:lineRule="auto"/>
        <w:ind w:left="0" w:firstLine="0"/>
        <w:rPr>
          <w:rFonts w:cs="Arial"/>
          <w:b/>
        </w:rPr>
      </w:pPr>
    </w:p>
    <w:p w:rsidR="006C4CCE" w:rsidRPr="003006D9" w:rsidRDefault="006C4CCE" w:rsidP="00835BEF">
      <w:pPr>
        <w:pStyle w:val="Lista2"/>
        <w:spacing w:line="240" w:lineRule="auto"/>
        <w:ind w:left="0" w:firstLine="0"/>
        <w:rPr>
          <w:rFonts w:cs="Arial"/>
        </w:rPr>
      </w:pPr>
      <w:r w:rsidRPr="003006D9">
        <w:rPr>
          <w:rFonts w:cs="Arial"/>
          <w:b/>
        </w:rPr>
        <w:t>Valor actualizado</w:t>
      </w:r>
      <w:r w:rsidR="007339F2" w:rsidRPr="003006D9">
        <w:rPr>
          <w:rFonts w:cs="Arial"/>
          <w:b/>
        </w:rPr>
        <w:t xml:space="preserve"> 1,</w:t>
      </w:r>
      <w:r w:rsidRPr="003006D9">
        <w:rPr>
          <w:rFonts w:cs="Arial"/>
          <w:b/>
        </w:rPr>
        <w:t xml:space="preserve"> </w:t>
      </w:r>
      <w:r w:rsidR="0034480B" w:rsidRPr="003006D9">
        <w:rPr>
          <w:rFonts w:cs="Arial"/>
          <w:b/>
        </w:rPr>
        <w:t xml:space="preserve">calculado </w:t>
      </w:r>
      <w:r w:rsidRPr="003006D9">
        <w:rPr>
          <w:rFonts w:cs="Arial"/>
          <w:b/>
        </w:rPr>
        <w:t>sobre el monto del primer contado consignado el 13 de agosto de 2010</w:t>
      </w:r>
      <w:r w:rsidRPr="003006D9">
        <w:rPr>
          <w:rStyle w:val="Refdenotaalpie"/>
          <w:rFonts w:cs="Arial"/>
        </w:rPr>
        <w:footnoteReference w:id="97"/>
      </w:r>
    </w:p>
    <w:p w:rsidR="00835BEF" w:rsidRPr="003006D9" w:rsidRDefault="00835BEF" w:rsidP="00835BEF">
      <w:pPr>
        <w:pStyle w:val="Lista2"/>
        <w:spacing w:line="240" w:lineRule="auto"/>
        <w:ind w:left="0" w:firstLine="0"/>
        <w:rPr>
          <w:rFonts w:cs="Arial"/>
        </w:rPr>
      </w:pPr>
    </w:p>
    <w:p w:rsidR="005A71E1" w:rsidRPr="003006D9" w:rsidRDefault="005A71E1" w:rsidP="005A71E1">
      <w:pPr>
        <w:pStyle w:val="Lista2"/>
        <w:ind w:left="0" w:firstLine="0"/>
        <w:rPr>
          <w:rFonts w:cs="Arial"/>
        </w:rPr>
      </w:pPr>
      <w:r w:rsidRPr="003006D9">
        <w:rPr>
          <w:rFonts w:cs="Arial"/>
        </w:rPr>
        <w:t xml:space="preserve">Valor actualizado </w:t>
      </w:r>
      <w:r w:rsidR="007339F2" w:rsidRPr="003006D9">
        <w:rPr>
          <w:rFonts w:cs="Arial"/>
        </w:rPr>
        <w:t xml:space="preserve">= </w:t>
      </w:r>
      <w:r w:rsidRPr="003006D9">
        <w:rPr>
          <w:rFonts w:cs="Arial"/>
        </w:rPr>
        <w:t xml:space="preserve">  $83</w:t>
      </w:r>
      <w:r w:rsidR="006C4CCE" w:rsidRPr="003006D9">
        <w:rPr>
          <w:rFonts w:cs="Arial"/>
        </w:rPr>
        <w:t>0</w:t>
      </w:r>
      <w:r w:rsidRPr="003006D9">
        <w:rPr>
          <w:rFonts w:cs="Arial"/>
        </w:rPr>
        <w:t>’000.000 x13</w:t>
      </w:r>
      <w:r w:rsidR="00E518F9" w:rsidRPr="003006D9">
        <w:rPr>
          <w:rFonts w:cs="Arial"/>
        </w:rPr>
        <w:t>7,40</w:t>
      </w:r>
      <w:r w:rsidRPr="003006D9">
        <w:rPr>
          <w:rFonts w:cs="Arial"/>
        </w:rPr>
        <w:t>/</w:t>
      </w:r>
      <w:r w:rsidR="00D55EE5" w:rsidRPr="003006D9">
        <w:rPr>
          <w:rFonts w:cs="Arial"/>
        </w:rPr>
        <w:t>104,59</w:t>
      </w:r>
      <w:r w:rsidR="00D55EE5" w:rsidRPr="003006D9">
        <w:rPr>
          <w:rStyle w:val="Refdenotaalpie"/>
          <w:rFonts w:cs="Arial"/>
        </w:rPr>
        <w:footnoteReference w:id="98"/>
      </w:r>
    </w:p>
    <w:p w:rsidR="00D55EE5" w:rsidRPr="003006D9" w:rsidRDefault="005A71E1" w:rsidP="005A71E1">
      <w:pPr>
        <w:pStyle w:val="Lista2"/>
        <w:ind w:left="0" w:firstLine="0"/>
        <w:rPr>
          <w:rFonts w:cs="Arial"/>
        </w:rPr>
      </w:pPr>
      <w:r w:rsidRPr="003006D9">
        <w:rPr>
          <w:rFonts w:cs="Arial"/>
        </w:rPr>
        <w:t>Valor actualizado</w:t>
      </w:r>
      <w:r w:rsidR="007339F2" w:rsidRPr="003006D9">
        <w:rPr>
          <w:rFonts w:cs="Arial"/>
        </w:rPr>
        <w:t xml:space="preserve"> 1</w:t>
      </w:r>
      <w:r w:rsidRPr="003006D9">
        <w:rPr>
          <w:rFonts w:cs="Arial"/>
        </w:rPr>
        <w:t>= $</w:t>
      </w:r>
      <w:r w:rsidR="00835BEF" w:rsidRPr="003006D9">
        <w:rPr>
          <w:rFonts w:cs="Arial"/>
        </w:rPr>
        <w:t>1.0</w:t>
      </w:r>
      <w:r w:rsidR="00E518F9" w:rsidRPr="003006D9">
        <w:rPr>
          <w:rFonts w:cs="Arial"/>
        </w:rPr>
        <w:t>9</w:t>
      </w:r>
      <w:r w:rsidR="00835BEF" w:rsidRPr="003006D9">
        <w:rPr>
          <w:rFonts w:cs="Arial"/>
        </w:rPr>
        <w:t>0’</w:t>
      </w:r>
      <w:r w:rsidR="00E518F9" w:rsidRPr="003006D9">
        <w:rPr>
          <w:rFonts w:cs="Arial"/>
        </w:rPr>
        <w:t>371</w:t>
      </w:r>
      <w:r w:rsidR="005630A2" w:rsidRPr="003006D9">
        <w:rPr>
          <w:rFonts w:cs="Arial"/>
        </w:rPr>
        <w:t>.</w:t>
      </w:r>
      <w:r w:rsidR="00E518F9" w:rsidRPr="003006D9">
        <w:rPr>
          <w:rFonts w:cs="Arial"/>
        </w:rPr>
        <w:t>928</w:t>
      </w:r>
    </w:p>
    <w:p w:rsidR="005630A2" w:rsidRPr="003006D9" w:rsidRDefault="005630A2" w:rsidP="005A71E1">
      <w:pPr>
        <w:pStyle w:val="Lista2"/>
        <w:ind w:left="0" w:firstLine="0"/>
        <w:rPr>
          <w:rFonts w:cs="Arial"/>
        </w:rPr>
      </w:pPr>
    </w:p>
    <w:p w:rsidR="00835BEF" w:rsidRPr="003006D9" w:rsidRDefault="00835BEF" w:rsidP="00835BEF">
      <w:pPr>
        <w:pStyle w:val="Lista2"/>
        <w:spacing w:line="240" w:lineRule="auto"/>
        <w:ind w:left="0" w:firstLine="0"/>
        <w:rPr>
          <w:rFonts w:cs="Arial"/>
        </w:rPr>
      </w:pPr>
      <w:r w:rsidRPr="003006D9">
        <w:rPr>
          <w:rFonts w:cs="Arial"/>
          <w:b/>
        </w:rPr>
        <w:lastRenderedPageBreak/>
        <w:t xml:space="preserve">Valor actualizado </w:t>
      </w:r>
      <w:r w:rsidR="007339F2" w:rsidRPr="003006D9">
        <w:rPr>
          <w:rFonts w:cs="Arial"/>
          <w:b/>
        </w:rPr>
        <w:t xml:space="preserve">2, </w:t>
      </w:r>
      <w:r w:rsidR="0034480B" w:rsidRPr="003006D9">
        <w:rPr>
          <w:rFonts w:cs="Arial"/>
          <w:b/>
        </w:rPr>
        <w:t xml:space="preserve">calculado </w:t>
      </w:r>
      <w:r w:rsidRPr="003006D9">
        <w:rPr>
          <w:rFonts w:cs="Arial"/>
          <w:b/>
        </w:rPr>
        <w:t>sobre el monto del segundo contado consignado el 23 de septiembre de 2010</w:t>
      </w:r>
      <w:r w:rsidRPr="003006D9">
        <w:rPr>
          <w:rStyle w:val="Refdenotaalpie"/>
          <w:rFonts w:cs="Arial"/>
        </w:rPr>
        <w:footnoteReference w:id="99"/>
      </w:r>
    </w:p>
    <w:p w:rsidR="00835BEF" w:rsidRPr="003006D9" w:rsidRDefault="00835BEF" w:rsidP="00D55EE5">
      <w:pPr>
        <w:pStyle w:val="Lista2"/>
        <w:ind w:left="0" w:firstLine="0"/>
        <w:rPr>
          <w:rFonts w:cs="Arial"/>
        </w:rPr>
      </w:pPr>
    </w:p>
    <w:p w:rsidR="00D55EE5" w:rsidRPr="003006D9" w:rsidRDefault="00D55EE5" w:rsidP="00D55EE5">
      <w:pPr>
        <w:pStyle w:val="Lista2"/>
        <w:ind w:left="0" w:firstLine="0"/>
        <w:rPr>
          <w:rFonts w:cs="Arial"/>
        </w:rPr>
      </w:pPr>
      <w:r w:rsidRPr="003006D9">
        <w:rPr>
          <w:rFonts w:cs="Arial"/>
        </w:rPr>
        <w:t xml:space="preserve">Valor actualizado </w:t>
      </w:r>
      <w:r w:rsidR="007339F2" w:rsidRPr="003006D9">
        <w:rPr>
          <w:rFonts w:cs="Arial"/>
        </w:rPr>
        <w:t xml:space="preserve"> 2 </w:t>
      </w:r>
      <w:r w:rsidRPr="003006D9">
        <w:rPr>
          <w:rFonts w:cs="Arial"/>
        </w:rPr>
        <w:t>=  $83</w:t>
      </w:r>
      <w:r w:rsidR="00835BEF" w:rsidRPr="003006D9">
        <w:rPr>
          <w:rFonts w:cs="Arial"/>
        </w:rPr>
        <w:t>3</w:t>
      </w:r>
      <w:r w:rsidR="00842508" w:rsidRPr="003006D9">
        <w:rPr>
          <w:rFonts w:cs="Arial"/>
        </w:rPr>
        <w:t>’</w:t>
      </w:r>
      <w:r w:rsidRPr="003006D9">
        <w:rPr>
          <w:rFonts w:cs="Arial"/>
        </w:rPr>
        <w:t>000</w:t>
      </w:r>
      <w:r w:rsidR="00E518F9" w:rsidRPr="003006D9">
        <w:rPr>
          <w:rFonts w:cs="Arial"/>
        </w:rPr>
        <w:t>.</w:t>
      </w:r>
      <w:r w:rsidRPr="003006D9">
        <w:rPr>
          <w:rFonts w:cs="Arial"/>
        </w:rPr>
        <w:t>000 x13</w:t>
      </w:r>
      <w:r w:rsidR="00E518F9" w:rsidRPr="003006D9">
        <w:rPr>
          <w:rFonts w:cs="Arial"/>
        </w:rPr>
        <w:t>7,40</w:t>
      </w:r>
      <w:r w:rsidRPr="003006D9">
        <w:rPr>
          <w:rFonts w:cs="Arial"/>
        </w:rPr>
        <w:t>/104,45</w:t>
      </w:r>
      <w:r w:rsidRPr="003006D9">
        <w:rPr>
          <w:rStyle w:val="Refdenotaalpie"/>
          <w:rFonts w:cs="Arial"/>
        </w:rPr>
        <w:footnoteReference w:id="100"/>
      </w:r>
    </w:p>
    <w:p w:rsidR="00D55EE5" w:rsidRPr="003006D9" w:rsidRDefault="00D55EE5" w:rsidP="00D55EE5">
      <w:pPr>
        <w:pStyle w:val="Lista2"/>
        <w:ind w:left="0" w:firstLine="0"/>
        <w:rPr>
          <w:rFonts w:cs="Arial"/>
        </w:rPr>
      </w:pPr>
      <w:r w:rsidRPr="003006D9">
        <w:rPr>
          <w:rFonts w:cs="Arial"/>
        </w:rPr>
        <w:t>Valor actualizado</w:t>
      </w:r>
      <w:r w:rsidR="007339F2" w:rsidRPr="003006D9">
        <w:rPr>
          <w:rFonts w:cs="Arial"/>
        </w:rPr>
        <w:t xml:space="preserve"> 2 </w:t>
      </w:r>
      <w:r w:rsidRPr="003006D9">
        <w:rPr>
          <w:rFonts w:cs="Arial"/>
        </w:rPr>
        <w:t>= $</w:t>
      </w:r>
      <w:r w:rsidR="00CA24AB" w:rsidRPr="003006D9">
        <w:rPr>
          <w:rFonts w:cs="Arial"/>
        </w:rPr>
        <w:t>1.0</w:t>
      </w:r>
      <w:r w:rsidR="008C20A7" w:rsidRPr="003006D9">
        <w:rPr>
          <w:rFonts w:cs="Arial"/>
        </w:rPr>
        <w:t>9</w:t>
      </w:r>
      <w:r w:rsidR="00E518F9" w:rsidRPr="003006D9">
        <w:rPr>
          <w:rFonts w:cs="Arial"/>
        </w:rPr>
        <w:t>5</w:t>
      </w:r>
      <w:r w:rsidR="00842508" w:rsidRPr="003006D9">
        <w:rPr>
          <w:rFonts w:cs="Arial"/>
        </w:rPr>
        <w:t>’</w:t>
      </w:r>
      <w:r w:rsidR="00E518F9" w:rsidRPr="003006D9">
        <w:rPr>
          <w:rFonts w:cs="Arial"/>
        </w:rPr>
        <w:t>779.798</w:t>
      </w:r>
    </w:p>
    <w:p w:rsidR="005A71E1" w:rsidRPr="003006D9" w:rsidRDefault="005A71E1" w:rsidP="00FB2B46">
      <w:pPr>
        <w:pStyle w:val="Lista2"/>
        <w:ind w:left="0" w:firstLine="0"/>
        <w:rPr>
          <w:rFonts w:cs="Arial"/>
        </w:rPr>
      </w:pPr>
    </w:p>
    <w:p w:rsidR="00CA24AB" w:rsidRPr="003006D9" w:rsidRDefault="00CA24AB" w:rsidP="00CA24AB">
      <w:pPr>
        <w:pStyle w:val="Lista2"/>
        <w:spacing w:line="240" w:lineRule="auto"/>
        <w:ind w:left="0" w:firstLine="0"/>
        <w:rPr>
          <w:rFonts w:cs="Arial"/>
        </w:rPr>
      </w:pPr>
      <w:r w:rsidRPr="003006D9">
        <w:rPr>
          <w:rFonts w:cs="Arial"/>
          <w:b/>
        </w:rPr>
        <w:t xml:space="preserve">Valor actualizado </w:t>
      </w:r>
      <w:r w:rsidR="007339F2" w:rsidRPr="003006D9">
        <w:rPr>
          <w:rFonts w:cs="Arial"/>
          <w:b/>
        </w:rPr>
        <w:t xml:space="preserve">3, </w:t>
      </w:r>
      <w:r w:rsidR="0034480B" w:rsidRPr="003006D9">
        <w:rPr>
          <w:rFonts w:cs="Arial"/>
          <w:b/>
        </w:rPr>
        <w:t xml:space="preserve">calculado </w:t>
      </w:r>
      <w:r w:rsidRPr="003006D9">
        <w:rPr>
          <w:rFonts w:cs="Arial"/>
          <w:b/>
        </w:rPr>
        <w:t xml:space="preserve">sobre el monto del </w:t>
      </w:r>
      <w:r w:rsidR="00DD2D5E" w:rsidRPr="003006D9">
        <w:rPr>
          <w:rFonts w:cs="Arial"/>
          <w:b/>
        </w:rPr>
        <w:t xml:space="preserve">tercer </w:t>
      </w:r>
      <w:r w:rsidR="007339F2" w:rsidRPr="003006D9">
        <w:rPr>
          <w:rFonts w:cs="Arial"/>
          <w:b/>
        </w:rPr>
        <w:t xml:space="preserve">y del cuarto </w:t>
      </w:r>
      <w:r w:rsidR="00DD2D5E" w:rsidRPr="003006D9">
        <w:rPr>
          <w:rFonts w:cs="Arial"/>
          <w:b/>
        </w:rPr>
        <w:t xml:space="preserve">contado </w:t>
      </w:r>
      <w:r w:rsidRPr="003006D9">
        <w:rPr>
          <w:rFonts w:cs="Arial"/>
          <w:b/>
        </w:rPr>
        <w:t xml:space="preserve">consignado el </w:t>
      </w:r>
      <w:r w:rsidR="00DD2D5E" w:rsidRPr="003006D9">
        <w:rPr>
          <w:rFonts w:cs="Arial"/>
          <w:b/>
        </w:rPr>
        <w:t>27</w:t>
      </w:r>
      <w:r w:rsidRPr="003006D9">
        <w:rPr>
          <w:rFonts w:cs="Arial"/>
          <w:b/>
        </w:rPr>
        <w:t xml:space="preserve"> de </w:t>
      </w:r>
      <w:r w:rsidR="00DD2D5E" w:rsidRPr="003006D9">
        <w:rPr>
          <w:rFonts w:cs="Arial"/>
          <w:b/>
        </w:rPr>
        <w:t>octubre</w:t>
      </w:r>
      <w:r w:rsidRPr="003006D9">
        <w:rPr>
          <w:rFonts w:cs="Arial"/>
          <w:b/>
        </w:rPr>
        <w:t xml:space="preserve"> de 2010</w:t>
      </w:r>
      <w:r w:rsidRPr="003006D9">
        <w:rPr>
          <w:rStyle w:val="Refdenotaalpie"/>
          <w:rFonts w:cs="Arial"/>
        </w:rPr>
        <w:footnoteReference w:id="101"/>
      </w:r>
    </w:p>
    <w:p w:rsidR="00CA24AB" w:rsidRPr="003006D9" w:rsidRDefault="00CA24AB" w:rsidP="00FB2B46">
      <w:pPr>
        <w:pStyle w:val="Lista2"/>
        <w:ind w:left="0" w:firstLine="0"/>
        <w:rPr>
          <w:rFonts w:cs="Arial"/>
        </w:rPr>
      </w:pPr>
    </w:p>
    <w:p w:rsidR="00FB2B46" w:rsidRPr="003006D9" w:rsidRDefault="00FB2B46" w:rsidP="00FB2B46">
      <w:pPr>
        <w:pStyle w:val="Lista2"/>
        <w:ind w:left="0" w:firstLine="0"/>
        <w:rPr>
          <w:rFonts w:cs="Arial"/>
        </w:rPr>
      </w:pPr>
      <w:r w:rsidRPr="003006D9">
        <w:rPr>
          <w:rFonts w:cs="Arial"/>
        </w:rPr>
        <w:t xml:space="preserve">Valor actualizado </w:t>
      </w:r>
      <w:r w:rsidR="0034480B" w:rsidRPr="003006D9">
        <w:rPr>
          <w:rFonts w:cs="Arial"/>
        </w:rPr>
        <w:t xml:space="preserve">3 </w:t>
      </w:r>
      <w:r w:rsidRPr="003006D9">
        <w:rPr>
          <w:rFonts w:cs="Arial"/>
        </w:rPr>
        <w:t>=  $</w:t>
      </w:r>
      <w:r w:rsidR="00DD2D5E" w:rsidRPr="003006D9">
        <w:rPr>
          <w:rFonts w:cs="Arial"/>
        </w:rPr>
        <w:t>2.502</w:t>
      </w:r>
      <w:r w:rsidR="00253EEF" w:rsidRPr="003006D9">
        <w:rPr>
          <w:rFonts w:cs="Arial"/>
        </w:rPr>
        <w:t>’000.000</w:t>
      </w:r>
      <w:r w:rsidRPr="003006D9">
        <w:rPr>
          <w:rFonts w:cs="Arial"/>
        </w:rPr>
        <w:t xml:space="preserve"> x</w:t>
      </w:r>
      <w:r w:rsidR="00395DDC" w:rsidRPr="003006D9">
        <w:rPr>
          <w:rFonts w:cs="Arial"/>
        </w:rPr>
        <w:t>13</w:t>
      </w:r>
      <w:r w:rsidR="0002254D" w:rsidRPr="003006D9">
        <w:rPr>
          <w:rFonts w:cs="Arial"/>
        </w:rPr>
        <w:t>7</w:t>
      </w:r>
      <w:r w:rsidR="00395DDC" w:rsidRPr="003006D9">
        <w:rPr>
          <w:rFonts w:cs="Arial"/>
        </w:rPr>
        <w:t>,</w:t>
      </w:r>
      <w:r w:rsidR="0002254D" w:rsidRPr="003006D9">
        <w:rPr>
          <w:rFonts w:cs="Arial"/>
        </w:rPr>
        <w:t>40</w:t>
      </w:r>
      <w:r w:rsidRPr="003006D9">
        <w:rPr>
          <w:rFonts w:cs="Arial"/>
        </w:rPr>
        <w:t>/</w:t>
      </w:r>
      <w:r w:rsidR="00395DDC" w:rsidRPr="003006D9">
        <w:rPr>
          <w:rFonts w:cs="Arial"/>
        </w:rPr>
        <w:t>104,36</w:t>
      </w:r>
      <w:r w:rsidR="00D55EE5" w:rsidRPr="003006D9">
        <w:rPr>
          <w:rStyle w:val="Refdenotaalpie"/>
          <w:rFonts w:cs="Arial"/>
        </w:rPr>
        <w:footnoteReference w:id="102"/>
      </w:r>
    </w:p>
    <w:p w:rsidR="00FB2B46" w:rsidRPr="003006D9" w:rsidRDefault="00FB2B46" w:rsidP="00FB2B46">
      <w:pPr>
        <w:pStyle w:val="Lista2"/>
        <w:ind w:left="0" w:firstLine="0"/>
        <w:rPr>
          <w:rFonts w:cs="Arial"/>
        </w:rPr>
      </w:pPr>
      <w:r w:rsidRPr="003006D9">
        <w:rPr>
          <w:rFonts w:cs="Arial"/>
        </w:rPr>
        <w:t>Valor actualizado</w:t>
      </w:r>
      <w:r w:rsidR="0034480B" w:rsidRPr="003006D9">
        <w:rPr>
          <w:rFonts w:cs="Arial"/>
        </w:rPr>
        <w:t xml:space="preserve"> 3 </w:t>
      </w:r>
      <w:r w:rsidRPr="003006D9">
        <w:rPr>
          <w:rFonts w:cs="Arial"/>
        </w:rPr>
        <w:t>= $</w:t>
      </w:r>
      <w:r w:rsidR="00DD2D5E" w:rsidRPr="003006D9">
        <w:rPr>
          <w:rFonts w:cs="Arial"/>
        </w:rPr>
        <w:t>3.</w:t>
      </w:r>
      <w:r w:rsidR="00E518F9" w:rsidRPr="003006D9">
        <w:rPr>
          <w:rFonts w:cs="Arial"/>
        </w:rPr>
        <w:t>294´124.185</w:t>
      </w:r>
    </w:p>
    <w:p w:rsidR="00FB2B46" w:rsidRPr="003006D9" w:rsidRDefault="00FB2B46" w:rsidP="00FB2B46">
      <w:pPr>
        <w:pStyle w:val="Lista2"/>
        <w:ind w:left="0" w:firstLine="0"/>
        <w:rPr>
          <w:rFonts w:cs="Arial"/>
        </w:rPr>
      </w:pPr>
    </w:p>
    <w:p w:rsidR="00DC15D2" w:rsidRPr="003006D9" w:rsidRDefault="00DC15D2" w:rsidP="00FB2B46">
      <w:pPr>
        <w:pStyle w:val="Lista2"/>
        <w:ind w:left="0" w:firstLine="0"/>
        <w:rPr>
          <w:rFonts w:cs="Arial"/>
        </w:rPr>
      </w:pPr>
      <w:r w:rsidRPr="003006D9">
        <w:rPr>
          <w:rFonts w:cs="Arial"/>
          <w:b/>
        </w:rPr>
        <w:t>Total valor actualizado</w:t>
      </w:r>
      <w:r w:rsidR="001173F2" w:rsidRPr="003006D9">
        <w:rPr>
          <w:rStyle w:val="Refdenotaalpie"/>
          <w:rFonts w:cs="Arial"/>
        </w:rPr>
        <w:footnoteReference w:id="103"/>
      </w:r>
      <w:r w:rsidRPr="003006D9">
        <w:rPr>
          <w:rFonts w:cs="Arial"/>
        </w:rPr>
        <w:t>:</w:t>
      </w:r>
      <w:r w:rsidR="001173F2" w:rsidRPr="003006D9">
        <w:rPr>
          <w:rFonts w:cs="Arial"/>
        </w:rPr>
        <w:t xml:space="preserve"> </w:t>
      </w:r>
      <w:r w:rsidR="001173F2" w:rsidRPr="003006D9">
        <w:rPr>
          <w:rFonts w:cs="Arial"/>
          <w:b/>
        </w:rPr>
        <w:t>$5.4</w:t>
      </w:r>
      <w:r w:rsidR="00E518F9" w:rsidRPr="003006D9">
        <w:rPr>
          <w:rFonts w:cs="Arial"/>
          <w:b/>
        </w:rPr>
        <w:t>80</w:t>
      </w:r>
      <w:r w:rsidR="00BD1B3D" w:rsidRPr="003006D9">
        <w:rPr>
          <w:rFonts w:cs="Arial"/>
          <w:b/>
        </w:rPr>
        <w:t>’</w:t>
      </w:r>
      <w:r w:rsidR="00E518F9" w:rsidRPr="003006D9">
        <w:rPr>
          <w:rFonts w:cs="Arial"/>
          <w:b/>
        </w:rPr>
        <w:t>275</w:t>
      </w:r>
      <w:r w:rsidR="00BD1B3D" w:rsidRPr="003006D9">
        <w:rPr>
          <w:rFonts w:cs="Arial"/>
          <w:b/>
        </w:rPr>
        <w:t>.</w:t>
      </w:r>
      <w:r w:rsidR="00E518F9" w:rsidRPr="003006D9">
        <w:rPr>
          <w:rFonts w:cs="Arial"/>
          <w:b/>
        </w:rPr>
        <w:t>911</w:t>
      </w:r>
    </w:p>
    <w:p w:rsidR="001173F2" w:rsidRPr="003006D9" w:rsidRDefault="001173F2" w:rsidP="00FB2B46">
      <w:pPr>
        <w:pStyle w:val="Lista2"/>
        <w:ind w:left="0" w:firstLine="0"/>
        <w:rPr>
          <w:rFonts w:cs="Arial"/>
        </w:rPr>
      </w:pPr>
    </w:p>
    <w:p w:rsidR="00B61DA6" w:rsidRPr="003006D9" w:rsidRDefault="00D006CD" w:rsidP="00B61DA6">
      <w:pPr>
        <w:ind w:right="333"/>
        <w:rPr>
          <w:rFonts w:cs="Arial"/>
          <w:b/>
        </w:rPr>
      </w:pPr>
      <w:r w:rsidRPr="003006D9">
        <w:rPr>
          <w:rFonts w:cs="Arial"/>
          <w:b/>
        </w:rPr>
        <w:t>12</w:t>
      </w:r>
      <w:r w:rsidR="0012208A" w:rsidRPr="003006D9">
        <w:rPr>
          <w:rFonts w:cs="Arial"/>
          <w:b/>
        </w:rPr>
        <w:t xml:space="preserve">. </w:t>
      </w:r>
      <w:r w:rsidR="00AE5834" w:rsidRPr="003006D9">
        <w:rPr>
          <w:rFonts w:cs="Arial"/>
          <w:b/>
        </w:rPr>
        <w:t>Análisis de los p</w:t>
      </w:r>
      <w:r w:rsidR="00B61DA6" w:rsidRPr="003006D9">
        <w:rPr>
          <w:rFonts w:cs="Arial"/>
          <w:b/>
        </w:rPr>
        <w:t>erju</w:t>
      </w:r>
      <w:r w:rsidR="003D695A" w:rsidRPr="003006D9">
        <w:rPr>
          <w:rFonts w:cs="Arial"/>
          <w:b/>
        </w:rPr>
        <w:t>i</w:t>
      </w:r>
      <w:r w:rsidR="00B61DA6" w:rsidRPr="003006D9">
        <w:rPr>
          <w:rFonts w:cs="Arial"/>
          <w:b/>
        </w:rPr>
        <w:t>cios</w:t>
      </w:r>
      <w:r w:rsidR="004A2032" w:rsidRPr="003006D9">
        <w:rPr>
          <w:rFonts w:cs="Arial"/>
          <w:b/>
        </w:rPr>
        <w:t xml:space="preserve"> reclamados</w:t>
      </w:r>
    </w:p>
    <w:p w:rsidR="005E551F" w:rsidRPr="003006D9" w:rsidRDefault="005E551F" w:rsidP="005E551F">
      <w:pPr>
        <w:ind w:right="333"/>
        <w:rPr>
          <w:rFonts w:cs="Arial"/>
        </w:rPr>
      </w:pPr>
    </w:p>
    <w:p w:rsidR="005E551F" w:rsidRPr="003006D9" w:rsidRDefault="005E551F" w:rsidP="005E551F">
      <w:pPr>
        <w:ind w:right="333"/>
        <w:rPr>
          <w:rFonts w:cs="Arial"/>
        </w:rPr>
      </w:pPr>
      <w:r w:rsidRPr="003006D9">
        <w:rPr>
          <w:rFonts w:cs="Arial"/>
        </w:rPr>
        <w:t xml:space="preserve">La Sala observa que en la acción de lesividad el Estado puede </w:t>
      </w:r>
      <w:r w:rsidR="00BD3616" w:rsidRPr="003006D9">
        <w:rPr>
          <w:rFonts w:cs="Arial"/>
        </w:rPr>
        <w:t xml:space="preserve">demandar </w:t>
      </w:r>
      <w:r w:rsidRPr="003006D9">
        <w:rPr>
          <w:rFonts w:cs="Arial"/>
        </w:rPr>
        <w:t xml:space="preserve">su propio acto, </w:t>
      </w:r>
      <w:r w:rsidR="00BD3616" w:rsidRPr="003006D9">
        <w:rPr>
          <w:rFonts w:cs="Arial"/>
        </w:rPr>
        <w:t xml:space="preserve">lo cual se entiende en protección de la legalidad. Sin embargo, </w:t>
      </w:r>
      <w:r w:rsidRPr="003006D9">
        <w:rPr>
          <w:rFonts w:cs="Arial"/>
        </w:rPr>
        <w:t xml:space="preserve">en el caso de </w:t>
      </w:r>
      <w:r w:rsidR="00E33AB0" w:rsidRPr="003006D9">
        <w:rPr>
          <w:rFonts w:cs="Arial"/>
        </w:rPr>
        <w:t xml:space="preserve">que se trate de </w:t>
      </w:r>
      <w:r w:rsidRPr="003006D9">
        <w:rPr>
          <w:rFonts w:cs="Arial"/>
        </w:rPr>
        <w:t xml:space="preserve">un acto de carácter particular, </w:t>
      </w:r>
      <w:r w:rsidR="00BD3616" w:rsidRPr="003006D9">
        <w:rPr>
          <w:rFonts w:cs="Arial"/>
        </w:rPr>
        <w:t xml:space="preserve">el Estado </w:t>
      </w:r>
      <w:r w:rsidRPr="003006D9">
        <w:rPr>
          <w:rFonts w:cs="Arial"/>
        </w:rPr>
        <w:t xml:space="preserve">está obligado a indemnizar el perjuicio que la anulación del acto </w:t>
      </w:r>
      <w:r w:rsidR="00CB1138" w:rsidRPr="003006D9">
        <w:rPr>
          <w:rFonts w:cs="Arial"/>
        </w:rPr>
        <w:t xml:space="preserve">impugnado le </w:t>
      </w:r>
      <w:r w:rsidRPr="003006D9">
        <w:rPr>
          <w:rFonts w:cs="Arial"/>
        </w:rPr>
        <w:t xml:space="preserve">cause al administrado por razón de la privación de los derechos que el </w:t>
      </w:r>
      <w:r w:rsidR="00DC15D2" w:rsidRPr="003006D9">
        <w:rPr>
          <w:rFonts w:cs="Arial"/>
        </w:rPr>
        <w:t xml:space="preserve">respectivo </w:t>
      </w:r>
      <w:r w:rsidRPr="003006D9">
        <w:rPr>
          <w:rFonts w:cs="Arial"/>
        </w:rPr>
        <w:t xml:space="preserve">acto administrativo le había conferido. </w:t>
      </w:r>
    </w:p>
    <w:p w:rsidR="005E551F" w:rsidRPr="003006D9" w:rsidRDefault="005E551F" w:rsidP="005E551F">
      <w:pPr>
        <w:ind w:right="333"/>
        <w:rPr>
          <w:rFonts w:cs="Arial"/>
        </w:rPr>
      </w:pPr>
    </w:p>
    <w:p w:rsidR="0029583D" w:rsidRPr="003006D9" w:rsidRDefault="005E551F" w:rsidP="005E551F">
      <w:pPr>
        <w:ind w:right="333"/>
        <w:rPr>
          <w:rFonts w:cs="Arial"/>
        </w:rPr>
      </w:pPr>
      <w:r w:rsidRPr="003006D9">
        <w:rPr>
          <w:rFonts w:cs="Arial"/>
        </w:rPr>
        <w:t>En ese sentido</w:t>
      </w:r>
      <w:r w:rsidR="00901D49" w:rsidRPr="003006D9">
        <w:rPr>
          <w:rFonts w:cs="Arial"/>
        </w:rPr>
        <w:t>,</w:t>
      </w:r>
      <w:r w:rsidRPr="003006D9">
        <w:rPr>
          <w:rFonts w:cs="Arial"/>
        </w:rPr>
        <w:t xml:space="preserve"> </w:t>
      </w:r>
      <w:r w:rsidR="00E33AB0" w:rsidRPr="003006D9">
        <w:rPr>
          <w:rFonts w:cs="Arial"/>
        </w:rPr>
        <w:t xml:space="preserve">se </w:t>
      </w:r>
      <w:r w:rsidRPr="003006D9">
        <w:rPr>
          <w:rFonts w:cs="Arial"/>
        </w:rPr>
        <w:t xml:space="preserve">encuentra </w:t>
      </w:r>
      <w:r w:rsidR="00DC15D2" w:rsidRPr="003006D9">
        <w:rPr>
          <w:rFonts w:cs="Arial"/>
        </w:rPr>
        <w:t xml:space="preserve">que </w:t>
      </w:r>
      <w:r w:rsidR="0029583D" w:rsidRPr="003006D9">
        <w:rPr>
          <w:rFonts w:cs="Arial"/>
        </w:rPr>
        <w:t xml:space="preserve">procede </w:t>
      </w:r>
      <w:r w:rsidRPr="003006D9">
        <w:rPr>
          <w:rFonts w:cs="Arial"/>
        </w:rPr>
        <w:t>la solicitud de FEDEPALMA para que</w:t>
      </w:r>
      <w:r w:rsidR="00901D49" w:rsidRPr="003006D9">
        <w:rPr>
          <w:rFonts w:cs="Arial"/>
        </w:rPr>
        <w:t>,</w:t>
      </w:r>
      <w:r w:rsidRPr="003006D9">
        <w:rPr>
          <w:rFonts w:cs="Arial"/>
        </w:rPr>
        <w:t xml:space="preserve"> a</w:t>
      </w:r>
      <w:r w:rsidR="00901D49" w:rsidRPr="003006D9">
        <w:rPr>
          <w:rFonts w:cs="Arial"/>
        </w:rPr>
        <w:t>ú</w:t>
      </w:r>
      <w:r w:rsidRPr="003006D9">
        <w:rPr>
          <w:rFonts w:cs="Arial"/>
        </w:rPr>
        <w:t xml:space="preserve">n en el evento de confirmar la sentencia </w:t>
      </w:r>
      <w:r w:rsidR="00DC15D2" w:rsidRPr="003006D9">
        <w:rPr>
          <w:rFonts w:cs="Arial"/>
        </w:rPr>
        <w:t xml:space="preserve">la nulidad, </w:t>
      </w:r>
      <w:r w:rsidRPr="003006D9">
        <w:rPr>
          <w:rFonts w:cs="Arial"/>
        </w:rPr>
        <w:t xml:space="preserve">se </w:t>
      </w:r>
      <w:r w:rsidR="00544F1F" w:rsidRPr="003006D9">
        <w:rPr>
          <w:rFonts w:cs="Arial"/>
        </w:rPr>
        <w:t xml:space="preserve">valoren las pruebas para determinar </w:t>
      </w:r>
      <w:r w:rsidR="0029583D" w:rsidRPr="003006D9">
        <w:rPr>
          <w:rFonts w:cs="Arial"/>
        </w:rPr>
        <w:t xml:space="preserve">si se causaron o no </w:t>
      </w:r>
      <w:r w:rsidRPr="003006D9">
        <w:rPr>
          <w:rFonts w:cs="Arial"/>
        </w:rPr>
        <w:t xml:space="preserve">los perjuicios que afirmó </w:t>
      </w:r>
      <w:r w:rsidR="0029583D" w:rsidRPr="003006D9">
        <w:rPr>
          <w:rFonts w:cs="Arial"/>
        </w:rPr>
        <w:t>haber sufrido.</w:t>
      </w:r>
    </w:p>
    <w:p w:rsidR="00395DDC" w:rsidRPr="003006D9" w:rsidRDefault="00395DDC" w:rsidP="00B61DA6">
      <w:pPr>
        <w:ind w:right="333"/>
        <w:rPr>
          <w:rFonts w:cs="Arial"/>
        </w:rPr>
      </w:pPr>
    </w:p>
    <w:p w:rsidR="00AE5834" w:rsidRPr="003006D9" w:rsidRDefault="00D006CD" w:rsidP="00AE5834">
      <w:pPr>
        <w:rPr>
          <w:rFonts w:cs="Arial"/>
          <w:b/>
          <w:lang w:val="es-CO"/>
        </w:rPr>
      </w:pPr>
      <w:r w:rsidRPr="003006D9">
        <w:rPr>
          <w:rFonts w:cs="Arial"/>
          <w:b/>
          <w:lang w:val="es-CO"/>
        </w:rPr>
        <w:t>12</w:t>
      </w:r>
      <w:r w:rsidR="0012208A" w:rsidRPr="003006D9">
        <w:rPr>
          <w:rFonts w:cs="Arial"/>
          <w:b/>
          <w:lang w:val="es-CO"/>
        </w:rPr>
        <w:t xml:space="preserve">.1. </w:t>
      </w:r>
      <w:r w:rsidR="00AE5834" w:rsidRPr="003006D9">
        <w:rPr>
          <w:rFonts w:cs="Arial"/>
          <w:b/>
          <w:lang w:val="es-CO"/>
        </w:rPr>
        <w:t xml:space="preserve">Observaciones acerca del contrato de arrendamiento con CORPOICA </w:t>
      </w:r>
    </w:p>
    <w:p w:rsidR="00AE5834" w:rsidRPr="003006D9" w:rsidRDefault="00AE5834" w:rsidP="00AE5834">
      <w:pPr>
        <w:rPr>
          <w:rFonts w:cs="Arial"/>
          <w:lang w:val="es-CO"/>
        </w:rPr>
      </w:pPr>
    </w:p>
    <w:p w:rsidR="00AE5834" w:rsidRPr="003006D9" w:rsidRDefault="00AE5834" w:rsidP="00AE5834">
      <w:pPr>
        <w:rPr>
          <w:rFonts w:cs="Arial"/>
          <w:lang w:val="es-CO"/>
        </w:rPr>
      </w:pPr>
      <w:r w:rsidRPr="003006D9">
        <w:rPr>
          <w:rFonts w:cs="Arial"/>
          <w:lang w:val="es-CO"/>
        </w:rPr>
        <w:t xml:space="preserve">De acuerdo con las pruebas, mediante contrato de arrendamiento 0036 suscrito el 2 de enero de 2007, el ICA entregó a CORPOICA, en arrendamiento, </w:t>
      </w:r>
      <w:r w:rsidRPr="003006D9">
        <w:rPr>
          <w:rFonts w:cs="Arial"/>
          <w:i/>
          <w:lang w:val="es-CO"/>
        </w:rPr>
        <w:t xml:space="preserve">“el bien </w:t>
      </w:r>
      <w:r w:rsidRPr="003006D9">
        <w:rPr>
          <w:rFonts w:cs="Arial"/>
          <w:i/>
          <w:lang w:val="es-CO"/>
        </w:rPr>
        <w:lastRenderedPageBreak/>
        <w:t>inmueble denominado CENTRO DE INVESTIGACIONES CI EL MIRA, ubicado en el municipio de Tumaco, departamento de Nariño, con los terrenos, las construcciones y las instalaciones.</w:t>
      </w:r>
      <w:r w:rsidRPr="003006D9">
        <w:rPr>
          <w:rFonts w:cs="Arial"/>
          <w:b/>
          <w:i/>
          <w:lang w:val="es-CO"/>
        </w:rPr>
        <w:t xml:space="preserve"> </w:t>
      </w:r>
      <w:r w:rsidRPr="003006D9">
        <w:rPr>
          <w:rFonts w:cs="Arial"/>
          <w:i/>
          <w:lang w:val="es-CO"/>
        </w:rPr>
        <w:t>Los linderos generales se describen  en la Escritura 5515 del 30 de diciembre de 1978 de la Notaria Segunda de Bogotá”</w:t>
      </w:r>
      <w:r w:rsidRPr="003006D9">
        <w:rPr>
          <w:rFonts w:cs="Arial"/>
          <w:lang w:val="es-CO"/>
        </w:rPr>
        <w:t xml:space="preserve">. </w:t>
      </w:r>
    </w:p>
    <w:p w:rsidR="00AE5834" w:rsidRPr="003006D9" w:rsidRDefault="00AE5834" w:rsidP="00AE5834">
      <w:pPr>
        <w:rPr>
          <w:rFonts w:cs="Arial"/>
          <w:lang w:val="es-CO"/>
        </w:rPr>
      </w:pPr>
    </w:p>
    <w:p w:rsidR="00AE5834" w:rsidRPr="003006D9" w:rsidRDefault="00AE5834" w:rsidP="00AE5834">
      <w:pPr>
        <w:rPr>
          <w:rFonts w:cs="Arial"/>
          <w:lang w:val="es-CO"/>
        </w:rPr>
      </w:pPr>
      <w:r w:rsidRPr="003006D9">
        <w:rPr>
          <w:rFonts w:cs="Arial"/>
          <w:lang w:val="es-CO"/>
        </w:rPr>
        <w:t xml:space="preserve">De </w:t>
      </w:r>
      <w:r w:rsidR="004A2032" w:rsidRPr="003006D9">
        <w:rPr>
          <w:rFonts w:cs="Arial"/>
          <w:lang w:val="es-CO"/>
        </w:rPr>
        <w:t xml:space="preserve">conformidad </w:t>
      </w:r>
      <w:r w:rsidRPr="003006D9">
        <w:rPr>
          <w:rFonts w:cs="Arial"/>
          <w:lang w:val="es-CO"/>
        </w:rPr>
        <w:t xml:space="preserve">con el </w:t>
      </w:r>
      <w:r w:rsidR="004A2032" w:rsidRPr="003006D9">
        <w:rPr>
          <w:rFonts w:cs="Arial"/>
          <w:lang w:val="es-CO"/>
        </w:rPr>
        <w:t xml:space="preserve">citado </w:t>
      </w:r>
      <w:r w:rsidRPr="003006D9">
        <w:rPr>
          <w:rFonts w:cs="Arial"/>
          <w:lang w:val="es-CO"/>
        </w:rPr>
        <w:t xml:space="preserve">contrato de arrendamiento, el inmueble se debía destinar a tres proyectos: </w:t>
      </w:r>
      <w:r w:rsidRPr="003006D9">
        <w:rPr>
          <w:rFonts w:cs="Arial"/>
          <w:i/>
          <w:lang w:val="es-CO"/>
        </w:rPr>
        <w:t>“Proyecto 1. Respuesta fisiológica y productiva de los diferentes genotipos de material comercial Ténera de palma de aceite a variaciones en la disponibilidad del agua; Proyecto 2. Evaluación de materiales genéticos de palma de aceite ‘Elaeis Oleifera’ frente a la enfermedad mancha anular (…); Proyecto 3. Manejo de pudrición el cogollo de la palma de aceite (…)”</w:t>
      </w:r>
      <w:r w:rsidRPr="003006D9">
        <w:rPr>
          <w:rStyle w:val="Refdenotaalpie"/>
          <w:rFonts w:cs="Arial"/>
          <w:i/>
          <w:lang w:val="es-CO"/>
        </w:rPr>
        <w:footnoteReference w:id="104"/>
      </w:r>
      <w:r w:rsidRPr="003006D9">
        <w:rPr>
          <w:rFonts w:cs="Arial"/>
          <w:lang w:val="es-CO"/>
        </w:rPr>
        <w:t>.</w:t>
      </w:r>
      <w:r w:rsidR="002B03DB" w:rsidRPr="003006D9">
        <w:rPr>
          <w:rFonts w:cs="Arial"/>
          <w:lang w:val="es-CO"/>
        </w:rPr>
        <w:t>.</w:t>
      </w:r>
    </w:p>
    <w:p w:rsidR="00AE5834" w:rsidRPr="003006D9" w:rsidRDefault="00AE5834" w:rsidP="00AE5834">
      <w:pPr>
        <w:rPr>
          <w:rFonts w:cs="Arial"/>
          <w:lang w:val="es-CO"/>
        </w:rPr>
      </w:pPr>
    </w:p>
    <w:p w:rsidR="00AE5834" w:rsidRPr="003006D9" w:rsidRDefault="00AE5834" w:rsidP="00AE5834">
      <w:pPr>
        <w:rPr>
          <w:rFonts w:cs="Arial"/>
          <w:lang w:val="es-CO"/>
        </w:rPr>
      </w:pPr>
      <w:r w:rsidRPr="003006D9">
        <w:rPr>
          <w:rFonts w:cs="Arial"/>
          <w:lang w:val="es-CO"/>
        </w:rPr>
        <w:t>Según se lee en el contrato, el término pactado para la duración del contrato fue de 15 años, en atención a la cuantía de las inversiones y el periodo de maduración de los proyectos.</w:t>
      </w:r>
    </w:p>
    <w:p w:rsidR="00AE5834" w:rsidRPr="003006D9" w:rsidRDefault="00AE5834" w:rsidP="00AE5834">
      <w:pPr>
        <w:rPr>
          <w:rFonts w:cs="Arial"/>
          <w:lang w:val="es-CO"/>
        </w:rPr>
      </w:pPr>
    </w:p>
    <w:p w:rsidR="00DC15D2" w:rsidRPr="003006D9" w:rsidRDefault="00AE5834" w:rsidP="00AE5834">
      <w:pPr>
        <w:rPr>
          <w:rFonts w:cs="Arial"/>
          <w:lang w:val="es-CO"/>
        </w:rPr>
      </w:pPr>
      <w:r w:rsidRPr="003006D9">
        <w:rPr>
          <w:rFonts w:cs="Arial"/>
          <w:lang w:val="es-CO"/>
        </w:rPr>
        <w:t>Teniendo en cuenta que la escritura pública citada en el contrato de arrendamiento contenía la protocolización de la Resolución No. 1119 de 27 de octubre de 1977</w:t>
      </w:r>
      <w:r w:rsidR="00DC15D2" w:rsidRPr="003006D9">
        <w:rPr>
          <w:rFonts w:cs="Arial"/>
          <w:lang w:val="es-CO"/>
        </w:rPr>
        <w:t>,</w:t>
      </w:r>
      <w:r w:rsidRPr="003006D9">
        <w:rPr>
          <w:rFonts w:cs="Arial"/>
          <w:lang w:val="es-CO"/>
        </w:rPr>
        <w:t xml:space="preserve"> expedida por el Instituto Colombiano de Reforma Agraria INCORA, mediante la cual se adjudicó al Instituto Colombiano Agropecuario ICA el terreno denominado Granja Experimental El Mira, cuya extensión era de 449 hectáreas y 8.500 metros cuadrados</w:t>
      </w:r>
      <w:r w:rsidRPr="003006D9">
        <w:rPr>
          <w:rStyle w:val="Refdenotaalpie"/>
          <w:rFonts w:cs="Arial"/>
          <w:lang w:val="es-CO"/>
        </w:rPr>
        <w:footnoteReference w:id="105"/>
      </w:r>
      <w:r w:rsidR="00DC15D2" w:rsidRPr="003006D9">
        <w:rPr>
          <w:rFonts w:cs="Arial"/>
          <w:lang w:val="es-CO"/>
        </w:rPr>
        <w:t>,</w:t>
      </w:r>
      <w:r w:rsidRPr="003006D9">
        <w:rPr>
          <w:rFonts w:cs="Arial"/>
          <w:lang w:val="es-CO"/>
        </w:rPr>
        <w:t xml:space="preserve"> se establece que la totalidad de esa área estaba arrendada a CORPOICA</w:t>
      </w:r>
      <w:r w:rsidR="00DC15D2" w:rsidRPr="003006D9">
        <w:rPr>
          <w:rFonts w:cs="Arial"/>
          <w:lang w:val="es-CO"/>
        </w:rPr>
        <w:t>.</w:t>
      </w:r>
    </w:p>
    <w:p w:rsidR="00AE5834" w:rsidRPr="003006D9" w:rsidRDefault="00AE5834" w:rsidP="00AE5834">
      <w:pPr>
        <w:rPr>
          <w:rFonts w:cs="Arial"/>
          <w:lang w:val="es-CO"/>
        </w:rPr>
      </w:pPr>
    </w:p>
    <w:p w:rsidR="00AE5834" w:rsidRPr="003006D9" w:rsidRDefault="00AE5834" w:rsidP="00AE5834">
      <w:pPr>
        <w:rPr>
          <w:rFonts w:cs="Arial"/>
          <w:lang w:val="es-CO"/>
        </w:rPr>
      </w:pPr>
      <w:r w:rsidRPr="003006D9">
        <w:rPr>
          <w:rFonts w:cs="Arial"/>
          <w:lang w:val="es-CO"/>
        </w:rPr>
        <w:t xml:space="preserve">También se observa que en la promesa de compraventa se hizo referencia a la terminación prevista en la cláusula décima segunda del contrato de arrendamiento 0036 CI MIRA. </w:t>
      </w:r>
    </w:p>
    <w:p w:rsidR="00AE5834" w:rsidRPr="003006D9" w:rsidRDefault="00AE5834" w:rsidP="00AE5834">
      <w:pPr>
        <w:rPr>
          <w:rFonts w:cs="Arial"/>
          <w:lang w:val="es-CO"/>
        </w:rPr>
      </w:pPr>
    </w:p>
    <w:p w:rsidR="00AE5834" w:rsidRPr="003006D9" w:rsidRDefault="00AE5834" w:rsidP="00AE5834">
      <w:pPr>
        <w:rPr>
          <w:rFonts w:cs="Arial"/>
          <w:lang w:val="es-CO"/>
        </w:rPr>
      </w:pPr>
      <w:r w:rsidRPr="003006D9">
        <w:rPr>
          <w:rFonts w:cs="Arial"/>
          <w:lang w:val="es-CO"/>
        </w:rPr>
        <w:t>Es cierto que en dicha cláusula el ICA y CO</w:t>
      </w:r>
      <w:r w:rsidR="00DC15D2" w:rsidRPr="003006D9">
        <w:rPr>
          <w:rFonts w:cs="Arial"/>
          <w:lang w:val="es-CO"/>
        </w:rPr>
        <w:t>R</w:t>
      </w:r>
      <w:r w:rsidRPr="003006D9">
        <w:rPr>
          <w:rFonts w:cs="Arial"/>
          <w:lang w:val="es-CO"/>
        </w:rPr>
        <w:t xml:space="preserve">POICA convinieron que el contrato de arrendamiento se daría por terminado de manera bilateral en caso de venta del inmueble. Empero, de acuerdo con la misma cláusula, se sometió la entrega del bien </w:t>
      </w:r>
      <w:r w:rsidRPr="003006D9">
        <w:rPr>
          <w:rFonts w:cs="Arial"/>
          <w:i/>
          <w:lang w:val="es-CO"/>
        </w:rPr>
        <w:t>“a la culminación del ciclo productivo de la actividad que se encuentre en ejecución”</w:t>
      </w:r>
      <w:r w:rsidRPr="003006D9">
        <w:rPr>
          <w:rStyle w:val="Refdenotaalpie"/>
          <w:rFonts w:cs="Arial"/>
          <w:lang w:val="es-CO"/>
        </w:rPr>
        <w:footnoteReference w:id="106"/>
      </w:r>
      <w:r w:rsidRPr="003006D9">
        <w:rPr>
          <w:rFonts w:cs="Arial"/>
          <w:lang w:val="es-CO"/>
        </w:rPr>
        <w:t xml:space="preserve">. </w:t>
      </w:r>
    </w:p>
    <w:p w:rsidR="00AE5834" w:rsidRPr="003006D9" w:rsidRDefault="00AE5834" w:rsidP="00AE5834">
      <w:pPr>
        <w:rPr>
          <w:rFonts w:cs="Arial"/>
          <w:lang w:val="es-CO"/>
        </w:rPr>
      </w:pPr>
    </w:p>
    <w:p w:rsidR="00AE5834" w:rsidRPr="003006D9" w:rsidRDefault="00AE5834" w:rsidP="00AE5834">
      <w:pPr>
        <w:rPr>
          <w:rFonts w:cs="Arial"/>
          <w:lang w:val="es-CO"/>
        </w:rPr>
      </w:pPr>
      <w:r w:rsidRPr="003006D9">
        <w:rPr>
          <w:rFonts w:cs="Arial"/>
          <w:lang w:val="es-CO"/>
        </w:rPr>
        <w:t>De conformidad con los considerandos del contrato de arrendamiento</w:t>
      </w:r>
      <w:r w:rsidR="00DC15D2" w:rsidRPr="003006D9">
        <w:rPr>
          <w:rFonts w:cs="Arial"/>
          <w:lang w:val="es-CO"/>
        </w:rPr>
        <w:t>,</w:t>
      </w:r>
      <w:r w:rsidRPr="003006D9">
        <w:rPr>
          <w:rFonts w:cs="Arial"/>
          <w:lang w:val="es-CO"/>
        </w:rPr>
        <w:t xml:space="preserve"> los ciclos de producción estimados oscilaban entre 5 y 10 años, así:</w:t>
      </w:r>
    </w:p>
    <w:p w:rsidR="00AE5834" w:rsidRPr="003006D9" w:rsidRDefault="00AE5834" w:rsidP="00AE5834">
      <w:pPr>
        <w:ind w:left="567" w:right="708"/>
        <w:rPr>
          <w:rFonts w:cs="Arial"/>
          <w:lang w:val="es-CO"/>
        </w:rPr>
      </w:pPr>
    </w:p>
    <w:p w:rsidR="00AE5834" w:rsidRPr="003006D9" w:rsidRDefault="00AE5834" w:rsidP="00AE5834">
      <w:pPr>
        <w:spacing w:line="276" w:lineRule="auto"/>
        <w:ind w:left="567" w:right="708"/>
        <w:rPr>
          <w:rFonts w:cs="Arial"/>
          <w:i/>
          <w:lang w:val="es-CO"/>
        </w:rPr>
      </w:pPr>
      <w:r w:rsidRPr="003006D9">
        <w:rPr>
          <w:rFonts w:cs="Arial"/>
          <w:lang w:val="es-CO"/>
        </w:rPr>
        <w:t>“3</w:t>
      </w:r>
      <w:r w:rsidRPr="003006D9">
        <w:rPr>
          <w:rFonts w:cs="Arial"/>
          <w:i/>
          <w:lang w:val="es-CO"/>
        </w:rPr>
        <w:t>) Ciclos genéticos de especies perennes extremadamente largos (10 años por ciclo) y de pruebas progenies (10 años/prueba). 4) La necesidad en el mejoramiento de palma de aceite, de evaluaciones de campo y nivel demostrativo comercial en centro de investigación que involucren mínimo cinco años de registros de producción. 5) El largo período de recuperación de las inversiones realizadas y por realizar para el establecimiento y mantenimiento de nuevos lotes de palma de aceite, requeridos para el proceso de investigación y evaluaciones demostrativas comerciales (mínimo 6 a 8 años)”.</w:t>
      </w:r>
    </w:p>
    <w:p w:rsidR="00AE5834" w:rsidRPr="003006D9" w:rsidRDefault="00AE5834" w:rsidP="00AE5834">
      <w:pPr>
        <w:ind w:right="333"/>
        <w:rPr>
          <w:rFonts w:cs="Arial"/>
          <w:lang w:val="es-CO"/>
        </w:rPr>
      </w:pPr>
    </w:p>
    <w:p w:rsidR="00AE5834" w:rsidRPr="003006D9" w:rsidRDefault="00AE5834" w:rsidP="00AE5834">
      <w:pPr>
        <w:ind w:right="333"/>
        <w:rPr>
          <w:rFonts w:cs="Arial"/>
          <w:lang w:val="es-CO"/>
        </w:rPr>
      </w:pPr>
      <w:r w:rsidRPr="003006D9">
        <w:rPr>
          <w:rFonts w:cs="Arial"/>
          <w:lang w:val="es-CO"/>
        </w:rPr>
        <w:t>Al margen</w:t>
      </w:r>
      <w:r w:rsidR="00DC15D2" w:rsidRPr="003006D9">
        <w:rPr>
          <w:rFonts w:cs="Arial"/>
          <w:lang w:val="es-CO"/>
        </w:rPr>
        <w:t xml:space="preserve">, </w:t>
      </w:r>
      <w:r w:rsidRPr="003006D9">
        <w:rPr>
          <w:rFonts w:cs="Arial"/>
          <w:lang w:val="es-CO"/>
        </w:rPr>
        <w:t xml:space="preserve">se agrega que de </w:t>
      </w:r>
      <w:r w:rsidR="009B5BF1" w:rsidRPr="003006D9">
        <w:rPr>
          <w:rFonts w:cs="Arial"/>
          <w:lang w:val="es-CO"/>
        </w:rPr>
        <w:t xml:space="preserve">conformidad </w:t>
      </w:r>
      <w:r w:rsidRPr="003006D9">
        <w:rPr>
          <w:rFonts w:cs="Arial"/>
          <w:lang w:val="es-CO"/>
        </w:rPr>
        <w:t xml:space="preserve">con </w:t>
      </w:r>
      <w:r w:rsidR="009B5BF1" w:rsidRPr="003006D9">
        <w:rPr>
          <w:rFonts w:cs="Arial"/>
          <w:lang w:val="es-CO"/>
        </w:rPr>
        <w:t>el</w:t>
      </w:r>
      <w:r w:rsidR="00DC15D2" w:rsidRPr="003006D9">
        <w:rPr>
          <w:rFonts w:cs="Arial"/>
          <w:lang w:val="es-CO"/>
        </w:rPr>
        <w:t xml:space="preserve"> </w:t>
      </w:r>
      <w:r w:rsidRPr="003006D9">
        <w:rPr>
          <w:rFonts w:cs="Arial"/>
          <w:lang w:val="es-CO"/>
        </w:rPr>
        <w:t xml:space="preserve">Decreto 4444 de 2008 y con el texto del contrato de arrendamiento, el acuerdo contractual debía cederse en los mismos términos y condiciones en que se encontraba suscrito. </w:t>
      </w:r>
    </w:p>
    <w:p w:rsidR="00AE5834" w:rsidRPr="003006D9" w:rsidRDefault="00AE5834" w:rsidP="00AE5834">
      <w:pPr>
        <w:ind w:right="333"/>
        <w:rPr>
          <w:rFonts w:cs="Arial"/>
          <w:lang w:val="es-CO"/>
        </w:rPr>
      </w:pPr>
    </w:p>
    <w:p w:rsidR="004A2032" w:rsidRPr="003006D9" w:rsidRDefault="00AE5834" w:rsidP="00AE5834">
      <w:pPr>
        <w:ind w:right="333"/>
        <w:rPr>
          <w:rFonts w:cs="Arial"/>
          <w:lang w:val="es-CO"/>
        </w:rPr>
      </w:pPr>
      <w:r w:rsidRPr="003006D9">
        <w:rPr>
          <w:rFonts w:cs="Arial"/>
          <w:lang w:val="es-CO"/>
        </w:rPr>
        <w:t>Aunque en este proceso prevalecerán las pretensiones de nulidad frente a las de incumplimiento del contrato, se trae a colación lo anterior con el propósito de completar el análisis de las pruebas que deprecó FEDEPA</w:t>
      </w:r>
      <w:r w:rsidR="001A0035" w:rsidRPr="003006D9">
        <w:rPr>
          <w:rFonts w:cs="Arial"/>
          <w:lang w:val="es-CO"/>
        </w:rPr>
        <w:t>L</w:t>
      </w:r>
      <w:r w:rsidRPr="003006D9">
        <w:rPr>
          <w:rFonts w:cs="Arial"/>
          <w:lang w:val="es-CO"/>
        </w:rPr>
        <w:t>MA en la apelación</w:t>
      </w:r>
      <w:r w:rsidR="00161F2A" w:rsidRPr="003006D9">
        <w:rPr>
          <w:rFonts w:cs="Arial"/>
          <w:lang w:val="es-CO"/>
        </w:rPr>
        <w:t>, para el propósito de evaluar la pretensión orientada al reconocimiento de perjuicios.</w:t>
      </w:r>
    </w:p>
    <w:p w:rsidR="004A2032" w:rsidRPr="003006D9" w:rsidRDefault="004A2032" w:rsidP="00AE5834">
      <w:pPr>
        <w:ind w:right="333"/>
        <w:rPr>
          <w:rFonts w:cs="Arial"/>
          <w:lang w:val="es-CO"/>
        </w:rPr>
      </w:pPr>
    </w:p>
    <w:p w:rsidR="00AE5834" w:rsidRPr="003006D9" w:rsidRDefault="00AE5834" w:rsidP="00AE5834">
      <w:pPr>
        <w:ind w:right="333"/>
        <w:rPr>
          <w:rFonts w:cs="Arial"/>
          <w:lang w:val="es-CO"/>
        </w:rPr>
      </w:pPr>
      <w:r w:rsidRPr="003006D9">
        <w:rPr>
          <w:rFonts w:cs="Arial"/>
          <w:lang w:val="es-CO"/>
        </w:rPr>
        <w:t>Se advierte que con base en el contenido del contrato de arrendamiento</w:t>
      </w:r>
      <w:r w:rsidR="00DC15D2" w:rsidRPr="003006D9">
        <w:rPr>
          <w:rFonts w:cs="Arial"/>
          <w:lang w:val="es-CO"/>
        </w:rPr>
        <w:t>,</w:t>
      </w:r>
      <w:r w:rsidRPr="003006D9">
        <w:rPr>
          <w:rFonts w:cs="Arial"/>
          <w:lang w:val="es-CO"/>
        </w:rPr>
        <w:t xml:space="preserve"> las pretensiones indemnizatorias planteadas por FEDEPALMA no resultan soportadas si se observa que esa entidad entraría en la explotación del inmueble </w:t>
      </w:r>
      <w:r w:rsidR="009B5BF1" w:rsidRPr="003006D9">
        <w:rPr>
          <w:rFonts w:cs="Arial"/>
          <w:lang w:val="es-CO"/>
        </w:rPr>
        <w:t xml:space="preserve">después de </w:t>
      </w:r>
      <w:r w:rsidRPr="003006D9">
        <w:rPr>
          <w:rFonts w:cs="Arial"/>
          <w:lang w:val="es-CO"/>
        </w:rPr>
        <w:t>cumplidos los ciclos productivos de los proyectos de CORPOICA, de acuerdo con el contrato de arrendamiento</w:t>
      </w:r>
      <w:r w:rsidR="00161F2A" w:rsidRPr="003006D9">
        <w:rPr>
          <w:rFonts w:cs="Arial"/>
          <w:lang w:val="es-CO"/>
        </w:rPr>
        <w:t>.</w:t>
      </w:r>
      <w:r w:rsidRPr="003006D9">
        <w:rPr>
          <w:rFonts w:cs="Arial"/>
          <w:lang w:val="es-CO"/>
        </w:rPr>
        <w:t xml:space="preserve"> </w:t>
      </w:r>
    </w:p>
    <w:p w:rsidR="00AE5834" w:rsidRPr="003006D9" w:rsidRDefault="00AE5834" w:rsidP="00AE5834">
      <w:pPr>
        <w:ind w:right="333"/>
        <w:rPr>
          <w:rFonts w:cs="Arial"/>
          <w:lang w:val="es-CO"/>
        </w:rPr>
      </w:pPr>
    </w:p>
    <w:p w:rsidR="00AE5834" w:rsidRPr="003006D9" w:rsidRDefault="00AE5834" w:rsidP="00AE5834">
      <w:pPr>
        <w:ind w:right="333"/>
        <w:rPr>
          <w:rFonts w:cs="Arial"/>
          <w:lang w:val="es-CO"/>
        </w:rPr>
      </w:pPr>
      <w:r w:rsidRPr="003006D9">
        <w:rPr>
          <w:rFonts w:cs="Arial"/>
          <w:lang w:val="es-CO"/>
        </w:rPr>
        <w:t>En ese mismo orden de ideas</w:t>
      </w:r>
      <w:r w:rsidR="009B5BF1" w:rsidRPr="003006D9">
        <w:rPr>
          <w:rFonts w:cs="Arial"/>
          <w:lang w:val="es-CO"/>
        </w:rPr>
        <w:t>,</w:t>
      </w:r>
      <w:r w:rsidRPr="003006D9">
        <w:rPr>
          <w:rFonts w:cs="Arial"/>
          <w:lang w:val="es-CO"/>
        </w:rPr>
        <w:t xml:space="preserve"> se agrega que tampoco se puede aceptar como prueba idónea de los perjuicios la proyecci</w:t>
      </w:r>
      <w:r w:rsidR="00DC15D2" w:rsidRPr="003006D9">
        <w:rPr>
          <w:rFonts w:cs="Arial"/>
          <w:lang w:val="es-CO"/>
        </w:rPr>
        <w:t>ón financiera</w:t>
      </w:r>
      <w:r w:rsidRPr="003006D9">
        <w:rPr>
          <w:rFonts w:cs="Arial"/>
          <w:lang w:val="es-CO"/>
        </w:rPr>
        <w:t xml:space="preserve"> contenida en la certificación del contador público de la demandante</w:t>
      </w:r>
      <w:r w:rsidRPr="003006D9">
        <w:rPr>
          <w:rStyle w:val="Refdenotaalpie"/>
          <w:rFonts w:cs="Arial"/>
          <w:lang w:val="es-CO"/>
        </w:rPr>
        <w:footnoteReference w:id="107"/>
      </w:r>
      <w:r w:rsidRPr="003006D9">
        <w:rPr>
          <w:rFonts w:cs="Arial"/>
          <w:lang w:val="es-CO"/>
        </w:rPr>
        <w:t>, realizad</w:t>
      </w:r>
      <w:r w:rsidR="00DC15D2" w:rsidRPr="003006D9">
        <w:rPr>
          <w:rFonts w:cs="Arial"/>
          <w:lang w:val="es-CO"/>
        </w:rPr>
        <w:t>a</w:t>
      </w:r>
      <w:r w:rsidRPr="003006D9">
        <w:rPr>
          <w:rFonts w:cs="Arial"/>
          <w:lang w:val="es-CO"/>
        </w:rPr>
        <w:t xml:space="preserve"> con base en el resultado del campo experimental denominado Palmar de la Vizca</w:t>
      </w:r>
      <w:r w:rsidR="000F3403" w:rsidRPr="003006D9">
        <w:rPr>
          <w:rFonts w:cs="Arial"/>
          <w:lang w:val="es-CO"/>
        </w:rPr>
        <w:t>í</w:t>
      </w:r>
      <w:r w:rsidRPr="003006D9">
        <w:rPr>
          <w:rFonts w:cs="Arial"/>
          <w:lang w:val="es-CO"/>
        </w:rPr>
        <w:t xml:space="preserve">na, ubicado en Barrancabermeja, amén de que las condiciones de equivalencia de los campos solamente fueron afirmadas por la demandante, mas no aparecen probadas en el proceso. </w:t>
      </w:r>
    </w:p>
    <w:p w:rsidR="00AE5834" w:rsidRPr="003006D9" w:rsidRDefault="00AE5834" w:rsidP="00AE5834">
      <w:pPr>
        <w:ind w:right="333"/>
        <w:rPr>
          <w:rFonts w:cs="Arial"/>
          <w:lang w:val="es-CO"/>
        </w:rPr>
      </w:pPr>
    </w:p>
    <w:p w:rsidR="00AE5834" w:rsidRPr="003006D9" w:rsidRDefault="00AE5834" w:rsidP="00AE5834">
      <w:pPr>
        <w:ind w:right="333"/>
        <w:rPr>
          <w:rFonts w:cs="Arial"/>
        </w:rPr>
      </w:pPr>
      <w:r w:rsidRPr="003006D9">
        <w:rPr>
          <w:rFonts w:cs="Arial"/>
        </w:rPr>
        <w:t xml:space="preserve">Advierte la Sala que la demandante acreditó que el ICA había declarado el estado de emergencia fitosanitaria en el municipio de Tumaco, mediante </w:t>
      </w:r>
      <w:r w:rsidR="00B5212F" w:rsidRPr="003006D9">
        <w:rPr>
          <w:rFonts w:cs="Arial"/>
        </w:rPr>
        <w:t>R</w:t>
      </w:r>
      <w:r w:rsidRPr="003006D9">
        <w:rPr>
          <w:rFonts w:cs="Arial"/>
        </w:rPr>
        <w:t>esoluciones 3087 de 18 de agosto de 2009, 2685 de 18 de agosto de 2010 y 1022 del 23 de febrero de 2011</w:t>
      </w:r>
      <w:r w:rsidRPr="003006D9">
        <w:rPr>
          <w:rStyle w:val="Refdenotaalpie"/>
          <w:rFonts w:cs="Arial"/>
        </w:rPr>
        <w:footnoteReference w:id="108"/>
      </w:r>
      <w:r w:rsidRPr="003006D9">
        <w:rPr>
          <w:rFonts w:cs="Arial"/>
        </w:rPr>
        <w:t>.</w:t>
      </w:r>
      <w:r w:rsidR="00E61ACF" w:rsidRPr="003006D9">
        <w:rPr>
          <w:rFonts w:cs="Arial"/>
        </w:rPr>
        <w:t xml:space="preserve"> </w:t>
      </w:r>
      <w:r w:rsidRPr="003006D9">
        <w:rPr>
          <w:rFonts w:cs="Arial"/>
        </w:rPr>
        <w:t xml:space="preserve">De esta manera, </w:t>
      </w:r>
      <w:r w:rsidR="00B5212F" w:rsidRPr="003006D9">
        <w:rPr>
          <w:rFonts w:cs="Arial"/>
        </w:rPr>
        <w:t xml:space="preserve">en relación con </w:t>
      </w:r>
      <w:r w:rsidRPr="003006D9">
        <w:rPr>
          <w:rFonts w:cs="Arial"/>
        </w:rPr>
        <w:t xml:space="preserve">la prueba del perjuicio </w:t>
      </w:r>
      <w:r w:rsidR="00B5212F" w:rsidRPr="003006D9">
        <w:rPr>
          <w:rFonts w:cs="Arial"/>
        </w:rPr>
        <w:t xml:space="preserve">que se allegó </w:t>
      </w:r>
      <w:r w:rsidRPr="003006D9">
        <w:rPr>
          <w:rFonts w:cs="Arial"/>
        </w:rPr>
        <w:t xml:space="preserve">en </w:t>
      </w:r>
      <w:r w:rsidR="001A0035" w:rsidRPr="003006D9">
        <w:rPr>
          <w:rFonts w:cs="Arial"/>
        </w:rPr>
        <w:t xml:space="preserve">el presente </w:t>
      </w:r>
      <w:r w:rsidRPr="003006D9">
        <w:rPr>
          <w:rFonts w:cs="Arial"/>
        </w:rPr>
        <w:t xml:space="preserve">proceso, no se encuentra fundamento para tomar como base </w:t>
      </w:r>
      <w:r w:rsidR="001A0035" w:rsidRPr="003006D9">
        <w:rPr>
          <w:rFonts w:cs="Arial"/>
        </w:rPr>
        <w:t xml:space="preserve">una </w:t>
      </w:r>
      <w:r w:rsidRPr="003006D9">
        <w:rPr>
          <w:rFonts w:cs="Arial"/>
        </w:rPr>
        <w:t xml:space="preserve">proyección </w:t>
      </w:r>
      <w:r w:rsidR="00B5212F" w:rsidRPr="003006D9">
        <w:rPr>
          <w:rFonts w:cs="Arial"/>
        </w:rPr>
        <w:t xml:space="preserve">financiera elaborada por </w:t>
      </w:r>
      <w:r w:rsidRPr="003006D9">
        <w:rPr>
          <w:rFonts w:cs="Arial"/>
        </w:rPr>
        <w:t xml:space="preserve">la demandante sobre un campo en producción, en una zona diferente, con supuestos diversos en materia de costos de sostenimiento y ajenos a las restricciones del estado de emergencia fitosanitaria </w:t>
      </w:r>
      <w:r w:rsidR="001A0035" w:rsidRPr="003006D9">
        <w:rPr>
          <w:rFonts w:cs="Arial"/>
        </w:rPr>
        <w:t>declarado en el municipio de</w:t>
      </w:r>
      <w:r w:rsidRPr="003006D9">
        <w:rPr>
          <w:rFonts w:cs="Arial"/>
        </w:rPr>
        <w:t xml:space="preserve"> Tumaco</w:t>
      </w:r>
      <w:r w:rsidR="007E73F4" w:rsidRPr="003006D9">
        <w:rPr>
          <w:rFonts w:cs="Arial"/>
        </w:rPr>
        <w:t xml:space="preserve">, además de las restricciones propias del contrato de arrendamiento del inmueble materia de la promesa de venta. </w:t>
      </w:r>
    </w:p>
    <w:p w:rsidR="00AE5834" w:rsidRPr="003006D9" w:rsidRDefault="00AE5834" w:rsidP="00B61DA6">
      <w:pPr>
        <w:ind w:right="333"/>
        <w:rPr>
          <w:rFonts w:cs="Arial"/>
        </w:rPr>
      </w:pPr>
    </w:p>
    <w:p w:rsidR="004652D6" w:rsidRPr="003006D9" w:rsidRDefault="00D006CD" w:rsidP="00B61DA6">
      <w:pPr>
        <w:ind w:right="333"/>
        <w:rPr>
          <w:rFonts w:cs="Arial"/>
          <w:b/>
        </w:rPr>
      </w:pPr>
      <w:r w:rsidRPr="003006D9">
        <w:rPr>
          <w:rFonts w:cs="Arial"/>
          <w:b/>
        </w:rPr>
        <w:t>12</w:t>
      </w:r>
      <w:r w:rsidR="0012208A" w:rsidRPr="003006D9">
        <w:rPr>
          <w:rFonts w:cs="Arial"/>
          <w:b/>
        </w:rPr>
        <w:t xml:space="preserve">.2. </w:t>
      </w:r>
      <w:r w:rsidR="00C12B3F" w:rsidRPr="003006D9">
        <w:rPr>
          <w:rFonts w:cs="Arial"/>
          <w:b/>
        </w:rPr>
        <w:t xml:space="preserve">Lucro </w:t>
      </w:r>
      <w:r w:rsidR="00034A9E" w:rsidRPr="003006D9">
        <w:rPr>
          <w:rFonts w:cs="Arial"/>
          <w:b/>
        </w:rPr>
        <w:t>c</w:t>
      </w:r>
      <w:r w:rsidR="00C12B3F" w:rsidRPr="003006D9">
        <w:rPr>
          <w:rFonts w:cs="Arial"/>
          <w:b/>
        </w:rPr>
        <w:t xml:space="preserve">esante </w:t>
      </w:r>
    </w:p>
    <w:p w:rsidR="0012208A" w:rsidRPr="003006D9" w:rsidRDefault="0012208A" w:rsidP="00B61DA6">
      <w:pPr>
        <w:ind w:right="333"/>
        <w:rPr>
          <w:rFonts w:cs="Arial"/>
        </w:rPr>
      </w:pPr>
    </w:p>
    <w:p w:rsidR="00DA2B22" w:rsidRPr="003006D9" w:rsidRDefault="00B61DA6" w:rsidP="00B61DA6">
      <w:pPr>
        <w:ind w:right="333"/>
        <w:rPr>
          <w:rFonts w:cs="Arial"/>
        </w:rPr>
      </w:pPr>
      <w:r w:rsidRPr="003006D9">
        <w:rPr>
          <w:rFonts w:cs="Arial"/>
        </w:rPr>
        <w:t>Acerca de l</w:t>
      </w:r>
      <w:r w:rsidR="00C12B3F" w:rsidRPr="003006D9">
        <w:rPr>
          <w:rFonts w:cs="Arial"/>
        </w:rPr>
        <w:t xml:space="preserve">a pretensión </w:t>
      </w:r>
      <w:r w:rsidR="009974F8" w:rsidRPr="003006D9">
        <w:rPr>
          <w:rFonts w:cs="Arial"/>
        </w:rPr>
        <w:t xml:space="preserve">de </w:t>
      </w:r>
      <w:r w:rsidR="00C12B3F" w:rsidRPr="003006D9">
        <w:rPr>
          <w:rFonts w:cs="Arial"/>
        </w:rPr>
        <w:t>que el ICA sea condenado a paga</w:t>
      </w:r>
      <w:r w:rsidR="0060712F" w:rsidRPr="003006D9">
        <w:rPr>
          <w:rFonts w:cs="Arial"/>
        </w:rPr>
        <w:t>r</w:t>
      </w:r>
      <w:r w:rsidR="00DA2B22" w:rsidRPr="003006D9">
        <w:rPr>
          <w:rFonts w:cs="Arial"/>
        </w:rPr>
        <w:t xml:space="preserve"> perjuicios por </w:t>
      </w:r>
      <w:r w:rsidR="00C12B3F" w:rsidRPr="003006D9">
        <w:rPr>
          <w:rFonts w:cs="Arial"/>
        </w:rPr>
        <w:t xml:space="preserve"> </w:t>
      </w:r>
      <w:r w:rsidR="0060712F" w:rsidRPr="003006D9">
        <w:rPr>
          <w:rFonts w:cs="Arial"/>
          <w:i/>
        </w:rPr>
        <w:t>“</w:t>
      </w:r>
      <w:r w:rsidR="00C12B3F" w:rsidRPr="003006D9">
        <w:rPr>
          <w:rFonts w:cs="Arial"/>
          <w:i/>
        </w:rPr>
        <w:t>los intereses que han generado los valores oportunamente pagados por Fedepalma</w:t>
      </w:r>
      <w:r w:rsidR="0060712F" w:rsidRPr="003006D9">
        <w:rPr>
          <w:rFonts w:cs="Arial"/>
        </w:rPr>
        <w:t xml:space="preserve">”, </w:t>
      </w:r>
      <w:r w:rsidR="00DA2B22" w:rsidRPr="003006D9">
        <w:rPr>
          <w:rFonts w:cs="Arial"/>
        </w:rPr>
        <w:t xml:space="preserve">se observa que en el recurso de apelación FEDEPALMA </w:t>
      </w:r>
      <w:r w:rsidR="00034A9E" w:rsidRPr="003006D9">
        <w:rPr>
          <w:rFonts w:cs="Arial"/>
        </w:rPr>
        <w:t xml:space="preserve">reiteró </w:t>
      </w:r>
      <w:r w:rsidR="00DA2B22" w:rsidRPr="003006D9">
        <w:rPr>
          <w:rFonts w:cs="Arial"/>
        </w:rPr>
        <w:t>la reclamación correspondiente para que se le reconocieran los perjuicios causados por el ICA.</w:t>
      </w:r>
    </w:p>
    <w:p w:rsidR="00DA2B22" w:rsidRPr="003006D9" w:rsidRDefault="00DA2B22" w:rsidP="00B61DA6">
      <w:pPr>
        <w:ind w:right="333"/>
        <w:rPr>
          <w:rFonts w:cs="Arial"/>
        </w:rPr>
      </w:pPr>
    </w:p>
    <w:p w:rsidR="0060712F" w:rsidRPr="003006D9" w:rsidRDefault="00DA2B22" w:rsidP="00B61DA6">
      <w:pPr>
        <w:ind w:right="333"/>
        <w:rPr>
          <w:rFonts w:cs="Arial"/>
        </w:rPr>
      </w:pPr>
      <w:r w:rsidRPr="003006D9">
        <w:rPr>
          <w:rFonts w:cs="Arial"/>
        </w:rPr>
        <w:t>A</w:t>
      </w:r>
      <w:r w:rsidR="0060712F" w:rsidRPr="003006D9">
        <w:rPr>
          <w:rFonts w:cs="Arial"/>
        </w:rPr>
        <w:t xml:space="preserve">siste la razón a la demandante, aunque en este caso la condena no corresponde al perjuicio derivado del incumplimiento, sino al restablecimiento </w:t>
      </w:r>
      <w:r w:rsidRPr="003006D9">
        <w:rPr>
          <w:rFonts w:cs="Arial"/>
        </w:rPr>
        <w:t xml:space="preserve">a que tiene derecho </w:t>
      </w:r>
      <w:r w:rsidR="0060712F" w:rsidRPr="003006D9">
        <w:rPr>
          <w:rFonts w:cs="Arial"/>
        </w:rPr>
        <w:t xml:space="preserve"> por razón del pago realizado bajo un acto de adjudicación y </w:t>
      </w:r>
      <w:r w:rsidR="00034A9E" w:rsidRPr="003006D9">
        <w:rPr>
          <w:rFonts w:cs="Arial"/>
        </w:rPr>
        <w:t xml:space="preserve">de </w:t>
      </w:r>
      <w:r w:rsidR="0060712F" w:rsidRPr="003006D9">
        <w:rPr>
          <w:rFonts w:cs="Arial"/>
        </w:rPr>
        <w:t xml:space="preserve">un contrato que </w:t>
      </w:r>
      <w:r w:rsidRPr="003006D9">
        <w:rPr>
          <w:rFonts w:cs="Arial"/>
        </w:rPr>
        <w:t xml:space="preserve">fueron impugnados por la propia entidad estatal y que </w:t>
      </w:r>
      <w:r w:rsidR="0060712F" w:rsidRPr="003006D9">
        <w:rPr>
          <w:rFonts w:cs="Arial"/>
        </w:rPr>
        <w:t xml:space="preserve">serán materia de la anulación. </w:t>
      </w:r>
    </w:p>
    <w:p w:rsidR="00DA2B22" w:rsidRPr="003006D9" w:rsidRDefault="00DA2B22" w:rsidP="00B61DA6">
      <w:pPr>
        <w:ind w:right="333"/>
        <w:rPr>
          <w:rFonts w:cs="Arial"/>
        </w:rPr>
      </w:pPr>
    </w:p>
    <w:p w:rsidR="0060712F" w:rsidRPr="003006D9" w:rsidRDefault="0074483B" w:rsidP="00B61DA6">
      <w:pPr>
        <w:ind w:right="333"/>
        <w:rPr>
          <w:rFonts w:cs="Arial"/>
        </w:rPr>
      </w:pPr>
      <w:r w:rsidRPr="003006D9">
        <w:rPr>
          <w:rFonts w:cs="Arial"/>
        </w:rPr>
        <w:t>Ahora bien, s</w:t>
      </w:r>
      <w:r w:rsidR="0060712F" w:rsidRPr="003006D9">
        <w:rPr>
          <w:rFonts w:cs="Arial"/>
        </w:rPr>
        <w:t xml:space="preserve">e conoció en este proceso que el ICA manifestó que invertiría las sumas recibidas en TES, mientras </w:t>
      </w:r>
      <w:r w:rsidR="009974F8" w:rsidRPr="003006D9">
        <w:rPr>
          <w:rFonts w:cs="Arial"/>
        </w:rPr>
        <w:t>que se</w:t>
      </w:r>
      <w:r w:rsidR="0060712F" w:rsidRPr="003006D9">
        <w:rPr>
          <w:rFonts w:cs="Arial"/>
        </w:rPr>
        <w:t xml:space="preserve"> resolvía el litigio, lo cual </w:t>
      </w:r>
      <w:r w:rsidR="00DA2B22" w:rsidRPr="003006D9">
        <w:rPr>
          <w:rFonts w:cs="Arial"/>
        </w:rPr>
        <w:t xml:space="preserve">se </w:t>
      </w:r>
      <w:r w:rsidR="0060712F" w:rsidRPr="003006D9">
        <w:rPr>
          <w:rFonts w:cs="Arial"/>
        </w:rPr>
        <w:t>corresponde con el régimen de inversi</w:t>
      </w:r>
      <w:r w:rsidR="00DA2B22" w:rsidRPr="003006D9">
        <w:rPr>
          <w:rFonts w:cs="Arial"/>
        </w:rPr>
        <w:t>ón</w:t>
      </w:r>
      <w:r w:rsidR="0060712F" w:rsidRPr="003006D9">
        <w:rPr>
          <w:rFonts w:cs="Arial"/>
        </w:rPr>
        <w:t xml:space="preserve"> de los excedentes de liquidez de esa entidad</w:t>
      </w:r>
      <w:r w:rsidR="00840A6E" w:rsidRPr="003006D9">
        <w:rPr>
          <w:rStyle w:val="Refdenotaalpie"/>
          <w:rFonts w:cs="Arial"/>
        </w:rPr>
        <w:footnoteReference w:id="109"/>
      </w:r>
      <w:r w:rsidR="0060712F" w:rsidRPr="003006D9">
        <w:rPr>
          <w:rFonts w:cs="Arial"/>
        </w:rPr>
        <w:t xml:space="preserve">. </w:t>
      </w:r>
    </w:p>
    <w:p w:rsidR="0060712F" w:rsidRPr="003006D9" w:rsidRDefault="0060712F" w:rsidP="00B61DA6">
      <w:pPr>
        <w:ind w:right="333"/>
        <w:rPr>
          <w:rFonts w:cs="Arial"/>
        </w:rPr>
      </w:pPr>
    </w:p>
    <w:p w:rsidR="0060712F" w:rsidRPr="003006D9" w:rsidRDefault="0060712F" w:rsidP="00B61DA6">
      <w:pPr>
        <w:ind w:right="333"/>
        <w:rPr>
          <w:rFonts w:cs="Arial"/>
        </w:rPr>
      </w:pPr>
      <w:r w:rsidRPr="003006D9">
        <w:rPr>
          <w:rFonts w:cs="Arial"/>
        </w:rPr>
        <w:t xml:space="preserve">Por tanto, se condenará al ICA a pagar el valor que corresponda a la </w:t>
      </w:r>
      <w:r w:rsidR="00034A9E" w:rsidRPr="003006D9">
        <w:rPr>
          <w:rFonts w:cs="Arial"/>
        </w:rPr>
        <w:t xml:space="preserve">utilidad </w:t>
      </w:r>
      <w:r w:rsidRPr="003006D9">
        <w:rPr>
          <w:rFonts w:cs="Arial"/>
        </w:rPr>
        <w:t xml:space="preserve">efectiva </w:t>
      </w:r>
      <w:r w:rsidR="00034A9E" w:rsidRPr="003006D9">
        <w:rPr>
          <w:rFonts w:cs="Arial"/>
        </w:rPr>
        <w:t>obtenid</w:t>
      </w:r>
      <w:r w:rsidR="00F61EC3" w:rsidRPr="003006D9">
        <w:rPr>
          <w:rFonts w:cs="Arial"/>
        </w:rPr>
        <w:t>a</w:t>
      </w:r>
      <w:r w:rsidR="00BA6748" w:rsidRPr="003006D9">
        <w:rPr>
          <w:rFonts w:cs="Arial"/>
        </w:rPr>
        <w:t xml:space="preserve"> </w:t>
      </w:r>
      <w:r w:rsidRPr="003006D9">
        <w:rPr>
          <w:rFonts w:cs="Arial"/>
        </w:rPr>
        <w:t xml:space="preserve">del portafolio invertido en TES, </w:t>
      </w:r>
      <w:r w:rsidR="00034A9E" w:rsidRPr="003006D9">
        <w:rPr>
          <w:rFonts w:cs="Arial"/>
        </w:rPr>
        <w:t xml:space="preserve">con base en </w:t>
      </w:r>
      <w:r w:rsidRPr="003006D9">
        <w:rPr>
          <w:rFonts w:cs="Arial"/>
        </w:rPr>
        <w:t>la suma entregada por FEDEPALMA.</w:t>
      </w:r>
    </w:p>
    <w:p w:rsidR="0060712F" w:rsidRPr="003006D9" w:rsidRDefault="0060712F" w:rsidP="00B61DA6">
      <w:pPr>
        <w:ind w:right="333"/>
        <w:rPr>
          <w:rFonts w:cs="Arial"/>
        </w:rPr>
      </w:pPr>
    </w:p>
    <w:p w:rsidR="00F037BE" w:rsidRPr="003006D9" w:rsidRDefault="0060712F" w:rsidP="00B61DA6">
      <w:pPr>
        <w:ind w:right="333"/>
        <w:rPr>
          <w:rFonts w:cs="Arial"/>
        </w:rPr>
      </w:pPr>
      <w:r w:rsidRPr="003006D9">
        <w:rPr>
          <w:rFonts w:cs="Arial"/>
        </w:rPr>
        <w:t>Por ello</w:t>
      </w:r>
      <w:r w:rsidR="00034A9E" w:rsidRPr="003006D9">
        <w:rPr>
          <w:rFonts w:cs="Arial"/>
        </w:rPr>
        <w:t>,</w:t>
      </w:r>
      <w:r w:rsidRPr="003006D9">
        <w:rPr>
          <w:rFonts w:cs="Arial"/>
        </w:rPr>
        <w:t xml:space="preserve"> la condena </w:t>
      </w:r>
      <w:r w:rsidR="00F037BE" w:rsidRPr="003006D9">
        <w:rPr>
          <w:rFonts w:cs="Arial"/>
        </w:rPr>
        <w:t xml:space="preserve">a pagar perjuicios </w:t>
      </w:r>
      <w:r w:rsidRPr="003006D9">
        <w:rPr>
          <w:rFonts w:cs="Arial"/>
        </w:rPr>
        <w:t xml:space="preserve">se </w:t>
      </w:r>
      <w:r w:rsidR="00034A9E" w:rsidRPr="003006D9">
        <w:rPr>
          <w:rFonts w:cs="Arial"/>
        </w:rPr>
        <w:t xml:space="preserve">impondrá </w:t>
      </w:r>
      <w:r w:rsidRPr="003006D9">
        <w:rPr>
          <w:rFonts w:cs="Arial"/>
        </w:rPr>
        <w:t>en abstracto</w:t>
      </w:r>
      <w:r w:rsidR="00F037BE" w:rsidRPr="003006D9">
        <w:rPr>
          <w:rFonts w:cs="Arial"/>
        </w:rPr>
        <w:t>, de acuerdo con los siguientes parámetros</w:t>
      </w:r>
      <w:r w:rsidR="006D7A8C" w:rsidRPr="003006D9">
        <w:rPr>
          <w:rFonts w:cs="Arial"/>
        </w:rPr>
        <w:t>:</w:t>
      </w:r>
    </w:p>
    <w:p w:rsidR="00F037BE" w:rsidRPr="003006D9" w:rsidRDefault="00F037BE" w:rsidP="00B61DA6">
      <w:pPr>
        <w:ind w:right="333"/>
        <w:rPr>
          <w:rFonts w:cs="Arial"/>
        </w:rPr>
      </w:pPr>
    </w:p>
    <w:p w:rsidR="00DA2B22" w:rsidRPr="003006D9" w:rsidRDefault="00F037BE" w:rsidP="00840A6E">
      <w:pPr>
        <w:ind w:right="333"/>
        <w:rPr>
          <w:rFonts w:cs="Arial"/>
        </w:rPr>
      </w:pPr>
      <w:r w:rsidRPr="003006D9">
        <w:rPr>
          <w:rFonts w:cs="Arial"/>
        </w:rPr>
        <w:t>E</w:t>
      </w:r>
      <w:r w:rsidR="001A0F31" w:rsidRPr="003006D9">
        <w:rPr>
          <w:rFonts w:cs="Arial"/>
        </w:rPr>
        <w:t xml:space="preserve">n caso </w:t>
      </w:r>
      <w:r w:rsidR="009974F8" w:rsidRPr="003006D9">
        <w:rPr>
          <w:rFonts w:cs="Arial"/>
        </w:rPr>
        <w:t xml:space="preserve">de </w:t>
      </w:r>
      <w:r w:rsidR="001A0F31" w:rsidRPr="003006D9">
        <w:rPr>
          <w:rFonts w:cs="Arial"/>
        </w:rPr>
        <w:t>que se promueva el incidente, e</w:t>
      </w:r>
      <w:r w:rsidR="0060712F" w:rsidRPr="003006D9">
        <w:rPr>
          <w:rFonts w:cs="Arial"/>
        </w:rPr>
        <w:t xml:space="preserve">l ICA </w:t>
      </w:r>
      <w:r w:rsidR="001A0F31" w:rsidRPr="003006D9">
        <w:rPr>
          <w:rFonts w:cs="Arial"/>
        </w:rPr>
        <w:t xml:space="preserve">deberá </w:t>
      </w:r>
      <w:r w:rsidR="0060712F" w:rsidRPr="003006D9">
        <w:rPr>
          <w:rFonts w:cs="Arial"/>
        </w:rPr>
        <w:t>present</w:t>
      </w:r>
      <w:r w:rsidRPr="003006D9">
        <w:rPr>
          <w:rFonts w:cs="Arial"/>
        </w:rPr>
        <w:t>ar la relación de las inversiones realizadas con el precio recibido de FEDEPALMA</w:t>
      </w:r>
      <w:r w:rsidR="00161F2A" w:rsidRPr="003006D9">
        <w:rPr>
          <w:rFonts w:cs="Arial"/>
        </w:rPr>
        <w:t>,</w:t>
      </w:r>
      <w:r w:rsidRPr="003006D9">
        <w:rPr>
          <w:rFonts w:cs="Arial"/>
        </w:rPr>
        <w:t xml:space="preserve"> el detalle </w:t>
      </w:r>
      <w:r w:rsidR="0060712F" w:rsidRPr="003006D9">
        <w:rPr>
          <w:rFonts w:cs="Arial"/>
        </w:rPr>
        <w:t>la liquidación del portafolio</w:t>
      </w:r>
      <w:r w:rsidR="00161F2A" w:rsidRPr="003006D9">
        <w:rPr>
          <w:rFonts w:cs="Arial"/>
        </w:rPr>
        <w:t xml:space="preserve"> y</w:t>
      </w:r>
      <w:r w:rsidRPr="003006D9">
        <w:rPr>
          <w:rFonts w:cs="Arial"/>
        </w:rPr>
        <w:t xml:space="preserve"> el valor de la </w:t>
      </w:r>
      <w:r w:rsidR="00840A6E" w:rsidRPr="003006D9">
        <w:rPr>
          <w:rFonts w:cs="Arial"/>
        </w:rPr>
        <w:t xml:space="preserve">utilidad </w:t>
      </w:r>
      <w:r w:rsidR="0060712F" w:rsidRPr="003006D9">
        <w:rPr>
          <w:rFonts w:cs="Arial"/>
        </w:rPr>
        <w:t>obtenida</w:t>
      </w:r>
      <w:r w:rsidRPr="003006D9">
        <w:rPr>
          <w:rFonts w:cs="Arial"/>
        </w:rPr>
        <w:t>, debidamente certificada por su contador público</w:t>
      </w:r>
      <w:r w:rsidR="00840A6E" w:rsidRPr="003006D9">
        <w:rPr>
          <w:rFonts w:cs="Arial"/>
        </w:rPr>
        <w:t xml:space="preserve">, </w:t>
      </w:r>
      <w:r w:rsidR="00F61EC3" w:rsidRPr="003006D9">
        <w:rPr>
          <w:rFonts w:cs="Arial"/>
        </w:rPr>
        <w:t xml:space="preserve">soportada </w:t>
      </w:r>
      <w:r w:rsidR="00840A6E" w:rsidRPr="003006D9">
        <w:rPr>
          <w:rFonts w:cs="Arial"/>
        </w:rPr>
        <w:t>con fundamento en los registros contables del ICA.</w:t>
      </w:r>
    </w:p>
    <w:p w:rsidR="00DA2B22" w:rsidRPr="003006D9" w:rsidRDefault="00DA2B22" w:rsidP="00B61DA6">
      <w:pPr>
        <w:ind w:right="333"/>
        <w:rPr>
          <w:rFonts w:cs="Arial"/>
        </w:rPr>
      </w:pPr>
    </w:p>
    <w:p w:rsidR="00840A6E" w:rsidRPr="003006D9" w:rsidRDefault="003B3D65" w:rsidP="00F037BE">
      <w:pPr>
        <w:ind w:right="333"/>
        <w:rPr>
          <w:rFonts w:cs="Arial"/>
        </w:rPr>
      </w:pPr>
      <w:r w:rsidRPr="003006D9">
        <w:rPr>
          <w:rFonts w:cs="Arial"/>
        </w:rPr>
        <w:t>En caso que el ICA no haya constituido un</w:t>
      </w:r>
      <w:r w:rsidR="00840A6E" w:rsidRPr="003006D9">
        <w:rPr>
          <w:rFonts w:cs="Arial"/>
        </w:rPr>
        <w:t>a</w:t>
      </w:r>
      <w:r w:rsidRPr="003006D9">
        <w:rPr>
          <w:rFonts w:cs="Arial"/>
        </w:rPr>
        <w:t xml:space="preserve"> inversión </w:t>
      </w:r>
      <w:r w:rsidR="00840A6E" w:rsidRPr="003006D9">
        <w:rPr>
          <w:rFonts w:cs="Arial"/>
        </w:rPr>
        <w:t xml:space="preserve">o portafolio </w:t>
      </w:r>
      <w:r w:rsidRPr="003006D9">
        <w:rPr>
          <w:rFonts w:cs="Arial"/>
        </w:rPr>
        <w:t xml:space="preserve">independiente </w:t>
      </w:r>
      <w:r w:rsidR="00DA2B22" w:rsidRPr="003006D9">
        <w:rPr>
          <w:rFonts w:cs="Arial"/>
        </w:rPr>
        <w:t>con la suma recibida de FEDEPALM</w:t>
      </w:r>
      <w:r w:rsidR="00F037BE" w:rsidRPr="003006D9">
        <w:rPr>
          <w:rFonts w:cs="Arial"/>
        </w:rPr>
        <w:t>A</w:t>
      </w:r>
      <w:r w:rsidR="00DA2B22" w:rsidRPr="003006D9">
        <w:rPr>
          <w:rFonts w:cs="Arial"/>
        </w:rPr>
        <w:t xml:space="preserve">, </w:t>
      </w:r>
      <w:r w:rsidRPr="003006D9">
        <w:rPr>
          <w:rFonts w:cs="Arial"/>
        </w:rPr>
        <w:t>la indemnización correspondiente se liquidar</w:t>
      </w:r>
      <w:r w:rsidR="00161F2A" w:rsidRPr="003006D9">
        <w:rPr>
          <w:rFonts w:cs="Arial"/>
        </w:rPr>
        <w:t>á</w:t>
      </w:r>
      <w:r w:rsidRPr="003006D9">
        <w:rPr>
          <w:rFonts w:cs="Arial"/>
        </w:rPr>
        <w:t xml:space="preserve"> con intervención de peritos los cuales deberán </w:t>
      </w:r>
      <w:r w:rsidR="00F037BE" w:rsidRPr="003006D9">
        <w:rPr>
          <w:rFonts w:cs="Arial"/>
        </w:rPr>
        <w:t xml:space="preserve">dictaminar </w:t>
      </w:r>
      <w:r w:rsidRPr="003006D9">
        <w:rPr>
          <w:rFonts w:cs="Arial"/>
        </w:rPr>
        <w:t xml:space="preserve">la </w:t>
      </w:r>
      <w:r w:rsidR="00840A6E" w:rsidRPr="003006D9">
        <w:rPr>
          <w:rFonts w:cs="Arial"/>
        </w:rPr>
        <w:t xml:space="preserve">utilidad en venta </w:t>
      </w:r>
      <w:r w:rsidRPr="003006D9">
        <w:rPr>
          <w:rFonts w:cs="Arial"/>
        </w:rPr>
        <w:t xml:space="preserve">correspondiente a un portafolio de referencia constituido en TES </w:t>
      </w:r>
      <w:r w:rsidR="00840A6E" w:rsidRPr="003006D9">
        <w:rPr>
          <w:rFonts w:cs="Arial"/>
        </w:rPr>
        <w:t>clase B</w:t>
      </w:r>
      <w:r w:rsidR="00620A75" w:rsidRPr="003006D9">
        <w:rPr>
          <w:rFonts w:cs="Arial"/>
        </w:rPr>
        <w:t>,</w:t>
      </w:r>
      <w:r w:rsidR="00840A6E" w:rsidRPr="003006D9">
        <w:rPr>
          <w:rFonts w:cs="Arial"/>
        </w:rPr>
        <w:t xml:space="preserve"> </w:t>
      </w:r>
      <w:r w:rsidRPr="003006D9">
        <w:rPr>
          <w:rFonts w:cs="Arial"/>
        </w:rPr>
        <w:t xml:space="preserve">por </w:t>
      </w:r>
      <w:r w:rsidR="00DA2B22" w:rsidRPr="003006D9">
        <w:rPr>
          <w:rFonts w:cs="Arial"/>
        </w:rPr>
        <w:t xml:space="preserve">valor </w:t>
      </w:r>
      <w:r w:rsidRPr="003006D9">
        <w:rPr>
          <w:rFonts w:cs="Arial"/>
        </w:rPr>
        <w:t>de $4.165’000.000.oo</w:t>
      </w:r>
      <w:r w:rsidR="00161F2A" w:rsidRPr="003006D9">
        <w:rPr>
          <w:rFonts w:cs="Arial"/>
        </w:rPr>
        <w:t xml:space="preserve">, tomando como fecha de inversión inicial </w:t>
      </w:r>
      <w:r w:rsidRPr="003006D9">
        <w:rPr>
          <w:rFonts w:cs="Arial"/>
        </w:rPr>
        <w:t>el 6 de noviembre de 2010</w:t>
      </w:r>
      <w:r w:rsidR="00DA2B22" w:rsidRPr="003006D9">
        <w:rPr>
          <w:rStyle w:val="Refdenotaalpie"/>
          <w:rFonts w:cs="Arial"/>
        </w:rPr>
        <w:footnoteReference w:id="110"/>
      </w:r>
      <w:r w:rsidRPr="003006D9">
        <w:rPr>
          <w:rFonts w:cs="Arial"/>
        </w:rPr>
        <w:t xml:space="preserve"> y </w:t>
      </w:r>
      <w:r w:rsidR="00F61EC3" w:rsidRPr="003006D9">
        <w:rPr>
          <w:rFonts w:cs="Arial"/>
        </w:rPr>
        <w:t xml:space="preserve">como </w:t>
      </w:r>
      <w:r w:rsidR="00161F2A" w:rsidRPr="003006D9">
        <w:rPr>
          <w:rFonts w:cs="Arial"/>
        </w:rPr>
        <w:t xml:space="preserve">fecha de </w:t>
      </w:r>
      <w:r w:rsidR="00620A75" w:rsidRPr="003006D9">
        <w:rPr>
          <w:rFonts w:cs="Arial"/>
        </w:rPr>
        <w:t>liquida</w:t>
      </w:r>
      <w:r w:rsidR="00161F2A" w:rsidRPr="003006D9">
        <w:rPr>
          <w:rFonts w:cs="Arial"/>
        </w:rPr>
        <w:t xml:space="preserve">ción, la de la presente </w:t>
      </w:r>
      <w:r w:rsidRPr="003006D9">
        <w:rPr>
          <w:rFonts w:cs="Arial"/>
        </w:rPr>
        <w:t>sentencia.</w:t>
      </w:r>
      <w:r w:rsidR="00F037BE" w:rsidRPr="003006D9">
        <w:rPr>
          <w:rFonts w:cs="Arial"/>
        </w:rPr>
        <w:t xml:space="preserve"> </w:t>
      </w:r>
    </w:p>
    <w:p w:rsidR="00840A6E" w:rsidRPr="003006D9" w:rsidRDefault="00840A6E" w:rsidP="00F037BE">
      <w:pPr>
        <w:ind w:right="333"/>
        <w:rPr>
          <w:rFonts w:cs="Arial"/>
        </w:rPr>
      </w:pPr>
    </w:p>
    <w:p w:rsidR="00F037BE" w:rsidRPr="003006D9" w:rsidRDefault="00161F2A" w:rsidP="00F037BE">
      <w:pPr>
        <w:ind w:right="333"/>
        <w:rPr>
          <w:rFonts w:cs="Arial"/>
        </w:rPr>
      </w:pPr>
      <w:r w:rsidRPr="003006D9">
        <w:rPr>
          <w:rFonts w:cs="Arial"/>
        </w:rPr>
        <w:t>E</w:t>
      </w:r>
      <w:r w:rsidR="00E631E6" w:rsidRPr="003006D9">
        <w:rPr>
          <w:rFonts w:cs="Arial"/>
        </w:rPr>
        <w:t>l</w:t>
      </w:r>
      <w:r w:rsidRPr="003006D9">
        <w:rPr>
          <w:rFonts w:cs="Arial"/>
        </w:rPr>
        <w:t xml:space="preserve"> </w:t>
      </w:r>
      <w:r w:rsidR="001A0F31" w:rsidRPr="003006D9">
        <w:rPr>
          <w:rFonts w:cs="Arial"/>
        </w:rPr>
        <w:t xml:space="preserve">respectivo </w:t>
      </w:r>
      <w:r w:rsidRPr="003006D9">
        <w:rPr>
          <w:rFonts w:cs="Arial"/>
        </w:rPr>
        <w:t xml:space="preserve">incidente, </w:t>
      </w:r>
      <w:r w:rsidR="00B51FF0" w:rsidRPr="003006D9">
        <w:rPr>
          <w:rFonts w:cs="Arial"/>
        </w:rPr>
        <w:t xml:space="preserve">en caso </w:t>
      </w:r>
      <w:r w:rsidR="00E631E6" w:rsidRPr="003006D9">
        <w:rPr>
          <w:rFonts w:cs="Arial"/>
        </w:rPr>
        <w:t xml:space="preserve">de </w:t>
      </w:r>
      <w:r w:rsidR="00B51FF0" w:rsidRPr="003006D9">
        <w:rPr>
          <w:rFonts w:cs="Arial"/>
        </w:rPr>
        <w:t xml:space="preserve">que se promueva, </w:t>
      </w:r>
      <w:r w:rsidR="00840A6E" w:rsidRPr="003006D9">
        <w:rPr>
          <w:rFonts w:cs="Arial"/>
        </w:rPr>
        <w:t xml:space="preserve">se </w:t>
      </w:r>
      <w:r w:rsidR="00F61EC3" w:rsidRPr="003006D9">
        <w:rPr>
          <w:rFonts w:cs="Arial"/>
        </w:rPr>
        <w:t xml:space="preserve">deberá </w:t>
      </w:r>
      <w:r w:rsidR="00840A6E" w:rsidRPr="003006D9">
        <w:rPr>
          <w:rFonts w:cs="Arial"/>
        </w:rPr>
        <w:t>adelantar bajo los parámetros antedichos,</w:t>
      </w:r>
      <w:r w:rsidR="00620A75" w:rsidRPr="003006D9">
        <w:rPr>
          <w:rFonts w:cs="Arial"/>
        </w:rPr>
        <w:t xml:space="preserve"> </w:t>
      </w:r>
      <w:r w:rsidR="00840A6E" w:rsidRPr="003006D9">
        <w:rPr>
          <w:rFonts w:cs="Arial"/>
        </w:rPr>
        <w:t xml:space="preserve">en los términos del </w:t>
      </w:r>
      <w:r w:rsidR="00F037BE" w:rsidRPr="003006D9">
        <w:rPr>
          <w:rFonts w:cs="Arial"/>
        </w:rPr>
        <w:t xml:space="preserve">artículo </w:t>
      </w:r>
      <w:r w:rsidR="00620A75" w:rsidRPr="003006D9">
        <w:rPr>
          <w:rFonts w:cs="Arial"/>
        </w:rPr>
        <w:t xml:space="preserve">172 </w:t>
      </w:r>
      <w:r w:rsidR="00F037BE" w:rsidRPr="003006D9">
        <w:rPr>
          <w:rFonts w:cs="Arial"/>
        </w:rPr>
        <w:t>del CCA</w:t>
      </w:r>
      <w:r w:rsidR="00620A75" w:rsidRPr="003006D9">
        <w:rPr>
          <w:rFonts w:cs="Arial"/>
        </w:rPr>
        <w:t>.</w:t>
      </w:r>
    </w:p>
    <w:p w:rsidR="003B3D65" w:rsidRPr="003006D9" w:rsidRDefault="003B3D65" w:rsidP="00B61DA6">
      <w:pPr>
        <w:ind w:right="333"/>
        <w:rPr>
          <w:rFonts w:cs="Arial"/>
        </w:rPr>
      </w:pPr>
    </w:p>
    <w:p w:rsidR="00171532" w:rsidRPr="003006D9" w:rsidRDefault="00F61EC3" w:rsidP="00B61DA6">
      <w:pPr>
        <w:ind w:right="333"/>
        <w:rPr>
          <w:rFonts w:cs="Arial"/>
        </w:rPr>
      </w:pPr>
      <w:r w:rsidRPr="003006D9">
        <w:rPr>
          <w:rFonts w:cs="Arial"/>
        </w:rPr>
        <w:t xml:space="preserve">Finalmente, </w:t>
      </w:r>
      <w:r w:rsidR="00E631E6" w:rsidRPr="003006D9">
        <w:rPr>
          <w:rFonts w:cs="Arial"/>
        </w:rPr>
        <w:t>respecto</w:t>
      </w:r>
      <w:r w:rsidR="00620A75" w:rsidRPr="003006D9">
        <w:rPr>
          <w:rFonts w:cs="Arial"/>
        </w:rPr>
        <w:t xml:space="preserve"> del perjuicio que se ha mencionado este acápite, es pertinente </w:t>
      </w:r>
      <w:r w:rsidR="00B61DA6" w:rsidRPr="003006D9">
        <w:rPr>
          <w:rFonts w:cs="Arial"/>
        </w:rPr>
        <w:t>observar que en su momento FEDEPA</w:t>
      </w:r>
      <w:r w:rsidR="005B79C1" w:rsidRPr="003006D9">
        <w:rPr>
          <w:rFonts w:cs="Arial"/>
        </w:rPr>
        <w:t>L</w:t>
      </w:r>
      <w:r w:rsidR="00B61DA6" w:rsidRPr="003006D9">
        <w:rPr>
          <w:rFonts w:cs="Arial"/>
        </w:rPr>
        <w:t xml:space="preserve">MA optó por rechazar la propuesta que el  ICA le presentó </w:t>
      </w:r>
      <w:r w:rsidR="00B42772" w:rsidRPr="003006D9">
        <w:rPr>
          <w:rFonts w:cs="Arial"/>
        </w:rPr>
        <w:t>el 19 de enero de  201</w:t>
      </w:r>
      <w:r w:rsidR="000F3403" w:rsidRPr="003006D9">
        <w:rPr>
          <w:rFonts w:cs="Arial"/>
        </w:rPr>
        <w:t>1</w:t>
      </w:r>
      <w:r w:rsidR="00B42772" w:rsidRPr="003006D9">
        <w:rPr>
          <w:rStyle w:val="Refdenotaalpie"/>
          <w:rFonts w:cs="Arial"/>
        </w:rPr>
        <w:footnoteReference w:id="111"/>
      </w:r>
      <w:r w:rsidR="00B42772" w:rsidRPr="003006D9">
        <w:rPr>
          <w:rFonts w:cs="Arial"/>
        </w:rPr>
        <w:t xml:space="preserve">, </w:t>
      </w:r>
      <w:r w:rsidR="00B61DA6" w:rsidRPr="003006D9">
        <w:rPr>
          <w:rFonts w:cs="Arial"/>
        </w:rPr>
        <w:t>para dejar sin efecto la promesa de compraventa y realizar</w:t>
      </w:r>
      <w:r w:rsidR="00F037BE" w:rsidRPr="003006D9">
        <w:rPr>
          <w:rFonts w:cs="Arial"/>
        </w:rPr>
        <w:t>le</w:t>
      </w:r>
      <w:r w:rsidR="00B61DA6" w:rsidRPr="003006D9">
        <w:rPr>
          <w:rFonts w:cs="Arial"/>
        </w:rPr>
        <w:t xml:space="preserve"> la restitución inmediata del precio pagado</w:t>
      </w:r>
      <w:r w:rsidR="00070C9B" w:rsidRPr="003006D9">
        <w:rPr>
          <w:rFonts w:cs="Arial"/>
        </w:rPr>
        <w:t xml:space="preserve">, </w:t>
      </w:r>
      <w:r w:rsidR="00070C9B" w:rsidRPr="003006D9">
        <w:rPr>
          <w:rFonts w:cs="Arial"/>
          <w:i/>
        </w:rPr>
        <w:t>“más los rendimientos financieros que a la fecha han generado los TES”</w:t>
      </w:r>
      <w:r w:rsidR="00070C9B" w:rsidRPr="003006D9">
        <w:rPr>
          <w:rFonts w:cs="Arial"/>
        </w:rPr>
        <w:t>.</w:t>
      </w:r>
      <w:r w:rsidR="00B61DA6" w:rsidRPr="003006D9">
        <w:rPr>
          <w:rFonts w:cs="Arial"/>
        </w:rPr>
        <w:t xml:space="preserve"> </w:t>
      </w:r>
    </w:p>
    <w:p w:rsidR="00171532" w:rsidRPr="003006D9" w:rsidRDefault="00171532" w:rsidP="00B61DA6">
      <w:pPr>
        <w:ind w:right="333"/>
        <w:rPr>
          <w:rFonts w:cs="Arial"/>
        </w:rPr>
      </w:pPr>
    </w:p>
    <w:p w:rsidR="003B3D65" w:rsidRPr="003006D9" w:rsidRDefault="003B3D65" w:rsidP="00B61DA6">
      <w:pPr>
        <w:ind w:right="333"/>
        <w:rPr>
          <w:rFonts w:cs="Arial"/>
        </w:rPr>
      </w:pPr>
      <w:r w:rsidRPr="003006D9">
        <w:rPr>
          <w:rFonts w:cs="Arial"/>
        </w:rPr>
        <w:t xml:space="preserve">Sin embargo, </w:t>
      </w:r>
      <w:r w:rsidR="00161F2A" w:rsidRPr="003006D9">
        <w:rPr>
          <w:rFonts w:cs="Arial"/>
        </w:rPr>
        <w:t xml:space="preserve">por razón de esa conducta </w:t>
      </w:r>
      <w:r w:rsidRPr="003006D9">
        <w:rPr>
          <w:rFonts w:cs="Arial"/>
        </w:rPr>
        <w:t>no puede entenderse que</w:t>
      </w:r>
      <w:r w:rsidR="00B61DA6" w:rsidRPr="003006D9">
        <w:rPr>
          <w:rFonts w:cs="Arial"/>
        </w:rPr>
        <w:t xml:space="preserve"> FEDEPALMA asumió el costo de oportunidad del dinero que dejaría en poder del ICA, hasta </w:t>
      </w:r>
      <w:r w:rsidR="00B61DA6" w:rsidRPr="003006D9">
        <w:rPr>
          <w:rFonts w:cs="Arial"/>
        </w:rPr>
        <w:lastRenderedPageBreak/>
        <w:t>que el litigio se resolviera</w:t>
      </w:r>
      <w:r w:rsidRPr="003006D9">
        <w:rPr>
          <w:rFonts w:cs="Arial"/>
        </w:rPr>
        <w:t xml:space="preserve">, toda vez que </w:t>
      </w:r>
      <w:r w:rsidR="00161F2A" w:rsidRPr="003006D9">
        <w:rPr>
          <w:rFonts w:cs="Arial"/>
        </w:rPr>
        <w:t>la</w:t>
      </w:r>
      <w:r w:rsidRPr="003006D9">
        <w:rPr>
          <w:rFonts w:cs="Arial"/>
        </w:rPr>
        <w:t xml:space="preserve"> oferta de </w:t>
      </w:r>
      <w:r w:rsidR="00F037BE" w:rsidRPr="003006D9">
        <w:rPr>
          <w:rFonts w:cs="Arial"/>
        </w:rPr>
        <w:t xml:space="preserve">devolución del precio </w:t>
      </w:r>
      <w:r w:rsidRPr="003006D9">
        <w:rPr>
          <w:rFonts w:cs="Arial"/>
        </w:rPr>
        <w:t>se le presentó con una propuesta de transacción que le implicaba renunciar a discutir su derecho.</w:t>
      </w:r>
    </w:p>
    <w:p w:rsidR="00627301" w:rsidRPr="003006D9" w:rsidRDefault="00627301" w:rsidP="00B61DA6">
      <w:pPr>
        <w:ind w:right="333"/>
        <w:rPr>
          <w:rFonts w:cs="Arial"/>
        </w:rPr>
      </w:pPr>
    </w:p>
    <w:p w:rsidR="00171532" w:rsidRPr="003006D9" w:rsidRDefault="00171532" w:rsidP="00B61DA6">
      <w:pPr>
        <w:ind w:right="333"/>
        <w:rPr>
          <w:rFonts w:cs="Arial"/>
        </w:rPr>
      </w:pPr>
      <w:r w:rsidRPr="003006D9">
        <w:rPr>
          <w:rFonts w:cs="Arial"/>
        </w:rPr>
        <w:t>Como consecuencia</w:t>
      </w:r>
      <w:r w:rsidR="00E631E6" w:rsidRPr="003006D9">
        <w:rPr>
          <w:rFonts w:cs="Arial"/>
        </w:rPr>
        <w:t xml:space="preserve"> de lo expuesto</w:t>
      </w:r>
      <w:r w:rsidRPr="003006D9">
        <w:rPr>
          <w:rFonts w:cs="Arial"/>
        </w:rPr>
        <w:t xml:space="preserve">, se concederá el perjuicio equivalente al lucro cesante, bajo los parámetros que han sido relacionados en este acápite. </w:t>
      </w:r>
    </w:p>
    <w:p w:rsidR="00171532" w:rsidRPr="003006D9" w:rsidRDefault="00171532" w:rsidP="00B61DA6">
      <w:pPr>
        <w:rPr>
          <w:rFonts w:cs="Arial"/>
          <w:b/>
        </w:rPr>
      </w:pPr>
    </w:p>
    <w:p w:rsidR="00722920" w:rsidRPr="003006D9" w:rsidRDefault="00D006CD" w:rsidP="00B61DA6">
      <w:pPr>
        <w:rPr>
          <w:rFonts w:cs="Arial"/>
          <w:b/>
        </w:rPr>
      </w:pPr>
      <w:r w:rsidRPr="003006D9">
        <w:rPr>
          <w:rFonts w:cs="Arial"/>
          <w:b/>
        </w:rPr>
        <w:t>12.</w:t>
      </w:r>
      <w:r w:rsidR="0012593C" w:rsidRPr="003006D9">
        <w:rPr>
          <w:rFonts w:cs="Arial"/>
          <w:b/>
        </w:rPr>
        <w:t>3.</w:t>
      </w:r>
      <w:r w:rsidR="00722920" w:rsidRPr="003006D9">
        <w:rPr>
          <w:rFonts w:cs="Arial"/>
          <w:b/>
        </w:rPr>
        <w:t xml:space="preserve"> </w:t>
      </w:r>
      <w:r w:rsidR="005951E6" w:rsidRPr="003006D9">
        <w:rPr>
          <w:rFonts w:cs="Arial"/>
          <w:b/>
        </w:rPr>
        <w:t>G</w:t>
      </w:r>
      <w:r w:rsidR="00722920" w:rsidRPr="003006D9">
        <w:rPr>
          <w:rFonts w:cs="Arial"/>
          <w:b/>
        </w:rPr>
        <w:t>astos</w:t>
      </w:r>
    </w:p>
    <w:p w:rsidR="00722920" w:rsidRPr="003006D9" w:rsidRDefault="00722920" w:rsidP="00B61DA6">
      <w:pPr>
        <w:rPr>
          <w:rFonts w:cs="Arial"/>
        </w:rPr>
      </w:pPr>
    </w:p>
    <w:p w:rsidR="007E5A34" w:rsidRPr="003006D9" w:rsidRDefault="00B61DA6" w:rsidP="00B61DA6">
      <w:pPr>
        <w:rPr>
          <w:rFonts w:cs="Arial"/>
        </w:rPr>
      </w:pPr>
      <w:r w:rsidRPr="003006D9">
        <w:rPr>
          <w:rFonts w:cs="Arial"/>
        </w:rPr>
        <w:t xml:space="preserve">En relación con el reconocimiento de otros gastos que </w:t>
      </w:r>
      <w:r w:rsidR="005951E6" w:rsidRPr="003006D9">
        <w:rPr>
          <w:rFonts w:cs="Arial"/>
        </w:rPr>
        <w:t>FEDEPALMA</w:t>
      </w:r>
      <w:r w:rsidRPr="003006D9">
        <w:rPr>
          <w:rFonts w:cs="Arial"/>
        </w:rPr>
        <w:t xml:space="preserve"> reclamó por participar y resultar adjudicataria y por atender las contingencias internas que esta situación le generó, la Sala aprecia que el pliego de condiciones no tuvo costo</w:t>
      </w:r>
      <w:r w:rsidR="007D1019" w:rsidRPr="003006D9">
        <w:rPr>
          <w:rFonts w:cs="Arial"/>
        </w:rPr>
        <w:t xml:space="preserve"> </w:t>
      </w:r>
      <w:r w:rsidR="004E5C3A" w:rsidRPr="003006D9">
        <w:rPr>
          <w:rFonts w:cs="Arial"/>
        </w:rPr>
        <w:t>-</w:t>
      </w:r>
      <w:r w:rsidR="007D1019" w:rsidRPr="003006D9">
        <w:rPr>
          <w:rFonts w:cs="Arial"/>
        </w:rPr>
        <w:t>de acuerdo con el artículo parágrafo 4 del artículo 2 de la Ley 1150 de 2007</w:t>
      </w:r>
      <w:r w:rsidR="007D1019" w:rsidRPr="003006D9">
        <w:rPr>
          <w:rStyle w:val="Refdenotaalpie"/>
          <w:rFonts w:cs="Arial"/>
        </w:rPr>
        <w:footnoteReference w:id="112"/>
      </w:r>
      <w:r w:rsidR="007E5A34" w:rsidRPr="003006D9">
        <w:rPr>
          <w:rFonts w:cs="Arial"/>
        </w:rPr>
        <w:t>.</w:t>
      </w:r>
    </w:p>
    <w:p w:rsidR="007E5A34" w:rsidRPr="003006D9" w:rsidRDefault="007E5A34" w:rsidP="00B61DA6">
      <w:pPr>
        <w:rPr>
          <w:rFonts w:cs="Arial"/>
        </w:rPr>
      </w:pPr>
    </w:p>
    <w:p w:rsidR="007D1019" w:rsidRPr="003006D9" w:rsidRDefault="007E5A34" w:rsidP="00B61DA6">
      <w:pPr>
        <w:rPr>
          <w:rFonts w:cs="Arial"/>
        </w:rPr>
      </w:pPr>
      <w:r w:rsidRPr="003006D9">
        <w:rPr>
          <w:rFonts w:cs="Arial"/>
        </w:rPr>
        <w:t xml:space="preserve">Por otra parte, </w:t>
      </w:r>
      <w:r w:rsidR="00EF5B1E" w:rsidRPr="003006D9">
        <w:rPr>
          <w:rFonts w:cs="Arial"/>
        </w:rPr>
        <w:t xml:space="preserve">en </w:t>
      </w:r>
      <w:r w:rsidR="00E631E6" w:rsidRPr="003006D9">
        <w:rPr>
          <w:rFonts w:cs="Arial"/>
        </w:rPr>
        <w:t xml:space="preserve">el </w:t>
      </w:r>
      <w:r w:rsidR="00EF5B1E" w:rsidRPr="003006D9">
        <w:rPr>
          <w:rFonts w:cs="Arial"/>
        </w:rPr>
        <w:t>litigio s</w:t>
      </w:r>
      <w:r w:rsidR="00B821A4" w:rsidRPr="003006D9">
        <w:rPr>
          <w:rFonts w:cs="Arial"/>
        </w:rPr>
        <w:t>u</w:t>
      </w:r>
      <w:r w:rsidR="00EF5B1E" w:rsidRPr="003006D9">
        <w:rPr>
          <w:rFonts w:cs="Arial"/>
        </w:rPr>
        <w:t>b j</w:t>
      </w:r>
      <w:r w:rsidR="00B821A4" w:rsidRPr="003006D9">
        <w:rPr>
          <w:rFonts w:cs="Arial"/>
        </w:rPr>
        <w:t>ú</w:t>
      </w:r>
      <w:r w:rsidR="00EF5B1E" w:rsidRPr="003006D9">
        <w:rPr>
          <w:rFonts w:cs="Arial"/>
        </w:rPr>
        <w:t xml:space="preserve">dice </w:t>
      </w:r>
      <w:r w:rsidR="00B61DA6" w:rsidRPr="003006D9">
        <w:rPr>
          <w:rFonts w:cs="Arial"/>
        </w:rPr>
        <w:t xml:space="preserve">no </w:t>
      </w:r>
      <w:r w:rsidR="00B13886" w:rsidRPr="003006D9">
        <w:rPr>
          <w:rFonts w:cs="Arial"/>
        </w:rPr>
        <w:t>son</w:t>
      </w:r>
      <w:r w:rsidR="00B61DA6" w:rsidRPr="003006D9">
        <w:rPr>
          <w:rFonts w:cs="Arial"/>
        </w:rPr>
        <w:t xml:space="preserve"> admisible</w:t>
      </w:r>
      <w:r w:rsidR="00B13886" w:rsidRPr="003006D9">
        <w:rPr>
          <w:rFonts w:cs="Arial"/>
        </w:rPr>
        <w:t>s</w:t>
      </w:r>
      <w:r w:rsidR="00B61DA6" w:rsidRPr="003006D9">
        <w:rPr>
          <w:rFonts w:cs="Arial"/>
        </w:rPr>
        <w:t xml:space="preserve"> </w:t>
      </w:r>
      <w:r w:rsidR="00452095" w:rsidRPr="003006D9">
        <w:rPr>
          <w:rFonts w:cs="Arial"/>
        </w:rPr>
        <w:t xml:space="preserve">como </w:t>
      </w:r>
      <w:r w:rsidR="00B13886" w:rsidRPr="003006D9">
        <w:rPr>
          <w:rFonts w:cs="Arial"/>
        </w:rPr>
        <w:t>prueba de</w:t>
      </w:r>
      <w:r w:rsidR="007D1019" w:rsidRPr="003006D9">
        <w:rPr>
          <w:rFonts w:cs="Arial"/>
        </w:rPr>
        <w:t xml:space="preserve">l </w:t>
      </w:r>
      <w:r w:rsidR="00452095" w:rsidRPr="003006D9">
        <w:rPr>
          <w:rFonts w:cs="Arial"/>
        </w:rPr>
        <w:t>perjuicio la</w:t>
      </w:r>
      <w:r w:rsidR="00B13886" w:rsidRPr="003006D9">
        <w:rPr>
          <w:rFonts w:cs="Arial"/>
        </w:rPr>
        <w:t>s</w:t>
      </w:r>
      <w:r w:rsidR="00452095" w:rsidRPr="003006D9">
        <w:rPr>
          <w:rFonts w:cs="Arial"/>
        </w:rPr>
        <w:t xml:space="preserve"> certificaci</w:t>
      </w:r>
      <w:r w:rsidR="00B13886" w:rsidRPr="003006D9">
        <w:rPr>
          <w:rFonts w:cs="Arial"/>
        </w:rPr>
        <w:t xml:space="preserve">ones </w:t>
      </w:r>
      <w:r w:rsidR="00452095" w:rsidRPr="003006D9">
        <w:rPr>
          <w:rFonts w:cs="Arial"/>
        </w:rPr>
        <w:t>de la oficina de gestión humana de la demandante</w:t>
      </w:r>
      <w:r w:rsidR="006A0A1E" w:rsidRPr="003006D9">
        <w:rPr>
          <w:rStyle w:val="Refdenotaalpie"/>
          <w:rFonts w:cs="Arial"/>
        </w:rPr>
        <w:footnoteReference w:id="113"/>
      </w:r>
      <w:r w:rsidR="00452095" w:rsidRPr="003006D9">
        <w:rPr>
          <w:rFonts w:cs="Arial"/>
        </w:rPr>
        <w:t xml:space="preserve">, toda vez que </w:t>
      </w:r>
      <w:r w:rsidRPr="003006D9">
        <w:rPr>
          <w:rFonts w:cs="Arial"/>
        </w:rPr>
        <w:t xml:space="preserve">en ellas </w:t>
      </w:r>
      <w:r w:rsidR="00EF5B1E" w:rsidRPr="003006D9">
        <w:rPr>
          <w:rFonts w:cs="Arial"/>
        </w:rPr>
        <w:t xml:space="preserve">se limitó a </w:t>
      </w:r>
      <w:r w:rsidR="00925089" w:rsidRPr="003006D9">
        <w:rPr>
          <w:rFonts w:cs="Arial"/>
        </w:rPr>
        <w:t xml:space="preserve">certificar </w:t>
      </w:r>
      <w:r w:rsidR="00EF5B1E" w:rsidRPr="003006D9">
        <w:rPr>
          <w:rFonts w:cs="Arial"/>
        </w:rPr>
        <w:t xml:space="preserve">una </w:t>
      </w:r>
      <w:r w:rsidR="00452095" w:rsidRPr="003006D9">
        <w:rPr>
          <w:rFonts w:cs="Arial"/>
        </w:rPr>
        <w:t>prorrata de los salarios del presidente ejecutivo</w:t>
      </w:r>
      <w:r w:rsidR="00B13886" w:rsidRPr="003006D9">
        <w:rPr>
          <w:rFonts w:cs="Arial"/>
        </w:rPr>
        <w:t>,</w:t>
      </w:r>
      <w:r w:rsidR="00452095" w:rsidRPr="003006D9">
        <w:rPr>
          <w:rFonts w:cs="Arial"/>
        </w:rPr>
        <w:t xml:space="preserve"> de los directores y jefes que </w:t>
      </w:r>
      <w:r w:rsidR="007D63B5" w:rsidRPr="003006D9">
        <w:rPr>
          <w:rFonts w:cs="Arial"/>
        </w:rPr>
        <w:t>tuvieron participación en la atención de las contingencias administrativas</w:t>
      </w:r>
      <w:r w:rsidR="00D35E37" w:rsidRPr="003006D9">
        <w:rPr>
          <w:rFonts w:cs="Arial"/>
        </w:rPr>
        <w:t xml:space="preserve">. </w:t>
      </w:r>
    </w:p>
    <w:p w:rsidR="007D1019" w:rsidRPr="003006D9" w:rsidRDefault="007D1019" w:rsidP="00B61DA6">
      <w:pPr>
        <w:rPr>
          <w:rFonts w:cs="Arial"/>
        </w:rPr>
      </w:pPr>
    </w:p>
    <w:p w:rsidR="00B61DA6" w:rsidRPr="003006D9" w:rsidRDefault="00D35E37" w:rsidP="00B61DA6">
      <w:pPr>
        <w:rPr>
          <w:rFonts w:cs="Arial"/>
        </w:rPr>
      </w:pPr>
      <w:r w:rsidRPr="003006D9">
        <w:rPr>
          <w:rFonts w:cs="Arial"/>
        </w:rPr>
        <w:t xml:space="preserve">Se </w:t>
      </w:r>
      <w:r w:rsidR="00B51FF0" w:rsidRPr="003006D9">
        <w:rPr>
          <w:rFonts w:cs="Arial"/>
        </w:rPr>
        <w:t xml:space="preserve">observa </w:t>
      </w:r>
      <w:r w:rsidRPr="003006D9">
        <w:rPr>
          <w:rFonts w:cs="Arial"/>
        </w:rPr>
        <w:t xml:space="preserve">que los </w:t>
      </w:r>
      <w:r w:rsidR="007D63B5" w:rsidRPr="003006D9">
        <w:rPr>
          <w:rFonts w:cs="Arial"/>
        </w:rPr>
        <w:t xml:space="preserve">costos fijos </w:t>
      </w:r>
      <w:r w:rsidR="00925089" w:rsidRPr="003006D9">
        <w:rPr>
          <w:rFonts w:cs="Arial"/>
        </w:rPr>
        <w:t xml:space="preserve">referidos en la certificación que aportó la demandante </w:t>
      </w:r>
      <w:r w:rsidR="007D63B5" w:rsidRPr="003006D9">
        <w:rPr>
          <w:rFonts w:cs="Arial"/>
        </w:rPr>
        <w:t>hac</w:t>
      </w:r>
      <w:r w:rsidRPr="003006D9">
        <w:rPr>
          <w:rFonts w:cs="Arial"/>
        </w:rPr>
        <w:t xml:space="preserve">ían </w:t>
      </w:r>
      <w:r w:rsidR="007D63B5" w:rsidRPr="003006D9">
        <w:rPr>
          <w:rFonts w:cs="Arial"/>
        </w:rPr>
        <w:t xml:space="preserve">parte de la actividad </w:t>
      </w:r>
      <w:r w:rsidR="007C791A" w:rsidRPr="003006D9">
        <w:rPr>
          <w:rFonts w:cs="Arial"/>
        </w:rPr>
        <w:t xml:space="preserve">administrativa que </w:t>
      </w:r>
      <w:r w:rsidR="00B821A4" w:rsidRPr="003006D9">
        <w:rPr>
          <w:rFonts w:cs="Arial"/>
        </w:rPr>
        <w:t xml:space="preserve">necesariamente </w:t>
      </w:r>
      <w:r w:rsidR="007C791A" w:rsidRPr="003006D9">
        <w:rPr>
          <w:rFonts w:cs="Arial"/>
        </w:rPr>
        <w:t xml:space="preserve">tenía </w:t>
      </w:r>
      <w:r w:rsidR="003B324B" w:rsidRPr="003006D9">
        <w:rPr>
          <w:rFonts w:cs="Arial"/>
        </w:rPr>
        <w:t>que</w:t>
      </w:r>
      <w:r w:rsidR="007C791A" w:rsidRPr="003006D9">
        <w:rPr>
          <w:rFonts w:cs="Arial"/>
        </w:rPr>
        <w:t xml:space="preserve"> desplegar la </w:t>
      </w:r>
      <w:r w:rsidR="00925089" w:rsidRPr="003006D9">
        <w:rPr>
          <w:rFonts w:cs="Arial"/>
        </w:rPr>
        <w:t>entidad</w:t>
      </w:r>
      <w:r w:rsidR="00B5212F" w:rsidRPr="003006D9">
        <w:rPr>
          <w:rFonts w:cs="Arial"/>
        </w:rPr>
        <w:t xml:space="preserve"> para su propio funcionamiento</w:t>
      </w:r>
      <w:r w:rsidR="007D63B5" w:rsidRPr="003006D9">
        <w:rPr>
          <w:rFonts w:cs="Arial"/>
        </w:rPr>
        <w:t xml:space="preserve">, </w:t>
      </w:r>
      <w:r w:rsidR="006A0A1E" w:rsidRPr="003006D9">
        <w:rPr>
          <w:rFonts w:cs="Arial"/>
        </w:rPr>
        <w:t>además de que</w:t>
      </w:r>
      <w:r w:rsidR="003B324B" w:rsidRPr="003006D9">
        <w:rPr>
          <w:rFonts w:cs="Arial"/>
        </w:rPr>
        <w:t>,</w:t>
      </w:r>
      <w:r w:rsidR="007C791A" w:rsidRPr="003006D9">
        <w:rPr>
          <w:rFonts w:cs="Arial"/>
        </w:rPr>
        <w:t xml:space="preserve"> en este caso</w:t>
      </w:r>
      <w:r w:rsidR="003B324B" w:rsidRPr="003006D9">
        <w:rPr>
          <w:rFonts w:cs="Arial"/>
        </w:rPr>
        <w:t>,</w:t>
      </w:r>
      <w:r w:rsidR="007C791A" w:rsidRPr="003006D9">
        <w:rPr>
          <w:rFonts w:cs="Arial"/>
        </w:rPr>
        <w:t xml:space="preserve"> </w:t>
      </w:r>
      <w:r w:rsidR="00B61DA6" w:rsidRPr="003006D9">
        <w:rPr>
          <w:rFonts w:cs="Arial"/>
        </w:rPr>
        <w:t>FEDEPA</w:t>
      </w:r>
      <w:r w:rsidR="005B79C1" w:rsidRPr="003006D9">
        <w:rPr>
          <w:rFonts w:cs="Arial"/>
        </w:rPr>
        <w:t>L</w:t>
      </w:r>
      <w:r w:rsidR="00B61DA6" w:rsidRPr="003006D9">
        <w:rPr>
          <w:rFonts w:cs="Arial"/>
        </w:rPr>
        <w:t>MA había asumido el proyecto con m</w:t>
      </w:r>
      <w:r w:rsidR="007C791A" w:rsidRPr="003006D9">
        <w:rPr>
          <w:rFonts w:cs="Arial"/>
        </w:rPr>
        <w:t>á</w:t>
      </w:r>
      <w:r w:rsidR="00B61DA6" w:rsidRPr="003006D9">
        <w:rPr>
          <w:rFonts w:cs="Arial"/>
        </w:rPr>
        <w:t xml:space="preserve">s de un año de anterioridad a la convocatoria de la selección abreviada, </w:t>
      </w:r>
      <w:r w:rsidR="00B5212F" w:rsidRPr="003006D9">
        <w:rPr>
          <w:rFonts w:cs="Arial"/>
        </w:rPr>
        <w:t xml:space="preserve">en desarrollo </w:t>
      </w:r>
      <w:r w:rsidR="00B61DA6" w:rsidRPr="003006D9">
        <w:rPr>
          <w:rFonts w:cs="Arial"/>
        </w:rPr>
        <w:t xml:space="preserve">de su propia </w:t>
      </w:r>
      <w:r w:rsidR="006A0A1E" w:rsidRPr="003006D9">
        <w:rPr>
          <w:rFonts w:cs="Arial"/>
        </w:rPr>
        <w:t xml:space="preserve">gestión, </w:t>
      </w:r>
      <w:r w:rsidR="00B61DA6" w:rsidRPr="003006D9">
        <w:rPr>
          <w:rFonts w:cs="Arial"/>
        </w:rPr>
        <w:t>específicamente por razón de las acciones de mejoramiento que definió para apoyar a sus agremiados, seg</w:t>
      </w:r>
      <w:r w:rsidRPr="003006D9">
        <w:rPr>
          <w:rFonts w:cs="Arial"/>
        </w:rPr>
        <w:t>ú</w:t>
      </w:r>
      <w:r w:rsidR="00B61DA6" w:rsidRPr="003006D9">
        <w:rPr>
          <w:rFonts w:cs="Arial"/>
        </w:rPr>
        <w:t>n se acreditó en las siguientes comunicaciones:</w:t>
      </w:r>
    </w:p>
    <w:p w:rsidR="007C791A" w:rsidRPr="003006D9" w:rsidRDefault="007C791A" w:rsidP="00B61DA6">
      <w:pPr>
        <w:rPr>
          <w:rFonts w:cs="Arial"/>
        </w:rPr>
      </w:pPr>
    </w:p>
    <w:p w:rsidR="00B61DA6" w:rsidRPr="003006D9" w:rsidRDefault="00D006CD" w:rsidP="00B61DA6">
      <w:pPr>
        <w:widowControl w:val="0"/>
        <w:rPr>
          <w:rFonts w:cs="Arial"/>
          <w:lang w:val="es-ES_tradnl"/>
        </w:rPr>
      </w:pPr>
      <w:r w:rsidRPr="003006D9">
        <w:rPr>
          <w:rFonts w:cs="Arial"/>
          <w:b/>
          <w:lang w:val="es-ES_tradnl"/>
        </w:rPr>
        <w:t>12.</w:t>
      </w:r>
      <w:r w:rsidR="00722920" w:rsidRPr="003006D9">
        <w:rPr>
          <w:rFonts w:cs="Arial"/>
          <w:b/>
          <w:lang w:val="es-ES_tradnl"/>
        </w:rPr>
        <w:t>3</w:t>
      </w:r>
      <w:r w:rsidR="0012208A" w:rsidRPr="003006D9">
        <w:rPr>
          <w:rFonts w:cs="Arial"/>
          <w:b/>
          <w:lang w:val="es-ES_tradnl"/>
        </w:rPr>
        <w:t>.</w:t>
      </w:r>
      <w:r w:rsidR="00B61DA6" w:rsidRPr="003006D9">
        <w:rPr>
          <w:rFonts w:cs="Arial"/>
          <w:b/>
          <w:lang w:val="es-ES_tradnl"/>
        </w:rPr>
        <w:t>1.</w:t>
      </w:r>
      <w:r w:rsidR="00B61DA6" w:rsidRPr="003006D9">
        <w:rPr>
          <w:rFonts w:cs="Arial"/>
          <w:lang w:val="es-ES_tradnl"/>
        </w:rPr>
        <w:t xml:space="preserve"> Comunicación del 8 de </w:t>
      </w:r>
      <w:r w:rsidR="003B324B" w:rsidRPr="003006D9">
        <w:rPr>
          <w:rFonts w:cs="Arial"/>
          <w:lang w:val="es-ES_tradnl"/>
        </w:rPr>
        <w:t>j</w:t>
      </w:r>
      <w:r w:rsidR="00B61DA6" w:rsidRPr="003006D9">
        <w:rPr>
          <w:rFonts w:cs="Arial"/>
          <w:lang w:val="es-ES_tradnl"/>
        </w:rPr>
        <w:t>ulio de 2009, mediante la cual el director ejecutivo de FEDEPALMA manifest</w:t>
      </w:r>
      <w:r w:rsidR="00925089" w:rsidRPr="003006D9">
        <w:rPr>
          <w:rFonts w:cs="Arial"/>
          <w:lang w:val="es-ES_tradnl"/>
        </w:rPr>
        <w:t>ó</w:t>
      </w:r>
      <w:r w:rsidR="00B61DA6" w:rsidRPr="003006D9">
        <w:rPr>
          <w:rFonts w:cs="Arial"/>
          <w:lang w:val="es-ES_tradnl"/>
        </w:rPr>
        <w:t xml:space="preserve"> al ICA su interés en conocer las condiciones económicas y financieras para la adquisición de tres terrenos, entre ellos los del C.I. El Mira en Tumaco Nariño:</w:t>
      </w:r>
    </w:p>
    <w:p w:rsidR="00B61DA6" w:rsidRPr="003006D9" w:rsidRDefault="00B61DA6" w:rsidP="00B61DA6">
      <w:pPr>
        <w:widowControl w:val="0"/>
        <w:rPr>
          <w:rFonts w:cs="Arial"/>
          <w:lang w:val="es-ES_tradnl"/>
        </w:rPr>
      </w:pPr>
    </w:p>
    <w:p w:rsidR="00B61DA6" w:rsidRPr="003006D9" w:rsidRDefault="00B61DA6" w:rsidP="00BA6748">
      <w:pPr>
        <w:widowControl w:val="0"/>
        <w:spacing w:line="276" w:lineRule="auto"/>
        <w:ind w:left="567" w:right="902"/>
        <w:rPr>
          <w:rFonts w:cs="Arial"/>
          <w:i/>
          <w:lang w:val="es-ES_tradnl"/>
        </w:rPr>
      </w:pPr>
      <w:r w:rsidRPr="003006D9">
        <w:rPr>
          <w:rFonts w:cs="Arial"/>
          <w:i/>
          <w:lang w:val="es-ES_tradnl"/>
        </w:rPr>
        <w:t xml:space="preserve">“De acuerdo con las conversaciones sostenidas recientemente con </w:t>
      </w:r>
      <w:r w:rsidRPr="003006D9">
        <w:rPr>
          <w:rFonts w:cs="Arial"/>
          <w:i/>
          <w:lang w:val="es-ES_tradnl"/>
        </w:rPr>
        <w:lastRenderedPageBreak/>
        <w:t>Usted, quiero manifestarle nuestro interés en conocer por parte de ese Instituto y del Gobierno Nacional, las posibilidades y eventuales condiciones económicas y financieras para la adquisición de unos terrenos, cada uno aproximadamente de 300 hectáreas parte de los predios: C.I. El Mira en Tumaco, Nariño (…) lo cual tiene como propósito que el gremio palmero pueda dotar a la Corporación Centro de Investigación en Palma de Aceite, Ceniplama, con una infraestructura básica para la investigación en palma de aceite (…).</w:t>
      </w:r>
    </w:p>
    <w:p w:rsidR="00B61DA6" w:rsidRPr="003006D9" w:rsidRDefault="00B61DA6" w:rsidP="00BA6748">
      <w:pPr>
        <w:widowControl w:val="0"/>
        <w:spacing w:line="276" w:lineRule="auto"/>
        <w:ind w:left="567" w:right="902"/>
        <w:rPr>
          <w:rFonts w:cs="Arial"/>
          <w:i/>
          <w:lang w:val="es-ES_tradnl"/>
        </w:rPr>
      </w:pPr>
    </w:p>
    <w:p w:rsidR="00B61DA6" w:rsidRPr="003006D9" w:rsidRDefault="00B61DA6" w:rsidP="00BA6748">
      <w:pPr>
        <w:widowControl w:val="0"/>
        <w:spacing w:line="276" w:lineRule="auto"/>
        <w:ind w:left="567" w:right="902"/>
        <w:rPr>
          <w:rFonts w:cs="Arial"/>
          <w:i/>
          <w:lang w:val="es-ES_tradnl"/>
        </w:rPr>
      </w:pPr>
      <w:r w:rsidRPr="003006D9">
        <w:rPr>
          <w:rFonts w:cs="Arial"/>
          <w:i/>
          <w:lang w:val="es-ES_tradnl"/>
        </w:rPr>
        <w:t>“(…).</w:t>
      </w:r>
    </w:p>
    <w:p w:rsidR="00B61DA6" w:rsidRPr="003006D9" w:rsidRDefault="00B61DA6" w:rsidP="00BA6748">
      <w:pPr>
        <w:widowControl w:val="0"/>
        <w:spacing w:line="276" w:lineRule="auto"/>
        <w:ind w:left="567" w:right="902"/>
        <w:rPr>
          <w:rFonts w:cs="Arial"/>
          <w:i/>
          <w:lang w:val="es-ES_tradnl"/>
        </w:rPr>
      </w:pPr>
    </w:p>
    <w:p w:rsidR="00B61DA6" w:rsidRPr="003006D9" w:rsidRDefault="00B61DA6" w:rsidP="00BA6748">
      <w:pPr>
        <w:widowControl w:val="0"/>
        <w:spacing w:line="276" w:lineRule="auto"/>
        <w:ind w:left="567" w:right="902"/>
        <w:rPr>
          <w:rFonts w:cs="Arial"/>
          <w:i/>
          <w:lang w:val="es-ES_tradnl"/>
        </w:rPr>
      </w:pPr>
      <w:r w:rsidRPr="003006D9">
        <w:rPr>
          <w:rFonts w:cs="Arial"/>
          <w:i/>
          <w:lang w:val="es-ES_tradnl"/>
        </w:rPr>
        <w:t>“Tal como le comenté, nuestra Federación ha tenido desde hace varios años gran interés en dinamizar la investigación en palma de aceite en dichos centros de investigación públicos, lo cual infortunadamente para nuestro sector y para el país no se ha logrado. Si bien Corpoica ha sido el depositario de esa infraestructura para investigación de palma de aceite desde principios de la década de los años 90, es una realidad que su priorización y la disponibilidad de recursos para investigación no han favorecido en nada nuestro sector”</w:t>
      </w:r>
      <w:r w:rsidRPr="003006D9">
        <w:rPr>
          <w:rStyle w:val="Refdenotaalpie"/>
          <w:rFonts w:cs="Arial"/>
          <w:i/>
          <w:lang w:val="es-ES_tradnl"/>
        </w:rPr>
        <w:footnoteReference w:id="114"/>
      </w:r>
      <w:r w:rsidRPr="003006D9">
        <w:rPr>
          <w:rFonts w:cs="Arial"/>
          <w:i/>
          <w:lang w:val="es-ES_tradnl"/>
        </w:rPr>
        <w:t>.</w:t>
      </w:r>
    </w:p>
    <w:p w:rsidR="00B61DA6" w:rsidRPr="003006D9" w:rsidRDefault="00B61DA6" w:rsidP="00B61DA6">
      <w:pPr>
        <w:widowControl w:val="0"/>
        <w:ind w:left="567" w:right="902"/>
        <w:rPr>
          <w:rFonts w:cs="Arial"/>
          <w:i/>
          <w:lang w:val="es-ES_tradnl"/>
        </w:rPr>
      </w:pPr>
    </w:p>
    <w:p w:rsidR="00B61DA6" w:rsidRPr="003006D9" w:rsidRDefault="00D006CD" w:rsidP="00B61DA6">
      <w:pPr>
        <w:widowControl w:val="0"/>
        <w:rPr>
          <w:rFonts w:cs="Arial"/>
          <w:lang w:val="es-ES_tradnl"/>
        </w:rPr>
      </w:pPr>
      <w:r w:rsidRPr="003006D9">
        <w:rPr>
          <w:rFonts w:cs="Arial"/>
          <w:b/>
          <w:lang w:val="es-ES_tradnl"/>
        </w:rPr>
        <w:t>12</w:t>
      </w:r>
      <w:r w:rsidR="0012208A" w:rsidRPr="003006D9">
        <w:rPr>
          <w:rFonts w:cs="Arial"/>
          <w:b/>
          <w:lang w:val="es-ES_tradnl"/>
        </w:rPr>
        <w:t>.</w:t>
      </w:r>
      <w:r w:rsidR="00722920" w:rsidRPr="003006D9">
        <w:rPr>
          <w:rFonts w:cs="Arial"/>
          <w:b/>
          <w:lang w:val="es-ES_tradnl"/>
        </w:rPr>
        <w:t>3</w:t>
      </w:r>
      <w:r w:rsidR="0012208A" w:rsidRPr="003006D9">
        <w:rPr>
          <w:rFonts w:cs="Arial"/>
          <w:b/>
          <w:lang w:val="es-ES_tradnl"/>
        </w:rPr>
        <w:t>.2.</w:t>
      </w:r>
      <w:r w:rsidR="00B61DA6" w:rsidRPr="003006D9">
        <w:rPr>
          <w:rFonts w:cs="Arial"/>
          <w:lang w:val="es-ES_tradnl"/>
        </w:rPr>
        <w:t xml:space="preserve"> Comunicación del 24 de julio de 2009, contentiva del plan de mejoramiento que F</w:t>
      </w:r>
      <w:r w:rsidR="00AD4FB3" w:rsidRPr="003006D9">
        <w:rPr>
          <w:rFonts w:cs="Arial"/>
          <w:lang w:val="es-ES_tradnl"/>
        </w:rPr>
        <w:t>EDEPALMA</w:t>
      </w:r>
      <w:r w:rsidR="00B61DA6" w:rsidRPr="003006D9">
        <w:rPr>
          <w:rFonts w:cs="Arial"/>
          <w:lang w:val="es-ES_tradnl"/>
        </w:rPr>
        <w:t xml:space="preserve"> presentó al Contralor Delegado para el Sector Agropecuario, en la cual acreditó las acciones orientadas a cumplir con el propósito de desarrollar centros de investigación propios, a través de Ceniplama. En dicha comunicación se indicó:</w:t>
      </w:r>
    </w:p>
    <w:p w:rsidR="00B61DA6" w:rsidRPr="003006D9" w:rsidRDefault="00B61DA6" w:rsidP="00B61DA6">
      <w:pPr>
        <w:widowControl w:val="0"/>
        <w:rPr>
          <w:rFonts w:cs="Arial"/>
          <w:lang w:val="es-ES_tradnl"/>
        </w:rPr>
      </w:pPr>
      <w:r w:rsidRPr="003006D9">
        <w:rPr>
          <w:rFonts w:cs="Arial"/>
          <w:lang w:val="es-ES_tradnl"/>
        </w:rPr>
        <w:t xml:space="preserve"> </w:t>
      </w:r>
    </w:p>
    <w:p w:rsidR="00B61DA6" w:rsidRPr="003006D9" w:rsidRDefault="00B61DA6" w:rsidP="00B5212F">
      <w:pPr>
        <w:widowControl w:val="0"/>
        <w:spacing w:line="276" w:lineRule="auto"/>
        <w:ind w:left="567" w:right="902"/>
        <w:rPr>
          <w:rFonts w:cs="Arial"/>
          <w:i/>
          <w:lang w:val="es-ES_tradnl"/>
        </w:rPr>
      </w:pPr>
      <w:r w:rsidRPr="003006D9">
        <w:rPr>
          <w:rFonts w:cs="Arial"/>
          <w:i/>
          <w:lang w:val="es-ES_tradnl"/>
        </w:rPr>
        <w:t>“No obstante considerar que el tema de la adquisición de los campos experimentales no debería ser objeto de vigilancia por parte de la Contraloría, con carta dirigida al ICA y la respectiva copia enviada al Ministro de Agricultura y Desarrollo Rural, damos por cumplida la acción correctiva de solicitar apoyo del Gobierno nacional para la adquisición de terrenos con el fin de establecer campo experimentales en las tres zonas palmeras”</w:t>
      </w:r>
      <w:r w:rsidRPr="003006D9">
        <w:rPr>
          <w:rStyle w:val="Refdenotaalpie"/>
          <w:rFonts w:cs="Arial"/>
          <w:i/>
          <w:lang w:val="es-ES_tradnl"/>
        </w:rPr>
        <w:footnoteReference w:id="115"/>
      </w:r>
      <w:r w:rsidRPr="003006D9">
        <w:rPr>
          <w:rFonts w:cs="Arial"/>
          <w:i/>
          <w:lang w:val="es-ES_tradnl"/>
        </w:rPr>
        <w:t>.</w:t>
      </w:r>
    </w:p>
    <w:p w:rsidR="004E5C3A" w:rsidRPr="003006D9" w:rsidRDefault="004E5C3A" w:rsidP="00B5212F">
      <w:pPr>
        <w:spacing w:line="276" w:lineRule="auto"/>
        <w:rPr>
          <w:rFonts w:cs="Arial"/>
          <w:i/>
        </w:rPr>
      </w:pPr>
    </w:p>
    <w:p w:rsidR="004E5C3A" w:rsidRPr="003006D9" w:rsidRDefault="004E5C3A" w:rsidP="00B61DA6">
      <w:pPr>
        <w:rPr>
          <w:rFonts w:cs="Arial"/>
        </w:rPr>
      </w:pPr>
      <w:r w:rsidRPr="003006D9">
        <w:rPr>
          <w:rFonts w:cs="Arial"/>
        </w:rPr>
        <w:t>Como conclusión, la anulación del acto de adjudicación no conlleva l</w:t>
      </w:r>
      <w:r w:rsidR="00B821A4" w:rsidRPr="003006D9">
        <w:rPr>
          <w:rFonts w:cs="Arial"/>
        </w:rPr>
        <w:t>a reparación de l</w:t>
      </w:r>
      <w:r w:rsidRPr="003006D9">
        <w:rPr>
          <w:rFonts w:cs="Arial"/>
        </w:rPr>
        <w:t xml:space="preserve">os perjuicios </w:t>
      </w:r>
      <w:r w:rsidR="003B3D65" w:rsidRPr="003006D9">
        <w:rPr>
          <w:rFonts w:cs="Arial"/>
        </w:rPr>
        <w:t xml:space="preserve">por concepto de los gastos </w:t>
      </w:r>
      <w:r w:rsidRPr="003006D9">
        <w:rPr>
          <w:rFonts w:cs="Arial"/>
        </w:rPr>
        <w:t xml:space="preserve">que </w:t>
      </w:r>
      <w:r w:rsidR="003671BB" w:rsidRPr="003006D9">
        <w:rPr>
          <w:rFonts w:cs="Arial"/>
        </w:rPr>
        <w:t xml:space="preserve">señaló </w:t>
      </w:r>
      <w:r w:rsidRPr="003006D9">
        <w:rPr>
          <w:rFonts w:cs="Arial"/>
        </w:rPr>
        <w:t>la demandante.</w:t>
      </w:r>
    </w:p>
    <w:p w:rsidR="00B5212F" w:rsidRPr="003006D9" w:rsidRDefault="00B5212F" w:rsidP="00B61DA6">
      <w:pPr>
        <w:rPr>
          <w:rFonts w:cs="Arial"/>
        </w:rPr>
      </w:pPr>
    </w:p>
    <w:p w:rsidR="00B5212F" w:rsidRPr="003006D9" w:rsidRDefault="00B5212F" w:rsidP="00B61DA6">
      <w:pPr>
        <w:rPr>
          <w:rFonts w:cs="Arial"/>
        </w:rPr>
      </w:pPr>
      <w:r w:rsidRPr="003006D9">
        <w:rPr>
          <w:rFonts w:cs="Arial"/>
        </w:rPr>
        <w:lastRenderedPageBreak/>
        <w:t xml:space="preserve">Sin embargo, se </w:t>
      </w:r>
      <w:r w:rsidR="003671BB" w:rsidRPr="003006D9">
        <w:rPr>
          <w:rFonts w:cs="Arial"/>
        </w:rPr>
        <w:t xml:space="preserve">ordenará la </w:t>
      </w:r>
      <w:r w:rsidRPr="003006D9">
        <w:rPr>
          <w:rFonts w:cs="Arial"/>
        </w:rPr>
        <w:t>condena en costas a favor de FEDEPALMA, para resarcir los gastos del proceso, en los que tuvo que incurrir FEDEPALMA como consecuencia de la acción impetrada por el ICA contra sus propios actos</w:t>
      </w:r>
      <w:r w:rsidR="003671BB" w:rsidRPr="003006D9">
        <w:rPr>
          <w:rFonts w:cs="Arial"/>
        </w:rPr>
        <w:t>.</w:t>
      </w:r>
      <w:r w:rsidRPr="003006D9">
        <w:rPr>
          <w:rFonts w:cs="Arial"/>
        </w:rPr>
        <w:t xml:space="preserve"> </w:t>
      </w:r>
    </w:p>
    <w:p w:rsidR="004E5C3A" w:rsidRPr="003006D9" w:rsidRDefault="004E5C3A" w:rsidP="002F5868">
      <w:pPr>
        <w:pStyle w:val="Lista2"/>
        <w:ind w:left="0" w:firstLine="0"/>
        <w:rPr>
          <w:rFonts w:cs="Arial"/>
          <w:b/>
        </w:rPr>
      </w:pPr>
    </w:p>
    <w:p w:rsidR="00CF76FD" w:rsidRPr="003006D9" w:rsidRDefault="0012593C" w:rsidP="002F5868">
      <w:pPr>
        <w:pStyle w:val="Lista2"/>
        <w:ind w:left="0" w:firstLine="0"/>
        <w:rPr>
          <w:rFonts w:cs="Arial"/>
          <w:b/>
        </w:rPr>
      </w:pPr>
      <w:r w:rsidRPr="003006D9">
        <w:rPr>
          <w:rFonts w:cs="Arial"/>
          <w:b/>
        </w:rPr>
        <w:t>1</w:t>
      </w:r>
      <w:r w:rsidR="00D006CD" w:rsidRPr="003006D9">
        <w:rPr>
          <w:rFonts w:cs="Arial"/>
          <w:b/>
        </w:rPr>
        <w:t>3</w:t>
      </w:r>
      <w:r w:rsidR="007A7EDE" w:rsidRPr="003006D9">
        <w:rPr>
          <w:rFonts w:cs="Arial"/>
          <w:b/>
        </w:rPr>
        <w:t>.</w:t>
      </w:r>
      <w:r w:rsidR="00326813" w:rsidRPr="003006D9">
        <w:rPr>
          <w:rFonts w:cs="Arial"/>
          <w:b/>
        </w:rPr>
        <w:t xml:space="preserve"> </w:t>
      </w:r>
      <w:r w:rsidR="001C6D0F" w:rsidRPr="003006D9">
        <w:rPr>
          <w:rFonts w:cs="Arial"/>
          <w:b/>
        </w:rPr>
        <w:t>Costas</w:t>
      </w:r>
    </w:p>
    <w:p w:rsidR="0007265F" w:rsidRPr="003006D9" w:rsidRDefault="0007265F" w:rsidP="00CF76FD">
      <w:pPr>
        <w:rPr>
          <w:rFonts w:cs="Arial"/>
        </w:rPr>
      </w:pPr>
    </w:p>
    <w:p w:rsidR="003671BB" w:rsidRPr="003006D9" w:rsidRDefault="008921A7" w:rsidP="00120249">
      <w:pPr>
        <w:pStyle w:val="Continuarlista2"/>
        <w:ind w:left="0"/>
        <w:rPr>
          <w:rFonts w:cs="Arial"/>
        </w:rPr>
      </w:pPr>
      <w:r w:rsidRPr="003006D9">
        <w:rPr>
          <w:rFonts w:cs="Arial"/>
        </w:rPr>
        <w:t>P</w:t>
      </w:r>
      <w:r w:rsidR="00CF76FD" w:rsidRPr="003006D9">
        <w:rPr>
          <w:rFonts w:cs="Arial"/>
        </w:rPr>
        <w:t>ara e</w:t>
      </w:r>
      <w:r w:rsidR="004E5C3A" w:rsidRPr="003006D9">
        <w:rPr>
          <w:rFonts w:cs="Arial"/>
        </w:rPr>
        <w:t xml:space="preserve">ste proceso </w:t>
      </w:r>
      <w:r w:rsidRPr="003006D9">
        <w:rPr>
          <w:rFonts w:cs="Arial"/>
        </w:rPr>
        <w:t xml:space="preserve">aplica </w:t>
      </w:r>
      <w:r w:rsidR="005D4B0D" w:rsidRPr="003006D9">
        <w:rPr>
          <w:rFonts w:cs="Arial"/>
        </w:rPr>
        <w:t>el artículo 55 de la L</w:t>
      </w:r>
      <w:r w:rsidR="00CF76FD" w:rsidRPr="003006D9">
        <w:rPr>
          <w:rFonts w:cs="Arial"/>
        </w:rPr>
        <w:t xml:space="preserve">ey 446 de 1998 </w:t>
      </w:r>
      <w:r w:rsidR="004E5C3A" w:rsidRPr="003006D9">
        <w:rPr>
          <w:rFonts w:cs="Arial"/>
        </w:rPr>
        <w:t xml:space="preserve">el cual </w:t>
      </w:r>
      <w:r w:rsidR="00CF76FD" w:rsidRPr="003006D9">
        <w:rPr>
          <w:rFonts w:cs="Arial"/>
        </w:rPr>
        <w:t xml:space="preserve">indica que sólo hay lugar a la imposición de costas </w:t>
      </w:r>
      <w:r w:rsidRPr="003006D9">
        <w:rPr>
          <w:rFonts w:cs="Arial"/>
        </w:rPr>
        <w:t xml:space="preserve">de conformidad con la conducta de las partes. </w:t>
      </w:r>
    </w:p>
    <w:p w:rsidR="003671BB" w:rsidRPr="003006D9" w:rsidRDefault="003671BB" w:rsidP="00120249">
      <w:pPr>
        <w:pStyle w:val="Continuarlista2"/>
        <w:ind w:left="0"/>
        <w:rPr>
          <w:rFonts w:cs="Arial"/>
        </w:rPr>
      </w:pPr>
    </w:p>
    <w:p w:rsidR="003671BB" w:rsidRPr="003006D9" w:rsidRDefault="008921A7" w:rsidP="003671BB">
      <w:pPr>
        <w:rPr>
          <w:rFonts w:cs="Arial"/>
        </w:rPr>
      </w:pPr>
      <w:r w:rsidRPr="003006D9">
        <w:rPr>
          <w:rFonts w:cs="Arial"/>
        </w:rPr>
        <w:t xml:space="preserve">Habida cuenta de que el </w:t>
      </w:r>
      <w:r w:rsidR="003671BB" w:rsidRPr="003006D9">
        <w:rPr>
          <w:rFonts w:cs="Arial"/>
        </w:rPr>
        <w:t xml:space="preserve">ICA demandó sus propios actos, se deben reconocer las costas causadas </w:t>
      </w:r>
      <w:r w:rsidR="007E5A34" w:rsidRPr="003006D9">
        <w:rPr>
          <w:rFonts w:cs="Arial"/>
        </w:rPr>
        <w:t xml:space="preserve">con ocasión de la atención de </w:t>
      </w:r>
      <w:r w:rsidR="003671BB" w:rsidRPr="003006D9">
        <w:rPr>
          <w:rFonts w:cs="Arial"/>
        </w:rPr>
        <w:t>la demanda en reconvención, a favor FEDEPALMA, incluyendo las agencias en derecho, que serán fijadas por auto del ponente y se tendrán en cuenta dentro de la liquidación que se adelantará por Secretaría</w:t>
      </w:r>
      <w:r w:rsidR="003B324B" w:rsidRPr="003006D9">
        <w:rPr>
          <w:rFonts w:cs="Arial"/>
        </w:rPr>
        <w:t xml:space="preserve"> de la Sección Tercera.</w:t>
      </w:r>
      <w:r w:rsidR="003671BB" w:rsidRPr="003006D9">
        <w:rPr>
          <w:rFonts w:cs="Arial"/>
        </w:rPr>
        <w:t xml:space="preserve"> </w:t>
      </w:r>
    </w:p>
    <w:p w:rsidR="003671BB" w:rsidRPr="003006D9" w:rsidRDefault="003671BB" w:rsidP="00120249">
      <w:pPr>
        <w:pStyle w:val="Continuarlista2"/>
        <w:ind w:left="0"/>
        <w:rPr>
          <w:rFonts w:cs="Arial"/>
        </w:rPr>
      </w:pPr>
    </w:p>
    <w:p w:rsidR="003671BB" w:rsidRPr="003006D9" w:rsidRDefault="00BA6748" w:rsidP="00120249">
      <w:pPr>
        <w:pStyle w:val="Continuarlista2"/>
        <w:ind w:left="0"/>
        <w:rPr>
          <w:rFonts w:cs="Arial"/>
        </w:rPr>
      </w:pPr>
      <w:r w:rsidRPr="003006D9">
        <w:rPr>
          <w:rFonts w:cs="Arial"/>
        </w:rPr>
        <w:t>Como consecuencia, s</w:t>
      </w:r>
      <w:r w:rsidR="003671BB" w:rsidRPr="003006D9">
        <w:rPr>
          <w:rFonts w:cs="Arial"/>
        </w:rPr>
        <w:t xml:space="preserve">e ordenará la liquidación </w:t>
      </w:r>
      <w:r w:rsidRPr="003006D9">
        <w:rPr>
          <w:rFonts w:cs="Arial"/>
        </w:rPr>
        <w:t xml:space="preserve">de las costas </w:t>
      </w:r>
      <w:r w:rsidR="003671BB" w:rsidRPr="003006D9">
        <w:rPr>
          <w:rFonts w:cs="Arial"/>
        </w:rPr>
        <w:t xml:space="preserve">por </w:t>
      </w:r>
      <w:r w:rsidR="003B324B" w:rsidRPr="003006D9">
        <w:rPr>
          <w:rFonts w:cs="Arial"/>
        </w:rPr>
        <w:t xml:space="preserve">la </w:t>
      </w:r>
      <w:r w:rsidR="003671BB" w:rsidRPr="003006D9">
        <w:rPr>
          <w:rFonts w:cs="Arial"/>
        </w:rPr>
        <w:t>Secretaría</w:t>
      </w:r>
      <w:r w:rsidR="003B324B" w:rsidRPr="003006D9">
        <w:rPr>
          <w:rFonts w:cs="Arial"/>
        </w:rPr>
        <w:t xml:space="preserve"> de la Sección Tercera</w:t>
      </w:r>
      <w:r w:rsidR="003671BB" w:rsidRPr="003006D9">
        <w:rPr>
          <w:rFonts w:cs="Arial"/>
        </w:rPr>
        <w:t>.</w:t>
      </w:r>
    </w:p>
    <w:p w:rsidR="00B35501" w:rsidRPr="003006D9" w:rsidRDefault="00B35501" w:rsidP="002D4371">
      <w:pPr>
        <w:pStyle w:val="Textoindependiente22"/>
        <w:numPr>
          <w:ilvl w:val="12"/>
          <w:numId w:val="0"/>
        </w:numPr>
        <w:overflowPunct/>
        <w:autoSpaceDE/>
        <w:autoSpaceDN/>
        <w:adjustRightInd/>
        <w:textAlignment w:val="auto"/>
        <w:rPr>
          <w:rFonts w:cs="Arial"/>
          <w:szCs w:val="24"/>
        </w:rPr>
      </w:pPr>
    </w:p>
    <w:p w:rsidR="002D4371" w:rsidRPr="003006D9" w:rsidRDefault="002D4371" w:rsidP="002D4371">
      <w:pPr>
        <w:pStyle w:val="Textoindependiente22"/>
        <w:numPr>
          <w:ilvl w:val="12"/>
          <w:numId w:val="0"/>
        </w:numPr>
        <w:overflowPunct/>
        <w:autoSpaceDE/>
        <w:autoSpaceDN/>
        <w:adjustRightInd/>
        <w:textAlignment w:val="auto"/>
        <w:rPr>
          <w:rFonts w:cs="Arial"/>
          <w:szCs w:val="24"/>
        </w:rPr>
      </w:pPr>
      <w:r w:rsidRPr="003006D9">
        <w:rPr>
          <w:rFonts w:cs="Arial"/>
          <w:szCs w:val="24"/>
        </w:rPr>
        <w:t>En mérito de lo expuesto, el Consejo de Estado, en Sala de lo Contencioso Administrativo, Sección Tercera,</w:t>
      </w:r>
      <w:r w:rsidR="00AD4DBE" w:rsidRPr="003006D9">
        <w:rPr>
          <w:rFonts w:cs="Arial"/>
          <w:szCs w:val="24"/>
        </w:rPr>
        <w:t xml:space="preserve"> Subsección A,</w:t>
      </w:r>
      <w:r w:rsidRPr="003006D9">
        <w:rPr>
          <w:rFonts w:cs="Arial"/>
          <w:szCs w:val="24"/>
        </w:rPr>
        <w:t xml:space="preserve"> administrando justicia en nombre de la República de Colombia y por autoridad de la ley,</w:t>
      </w:r>
    </w:p>
    <w:p w:rsidR="00AD4FB3" w:rsidRPr="003006D9" w:rsidRDefault="00AD4FB3" w:rsidP="0009687C">
      <w:pPr>
        <w:rPr>
          <w:rFonts w:cs="Arial"/>
        </w:rPr>
      </w:pPr>
    </w:p>
    <w:p w:rsidR="00EA2611" w:rsidRPr="003006D9" w:rsidRDefault="00EA2611" w:rsidP="00EA2611">
      <w:pPr>
        <w:pStyle w:val="Ttulo5"/>
        <w:rPr>
          <w:rFonts w:cs="Arial"/>
          <w:bCs/>
          <w:sz w:val="24"/>
          <w:szCs w:val="24"/>
        </w:rPr>
      </w:pPr>
      <w:r w:rsidRPr="003006D9">
        <w:rPr>
          <w:rFonts w:cs="Arial"/>
          <w:bCs/>
          <w:sz w:val="24"/>
          <w:szCs w:val="24"/>
        </w:rPr>
        <w:t>F A L L A</w:t>
      </w:r>
    </w:p>
    <w:p w:rsidR="006D5C11" w:rsidRPr="003006D9" w:rsidRDefault="006D5C11" w:rsidP="00EA2611">
      <w:pPr>
        <w:widowControl w:val="0"/>
        <w:autoSpaceDE w:val="0"/>
        <w:autoSpaceDN w:val="0"/>
        <w:adjustRightInd w:val="0"/>
        <w:rPr>
          <w:rFonts w:cs="Arial"/>
          <w:b/>
        </w:rPr>
      </w:pPr>
    </w:p>
    <w:p w:rsidR="00AD4FB3" w:rsidRPr="003006D9" w:rsidRDefault="00AD4FB3" w:rsidP="00EA2611">
      <w:pPr>
        <w:widowControl w:val="0"/>
        <w:autoSpaceDE w:val="0"/>
        <w:autoSpaceDN w:val="0"/>
        <w:adjustRightInd w:val="0"/>
        <w:rPr>
          <w:rFonts w:cs="Arial"/>
          <w:b/>
        </w:rPr>
      </w:pPr>
    </w:p>
    <w:p w:rsidR="0002254D" w:rsidRPr="003006D9" w:rsidRDefault="00EA2611" w:rsidP="001A0F31">
      <w:pPr>
        <w:widowControl w:val="0"/>
        <w:autoSpaceDE w:val="0"/>
        <w:autoSpaceDN w:val="0"/>
        <w:adjustRightInd w:val="0"/>
        <w:rPr>
          <w:rFonts w:cs="Arial"/>
          <w:b/>
        </w:rPr>
      </w:pPr>
      <w:r w:rsidRPr="003006D9">
        <w:rPr>
          <w:rFonts w:cs="Arial"/>
          <w:b/>
        </w:rPr>
        <w:t>PRIMERO</w:t>
      </w:r>
      <w:r w:rsidR="00121D61" w:rsidRPr="003006D9">
        <w:rPr>
          <w:rFonts w:cs="Arial"/>
          <w:b/>
        </w:rPr>
        <w:t>:</w:t>
      </w:r>
      <w:r w:rsidRPr="003006D9">
        <w:rPr>
          <w:rFonts w:cs="Arial"/>
          <w:b/>
        </w:rPr>
        <w:t xml:space="preserve"> </w:t>
      </w:r>
      <w:r w:rsidR="0002254D" w:rsidRPr="003006D9">
        <w:rPr>
          <w:rFonts w:cs="Arial"/>
          <w:b/>
        </w:rPr>
        <w:t xml:space="preserve">ACEPTAR </w:t>
      </w:r>
      <w:r w:rsidR="0002254D" w:rsidRPr="003006D9">
        <w:rPr>
          <w:rFonts w:cs="Arial"/>
        </w:rPr>
        <w:t>el impedimento presentado por Consejero de Estado, Carlos Alberto Zambrano Barrera.</w:t>
      </w:r>
    </w:p>
    <w:p w:rsidR="0002254D" w:rsidRPr="003006D9" w:rsidRDefault="0002254D" w:rsidP="001A0F31">
      <w:pPr>
        <w:widowControl w:val="0"/>
        <w:autoSpaceDE w:val="0"/>
        <w:autoSpaceDN w:val="0"/>
        <w:adjustRightInd w:val="0"/>
        <w:rPr>
          <w:rFonts w:cs="Arial"/>
          <w:b/>
        </w:rPr>
      </w:pPr>
    </w:p>
    <w:p w:rsidR="00EA2611" w:rsidRPr="003006D9" w:rsidRDefault="0002254D" w:rsidP="001A0F31">
      <w:pPr>
        <w:widowControl w:val="0"/>
        <w:autoSpaceDE w:val="0"/>
        <w:autoSpaceDN w:val="0"/>
        <w:adjustRightInd w:val="0"/>
        <w:rPr>
          <w:rFonts w:cs="Arial"/>
          <w:lang w:val="es-CO"/>
        </w:rPr>
      </w:pPr>
      <w:r w:rsidRPr="003006D9">
        <w:rPr>
          <w:rFonts w:cs="Arial"/>
          <w:b/>
        </w:rPr>
        <w:t xml:space="preserve">SEGUNDO: </w:t>
      </w:r>
      <w:r w:rsidR="001A0F31" w:rsidRPr="003006D9">
        <w:rPr>
          <w:rFonts w:cs="Arial"/>
          <w:b/>
        </w:rPr>
        <w:t xml:space="preserve">REVOCAR </w:t>
      </w:r>
      <w:r w:rsidR="00EA2611" w:rsidRPr="003006D9">
        <w:rPr>
          <w:rFonts w:cs="Arial"/>
          <w:lang w:val="es-CO"/>
        </w:rPr>
        <w:t xml:space="preserve">la sentencia </w:t>
      </w:r>
      <w:r w:rsidR="00121D61" w:rsidRPr="003006D9">
        <w:rPr>
          <w:rFonts w:cs="Arial"/>
          <w:lang w:val="es-CO"/>
        </w:rPr>
        <w:t xml:space="preserve"> proferida por el Tribunal Administrativo de </w:t>
      </w:r>
      <w:r w:rsidR="00810876" w:rsidRPr="003006D9">
        <w:rPr>
          <w:rFonts w:cs="Arial"/>
          <w:lang w:val="es-CO"/>
        </w:rPr>
        <w:t>Cundinamarca</w:t>
      </w:r>
      <w:r w:rsidR="00121D61" w:rsidRPr="003006D9">
        <w:rPr>
          <w:rFonts w:cs="Arial"/>
          <w:lang w:val="es-CO"/>
        </w:rPr>
        <w:t xml:space="preserve"> el </w:t>
      </w:r>
      <w:r w:rsidR="00810876" w:rsidRPr="003006D9">
        <w:rPr>
          <w:rFonts w:cs="Arial"/>
          <w:lang w:val="es-CO"/>
        </w:rPr>
        <w:t>9 de abril de 2014</w:t>
      </w:r>
      <w:r w:rsidR="001A0F31" w:rsidRPr="003006D9">
        <w:rPr>
          <w:rFonts w:cs="Arial"/>
          <w:lang w:val="es-CO"/>
        </w:rPr>
        <w:t xml:space="preserve"> y</w:t>
      </w:r>
      <w:r w:rsidR="003B324B" w:rsidRPr="003006D9">
        <w:rPr>
          <w:rFonts w:cs="Arial"/>
          <w:lang w:val="es-CO"/>
        </w:rPr>
        <w:t>,</w:t>
      </w:r>
      <w:r w:rsidR="001A0F31" w:rsidRPr="003006D9">
        <w:rPr>
          <w:rFonts w:cs="Arial"/>
          <w:lang w:val="es-CO"/>
        </w:rPr>
        <w:t xml:space="preserve"> en su lugar</w:t>
      </w:r>
      <w:r w:rsidR="003B324B" w:rsidRPr="003006D9">
        <w:rPr>
          <w:rFonts w:cs="Arial"/>
          <w:lang w:val="es-CO"/>
        </w:rPr>
        <w:t>,</w:t>
      </w:r>
      <w:r w:rsidR="001A0F31" w:rsidRPr="003006D9">
        <w:rPr>
          <w:rFonts w:cs="Arial"/>
          <w:lang w:val="es-CO"/>
        </w:rPr>
        <w:t xml:space="preserve"> se dispone:</w:t>
      </w:r>
    </w:p>
    <w:p w:rsidR="001A0F31" w:rsidRPr="003006D9" w:rsidRDefault="001A0F31" w:rsidP="001A0F31">
      <w:pPr>
        <w:widowControl w:val="0"/>
        <w:autoSpaceDE w:val="0"/>
        <w:autoSpaceDN w:val="0"/>
        <w:adjustRightInd w:val="0"/>
        <w:rPr>
          <w:rFonts w:cs="Arial"/>
        </w:rPr>
      </w:pPr>
    </w:p>
    <w:p w:rsidR="00AD4FB3" w:rsidRPr="003006D9" w:rsidRDefault="00B80AA8" w:rsidP="005007C8">
      <w:pPr>
        <w:pStyle w:val="Textoindependienteprimerasangra2"/>
        <w:ind w:left="0" w:right="51" w:firstLine="0"/>
        <w:rPr>
          <w:rFonts w:cs="Arial"/>
        </w:rPr>
      </w:pPr>
      <w:r w:rsidRPr="003006D9">
        <w:rPr>
          <w:rFonts w:cs="Arial"/>
          <w:b/>
        </w:rPr>
        <w:t>1º</w:t>
      </w:r>
      <w:r w:rsidR="00FE7551" w:rsidRPr="003006D9">
        <w:rPr>
          <w:rFonts w:cs="Arial"/>
          <w:b/>
        </w:rPr>
        <w:t xml:space="preserve"> </w:t>
      </w:r>
      <w:r w:rsidR="00C36180" w:rsidRPr="003006D9">
        <w:rPr>
          <w:rFonts w:cs="Arial"/>
          <w:b/>
        </w:rPr>
        <w:t>DECLÁRASE</w:t>
      </w:r>
      <w:r w:rsidR="00722920" w:rsidRPr="003006D9">
        <w:rPr>
          <w:rFonts w:cs="Arial"/>
          <w:b/>
        </w:rPr>
        <w:t xml:space="preserve"> </w:t>
      </w:r>
      <w:r w:rsidR="00722920" w:rsidRPr="003006D9">
        <w:rPr>
          <w:rFonts w:cs="Arial"/>
        </w:rPr>
        <w:t xml:space="preserve">la nulidad de la </w:t>
      </w:r>
      <w:r w:rsidR="003B324B" w:rsidRPr="003006D9">
        <w:rPr>
          <w:rFonts w:cs="Arial"/>
        </w:rPr>
        <w:t>R</w:t>
      </w:r>
      <w:r w:rsidR="00722920" w:rsidRPr="003006D9">
        <w:rPr>
          <w:rFonts w:cs="Arial"/>
        </w:rPr>
        <w:t xml:space="preserve">esolución </w:t>
      </w:r>
      <w:r w:rsidR="00C36180" w:rsidRPr="003006D9">
        <w:rPr>
          <w:rFonts w:cs="Arial"/>
        </w:rPr>
        <w:t>3098 del 17 de septiembre de 2010</w:t>
      </w:r>
      <w:r w:rsidR="00596649" w:rsidRPr="003006D9">
        <w:rPr>
          <w:rFonts w:cs="Arial"/>
        </w:rPr>
        <w:t>,</w:t>
      </w:r>
      <w:r w:rsidR="00C36180" w:rsidRPr="003006D9">
        <w:rPr>
          <w:rFonts w:cs="Arial"/>
        </w:rPr>
        <w:t xml:space="preserve"> proferida en el </w:t>
      </w:r>
      <w:r w:rsidR="00722920" w:rsidRPr="003006D9">
        <w:rPr>
          <w:rFonts w:cs="Arial"/>
        </w:rPr>
        <w:t xml:space="preserve">proceso </w:t>
      </w:r>
      <w:r w:rsidR="00C36180" w:rsidRPr="003006D9">
        <w:rPr>
          <w:rFonts w:cs="Arial"/>
        </w:rPr>
        <w:t xml:space="preserve">de selección abreviada </w:t>
      </w:r>
      <w:r w:rsidR="00722920" w:rsidRPr="003006D9">
        <w:rPr>
          <w:rFonts w:cs="Arial"/>
        </w:rPr>
        <w:t>GC-SA-01-032-2010</w:t>
      </w:r>
      <w:r w:rsidR="00AD4FB3" w:rsidRPr="003006D9">
        <w:rPr>
          <w:rFonts w:cs="Arial"/>
        </w:rPr>
        <w:t>, de acuerdo con lo expuesto en la parte motiva de la presente providencia.</w:t>
      </w:r>
    </w:p>
    <w:p w:rsidR="00722920" w:rsidRPr="003006D9" w:rsidRDefault="00AD4FB3" w:rsidP="005007C8">
      <w:pPr>
        <w:pStyle w:val="Textoindependienteprimerasangra2"/>
        <w:ind w:left="0" w:right="51" w:firstLine="0"/>
        <w:rPr>
          <w:rFonts w:cs="Arial"/>
        </w:rPr>
      </w:pPr>
      <w:r w:rsidRPr="003006D9">
        <w:rPr>
          <w:rFonts w:cs="Arial"/>
        </w:rPr>
        <w:t xml:space="preserve"> </w:t>
      </w:r>
    </w:p>
    <w:p w:rsidR="00722920" w:rsidRPr="003006D9" w:rsidRDefault="00B80AA8" w:rsidP="005007C8">
      <w:pPr>
        <w:pStyle w:val="Textoindependienteprimerasangra2"/>
        <w:ind w:left="0" w:right="51" w:firstLine="0"/>
        <w:rPr>
          <w:rFonts w:cs="Arial"/>
        </w:rPr>
      </w:pPr>
      <w:r w:rsidRPr="003006D9">
        <w:rPr>
          <w:rFonts w:cs="Arial"/>
          <w:b/>
        </w:rPr>
        <w:lastRenderedPageBreak/>
        <w:t>2º</w:t>
      </w:r>
      <w:r w:rsidR="005007C8" w:rsidRPr="003006D9">
        <w:rPr>
          <w:rFonts w:cs="Arial"/>
          <w:b/>
        </w:rPr>
        <w:t xml:space="preserve"> </w:t>
      </w:r>
      <w:r w:rsidR="00C36180" w:rsidRPr="003006D9">
        <w:rPr>
          <w:rFonts w:cs="Arial"/>
          <w:b/>
        </w:rPr>
        <w:t>DECLÁR</w:t>
      </w:r>
      <w:r w:rsidR="00596649" w:rsidRPr="003006D9">
        <w:rPr>
          <w:rFonts w:cs="Arial"/>
          <w:b/>
        </w:rPr>
        <w:t>A</w:t>
      </w:r>
      <w:r w:rsidR="00C36180" w:rsidRPr="003006D9">
        <w:rPr>
          <w:rFonts w:cs="Arial"/>
          <w:b/>
        </w:rPr>
        <w:t>SE</w:t>
      </w:r>
      <w:r w:rsidR="00C36180" w:rsidRPr="003006D9">
        <w:rPr>
          <w:rFonts w:cs="Arial"/>
        </w:rPr>
        <w:t xml:space="preserve"> la nulidad de</w:t>
      </w:r>
      <w:r w:rsidR="00596649" w:rsidRPr="003006D9">
        <w:rPr>
          <w:rFonts w:cs="Arial"/>
        </w:rPr>
        <w:t xml:space="preserve">l contrato de </w:t>
      </w:r>
      <w:r w:rsidR="00722920" w:rsidRPr="003006D9">
        <w:rPr>
          <w:rFonts w:cs="Arial"/>
        </w:rPr>
        <w:t>promesa de compraventa No.</w:t>
      </w:r>
      <w:r w:rsidR="00BA6748" w:rsidRPr="003006D9">
        <w:rPr>
          <w:rFonts w:cs="Arial"/>
        </w:rPr>
        <w:t xml:space="preserve"> </w:t>
      </w:r>
      <w:r w:rsidR="00722920" w:rsidRPr="003006D9">
        <w:rPr>
          <w:rFonts w:cs="Arial"/>
        </w:rPr>
        <w:t xml:space="preserve">002 de 30 de septiembre de 2010 y </w:t>
      </w:r>
      <w:r w:rsidR="006D5C11" w:rsidRPr="003006D9">
        <w:rPr>
          <w:rFonts w:cs="Arial"/>
        </w:rPr>
        <w:t>d</w:t>
      </w:r>
      <w:r w:rsidR="00722920" w:rsidRPr="003006D9">
        <w:rPr>
          <w:rFonts w:cs="Arial"/>
        </w:rPr>
        <w:t>el Otrosí No.</w:t>
      </w:r>
      <w:r w:rsidR="00AD6766" w:rsidRPr="003006D9">
        <w:rPr>
          <w:rFonts w:cs="Arial"/>
        </w:rPr>
        <w:t xml:space="preserve"> </w:t>
      </w:r>
      <w:r w:rsidR="00722920" w:rsidRPr="003006D9">
        <w:rPr>
          <w:rFonts w:cs="Arial"/>
        </w:rPr>
        <w:t xml:space="preserve">01 de 2010, de conformidad </w:t>
      </w:r>
      <w:r w:rsidR="00AD4FB3" w:rsidRPr="003006D9">
        <w:rPr>
          <w:rFonts w:cs="Arial"/>
        </w:rPr>
        <w:t xml:space="preserve">con </w:t>
      </w:r>
      <w:r w:rsidR="00722920" w:rsidRPr="003006D9">
        <w:rPr>
          <w:rFonts w:cs="Arial"/>
        </w:rPr>
        <w:t>lo expuesto en la parte motiva de la presente providencia.</w:t>
      </w:r>
    </w:p>
    <w:p w:rsidR="00722920" w:rsidRPr="003006D9" w:rsidRDefault="00722920" w:rsidP="005007C8">
      <w:pPr>
        <w:widowControl w:val="0"/>
        <w:autoSpaceDE w:val="0"/>
        <w:autoSpaceDN w:val="0"/>
        <w:adjustRightInd w:val="0"/>
        <w:ind w:right="51"/>
        <w:rPr>
          <w:rFonts w:cs="Arial"/>
          <w:b/>
        </w:rPr>
      </w:pPr>
    </w:p>
    <w:p w:rsidR="001A0F31" w:rsidRPr="003006D9" w:rsidRDefault="00B80AA8" w:rsidP="00A252C7">
      <w:pPr>
        <w:pStyle w:val="Lista2"/>
        <w:ind w:left="0" w:firstLine="0"/>
        <w:rPr>
          <w:rFonts w:cs="Arial"/>
        </w:rPr>
      </w:pPr>
      <w:r w:rsidRPr="003006D9">
        <w:rPr>
          <w:rFonts w:cs="Arial"/>
          <w:b/>
        </w:rPr>
        <w:t xml:space="preserve">3º </w:t>
      </w:r>
      <w:r w:rsidR="00810876" w:rsidRPr="003006D9">
        <w:rPr>
          <w:rFonts w:cs="Arial"/>
          <w:b/>
        </w:rPr>
        <w:t>CONDÉNASE</w:t>
      </w:r>
      <w:r w:rsidR="00810876" w:rsidRPr="003006D9">
        <w:rPr>
          <w:rFonts w:cs="Arial"/>
        </w:rPr>
        <w:t xml:space="preserve"> al Instituto Colombiano de Agricultura – ICA- a pagar a la Federación Colombiana de Cultivadores de Palma </w:t>
      </w:r>
      <w:r w:rsidR="006D5C11" w:rsidRPr="003006D9">
        <w:rPr>
          <w:rFonts w:cs="Arial"/>
        </w:rPr>
        <w:t>de Aceite –FE</w:t>
      </w:r>
      <w:r w:rsidR="00810876" w:rsidRPr="003006D9">
        <w:rPr>
          <w:rFonts w:cs="Arial"/>
        </w:rPr>
        <w:t>DEPALMA</w:t>
      </w:r>
      <w:r w:rsidR="006D5C11" w:rsidRPr="003006D9">
        <w:rPr>
          <w:rFonts w:cs="Arial"/>
        </w:rPr>
        <w:t>-</w:t>
      </w:r>
      <w:r w:rsidR="00810876" w:rsidRPr="003006D9">
        <w:rPr>
          <w:rFonts w:cs="Arial"/>
        </w:rPr>
        <w:t xml:space="preserve">, la suma de </w:t>
      </w:r>
      <w:r w:rsidR="006D5C11" w:rsidRPr="003006D9">
        <w:rPr>
          <w:rFonts w:cs="Arial"/>
        </w:rPr>
        <w:t xml:space="preserve">cinco mil cuatrocientos </w:t>
      </w:r>
      <w:r w:rsidR="00E518F9" w:rsidRPr="003006D9">
        <w:rPr>
          <w:rFonts w:cs="Arial"/>
        </w:rPr>
        <w:t xml:space="preserve">ochenta </w:t>
      </w:r>
      <w:r w:rsidR="006D5C11" w:rsidRPr="003006D9">
        <w:rPr>
          <w:rFonts w:cs="Arial"/>
        </w:rPr>
        <w:t xml:space="preserve">millones </w:t>
      </w:r>
      <w:r w:rsidR="00E518F9" w:rsidRPr="003006D9">
        <w:rPr>
          <w:rFonts w:cs="Arial"/>
        </w:rPr>
        <w:t xml:space="preserve">doscientos setenta y cinco mil novecientos once </w:t>
      </w:r>
      <w:r w:rsidR="00A252C7" w:rsidRPr="003006D9">
        <w:rPr>
          <w:rFonts w:cs="Arial"/>
        </w:rPr>
        <w:t xml:space="preserve">pesos </w:t>
      </w:r>
      <w:r w:rsidR="00810876" w:rsidRPr="003006D9">
        <w:rPr>
          <w:rFonts w:cs="Arial"/>
        </w:rPr>
        <w:t>m/cte (</w:t>
      </w:r>
      <w:r w:rsidR="00E518F9" w:rsidRPr="003006D9">
        <w:rPr>
          <w:rFonts w:cs="Arial"/>
          <w:b/>
        </w:rPr>
        <w:t>$5.480’275.911)</w:t>
      </w:r>
      <w:r w:rsidR="001A0F31" w:rsidRPr="003006D9">
        <w:rPr>
          <w:rFonts w:cs="Arial"/>
        </w:rPr>
        <w:t>, por concepto de restitución del precio pagado, como consecuencia de la nulidad que ha sido declarada</w:t>
      </w:r>
      <w:r w:rsidR="005A71E1" w:rsidRPr="003006D9">
        <w:rPr>
          <w:rFonts w:cs="Arial"/>
        </w:rPr>
        <w:t xml:space="preserve"> en esta sentencia</w:t>
      </w:r>
      <w:r w:rsidR="001A0F31" w:rsidRPr="003006D9">
        <w:rPr>
          <w:rFonts w:cs="Arial"/>
        </w:rPr>
        <w:t>.</w:t>
      </w:r>
    </w:p>
    <w:p w:rsidR="001A0F31" w:rsidRPr="003006D9" w:rsidRDefault="001A0F31" w:rsidP="005007C8">
      <w:pPr>
        <w:pStyle w:val="Textoindependienteprimerasangra2"/>
        <w:ind w:left="0" w:right="51" w:firstLine="0"/>
        <w:rPr>
          <w:rFonts w:cs="Arial"/>
        </w:rPr>
      </w:pPr>
    </w:p>
    <w:p w:rsidR="001A0F31" w:rsidRPr="003006D9" w:rsidRDefault="001A0F31" w:rsidP="005007C8">
      <w:pPr>
        <w:pStyle w:val="Textoindependienteprimerasangra2"/>
        <w:ind w:left="0" w:right="51" w:firstLine="0"/>
        <w:rPr>
          <w:rFonts w:cs="Arial"/>
        </w:rPr>
      </w:pPr>
      <w:r w:rsidRPr="003006D9">
        <w:rPr>
          <w:rFonts w:cs="Arial"/>
          <w:b/>
        </w:rPr>
        <w:t>4º CONDÉNASE</w:t>
      </w:r>
      <w:r w:rsidRPr="003006D9">
        <w:rPr>
          <w:rFonts w:cs="Arial"/>
        </w:rPr>
        <w:t xml:space="preserve"> en abstracto al Instituto Colombiano de Agricultura – ICA- a pagar a la Federación Colombiana de Cultivadores de Palma de Aceite –FEDEPALMA-, el monto equivalente al lucro cesante, de acuerdo con los parámetros establecidos en esta sentencia.</w:t>
      </w:r>
    </w:p>
    <w:p w:rsidR="001A0F31" w:rsidRPr="003006D9" w:rsidRDefault="001A0F31" w:rsidP="005007C8">
      <w:pPr>
        <w:pStyle w:val="Textoindependienteprimerasangra2"/>
        <w:ind w:left="0" w:right="51" w:firstLine="0"/>
        <w:rPr>
          <w:rFonts w:cs="Arial"/>
        </w:rPr>
      </w:pPr>
    </w:p>
    <w:p w:rsidR="005A71E1" w:rsidRPr="003006D9" w:rsidRDefault="005A71E1" w:rsidP="005007C8">
      <w:pPr>
        <w:pStyle w:val="Textoindependienteprimerasangra2"/>
        <w:ind w:left="0" w:right="51" w:firstLine="0"/>
        <w:rPr>
          <w:rFonts w:cs="Arial"/>
        </w:rPr>
      </w:pPr>
      <w:r w:rsidRPr="003006D9">
        <w:rPr>
          <w:rFonts w:cs="Arial"/>
          <w:b/>
        </w:rPr>
        <w:t xml:space="preserve">5º </w:t>
      </w:r>
      <w:r w:rsidRPr="003006D9">
        <w:rPr>
          <w:rFonts w:cs="Arial"/>
        </w:rPr>
        <w:t>Se deniegan las demás pretensiones de la demanda y de la demanda de reconvención.</w:t>
      </w:r>
    </w:p>
    <w:p w:rsidR="005A71E1" w:rsidRPr="003006D9" w:rsidRDefault="005A71E1" w:rsidP="005007C8">
      <w:pPr>
        <w:pStyle w:val="Textoindependienteprimerasangra2"/>
        <w:ind w:left="0" w:right="51" w:firstLine="0"/>
        <w:rPr>
          <w:rFonts w:cs="Arial"/>
        </w:rPr>
      </w:pPr>
    </w:p>
    <w:p w:rsidR="00EA2611" w:rsidRPr="003006D9" w:rsidRDefault="001A0F31" w:rsidP="00EA2611">
      <w:pPr>
        <w:widowControl w:val="0"/>
        <w:autoSpaceDE w:val="0"/>
        <w:autoSpaceDN w:val="0"/>
        <w:adjustRightInd w:val="0"/>
        <w:rPr>
          <w:rFonts w:cs="Arial"/>
        </w:rPr>
      </w:pPr>
      <w:r w:rsidRPr="003006D9">
        <w:rPr>
          <w:rFonts w:cs="Arial"/>
          <w:b/>
        </w:rPr>
        <w:t>SEGUNDO</w:t>
      </w:r>
      <w:r w:rsidR="00810876" w:rsidRPr="003006D9">
        <w:rPr>
          <w:rFonts w:cs="Arial"/>
          <w:b/>
        </w:rPr>
        <w:t xml:space="preserve">: </w:t>
      </w:r>
      <w:r w:rsidRPr="003006D9">
        <w:rPr>
          <w:rFonts w:cs="Arial"/>
          <w:b/>
        </w:rPr>
        <w:t xml:space="preserve">CONDÉNASE </w:t>
      </w:r>
      <w:r w:rsidR="005A71E1" w:rsidRPr="003006D9">
        <w:rPr>
          <w:rFonts w:cs="Arial"/>
          <w:b/>
        </w:rPr>
        <w:t>EN COSTAS</w:t>
      </w:r>
      <w:r w:rsidRPr="003006D9">
        <w:rPr>
          <w:rFonts w:cs="Arial"/>
        </w:rPr>
        <w:t xml:space="preserve"> al Instituto Colombiano de Agricultura – ICA- a favor de la Federación Colombiana de Cultivadores de Palma de Aceite</w:t>
      </w:r>
      <w:r w:rsidR="00EA2611" w:rsidRPr="003006D9">
        <w:rPr>
          <w:rFonts w:cs="Arial"/>
        </w:rPr>
        <w:t>.</w:t>
      </w:r>
      <w:r w:rsidRPr="003006D9">
        <w:rPr>
          <w:rFonts w:cs="Arial"/>
        </w:rPr>
        <w:t xml:space="preserve"> Por secretaría </w:t>
      </w:r>
      <w:r w:rsidR="00596649" w:rsidRPr="003006D9">
        <w:rPr>
          <w:rFonts w:cs="Arial"/>
        </w:rPr>
        <w:t xml:space="preserve">de la Sección Tercera </w:t>
      </w:r>
      <w:r w:rsidRPr="003006D9">
        <w:rPr>
          <w:rFonts w:cs="Arial"/>
        </w:rPr>
        <w:t xml:space="preserve">se deberán </w:t>
      </w:r>
      <w:r w:rsidR="00E518F9" w:rsidRPr="003006D9">
        <w:rPr>
          <w:rFonts w:cs="Arial"/>
        </w:rPr>
        <w:t xml:space="preserve">liquidar </w:t>
      </w:r>
      <w:r w:rsidRPr="003006D9">
        <w:rPr>
          <w:rFonts w:cs="Arial"/>
        </w:rPr>
        <w:t xml:space="preserve">las costas. </w:t>
      </w:r>
    </w:p>
    <w:p w:rsidR="00EA2611" w:rsidRPr="003006D9" w:rsidRDefault="00EA2611" w:rsidP="00EA2611">
      <w:pPr>
        <w:widowControl w:val="0"/>
        <w:autoSpaceDE w:val="0"/>
        <w:autoSpaceDN w:val="0"/>
        <w:adjustRightInd w:val="0"/>
        <w:rPr>
          <w:rFonts w:cs="Arial"/>
        </w:rPr>
      </w:pPr>
    </w:p>
    <w:p w:rsidR="001A0F31" w:rsidRPr="003006D9" w:rsidRDefault="001A0F31" w:rsidP="001A0F31">
      <w:pPr>
        <w:widowControl w:val="0"/>
        <w:autoSpaceDE w:val="0"/>
        <w:autoSpaceDN w:val="0"/>
        <w:adjustRightInd w:val="0"/>
        <w:rPr>
          <w:rFonts w:cs="Arial"/>
        </w:rPr>
      </w:pPr>
      <w:r w:rsidRPr="003006D9">
        <w:rPr>
          <w:rFonts w:cs="Arial"/>
          <w:b/>
        </w:rPr>
        <w:t xml:space="preserve">TERCERO: </w:t>
      </w:r>
      <w:r w:rsidRPr="003006D9">
        <w:rPr>
          <w:rFonts w:cs="Arial"/>
        </w:rPr>
        <w:t>Por</w:t>
      </w:r>
      <w:r w:rsidRPr="003006D9">
        <w:rPr>
          <w:rFonts w:cs="Arial"/>
          <w:b/>
        </w:rPr>
        <w:t xml:space="preserve"> </w:t>
      </w:r>
      <w:r w:rsidRPr="003006D9">
        <w:rPr>
          <w:rFonts w:cs="Arial"/>
        </w:rPr>
        <w:t>secretaría expídanse a las partes las copias auténticas de la sentencia, con su constancia de ejecutoria.</w:t>
      </w:r>
    </w:p>
    <w:p w:rsidR="001A0F31" w:rsidRPr="003006D9" w:rsidRDefault="001A0F31" w:rsidP="00EA2611">
      <w:pPr>
        <w:widowControl w:val="0"/>
        <w:autoSpaceDE w:val="0"/>
        <w:autoSpaceDN w:val="0"/>
        <w:adjustRightInd w:val="0"/>
        <w:rPr>
          <w:rFonts w:cs="Arial"/>
        </w:rPr>
      </w:pPr>
    </w:p>
    <w:p w:rsidR="00EA2611" w:rsidRPr="003006D9" w:rsidRDefault="005007C8" w:rsidP="00EA2611">
      <w:pPr>
        <w:widowControl w:val="0"/>
        <w:autoSpaceDE w:val="0"/>
        <w:autoSpaceDN w:val="0"/>
        <w:adjustRightInd w:val="0"/>
        <w:rPr>
          <w:rFonts w:cs="Arial"/>
        </w:rPr>
      </w:pPr>
      <w:r w:rsidRPr="003006D9">
        <w:rPr>
          <w:rFonts w:cs="Arial"/>
          <w:b/>
        </w:rPr>
        <w:t>CUARTO</w:t>
      </w:r>
      <w:r w:rsidR="00EA2611" w:rsidRPr="003006D9">
        <w:rPr>
          <w:rFonts w:cs="Arial"/>
          <w:b/>
        </w:rPr>
        <w:t xml:space="preserve">: </w:t>
      </w:r>
      <w:r w:rsidR="00EA2611" w:rsidRPr="003006D9">
        <w:rPr>
          <w:rFonts w:cs="Arial"/>
        </w:rPr>
        <w:t>En firme esta providencia, devuélvase el expediente al Tribunal de origen.</w:t>
      </w:r>
    </w:p>
    <w:p w:rsidR="00EA2611" w:rsidRPr="003006D9" w:rsidRDefault="00EA2611" w:rsidP="00867F8E">
      <w:pPr>
        <w:spacing w:line="240" w:lineRule="auto"/>
        <w:jc w:val="center"/>
        <w:rPr>
          <w:rFonts w:cs="Arial"/>
          <w:b/>
          <w:bCs/>
          <w:noProof/>
        </w:rPr>
      </w:pPr>
    </w:p>
    <w:p w:rsidR="00EA2611" w:rsidRPr="003006D9" w:rsidRDefault="00EA2611" w:rsidP="00867F8E">
      <w:pPr>
        <w:spacing w:line="240" w:lineRule="auto"/>
        <w:jc w:val="center"/>
        <w:rPr>
          <w:rFonts w:cs="Arial"/>
          <w:b/>
          <w:bCs/>
          <w:noProof/>
        </w:rPr>
      </w:pPr>
      <w:r w:rsidRPr="003006D9">
        <w:rPr>
          <w:rFonts w:cs="Arial"/>
          <w:b/>
          <w:bCs/>
          <w:noProof/>
        </w:rPr>
        <w:t>CÓPIESE, NOTIFÍQUESE Y CÚMPLASE</w:t>
      </w:r>
    </w:p>
    <w:p w:rsidR="00EA2611" w:rsidRPr="003006D9" w:rsidRDefault="00EA2611" w:rsidP="00867F8E">
      <w:pPr>
        <w:spacing w:line="240" w:lineRule="auto"/>
        <w:jc w:val="center"/>
        <w:rPr>
          <w:rFonts w:cs="Arial"/>
        </w:rPr>
      </w:pPr>
    </w:p>
    <w:p w:rsidR="00867F8E" w:rsidRPr="003006D9" w:rsidRDefault="00867F8E" w:rsidP="00867F8E">
      <w:pPr>
        <w:spacing w:line="240" w:lineRule="auto"/>
        <w:jc w:val="center"/>
        <w:rPr>
          <w:rFonts w:cs="Arial"/>
        </w:rPr>
      </w:pPr>
    </w:p>
    <w:p w:rsidR="00EA2611" w:rsidRPr="003006D9" w:rsidRDefault="00EA2611" w:rsidP="00867F8E">
      <w:pPr>
        <w:spacing w:line="240" w:lineRule="auto"/>
        <w:jc w:val="center"/>
        <w:rPr>
          <w:rFonts w:cs="Arial"/>
        </w:rPr>
      </w:pPr>
    </w:p>
    <w:p w:rsidR="00867F8E" w:rsidRPr="003006D9" w:rsidRDefault="00867F8E" w:rsidP="00867F8E">
      <w:pPr>
        <w:widowControl w:val="0"/>
        <w:autoSpaceDE w:val="0"/>
        <w:autoSpaceDN w:val="0"/>
        <w:adjustRightInd w:val="0"/>
        <w:spacing w:line="240" w:lineRule="auto"/>
        <w:jc w:val="center"/>
        <w:rPr>
          <w:rFonts w:cs="Arial"/>
          <w:b/>
          <w:lang w:val="es-CO"/>
        </w:rPr>
      </w:pPr>
      <w:r w:rsidRPr="003006D9">
        <w:rPr>
          <w:rFonts w:cs="Arial"/>
          <w:b/>
          <w:lang w:val="es-CO"/>
        </w:rPr>
        <w:t>MARTA NUBIA VELÁSQUEZ RICO</w:t>
      </w:r>
    </w:p>
    <w:p w:rsidR="00867F8E" w:rsidRPr="003006D9" w:rsidRDefault="00867F8E" w:rsidP="00867F8E">
      <w:pPr>
        <w:widowControl w:val="0"/>
        <w:autoSpaceDE w:val="0"/>
        <w:autoSpaceDN w:val="0"/>
        <w:adjustRightInd w:val="0"/>
        <w:spacing w:line="240" w:lineRule="auto"/>
        <w:jc w:val="center"/>
        <w:rPr>
          <w:rFonts w:cs="Arial"/>
          <w:b/>
          <w:lang w:val="es-CO"/>
        </w:rPr>
      </w:pPr>
    </w:p>
    <w:p w:rsidR="00867F8E" w:rsidRPr="003006D9" w:rsidRDefault="00867F8E" w:rsidP="00867F8E">
      <w:pPr>
        <w:widowControl w:val="0"/>
        <w:autoSpaceDE w:val="0"/>
        <w:autoSpaceDN w:val="0"/>
        <w:adjustRightInd w:val="0"/>
        <w:spacing w:line="240" w:lineRule="auto"/>
        <w:jc w:val="center"/>
        <w:rPr>
          <w:rFonts w:cs="Arial"/>
          <w:b/>
          <w:lang w:val="es-CO"/>
        </w:rPr>
      </w:pPr>
    </w:p>
    <w:p w:rsidR="00867F8E" w:rsidRPr="003006D9" w:rsidRDefault="00867F8E" w:rsidP="00867F8E">
      <w:pPr>
        <w:widowControl w:val="0"/>
        <w:autoSpaceDE w:val="0"/>
        <w:autoSpaceDN w:val="0"/>
        <w:adjustRightInd w:val="0"/>
        <w:spacing w:line="240" w:lineRule="auto"/>
        <w:jc w:val="center"/>
        <w:rPr>
          <w:rFonts w:cs="Arial"/>
          <w:b/>
          <w:lang w:val="es-CO"/>
        </w:rPr>
      </w:pPr>
    </w:p>
    <w:p w:rsidR="00867F8E" w:rsidRPr="003006D9" w:rsidRDefault="00867F8E" w:rsidP="00867F8E">
      <w:pPr>
        <w:widowControl w:val="0"/>
        <w:autoSpaceDE w:val="0"/>
        <w:autoSpaceDN w:val="0"/>
        <w:adjustRightInd w:val="0"/>
        <w:spacing w:line="240" w:lineRule="auto"/>
        <w:jc w:val="center"/>
        <w:rPr>
          <w:rFonts w:cs="Arial"/>
          <w:b/>
          <w:lang w:val="es-CO"/>
        </w:rPr>
      </w:pPr>
    </w:p>
    <w:p w:rsidR="00EA2611" w:rsidRPr="003006D9" w:rsidRDefault="00EA2611" w:rsidP="00867F8E">
      <w:pPr>
        <w:widowControl w:val="0"/>
        <w:autoSpaceDE w:val="0"/>
        <w:autoSpaceDN w:val="0"/>
        <w:adjustRightInd w:val="0"/>
        <w:spacing w:line="240" w:lineRule="auto"/>
        <w:jc w:val="center"/>
        <w:rPr>
          <w:rFonts w:cs="Arial"/>
          <w:b/>
        </w:rPr>
      </w:pPr>
      <w:r w:rsidRPr="003006D9">
        <w:rPr>
          <w:rFonts w:cs="Arial"/>
          <w:b/>
          <w:lang w:val="es-CO"/>
        </w:rPr>
        <w:t>H</w:t>
      </w:r>
      <w:r w:rsidRPr="003006D9">
        <w:rPr>
          <w:rFonts w:cs="Arial"/>
          <w:b/>
        </w:rPr>
        <w:t>ERNÁN ANDRADE RINCÓN</w:t>
      </w:r>
    </w:p>
    <w:sectPr w:rsidR="00EA2611" w:rsidRPr="003006D9" w:rsidSect="00AA0AFE">
      <w:headerReference w:type="even" r:id="rId11"/>
      <w:headerReference w:type="default" r:id="rId12"/>
      <w:footerReference w:type="even" r:id="rId13"/>
      <w:footerReference w:type="default" r:id="rId14"/>
      <w:pgSz w:w="12242" w:h="18722" w:code="120"/>
      <w:pgMar w:top="1701" w:right="1701" w:bottom="1701" w:left="1701" w:header="0" w:footer="0"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E73" w:rsidRDefault="00667E73" w:rsidP="00C85395">
      <w:r>
        <w:separator/>
      </w:r>
    </w:p>
  </w:endnote>
  <w:endnote w:type="continuationSeparator" w:id="0">
    <w:p w:rsidR="00667E73" w:rsidRDefault="00667E73" w:rsidP="00C8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E29" w:rsidRDefault="00A57E29" w:rsidP="006434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57E29" w:rsidRDefault="00A57E29" w:rsidP="0064345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E29" w:rsidRDefault="00A57E29" w:rsidP="00FF577E">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E73" w:rsidRDefault="00667E73" w:rsidP="00C85395">
      <w:r>
        <w:separator/>
      </w:r>
    </w:p>
  </w:footnote>
  <w:footnote w:type="continuationSeparator" w:id="0">
    <w:p w:rsidR="00667E73" w:rsidRDefault="00667E73" w:rsidP="00C85395">
      <w:r>
        <w:continuationSeparator/>
      </w:r>
    </w:p>
  </w:footnote>
  <w:footnote w:id="1">
    <w:p w:rsidR="00A57E29" w:rsidRPr="00934C76" w:rsidRDefault="00A57E29">
      <w:pPr>
        <w:pStyle w:val="Textonotapie"/>
        <w:rPr>
          <w:lang w:val="es-CO"/>
        </w:rPr>
      </w:pPr>
      <w:r>
        <w:rPr>
          <w:rStyle w:val="Refdenotaalpie"/>
        </w:rPr>
        <w:footnoteRef/>
      </w:r>
      <w:r>
        <w:t xml:space="preserve"> </w:t>
      </w:r>
      <w:r>
        <w:rPr>
          <w:lang w:val="es-CO"/>
        </w:rPr>
        <w:t>Folios 395 vuelto y 396, cuaderno principal segunda instancia.</w:t>
      </w:r>
    </w:p>
  </w:footnote>
  <w:footnote w:id="2">
    <w:p w:rsidR="00A57E29" w:rsidRPr="001B503C" w:rsidRDefault="00A57E29">
      <w:pPr>
        <w:pStyle w:val="Textonotapie"/>
        <w:rPr>
          <w:lang w:val="es-CO"/>
        </w:rPr>
      </w:pPr>
      <w:r>
        <w:rPr>
          <w:rStyle w:val="Refdenotaalpie"/>
        </w:rPr>
        <w:footnoteRef/>
      </w:r>
      <w:r>
        <w:t xml:space="preserve"> </w:t>
      </w:r>
      <w:r>
        <w:rPr>
          <w:lang w:val="es-CO"/>
        </w:rPr>
        <w:t>Folio 47 vuelto, cuaderno 1.</w:t>
      </w:r>
    </w:p>
  </w:footnote>
  <w:footnote w:id="3">
    <w:p w:rsidR="00A57E29" w:rsidRPr="00807E22" w:rsidRDefault="00A57E29">
      <w:pPr>
        <w:pStyle w:val="Textonotapie"/>
        <w:rPr>
          <w:lang w:val="es-CO"/>
        </w:rPr>
      </w:pPr>
      <w:r>
        <w:rPr>
          <w:rStyle w:val="Refdenotaalpie"/>
        </w:rPr>
        <w:footnoteRef/>
      </w:r>
      <w:r>
        <w:t xml:space="preserve"> </w:t>
      </w:r>
      <w:r>
        <w:rPr>
          <w:lang w:val="es-CO"/>
        </w:rPr>
        <w:t xml:space="preserve">En esta providencia se podrá denominar: FEDEPALMA. </w:t>
      </w:r>
    </w:p>
  </w:footnote>
  <w:footnote w:id="4">
    <w:p w:rsidR="00A57E29" w:rsidRPr="002F5F8F" w:rsidRDefault="00A57E29">
      <w:pPr>
        <w:pStyle w:val="Textonotapie"/>
        <w:rPr>
          <w:lang w:val="es-MX"/>
        </w:rPr>
      </w:pPr>
      <w:r>
        <w:rPr>
          <w:rStyle w:val="Refdenotaalpie"/>
        </w:rPr>
        <w:footnoteRef/>
      </w:r>
      <w:r>
        <w:t xml:space="preserve"> </w:t>
      </w:r>
      <w:r>
        <w:rPr>
          <w:lang w:val="es-MX"/>
        </w:rPr>
        <w:t>En esta providencia se podrá denominar: ICA.</w:t>
      </w:r>
    </w:p>
  </w:footnote>
  <w:footnote w:id="5">
    <w:p w:rsidR="00A57E29" w:rsidRDefault="00A57E29" w:rsidP="003E77F6">
      <w:pPr>
        <w:pStyle w:val="Textonotapie"/>
        <w:spacing w:line="240" w:lineRule="auto"/>
        <w:rPr>
          <w:lang w:val="es-CO"/>
        </w:rPr>
      </w:pPr>
      <w:r>
        <w:rPr>
          <w:rStyle w:val="Refdenotaalpie"/>
        </w:rPr>
        <w:footnoteRef/>
      </w:r>
      <w:r>
        <w:t xml:space="preserve"> </w:t>
      </w:r>
      <w:r>
        <w:rPr>
          <w:lang w:val="es-CO"/>
        </w:rPr>
        <w:t xml:space="preserve">El detalle del cuadro incorporado en la demanda no se transcribe por razones de espacio. </w:t>
      </w:r>
    </w:p>
    <w:p w:rsidR="00A57E29" w:rsidRPr="003E77F6" w:rsidRDefault="00A57E29">
      <w:pPr>
        <w:pStyle w:val="Textonotapie"/>
        <w:rPr>
          <w:lang w:val="es-CO"/>
        </w:rPr>
      </w:pPr>
    </w:p>
  </w:footnote>
  <w:footnote w:id="6">
    <w:p w:rsidR="00A57E29" w:rsidRPr="003E77F6" w:rsidRDefault="00A57E29" w:rsidP="003E77F6">
      <w:pPr>
        <w:pStyle w:val="Textonotapie"/>
        <w:spacing w:line="240" w:lineRule="auto"/>
        <w:rPr>
          <w:lang w:val="es-CO"/>
        </w:rPr>
      </w:pPr>
      <w:r>
        <w:rPr>
          <w:rStyle w:val="Refdenotaalpie"/>
        </w:rPr>
        <w:footnoteRef/>
      </w:r>
      <w:r>
        <w:t xml:space="preserve"> </w:t>
      </w:r>
      <w:r>
        <w:rPr>
          <w:lang w:val="es-CO"/>
        </w:rPr>
        <w:t>El detalle del cuadro incorporado en la demanda no se transcribe por razones de espacio. Se citará en la parte pertinente.</w:t>
      </w:r>
    </w:p>
  </w:footnote>
  <w:footnote w:id="7">
    <w:p w:rsidR="00A57E29" w:rsidRPr="00F34557" w:rsidRDefault="00A57E29">
      <w:pPr>
        <w:pStyle w:val="Textonotapie"/>
        <w:rPr>
          <w:lang w:val="es-CO"/>
        </w:rPr>
      </w:pPr>
      <w:r>
        <w:rPr>
          <w:rStyle w:val="Refdenotaalpie"/>
        </w:rPr>
        <w:footnoteRef/>
      </w:r>
      <w:r>
        <w:t xml:space="preserve"> </w:t>
      </w:r>
      <w:r>
        <w:rPr>
          <w:lang w:val="es-CO"/>
        </w:rPr>
        <w:t>Folio 2, cuaderno 3.</w:t>
      </w:r>
    </w:p>
  </w:footnote>
  <w:footnote w:id="8">
    <w:p w:rsidR="00A57E29" w:rsidRPr="00D34BFA" w:rsidRDefault="00A57E29">
      <w:pPr>
        <w:pStyle w:val="Textonotapie"/>
        <w:rPr>
          <w:lang w:val="es-CO"/>
        </w:rPr>
      </w:pPr>
      <w:r>
        <w:rPr>
          <w:rStyle w:val="Refdenotaalpie"/>
        </w:rPr>
        <w:footnoteRef/>
      </w:r>
      <w:r>
        <w:t xml:space="preserve"> </w:t>
      </w:r>
      <w:r>
        <w:rPr>
          <w:lang w:val="es-CO"/>
        </w:rPr>
        <w:t>Folios 57 a 76, cuaderno 1.</w:t>
      </w:r>
    </w:p>
  </w:footnote>
  <w:footnote w:id="9">
    <w:p w:rsidR="00A57E29" w:rsidRPr="001B7B19" w:rsidRDefault="00A57E29">
      <w:pPr>
        <w:pStyle w:val="Textonotapie"/>
        <w:rPr>
          <w:lang w:val="es-CO"/>
        </w:rPr>
      </w:pPr>
      <w:r>
        <w:rPr>
          <w:rStyle w:val="Refdenotaalpie"/>
        </w:rPr>
        <w:footnoteRef/>
      </w:r>
      <w:r>
        <w:t xml:space="preserve"> De acuerdo con la comunicación de 16 de septiembre de 2010, folio 107 y 108, cuaderno 5.</w:t>
      </w:r>
    </w:p>
  </w:footnote>
  <w:footnote w:id="10">
    <w:p w:rsidR="00A57E29" w:rsidRDefault="00A57E29" w:rsidP="00DB0999">
      <w:pPr>
        <w:pStyle w:val="Textonotapie"/>
        <w:spacing w:line="240" w:lineRule="auto"/>
      </w:pPr>
      <w:r w:rsidRPr="00DB0999">
        <w:rPr>
          <w:rStyle w:val="Refdenotaalpie"/>
          <w:i/>
        </w:rPr>
        <w:footnoteRef/>
      </w:r>
      <w:r w:rsidRPr="00DB0999">
        <w:rPr>
          <w:i/>
        </w:rPr>
        <w:t xml:space="preserve"> </w:t>
      </w:r>
      <w:r>
        <w:rPr>
          <w:i/>
        </w:rPr>
        <w:t>“</w:t>
      </w:r>
      <w:r w:rsidRPr="00DB0999">
        <w:rPr>
          <w:i/>
        </w:rPr>
        <w:t>ART. 1º—Para efectos de la presente resolución, recursos germoplásmicos se define como el conjunto de materiales genéticos, conformados por introducciones, materiales básicos o compuestos germoplásmicos promisorios, líneas endogámicas, progenitores de cruzamientos intra e interespecíficos, generaciones segregantes de tales híbridos, variedades mejoradas, variedades sintéticas, variedades multilineales e híbridos registrados</w:t>
      </w:r>
      <w:r>
        <w:rPr>
          <w:i/>
        </w:rPr>
        <w:t>”</w:t>
      </w:r>
      <w:r>
        <w:t>.</w:t>
      </w:r>
    </w:p>
    <w:p w:rsidR="00A57E29" w:rsidRPr="00DB0999" w:rsidRDefault="00A57E29" w:rsidP="00DB0999">
      <w:pPr>
        <w:pStyle w:val="Textonotapie"/>
        <w:spacing w:line="240" w:lineRule="auto"/>
        <w:rPr>
          <w:lang w:val="es-MX"/>
        </w:rPr>
      </w:pPr>
    </w:p>
  </w:footnote>
  <w:footnote w:id="11">
    <w:p w:rsidR="00A57E29" w:rsidRPr="00A353B1" w:rsidRDefault="00A57E29" w:rsidP="0018333A">
      <w:pPr>
        <w:pStyle w:val="Textonotapie"/>
        <w:rPr>
          <w:lang w:val="es-CO"/>
        </w:rPr>
      </w:pPr>
      <w:r>
        <w:rPr>
          <w:rStyle w:val="Refdenotaalpie"/>
        </w:rPr>
        <w:footnoteRef/>
      </w:r>
      <w:r>
        <w:t xml:space="preserve"> </w:t>
      </w:r>
      <w:r>
        <w:rPr>
          <w:lang w:val="es-CO"/>
        </w:rPr>
        <w:t>Folio 69, cuaderno 2.</w:t>
      </w:r>
    </w:p>
  </w:footnote>
  <w:footnote w:id="12">
    <w:p w:rsidR="00A57E29" w:rsidRPr="003157D9" w:rsidRDefault="00A57E29">
      <w:pPr>
        <w:pStyle w:val="Textonotapie"/>
        <w:rPr>
          <w:lang w:val="es-CO"/>
        </w:rPr>
      </w:pPr>
      <w:r>
        <w:rPr>
          <w:rStyle w:val="Refdenotaalpie"/>
        </w:rPr>
        <w:footnoteRef/>
      </w:r>
      <w:r>
        <w:t xml:space="preserve"> </w:t>
      </w:r>
      <w:r>
        <w:rPr>
          <w:lang w:val="es-CO"/>
        </w:rPr>
        <w:t xml:space="preserve">Folios 394 vuelto y 395, cuaderno principal segunda instancia. </w:t>
      </w:r>
    </w:p>
  </w:footnote>
  <w:footnote w:id="13">
    <w:p w:rsidR="00A57E29" w:rsidRPr="00D7145D" w:rsidRDefault="00A57E29">
      <w:pPr>
        <w:pStyle w:val="Textonotapie"/>
        <w:rPr>
          <w:lang w:val="es-CO"/>
        </w:rPr>
      </w:pPr>
      <w:r>
        <w:rPr>
          <w:rStyle w:val="Refdenotaalpie"/>
        </w:rPr>
        <w:footnoteRef/>
      </w:r>
      <w:r>
        <w:t xml:space="preserve"> </w:t>
      </w:r>
      <w:r>
        <w:rPr>
          <w:lang w:val="es-CO"/>
        </w:rPr>
        <w:t>Folios 475 a 478, cuaderno principal segunda instancia.</w:t>
      </w:r>
    </w:p>
  </w:footnote>
  <w:footnote w:id="14">
    <w:p w:rsidR="00A57E29" w:rsidRPr="00067466" w:rsidRDefault="00A57E29">
      <w:pPr>
        <w:pStyle w:val="Textonotapie"/>
        <w:rPr>
          <w:lang w:val="es-CO"/>
        </w:rPr>
      </w:pPr>
      <w:r>
        <w:rPr>
          <w:rStyle w:val="Refdenotaalpie"/>
        </w:rPr>
        <w:footnoteRef/>
      </w:r>
      <w:r>
        <w:t xml:space="preserve"> </w:t>
      </w:r>
      <w:r>
        <w:rPr>
          <w:lang w:val="es-CO"/>
        </w:rPr>
        <w:t xml:space="preserve">Folio 464, cuaderno principal </w:t>
      </w:r>
    </w:p>
  </w:footnote>
  <w:footnote w:id="15">
    <w:p w:rsidR="00A57E29" w:rsidRPr="00CF1943" w:rsidRDefault="00A57E29">
      <w:pPr>
        <w:pStyle w:val="Textonotapie"/>
        <w:rPr>
          <w:lang w:val="es-CO"/>
        </w:rPr>
      </w:pPr>
      <w:r>
        <w:rPr>
          <w:rStyle w:val="Refdenotaalpie"/>
        </w:rPr>
        <w:footnoteRef/>
      </w:r>
      <w:r>
        <w:t xml:space="preserve"> </w:t>
      </w:r>
      <w:r>
        <w:rPr>
          <w:lang w:val="es-CO"/>
        </w:rPr>
        <w:t>Artículos 2 y 75.</w:t>
      </w:r>
    </w:p>
  </w:footnote>
  <w:footnote w:id="16">
    <w:p w:rsidR="00A57E29" w:rsidRDefault="00A57E29" w:rsidP="007C3B64">
      <w:pPr>
        <w:pStyle w:val="Textonotapie"/>
        <w:spacing w:line="240" w:lineRule="auto"/>
        <w:rPr>
          <w:lang w:val="es-CO"/>
        </w:rPr>
      </w:pPr>
      <w:r>
        <w:rPr>
          <w:rStyle w:val="Refdenotaalpie"/>
        </w:rPr>
        <w:footnoteRef/>
      </w:r>
      <w:r>
        <w:t xml:space="preserve"> El criterio orgánico se refiere a la asignación de jurisdicción competente para conocer de las controversias contractuales con base en naturaleza de entidad pública de una de las partes del contrato, de acuerdo con la enumeración del artículo 2º de la Ley 80 de 1993. Este criterio fue corroborado como regla general de la determinación de la jurisdicción competente, de acuerdo con las modificaciones introducidas por el artículo 30 de </w:t>
      </w:r>
      <w:r>
        <w:rPr>
          <w:lang w:val="es-CO"/>
        </w:rPr>
        <w:t>la Ley 446 de 1998, la cual entró a regir el 8 de julio de 1998 y por el artículo 1º de la Ley 1106 de 27 de diciembre 2007.  Igualmente constituye la regla general de jurisdicción y competencia en el medio de control de controversias contractuales previsto en el artículo 103 del Código de Procedimiento Administrativo y Contencioso Administrativo (C.P.A.C.A.) el cual entró a regir el 2 de julio de 2012.</w:t>
      </w:r>
    </w:p>
    <w:p w:rsidR="00A57E29" w:rsidRPr="00C045C1" w:rsidRDefault="00A57E29" w:rsidP="007C3B64">
      <w:pPr>
        <w:pStyle w:val="Textonotapie"/>
        <w:spacing w:line="240" w:lineRule="auto"/>
        <w:rPr>
          <w:lang w:val="es-CO"/>
        </w:rPr>
      </w:pPr>
    </w:p>
  </w:footnote>
  <w:footnote w:id="17">
    <w:p w:rsidR="00A57E29" w:rsidRDefault="00A57E29" w:rsidP="00330C5F">
      <w:pPr>
        <w:pStyle w:val="Textonotapie"/>
        <w:spacing w:line="240" w:lineRule="auto"/>
        <w:rPr>
          <w:lang w:val="es-CO"/>
        </w:rPr>
      </w:pPr>
      <w:r>
        <w:rPr>
          <w:rStyle w:val="Refdenotaalpie"/>
        </w:rPr>
        <w:footnoteRef/>
      </w:r>
      <w:r>
        <w:t xml:space="preserve"> </w:t>
      </w:r>
      <w:r>
        <w:rPr>
          <w:lang w:val="es-CO"/>
        </w:rPr>
        <w:t xml:space="preserve">El Instituto Colombiano Agropecuario ICA es un establecimiento público del orden nacional, creado por el Decreto 1562 de 1962, reestructurado a través de diversos decretos, entre otros, el Decreto 4765 de 2008. </w:t>
      </w:r>
    </w:p>
    <w:p w:rsidR="00A57E29" w:rsidRDefault="00A57E29" w:rsidP="00330C5F">
      <w:pPr>
        <w:pStyle w:val="Textonotapie"/>
        <w:spacing w:line="240" w:lineRule="auto"/>
        <w:rPr>
          <w:lang w:val="es-CO"/>
        </w:rPr>
      </w:pPr>
    </w:p>
    <w:p w:rsidR="00A57E29" w:rsidRDefault="00A57E29" w:rsidP="00330C5F">
      <w:pPr>
        <w:pStyle w:val="Textonotapie"/>
        <w:spacing w:line="240" w:lineRule="auto"/>
        <w:rPr>
          <w:i/>
        </w:rPr>
      </w:pPr>
      <w:r w:rsidRPr="00020558">
        <w:t xml:space="preserve">Decreto 4765 de 2008. </w:t>
      </w:r>
      <w:r>
        <w:t>“</w:t>
      </w:r>
      <w:r w:rsidRPr="00020558">
        <w:rPr>
          <w:i/>
        </w:rPr>
        <w:t>Artículo 2. Naturaleza jurídica. El Instituto Colombiano Agropecuario, ICA, creado y organizado conforme al Decreto 1562 de 1962, es un Establecimiento Público del Orden Nacional con personería jurídica, autonomía administrativa y patrimonio independiente, perteneciente al Sistema Nacional de Ciencia y Tecnología, adscrito al Ministerio de Agricultura y Desarrollo Rural</w:t>
      </w:r>
      <w:r>
        <w:rPr>
          <w:i/>
        </w:rPr>
        <w:t>”</w:t>
      </w:r>
      <w:r w:rsidRPr="00020558">
        <w:rPr>
          <w:i/>
        </w:rPr>
        <w:t>.</w:t>
      </w:r>
    </w:p>
    <w:p w:rsidR="00A57E29" w:rsidRPr="00020558" w:rsidRDefault="00A57E29" w:rsidP="00330C5F">
      <w:pPr>
        <w:pStyle w:val="Textonotapie"/>
        <w:spacing w:line="240" w:lineRule="auto"/>
        <w:rPr>
          <w:i/>
          <w:lang w:val="es-CO"/>
        </w:rPr>
      </w:pPr>
    </w:p>
  </w:footnote>
  <w:footnote w:id="18">
    <w:p w:rsidR="00A57E29" w:rsidRPr="00C31B32" w:rsidRDefault="00A57E29" w:rsidP="00724307">
      <w:pPr>
        <w:pStyle w:val="Textonotapie"/>
        <w:spacing w:line="240" w:lineRule="auto"/>
        <w:ind w:right="-284"/>
      </w:pPr>
      <w:r w:rsidRPr="00C31B32">
        <w:rPr>
          <w:rStyle w:val="Refdenotaalpie"/>
        </w:rPr>
        <w:footnoteRef/>
      </w:r>
      <w:r w:rsidRPr="00C31B32">
        <w:t xml:space="preserve"> De acuerdo con el salario mínimo mensual legal vigente para el año 20</w:t>
      </w:r>
      <w:r>
        <w:t>11</w:t>
      </w:r>
      <w:r w:rsidRPr="00C31B32">
        <w:t xml:space="preserve">, toda vez que la demanda se presentó el </w:t>
      </w:r>
      <w:r>
        <w:t xml:space="preserve">25 </w:t>
      </w:r>
      <w:r w:rsidRPr="00C31B32">
        <w:t xml:space="preserve">de </w:t>
      </w:r>
      <w:r>
        <w:t xml:space="preserve">abril </w:t>
      </w:r>
      <w:r w:rsidRPr="00C31B32">
        <w:t>de 20</w:t>
      </w:r>
      <w:r>
        <w:t>11</w:t>
      </w:r>
      <w:r w:rsidRPr="00C31B32">
        <w:t xml:space="preserve"> y el recurso de apelación se interpuso el </w:t>
      </w:r>
      <w:r>
        <w:t>8</w:t>
      </w:r>
      <w:r w:rsidRPr="00C31B32">
        <w:t xml:space="preserve"> de </w:t>
      </w:r>
      <w:r>
        <w:t>mayo</w:t>
      </w:r>
      <w:r w:rsidRPr="00C31B32">
        <w:t xml:space="preserve"> de 20</w:t>
      </w:r>
      <w:r>
        <w:t>14</w:t>
      </w:r>
      <w:r w:rsidRPr="00C31B32">
        <w:t xml:space="preserve">, en vigencia de la Ley </w:t>
      </w:r>
      <w:r>
        <w:t>1450 de 2011, en la cual se dispuso la aplicación del artículo 57 del CPACA</w:t>
      </w:r>
      <w:r w:rsidRPr="00C31B32">
        <w:t>.</w:t>
      </w:r>
    </w:p>
    <w:p w:rsidR="00A57E29" w:rsidRPr="00C31B32" w:rsidRDefault="00A57E29" w:rsidP="00724307">
      <w:pPr>
        <w:pStyle w:val="Textonotapie"/>
        <w:spacing w:line="240" w:lineRule="auto"/>
        <w:rPr>
          <w:lang w:val="es-CO"/>
        </w:rPr>
      </w:pPr>
    </w:p>
  </w:footnote>
  <w:footnote w:id="19">
    <w:p w:rsidR="00A57E29" w:rsidRDefault="00A57E29" w:rsidP="00AB6E7D">
      <w:pPr>
        <w:pStyle w:val="Textonotapie"/>
        <w:spacing w:line="240" w:lineRule="auto"/>
      </w:pPr>
      <w:r w:rsidRPr="00AB6E7D">
        <w:rPr>
          <w:rStyle w:val="Refdenotaalpie"/>
        </w:rPr>
        <w:footnoteRef/>
      </w:r>
      <w:r w:rsidRPr="00AB6E7D">
        <w:t xml:space="preserve"> La Ley  1450 de 2011, que entró a regir el 16 de junio de 2011</w:t>
      </w:r>
      <w:r>
        <w:t>,</w:t>
      </w:r>
      <w:r w:rsidRPr="00AB6E7D">
        <w:t xml:space="preserve"> dispuso la aplicación de las cuantías consagradas en el CPACA para </w:t>
      </w:r>
      <w:r>
        <w:t xml:space="preserve">conocer de la segunda instancia </w:t>
      </w:r>
      <w:r w:rsidRPr="00AB6E7D">
        <w:t>de los procesos con demandas presentadas antes del 2 de julio de 2012, así:</w:t>
      </w:r>
    </w:p>
    <w:p w:rsidR="00A57E29" w:rsidRPr="00AB6E7D" w:rsidRDefault="00A57E29" w:rsidP="00AB6E7D">
      <w:pPr>
        <w:pStyle w:val="Textonotapie"/>
        <w:spacing w:line="240" w:lineRule="auto"/>
      </w:pPr>
    </w:p>
    <w:p w:rsidR="00A57E29" w:rsidRPr="00AB6E7D" w:rsidRDefault="00A57E29" w:rsidP="00AB6E7D">
      <w:pPr>
        <w:pStyle w:val="Textonotapie"/>
        <w:spacing w:line="240" w:lineRule="auto"/>
        <w:rPr>
          <w:rFonts w:cs="Arial"/>
          <w:color w:val="000000"/>
          <w:shd w:val="clear" w:color="auto" w:fill="FFFFFF"/>
        </w:rPr>
      </w:pPr>
      <w:r w:rsidRPr="00662AF8">
        <w:rPr>
          <w:i/>
        </w:rPr>
        <w:t>“</w:t>
      </w:r>
      <w:r w:rsidRPr="00662AF8">
        <w:rPr>
          <w:rFonts w:cs="Arial"/>
          <w:bCs/>
          <w:i/>
          <w:color w:val="000000"/>
          <w:shd w:val="clear" w:color="auto" w:fill="FFFFFF"/>
        </w:rPr>
        <w:t>Artículo 198.</w:t>
      </w:r>
      <w:r w:rsidRPr="00662AF8">
        <w:rPr>
          <w:rStyle w:val="apple-converted-space"/>
          <w:rFonts w:cs="Arial"/>
          <w:bCs/>
          <w:i/>
          <w:color w:val="000000"/>
          <w:shd w:val="clear" w:color="auto" w:fill="FFFFFF"/>
        </w:rPr>
        <w:t> </w:t>
      </w:r>
      <w:r w:rsidRPr="00662AF8">
        <w:rPr>
          <w:rFonts w:cs="Arial"/>
          <w:bCs/>
          <w:i/>
          <w:iCs/>
          <w:color w:val="000000"/>
          <w:shd w:val="clear" w:color="auto" w:fill="FFFFFF"/>
        </w:rPr>
        <w:t>Descongestión por razón de la cuantía en la jurisdicción de lo contencioso administrativo</w:t>
      </w:r>
      <w:r w:rsidRPr="00662AF8">
        <w:rPr>
          <w:rFonts w:cs="Arial"/>
          <w:b/>
          <w:bCs/>
          <w:i/>
          <w:iCs/>
          <w:color w:val="000000"/>
          <w:shd w:val="clear" w:color="auto" w:fill="FFFFFF"/>
        </w:rPr>
        <w:t>.</w:t>
      </w:r>
      <w:r w:rsidRPr="00662AF8">
        <w:rPr>
          <w:rStyle w:val="apple-converted-space"/>
          <w:rFonts w:cs="Arial"/>
          <w:i/>
          <w:iCs/>
          <w:color w:val="000000"/>
          <w:shd w:val="clear" w:color="auto" w:fill="FFFFFF"/>
        </w:rPr>
        <w:t> </w:t>
      </w:r>
      <w:r w:rsidRPr="00662AF8">
        <w:rPr>
          <w:rFonts w:cs="Arial"/>
          <w:i/>
          <w:color w:val="000000"/>
          <w:shd w:val="clear" w:color="auto" w:fill="FFFFFF"/>
        </w:rPr>
        <w:t>Con el propósito de evitar la congestión de los Tribunales Administrativos y del Consejo de Estado, en los procesos que cursen o deban cursar ante la Jurisdicción de lo Contencioso Administrativo y en relación con los cuales a la fecha de entrada en vigencia de la presente ley no se hubiere notificado en debida forma el correspondiente auto admisorio de la demanda o cuando este no se hubiere expedido y cuyas demandas se presenten hasta antes del 2 de julio de 2012, la competencia por razón de la cuantía se determinará con sujeción a las reglas consagradas en el artículo</w:t>
      </w:r>
      <w:r w:rsidRPr="00662AF8">
        <w:rPr>
          <w:rStyle w:val="apple-converted-space"/>
          <w:rFonts w:cs="Arial"/>
          <w:i/>
          <w:color w:val="000000"/>
          <w:shd w:val="clear" w:color="auto" w:fill="FFFFFF"/>
        </w:rPr>
        <w:t> </w:t>
      </w:r>
      <w:hyperlink r:id="rId1" w:anchor="157" w:history="1">
        <w:r w:rsidRPr="00662AF8">
          <w:rPr>
            <w:rStyle w:val="Hipervnculo"/>
            <w:rFonts w:cs="Arial"/>
            <w:i/>
            <w:sz w:val="20"/>
            <w:shd w:val="clear" w:color="auto" w:fill="FFFFFF"/>
          </w:rPr>
          <w:t>157</w:t>
        </w:r>
      </w:hyperlink>
      <w:r w:rsidRPr="00662AF8">
        <w:rPr>
          <w:rStyle w:val="apple-converted-space"/>
          <w:rFonts w:cs="Arial"/>
          <w:i/>
          <w:color w:val="000000"/>
          <w:shd w:val="clear" w:color="auto" w:fill="FFFFFF"/>
        </w:rPr>
        <w:t> </w:t>
      </w:r>
      <w:r w:rsidRPr="00662AF8">
        <w:rPr>
          <w:rFonts w:cs="Arial"/>
          <w:i/>
          <w:color w:val="000000"/>
          <w:shd w:val="clear" w:color="auto" w:fill="FFFFFF"/>
        </w:rPr>
        <w:t>de la Ley 1437 de 2011</w:t>
      </w:r>
      <w:r>
        <w:rPr>
          <w:rFonts w:cs="Arial"/>
          <w:i/>
          <w:color w:val="000000"/>
          <w:shd w:val="clear" w:color="auto" w:fill="FFFFFF"/>
        </w:rPr>
        <w:t>”</w:t>
      </w:r>
      <w:r w:rsidRPr="00662AF8">
        <w:rPr>
          <w:rFonts w:cs="Arial"/>
          <w:i/>
          <w:color w:val="000000"/>
          <w:shd w:val="clear" w:color="auto" w:fill="FFFFFF"/>
        </w:rPr>
        <w:t>.</w:t>
      </w:r>
    </w:p>
    <w:p w:rsidR="00A57E29" w:rsidRPr="00662AF8" w:rsidRDefault="00A57E29" w:rsidP="00662AF8">
      <w:pPr>
        <w:pStyle w:val="Textonotapie"/>
        <w:spacing w:line="240" w:lineRule="auto"/>
        <w:rPr>
          <w:rFonts w:cs="Arial"/>
          <w:color w:val="000000"/>
          <w:shd w:val="clear" w:color="auto" w:fill="FFFFFF"/>
        </w:rPr>
      </w:pPr>
    </w:p>
    <w:p w:rsidR="00A57E29" w:rsidRDefault="00A57E29" w:rsidP="00662AF8">
      <w:pPr>
        <w:pStyle w:val="Textonotapie"/>
        <w:spacing w:line="240" w:lineRule="auto"/>
        <w:rPr>
          <w:rFonts w:cs="Arial"/>
          <w:color w:val="000000"/>
          <w:shd w:val="clear" w:color="auto" w:fill="FFFFFF"/>
        </w:rPr>
      </w:pPr>
      <w:r w:rsidRPr="00662AF8">
        <w:rPr>
          <w:rFonts w:cs="Arial"/>
          <w:color w:val="000000"/>
          <w:shd w:val="clear" w:color="auto" w:fill="FFFFFF"/>
        </w:rPr>
        <w:t>De acuerdo con el artículo 157 del CPACA:</w:t>
      </w:r>
    </w:p>
    <w:p w:rsidR="00A57E29" w:rsidRPr="00662AF8" w:rsidRDefault="00A57E29" w:rsidP="00662AF8">
      <w:pPr>
        <w:pStyle w:val="Textonotapie"/>
        <w:spacing w:line="240" w:lineRule="auto"/>
        <w:rPr>
          <w:rFonts w:cs="Arial"/>
          <w:color w:val="000000"/>
          <w:shd w:val="clear" w:color="auto" w:fill="FFFFFF"/>
        </w:rPr>
      </w:pPr>
    </w:p>
    <w:p w:rsidR="00A57E29" w:rsidRPr="00662AF8" w:rsidRDefault="00A57E29" w:rsidP="00662AF8">
      <w:pPr>
        <w:pStyle w:val="Textonotapie"/>
        <w:spacing w:line="240" w:lineRule="auto"/>
        <w:rPr>
          <w:i/>
          <w:lang w:val="es-CO"/>
        </w:rPr>
      </w:pPr>
      <w:r w:rsidRPr="00662AF8">
        <w:rPr>
          <w:rFonts w:cs="Arial"/>
          <w:i/>
          <w:color w:val="000000"/>
          <w:shd w:val="clear" w:color="auto" w:fill="FFFFFF"/>
        </w:rPr>
        <w:t>“Para los efectos aquí contemplados, cuando en la demanda se acumulen varias pretensiones, la cuantía se determinará por el valor de la pretensión mayor”.</w:t>
      </w:r>
    </w:p>
  </w:footnote>
  <w:footnote w:id="20">
    <w:p w:rsidR="00A57E29" w:rsidRDefault="00A57E29" w:rsidP="00623936">
      <w:pPr>
        <w:pStyle w:val="Textonotapie"/>
        <w:spacing w:line="240" w:lineRule="auto"/>
      </w:pPr>
      <w:r>
        <w:rPr>
          <w:rStyle w:val="Refdenotaalpie"/>
        </w:rPr>
        <w:footnoteRef/>
      </w:r>
      <w:r>
        <w:t xml:space="preserve"> La acción se determina de acuerdo con el contenido de la pretensión y dentro del contexto de la causa petendi expuesta al debate judicial. </w:t>
      </w:r>
    </w:p>
    <w:p w:rsidR="00A57E29" w:rsidRPr="009C4AB8" w:rsidRDefault="00A57E29" w:rsidP="00623936">
      <w:pPr>
        <w:pStyle w:val="Textonotapie"/>
        <w:spacing w:line="240" w:lineRule="auto"/>
        <w:rPr>
          <w:lang w:val="es-CO"/>
        </w:rPr>
      </w:pPr>
    </w:p>
  </w:footnote>
  <w:footnote w:id="21">
    <w:p w:rsidR="00A57E29" w:rsidRPr="0062481B" w:rsidRDefault="00A57E29" w:rsidP="0062481B">
      <w:pPr>
        <w:pStyle w:val="NormalWeb"/>
        <w:spacing w:line="240" w:lineRule="auto"/>
        <w:rPr>
          <w:rFonts w:cs="Arial"/>
          <w:i/>
          <w:color w:val="4B4949"/>
          <w:sz w:val="20"/>
          <w:szCs w:val="20"/>
        </w:rPr>
      </w:pPr>
      <w:r w:rsidRPr="0062481B">
        <w:rPr>
          <w:rStyle w:val="Refdenotaalpie"/>
          <w:sz w:val="20"/>
          <w:szCs w:val="20"/>
        </w:rPr>
        <w:footnoteRef/>
      </w:r>
      <w:r w:rsidRPr="0062481B">
        <w:rPr>
          <w:sz w:val="20"/>
          <w:szCs w:val="20"/>
        </w:rPr>
        <w:t xml:space="preserve"> </w:t>
      </w:r>
      <w:r w:rsidRPr="0062481B">
        <w:rPr>
          <w:i/>
          <w:sz w:val="20"/>
          <w:szCs w:val="20"/>
        </w:rPr>
        <w:t>“</w:t>
      </w:r>
      <w:r w:rsidRPr="0062481B">
        <w:rPr>
          <w:rFonts w:cs="Arial"/>
          <w:i/>
          <w:color w:val="4B4949"/>
          <w:sz w:val="20"/>
          <w:szCs w:val="20"/>
        </w:rPr>
        <w:t>e) La enajenación de bienes del Estado, con excepción de aquellos a que se refiere la Ley</w:t>
      </w:r>
      <w:r w:rsidRPr="0062481B">
        <w:rPr>
          <w:rStyle w:val="apple-converted-space"/>
          <w:rFonts w:cs="Arial"/>
          <w:i/>
          <w:color w:val="4B4949"/>
          <w:sz w:val="20"/>
          <w:szCs w:val="20"/>
        </w:rPr>
        <w:t> </w:t>
      </w:r>
      <w:hyperlink r:id="rId2" w:anchor="1" w:history="1">
        <w:r w:rsidRPr="0062481B">
          <w:rPr>
            <w:rStyle w:val="Hipervnculo"/>
            <w:rFonts w:cs="Arial"/>
            <w:i/>
            <w:sz w:val="20"/>
            <w:szCs w:val="20"/>
          </w:rPr>
          <w:t>226</w:t>
        </w:r>
      </w:hyperlink>
      <w:r w:rsidRPr="0062481B">
        <w:rPr>
          <w:rStyle w:val="apple-converted-space"/>
          <w:rFonts w:cs="Arial"/>
          <w:i/>
          <w:sz w:val="20"/>
          <w:szCs w:val="20"/>
        </w:rPr>
        <w:t> </w:t>
      </w:r>
      <w:r w:rsidRPr="0062481B">
        <w:rPr>
          <w:rFonts w:cs="Arial"/>
          <w:i/>
          <w:color w:val="4B4949"/>
          <w:sz w:val="20"/>
          <w:szCs w:val="20"/>
        </w:rPr>
        <w:t>de 1995.</w:t>
      </w:r>
    </w:p>
    <w:p w:rsidR="00A57E29" w:rsidRPr="0062481B" w:rsidRDefault="00A57E29" w:rsidP="0062481B">
      <w:pPr>
        <w:pStyle w:val="NormalWeb"/>
        <w:spacing w:line="240" w:lineRule="auto"/>
        <w:rPr>
          <w:rFonts w:cs="Arial"/>
          <w:i/>
          <w:color w:val="4B4949"/>
          <w:sz w:val="20"/>
          <w:szCs w:val="20"/>
        </w:rPr>
      </w:pPr>
      <w:r>
        <w:rPr>
          <w:rFonts w:cs="Arial"/>
          <w:i/>
          <w:color w:val="4B4949"/>
          <w:sz w:val="20"/>
          <w:szCs w:val="20"/>
        </w:rPr>
        <w:t>“</w:t>
      </w:r>
      <w:r w:rsidRPr="0062481B">
        <w:rPr>
          <w:rFonts w:cs="Arial"/>
          <w:i/>
          <w:color w:val="4B4949"/>
          <w:sz w:val="20"/>
          <w:szCs w:val="20"/>
        </w:rPr>
        <w:t>En los procesos de enajenación de los bienes del Estado se podrán utilizar instrumentos de subasta y en general de todos aquellos mecanismos autorizados por el derecho privado, siempre y cuando en desarrollo del proceso de enajenación se garantice la transparencia, la eficiencia y la selección objetiva.</w:t>
      </w:r>
    </w:p>
    <w:p w:rsidR="00A57E29" w:rsidRPr="00C37F9F" w:rsidRDefault="00A57E29" w:rsidP="0062481B">
      <w:pPr>
        <w:pStyle w:val="NormalWeb"/>
        <w:spacing w:line="240" w:lineRule="auto"/>
        <w:rPr>
          <w:rFonts w:cs="Arial"/>
          <w:b/>
          <w:i/>
          <w:color w:val="4B4949"/>
          <w:sz w:val="20"/>
          <w:szCs w:val="20"/>
        </w:rPr>
      </w:pPr>
      <w:r>
        <w:rPr>
          <w:rFonts w:cs="Arial"/>
          <w:i/>
          <w:color w:val="4B4949"/>
          <w:sz w:val="20"/>
          <w:szCs w:val="20"/>
        </w:rPr>
        <w:t>“</w:t>
      </w:r>
      <w:r w:rsidRPr="0062481B">
        <w:rPr>
          <w:rFonts w:cs="Arial"/>
          <w:i/>
          <w:color w:val="4B4949"/>
          <w:sz w:val="20"/>
          <w:szCs w:val="20"/>
        </w:rPr>
        <w:t xml:space="preserve">En todo caso, para la venta de los bienes se debe tener como base el valor del avalúo comercial </w:t>
      </w:r>
      <w:r w:rsidRPr="00C37F9F">
        <w:rPr>
          <w:rFonts w:cs="Arial"/>
          <w:b/>
          <w:i/>
          <w:color w:val="4B4949"/>
          <w:sz w:val="20"/>
          <w:szCs w:val="20"/>
        </w:rPr>
        <w:t>y ajustar dicho avalúo de acuerdo a los gastos asociados al tiempo de comercialización esperada, administración, impuestos y mantenimiento, para determinar el precio mínimo al que se debe enajenar el bien, de conformidad con la reglamentación que para el efecto expida el Gobierno Nacional.</w:t>
      </w:r>
    </w:p>
    <w:p w:rsidR="00A57E29" w:rsidRPr="0062481B" w:rsidRDefault="00A57E29" w:rsidP="0062481B">
      <w:pPr>
        <w:pStyle w:val="NormalWeb"/>
        <w:spacing w:line="240" w:lineRule="auto"/>
        <w:rPr>
          <w:rFonts w:cs="Arial"/>
          <w:i/>
          <w:color w:val="4B4949"/>
          <w:sz w:val="20"/>
          <w:szCs w:val="20"/>
        </w:rPr>
      </w:pPr>
      <w:r>
        <w:rPr>
          <w:rFonts w:cs="Arial"/>
          <w:i/>
          <w:color w:val="4B4949"/>
          <w:sz w:val="20"/>
          <w:szCs w:val="20"/>
        </w:rPr>
        <w:t>“(…).</w:t>
      </w:r>
    </w:p>
    <w:p w:rsidR="00A57E29" w:rsidRPr="00151D40" w:rsidRDefault="00A57E29" w:rsidP="0062481B">
      <w:pPr>
        <w:pStyle w:val="NormalWeb"/>
        <w:spacing w:line="240" w:lineRule="auto"/>
        <w:rPr>
          <w:rFonts w:cs="Arial"/>
          <w:i/>
          <w:color w:val="000000"/>
          <w:sz w:val="20"/>
          <w:szCs w:val="20"/>
        </w:rPr>
      </w:pPr>
      <w:r w:rsidRPr="00151D40">
        <w:rPr>
          <w:rFonts w:cs="Arial"/>
          <w:i/>
          <w:color w:val="000000"/>
          <w:sz w:val="20"/>
          <w:szCs w:val="20"/>
        </w:rPr>
        <w:t>“Los bienes serán enajenados a través de venta directa en sobre cerrado o en pública subasta. La adjudicación para la venta directa deberá hacerse en audiencia pública, en donde se conozcan las ofertas iniciales y se efectúe un segundo ofrecimiento, frente al cual se adjudicará el bien a quien oferte el mejor precio. En la subasta pública, de acuerdo con el reglamento definido para su realización, el bien será adjudicado al mejor postor.</w:t>
      </w:r>
    </w:p>
    <w:p w:rsidR="00A57E29" w:rsidRPr="007E159F" w:rsidRDefault="00A57E29" w:rsidP="00947479">
      <w:pPr>
        <w:pStyle w:val="NormalWeb"/>
        <w:spacing w:line="240" w:lineRule="auto"/>
        <w:rPr>
          <w:lang w:val="es-MX"/>
        </w:rPr>
      </w:pPr>
      <w:r w:rsidRPr="00151D40">
        <w:rPr>
          <w:rFonts w:cs="Arial"/>
          <w:i/>
          <w:color w:val="000000"/>
          <w:sz w:val="20"/>
          <w:szCs w:val="20"/>
        </w:rPr>
        <w:t xml:space="preserve">“La venta implica la publicación previa de los bienes en un diario de amplia circulación nacional, con la determinación del precio base. El interesado en adquirir bienes deberá consignar al menos el 20% del valor base de venta para participar en la oferta” </w:t>
      </w:r>
      <w:r w:rsidRPr="00151D40">
        <w:rPr>
          <w:rFonts w:cs="Arial"/>
          <w:color w:val="000000"/>
          <w:sz w:val="20"/>
          <w:szCs w:val="20"/>
        </w:rPr>
        <w:t>(la negrilla no es del texto).</w:t>
      </w:r>
    </w:p>
  </w:footnote>
  <w:footnote w:id="22">
    <w:p w:rsidR="00A57E29" w:rsidRPr="006E3F4F" w:rsidRDefault="00A57E29" w:rsidP="006E3F4F">
      <w:pPr>
        <w:pStyle w:val="NormalWeb"/>
        <w:spacing w:before="0" w:beforeAutospacing="0" w:after="0" w:afterAutospacing="0" w:line="240" w:lineRule="auto"/>
        <w:ind w:right="51"/>
        <w:rPr>
          <w:rFonts w:cs="Arial"/>
          <w:b/>
          <w:bCs/>
          <w:i/>
          <w:color w:val="000000"/>
          <w:sz w:val="20"/>
          <w:szCs w:val="20"/>
          <w:shd w:val="clear" w:color="auto" w:fill="FFFFFF"/>
        </w:rPr>
      </w:pPr>
      <w:r w:rsidRPr="006E3F4F">
        <w:rPr>
          <w:rStyle w:val="Refdenotaalpie"/>
          <w:sz w:val="20"/>
          <w:szCs w:val="20"/>
        </w:rPr>
        <w:footnoteRef/>
      </w:r>
      <w:r w:rsidRPr="006E3F4F">
        <w:rPr>
          <w:sz w:val="20"/>
          <w:szCs w:val="20"/>
        </w:rPr>
        <w:t xml:space="preserve"> </w:t>
      </w:r>
      <w:r w:rsidRPr="006E3F4F">
        <w:rPr>
          <w:rFonts w:cs="Arial"/>
          <w:bCs/>
          <w:i/>
          <w:color w:val="000000"/>
          <w:sz w:val="20"/>
          <w:szCs w:val="20"/>
          <w:shd w:val="clear" w:color="auto" w:fill="FFFFFF"/>
        </w:rPr>
        <w:t>“</w:t>
      </w:r>
      <w:r w:rsidRPr="006E3F4F">
        <w:rPr>
          <w:rFonts w:cs="Arial"/>
          <w:b/>
          <w:bCs/>
          <w:i/>
          <w:color w:val="000000"/>
          <w:sz w:val="20"/>
          <w:szCs w:val="20"/>
          <w:shd w:val="clear" w:color="auto" w:fill="FFFFFF"/>
        </w:rPr>
        <w:t>Artículo 11. Precio mínimo de venta</w:t>
      </w:r>
    </w:p>
    <w:p w:rsidR="00A57E29" w:rsidRPr="006E3F4F" w:rsidRDefault="00A57E29" w:rsidP="006E3F4F">
      <w:pPr>
        <w:pStyle w:val="NormalWeb"/>
        <w:shd w:val="clear" w:color="auto" w:fill="FFFFFF"/>
        <w:spacing w:before="0" w:beforeAutospacing="0" w:after="0" w:afterAutospacing="0" w:line="240" w:lineRule="auto"/>
        <w:ind w:right="51"/>
        <w:rPr>
          <w:rFonts w:cs="Arial"/>
          <w:i/>
          <w:color w:val="000000"/>
          <w:sz w:val="20"/>
          <w:szCs w:val="20"/>
        </w:rPr>
      </w:pPr>
    </w:p>
    <w:p w:rsidR="00A57E29" w:rsidRPr="006E3F4F" w:rsidRDefault="00A57E29" w:rsidP="006E3F4F">
      <w:pPr>
        <w:pStyle w:val="NormalWeb"/>
        <w:shd w:val="clear" w:color="auto" w:fill="FFFFFF"/>
        <w:spacing w:before="0" w:beforeAutospacing="0" w:after="0" w:afterAutospacing="0" w:line="240" w:lineRule="auto"/>
        <w:ind w:right="51"/>
        <w:rPr>
          <w:rFonts w:cs="Arial"/>
          <w:i/>
          <w:color w:val="000000"/>
          <w:sz w:val="20"/>
          <w:szCs w:val="20"/>
        </w:rPr>
      </w:pPr>
      <w:r w:rsidRPr="006E3F4F">
        <w:rPr>
          <w:rFonts w:cs="Arial"/>
          <w:i/>
          <w:color w:val="000000"/>
          <w:sz w:val="20"/>
          <w:szCs w:val="20"/>
        </w:rPr>
        <w:t>“Una vez obtenido el avalúo comercial de que trata el artículo anterior, la entidad lo ajustará para obtener el precio mínimo de venta.</w:t>
      </w:r>
    </w:p>
    <w:p w:rsidR="00A57E29" w:rsidRPr="006E3F4F" w:rsidRDefault="00A57E29" w:rsidP="006E3F4F">
      <w:pPr>
        <w:pStyle w:val="NormalWeb"/>
        <w:shd w:val="clear" w:color="auto" w:fill="FFFFFF"/>
        <w:spacing w:before="0" w:beforeAutospacing="0" w:after="0" w:afterAutospacing="0" w:line="240" w:lineRule="auto"/>
        <w:ind w:right="51"/>
        <w:rPr>
          <w:rFonts w:cs="Arial"/>
          <w:b/>
          <w:i/>
          <w:color w:val="000000"/>
          <w:sz w:val="20"/>
          <w:szCs w:val="20"/>
        </w:rPr>
      </w:pPr>
    </w:p>
    <w:p w:rsidR="00A57E29" w:rsidRPr="006E3F4F" w:rsidRDefault="00A57E29" w:rsidP="006E3F4F">
      <w:pPr>
        <w:pStyle w:val="NormalWeb"/>
        <w:shd w:val="clear" w:color="auto" w:fill="FFFFFF"/>
        <w:spacing w:before="0" w:beforeAutospacing="0" w:after="0" w:afterAutospacing="0" w:line="240" w:lineRule="auto"/>
        <w:ind w:right="51"/>
        <w:rPr>
          <w:rFonts w:cs="Arial"/>
          <w:b/>
          <w:i/>
          <w:color w:val="000000"/>
          <w:sz w:val="20"/>
          <w:szCs w:val="20"/>
        </w:rPr>
      </w:pPr>
      <w:r w:rsidRPr="006E3F4F">
        <w:rPr>
          <w:rFonts w:cs="Arial"/>
          <w:i/>
          <w:color w:val="000000"/>
          <w:sz w:val="20"/>
          <w:szCs w:val="20"/>
        </w:rPr>
        <w:t>“</w:t>
      </w:r>
      <w:r w:rsidRPr="006E3F4F">
        <w:rPr>
          <w:rFonts w:cs="Arial"/>
          <w:b/>
          <w:i/>
          <w:color w:val="000000"/>
          <w:sz w:val="20"/>
          <w:szCs w:val="20"/>
        </w:rPr>
        <w:t>La entidad, al ajustar el avalúo comercial para establecer el precio mínimo de venta del bien inmueble deberá tener en consideración las siguientes variables:</w:t>
      </w:r>
    </w:p>
    <w:p w:rsidR="00A57E29" w:rsidRPr="006E3F4F" w:rsidRDefault="00A57E29" w:rsidP="006E3F4F">
      <w:pPr>
        <w:pStyle w:val="NormalWeb"/>
        <w:shd w:val="clear" w:color="auto" w:fill="FFFFFF"/>
        <w:spacing w:before="0" w:beforeAutospacing="0" w:after="0" w:afterAutospacing="0" w:line="240" w:lineRule="auto"/>
        <w:ind w:right="51"/>
        <w:rPr>
          <w:rFonts w:cs="Arial"/>
          <w:bCs/>
          <w:i/>
          <w:color w:val="000000"/>
          <w:sz w:val="20"/>
          <w:szCs w:val="20"/>
        </w:rPr>
      </w:pPr>
    </w:p>
    <w:p w:rsidR="00A57E29" w:rsidRPr="006E3F4F" w:rsidRDefault="00A57E29" w:rsidP="006E3F4F">
      <w:pPr>
        <w:pStyle w:val="NormalWeb"/>
        <w:shd w:val="clear" w:color="auto" w:fill="FFFFFF"/>
        <w:spacing w:before="0" w:beforeAutospacing="0" w:after="0" w:afterAutospacing="0" w:line="240" w:lineRule="auto"/>
        <w:ind w:right="51"/>
        <w:rPr>
          <w:rFonts w:cs="Arial"/>
          <w:i/>
          <w:color w:val="000000"/>
          <w:sz w:val="20"/>
          <w:szCs w:val="20"/>
        </w:rPr>
      </w:pPr>
      <w:r w:rsidRPr="006E3F4F">
        <w:rPr>
          <w:rFonts w:cs="Arial"/>
          <w:bCs/>
          <w:i/>
          <w:color w:val="000000"/>
          <w:sz w:val="20"/>
          <w:szCs w:val="20"/>
        </w:rPr>
        <w:t>“1. Valor del avalúo</w:t>
      </w:r>
      <w:r w:rsidRPr="006E3F4F">
        <w:rPr>
          <w:rFonts w:cs="Arial"/>
          <w:i/>
          <w:color w:val="000000"/>
          <w:sz w:val="20"/>
          <w:szCs w:val="20"/>
        </w:rPr>
        <w:t>: Corresponde al valor arrojado por el avalúo comercial vigente.</w:t>
      </w:r>
    </w:p>
    <w:p w:rsidR="00A57E29" w:rsidRPr="006E3F4F" w:rsidRDefault="00A57E29" w:rsidP="006E3F4F">
      <w:pPr>
        <w:pStyle w:val="NormalWeb"/>
        <w:shd w:val="clear" w:color="auto" w:fill="FFFFFF"/>
        <w:spacing w:before="0" w:beforeAutospacing="0" w:after="0" w:afterAutospacing="0" w:line="240" w:lineRule="auto"/>
        <w:ind w:right="51"/>
        <w:rPr>
          <w:rFonts w:cs="Arial"/>
          <w:b/>
          <w:bCs/>
          <w:i/>
          <w:color w:val="000000"/>
          <w:sz w:val="20"/>
          <w:szCs w:val="20"/>
        </w:rPr>
      </w:pPr>
    </w:p>
    <w:p w:rsidR="00A57E29" w:rsidRPr="006E3F4F" w:rsidRDefault="00A57E29" w:rsidP="006E3F4F">
      <w:pPr>
        <w:pStyle w:val="NormalWeb"/>
        <w:shd w:val="clear" w:color="auto" w:fill="FFFFFF"/>
        <w:spacing w:before="0" w:beforeAutospacing="0" w:after="0" w:afterAutospacing="0" w:line="240" w:lineRule="auto"/>
        <w:ind w:right="51"/>
        <w:rPr>
          <w:rFonts w:cs="Arial"/>
          <w:i/>
          <w:color w:val="000000"/>
          <w:sz w:val="20"/>
          <w:szCs w:val="20"/>
        </w:rPr>
      </w:pPr>
      <w:r w:rsidRPr="006E3F4F">
        <w:rPr>
          <w:rFonts w:cs="Arial"/>
          <w:bCs/>
          <w:i/>
          <w:color w:val="000000"/>
          <w:sz w:val="20"/>
          <w:szCs w:val="20"/>
        </w:rPr>
        <w:t>“</w:t>
      </w:r>
      <w:r w:rsidRPr="006E3F4F">
        <w:rPr>
          <w:rFonts w:cs="Arial"/>
          <w:b/>
          <w:bCs/>
          <w:i/>
          <w:color w:val="000000"/>
          <w:sz w:val="20"/>
          <w:szCs w:val="20"/>
        </w:rPr>
        <w:t>2. Ingresos</w:t>
      </w:r>
      <w:r w:rsidRPr="006E3F4F">
        <w:rPr>
          <w:rFonts w:cs="Arial"/>
          <w:i/>
          <w:color w:val="000000"/>
          <w:sz w:val="20"/>
          <w:szCs w:val="20"/>
        </w:rPr>
        <w:t xml:space="preserve">: </w:t>
      </w:r>
      <w:r w:rsidRPr="006E3F4F">
        <w:rPr>
          <w:rFonts w:cs="Arial"/>
          <w:b/>
          <w:i/>
          <w:color w:val="000000"/>
          <w:sz w:val="20"/>
          <w:szCs w:val="20"/>
        </w:rPr>
        <w:t>Corresponden a cualquier tipo de recursos que perciba la entidad, proveniente del bien, tales como cánones de arrendamiento</w:t>
      </w:r>
      <w:r w:rsidRPr="006E3F4F">
        <w:rPr>
          <w:rFonts w:cs="Arial"/>
          <w:i/>
          <w:color w:val="000000"/>
          <w:sz w:val="20"/>
          <w:szCs w:val="20"/>
        </w:rPr>
        <w:t xml:space="preserve"> y rendimientos.</w:t>
      </w:r>
    </w:p>
    <w:p w:rsidR="00A57E29" w:rsidRPr="006E3F4F" w:rsidRDefault="00A57E29" w:rsidP="006E3F4F">
      <w:pPr>
        <w:pStyle w:val="NormalWeb"/>
        <w:shd w:val="clear" w:color="auto" w:fill="FFFFFF"/>
        <w:spacing w:before="0" w:beforeAutospacing="0" w:after="0" w:afterAutospacing="0" w:line="240" w:lineRule="auto"/>
        <w:ind w:right="51"/>
        <w:rPr>
          <w:rFonts w:cs="Arial"/>
          <w:b/>
          <w:bCs/>
          <w:i/>
          <w:color w:val="000000"/>
          <w:sz w:val="20"/>
          <w:szCs w:val="20"/>
        </w:rPr>
      </w:pPr>
    </w:p>
    <w:p w:rsidR="00A57E29" w:rsidRDefault="00A57E29" w:rsidP="006E3F4F">
      <w:pPr>
        <w:pStyle w:val="NormalWeb"/>
        <w:shd w:val="clear" w:color="auto" w:fill="FFFFFF"/>
        <w:spacing w:before="0" w:beforeAutospacing="0" w:after="0" w:afterAutospacing="0" w:line="240" w:lineRule="auto"/>
        <w:ind w:right="51"/>
        <w:rPr>
          <w:rFonts w:cs="Arial"/>
          <w:i/>
          <w:color w:val="000000"/>
          <w:sz w:val="20"/>
          <w:szCs w:val="20"/>
        </w:rPr>
      </w:pPr>
      <w:r w:rsidRPr="006E3F4F">
        <w:rPr>
          <w:rFonts w:cs="Arial"/>
          <w:bCs/>
          <w:i/>
          <w:color w:val="000000"/>
          <w:sz w:val="20"/>
          <w:szCs w:val="20"/>
        </w:rPr>
        <w:t>“</w:t>
      </w:r>
      <w:r w:rsidRPr="006E3F4F">
        <w:rPr>
          <w:rFonts w:cs="Arial"/>
          <w:b/>
          <w:bCs/>
          <w:i/>
          <w:color w:val="000000"/>
          <w:sz w:val="20"/>
          <w:szCs w:val="20"/>
        </w:rPr>
        <w:t>3. Gastos:</w:t>
      </w:r>
      <w:r w:rsidRPr="006E3F4F">
        <w:rPr>
          <w:rStyle w:val="apple-converted-space"/>
          <w:rFonts w:cs="Arial"/>
          <w:i/>
          <w:color w:val="000000"/>
          <w:sz w:val="20"/>
          <w:szCs w:val="20"/>
        </w:rPr>
        <w:t> </w:t>
      </w:r>
      <w:r w:rsidRPr="006E3F4F">
        <w:rPr>
          <w:rFonts w:cs="Arial"/>
          <w:i/>
          <w:color w:val="000000"/>
          <w:sz w:val="20"/>
          <w:szCs w:val="20"/>
        </w:rPr>
        <w:t xml:space="preserve">Se refiere a la totalidad de los </w:t>
      </w:r>
      <w:r w:rsidRPr="006E3F4F">
        <w:rPr>
          <w:rFonts w:cs="Arial"/>
          <w:b/>
          <w:i/>
          <w:color w:val="000000"/>
          <w:sz w:val="20"/>
          <w:szCs w:val="20"/>
        </w:rPr>
        <w:t>gastos en que incurre la entidad</w:t>
      </w:r>
      <w:r w:rsidRPr="006E3F4F">
        <w:rPr>
          <w:rFonts w:cs="Arial"/>
          <w:i/>
          <w:color w:val="000000"/>
          <w:sz w:val="20"/>
          <w:szCs w:val="20"/>
        </w:rPr>
        <w:t xml:space="preserve">, dependiendo del tipo de bien, que se deriven de la titularidad, </w:t>
      </w:r>
      <w:r w:rsidRPr="006E3F4F">
        <w:rPr>
          <w:rFonts w:cs="Arial"/>
          <w:b/>
          <w:i/>
          <w:color w:val="000000"/>
          <w:sz w:val="20"/>
          <w:szCs w:val="20"/>
        </w:rPr>
        <w:t>la comercialización, el saneamiento, el mantenimiento y la administración del mismo</w:t>
      </w:r>
      <w:r w:rsidRPr="006E3F4F">
        <w:rPr>
          <w:rFonts w:cs="Arial"/>
          <w:i/>
          <w:color w:val="000000"/>
          <w:sz w:val="20"/>
          <w:szCs w:val="20"/>
        </w:rPr>
        <w:t>, tales como: (…</w:t>
      </w:r>
      <w:r>
        <w:rPr>
          <w:rFonts w:cs="Arial"/>
          <w:i/>
          <w:color w:val="000000"/>
          <w:sz w:val="20"/>
          <w:szCs w:val="20"/>
        </w:rPr>
        <w:t>)”</w:t>
      </w:r>
      <w:r w:rsidRPr="006E3F4F">
        <w:rPr>
          <w:rFonts w:cs="Arial"/>
          <w:i/>
          <w:color w:val="000000"/>
          <w:sz w:val="20"/>
          <w:szCs w:val="20"/>
        </w:rPr>
        <w:t>.</w:t>
      </w:r>
    </w:p>
    <w:p w:rsidR="00A57E29" w:rsidRDefault="00A57E29" w:rsidP="00EF7C91">
      <w:pPr>
        <w:pStyle w:val="NormalWeb"/>
        <w:shd w:val="clear" w:color="auto" w:fill="FFFFFF"/>
        <w:spacing w:before="0" w:beforeAutospacing="0" w:after="0" w:afterAutospacing="0" w:line="240" w:lineRule="auto"/>
        <w:ind w:right="51"/>
        <w:rPr>
          <w:rFonts w:cs="Arial"/>
          <w:i/>
          <w:color w:val="000000"/>
          <w:sz w:val="20"/>
          <w:szCs w:val="20"/>
        </w:rPr>
      </w:pPr>
    </w:p>
    <w:p w:rsidR="00A57E29" w:rsidRPr="00EF7C91" w:rsidRDefault="00A57E29" w:rsidP="00EF7C91">
      <w:pPr>
        <w:pStyle w:val="NormalWeb"/>
        <w:shd w:val="clear" w:color="auto" w:fill="FFFFFF"/>
        <w:spacing w:before="0" w:beforeAutospacing="0" w:after="0" w:afterAutospacing="0" w:line="276" w:lineRule="auto"/>
        <w:ind w:right="51"/>
        <w:rPr>
          <w:lang w:val="es-CO"/>
        </w:rPr>
      </w:pPr>
      <w:r w:rsidRPr="00551555">
        <w:rPr>
          <w:rFonts w:cs="Arial"/>
          <w:b/>
          <w:bCs/>
          <w:i/>
          <w:color w:val="000000"/>
          <w:sz w:val="22"/>
          <w:szCs w:val="22"/>
        </w:rPr>
        <w:t>“8. Cálculo del Precio Mínimo de Venta (PMV):</w:t>
      </w:r>
      <w:r w:rsidRPr="00551555">
        <w:rPr>
          <w:rStyle w:val="apple-converted-space"/>
          <w:rFonts w:cs="Arial"/>
          <w:b/>
          <w:i/>
          <w:color w:val="000000"/>
          <w:sz w:val="22"/>
          <w:szCs w:val="22"/>
        </w:rPr>
        <w:t> </w:t>
      </w:r>
      <w:r w:rsidRPr="00551555">
        <w:rPr>
          <w:rFonts w:cs="Arial"/>
          <w:b/>
          <w:i/>
          <w:color w:val="000000"/>
          <w:sz w:val="22"/>
          <w:szCs w:val="22"/>
        </w:rPr>
        <w:t>El precio mínimo de venta se calcula como la diferencia entre el valor actualizado de los ingresos incluido el valor del avalúo del bien y el valor actualizado de los egresos a una tasa de descuento dada</w:t>
      </w:r>
      <w:r w:rsidRPr="00EF7C91">
        <w:rPr>
          <w:rFonts w:cs="Arial"/>
          <w:i/>
          <w:color w:val="000000"/>
          <w:sz w:val="22"/>
          <w:szCs w:val="22"/>
        </w:rPr>
        <w:t>”</w:t>
      </w:r>
      <w:r>
        <w:rPr>
          <w:rFonts w:cs="Arial"/>
          <w:i/>
          <w:color w:val="000000"/>
          <w:sz w:val="22"/>
          <w:szCs w:val="22"/>
        </w:rPr>
        <w:t xml:space="preserve"> </w:t>
      </w:r>
      <w:r w:rsidRPr="00EF7C91">
        <w:rPr>
          <w:rFonts w:cs="Arial"/>
          <w:color w:val="000000"/>
          <w:sz w:val="20"/>
          <w:szCs w:val="20"/>
        </w:rPr>
        <w:t>(</w:t>
      </w:r>
      <w:r>
        <w:rPr>
          <w:rFonts w:cs="Arial"/>
          <w:color w:val="000000"/>
          <w:sz w:val="20"/>
          <w:szCs w:val="20"/>
        </w:rPr>
        <w:t>l</w:t>
      </w:r>
      <w:r w:rsidRPr="00EF7C91">
        <w:rPr>
          <w:rFonts w:cs="Arial"/>
          <w:color w:val="000000"/>
          <w:sz w:val="20"/>
          <w:szCs w:val="20"/>
        </w:rPr>
        <w:t>a negrilla no es del texto).</w:t>
      </w:r>
    </w:p>
  </w:footnote>
  <w:footnote w:id="23">
    <w:p w:rsidR="00A57E29" w:rsidRPr="00344E24" w:rsidRDefault="00A57E29" w:rsidP="00983E19">
      <w:pPr>
        <w:shd w:val="clear" w:color="auto" w:fill="FFFFFF"/>
        <w:spacing w:before="100" w:beforeAutospacing="1" w:after="100" w:afterAutospacing="1" w:line="240" w:lineRule="auto"/>
        <w:rPr>
          <w:rFonts w:cs="Arial"/>
          <w:color w:val="000000"/>
          <w:sz w:val="20"/>
          <w:szCs w:val="20"/>
          <w:shd w:val="clear" w:color="auto" w:fill="FFFFFF"/>
        </w:rPr>
      </w:pPr>
      <w:r>
        <w:rPr>
          <w:rStyle w:val="Refdenotaalpie"/>
        </w:rPr>
        <w:footnoteRef/>
      </w:r>
      <w:r>
        <w:t xml:space="preserve"> “</w:t>
      </w:r>
      <w:r w:rsidRPr="00344E24">
        <w:rPr>
          <w:rFonts w:cs="Arial"/>
          <w:bCs/>
          <w:color w:val="000000"/>
          <w:sz w:val="20"/>
          <w:szCs w:val="20"/>
          <w:shd w:val="clear" w:color="auto" w:fill="FFFFFF"/>
        </w:rPr>
        <w:t>Artículo</w:t>
      </w:r>
      <w:bookmarkStart w:id="2" w:name="7"/>
      <w:r w:rsidRPr="00344E24">
        <w:rPr>
          <w:rFonts w:cs="Arial"/>
          <w:bCs/>
          <w:color w:val="000000"/>
          <w:sz w:val="20"/>
          <w:szCs w:val="20"/>
          <w:shd w:val="clear" w:color="auto" w:fill="FFFFFF"/>
        </w:rPr>
        <w:t> </w:t>
      </w:r>
      <w:bookmarkEnd w:id="2"/>
      <w:r w:rsidRPr="00344E24">
        <w:rPr>
          <w:rFonts w:cs="Arial"/>
          <w:bCs/>
          <w:color w:val="000000"/>
          <w:sz w:val="20"/>
          <w:szCs w:val="20"/>
          <w:shd w:val="clear" w:color="auto" w:fill="FFFFFF"/>
        </w:rPr>
        <w:t>7°</w:t>
      </w:r>
      <w:r w:rsidRPr="00344E24">
        <w:rPr>
          <w:rStyle w:val="apple-converted-space"/>
          <w:rFonts w:cs="Arial"/>
          <w:b/>
          <w:bCs/>
          <w:color w:val="000000"/>
          <w:sz w:val="20"/>
          <w:szCs w:val="20"/>
          <w:shd w:val="clear" w:color="auto" w:fill="FFFFFF"/>
        </w:rPr>
        <w:t> </w:t>
      </w:r>
      <w:r w:rsidRPr="00344E24">
        <w:rPr>
          <w:rFonts w:cs="Arial"/>
          <w:color w:val="000000"/>
          <w:sz w:val="20"/>
          <w:szCs w:val="20"/>
          <w:shd w:val="clear" w:color="auto" w:fill="FFFFFF"/>
        </w:rPr>
        <w:t>Modifícase el inciso 2° del artículo</w:t>
      </w:r>
      <w:r w:rsidRPr="00344E24">
        <w:rPr>
          <w:rStyle w:val="apple-converted-space"/>
          <w:rFonts w:cs="Arial"/>
          <w:color w:val="000000"/>
          <w:sz w:val="20"/>
          <w:szCs w:val="20"/>
          <w:shd w:val="clear" w:color="auto" w:fill="FFFFFF"/>
        </w:rPr>
        <w:t> </w:t>
      </w:r>
      <w:hyperlink r:id="rId3" w:anchor="2" w:history="1">
        <w:r w:rsidRPr="00344E24">
          <w:rPr>
            <w:rStyle w:val="Hipervnculo"/>
            <w:rFonts w:cs="Arial"/>
            <w:sz w:val="20"/>
            <w:szCs w:val="20"/>
            <w:shd w:val="clear" w:color="auto" w:fill="FFFFFF"/>
          </w:rPr>
          <w:t>2</w:t>
        </w:r>
      </w:hyperlink>
      <w:r w:rsidRPr="00344E24">
        <w:rPr>
          <w:rFonts w:cs="Arial"/>
          <w:color w:val="000000"/>
          <w:sz w:val="20"/>
          <w:szCs w:val="20"/>
          <w:shd w:val="clear" w:color="auto" w:fill="FFFFFF"/>
        </w:rPr>
        <w:t>° del Decreto 4637 de 2008, el cual quedará así:</w:t>
      </w:r>
    </w:p>
    <w:p w:rsidR="00A57E29" w:rsidRPr="00344E24" w:rsidRDefault="00A57E29" w:rsidP="00C2242B">
      <w:pPr>
        <w:shd w:val="clear" w:color="auto" w:fill="FFFFFF"/>
        <w:spacing w:before="100" w:beforeAutospacing="1" w:after="100" w:afterAutospacing="1" w:line="240" w:lineRule="auto"/>
        <w:rPr>
          <w:lang w:val="es-CO"/>
        </w:rPr>
      </w:pPr>
      <w:r>
        <w:rPr>
          <w:sz w:val="20"/>
          <w:szCs w:val="20"/>
        </w:rPr>
        <w:t>“</w:t>
      </w:r>
      <w:r w:rsidRPr="00D870A3">
        <w:rPr>
          <w:i/>
          <w:sz w:val="20"/>
          <w:szCs w:val="20"/>
        </w:rPr>
        <w:t xml:space="preserve">Artículo 1º. </w:t>
      </w:r>
      <w:r w:rsidRPr="00D870A3">
        <w:rPr>
          <w:rFonts w:cs="Arial"/>
          <w:i/>
          <w:color w:val="000000"/>
          <w:sz w:val="20"/>
          <w:szCs w:val="20"/>
          <w:shd w:val="clear" w:color="auto" w:fill="FFFFFF"/>
        </w:rPr>
        <w:t>"El acto mediante el cual se adopte el Plan de Enajenación Onerosa deberá publicarse en la página web de la entidad y en un diario de amplia circulación nacional dentro de los cinco (5) días hábiles siguientes a su expedición. De igual manera, deberá enviar copia de dichos actos a Central de Inversiones S. A., CISA, dentro de los diez (10) días siguientes a su publicación".</w:t>
      </w:r>
    </w:p>
  </w:footnote>
  <w:footnote w:id="24">
    <w:p w:rsidR="00A57E29" w:rsidRPr="00222D7B" w:rsidRDefault="00A57E29" w:rsidP="00266AF7">
      <w:pPr>
        <w:pStyle w:val="Textonotapie"/>
        <w:spacing w:line="240" w:lineRule="auto"/>
        <w:rPr>
          <w:lang w:val="es-CO"/>
        </w:rPr>
      </w:pPr>
      <w:r>
        <w:rPr>
          <w:rStyle w:val="Refdenotaalpie"/>
        </w:rPr>
        <w:footnoteRef/>
      </w:r>
      <w:r>
        <w:t xml:space="preserve"> </w:t>
      </w:r>
      <w:r>
        <w:rPr>
          <w:lang w:val="es-CO"/>
        </w:rPr>
        <w:t>Folio 45, cuaderno 2, idéntico texto en el folio 18 cuaderno 5.</w:t>
      </w:r>
    </w:p>
  </w:footnote>
  <w:footnote w:id="25">
    <w:p w:rsidR="00A57E29" w:rsidRPr="007512C9" w:rsidRDefault="00A57E29" w:rsidP="00266AF7">
      <w:pPr>
        <w:pStyle w:val="Textonotapie"/>
        <w:spacing w:line="240" w:lineRule="auto"/>
        <w:rPr>
          <w:lang w:val="es-CO"/>
        </w:rPr>
      </w:pPr>
      <w:r>
        <w:rPr>
          <w:rStyle w:val="Refdenotaalpie"/>
        </w:rPr>
        <w:footnoteRef/>
      </w:r>
      <w:r>
        <w:t xml:space="preserve"> </w:t>
      </w:r>
      <w:r>
        <w:rPr>
          <w:lang w:val="es-CO"/>
        </w:rPr>
        <w:t>Folio 30, cuaderno 5.</w:t>
      </w:r>
    </w:p>
  </w:footnote>
  <w:footnote w:id="26">
    <w:p w:rsidR="00A57E29" w:rsidRPr="00D22271" w:rsidRDefault="00A57E29" w:rsidP="00266AF7">
      <w:pPr>
        <w:pStyle w:val="Textonotapie"/>
        <w:spacing w:line="240" w:lineRule="auto"/>
        <w:rPr>
          <w:lang w:val="es-CO"/>
        </w:rPr>
      </w:pPr>
      <w:r>
        <w:rPr>
          <w:rStyle w:val="Refdenotaalpie"/>
        </w:rPr>
        <w:footnoteRef/>
      </w:r>
      <w:r>
        <w:t xml:space="preserve"> </w:t>
      </w:r>
      <w:r>
        <w:rPr>
          <w:lang w:val="es-CO"/>
        </w:rPr>
        <w:t>Folio 58, cuaderno 5.</w:t>
      </w:r>
    </w:p>
  </w:footnote>
  <w:footnote w:id="27">
    <w:p w:rsidR="00A57E29" w:rsidRPr="007512C9" w:rsidRDefault="00A57E29" w:rsidP="00266AF7">
      <w:pPr>
        <w:pStyle w:val="Textonotapie"/>
        <w:spacing w:line="240" w:lineRule="auto"/>
        <w:rPr>
          <w:lang w:val="es-CO"/>
        </w:rPr>
      </w:pPr>
      <w:r>
        <w:rPr>
          <w:rStyle w:val="Refdenotaalpie"/>
        </w:rPr>
        <w:footnoteRef/>
      </w:r>
      <w:r>
        <w:t xml:space="preserve"> </w:t>
      </w:r>
      <w:r>
        <w:rPr>
          <w:lang w:val="es-CO"/>
        </w:rPr>
        <w:t>Folio 58, cuaderno 5.</w:t>
      </w:r>
    </w:p>
  </w:footnote>
  <w:footnote w:id="28">
    <w:p w:rsidR="00A57E29" w:rsidRPr="001264C7" w:rsidRDefault="00A57E29" w:rsidP="00266AF7">
      <w:pPr>
        <w:pStyle w:val="Textonotapie"/>
        <w:spacing w:line="240" w:lineRule="auto"/>
        <w:ind w:left="708" w:hanging="708"/>
        <w:rPr>
          <w:lang w:val="es-CO"/>
        </w:rPr>
      </w:pPr>
      <w:r>
        <w:rPr>
          <w:rStyle w:val="Refdenotaalpie"/>
        </w:rPr>
        <w:footnoteRef/>
      </w:r>
      <w:r>
        <w:t xml:space="preserve"> Fo</w:t>
      </w:r>
      <w:r>
        <w:rPr>
          <w:lang w:val="es-CO"/>
        </w:rPr>
        <w:t>lio 58, cuaderno 5.</w:t>
      </w:r>
    </w:p>
  </w:footnote>
  <w:footnote w:id="29">
    <w:p w:rsidR="00A57E29" w:rsidRPr="00DE762B" w:rsidRDefault="00A57E29" w:rsidP="00266AF7">
      <w:pPr>
        <w:pStyle w:val="Textonotapie"/>
        <w:spacing w:line="240" w:lineRule="auto"/>
        <w:rPr>
          <w:lang w:val="es-CO"/>
        </w:rPr>
      </w:pPr>
      <w:r>
        <w:rPr>
          <w:rStyle w:val="Refdenotaalpie"/>
        </w:rPr>
        <w:footnoteRef/>
      </w:r>
      <w:r>
        <w:t xml:space="preserve"> </w:t>
      </w:r>
      <w:r>
        <w:rPr>
          <w:lang w:val="es-CO"/>
        </w:rPr>
        <w:t>Folios 4 a 51, cuaderno 2.</w:t>
      </w:r>
    </w:p>
  </w:footnote>
  <w:footnote w:id="30">
    <w:p w:rsidR="00A57E29" w:rsidRPr="00E74E5E" w:rsidRDefault="00A57E29" w:rsidP="00266AF7">
      <w:pPr>
        <w:pStyle w:val="Textonotapie"/>
        <w:spacing w:line="240" w:lineRule="auto"/>
        <w:rPr>
          <w:lang w:val="es-CO"/>
        </w:rPr>
      </w:pPr>
      <w:r>
        <w:rPr>
          <w:rStyle w:val="Refdenotaalpie"/>
        </w:rPr>
        <w:footnoteRef/>
      </w:r>
      <w:r>
        <w:t xml:space="preserve"> </w:t>
      </w:r>
      <w:r>
        <w:rPr>
          <w:lang w:val="es-CO"/>
        </w:rPr>
        <w:t>Folio 25, cuaderno 2</w:t>
      </w:r>
    </w:p>
  </w:footnote>
  <w:footnote w:id="31">
    <w:p w:rsidR="00A57E29" w:rsidRPr="002D3A92" w:rsidRDefault="00A57E29" w:rsidP="00266AF7">
      <w:pPr>
        <w:pStyle w:val="Textonotapie"/>
        <w:spacing w:line="240" w:lineRule="auto"/>
        <w:rPr>
          <w:lang w:val="es-CO"/>
        </w:rPr>
      </w:pPr>
      <w:r>
        <w:rPr>
          <w:rStyle w:val="Refdenotaalpie"/>
        </w:rPr>
        <w:footnoteRef/>
      </w:r>
      <w:r>
        <w:t xml:space="preserve"> </w:t>
      </w:r>
      <w:r>
        <w:rPr>
          <w:lang w:val="es-CO"/>
        </w:rPr>
        <w:t>Folio 25, cuaderno 2.</w:t>
      </w:r>
    </w:p>
  </w:footnote>
  <w:footnote w:id="32">
    <w:p w:rsidR="00A57E29" w:rsidRPr="00E97FCE" w:rsidRDefault="00A57E29" w:rsidP="00570534">
      <w:pPr>
        <w:pStyle w:val="Textonotapie"/>
        <w:spacing w:line="240" w:lineRule="auto"/>
        <w:rPr>
          <w:lang w:val="es-CO"/>
        </w:rPr>
      </w:pPr>
      <w:r>
        <w:rPr>
          <w:rStyle w:val="Refdenotaalpie"/>
        </w:rPr>
        <w:footnoteRef/>
      </w:r>
      <w:r>
        <w:t xml:space="preserve"> </w:t>
      </w:r>
      <w:r>
        <w:rPr>
          <w:lang w:val="es-CO"/>
        </w:rPr>
        <w:t>Folio 81, cuaderno 7.</w:t>
      </w:r>
    </w:p>
  </w:footnote>
  <w:footnote w:id="33">
    <w:p w:rsidR="00A57E29" w:rsidRDefault="00A57E29" w:rsidP="00570534">
      <w:pPr>
        <w:pStyle w:val="Textonotapie"/>
        <w:spacing w:line="240" w:lineRule="auto"/>
        <w:rPr>
          <w:lang w:val="es-CO"/>
        </w:rPr>
      </w:pPr>
      <w:r>
        <w:rPr>
          <w:rStyle w:val="Refdenotaalpie"/>
        </w:rPr>
        <w:footnoteRef/>
      </w:r>
      <w:r>
        <w:t xml:space="preserve"> </w:t>
      </w:r>
      <w:r>
        <w:rPr>
          <w:lang w:val="es-CO"/>
        </w:rPr>
        <w:t>Folio 80, cuaderno 7. Comunicación con sello de recibido  de la recepción del edificio (calle 20 No. 43A -  50). También obra copia parcial dirigida al Presidente de FEDEPALMA (Cra 10ª No. 69 A -44), folio 79, cuaderno 7.</w:t>
      </w:r>
    </w:p>
    <w:p w:rsidR="00A57E29" w:rsidRPr="00A46D7E" w:rsidRDefault="00A57E29" w:rsidP="00570534">
      <w:pPr>
        <w:pStyle w:val="Textonotapie"/>
        <w:spacing w:line="240" w:lineRule="auto"/>
        <w:rPr>
          <w:lang w:val="es-CO"/>
        </w:rPr>
      </w:pPr>
    </w:p>
  </w:footnote>
  <w:footnote w:id="34">
    <w:p w:rsidR="00A57E29" w:rsidRPr="0077728E" w:rsidRDefault="00A57E29" w:rsidP="00570534">
      <w:pPr>
        <w:pStyle w:val="Textonotapie"/>
        <w:spacing w:line="240" w:lineRule="auto"/>
        <w:rPr>
          <w:lang w:val="es-CO"/>
        </w:rPr>
      </w:pPr>
      <w:r>
        <w:rPr>
          <w:rStyle w:val="Refdenotaalpie"/>
        </w:rPr>
        <w:footnoteRef/>
      </w:r>
      <w:r>
        <w:t xml:space="preserve"> </w:t>
      </w:r>
      <w:r>
        <w:rPr>
          <w:lang w:val="es-CO"/>
        </w:rPr>
        <w:t>La carátula del avalúo dice “ABRIL DE 2010”.</w:t>
      </w:r>
    </w:p>
  </w:footnote>
  <w:footnote w:id="35">
    <w:p w:rsidR="00A57E29" w:rsidRPr="00155EFF" w:rsidRDefault="00A57E29" w:rsidP="00570534">
      <w:pPr>
        <w:pStyle w:val="Textonotapie"/>
        <w:rPr>
          <w:lang w:val="es-CO"/>
        </w:rPr>
      </w:pPr>
      <w:r>
        <w:rPr>
          <w:rStyle w:val="Refdenotaalpie"/>
        </w:rPr>
        <w:footnoteRef/>
      </w:r>
      <w:r>
        <w:t xml:space="preserve"> </w:t>
      </w:r>
      <w:r>
        <w:rPr>
          <w:lang w:val="es-CO"/>
        </w:rPr>
        <w:t>Folio 86, cuaderno 7.</w:t>
      </w:r>
    </w:p>
  </w:footnote>
  <w:footnote w:id="36">
    <w:p w:rsidR="00A57E29" w:rsidRPr="004E6163" w:rsidRDefault="00A57E29" w:rsidP="00570534">
      <w:pPr>
        <w:pStyle w:val="Textonotapie"/>
        <w:rPr>
          <w:lang w:val="es-CO"/>
        </w:rPr>
      </w:pPr>
      <w:r>
        <w:rPr>
          <w:rStyle w:val="Refdenotaalpie"/>
        </w:rPr>
        <w:footnoteRef/>
      </w:r>
      <w:r>
        <w:t xml:space="preserve"> Pliego de condiciones, </w:t>
      </w:r>
      <w:r>
        <w:rPr>
          <w:lang w:val="es-CO"/>
        </w:rPr>
        <w:t>página 39 de 50, folio 107, cuaderno 7.</w:t>
      </w:r>
    </w:p>
  </w:footnote>
  <w:footnote w:id="37">
    <w:p w:rsidR="00A57E29" w:rsidRPr="00C44BE5" w:rsidRDefault="00A57E29" w:rsidP="00570534">
      <w:pPr>
        <w:pStyle w:val="Textonotapie"/>
        <w:rPr>
          <w:lang w:val="es-CO"/>
        </w:rPr>
      </w:pPr>
      <w:r>
        <w:rPr>
          <w:rStyle w:val="Refdenotaalpie"/>
        </w:rPr>
        <w:footnoteRef/>
      </w:r>
      <w:r>
        <w:t xml:space="preserve"> </w:t>
      </w:r>
      <w:r>
        <w:rPr>
          <w:lang w:val="es-CO"/>
        </w:rPr>
        <w:t>Folio 163, cuaderno 7.</w:t>
      </w:r>
    </w:p>
  </w:footnote>
  <w:footnote w:id="38">
    <w:p w:rsidR="00A57E29" w:rsidRPr="00C640A4" w:rsidRDefault="00A57E29" w:rsidP="00570534">
      <w:pPr>
        <w:pStyle w:val="Textonotapie"/>
        <w:rPr>
          <w:lang w:val="es-CO"/>
        </w:rPr>
      </w:pPr>
      <w:r>
        <w:rPr>
          <w:rStyle w:val="Refdenotaalpie"/>
        </w:rPr>
        <w:footnoteRef/>
      </w:r>
      <w:r>
        <w:t xml:space="preserve"> </w:t>
      </w:r>
      <w:r>
        <w:rPr>
          <w:lang w:val="es-CO"/>
        </w:rPr>
        <w:t>Folio 74, cuaderno 6.</w:t>
      </w:r>
    </w:p>
  </w:footnote>
  <w:footnote w:id="39">
    <w:p w:rsidR="00A57E29" w:rsidRPr="00623EE8" w:rsidRDefault="00A57E29" w:rsidP="00570534">
      <w:pPr>
        <w:pStyle w:val="Textonotapie"/>
        <w:rPr>
          <w:lang w:val="es-CO"/>
        </w:rPr>
      </w:pPr>
      <w:r>
        <w:rPr>
          <w:rStyle w:val="Refdenotaalpie"/>
        </w:rPr>
        <w:footnoteRef/>
      </w:r>
      <w:r>
        <w:t xml:space="preserve"> </w:t>
      </w:r>
      <w:r>
        <w:rPr>
          <w:lang w:val="es-CO"/>
        </w:rPr>
        <w:t xml:space="preserve">Páginas 4 y 5 de la minuta de estudios y documentos previos, folios 168 y 169, cuaderno 7. </w:t>
      </w:r>
    </w:p>
  </w:footnote>
  <w:footnote w:id="40">
    <w:p w:rsidR="00A57E29" w:rsidRPr="0014781A" w:rsidRDefault="00A57E29" w:rsidP="00570534">
      <w:pPr>
        <w:pStyle w:val="Textonotapie"/>
        <w:rPr>
          <w:lang w:val="es-CO"/>
        </w:rPr>
      </w:pPr>
      <w:r>
        <w:rPr>
          <w:rStyle w:val="Refdenotaalpie"/>
        </w:rPr>
        <w:footnoteRef/>
      </w:r>
      <w:r>
        <w:t xml:space="preserve"> </w:t>
      </w:r>
      <w:r>
        <w:rPr>
          <w:lang w:val="es-CO"/>
        </w:rPr>
        <w:t>Páginas 39 y 40, pliego de condiciones, folios 211 y 212, cuaderno 7.</w:t>
      </w:r>
    </w:p>
  </w:footnote>
  <w:footnote w:id="41">
    <w:p w:rsidR="00A57E29" w:rsidRPr="00E40EC3" w:rsidRDefault="00A57E29" w:rsidP="00570534">
      <w:pPr>
        <w:pStyle w:val="Textonotapie"/>
        <w:rPr>
          <w:lang w:val="es-CO"/>
        </w:rPr>
      </w:pPr>
      <w:r>
        <w:rPr>
          <w:rStyle w:val="Refdenotaalpie"/>
        </w:rPr>
        <w:footnoteRef/>
      </w:r>
      <w:r>
        <w:t xml:space="preserve"> </w:t>
      </w:r>
      <w:r>
        <w:rPr>
          <w:lang w:val="es-CO"/>
        </w:rPr>
        <w:t>Folio 164, cuaderno 7.</w:t>
      </w:r>
    </w:p>
  </w:footnote>
  <w:footnote w:id="42">
    <w:p w:rsidR="00A57E29" w:rsidRPr="00623EE8" w:rsidRDefault="00A57E29" w:rsidP="00570534">
      <w:pPr>
        <w:pStyle w:val="Textonotapie"/>
        <w:rPr>
          <w:lang w:val="es-CO"/>
        </w:rPr>
      </w:pPr>
      <w:r>
        <w:rPr>
          <w:rStyle w:val="Refdenotaalpie"/>
        </w:rPr>
        <w:footnoteRef/>
      </w:r>
      <w:r>
        <w:t xml:space="preserve"> </w:t>
      </w:r>
      <w:r>
        <w:rPr>
          <w:lang w:val="es-CO"/>
        </w:rPr>
        <w:t xml:space="preserve">Páginas 4 y 5 de la minuta de estudios y documentos previos, folios 168 y 169, cuaderno 9. </w:t>
      </w:r>
    </w:p>
  </w:footnote>
  <w:footnote w:id="43">
    <w:p w:rsidR="00A57E29" w:rsidRPr="009A2081" w:rsidRDefault="00A57E29" w:rsidP="00570534">
      <w:pPr>
        <w:pStyle w:val="Textonotapie"/>
        <w:rPr>
          <w:lang w:val="es-CO"/>
        </w:rPr>
      </w:pPr>
      <w:r>
        <w:rPr>
          <w:rStyle w:val="Refdenotaalpie"/>
        </w:rPr>
        <w:footnoteRef/>
      </w:r>
      <w:r>
        <w:t xml:space="preserve"> </w:t>
      </w:r>
      <w:r>
        <w:rPr>
          <w:lang w:val="es-CO"/>
        </w:rPr>
        <w:t xml:space="preserve">Página 5 de 8.Minuta de Estudios  y Documentos Previos, folio 169, cuaderno 7. </w:t>
      </w:r>
    </w:p>
  </w:footnote>
  <w:footnote w:id="44">
    <w:p w:rsidR="00A57E29" w:rsidRPr="00562E8D" w:rsidRDefault="00A57E29" w:rsidP="00570534">
      <w:pPr>
        <w:pStyle w:val="Textonotapie"/>
        <w:rPr>
          <w:lang w:val="es-CO"/>
        </w:rPr>
      </w:pPr>
      <w:r>
        <w:rPr>
          <w:rStyle w:val="Refdenotaalpie"/>
        </w:rPr>
        <w:footnoteRef/>
      </w:r>
      <w:r>
        <w:t xml:space="preserve"> </w:t>
      </w:r>
      <w:r>
        <w:rPr>
          <w:lang w:val="es-CO"/>
        </w:rPr>
        <w:t>Folio 279, cuaderno 7.</w:t>
      </w:r>
    </w:p>
  </w:footnote>
  <w:footnote w:id="45">
    <w:p w:rsidR="00A57E29" w:rsidRPr="004E6163" w:rsidRDefault="00A57E29" w:rsidP="00570534">
      <w:pPr>
        <w:pStyle w:val="Textonotapie"/>
        <w:rPr>
          <w:lang w:val="es-CO"/>
        </w:rPr>
      </w:pPr>
      <w:r>
        <w:rPr>
          <w:rStyle w:val="Refdenotaalpie"/>
        </w:rPr>
        <w:footnoteRef/>
      </w:r>
      <w:r>
        <w:t xml:space="preserve"> Pliego de Condiciones, </w:t>
      </w:r>
      <w:r>
        <w:rPr>
          <w:lang w:val="es-CO"/>
        </w:rPr>
        <w:t>Página 39 de 49, folio 292, cuaderno 7.</w:t>
      </w:r>
    </w:p>
  </w:footnote>
  <w:footnote w:id="46">
    <w:p w:rsidR="00A57E29" w:rsidRPr="00D94ACE" w:rsidRDefault="00A57E29" w:rsidP="00C2242B">
      <w:pPr>
        <w:pStyle w:val="Textonotapie"/>
        <w:spacing w:line="240" w:lineRule="auto"/>
        <w:rPr>
          <w:rFonts w:cs="Arial"/>
        </w:rPr>
      </w:pPr>
      <w:r>
        <w:rPr>
          <w:rStyle w:val="Refdenotaalpie"/>
        </w:rPr>
        <w:footnoteRef/>
      </w:r>
      <w:r>
        <w:t xml:space="preserve"> </w:t>
      </w:r>
      <w:r>
        <w:rPr>
          <w:rFonts w:cs="Arial"/>
          <w:i/>
          <w:color w:val="4B4949"/>
        </w:rPr>
        <w:t>“</w:t>
      </w:r>
      <w:r w:rsidRPr="0062481B">
        <w:rPr>
          <w:rFonts w:cs="Arial"/>
          <w:i/>
          <w:color w:val="4B4949"/>
        </w:rPr>
        <w:t xml:space="preserve">En todo caso, para la venta de los bienes se debe tener como base el valor del avalúo comercial </w:t>
      </w:r>
      <w:r w:rsidRPr="00C37F9F">
        <w:rPr>
          <w:rFonts w:cs="Arial"/>
          <w:b/>
          <w:i/>
          <w:color w:val="4B4949"/>
        </w:rPr>
        <w:t>y ajustar dicho avalúo de acuerdo a los gastos asociados al tiempo de comercialización esperada, administración, impuestos y mantenimiento, para determinar el precio mínimo al que se debe enajenar el bien, de conformidad con la reglamentación que para el efecto expida el Gobierno Nacional</w:t>
      </w:r>
      <w:r w:rsidRPr="00C2242B">
        <w:rPr>
          <w:rFonts w:cs="Arial"/>
          <w:i/>
          <w:color w:val="4B4949"/>
        </w:rPr>
        <w:t>”</w:t>
      </w:r>
      <w:r>
        <w:rPr>
          <w:rFonts w:cs="Arial"/>
          <w:i/>
          <w:color w:val="4B4949"/>
        </w:rPr>
        <w:t xml:space="preserve"> (</w:t>
      </w:r>
      <w:r w:rsidRPr="00D94ACE">
        <w:rPr>
          <w:rFonts w:cs="Arial"/>
        </w:rPr>
        <w:t>la negrilla no es del texto).</w:t>
      </w:r>
    </w:p>
    <w:p w:rsidR="00A57E29" w:rsidRPr="00C2242B" w:rsidRDefault="00A57E29" w:rsidP="00C2242B">
      <w:pPr>
        <w:pStyle w:val="Textonotapie"/>
        <w:spacing w:line="240" w:lineRule="auto"/>
        <w:rPr>
          <w:lang w:val="es-CO"/>
        </w:rPr>
      </w:pPr>
    </w:p>
  </w:footnote>
  <w:footnote w:id="47">
    <w:p w:rsidR="00A57E29" w:rsidRPr="00810B5F" w:rsidRDefault="00A57E29">
      <w:pPr>
        <w:pStyle w:val="Textonotapie"/>
        <w:rPr>
          <w:lang w:val="es-CO"/>
        </w:rPr>
      </w:pPr>
      <w:r>
        <w:rPr>
          <w:rStyle w:val="Refdenotaalpie"/>
        </w:rPr>
        <w:footnoteRef/>
      </w:r>
      <w:r>
        <w:t xml:space="preserve"> Valor de Avalúo, ajustado con el flujo de gastos e ingresos.</w:t>
      </w:r>
    </w:p>
  </w:footnote>
  <w:footnote w:id="48">
    <w:p w:rsidR="00A57E29" w:rsidRPr="00FC0BBF" w:rsidRDefault="00A57E29" w:rsidP="00570534">
      <w:pPr>
        <w:pStyle w:val="Textonotapie"/>
        <w:rPr>
          <w:lang w:val="es-CO"/>
        </w:rPr>
      </w:pPr>
      <w:r>
        <w:rPr>
          <w:rStyle w:val="Refdenotaalpie"/>
        </w:rPr>
        <w:footnoteRef/>
      </w:r>
      <w:r>
        <w:t xml:space="preserve"> </w:t>
      </w:r>
      <w:r>
        <w:rPr>
          <w:lang w:val="es-CO"/>
        </w:rPr>
        <w:t>Folio 123, cuaderno 7.</w:t>
      </w:r>
    </w:p>
  </w:footnote>
  <w:footnote w:id="49">
    <w:p w:rsidR="00A57E29" w:rsidRPr="00166BEE" w:rsidRDefault="00A57E29" w:rsidP="00570534">
      <w:pPr>
        <w:pStyle w:val="Textonotapie"/>
        <w:rPr>
          <w:lang w:val="es-CO"/>
        </w:rPr>
      </w:pPr>
      <w:r>
        <w:rPr>
          <w:rStyle w:val="Refdenotaalpie"/>
        </w:rPr>
        <w:footnoteRef/>
      </w:r>
      <w:r>
        <w:t xml:space="preserve"> </w:t>
      </w:r>
      <w:r>
        <w:rPr>
          <w:lang w:val="es-CO"/>
        </w:rPr>
        <w:t>Folios 425 a 477, cuaderno 7.</w:t>
      </w:r>
    </w:p>
  </w:footnote>
  <w:footnote w:id="50">
    <w:p w:rsidR="00A57E29" w:rsidRPr="0098463B" w:rsidRDefault="00A57E29" w:rsidP="00570534">
      <w:pPr>
        <w:pStyle w:val="Textonotapie"/>
        <w:rPr>
          <w:lang w:val="es-CO"/>
        </w:rPr>
      </w:pPr>
      <w:r>
        <w:rPr>
          <w:rStyle w:val="Refdenotaalpie"/>
        </w:rPr>
        <w:footnoteRef/>
      </w:r>
      <w:r>
        <w:t xml:space="preserve"> </w:t>
      </w:r>
      <w:r>
        <w:rPr>
          <w:lang w:val="es-CO"/>
        </w:rPr>
        <w:t>Folios 402 a 407, cuaderno 7.</w:t>
      </w:r>
    </w:p>
  </w:footnote>
  <w:footnote w:id="51">
    <w:p w:rsidR="00A57E29" w:rsidRPr="00274FE8" w:rsidRDefault="00A57E29" w:rsidP="00570534">
      <w:pPr>
        <w:pStyle w:val="Textonotapie"/>
        <w:rPr>
          <w:lang w:val="es-CO"/>
        </w:rPr>
      </w:pPr>
      <w:r>
        <w:rPr>
          <w:rStyle w:val="Refdenotaalpie"/>
        </w:rPr>
        <w:footnoteRef/>
      </w:r>
      <w:r>
        <w:t xml:space="preserve"> </w:t>
      </w:r>
      <w:r>
        <w:rPr>
          <w:lang w:val="es-CO"/>
        </w:rPr>
        <w:t>Folio 54, cuaderno 2.</w:t>
      </w:r>
    </w:p>
  </w:footnote>
  <w:footnote w:id="52">
    <w:p w:rsidR="00A57E29" w:rsidRPr="00B126C3" w:rsidRDefault="00A57E29" w:rsidP="00570534">
      <w:pPr>
        <w:pStyle w:val="Textonotapie"/>
        <w:rPr>
          <w:lang w:val="es-CO"/>
        </w:rPr>
      </w:pPr>
      <w:r>
        <w:rPr>
          <w:rStyle w:val="Refdenotaalpie"/>
        </w:rPr>
        <w:footnoteRef/>
      </w:r>
      <w:r>
        <w:t xml:space="preserve"> </w:t>
      </w:r>
      <w:r>
        <w:rPr>
          <w:lang w:val="es-CO"/>
        </w:rPr>
        <w:t xml:space="preserve">La planta de biodisel aparecía en el renglón 10 de las construcciones, según los avalúos. </w:t>
      </w:r>
    </w:p>
  </w:footnote>
  <w:footnote w:id="53">
    <w:p w:rsidR="00A57E29" w:rsidRDefault="00A57E29" w:rsidP="004B4CD9">
      <w:pPr>
        <w:pStyle w:val="Textonotapie"/>
        <w:spacing w:line="240" w:lineRule="auto"/>
        <w:rPr>
          <w:lang w:val="es-CO"/>
        </w:rPr>
      </w:pPr>
      <w:r>
        <w:rPr>
          <w:rStyle w:val="Refdenotaalpie"/>
        </w:rPr>
        <w:footnoteRef/>
      </w:r>
      <w:r>
        <w:t xml:space="preserve"> </w:t>
      </w:r>
      <w:r>
        <w:rPr>
          <w:lang w:val="es-CO"/>
        </w:rPr>
        <w:t>Folio 108, cuaderno 5.</w:t>
      </w:r>
    </w:p>
    <w:p w:rsidR="00A57E29" w:rsidRPr="007C2BCE" w:rsidRDefault="00A57E29" w:rsidP="004B4CD9">
      <w:pPr>
        <w:pStyle w:val="Textonotapie"/>
        <w:spacing w:line="240" w:lineRule="auto"/>
        <w:rPr>
          <w:lang w:val="es-CO"/>
        </w:rPr>
      </w:pPr>
    </w:p>
  </w:footnote>
  <w:footnote w:id="54">
    <w:p w:rsidR="00A57E29" w:rsidRDefault="00A57E29" w:rsidP="004B4CD9">
      <w:pPr>
        <w:pStyle w:val="Textonotapie"/>
        <w:spacing w:line="240" w:lineRule="auto"/>
        <w:rPr>
          <w:lang w:val="es-CO"/>
        </w:rPr>
      </w:pPr>
      <w:r>
        <w:rPr>
          <w:rStyle w:val="Refdenotaalpie"/>
        </w:rPr>
        <w:footnoteRef/>
      </w:r>
      <w:r>
        <w:t xml:space="preserve"> Firmado por el ingeniero César Augusto Vallejo, coordinador de avalúos y Orlando Caicedo Presidente de la Lonja de Propiedad Raíz de Nariño y Putumayo, f</w:t>
      </w:r>
      <w:r>
        <w:rPr>
          <w:lang w:val="es-CO"/>
        </w:rPr>
        <w:t>olio 84, cuaderno 5.</w:t>
      </w:r>
    </w:p>
    <w:p w:rsidR="00A57E29" w:rsidRPr="0069115E" w:rsidRDefault="00A57E29" w:rsidP="004B4CD9">
      <w:pPr>
        <w:pStyle w:val="Textonotapie"/>
        <w:spacing w:line="240" w:lineRule="auto"/>
        <w:rPr>
          <w:lang w:val="es-CO"/>
        </w:rPr>
      </w:pPr>
    </w:p>
  </w:footnote>
  <w:footnote w:id="55">
    <w:p w:rsidR="00A57E29" w:rsidRDefault="00A57E29" w:rsidP="001C2CAA">
      <w:pPr>
        <w:pStyle w:val="Textonotapie"/>
        <w:spacing w:line="240" w:lineRule="auto"/>
        <w:rPr>
          <w:lang w:val="es-CO"/>
        </w:rPr>
      </w:pPr>
      <w:r>
        <w:rPr>
          <w:rStyle w:val="Refdenotaalpie"/>
        </w:rPr>
        <w:footnoteRef/>
      </w:r>
      <w:r>
        <w:t xml:space="preserve"> </w:t>
      </w:r>
      <w:r>
        <w:rPr>
          <w:lang w:val="es-CO"/>
        </w:rPr>
        <w:t>Folio 84, cuaderno 5.</w:t>
      </w:r>
    </w:p>
    <w:p w:rsidR="00A57E29" w:rsidRPr="00BB20F0" w:rsidRDefault="00A57E29" w:rsidP="001C2CAA">
      <w:pPr>
        <w:pStyle w:val="Textonotapie"/>
        <w:spacing w:line="240" w:lineRule="auto"/>
        <w:rPr>
          <w:lang w:val="es-CO"/>
        </w:rPr>
      </w:pPr>
    </w:p>
  </w:footnote>
  <w:footnote w:id="56">
    <w:p w:rsidR="00A57E29" w:rsidRDefault="00A57E29" w:rsidP="004B4CD9">
      <w:pPr>
        <w:pStyle w:val="Textonotapie"/>
        <w:spacing w:line="240" w:lineRule="auto"/>
        <w:rPr>
          <w:lang w:val="es-CO"/>
        </w:rPr>
      </w:pPr>
      <w:r>
        <w:rPr>
          <w:rStyle w:val="Refdenotaalpie"/>
        </w:rPr>
        <w:footnoteRef/>
      </w:r>
      <w:r>
        <w:t xml:space="preserve"> </w:t>
      </w:r>
      <w:r>
        <w:rPr>
          <w:lang w:val="es-CO"/>
        </w:rPr>
        <w:t>Folio 110, cuaderno 5, considerandos de la Resolución 3098 de 2010.</w:t>
      </w:r>
    </w:p>
    <w:p w:rsidR="00A57E29" w:rsidRPr="00F57E03" w:rsidRDefault="00A57E29" w:rsidP="004B4CD9">
      <w:pPr>
        <w:pStyle w:val="Textonotapie"/>
        <w:spacing w:line="240" w:lineRule="auto"/>
        <w:rPr>
          <w:lang w:val="es-CO"/>
        </w:rPr>
      </w:pPr>
    </w:p>
  </w:footnote>
  <w:footnote w:id="57">
    <w:p w:rsidR="00A57E29" w:rsidRPr="00A134E7" w:rsidRDefault="00A57E29" w:rsidP="004B4CD9">
      <w:pPr>
        <w:pStyle w:val="Textonotapie"/>
        <w:spacing w:line="240" w:lineRule="auto"/>
        <w:rPr>
          <w:lang w:val="es-CO"/>
        </w:rPr>
      </w:pPr>
      <w:r>
        <w:rPr>
          <w:rStyle w:val="Refdenotaalpie"/>
        </w:rPr>
        <w:footnoteRef/>
      </w:r>
      <w:r>
        <w:t xml:space="preserve"> </w:t>
      </w:r>
      <w:r>
        <w:rPr>
          <w:lang w:val="es-CO"/>
        </w:rPr>
        <w:t>Folio 475, cuaderno 6.</w:t>
      </w:r>
    </w:p>
  </w:footnote>
  <w:footnote w:id="58">
    <w:p w:rsidR="00A57E29" w:rsidRPr="0009090D" w:rsidRDefault="00A57E29" w:rsidP="003B202F">
      <w:pPr>
        <w:pStyle w:val="Textonotapie"/>
        <w:rPr>
          <w:lang w:val="es-CO"/>
        </w:rPr>
      </w:pPr>
      <w:r>
        <w:rPr>
          <w:rStyle w:val="Refdenotaalpie"/>
        </w:rPr>
        <w:footnoteRef/>
      </w:r>
      <w:r>
        <w:t xml:space="preserve"> </w:t>
      </w:r>
      <w:r>
        <w:rPr>
          <w:lang w:val="es-CO"/>
        </w:rPr>
        <w:t>Página 25 del avalúo, folio 84, cuaderno 5.</w:t>
      </w:r>
    </w:p>
  </w:footnote>
  <w:footnote w:id="59">
    <w:p w:rsidR="00A57E29" w:rsidRPr="000D1CD2" w:rsidRDefault="00A57E29" w:rsidP="00570534">
      <w:pPr>
        <w:pStyle w:val="Textonotapie"/>
        <w:rPr>
          <w:lang w:val="es-CO"/>
        </w:rPr>
      </w:pPr>
      <w:r>
        <w:rPr>
          <w:rStyle w:val="Refdenotaalpie"/>
        </w:rPr>
        <w:footnoteRef/>
      </w:r>
      <w:r>
        <w:t xml:space="preserve"> </w:t>
      </w:r>
      <w:r>
        <w:rPr>
          <w:lang w:val="es-CO"/>
        </w:rPr>
        <w:t>Página 25 del avalúo, folio 26, cuaderno 2.</w:t>
      </w:r>
    </w:p>
  </w:footnote>
  <w:footnote w:id="60">
    <w:p w:rsidR="00A57E29" w:rsidRPr="008558C6" w:rsidRDefault="00A57E29" w:rsidP="00570534">
      <w:pPr>
        <w:pStyle w:val="Textonotapie"/>
        <w:rPr>
          <w:lang w:val="es-CO"/>
        </w:rPr>
      </w:pPr>
      <w:r>
        <w:rPr>
          <w:rStyle w:val="Refdenotaalpie"/>
        </w:rPr>
        <w:footnoteRef/>
      </w:r>
      <w:r>
        <w:t xml:space="preserve"> Página 25 del avalúo, </w:t>
      </w:r>
      <w:r>
        <w:rPr>
          <w:lang w:val="es-CO"/>
        </w:rPr>
        <w:t xml:space="preserve">Folio 83, cuaderno 5. </w:t>
      </w:r>
    </w:p>
  </w:footnote>
  <w:footnote w:id="61">
    <w:p w:rsidR="00A57E29" w:rsidRPr="000621B9" w:rsidRDefault="00A57E29" w:rsidP="0089550C">
      <w:pPr>
        <w:pStyle w:val="Textonotapie"/>
        <w:rPr>
          <w:lang w:val="es-CO"/>
        </w:rPr>
      </w:pPr>
      <w:r>
        <w:rPr>
          <w:rStyle w:val="Refdenotaalpie"/>
        </w:rPr>
        <w:footnoteRef/>
      </w:r>
      <w:r>
        <w:t xml:space="preserve"> </w:t>
      </w:r>
      <w:r>
        <w:rPr>
          <w:lang w:val="es-CO"/>
        </w:rPr>
        <w:t>Folio 73 cuaderno 5.</w:t>
      </w:r>
    </w:p>
  </w:footnote>
  <w:footnote w:id="62">
    <w:p w:rsidR="00A57E29" w:rsidRPr="00F21E72" w:rsidRDefault="00A57E29" w:rsidP="00F21E72">
      <w:pPr>
        <w:spacing w:line="240" w:lineRule="auto"/>
        <w:ind w:right="51"/>
        <w:rPr>
          <w:rFonts w:cs="Arial"/>
          <w:i/>
          <w:sz w:val="20"/>
          <w:szCs w:val="20"/>
          <w:lang w:val="es-CO"/>
        </w:rPr>
      </w:pPr>
      <w:r w:rsidRPr="001274CE">
        <w:rPr>
          <w:rStyle w:val="Refdenotaalpie"/>
          <w:sz w:val="20"/>
          <w:szCs w:val="20"/>
        </w:rPr>
        <w:footnoteRef/>
      </w:r>
      <w:r w:rsidRPr="001274CE">
        <w:rPr>
          <w:sz w:val="20"/>
          <w:szCs w:val="20"/>
        </w:rPr>
        <w:t xml:space="preserve"> “</w:t>
      </w:r>
      <w:r w:rsidRPr="001274CE">
        <w:rPr>
          <w:rFonts w:cs="Arial"/>
          <w:b/>
          <w:i/>
          <w:sz w:val="20"/>
          <w:szCs w:val="20"/>
          <w:lang w:val="es-CO"/>
        </w:rPr>
        <w:t>CLÁUSULA PRIMERA.OBJETO</w:t>
      </w:r>
      <w:r w:rsidRPr="001274CE">
        <w:rPr>
          <w:rFonts w:cs="Arial"/>
          <w:i/>
          <w:sz w:val="20"/>
          <w:szCs w:val="20"/>
          <w:lang w:val="es-CO"/>
        </w:rPr>
        <w:t xml:space="preserve">. Que el PROMETIENTE VENDEDOR en nombre y representación del INSTITUTO COLOMBIANO AGROPECUARIO ICA, promete vender y EL PROMETIENTE COMPRADOR promete comprar: </w:t>
      </w:r>
      <w:r w:rsidRPr="001274CE">
        <w:rPr>
          <w:rFonts w:cs="Arial"/>
          <w:b/>
          <w:i/>
          <w:sz w:val="20"/>
          <w:szCs w:val="20"/>
          <w:lang w:val="es-CO"/>
        </w:rPr>
        <w:t>a)</w:t>
      </w:r>
      <w:r w:rsidRPr="001274CE">
        <w:rPr>
          <w:rFonts w:cs="Arial"/>
          <w:i/>
          <w:sz w:val="20"/>
          <w:szCs w:val="20"/>
          <w:lang w:val="es-CO"/>
        </w:rPr>
        <w:t xml:space="preserve"> El derecho pleno de dominio y propiedad, la posesión plena que el primero de los nombrados en la actualidad tiene y ejerce sobre el bien inmueble consistente en predio rural, ubicado en el municipio de Tumaco – Nariño, con un área o extensión superficiaria aproximada de 449 hectáreas más 8.500 m2, tal como consta en el avalúo comercial realizado por la Lonja de Propiedad Raíz de Nariño y Putumayo, </w:t>
      </w:r>
      <w:r w:rsidRPr="001274CE">
        <w:rPr>
          <w:rFonts w:cs="Arial"/>
          <w:b/>
          <w:i/>
          <w:sz w:val="20"/>
          <w:szCs w:val="20"/>
          <w:lang w:val="es-CO"/>
        </w:rPr>
        <w:t>b)</w:t>
      </w:r>
      <w:r w:rsidRPr="001274CE">
        <w:rPr>
          <w:rFonts w:cs="Arial"/>
          <w:i/>
          <w:sz w:val="20"/>
          <w:szCs w:val="20"/>
          <w:lang w:val="es-CO"/>
        </w:rPr>
        <w:t xml:space="preserve"> </w:t>
      </w:r>
      <w:r w:rsidRPr="001274CE">
        <w:rPr>
          <w:rFonts w:cs="Arial"/>
          <w:b/>
          <w:i/>
          <w:sz w:val="20"/>
          <w:szCs w:val="20"/>
          <w:lang w:val="es-CO"/>
        </w:rPr>
        <w:t>Posesión y mejoras de los lotes que actualmente tiene y goza el PROMETIENTE VENDEDOR que se encuentra dentro de la demarcación del predio EL MIRA</w:t>
      </w:r>
      <w:r w:rsidRPr="001274CE">
        <w:rPr>
          <w:rFonts w:cs="Arial"/>
          <w:i/>
          <w:sz w:val="20"/>
          <w:szCs w:val="20"/>
          <w:lang w:val="es-CO"/>
        </w:rPr>
        <w:t xml:space="preserve"> </w:t>
      </w:r>
      <w:r w:rsidRPr="001274CE">
        <w:rPr>
          <w:rFonts w:cs="Arial"/>
          <w:b/>
          <w:i/>
          <w:sz w:val="20"/>
          <w:szCs w:val="20"/>
          <w:lang w:val="es-CO"/>
        </w:rPr>
        <w:t>y que entre otros</w:t>
      </w:r>
      <w:r w:rsidRPr="001274CE">
        <w:rPr>
          <w:rFonts w:cs="Arial"/>
          <w:i/>
          <w:sz w:val="20"/>
          <w:szCs w:val="20"/>
          <w:lang w:val="es-CO"/>
        </w:rPr>
        <w:t xml:space="preserve"> se encuentran identificados con los folios de matrícula inmobiliaria descritos en la cláusula segunda del presente contrato. PARÁGRAFO: Dentro de la presente promesa de compraventa se incluyen también los servicios de los que actualmente goza el inmueble tales como energía eléctrica, acueducto, alcantarillado, teléfono y gas. </w:t>
      </w:r>
      <w:r w:rsidRPr="001274CE">
        <w:rPr>
          <w:rFonts w:cs="Arial"/>
          <w:b/>
          <w:i/>
          <w:sz w:val="20"/>
          <w:szCs w:val="20"/>
          <w:lang w:val="es-CO"/>
        </w:rPr>
        <w:t xml:space="preserve">CLÁUSULA SEGUNDA. CABIDA Y LINDEROS. </w:t>
      </w:r>
      <w:r w:rsidRPr="001274CE">
        <w:rPr>
          <w:rFonts w:cs="Arial"/>
          <w:i/>
          <w:sz w:val="20"/>
          <w:szCs w:val="20"/>
          <w:lang w:val="es-CO"/>
        </w:rPr>
        <w:t xml:space="preserve">El predio objeto de la presente promesa de compraventa, en adelante EL INMUEBLE, está conformado por 15 lotes cuyos linderos se describen a continuación: </w:t>
      </w:r>
      <w:r w:rsidRPr="001274CE">
        <w:rPr>
          <w:rFonts w:cs="Arial"/>
          <w:b/>
          <w:i/>
          <w:sz w:val="20"/>
          <w:szCs w:val="20"/>
          <w:lang w:val="es-CO"/>
        </w:rPr>
        <w:t>I)</w:t>
      </w:r>
      <w:r w:rsidRPr="001274CE">
        <w:rPr>
          <w:rFonts w:cs="Arial"/>
          <w:i/>
          <w:sz w:val="20"/>
          <w:szCs w:val="20"/>
          <w:lang w:val="es-CO"/>
        </w:rPr>
        <w:t xml:space="preserve"> matrícula inmobiliaria 252-0001.201: terreno denominado GRANJA EXPERIMENTAL EL MIRA, ubicado en el paraje Tangarelal, corregimiento Jorge H. Leal, con una cabida superficiaria de 449 Ha + 8.500 m2, distinguido por los siguientes linderos, (…); </w:t>
      </w:r>
      <w:r w:rsidRPr="001274CE">
        <w:rPr>
          <w:rFonts w:cs="Arial"/>
          <w:b/>
          <w:i/>
          <w:sz w:val="20"/>
          <w:szCs w:val="20"/>
          <w:lang w:val="es-CO"/>
        </w:rPr>
        <w:t>II)</w:t>
      </w:r>
      <w:r w:rsidRPr="001274CE">
        <w:rPr>
          <w:rFonts w:cs="Arial"/>
          <w:i/>
          <w:sz w:val="20"/>
          <w:szCs w:val="20"/>
          <w:lang w:val="es-CO"/>
        </w:rPr>
        <w:t xml:space="preserve"> LOTE NÚMERO UNO, matrícula 252-0001.767 y 252-0011.863 de José Higinio Cortés(…); </w:t>
      </w:r>
      <w:r w:rsidRPr="001274CE">
        <w:rPr>
          <w:rFonts w:cs="Arial"/>
          <w:b/>
          <w:i/>
          <w:sz w:val="20"/>
          <w:szCs w:val="20"/>
          <w:lang w:val="es-CO"/>
        </w:rPr>
        <w:t>III)</w:t>
      </w:r>
      <w:r w:rsidRPr="001274CE">
        <w:rPr>
          <w:rFonts w:cs="Arial"/>
          <w:i/>
          <w:sz w:val="20"/>
          <w:szCs w:val="20"/>
          <w:lang w:val="es-CO"/>
        </w:rPr>
        <w:t xml:space="preserve"> LOTE NÚMERO DOS, de Dionisio Ruiz con una extensión calculada de dos (2) hectáreas, dos mil metros (…); </w:t>
      </w:r>
      <w:r w:rsidRPr="001274CE">
        <w:rPr>
          <w:rFonts w:cs="Arial"/>
          <w:b/>
          <w:i/>
          <w:sz w:val="20"/>
          <w:szCs w:val="20"/>
          <w:lang w:val="es-CO"/>
        </w:rPr>
        <w:t>IV)</w:t>
      </w:r>
      <w:r w:rsidRPr="001274CE">
        <w:rPr>
          <w:rFonts w:cs="Arial"/>
          <w:i/>
          <w:sz w:val="20"/>
          <w:szCs w:val="20"/>
          <w:lang w:val="es-CO"/>
        </w:rPr>
        <w:t xml:space="preserve"> LOTE NÚMERO TRES, matrícula inmobiliaria 252-0001-771 de Moisés Bagui (…);  </w:t>
      </w:r>
      <w:r w:rsidRPr="001274CE">
        <w:rPr>
          <w:rFonts w:cs="Arial"/>
          <w:b/>
          <w:i/>
          <w:sz w:val="20"/>
          <w:szCs w:val="20"/>
          <w:lang w:val="es-CO"/>
        </w:rPr>
        <w:t>V)</w:t>
      </w:r>
      <w:r w:rsidRPr="001274CE">
        <w:rPr>
          <w:rFonts w:cs="Arial"/>
          <w:i/>
          <w:sz w:val="20"/>
          <w:szCs w:val="20"/>
          <w:lang w:val="es-CO"/>
        </w:rPr>
        <w:t xml:space="preserve"> LOTE NÚMERO CUATRO de Maria Berta Cuero, con una extensión que ha sido calculada en una (1) hectárea seis mil metros; </w:t>
      </w:r>
      <w:r w:rsidRPr="001274CE">
        <w:rPr>
          <w:rFonts w:cs="Arial"/>
          <w:b/>
          <w:i/>
          <w:sz w:val="20"/>
          <w:szCs w:val="20"/>
          <w:lang w:val="es-CO"/>
        </w:rPr>
        <w:t>VI)</w:t>
      </w:r>
      <w:r w:rsidRPr="001274CE">
        <w:rPr>
          <w:rFonts w:cs="Arial"/>
          <w:i/>
          <w:sz w:val="20"/>
          <w:szCs w:val="20"/>
          <w:lang w:val="es-CO"/>
        </w:rPr>
        <w:t xml:space="preserve"> LOTE NÚMERO V matrícula inmobiliaria 252.001.770 de Justo Vallecilla con una extensión que ha sido calculada en dos (2) hectáreas siete mil quinientos metros cuadrados (…); </w:t>
      </w:r>
      <w:r w:rsidRPr="001274CE">
        <w:rPr>
          <w:rFonts w:cs="Arial"/>
          <w:b/>
          <w:i/>
          <w:sz w:val="20"/>
          <w:szCs w:val="20"/>
          <w:lang w:val="es-CO"/>
        </w:rPr>
        <w:t>VII)</w:t>
      </w:r>
      <w:r w:rsidRPr="001274CE">
        <w:rPr>
          <w:rFonts w:cs="Arial"/>
          <w:i/>
          <w:sz w:val="20"/>
          <w:szCs w:val="20"/>
          <w:lang w:val="es-CO"/>
        </w:rPr>
        <w:t xml:space="preserve"> Lote número seis matricula inmobiliaria 252.001.769 de Dionisio Ruiz con una extensión que ha sido calculada en una hectáreas dos mil metros (2000) cuadrados  </w:t>
      </w:r>
      <w:r w:rsidRPr="001274CE">
        <w:rPr>
          <w:rFonts w:cs="Arial"/>
          <w:b/>
          <w:sz w:val="20"/>
          <w:szCs w:val="20"/>
          <w:lang w:val="es-CO"/>
        </w:rPr>
        <w:t>[sigue la descripción hasta el LOTE NÚMERO CATORCE].</w:t>
      </w:r>
      <w:r w:rsidRPr="001274CE">
        <w:rPr>
          <w:rFonts w:cs="Arial"/>
          <w:i/>
          <w:sz w:val="20"/>
          <w:szCs w:val="20"/>
          <w:lang w:val="es-CO"/>
        </w:rPr>
        <w:t xml:space="preserve"> No obstante la cabida y linderos la venta se hace como cuerpo cierto, en el estado jurídico y condiciones físicas en que se encuentra. PARAGRAFO: No obstante la anterior relación de cabida y linderos, el predio EL MIRA se vende como cuerpo cierto”.</w:t>
      </w:r>
    </w:p>
    <w:p w:rsidR="00A57E29" w:rsidRPr="00F21E72" w:rsidRDefault="00A57E29" w:rsidP="00F21E72">
      <w:pPr>
        <w:pStyle w:val="Textonotapie"/>
        <w:spacing w:line="240" w:lineRule="auto"/>
        <w:ind w:right="51"/>
        <w:rPr>
          <w:lang w:val="es-CO"/>
        </w:rPr>
      </w:pPr>
    </w:p>
  </w:footnote>
  <w:footnote w:id="63">
    <w:p w:rsidR="00A57E29" w:rsidRDefault="00A57E29" w:rsidP="007F3E37">
      <w:pPr>
        <w:pStyle w:val="NormalWeb"/>
        <w:shd w:val="clear" w:color="auto" w:fill="FFFFFF"/>
        <w:spacing w:before="0" w:beforeAutospacing="0" w:after="0" w:afterAutospacing="0" w:line="276" w:lineRule="auto"/>
        <w:ind w:right="51"/>
      </w:pPr>
      <w:r>
        <w:rPr>
          <w:rStyle w:val="Refdenotaalpie"/>
        </w:rPr>
        <w:footnoteRef/>
      </w:r>
      <w:r>
        <w:t xml:space="preserve"> El asunto estaba reglamentado específicamente en el artículo 11 del Decreto 4444 de 2008, así: </w:t>
      </w:r>
    </w:p>
    <w:p w:rsidR="00A57E29" w:rsidRPr="008E0AA3" w:rsidRDefault="00A57E29" w:rsidP="007F3E37">
      <w:pPr>
        <w:pStyle w:val="NormalWeb"/>
        <w:shd w:val="clear" w:color="auto" w:fill="FFFFFF"/>
        <w:spacing w:before="0" w:beforeAutospacing="0" w:after="0" w:afterAutospacing="0" w:line="276" w:lineRule="auto"/>
        <w:ind w:right="51"/>
      </w:pPr>
    </w:p>
    <w:p w:rsidR="00A57E29" w:rsidRPr="00E93C33" w:rsidRDefault="00A57E29" w:rsidP="007F3E37">
      <w:pPr>
        <w:pStyle w:val="NormalWeb"/>
        <w:shd w:val="clear" w:color="auto" w:fill="FFFFFF"/>
        <w:spacing w:before="0" w:beforeAutospacing="0" w:after="0" w:afterAutospacing="0" w:line="276" w:lineRule="auto"/>
        <w:ind w:right="51"/>
        <w:rPr>
          <w:rFonts w:cs="Arial"/>
          <w:i/>
          <w:color w:val="000000"/>
          <w:sz w:val="22"/>
          <w:szCs w:val="22"/>
        </w:rPr>
      </w:pPr>
      <w:r w:rsidRPr="008E0AA3">
        <w:rPr>
          <w:rFonts w:cs="Arial"/>
          <w:bCs/>
          <w:i/>
          <w:color w:val="000000"/>
          <w:sz w:val="22"/>
          <w:szCs w:val="22"/>
        </w:rPr>
        <w:t>“</w:t>
      </w:r>
      <w:r w:rsidRPr="00551555">
        <w:rPr>
          <w:rFonts w:cs="Arial"/>
          <w:b/>
          <w:bCs/>
          <w:i/>
          <w:color w:val="000000"/>
          <w:sz w:val="22"/>
          <w:szCs w:val="22"/>
        </w:rPr>
        <w:t>8. Cálculo del Precio Mínimo de Venta (PMV):</w:t>
      </w:r>
      <w:r w:rsidRPr="00551555">
        <w:rPr>
          <w:rStyle w:val="apple-converted-space"/>
          <w:rFonts w:cs="Arial"/>
          <w:b/>
          <w:i/>
          <w:color w:val="000000"/>
          <w:sz w:val="22"/>
          <w:szCs w:val="22"/>
        </w:rPr>
        <w:t> </w:t>
      </w:r>
      <w:r w:rsidRPr="00551555">
        <w:rPr>
          <w:rFonts w:cs="Arial"/>
          <w:b/>
          <w:i/>
          <w:color w:val="000000"/>
          <w:sz w:val="22"/>
          <w:szCs w:val="22"/>
        </w:rPr>
        <w:t>El precio mínimo de venta se calcula como la diferencia entre</w:t>
      </w:r>
      <w:r w:rsidRPr="00DA5487">
        <w:rPr>
          <w:rFonts w:cs="Arial"/>
          <w:b/>
          <w:i/>
          <w:color w:val="000000"/>
          <w:sz w:val="22"/>
          <w:szCs w:val="22"/>
        </w:rPr>
        <w:t xml:space="preserve"> el valor actualizado de los ingresos incluido el valor del avalúo del bien y el valor actualizado de los egresos a una tasa de descuento dada</w:t>
      </w:r>
      <w:r w:rsidRPr="00E93C33">
        <w:rPr>
          <w:rFonts w:cs="Arial"/>
          <w:i/>
          <w:color w:val="000000"/>
          <w:sz w:val="22"/>
          <w:szCs w:val="22"/>
        </w:rPr>
        <w:t>.</w:t>
      </w:r>
    </w:p>
    <w:p w:rsidR="00A57E29" w:rsidRPr="007F3E37" w:rsidRDefault="00A57E29">
      <w:pPr>
        <w:pStyle w:val="Textonotapie"/>
        <w:rPr>
          <w:lang w:val="es-CO"/>
        </w:rPr>
      </w:pPr>
    </w:p>
  </w:footnote>
  <w:footnote w:id="64">
    <w:p w:rsidR="00A57E29" w:rsidRPr="00E65C45" w:rsidRDefault="00A57E29" w:rsidP="008E0AA3">
      <w:pPr>
        <w:pStyle w:val="NormalWeb"/>
        <w:shd w:val="clear" w:color="auto" w:fill="FFFFFF"/>
        <w:spacing w:line="276" w:lineRule="auto"/>
        <w:ind w:right="-91"/>
        <w:rPr>
          <w:lang w:val="es-CO"/>
        </w:rPr>
      </w:pPr>
      <w:r>
        <w:rPr>
          <w:rStyle w:val="Refdenotaalpie"/>
        </w:rPr>
        <w:footnoteRef/>
      </w:r>
      <w:r>
        <w:t xml:space="preserve"> </w:t>
      </w:r>
      <w:r w:rsidRPr="00CC3007">
        <w:rPr>
          <w:rFonts w:cs="Arial"/>
          <w:i/>
          <w:color w:val="000000"/>
          <w:sz w:val="22"/>
          <w:szCs w:val="22"/>
        </w:rPr>
        <w:t>“En todo caso, para la venta de los bienes se debe tener como base el valor del avalúo comercial y</w:t>
      </w:r>
      <w:r w:rsidRPr="00CC3007">
        <w:rPr>
          <w:rFonts w:cs="Arial"/>
          <w:b/>
          <w:i/>
          <w:color w:val="000000"/>
          <w:sz w:val="22"/>
          <w:szCs w:val="22"/>
        </w:rPr>
        <w:t xml:space="preserve"> ajustar dicho avalúo de acuerdo a los gastos asociados al tiempo de comercialización esperada, administración, impuestos y mantenimiento</w:t>
      </w:r>
      <w:r w:rsidRPr="00CC3007">
        <w:rPr>
          <w:rFonts w:cs="Arial"/>
          <w:i/>
          <w:color w:val="000000"/>
          <w:sz w:val="22"/>
          <w:szCs w:val="22"/>
        </w:rPr>
        <w:t>, para determinar el precio mínimo al que se debe enajenar el bien, de conformidad con la reglamentación que para el efecto expida el Gobierno Nacional</w:t>
      </w:r>
      <w:r>
        <w:rPr>
          <w:rFonts w:cs="Arial"/>
          <w:i/>
          <w:color w:val="000000"/>
          <w:sz w:val="22"/>
          <w:szCs w:val="22"/>
        </w:rPr>
        <w:t>” (la negrilla no es del texto).</w:t>
      </w:r>
    </w:p>
  </w:footnote>
  <w:footnote w:id="65">
    <w:p w:rsidR="00A57E29" w:rsidRPr="00E93C33" w:rsidRDefault="00A57E29" w:rsidP="009C09F3">
      <w:pPr>
        <w:pStyle w:val="NormalWeb"/>
        <w:spacing w:before="0" w:beforeAutospacing="0" w:after="0" w:afterAutospacing="0" w:line="276" w:lineRule="auto"/>
        <w:ind w:right="51"/>
        <w:rPr>
          <w:rFonts w:cs="Arial"/>
          <w:b/>
          <w:bCs/>
          <w:i/>
          <w:color w:val="000000"/>
          <w:sz w:val="22"/>
          <w:szCs w:val="22"/>
          <w:shd w:val="clear" w:color="auto" w:fill="FFFFFF"/>
        </w:rPr>
      </w:pPr>
      <w:r>
        <w:rPr>
          <w:rStyle w:val="Refdenotaalpie"/>
        </w:rPr>
        <w:footnoteRef/>
      </w:r>
      <w:r>
        <w:t xml:space="preserve"> </w:t>
      </w:r>
      <w:r w:rsidRPr="00E93C33">
        <w:rPr>
          <w:rFonts w:cs="Arial"/>
          <w:bCs/>
          <w:i/>
          <w:color w:val="000000"/>
          <w:sz w:val="22"/>
          <w:szCs w:val="22"/>
          <w:shd w:val="clear" w:color="auto" w:fill="FFFFFF"/>
        </w:rPr>
        <w:t>“</w:t>
      </w:r>
      <w:r w:rsidRPr="00E93C33">
        <w:rPr>
          <w:rFonts w:cs="Arial"/>
          <w:b/>
          <w:bCs/>
          <w:i/>
          <w:color w:val="000000"/>
          <w:sz w:val="22"/>
          <w:szCs w:val="22"/>
          <w:shd w:val="clear" w:color="auto" w:fill="FFFFFF"/>
        </w:rPr>
        <w:t>Artículo 11. Precio mínimo de venta</w:t>
      </w:r>
    </w:p>
    <w:p w:rsidR="00A57E29" w:rsidRDefault="00A57E29" w:rsidP="009C09F3">
      <w:pPr>
        <w:pStyle w:val="NormalWeb"/>
        <w:shd w:val="clear" w:color="auto" w:fill="FFFFFF"/>
        <w:spacing w:before="0" w:beforeAutospacing="0" w:after="0" w:afterAutospacing="0" w:line="276" w:lineRule="auto"/>
        <w:ind w:right="51"/>
        <w:rPr>
          <w:rFonts w:cs="Arial"/>
          <w:i/>
          <w:color w:val="000000"/>
          <w:sz w:val="22"/>
          <w:szCs w:val="22"/>
        </w:rPr>
      </w:pPr>
    </w:p>
    <w:p w:rsidR="00A57E29" w:rsidRPr="00E93C33" w:rsidRDefault="00A57E29" w:rsidP="009C09F3">
      <w:pPr>
        <w:pStyle w:val="NormalWeb"/>
        <w:shd w:val="clear" w:color="auto" w:fill="FFFFFF"/>
        <w:spacing w:before="0" w:beforeAutospacing="0" w:after="0" w:afterAutospacing="0" w:line="276" w:lineRule="auto"/>
        <w:ind w:right="51"/>
        <w:rPr>
          <w:rFonts w:cs="Arial"/>
          <w:i/>
          <w:color w:val="000000"/>
          <w:sz w:val="22"/>
          <w:szCs w:val="22"/>
        </w:rPr>
      </w:pPr>
      <w:r w:rsidRPr="00E93C33">
        <w:rPr>
          <w:rFonts w:cs="Arial"/>
          <w:i/>
          <w:color w:val="000000"/>
          <w:sz w:val="22"/>
          <w:szCs w:val="22"/>
        </w:rPr>
        <w:t>“Una vez obtenido el avalúo comercial de que trata el artículo anterior, la entidad lo ajustará para obtener el precio mínimo de venta.</w:t>
      </w:r>
    </w:p>
    <w:p w:rsidR="00A57E29" w:rsidRPr="00E93C33" w:rsidRDefault="00A57E29" w:rsidP="009C09F3">
      <w:pPr>
        <w:pStyle w:val="NormalWeb"/>
        <w:shd w:val="clear" w:color="auto" w:fill="FFFFFF"/>
        <w:spacing w:before="0" w:beforeAutospacing="0" w:after="0" w:afterAutospacing="0" w:line="276" w:lineRule="auto"/>
        <w:ind w:right="51"/>
        <w:rPr>
          <w:rFonts w:cs="Arial"/>
          <w:b/>
          <w:i/>
          <w:color w:val="000000"/>
          <w:sz w:val="22"/>
          <w:szCs w:val="22"/>
        </w:rPr>
      </w:pPr>
    </w:p>
    <w:p w:rsidR="00A57E29" w:rsidRPr="00E93C33" w:rsidRDefault="00A57E29" w:rsidP="009C09F3">
      <w:pPr>
        <w:pStyle w:val="NormalWeb"/>
        <w:shd w:val="clear" w:color="auto" w:fill="FFFFFF"/>
        <w:spacing w:before="0" w:beforeAutospacing="0" w:after="0" w:afterAutospacing="0" w:line="276" w:lineRule="auto"/>
        <w:ind w:right="51"/>
        <w:rPr>
          <w:rFonts w:cs="Arial"/>
          <w:b/>
          <w:i/>
          <w:color w:val="000000"/>
          <w:sz w:val="22"/>
          <w:szCs w:val="22"/>
        </w:rPr>
      </w:pPr>
      <w:r w:rsidRPr="00E93C33">
        <w:rPr>
          <w:rFonts w:cs="Arial"/>
          <w:i/>
          <w:color w:val="000000"/>
          <w:sz w:val="22"/>
          <w:szCs w:val="22"/>
        </w:rPr>
        <w:t>“</w:t>
      </w:r>
      <w:r w:rsidRPr="00E93C33">
        <w:rPr>
          <w:rFonts w:cs="Arial"/>
          <w:b/>
          <w:i/>
          <w:color w:val="000000"/>
          <w:sz w:val="22"/>
          <w:szCs w:val="22"/>
        </w:rPr>
        <w:t>La entidad, al ajustar el avalúo comercial para establecer el precio mínimo de venta del bien inmueble deberá tener en consideración las siguientes variables:</w:t>
      </w:r>
    </w:p>
    <w:p w:rsidR="00A57E29" w:rsidRPr="00E93C33" w:rsidRDefault="00A57E29" w:rsidP="009C09F3">
      <w:pPr>
        <w:pStyle w:val="NormalWeb"/>
        <w:shd w:val="clear" w:color="auto" w:fill="FFFFFF"/>
        <w:spacing w:before="0" w:beforeAutospacing="0" w:after="0" w:afterAutospacing="0" w:line="276" w:lineRule="auto"/>
        <w:ind w:right="51"/>
        <w:rPr>
          <w:rFonts w:cs="Arial"/>
          <w:bCs/>
          <w:i/>
          <w:color w:val="000000"/>
          <w:sz w:val="22"/>
          <w:szCs w:val="22"/>
        </w:rPr>
      </w:pPr>
    </w:p>
    <w:p w:rsidR="00A57E29" w:rsidRPr="00E93C33" w:rsidRDefault="00A57E29" w:rsidP="009C09F3">
      <w:pPr>
        <w:pStyle w:val="NormalWeb"/>
        <w:shd w:val="clear" w:color="auto" w:fill="FFFFFF"/>
        <w:spacing w:before="0" w:beforeAutospacing="0" w:after="0" w:afterAutospacing="0" w:line="276" w:lineRule="auto"/>
        <w:ind w:right="51"/>
        <w:rPr>
          <w:rFonts w:cs="Arial"/>
          <w:i/>
          <w:color w:val="000000"/>
          <w:sz w:val="22"/>
          <w:szCs w:val="22"/>
        </w:rPr>
      </w:pPr>
      <w:r w:rsidRPr="00E93C33">
        <w:rPr>
          <w:rFonts w:cs="Arial"/>
          <w:bCs/>
          <w:i/>
          <w:color w:val="000000"/>
          <w:sz w:val="22"/>
          <w:szCs w:val="22"/>
        </w:rPr>
        <w:t>“1. Valor del avalúo</w:t>
      </w:r>
      <w:r w:rsidRPr="00E93C33">
        <w:rPr>
          <w:rFonts w:cs="Arial"/>
          <w:i/>
          <w:color w:val="000000"/>
          <w:sz w:val="22"/>
          <w:szCs w:val="22"/>
        </w:rPr>
        <w:t>: Corresponde al valor arrojado por el avalúo comercial vigente.</w:t>
      </w:r>
    </w:p>
    <w:p w:rsidR="00A57E29" w:rsidRPr="00E93C33" w:rsidRDefault="00A57E29" w:rsidP="009C09F3">
      <w:pPr>
        <w:pStyle w:val="NormalWeb"/>
        <w:shd w:val="clear" w:color="auto" w:fill="FFFFFF"/>
        <w:spacing w:before="0" w:beforeAutospacing="0" w:after="0" w:afterAutospacing="0" w:line="276" w:lineRule="auto"/>
        <w:ind w:right="51"/>
        <w:rPr>
          <w:rFonts w:cs="Arial"/>
          <w:b/>
          <w:bCs/>
          <w:i/>
          <w:color w:val="000000"/>
          <w:sz w:val="22"/>
          <w:szCs w:val="22"/>
        </w:rPr>
      </w:pPr>
    </w:p>
    <w:p w:rsidR="00A57E29" w:rsidRPr="00E93C33" w:rsidRDefault="00A57E29" w:rsidP="009C09F3">
      <w:pPr>
        <w:pStyle w:val="NormalWeb"/>
        <w:shd w:val="clear" w:color="auto" w:fill="FFFFFF"/>
        <w:spacing w:before="0" w:beforeAutospacing="0" w:after="0" w:afterAutospacing="0" w:line="276" w:lineRule="auto"/>
        <w:ind w:right="51"/>
        <w:rPr>
          <w:rFonts w:cs="Arial"/>
          <w:i/>
          <w:color w:val="000000"/>
          <w:sz w:val="22"/>
          <w:szCs w:val="22"/>
        </w:rPr>
      </w:pPr>
      <w:r w:rsidRPr="00E93C33">
        <w:rPr>
          <w:rFonts w:cs="Arial"/>
          <w:bCs/>
          <w:i/>
          <w:color w:val="000000"/>
          <w:sz w:val="22"/>
          <w:szCs w:val="22"/>
        </w:rPr>
        <w:t>“</w:t>
      </w:r>
      <w:r w:rsidRPr="00E93C33">
        <w:rPr>
          <w:rFonts w:cs="Arial"/>
          <w:b/>
          <w:bCs/>
          <w:i/>
          <w:color w:val="000000"/>
          <w:sz w:val="22"/>
          <w:szCs w:val="22"/>
        </w:rPr>
        <w:t>2. Ingresos</w:t>
      </w:r>
      <w:r w:rsidRPr="00E93C33">
        <w:rPr>
          <w:rFonts w:cs="Arial"/>
          <w:i/>
          <w:color w:val="000000"/>
          <w:sz w:val="22"/>
          <w:szCs w:val="22"/>
        </w:rPr>
        <w:t xml:space="preserve">: </w:t>
      </w:r>
      <w:r w:rsidRPr="00E93C33">
        <w:rPr>
          <w:rFonts w:cs="Arial"/>
          <w:b/>
          <w:i/>
          <w:color w:val="000000"/>
          <w:sz w:val="22"/>
          <w:szCs w:val="22"/>
        </w:rPr>
        <w:t>Corresponden a cualquier tipo de recursos que perciba la entidad, proveniente del bien, tales como cánones de arrendamiento</w:t>
      </w:r>
      <w:r w:rsidRPr="00E93C33">
        <w:rPr>
          <w:rFonts w:cs="Arial"/>
          <w:i/>
          <w:color w:val="000000"/>
          <w:sz w:val="22"/>
          <w:szCs w:val="22"/>
        </w:rPr>
        <w:t xml:space="preserve"> y rendimientos.</w:t>
      </w:r>
    </w:p>
    <w:p w:rsidR="00A57E29" w:rsidRPr="00E93C33" w:rsidRDefault="00A57E29" w:rsidP="009C09F3">
      <w:pPr>
        <w:pStyle w:val="NormalWeb"/>
        <w:shd w:val="clear" w:color="auto" w:fill="FFFFFF"/>
        <w:spacing w:before="0" w:beforeAutospacing="0" w:after="0" w:afterAutospacing="0" w:line="276" w:lineRule="auto"/>
        <w:ind w:right="51"/>
        <w:rPr>
          <w:rFonts w:cs="Arial"/>
          <w:b/>
          <w:bCs/>
          <w:i/>
          <w:color w:val="000000"/>
          <w:sz w:val="22"/>
          <w:szCs w:val="22"/>
        </w:rPr>
      </w:pPr>
    </w:p>
    <w:p w:rsidR="00A57E29" w:rsidRPr="009C09F3" w:rsidRDefault="00A57E29" w:rsidP="009C09F3">
      <w:pPr>
        <w:pStyle w:val="NormalWeb"/>
        <w:shd w:val="clear" w:color="auto" w:fill="FFFFFF"/>
        <w:spacing w:before="0" w:beforeAutospacing="0" w:after="0" w:afterAutospacing="0" w:line="276" w:lineRule="auto"/>
        <w:ind w:right="51"/>
        <w:rPr>
          <w:rFonts w:cs="Arial"/>
          <w:color w:val="000000"/>
          <w:sz w:val="22"/>
          <w:szCs w:val="22"/>
        </w:rPr>
      </w:pPr>
      <w:r w:rsidRPr="00E93C33">
        <w:rPr>
          <w:rFonts w:cs="Arial"/>
          <w:bCs/>
          <w:i/>
          <w:color w:val="000000"/>
          <w:sz w:val="22"/>
          <w:szCs w:val="22"/>
        </w:rPr>
        <w:t>“</w:t>
      </w:r>
      <w:r w:rsidRPr="00E93C33">
        <w:rPr>
          <w:rFonts w:cs="Arial"/>
          <w:b/>
          <w:bCs/>
          <w:i/>
          <w:color w:val="000000"/>
          <w:sz w:val="22"/>
          <w:szCs w:val="22"/>
        </w:rPr>
        <w:t>3. Gastos:</w:t>
      </w:r>
      <w:r w:rsidRPr="00E93C33">
        <w:rPr>
          <w:rStyle w:val="apple-converted-space"/>
          <w:rFonts w:cs="Arial"/>
          <w:i/>
          <w:color w:val="000000"/>
          <w:sz w:val="22"/>
          <w:szCs w:val="22"/>
        </w:rPr>
        <w:t> </w:t>
      </w:r>
      <w:r w:rsidRPr="00E93C33">
        <w:rPr>
          <w:rFonts w:cs="Arial"/>
          <w:i/>
          <w:color w:val="000000"/>
          <w:sz w:val="22"/>
          <w:szCs w:val="22"/>
        </w:rPr>
        <w:t xml:space="preserve">Se refiere a la totalidad de los </w:t>
      </w:r>
      <w:r w:rsidRPr="00E93C33">
        <w:rPr>
          <w:rFonts w:cs="Arial"/>
          <w:b/>
          <w:i/>
          <w:color w:val="000000"/>
          <w:sz w:val="22"/>
          <w:szCs w:val="22"/>
        </w:rPr>
        <w:t>gastos en que incurre la entidad</w:t>
      </w:r>
      <w:r w:rsidRPr="00E93C33">
        <w:rPr>
          <w:rFonts w:cs="Arial"/>
          <w:i/>
          <w:color w:val="000000"/>
          <w:sz w:val="22"/>
          <w:szCs w:val="22"/>
        </w:rPr>
        <w:t xml:space="preserve">, dependiendo del tipo de bien, que se deriven de la titularidad, la comercialización, el saneamiento, el mantenimiento y la administración del mismo, tales como: </w:t>
      </w:r>
      <w:r w:rsidRPr="009C09F3">
        <w:rPr>
          <w:rFonts w:cs="Arial"/>
          <w:color w:val="000000"/>
          <w:sz w:val="22"/>
          <w:szCs w:val="22"/>
        </w:rPr>
        <w:t>(…)”</w:t>
      </w:r>
      <w:r>
        <w:rPr>
          <w:rFonts w:cs="Arial"/>
          <w:color w:val="000000"/>
          <w:sz w:val="22"/>
          <w:szCs w:val="22"/>
        </w:rPr>
        <w:t xml:space="preserve"> </w:t>
      </w:r>
      <w:r w:rsidRPr="009C09F3">
        <w:rPr>
          <w:rFonts w:cs="Arial"/>
          <w:color w:val="000000"/>
          <w:sz w:val="22"/>
          <w:szCs w:val="22"/>
        </w:rPr>
        <w:t>(</w:t>
      </w:r>
      <w:r>
        <w:rPr>
          <w:rFonts w:cs="Arial"/>
          <w:color w:val="000000"/>
          <w:sz w:val="22"/>
          <w:szCs w:val="22"/>
        </w:rPr>
        <w:t>l</w:t>
      </w:r>
      <w:r w:rsidRPr="009C09F3">
        <w:rPr>
          <w:rFonts w:cs="Arial"/>
          <w:color w:val="000000"/>
          <w:sz w:val="22"/>
          <w:szCs w:val="22"/>
        </w:rPr>
        <w:t>a negrilla no es del texto.)</w:t>
      </w:r>
    </w:p>
    <w:p w:rsidR="00A57E29" w:rsidRPr="009C09F3" w:rsidRDefault="00A57E29" w:rsidP="009C09F3">
      <w:pPr>
        <w:pStyle w:val="Textonotapie"/>
        <w:ind w:right="51"/>
        <w:rPr>
          <w:lang w:val="es-CO"/>
        </w:rPr>
      </w:pPr>
    </w:p>
  </w:footnote>
  <w:footnote w:id="66">
    <w:p w:rsidR="00A57E29" w:rsidRPr="00DC6873" w:rsidRDefault="00A57E29" w:rsidP="00DC6873">
      <w:pPr>
        <w:pStyle w:val="NormalWeb"/>
        <w:shd w:val="clear" w:color="auto" w:fill="FFFFFF"/>
        <w:spacing w:line="240" w:lineRule="auto"/>
        <w:rPr>
          <w:rFonts w:cs="Arial"/>
          <w:color w:val="000000"/>
          <w:sz w:val="20"/>
          <w:szCs w:val="20"/>
        </w:rPr>
      </w:pPr>
      <w:r w:rsidRPr="00DC6873">
        <w:rPr>
          <w:rStyle w:val="Refdenotaalpie"/>
          <w:sz w:val="20"/>
          <w:szCs w:val="20"/>
        </w:rPr>
        <w:footnoteRef/>
      </w:r>
      <w:r w:rsidRPr="00DC6873">
        <w:rPr>
          <w:sz w:val="20"/>
          <w:szCs w:val="20"/>
        </w:rPr>
        <w:t xml:space="preserve"> Decreto 2474 de 2008. </w:t>
      </w:r>
      <w:r w:rsidRPr="00DC6873">
        <w:rPr>
          <w:rFonts w:cs="Arial"/>
          <w:bCs/>
          <w:color w:val="000000"/>
          <w:sz w:val="20"/>
          <w:szCs w:val="20"/>
        </w:rPr>
        <w:t>Artículo</w:t>
      </w:r>
      <w:bookmarkStart w:id="3" w:name="8"/>
      <w:r w:rsidRPr="00DC6873">
        <w:rPr>
          <w:rFonts w:cs="Arial"/>
          <w:bCs/>
          <w:color w:val="000000"/>
          <w:sz w:val="20"/>
          <w:szCs w:val="20"/>
        </w:rPr>
        <w:t> </w:t>
      </w:r>
      <w:bookmarkEnd w:id="3"/>
      <w:r w:rsidRPr="00DC6873">
        <w:rPr>
          <w:rFonts w:cs="Arial"/>
          <w:bCs/>
          <w:color w:val="000000"/>
          <w:sz w:val="20"/>
          <w:szCs w:val="20"/>
        </w:rPr>
        <w:t>8.</w:t>
      </w:r>
      <w:r w:rsidRPr="00DC6873">
        <w:rPr>
          <w:rStyle w:val="apple-converted-space"/>
          <w:rFonts w:cs="Arial"/>
          <w:b/>
          <w:bCs/>
          <w:color w:val="000000"/>
          <w:sz w:val="20"/>
          <w:szCs w:val="20"/>
        </w:rPr>
        <w:t> </w:t>
      </w:r>
      <w:r w:rsidRPr="00DC6873">
        <w:rPr>
          <w:rFonts w:cs="Arial"/>
          <w:iCs/>
          <w:color w:val="000000"/>
          <w:sz w:val="20"/>
          <w:szCs w:val="20"/>
        </w:rPr>
        <w:t>Publicidad del procedimiento en el Secop</w:t>
      </w:r>
      <w:r w:rsidRPr="00DC6873">
        <w:rPr>
          <w:rFonts w:cs="Arial"/>
          <w:color w:val="000000"/>
          <w:sz w:val="20"/>
          <w:szCs w:val="20"/>
        </w:rPr>
        <w:t xml:space="preserve">. </w:t>
      </w:r>
    </w:p>
    <w:p w:rsidR="00A57E29" w:rsidRPr="00DC6873" w:rsidRDefault="00A57E29" w:rsidP="00DC6873">
      <w:pPr>
        <w:pStyle w:val="NormalWeb"/>
        <w:shd w:val="clear" w:color="auto" w:fill="FFFFFF"/>
        <w:spacing w:line="240" w:lineRule="auto"/>
        <w:rPr>
          <w:rFonts w:cs="Arial"/>
          <w:i/>
          <w:color w:val="000000"/>
          <w:sz w:val="20"/>
          <w:szCs w:val="20"/>
        </w:rPr>
      </w:pPr>
      <w:r>
        <w:rPr>
          <w:rFonts w:cs="Arial"/>
          <w:i/>
          <w:color w:val="000000"/>
          <w:sz w:val="20"/>
          <w:szCs w:val="20"/>
        </w:rPr>
        <w:t>“</w:t>
      </w:r>
      <w:r w:rsidRPr="00DC6873">
        <w:rPr>
          <w:rFonts w:cs="Arial"/>
          <w:i/>
          <w:color w:val="000000"/>
          <w:sz w:val="20"/>
          <w:szCs w:val="20"/>
        </w:rPr>
        <w:t>La entidad contratante será responsable de garantizar la publicidad de todos los procedimientos y actos asociados a los procesos de contratación salvo los asuntos expresamente sometidos a reserva.</w:t>
      </w:r>
    </w:p>
    <w:p w:rsidR="00A57E29" w:rsidRPr="00DC6873" w:rsidRDefault="00A57E29" w:rsidP="003552DF">
      <w:pPr>
        <w:pStyle w:val="NormalWeb"/>
        <w:shd w:val="clear" w:color="auto" w:fill="FFFFFF"/>
        <w:spacing w:line="240" w:lineRule="auto"/>
        <w:rPr>
          <w:lang w:val="es-MX"/>
        </w:rPr>
      </w:pPr>
      <w:r>
        <w:rPr>
          <w:rFonts w:cs="Arial"/>
          <w:i/>
          <w:color w:val="000000"/>
          <w:sz w:val="20"/>
          <w:szCs w:val="20"/>
        </w:rPr>
        <w:t>“</w:t>
      </w:r>
      <w:r w:rsidRPr="00DC6873">
        <w:rPr>
          <w:rFonts w:cs="Arial"/>
          <w:i/>
          <w:color w:val="000000"/>
          <w:sz w:val="20"/>
          <w:szCs w:val="20"/>
        </w:rPr>
        <w:t>La publicidad a que se refiere este artículo se hará en el Sistema Electrónico para la Contratación Pública (Secop) a través del Portal único de Contratación, cuyo sitio web será indicado por su administrador. Con base en lo anterior, se publicarán, entre otros, los siguientes documentos e información, según corresponda a cada modalidad de selección:</w:t>
      </w:r>
      <w:r>
        <w:rPr>
          <w:rFonts w:cs="Arial"/>
          <w:i/>
          <w:color w:val="000000"/>
          <w:sz w:val="20"/>
          <w:szCs w:val="20"/>
        </w:rPr>
        <w:t xml:space="preserve"> (…)”.</w:t>
      </w:r>
    </w:p>
  </w:footnote>
  <w:footnote w:id="67">
    <w:p w:rsidR="00A57E29" w:rsidRPr="00AE14E4" w:rsidRDefault="00A57E29" w:rsidP="00947479">
      <w:pPr>
        <w:tabs>
          <w:tab w:val="left" w:pos="8789"/>
        </w:tabs>
        <w:spacing w:line="240" w:lineRule="auto"/>
        <w:ind w:right="51"/>
        <w:rPr>
          <w:rFonts w:cs="Arial"/>
          <w:bCs/>
          <w:sz w:val="20"/>
          <w:szCs w:val="20"/>
          <w:shd w:val="clear" w:color="auto" w:fill="FFFFFF"/>
        </w:rPr>
      </w:pPr>
      <w:r>
        <w:rPr>
          <w:rStyle w:val="Refdenotaalpie"/>
        </w:rPr>
        <w:footnoteRef/>
      </w:r>
      <w:r>
        <w:t xml:space="preserve"> </w:t>
      </w:r>
      <w:r w:rsidRPr="00AE14E4">
        <w:rPr>
          <w:sz w:val="20"/>
          <w:szCs w:val="20"/>
        </w:rPr>
        <w:t xml:space="preserve">Decreto 4444 de 2008. </w:t>
      </w:r>
      <w:r w:rsidRPr="00AE14E4">
        <w:rPr>
          <w:rFonts w:cs="Arial"/>
          <w:bCs/>
          <w:sz w:val="20"/>
          <w:szCs w:val="20"/>
          <w:shd w:val="clear" w:color="auto" w:fill="FFFFFF"/>
        </w:rPr>
        <w:t xml:space="preserve">Artículo 5. Publicidad del proceso. </w:t>
      </w:r>
    </w:p>
    <w:p w:rsidR="00A57E29" w:rsidRPr="00AE14E4" w:rsidRDefault="00A57E29" w:rsidP="00947479">
      <w:pPr>
        <w:tabs>
          <w:tab w:val="left" w:pos="8789"/>
        </w:tabs>
        <w:spacing w:line="240" w:lineRule="auto"/>
        <w:ind w:right="51"/>
        <w:rPr>
          <w:rFonts w:cs="Arial"/>
          <w:i/>
          <w:sz w:val="20"/>
          <w:szCs w:val="20"/>
        </w:rPr>
      </w:pPr>
    </w:p>
    <w:p w:rsidR="00A57E29" w:rsidRPr="00AE14E4" w:rsidRDefault="00A57E29" w:rsidP="00947479">
      <w:pPr>
        <w:tabs>
          <w:tab w:val="left" w:pos="8789"/>
        </w:tabs>
        <w:spacing w:line="240" w:lineRule="auto"/>
        <w:ind w:right="51"/>
        <w:rPr>
          <w:rFonts w:cs="Arial"/>
          <w:i/>
          <w:sz w:val="20"/>
          <w:szCs w:val="20"/>
        </w:rPr>
      </w:pPr>
      <w:r w:rsidRPr="00AE14E4">
        <w:rPr>
          <w:rFonts w:cs="Arial"/>
          <w:i/>
          <w:sz w:val="20"/>
          <w:szCs w:val="20"/>
        </w:rPr>
        <w:t>“El SECOP será el mecanismo de publicidad de las actividades y asuntos propios del proceso de enajenación de bienes a que se refiere el presente decreto. Para tal efecto se aplicará lo establecido en el artículo 8 del Decreto 2474 de 2008, y las normas que lo modifiquen, adicionen o sustituyan.</w:t>
      </w:r>
    </w:p>
    <w:p w:rsidR="00A57E29" w:rsidRPr="00AE14E4" w:rsidRDefault="00A57E29" w:rsidP="00947479">
      <w:pPr>
        <w:shd w:val="clear" w:color="auto" w:fill="FFFFFF"/>
        <w:tabs>
          <w:tab w:val="left" w:pos="8789"/>
        </w:tabs>
        <w:spacing w:line="240" w:lineRule="auto"/>
        <w:ind w:right="51"/>
        <w:rPr>
          <w:rFonts w:cs="Arial"/>
          <w:i/>
          <w:sz w:val="20"/>
          <w:szCs w:val="20"/>
        </w:rPr>
      </w:pPr>
    </w:p>
    <w:p w:rsidR="00A57E29" w:rsidRPr="00947804" w:rsidRDefault="00A57E29" w:rsidP="00947479">
      <w:pPr>
        <w:shd w:val="clear" w:color="auto" w:fill="FFFFFF"/>
        <w:tabs>
          <w:tab w:val="left" w:pos="8789"/>
        </w:tabs>
        <w:spacing w:line="240" w:lineRule="auto"/>
        <w:ind w:right="51"/>
        <w:rPr>
          <w:rFonts w:cs="Arial"/>
          <w:i/>
          <w:color w:val="000000"/>
          <w:sz w:val="20"/>
          <w:szCs w:val="20"/>
        </w:rPr>
      </w:pPr>
      <w:r>
        <w:rPr>
          <w:rFonts w:cs="Arial"/>
          <w:i/>
          <w:color w:val="000000"/>
          <w:sz w:val="20"/>
          <w:szCs w:val="20"/>
        </w:rPr>
        <w:t>“</w:t>
      </w:r>
      <w:r w:rsidRPr="00947804">
        <w:rPr>
          <w:rFonts w:cs="Arial"/>
          <w:i/>
          <w:color w:val="000000"/>
          <w:sz w:val="20"/>
          <w:szCs w:val="20"/>
        </w:rPr>
        <w:t>En el evento en que no esté disponible el SECOP para estos efectos, la entidad publicará en su página web lo relacionado con la enajenación. En ambos casos la publicación deberá hacerse en la página web del promotor, banca de inversión, martillo, comisionista de bolsas de bienes y productos agropecuarios, agroindustriales o de otros commodities, la sociedad Central de Inversiones CISA S.A., o cualquier otro intermediario idóneo.</w:t>
      </w:r>
    </w:p>
    <w:p w:rsidR="00A57E29" w:rsidRDefault="00A57E29" w:rsidP="00947479">
      <w:pPr>
        <w:shd w:val="clear" w:color="auto" w:fill="FFFFFF"/>
        <w:tabs>
          <w:tab w:val="left" w:pos="8789"/>
        </w:tabs>
        <w:spacing w:line="240" w:lineRule="auto"/>
        <w:ind w:right="51"/>
        <w:rPr>
          <w:rFonts w:cs="Arial"/>
          <w:bCs/>
          <w:i/>
          <w:color w:val="000000"/>
          <w:sz w:val="20"/>
          <w:szCs w:val="20"/>
        </w:rPr>
      </w:pPr>
    </w:p>
    <w:p w:rsidR="00A57E29" w:rsidRPr="002D22B4" w:rsidRDefault="00A57E29" w:rsidP="00947479">
      <w:pPr>
        <w:shd w:val="clear" w:color="auto" w:fill="FFFFFF"/>
        <w:tabs>
          <w:tab w:val="left" w:pos="8789"/>
        </w:tabs>
        <w:spacing w:line="240" w:lineRule="auto"/>
        <w:ind w:right="51"/>
        <w:rPr>
          <w:lang w:val="es-CO"/>
        </w:rPr>
      </w:pPr>
      <w:r>
        <w:rPr>
          <w:rFonts w:cs="Arial"/>
          <w:bCs/>
          <w:i/>
          <w:color w:val="000000"/>
          <w:sz w:val="20"/>
          <w:szCs w:val="20"/>
        </w:rPr>
        <w:t>“</w:t>
      </w:r>
      <w:r w:rsidRPr="00947804">
        <w:rPr>
          <w:rFonts w:cs="Arial"/>
          <w:bCs/>
          <w:i/>
          <w:color w:val="000000"/>
          <w:sz w:val="20"/>
          <w:szCs w:val="20"/>
        </w:rPr>
        <w:t>Parágrafo.</w:t>
      </w:r>
      <w:r w:rsidRPr="0020539F">
        <w:rPr>
          <w:rFonts w:cs="Arial"/>
          <w:i/>
          <w:color w:val="000000"/>
          <w:sz w:val="20"/>
          <w:szCs w:val="20"/>
        </w:rPr>
        <w:t> </w:t>
      </w:r>
      <w:r w:rsidRPr="00947804">
        <w:rPr>
          <w:rFonts w:cs="Arial"/>
          <w:i/>
          <w:color w:val="000000"/>
          <w:sz w:val="20"/>
          <w:szCs w:val="20"/>
        </w:rPr>
        <w:t>El listado de bienes a ser enajenados y la indicación del precio mínimo de venta de cada uno de ellos podrá ser publicado por la entidad y su intermediario en un diario de amplia circulación nacional</w:t>
      </w:r>
      <w:r>
        <w:rPr>
          <w:rFonts w:cs="Arial"/>
          <w:i/>
          <w:color w:val="000000"/>
          <w:sz w:val="20"/>
          <w:szCs w:val="20"/>
        </w:rPr>
        <w:t>”</w:t>
      </w:r>
      <w:r w:rsidRPr="00947804">
        <w:rPr>
          <w:rFonts w:cs="Arial"/>
          <w:i/>
          <w:color w:val="000000"/>
          <w:sz w:val="20"/>
          <w:szCs w:val="20"/>
        </w:rPr>
        <w:t>.</w:t>
      </w:r>
    </w:p>
  </w:footnote>
  <w:footnote w:id="68">
    <w:p w:rsidR="00A57E29" w:rsidRDefault="00A57E29" w:rsidP="00947479">
      <w:pPr>
        <w:pStyle w:val="Textonotapie"/>
        <w:spacing w:line="240" w:lineRule="auto"/>
        <w:rPr>
          <w:lang w:val="es-CO"/>
        </w:rPr>
      </w:pPr>
      <w:r>
        <w:rPr>
          <w:rStyle w:val="Refdenotaalpie"/>
        </w:rPr>
        <w:footnoteRef/>
      </w:r>
      <w:r>
        <w:t xml:space="preserve"> Requisito exigido en la </w:t>
      </w:r>
      <w:r>
        <w:rPr>
          <w:lang w:val="es-CO"/>
        </w:rPr>
        <w:t>Ley 1150 de 2007, artículo 2, literal e), último inciso y en el parágrafo del artículo 5 del Decreto 4444 de 2008.</w:t>
      </w:r>
    </w:p>
    <w:p w:rsidR="00A57E29" w:rsidRPr="00566558" w:rsidRDefault="00A57E29" w:rsidP="00947479">
      <w:pPr>
        <w:pStyle w:val="Textonotapie"/>
        <w:spacing w:line="240" w:lineRule="auto"/>
        <w:rPr>
          <w:lang w:val="es-CO"/>
        </w:rPr>
      </w:pPr>
    </w:p>
  </w:footnote>
  <w:footnote w:id="69">
    <w:p w:rsidR="00A57E29" w:rsidRPr="009011C7" w:rsidRDefault="00A57E29" w:rsidP="00947479">
      <w:pPr>
        <w:pStyle w:val="Textonotapie"/>
        <w:rPr>
          <w:lang w:val="es-CO"/>
        </w:rPr>
      </w:pPr>
      <w:r>
        <w:rPr>
          <w:rStyle w:val="Refdenotaalpie"/>
        </w:rPr>
        <w:footnoteRef/>
      </w:r>
      <w:r>
        <w:t xml:space="preserve"> </w:t>
      </w:r>
      <w:r>
        <w:rPr>
          <w:lang w:val="es-CO"/>
        </w:rPr>
        <w:t>Folio 281, cuaderno 5.</w:t>
      </w:r>
    </w:p>
  </w:footnote>
  <w:footnote w:id="70">
    <w:p w:rsidR="00A57E29" w:rsidRPr="002B52CB" w:rsidRDefault="00A57E29" w:rsidP="00947479">
      <w:pPr>
        <w:spacing w:line="240" w:lineRule="auto"/>
        <w:rPr>
          <w:rFonts w:cs="Arial"/>
          <w:sz w:val="20"/>
          <w:szCs w:val="20"/>
          <w:lang w:val="es-CO"/>
        </w:rPr>
      </w:pPr>
      <w:r w:rsidRPr="002B52CB">
        <w:rPr>
          <w:rStyle w:val="Refdenotaalpie"/>
          <w:sz w:val="20"/>
          <w:szCs w:val="20"/>
        </w:rPr>
        <w:footnoteRef/>
      </w:r>
      <w:r w:rsidRPr="002B52CB">
        <w:rPr>
          <w:sz w:val="20"/>
          <w:szCs w:val="20"/>
        </w:rPr>
        <w:t xml:space="preserve"> </w:t>
      </w:r>
      <w:r>
        <w:rPr>
          <w:sz w:val="20"/>
          <w:szCs w:val="20"/>
        </w:rPr>
        <w:t>De acuerdo con lo acreditado en el proceso, m</w:t>
      </w:r>
      <w:r w:rsidRPr="002B52CB">
        <w:rPr>
          <w:rFonts w:cs="Arial"/>
          <w:sz w:val="20"/>
          <w:szCs w:val="20"/>
          <w:lang w:val="es-CO"/>
        </w:rPr>
        <w:t>ediante Resolución 001185 de 25 de marzo de 2010</w:t>
      </w:r>
      <w:r w:rsidRPr="002B52CB">
        <w:rPr>
          <w:rStyle w:val="Refdenotaalpie"/>
          <w:rFonts w:cs="Arial"/>
          <w:sz w:val="20"/>
          <w:szCs w:val="20"/>
          <w:lang w:val="es-CO"/>
        </w:rPr>
        <w:footnoteRef/>
      </w:r>
      <w:r w:rsidRPr="002B52CB">
        <w:rPr>
          <w:rFonts w:cs="Arial"/>
          <w:sz w:val="20"/>
          <w:szCs w:val="20"/>
          <w:lang w:val="es-CO"/>
        </w:rPr>
        <w:t xml:space="preserve">, </w:t>
      </w:r>
      <w:r w:rsidRPr="002B52CB">
        <w:rPr>
          <w:rFonts w:cs="Arial"/>
          <w:i/>
          <w:sz w:val="20"/>
          <w:szCs w:val="20"/>
          <w:lang w:val="es-CO"/>
        </w:rPr>
        <w:t>“por la cual se adopta el plan de enajenación onerosa del Instituto Colombiano Agropecuario</w:t>
      </w:r>
      <w:r w:rsidRPr="002B52CB">
        <w:rPr>
          <w:rFonts w:cs="Arial"/>
          <w:sz w:val="20"/>
          <w:szCs w:val="20"/>
          <w:lang w:val="es-CO"/>
        </w:rPr>
        <w:t xml:space="preserve">”, se modificó la Resolución 126 de 18 de enero de 2010, en cuanto a los bienes y valores de los inmuebles, entre ellos, el denominado </w:t>
      </w:r>
      <w:r w:rsidRPr="002B52CB">
        <w:rPr>
          <w:rFonts w:cs="Arial"/>
          <w:i/>
          <w:sz w:val="20"/>
          <w:szCs w:val="20"/>
          <w:lang w:val="es-CO"/>
        </w:rPr>
        <w:t>“El Mira”</w:t>
      </w:r>
      <w:r w:rsidRPr="002B52CB">
        <w:rPr>
          <w:rFonts w:cs="Arial"/>
          <w:sz w:val="20"/>
          <w:szCs w:val="20"/>
          <w:lang w:val="es-CO"/>
        </w:rPr>
        <w:t>, que se relacionó con los siguientes datos:</w:t>
      </w:r>
    </w:p>
    <w:p w:rsidR="00A57E29" w:rsidRPr="002B52CB" w:rsidRDefault="00A57E29" w:rsidP="00947479">
      <w:pPr>
        <w:spacing w:line="240" w:lineRule="auto"/>
        <w:rPr>
          <w:rFonts w:cs="Arial"/>
          <w:sz w:val="20"/>
          <w:szCs w:val="20"/>
          <w:lang w:val="es-CO"/>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1701"/>
        <w:gridCol w:w="1418"/>
        <w:gridCol w:w="1559"/>
        <w:gridCol w:w="1701"/>
      </w:tblGrid>
      <w:tr w:rsidR="00A57E29" w:rsidRPr="002B52CB" w:rsidTr="00014603">
        <w:tc>
          <w:tcPr>
            <w:tcW w:w="1384" w:type="dxa"/>
            <w:shd w:val="clear" w:color="auto" w:fill="auto"/>
          </w:tcPr>
          <w:p w:rsidR="00A57E29" w:rsidRPr="002B52CB" w:rsidRDefault="00A57E29" w:rsidP="002B52CB">
            <w:pPr>
              <w:spacing w:line="240" w:lineRule="auto"/>
              <w:rPr>
                <w:rFonts w:cs="Arial"/>
                <w:i/>
                <w:sz w:val="20"/>
                <w:szCs w:val="20"/>
                <w:lang w:val="es-CO"/>
              </w:rPr>
            </w:pPr>
            <w:r w:rsidRPr="002B52CB">
              <w:rPr>
                <w:rFonts w:cs="Arial"/>
                <w:i/>
                <w:sz w:val="20"/>
                <w:szCs w:val="20"/>
                <w:lang w:val="es-CO"/>
              </w:rPr>
              <w:t>“Folio de Matrícula Inmobiliaria</w:t>
            </w:r>
          </w:p>
        </w:tc>
        <w:tc>
          <w:tcPr>
            <w:tcW w:w="1134" w:type="dxa"/>
            <w:shd w:val="clear" w:color="auto" w:fill="auto"/>
          </w:tcPr>
          <w:p w:rsidR="00A57E29" w:rsidRPr="002B52CB" w:rsidRDefault="00A57E29" w:rsidP="002B52CB">
            <w:pPr>
              <w:spacing w:line="240" w:lineRule="auto"/>
              <w:rPr>
                <w:rFonts w:cs="Arial"/>
                <w:i/>
                <w:sz w:val="20"/>
                <w:szCs w:val="20"/>
                <w:lang w:val="es-CO"/>
              </w:rPr>
            </w:pPr>
            <w:r w:rsidRPr="002B52CB">
              <w:rPr>
                <w:rFonts w:cs="Arial"/>
                <w:i/>
                <w:sz w:val="20"/>
                <w:szCs w:val="20"/>
                <w:lang w:val="es-CO"/>
              </w:rPr>
              <w:t>Dirección/Nombre</w:t>
            </w:r>
          </w:p>
        </w:tc>
        <w:tc>
          <w:tcPr>
            <w:tcW w:w="1701" w:type="dxa"/>
            <w:shd w:val="clear" w:color="auto" w:fill="auto"/>
          </w:tcPr>
          <w:p w:rsidR="00A57E29" w:rsidRPr="002B52CB" w:rsidRDefault="00A57E29" w:rsidP="002B52CB">
            <w:pPr>
              <w:spacing w:line="240" w:lineRule="auto"/>
              <w:rPr>
                <w:rFonts w:cs="Arial"/>
                <w:i/>
                <w:sz w:val="20"/>
                <w:szCs w:val="20"/>
                <w:lang w:val="es-CO"/>
              </w:rPr>
            </w:pPr>
            <w:r w:rsidRPr="002B52CB">
              <w:rPr>
                <w:rFonts w:cs="Arial"/>
                <w:i/>
                <w:sz w:val="20"/>
                <w:szCs w:val="20"/>
                <w:lang w:val="es-CO"/>
              </w:rPr>
              <w:t>Departamento –Municipio</w:t>
            </w:r>
          </w:p>
        </w:tc>
        <w:tc>
          <w:tcPr>
            <w:tcW w:w="1418" w:type="dxa"/>
            <w:shd w:val="clear" w:color="auto" w:fill="auto"/>
          </w:tcPr>
          <w:p w:rsidR="00A57E29" w:rsidRPr="002B52CB" w:rsidRDefault="00A57E29" w:rsidP="002B52CB">
            <w:pPr>
              <w:spacing w:line="240" w:lineRule="auto"/>
              <w:rPr>
                <w:rFonts w:cs="Arial"/>
                <w:i/>
                <w:sz w:val="20"/>
                <w:szCs w:val="20"/>
                <w:lang w:val="es-CO"/>
              </w:rPr>
            </w:pPr>
            <w:r w:rsidRPr="002B52CB">
              <w:rPr>
                <w:rFonts w:cs="Arial"/>
                <w:i/>
                <w:sz w:val="20"/>
                <w:szCs w:val="20"/>
                <w:lang w:val="es-CO"/>
              </w:rPr>
              <w:t>Tipo de Inmueble</w:t>
            </w:r>
          </w:p>
        </w:tc>
        <w:tc>
          <w:tcPr>
            <w:tcW w:w="1559" w:type="dxa"/>
            <w:shd w:val="clear" w:color="auto" w:fill="auto"/>
          </w:tcPr>
          <w:p w:rsidR="00A57E29" w:rsidRPr="002B52CB" w:rsidRDefault="00A57E29" w:rsidP="002B52CB">
            <w:pPr>
              <w:spacing w:line="240" w:lineRule="auto"/>
              <w:rPr>
                <w:rFonts w:cs="Arial"/>
                <w:i/>
                <w:sz w:val="20"/>
                <w:szCs w:val="20"/>
                <w:lang w:val="es-CO"/>
              </w:rPr>
            </w:pPr>
            <w:r w:rsidRPr="002B52CB">
              <w:rPr>
                <w:rFonts w:cs="Arial"/>
                <w:i/>
                <w:sz w:val="20"/>
                <w:szCs w:val="20"/>
                <w:lang w:val="es-CO"/>
              </w:rPr>
              <w:t>Área</w:t>
            </w:r>
          </w:p>
        </w:tc>
        <w:tc>
          <w:tcPr>
            <w:tcW w:w="1701" w:type="dxa"/>
            <w:shd w:val="clear" w:color="auto" w:fill="auto"/>
          </w:tcPr>
          <w:p w:rsidR="00A57E29" w:rsidRPr="002B52CB" w:rsidRDefault="00A57E29" w:rsidP="002B52CB">
            <w:pPr>
              <w:spacing w:line="240" w:lineRule="auto"/>
              <w:rPr>
                <w:rFonts w:cs="Arial"/>
                <w:i/>
                <w:sz w:val="20"/>
                <w:szCs w:val="20"/>
                <w:lang w:val="es-CO"/>
              </w:rPr>
            </w:pPr>
            <w:r w:rsidRPr="002B52CB">
              <w:rPr>
                <w:rFonts w:cs="Arial"/>
                <w:i/>
                <w:sz w:val="20"/>
                <w:szCs w:val="20"/>
                <w:lang w:val="es-CO"/>
              </w:rPr>
              <w:t>Valor Avalúo Comercial</w:t>
            </w:r>
          </w:p>
        </w:tc>
      </w:tr>
      <w:tr w:rsidR="00A57E29" w:rsidRPr="002B52CB" w:rsidTr="00014603">
        <w:tc>
          <w:tcPr>
            <w:tcW w:w="1384" w:type="dxa"/>
            <w:shd w:val="clear" w:color="auto" w:fill="auto"/>
          </w:tcPr>
          <w:p w:rsidR="00A57E29" w:rsidRPr="002B52CB" w:rsidRDefault="00A57E29" w:rsidP="002B52CB">
            <w:pPr>
              <w:spacing w:line="240" w:lineRule="auto"/>
              <w:rPr>
                <w:rFonts w:cs="Arial"/>
                <w:i/>
                <w:sz w:val="20"/>
                <w:szCs w:val="20"/>
                <w:lang w:val="es-CO"/>
              </w:rPr>
            </w:pPr>
            <w:r w:rsidRPr="002B52CB">
              <w:rPr>
                <w:rFonts w:cs="Arial"/>
                <w:i/>
                <w:sz w:val="20"/>
                <w:szCs w:val="20"/>
                <w:lang w:val="es-CO"/>
              </w:rPr>
              <w:t>252-0001201</w:t>
            </w:r>
          </w:p>
        </w:tc>
        <w:tc>
          <w:tcPr>
            <w:tcW w:w="1134" w:type="dxa"/>
            <w:shd w:val="clear" w:color="auto" w:fill="auto"/>
          </w:tcPr>
          <w:p w:rsidR="00A57E29" w:rsidRPr="002B52CB" w:rsidRDefault="00A57E29" w:rsidP="002B52CB">
            <w:pPr>
              <w:spacing w:line="240" w:lineRule="auto"/>
              <w:rPr>
                <w:rFonts w:cs="Arial"/>
                <w:i/>
                <w:sz w:val="20"/>
                <w:szCs w:val="20"/>
                <w:lang w:val="es-CO"/>
              </w:rPr>
            </w:pPr>
            <w:r w:rsidRPr="002B52CB">
              <w:rPr>
                <w:rFonts w:cs="Arial"/>
                <w:i/>
                <w:sz w:val="20"/>
                <w:szCs w:val="20"/>
                <w:lang w:val="es-CO"/>
              </w:rPr>
              <w:t>El Mira</w:t>
            </w:r>
          </w:p>
        </w:tc>
        <w:tc>
          <w:tcPr>
            <w:tcW w:w="1701" w:type="dxa"/>
            <w:shd w:val="clear" w:color="auto" w:fill="auto"/>
          </w:tcPr>
          <w:p w:rsidR="00A57E29" w:rsidRPr="002B52CB" w:rsidRDefault="00A57E29" w:rsidP="002B52CB">
            <w:pPr>
              <w:spacing w:line="240" w:lineRule="auto"/>
              <w:rPr>
                <w:rFonts w:cs="Arial"/>
                <w:i/>
                <w:sz w:val="20"/>
                <w:szCs w:val="20"/>
                <w:lang w:val="es-CO"/>
              </w:rPr>
            </w:pPr>
            <w:r w:rsidRPr="002B52CB">
              <w:rPr>
                <w:rFonts w:cs="Arial"/>
                <w:i/>
                <w:sz w:val="20"/>
                <w:szCs w:val="20"/>
                <w:lang w:val="es-CO"/>
              </w:rPr>
              <w:t>Nariño –Tumaco</w:t>
            </w:r>
          </w:p>
        </w:tc>
        <w:tc>
          <w:tcPr>
            <w:tcW w:w="1418" w:type="dxa"/>
            <w:shd w:val="clear" w:color="auto" w:fill="auto"/>
          </w:tcPr>
          <w:p w:rsidR="00A57E29" w:rsidRPr="002B52CB" w:rsidRDefault="00A57E29" w:rsidP="002B52CB">
            <w:pPr>
              <w:spacing w:line="240" w:lineRule="auto"/>
              <w:rPr>
                <w:rFonts w:cs="Arial"/>
                <w:i/>
                <w:sz w:val="20"/>
                <w:szCs w:val="20"/>
                <w:lang w:val="es-CO"/>
              </w:rPr>
            </w:pPr>
            <w:r w:rsidRPr="002B52CB">
              <w:rPr>
                <w:rFonts w:cs="Arial"/>
                <w:i/>
                <w:sz w:val="20"/>
                <w:szCs w:val="20"/>
                <w:lang w:val="es-CO"/>
              </w:rPr>
              <w:t>Rural- Finca</w:t>
            </w:r>
          </w:p>
        </w:tc>
        <w:tc>
          <w:tcPr>
            <w:tcW w:w="1559" w:type="dxa"/>
            <w:shd w:val="clear" w:color="auto" w:fill="auto"/>
          </w:tcPr>
          <w:p w:rsidR="00A57E29" w:rsidRPr="002B52CB" w:rsidRDefault="00A57E29" w:rsidP="002B52CB">
            <w:pPr>
              <w:spacing w:line="240" w:lineRule="auto"/>
              <w:rPr>
                <w:rFonts w:cs="Arial"/>
                <w:i/>
                <w:sz w:val="20"/>
                <w:szCs w:val="20"/>
                <w:lang w:val="es-CO"/>
              </w:rPr>
            </w:pPr>
            <w:r w:rsidRPr="002B52CB">
              <w:rPr>
                <w:rFonts w:cs="Arial"/>
                <w:i/>
                <w:sz w:val="20"/>
                <w:szCs w:val="20"/>
                <w:lang w:val="es-CO"/>
              </w:rPr>
              <w:t>5.400.500m2</w:t>
            </w:r>
          </w:p>
        </w:tc>
        <w:tc>
          <w:tcPr>
            <w:tcW w:w="1701" w:type="dxa"/>
            <w:shd w:val="clear" w:color="auto" w:fill="auto"/>
          </w:tcPr>
          <w:p w:rsidR="00A57E29" w:rsidRPr="002B52CB" w:rsidRDefault="00A57E29" w:rsidP="002B52CB">
            <w:pPr>
              <w:spacing w:line="240" w:lineRule="auto"/>
              <w:rPr>
                <w:rFonts w:cs="Arial"/>
                <w:i/>
                <w:sz w:val="20"/>
                <w:szCs w:val="20"/>
                <w:lang w:val="es-CO"/>
              </w:rPr>
            </w:pPr>
            <w:r w:rsidRPr="002B52CB">
              <w:rPr>
                <w:rFonts w:cs="Arial"/>
                <w:i/>
                <w:sz w:val="20"/>
                <w:szCs w:val="20"/>
                <w:lang w:val="es-CO"/>
              </w:rPr>
              <w:t>8.294’985.000”</w:t>
            </w:r>
          </w:p>
        </w:tc>
      </w:tr>
    </w:tbl>
    <w:p w:rsidR="00A57E29" w:rsidRPr="002B52CB" w:rsidRDefault="00A57E29" w:rsidP="00947479">
      <w:pPr>
        <w:pStyle w:val="Textonotapie"/>
        <w:rPr>
          <w:lang w:val="es-CO"/>
        </w:rPr>
      </w:pPr>
    </w:p>
  </w:footnote>
  <w:footnote w:id="71">
    <w:p w:rsidR="00A57E29" w:rsidRDefault="00A57E29" w:rsidP="00947479">
      <w:pPr>
        <w:pStyle w:val="Textonotapie"/>
        <w:spacing w:line="240" w:lineRule="auto"/>
        <w:rPr>
          <w:lang w:val="es-CO"/>
        </w:rPr>
      </w:pPr>
      <w:r>
        <w:rPr>
          <w:rStyle w:val="Refdenotaalpie"/>
        </w:rPr>
        <w:footnoteRef/>
      </w:r>
      <w:r>
        <w:t xml:space="preserve"> </w:t>
      </w:r>
      <w:r>
        <w:rPr>
          <w:lang w:val="es-CO"/>
        </w:rPr>
        <w:t>Folio 384. cuaderno 5. La publicación simultánea del proyecto de pliegos y de la resolución de apertura del proceso de selección abreviada  se evidencia en el detalle de la prueba allegada al proceso en los folios 190 y 191 del cuaderno 5.</w:t>
      </w:r>
    </w:p>
    <w:p w:rsidR="00A57E29" w:rsidRPr="00BF0D47" w:rsidRDefault="00A57E29" w:rsidP="00947479">
      <w:pPr>
        <w:pStyle w:val="Textonotapie"/>
        <w:spacing w:line="240" w:lineRule="auto"/>
        <w:rPr>
          <w:lang w:val="es-CO"/>
        </w:rPr>
      </w:pPr>
    </w:p>
  </w:footnote>
  <w:footnote w:id="72">
    <w:p w:rsidR="00A57E29" w:rsidRPr="00C073CB" w:rsidRDefault="00A57E29" w:rsidP="00947479">
      <w:pPr>
        <w:pStyle w:val="Textonotapie"/>
        <w:rPr>
          <w:lang w:val="es-CO"/>
        </w:rPr>
      </w:pPr>
      <w:r>
        <w:rPr>
          <w:rStyle w:val="Refdenotaalpie"/>
        </w:rPr>
        <w:footnoteRef/>
      </w:r>
      <w:r>
        <w:t xml:space="preserve"> </w:t>
      </w:r>
      <w:r>
        <w:rPr>
          <w:lang w:val="es-CO"/>
        </w:rPr>
        <w:t>Artículo 209 C.P.</w:t>
      </w:r>
    </w:p>
  </w:footnote>
  <w:footnote w:id="73">
    <w:p w:rsidR="00A57E29" w:rsidRPr="00F63AD2" w:rsidRDefault="00A57E29" w:rsidP="00947479">
      <w:pPr>
        <w:pStyle w:val="Textonotapie"/>
        <w:rPr>
          <w:lang w:val="es-CO"/>
        </w:rPr>
      </w:pPr>
      <w:r>
        <w:rPr>
          <w:rStyle w:val="Refdenotaalpie"/>
        </w:rPr>
        <w:footnoteRef/>
      </w:r>
      <w:r>
        <w:t xml:space="preserve"> Artículo 29 Ley 80 de 1993. </w:t>
      </w:r>
    </w:p>
  </w:footnote>
  <w:footnote w:id="74">
    <w:p w:rsidR="00A57E29" w:rsidRPr="00C94641" w:rsidRDefault="00A57E29" w:rsidP="00C000B9">
      <w:pPr>
        <w:pStyle w:val="NormalWeb"/>
        <w:shd w:val="clear" w:color="auto" w:fill="FFFFFF"/>
        <w:spacing w:before="0" w:beforeAutospacing="0" w:after="0" w:afterAutospacing="0" w:line="240" w:lineRule="auto"/>
        <w:ind w:right="51"/>
        <w:rPr>
          <w:rFonts w:cs="Arial"/>
          <w:i/>
          <w:color w:val="000000"/>
          <w:sz w:val="20"/>
          <w:szCs w:val="20"/>
        </w:rPr>
      </w:pPr>
      <w:r>
        <w:rPr>
          <w:rStyle w:val="Refdenotaalpie"/>
        </w:rPr>
        <w:footnoteRef/>
      </w:r>
      <w:r>
        <w:t xml:space="preserve"> “</w:t>
      </w:r>
      <w:r w:rsidRPr="00C94641">
        <w:rPr>
          <w:rFonts w:cs="Arial"/>
          <w:bCs/>
          <w:i/>
          <w:color w:val="000000"/>
          <w:sz w:val="20"/>
          <w:szCs w:val="20"/>
        </w:rPr>
        <w:t>Artículo 2</w:t>
      </w:r>
      <w:r w:rsidRPr="00C94641">
        <w:rPr>
          <w:rFonts w:cs="Arial"/>
          <w:b/>
          <w:bCs/>
          <w:i/>
          <w:color w:val="000000"/>
          <w:sz w:val="20"/>
          <w:szCs w:val="20"/>
        </w:rPr>
        <w:t>°.</w:t>
      </w:r>
      <w:r>
        <w:rPr>
          <w:rFonts w:cs="Arial"/>
          <w:b/>
          <w:bCs/>
          <w:i/>
          <w:color w:val="000000"/>
          <w:sz w:val="20"/>
          <w:szCs w:val="20"/>
        </w:rPr>
        <w:t xml:space="preserve"> </w:t>
      </w:r>
      <w:r w:rsidRPr="00C000B9">
        <w:rPr>
          <w:rFonts w:cs="Arial"/>
          <w:bCs/>
          <w:i/>
          <w:color w:val="000000"/>
          <w:sz w:val="20"/>
          <w:szCs w:val="20"/>
        </w:rPr>
        <w:t>(…).</w:t>
      </w:r>
      <w:r w:rsidRPr="00C000B9">
        <w:rPr>
          <w:rFonts w:cs="Arial"/>
          <w:i/>
          <w:color w:val="000000"/>
          <w:sz w:val="20"/>
          <w:szCs w:val="20"/>
        </w:rPr>
        <w:t> </w:t>
      </w:r>
      <w:r w:rsidRPr="00C94641">
        <w:rPr>
          <w:rFonts w:cs="Arial"/>
          <w:i/>
          <w:color w:val="000000"/>
          <w:sz w:val="20"/>
          <w:szCs w:val="20"/>
        </w:rPr>
        <w:t>2.</w:t>
      </w:r>
      <w:r w:rsidRPr="00C94641">
        <w:rPr>
          <w:rStyle w:val="apple-converted-space"/>
          <w:rFonts w:cs="Arial"/>
          <w:i/>
          <w:color w:val="000000"/>
          <w:sz w:val="20"/>
          <w:szCs w:val="20"/>
        </w:rPr>
        <w:t> </w:t>
      </w:r>
      <w:r w:rsidRPr="00C94641">
        <w:rPr>
          <w:rFonts w:cs="Arial"/>
          <w:bCs/>
          <w:i/>
          <w:color w:val="000000"/>
          <w:sz w:val="20"/>
          <w:szCs w:val="20"/>
        </w:rPr>
        <w:t>Selección abreviada</w:t>
      </w:r>
      <w:r w:rsidRPr="00C94641">
        <w:rPr>
          <w:rFonts w:cs="Arial"/>
          <w:bCs/>
          <w:i/>
          <w:iCs/>
          <w:color w:val="000000"/>
          <w:sz w:val="20"/>
          <w:szCs w:val="20"/>
        </w:rPr>
        <w:t>.</w:t>
      </w:r>
      <w:r w:rsidRPr="00C94641">
        <w:rPr>
          <w:rStyle w:val="apple-converted-space"/>
          <w:rFonts w:cs="Arial"/>
          <w:b/>
          <w:bCs/>
          <w:i/>
          <w:iCs/>
          <w:color w:val="000000"/>
          <w:sz w:val="20"/>
          <w:szCs w:val="20"/>
        </w:rPr>
        <w:t> </w:t>
      </w:r>
      <w:r w:rsidRPr="00C94641">
        <w:rPr>
          <w:rFonts w:cs="Arial"/>
          <w:i/>
          <w:color w:val="000000"/>
          <w:sz w:val="20"/>
          <w:szCs w:val="20"/>
        </w:rPr>
        <w:t>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w:t>
      </w:r>
    </w:p>
    <w:p w:rsidR="00A57E29" w:rsidRPr="00C94641" w:rsidRDefault="00A57E29" w:rsidP="00C000B9">
      <w:pPr>
        <w:pStyle w:val="NormalWeb"/>
        <w:shd w:val="clear" w:color="auto" w:fill="FFFFFF"/>
        <w:spacing w:before="0" w:beforeAutospacing="0" w:after="0" w:afterAutospacing="0" w:line="240" w:lineRule="auto"/>
        <w:ind w:right="333"/>
        <w:rPr>
          <w:rFonts w:cs="Arial"/>
          <w:i/>
          <w:color w:val="000000"/>
          <w:sz w:val="20"/>
          <w:szCs w:val="20"/>
        </w:rPr>
      </w:pPr>
      <w:r>
        <w:rPr>
          <w:rFonts w:cs="Arial"/>
          <w:i/>
          <w:color w:val="000000"/>
          <w:sz w:val="20"/>
          <w:szCs w:val="20"/>
        </w:rPr>
        <w:t>“(…).</w:t>
      </w:r>
    </w:p>
    <w:p w:rsidR="00A57E29" w:rsidRPr="00C94641" w:rsidRDefault="00A57E29" w:rsidP="00C000B9">
      <w:pPr>
        <w:pStyle w:val="NormalWeb"/>
        <w:shd w:val="clear" w:color="auto" w:fill="FFFFFF"/>
        <w:spacing w:before="0" w:beforeAutospacing="0" w:after="0" w:afterAutospacing="0" w:line="240" w:lineRule="auto"/>
        <w:ind w:right="333"/>
        <w:rPr>
          <w:rFonts w:cs="Arial"/>
          <w:i/>
          <w:color w:val="000000"/>
          <w:sz w:val="20"/>
          <w:szCs w:val="20"/>
        </w:rPr>
      </w:pPr>
      <w:r>
        <w:rPr>
          <w:rFonts w:cs="Arial"/>
          <w:i/>
          <w:color w:val="000000"/>
          <w:sz w:val="20"/>
          <w:szCs w:val="20"/>
        </w:rPr>
        <w:t>“</w:t>
      </w:r>
      <w:r w:rsidRPr="00C94641">
        <w:rPr>
          <w:rFonts w:cs="Arial"/>
          <w:i/>
          <w:color w:val="000000"/>
          <w:sz w:val="20"/>
          <w:szCs w:val="20"/>
        </w:rPr>
        <w:t>Serán causales de selección abreviada las siguientes:</w:t>
      </w:r>
    </w:p>
    <w:p w:rsidR="00A57E29" w:rsidRPr="00C94641" w:rsidRDefault="00A57E29" w:rsidP="00C000B9">
      <w:pPr>
        <w:spacing w:line="240" w:lineRule="auto"/>
        <w:ind w:right="333"/>
        <w:rPr>
          <w:rFonts w:cs="Arial"/>
          <w:i/>
        </w:rPr>
      </w:pPr>
      <w:r>
        <w:rPr>
          <w:rFonts w:cs="Arial"/>
          <w:i/>
        </w:rPr>
        <w:t>“</w:t>
      </w:r>
      <w:r w:rsidRPr="00C94641">
        <w:rPr>
          <w:rFonts w:cs="Arial"/>
          <w:i/>
        </w:rPr>
        <w:t>(…)</w:t>
      </w:r>
      <w:r>
        <w:rPr>
          <w:rFonts w:cs="Arial"/>
          <w:i/>
        </w:rPr>
        <w:t>.</w:t>
      </w:r>
    </w:p>
    <w:p w:rsidR="00A57E29" w:rsidRPr="00EC1CDD" w:rsidRDefault="00A57E29" w:rsidP="00C000B9">
      <w:pPr>
        <w:pStyle w:val="NormalWeb"/>
        <w:shd w:val="clear" w:color="auto" w:fill="FFFFFF"/>
        <w:spacing w:before="0" w:beforeAutospacing="0" w:after="0" w:afterAutospacing="0" w:line="240" w:lineRule="auto"/>
        <w:ind w:right="333"/>
      </w:pPr>
      <w:r w:rsidRPr="00C94641">
        <w:rPr>
          <w:rFonts w:cs="Arial"/>
          <w:i/>
          <w:color w:val="000000"/>
          <w:sz w:val="20"/>
          <w:szCs w:val="20"/>
        </w:rPr>
        <w:t>e).  La enajenación de bienes del Estado, con excepción de aquellos a que se refiere la Ley 226 de 1995</w:t>
      </w:r>
      <w:r>
        <w:rPr>
          <w:rFonts w:cs="Arial"/>
          <w:i/>
          <w:color w:val="000000"/>
          <w:sz w:val="20"/>
          <w:szCs w:val="20"/>
        </w:rPr>
        <w:t>”</w:t>
      </w:r>
      <w:r w:rsidRPr="00C94641">
        <w:rPr>
          <w:rFonts w:cs="Arial"/>
          <w:i/>
          <w:color w:val="000000"/>
          <w:sz w:val="20"/>
          <w:szCs w:val="20"/>
        </w:rPr>
        <w:t>.</w:t>
      </w:r>
    </w:p>
  </w:footnote>
  <w:footnote w:id="75">
    <w:p w:rsidR="00A57E29" w:rsidRPr="00B136A5" w:rsidRDefault="00A57E29" w:rsidP="00B61DA6">
      <w:pPr>
        <w:pStyle w:val="Textonotapie"/>
        <w:rPr>
          <w:lang w:val="es-CO"/>
        </w:rPr>
      </w:pPr>
      <w:r>
        <w:rPr>
          <w:rStyle w:val="Refdenotaalpie"/>
        </w:rPr>
        <w:footnoteRef/>
      </w:r>
      <w:r>
        <w:t xml:space="preserve"> </w:t>
      </w:r>
      <w:r>
        <w:rPr>
          <w:lang w:val="es-CO"/>
        </w:rPr>
        <w:t>Folios 371 a 382, cuaderno 5</w:t>
      </w:r>
    </w:p>
  </w:footnote>
  <w:footnote w:id="76">
    <w:p w:rsidR="00A57E29" w:rsidRDefault="00A57E29" w:rsidP="00AE377E">
      <w:pPr>
        <w:pStyle w:val="Textonotapie"/>
        <w:spacing w:line="240" w:lineRule="auto"/>
        <w:rPr>
          <w:lang w:val="es-CO"/>
        </w:rPr>
      </w:pPr>
      <w:r>
        <w:rPr>
          <w:rStyle w:val="Refdenotaalpie"/>
        </w:rPr>
        <w:footnoteRef/>
      </w:r>
      <w:r>
        <w:t xml:space="preserve"> </w:t>
      </w:r>
      <w:r>
        <w:rPr>
          <w:lang w:val="es-CO"/>
        </w:rPr>
        <w:t>Folio 384. cuaderno 5. La publicación simultánea del proyecto de pliegos y de la resolución de apertura del proceso de selección abreviada  se evidencia en el detalle de la consulta allegada al proceso en los folios 190 y 191 del cuaderno 5.</w:t>
      </w:r>
    </w:p>
    <w:p w:rsidR="00A57E29" w:rsidRPr="00BF0D47" w:rsidRDefault="00A57E29" w:rsidP="00AE377E">
      <w:pPr>
        <w:pStyle w:val="Textonotapie"/>
        <w:spacing w:line="240" w:lineRule="auto"/>
        <w:rPr>
          <w:lang w:val="es-CO"/>
        </w:rPr>
      </w:pPr>
    </w:p>
  </w:footnote>
  <w:footnote w:id="77">
    <w:p w:rsidR="00A57E29" w:rsidRPr="00520829" w:rsidRDefault="00A57E29" w:rsidP="00AE377E">
      <w:pPr>
        <w:pStyle w:val="NormalWeb"/>
        <w:shd w:val="clear" w:color="auto" w:fill="FFFFFF"/>
        <w:spacing w:line="240" w:lineRule="auto"/>
        <w:rPr>
          <w:rFonts w:cs="Arial"/>
          <w:i/>
          <w:color w:val="000000"/>
          <w:sz w:val="20"/>
          <w:szCs w:val="20"/>
        </w:rPr>
      </w:pPr>
      <w:r w:rsidRPr="00D9147F">
        <w:rPr>
          <w:rStyle w:val="Refdenotaalpie"/>
          <w:rFonts w:cs="Arial"/>
          <w:sz w:val="20"/>
          <w:szCs w:val="20"/>
        </w:rPr>
        <w:footnoteRef/>
      </w:r>
      <w:r w:rsidRPr="00D9147F">
        <w:rPr>
          <w:rFonts w:cs="Arial"/>
          <w:sz w:val="20"/>
          <w:szCs w:val="20"/>
        </w:rPr>
        <w:t xml:space="preserve"> </w:t>
      </w:r>
      <w:r w:rsidRPr="00BF02A2">
        <w:rPr>
          <w:rFonts w:cs="Arial"/>
          <w:bCs/>
          <w:color w:val="000000"/>
          <w:sz w:val="20"/>
          <w:szCs w:val="20"/>
          <w:lang w:val="es-CO" w:eastAsia="en-US" w:bidi="en-US"/>
        </w:rPr>
        <w:t>Ley 1185 de 2008.</w:t>
      </w:r>
      <w:r w:rsidRPr="00BF02A2">
        <w:rPr>
          <w:rFonts w:cs="Arial"/>
          <w:b/>
          <w:bCs/>
          <w:color w:val="000000"/>
          <w:sz w:val="20"/>
          <w:szCs w:val="20"/>
          <w:lang w:val="es-CO" w:eastAsia="en-US" w:bidi="en-US"/>
        </w:rPr>
        <w:t xml:space="preserve"> </w:t>
      </w:r>
      <w:r w:rsidRPr="00BF02A2">
        <w:rPr>
          <w:rFonts w:cs="Arial"/>
          <w:bCs/>
          <w:i/>
          <w:color w:val="000000"/>
          <w:sz w:val="20"/>
          <w:szCs w:val="20"/>
          <w:lang w:val="es-CO" w:eastAsia="en-US" w:bidi="en-US"/>
        </w:rPr>
        <w:t>“</w:t>
      </w:r>
      <w:r w:rsidRPr="00520829">
        <w:rPr>
          <w:rFonts w:cs="Arial"/>
          <w:i/>
          <w:color w:val="000000"/>
          <w:sz w:val="20"/>
          <w:szCs w:val="20"/>
        </w:rPr>
        <w:t>b)</w:t>
      </w:r>
      <w:r w:rsidRPr="00520829">
        <w:rPr>
          <w:rStyle w:val="apple-converted-space"/>
          <w:rFonts w:cs="Arial"/>
          <w:i/>
          <w:color w:val="000000"/>
          <w:sz w:val="20"/>
          <w:szCs w:val="20"/>
        </w:rPr>
        <w:t> </w:t>
      </w:r>
      <w:r w:rsidRPr="00520829">
        <w:rPr>
          <w:rFonts w:cs="Arial"/>
          <w:i/>
          <w:iCs/>
          <w:color w:val="000000"/>
          <w:sz w:val="20"/>
          <w:szCs w:val="20"/>
        </w:rPr>
        <w:t>Aplicación de la presente ley.</w:t>
      </w:r>
      <w:r w:rsidRPr="00520829">
        <w:rPr>
          <w:rStyle w:val="apple-converted-space"/>
          <w:rFonts w:cs="Arial"/>
          <w:i/>
          <w:iCs/>
          <w:color w:val="000000"/>
          <w:sz w:val="20"/>
          <w:szCs w:val="20"/>
        </w:rPr>
        <w:t> </w:t>
      </w:r>
      <w:r w:rsidRPr="00520829">
        <w:rPr>
          <w:rFonts w:cs="Arial"/>
          <w:i/>
          <w:color w:val="000000"/>
          <w:sz w:val="20"/>
          <w:szCs w:val="20"/>
        </w:rPr>
        <w:t xml:space="preserve">Esta ley define un régimen especial de salvaguardia, protección, sostenibilidad, divulgación y estímulo para los bienes del patrimonio cultural de la Nación </w:t>
      </w:r>
      <w:r w:rsidRPr="00520829">
        <w:rPr>
          <w:rFonts w:cs="Arial"/>
          <w:b/>
          <w:i/>
          <w:color w:val="000000"/>
          <w:sz w:val="20"/>
          <w:szCs w:val="20"/>
        </w:rPr>
        <w:t>que sean declarados como bienes de interés cultural</w:t>
      </w:r>
      <w:r w:rsidRPr="00520829">
        <w:rPr>
          <w:rFonts w:cs="Arial"/>
          <w:i/>
          <w:color w:val="000000"/>
          <w:sz w:val="20"/>
          <w:szCs w:val="20"/>
        </w:rPr>
        <w:t xml:space="preserve"> en el caso de bienes materiales y para las manifestaciones incluidas en la Lista Representativa de Patrimonio Cultural Inmaterial, conforme a los criterios de valoración y los requisitos que reglamente para todo el territorio nacional el Ministerio de Cultura.</w:t>
      </w:r>
    </w:p>
    <w:p w:rsidR="00A57E29" w:rsidRPr="00520829" w:rsidRDefault="00A57E29" w:rsidP="00AE377E">
      <w:pPr>
        <w:pStyle w:val="NormalWeb"/>
        <w:shd w:val="clear" w:color="auto" w:fill="FFFFFF"/>
        <w:spacing w:line="240" w:lineRule="auto"/>
      </w:pPr>
      <w:r w:rsidRPr="00520829">
        <w:rPr>
          <w:rFonts w:cs="Arial"/>
          <w:i/>
          <w:color w:val="000000"/>
          <w:sz w:val="20"/>
          <w:szCs w:val="20"/>
        </w:rPr>
        <w:t>“</w:t>
      </w:r>
      <w:r w:rsidRPr="00520829">
        <w:rPr>
          <w:rFonts w:cs="Arial"/>
          <w:b/>
          <w:i/>
          <w:color w:val="000000"/>
          <w:sz w:val="20"/>
          <w:szCs w:val="20"/>
        </w:rPr>
        <w:t>La declaratoria de un bien material como de interés cultural, o la inclusión de una manifestación en la Lista Representativa de Patrimonio Cultural Inmaterial es el acto administrativo mediante el cual, previo cumplimiento del procedimiento previsto en esta ley,</w:t>
      </w:r>
      <w:r w:rsidRPr="00D9147F">
        <w:rPr>
          <w:rFonts w:cs="Arial"/>
          <w:b/>
          <w:color w:val="000000"/>
          <w:sz w:val="20"/>
          <w:szCs w:val="20"/>
        </w:rPr>
        <w:t xml:space="preserve"> </w:t>
      </w:r>
      <w:r w:rsidRPr="00520829">
        <w:rPr>
          <w:rFonts w:cs="Arial"/>
          <w:i/>
          <w:color w:val="000000"/>
          <w:sz w:val="20"/>
          <w:szCs w:val="20"/>
        </w:rPr>
        <w:t>la autoridad nacional o las autoridades territoriales, indígenas o de los consejos comunitarios de las comunidades afrodescendientes, según sus competencias, determinan que un bien o manifestación del patrimonio cultural de la Nación queda cobijado por el Régimen Especial de Protección o de Salvaguardia previsto en la presente ley”.</w:t>
      </w:r>
      <w:r>
        <w:rPr>
          <w:rFonts w:cs="Arial"/>
          <w:i/>
          <w:color w:val="000000"/>
          <w:sz w:val="20"/>
          <w:szCs w:val="20"/>
        </w:rPr>
        <w:t xml:space="preserve"> </w:t>
      </w:r>
      <w:r w:rsidRPr="00520829">
        <w:rPr>
          <w:rFonts w:cs="Arial"/>
          <w:color w:val="000000"/>
          <w:sz w:val="20"/>
          <w:szCs w:val="20"/>
        </w:rPr>
        <w:t>(Se destaca el requisito referido al acto de declaración del patrimonio cultural)</w:t>
      </w:r>
    </w:p>
  </w:footnote>
  <w:footnote w:id="78">
    <w:p w:rsidR="00A57E29" w:rsidRDefault="00A57E29" w:rsidP="00AE377E">
      <w:pPr>
        <w:pStyle w:val="Textonotapie"/>
        <w:spacing w:line="240" w:lineRule="auto"/>
        <w:rPr>
          <w:rFonts w:cs="Arial"/>
        </w:rPr>
      </w:pPr>
      <w:r>
        <w:rPr>
          <w:rStyle w:val="Refdenotaalpie"/>
        </w:rPr>
        <w:footnoteRef/>
      </w:r>
      <w:r>
        <w:rPr>
          <w:rFonts w:cs="Arial"/>
        </w:rPr>
        <w:t xml:space="preserve"> En realidad, el litigio que ahora ocupa la atención de la Sala no versó sobre diferencias en relación con el contenido del banco de germoplasma, ni se pudo esclarecer si con respecto a su material existía una calificación o una condición fáctica de reserva para la protección de la biodiversidad, la cual habría podido significar restricciones de uso o de enajenación. </w:t>
      </w:r>
    </w:p>
    <w:p w:rsidR="00A57E29" w:rsidRPr="00903BD7" w:rsidRDefault="00A57E29" w:rsidP="00AE377E">
      <w:pPr>
        <w:pStyle w:val="Textonotapie"/>
        <w:spacing w:line="240" w:lineRule="auto"/>
        <w:rPr>
          <w:rFonts w:cs="Arial"/>
          <w:lang w:val="es-MX"/>
        </w:rPr>
      </w:pPr>
      <w:r w:rsidRPr="00903BD7">
        <w:rPr>
          <w:rFonts w:cs="Arial"/>
          <w:lang w:val="es-MX"/>
        </w:rPr>
        <w:t xml:space="preserve"> </w:t>
      </w:r>
    </w:p>
  </w:footnote>
  <w:footnote w:id="79">
    <w:p w:rsidR="00A57E29" w:rsidRDefault="00A57E29" w:rsidP="00C7617F">
      <w:pPr>
        <w:pStyle w:val="Textonotapie"/>
        <w:spacing w:line="240" w:lineRule="auto"/>
        <w:rPr>
          <w:rFonts w:cs="Arial"/>
        </w:rPr>
      </w:pPr>
      <w:r w:rsidRPr="00903BD7">
        <w:rPr>
          <w:rStyle w:val="Refdenotaalpie"/>
          <w:rFonts w:cs="Arial"/>
        </w:rPr>
        <w:footnoteRef/>
      </w:r>
      <w:r w:rsidRPr="00903BD7">
        <w:rPr>
          <w:rFonts w:cs="Arial"/>
        </w:rPr>
        <w:t xml:space="preserve"> La Ley 165 de 1994, por la cual se ratifica el Convenio sobre la Diversidad Biológica y el Decreto 4765</w:t>
      </w:r>
      <w:r>
        <w:rPr>
          <w:rFonts w:cs="Arial"/>
        </w:rPr>
        <w:t xml:space="preserve"> de</w:t>
      </w:r>
      <w:r w:rsidRPr="00903BD7">
        <w:rPr>
          <w:rFonts w:cs="Arial"/>
        </w:rPr>
        <w:t xml:space="preserve"> 2008, el cual establecía como funciones de</w:t>
      </w:r>
      <w:r>
        <w:rPr>
          <w:rFonts w:cs="Arial"/>
        </w:rPr>
        <w:t>l</w:t>
      </w:r>
      <w:r w:rsidRPr="00903BD7">
        <w:rPr>
          <w:rFonts w:cs="Arial"/>
        </w:rPr>
        <w:t xml:space="preserve"> ICA</w:t>
      </w:r>
      <w:r>
        <w:rPr>
          <w:rFonts w:cs="Arial"/>
        </w:rPr>
        <w:t>:</w:t>
      </w:r>
      <w:r w:rsidRPr="00903BD7">
        <w:rPr>
          <w:rFonts w:cs="Arial"/>
        </w:rPr>
        <w:t xml:space="preserve"> </w:t>
      </w:r>
      <w:r w:rsidRPr="00C7617F">
        <w:rPr>
          <w:rFonts w:cs="Arial"/>
          <w:i/>
        </w:rPr>
        <w:t xml:space="preserve">“Articulo 5 (…)  </w:t>
      </w:r>
      <w:r w:rsidRPr="00C7617F">
        <w:rPr>
          <w:rFonts w:cs="Arial"/>
          <w:b/>
          <w:bCs/>
          <w:i/>
          <w:color w:val="000000"/>
        </w:rPr>
        <w:t>5.</w:t>
      </w:r>
      <w:r w:rsidRPr="00C7617F">
        <w:rPr>
          <w:rFonts w:cs="Arial"/>
          <w:i/>
          <w:color w:val="000000"/>
        </w:rPr>
        <w:t> </w:t>
      </w:r>
      <w:r w:rsidRPr="00C7617F">
        <w:rPr>
          <w:rFonts w:cs="Arial"/>
          <w:i/>
          <w:color w:val="000000"/>
          <w:shd w:val="clear" w:color="auto" w:fill="FFFFFF"/>
        </w:rPr>
        <w:t xml:space="preserve">Ejercer las funciones previstas en las normas vigentes como autoridad nacional competente para aplicar el régimen de protección a las variedades vegetales. (…). </w:t>
      </w:r>
      <w:r w:rsidRPr="00C7617F">
        <w:rPr>
          <w:rFonts w:cs="Arial"/>
          <w:b/>
          <w:bCs/>
          <w:i/>
          <w:color w:val="000000"/>
        </w:rPr>
        <w:t>8.</w:t>
      </w:r>
      <w:r w:rsidRPr="00C7617F">
        <w:rPr>
          <w:rFonts w:cs="Arial"/>
          <w:i/>
          <w:color w:val="000000"/>
        </w:rPr>
        <w:t> </w:t>
      </w:r>
      <w:r w:rsidRPr="00C7617F">
        <w:rPr>
          <w:rFonts w:cs="Arial"/>
          <w:i/>
          <w:color w:val="000000"/>
          <w:shd w:val="clear" w:color="auto" w:fill="FFFFFF"/>
        </w:rPr>
        <w:t>Procurar la preservación y el correcto aprovechamiento de los recursos genéticos vegetales y animales del país, en el marco de sus competencias</w:t>
      </w:r>
      <w:r w:rsidRPr="00C7617F">
        <w:rPr>
          <w:rFonts w:cs="Arial"/>
          <w:i/>
        </w:rPr>
        <w:t>”</w:t>
      </w:r>
      <w:r>
        <w:rPr>
          <w:rFonts w:cs="Arial"/>
        </w:rPr>
        <w:t xml:space="preserve">. En el avalúo del IGAC, realizado el 10 de diciembre de 2010, se excluyen las áreas correspondientes a los cultivos de chontaduro, híbrido, nolí y cacao, equivalentes a 18 hectáreas </w:t>
      </w:r>
      <w:r w:rsidRPr="00AB7F5C">
        <w:rPr>
          <w:rFonts w:cs="Arial"/>
          <w:i/>
        </w:rPr>
        <w:t>“por pertenecer al Banco de Germoplasma el cual es una reserva nacional y son especies para su conservación”</w:t>
      </w:r>
      <w:r>
        <w:rPr>
          <w:rFonts w:cs="Arial"/>
        </w:rPr>
        <w:t>,</w:t>
      </w:r>
      <w:r w:rsidRPr="00903BD7">
        <w:rPr>
          <w:rFonts w:cs="Arial"/>
        </w:rPr>
        <w:t xml:space="preserve"> </w:t>
      </w:r>
      <w:r>
        <w:rPr>
          <w:rFonts w:cs="Arial"/>
        </w:rPr>
        <w:t xml:space="preserve"> folio 266, cuaderno 5.</w:t>
      </w:r>
    </w:p>
    <w:p w:rsidR="00A57E29" w:rsidRPr="00903BD7" w:rsidRDefault="00A57E29" w:rsidP="00B61DA6">
      <w:pPr>
        <w:pStyle w:val="Textonotapie"/>
        <w:rPr>
          <w:rFonts w:cs="Arial"/>
          <w:lang w:val="es-MX"/>
        </w:rPr>
      </w:pPr>
    </w:p>
  </w:footnote>
  <w:footnote w:id="80">
    <w:p w:rsidR="00A57E29" w:rsidRPr="00C7617F" w:rsidRDefault="00A57E29" w:rsidP="00C7617F">
      <w:pPr>
        <w:spacing w:line="240" w:lineRule="auto"/>
        <w:rPr>
          <w:rFonts w:cs="Arial"/>
          <w:sz w:val="20"/>
          <w:szCs w:val="20"/>
        </w:rPr>
      </w:pPr>
      <w:r w:rsidRPr="00903BD7">
        <w:rPr>
          <w:rStyle w:val="Refdenotaalpie"/>
          <w:rFonts w:cs="Arial"/>
        </w:rPr>
        <w:footnoteRef/>
      </w:r>
      <w:r w:rsidRPr="00903BD7">
        <w:rPr>
          <w:rFonts w:cs="Arial"/>
        </w:rPr>
        <w:t xml:space="preserve"> </w:t>
      </w:r>
      <w:r w:rsidRPr="00C7617F">
        <w:rPr>
          <w:rFonts w:cs="Arial"/>
          <w:bCs/>
          <w:color w:val="000000"/>
          <w:sz w:val="20"/>
          <w:szCs w:val="20"/>
        </w:rPr>
        <w:t xml:space="preserve">Decreto 4637 de 2008- </w:t>
      </w:r>
      <w:r w:rsidRPr="00C7617F">
        <w:rPr>
          <w:rFonts w:cs="Arial"/>
          <w:bCs/>
          <w:i/>
          <w:color w:val="000000"/>
          <w:sz w:val="20"/>
          <w:szCs w:val="20"/>
        </w:rPr>
        <w:t>“</w:t>
      </w:r>
      <w:r w:rsidRPr="00C7617F">
        <w:rPr>
          <w:rFonts w:cs="Arial"/>
          <w:bCs/>
          <w:i/>
          <w:color w:val="000000"/>
          <w:sz w:val="20"/>
          <w:szCs w:val="20"/>
          <w:shd w:val="clear" w:color="auto" w:fill="FFFFFF"/>
        </w:rPr>
        <w:t>Artículo 2°.</w:t>
      </w:r>
      <w:r w:rsidRPr="00C7617F">
        <w:rPr>
          <w:rStyle w:val="apple-converted-space"/>
          <w:rFonts w:cs="Arial"/>
          <w:b/>
          <w:bCs/>
          <w:i/>
          <w:color w:val="000000"/>
          <w:sz w:val="20"/>
          <w:szCs w:val="20"/>
          <w:shd w:val="clear" w:color="auto" w:fill="FFFFFF"/>
        </w:rPr>
        <w:t> </w:t>
      </w:r>
      <w:r w:rsidRPr="00C7617F">
        <w:rPr>
          <w:rFonts w:cs="Arial"/>
          <w:i/>
          <w:iCs/>
          <w:color w:val="000000"/>
          <w:sz w:val="20"/>
          <w:szCs w:val="20"/>
          <w:shd w:val="clear" w:color="auto" w:fill="FFFFFF"/>
        </w:rPr>
        <w:t>Planes de Enajenación Onerosa.</w:t>
      </w:r>
      <w:r w:rsidRPr="00C7617F">
        <w:rPr>
          <w:rStyle w:val="apple-converted-space"/>
          <w:rFonts w:cs="Arial"/>
          <w:i/>
          <w:iCs/>
          <w:color w:val="000000"/>
          <w:sz w:val="20"/>
          <w:szCs w:val="20"/>
          <w:shd w:val="clear" w:color="auto" w:fill="FFFFFF"/>
        </w:rPr>
        <w:t> </w:t>
      </w:r>
      <w:r w:rsidRPr="00C7617F">
        <w:rPr>
          <w:rFonts w:cs="Arial"/>
          <w:i/>
          <w:color w:val="000000"/>
          <w:sz w:val="20"/>
          <w:szCs w:val="20"/>
          <w:shd w:val="clear" w:color="auto" w:fill="FFFFFF"/>
        </w:rPr>
        <w:t xml:space="preserve">Los Planes de Enajenación Onerosa son aquellos actos a través de los cuales las entidades públicas realizan una identificación de sus </w:t>
      </w:r>
      <w:r w:rsidRPr="00C7617F">
        <w:rPr>
          <w:rFonts w:cs="Arial"/>
          <w:b/>
          <w:i/>
          <w:color w:val="000000"/>
          <w:sz w:val="20"/>
          <w:szCs w:val="20"/>
          <w:shd w:val="clear" w:color="auto" w:fill="FFFFFF"/>
        </w:rPr>
        <w:t>bienes inmuebles fiscales</w:t>
      </w:r>
      <w:r w:rsidRPr="00C7617F">
        <w:rPr>
          <w:rFonts w:cs="Arial"/>
          <w:i/>
          <w:color w:val="000000"/>
          <w:sz w:val="20"/>
          <w:szCs w:val="20"/>
          <w:shd w:val="clear" w:color="auto" w:fill="FFFFFF"/>
        </w:rPr>
        <w:t xml:space="preserve"> que no tienen vocación para la construcción de vivienda de interés social, </w:t>
      </w:r>
      <w:r w:rsidRPr="00C7617F">
        <w:rPr>
          <w:rFonts w:cs="Arial"/>
          <w:b/>
          <w:i/>
          <w:color w:val="000000"/>
          <w:sz w:val="20"/>
          <w:szCs w:val="20"/>
          <w:shd w:val="clear" w:color="auto" w:fill="FFFFFF"/>
        </w:rPr>
        <w:t>que no los requiere la entidad para el desarrollo de sus funciones,</w:t>
      </w:r>
      <w:r w:rsidRPr="00C7617F">
        <w:rPr>
          <w:rFonts w:cs="Arial"/>
          <w:i/>
          <w:color w:val="000000"/>
          <w:sz w:val="20"/>
          <w:szCs w:val="20"/>
          <w:shd w:val="clear" w:color="auto" w:fill="FFFFFF"/>
        </w:rPr>
        <w:t xml:space="preserve"> así como aquellos que no han sido solicitados por otras entidades para el desarrollo de programas contemplados en el Plan Nacional de Desarrollo, y los que se encuentran incluidos en el artículo 3° del presente decreto”</w:t>
      </w:r>
      <w:r w:rsidRPr="00C7617F">
        <w:rPr>
          <w:rFonts w:cs="Arial"/>
          <w:color w:val="000000"/>
          <w:sz w:val="20"/>
          <w:szCs w:val="20"/>
          <w:shd w:val="clear" w:color="auto" w:fill="FFFFFF"/>
        </w:rPr>
        <w:t xml:space="preserve"> (</w:t>
      </w:r>
      <w:r>
        <w:rPr>
          <w:rFonts w:cs="Arial"/>
          <w:color w:val="000000"/>
          <w:sz w:val="20"/>
          <w:szCs w:val="20"/>
          <w:shd w:val="clear" w:color="auto" w:fill="FFFFFF"/>
        </w:rPr>
        <w:t>l</w:t>
      </w:r>
      <w:r w:rsidRPr="00C7617F">
        <w:rPr>
          <w:rFonts w:cs="Arial"/>
          <w:color w:val="000000"/>
          <w:sz w:val="20"/>
          <w:szCs w:val="20"/>
          <w:shd w:val="clear" w:color="auto" w:fill="FFFFFF"/>
        </w:rPr>
        <w:t xml:space="preserve">a negrilla no es del texto). </w:t>
      </w:r>
    </w:p>
    <w:p w:rsidR="00A57E29" w:rsidRPr="00C7617F" w:rsidRDefault="00A57E29" w:rsidP="00B61DA6">
      <w:pPr>
        <w:pStyle w:val="Textonotapie"/>
        <w:rPr>
          <w:rFonts w:cs="Arial"/>
          <w:lang w:val="es-MX"/>
        </w:rPr>
      </w:pPr>
    </w:p>
  </w:footnote>
  <w:footnote w:id="81">
    <w:p w:rsidR="00A57E29" w:rsidRPr="00827341" w:rsidRDefault="00A57E29" w:rsidP="00B61DA6">
      <w:pPr>
        <w:pStyle w:val="Textonotapie"/>
        <w:rPr>
          <w:lang w:val="es-CO"/>
        </w:rPr>
      </w:pPr>
      <w:r>
        <w:rPr>
          <w:rStyle w:val="Refdenotaalpie"/>
        </w:rPr>
        <w:footnoteRef/>
      </w:r>
      <w:r>
        <w:t xml:space="preserve"> </w:t>
      </w:r>
      <w:r>
        <w:rPr>
          <w:lang w:val="es-CO"/>
        </w:rPr>
        <w:t>Folio 83, cuaderno 2.</w:t>
      </w:r>
    </w:p>
  </w:footnote>
  <w:footnote w:id="82">
    <w:p w:rsidR="00A57E29" w:rsidRDefault="00A57E29" w:rsidP="00B61DA6">
      <w:pPr>
        <w:pStyle w:val="Textonotapie"/>
        <w:spacing w:line="240" w:lineRule="auto"/>
        <w:rPr>
          <w:lang w:val="es-CO"/>
        </w:rPr>
      </w:pPr>
      <w:r>
        <w:rPr>
          <w:rStyle w:val="Refdenotaalpie"/>
        </w:rPr>
        <w:footnoteRef/>
      </w:r>
      <w:r>
        <w:t xml:space="preserve"> </w:t>
      </w:r>
      <w:r>
        <w:rPr>
          <w:lang w:val="es-CO"/>
        </w:rPr>
        <w:t>Folios 437 a 443, cuaderno principal. La Procuraduría Segunda Delegada de Contratación Estatal consideró que si hubo fallas en los avalúos fueron cometidas por los avaluadores y no del funcionario investigado. Según las declaraciones de los avaluadores, en el primer avalúo no se habría tenido en cuenta que el principal cultivo y fuente de ingreso del predio El Mira se había visto afectado por la pudrición del cogollo. En la decisión de la Procuraduría se observó que el Decreto 4444 de 2008 permitía que el monto del avalúo se afectara por los gastos e ingresos del predio.</w:t>
      </w:r>
    </w:p>
    <w:p w:rsidR="00A57E29" w:rsidRPr="003A20A7" w:rsidRDefault="00A57E29" w:rsidP="00B61DA6">
      <w:pPr>
        <w:pStyle w:val="Textonotapie"/>
        <w:spacing w:line="240" w:lineRule="auto"/>
        <w:rPr>
          <w:lang w:val="es-CO"/>
        </w:rPr>
      </w:pPr>
    </w:p>
  </w:footnote>
  <w:footnote w:id="83">
    <w:p w:rsidR="00A57E29" w:rsidRPr="004B663C" w:rsidRDefault="00A57E29" w:rsidP="00275462">
      <w:pPr>
        <w:pStyle w:val="Textonotapie"/>
        <w:spacing w:line="240" w:lineRule="auto"/>
        <w:ind w:right="51"/>
        <w:rPr>
          <w:i/>
        </w:rPr>
      </w:pPr>
      <w:r>
        <w:rPr>
          <w:rStyle w:val="Refdenotaalpie"/>
        </w:rPr>
        <w:footnoteRef/>
      </w:r>
      <w:r>
        <w:t xml:space="preserve"> “</w:t>
      </w:r>
      <w:r w:rsidRPr="004B663C">
        <w:rPr>
          <w:i/>
        </w:rPr>
        <w:t>5.3. Cargo frente al parágrafo único del artículo 6º, parágrafo 5º del artículo 8º parcialmente, artículo 9 parcialmente, el número 3 del artículo 77 parcialmente, así como su parágrafo 2º, el parágrafo del artículo 79 del Decreto 2474 de 2008, y el artículo 83, parcialmente, del Decreto 066 de 2008</w:t>
      </w:r>
      <w:r>
        <w:rPr>
          <w:i/>
        </w:rPr>
        <w:t>.</w:t>
      </w:r>
      <w:r w:rsidRPr="004B663C">
        <w:rPr>
          <w:i/>
        </w:rPr>
        <w:t xml:space="preserve"> </w:t>
      </w:r>
    </w:p>
    <w:p w:rsidR="00A57E29" w:rsidRPr="004B663C" w:rsidRDefault="00A57E29" w:rsidP="00275462">
      <w:pPr>
        <w:pStyle w:val="Textonotapie"/>
        <w:spacing w:line="240" w:lineRule="auto"/>
        <w:ind w:right="51"/>
        <w:rPr>
          <w:i/>
        </w:rPr>
      </w:pPr>
    </w:p>
    <w:p w:rsidR="00A57E29" w:rsidRPr="004B663C" w:rsidRDefault="00A57E29" w:rsidP="00275462">
      <w:pPr>
        <w:pStyle w:val="Textonotapie"/>
        <w:spacing w:line="240" w:lineRule="auto"/>
        <w:ind w:right="51"/>
      </w:pPr>
      <w:r w:rsidRPr="004B663C">
        <w:t>“</w:t>
      </w:r>
      <w:r w:rsidRPr="004B663C">
        <w:rPr>
          <w:rFonts w:cs="Arial"/>
          <w:bCs/>
          <w:i/>
          <w:color w:val="000000"/>
          <w:shd w:val="clear" w:color="auto" w:fill="FFFFFF"/>
        </w:rPr>
        <w:t>Artículo </w:t>
      </w:r>
      <w:bookmarkStart w:id="6" w:name="79"/>
      <w:r w:rsidRPr="004B663C">
        <w:rPr>
          <w:rFonts w:cs="Arial"/>
          <w:bCs/>
          <w:i/>
          <w:color w:val="000000"/>
          <w:shd w:val="clear" w:color="auto" w:fill="FFFFFF"/>
        </w:rPr>
        <w:t> </w:t>
      </w:r>
      <w:bookmarkEnd w:id="6"/>
      <w:r w:rsidRPr="004B663C">
        <w:rPr>
          <w:rFonts w:cs="Arial"/>
          <w:bCs/>
          <w:i/>
          <w:color w:val="000000"/>
          <w:shd w:val="clear" w:color="auto" w:fill="FFFFFF"/>
        </w:rPr>
        <w:t>79.</w:t>
      </w:r>
      <w:r w:rsidRPr="004B663C">
        <w:rPr>
          <w:rStyle w:val="apple-converted-space"/>
          <w:rFonts w:cs="Arial"/>
          <w:b/>
          <w:bCs/>
          <w:i/>
          <w:color w:val="000000"/>
          <w:shd w:val="clear" w:color="auto" w:fill="FFFFFF"/>
        </w:rPr>
        <w:t> </w:t>
      </w:r>
      <w:r w:rsidRPr="004B663C">
        <w:rPr>
          <w:rFonts w:cs="Arial"/>
          <w:i/>
          <w:color w:val="000000"/>
          <w:shd w:val="clear" w:color="auto" w:fill="FFFFFF"/>
        </w:rPr>
        <w:t>Contratación reservada del Sector Defensa y el DAS. Para los efectos previstos en el numeral 4 literal d) del artículo 2° de la Ley 1150 de 2007</w:t>
      </w:r>
      <w:r>
        <w:rPr>
          <w:rFonts w:cs="Arial"/>
          <w:i/>
          <w:color w:val="000000"/>
          <w:shd w:val="clear" w:color="auto" w:fill="FFFFFF"/>
        </w:rPr>
        <w:t xml:space="preserve"> </w:t>
      </w:r>
      <w:r w:rsidRPr="00C969CB">
        <w:rPr>
          <w:rFonts w:cs="Arial"/>
          <w:color w:val="000000"/>
          <w:shd w:val="clear" w:color="auto" w:fill="FFFFFF"/>
        </w:rPr>
        <w:t>[contratación directa]</w:t>
      </w:r>
      <w:r w:rsidRPr="004B663C">
        <w:rPr>
          <w:rFonts w:cs="Arial"/>
          <w:i/>
          <w:color w:val="000000"/>
          <w:shd w:val="clear" w:color="auto" w:fill="FFFFFF"/>
        </w:rPr>
        <w:t>, entiéndase por bienes y servicios en el sector defensa que necesitan reserva para su adquisición los siguientes (…)</w:t>
      </w:r>
      <w:r>
        <w:rPr>
          <w:rFonts w:cs="Arial"/>
          <w:i/>
          <w:color w:val="000000"/>
          <w:shd w:val="clear" w:color="auto" w:fill="FFFFFF"/>
        </w:rPr>
        <w:t xml:space="preserve"> </w:t>
      </w:r>
      <w:r w:rsidRPr="004B663C">
        <w:rPr>
          <w:i/>
        </w:rPr>
        <w:t xml:space="preserve">“Parágrafo. </w:t>
      </w:r>
      <w:r w:rsidRPr="004B663C">
        <w:rPr>
          <w:i/>
          <w:u w:val="single"/>
        </w:rPr>
        <w:t>Los contratos que se suscriban para la adquisición de los bienes o servicios a que hace referencia el presente artículo no requerirán de la obtención previa de varias ofertas y tendrán como única consideración la adquisición en condiciones de mercado</w:t>
      </w:r>
      <w:r w:rsidRPr="004B663C">
        <w:rPr>
          <w:i/>
        </w:rPr>
        <w:t xml:space="preserve">. Las condiciones técnicas de los contratos a que se refiere este artículo no pueden ser reveladas y en consecuencia se exceptúan de publicación.” </w:t>
      </w:r>
      <w:r w:rsidRPr="004B663C">
        <w:t xml:space="preserve">(Lo subrayado corresponde a lo demandado en la acción de nulidad). </w:t>
      </w:r>
    </w:p>
    <w:p w:rsidR="00A57E29" w:rsidRPr="004B663C" w:rsidRDefault="00A57E29" w:rsidP="00275462">
      <w:pPr>
        <w:pStyle w:val="Textonotapie"/>
        <w:spacing w:line="240" w:lineRule="auto"/>
        <w:ind w:right="51"/>
      </w:pPr>
    </w:p>
    <w:p w:rsidR="00A57E29" w:rsidRPr="004B663C" w:rsidRDefault="00A57E29" w:rsidP="00275462">
      <w:pPr>
        <w:pStyle w:val="Textonotapie"/>
        <w:spacing w:line="240" w:lineRule="auto"/>
        <w:ind w:right="51"/>
      </w:pPr>
      <w:r>
        <w:t>Respecto del cargo que se reseña se decidió:</w:t>
      </w:r>
    </w:p>
    <w:p w:rsidR="00A57E29" w:rsidRPr="004B663C" w:rsidRDefault="00A57E29" w:rsidP="00275462">
      <w:pPr>
        <w:pStyle w:val="Textonotapie"/>
        <w:spacing w:line="240" w:lineRule="auto"/>
        <w:ind w:right="51"/>
      </w:pPr>
    </w:p>
    <w:p w:rsidR="00A57E29" w:rsidRPr="004B663C" w:rsidRDefault="00A57E29" w:rsidP="00275462">
      <w:pPr>
        <w:pStyle w:val="Textonotapie"/>
        <w:spacing w:line="240" w:lineRule="auto"/>
        <w:ind w:right="51"/>
        <w:rPr>
          <w:i/>
        </w:rPr>
      </w:pPr>
      <w:r w:rsidRPr="004B663C">
        <w:rPr>
          <w:i/>
        </w:rPr>
        <w:t xml:space="preserve">“DECIMOPRIMERO.- </w:t>
      </w:r>
      <w:r w:rsidRPr="004B663C">
        <w:rPr>
          <w:b/>
          <w:i/>
        </w:rPr>
        <w:t>NIÉGANSE</w:t>
      </w:r>
      <w:r w:rsidRPr="004B663C">
        <w:rPr>
          <w:i/>
        </w:rPr>
        <w:t xml:space="preserve"> las demás pretensiones de la demanda, relacionadas con los artículos 5, 6, 8, 9, 77 y 79 del Decreto 2474 de 2008 y del artículo 83 del Decreto 066 de 2008”.</w:t>
      </w:r>
    </w:p>
    <w:p w:rsidR="00A57E29" w:rsidRPr="004B663C" w:rsidRDefault="00A57E29" w:rsidP="00275462">
      <w:pPr>
        <w:pStyle w:val="Textonotapie"/>
        <w:spacing w:line="240" w:lineRule="auto"/>
        <w:ind w:right="51"/>
        <w:rPr>
          <w:lang w:val="es-CO"/>
        </w:rPr>
      </w:pPr>
    </w:p>
  </w:footnote>
  <w:footnote w:id="84">
    <w:p w:rsidR="00A57E29" w:rsidRPr="004B663C" w:rsidRDefault="00A57E29" w:rsidP="00275462">
      <w:pPr>
        <w:pStyle w:val="Textonotapie"/>
        <w:ind w:right="51"/>
        <w:rPr>
          <w:lang w:val="es-CO"/>
        </w:rPr>
      </w:pPr>
      <w:r w:rsidRPr="004B663C">
        <w:rPr>
          <w:rStyle w:val="Refdenotaalpie"/>
        </w:rPr>
        <w:footnoteRef/>
      </w:r>
      <w:r w:rsidRPr="004B663C">
        <w:t xml:space="preserve"> </w:t>
      </w:r>
      <w:r w:rsidRPr="004B663C">
        <w:rPr>
          <w:lang w:val="es-CO"/>
        </w:rPr>
        <w:t>Artículos 46 y 52</w:t>
      </w:r>
      <w:r>
        <w:rPr>
          <w:lang w:val="es-CO"/>
        </w:rPr>
        <w:t xml:space="preserve"> del Decreto 2474 de 2008.</w:t>
      </w:r>
      <w:r w:rsidRPr="004B663C">
        <w:rPr>
          <w:lang w:val="es-CO"/>
        </w:rPr>
        <w:t xml:space="preserve">. </w:t>
      </w:r>
    </w:p>
  </w:footnote>
  <w:footnote w:id="85">
    <w:p w:rsidR="00A57E29" w:rsidRPr="009800E7" w:rsidRDefault="00A57E29" w:rsidP="00B61DA6">
      <w:pPr>
        <w:pStyle w:val="Textonotapie"/>
        <w:spacing w:line="240" w:lineRule="auto"/>
        <w:rPr>
          <w:lang w:val="es-MX"/>
        </w:rPr>
      </w:pPr>
      <w:r>
        <w:rPr>
          <w:rStyle w:val="Refdenotaalpie"/>
        </w:rPr>
        <w:footnoteRef/>
      </w:r>
      <w:r>
        <w:t xml:space="preserve"> </w:t>
      </w:r>
      <w:r w:rsidRPr="00587791">
        <w:rPr>
          <w:rFonts w:cs="Arial"/>
          <w:spacing w:val="4"/>
          <w:lang w:val="es-ES_tradnl"/>
        </w:rPr>
        <w:t xml:space="preserve">Consejo </w:t>
      </w:r>
      <w:r>
        <w:rPr>
          <w:rFonts w:cs="Arial"/>
          <w:spacing w:val="4"/>
          <w:lang w:val="es-ES_tradnl"/>
        </w:rPr>
        <w:t>d</w:t>
      </w:r>
      <w:r w:rsidRPr="00587791">
        <w:rPr>
          <w:rFonts w:cs="Arial"/>
          <w:spacing w:val="4"/>
          <w:lang w:val="es-ES_tradnl"/>
        </w:rPr>
        <w:t xml:space="preserve">e Estado, Sala </w:t>
      </w:r>
      <w:r>
        <w:rPr>
          <w:rFonts w:cs="Arial"/>
          <w:spacing w:val="4"/>
          <w:lang w:val="es-ES_tradnl"/>
        </w:rPr>
        <w:t>d</w:t>
      </w:r>
      <w:r w:rsidRPr="00587791">
        <w:rPr>
          <w:rFonts w:cs="Arial"/>
          <w:spacing w:val="4"/>
          <w:lang w:val="es-ES_tradnl"/>
        </w:rPr>
        <w:t xml:space="preserve">e </w:t>
      </w:r>
      <w:r>
        <w:rPr>
          <w:rFonts w:cs="Arial"/>
          <w:spacing w:val="4"/>
          <w:lang w:val="es-ES_tradnl"/>
        </w:rPr>
        <w:t>l</w:t>
      </w:r>
      <w:r w:rsidRPr="00587791">
        <w:rPr>
          <w:rFonts w:cs="Arial"/>
          <w:spacing w:val="4"/>
          <w:lang w:val="es-ES_tradnl"/>
        </w:rPr>
        <w:t xml:space="preserve">o Contencioso Administrativo, Sección Tercera, Sala Plena, Consejero Ponente: Hernán Andrade Rincón, radicación; </w:t>
      </w:r>
      <w:r w:rsidRPr="00587791">
        <w:rPr>
          <w:rFonts w:cs="Arial"/>
          <w:iCs/>
          <w:lang w:val="es-ES_tradnl"/>
        </w:rPr>
        <w:t>11001032600020090004300</w:t>
      </w:r>
      <w:r w:rsidRPr="00587791">
        <w:rPr>
          <w:rFonts w:cs="Arial"/>
          <w:spacing w:val="4"/>
          <w:lang w:val="es-ES_tradnl"/>
        </w:rPr>
        <w:t xml:space="preserve">  (36805), sentencia de </w:t>
      </w:r>
      <w:r w:rsidRPr="00587791">
        <w:rPr>
          <w:rFonts w:cs="Arial"/>
          <w:spacing w:val="2"/>
          <w:lang w:val="es-ES_tradnl"/>
        </w:rPr>
        <w:t xml:space="preserve">23 de julio de 2015, </w:t>
      </w:r>
      <w:r>
        <w:rPr>
          <w:rFonts w:cs="Arial"/>
          <w:spacing w:val="2"/>
          <w:lang w:val="es-ES_tradnl"/>
        </w:rPr>
        <w:t>actor</w:t>
      </w:r>
      <w:r w:rsidRPr="00587791">
        <w:rPr>
          <w:rFonts w:cs="Arial"/>
          <w:spacing w:val="2"/>
          <w:lang w:val="es-ES_tradnl"/>
        </w:rPr>
        <w:t>: Martín Bermúdez Muñoz, demandado: La Nación Presidencia de la República y otro</w:t>
      </w:r>
      <w:r>
        <w:rPr>
          <w:rFonts w:cs="Arial"/>
          <w:spacing w:val="2"/>
          <w:lang w:val="es-ES_tradnl"/>
        </w:rPr>
        <w:t>,</w:t>
      </w:r>
      <w:r w:rsidRPr="00587791">
        <w:rPr>
          <w:rFonts w:cs="Arial"/>
          <w:spacing w:val="2"/>
          <w:lang w:val="es-ES_tradnl"/>
        </w:rPr>
        <w:t xml:space="preserve"> acción: nulidad</w:t>
      </w:r>
      <w:r w:rsidRPr="00587791">
        <w:rPr>
          <w:rFonts w:cs="Arial"/>
          <w:spacing w:val="4"/>
          <w:lang w:val="es-ES_tradnl"/>
        </w:rPr>
        <w:t xml:space="preserve"> (disposiciones de los decretos 066 del 16 de enero de 2008, 2474 del 7 de julio de 2008 y 127 del 19 de enero de 2009).</w:t>
      </w:r>
    </w:p>
  </w:footnote>
  <w:footnote w:id="86">
    <w:p w:rsidR="00A57E29" w:rsidRPr="00B94DF5" w:rsidRDefault="00A57E29" w:rsidP="00F2066B">
      <w:pPr>
        <w:pStyle w:val="Textonotapie"/>
        <w:spacing w:line="240" w:lineRule="auto"/>
        <w:rPr>
          <w:rFonts w:cs="Arial"/>
        </w:rPr>
      </w:pPr>
      <w:r w:rsidRPr="00B94DF5">
        <w:rPr>
          <w:rStyle w:val="Refdenotaalpie"/>
          <w:rFonts w:cs="Arial"/>
        </w:rPr>
        <w:footnoteRef/>
      </w:r>
      <w:r w:rsidRPr="00B94DF5">
        <w:rPr>
          <w:rFonts w:cs="Arial"/>
        </w:rPr>
        <w:t xml:space="preserve"> Cita original de la sentencia: Consejo de Estado, Sala Plena de lo Contencioso Administrativo, sentencia del catorce (14) de febrero de 2012, M.P.: Jaime Orlando Santofimio Gamboa, radicacion.: 11001-03-26-000-2010-00036-01(IJ).</w:t>
      </w:r>
    </w:p>
    <w:p w:rsidR="00A57E29" w:rsidRPr="00B94DF5" w:rsidRDefault="00A57E29" w:rsidP="00F2066B">
      <w:pPr>
        <w:pStyle w:val="Textonotapie"/>
        <w:spacing w:line="240" w:lineRule="auto"/>
        <w:rPr>
          <w:rFonts w:cs="Arial"/>
        </w:rPr>
      </w:pPr>
    </w:p>
  </w:footnote>
  <w:footnote w:id="87">
    <w:p w:rsidR="00A57E29" w:rsidRPr="00D40294" w:rsidRDefault="00A57E29" w:rsidP="00AA2239">
      <w:pPr>
        <w:pStyle w:val="Textonotapie"/>
        <w:rPr>
          <w:rFonts w:cs="Arial"/>
          <w:sz w:val="18"/>
          <w:szCs w:val="18"/>
        </w:rPr>
      </w:pPr>
      <w:r w:rsidRPr="00B94DF5">
        <w:rPr>
          <w:rStyle w:val="Refdenotaalpie"/>
          <w:rFonts w:cs="Arial"/>
        </w:rPr>
        <w:footnoteRef/>
      </w:r>
      <w:r w:rsidRPr="00B94DF5">
        <w:rPr>
          <w:rFonts w:cs="Arial"/>
        </w:rPr>
        <w:t xml:space="preserve"> Cita original de la sentencia. “Decretos 1609 y 2316, ambos de 2013, 1512 de 2014, y, 2468 de 2015</w:t>
      </w:r>
      <w:r>
        <w:rPr>
          <w:rFonts w:cs="Arial"/>
          <w:sz w:val="18"/>
          <w:szCs w:val="18"/>
        </w:rPr>
        <w:t>”</w:t>
      </w:r>
      <w:r w:rsidRPr="00D40294">
        <w:rPr>
          <w:rFonts w:cs="Arial"/>
          <w:sz w:val="18"/>
          <w:szCs w:val="18"/>
        </w:rPr>
        <w:t>.</w:t>
      </w:r>
    </w:p>
  </w:footnote>
  <w:footnote w:id="88">
    <w:p w:rsidR="00A57E29" w:rsidRPr="005F3C35" w:rsidRDefault="00A57E29" w:rsidP="00F2066B">
      <w:pPr>
        <w:autoSpaceDE w:val="0"/>
        <w:autoSpaceDN w:val="0"/>
        <w:adjustRightInd w:val="0"/>
        <w:spacing w:line="240" w:lineRule="auto"/>
        <w:outlineLvl w:val="0"/>
        <w:rPr>
          <w:rFonts w:eastAsia="Arial" w:cs="Arial"/>
          <w:sz w:val="20"/>
          <w:szCs w:val="20"/>
        </w:rPr>
      </w:pPr>
      <w:r>
        <w:rPr>
          <w:rStyle w:val="Refdenotaalpie"/>
        </w:rPr>
        <w:footnoteRef/>
      </w:r>
      <w:r>
        <w:t xml:space="preserve"> </w:t>
      </w:r>
      <w:r w:rsidRPr="00F2066B">
        <w:rPr>
          <w:rFonts w:cs="Arial"/>
          <w:sz w:val="20"/>
          <w:szCs w:val="20"/>
        </w:rPr>
        <w:t xml:space="preserve">Consejo </w:t>
      </w:r>
      <w:r>
        <w:rPr>
          <w:rFonts w:cs="Arial"/>
          <w:sz w:val="20"/>
          <w:szCs w:val="20"/>
        </w:rPr>
        <w:t>d</w:t>
      </w:r>
      <w:r w:rsidRPr="00F2066B">
        <w:rPr>
          <w:rFonts w:cs="Arial"/>
          <w:sz w:val="20"/>
          <w:szCs w:val="20"/>
        </w:rPr>
        <w:t xml:space="preserve">e Estado, Sala </w:t>
      </w:r>
      <w:r>
        <w:rPr>
          <w:rFonts w:cs="Arial"/>
          <w:sz w:val="20"/>
          <w:szCs w:val="20"/>
        </w:rPr>
        <w:t>d</w:t>
      </w:r>
      <w:r w:rsidRPr="00F2066B">
        <w:rPr>
          <w:rFonts w:cs="Arial"/>
          <w:sz w:val="20"/>
          <w:szCs w:val="20"/>
        </w:rPr>
        <w:t xml:space="preserve">e </w:t>
      </w:r>
      <w:r>
        <w:rPr>
          <w:rFonts w:cs="Arial"/>
          <w:sz w:val="20"/>
          <w:szCs w:val="20"/>
        </w:rPr>
        <w:t>l</w:t>
      </w:r>
      <w:r w:rsidRPr="00F2066B">
        <w:rPr>
          <w:rFonts w:cs="Arial"/>
          <w:sz w:val="20"/>
          <w:szCs w:val="20"/>
        </w:rPr>
        <w:t xml:space="preserve">o Contencioso Administrativo, Sección Cuarta, Consejero </w:t>
      </w:r>
      <w:r>
        <w:rPr>
          <w:rFonts w:cs="Arial"/>
          <w:sz w:val="20"/>
          <w:szCs w:val="20"/>
        </w:rPr>
        <w:t>p</w:t>
      </w:r>
      <w:r w:rsidRPr="00F2066B">
        <w:rPr>
          <w:rFonts w:cs="Arial"/>
          <w:sz w:val="20"/>
          <w:szCs w:val="20"/>
        </w:rPr>
        <w:t xml:space="preserve">onente: Jorge Octavio Ramírez Ramírez, </w:t>
      </w:r>
      <w:r>
        <w:rPr>
          <w:rFonts w:cs="Arial"/>
          <w:sz w:val="20"/>
          <w:szCs w:val="20"/>
        </w:rPr>
        <w:t xml:space="preserve">sentencia de </w:t>
      </w:r>
      <w:r w:rsidRPr="00F2066B">
        <w:rPr>
          <w:rFonts w:cs="Arial"/>
          <w:bCs/>
          <w:sz w:val="20"/>
          <w:szCs w:val="20"/>
        </w:rPr>
        <w:t xml:space="preserve">9 de marzo de </w:t>
      </w:r>
      <w:r>
        <w:rPr>
          <w:rFonts w:cs="Arial"/>
          <w:bCs/>
          <w:sz w:val="20"/>
          <w:szCs w:val="20"/>
        </w:rPr>
        <w:t>2017</w:t>
      </w:r>
      <w:r w:rsidRPr="00F2066B">
        <w:rPr>
          <w:rFonts w:cs="Arial"/>
          <w:bCs/>
          <w:sz w:val="20"/>
          <w:szCs w:val="20"/>
        </w:rPr>
        <w:t xml:space="preserve">, </w:t>
      </w:r>
      <w:r>
        <w:rPr>
          <w:rFonts w:cs="Arial"/>
          <w:bCs/>
          <w:sz w:val="20"/>
          <w:szCs w:val="20"/>
        </w:rPr>
        <w:t>r</w:t>
      </w:r>
      <w:r w:rsidRPr="00F2066B">
        <w:rPr>
          <w:rFonts w:cs="Arial"/>
          <w:sz w:val="20"/>
          <w:szCs w:val="20"/>
        </w:rPr>
        <w:t xml:space="preserve">adicación: </w:t>
      </w:r>
      <w:r w:rsidRPr="00F2066B">
        <w:rPr>
          <w:rFonts w:cs="Arial"/>
          <w:sz w:val="20"/>
          <w:szCs w:val="20"/>
        </w:rPr>
        <w:tab/>
        <w:t xml:space="preserve">11001-03-27-000-2016-00004-00 (22324), </w:t>
      </w:r>
      <w:r>
        <w:rPr>
          <w:rFonts w:cs="Arial"/>
          <w:sz w:val="20"/>
          <w:szCs w:val="20"/>
        </w:rPr>
        <w:t>d</w:t>
      </w:r>
      <w:r w:rsidRPr="00F2066B">
        <w:rPr>
          <w:rFonts w:cs="Arial"/>
          <w:sz w:val="20"/>
          <w:szCs w:val="20"/>
        </w:rPr>
        <w:t>emandante: Óscar Alveiro Vallejo, Demandados: Nación –Ministerio de Hacienda y Crédito Público y Ministerio de Minas y Energía–, Referencia:</w:t>
      </w:r>
      <w:r w:rsidRPr="005F3C35">
        <w:rPr>
          <w:rFonts w:cs="Arial"/>
          <w:b/>
          <w:sz w:val="20"/>
          <w:szCs w:val="20"/>
        </w:rPr>
        <w:t xml:space="preserve"> </w:t>
      </w:r>
      <w:r w:rsidRPr="005F3C35">
        <w:rPr>
          <w:rFonts w:cs="Arial"/>
          <w:sz w:val="20"/>
          <w:szCs w:val="20"/>
        </w:rPr>
        <w:t>Medio de Control de Nulidad</w:t>
      </w:r>
      <w:r>
        <w:rPr>
          <w:rFonts w:cs="Arial"/>
          <w:sz w:val="20"/>
          <w:szCs w:val="20"/>
        </w:rPr>
        <w:t>. En esa providencia s</w:t>
      </w:r>
      <w:r w:rsidRPr="005F3C35">
        <w:rPr>
          <w:sz w:val="20"/>
          <w:szCs w:val="20"/>
        </w:rPr>
        <w:t xml:space="preserve">e denegó la </w:t>
      </w:r>
      <w:r w:rsidRPr="005F3C35">
        <w:rPr>
          <w:rFonts w:cs="Arial"/>
          <w:sz w:val="20"/>
          <w:szCs w:val="20"/>
          <w:lang w:val="es-ES_tradnl"/>
        </w:rPr>
        <w:t xml:space="preserve">nulidad </w:t>
      </w:r>
      <w:r w:rsidRPr="005F3C35">
        <w:rPr>
          <w:rFonts w:cs="Arial"/>
          <w:b/>
          <w:sz w:val="20"/>
          <w:szCs w:val="20"/>
          <w:lang w:val="es-ES_tradnl"/>
        </w:rPr>
        <w:t>(</w:t>
      </w:r>
      <w:r w:rsidRPr="005F3C35">
        <w:rPr>
          <w:rFonts w:cs="Arial"/>
          <w:sz w:val="20"/>
          <w:szCs w:val="20"/>
          <w:lang w:val="es-ES_tradnl"/>
        </w:rPr>
        <w:t>i</w:t>
      </w:r>
      <w:r w:rsidRPr="005F3C35">
        <w:rPr>
          <w:rFonts w:eastAsia="Arial" w:cs="Arial"/>
          <w:b/>
          <w:sz w:val="20"/>
          <w:szCs w:val="20"/>
        </w:rPr>
        <w:t>)</w:t>
      </w:r>
      <w:r w:rsidRPr="005F3C35">
        <w:rPr>
          <w:rFonts w:eastAsia="Arial" w:cs="Arial"/>
          <w:sz w:val="20"/>
          <w:szCs w:val="20"/>
        </w:rPr>
        <w:t xml:space="preserve"> del a</w:t>
      </w:r>
      <w:r w:rsidRPr="005F3C35">
        <w:rPr>
          <w:rFonts w:cs="Arial"/>
          <w:sz w:val="20"/>
          <w:szCs w:val="20"/>
        </w:rPr>
        <w:t xml:space="preserve">parte relativo a la </w:t>
      </w:r>
      <w:r w:rsidRPr="005F3C35">
        <w:rPr>
          <w:rFonts w:cs="Arial"/>
          <w:i/>
          <w:sz w:val="20"/>
          <w:szCs w:val="20"/>
        </w:rPr>
        <w:t>“única oferta económica aceptable”</w:t>
      </w:r>
      <w:r w:rsidRPr="005F3C35">
        <w:rPr>
          <w:rFonts w:cs="Arial"/>
          <w:sz w:val="20"/>
          <w:szCs w:val="20"/>
        </w:rPr>
        <w:t xml:space="preserve">, contenido en el Anexo 6, numeral 2, del Reglamento de Enajenación y Adjudicación y del </w:t>
      </w:r>
      <w:r w:rsidRPr="005F3C35">
        <w:rPr>
          <w:rFonts w:eastAsia="Arial" w:cs="Arial"/>
          <w:sz w:val="20"/>
          <w:szCs w:val="20"/>
        </w:rPr>
        <w:t>acto de adjudicación del 13 de enero de 2016, por medio del cual se adjudicó el paquete accionario a BRE Colombia Investments LP.</w:t>
      </w:r>
    </w:p>
    <w:p w:rsidR="00A57E29" w:rsidRPr="00547BC8" w:rsidRDefault="00A57E29" w:rsidP="00F2066B">
      <w:pPr>
        <w:pStyle w:val="Textonotapie"/>
        <w:spacing w:line="240" w:lineRule="auto"/>
        <w:rPr>
          <w:lang w:val="es-CO"/>
        </w:rPr>
      </w:pPr>
    </w:p>
  </w:footnote>
  <w:footnote w:id="89">
    <w:p w:rsidR="00A57E29" w:rsidRPr="00723372" w:rsidRDefault="00A57E29">
      <w:pPr>
        <w:pStyle w:val="Textonotapie"/>
        <w:rPr>
          <w:lang w:val="es-MX"/>
        </w:rPr>
      </w:pPr>
      <w:r>
        <w:rPr>
          <w:rStyle w:val="Refdenotaalpie"/>
        </w:rPr>
        <w:footnoteRef/>
      </w:r>
      <w:r>
        <w:t xml:space="preserve"> Referido a la adjudicación a favor del proponente que cobre al Estado el menor precio.</w:t>
      </w:r>
    </w:p>
  </w:footnote>
  <w:footnote w:id="90">
    <w:p w:rsidR="00A57E29" w:rsidRDefault="00A57E29" w:rsidP="00E003C5">
      <w:pPr>
        <w:pStyle w:val="Textonotapie"/>
        <w:spacing w:line="240" w:lineRule="auto"/>
        <w:rPr>
          <w:rFonts w:cs="Arial"/>
          <w:i/>
          <w:color w:val="000000"/>
          <w:shd w:val="clear" w:color="auto" w:fill="FFFFFF"/>
        </w:rPr>
      </w:pPr>
      <w:r>
        <w:rPr>
          <w:rStyle w:val="Refdenotaalpie"/>
        </w:rPr>
        <w:footnoteRef/>
      </w:r>
      <w:r>
        <w:t xml:space="preserve"> </w:t>
      </w:r>
      <w:r w:rsidRPr="00E003C5">
        <w:rPr>
          <w:i/>
        </w:rPr>
        <w:t>“</w:t>
      </w:r>
      <w:r w:rsidRPr="00E003C5">
        <w:rPr>
          <w:rFonts w:cs="Arial"/>
          <w:i/>
          <w:color w:val="000000"/>
          <w:shd w:val="clear" w:color="auto" w:fill="FFFFFF"/>
        </w:rPr>
        <w:t>Si vencido ese plazo no se alcanza la pluralidad de proponentes, la entidad adjudicará el contrato al proponente habilitado, siempre que su oferta no exceda el presupuesto oficial indicado en el pliego de condiciones”.</w:t>
      </w:r>
    </w:p>
    <w:p w:rsidR="00A57E29" w:rsidRPr="00E003C5" w:rsidRDefault="00A57E29" w:rsidP="00E003C5">
      <w:pPr>
        <w:pStyle w:val="Textonotapie"/>
        <w:spacing w:line="240" w:lineRule="auto"/>
        <w:rPr>
          <w:i/>
          <w:lang w:val="es-MX"/>
        </w:rPr>
      </w:pPr>
    </w:p>
  </w:footnote>
  <w:footnote w:id="91">
    <w:p w:rsidR="00A57E29" w:rsidRPr="00723372" w:rsidRDefault="00A57E29" w:rsidP="00E003C5">
      <w:pPr>
        <w:pStyle w:val="Textonotapie"/>
        <w:spacing w:line="240" w:lineRule="auto"/>
        <w:rPr>
          <w:i/>
          <w:lang w:val="es-MX"/>
        </w:rPr>
      </w:pPr>
      <w:r>
        <w:rPr>
          <w:rStyle w:val="Refdenotaalpie"/>
        </w:rPr>
        <w:footnoteRef/>
      </w:r>
      <w:r>
        <w:t xml:space="preserve"> </w:t>
      </w:r>
      <w:r w:rsidRPr="00723372">
        <w:rPr>
          <w:i/>
        </w:rPr>
        <w:t>“</w:t>
      </w:r>
      <w:r w:rsidRPr="00723372">
        <w:rPr>
          <w:rFonts w:cs="Arial"/>
          <w:bCs/>
          <w:i/>
          <w:color w:val="000000"/>
          <w:shd w:val="clear" w:color="auto" w:fill="FFFFFF"/>
        </w:rPr>
        <w:t>Artículo 90.</w:t>
      </w:r>
      <w:r w:rsidRPr="00723372">
        <w:rPr>
          <w:rStyle w:val="apple-converted-space"/>
          <w:rFonts w:cs="Arial"/>
          <w:b/>
          <w:bCs/>
          <w:i/>
          <w:color w:val="000000"/>
          <w:shd w:val="clear" w:color="auto" w:fill="FFFFFF"/>
        </w:rPr>
        <w:t> </w:t>
      </w:r>
      <w:r w:rsidRPr="00723372">
        <w:rPr>
          <w:rFonts w:cs="Arial"/>
          <w:i/>
          <w:color w:val="000000"/>
          <w:shd w:val="clear" w:color="auto" w:fill="FFFFFF"/>
        </w:rPr>
        <w:t>Adjudicación con oferta única. Sin perjuicio de las disposiciones especiales en materia de subasta inversa, la entidad podrá adjudicar el contrato cuando sólo se haya presentado una propuesta, y esta cumpla con los requisitos habilitantes exigidos, y siempre que la oferta satisfaga los requerimientos contenidos en el pliego de condiciones”.</w:t>
      </w:r>
    </w:p>
  </w:footnote>
  <w:footnote w:id="92">
    <w:p w:rsidR="00A57E29" w:rsidRDefault="00A57E29" w:rsidP="00E022AC">
      <w:pPr>
        <w:pStyle w:val="NormalWeb"/>
        <w:shd w:val="clear" w:color="auto" w:fill="FFFFFF"/>
        <w:spacing w:before="0" w:beforeAutospacing="0" w:after="0" w:afterAutospacing="0" w:line="240" w:lineRule="auto"/>
        <w:rPr>
          <w:rFonts w:cs="Arial"/>
          <w:i/>
          <w:color w:val="000000"/>
          <w:sz w:val="20"/>
          <w:szCs w:val="20"/>
        </w:rPr>
      </w:pPr>
      <w:r w:rsidRPr="003D695A">
        <w:rPr>
          <w:rStyle w:val="Refdenotaalpie"/>
          <w:rFonts w:cs="Arial"/>
          <w:i/>
          <w:sz w:val="20"/>
          <w:szCs w:val="20"/>
        </w:rPr>
        <w:footnoteRef/>
      </w:r>
      <w:r w:rsidRPr="003D695A">
        <w:rPr>
          <w:rFonts w:cs="Arial"/>
          <w:i/>
          <w:sz w:val="20"/>
          <w:szCs w:val="20"/>
        </w:rPr>
        <w:t xml:space="preserve"> </w:t>
      </w:r>
      <w:r w:rsidRPr="003D695A">
        <w:rPr>
          <w:rFonts w:cs="Arial"/>
          <w:bCs/>
          <w:i/>
          <w:color w:val="000000"/>
          <w:sz w:val="20"/>
          <w:szCs w:val="20"/>
        </w:rPr>
        <w:t xml:space="preserve">Artículo 1746 CC. Efectos </w:t>
      </w:r>
      <w:r>
        <w:rPr>
          <w:rFonts w:cs="Arial"/>
          <w:bCs/>
          <w:i/>
          <w:color w:val="000000"/>
          <w:sz w:val="20"/>
          <w:szCs w:val="20"/>
        </w:rPr>
        <w:t>d</w:t>
      </w:r>
      <w:r w:rsidRPr="003D695A">
        <w:rPr>
          <w:rFonts w:cs="Arial"/>
          <w:bCs/>
          <w:i/>
          <w:color w:val="000000"/>
          <w:sz w:val="20"/>
          <w:szCs w:val="20"/>
        </w:rPr>
        <w:t xml:space="preserve">e </w:t>
      </w:r>
      <w:r>
        <w:rPr>
          <w:rFonts w:cs="Arial"/>
          <w:bCs/>
          <w:i/>
          <w:color w:val="000000"/>
          <w:sz w:val="20"/>
          <w:szCs w:val="20"/>
        </w:rPr>
        <w:t>l</w:t>
      </w:r>
      <w:r w:rsidRPr="003D695A">
        <w:rPr>
          <w:rFonts w:cs="Arial"/>
          <w:bCs/>
          <w:i/>
          <w:color w:val="000000"/>
          <w:sz w:val="20"/>
          <w:szCs w:val="20"/>
        </w:rPr>
        <w:t xml:space="preserve">a Declaratoria </w:t>
      </w:r>
      <w:r>
        <w:rPr>
          <w:rFonts w:cs="Arial"/>
          <w:bCs/>
          <w:i/>
          <w:color w:val="000000"/>
          <w:sz w:val="20"/>
          <w:szCs w:val="20"/>
        </w:rPr>
        <w:t>d</w:t>
      </w:r>
      <w:r w:rsidRPr="003D695A">
        <w:rPr>
          <w:rFonts w:cs="Arial"/>
          <w:bCs/>
          <w:i/>
          <w:color w:val="000000"/>
          <w:sz w:val="20"/>
          <w:szCs w:val="20"/>
        </w:rPr>
        <w:t>e Nulid</w:t>
      </w:r>
      <w:r>
        <w:rPr>
          <w:rFonts w:cs="Arial"/>
          <w:bCs/>
          <w:i/>
          <w:color w:val="000000"/>
          <w:sz w:val="20"/>
          <w:szCs w:val="20"/>
        </w:rPr>
        <w:t>ad</w:t>
      </w:r>
      <w:r w:rsidRPr="003D695A">
        <w:rPr>
          <w:rFonts w:cs="Arial"/>
          <w:i/>
          <w:color w:val="000000"/>
          <w:sz w:val="20"/>
          <w:szCs w:val="20"/>
        </w:rPr>
        <w:t>. “La nulidad pronunciada en sentencia que tiene la fuerza de cosa juzgada, da a las partes derecho para ser restituidas al mismo estado en que se hallarían si no hubiese existido el acto o contrato nulo; sin perjuicio de lo prevenido sobre el objeto o causa ilícita.</w:t>
      </w:r>
    </w:p>
    <w:p w:rsidR="00A57E29" w:rsidRPr="003D695A" w:rsidRDefault="00A57E29" w:rsidP="00E022AC">
      <w:pPr>
        <w:pStyle w:val="NormalWeb"/>
        <w:shd w:val="clear" w:color="auto" w:fill="FFFFFF"/>
        <w:spacing w:before="0" w:beforeAutospacing="0" w:after="0" w:afterAutospacing="0" w:line="240" w:lineRule="auto"/>
        <w:rPr>
          <w:rFonts w:cs="Arial"/>
          <w:i/>
          <w:color w:val="000000"/>
          <w:sz w:val="20"/>
          <w:szCs w:val="20"/>
        </w:rPr>
      </w:pPr>
    </w:p>
    <w:p w:rsidR="00A57E29" w:rsidRDefault="00A57E29" w:rsidP="00E022AC">
      <w:pPr>
        <w:pStyle w:val="NormalWeb"/>
        <w:shd w:val="clear" w:color="auto" w:fill="FFFFFF"/>
        <w:spacing w:before="0" w:beforeAutospacing="0" w:after="0" w:afterAutospacing="0" w:line="240" w:lineRule="auto"/>
        <w:rPr>
          <w:rFonts w:cs="Arial"/>
          <w:i/>
          <w:color w:val="000000"/>
          <w:sz w:val="20"/>
          <w:szCs w:val="20"/>
        </w:rPr>
      </w:pPr>
      <w:r w:rsidRPr="003D695A">
        <w:rPr>
          <w:rFonts w:cs="Arial"/>
          <w:i/>
          <w:color w:val="000000"/>
          <w:sz w:val="20"/>
          <w:szCs w:val="20"/>
        </w:rPr>
        <w:t>“En las restituciones mutuas que hayan de hacerse los contratantes en virtud de este pronunciamiento, será cada cual responsable de la pérdida de las especies o de su deterioro, de los intereses y frutos, y del abono de las mejoras necesarias, útiles o voluptuarias, tomándose en consideración los casos fortuitos, y la posesión de buena fe o mala fe de las partes; todo ello según las reglas generales y sin perjuicio de lo dispuesto en el siguiente artículo”</w:t>
      </w:r>
    </w:p>
    <w:p w:rsidR="00A57E29" w:rsidRPr="005F7DCE" w:rsidRDefault="00A57E29" w:rsidP="00E022AC">
      <w:pPr>
        <w:pStyle w:val="NormalWeb"/>
        <w:shd w:val="clear" w:color="auto" w:fill="FFFFFF"/>
        <w:spacing w:before="0" w:beforeAutospacing="0" w:after="0" w:afterAutospacing="0" w:line="240" w:lineRule="auto"/>
        <w:rPr>
          <w:lang w:val="es-MX"/>
        </w:rPr>
      </w:pPr>
      <w:r w:rsidRPr="003D695A">
        <w:rPr>
          <w:rFonts w:cs="Arial"/>
          <w:i/>
          <w:color w:val="000000"/>
          <w:sz w:val="20"/>
          <w:szCs w:val="20"/>
        </w:rPr>
        <w:t>.</w:t>
      </w:r>
    </w:p>
  </w:footnote>
  <w:footnote w:id="93">
    <w:p w:rsidR="00A57E29" w:rsidRPr="00033F1C" w:rsidRDefault="00A57E29" w:rsidP="00C430BC">
      <w:pPr>
        <w:pStyle w:val="NormalWeb"/>
        <w:shd w:val="clear" w:color="auto" w:fill="FFFFFF"/>
        <w:spacing w:before="0" w:beforeAutospacing="0" w:after="0" w:afterAutospacing="0" w:line="240" w:lineRule="auto"/>
        <w:rPr>
          <w:rFonts w:cs="Arial"/>
          <w:i/>
          <w:color w:val="000000"/>
          <w:sz w:val="20"/>
          <w:szCs w:val="20"/>
          <w:lang w:val="es-MX" w:eastAsia="es-MX"/>
        </w:rPr>
      </w:pPr>
      <w:r w:rsidRPr="00C430BC">
        <w:rPr>
          <w:rStyle w:val="Refdenotaalpie"/>
          <w:sz w:val="20"/>
          <w:szCs w:val="20"/>
        </w:rPr>
        <w:footnoteRef/>
      </w:r>
      <w:r w:rsidRPr="00C430BC">
        <w:rPr>
          <w:sz w:val="20"/>
          <w:szCs w:val="20"/>
        </w:rPr>
        <w:t xml:space="preserve"> </w:t>
      </w:r>
      <w:r w:rsidRPr="00033F1C">
        <w:rPr>
          <w:i/>
          <w:sz w:val="20"/>
          <w:szCs w:val="20"/>
        </w:rPr>
        <w:t>“</w:t>
      </w:r>
      <w:r w:rsidRPr="00033F1C">
        <w:rPr>
          <w:rFonts w:cs="Arial"/>
          <w:bCs/>
          <w:i/>
          <w:color w:val="000000"/>
          <w:sz w:val="20"/>
          <w:szCs w:val="20"/>
          <w:lang w:val="es-MX" w:eastAsia="es-MX"/>
        </w:rPr>
        <w:t>Artículo 48º.</w:t>
      </w:r>
      <w:r w:rsidRPr="00033F1C">
        <w:rPr>
          <w:rFonts w:cs="Arial"/>
          <w:b/>
          <w:bCs/>
          <w:i/>
          <w:color w:val="000000"/>
          <w:sz w:val="20"/>
          <w:szCs w:val="20"/>
          <w:lang w:val="es-MX" w:eastAsia="es-MX"/>
        </w:rPr>
        <w:t>- </w:t>
      </w:r>
      <w:r w:rsidRPr="00033F1C">
        <w:rPr>
          <w:rFonts w:cs="Arial"/>
          <w:i/>
          <w:iCs/>
          <w:color w:val="000000"/>
          <w:sz w:val="20"/>
          <w:szCs w:val="20"/>
          <w:lang w:val="es-MX" w:eastAsia="es-MX"/>
        </w:rPr>
        <w:t>De los Efectos de la Nulidad</w:t>
      </w:r>
      <w:r w:rsidRPr="00033F1C">
        <w:rPr>
          <w:rFonts w:cs="Arial"/>
          <w:i/>
          <w:color w:val="000000"/>
          <w:sz w:val="20"/>
          <w:szCs w:val="20"/>
          <w:lang w:val="es-MX" w:eastAsia="es-MX"/>
        </w:rPr>
        <w:t> La declaración de nulidad de un contrato de ejecución sucesiva no impedirá el reconocimiento y pago de las prestaciones ejecutadas hasta el momento de la declaratoria.</w:t>
      </w:r>
    </w:p>
    <w:p w:rsidR="00A57E29" w:rsidRPr="00033F1C" w:rsidRDefault="00A57E29" w:rsidP="00C430BC">
      <w:pPr>
        <w:pStyle w:val="NormalWeb"/>
        <w:shd w:val="clear" w:color="auto" w:fill="FFFFFF"/>
        <w:spacing w:before="0" w:beforeAutospacing="0" w:after="0" w:afterAutospacing="0" w:line="240" w:lineRule="auto"/>
        <w:rPr>
          <w:rFonts w:cs="Arial"/>
          <w:i/>
          <w:color w:val="000000"/>
          <w:sz w:val="20"/>
          <w:szCs w:val="20"/>
          <w:lang w:val="es-MX" w:eastAsia="es-MX"/>
        </w:rPr>
      </w:pPr>
    </w:p>
    <w:p w:rsidR="00A57E29" w:rsidRPr="00033F1C" w:rsidRDefault="00A57E29" w:rsidP="00C430BC">
      <w:pPr>
        <w:shd w:val="clear" w:color="auto" w:fill="FFFFFF"/>
        <w:spacing w:line="240" w:lineRule="auto"/>
        <w:rPr>
          <w:rFonts w:cs="Arial"/>
          <w:i/>
          <w:color w:val="000000"/>
          <w:sz w:val="20"/>
          <w:szCs w:val="20"/>
          <w:lang w:val="es-MX" w:eastAsia="es-MX"/>
        </w:rPr>
      </w:pPr>
      <w:r>
        <w:rPr>
          <w:rFonts w:cs="Arial"/>
          <w:i/>
          <w:color w:val="000000"/>
          <w:sz w:val="20"/>
          <w:szCs w:val="20"/>
          <w:lang w:val="es-MX" w:eastAsia="es-MX"/>
        </w:rPr>
        <w:t>“</w:t>
      </w:r>
      <w:r w:rsidRPr="00033F1C">
        <w:rPr>
          <w:rFonts w:cs="Arial"/>
          <w:i/>
          <w:color w:val="000000"/>
          <w:sz w:val="20"/>
          <w:szCs w:val="20"/>
          <w:lang w:val="es-MX" w:eastAsia="es-MX"/>
        </w:rPr>
        <w:t>Habrá lugar al reconocimiento y pago de las prestaciones ejecutadas del contrato nulo por objeto o causa ilícita, cuando se probare que la entidad estatal se ha beneficiado y únicamente hasta el monto del beneficio que ésta hubiere obtenido. Se entenderá que la entidad estatal se ha beneficiado en cuanto las prestaciones cumplidas le hubieren servido para satisfacer un interés público”.</w:t>
      </w:r>
    </w:p>
    <w:p w:rsidR="00A57E29" w:rsidRPr="00C430BC" w:rsidRDefault="00A57E29">
      <w:pPr>
        <w:pStyle w:val="Textonotapie"/>
        <w:rPr>
          <w:lang w:val="es-MX"/>
        </w:rPr>
      </w:pPr>
    </w:p>
  </w:footnote>
  <w:footnote w:id="94">
    <w:p w:rsidR="00A57E29" w:rsidRPr="00B504D7" w:rsidRDefault="00A57E29">
      <w:pPr>
        <w:pStyle w:val="Textonotapie"/>
        <w:rPr>
          <w:lang w:val="es-CO"/>
        </w:rPr>
      </w:pPr>
      <w:r>
        <w:rPr>
          <w:rStyle w:val="Refdenotaalpie"/>
        </w:rPr>
        <w:footnoteRef/>
      </w:r>
      <w:r>
        <w:t xml:space="preserve"> </w:t>
      </w:r>
      <w:r>
        <w:rPr>
          <w:lang w:val="es-CO"/>
        </w:rPr>
        <w:t xml:space="preserve">Folio 406, cuaderno 5. </w:t>
      </w:r>
    </w:p>
  </w:footnote>
  <w:footnote w:id="95">
    <w:p w:rsidR="00A57E29" w:rsidRDefault="00A57E29" w:rsidP="007339F2">
      <w:pPr>
        <w:pStyle w:val="Textonotapie"/>
        <w:spacing w:line="240" w:lineRule="auto"/>
      </w:pPr>
      <w:r w:rsidRPr="00516213">
        <w:rPr>
          <w:rStyle w:val="Refdenotaalpie"/>
        </w:rPr>
        <w:footnoteRef/>
      </w:r>
      <w:r w:rsidRPr="00516213">
        <w:t xml:space="preserve"> Corresponde al último dato publicado por el DANE  a la fecha de esta sentencia  de acuerdo con la información </w:t>
      </w:r>
      <w:r>
        <w:t xml:space="preserve">contenida </w:t>
      </w:r>
      <w:r w:rsidRPr="00516213">
        <w:t xml:space="preserve">en la página </w:t>
      </w:r>
      <w:hyperlink r:id="rId4" w:history="1">
        <w:r w:rsidRPr="00516213">
          <w:rPr>
            <w:rStyle w:val="Hipervnculo"/>
            <w:sz w:val="20"/>
          </w:rPr>
          <w:t>www.dane.gov.co</w:t>
        </w:r>
      </w:hyperlink>
      <w:r w:rsidRPr="00516213">
        <w:t>, estadísticas, serie de empalme de IPC.</w:t>
      </w:r>
    </w:p>
    <w:p w:rsidR="00A57E29" w:rsidRPr="00E17D6A" w:rsidRDefault="00A57E29" w:rsidP="007339F2">
      <w:pPr>
        <w:pStyle w:val="Textonotapie"/>
        <w:spacing w:line="240" w:lineRule="auto"/>
        <w:rPr>
          <w:lang w:val="es-CO"/>
        </w:rPr>
      </w:pPr>
      <w:r w:rsidRPr="00E17D6A">
        <w:rPr>
          <w:lang w:val="es-CO"/>
        </w:rPr>
        <w:t xml:space="preserve"> </w:t>
      </w:r>
    </w:p>
  </w:footnote>
  <w:footnote w:id="96">
    <w:p w:rsidR="00A57E29" w:rsidRDefault="00A57E29" w:rsidP="007339F2">
      <w:pPr>
        <w:pStyle w:val="Textonotapie"/>
        <w:spacing w:line="240" w:lineRule="auto"/>
        <w:rPr>
          <w:lang w:val="es-CO"/>
        </w:rPr>
      </w:pPr>
      <w:r>
        <w:rPr>
          <w:rStyle w:val="Refdenotaalpie"/>
        </w:rPr>
        <w:footnoteRef/>
      </w:r>
      <w:r>
        <w:t xml:space="preserve"> El índice inicial c</w:t>
      </w:r>
      <w:r>
        <w:rPr>
          <w:lang w:val="es-CO"/>
        </w:rPr>
        <w:t xml:space="preserve">orresponde al dato publicado para el mes en que se realizó la consignación correspondiente, tomado de la serie de empalme de IPC publicada por el DANE. </w:t>
      </w:r>
    </w:p>
    <w:p w:rsidR="00A57E29" w:rsidRPr="00E17D6A" w:rsidRDefault="00A57E29" w:rsidP="007339F2">
      <w:pPr>
        <w:pStyle w:val="Textonotapie"/>
        <w:spacing w:line="240" w:lineRule="auto"/>
        <w:rPr>
          <w:lang w:val="es-CO"/>
        </w:rPr>
      </w:pPr>
    </w:p>
  </w:footnote>
  <w:footnote w:id="97">
    <w:p w:rsidR="00A57E29" w:rsidRPr="006C4CCE" w:rsidRDefault="00A57E29">
      <w:pPr>
        <w:pStyle w:val="Textonotapie"/>
        <w:rPr>
          <w:lang w:val="es-CO"/>
        </w:rPr>
      </w:pPr>
      <w:r>
        <w:rPr>
          <w:rStyle w:val="Refdenotaalpie"/>
        </w:rPr>
        <w:footnoteRef/>
      </w:r>
      <w:r>
        <w:t xml:space="preserve"> </w:t>
      </w:r>
      <w:r>
        <w:rPr>
          <w:lang w:val="es-CO"/>
        </w:rPr>
        <w:t>Folios 535 a 537, cuaderno 6.</w:t>
      </w:r>
    </w:p>
  </w:footnote>
  <w:footnote w:id="98">
    <w:p w:rsidR="00A57E29" w:rsidRDefault="00A57E29" w:rsidP="00D55EE5">
      <w:pPr>
        <w:pStyle w:val="Textonotapie"/>
        <w:spacing w:line="240" w:lineRule="auto"/>
        <w:rPr>
          <w:lang w:val="es-CO"/>
        </w:rPr>
      </w:pPr>
      <w:r>
        <w:rPr>
          <w:rStyle w:val="Refdenotaalpie"/>
        </w:rPr>
        <w:footnoteRef/>
      </w:r>
      <w:r>
        <w:t xml:space="preserve"> </w:t>
      </w:r>
      <w:r>
        <w:rPr>
          <w:lang w:val="es-CO"/>
        </w:rPr>
        <w:t xml:space="preserve">Corresponde al dato publicado para el mes de agosto de 2010, de acuerdo con la serie de empalme de IPC publicada por el DANE. </w:t>
      </w:r>
    </w:p>
    <w:p w:rsidR="00A57E29" w:rsidRPr="00D55EE5" w:rsidRDefault="00A57E29" w:rsidP="00D55EE5">
      <w:pPr>
        <w:pStyle w:val="Textonotapie"/>
        <w:spacing w:line="240" w:lineRule="auto"/>
        <w:rPr>
          <w:lang w:val="es-MX"/>
        </w:rPr>
      </w:pPr>
    </w:p>
  </w:footnote>
  <w:footnote w:id="99">
    <w:p w:rsidR="00A57E29" w:rsidRPr="006C4CCE" w:rsidRDefault="00A57E29" w:rsidP="00835BEF">
      <w:pPr>
        <w:pStyle w:val="Textonotapie"/>
        <w:rPr>
          <w:lang w:val="es-CO"/>
        </w:rPr>
      </w:pPr>
      <w:r>
        <w:rPr>
          <w:rStyle w:val="Refdenotaalpie"/>
        </w:rPr>
        <w:footnoteRef/>
      </w:r>
      <w:r>
        <w:t xml:space="preserve"> </w:t>
      </w:r>
      <w:r>
        <w:rPr>
          <w:lang w:val="es-CO"/>
        </w:rPr>
        <w:t>Folios 535 a 537, cuaderno 6.</w:t>
      </w:r>
    </w:p>
  </w:footnote>
  <w:footnote w:id="100">
    <w:p w:rsidR="00A57E29" w:rsidRDefault="00A57E29" w:rsidP="00D55EE5">
      <w:pPr>
        <w:pStyle w:val="Textonotapie"/>
        <w:spacing w:line="240" w:lineRule="auto"/>
        <w:rPr>
          <w:lang w:val="es-CO"/>
        </w:rPr>
      </w:pPr>
      <w:r>
        <w:rPr>
          <w:rStyle w:val="Refdenotaalpie"/>
        </w:rPr>
        <w:footnoteRef/>
      </w:r>
      <w:r>
        <w:t xml:space="preserve"> </w:t>
      </w:r>
      <w:r>
        <w:rPr>
          <w:lang w:val="es-CO"/>
        </w:rPr>
        <w:t>Corresponde al dato publicado para el mes de septiembre de 2010, de acuerdo con la serie de empalme de IPC publicada por el DANE.</w:t>
      </w:r>
    </w:p>
    <w:p w:rsidR="00A57E29" w:rsidRPr="00D55EE5" w:rsidRDefault="00A57E29" w:rsidP="00D55EE5">
      <w:pPr>
        <w:pStyle w:val="Textonotapie"/>
        <w:spacing w:line="240" w:lineRule="auto"/>
        <w:rPr>
          <w:lang w:val="es-MX"/>
        </w:rPr>
      </w:pPr>
      <w:r>
        <w:rPr>
          <w:lang w:val="es-CO"/>
        </w:rPr>
        <w:t xml:space="preserve"> </w:t>
      </w:r>
    </w:p>
  </w:footnote>
  <w:footnote w:id="101">
    <w:p w:rsidR="00A57E29" w:rsidRPr="006C4CCE" w:rsidRDefault="00A57E29" w:rsidP="00CA24AB">
      <w:pPr>
        <w:pStyle w:val="Textonotapie"/>
        <w:rPr>
          <w:lang w:val="es-CO"/>
        </w:rPr>
      </w:pPr>
      <w:r>
        <w:rPr>
          <w:rStyle w:val="Refdenotaalpie"/>
        </w:rPr>
        <w:footnoteRef/>
      </w:r>
      <w:r>
        <w:t xml:space="preserve"> </w:t>
      </w:r>
      <w:r>
        <w:rPr>
          <w:lang w:val="es-CO"/>
        </w:rPr>
        <w:t>Folios 539, cuaderno 6.</w:t>
      </w:r>
    </w:p>
  </w:footnote>
  <w:footnote w:id="102">
    <w:p w:rsidR="00A57E29" w:rsidRDefault="00A57E29" w:rsidP="002B03DB">
      <w:pPr>
        <w:pStyle w:val="Textonotapie"/>
        <w:spacing w:line="240" w:lineRule="auto"/>
        <w:rPr>
          <w:lang w:val="es-CO"/>
        </w:rPr>
      </w:pPr>
      <w:r>
        <w:rPr>
          <w:rStyle w:val="Refdenotaalpie"/>
        </w:rPr>
        <w:footnoteRef/>
      </w:r>
      <w:r>
        <w:t xml:space="preserve"> </w:t>
      </w:r>
      <w:r>
        <w:rPr>
          <w:lang w:val="es-CO"/>
        </w:rPr>
        <w:t>Corresponde al dato publicado para el mes de octubre de 2010, de acuerdo con la serie de empalme de IPC publicada por el DANE.</w:t>
      </w:r>
    </w:p>
    <w:p w:rsidR="00A57E29" w:rsidRPr="00D55EE5" w:rsidRDefault="00A57E29" w:rsidP="002B03DB">
      <w:pPr>
        <w:pStyle w:val="Textonotapie"/>
        <w:spacing w:line="240" w:lineRule="auto"/>
        <w:rPr>
          <w:lang w:val="es-MX"/>
        </w:rPr>
      </w:pPr>
    </w:p>
  </w:footnote>
  <w:footnote w:id="103">
    <w:p w:rsidR="00A57E29" w:rsidRPr="001173F2" w:rsidRDefault="00A57E29">
      <w:pPr>
        <w:pStyle w:val="Textonotapie"/>
        <w:rPr>
          <w:lang w:val="es-CO"/>
        </w:rPr>
      </w:pPr>
      <w:r>
        <w:rPr>
          <w:rStyle w:val="Refdenotaalpie"/>
        </w:rPr>
        <w:footnoteRef/>
      </w:r>
      <w:r>
        <w:t xml:space="preserve"> </w:t>
      </w:r>
      <w:r>
        <w:rPr>
          <w:lang w:val="es-CO"/>
        </w:rPr>
        <w:t>Sumatoria de los valores actualizados 1, 2 y 3.</w:t>
      </w:r>
    </w:p>
  </w:footnote>
  <w:footnote w:id="104">
    <w:p w:rsidR="00A57E29" w:rsidRPr="00236578" w:rsidRDefault="00A57E29" w:rsidP="00AE5834">
      <w:pPr>
        <w:pStyle w:val="Textonotapie"/>
        <w:rPr>
          <w:lang w:val="es-CO"/>
        </w:rPr>
      </w:pPr>
      <w:r>
        <w:rPr>
          <w:rStyle w:val="Refdenotaalpie"/>
        </w:rPr>
        <w:footnoteRef/>
      </w:r>
      <w:r>
        <w:t xml:space="preserve"> </w:t>
      </w:r>
      <w:r>
        <w:rPr>
          <w:lang w:val="es-CO"/>
        </w:rPr>
        <w:t>Folio 434, cuaderno 6..</w:t>
      </w:r>
    </w:p>
  </w:footnote>
  <w:footnote w:id="105">
    <w:p w:rsidR="00A57E29" w:rsidRPr="001F227F" w:rsidRDefault="00A57E29" w:rsidP="00AE5834">
      <w:pPr>
        <w:pStyle w:val="Textonotapie"/>
        <w:rPr>
          <w:lang w:val="es-CO"/>
        </w:rPr>
      </w:pPr>
      <w:r>
        <w:rPr>
          <w:rStyle w:val="Refdenotaalpie"/>
        </w:rPr>
        <w:footnoteRef/>
      </w:r>
      <w:r>
        <w:t xml:space="preserve"> </w:t>
      </w:r>
      <w:r>
        <w:rPr>
          <w:lang w:val="es-CO"/>
        </w:rPr>
        <w:t>Folio 133 a 136, cuaderno 5.</w:t>
      </w:r>
    </w:p>
  </w:footnote>
  <w:footnote w:id="106">
    <w:p w:rsidR="00A57E29" w:rsidRPr="000F70AD" w:rsidRDefault="00A57E29" w:rsidP="00AE5834">
      <w:pPr>
        <w:pStyle w:val="Textonotapie"/>
        <w:rPr>
          <w:lang w:val="es-CO"/>
        </w:rPr>
      </w:pPr>
      <w:r>
        <w:rPr>
          <w:rStyle w:val="Refdenotaalpie"/>
        </w:rPr>
        <w:footnoteRef/>
      </w:r>
      <w:r>
        <w:t xml:space="preserve"> </w:t>
      </w:r>
      <w:r>
        <w:rPr>
          <w:lang w:val="es-CO"/>
        </w:rPr>
        <w:t>Folio 431, cuaderno 6</w:t>
      </w:r>
    </w:p>
  </w:footnote>
  <w:footnote w:id="107">
    <w:p w:rsidR="00A57E29" w:rsidRPr="00CE4EC3" w:rsidRDefault="00A57E29" w:rsidP="00AE5834">
      <w:pPr>
        <w:pStyle w:val="Textonotapie"/>
        <w:rPr>
          <w:lang w:val="es-CO"/>
        </w:rPr>
      </w:pPr>
      <w:r>
        <w:rPr>
          <w:rStyle w:val="Refdenotaalpie"/>
        </w:rPr>
        <w:footnoteRef/>
      </w:r>
      <w:r>
        <w:t xml:space="preserve"> </w:t>
      </w:r>
      <w:r>
        <w:rPr>
          <w:lang w:val="es-CO"/>
        </w:rPr>
        <w:t>Folio 76, cuaderno 6.</w:t>
      </w:r>
    </w:p>
  </w:footnote>
  <w:footnote w:id="108">
    <w:p w:rsidR="00A57E29" w:rsidRPr="004A47C6" w:rsidRDefault="00A57E29" w:rsidP="00AE5834">
      <w:pPr>
        <w:pStyle w:val="Textonotapie"/>
        <w:rPr>
          <w:lang w:val="es-CO"/>
        </w:rPr>
      </w:pPr>
      <w:r>
        <w:rPr>
          <w:rStyle w:val="Refdenotaalpie"/>
        </w:rPr>
        <w:footnoteRef/>
      </w:r>
      <w:r>
        <w:t xml:space="preserve"> </w:t>
      </w:r>
      <w:r>
        <w:rPr>
          <w:lang w:val="es-CO"/>
        </w:rPr>
        <w:t>Folios 177 a 184, cuaderno 6.</w:t>
      </w:r>
    </w:p>
  </w:footnote>
  <w:footnote w:id="109">
    <w:p w:rsidR="00A57E29" w:rsidRDefault="00A57E29" w:rsidP="00840A6E">
      <w:pPr>
        <w:pStyle w:val="Textonotapie"/>
        <w:spacing w:line="240" w:lineRule="auto"/>
        <w:rPr>
          <w:rFonts w:cs="Arial"/>
          <w:i/>
          <w:color w:val="000000"/>
          <w:shd w:val="clear" w:color="auto" w:fill="FFFFFF"/>
        </w:rPr>
      </w:pPr>
      <w:r>
        <w:rPr>
          <w:rStyle w:val="Refdenotaalpie"/>
        </w:rPr>
        <w:footnoteRef/>
      </w:r>
      <w:r>
        <w:t xml:space="preserve"> D</w:t>
      </w:r>
      <w:r w:rsidRPr="00840A6E">
        <w:rPr>
          <w:i/>
        </w:rPr>
        <w:t>ecreto 1525 de 2008. “</w:t>
      </w:r>
      <w:r w:rsidRPr="00840A6E">
        <w:rPr>
          <w:rFonts w:cs="Arial"/>
          <w:bCs/>
          <w:i/>
          <w:color w:val="000000"/>
        </w:rPr>
        <w:t>Artículo 1°</w:t>
      </w:r>
      <w:r w:rsidRPr="00840A6E">
        <w:rPr>
          <w:rFonts w:cs="Arial"/>
          <w:b/>
          <w:bCs/>
          <w:i/>
          <w:color w:val="000000"/>
        </w:rPr>
        <w:t>. </w:t>
      </w:r>
      <w:r w:rsidRPr="00840A6E">
        <w:rPr>
          <w:rFonts w:cs="Arial"/>
          <w:i/>
          <w:color w:val="000000"/>
          <w:shd w:val="clear" w:color="auto" w:fill="FFFFFF"/>
        </w:rPr>
        <w:t>Para el cumplimiento de lo establecido en el artículo 102 del Estatuto Orgánico del Presupuesto, y sin perjuicio de lo previsto en el artículo 29 del Decreto 359 de 1995, los establecimientos públicos del orden nacional y las entidades estatales del orden nacional a las cuales se les apliquen las disposiciones de orden presupuestal de aquellos, deben invertir sus excedentes de liquidez originados en sus recursos propios, administrados, y los de los Fondos Especiales administrados por ellos, en Títulos de Tesorería TES, Clase "B" del mercado primario adquiridos directamente en la Dirección General de Crédito Público y del Tesoro Nacional del Ministerio de Hacienda y Crédito Público, en adelante DGCPTN</w:t>
      </w:r>
      <w:r>
        <w:rPr>
          <w:rFonts w:cs="Arial"/>
          <w:i/>
          <w:color w:val="000000"/>
          <w:shd w:val="clear" w:color="auto" w:fill="FFFFFF"/>
        </w:rPr>
        <w:t>”</w:t>
      </w:r>
      <w:r w:rsidRPr="00840A6E">
        <w:rPr>
          <w:rFonts w:cs="Arial"/>
          <w:i/>
          <w:color w:val="000000"/>
          <w:shd w:val="clear" w:color="auto" w:fill="FFFFFF"/>
        </w:rPr>
        <w:t>.</w:t>
      </w:r>
    </w:p>
    <w:p w:rsidR="00A57E29" w:rsidRPr="00840A6E" w:rsidRDefault="00A57E29" w:rsidP="00840A6E">
      <w:pPr>
        <w:pStyle w:val="Textonotapie"/>
        <w:spacing w:line="240" w:lineRule="auto"/>
        <w:rPr>
          <w:lang w:val="es-MX"/>
        </w:rPr>
      </w:pPr>
    </w:p>
  </w:footnote>
  <w:footnote w:id="110">
    <w:p w:rsidR="00A57E29" w:rsidRPr="00DA2B22" w:rsidRDefault="00A57E29">
      <w:pPr>
        <w:pStyle w:val="Textonotapie"/>
        <w:rPr>
          <w:lang w:val="es-MX"/>
        </w:rPr>
      </w:pPr>
      <w:r>
        <w:rPr>
          <w:rStyle w:val="Refdenotaalpie"/>
        </w:rPr>
        <w:footnoteRef/>
      </w:r>
      <w:r>
        <w:t xml:space="preserve"> </w:t>
      </w:r>
      <w:r>
        <w:rPr>
          <w:lang w:val="es-MX"/>
        </w:rPr>
        <w:t xml:space="preserve">Día siguiente a aquel en que se ha debido cumplir la venta prometida. </w:t>
      </w:r>
    </w:p>
  </w:footnote>
  <w:footnote w:id="111">
    <w:p w:rsidR="00A57E29" w:rsidRPr="00B42772" w:rsidRDefault="00A57E29">
      <w:pPr>
        <w:pStyle w:val="Textonotapie"/>
        <w:rPr>
          <w:lang w:val="es-CO"/>
        </w:rPr>
      </w:pPr>
      <w:r>
        <w:rPr>
          <w:rStyle w:val="Refdenotaalpie"/>
        </w:rPr>
        <w:footnoteRef/>
      </w:r>
      <w:r>
        <w:t xml:space="preserve"> </w:t>
      </w:r>
      <w:r>
        <w:rPr>
          <w:lang w:val="es-CO"/>
        </w:rPr>
        <w:t>Oficio radicado con el número 20112100275, folio 513 cuaderno 6.</w:t>
      </w:r>
    </w:p>
  </w:footnote>
  <w:footnote w:id="112">
    <w:p w:rsidR="00A57E29" w:rsidRPr="007D1019" w:rsidRDefault="00A57E29">
      <w:pPr>
        <w:pStyle w:val="Textonotapie"/>
        <w:rPr>
          <w:lang w:val="es-CO"/>
        </w:rPr>
      </w:pPr>
      <w:r>
        <w:rPr>
          <w:rStyle w:val="Refdenotaalpie"/>
        </w:rPr>
        <w:footnoteRef/>
      </w:r>
      <w:r>
        <w:t xml:space="preserve"> </w:t>
      </w:r>
      <w:r>
        <w:rPr>
          <w:lang w:val="es-CO"/>
        </w:rPr>
        <w:t>Folio 53, cuaderno 6.</w:t>
      </w:r>
    </w:p>
  </w:footnote>
  <w:footnote w:id="113">
    <w:p w:rsidR="00A57E29" w:rsidRPr="006A0A1E" w:rsidRDefault="00A57E29">
      <w:pPr>
        <w:pStyle w:val="Textonotapie"/>
        <w:rPr>
          <w:lang w:val="es-CO"/>
        </w:rPr>
      </w:pPr>
      <w:r>
        <w:rPr>
          <w:rStyle w:val="Refdenotaalpie"/>
        </w:rPr>
        <w:footnoteRef/>
      </w:r>
      <w:r>
        <w:t xml:space="preserve"> </w:t>
      </w:r>
      <w:r>
        <w:rPr>
          <w:lang w:val="es-CO"/>
        </w:rPr>
        <w:t>Folios 66 y 69, cuaderno 6.</w:t>
      </w:r>
    </w:p>
  </w:footnote>
  <w:footnote w:id="114">
    <w:p w:rsidR="00A57E29" w:rsidRPr="00DE5E40" w:rsidRDefault="00A57E29" w:rsidP="00B61DA6">
      <w:pPr>
        <w:pStyle w:val="Textonotapie"/>
        <w:rPr>
          <w:lang w:val="es-CO"/>
        </w:rPr>
      </w:pPr>
      <w:r>
        <w:rPr>
          <w:rStyle w:val="Refdenotaalpie"/>
        </w:rPr>
        <w:footnoteRef/>
      </w:r>
      <w:r>
        <w:t xml:space="preserve"> Folios 264 y 265, cuaderno 1.</w:t>
      </w:r>
    </w:p>
  </w:footnote>
  <w:footnote w:id="115">
    <w:p w:rsidR="00A57E29" w:rsidRPr="00994408" w:rsidRDefault="00A57E29" w:rsidP="00B61DA6">
      <w:pPr>
        <w:pStyle w:val="Textonotapie"/>
        <w:rPr>
          <w:lang w:val="es-CO"/>
        </w:rPr>
      </w:pPr>
      <w:r>
        <w:rPr>
          <w:rStyle w:val="Refdenotaalpie"/>
        </w:rPr>
        <w:footnoteRef/>
      </w:r>
      <w:r>
        <w:t xml:space="preserve"> </w:t>
      </w:r>
      <w:r>
        <w:rPr>
          <w:lang w:val="es-CO"/>
        </w:rPr>
        <w:t xml:space="preserve">Folio 268, cuaderno 1.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E29" w:rsidRDefault="00A57E29" w:rsidP="006434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57E29" w:rsidRDefault="00A57E29" w:rsidP="00643457">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E29" w:rsidRDefault="00A57E29" w:rsidP="00643457">
    <w:pPr>
      <w:widowControl w:val="0"/>
      <w:autoSpaceDE w:val="0"/>
      <w:autoSpaceDN w:val="0"/>
      <w:adjustRightInd w:val="0"/>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547"/>
    <w:multiLevelType w:val="hybridMultilevel"/>
    <w:tmpl w:val="7EA8965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1" w15:restartNumberingAfterBreak="0">
    <w:nsid w:val="06947C2B"/>
    <w:multiLevelType w:val="hybridMultilevel"/>
    <w:tmpl w:val="B95C99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737DCE"/>
    <w:multiLevelType w:val="hybridMultilevel"/>
    <w:tmpl w:val="5972CD9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0C281A55"/>
    <w:multiLevelType w:val="hybridMultilevel"/>
    <w:tmpl w:val="BB6E18A4"/>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4"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F724E"/>
    <w:multiLevelType w:val="hybridMultilevel"/>
    <w:tmpl w:val="0BB8EEF4"/>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18582982"/>
    <w:multiLevelType w:val="hybridMultilevel"/>
    <w:tmpl w:val="3D9C1894"/>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7" w15:restartNumberingAfterBreak="0">
    <w:nsid w:val="19ED53C0"/>
    <w:multiLevelType w:val="multilevel"/>
    <w:tmpl w:val="C9066EBC"/>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D89442E"/>
    <w:multiLevelType w:val="hybridMultilevel"/>
    <w:tmpl w:val="9D34530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261E49"/>
    <w:multiLevelType w:val="hybridMultilevel"/>
    <w:tmpl w:val="75D4C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645DF7"/>
    <w:multiLevelType w:val="hybridMultilevel"/>
    <w:tmpl w:val="1AD0F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2" w15:restartNumberingAfterBreak="0">
    <w:nsid w:val="28447A58"/>
    <w:multiLevelType w:val="hybridMultilevel"/>
    <w:tmpl w:val="C040F5C0"/>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3" w15:restartNumberingAfterBreak="0">
    <w:nsid w:val="293E771A"/>
    <w:multiLevelType w:val="hybridMultilevel"/>
    <w:tmpl w:val="D92CFBF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4"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D17B47"/>
    <w:multiLevelType w:val="hybridMultilevel"/>
    <w:tmpl w:val="93BAAAF8"/>
    <w:lvl w:ilvl="0" w:tplc="9364FE8C">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8" w15:restartNumberingAfterBreak="0">
    <w:nsid w:val="3BA44302"/>
    <w:multiLevelType w:val="multilevel"/>
    <w:tmpl w:val="DFA2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785D89"/>
    <w:multiLevelType w:val="hybridMultilevel"/>
    <w:tmpl w:val="4E22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E283DC0"/>
    <w:multiLevelType w:val="hybridMultilevel"/>
    <w:tmpl w:val="41E8CDC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1" w15:restartNumberingAfterBreak="0">
    <w:nsid w:val="4A596EEA"/>
    <w:multiLevelType w:val="hybridMultilevel"/>
    <w:tmpl w:val="AABA10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890B2A"/>
    <w:multiLevelType w:val="hybridMultilevel"/>
    <w:tmpl w:val="F4BA21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0F45CF7"/>
    <w:multiLevelType w:val="hybridMultilevel"/>
    <w:tmpl w:val="00981258"/>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7027534"/>
    <w:multiLevelType w:val="hybridMultilevel"/>
    <w:tmpl w:val="1ABE5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BD9070F"/>
    <w:multiLevelType w:val="multilevel"/>
    <w:tmpl w:val="32A433B4"/>
    <w:lvl w:ilvl="0">
      <w:start w:val="4"/>
      <w:numFmt w:val="decimal"/>
      <w:lvlText w:val="%1."/>
      <w:lvlJc w:val="left"/>
      <w:pPr>
        <w:ind w:left="390" w:hanging="390"/>
      </w:pPr>
      <w:rPr>
        <w:sz w:val="24"/>
      </w:rPr>
    </w:lvl>
    <w:lvl w:ilvl="1">
      <w:start w:val="6"/>
      <w:numFmt w:val="decimal"/>
      <w:lvlText w:val="%1.%2."/>
      <w:lvlJc w:val="left"/>
      <w:pPr>
        <w:ind w:left="1004" w:hanging="720"/>
      </w:pPr>
      <w:rPr>
        <w:b/>
        <w:sz w:val="24"/>
      </w:rPr>
    </w:lvl>
    <w:lvl w:ilvl="2">
      <w:start w:val="1"/>
      <w:numFmt w:val="decimal"/>
      <w:lvlText w:val="%1.%2.%3."/>
      <w:lvlJc w:val="left"/>
      <w:pPr>
        <w:ind w:left="1288" w:hanging="720"/>
      </w:pPr>
      <w:rPr>
        <w:b/>
        <w:sz w:val="24"/>
      </w:rPr>
    </w:lvl>
    <w:lvl w:ilvl="3">
      <w:start w:val="1"/>
      <w:numFmt w:val="decimal"/>
      <w:lvlText w:val="%1.%2.%3.%4."/>
      <w:lvlJc w:val="left"/>
      <w:pPr>
        <w:ind w:left="1932" w:hanging="1080"/>
      </w:pPr>
      <w:rPr>
        <w:sz w:val="24"/>
      </w:rPr>
    </w:lvl>
    <w:lvl w:ilvl="4">
      <w:start w:val="1"/>
      <w:numFmt w:val="decimal"/>
      <w:lvlText w:val="%1.%2.%3.%4.%5."/>
      <w:lvlJc w:val="left"/>
      <w:pPr>
        <w:ind w:left="2216" w:hanging="1080"/>
      </w:pPr>
      <w:rPr>
        <w:sz w:val="24"/>
      </w:rPr>
    </w:lvl>
    <w:lvl w:ilvl="5">
      <w:start w:val="1"/>
      <w:numFmt w:val="decimal"/>
      <w:lvlText w:val="%1.%2.%3.%4.%5.%6."/>
      <w:lvlJc w:val="left"/>
      <w:pPr>
        <w:ind w:left="2860" w:hanging="1440"/>
      </w:pPr>
      <w:rPr>
        <w:sz w:val="24"/>
      </w:rPr>
    </w:lvl>
    <w:lvl w:ilvl="6">
      <w:start w:val="1"/>
      <w:numFmt w:val="decimal"/>
      <w:lvlText w:val="%1.%2.%3.%4.%5.%6.%7."/>
      <w:lvlJc w:val="left"/>
      <w:pPr>
        <w:ind w:left="3144" w:hanging="1440"/>
      </w:pPr>
      <w:rPr>
        <w:sz w:val="24"/>
      </w:rPr>
    </w:lvl>
    <w:lvl w:ilvl="7">
      <w:start w:val="1"/>
      <w:numFmt w:val="decimal"/>
      <w:lvlText w:val="%1.%2.%3.%4.%5.%6.%7.%8."/>
      <w:lvlJc w:val="left"/>
      <w:pPr>
        <w:ind w:left="3788" w:hanging="1800"/>
      </w:pPr>
      <w:rPr>
        <w:sz w:val="24"/>
      </w:rPr>
    </w:lvl>
    <w:lvl w:ilvl="8">
      <w:start w:val="1"/>
      <w:numFmt w:val="decimal"/>
      <w:lvlText w:val="%1.%2.%3.%4.%5.%6.%7.%8.%9."/>
      <w:lvlJc w:val="left"/>
      <w:pPr>
        <w:ind w:left="4072" w:hanging="1800"/>
      </w:pPr>
      <w:rPr>
        <w:sz w:val="24"/>
      </w:rPr>
    </w:lvl>
  </w:abstractNum>
  <w:num w:numId="1">
    <w:abstractNumId w:val="15"/>
  </w:num>
  <w:num w:numId="2">
    <w:abstractNumId w:val="26"/>
  </w:num>
  <w:num w:numId="3">
    <w:abstractNumId w:val="24"/>
  </w:num>
  <w:num w:numId="4">
    <w:abstractNumId w:val="11"/>
  </w:num>
  <w:num w:numId="5">
    <w:abstractNumId w:val="14"/>
  </w:num>
  <w:num w:numId="6">
    <w:abstractNumId w:val="4"/>
  </w:num>
  <w:num w:numId="7">
    <w:abstractNumId w:val="25"/>
  </w:num>
  <w:num w:numId="8">
    <w:abstractNumId w:val="5"/>
  </w:num>
  <w:num w:numId="9">
    <w:abstractNumId w:val="2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8"/>
  </w:num>
  <w:num w:numId="12">
    <w:abstractNumId w:val="9"/>
  </w:num>
  <w:num w:numId="13">
    <w:abstractNumId w:val="5"/>
  </w:num>
  <w:num w:numId="14">
    <w:abstractNumId w:val="23"/>
  </w:num>
  <w:num w:numId="15">
    <w:abstractNumId w:val="3"/>
  </w:num>
  <w:num w:numId="16">
    <w:abstractNumId w:val="12"/>
  </w:num>
  <w:num w:numId="17">
    <w:abstractNumId w:val="7"/>
  </w:num>
  <w:num w:numId="18">
    <w:abstractNumId w:val="16"/>
  </w:num>
  <w:num w:numId="19">
    <w:abstractNumId w:val="22"/>
  </w:num>
  <w:num w:numId="20">
    <w:abstractNumId w:val="27"/>
  </w:num>
  <w:num w:numId="21">
    <w:abstractNumId w:val="19"/>
  </w:num>
  <w:num w:numId="22">
    <w:abstractNumId w:val="1"/>
  </w:num>
  <w:num w:numId="23">
    <w:abstractNumId w:val="20"/>
  </w:num>
  <w:num w:numId="24">
    <w:abstractNumId w:val="2"/>
  </w:num>
  <w:num w:numId="25">
    <w:abstractNumId w:val="6"/>
  </w:num>
  <w:num w:numId="26">
    <w:abstractNumId w:val="8"/>
  </w:num>
  <w:num w:numId="27">
    <w:abstractNumId w:val="17"/>
  </w:num>
  <w:num w:numId="28">
    <w:abstractNumId w:val="13"/>
  </w:num>
  <w:num w:numId="29">
    <w:abstractNumId w:val="10"/>
  </w:num>
  <w:num w:numId="3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95"/>
    <w:rsid w:val="000004FE"/>
    <w:rsid w:val="0000071A"/>
    <w:rsid w:val="0000092F"/>
    <w:rsid w:val="00000F07"/>
    <w:rsid w:val="00001174"/>
    <w:rsid w:val="000012E0"/>
    <w:rsid w:val="00001679"/>
    <w:rsid w:val="0000193E"/>
    <w:rsid w:val="00001C09"/>
    <w:rsid w:val="00001C23"/>
    <w:rsid w:val="00001F90"/>
    <w:rsid w:val="00002764"/>
    <w:rsid w:val="00002E38"/>
    <w:rsid w:val="00003330"/>
    <w:rsid w:val="00003649"/>
    <w:rsid w:val="000036B8"/>
    <w:rsid w:val="00003737"/>
    <w:rsid w:val="000039FF"/>
    <w:rsid w:val="00003C47"/>
    <w:rsid w:val="000041F0"/>
    <w:rsid w:val="000042D9"/>
    <w:rsid w:val="00004616"/>
    <w:rsid w:val="000049E1"/>
    <w:rsid w:val="00004F60"/>
    <w:rsid w:val="0000511F"/>
    <w:rsid w:val="00006466"/>
    <w:rsid w:val="00006BE4"/>
    <w:rsid w:val="000072F1"/>
    <w:rsid w:val="00007C4A"/>
    <w:rsid w:val="00007CAE"/>
    <w:rsid w:val="00010098"/>
    <w:rsid w:val="00010466"/>
    <w:rsid w:val="000104E1"/>
    <w:rsid w:val="0001067B"/>
    <w:rsid w:val="000107A5"/>
    <w:rsid w:val="000107C3"/>
    <w:rsid w:val="00010888"/>
    <w:rsid w:val="00010DB5"/>
    <w:rsid w:val="000128CE"/>
    <w:rsid w:val="00012DB3"/>
    <w:rsid w:val="00013063"/>
    <w:rsid w:val="00013615"/>
    <w:rsid w:val="00013C26"/>
    <w:rsid w:val="00013E02"/>
    <w:rsid w:val="00013EC4"/>
    <w:rsid w:val="00014013"/>
    <w:rsid w:val="00014595"/>
    <w:rsid w:val="00014603"/>
    <w:rsid w:val="000148A2"/>
    <w:rsid w:val="0001495C"/>
    <w:rsid w:val="000150BD"/>
    <w:rsid w:val="000151C6"/>
    <w:rsid w:val="0001520C"/>
    <w:rsid w:val="000152A8"/>
    <w:rsid w:val="0001539B"/>
    <w:rsid w:val="0001540B"/>
    <w:rsid w:val="000155C2"/>
    <w:rsid w:val="00015C11"/>
    <w:rsid w:val="00016451"/>
    <w:rsid w:val="00016B27"/>
    <w:rsid w:val="00016B62"/>
    <w:rsid w:val="0001706A"/>
    <w:rsid w:val="000170A9"/>
    <w:rsid w:val="00017F4B"/>
    <w:rsid w:val="000203FE"/>
    <w:rsid w:val="00020558"/>
    <w:rsid w:val="00020AE9"/>
    <w:rsid w:val="00020F82"/>
    <w:rsid w:val="00021148"/>
    <w:rsid w:val="00021342"/>
    <w:rsid w:val="00021A58"/>
    <w:rsid w:val="00022375"/>
    <w:rsid w:val="000223BC"/>
    <w:rsid w:val="000223D8"/>
    <w:rsid w:val="0002254D"/>
    <w:rsid w:val="0002287B"/>
    <w:rsid w:val="0002326F"/>
    <w:rsid w:val="000232F7"/>
    <w:rsid w:val="0002353C"/>
    <w:rsid w:val="00023675"/>
    <w:rsid w:val="00023933"/>
    <w:rsid w:val="00024457"/>
    <w:rsid w:val="000247CD"/>
    <w:rsid w:val="0002571A"/>
    <w:rsid w:val="00025A21"/>
    <w:rsid w:val="00025C0C"/>
    <w:rsid w:val="00025C7D"/>
    <w:rsid w:val="00025FE2"/>
    <w:rsid w:val="000260FB"/>
    <w:rsid w:val="000262BF"/>
    <w:rsid w:val="000263A9"/>
    <w:rsid w:val="000264FE"/>
    <w:rsid w:val="00027837"/>
    <w:rsid w:val="00027A49"/>
    <w:rsid w:val="0003004D"/>
    <w:rsid w:val="00030283"/>
    <w:rsid w:val="000302C0"/>
    <w:rsid w:val="00030B1A"/>
    <w:rsid w:val="00030C95"/>
    <w:rsid w:val="00031536"/>
    <w:rsid w:val="00031646"/>
    <w:rsid w:val="0003177A"/>
    <w:rsid w:val="00031F50"/>
    <w:rsid w:val="000320EB"/>
    <w:rsid w:val="000321D5"/>
    <w:rsid w:val="00032337"/>
    <w:rsid w:val="000323EA"/>
    <w:rsid w:val="00032C85"/>
    <w:rsid w:val="0003316F"/>
    <w:rsid w:val="00033185"/>
    <w:rsid w:val="000335CC"/>
    <w:rsid w:val="00033A87"/>
    <w:rsid w:val="00033E47"/>
    <w:rsid w:val="00033E59"/>
    <w:rsid w:val="00033F1C"/>
    <w:rsid w:val="00034270"/>
    <w:rsid w:val="00034796"/>
    <w:rsid w:val="00034A9E"/>
    <w:rsid w:val="00034B20"/>
    <w:rsid w:val="000353CD"/>
    <w:rsid w:val="00035DEC"/>
    <w:rsid w:val="000360D8"/>
    <w:rsid w:val="0003632B"/>
    <w:rsid w:val="0003635B"/>
    <w:rsid w:val="000363FD"/>
    <w:rsid w:val="0003649C"/>
    <w:rsid w:val="00036F1E"/>
    <w:rsid w:val="000400F3"/>
    <w:rsid w:val="00040808"/>
    <w:rsid w:val="00040A0A"/>
    <w:rsid w:val="00041150"/>
    <w:rsid w:val="00041167"/>
    <w:rsid w:val="000411C9"/>
    <w:rsid w:val="00041BC1"/>
    <w:rsid w:val="00041D8F"/>
    <w:rsid w:val="00042364"/>
    <w:rsid w:val="000425AD"/>
    <w:rsid w:val="0004266C"/>
    <w:rsid w:val="00042AFC"/>
    <w:rsid w:val="000439A7"/>
    <w:rsid w:val="00043C20"/>
    <w:rsid w:val="000442CE"/>
    <w:rsid w:val="00044360"/>
    <w:rsid w:val="00044ABB"/>
    <w:rsid w:val="00044F75"/>
    <w:rsid w:val="0004539B"/>
    <w:rsid w:val="00045C62"/>
    <w:rsid w:val="00045C63"/>
    <w:rsid w:val="00045DCF"/>
    <w:rsid w:val="00045FCB"/>
    <w:rsid w:val="000460C4"/>
    <w:rsid w:val="0004636C"/>
    <w:rsid w:val="0004675A"/>
    <w:rsid w:val="00047466"/>
    <w:rsid w:val="00047AFA"/>
    <w:rsid w:val="00047EA8"/>
    <w:rsid w:val="00050A3E"/>
    <w:rsid w:val="00050CA0"/>
    <w:rsid w:val="00050CA2"/>
    <w:rsid w:val="00050E71"/>
    <w:rsid w:val="00050EC2"/>
    <w:rsid w:val="00051050"/>
    <w:rsid w:val="0005134F"/>
    <w:rsid w:val="0005135E"/>
    <w:rsid w:val="000519A7"/>
    <w:rsid w:val="000519FC"/>
    <w:rsid w:val="00051B2B"/>
    <w:rsid w:val="000527C6"/>
    <w:rsid w:val="00052B55"/>
    <w:rsid w:val="00053041"/>
    <w:rsid w:val="00053778"/>
    <w:rsid w:val="00053EC5"/>
    <w:rsid w:val="00054130"/>
    <w:rsid w:val="0005420C"/>
    <w:rsid w:val="000545CE"/>
    <w:rsid w:val="00054863"/>
    <w:rsid w:val="00054E39"/>
    <w:rsid w:val="00054E45"/>
    <w:rsid w:val="00055389"/>
    <w:rsid w:val="00055411"/>
    <w:rsid w:val="000558AB"/>
    <w:rsid w:val="00055A2C"/>
    <w:rsid w:val="00056023"/>
    <w:rsid w:val="00056F8F"/>
    <w:rsid w:val="000570EE"/>
    <w:rsid w:val="0005739B"/>
    <w:rsid w:val="00057514"/>
    <w:rsid w:val="00057712"/>
    <w:rsid w:val="0006047E"/>
    <w:rsid w:val="0006071E"/>
    <w:rsid w:val="00060962"/>
    <w:rsid w:val="00060A10"/>
    <w:rsid w:val="00060D51"/>
    <w:rsid w:val="00061160"/>
    <w:rsid w:val="00061169"/>
    <w:rsid w:val="00061758"/>
    <w:rsid w:val="000619AB"/>
    <w:rsid w:val="00062001"/>
    <w:rsid w:val="000621B9"/>
    <w:rsid w:val="00062A8C"/>
    <w:rsid w:val="00062AE2"/>
    <w:rsid w:val="00062EC8"/>
    <w:rsid w:val="0006314A"/>
    <w:rsid w:val="00063601"/>
    <w:rsid w:val="000637D5"/>
    <w:rsid w:val="00063833"/>
    <w:rsid w:val="00063FDB"/>
    <w:rsid w:val="00064173"/>
    <w:rsid w:val="000641E1"/>
    <w:rsid w:val="00064582"/>
    <w:rsid w:val="0006488A"/>
    <w:rsid w:val="00064D83"/>
    <w:rsid w:val="00064FE5"/>
    <w:rsid w:val="000657C5"/>
    <w:rsid w:val="00065E78"/>
    <w:rsid w:val="00066448"/>
    <w:rsid w:val="00066599"/>
    <w:rsid w:val="00066D48"/>
    <w:rsid w:val="00067466"/>
    <w:rsid w:val="000676AF"/>
    <w:rsid w:val="000701BA"/>
    <w:rsid w:val="000705E6"/>
    <w:rsid w:val="000708AE"/>
    <w:rsid w:val="00070C9B"/>
    <w:rsid w:val="00070FC0"/>
    <w:rsid w:val="00071336"/>
    <w:rsid w:val="00071507"/>
    <w:rsid w:val="00071BC7"/>
    <w:rsid w:val="00071DAB"/>
    <w:rsid w:val="000722F8"/>
    <w:rsid w:val="0007265F"/>
    <w:rsid w:val="0007289F"/>
    <w:rsid w:val="00073360"/>
    <w:rsid w:val="0007367B"/>
    <w:rsid w:val="000739F5"/>
    <w:rsid w:val="00073C49"/>
    <w:rsid w:val="00073DB3"/>
    <w:rsid w:val="000745CE"/>
    <w:rsid w:val="00074C0F"/>
    <w:rsid w:val="00074C56"/>
    <w:rsid w:val="0007558A"/>
    <w:rsid w:val="00075779"/>
    <w:rsid w:val="00075DF6"/>
    <w:rsid w:val="0007608D"/>
    <w:rsid w:val="00076631"/>
    <w:rsid w:val="0007667D"/>
    <w:rsid w:val="00076702"/>
    <w:rsid w:val="00076AFF"/>
    <w:rsid w:val="00077304"/>
    <w:rsid w:val="000775AE"/>
    <w:rsid w:val="0007792C"/>
    <w:rsid w:val="00077B4B"/>
    <w:rsid w:val="00077B7D"/>
    <w:rsid w:val="00077DF1"/>
    <w:rsid w:val="00077E42"/>
    <w:rsid w:val="00077F0F"/>
    <w:rsid w:val="00080157"/>
    <w:rsid w:val="0008074F"/>
    <w:rsid w:val="00080CF2"/>
    <w:rsid w:val="00081253"/>
    <w:rsid w:val="000813E9"/>
    <w:rsid w:val="00081E4F"/>
    <w:rsid w:val="00081F74"/>
    <w:rsid w:val="00082852"/>
    <w:rsid w:val="00082D93"/>
    <w:rsid w:val="00082FB7"/>
    <w:rsid w:val="0008343C"/>
    <w:rsid w:val="0008387E"/>
    <w:rsid w:val="00083AEA"/>
    <w:rsid w:val="00083BB5"/>
    <w:rsid w:val="00083C1D"/>
    <w:rsid w:val="00084000"/>
    <w:rsid w:val="000843C9"/>
    <w:rsid w:val="00084419"/>
    <w:rsid w:val="0008441D"/>
    <w:rsid w:val="00084943"/>
    <w:rsid w:val="0008509A"/>
    <w:rsid w:val="00085283"/>
    <w:rsid w:val="00085297"/>
    <w:rsid w:val="00085443"/>
    <w:rsid w:val="00086019"/>
    <w:rsid w:val="000865D7"/>
    <w:rsid w:val="00086ABF"/>
    <w:rsid w:val="00086D58"/>
    <w:rsid w:val="0008752D"/>
    <w:rsid w:val="0008798C"/>
    <w:rsid w:val="00087A3E"/>
    <w:rsid w:val="00087B20"/>
    <w:rsid w:val="00087B3A"/>
    <w:rsid w:val="00087C29"/>
    <w:rsid w:val="00087EFC"/>
    <w:rsid w:val="0009017C"/>
    <w:rsid w:val="000902CC"/>
    <w:rsid w:val="000903DB"/>
    <w:rsid w:val="0009054D"/>
    <w:rsid w:val="00090865"/>
    <w:rsid w:val="00090A63"/>
    <w:rsid w:val="00090B9D"/>
    <w:rsid w:val="00090C49"/>
    <w:rsid w:val="00090F3F"/>
    <w:rsid w:val="00091462"/>
    <w:rsid w:val="000917C0"/>
    <w:rsid w:val="000923E9"/>
    <w:rsid w:val="00092A06"/>
    <w:rsid w:val="00093234"/>
    <w:rsid w:val="000935A8"/>
    <w:rsid w:val="00093655"/>
    <w:rsid w:val="00093953"/>
    <w:rsid w:val="00093CE2"/>
    <w:rsid w:val="00093FAE"/>
    <w:rsid w:val="0009429B"/>
    <w:rsid w:val="000946D8"/>
    <w:rsid w:val="00094990"/>
    <w:rsid w:val="000949AA"/>
    <w:rsid w:val="000954D9"/>
    <w:rsid w:val="000958F8"/>
    <w:rsid w:val="00095DC4"/>
    <w:rsid w:val="00095DE2"/>
    <w:rsid w:val="00096035"/>
    <w:rsid w:val="0009606A"/>
    <w:rsid w:val="0009634B"/>
    <w:rsid w:val="000964A2"/>
    <w:rsid w:val="0009687C"/>
    <w:rsid w:val="00097392"/>
    <w:rsid w:val="00097454"/>
    <w:rsid w:val="00097520"/>
    <w:rsid w:val="000975DC"/>
    <w:rsid w:val="00097C88"/>
    <w:rsid w:val="00097E28"/>
    <w:rsid w:val="00097FFE"/>
    <w:rsid w:val="000A024C"/>
    <w:rsid w:val="000A0632"/>
    <w:rsid w:val="000A10EB"/>
    <w:rsid w:val="000A15C5"/>
    <w:rsid w:val="000A1C44"/>
    <w:rsid w:val="000A2287"/>
    <w:rsid w:val="000A263C"/>
    <w:rsid w:val="000A295E"/>
    <w:rsid w:val="000A2A3E"/>
    <w:rsid w:val="000A2EF8"/>
    <w:rsid w:val="000A2F71"/>
    <w:rsid w:val="000A2F9E"/>
    <w:rsid w:val="000A3282"/>
    <w:rsid w:val="000A344C"/>
    <w:rsid w:val="000A3D13"/>
    <w:rsid w:val="000A3F4D"/>
    <w:rsid w:val="000A43A4"/>
    <w:rsid w:val="000A4AC6"/>
    <w:rsid w:val="000A551F"/>
    <w:rsid w:val="000A5AB6"/>
    <w:rsid w:val="000A5CC8"/>
    <w:rsid w:val="000A5F64"/>
    <w:rsid w:val="000A6106"/>
    <w:rsid w:val="000A6819"/>
    <w:rsid w:val="000A6E70"/>
    <w:rsid w:val="000A700C"/>
    <w:rsid w:val="000A7500"/>
    <w:rsid w:val="000A7800"/>
    <w:rsid w:val="000A79D1"/>
    <w:rsid w:val="000A7F66"/>
    <w:rsid w:val="000B00FB"/>
    <w:rsid w:val="000B0AB2"/>
    <w:rsid w:val="000B0BFA"/>
    <w:rsid w:val="000B1216"/>
    <w:rsid w:val="000B1708"/>
    <w:rsid w:val="000B194A"/>
    <w:rsid w:val="000B1BC1"/>
    <w:rsid w:val="000B1E8C"/>
    <w:rsid w:val="000B1FDB"/>
    <w:rsid w:val="000B2B5A"/>
    <w:rsid w:val="000B3002"/>
    <w:rsid w:val="000B3773"/>
    <w:rsid w:val="000B380C"/>
    <w:rsid w:val="000B38BA"/>
    <w:rsid w:val="000B393A"/>
    <w:rsid w:val="000B3DED"/>
    <w:rsid w:val="000B42EC"/>
    <w:rsid w:val="000B4594"/>
    <w:rsid w:val="000B45E5"/>
    <w:rsid w:val="000B48A9"/>
    <w:rsid w:val="000B4DDE"/>
    <w:rsid w:val="000B572D"/>
    <w:rsid w:val="000B5AC9"/>
    <w:rsid w:val="000B5B53"/>
    <w:rsid w:val="000B5BD6"/>
    <w:rsid w:val="000B5D70"/>
    <w:rsid w:val="000B5DB0"/>
    <w:rsid w:val="000B5F09"/>
    <w:rsid w:val="000B60B3"/>
    <w:rsid w:val="000B6230"/>
    <w:rsid w:val="000B6431"/>
    <w:rsid w:val="000B697D"/>
    <w:rsid w:val="000B6FE1"/>
    <w:rsid w:val="000B7705"/>
    <w:rsid w:val="000B7709"/>
    <w:rsid w:val="000B771B"/>
    <w:rsid w:val="000C0124"/>
    <w:rsid w:val="000C05C1"/>
    <w:rsid w:val="000C0E6F"/>
    <w:rsid w:val="000C160D"/>
    <w:rsid w:val="000C1611"/>
    <w:rsid w:val="000C189E"/>
    <w:rsid w:val="000C1CDB"/>
    <w:rsid w:val="000C1EB8"/>
    <w:rsid w:val="000C2328"/>
    <w:rsid w:val="000C26D8"/>
    <w:rsid w:val="000C2852"/>
    <w:rsid w:val="000C28B7"/>
    <w:rsid w:val="000C29B5"/>
    <w:rsid w:val="000C3490"/>
    <w:rsid w:val="000C3C31"/>
    <w:rsid w:val="000C4289"/>
    <w:rsid w:val="000C4728"/>
    <w:rsid w:val="000C4C7A"/>
    <w:rsid w:val="000C4D89"/>
    <w:rsid w:val="000C55C9"/>
    <w:rsid w:val="000C56F8"/>
    <w:rsid w:val="000C62DD"/>
    <w:rsid w:val="000C62FD"/>
    <w:rsid w:val="000C6608"/>
    <w:rsid w:val="000C6624"/>
    <w:rsid w:val="000C695F"/>
    <w:rsid w:val="000C7086"/>
    <w:rsid w:val="000C74FA"/>
    <w:rsid w:val="000C7A5D"/>
    <w:rsid w:val="000C7AAF"/>
    <w:rsid w:val="000C7D37"/>
    <w:rsid w:val="000C7F42"/>
    <w:rsid w:val="000C7FA2"/>
    <w:rsid w:val="000D094E"/>
    <w:rsid w:val="000D099B"/>
    <w:rsid w:val="000D0AB6"/>
    <w:rsid w:val="000D0BCC"/>
    <w:rsid w:val="000D12CC"/>
    <w:rsid w:val="000D13B1"/>
    <w:rsid w:val="000D152D"/>
    <w:rsid w:val="000D1DE7"/>
    <w:rsid w:val="000D1F94"/>
    <w:rsid w:val="000D24AB"/>
    <w:rsid w:val="000D25BF"/>
    <w:rsid w:val="000D27BB"/>
    <w:rsid w:val="000D2D7B"/>
    <w:rsid w:val="000D2E0D"/>
    <w:rsid w:val="000D30CA"/>
    <w:rsid w:val="000D32C3"/>
    <w:rsid w:val="000D331B"/>
    <w:rsid w:val="000D3577"/>
    <w:rsid w:val="000D36F4"/>
    <w:rsid w:val="000D3769"/>
    <w:rsid w:val="000D3852"/>
    <w:rsid w:val="000D39E6"/>
    <w:rsid w:val="000D3DB6"/>
    <w:rsid w:val="000D44D5"/>
    <w:rsid w:val="000D458E"/>
    <w:rsid w:val="000D47FA"/>
    <w:rsid w:val="000D4DED"/>
    <w:rsid w:val="000D501B"/>
    <w:rsid w:val="000D5033"/>
    <w:rsid w:val="000D6865"/>
    <w:rsid w:val="000D69A6"/>
    <w:rsid w:val="000D7488"/>
    <w:rsid w:val="000D7509"/>
    <w:rsid w:val="000D7FA5"/>
    <w:rsid w:val="000E0D85"/>
    <w:rsid w:val="000E17DE"/>
    <w:rsid w:val="000E1A1B"/>
    <w:rsid w:val="000E1F75"/>
    <w:rsid w:val="000E20DD"/>
    <w:rsid w:val="000E2AD6"/>
    <w:rsid w:val="000E2CB1"/>
    <w:rsid w:val="000E2CF7"/>
    <w:rsid w:val="000E2E51"/>
    <w:rsid w:val="000E325E"/>
    <w:rsid w:val="000E3283"/>
    <w:rsid w:val="000E334F"/>
    <w:rsid w:val="000E353A"/>
    <w:rsid w:val="000E35AE"/>
    <w:rsid w:val="000E363C"/>
    <w:rsid w:val="000E3A11"/>
    <w:rsid w:val="000E3BA3"/>
    <w:rsid w:val="000E3F11"/>
    <w:rsid w:val="000E3FCB"/>
    <w:rsid w:val="000E41A9"/>
    <w:rsid w:val="000E4216"/>
    <w:rsid w:val="000E426D"/>
    <w:rsid w:val="000E4364"/>
    <w:rsid w:val="000E4683"/>
    <w:rsid w:val="000E4DCC"/>
    <w:rsid w:val="000E4E92"/>
    <w:rsid w:val="000E4F41"/>
    <w:rsid w:val="000E52CC"/>
    <w:rsid w:val="000E61D2"/>
    <w:rsid w:val="000E6697"/>
    <w:rsid w:val="000E6AEE"/>
    <w:rsid w:val="000E6C2F"/>
    <w:rsid w:val="000E76A0"/>
    <w:rsid w:val="000E7986"/>
    <w:rsid w:val="000F03E0"/>
    <w:rsid w:val="000F05E1"/>
    <w:rsid w:val="000F0C2F"/>
    <w:rsid w:val="000F0C94"/>
    <w:rsid w:val="000F180A"/>
    <w:rsid w:val="000F22FF"/>
    <w:rsid w:val="000F265A"/>
    <w:rsid w:val="000F26E1"/>
    <w:rsid w:val="000F2F49"/>
    <w:rsid w:val="000F3037"/>
    <w:rsid w:val="000F3104"/>
    <w:rsid w:val="000F3403"/>
    <w:rsid w:val="000F34A9"/>
    <w:rsid w:val="000F3716"/>
    <w:rsid w:val="000F3BDF"/>
    <w:rsid w:val="000F3DF5"/>
    <w:rsid w:val="000F48E0"/>
    <w:rsid w:val="000F494D"/>
    <w:rsid w:val="000F55D2"/>
    <w:rsid w:val="000F59B3"/>
    <w:rsid w:val="000F5B4E"/>
    <w:rsid w:val="000F61E7"/>
    <w:rsid w:val="000F6382"/>
    <w:rsid w:val="000F65E7"/>
    <w:rsid w:val="000F7158"/>
    <w:rsid w:val="000F7BB7"/>
    <w:rsid w:val="000F7F26"/>
    <w:rsid w:val="001002CF"/>
    <w:rsid w:val="00100AD0"/>
    <w:rsid w:val="00100AD9"/>
    <w:rsid w:val="00100C07"/>
    <w:rsid w:val="00100E68"/>
    <w:rsid w:val="001011E1"/>
    <w:rsid w:val="001011E7"/>
    <w:rsid w:val="0010130B"/>
    <w:rsid w:val="00101519"/>
    <w:rsid w:val="00101534"/>
    <w:rsid w:val="0010169B"/>
    <w:rsid w:val="001017D8"/>
    <w:rsid w:val="00101F21"/>
    <w:rsid w:val="00101FD2"/>
    <w:rsid w:val="0010218A"/>
    <w:rsid w:val="00102224"/>
    <w:rsid w:val="00102685"/>
    <w:rsid w:val="00102D36"/>
    <w:rsid w:val="00102F19"/>
    <w:rsid w:val="00102F72"/>
    <w:rsid w:val="0010300A"/>
    <w:rsid w:val="001031B3"/>
    <w:rsid w:val="001031B7"/>
    <w:rsid w:val="0010342C"/>
    <w:rsid w:val="001036A6"/>
    <w:rsid w:val="00103A87"/>
    <w:rsid w:val="00103DD6"/>
    <w:rsid w:val="00103E88"/>
    <w:rsid w:val="00103ED3"/>
    <w:rsid w:val="00103EEF"/>
    <w:rsid w:val="001048BA"/>
    <w:rsid w:val="0010497F"/>
    <w:rsid w:val="00104C98"/>
    <w:rsid w:val="00104DE5"/>
    <w:rsid w:val="0010526A"/>
    <w:rsid w:val="001055E6"/>
    <w:rsid w:val="0010587D"/>
    <w:rsid w:val="00105AB1"/>
    <w:rsid w:val="00105C2B"/>
    <w:rsid w:val="00106711"/>
    <w:rsid w:val="00106B35"/>
    <w:rsid w:val="00106CCD"/>
    <w:rsid w:val="0010721D"/>
    <w:rsid w:val="001072BE"/>
    <w:rsid w:val="00107852"/>
    <w:rsid w:val="00107FB9"/>
    <w:rsid w:val="0011056D"/>
    <w:rsid w:val="00110674"/>
    <w:rsid w:val="00110AF3"/>
    <w:rsid w:val="00110C75"/>
    <w:rsid w:val="0011113C"/>
    <w:rsid w:val="00111357"/>
    <w:rsid w:val="001116E5"/>
    <w:rsid w:val="001118A8"/>
    <w:rsid w:val="00111F1F"/>
    <w:rsid w:val="0011227D"/>
    <w:rsid w:val="001126A8"/>
    <w:rsid w:val="001127A4"/>
    <w:rsid w:val="001128E0"/>
    <w:rsid w:val="001128FC"/>
    <w:rsid w:val="00112B0C"/>
    <w:rsid w:val="001130B2"/>
    <w:rsid w:val="0011390B"/>
    <w:rsid w:val="00113E4F"/>
    <w:rsid w:val="00113F61"/>
    <w:rsid w:val="001141DE"/>
    <w:rsid w:val="00114348"/>
    <w:rsid w:val="001143E9"/>
    <w:rsid w:val="001144D2"/>
    <w:rsid w:val="0011467E"/>
    <w:rsid w:val="001146DB"/>
    <w:rsid w:val="00114BD0"/>
    <w:rsid w:val="00114CA2"/>
    <w:rsid w:val="00115037"/>
    <w:rsid w:val="00115071"/>
    <w:rsid w:val="00115515"/>
    <w:rsid w:val="00115723"/>
    <w:rsid w:val="001158A2"/>
    <w:rsid w:val="00115A90"/>
    <w:rsid w:val="001160A0"/>
    <w:rsid w:val="0011628F"/>
    <w:rsid w:val="001168FB"/>
    <w:rsid w:val="00116C60"/>
    <w:rsid w:val="00116CBD"/>
    <w:rsid w:val="00117245"/>
    <w:rsid w:val="001173F2"/>
    <w:rsid w:val="0011743F"/>
    <w:rsid w:val="00117A4A"/>
    <w:rsid w:val="00117B56"/>
    <w:rsid w:val="00117B6F"/>
    <w:rsid w:val="00117C54"/>
    <w:rsid w:val="00117F62"/>
    <w:rsid w:val="001201FB"/>
    <w:rsid w:val="00120249"/>
    <w:rsid w:val="0012045C"/>
    <w:rsid w:val="001204EE"/>
    <w:rsid w:val="001206FC"/>
    <w:rsid w:val="00120A14"/>
    <w:rsid w:val="00120E8F"/>
    <w:rsid w:val="00120EA7"/>
    <w:rsid w:val="00120EDB"/>
    <w:rsid w:val="00120F4B"/>
    <w:rsid w:val="0012136D"/>
    <w:rsid w:val="0012137F"/>
    <w:rsid w:val="001216ED"/>
    <w:rsid w:val="00121D61"/>
    <w:rsid w:val="0012204C"/>
    <w:rsid w:val="0012208A"/>
    <w:rsid w:val="00122629"/>
    <w:rsid w:val="001229B1"/>
    <w:rsid w:val="00122FBE"/>
    <w:rsid w:val="00123510"/>
    <w:rsid w:val="001235E1"/>
    <w:rsid w:val="001239DC"/>
    <w:rsid w:val="00123C45"/>
    <w:rsid w:val="00123D2C"/>
    <w:rsid w:val="00123E03"/>
    <w:rsid w:val="0012404E"/>
    <w:rsid w:val="00124221"/>
    <w:rsid w:val="001244B5"/>
    <w:rsid w:val="0012473C"/>
    <w:rsid w:val="00124B07"/>
    <w:rsid w:val="00124BCC"/>
    <w:rsid w:val="001250FD"/>
    <w:rsid w:val="00125331"/>
    <w:rsid w:val="00125551"/>
    <w:rsid w:val="0012558D"/>
    <w:rsid w:val="001255D4"/>
    <w:rsid w:val="0012593C"/>
    <w:rsid w:val="00125C69"/>
    <w:rsid w:val="001263EB"/>
    <w:rsid w:val="0012681B"/>
    <w:rsid w:val="00126933"/>
    <w:rsid w:val="00126951"/>
    <w:rsid w:val="00126EFE"/>
    <w:rsid w:val="00127103"/>
    <w:rsid w:val="001273CB"/>
    <w:rsid w:val="001274CE"/>
    <w:rsid w:val="00127748"/>
    <w:rsid w:val="00127B3D"/>
    <w:rsid w:val="00127E59"/>
    <w:rsid w:val="001302AE"/>
    <w:rsid w:val="001306FC"/>
    <w:rsid w:val="00130EAA"/>
    <w:rsid w:val="00130F70"/>
    <w:rsid w:val="00130FC6"/>
    <w:rsid w:val="00131311"/>
    <w:rsid w:val="0013144C"/>
    <w:rsid w:val="0013154C"/>
    <w:rsid w:val="001316F1"/>
    <w:rsid w:val="00131CB6"/>
    <w:rsid w:val="0013204A"/>
    <w:rsid w:val="00132637"/>
    <w:rsid w:val="00132875"/>
    <w:rsid w:val="001329D5"/>
    <w:rsid w:val="00132A98"/>
    <w:rsid w:val="00132BAD"/>
    <w:rsid w:val="0013334F"/>
    <w:rsid w:val="00133490"/>
    <w:rsid w:val="00134B7A"/>
    <w:rsid w:val="00135CC1"/>
    <w:rsid w:val="00135EF2"/>
    <w:rsid w:val="001361E1"/>
    <w:rsid w:val="00136487"/>
    <w:rsid w:val="001365E1"/>
    <w:rsid w:val="0013679B"/>
    <w:rsid w:val="0013687B"/>
    <w:rsid w:val="00136A61"/>
    <w:rsid w:val="001371BA"/>
    <w:rsid w:val="0013754B"/>
    <w:rsid w:val="00137C26"/>
    <w:rsid w:val="00140307"/>
    <w:rsid w:val="0014059F"/>
    <w:rsid w:val="001407A0"/>
    <w:rsid w:val="00140D45"/>
    <w:rsid w:val="00141037"/>
    <w:rsid w:val="001414A3"/>
    <w:rsid w:val="001415A6"/>
    <w:rsid w:val="001416DF"/>
    <w:rsid w:val="00142212"/>
    <w:rsid w:val="0014233F"/>
    <w:rsid w:val="00143396"/>
    <w:rsid w:val="00143B6E"/>
    <w:rsid w:val="00143CB4"/>
    <w:rsid w:val="00143D0D"/>
    <w:rsid w:val="00143DEC"/>
    <w:rsid w:val="00143E4D"/>
    <w:rsid w:val="00143E64"/>
    <w:rsid w:val="001449DF"/>
    <w:rsid w:val="00144D5C"/>
    <w:rsid w:val="00144EA1"/>
    <w:rsid w:val="001457F0"/>
    <w:rsid w:val="00145AB1"/>
    <w:rsid w:val="00146202"/>
    <w:rsid w:val="0014688F"/>
    <w:rsid w:val="00146993"/>
    <w:rsid w:val="00146AFC"/>
    <w:rsid w:val="00146C5F"/>
    <w:rsid w:val="00147456"/>
    <w:rsid w:val="00147CA9"/>
    <w:rsid w:val="00147F6D"/>
    <w:rsid w:val="00147F79"/>
    <w:rsid w:val="0015002B"/>
    <w:rsid w:val="00150215"/>
    <w:rsid w:val="001502AE"/>
    <w:rsid w:val="001504CA"/>
    <w:rsid w:val="00150B9F"/>
    <w:rsid w:val="00150BC8"/>
    <w:rsid w:val="00150D74"/>
    <w:rsid w:val="00150FB5"/>
    <w:rsid w:val="00151664"/>
    <w:rsid w:val="00151D40"/>
    <w:rsid w:val="0015238E"/>
    <w:rsid w:val="001524DF"/>
    <w:rsid w:val="0015263D"/>
    <w:rsid w:val="00152C1C"/>
    <w:rsid w:val="00152DDD"/>
    <w:rsid w:val="00152F97"/>
    <w:rsid w:val="00153240"/>
    <w:rsid w:val="001535AA"/>
    <w:rsid w:val="001539DF"/>
    <w:rsid w:val="00153A2E"/>
    <w:rsid w:val="00153B22"/>
    <w:rsid w:val="00153CED"/>
    <w:rsid w:val="001540C2"/>
    <w:rsid w:val="001540C6"/>
    <w:rsid w:val="00154172"/>
    <w:rsid w:val="0015437A"/>
    <w:rsid w:val="00154F12"/>
    <w:rsid w:val="00155915"/>
    <w:rsid w:val="00155D82"/>
    <w:rsid w:val="0015683C"/>
    <w:rsid w:val="00156D10"/>
    <w:rsid w:val="001571FF"/>
    <w:rsid w:val="0015721D"/>
    <w:rsid w:val="00157224"/>
    <w:rsid w:val="0015741E"/>
    <w:rsid w:val="001579E6"/>
    <w:rsid w:val="00157AEB"/>
    <w:rsid w:val="00157F93"/>
    <w:rsid w:val="00160378"/>
    <w:rsid w:val="001603D6"/>
    <w:rsid w:val="0016077B"/>
    <w:rsid w:val="00161678"/>
    <w:rsid w:val="00161891"/>
    <w:rsid w:val="001619E2"/>
    <w:rsid w:val="00161AF9"/>
    <w:rsid w:val="00161F2A"/>
    <w:rsid w:val="0016213E"/>
    <w:rsid w:val="001621B3"/>
    <w:rsid w:val="00162248"/>
    <w:rsid w:val="001629CA"/>
    <w:rsid w:val="00162B64"/>
    <w:rsid w:val="0016305C"/>
    <w:rsid w:val="001631E3"/>
    <w:rsid w:val="0016353A"/>
    <w:rsid w:val="00163E82"/>
    <w:rsid w:val="00163FD6"/>
    <w:rsid w:val="00164100"/>
    <w:rsid w:val="0016412E"/>
    <w:rsid w:val="001642C0"/>
    <w:rsid w:val="001642D5"/>
    <w:rsid w:val="00164819"/>
    <w:rsid w:val="00164C0A"/>
    <w:rsid w:val="00164F12"/>
    <w:rsid w:val="00165085"/>
    <w:rsid w:val="001654B2"/>
    <w:rsid w:val="00165A48"/>
    <w:rsid w:val="00166260"/>
    <w:rsid w:val="0016681E"/>
    <w:rsid w:val="00167243"/>
    <w:rsid w:val="001674C0"/>
    <w:rsid w:val="0016750F"/>
    <w:rsid w:val="00167974"/>
    <w:rsid w:val="00167F39"/>
    <w:rsid w:val="001702DD"/>
    <w:rsid w:val="00170494"/>
    <w:rsid w:val="00170AC7"/>
    <w:rsid w:val="00170BDE"/>
    <w:rsid w:val="001711CC"/>
    <w:rsid w:val="0017137C"/>
    <w:rsid w:val="00171503"/>
    <w:rsid w:val="00171532"/>
    <w:rsid w:val="001718D9"/>
    <w:rsid w:val="00171AD6"/>
    <w:rsid w:val="00171E82"/>
    <w:rsid w:val="00171F50"/>
    <w:rsid w:val="001721EC"/>
    <w:rsid w:val="00172414"/>
    <w:rsid w:val="00172746"/>
    <w:rsid w:val="00172885"/>
    <w:rsid w:val="00172979"/>
    <w:rsid w:val="00172F16"/>
    <w:rsid w:val="00173A1D"/>
    <w:rsid w:val="00173DD1"/>
    <w:rsid w:val="00174312"/>
    <w:rsid w:val="001749C7"/>
    <w:rsid w:val="00175220"/>
    <w:rsid w:val="0017535F"/>
    <w:rsid w:val="001753C3"/>
    <w:rsid w:val="001758E1"/>
    <w:rsid w:val="00175A7E"/>
    <w:rsid w:val="00175E8E"/>
    <w:rsid w:val="00176100"/>
    <w:rsid w:val="00176402"/>
    <w:rsid w:val="00176469"/>
    <w:rsid w:val="001767F3"/>
    <w:rsid w:val="00176B30"/>
    <w:rsid w:val="00176E12"/>
    <w:rsid w:val="00177780"/>
    <w:rsid w:val="00177B46"/>
    <w:rsid w:val="00177DB2"/>
    <w:rsid w:val="0018002C"/>
    <w:rsid w:val="00180163"/>
    <w:rsid w:val="00180EA4"/>
    <w:rsid w:val="00181045"/>
    <w:rsid w:val="00181451"/>
    <w:rsid w:val="00181F73"/>
    <w:rsid w:val="00181F94"/>
    <w:rsid w:val="00182253"/>
    <w:rsid w:val="001826B1"/>
    <w:rsid w:val="00182860"/>
    <w:rsid w:val="00182930"/>
    <w:rsid w:val="00182E44"/>
    <w:rsid w:val="0018328F"/>
    <w:rsid w:val="00183325"/>
    <w:rsid w:val="0018333A"/>
    <w:rsid w:val="00183754"/>
    <w:rsid w:val="00183B36"/>
    <w:rsid w:val="00183B89"/>
    <w:rsid w:val="001840AD"/>
    <w:rsid w:val="00184268"/>
    <w:rsid w:val="00184384"/>
    <w:rsid w:val="001843EA"/>
    <w:rsid w:val="00184BCB"/>
    <w:rsid w:val="00184F7D"/>
    <w:rsid w:val="001852A9"/>
    <w:rsid w:val="00185455"/>
    <w:rsid w:val="00185DF2"/>
    <w:rsid w:val="00186AC5"/>
    <w:rsid w:val="00186C7A"/>
    <w:rsid w:val="00186F26"/>
    <w:rsid w:val="00186F53"/>
    <w:rsid w:val="00186FCD"/>
    <w:rsid w:val="001870DE"/>
    <w:rsid w:val="00187208"/>
    <w:rsid w:val="0018721E"/>
    <w:rsid w:val="00187254"/>
    <w:rsid w:val="0018754D"/>
    <w:rsid w:val="00187564"/>
    <w:rsid w:val="001900B1"/>
    <w:rsid w:val="001905C0"/>
    <w:rsid w:val="00190B67"/>
    <w:rsid w:val="00190BBE"/>
    <w:rsid w:val="00190BDA"/>
    <w:rsid w:val="00191284"/>
    <w:rsid w:val="00191329"/>
    <w:rsid w:val="00191445"/>
    <w:rsid w:val="00191712"/>
    <w:rsid w:val="0019190A"/>
    <w:rsid w:val="00191C4E"/>
    <w:rsid w:val="00191DF3"/>
    <w:rsid w:val="00192133"/>
    <w:rsid w:val="00192344"/>
    <w:rsid w:val="0019265A"/>
    <w:rsid w:val="00192934"/>
    <w:rsid w:val="001931C4"/>
    <w:rsid w:val="00193652"/>
    <w:rsid w:val="001937A3"/>
    <w:rsid w:val="001946DE"/>
    <w:rsid w:val="00194AAF"/>
    <w:rsid w:val="001957C6"/>
    <w:rsid w:val="001957C8"/>
    <w:rsid w:val="00195920"/>
    <w:rsid w:val="001959D7"/>
    <w:rsid w:val="00195F15"/>
    <w:rsid w:val="00195F18"/>
    <w:rsid w:val="00196B97"/>
    <w:rsid w:val="00196EE5"/>
    <w:rsid w:val="00197000"/>
    <w:rsid w:val="0019721F"/>
    <w:rsid w:val="0019749D"/>
    <w:rsid w:val="001975C0"/>
    <w:rsid w:val="00197FE9"/>
    <w:rsid w:val="001A0035"/>
    <w:rsid w:val="001A0DD9"/>
    <w:rsid w:val="001A0F31"/>
    <w:rsid w:val="001A1538"/>
    <w:rsid w:val="001A1942"/>
    <w:rsid w:val="001A2111"/>
    <w:rsid w:val="001A2665"/>
    <w:rsid w:val="001A29B0"/>
    <w:rsid w:val="001A2CBB"/>
    <w:rsid w:val="001A3250"/>
    <w:rsid w:val="001A332C"/>
    <w:rsid w:val="001A3504"/>
    <w:rsid w:val="001A3D54"/>
    <w:rsid w:val="001A3F9A"/>
    <w:rsid w:val="001A4082"/>
    <w:rsid w:val="001A41AC"/>
    <w:rsid w:val="001A45EE"/>
    <w:rsid w:val="001A52B2"/>
    <w:rsid w:val="001A571D"/>
    <w:rsid w:val="001A5C66"/>
    <w:rsid w:val="001A5D20"/>
    <w:rsid w:val="001A604A"/>
    <w:rsid w:val="001A73A4"/>
    <w:rsid w:val="001A77F6"/>
    <w:rsid w:val="001B0486"/>
    <w:rsid w:val="001B08DC"/>
    <w:rsid w:val="001B09CA"/>
    <w:rsid w:val="001B0F84"/>
    <w:rsid w:val="001B1497"/>
    <w:rsid w:val="001B15F6"/>
    <w:rsid w:val="001B1C4A"/>
    <w:rsid w:val="001B1D26"/>
    <w:rsid w:val="001B22E6"/>
    <w:rsid w:val="001B26A4"/>
    <w:rsid w:val="001B26CD"/>
    <w:rsid w:val="001B28D2"/>
    <w:rsid w:val="001B2AD2"/>
    <w:rsid w:val="001B2F11"/>
    <w:rsid w:val="001B3038"/>
    <w:rsid w:val="001B332A"/>
    <w:rsid w:val="001B3436"/>
    <w:rsid w:val="001B36E3"/>
    <w:rsid w:val="001B3D0C"/>
    <w:rsid w:val="001B4C5E"/>
    <w:rsid w:val="001B503C"/>
    <w:rsid w:val="001B5156"/>
    <w:rsid w:val="001B523A"/>
    <w:rsid w:val="001B54C5"/>
    <w:rsid w:val="001B5E36"/>
    <w:rsid w:val="001B60FB"/>
    <w:rsid w:val="001B6109"/>
    <w:rsid w:val="001B613B"/>
    <w:rsid w:val="001B6A1E"/>
    <w:rsid w:val="001B7012"/>
    <w:rsid w:val="001B7AEB"/>
    <w:rsid w:val="001B7B19"/>
    <w:rsid w:val="001C0534"/>
    <w:rsid w:val="001C0603"/>
    <w:rsid w:val="001C08EB"/>
    <w:rsid w:val="001C0F3C"/>
    <w:rsid w:val="001C10C6"/>
    <w:rsid w:val="001C11DD"/>
    <w:rsid w:val="001C1419"/>
    <w:rsid w:val="001C1747"/>
    <w:rsid w:val="001C181C"/>
    <w:rsid w:val="001C1B02"/>
    <w:rsid w:val="001C1BD5"/>
    <w:rsid w:val="001C2A4B"/>
    <w:rsid w:val="001C2C4F"/>
    <w:rsid w:val="001C2C99"/>
    <w:rsid w:val="001C2CAA"/>
    <w:rsid w:val="001C3642"/>
    <w:rsid w:val="001C3851"/>
    <w:rsid w:val="001C3DB4"/>
    <w:rsid w:val="001C47A1"/>
    <w:rsid w:val="001C4863"/>
    <w:rsid w:val="001C5898"/>
    <w:rsid w:val="001C59EF"/>
    <w:rsid w:val="001C5E87"/>
    <w:rsid w:val="001C6080"/>
    <w:rsid w:val="001C69E1"/>
    <w:rsid w:val="001C6D0F"/>
    <w:rsid w:val="001C7217"/>
    <w:rsid w:val="001C795F"/>
    <w:rsid w:val="001C79E6"/>
    <w:rsid w:val="001D01DA"/>
    <w:rsid w:val="001D01E0"/>
    <w:rsid w:val="001D04B3"/>
    <w:rsid w:val="001D07EF"/>
    <w:rsid w:val="001D0D8E"/>
    <w:rsid w:val="001D10FB"/>
    <w:rsid w:val="001D11D4"/>
    <w:rsid w:val="001D176C"/>
    <w:rsid w:val="001D1D8A"/>
    <w:rsid w:val="001D1E1B"/>
    <w:rsid w:val="001D226E"/>
    <w:rsid w:val="001D22F7"/>
    <w:rsid w:val="001D29F0"/>
    <w:rsid w:val="001D2F1E"/>
    <w:rsid w:val="001D370C"/>
    <w:rsid w:val="001D3841"/>
    <w:rsid w:val="001D3A14"/>
    <w:rsid w:val="001D3DEB"/>
    <w:rsid w:val="001D3EBA"/>
    <w:rsid w:val="001D45B7"/>
    <w:rsid w:val="001D469F"/>
    <w:rsid w:val="001D4F2A"/>
    <w:rsid w:val="001D52E5"/>
    <w:rsid w:val="001D5BBA"/>
    <w:rsid w:val="001D633F"/>
    <w:rsid w:val="001D6366"/>
    <w:rsid w:val="001D6B91"/>
    <w:rsid w:val="001D6FE4"/>
    <w:rsid w:val="001D735C"/>
    <w:rsid w:val="001D7B51"/>
    <w:rsid w:val="001E0457"/>
    <w:rsid w:val="001E056A"/>
    <w:rsid w:val="001E0757"/>
    <w:rsid w:val="001E13FB"/>
    <w:rsid w:val="001E26A9"/>
    <w:rsid w:val="001E2A0B"/>
    <w:rsid w:val="001E2CCD"/>
    <w:rsid w:val="001E32C6"/>
    <w:rsid w:val="001E3B25"/>
    <w:rsid w:val="001E4055"/>
    <w:rsid w:val="001E44C8"/>
    <w:rsid w:val="001E4547"/>
    <w:rsid w:val="001E4FCD"/>
    <w:rsid w:val="001E5619"/>
    <w:rsid w:val="001E5708"/>
    <w:rsid w:val="001E570B"/>
    <w:rsid w:val="001E57FC"/>
    <w:rsid w:val="001E5B69"/>
    <w:rsid w:val="001E5BA6"/>
    <w:rsid w:val="001E5E54"/>
    <w:rsid w:val="001E643F"/>
    <w:rsid w:val="001E6A84"/>
    <w:rsid w:val="001E7059"/>
    <w:rsid w:val="001E7166"/>
    <w:rsid w:val="001E71EC"/>
    <w:rsid w:val="001E730E"/>
    <w:rsid w:val="001E739D"/>
    <w:rsid w:val="001E742E"/>
    <w:rsid w:val="001E7632"/>
    <w:rsid w:val="001E78C1"/>
    <w:rsid w:val="001E7A1C"/>
    <w:rsid w:val="001E7B8F"/>
    <w:rsid w:val="001E7E8B"/>
    <w:rsid w:val="001E7F63"/>
    <w:rsid w:val="001F0064"/>
    <w:rsid w:val="001F02F1"/>
    <w:rsid w:val="001F0525"/>
    <w:rsid w:val="001F05AB"/>
    <w:rsid w:val="001F0996"/>
    <w:rsid w:val="001F09F2"/>
    <w:rsid w:val="001F0D0F"/>
    <w:rsid w:val="001F0F10"/>
    <w:rsid w:val="001F1071"/>
    <w:rsid w:val="001F17DB"/>
    <w:rsid w:val="001F1AA5"/>
    <w:rsid w:val="001F1B6A"/>
    <w:rsid w:val="001F278D"/>
    <w:rsid w:val="001F2F82"/>
    <w:rsid w:val="001F361B"/>
    <w:rsid w:val="001F3870"/>
    <w:rsid w:val="001F3B44"/>
    <w:rsid w:val="001F4664"/>
    <w:rsid w:val="001F48D2"/>
    <w:rsid w:val="001F495C"/>
    <w:rsid w:val="001F4A51"/>
    <w:rsid w:val="001F4BD7"/>
    <w:rsid w:val="001F5566"/>
    <w:rsid w:val="001F57DC"/>
    <w:rsid w:val="001F597A"/>
    <w:rsid w:val="001F5AA1"/>
    <w:rsid w:val="001F5B15"/>
    <w:rsid w:val="001F5F52"/>
    <w:rsid w:val="001F6597"/>
    <w:rsid w:val="001F6B09"/>
    <w:rsid w:val="001F7013"/>
    <w:rsid w:val="001F72C1"/>
    <w:rsid w:val="001F75A8"/>
    <w:rsid w:val="002001B2"/>
    <w:rsid w:val="0020045A"/>
    <w:rsid w:val="00200792"/>
    <w:rsid w:val="00200C9E"/>
    <w:rsid w:val="00200D1D"/>
    <w:rsid w:val="0020130B"/>
    <w:rsid w:val="00201352"/>
    <w:rsid w:val="0020160A"/>
    <w:rsid w:val="00201AF5"/>
    <w:rsid w:val="00201B92"/>
    <w:rsid w:val="00202244"/>
    <w:rsid w:val="002025B2"/>
    <w:rsid w:val="002028B9"/>
    <w:rsid w:val="00202E63"/>
    <w:rsid w:val="00202E7C"/>
    <w:rsid w:val="002031E2"/>
    <w:rsid w:val="00203279"/>
    <w:rsid w:val="002034FF"/>
    <w:rsid w:val="002037DD"/>
    <w:rsid w:val="00204316"/>
    <w:rsid w:val="002043D5"/>
    <w:rsid w:val="00204534"/>
    <w:rsid w:val="00204628"/>
    <w:rsid w:val="0020506A"/>
    <w:rsid w:val="0020539F"/>
    <w:rsid w:val="0020541B"/>
    <w:rsid w:val="0020578A"/>
    <w:rsid w:val="00205871"/>
    <w:rsid w:val="00205B0C"/>
    <w:rsid w:val="00205D5C"/>
    <w:rsid w:val="00206350"/>
    <w:rsid w:val="0021031B"/>
    <w:rsid w:val="002106E1"/>
    <w:rsid w:val="00210801"/>
    <w:rsid w:val="00210A27"/>
    <w:rsid w:val="0021125D"/>
    <w:rsid w:val="002114CA"/>
    <w:rsid w:val="002116A2"/>
    <w:rsid w:val="00212A33"/>
    <w:rsid w:val="00212D7A"/>
    <w:rsid w:val="00213686"/>
    <w:rsid w:val="00213F54"/>
    <w:rsid w:val="00214B0C"/>
    <w:rsid w:val="00215026"/>
    <w:rsid w:val="00215250"/>
    <w:rsid w:val="0021540C"/>
    <w:rsid w:val="0021593F"/>
    <w:rsid w:val="002163F4"/>
    <w:rsid w:val="002168EA"/>
    <w:rsid w:val="00216962"/>
    <w:rsid w:val="00216E20"/>
    <w:rsid w:val="00217BA1"/>
    <w:rsid w:val="0022009C"/>
    <w:rsid w:val="002200AD"/>
    <w:rsid w:val="002203AE"/>
    <w:rsid w:val="002204A4"/>
    <w:rsid w:val="00220976"/>
    <w:rsid w:val="00220BA7"/>
    <w:rsid w:val="00220DE1"/>
    <w:rsid w:val="00221732"/>
    <w:rsid w:val="00221A92"/>
    <w:rsid w:val="00221DCA"/>
    <w:rsid w:val="00221E02"/>
    <w:rsid w:val="002222CF"/>
    <w:rsid w:val="002227B4"/>
    <w:rsid w:val="00223036"/>
    <w:rsid w:val="00223AB3"/>
    <w:rsid w:val="00223F9C"/>
    <w:rsid w:val="00224546"/>
    <w:rsid w:val="00225145"/>
    <w:rsid w:val="00225217"/>
    <w:rsid w:val="0022528E"/>
    <w:rsid w:val="002255C6"/>
    <w:rsid w:val="002256F7"/>
    <w:rsid w:val="00225846"/>
    <w:rsid w:val="002261AE"/>
    <w:rsid w:val="00226410"/>
    <w:rsid w:val="00226432"/>
    <w:rsid w:val="002265BE"/>
    <w:rsid w:val="002266BC"/>
    <w:rsid w:val="00226776"/>
    <w:rsid w:val="00226B31"/>
    <w:rsid w:val="002272ED"/>
    <w:rsid w:val="002273B0"/>
    <w:rsid w:val="002275C2"/>
    <w:rsid w:val="002276F5"/>
    <w:rsid w:val="002277E4"/>
    <w:rsid w:val="00227C2C"/>
    <w:rsid w:val="00227DAF"/>
    <w:rsid w:val="002302F7"/>
    <w:rsid w:val="002302F9"/>
    <w:rsid w:val="0023051E"/>
    <w:rsid w:val="002307B9"/>
    <w:rsid w:val="002311FC"/>
    <w:rsid w:val="00231315"/>
    <w:rsid w:val="00231799"/>
    <w:rsid w:val="0023220D"/>
    <w:rsid w:val="002324A0"/>
    <w:rsid w:val="0023287D"/>
    <w:rsid w:val="002329C2"/>
    <w:rsid w:val="00232BD9"/>
    <w:rsid w:val="00232DE0"/>
    <w:rsid w:val="0023311E"/>
    <w:rsid w:val="002332F2"/>
    <w:rsid w:val="00233346"/>
    <w:rsid w:val="00233A07"/>
    <w:rsid w:val="002342B7"/>
    <w:rsid w:val="00234320"/>
    <w:rsid w:val="00234489"/>
    <w:rsid w:val="00234644"/>
    <w:rsid w:val="002348DC"/>
    <w:rsid w:val="00235167"/>
    <w:rsid w:val="00235279"/>
    <w:rsid w:val="0023538B"/>
    <w:rsid w:val="0023539B"/>
    <w:rsid w:val="00235F3E"/>
    <w:rsid w:val="00236353"/>
    <w:rsid w:val="00236684"/>
    <w:rsid w:val="002369BE"/>
    <w:rsid w:val="002369E1"/>
    <w:rsid w:val="00236B13"/>
    <w:rsid w:val="00236B7D"/>
    <w:rsid w:val="00237896"/>
    <w:rsid w:val="002403DB"/>
    <w:rsid w:val="0024050D"/>
    <w:rsid w:val="002406D6"/>
    <w:rsid w:val="00240752"/>
    <w:rsid w:val="00240DAF"/>
    <w:rsid w:val="00240E5A"/>
    <w:rsid w:val="00241255"/>
    <w:rsid w:val="0024164C"/>
    <w:rsid w:val="0024168A"/>
    <w:rsid w:val="002418F8"/>
    <w:rsid w:val="0024190F"/>
    <w:rsid w:val="002420FF"/>
    <w:rsid w:val="002423FD"/>
    <w:rsid w:val="002424FE"/>
    <w:rsid w:val="002426F4"/>
    <w:rsid w:val="0024291D"/>
    <w:rsid w:val="00242D65"/>
    <w:rsid w:val="00243105"/>
    <w:rsid w:val="002432E8"/>
    <w:rsid w:val="002436C7"/>
    <w:rsid w:val="00243C72"/>
    <w:rsid w:val="00243F2B"/>
    <w:rsid w:val="0024423E"/>
    <w:rsid w:val="002446B5"/>
    <w:rsid w:val="00245C45"/>
    <w:rsid w:val="00245DAE"/>
    <w:rsid w:val="0024630C"/>
    <w:rsid w:val="00246749"/>
    <w:rsid w:val="00246BDB"/>
    <w:rsid w:val="00247FE6"/>
    <w:rsid w:val="00250035"/>
    <w:rsid w:val="002504A7"/>
    <w:rsid w:val="002505B8"/>
    <w:rsid w:val="0025072E"/>
    <w:rsid w:val="002507D5"/>
    <w:rsid w:val="00250D86"/>
    <w:rsid w:val="00250E74"/>
    <w:rsid w:val="00251132"/>
    <w:rsid w:val="00251351"/>
    <w:rsid w:val="002513E6"/>
    <w:rsid w:val="00251826"/>
    <w:rsid w:val="00251B6D"/>
    <w:rsid w:val="00251DAB"/>
    <w:rsid w:val="00252202"/>
    <w:rsid w:val="002522C2"/>
    <w:rsid w:val="00252527"/>
    <w:rsid w:val="00252B5E"/>
    <w:rsid w:val="00252BA5"/>
    <w:rsid w:val="00252BC4"/>
    <w:rsid w:val="0025303C"/>
    <w:rsid w:val="002532CD"/>
    <w:rsid w:val="002537E4"/>
    <w:rsid w:val="00253840"/>
    <w:rsid w:val="00253994"/>
    <w:rsid w:val="00253A56"/>
    <w:rsid w:val="00253AB7"/>
    <w:rsid w:val="00253EEF"/>
    <w:rsid w:val="0025419D"/>
    <w:rsid w:val="00254286"/>
    <w:rsid w:val="002542F6"/>
    <w:rsid w:val="00254A92"/>
    <w:rsid w:val="00254BB6"/>
    <w:rsid w:val="00254FF7"/>
    <w:rsid w:val="002552CF"/>
    <w:rsid w:val="0025532D"/>
    <w:rsid w:val="002553BE"/>
    <w:rsid w:val="002558C1"/>
    <w:rsid w:val="00255ED6"/>
    <w:rsid w:val="0025686C"/>
    <w:rsid w:val="00256BC5"/>
    <w:rsid w:val="002571B8"/>
    <w:rsid w:val="00257781"/>
    <w:rsid w:val="00257805"/>
    <w:rsid w:val="00257B4D"/>
    <w:rsid w:val="00257CD1"/>
    <w:rsid w:val="00257CDE"/>
    <w:rsid w:val="00257E22"/>
    <w:rsid w:val="00257F1A"/>
    <w:rsid w:val="00260EC7"/>
    <w:rsid w:val="00262450"/>
    <w:rsid w:val="002625B1"/>
    <w:rsid w:val="0026267C"/>
    <w:rsid w:val="002629D6"/>
    <w:rsid w:val="00262C70"/>
    <w:rsid w:val="00262FB9"/>
    <w:rsid w:val="002636B7"/>
    <w:rsid w:val="002639F9"/>
    <w:rsid w:val="00263CBC"/>
    <w:rsid w:val="00263D05"/>
    <w:rsid w:val="00263F56"/>
    <w:rsid w:val="00263F5E"/>
    <w:rsid w:val="00263FA2"/>
    <w:rsid w:val="002643F7"/>
    <w:rsid w:val="002647C3"/>
    <w:rsid w:val="00264DF5"/>
    <w:rsid w:val="002652D6"/>
    <w:rsid w:val="0026563D"/>
    <w:rsid w:val="002657BA"/>
    <w:rsid w:val="00265AB0"/>
    <w:rsid w:val="00265D85"/>
    <w:rsid w:val="00266100"/>
    <w:rsid w:val="002661CD"/>
    <w:rsid w:val="0026623F"/>
    <w:rsid w:val="00266472"/>
    <w:rsid w:val="002665F3"/>
    <w:rsid w:val="00266A3D"/>
    <w:rsid w:val="00266AF7"/>
    <w:rsid w:val="00266CB6"/>
    <w:rsid w:val="00267437"/>
    <w:rsid w:val="00267720"/>
    <w:rsid w:val="0027012B"/>
    <w:rsid w:val="0027040D"/>
    <w:rsid w:val="0027047A"/>
    <w:rsid w:val="0027071F"/>
    <w:rsid w:val="00270A3D"/>
    <w:rsid w:val="00271675"/>
    <w:rsid w:val="00271AC8"/>
    <w:rsid w:val="00271E47"/>
    <w:rsid w:val="0027215F"/>
    <w:rsid w:val="00272594"/>
    <w:rsid w:val="002728AF"/>
    <w:rsid w:val="00273A64"/>
    <w:rsid w:val="00273C8B"/>
    <w:rsid w:val="00273EC6"/>
    <w:rsid w:val="00274A86"/>
    <w:rsid w:val="00274BD0"/>
    <w:rsid w:val="00275125"/>
    <w:rsid w:val="002752EE"/>
    <w:rsid w:val="002753DC"/>
    <w:rsid w:val="00275462"/>
    <w:rsid w:val="002756BE"/>
    <w:rsid w:val="00275819"/>
    <w:rsid w:val="002758A1"/>
    <w:rsid w:val="00275A30"/>
    <w:rsid w:val="00275A73"/>
    <w:rsid w:val="00275B3F"/>
    <w:rsid w:val="00275E16"/>
    <w:rsid w:val="00276074"/>
    <w:rsid w:val="002767D6"/>
    <w:rsid w:val="0027693C"/>
    <w:rsid w:val="00277145"/>
    <w:rsid w:val="002800AE"/>
    <w:rsid w:val="00280108"/>
    <w:rsid w:val="002801A0"/>
    <w:rsid w:val="002804FA"/>
    <w:rsid w:val="00280A5B"/>
    <w:rsid w:val="00280BBE"/>
    <w:rsid w:val="00280C95"/>
    <w:rsid w:val="00280F23"/>
    <w:rsid w:val="00281262"/>
    <w:rsid w:val="002812AE"/>
    <w:rsid w:val="002812FE"/>
    <w:rsid w:val="00281CE6"/>
    <w:rsid w:val="00281FE6"/>
    <w:rsid w:val="0028249A"/>
    <w:rsid w:val="00283192"/>
    <w:rsid w:val="00283254"/>
    <w:rsid w:val="00283A2B"/>
    <w:rsid w:val="00283A55"/>
    <w:rsid w:val="00284029"/>
    <w:rsid w:val="0028438E"/>
    <w:rsid w:val="00284571"/>
    <w:rsid w:val="0028487F"/>
    <w:rsid w:val="00284B77"/>
    <w:rsid w:val="00284E7D"/>
    <w:rsid w:val="00285144"/>
    <w:rsid w:val="00285321"/>
    <w:rsid w:val="00285331"/>
    <w:rsid w:val="00285497"/>
    <w:rsid w:val="002854DE"/>
    <w:rsid w:val="0028580D"/>
    <w:rsid w:val="00285A0C"/>
    <w:rsid w:val="002862F4"/>
    <w:rsid w:val="00286525"/>
    <w:rsid w:val="00286DC0"/>
    <w:rsid w:val="002878B7"/>
    <w:rsid w:val="00290523"/>
    <w:rsid w:val="00290AE9"/>
    <w:rsid w:val="00290C4F"/>
    <w:rsid w:val="00290EAA"/>
    <w:rsid w:val="002912B8"/>
    <w:rsid w:val="00291500"/>
    <w:rsid w:val="00291C94"/>
    <w:rsid w:val="00292500"/>
    <w:rsid w:val="002925A2"/>
    <w:rsid w:val="00292AEF"/>
    <w:rsid w:val="00292C17"/>
    <w:rsid w:val="00292E39"/>
    <w:rsid w:val="00293449"/>
    <w:rsid w:val="00293488"/>
    <w:rsid w:val="00293661"/>
    <w:rsid w:val="00293EA2"/>
    <w:rsid w:val="00294062"/>
    <w:rsid w:val="0029411C"/>
    <w:rsid w:val="0029443E"/>
    <w:rsid w:val="002949F2"/>
    <w:rsid w:val="002951D3"/>
    <w:rsid w:val="002956BD"/>
    <w:rsid w:val="002957B3"/>
    <w:rsid w:val="0029583D"/>
    <w:rsid w:val="00295DBC"/>
    <w:rsid w:val="00295FFC"/>
    <w:rsid w:val="002966C1"/>
    <w:rsid w:val="0029712D"/>
    <w:rsid w:val="0029732D"/>
    <w:rsid w:val="0029772C"/>
    <w:rsid w:val="002977A9"/>
    <w:rsid w:val="00297F59"/>
    <w:rsid w:val="00297F73"/>
    <w:rsid w:val="00297FF0"/>
    <w:rsid w:val="002A014F"/>
    <w:rsid w:val="002A094E"/>
    <w:rsid w:val="002A0D0B"/>
    <w:rsid w:val="002A0DC8"/>
    <w:rsid w:val="002A0F75"/>
    <w:rsid w:val="002A10CB"/>
    <w:rsid w:val="002A1626"/>
    <w:rsid w:val="002A1A21"/>
    <w:rsid w:val="002A1E9F"/>
    <w:rsid w:val="002A20E0"/>
    <w:rsid w:val="002A2123"/>
    <w:rsid w:val="002A216E"/>
    <w:rsid w:val="002A249C"/>
    <w:rsid w:val="002A3299"/>
    <w:rsid w:val="002A351A"/>
    <w:rsid w:val="002A39E7"/>
    <w:rsid w:val="002A40F4"/>
    <w:rsid w:val="002A452D"/>
    <w:rsid w:val="002A477D"/>
    <w:rsid w:val="002A4814"/>
    <w:rsid w:val="002A496D"/>
    <w:rsid w:val="002A4AED"/>
    <w:rsid w:val="002A4C62"/>
    <w:rsid w:val="002A4D80"/>
    <w:rsid w:val="002A5DA1"/>
    <w:rsid w:val="002A5DA2"/>
    <w:rsid w:val="002A5EEB"/>
    <w:rsid w:val="002A5F66"/>
    <w:rsid w:val="002A5FB0"/>
    <w:rsid w:val="002A6236"/>
    <w:rsid w:val="002A6841"/>
    <w:rsid w:val="002A69BD"/>
    <w:rsid w:val="002A6D09"/>
    <w:rsid w:val="002A6EA8"/>
    <w:rsid w:val="002A7168"/>
    <w:rsid w:val="002A747D"/>
    <w:rsid w:val="002A76A7"/>
    <w:rsid w:val="002A78D6"/>
    <w:rsid w:val="002A7AB1"/>
    <w:rsid w:val="002A7E8A"/>
    <w:rsid w:val="002A7F9B"/>
    <w:rsid w:val="002B03DB"/>
    <w:rsid w:val="002B042F"/>
    <w:rsid w:val="002B0CBE"/>
    <w:rsid w:val="002B0D30"/>
    <w:rsid w:val="002B13A9"/>
    <w:rsid w:val="002B142B"/>
    <w:rsid w:val="002B1792"/>
    <w:rsid w:val="002B18FC"/>
    <w:rsid w:val="002B212D"/>
    <w:rsid w:val="002B2D32"/>
    <w:rsid w:val="002B2E2B"/>
    <w:rsid w:val="002B32EC"/>
    <w:rsid w:val="002B35E5"/>
    <w:rsid w:val="002B4081"/>
    <w:rsid w:val="002B42E0"/>
    <w:rsid w:val="002B474B"/>
    <w:rsid w:val="002B4FE1"/>
    <w:rsid w:val="002B52CB"/>
    <w:rsid w:val="002B53F9"/>
    <w:rsid w:val="002B5548"/>
    <w:rsid w:val="002B5767"/>
    <w:rsid w:val="002B58EC"/>
    <w:rsid w:val="002B5965"/>
    <w:rsid w:val="002B5979"/>
    <w:rsid w:val="002B5A4B"/>
    <w:rsid w:val="002B5AF6"/>
    <w:rsid w:val="002B5B51"/>
    <w:rsid w:val="002B5EAB"/>
    <w:rsid w:val="002B5F3D"/>
    <w:rsid w:val="002B6248"/>
    <w:rsid w:val="002B64D4"/>
    <w:rsid w:val="002B6536"/>
    <w:rsid w:val="002B6579"/>
    <w:rsid w:val="002B6A76"/>
    <w:rsid w:val="002B6A96"/>
    <w:rsid w:val="002B6B00"/>
    <w:rsid w:val="002B6B08"/>
    <w:rsid w:val="002B749B"/>
    <w:rsid w:val="002B7E65"/>
    <w:rsid w:val="002B7F95"/>
    <w:rsid w:val="002C0328"/>
    <w:rsid w:val="002C0CA0"/>
    <w:rsid w:val="002C109F"/>
    <w:rsid w:val="002C11EE"/>
    <w:rsid w:val="002C1221"/>
    <w:rsid w:val="002C156E"/>
    <w:rsid w:val="002C1573"/>
    <w:rsid w:val="002C175A"/>
    <w:rsid w:val="002C1DCF"/>
    <w:rsid w:val="002C2405"/>
    <w:rsid w:val="002C24E6"/>
    <w:rsid w:val="002C254E"/>
    <w:rsid w:val="002C256F"/>
    <w:rsid w:val="002C284C"/>
    <w:rsid w:val="002C30EE"/>
    <w:rsid w:val="002C329E"/>
    <w:rsid w:val="002C336C"/>
    <w:rsid w:val="002C35E4"/>
    <w:rsid w:val="002C37C1"/>
    <w:rsid w:val="002C3C8F"/>
    <w:rsid w:val="002C3F82"/>
    <w:rsid w:val="002C428D"/>
    <w:rsid w:val="002C45D0"/>
    <w:rsid w:val="002C4749"/>
    <w:rsid w:val="002C492B"/>
    <w:rsid w:val="002C4B26"/>
    <w:rsid w:val="002C4DFB"/>
    <w:rsid w:val="002C4E93"/>
    <w:rsid w:val="002C4FD7"/>
    <w:rsid w:val="002C4FE8"/>
    <w:rsid w:val="002C520F"/>
    <w:rsid w:val="002C5418"/>
    <w:rsid w:val="002C544D"/>
    <w:rsid w:val="002C550D"/>
    <w:rsid w:val="002C56E5"/>
    <w:rsid w:val="002C57B0"/>
    <w:rsid w:val="002C5DA3"/>
    <w:rsid w:val="002C6EA1"/>
    <w:rsid w:val="002C75F0"/>
    <w:rsid w:val="002C774C"/>
    <w:rsid w:val="002C798C"/>
    <w:rsid w:val="002C7C7E"/>
    <w:rsid w:val="002C7C95"/>
    <w:rsid w:val="002C7E38"/>
    <w:rsid w:val="002D06C7"/>
    <w:rsid w:val="002D0DAD"/>
    <w:rsid w:val="002D0DB5"/>
    <w:rsid w:val="002D1D9B"/>
    <w:rsid w:val="002D22B4"/>
    <w:rsid w:val="002D2A78"/>
    <w:rsid w:val="002D31E4"/>
    <w:rsid w:val="002D339F"/>
    <w:rsid w:val="002D35A3"/>
    <w:rsid w:val="002D3BDF"/>
    <w:rsid w:val="002D41DE"/>
    <w:rsid w:val="002D423B"/>
    <w:rsid w:val="002D4371"/>
    <w:rsid w:val="002D450D"/>
    <w:rsid w:val="002D494C"/>
    <w:rsid w:val="002D50AA"/>
    <w:rsid w:val="002D5313"/>
    <w:rsid w:val="002D55BA"/>
    <w:rsid w:val="002D5707"/>
    <w:rsid w:val="002D5E40"/>
    <w:rsid w:val="002D5E88"/>
    <w:rsid w:val="002D6703"/>
    <w:rsid w:val="002D674B"/>
    <w:rsid w:val="002D6C44"/>
    <w:rsid w:val="002D6D4B"/>
    <w:rsid w:val="002D6D54"/>
    <w:rsid w:val="002D6EAA"/>
    <w:rsid w:val="002D7265"/>
    <w:rsid w:val="002E012E"/>
    <w:rsid w:val="002E0218"/>
    <w:rsid w:val="002E0228"/>
    <w:rsid w:val="002E07A2"/>
    <w:rsid w:val="002E08CD"/>
    <w:rsid w:val="002E0D5C"/>
    <w:rsid w:val="002E0E48"/>
    <w:rsid w:val="002E133B"/>
    <w:rsid w:val="002E22D0"/>
    <w:rsid w:val="002E23F5"/>
    <w:rsid w:val="002E2418"/>
    <w:rsid w:val="002E2935"/>
    <w:rsid w:val="002E29BD"/>
    <w:rsid w:val="002E2FAB"/>
    <w:rsid w:val="002E3228"/>
    <w:rsid w:val="002E32D3"/>
    <w:rsid w:val="002E37B1"/>
    <w:rsid w:val="002E43E0"/>
    <w:rsid w:val="002E454F"/>
    <w:rsid w:val="002E50D4"/>
    <w:rsid w:val="002E52D3"/>
    <w:rsid w:val="002E5983"/>
    <w:rsid w:val="002E5CBD"/>
    <w:rsid w:val="002E6029"/>
    <w:rsid w:val="002E6392"/>
    <w:rsid w:val="002E64C5"/>
    <w:rsid w:val="002E68CF"/>
    <w:rsid w:val="002E6DFF"/>
    <w:rsid w:val="002E6F6B"/>
    <w:rsid w:val="002E7086"/>
    <w:rsid w:val="002E784C"/>
    <w:rsid w:val="002E7905"/>
    <w:rsid w:val="002E798D"/>
    <w:rsid w:val="002F04F2"/>
    <w:rsid w:val="002F07A8"/>
    <w:rsid w:val="002F07B2"/>
    <w:rsid w:val="002F0AFA"/>
    <w:rsid w:val="002F0F27"/>
    <w:rsid w:val="002F10B7"/>
    <w:rsid w:val="002F1EE5"/>
    <w:rsid w:val="002F2165"/>
    <w:rsid w:val="002F23EB"/>
    <w:rsid w:val="002F2CB7"/>
    <w:rsid w:val="002F2D8B"/>
    <w:rsid w:val="002F2EDC"/>
    <w:rsid w:val="002F2F89"/>
    <w:rsid w:val="002F34A7"/>
    <w:rsid w:val="002F3D1B"/>
    <w:rsid w:val="002F42B5"/>
    <w:rsid w:val="002F465B"/>
    <w:rsid w:val="002F4A61"/>
    <w:rsid w:val="002F4A73"/>
    <w:rsid w:val="002F513A"/>
    <w:rsid w:val="002F5868"/>
    <w:rsid w:val="002F59D3"/>
    <w:rsid w:val="002F5A66"/>
    <w:rsid w:val="002F5F4A"/>
    <w:rsid w:val="002F5F8F"/>
    <w:rsid w:val="002F601C"/>
    <w:rsid w:val="002F6165"/>
    <w:rsid w:val="002F61F3"/>
    <w:rsid w:val="002F62E9"/>
    <w:rsid w:val="002F6FA4"/>
    <w:rsid w:val="002F720A"/>
    <w:rsid w:val="002F7320"/>
    <w:rsid w:val="002F79A2"/>
    <w:rsid w:val="002F79B0"/>
    <w:rsid w:val="002F7A71"/>
    <w:rsid w:val="002F7D0C"/>
    <w:rsid w:val="003002F1"/>
    <w:rsid w:val="003006D5"/>
    <w:rsid w:val="003006D9"/>
    <w:rsid w:val="00300761"/>
    <w:rsid w:val="00300893"/>
    <w:rsid w:val="003013CA"/>
    <w:rsid w:val="003013DC"/>
    <w:rsid w:val="00301814"/>
    <w:rsid w:val="00301A21"/>
    <w:rsid w:val="00302139"/>
    <w:rsid w:val="003021D8"/>
    <w:rsid w:val="00302524"/>
    <w:rsid w:val="00302582"/>
    <w:rsid w:val="003028EA"/>
    <w:rsid w:val="00302A0B"/>
    <w:rsid w:val="00302A9A"/>
    <w:rsid w:val="00302BC7"/>
    <w:rsid w:val="00302CA8"/>
    <w:rsid w:val="00302E4A"/>
    <w:rsid w:val="00302E6C"/>
    <w:rsid w:val="00303092"/>
    <w:rsid w:val="003034A0"/>
    <w:rsid w:val="00303592"/>
    <w:rsid w:val="003036CF"/>
    <w:rsid w:val="003036E6"/>
    <w:rsid w:val="00303868"/>
    <w:rsid w:val="00303965"/>
    <w:rsid w:val="003039D9"/>
    <w:rsid w:val="00303E1A"/>
    <w:rsid w:val="003040B9"/>
    <w:rsid w:val="0030485C"/>
    <w:rsid w:val="00304F03"/>
    <w:rsid w:val="00304FB2"/>
    <w:rsid w:val="00305567"/>
    <w:rsid w:val="00305689"/>
    <w:rsid w:val="003057D3"/>
    <w:rsid w:val="003058B0"/>
    <w:rsid w:val="003067FF"/>
    <w:rsid w:val="0030684A"/>
    <w:rsid w:val="0030685B"/>
    <w:rsid w:val="0030696C"/>
    <w:rsid w:val="003073E8"/>
    <w:rsid w:val="00307674"/>
    <w:rsid w:val="003076F9"/>
    <w:rsid w:val="00307DC8"/>
    <w:rsid w:val="00307FCC"/>
    <w:rsid w:val="003117AC"/>
    <w:rsid w:val="003117BE"/>
    <w:rsid w:val="003117F3"/>
    <w:rsid w:val="003117FE"/>
    <w:rsid w:val="00312187"/>
    <w:rsid w:val="0031298C"/>
    <w:rsid w:val="00312A75"/>
    <w:rsid w:val="00312A7A"/>
    <w:rsid w:val="00312D07"/>
    <w:rsid w:val="00312E2A"/>
    <w:rsid w:val="00313735"/>
    <w:rsid w:val="00313DA5"/>
    <w:rsid w:val="00313EC4"/>
    <w:rsid w:val="00314376"/>
    <w:rsid w:val="00314C04"/>
    <w:rsid w:val="00314C3A"/>
    <w:rsid w:val="00314D45"/>
    <w:rsid w:val="00315316"/>
    <w:rsid w:val="003155F2"/>
    <w:rsid w:val="00315645"/>
    <w:rsid w:val="003157D9"/>
    <w:rsid w:val="00315CBF"/>
    <w:rsid w:val="0031657D"/>
    <w:rsid w:val="00316628"/>
    <w:rsid w:val="00316713"/>
    <w:rsid w:val="00317346"/>
    <w:rsid w:val="003200BE"/>
    <w:rsid w:val="00320451"/>
    <w:rsid w:val="00320862"/>
    <w:rsid w:val="00320998"/>
    <w:rsid w:val="00320A42"/>
    <w:rsid w:val="00320A86"/>
    <w:rsid w:val="00321512"/>
    <w:rsid w:val="00321DB8"/>
    <w:rsid w:val="00322199"/>
    <w:rsid w:val="003222AA"/>
    <w:rsid w:val="003225A7"/>
    <w:rsid w:val="00322EB1"/>
    <w:rsid w:val="00322F6B"/>
    <w:rsid w:val="00323032"/>
    <w:rsid w:val="003231D6"/>
    <w:rsid w:val="00323369"/>
    <w:rsid w:val="00323492"/>
    <w:rsid w:val="00323DE4"/>
    <w:rsid w:val="00324961"/>
    <w:rsid w:val="0032511B"/>
    <w:rsid w:val="003255C6"/>
    <w:rsid w:val="003256DB"/>
    <w:rsid w:val="00325EE5"/>
    <w:rsid w:val="003263A9"/>
    <w:rsid w:val="00326813"/>
    <w:rsid w:val="003269EA"/>
    <w:rsid w:val="00326B68"/>
    <w:rsid w:val="00326BF6"/>
    <w:rsid w:val="0032714E"/>
    <w:rsid w:val="00327181"/>
    <w:rsid w:val="003274AC"/>
    <w:rsid w:val="00327E72"/>
    <w:rsid w:val="003300B2"/>
    <w:rsid w:val="00330134"/>
    <w:rsid w:val="003301C9"/>
    <w:rsid w:val="003301CF"/>
    <w:rsid w:val="003301D9"/>
    <w:rsid w:val="003306B0"/>
    <w:rsid w:val="00330C5F"/>
    <w:rsid w:val="0033132A"/>
    <w:rsid w:val="003315CD"/>
    <w:rsid w:val="003320FA"/>
    <w:rsid w:val="00332CAF"/>
    <w:rsid w:val="00332D87"/>
    <w:rsid w:val="00332DCC"/>
    <w:rsid w:val="003330AF"/>
    <w:rsid w:val="0033319E"/>
    <w:rsid w:val="00333536"/>
    <w:rsid w:val="0033354E"/>
    <w:rsid w:val="003335B9"/>
    <w:rsid w:val="00333EDE"/>
    <w:rsid w:val="00334E06"/>
    <w:rsid w:val="00334E6C"/>
    <w:rsid w:val="00334F5C"/>
    <w:rsid w:val="0033510A"/>
    <w:rsid w:val="003353E9"/>
    <w:rsid w:val="00335626"/>
    <w:rsid w:val="00335B9F"/>
    <w:rsid w:val="00335FED"/>
    <w:rsid w:val="0033603F"/>
    <w:rsid w:val="003360F4"/>
    <w:rsid w:val="00336183"/>
    <w:rsid w:val="00336A59"/>
    <w:rsid w:val="00336C78"/>
    <w:rsid w:val="00336F21"/>
    <w:rsid w:val="00336F89"/>
    <w:rsid w:val="0033755D"/>
    <w:rsid w:val="00337B19"/>
    <w:rsid w:val="00340286"/>
    <w:rsid w:val="00340754"/>
    <w:rsid w:val="00340CAB"/>
    <w:rsid w:val="0034161F"/>
    <w:rsid w:val="003416A2"/>
    <w:rsid w:val="0034197D"/>
    <w:rsid w:val="00341A9C"/>
    <w:rsid w:val="00341BC4"/>
    <w:rsid w:val="00341DA2"/>
    <w:rsid w:val="00341EFB"/>
    <w:rsid w:val="00341FAC"/>
    <w:rsid w:val="0034274C"/>
    <w:rsid w:val="00342976"/>
    <w:rsid w:val="00342D98"/>
    <w:rsid w:val="0034305A"/>
    <w:rsid w:val="00343824"/>
    <w:rsid w:val="00343C66"/>
    <w:rsid w:val="003441BC"/>
    <w:rsid w:val="00344283"/>
    <w:rsid w:val="003443CC"/>
    <w:rsid w:val="00344797"/>
    <w:rsid w:val="0034480B"/>
    <w:rsid w:val="00344AF4"/>
    <w:rsid w:val="00344BA0"/>
    <w:rsid w:val="00344E24"/>
    <w:rsid w:val="0034598C"/>
    <w:rsid w:val="00345BEF"/>
    <w:rsid w:val="003460F6"/>
    <w:rsid w:val="003462E7"/>
    <w:rsid w:val="00346464"/>
    <w:rsid w:val="0034695C"/>
    <w:rsid w:val="00346B74"/>
    <w:rsid w:val="00346E02"/>
    <w:rsid w:val="00346E8A"/>
    <w:rsid w:val="00346F7D"/>
    <w:rsid w:val="00346FF5"/>
    <w:rsid w:val="0034703D"/>
    <w:rsid w:val="0034765D"/>
    <w:rsid w:val="003501D4"/>
    <w:rsid w:val="00350314"/>
    <w:rsid w:val="00350430"/>
    <w:rsid w:val="0035060B"/>
    <w:rsid w:val="0035084D"/>
    <w:rsid w:val="003509F2"/>
    <w:rsid w:val="00350D2D"/>
    <w:rsid w:val="00350E83"/>
    <w:rsid w:val="00350FAB"/>
    <w:rsid w:val="00351577"/>
    <w:rsid w:val="003518DB"/>
    <w:rsid w:val="0035202F"/>
    <w:rsid w:val="0035212A"/>
    <w:rsid w:val="00352389"/>
    <w:rsid w:val="003525C9"/>
    <w:rsid w:val="003526AF"/>
    <w:rsid w:val="003527DF"/>
    <w:rsid w:val="00352905"/>
    <w:rsid w:val="00353105"/>
    <w:rsid w:val="00353572"/>
    <w:rsid w:val="003539A6"/>
    <w:rsid w:val="00353E99"/>
    <w:rsid w:val="003540F3"/>
    <w:rsid w:val="003541DE"/>
    <w:rsid w:val="00354389"/>
    <w:rsid w:val="003550AA"/>
    <w:rsid w:val="003552DF"/>
    <w:rsid w:val="00355664"/>
    <w:rsid w:val="0035574F"/>
    <w:rsid w:val="003557A8"/>
    <w:rsid w:val="003557AC"/>
    <w:rsid w:val="00356C92"/>
    <w:rsid w:val="0035706D"/>
    <w:rsid w:val="00357082"/>
    <w:rsid w:val="003574DC"/>
    <w:rsid w:val="003576E2"/>
    <w:rsid w:val="00357777"/>
    <w:rsid w:val="003578A6"/>
    <w:rsid w:val="00357AC2"/>
    <w:rsid w:val="0036009F"/>
    <w:rsid w:val="0036024B"/>
    <w:rsid w:val="003607B3"/>
    <w:rsid w:val="00360DDE"/>
    <w:rsid w:val="003615A0"/>
    <w:rsid w:val="0036194C"/>
    <w:rsid w:val="00361F13"/>
    <w:rsid w:val="00362424"/>
    <w:rsid w:val="0036264B"/>
    <w:rsid w:val="00362735"/>
    <w:rsid w:val="00362925"/>
    <w:rsid w:val="003636A7"/>
    <w:rsid w:val="003636F5"/>
    <w:rsid w:val="00364520"/>
    <w:rsid w:val="0036502C"/>
    <w:rsid w:val="0036514F"/>
    <w:rsid w:val="003651FD"/>
    <w:rsid w:val="003654DD"/>
    <w:rsid w:val="00365E02"/>
    <w:rsid w:val="00366431"/>
    <w:rsid w:val="00366AB8"/>
    <w:rsid w:val="00366DEC"/>
    <w:rsid w:val="00366E50"/>
    <w:rsid w:val="0036705C"/>
    <w:rsid w:val="003671BB"/>
    <w:rsid w:val="00367535"/>
    <w:rsid w:val="00367B03"/>
    <w:rsid w:val="00367C10"/>
    <w:rsid w:val="00370132"/>
    <w:rsid w:val="003708C7"/>
    <w:rsid w:val="00370C14"/>
    <w:rsid w:val="00371089"/>
    <w:rsid w:val="0037159A"/>
    <w:rsid w:val="00371CA4"/>
    <w:rsid w:val="00372635"/>
    <w:rsid w:val="00372716"/>
    <w:rsid w:val="003728AB"/>
    <w:rsid w:val="003728FC"/>
    <w:rsid w:val="00372D1F"/>
    <w:rsid w:val="0037352E"/>
    <w:rsid w:val="00373820"/>
    <w:rsid w:val="00373F22"/>
    <w:rsid w:val="00374161"/>
    <w:rsid w:val="0037467B"/>
    <w:rsid w:val="00374689"/>
    <w:rsid w:val="003749C4"/>
    <w:rsid w:val="003756FA"/>
    <w:rsid w:val="00375BCB"/>
    <w:rsid w:val="00376B13"/>
    <w:rsid w:val="00376F4A"/>
    <w:rsid w:val="00377063"/>
    <w:rsid w:val="003773AC"/>
    <w:rsid w:val="003773C4"/>
    <w:rsid w:val="0037759E"/>
    <w:rsid w:val="003775ED"/>
    <w:rsid w:val="00377656"/>
    <w:rsid w:val="003779A7"/>
    <w:rsid w:val="00377B26"/>
    <w:rsid w:val="003802C8"/>
    <w:rsid w:val="00380430"/>
    <w:rsid w:val="0038069C"/>
    <w:rsid w:val="00380755"/>
    <w:rsid w:val="003815D5"/>
    <w:rsid w:val="00381878"/>
    <w:rsid w:val="003818DC"/>
    <w:rsid w:val="00381AD6"/>
    <w:rsid w:val="00381CA6"/>
    <w:rsid w:val="00381D67"/>
    <w:rsid w:val="003821E2"/>
    <w:rsid w:val="003827BD"/>
    <w:rsid w:val="003829B7"/>
    <w:rsid w:val="003829E8"/>
    <w:rsid w:val="00383012"/>
    <w:rsid w:val="00383080"/>
    <w:rsid w:val="003834BA"/>
    <w:rsid w:val="003835F9"/>
    <w:rsid w:val="00383C34"/>
    <w:rsid w:val="00383F05"/>
    <w:rsid w:val="00384468"/>
    <w:rsid w:val="003846CB"/>
    <w:rsid w:val="00384B85"/>
    <w:rsid w:val="00384C72"/>
    <w:rsid w:val="00385448"/>
    <w:rsid w:val="00385741"/>
    <w:rsid w:val="0038585C"/>
    <w:rsid w:val="003858FC"/>
    <w:rsid w:val="00385A78"/>
    <w:rsid w:val="00385B88"/>
    <w:rsid w:val="00385E41"/>
    <w:rsid w:val="00385E4A"/>
    <w:rsid w:val="00385F63"/>
    <w:rsid w:val="00386006"/>
    <w:rsid w:val="003865B6"/>
    <w:rsid w:val="00386991"/>
    <w:rsid w:val="00386A3E"/>
    <w:rsid w:val="00386CE1"/>
    <w:rsid w:val="00387033"/>
    <w:rsid w:val="00387114"/>
    <w:rsid w:val="00387367"/>
    <w:rsid w:val="00387748"/>
    <w:rsid w:val="00387DE0"/>
    <w:rsid w:val="0039006A"/>
    <w:rsid w:val="00390A1F"/>
    <w:rsid w:val="00390CE7"/>
    <w:rsid w:val="00391440"/>
    <w:rsid w:val="00391B14"/>
    <w:rsid w:val="00391B76"/>
    <w:rsid w:val="00391EDE"/>
    <w:rsid w:val="0039201C"/>
    <w:rsid w:val="003926D5"/>
    <w:rsid w:val="00392CA5"/>
    <w:rsid w:val="00392CF9"/>
    <w:rsid w:val="00393040"/>
    <w:rsid w:val="00393203"/>
    <w:rsid w:val="003939D6"/>
    <w:rsid w:val="00393B17"/>
    <w:rsid w:val="00394284"/>
    <w:rsid w:val="00394839"/>
    <w:rsid w:val="003950A0"/>
    <w:rsid w:val="00395CBD"/>
    <w:rsid w:val="00395DDC"/>
    <w:rsid w:val="003961BA"/>
    <w:rsid w:val="00396226"/>
    <w:rsid w:val="00396CFF"/>
    <w:rsid w:val="00396D0A"/>
    <w:rsid w:val="00396D6A"/>
    <w:rsid w:val="00396E27"/>
    <w:rsid w:val="00396F5E"/>
    <w:rsid w:val="00397D10"/>
    <w:rsid w:val="00397EAC"/>
    <w:rsid w:val="00397F26"/>
    <w:rsid w:val="00397F52"/>
    <w:rsid w:val="003A00AA"/>
    <w:rsid w:val="003A06A2"/>
    <w:rsid w:val="003A0767"/>
    <w:rsid w:val="003A0C0C"/>
    <w:rsid w:val="003A1EA2"/>
    <w:rsid w:val="003A20A7"/>
    <w:rsid w:val="003A2786"/>
    <w:rsid w:val="003A2A54"/>
    <w:rsid w:val="003A2C38"/>
    <w:rsid w:val="003A2C6A"/>
    <w:rsid w:val="003A2D52"/>
    <w:rsid w:val="003A2EF5"/>
    <w:rsid w:val="003A3003"/>
    <w:rsid w:val="003A3104"/>
    <w:rsid w:val="003A3111"/>
    <w:rsid w:val="003A3408"/>
    <w:rsid w:val="003A36EB"/>
    <w:rsid w:val="003A3955"/>
    <w:rsid w:val="003A3B9D"/>
    <w:rsid w:val="003A4362"/>
    <w:rsid w:val="003A4979"/>
    <w:rsid w:val="003A54A2"/>
    <w:rsid w:val="003A559E"/>
    <w:rsid w:val="003A5E92"/>
    <w:rsid w:val="003A66C0"/>
    <w:rsid w:val="003A6C61"/>
    <w:rsid w:val="003A7311"/>
    <w:rsid w:val="003A745F"/>
    <w:rsid w:val="003A746B"/>
    <w:rsid w:val="003A76A2"/>
    <w:rsid w:val="003B00EE"/>
    <w:rsid w:val="003B01C0"/>
    <w:rsid w:val="003B0D5D"/>
    <w:rsid w:val="003B1033"/>
    <w:rsid w:val="003B10EC"/>
    <w:rsid w:val="003B1261"/>
    <w:rsid w:val="003B1291"/>
    <w:rsid w:val="003B1347"/>
    <w:rsid w:val="003B148D"/>
    <w:rsid w:val="003B1977"/>
    <w:rsid w:val="003B1C58"/>
    <w:rsid w:val="003B202F"/>
    <w:rsid w:val="003B2738"/>
    <w:rsid w:val="003B2A11"/>
    <w:rsid w:val="003B2A8F"/>
    <w:rsid w:val="003B2E34"/>
    <w:rsid w:val="003B324B"/>
    <w:rsid w:val="003B34A9"/>
    <w:rsid w:val="003B3931"/>
    <w:rsid w:val="003B3D65"/>
    <w:rsid w:val="003B3F95"/>
    <w:rsid w:val="003B42B5"/>
    <w:rsid w:val="003B4B46"/>
    <w:rsid w:val="003B4F61"/>
    <w:rsid w:val="003B584E"/>
    <w:rsid w:val="003B60A8"/>
    <w:rsid w:val="003B61E5"/>
    <w:rsid w:val="003B669A"/>
    <w:rsid w:val="003B67FC"/>
    <w:rsid w:val="003B69F2"/>
    <w:rsid w:val="003B7984"/>
    <w:rsid w:val="003B7AC4"/>
    <w:rsid w:val="003B7B8A"/>
    <w:rsid w:val="003C00AD"/>
    <w:rsid w:val="003C02F8"/>
    <w:rsid w:val="003C057F"/>
    <w:rsid w:val="003C0A9F"/>
    <w:rsid w:val="003C0C91"/>
    <w:rsid w:val="003C0EF5"/>
    <w:rsid w:val="003C13A4"/>
    <w:rsid w:val="003C1975"/>
    <w:rsid w:val="003C1C06"/>
    <w:rsid w:val="003C1CCD"/>
    <w:rsid w:val="003C1FB0"/>
    <w:rsid w:val="003C2299"/>
    <w:rsid w:val="003C22F5"/>
    <w:rsid w:val="003C2652"/>
    <w:rsid w:val="003C2B0F"/>
    <w:rsid w:val="003C2C8E"/>
    <w:rsid w:val="003C2E5E"/>
    <w:rsid w:val="003C32EF"/>
    <w:rsid w:val="003C3C76"/>
    <w:rsid w:val="003C400E"/>
    <w:rsid w:val="003C40F2"/>
    <w:rsid w:val="003C4224"/>
    <w:rsid w:val="003C4435"/>
    <w:rsid w:val="003C49BF"/>
    <w:rsid w:val="003C4A44"/>
    <w:rsid w:val="003C4ABB"/>
    <w:rsid w:val="003C519C"/>
    <w:rsid w:val="003C584C"/>
    <w:rsid w:val="003C5A32"/>
    <w:rsid w:val="003C6067"/>
    <w:rsid w:val="003C6089"/>
    <w:rsid w:val="003C61B3"/>
    <w:rsid w:val="003C632F"/>
    <w:rsid w:val="003C63FD"/>
    <w:rsid w:val="003C6495"/>
    <w:rsid w:val="003C69EF"/>
    <w:rsid w:val="003C6AE4"/>
    <w:rsid w:val="003C6D0A"/>
    <w:rsid w:val="003C6F0A"/>
    <w:rsid w:val="003C708C"/>
    <w:rsid w:val="003D07F9"/>
    <w:rsid w:val="003D08D1"/>
    <w:rsid w:val="003D0930"/>
    <w:rsid w:val="003D0F35"/>
    <w:rsid w:val="003D123C"/>
    <w:rsid w:val="003D15F7"/>
    <w:rsid w:val="003D178D"/>
    <w:rsid w:val="003D1863"/>
    <w:rsid w:val="003D1CAD"/>
    <w:rsid w:val="003D1E49"/>
    <w:rsid w:val="003D1F91"/>
    <w:rsid w:val="003D2359"/>
    <w:rsid w:val="003D279C"/>
    <w:rsid w:val="003D283B"/>
    <w:rsid w:val="003D28BE"/>
    <w:rsid w:val="003D2E72"/>
    <w:rsid w:val="003D2FD5"/>
    <w:rsid w:val="003D3074"/>
    <w:rsid w:val="003D333D"/>
    <w:rsid w:val="003D3385"/>
    <w:rsid w:val="003D3670"/>
    <w:rsid w:val="003D36B0"/>
    <w:rsid w:val="003D3945"/>
    <w:rsid w:val="003D3AB4"/>
    <w:rsid w:val="003D3B07"/>
    <w:rsid w:val="003D3C09"/>
    <w:rsid w:val="003D414A"/>
    <w:rsid w:val="003D4403"/>
    <w:rsid w:val="003D4C2F"/>
    <w:rsid w:val="003D5398"/>
    <w:rsid w:val="003D5599"/>
    <w:rsid w:val="003D5654"/>
    <w:rsid w:val="003D5E15"/>
    <w:rsid w:val="003D5F05"/>
    <w:rsid w:val="003D61BE"/>
    <w:rsid w:val="003D6258"/>
    <w:rsid w:val="003D6383"/>
    <w:rsid w:val="003D647F"/>
    <w:rsid w:val="003D6625"/>
    <w:rsid w:val="003D6731"/>
    <w:rsid w:val="003D682A"/>
    <w:rsid w:val="003D695A"/>
    <w:rsid w:val="003D69A1"/>
    <w:rsid w:val="003D6AF8"/>
    <w:rsid w:val="003D7C66"/>
    <w:rsid w:val="003D7F77"/>
    <w:rsid w:val="003E027E"/>
    <w:rsid w:val="003E02DC"/>
    <w:rsid w:val="003E0421"/>
    <w:rsid w:val="003E05AF"/>
    <w:rsid w:val="003E0B80"/>
    <w:rsid w:val="003E0CD2"/>
    <w:rsid w:val="003E0E40"/>
    <w:rsid w:val="003E1E71"/>
    <w:rsid w:val="003E209B"/>
    <w:rsid w:val="003E25A3"/>
    <w:rsid w:val="003E2ADF"/>
    <w:rsid w:val="003E2FA8"/>
    <w:rsid w:val="003E3029"/>
    <w:rsid w:val="003E31D4"/>
    <w:rsid w:val="003E343D"/>
    <w:rsid w:val="003E37A2"/>
    <w:rsid w:val="003E38F6"/>
    <w:rsid w:val="003E3D5C"/>
    <w:rsid w:val="003E44B8"/>
    <w:rsid w:val="003E4910"/>
    <w:rsid w:val="003E4D4A"/>
    <w:rsid w:val="003E51BD"/>
    <w:rsid w:val="003E55F2"/>
    <w:rsid w:val="003E5890"/>
    <w:rsid w:val="003E598A"/>
    <w:rsid w:val="003E5D5F"/>
    <w:rsid w:val="003E5EE1"/>
    <w:rsid w:val="003E609D"/>
    <w:rsid w:val="003E60F8"/>
    <w:rsid w:val="003E60FC"/>
    <w:rsid w:val="003E637A"/>
    <w:rsid w:val="003E661E"/>
    <w:rsid w:val="003E66EA"/>
    <w:rsid w:val="003E6CE9"/>
    <w:rsid w:val="003E73B5"/>
    <w:rsid w:val="003E768F"/>
    <w:rsid w:val="003E77F6"/>
    <w:rsid w:val="003E7C5E"/>
    <w:rsid w:val="003F02C4"/>
    <w:rsid w:val="003F0457"/>
    <w:rsid w:val="003F0746"/>
    <w:rsid w:val="003F0E64"/>
    <w:rsid w:val="003F104A"/>
    <w:rsid w:val="003F1706"/>
    <w:rsid w:val="003F2208"/>
    <w:rsid w:val="003F22B5"/>
    <w:rsid w:val="003F2643"/>
    <w:rsid w:val="003F2F8B"/>
    <w:rsid w:val="003F45A4"/>
    <w:rsid w:val="003F505D"/>
    <w:rsid w:val="003F56B8"/>
    <w:rsid w:val="003F5D88"/>
    <w:rsid w:val="003F5DA9"/>
    <w:rsid w:val="003F6130"/>
    <w:rsid w:val="003F63C9"/>
    <w:rsid w:val="003F78B7"/>
    <w:rsid w:val="003F7BB3"/>
    <w:rsid w:val="004003C1"/>
    <w:rsid w:val="00400836"/>
    <w:rsid w:val="00400B67"/>
    <w:rsid w:val="0040111D"/>
    <w:rsid w:val="00401E91"/>
    <w:rsid w:val="004028FC"/>
    <w:rsid w:val="00402D19"/>
    <w:rsid w:val="00402DE6"/>
    <w:rsid w:val="00402E8C"/>
    <w:rsid w:val="00402F72"/>
    <w:rsid w:val="004030B8"/>
    <w:rsid w:val="0040329A"/>
    <w:rsid w:val="004033DC"/>
    <w:rsid w:val="00403752"/>
    <w:rsid w:val="004039DF"/>
    <w:rsid w:val="00403D69"/>
    <w:rsid w:val="00403E0A"/>
    <w:rsid w:val="004041CA"/>
    <w:rsid w:val="0040433E"/>
    <w:rsid w:val="00404542"/>
    <w:rsid w:val="00404B3E"/>
    <w:rsid w:val="00404EC6"/>
    <w:rsid w:val="00405244"/>
    <w:rsid w:val="004052A3"/>
    <w:rsid w:val="0040545B"/>
    <w:rsid w:val="00405499"/>
    <w:rsid w:val="0040564C"/>
    <w:rsid w:val="004056BB"/>
    <w:rsid w:val="004056CF"/>
    <w:rsid w:val="00405965"/>
    <w:rsid w:val="00405A0B"/>
    <w:rsid w:val="00405C53"/>
    <w:rsid w:val="0040605D"/>
    <w:rsid w:val="00406883"/>
    <w:rsid w:val="00406B37"/>
    <w:rsid w:val="004071F0"/>
    <w:rsid w:val="0040728D"/>
    <w:rsid w:val="00407346"/>
    <w:rsid w:val="00407934"/>
    <w:rsid w:val="00407BB6"/>
    <w:rsid w:val="00407E75"/>
    <w:rsid w:val="00407EA2"/>
    <w:rsid w:val="004105D1"/>
    <w:rsid w:val="00410D24"/>
    <w:rsid w:val="004111B9"/>
    <w:rsid w:val="00411BD1"/>
    <w:rsid w:val="00411D06"/>
    <w:rsid w:val="00411DF7"/>
    <w:rsid w:val="00412182"/>
    <w:rsid w:val="004128E3"/>
    <w:rsid w:val="004129E2"/>
    <w:rsid w:val="00414361"/>
    <w:rsid w:val="00414521"/>
    <w:rsid w:val="004145B2"/>
    <w:rsid w:val="00414640"/>
    <w:rsid w:val="00414DAB"/>
    <w:rsid w:val="00415FE3"/>
    <w:rsid w:val="004164D9"/>
    <w:rsid w:val="00416729"/>
    <w:rsid w:val="00416B59"/>
    <w:rsid w:val="00416BC1"/>
    <w:rsid w:val="00416FA1"/>
    <w:rsid w:val="00416FBB"/>
    <w:rsid w:val="00417396"/>
    <w:rsid w:val="004175E4"/>
    <w:rsid w:val="004177F3"/>
    <w:rsid w:val="00420024"/>
    <w:rsid w:val="004204F5"/>
    <w:rsid w:val="00420581"/>
    <w:rsid w:val="00420A36"/>
    <w:rsid w:val="00420EE2"/>
    <w:rsid w:val="004210D7"/>
    <w:rsid w:val="0042116F"/>
    <w:rsid w:val="0042193F"/>
    <w:rsid w:val="004219B0"/>
    <w:rsid w:val="00421EA7"/>
    <w:rsid w:val="00422545"/>
    <w:rsid w:val="004226E0"/>
    <w:rsid w:val="004226E1"/>
    <w:rsid w:val="00422752"/>
    <w:rsid w:val="00422B0C"/>
    <w:rsid w:val="00422CD1"/>
    <w:rsid w:val="00422D28"/>
    <w:rsid w:val="004236A8"/>
    <w:rsid w:val="004239F6"/>
    <w:rsid w:val="00423DF6"/>
    <w:rsid w:val="00423EC8"/>
    <w:rsid w:val="00424634"/>
    <w:rsid w:val="004250D8"/>
    <w:rsid w:val="0042541A"/>
    <w:rsid w:val="004254CB"/>
    <w:rsid w:val="004259E2"/>
    <w:rsid w:val="00425FB1"/>
    <w:rsid w:val="00426165"/>
    <w:rsid w:val="0042654B"/>
    <w:rsid w:val="004269CA"/>
    <w:rsid w:val="00426AC4"/>
    <w:rsid w:val="00426D1C"/>
    <w:rsid w:val="00426E70"/>
    <w:rsid w:val="00427509"/>
    <w:rsid w:val="00427A4A"/>
    <w:rsid w:val="00427B00"/>
    <w:rsid w:val="004300C8"/>
    <w:rsid w:val="00430650"/>
    <w:rsid w:val="00430A90"/>
    <w:rsid w:val="004318E7"/>
    <w:rsid w:val="00431A3B"/>
    <w:rsid w:val="00431DC9"/>
    <w:rsid w:val="004323C6"/>
    <w:rsid w:val="0043258F"/>
    <w:rsid w:val="00432602"/>
    <w:rsid w:val="00432816"/>
    <w:rsid w:val="00432DEA"/>
    <w:rsid w:val="0043338F"/>
    <w:rsid w:val="004333F8"/>
    <w:rsid w:val="004337E4"/>
    <w:rsid w:val="004337F0"/>
    <w:rsid w:val="0043399D"/>
    <w:rsid w:val="0043399E"/>
    <w:rsid w:val="00433FD9"/>
    <w:rsid w:val="004341A4"/>
    <w:rsid w:val="0043453E"/>
    <w:rsid w:val="004345D5"/>
    <w:rsid w:val="00434DE1"/>
    <w:rsid w:val="00434FB7"/>
    <w:rsid w:val="00435553"/>
    <w:rsid w:val="00435C78"/>
    <w:rsid w:val="00436400"/>
    <w:rsid w:val="00436B29"/>
    <w:rsid w:val="00437869"/>
    <w:rsid w:val="004378B3"/>
    <w:rsid w:val="00437958"/>
    <w:rsid w:val="00440786"/>
    <w:rsid w:val="004407B2"/>
    <w:rsid w:val="004408BD"/>
    <w:rsid w:val="00440D49"/>
    <w:rsid w:val="00441125"/>
    <w:rsid w:val="00441A8C"/>
    <w:rsid w:val="00441C05"/>
    <w:rsid w:val="00441C82"/>
    <w:rsid w:val="00441E90"/>
    <w:rsid w:val="00442344"/>
    <w:rsid w:val="00442483"/>
    <w:rsid w:val="004425FA"/>
    <w:rsid w:val="00443966"/>
    <w:rsid w:val="00443B39"/>
    <w:rsid w:val="00443CF5"/>
    <w:rsid w:val="004442A0"/>
    <w:rsid w:val="004449A2"/>
    <w:rsid w:val="00445009"/>
    <w:rsid w:val="0044564D"/>
    <w:rsid w:val="00445973"/>
    <w:rsid w:val="00445A76"/>
    <w:rsid w:val="00445DF3"/>
    <w:rsid w:val="00445E0C"/>
    <w:rsid w:val="004462F0"/>
    <w:rsid w:val="0044654D"/>
    <w:rsid w:val="0044672C"/>
    <w:rsid w:val="00446834"/>
    <w:rsid w:val="00446E91"/>
    <w:rsid w:val="00446F6A"/>
    <w:rsid w:val="00446F74"/>
    <w:rsid w:val="004474F8"/>
    <w:rsid w:val="00447922"/>
    <w:rsid w:val="004479A4"/>
    <w:rsid w:val="004479AF"/>
    <w:rsid w:val="004502E7"/>
    <w:rsid w:val="0045050A"/>
    <w:rsid w:val="00450A50"/>
    <w:rsid w:val="0045101C"/>
    <w:rsid w:val="00451469"/>
    <w:rsid w:val="0045182D"/>
    <w:rsid w:val="00452085"/>
    <w:rsid w:val="00452095"/>
    <w:rsid w:val="00452461"/>
    <w:rsid w:val="00452515"/>
    <w:rsid w:val="00452CCF"/>
    <w:rsid w:val="00452D8F"/>
    <w:rsid w:val="004532D7"/>
    <w:rsid w:val="004533EA"/>
    <w:rsid w:val="0045365B"/>
    <w:rsid w:val="004537FA"/>
    <w:rsid w:val="00453BEE"/>
    <w:rsid w:val="00454A42"/>
    <w:rsid w:val="00456344"/>
    <w:rsid w:val="0045671B"/>
    <w:rsid w:val="00456969"/>
    <w:rsid w:val="00456E50"/>
    <w:rsid w:val="00457612"/>
    <w:rsid w:val="00457AD3"/>
    <w:rsid w:val="00457FBC"/>
    <w:rsid w:val="00460860"/>
    <w:rsid w:val="00460A20"/>
    <w:rsid w:val="00460D69"/>
    <w:rsid w:val="004610E9"/>
    <w:rsid w:val="0046111E"/>
    <w:rsid w:val="00461308"/>
    <w:rsid w:val="00461326"/>
    <w:rsid w:val="00461893"/>
    <w:rsid w:val="00461F2A"/>
    <w:rsid w:val="00461F8B"/>
    <w:rsid w:val="0046266B"/>
    <w:rsid w:val="00462B0A"/>
    <w:rsid w:val="004631C1"/>
    <w:rsid w:val="0046340E"/>
    <w:rsid w:val="004640DE"/>
    <w:rsid w:val="004645BE"/>
    <w:rsid w:val="00464C91"/>
    <w:rsid w:val="00464E7A"/>
    <w:rsid w:val="00464FFC"/>
    <w:rsid w:val="0046527B"/>
    <w:rsid w:val="004652D6"/>
    <w:rsid w:val="00465D51"/>
    <w:rsid w:val="00465D91"/>
    <w:rsid w:val="0046630C"/>
    <w:rsid w:val="00466B86"/>
    <w:rsid w:val="00466C21"/>
    <w:rsid w:val="00466D73"/>
    <w:rsid w:val="004672FB"/>
    <w:rsid w:val="004674B2"/>
    <w:rsid w:val="00467A8C"/>
    <w:rsid w:val="00467BCD"/>
    <w:rsid w:val="00470651"/>
    <w:rsid w:val="00470731"/>
    <w:rsid w:val="004707A9"/>
    <w:rsid w:val="00471353"/>
    <w:rsid w:val="004713A8"/>
    <w:rsid w:val="0047153F"/>
    <w:rsid w:val="00471727"/>
    <w:rsid w:val="0047180E"/>
    <w:rsid w:val="004718F8"/>
    <w:rsid w:val="00471959"/>
    <w:rsid w:val="00471D30"/>
    <w:rsid w:val="00471FF3"/>
    <w:rsid w:val="00472C38"/>
    <w:rsid w:val="00472EB7"/>
    <w:rsid w:val="00473008"/>
    <w:rsid w:val="004731B8"/>
    <w:rsid w:val="00473353"/>
    <w:rsid w:val="00473431"/>
    <w:rsid w:val="00473596"/>
    <w:rsid w:val="00473617"/>
    <w:rsid w:val="00473CC9"/>
    <w:rsid w:val="00473F85"/>
    <w:rsid w:val="00474101"/>
    <w:rsid w:val="0047431E"/>
    <w:rsid w:val="00474381"/>
    <w:rsid w:val="00474545"/>
    <w:rsid w:val="004747DC"/>
    <w:rsid w:val="00474858"/>
    <w:rsid w:val="00474CBA"/>
    <w:rsid w:val="0047541B"/>
    <w:rsid w:val="004757C0"/>
    <w:rsid w:val="00475823"/>
    <w:rsid w:val="00475FE0"/>
    <w:rsid w:val="004760FF"/>
    <w:rsid w:val="0047617F"/>
    <w:rsid w:val="00476915"/>
    <w:rsid w:val="00476FB7"/>
    <w:rsid w:val="00477472"/>
    <w:rsid w:val="00477595"/>
    <w:rsid w:val="004800C2"/>
    <w:rsid w:val="0048042B"/>
    <w:rsid w:val="00480828"/>
    <w:rsid w:val="0048082C"/>
    <w:rsid w:val="004808DE"/>
    <w:rsid w:val="00481155"/>
    <w:rsid w:val="00481E5E"/>
    <w:rsid w:val="00481EDD"/>
    <w:rsid w:val="004821C2"/>
    <w:rsid w:val="00482642"/>
    <w:rsid w:val="00482EFA"/>
    <w:rsid w:val="004832D9"/>
    <w:rsid w:val="00483B19"/>
    <w:rsid w:val="00483DE5"/>
    <w:rsid w:val="00483E29"/>
    <w:rsid w:val="00483F76"/>
    <w:rsid w:val="00484746"/>
    <w:rsid w:val="0048477B"/>
    <w:rsid w:val="00484ECA"/>
    <w:rsid w:val="00484F35"/>
    <w:rsid w:val="00485139"/>
    <w:rsid w:val="004852EB"/>
    <w:rsid w:val="004854D4"/>
    <w:rsid w:val="004857EA"/>
    <w:rsid w:val="0048581E"/>
    <w:rsid w:val="00485832"/>
    <w:rsid w:val="004858D1"/>
    <w:rsid w:val="00485CB0"/>
    <w:rsid w:val="004860AE"/>
    <w:rsid w:val="004860FD"/>
    <w:rsid w:val="0048662D"/>
    <w:rsid w:val="004866EB"/>
    <w:rsid w:val="00486729"/>
    <w:rsid w:val="0048692D"/>
    <w:rsid w:val="00486DBD"/>
    <w:rsid w:val="0048739B"/>
    <w:rsid w:val="0048739F"/>
    <w:rsid w:val="004900F8"/>
    <w:rsid w:val="00490589"/>
    <w:rsid w:val="004909A1"/>
    <w:rsid w:val="004913FE"/>
    <w:rsid w:val="0049176E"/>
    <w:rsid w:val="004918D7"/>
    <w:rsid w:val="004921C4"/>
    <w:rsid w:val="0049385E"/>
    <w:rsid w:val="00493A1E"/>
    <w:rsid w:val="00493C80"/>
    <w:rsid w:val="00494029"/>
    <w:rsid w:val="00494813"/>
    <w:rsid w:val="0049518E"/>
    <w:rsid w:val="00495637"/>
    <w:rsid w:val="00495722"/>
    <w:rsid w:val="004959E1"/>
    <w:rsid w:val="00495BAC"/>
    <w:rsid w:val="004960F5"/>
    <w:rsid w:val="0049624D"/>
    <w:rsid w:val="00496BC1"/>
    <w:rsid w:val="00496DDF"/>
    <w:rsid w:val="004970DB"/>
    <w:rsid w:val="004970DC"/>
    <w:rsid w:val="00497EB1"/>
    <w:rsid w:val="004A0066"/>
    <w:rsid w:val="004A0D46"/>
    <w:rsid w:val="004A1FAE"/>
    <w:rsid w:val="004A2032"/>
    <w:rsid w:val="004A2B43"/>
    <w:rsid w:val="004A30D9"/>
    <w:rsid w:val="004A3226"/>
    <w:rsid w:val="004A360B"/>
    <w:rsid w:val="004A3BAC"/>
    <w:rsid w:val="004A3DFF"/>
    <w:rsid w:val="004A3E8A"/>
    <w:rsid w:val="004A43F5"/>
    <w:rsid w:val="004A46AC"/>
    <w:rsid w:val="004A47C6"/>
    <w:rsid w:val="004A4896"/>
    <w:rsid w:val="004A4973"/>
    <w:rsid w:val="004A49A0"/>
    <w:rsid w:val="004A50B6"/>
    <w:rsid w:val="004A5E4D"/>
    <w:rsid w:val="004A5E7D"/>
    <w:rsid w:val="004A6623"/>
    <w:rsid w:val="004A67AB"/>
    <w:rsid w:val="004A6802"/>
    <w:rsid w:val="004A6EE8"/>
    <w:rsid w:val="004A71EC"/>
    <w:rsid w:val="004A739A"/>
    <w:rsid w:val="004A77DA"/>
    <w:rsid w:val="004A7E65"/>
    <w:rsid w:val="004B00CD"/>
    <w:rsid w:val="004B05FC"/>
    <w:rsid w:val="004B0AEE"/>
    <w:rsid w:val="004B0CD5"/>
    <w:rsid w:val="004B0CDF"/>
    <w:rsid w:val="004B10D9"/>
    <w:rsid w:val="004B195F"/>
    <w:rsid w:val="004B19DD"/>
    <w:rsid w:val="004B19FB"/>
    <w:rsid w:val="004B1C4D"/>
    <w:rsid w:val="004B229B"/>
    <w:rsid w:val="004B25F6"/>
    <w:rsid w:val="004B287C"/>
    <w:rsid w:val="004B2E84"/>
    <w:rsid w:val="004B3A33"/>
    <w:rsid w:val="004B3F63"/>
    <w:rsid w:val="004B41DF"/>
    <w:rsid w:val="004B41F5"/>
    <w:rsid w:val="004B47B4"/>
    <w:rsid w:val="004B4921"/>
    <w:rsid w:val="004B4CD9"/>
    <w:rsid w:val="004B4ED7"/>
    <w:rsid w:val="004B5048"/>
    <w:rsid w:val="004B5834"/>
    <w:rsid w:val="004B596A"/>
    <w:rsid w:val="004B5BD1"/>
    <w:rsid w:val="004B5C0F"/>
    <w:rsid w:val="004B5DD7"/>
    <w:rsid w:val="004B6191"/>
    <w:rsid w:val="004B663C"/>
    <w:rsid w:val="004B717B"/>
    <w:rsid w:val="004B723D"/>
    <w:rsid w:val="004B729C"/>
    <w:rsid w:val="004B7439"/>
    <w:rsid w:val="004B75E0"/>
    <w:rsid w:val="004B7968"/>
    <w:rsid w:val="004C06E9"/>
    <w:rsid w:val="004C0766"/>
    <w:rsid w:val="004C098C"/>
    <w:rsid w:val="004C0EF0"/>
    <w:rsid w:val="004C13F7"/>
    <w:rsid w:val="004C1F31"/>
    <w:rsid w:val="004C21CC"/>
    <w:rsid w:val="004C29F2"/>
    <w:rsid w:val="004C2E8C"/>
    <w:rsid w:val="004C3F58"/>
    <w:rsid w:val="004C4383"/>
    <w:rsid w:val="004C47A3"/>
    <w:rsid w:val="004C5078"/>
    <w:rsid w:val="004C5447"/>
    <w:rsid w:val="004C54D9"/>
    <w:rsid w:val="004C5AD5"/>
    <w:rsid w:val="004C5DEA"/>
    <w:rsid w:val="004C5FF5"/>
    <w:rsid w:val="004C61C6"/>
    <w:rsid w:val="004C64BB"/>
    <w:rsid w:val="004C67FB"/>
    <w:rsid w:val="004C683D"/>
    <w:rsid w:val="004C6C95"/>
    <w:rsid w:val="004C6EED"/>
    <w:rsid w:val="004C704B"/>
    <w:rsid w:val="004C71B7"/>
    <w:rsid w:val="004C72AE"/>
    <w:rsid w:val="004C73F1"/>
    <w:rsid w:val="004C762D"/>
    <w:rsid w:val="004C7E06"/>
    <w:rsid w:val="004C7F19"/>
    <w:rsid w:val="004D038A"/>
    <w:rsid w:val="004D07CD"/>
    <w:rsid w:val="004D0CFF"/>
    <w:rsid w:val="004D101F"/>
    <w:rsid w:val="004D113B"/>
    <w:rsid w:val="004D13EE"/>
    <w:rsid w:val="004D1AD5"/>
    <w:rsid w:val="004D1B24"/>
    <w:rsid w:val="004D1E96"/>
    <w:rsid w:val="004D2045"/>
    <w:rsid w:val="004D2855"/>
    <w:rsid w:val="004D2BAE"/>
    <w:rsid w:val="004D3300"/>
    <w:rsid w:val="004D36D2"/>
    <w:rsid w:val="004D3965"/>
    <w:rsid w:val="004D3A1C"/>
    <w:rsid w:val="004D3D4B"/>
    <w:rsid w:val="004D3E47"/>
    <w:rsid w:val="004D3F1C"/>
    <w:rsid w:val="004D440D"/>
    <w:rsid w:val="004D460E"/>
    <w:rsid w:val="004D4F8B"/>
    <w:rsid w:val="004D5238"/>
    <w:rsid w:val="004D54F8"/>
    <w:rsid w:val="004D5589"/>
    <w:rsid w:val="004D56AA"/>
    <w:rsid w:val="004D6118"/>
    <w:rsid w:val="004D6498"/>
    <w:rsid w:val="004D7779"/>
    <w:rsid w:val="004D7BE9"/>
    <w:rsid w:val="004D7F78"/>
    <w:rsid w:val="004E0042"/>
    <w:rsid w:val="004E041F"/>
    <w:rsid w:val="004E0476"/>
    <w:rsid w:val="004E0AF9"/>
    <w:rsid w:val="004E0FC2"/>
    <w:rsid w:val="004E136C"/>
    <w:rsid w:val="004E138D"/>
    <w:rsid w:val="004E1694"/>
    <w:rsid w:val="004E1A86"/>
    <w:rsid w:val="004E1FF5"/>
    <w:rsid w:val="004E20E1"/>
    <w:rsid w:val="004E2853"/>
    <w:rsid w:val="004E3C01"/>
    <w:rsid w:val="004E3C71"/>
    <w:rsid w:val="004E3D35"/>
    <w:rsid w:val="004E43BE"/>
    <w:rsid w:val="004E4416"/>
    <w:rsid w:val="004E46CE"/>
    <w:rsid w:val="004E47BA"/>
    <w:rsid w:val="004E47ED"/>
    <w:rsid w:val="004E4A38"/>
    <w:rsid w:val="004E5006"/>
    <w:rsid w:val="004E53A4"/>
    <w:rsid w:val="004E5838"/>
    <w:rsid w:val="004E583A"/>
    <w:rsid w:val="004E5BC2"/>
    <w:rsid w:val="004E5BFC"/>
    <w:rsid w:val="004E5C0A"/>
    <w:rsid w:val="004E5C3A"/>
    <w:rsid w:val="004E5D24"/>
    <w:rsid w:val="004E5E3B"/>
    <w:rsid w:val="004E5E98"/>
    <w:rsid w:val="004E64F3"/>
    <w:rsid w:val="004E6704"/>
    <w:rsid w:val="004E6C4A"/>
    <w:rsid w:val="004E6E35"/>
    <w:rsid w:val="004E6FE1"/>
    <w:rsid w:val="004E703B"/>
    <w:rsid w:val="004E73A8"/>
    <w:rsid w:val="004E76A4"/>
    <w:rsid w:val="004E7C85"/>
    <w:rsid w:val="004F01F4"/>
    <w:rsid w:val="004F0657"/>
    <w:rsid w:val="004F0988"/>
    <w:rsid w:val="004F0E58"/>
    <w:rsid w:val="004F1469"/>
    <w:rsid w:val="004F24C0"/>
    <w:rsid w:val="004F2953"/>
    <w:rsid w:val="004F2CEA"/>
    <w:rsid w:val="004F30EB"/>
    <w:rsid w:val="004F3227"/>
    <w:rsid w:val="004F3296"/>
    <w:rsid w:val="004F381C"/>
    <w:rsid w:val="004F3C9F"/>
    <w:rsid w:val="004F3CAB"/>
    <w:rsid w:val="004F3F46"/>
    <w:rsid w:val="004F404D"/>
    <w:rsid w:val="004F4DE2"/>
    <w:rsid w:val="004F4EDB"/>
    <w:rsid w:val="004F585B"/>
    <w:rsid w:val="004F5AB7"/>
    <w:rsid w:val="004F5BF0"/>
    <w:rsid w:val="004F5F0D"/>
    <w:rsid w:val="004F5FC7"/>
    <w:rsid w:val="004F64C2"/>
    <w:rsid w:val="004F64ED"/>
    <w:rsid w:val="004F6644"/>
    <w:rsid w:val="004F6C7A"/>
    <w:rsid w:val="004F6F74"/>
    <w:rsid w:val="004F703F"/>
    <w:rsid w:val="004F7174"/>
    <w:rsid w:val="004F7530"/>
    <w:rsid w:val="004F7BA8"/>
    <w:rsid w:val="004F7CCD"/>
    <w:rsid w:val="005007C8"/>
    <w:rsid w:val="005007C9"/>
    <w:rsid w:val="005009AF"/>
    <w:rsid w:val="005016BD"/>
    <w:rsid w:val="00501914"/>
    <w:rsid w:val="00501E0D"/>
    <w:rsid w:val="005020E5"/>
    <w:rsid w:val="00502232"/>
    <w:rsid w:val="0050266A"/>
    <w:rsid w:val="005026E3"/>
    <w:rsid w:val="00502800"/>
    <w:rsid w:val="00502C21"/>
    <w:rsid w:val="00502CE5"/>
    <w:rsid w:val="00502D19"/>
    <w:rsid w:val="0050351D"/>
    <w:rsid w:val="00503B1A"/>
    <w:rsid w:val="00503E4D"/>
    <w:rsid w:val="005043FD"/>
    <w:rsid w:val="0050480C"/>
    <w:rsid w:val="00505206"/>
    <w:rsid w:val="005054AD"/>
    <w:rsid w:val="00505DD5"/>
    <w:rsid w:val="00505E80"/>
    <w:rsid w:val="0050635E"/>
    <w:rsid w:val="005064F7"/>
    <w:rsid w:val="005065F1"/>
    <w:rsid w:val="00506A0A"/>
    <w:rsid w:val="00506AFC"/>
    <w:rsid w:val="00506C39"/>
    <w:rsid w:val="00506DDD"/>
    <w:rsid w:val="00507C18"/>
    <w:rsid w:val="0051097A"/>
    <w:rsid w:val="00510B76"/>
    <w:rsid w:val="00510C80"/>
    <w:rsid w:val="005110F0"/>
    <w:rsid w:val="005114BC"/>
    <w:rsid w:val="005116D5"/>
    <w:rsid w:val="00511CA4"/>
    <w:rsid w:val="00511F18"/>
    <w:rsid w:val="005121E3"/>
    <w:rsid w:val="0051229D"/>
    <w:rsid w:val="00512605"/>
    <w:rsid w:val="00512666"/>
    <w:rsid w:val="00512715"/>
    <w:rsid w:val="00512B04"/>
    <w:rsid w:val="0051351D"/>
    <w:rsid w:val="0051379F"/>
    <w:rsid w:val="00513A11"/>
    <w:rsid w:val="0051426B"/>
    <w:rsid w:val="0051448B"/>
    <w:rsid w:val="00514901"/>
    <w:rsid w:val="00514ABC"/>
    <w:rsid w:val="00514E96"/>
    <w:rsid w:val="00514EF4"/>
    <w:rsid w:val="0051505B"/>
    <w:rsid w:val="00515BB9"/>
    <w:rsid w:val="00515C6F"/>
    <w:rsid w:val="0051656F"/>
    <w:rsid w:val="00516799"/>
    <w:rsid w:val="005171E3"/>
    <w:rsid w:val="005173D2"/>
    <w:rsid w:val="005174D1"/>
    <w:rsid w:val="00517825"/>
    <w:rsid w:val="005179C9"/>
    <w:rsid w:val="00517FC4"/>
    <w:rsid w:val="00520076"/>
    <w:rsid w:val="00520829"/>
    <w:rsid w:val="00520B31"/>
    <w:rsid w:val="00521475"/>
    <w:rsid w:val="005220B2"/>
    <w:rsid w:val="005220F8"/>
    <w:rsid w:val="005221BC"/>
    <w:rsid w:val="0052220F"/>
    <w:rsid w:val="005228E8"/>
    <w:rsid w:val="005229F9"/>
    <w:rsid w:val="00522D29"/>
    <w:rsid w:val="00522E69"/>
    <w:rsid w:val="00522E81"/>
    <w:rsid w:val="00522F45"/>
    <w:rsid w:val="0052386F"/>
    <w:rsid w:val="00523B2D"/>
    <w:rsid w:val="005243F4"/>
    <w:rsid w:val="00524545"/>
    <w:rsid w:val="00524928"/>
    <w:rsid w:val="005249F9"/>
    <w:rsid w:val="00524A73"/>
    <w:rsid w:val="00524DAF"/>
    <w:rsid w:val="00524FA6"/>
    <w:rsid w:val="0052500E"/>
    <w:rsid w:val="0052509D"/>
    <w:rsid w:val="0052529B"/>
    <w:rsid w:val="00525395"/>
    <w:rsid w:val="005258BD"/>
    <w:rsid w:val="0052591F"/>
    <w:rsid w:val="00525A5F"/>
    <w:rsid w:val="00526286"/>
    <w:rsid w:val="0052692F"/>
    <w:rsid w:val="005269B3"/>
    <w:rsid w:val="005269B7"/>
    <w:rsid w:val="00526BB8"/>
    <w:rsid w:val="00526E68"/>
    <w:rsid w:val="0052717D"/>
    <w:rsid w:val="00527221"/>
    <w:rsid w:val="0052735B"/>
    <w:rsid w:val="00527382"/>
    <w:rsid w:val="005273C1"/>
    <w:rsid w:val="00527B79"/>
    <w:rsid w:val="00527BF9"/>
    <w:rsid w:val="00527D66"/>
    <w:rsid w:val="00527EC6"/>
    <w:rsid w:val="00527EE6"/>
    <w:rsid w:val="00527F03"/>
    <w:rsid w:val="00527F13"/>
    <w:rsid w:val="00527F5A"/>
    <w:rsid w:val="00530285"/>
    <w:rsid w:val="00530D4B"/>
    <w:rsid w:val="00530E44"/>
    <w:rsid w:val="0053176B"/>
    <w:rsid w:val="00531AC9"/>
    <w:rsid w:val="00531B91"/>
    <w:rsid w:val="0053238D"/>
    <w:rsid w:val="00532390"/>
    <w:rsid w:val="0053257C"/>
    <w:rsid w:val="0053285C"/>
    <w:rsid w:val="00532936"/>
    <w:rsid w:val="00532B4A"/>
    <w:rsid w:val="005333B8"/>
    <w:rsid w:val="00533A58"/>
    <w:rsid w:val="00533B43"/>
    <w:rsid w:val="00533C35"/>
    <w:rsid w:val="00534978"/>
    <w:rsid w:val="005349B2"/>
    <w:rsid w:val="00534A88"/>
    <w:rsid w:val="00534D4A"/>
    <w:rsid w:val="0053534C"/>
    <w:rsid w:val="005357BA"/>
    <w:rsid w:val="00536950"/>
    <w:rsid w:val="005369BF"/>
    <w:rsid w:val="00536E00"/>
    <w:rsid w:val="005371F7"/>
    <w:rsid w:val="005377F2"/>
    <w:rsid w:val="005378C7"/>
    <w:rsid w:val="00537E80"/>
    <w:rsid w:val="005405BF"/>
    <w:rsid w:val="00540610"/>
    <w:rsid w:val="0054082A"/>
    <w:rsid w:val="00540B98"/>
    <w:rsid w:val="00540E9D"/>
    <w:rsid w:val="00541B1F"/>
    <w:rsid w:val="0054244D"/>
    <w:rsid w:val="00542950"/>
    <w:rsid w:val="00542A89"/>
    <w:rsid w:val="005431B3"/>
    <w:rsid w:val="0054354F"/>
    <w:rsid w:val="00543619"/>
    <w:rsid w:val="00543624"/>
    <w:rsid w:val="00543CB5"/>
    <w:rsid w:val="00544273"/>
    <w:rsid w:val="0054431B"/>
    <w:rsid w:val="005445E9"/>
    <w:rsid w:val="005446D8"/>
    <w:rsid w:val="00544750"/>
    <w:rsid w:val="00544DA9"/>
    <w:rsid w:val="00544F1F"/>
    <w:rsid w:val="00545091"/>
    <w:rsid w:val="00545CC1"/>
    <w:rsid w:val="00545E71"/>
    <w:rsid w:val="00545F9B"/>
    <w:rsid w:val="005463BF"/>
    <w:rsid w:val="00546578"/>
    <w:rsid w:val="0054678C"/>
    <w:rsid w:val="00546B5E"/>
    <w:rsid w:val="005472AF"/>
    <w:rsid w:val="005472FC"/>
    <w:rsid w:val="0054734B"/>
    <w:rsid w:val="005478C9"/>
    <w:rsid w:val="005478D9"/>
    <w:rsid w:val="0054793A"/>
    <w:rsid w:val="00547A0D"/>
    <w:rsid w:val="00547BC8"/>
    <w:rsid w:val="0055034E"/>
    <w:rsid w:val="00550CED"/>
    <w:rsid w:val="0055119E"/>
    <w:rsid w:val="005514B5"/>
    <w:rsid w:val="00551555"/>
    <w:rsid w:val="00551580"/>
    <w:rsid w:val="00551649"/>
    <w:rsid w:val="00552016"/>
    <w:rsid w:val="00552C81"/>
    <w:rsid w:val="00552EDD"/>
    <w:rsid w:val="005533D8"/>
    <w:rsid w:val="005535E3"/>
    <w:rsid w:val="00553879"/>
    <w:rsid w:val="00554026"/>
    <w:rsid w:val="0055407D"/>
    <w:rsid w:val="00554A38"/>
    <w:rsid w:val="00555051"/>
    <w:rsid w:val="0055519F"/>
    <w:rsid w:val="005551EE"/>
    <w:rsid w:val="005558DB"/>
    <w:rsid w:val="00555A1F"/>
    <w:rsid w:val="00556047"/>
    <w:rsid w:val="005561EB"/>
    <w:rsid w:val="00556858"/>
    <w:rsid w:val="00556E36"/>
    <w:rsid w:val="00557D18"/>
    <w:rsid w:val="00560485"/>
    <w:rsid w:val="00560568"/>
    <w:rsid w:val="00560595"/>
    <w:rsid w:val="00560606"/>
    <w:rsid w:val="00560701"/>
    <w:rsid w:val="00560E4B"/>
    <w:rsid w:val="00561378"/>
    <w:rsid w:val="00561947"/>
    <w:rsid w:val="00561B8A"/>
    <w:rsid w:val="00561E71"/>
    <w:rsid w:val="00561E93"/>
    <w:rsid w:val="00562528"/>
    <w:rsid w:val="00562E55"/>
    <w:rsid w:val="005630A2"/>
    <w:rsid w:val="00563351"/>
    <w:rsid w:val="00563446"/>
    <w:rsid w:val="0056352B"/>
    <w:rsid w:val="00563A69"/>
    <w:rsid w:val="00564ACF"/>
    <w:rsid w:val="00564DB8"/>
    <w:rsid w:val="00564E67"/>
    <w:rsid w:val="00565175"/>
    <w:rsid w:val="00565312"/>
    <w:rsid w:val="005654F4"/>
    <w:rsid w:val="00566293"/>
    <w:rsid w:val="00566558"/>
    <w:rsid w:val="00566E31"/>
    <w:rsid w:val="00566FCB"/>
    <w:rsid w:val="00567342"/>
    <w:rsid w:val="00567504"/>
    <w:rsid w:val="0056773E"/>
    <w:rsid w:val="00567871"/>
    <w:rsid w:val="00567C87"/>
    <w:rsid w:val="00567DA6"/>
    <w:rsid w:val="00570534"/>
    <w:rsid w:val="00570A0C"/>
    <w:rsid w:val="005711BE"/>
    <w:rsid w:val="005714EE"/>
    <w:rsid w:val="005715D5"/>
    <w:rsid w:val="00571A98"/>
    <w:rsid w:val="00571D58"/>
    <w:rsid w:val="00571E3C"/>
    <w:rsid w:val="00572248"/>
    <w:rsid w:val="00572585"/>
    <w:rsid w:val="0057263C"/>
    <w:rsid w:val="00572AE3"/>
    <w:rsid w:val="00572C0C"/>
    <w:rsid w:val="00572CA4"/>
    <w:rsid w:val="0057326B"/>
    <w:rsid w:val="005740EE"/>
    <w:rsid w:val="00574163"/>
    <w:rsid w:val="00574271"/>
    <w:rsid w:val="0057430B"/>
    <w:rsid w:val="0057439C"/>
    <w:rsid w:val="0057449A"/>
    <w:rsid w:val="005746D6"/>
    <w:rsid w:val="00574990"/>
    <w:rsid w:val="00574995"/>
    <w:rsid w:val="00574EA9"/>
    <w:rsid w:val="00575933"/>
    <w:rsid w:val="00575954"/>
    <w:rsid w:val="00575A4C"/>
    <w:rsid w:val="00575AC1"/>
    <w:rsid w:val="0057611F"/>
    <w:rsid w:val="0057634F"/>
    <w:rsid w:val="0057694D"/>
    <w:rsid w:val="00576CB9"/>
    <w:rsid w:val="00577651"/>
    <w:rsid w:val="00577653"/>
    <w:rsid w:val="005777E9"/>
    <w:rsid w:val="0058004A"/>
    <w:rsid w:val="005807EC"/>
    <w:rsid w:val="005808CC"/>
    <w:rsid w:val="00580D0D"/>
    <w:rsid w:val="00581454"/>
    <w:rsid w:val="00581F99"/>
    <w:rsid w:val="0058216F"/>
    <w:rsid w:val="005821CB"/>
    <w:rsid w:val="00583180"/>
    <w:rsid w:val="00583231"/>
    <w:rsid w:val="00583697"/>
    <w:rsid w:val="00583744"/>
    <w:rsid w:val="00584341"/>
    <w:rsid w:val="00584706"/>
    <w:rsid w:val="00584FB8"/>
    <w:rsid w:val="00585561"/>
    <w:rsid w:val="005857D4"/>
    <w:rsid w:val="005859F0"/>
    <w:rsid w:val="00585B61"/>
    <w:rsid w:val="005863DE"/>
    <w:rsid w:val="00586FD6"/>
    <w:rsid w:val="005870BD"/>
    <w:rsid w:val="005870E7"/>
    <w:rsid w:val="0058758F"/>
    <w:rsid w:val="00587CE9"/>
    <w:rsid w:val="00587EAB"/>
    <w:rsid w:val="005902AE"/>
    <w:rsid w:val="005906DD"/>
    <w:rsid w:val="00590BB9"/>
    <w:rsid w:val="00590BBB"/>
    <w:rsid w:val="00590C87"/>
    <w:rsid w:val="00590DF3"/>
    <w:rsid w:val="00590FB6"/>
    <w:rsid w:val="00591908"/>
    <w:rsid w:val="00591F55"/>
    <w:rsid w:val="00592028"/>
    <w:rsid w:val="00592036"/>
    <w:rsid w:val="0059252B"/>
    <w:rsid w:val="0059261F"/>
    <w:rsid w:val="00592980"/>
    <w:rsid w:val="00592BAD"/>
    <w:rsid w:val="00593096"/>
    <w:rsid w:val="0059318E"/>
    <w:rsid w:val="00593208"/>
    <w:rsid w:val="0059365F"/>
    <w:rsid w:val="00593EA3"/>
    <w:rsid w:val="00594872"/>
    <w:rsid w:val="00594A0E"/>
    <w:rsid w:val="005950F6"/>
    <w:rsid w:val="0059513C"/>
    <w:rsid w:val="005951E6"/>
    <w:rsid w:val="00595E09"/>
    <w:rsid w:val="005963F7"/>
    <w:rsid w:val="00596649"/>
    <w:rsid w:val="005969DB"/>
    <w:rsid w:val="00596E02"/>
    <w:rsid w:val="005975A2"/>
    <w:rsid w:val="00597628"/>
    <w:rsid w:val="005977CF"/>
    <w:rsid w:val="005A01F7"/>
    <w:rsid w:val="005A036C"/>
    <w:rsid w:val="005A074A"/>
    <w:rsid w:val="005A08D2"/>
    <w:rsid w:val="005A09CE"/>
    <w:rsid w:val="005A0AA4"/>
    <w:rsid w:val="005A0E89"/>
    <w:rsid w:val="005A0F8E"/>
    <w:rsid w:val="005A11EF"/>
    <w:rsid w:val="005A1787"/>
    <w:rsid w:val="005A179D"/>
    <w:rsid w:val="005A1CD6"/>
    <w:rsid w:val="005A29A0"/>
    <w:rsid w:val="005A29FE"/>
    <w:rsid w:val="005A2BFC"/>
    <w:rsid w:val="005A3C81"/>
    <w:rsid w:val="005A3E3C"/>
    <w:rsid w:val="005A4225"/>
    <w:rsid w:val="005A42C7"/>
    <w:rsid w:val="005A4E9A"/>
    <w:rsid w:val="005A514A"/>
    <w:rsid w:val="005A5197"/>
    <w:rsid w:val="005A5C5C"/>
    <w:rsid w:val="005A6612"/>
    <w:rsid w:val="005A670B"/>
    <w:rsid w:val="005A6716"/>
    <w:rsid w:val="005A6895"/>
    <w:rsid w:val="005A6C56"/>
    <w:rsid w:val="005A71E1"/>
    <w:rsid w:val="005A75E6"/>
    <w:rsid w:val="005A7732"/>
    <w:rsid w:val="005A7A7A"/>
    <w:rsid w:val="005A7F18"/>
    <w:rsid w:val="005B071D"/>
    <w:rsid w:val="005B0C6C"/>
    <w:rsid w:val="005B0D46"/>
    <w:rsid w:val="005B0F94"/>
    <w:rsid w:val="005B10DE"/>
    <w:rsid w:val="005B1816"/>
    <w:rsid w:val="005B1882"/>
    <w:rsid w:val="005B1962"/>
    <w:rsid w:val="005B1AE1"/>
    <w:rsid w:val="005B1C11"/>
    <w:rsid w:val="005B1F35"/>
    <w:rsid w:val="005B1F6E"/>
    <w:rsid w:val="005B2046"/>
    <w:rsid w:val="005B2077"/>
    <w:rsid w:val="005B2141"/>
    <w:rsid w:val="005B217E"/>
    <w:rsid w:val="005B23FF"/>
    <w:rsid w:val="005B24D5"/>
    <w:rsid w:val="005B2597"/>
    <w:rsid w:val="005B2892"/>
    <w:rsid w:val="005B2B9F"/>
    <w:rsid w:val="005B313E"/>
    <w:rsid w:val="005B328B"/>
    <w:rsid w:val="005B35BA"/>
    <w:rsid w:val="005B3B75"/>
    <w:rsid w:val="005B3C70"/>
    <w:rsid w:val="005B3D81"/>
    <w:rsid w:val="005B441D"/>
    <w:rsid w:val="005B4D2B"/>
    <w:rsid w:val="005B4E52"/>
    <w:rsid w:val="005B5013"/>
    <w:rsid w:val="005B532B"/>
    <w:rsid w:val="005B5750"/>
    <w:rsid w:val="005B5A36"/>
    <w:rsid w:val="005B5A37"/>
    <w:rsid w:val="005B5A71"/>
    <w:rsid w:val="005B5C3F"/>
    <w:rsid w:val="005B5CC8"/>
    <w:rsid w:val="005B5F01"/>
    <w:rsid w:val="005B5FDA"/>
    <w:rsid w:val="005B6291"/>
    <w:rsid w:val="005B6425"/>
    <w:rsid w:val="005B65F0"/>
    <w:rsid w:val="005B6AB5"/>
    <w:rsid w:val="005B76F2"/>
    <w:rsid w:val="005B79C1"/>
    <w:rsid w:val="005B7A0E"/>
    <w:rsid w:val="005B7B3B"/>
    <w:rsid w:val="005B7B41"/>
    <w:rsid w:val="005C03E7"/>
    <w:rsid w:val="005C0BCD"/>
    <w:rsid w:val="005C0C13"/>
    <w:rsid w:val="005C109F"/>
    <w:rsid w:val="005C11E3"/>
    <w:rsid w:val="005C14D2"/>
    <w:rsid w:val="005C1602"/>
    <w:rsid w:val="005C1722"/>
    <w:rsid w:val="005C1921"/>
    <w:rsid w:val="005C197B"/>
    <w:rsid w:val="005C1AC2"/>
    <w:rsid w:val="005C1C12"/>
    <w:rsid w:val="005C1DED"/>
    <w:rsid w:val="005C2256"/>
    <w:rsid w:val="005C2766"/>
    <w:rsid w:val="005C29DE"/>
    <w:rsid w:val="005C2CDA"/>
    <w:rsid w:val="005C2EC1"/>
    <w:rsid w:val="005C306B"/>
    <w:rsid w:val="005C32C4"/>
    <w:rsid w:val="005C3887"/>
    <w:rsid w:val="005C38AE"/>
    <w:rsid w:val="005C38BD"/>
    <w:rsid w:val="005C4420"/>
    <w:rsid w:val="005C4608"/>
    <w:rsid w:val="005C47DE"/>
    <w:rsid w:val="005C4840"/>
    <w:rsid w:val="005C4930"/>
    <w:rsid w:val="005C4C00"/>
    <w:rsid w:val="005C55BE"/>
    <w:rsid w:val="005C5750"/>
    <w:rsid w:val="005C5B55"/>
    <w:rsid w:val="005C5C10"/>
    <w:rsid w:val="005C5F45"/>
    <w:rsid w:val="005C5F78"/>
    <w:rsid w:val="005C66E5"/>
    <w:rsid w:val="005C68CB"/>
    <w:rsid w:val="005C69F3"/>
    <w:rsid w:val="005C6A33"/>
    <w:rsid w:val="005C6C9C"/>
    <w:rsid w:val="005C6CB3"/>
    <w:rsid w:val="005C704D"/>
    <w:rsid w:val="005C707E"/>
    <w:rsid w:val="005C70F2"/>
    <w:rsid w:val="005C7166"/>
    <w:rsid w:val="005C7722"/>
    <w:rsid w:val="005D011C"/>
    <w:rsid w:val="005D05CB"/>
    <w:rsid w:val="005D1149"/>
    <w:rsid w:val="005D16E2"/>
    <w:rsid w:val="005D1F62"/>
    <w:rsid w:val="005D2211"/>
    <w:rsid w:val="005D2567"/>
    <w:rsid w:val="005D2709"/>
    <w:rsid w:val="005D287C"/>
    <w:rsid w:val="005D4085"/>
    <w:rsid w:val="005D42EC"/>
    <w:rsid w:val="005D4305"/>
    <w:rsid w:val="005D4B0D"/>
    <w:rsid w:val="005D4F00"/>
    <w:rsid w:val="005D5D8C"/>
    <w:rsid w:val="005D6C55"/>
    <w:rsid w:val="005D6EBE"/>
    <w:rsid w:val="005D6F26"/>
    <w:rsid w:val="005D791C"/>
    <w:rsid w:val="005D7CD4"/>
    <w:rsid w:val="005E0015"/>
    <w:rsid w:val="005E01AC"/>
    <w:rsid w:val="005E0387"/>
    <w:rsid w:val="005E04D2"/>
    <w:rsid w:val="005E09F5"/>
    <w:rsid w:val="005E0C80"/>
    <w:rsid w:val="005E1592"/>
    <w:rsid w:val="005E15F5"/>
    <w:rsid w:val="005E1B87"/>
    <w:rsid w:val="005E1FDA"/>
    <w:rsid w:val="005E22D9"/>
    <w:rsid w:val="005E249F"/>
    <w:rsid w:val="005E299B"/>
    <w:rsid w:val="005E33C9"/>
    <w:rsid w:val="005E3769"/>
    <w:rsid w:val="005E376E"/>
    <w:rsid w:val="005E37AB"/>
    <w:rsid w:val="005E3893"/>
    <w:rsid w:val="005E39B4"/>
    <w:rsid w:val="005E3BB9"/>
    <w:rsid w:val="005E3C01"/>
    <w:rsid w:val="005E3E37"/>
    <w:rsid w:val="005E3E56"/>
    <w:rsid w:val="005E409B"/>
    <w:rsid w:val="005E41C8"/>
    <w:rsid w:val="005E5103"/>
    <w:rsid w:val="005E5199"/>
    <w:rsid w:val="005E551F"/>
    <w:rsid w:val="005E559D"/>
    <w:rsid w:val="005E5647"/>
    <w:rsid w:val="005E595C"/>
    <w:rsid w:val="005E5BDE"/>
    <w:rsid w:val="005E5F3F"/>
    <w:rsid w:val="005E612E"/>
    <w:rsid w:val="005E616B"/>
    <w:rsid w:val="005E634C"/>
    <w:rsid w:val="005E65FE"/>
    <w:rsid w:val="005E69F5"/>
    <w:rsid w:val="005E6C38"/>
    <w:rsid w:val="005E6D56"/>
    <w:rsid w:val="005E6EA6"/>
    <w:rsid w:val="005E6FD2"/>
    <w:rsid w:val="005E709B"/>
    <w:rsid w:val="005E71B2"/>
    <w:rsid w:val="005E7744"/>
    <w:rsid w:val="005E7788"/>
    <w:rsid w:val="005E7CB8"/>
    <w:rsid w:val="005E7EDF"/>
    <w:rsid w:val="005F0023"/>
    <w:rsid w:val="005F02F3"/>
    <w:rsid w:val="005F099D"/>
    <w:rsid w:val="005F1698"/>
    <w:rsid w:val="005F1773"/>
    <w:rsid w:val="005F1E5F"/>
    <w:rsid w:val="005F20C7"/>
    <w:rsid w:val="005F23EC"/>
    <w:rsid w:val="005F24ED"/>
    <w:rsid w:val="005F2B2F"/>
    <w:rsid w:val="005F2C0A"/>
    <w:rsid w:val="005F2DB8"/>
    <w:rsid w:val="005F3065"/>
    <w:rsid w:val="005F30DA"/>
    <w:rsid w:val="005F3562"/>
    <w:rsid w:val="005F36CB"/>
    <w:rsid w:val="005F37E5"/>
    <w:rsid w:val="005F3C35"/>
    <w:rsid w:val="005F4664"/>
    <w:rsid w:val="005F4984"/>
    <w:rsid w:val="005F4BD5"/>
    <w:rsid w:val="005F4C89"/>
    <w:rsid w:val="005F4F50"/>
    <w:rsid w:val="005F508F"/>
    <w:rsid w:val="005F585A"/>
    <w:rsid w:val="005F5CAA"/>
    <w:rsid w:val="005F6058"/>
    <w:rsid w:val="005F64B0"/>
    <w:rsid w:val="005F69EA"/>
    <w:rsid w:val="005F707F"/>
    <w:rsid w:val="005F729F"/>
    <w:rsid w:val="005F791C"/>
    <w:rsid w:val="005F7D19"/>
    <w:rsid w:val="005F7F46"/>
    <w:rsid w:val="006001C2"/>
    <w:rsid w:val="006003F3"/>
    <w:rsid w:val="0060086E"/>
    <w:rsid w:val="0060124A"/>
    <w:rsid w:val="0060188E"/>
    <w:rsid w:val="00601A76"/>
    <w:rsid w:val="00601BB2"/>
    <w:rsid w:val="00601D05"/>
    <w:rsid w:val="00601D07"/>
    <w:rsid w:val="00601DF5"/>
    <w:rsid w:val="00601F1C"/>
    <w:rsid w:val="00602070"/>
    <w:rsid w:val="006022A8"/>
    <w:rsid w:val="006023A5"/>
    <w:rsid w:val="006023AA"/>
    <w:rsid w:val="00602472"/>
    <w:rsid w:val="00602F73"/>
    <w:rsid w:val="0060326B"/>
    <w:rsid w:val="00603688"/>
    <w:rsid w:val="006039AB"/>
    <w:rsid w:val="00603D67"/>
    <w:rsid w:val="00603F0E"/>
    <w:rsid w:val="00604478"/>
    <w:rsid w:val="00604539"/>
    <w:rsid w:val="00604A77"/>
    <w:rsid w:val="00604BC9"/>
    <w:rsid w:val="006052B9"/>
    <w:rsid w:val="00605319"/>
    <w:rsid w:val="006054C8"/>
    <w:rsid w:val="006054E1"/>
    <w:rsid w:val="00605564"/>
    <w:rsid w:val="0060558C"/>
    <w:rsid w:val="0060597F"/>
    <w:rsid w:val="006059C0"/>
    <w:rsid w:val="006069D8"/>
    <w:rsid w:val="00606B72"/>
    <w:rsid w:val="00606E77"/>
    <w:rsid w:val="00607083"/>
    <w:rsid w:val="0060712F"/>
    <w:rsid w:val="006073D0"/>
    <w:rsid w:val="00607E59"/>
    <w:rsid w:val="00607E85"/>
    <w:rsid w:val="00607F9C"/>
    <w:rsid w:val="00610094"/>
    <w:rsid w:val="006103A9"/>
    <w:rsid w:val="00610487"/>
    <w:rsid w:val="0061051E"/>
    <w:rsid w:val="0061152A"/>
    <w:rsid w:val="006118F7"/>
    <w:rsid w:val="00611AA3"/>
    <w:rsid w:val="00611E8C"/>
    <w:rsid w:val="006134F7"/>
    <w:rsid w:val="00613C19"/>
    <w:rsid w:val="00614412"/>
    <w:rsid w:val="006144E0"/>
    <w:rsid w:val="006145CA"/>
    <w:rsid w:val="006149DF"/>
    <w:rsid w:val="00614CED"/>
    <w:rsid w:val="00614E7A"/>
    <w:rsid w:val="00615081"/>
    <w:rsid w:val="00615298"/>
    <w:rsid w:val="00615805"/>
    <w:rsid w:val="00615AB4"/>
    <w:rsid w:val="00615AEC"/>
    <w:rsid w:val="00616060"/>
    <w:rsid w:val="00616542"/>
    <w:rsid w:val="00616A1C"/>
    <w:rsid w:val="00616F53"/>
    <w:rsid w:val="00617159"/>
    <w:rsid w:val="0062005A"/>
    <w:rsid w:val="00620092"/>
    <w:rsid w:val="00620150"/>
    <w:rsid w:val="00620307"/>
    <w:rsid w:val="00620366"/>
    <w:rsid w:val="0062046F"/>
    <w:rsid w:val="00620933"/>
    <w:rsid w:val="00620A51"/>
    <w:rsid w:val="00620A75"/>
    <w:rsid w:val="00620AA4"/>
    <w:rsid w:val="00620CE4"/>
    <w:rsid w:val="00620DC9"/>
    <w:rsid w:val="006213A7"/>
    <w:rsid w:val="0062143C"/>
    <w:rsid w:val="006217F3"/>
    <w:rsid w:val="00621C7A"/>
    <w:rsid w:val="0062202D"/>
    <w:rsid w:val="00622050"/>
    <w:rsid w:val="006221C6"/>
    <w:rsid w:val="00622891"/>
    <w:rsid w:val="0062320A"/>
    <w:rsid w:val="006238BB"/>
    <w:rsid w:val="00623936"/>
    <w:rsid w:val="00624545"/>
    <w:rsid w:val="0062481B"/>
    <w:rsid w:val="00624830"/>
    <w:rsid w:val="006248E0"/>
    <w:rsid w:val="00624B00"/>
    <w:rsid w:val="00624D3B"/>
    <w:rsid w:val="00624E1F"/>
    <w:rsid w:val="006252DC"/>
    <w:rsid w:val="0062571A"/>
    <w:rsid w:val="0062588A"/>
    <w:rsid w:val="00625BA7"/>
    <w:rsid w:val="00625EBB"/>
    <w:rsid w:val="00625ED9"/>
    <w:rsid w:val="00626059"/>
    <w:rsid w:val="006270DA"/>
    <w:rsid w:val="00627269"/>
    <w:rsid w:val="00627301"/>
    <w:rsid w:val="00627659"/>
    <w:rsid w:val="00627D80"/>
    <w:rsid w:val="00627FA8"/>
    <w:rsid w:val="0063059B"/>
    <w:rsid w:val="006311A7"/>
    <w:rsid w:val="006316A4"/>
    <w:rsid w:val="00631A8A"/>
    <w:rsid w:val="0063210E"/>
    <w:rsid w:val="006323F5"/>
    <w:rsid w:val="006324D8"/>
    <w:rsid w:val="00632580"/>
    <w:rsid w:val="00632F00"/>
    <w:rsid w:val="00632F04"/>
    <w:rsid w:val="0063301E"/>
    <w:rsid w:val="00633813"/>
    <w:rsid w:val="006338C3"/>
    <w:rsid w:val="00633AF1"/>
    <w:rsid w:val="006344E5"/>
    <w:rsid w:val="0063497A"/>
    <w:rsid w:val="00634C6E"/>
    <w:rsid w:val="00635AA9"/>
    <w:rsid w:val="00635B65"/>
    <w:rsid w:val="00635F72"/>
    <w:rsid w:val="006364A3"/>
    <w:rsid w:val="006364B2"/>
    <w:rsid w:val="006369B3"/>
    <w:rsid w:val="00636ABD"/>
    <w:rsid w:val="00636FCF"/>
    <w:rsid w:val="0063714C"/>
    <w:rsid w:val="00637A6B"/>
    <w:rsid w:val="00637CEB"/>
    <w:rsid w:val="006404A2"/>
    <w:rsid w:val="00640C1A"/>
    <w:rsid w:val="00640D79"/>
    <w:rsid w:val="006413E7"/>
    <w:rsid w:val="00641421"/>
    <w:rsid w:val="00641545"/>
    <w:rsid w:val="00641A19"/>
    <w:rsid w:val="00642114"/>
    <w:rsid w:val="0064263D"/>
    <w:rsid w:val="00642C9F"/>
    <w:rsid w:val="0064307B"/>
    <w:rsid w:val="00643457"/>
    <w:rsid w:val="006438D5"/>
    <w:rsid w:val="00643971"/>
    <w:rsid w:val="00643A63"/>
    <w:rsid w:val="00643D18"/>
    <w:rsid w:val="00644A66"/>
    <w:rsid w:val="00644A9B"/>
    <w:rsid w:val="00644C16"/>
    <w:rsid w:val="00644D3A"/>
    <w:rsid w:val="0064591E"/>
    <w:rsid w:val="00645B24"/>
    <w:rsid w:val="00645CD9"/>
    <w:rsid w:val="00645DDE"/>
    <w:rsid w:val="00646187"/>
    <w:rsid w:val="006467ED"/>
    <w:rsid w:val="00646FF3"/>
    <w:rsid w:val="0064722C"/>
    <w:rsid w:val="006477F8"/>
    <w:rsid w:val="00647B34"/>
    <w:rsid w:val="00647CF0"/>
    <w:rsid w:val="00647D8B"/>
    <w:rsid w:val="00647EB7"/>
    <w:rsid w:val="00647FFE"/>
    <w:rsid w:val="00650543"/>
    <w:rsid w:val="00650A61"/>
    <w:rsid w:val="00650CFF"/>
    <w:rsid w:val="00650DE7"/>
    <w:rsid w:val="006510BB"/>
    <w:rsid w:val="006513B2"/>
    <w:rsid w:val="006515AE"/>
    <w:rsid w:val="006516FA"/>
    <w:rsid w:val="00651B45"/>
    <w:rsid w:val="00651D72"/>
    <w:rsid w:val="006520F6"/>
    <w:rsid w:val="006523E9"/>
    <w:rsid w:val="00652676"/>
    <w:rsid w:val="00652E25"/>
    <w:rsid w:val="006531EA"/>
    <w:rsid w:val="00653209"/>
    <w:rsid w:val="00653467"/>
    <w:rsid w:val="00653664"/>
    <w:rsid w:val="006538E5"/>
    <w:rsid w:val="00653E55"/>
    <w:rsid w:val="00654256"/>
    <w:rsid w:val="0065433E"/>
    <w:rsid w:val="006547DA"/>
    <w:rsid w:val="00654EC5"/>
    <w:rsid w:val="006553F7"/>
    <w:rsid w:val="006555AB"/>
    <w:rsid w:val="006558A8"/>
    <w:rsid w:val="0065605F"/>
    <w:rsid w:val="0065649E"/>
    <w:rsid w:val="00656AA5"/>
    <w:rsid w:val="00656E06"/>
    <w:rsid w:val="00656FFD"/>
    <w:rsid w:val="006572DC"/>
    <w:rsid w:val="00657413"/>
    <w:rsid w:val="00657650"/>
    <w:rsid w:val="00657A30"/>
    <w:rsid w:val="00657FA9"/>
    <w:rsid w:val="00657FB6"/>
    <w:rsid w:val="00660B62"/>
    <w:rsid w:val="00660BF0"/>
    <w:rsid w:val="00660C52"/>
    <w:rsid w:val="00660F40"/>
    <w:rsid w:val="00661C22"/>
    <w:rsid w:val="0066224C"/>
    <w:rsid w:val="00662AF8"/>
    <w:rsid w:val="00663011"/>
    <w:rsid w:val="00663695"/>
    <w:rsid w:val="0066395B"/>
    <w:rsid w:val="0066396D"/>
    <w:rsid w:val="00663A5A"/>
    <w:rsid w:val="00663ECF"/>
    <w:rsid w:val="00663F07"/>
    <w:rsid w:val="00664055"/>
    <w:rsid w:val="00664B5A"/>
    <w:rsid w:val="00664DEB"/>
    <w:rsid w:val="00664E85"/>
    <w:rsid w:val="006655CA"/>
    <w:rsid w:val="006658C6"/>
    <w:rsid w:val="00665ADB"/>
    <w:rsid w:val="006665F1"/>
    <w:rsid w:val="00666E43"/>
    <w:rsid w:val="006678F3"/>
    <w:rsid w:val="00667994"/>
    <w:rsid w:val="00667B47"/>
    <w:rsid w:val="00667E73"/>
    <w:rsid w:val="00670171"/>
    <w:rsid w:val="006702A9"/>
    <w:rsid w:val="006710F9"/>
    <w:rsid w:val="00671413"/>
    <w:rsid w:val="006715F6"/>
    <w:rsid w:val="00671829"/>
    <w:rsid w:val="0067260F"/>
    <w:rsid w:val="00672648"/>
    <w:rsid w:val="00673979"/>
    <w:rsid w:val="00673B79"/>
    <w:rsid w:val="00673BC7"/>
    <w:rsid w:val="00673DDA"/>
    <w:rsid w:val="00674359"/>
    <w:rsid w:val="00674694"/>
    <w:rsid w:val="006746FD"/>
    <w:rsid w:val="00674826"/>
    <w:rsid w:val="00674F03"/>
    <w:rsid w:val="00675308"/>
    <w:rsid w:val="00675B44"/>
    <w:rsid w:val="00675C10"/>
    <w:rsid w:val="00675C90"/>
    <w:rsid w:val="00675D8B"/>
    <w:rsid w:val="00676215"/>
    <w:rsid w:val="006763BD"/>
    <w:rsid w:val="006767A8"/>
    <w:rsid w:val="00676950"/>
    <w:rsid w:val="00676AFC"/>
    <w:rsid w:val="00676BA7"/>
    <w:rsid w:val="00676FF5"/>
    <w:rsid w:val="006776D6"/>
    <w:rsid w:val="00677DEC"/>
    <w:rsid w:val="00677F25"/>
    <w:rsid w:val="006802F8"/>
    <w:rsid w:val="00680380"/>
    <w:rsid w:val="00680831"/>
    <w:rsid w:val="00680ABE"/>
    <w:rsid w:val="00680ECB"/>
    <w:rsid w:val="00681675"/>
    <w:rsid w:val="00681758"/>
    <w:rsid w:val="0068178A"/>
    <w:rsid w:val="00681CC8"/>
    <w:rsid w:val="00681CD6"/>
    <w:rsid w:val="00681D34"/>
    <w:rsid w:val="00681F1B"/>
    <w:rsid w:val="00682115"/>
    <w:rsid w:val="006821A8"/>
    <w:rsid w:val="00682333"/>
    <w:rsid w:val="006823D2"/>
    <w:rsid w:val="006823ED"/>
    <w:rsid w:val="006823F8"/>
    <w:rsid w:val="006827AB"/>
    <w:rsid w:val="00682CCB"/>
    <w:rsid w:val="00683108"/>
    <w:rsid w:val="00683214"/>
    <w:rsid w:val="006832DE"/>
    <w:rsid w:val="00683B49"/>
    <w:rsid w:val="00684135"/>
    <w:rsid w:val="00684570"/>
    <w:rsid w:val="00684D74"/>
    <w:rsid w:val="006850BD"/>
    <w:rsid w:val="006851D6"/>
    <w:rsid w:val="006863DF"/>
    <w:rsid w:val="00686C4C"/>
    <w:rsid w:val="0068765F"/>
    <w:rsid w:val="006877F3"/>
    <w:rsid w:val="006879FC"/>
    <w:rsid w:val="00687CC8"/>
    <w:rsid w:val="00687EEB"/>
    <w:rsid w:val="00690057"/>
    <w:rsid w:val="006903F6"/>
    <w:rsid w:val="0069071B"/>
    <w:rsid w:val="00690A75"/>
    <w:rsid w:val="00691568"/>
    <w:rsid w:val="00691682"/>
    <w:rsid w:val="00691816"/>
    <w:rsid w:val="00691952"/>
    <w:rsid w:val="00693480"/>
    <w:rsid w:val="006934D4"/>
    <w:rsid w:val="0069369C"/>
    <w:rsid w:val="006938D2"/>
    <w:rsid w:val="00693A93"/>
    <w:rsid w:val="00693D2D"/>
    <w:rsid w:val="0069453B"/>
    <w:rsid w:val="0069499B"/>
    <w:rsid w:val="006949D3"/>
    <w:rsid w:val="00694AB8"/>
    <w:rsid w:val="00694CAE"/>
    <w:rsid w:val="00694F08"/>
    <w:rsid w:val="00694F89"/>
    <w:rsid w:val="00695400"/>
    <w:rsid w:val="00695403"/>
    <w:rsid w:val="00695838"/>
    <w:rsid w:val="0069636C"/>
    <w:rsid w:val="00696370"/>
    <w:rsid w:val="00696703"/>
    <w:rsid w:val="00696990"/>
    <w:rsid w:val="006969CD"/>
    <w:rsid w:val="00696D73"/>
    <w:rsid w:val="00697225"/>
    <w:rsid w:val="006A028D"/>
    <w:rsid w:val="006A061A"/>
    <w:rsid w:val="006A087D"/>
    <w:rsid w:val="006A0A1E"/>
    <w:rsid w:val="006A0A85"/>
    <w:rsid w:val="006A0B8D"/>
    <w:rsid w:val="006A0BA3"/>
    <w:rsid w:val="006A1061"/>
    <w:rsid w:val="006A117B"/>
    <w:rsid w:val="006A153D"/>
    <w:rsid w:val="006A16C1"/>
    <w:rsid w:val="006A17BC"/>
    <w:rsid w:val="006A17E4"/>
    <w:rsid w:val="006A189C"/>
    <w:rsid w:val="006A18A3"/>
    <w:rsid w:val="006A18B8"/>
    <w:rsid w:val="006A1A9C"/>
    <w:rsid w:val="006A1D4A"/>
    <w:rsid w:val="006A233F"/>
    <w:rsid w:val="006A24A2"/>
    <w:rsid w:val="006A2B1E"/>
    <w:rsid w:val="006A2CE3"/>
    <w:rsid w:val="006A2E97"/>
    <w:rsid w:val="006A2FAC"/>
    <w:rsid w:val="006A32F8"/>
    <w:rsid w:val="006A3823"/>
    <w:rsid w:val="006A452A"/>
    <w:rsid w:val="006A4887"/>
    <w:rsid w:val="006A49F1"/>
    <w:rsid w:val="006A4B3F"/>
    <w:rsid w:val="006A4D70"/>
    <w:rsid w:val="006A551E"/>
    <w:rsid w:val="006A5712"/>
    <w:rsid w:val="006A5A57"/>
    <w:rsid w:val="006A5AF6"/>
    <w:rsid w:val="006A5B9E"/>
    <w:rsid w:val="006A6101"/>
    <w:rsid w:val="006A6B66"/>
    <w:rsid w:val="006A7F33"/>
    <w:rsid w:val="006B0164"/>
    <w:rsid w:val="006B0A2A"/>
    <w:rsid w:val="006B0AA0"/>
    <w:rsid w:val="006B0BA6"/>
    <w:rsid w:val="006B153B"/>
    <w:rsid w:val="006B1903"/>
    <w:rsid w:val="006B1968"/>
    <w:rsid w:val="006B1989"/>
    <w:rsid w:val="006B1AD7"/>
    <w:rsid w:val="006B2004"/>
    <w:rsid w:val="006B26B6"/>
    <w:rsid w:val="006B26C4"/>
    <w:rsid w:val="006B289F"/>
    <w:rsid w:val="006B2C66"/>
    <w:rsid w:val="006B2D6C"/>
    <w:rsid w:val="006B325D"/>
    <w:rsid w:val="006B3552"/>
    <w:rsid w:val="006B391C"/>
    <w:rsid w:val="006B3AFC"/>
    <w:rsid w:val="006B40F4"/>
    <w:rsid w:val="006B43A9"/>
    <w:rsid w:val="006B44F9"/>
    <w:rsid w:val="006B4607"/>
    <w:rsid w:val="006B4BD9"/>
    <w:rsid w:val="006B4FD9"/>
    <w:rsid w:val="006B54A1"/>
    <w:rsid w:val="006B5B35"/>
    <w:rsid w:val="006B6234"/>
    <w:rsid w:val="006B6D12"/>
    <w:rsid w:val="006B6D7D"/>
    <w:rsid w:val="006B7495"/>
    <w:rsid w:val="006B7ADE"/>
    <w:rsid w:val="006C04E3"/>
    <w:rsid w:val="006C0521"/>
    <w:rsid w:val="006C0CCC"/>
    <w:rsid w:val="006C1380"/>
    <w:rsid w:val="006C16E8"/>
    <w:rsid w:val="006C1AAC"/>
    <w:rsid w:val="006C1F59"/>
    <w:rsid w:val="006C2416"/>
    <w:rsid w:val="006C2515"/>
    <w:rsid w:val="006C2655"/>
    <w:rsid w:val="006C3426"/>
    <w:rsid w:val="006C343D"/>
    <w:rsid w:val="006C3ED3"/>
    <w:rsid w:val="006C4372"/>
    <w:rsid w:val="006C4508"/>
    <w:rsid w:val="006C4B97"/>
    <w:rsid w:val="006C4CCE"/>
    <w:rsid w:val="006C5039"/>
    <w:rsid w:val="006C567E"/>
    <w:rsid w:val="006C594D"/>
    <w:rsid w:val="006C59A7"/>
    <w:rsid w:val="006C5B24"/>
    <w:rsid w:val="006C5C74"/>
    <w:rsid w:val="006C643A"/>
    <w:rsid w:val="006C655B"/>
    <w:rsid w:val="006C6C09"/>
    <w:rsid w:val="006C6E74"/>
    <w:rsid w:val="006C71F5"/>
    <w:rsid w:val="006C73BC"/>
    <w:rsid w:val="006C7407"/>
    <w:rsid w:val="006C7447"/>
    <w:rsid w:val="006C74F9"/>
    <w:rsid w:val="006C7652"/>
    <w:rsid w:val="006C780F"/>
    <w:rsid w:val="006C7E46"/>
    <w:rsid w:val="006C7EDE"/>
    <w:rsid w:val="006C7FCE"/>
    <w:rsid w:val="006D007C"/>
    <w:rsid w:val="006D16F5"/>
    <w:rsid w:val="006D175D"/>
    <w:rsid w:val="006D1826"/>
    <w:rsid w:val="006D1F96"/>
    <w:rsid w:val="006D211D"/>
    <w:rsid w:val="006D2492"/>
    <w:rsid w:val="006D2A44"/>
    <w:rsid w:val="006D2A89"/>
    <w:rsid w:val="006D2C28"/>
    <w:rsid w:val="006D2C52"/>
    <w:rsid w:val="006D2E8D"/>
    <w:rsid w:val="006D34C9"/>
    <w:rsid w:val="006D38BE"/>
    <w:rsid w:val="006D38E6"/>
    <w:rsid w:val="006D3F6C"/>
    <w:rsid w:val="006D42F4"/>
    <w:rsid w:val="006D5136"/>
    <w:rsid w:val="006D5C11"/>
    <w:rsid w:val="006D5C59"/>
    <w:rsid w:val="006D6665"/>
    <w:rsid w:val="006D68B9"/>
    <w:rsid w:val="006D69DF"/>
    <w:rsid w:val="006D736A"/>
    <w:rsid w:val="006D765F"/>
    <w:rsid w:val="006D7845"/>
    <w:rsid w:val="006D7A8C"/>
    <w:rsid w:val="006E051B"/>
    <w:rsid w:val="006E07DA"/>
    <w:rsid w:val="006E0CB0"/>
    <w:rsid w:val="006E0F9A"/>
    <w:rsid w:val="006E13F8"/>
    <w:rsid w:val="006E1484"/>
    <w:rsid w:val="006E1781"/>
    <w:rsid w:val="006E195D"/>
    <w:rsid w:val="006E1DB3"/>
    <w:rsid w:val="006E1F2D"/>
    <w:rsid w:val="006E2650"/>
    <w:rsid w:val="006E2E13"/>
    <w:rsid w:val="006E3350"/>
    <w:rsid w:val="006E33B0"/>
    <w:rsid w:val="006E36DB"/>
    <w:rsid w:val="006E3D11"/>
    <w:rsid w:val="006E3F4F"/>
    <w:rsid w:val="006E405D"/>
    <w:rsid w:val="006E4368"/>
    <w:rsid w:val="006E4369"/>
    <w:rsid w:val="006E4440"/>
    <w:rsid w:val="006E4C15"/>
    <w:rsid w:val="006E5912"/>
    <w:rsid w:val="006E607D"/>
    <w:rsid w:val="006E6102"/>
    <w:rsid w:val="006E632C"/>
    <w:rsid w:val="006E6580"/>
    <w:rsid w:val="006E68DA"/>
    <w:rsid w:val="006E6A31"/>
    <w:rsid w:val="006E6FD2"/>
    <w:rsid w:val="006E7440"/>
    <w:rsid w:val="006E7F5D"/>
    <w:rsid w:val="006F0203"/>
    <w:rsid w:val="006F04AE"/>
    <w:rsid w:val="006F090A"/>
    <w:rsid w:val="006F0954"/>
    <w:rsid w:val="006F09BA"/>
    <w:rsid w:val="006F14E8"/>
    <w:rsid w:val="006F16CD"/>
    <w:rsid w:val="006F17E1"/>
    <w:rsid w:val="006F1E5F"/>
    <w:rsid w:val="006F27C6"/>
    <w:rsid w:val="006F2810"/>
    <w:rsid w:val="006F37A1"/>
    <w:rsid w:val="006F38DF"/>
    <w:rsid w:val="006F3EC8"/>
    <w:rsid w:val="006F40A8"/>
    <w:rsid w:val="006F4820"/>
    <w:rsid w:val="006F4DA6"/>
    <w:rsid w:val="006F4DA7"/>
    <w:rsid w:val="006F522F"/>
    <w:rsid w:val="006F5355"/>
    <w:rsid w:val="006F5381"/>
    <w:rsid w:val="006F58F6"/>
    <w:rsid w:val="006F5977"/>
    <w:rsid w:val="006F5DD1"/>
    <w:rsid w:val="006F62FC"/>
    <w:rsid w:val="006F77AD"/>
    <w:rsid w:val="006F79EE"/>
    <w:rsid w:val="006F7C90"/>
    <w:rsid w:val="006F7C9B"/>
    <w:rsid w:val="006F7FB9"/>
    <w:rsid w:val="007001D5"/>
    <w:rsid w:val="007006F1"/>
    <w:rsid w:val="00700A70"/>
    <w:rsid w:val="00700DD4"/>
    <w:rsid w:val="0070148B"/>
    <w:rsid w:val="007019E3"/>
    <w:rsid w:val="00701CCA"/>
    <w:rsid w:val="00702A93"/>
    <w:rsid w:val="0070352E"/>
    <w:rsid w:val="007036B8"/>
    <w:rsid w:val="0070398D"/>
    <w:rsid w:val="00703CAF"/>
    <w:rsid w:val="00703E2D"/>
    <w:rsid w:val="00704522"/>
    <w:rsid w:val="0070454C"/>
    <w:rsid w:val="0070474A"/>
    <w:rsid w:val="0070527E"/>
    <w:rsid w:val="00705999"/>
    <w:rsid w:val="00705AFC"/>
    <w:rsid w:val="00705C19"/>
    <w:rsid w:val="00706032"/>
    <w:rsid w:val="007062CE"/>
    <w:rsid w:val="00706366"/>
    <w:rsid w:val="00706368"/>
    <w:rsid w:val="00706ACD"/>
    <w:rsid w:val="00706DCB"/>
    <w:rsid w:val="00707220"/>
    <w:rsid w:val="007076B2"/>
    <w:rsid w:val="00710EAB"/>
    <w:rsid w:val="00711019"/>
    <w:rsid w:val="0071114E"/>
    <w:rsid w:val="0071123B"/>
    <w:rsid w:val="0071145C"/>
    <w:rsid w:val="0071176E"/>
    <w:rsid w:val="0071193A"/>
    <w:rsid w:val="00711CAF"/>
    <w:rsid w:val="00711FFC"/>
    <w:rsid w:val="007126A5"/>
    <w:rsid w:val="007127A5"/>
    <w:rsid w:val="0071284F"/>
    <w:rsid w:val="007134A1"/>
    <w:rsid w:val="00713968"/>
    <w:rsid w:val="0071441F"/>
    <w:rsid w:val="0071457A"/>
    <w:rsid w:val="00714706"/>
    <w:rsid w:val="0071472C"/>
    <w:rsid w:val="00714813"/>
    <w:rsid w:val="00714EC6"/>
    <w:rsid w:val="007159AB"/>
    <w:rsid w:val="007159CB"/>
    <w:rsid w:val="00715B46"/>
    <w:rsid w:val="00715DD7"/>
    <w:rsid w:val="00715E00"/>
    <w:rsid w:val="00716C17"/>
    <w:rsid w:val="00716F1D"/>
    <w:rsid w:val="0071715E"/>
    <w:rsid w:val="007171D9"/>
    <w:rsid w:val="00717688"/>
    <w:rsid w:val="00717B6E"/>
    <w:rsid w:val="00717C78"/>
    <w:rsid w:val="00720C36"/>
    <w:rsid w:val="00720FDC"/>
    <w:rsid w:val="00721684"/>
    <w:rsid w:val="00721762"/>
    <w:rsid w:val="007219EE"/>
    <w:rsid w:val="00721A74"/>
    <w:rsid w:val="00721E3E"/>
    <w:rsid w:val="007222BC"/>
    <w:rsid w:val="00722920"/>
    <w:rsid w:val="007229B8"/>
    <w:rsid w:val="00723372"/>
    <w:rsid w:val="00723389"/>
    <w:rsid w:val="00723C2E"/>
    <w:rsid w:val="00723EF9"/>
    <w:rsid w:val="00724307"/>
    <w:rsid w:val="007247C9"/>
    <w:rsid w:val="00724A7D"/>
    <w:rsid w:val="007255DF"/>
    <w:rsid w:val="0072567B"/>
    <w:rsid w:val="0072570E"/>
    <w:rsid w:val="00726172"/>
    <w:rsid w:val="007266CC"/>
    <w:rsid w:val="00726753"/>
    <w:rsid w:val="00726F87"/>
    <w:rsid w:val="00727197"/>
    <w:rsid w:val="00727390"/>
    <w:rsid w:val="007273C1"/>
    <w:rsid w:val="0072777D"/>
    <w:rsid w:val="00727CD1"/>
    <w:rsid w:val="00727D4D"/>
    <w:rsid w:val="00727DF3"/>
    <w:rsid w:val="0073012B"/>
    <w:rsid w:val="00730301"/>
    <w:rsid w:val="00730462"/>
    <w:rsid w:val="0073051A"/>
    <w:rsid w:val="00730702"/>
    <w:rsid w:val="00730B7E"/>
    <w:rsid w:val="00730C38"/>
    <w:rsid w:val="00730C5B"/>
    <w:rsid w:val="007315ED"/>
    <w:rsid w:val="00731653"/>
    <w:rsid w:val="007318E5"/>
    <w:rsid w:val="00731AB5"/>
    <w:rsid w:val="00732209"/>
    <w:rsid w:val="00732700"/>
    <w:rsid w:val="0073288C"/>
    <w:rsid w:val="00732BA4"/>
    <w:rsid w:val="00732FC2"/>
    <w:rsid w:val="00733755"/>
    <w:rsid w:val="007337C5"/>
    <w:rsid w:val="007339F2"/>
    <w:rsid w:val="00733A35"/>
    <w:rsid w:val="00733A59"/>
    <w:rsid w:val="0073400F"/>
    <w:rsid w:val="00734265"/>
    <w:rsid w:val="007343D8"/>
    <w:rsid w:val="00734AC1"/>
    <w:rsid w:val="00735103"/>
    <w:rsid w:val="0073556E"/>
    <w:rsid w:val="0073558C"/>
    <w:rsid w:val="0073584C"/>
    <w:rsid w:val="00735D74"/>
    <w:rsid w:val="00736498"/>
    <w:rsid w:val="00736587"/>
    <w:rsid w:val="007366F1"/>
    <w:rsid w:val="00736AC2"/>
    <w:rsid w:val="00736DA1"/>
    <w:rsid w:val="00737BFA"/>
    <w:rsid w:val="00737ED0"/>
    <w:rsid w:val="0074095D"/>
    <w:rsid w:val="00740A52"/>
    <w:rsid w:val="00740D0A"/>
    <w:rsid w:val="00740D86"/>
    <w:rsid w:val="00741091"/>
    <w:rsid w:val="007416D9"/>
    <w:rsid w:val="00741D9F"/>
    <w:rsid w:val="00741FFD"/>
    <w:rsid w:val="0074242A"/>
    <w:rsid w:val="0074248D"/>
    <w:rsid w:val="00742E08"/>
    <w:rsid w:val="00742E7C"/>
    <w:rsid w:val="00742FD6"/>
    <w:rsid w:val="0074337C"/>
    <w:rsid w:val="007441D6"/>
    <w:rsid w:val="00744274"/>
    <w:rsid w:val="0074435D"/>
    <w:rsid w:val="0074461B"/>
    <w:rsid w:val="0074483B"/>
    <w:rsid w:val="007448FB"/>
    <w:rsid w:val="0074490E"/>
    <w:rsid w:val="00744930"/>
    <w:rsid w:val="00744E0E"/>
    <w:rsid w:val="00745108"/>
    <w:rsid w:val="007454FE"/>
    <w:rsid w:val="00745C76"/>
    <w:rsid w:val="00745E7A"/>
    <w:rsid w:val="0074692B"/>
    <w:rsid w:val="00746CA8"/>
    <w:rsid w:val="00746E7B"/>
    <w:rsid w:val="00746EE0"/>
    <w:rsid w:val="00746FD4"/>
    <w:rsid w:val="00747761"/>
    <w:rsid w:val="00747CB1"/>
    <w:rsid w:val="00750679"/>
    <w:rsid w:val="0075073C"/>
    <w:rsid w:val="00750828"/>
    <w:rsid w:val="00750AEA"/>
    <w:rsid w:val="00750E67"/>
    <w:rsid w:val="00750EDC"/>
    <w:rsid w:val="00751975"/>
    <w:rsid w:val="00751B17"/>
    <w:rsid w:val="00751B7F"/>
    <w:rsid w:val="00751D35"/>
    <w:rsid w:val="007523D5"/>
    <w:rsid w:val="007524AC"/>
    <w:rsid w:val="007528AF"/>
    <w:rsid w:val="00752B49"/>
    <w:rsid w:val="00752D2C"/>
    <w:rsid w:val="00752DAB"/>
    <w:rsid w:val="0075308D"/>
    <w:rsid w:val="007538A9"/>
    <w:rsid w:val="007544F4"/>
    <w:rsid w:val="00754718"/>
    <w:rsid w:val="00755022"/>
    <w:rsid w:val="00755183"/>
    <w:rsid w:val="0075571C"/>
    <w:rsid w:val="007559B0"/>
    <w:rsid w:val="00755B2D"/>
    <w:rsid w:val="007562A9"/>
    <w:rsid w:val="007562E9"/>
    <w:rsid w:val="00756491"/>
    <w:rsid w:val="00756698"/>
    <w:rsid w:val="00756ABC"/>
    <w:rsid w:val="007577F5"/>
    <w:rsid w:val="00757848"/>
    <w:rsid w:val="00757A5E"/>
    <w:rsid w:val="0076011B"/>
    <w:rsid w:val="00760D2F"/>
    <w:rsid w:val="00761999"/>
    <w:rsid w:val="00761A7B"/>
    <w:rsid w:val="00761C0D"/>
    <w:rsid w:val="00761CCC"/>
    <w:rsid w:val="00761D13"/>
    <w:rsid w:val="00762220"/>
    <w:rsid w:val="00762439"/>
    <w:rsid w:val="00762490"/>
    <w:rsid w:val="00762768"/>
    <w:rsid w:val="007629A8"/>
    <w:rsid w:val="00762B2D"/>
    <w:rsid w:val="00762E27"/>
    <w:rsid w:val="00763010"/>
    <w:rsid w:val="00763814"/>
    <w:rsid w:val="0076404F"/>
    <w:rsid w:val="0076443D"/>
    <w:rsid w:val="007646F9"/>
    <w:rsid w:val="0076476E"/>
    <w:rsid w:val="007648D0"/>
    <w:rsid w:val="007648ED"/>
    <w:rsid w:val="007652ED"/>
    <w:rsid w:val="0076533F"/>
    <w:rsid w:val="00765470"/>
    <w:rsid w:val="00765689"/>
    <w:rsid w:val="00765A1A"/>
    <w:rsid w:val="00765CF4"/>
    <w:rsid w:val="00765D51"/>
    <w:rsid w:val="00765F6E"/>
    <w:rsid w:val="007662A6"/>
    <w:rsid w:val="00766B81"/>
    <w:rsid w:val="00766BC4"/>
    <w:rsid w:val="00767231"/>
    <w:rsid w:val="00767925"/>
    <w:rsid w:val="00767BD1"/>
    <w:rsid w:val="007707C5"/>
    <w:rsid w:val="00770A92"/>
    <w:rsid w:val="00770DC0"/>
    <w:rsid w:val="00770F0B"/>
    <w:rsid w:val="00770F3C"/>
    <w:rsid w:val="00771331"/>
    <w:rsid w:val="00771917"/>
    <w:rsid w:val="007722F4"/>
    <w:rsid w:val="0077299C"/>
    <w:rsid w:val="00772AC2"/>
    <w:rsid w:val="00773817"/>
    <w:rsid w:val="00773856"/>
    <w:rsid w:val="00773FFD"/>
    <w:rsid w:val="0077434A"/>
    <w:rsid w:val="00774802"/>
    <w:rsid w:val="00774869"/>
    <w:rsid w:val="00775A4F"/>
    <w:rsid w:val="00775B45"/>
    <w:rsid w:val="00775E12"/>
    <w:rsid w:val="00776037"/>
    <w:rsid w:val="007762A6"/>
    <w:rsid w:val="007767A1"/>
    <w:rsid w:val="00776855"/>
    <w:rsid w:val="007768D1"/>
    <w:rsid w:val="00777040"/>
    <w:rsid w:val="007772AA"/>
    <w:rsid w:val="007774FF"/>
    <w:rsid w:val="00777C6E"/>
    <w:rsid w:val="00777EA9"/>
    <w:rsid w:val="0078021A"/>
    <w:rsid w:val="0078049E"/>
    <w:rsid w:val="00780BE8"/>
    <w:rsid w:val="00780C72"/>
    <w:rsid w:val="00781015"/>
    <w:rsid w:val="00781472"/>
    <w:rsid w:val="0078251C"/>
    <w:rsid w:val="00782D13"/>
    <w:rsid w:val="00782F6C"/>
    <w:rsid w:val="00783065"/>
    <w:rsid w:val="00783488"/>
    <w:rsid w:val="007834A4"/>
    <w:rsid w:val="007838A3"/>
    <w:rsid w:val="00783A58"/>
    <w:rsid w:val="00783E4E"/>
    <w:rsid w:val="0078400A"/>
    <w:rsid w:val="0078427A"/>
    <w:rsid w:val="0078435F"/>
    <w:rsid w:val="007848D6"/>
    <w:rsid w:val="00784BBC"/>
    <w:rsid w:val="00784CEE"/>
    <w:rsid w:val="00784D65"/>
    <w:rsid w:val="00784EB4"/>
    <w:rsid w:val="007850B1"/>
    <w:rsid w:val="007854B9"/>
    <w:rsid w:val="00785567"/>
    <w:rsid w:val="007857A3"/>
    <w:rsid w:val="00785909"/>
    <w:rsid w:val="00785CCB"/>
    <w:rsid w:val="00785F06"/>
    <w:rsid w:val="007861E1"/>
    <w:rsid w:val="007862DD"/>
    <w:rsid w:val="007868E9"/>
    <w:rsid w:val="007870C8"/>
    <w:rsid w:val="007871AB"/>
    <w:rsid w:val="00787431"/>
    <w:rsid w:val="007875D0"/>
    <w:rsid w:val="00787B6C"/>
    <w:rsid w:val="00790169"/>
    <w:rsid w:val="0079020B"/>
    <w:rsid w:val="007908A3"/>
    <w:rsid w:val="00790B7A"/>
    <w:rsid w:val="00790EA6"/>
    <w:rsid w:val="00790F8F"/>
    <w:rsid w:val="00791076"/>
    <w:rsid w:val="007911BA"/>
    <w:rsid w:val="007914E0"/>
    <w:rsid w:val="00791549"/>
    <w:rsid w:val="007915CC"/>
    <w:rsid w:val="00791729"/>
    <w:rsid w:val="007921EA"/>
    <w:rsid w:val="007922C7"/>
    <w:rsid w:val="007922EE"/>
    <w:rsid w:val="0079266A"/>
    <w:rsid w:val="007928B4"/>
    <w:rsid w:val="00792B5B"/>
    <w:rsid w:val="00792CC3"/>
    <w:rsid w:val="00792E5B"/>
    <w:rsid w:val="00793575"/>
    <w:rsid w:val="007939DB"/>
    <w:rsid w:val="00793A09"/>
    <w:rsid w:val="00793AA7"/>
    <w:rsid w:val="00793D86"/>
    <w:rsid w:val="007940F3"/>
    <w:rsid w:val="007940F7"/>
    <w:rsid w:val="007946EF"/>
    <w:rsid w:val="00794AED"/>
    <w:rsid w:val="00794D4E"/>
    <w:rsid w:val="0079526E"/>
    <w:rsid w:val="00795348"/>
    <w:rsid w:val="00795C54"/>
    <w:rsid w:val="00795CC2"/>
    <w:rsid w:val="00795F16"/>
    <w:rsid w:val="007962B6"/>
    <w:rsid w:val="007968FD"/>
    <w:rsid w:val="00796E33"/>
    <w:rsid w:val="0079706D"/>
    <w:rsid w:val="0079730D"/>
    <w:rsid w:val="0079739C"/>
    <w:rsid w:val="007975D2"/>
    <w:rsid w:val="00797C17"/>
    <w:rsid w:val="00797C49"/>
    <w:rsid w:val="00797DE5"/>
    <w:rsid w:val="00797FD7"/>
    <w:rsid w:val="007A0224"/>
    <w:rsid w:val="007A0264"/>
    <w:rsid w:val="007A030C"/>
    <w:rsid w:val="007A05B9"/>
    <w:rsid w:val="007A16C4"/>
    <w:rsid w:val="007A1B12"/>
    <w:rsid w:val="007A1E1B"/>
    <w:rsid w:val="007A1E98"/>
    <w:rsid w:val="007A1EF9"/>
    <w:rsid w:val="007A1F63"/>
    <w:rsid w:val="007A1FA8"/>
    <w:rsid w:val="007A20F9"/>
    <w:rsid w:val="007A2358"/>
    <w:rsid w:val="007A23BF"/>
    <w:rsid w:val="007A2462"/>
    <w:rsid w:val="007A25B2"/>
    <w:rsid w:val="007A274B"/>
    <w:rsid w:val="007A2D1A"/>
    <w:rsid w:val="007A330C"/>
    <w:rsid w:val="007A332C"/>
    <w:rsid w:val="007A33E0"/>
    <w:rsid w:val="007A3A2E"/>
    <w:rsid w:val="007A3A6A"/>
    <w:rsid w:val="007A3CEA"/>
    <w:rsid w:val="007A3D46"/>
    <w:rsid w:val="007A3F48"/>
    <w:rsid w:val="007A45A5"/>
    <w:rsid w:val="007A50E1"/>
    <w:rsid w:val="007A5126"/>
    <w:rsid w:val="007A52C2"/>
    <w:rsid w:val="007A53D8"/>
    <w:rsid w:val="007A5C87"/>
    <w:rsid w:val="007A5E1A"/>
    <w:rsid w:val="007A62C9"/>
    <w:rsid w:val="007A65B3"/>
    <w:rsid w:val="007A6AE9"/>
    <w:rsid w:val="007A6BA3"/>
    <w:rsid w:val="007A6C8D"/>
    <w:rsid w:val="007A6CB2"/>
    <w:rsid w:val="007A7A4D"/>
    <w:rsid w:val="007A7C17"/>
    <w:rsid w:val="007A7EDE"/>
    <w:rsid w:val="007A7FCD"/>
    <w:rsid w:val="007B0A94"/>
    <w:rsid w:val="007B0B28"/>
    <w:rsid w:val="007B0D07"/>
    <w:rsid w:val="007B0FB0"/>
    <w:rsid w:val="007B0FEB"/>
    <w:rsid w:val="007B1393"/>
    <w:rsid w:val="007B141B"/>
    <w:rsid w:val="007B196B"/>
    <w:rsid w:val="007B1CB3"/>
    <w:rsid w:val="007B2008"/>
    <w:rsid w:val="007B2316"/>
    <w:rsid w:val="007B25B2"/>
    <w:rsid w:val="007B2EB2"/>
    <w:rsid w:val="007B2ECA"/>
    <w:rsid w:val="007B3311"/>
    <w:rsid w:val="007B338C"/>
    <w:rsid w:val="007B352B"/>
    <w:rsid w:val="007B39DB"/>
    <w:rsid w:val="007B3B39"/>
    <w:rsid w:val="007B3B61"/>
    <w:rsid w:val="007B3B9E"/>
    <w:rsid w:val="007B3E04"/>
    <w:rsid w:val="007B3EBC"/>
    <w:rsid w:val="007B3F68"/>
    <w:rsid w:val="007B413E"/>
    <w:rsid w:val="007B4785"/>
    <w:rsid w:val="007B4837"/>
    <w:rsid w:val="007B4C4F"/>
    <w:rsid w:val="007B4E12"/>
    <w:rsid w:val="007B4E25"/>
    <w:rsid w:val="007B525E"/>
    <w:rsid w:val="007B5595"/>
    <w:rsid w:val="007B55BC"/>
    <w:rsid w:val="007B58D0"/>
    <w:rsid w:val="007B5F41"/>
    <w:rsid w:val="007B61B8"/>
    <w:rsid w:val="007B61EE"/>
    <w:rsid w:val="007B6331"/>
    <w:rsid w:val="007B669A"/>
    <w:rsid w:val="007B6A27"/>
    <w:rsid w:val="007B6AC3"/>
    <w:rsid w:val="007B6B69"/>
    <w:rsid w:val="007B7145"/>
    <w:rsid w:val="007B73F9"/>
    <w:rsid w:val="007B77F8"/>
    <w:rsid w:val="007B78D4"/>
    <w:rsid w:val="007C00F2"/>
    <w:rsid w:val="007C045B"/>
    <w:rsid w:val="007C0518"/>
    <w:rsid w:val="007C074E"/>
    <w:rsid w:val="007C08EF"/>
    <w:rsid w:val="007C0A00"/>
    <w:rsid w:val="007C0D5A"/>
    <w:rsid w:val="007C100E"/>
    <w:rsid w:val="007C11A3"/>
    <w:rsid w:val="007C1332"/>
    <w:rsid w:val="007C1398"/>
    <w:rsid w:val="007C161F"/>
    <w:rsid w:val="007C166F"/>
    <w:rsid w:val="007C1D05"/>
    <w:rsid w:val="007C2207"/>
    <w:rsid w:val="007C22F1"/>
    <w:rsid w:val="007C294E"/>
    <w:rsid w:val="007C2AB4"/>
    <w:rsid w:val="007C3395"/>
    <w:rsid w:val="007C3B64"/>
    <w:rsid w:val="007C40F2"/>
    <w:rsid w:val="007C45A5"/>
    <w:rsid w:val="007C49BB"/>
    <w:rsid w:val="007C4C0C"/>
    <w:rsid w:val="007C4C39"/>
    <w:rsid w:val="007C5623"/>
    <w:rsid w:val="007C65FE"/>
    <w:rsid w:val="007C6828"/>
    <w:rsid w:val="007C6CD4"/>
    <w:rsid w:val="007C6DB3"/>
    <w:rsid w:val="007C791A"/>
    <w:rsid w:val="007D039D"/>
    <w:rsid w:val="007D0B01"/>
    <w:rsid w:val="007D0B11"/>
    <w:rsid w:val="007D1019"/>
    <w:rsid w:val="007D120D"/>
    <w:rsid w:val="007D1531"/>
    <w:rsid w:val="007D153F"/>
    <w:rsid w:val="007D1CAC"/>
    <w:rsid w:val="007D1D04"/>
    <w:rsid w:val="007D2083"/>
    <w:rsid w:val="007D2271"/>
    <w:rsid w:val="007D2366"/>
    <w:rsid w:val="007D2BE5"/>
    <w:rsid w:val="007D2C3D"/>
    <w:rsid w:val="007D2F34"/>
    <w:rsid w:val="007D357A"/>
    <w:rsid w:val="007D3637"/>
    <w:rsid w:val="007D382F"/>
    <w:rsid w:val="007D3847"/>
    <w:rsid w:val="007D4826"/>
    <w:rsid w:val="007D4EDB"/>
    <w:rsid w:val="007D5364"/>
    <w:rsid w:val="007D54DA"/>
    <w:rsid w:val="007D560E"/>
    <w:rsid w:val="007D56CB"/>
    <w:rsid w:val="007D5A7C"/>
    <w:rsid w:val="007D5ABB"/>
    <w:rsid w:val="007D5C27"/>
    <w:rsid w:val="007D5C60"/>
    <w:rsid w:val="007D63B5"/>
    <w:rsid w:val="007D6C82"/>
    <w:rsid w:val="007D6D4D"/>
    <w:rsid w:val="007D7980"/>
    <w:rsid w:val="007E00AA"/>
    <w:rsid w:val="007E06D5"/>
    <w:rsid w:val="007E0B27"/>
    <w:rsid w:val="007E0B49"/>
    <w:rsid w:val="007E12D5"/>
    <w:rsid w:val="007E159F"/>
    <w:rsid w:val="007E1719"/>
    <w:rsid w:val="007E184C"/>
    <w:rsid w:val="007E1A71"/>
    <w:rsid w:val="007E1E5F"/>
    <w:rsid w:val="007E2258"/>
    <w:rsid w:val="007E2762"/>
    <w:rsid w:val="007E2FA5"/>
    <w:rsid w:val="007E319A"/>
    <w:rsid w:val="007E3252"/>
    <w:rsid w:val="007E34FF"/>
    <w:rsid w:val="007E3929"/>
    <w:rsid w:val="007E40B3"/>
    <w:rsid w:val="007E4317"/>
    <w:rsid w:val="007E43D5"/>
    <w:rsid w:val="007E46A8"/>
    <w:rsid w:val="007E475A"/>
    <w:rsid w:val="007E5A34"/>
    <w:rsid w:val="007E5C64"/>
    <w:rsid w:val="007E5C7E"/>
    <w:rsid w:val="007E604B"/>
    <w:rsid w:val="007E62B0"/>
    <w:rsid w:val="007E6394"/>
    <w:rsid w:val="007E6851"/>
    <w:rsid w:val="007E68B4"/>
    <w:rsid w:val="007E7249"/>
    <w:rsid w:val="007E7366"/>
    <w:rsid w:val="007E73F4"/>
    <w:rsid w:val="007E73F6"/>
    <w:rsid w:val="007E7418"/>
    <w:rsid w:val="007E7783"/>
    <w:rsid w:val="007E79BC"/>
    <w:rsid w:val="007F0011"/>
    <w:rsid w:val="007F0702"/>
    <w:rsid w:val="007F0D0D"/>
    <w:rsid w:val="007F1365"/>
    <w:rsid w:val="007F168A"/>
    <w:rsid w:val="007F176C"/>
    <w:rsid w:val="007F1B46"/>
    <w:rsid w:val="007F23EA"/>
    <w:rsid w:val="007F25A5"/>
    <w:rsid w:val="007F2A4A"/>
    <w:rsid w:val="007F2A7C"/>
    <w:rsid w:val="007F309E"/>
    <w:rsid w:val="007F3124"/>
    <w:rsid w:val="007F365E"/>
    <w:rsid w:val="007F3E37"/>
    <w:rsid w:val="007F4119"/>
    <w:rsid w:val="007F4473"/>
    <w:rsid w:val="007F46A1"/>
    <w:rsid w:val="007F48D6"/>
    <w:rsid w:val="007F4ADC"/>
    <w:rsid w:val="007F4B78"/>
    <w:rsid w:val="007F585B"/>
    <w:rsid w:val="007F600F"/>
    <w:rsid w:val="007F6217"/>
    <w:rsid w:val="007F62C3"/>
    <w:rsid w:val="007F65FB"/>
    <w:rsid w:val="007F673E"/>
    <w:rsid w:val="007F6848"/>
    <w:rsid w:val="007F6C11"/>
    <w:rsid w:val="007F6D4B"/>
    <w:rsid w:val="007F6FA6"/>
    <w:rsid w:val="007F723B"/>
    <w:rsid w:val="007F7ACF"/>
    <w:rsid w:val="007F7B1F"/>
    <w:rsid w:val="007F7FEA"/>
    <w:rsid w:val="00800305"/>
    <w:rsid w:val="008006F9"/>
    <w:rsid w:val="00800819"/>
    <w:rsid w:val="00800A70"/>
    <w:rsid w:val="00801036"/>
    <w:rsid w:val="00801243"/>
    <w:rsid w:val="0080151B"/>
    <w:rsid w:val="00801B70"/>
    <w:rsid w:val="00801E41"/>
    <w:rsid w:val="00802DAC"/>
    <w:rsid w:val="00803680"/>
    <w:rsid w:val="00803683"/>
    <w:rsid w:val="00803FFA"/>
    <w:rsid w:val="0080449C"/>
    <w:rsid w:val="0080485B"/>
    <w:rsid w:val="0080489D"/>
    <w:rsid w:val="00804D16"/>
    <w:rsid w:val="00805203"/>
    <w:rsid w:val="0080540F"/>
    <w:rsid w:val="00805448"/>
    <w:rsid w:val="00805481"/>
    <w:rsid w:val="00805812"/>
    <w:rsid w:val="00805893"/>
    <w:rsid w:val="008059EE"/>
    <w:rsid w:val="00805D43"/>
    <w:rsid w:val="0080602D"/>
    <w:rsid w:val="0080697B"/>
    <w:rsid w:val="008069D9"/>
    <w:rsid w:val="00806A6C"/>
    <w:rsid w:val="00806C74"/>
    <w:rsid w:val="00807029"/>
    <w:rsid w:val="008073FF"/>
    <w:rsid w:val="00807646"/>
    <w:rsid w:val="00807E22"/>
    <w:rsid w:val="00810424"/>
    <w:rsid w:val="00810624"/>
    <w:rsid w:val="00810876"/>
    <w:rsid w:val="00810B5F"/>
    <w:rsid w:val="00810E49"/>
    <w:rsid w:val="00811580"/>
    <w:rsid w:val="008115B7"/>
    <w:rsid w:val="00811715"/>
    <w:rsid w:val="008117D3"/>
    <w:rsid w:val="0081188A"/>
    <w:rsid w:val="00811A7E"/>
    <w:rsid w:val="00811E24"/>
    <w:rsid w:val="00811ECF"/>
    <w:rsid w:val="0081205A"/>
    <w:rsid w:val="00812B35"/>
    <w:rsid w:val="00812B9B"/>
    <w:rsid w:val="00812BCB"/>
    <w:rsid w:val="00812D0F"/>
    <w:rsid w:val="00813165"/>
    <w:rsid w:val="0081321A"/>
    <w:rsid w:val="00813380"/>
    <w:rsid w:val="00813484"/>
    <w:rsid w:val="00813619"/>
    <w:rsid w:val="00813A1B"/>
    <w:rsid w:val="00813BFC"/>
    <w:rsid w:val="008145BA"/>
    <w:rsid w:val="00814D65"/>
    <w:rsid w:val="00814E8B"/>
    <w:rsid w:val="008154D6"/>
    <w:rsid w:val="0081592B"/>
    <w:rsid w:val="00815E22"/>
    <w:rsid w:val="0081633F"/>
    <w:rsid w:val="008168B7"/>
    <w:rsid w:val="008168C7"/>
    <w:rsid w:val="00816E96"/>
    <w:rsid w:val="00816EE6"/>
    <w:rsid w:val="008170EC"/>
    <w:rsid w:val="0081729C"/>
    <w:rsid w:val="00817476"/>
    <w:rsid w:val="00817C73"/>
    <w:rsid w:val="00817E6C"/>
    <w:rsid w:val="00820CE8"/>
    <w:rsid w:val="00820D8C"/>
    <w:rsid w:val="00821C07"/>
    <w:rsid w:val="00821F60"/>
    <w:rsid w:val="00822994"/>
    <w:rsid w:val="00822B54"/>
    <w:rsid w:val="008236E5"/>
    <w:rsid w:val="008248B0"/>
    <w:rsid w:val="00824A74"/>
    <w:rsid w:val="00825475"/>
    <w:rsid w:val="00825A26"/>
    <w:rsid w:val="00825E83"/>
    <w:rsid w:val="00826FBD"/>
    <w:rsid w:val="0082732F"/>
    <w:rsid w:val="00827341"/>
    <w:rsid w:val="00827899"/>
    <w:rsid w:val="008278D4"/>
    <w:rsid w:val="00827A08"/>
    <w:rsid w:val="00827BA1"/>
    <w:rsid w:val="00827D03"/>
    <w:rsid w:val="00827D28"/>
    <w:rsid w:val="008301C1"/>
    <w:rsid w:val="008301DB"/>
    <w:rsid w:val="0083024A"/>
    <w:rsid w:val="0083025A"/>
    <w:rsid w:val="008308C4"/>
    <w:rsid w:val="008321AA"/>
    <w:rsid w:val="0083229F"/>
    <w:rsid w:val="008325B6"/>
    <w:rsid w:val="00833220"/>
    <w:rsid w:val="00833361"/>
    <w:rsid w:val="00833809"/>
    <w:rsid w:val="00833BE6"/>
    <w:rsid w:val="008341D9"/>
    <w:rsid w:val="008348D0"/>
    <w:rsid w:val="00834BF3"/>
    <w:rsid w:val="00835228"/>
    <w:rsid w:val="00835586"/>
    <w:rsid w:val="008355A8"/>
    <w:rsid w:val="0083566A"/>
    <w:rsid w:val="00835921"/>
    <w:rsid w:val="00835BEF"/>
    <w:rsid w:val="00835BF2"/>
    <w:rsid w:val="00835C93"/>
    <w:rsid w:val="00835DC2"/>
    <w:rsid w:val="00836156"/>
    <w:rsid w:val="008361FD"/>
    <w:rsid w:val="00836578"/>
    <w:rsid w:val="00836CC1"/>
    <w:rsid w:val="00836CD7"/>
    <w:rsid w:val="00837A87"/>
    <w:rsid w:val="00840160"/>
    <w:rsid w:val="008405BB"/>
    <w:rsid w:val="0084083E"/>
    <w:rsid w:val="00840A0D"/>
    <w:rsid w:val="00840A6E"/>
    <w:rsid w:val="00840AAD"/>
    <w:rsid w:val="00840E3E"/>
    <w:rsid w:val="00841482"/>
    <w:rsid w:val="0084159C"/>
    <w:rsid w:val="008417EC"/>
    <w:rsid w:val="00841922"/>
    <w:rsid w:val="00841ABE"/>
    <w:rsid w:val="00841AE2"/>
    <w:rsid w:val="00841C3D"/>
    <w:rsid w:val="00841CBB"/>
    <w:rsid w:val="008420A7"/>
    <w:rsid w:val="00842508"/>
    <w:rsid w:val="00843058"/>
    <w:rsid w:val="0084329E"/>
    <w:rsid w:val="008435B1"/>
    <w:rsid w:val="008435EC"/>
    <w:rsid w:val="008438A7"/>
    <w:rsid w:val="00844258"/>
    <w:rsid w:val="0084426A"/>
    <w:rsid w:val="00844304"/>
    <w:rsid w:val="00844897"/>
    <w:rsid w:val="00844AAA"/>
    <w:rsid w:val="00844FAA"/>
    <w:rsid w:val="0084523B"/>
    <w:rsid w:val="0084555D"/>
    <w:rsid w:val="00845CB5"/>
    <w:rsid w:val="0084625C"/>
    <w:rsid w:val="008462BA"/>
    <w:rsid w:val="0084646F"/>
    <w:rsid w:val="00847056"/>
    <w:rsid w:val="008471AC"/>
    <w:rsid w:val="0084720E"/>
    <w:rsid w:val="00847D60"/>
    <w:rsid w:val="00850264"/>
    <w:rsid w:val="00850648"/>
    <w:rsid w:val="008506F9"/>
    <w:rsid w:val="00850C11"/>
    <w:rsid w:val="00850FF1"/>
    <w:rsid w:val="00851184"/>
    <w:rsid w:val="008512EE"/>
    <w:rsid w:val="008517EF"/>
    <w:rsid w:val="008518B0"/>
    <w:rsid w:val="008519C5"/>
    <w:rsid w:val="00851D0D"/>
    <w:rsid w:val="00851E28"/>
    <w:rsid w:val="00852782"/>
    <w:rsid w:val="00853002"/>
    <w:rsid w:val="00853309"/>
    <w:rsid w:val="00853716"/>
    <w:rsid w:val="00853961"/>
    <w:rsid w:val="008539F4"/>
    <w:rsid w:val="00853C94"/>
    <w:rsid w:val="00853CCA"/>
    <w:rsid w:val="00853D66"/>
    <w:rsid w:val="0085432E"/>
    <w:rsid w:val="008543E8"/>
    <w:rsid w:val="00854D11"/>
    <w:rsid w:val="00854DBC"/>
    <w:rsid w:val="00855254"/>
    <w:rsid w:val="008556A8"/>
    <w:rsid w:val="00855C1B"/>
    <w:rsid w:val="00855F32"/>
    <w:rsid w:val="00856441"/>
    <w:rsid w:val="00856570"/>
    <w:rsid w:val="00856864"/>
    <w:rsid w:val="00856CB6"/>
    <w:rsid w:val="00856EB8"/>
    <w:rsid w:val="00856F57"/>
    <w:rsid w:val="0085750F"/>
    <w:rsid w:val="00857758"/>
    <w:rsid w:val="00857CB7"/>
    <w:rsid w:val="00860496"/>
    <w:rsid w:val="0086055D"/>
    <w:rsid w:val="008609D2"/>
    <w:rsid w:val="00860D5A"/>
    <w:rsid w:val="00860FF7"/>
    <w:rsid w:val="008620D8"/>
    <w:rsid w:val="00863552"/>
    <w:rsid w:val="008635C4"/>
    <w:rsid w:val="008638CF"/>
    <w:rsid w:val="00863C73"/>
    <w:rsid w:val="00863D08"/>
    <w:rsid w:val="00863DF4"/>
    <w:rsid w:val="008641C7"/>
    <w:rsid w:val="00864467"/>
    <w:rsid w:val="00864789"/>
    <w:rsid w:val="00864AE3"/>
    <w:rsid w:val="008651D6"/>
    <w:rsid w:val="0086611F"/>
    <w:rsid w:val="0086649B"/>
    <w:rsid w:val="00866680"/>
    <w:rsid w:val="00866CE2"/>
    <w:rsid w:val="00867C00"/>
    <w:rsid w:val="00867F1A"/>
    <w:rsid w:val="00867F8E"/>
    <w:rsid w:val="008702C8"/>
    <w:rsid w:val="0087045C"/>
    <w:rsid w:val="008704AE"/>
    <w:rsid w:val="00870516"/>
    <w:rsid w:val="008705C5"/>
    <w:rsid w:val="008707C5"/>
    <w:rsid w:val="00870ED8"/>
    <w:rsid w:val="008718A5"/>
    <w:rsid w:val="00871CB5"/>
    <w:rsid w:val="00871F2E"/>
    <w:rsid w:val="00872095"/>
    <w:rsid w:val="008720D3"/>
    <w:rsid w:val="00872C1B"/>
    <w:rsid w:val="00873151"/>
    <w:rsid w:val="008733E6"/>
    <w:rsid w:val="008741C3"/>
    <w:rsid w:val="0087471D"/>
    <w:rsid w:val="00874796"/>
    <w:rsid w:val="008747D7"/>
    <w:rsid w:val="008747EC"/>
    <w:rsid w:val="00875F93"/>
    <w:rsid w:val="008768A4"/>
    <w:rsid w:val="00876917"/>
    <w:rsid w:val="00876C7F"/>
    <w:rsid w:val="00876D61"/>
    <w:rsid w:val="00876F7E"/>
    <w:rsid w:val="0087708A"/>
    <w:rsid w:val="00877443"/>
    <w:rsid w:val="008779FC"/>
    <w:rsid w:val="00877EFB"/>
    <w:rsid w:val="0088008C"/>
    <w:rsid w:val="00880468"/>
    <w:rsid w:val="008808F1"/>
    <w:rsid w:val="00880B1C"/>
    <w:rsid w:val="00880EA2"/>
    <w:rsid w:val="00882012"/>
    <w:rsid w:val="00882136"/>
    <w:rsid w:val="008828BD"/>
    <w:rsid w:val="00882D51"/>
    <w:rsid w:val="00882DA6"/>
    <w:rsid w:val="00883444"/>
    <w:rsid w:val="00883730"/>
    <w:rsid w:val="00883990"/>
    <w:rsid w:val="008839DF"/>
    <w:rsid w:val="00883CE1"/>
    <w:rsid w:val="0088424B"/>
    <w:rsid w:val="0088444B"/>
    <w:rsid w:val="008848C7"/>
    <w:rsid w:val="00884A23"/>
    <w:rsid w:val="00884C5B"/>
    <w:rsid w:val="0088504B"/>
    <w:rsid w:val="008856FC"/>
    <w:rsid w:val="00885781"/>
    <w:rsid w:val="00885A4A"/>
    <w:rsid w:val="00885AE0"/>
    <w:rsid w:val="00885B39"/>
    <w:rsid w:val="00885D27"/>
    <w:rsid w:val="00885FCF"/>
    <w:rsid w:val="00886064"/>
    <w:rsid w:val="008862A5"/>
    <w:rsid w:val="0088648E"/>
    <w:rsid w:val="00886542"/>
    <w:rsid w:val="008867DF"/>
    <w:rsid w:val="00886945"/>
    <w:rsid w:val="008869FA"/>
    <w:rsid w:val="0088721D"/>
    <w:rsid w:val="008873E2"/>
    <w:rsid w:val="00887429"/>
    <w:rsid w:val="0088761C"/>
    <w:rsid w:val="008878AE"/>
    <w:rsid w:val="00887B80"/>
    <w:rsid w:val="00887FEB"/>
    <w:rsid w:val="008901DA"/>
    <w:rsid w:val="008906ED"/>
    <w:rsid w:val="008910E0"/>
    <w:rsid w:val="0089123E"/>
    <w:rsid w:val="008917EA"/>
    <w:rsid w:val="00891D37"/>
    <w:rsid w:val="008921A7"/>
    <w:rsid w:val="0089281D"/>
    <w:rsid w:val="00892A84"/>
    <w:rsid w:val="00892C9A"/>
    <w:rsid w:val="00893914"/>
    <w:rsid w:val="00893B89"/>
    <w:rsid w:val="0089424A"/>
    <w:rsid w:val="008943CD"/>
    <w:rsid w:val="00894759"/>
    <w:rsid w:val="00894B32"/>
    <w:rsid w:val="00894BFE"/>
    <w:rsid w:val="00894E5B"/>
    <w:rsid w:val="008951E1"/>
    <w:rsid w:val="008954B2"/>
    <w:rsid w:val="0089550C"/>
    <w:rsid w:val="00895977"/>
    <w:rsid w:val="00895B24"/>
    <w:rsid w:val="00895B30"/>
    <w:rsid w:val="00895F3B"/>
    <w:rsid w:val="0089648F"/>
    <w:rsid w:val="0089671B"/>
    <w:rsid w:val="00896C68"/>
    <w:rsid w:val="008A0267"/>
    <w:rsid w:val="008A0308"/>
    <w:rsid w:val="008A048D"/>
    <w:rsid w:val="008A0B0A"/>
    <w:rsid w:val="008A0EAA"/>
    <w:rsid w:val="008A0EDF"/>
    <w:rsid w:val="008A0FC6"/>
    <w:rsid w:val="008A1200"/>
    <w:rsid w:val="008A20CC"/>
    <w:rsid w:val="008A229A"/>
    <w:rsid w:val="008A23F4"/>
    <w:rsid w:val="008A24D8"/>
    <w:rsid w:val="008A2556"/>
    <w:rsid w:val="008A25F0"/>
    <w:rsid w:val="008A2745"/>
    <w:rsid w:val="008A2C14"/>
    <w:rsid w:val="008A2F0A"/>
    <w:rsid w:val="008A31B0"/>
    <w:rsid w:val="008A328B"/>
    <w:rsid w:val="008A3C56"/>
    <w:rsid w:val="008A4461"/>
    <w:rsid w:val="008A4622"/>
    <w:rsid w:val="008A4AD4"/>
    <w:rsid w:val="008A4D34"/>
    <w:rsid w:val="008A4DFC"/>
    <w:rsid w:val="008A5271"/>
    <w:rsid w:val="008A528A"/>
    <w:rsid w:val="008A5647"/>
    <w:rsid w:val="008A5A9E"/>
    <w:rsid w:val="008A5EA8"/>
    <w:rsid w:val="008A68B0"/>
    <w:rsid w:val="008A6964"/>
    <w:rsid w:val="008A6AA0"/>
    <w:rsid w:val="008A6C60"/>
    <w:rsid w:val="008A6DDA"/>
    <w:rsid w:val="008A6EC1"/>
    <w:rsid w:val="008A7155"/>
    <w:rsid w:val="008A7852"/>
    <w:rsid w:val="008A7A7F"/>
    <w:rsid w:val="008A7D2A"/>
    <w:rsid w:val="008B0331"/>
    <w:rsid w:val="008B03BA"/>
    <w:rsid w:val="008B05A7"/>
    <w:rsid w:val="008B0B7D"/>
    <w:rsid w:val="008B0D97"/>
    <w:rsid w:val="008B0E4F"/>
    <w:rsid w:val="008B1989"/>
    <w:rsid w:val="008B1EE0"/>
    <w:rsid w:val="008B277D"/>
    <w:rsid w:val="008B2827"/>
    <w:rsid w:val="008B2853"/>
    <w:rsid w:val="008B2B9E"/>
    <w:rsid w:val="008B2DC1"/>
    <w:rsid w:val="008B2EC5"/>
    <w:rsid w:val="008B33A5"/>
    <w:rsid w:val="008B35EC"/>
    <w:rsid w:val="008B3602"/>
    <w:rsid w:val="008B3807"/>
    <w:rsid w:val="008B3C30"/>
    <w:rsid w:val="008B4033"/>
    <w:rsid w:val="008B4051"/>
    <w:rsid w:val="008B42D3"/>
    <w:rsid w:val="008B4888"/>
    <w:rsid w:val="008B48B5"/>
    <w:rsid w:val="008B48EF"/>
    <w:rsid w:val="008B525F"/>
    <w:rsid w:val="008B5FF9"/>
    <w:rsid w:val="008B6206"/>
    <w:rsid w:val="008B6838"/>
    <w:rsid w:val="008B692B"/>
    <w:rsid w:val="008B6A19"/>
    <w:rsid w:val="008B6D1E"/>
    <w:rsid w:val="008B743E"/>
    <w:rsid w:val="008B75B2"/>
    <w:rsid w:val="008B7E4C"/>
    <w:rsid w:val="008B7FC2"/>
    <w:rsid w:val="008C0045"/>
    <w:rsid w:val="008C039F"/>
    <w:rsid w:val="008C05B1"/>
    <w:rsid w:val="008C08B2"/>
    <w:rsid w:val="008C0BE7"/>
    <w:rsid w:val="008C0C6B"/>
    <w:rsid w:val="008C10E6"/>
    <w:rsid w:val="008C13D2"/>
    <w:rsid w:val="008C1B95"/>
    <w:rsid w:val="008C20A7"/>
    <w:rsid w:val="008C2107"/>
    <w:rsid w:val="008C254A"/>
    <w:rsid w:val="008C26B1"/>
    <w:rsid w:val="008C2B22"/>
    <w:rsid w:val="008C3414"/>
    <w:rsid w:val="008C3726"/>
    <w:rsid w:val="008C4479"/>
    <w:rsid w:val="008C466B"/>
    <w:rsid w:val="008C49F2"/>
    <w:rsid w:val="008C4ABA"/>
    <w:rsid w:val="008C4D1C"/>
    <w:rsid w:val="008C4F9A"/>
    <w:rsid w:val="008C561C"/>
    <w:rsid w:val="008C567A"/>
    <w:rsid w:val="008C57C9"/>
    <w:rsid w:val="008C5A2F"/>
    <w:rsid w:val="008C5F24"/>
    <w:rsid w:val="008C6693"/>
    <w:rsid w:val="008C699A"/>
    <w:rsid w:val="008C6B82"/>
    <w:rsid w:val="008C6F2F"/>
    <w:rsid w:val="008C6F5B"/>
    <w:rsid w:val="008C70F4"/>
    <w:rsid w:val="008C7909"/>
    <w:rsid w:val="008C7968"/>
    <w:rsid w:val="008C7AB1"/>
    <w:rsid w:val="008C7E0F"/>
    <w:rsid w:val="008D0A63"/>
    <w:rsid w:val="008D0EFE"/>
    <w:rsid w:val="008D10B2"/>
    <w:rsid w:val="008D11B7"/>
    <w:rsid w:val="008D142B"/>
    <w:rsid w:val="008D18E6"/>
    <w:rsid w:val="008D19F9"/>
    <w:rsid w:val="008D1A5C"/>
    <w:rsid w:val="008D1D9A"/>
    <w:rsid w:val="008D1E1D"/>
    <w:rsid w:val="008D2212"/>
    <w:rsid w:val="008D25A6"/>
    <w:rsid w:val="008D2C95"/>
    <w:rsid w:val="008D32BE"/>
    <w:rsid w:val="008D32F6"/>
    <w:rsid w:val="008D34C2"/>
    <w:rsid w:val="008D3A9E"/>
    <w:rsid w:val="008D3C0E"/>
    <w:rsid w:val="008D3E15"/>
    <w:rsid w:val="008D3E7B"/>
    <w:rsid w:val="008D3E99"/>
    <w:rsid w:val="008D450A"/>
    <w:rsid w:val="008D4656"/>
    <w:rsid w:val="008D487E"/>
    <w:rsid w:val="008D48AC"/>
    <w:rsid w:val="008D4A87"/>
    <w:rsid w:val="008D4AE7"/>
    <w:rsid w:val="008D4C96"/>
    <w:rsid w:val="008D4E6C"/>
    <w:rsid w:val="008D4F01"/>
    <w:rsid w:val="008D5203"/>
    <w:rsid w:val="008D54BE"/>
    <w:rsid w:val="008D58C8"/>
    <w:rsid w:val="008D5EE5"/>
    <w:rsid w:val="008D60C7"/>
    <w:rsid w:val="008D6267"/>
    <w:rsid w:val="008D6400"/>
    <w:rsid w:val="008D6471"/>
    <w:rsid w:val="008D7645"/>
    <w:rsid w:val="008D777A"/>
    <w:rsid w:val="008D7B69"/>
    <w:rsid w:val="008D7ED7"/>
    <w:rsid w:val="008E063F"/>
    <w:rsid w:val="008E08FB"/>
    <w:rsid w:val="008E098E"/>
    <w:rsid w:val="008E0995"/>
    <w:rsid w:val="008E0AA3"/>
    <w:rsid w:val="008E0BAF"/>
    <w:rsid w:val="008E0CFD"/>
    <w:rsid w:val="008E1105"/>
    <w:rsid w:val="008E1B41"/>
    <w:rsid w:val="008E1BA8"/>
    <w:rsid w:val="008E1BD8"/>
    <w:rsid w:val="008E1CCC"/>
    <w:rsid w:val="008E28AD"/>
    <w:rsid w:val="008E3204"/>
    <w:rsid w:val="008E34CE"/>
    <w:rsid w:val="008E3518"/>
    <w:rsid w:val="008E3BC5"/>
    <w:rsid w:val="008E4153"/>
    <w:rsid w:val="008E4B55"/>
    <w:rsid w:val="008E5331"/>
    <w:rsid w:val="008E55E9"/>
    <w:rsid w:val="008E56F2"/>
    <w:rsid w:val="008E57E9"/>
    <w:rsid w:val="008E595B"/>
    <w:rsid w:val="008E619B"/>
    <w:rsid w:val="008E6253"/>
    <w:rsid w:val="008E66E5"/>
    <w:rsid w:val="008E6ED1"/>
    <w:rsid w:val="008E711E"/>
    <w:rsid w:val="008E7D7B"/>
    <w:rsid w:val="008F066D"/>
    <w:rsid w:val="008F09A8"/>
    <w:rsid w:val="008F09C1"/>
    <w:rsid w:val="008F0E1A"/>
    <w:rsid w:val="008F0FD4"/>
    <w:rsid w:val="008F12D8"/>
    <w:rsid w:val="008F12E3"/>
    <w:rsid w:val="008F164B"/>
    <w:rsid w:val="008F1A6E"/>
    <w:rsid w:val="008F1D9F"/>
    <w:rsid w:val="008F22E9"/>
    <w:rsid w:val="008F230F"/>
    <w:rsid w:val="008F2333"/>
    <w:rsid w:val="008F234F"/>
    <w:rsid w:val="008F2644"/>
    <w:rsid w:val="008F2813"/>
    <w:rsid w:val="008F292E"/>
    <w:rsid w:val="008F2935"/>
    <w:rsid w:val="008F2E5B"/>
    <w:rsid w:val="008F2EA9"/>
    <w:rsid w:val="008F310F"/>
    <w:rsid w:val="008F3904"/>
    <w:rsid w:val="008F3AB8"/>
    <w:rsid w:val="008F4517"/>
    <w:rsid w:val="008F47A3"/>
    <w:rsid w:val="008F4D08"/>
    <w:rsid w:val="008F504C"/>
    <w:rsid w:val="008F54DE"/>
    <w:rsid w:val="008F5638"/>
    <w:rsid w:val="008F56CB"/>
    <w:rsid w:val="008F588F"/>
    <w:rsid w:val="008F5E45"/>
    <w:rsid w:val="008F5E92"/>
    <w:rsid w:val="008F60AA"/>
    <w:rsid w:val="008F60E4"/>
    <w:rsid w:val="008F635E"/>
    <w:rsid w:val="008F6A1B"/>
    <w:rsid w:val="008F6A39"/>
    <w:rsid w:val="008F6EB6"/>
    <w:rsid w:val="008F7D30"/>
    <w:rsid w:val="008F7FF9"/>
    <w:rsid w:val="009002EC"/>
    <w:rsid w:val="009006DC"/>
    <w:rsid w:val="009008AE"/>
    <w:rsid w:val="00900913"/>
    <w:rsid w:val="00900A8E"/>
    <w:rsid w:val="00900C39"/>
    <w:rsid w:val="009011C7"/>
    <w:rsid w:val="0090155D"/>
    <w:rsid w:val="0090169C"/>
    <w:rsid w:val="00901945"/>
    <w:rsid w:val="00901A1D"/>
    <w:rsid w:val="00901A4D"/>
    <w:rsid w:val="00901D16"/>
    <w:rsid w:val="00901D49"/>
    <w:rsid w:val="0090258A"/>
    <w:rsid w:val="009025AF"/>
    <w:rsid w:val="00902696"/>
    <w:rsid w:val="009034F0"/>
    <w:rsid w:val="00903537"/>
    <w:rsid w:val="00903784"/>
    <w:rsid w:val="00903827"/>
    <w:rsid w:val="00903974"/>
    <w:rsid w:val="00903A0B"/>
    <w:rsid w:val="00904101"/>
    <w:rsid w:val="00904910"/>
    <w:rsid w:val="00904BBC"/>
    <w:rsid w:val="00904CF0"/>
    <w:rsid w:val="00904DCD"/>
    <w:rsid w:val="0090596C"/>
    <w:rsid w:val="00905C28"/>
    <w:rsid w:val="009060C9"/>
    <w:rsid w:val="0090634D"/>
    <w:rsid w:val="009064EE"/>
    <w:rsid w:val="00906B25"/>
    <w:rsid w:val="00906FBE"/>
    <w:rsid w:val="0090701A"/>
    <w:rsid w:val="009070F3"/>
    <w:rsid w:val="0090782C"/>
    <w:rsid w:val="00907985"/>
    <w:rsid w:val="00910107"/>
    <w:rsid w:val="009101AE"/>
    <w:rsid w:val="0091034A"/>
    <w:rsid w:val="0091089B"/>
    <w:rsid w:val="009109C6"/>
    <w:rsid w:val="00911192"/>
    <w:rsid w:val="0091143C"/>
    <w:rsid w:val="009115C4"/>
    <w:rsid w:val="009115DD"/>
    <w:rsid w:val="0091197C"/>
    <w:rsid w:val="00911C50"/>
    <w:rsid w:val="009121AF"/>
    <w:rsid w:val="00912B35"/>
    <w:rsid w:val="00912DAE"/>
    <w:rsid w:val="009138AB"/>
    <w:rsid w:val="00914197"/>
    <w:rsid w:val="009142F1"/>
    <w:rsid w:val="009151D3"/>
    <w:rsid w:val="009155CE"/>
    <w:rsid w:val="00915866"/>
    <w:rsid w:val="009158B3"/>
    <w:rsid w:val="0091597B"/>
    <w:rsid w:val="00915AC0"/>
    <w:rsid w:val="00916031"/>
    <w:rsid w:val="009163AD"/>
    <w:rsid w:val="009169FB"/>
    <w:rsid w:val="00916B68"/>
    <w:rsid w:val="00916DA1"/>
    <w:rsid w:val="00917031"/>
    <w:rsid w:val="00917351"/>
    <w:rsid w:val="00917941"/>
    <w:rsid w:val="00917F35"/>
    <w:rsid w:val="00917FFC"/>
    <w:rsid w:val="0092007C"/>
    <w:rsid w:val="00920284"/>
    <w:rsid w:val="009202DD"/>
    <w:rsid w:val="00920C00"/>
    <w:rsid w:val="00920ED7"/>
    <w:rsid w:val="00920F1F"/>
    <w:rsid w:val="00921097"/>
    <w:rsid w:val="0092109D"/>
    <w:rsid w:val="00921432"/>
    <w:rsid w:val="00921946"/>
    <w:rsid w:val="00921A9E"/>
    <w:rsid w:val="00921CED"/>
    <w:rsid w:val="00921D4C"/>
    <w:rsid w:val="0092225E"/>
    <w:rsid w:val="00922A89"/>
    <w:rsid w:val="00922ADD"/>
    <w:rsid w:val="00922BB7"/>
    <w:rsid w:val="0092314A"/>
    <w:rsid w:val="0092372A"/>
    <w:rsid w:val="00923A23"/>
    <w:rsid w:val="00923DFA"/>
    <w:rsid w:val="00923E80"/>
    <w:rsid w:val="00923F62"/>
    <w:rsid w:val="00924384"/>
    <w:rsid w:val="00924A16"/>
    <w:rsid w:val="00924B50"/>
    <w:rsid w:val="00924F9C"/>
    <w:rsid w:val="00925089"/>
    <w:rsid w:val="00925488"/>
    <w:rsid w:val="009255A4"/>
    <w:rsid w:val="00925975"/>
    <w:rsid w:val="00925D8E"/>
    <w:rsid w:val="009260F9"/>
    <w:rsid w:val="009262C6"/>
    <w:rsid w:val="009262CC"/>
    <w:rsid w:val="00926354"/>
    <w:rsid w:val="00926557"/>
    <w:rsid w:val="009265BB"/>
    <w:rsid w:val="00926E65"/>
    <w:rsid w:val="00926F25"/>
    <w:rsid w:val="00926F4F"/>
    <w:rsid w:val="0092719F"/>
    <w:rsid w:val="00927BE0"/>
    <w:rsid w:val="00927FD1"/>
    <w:rsid w:val="00930497"/>
    <w:rsid w:val="00930629"/>
    <w:rsid w:val="009308CF"/>
    <w:rsid w:val="00930E3E"/>
    <w:rsid w:val="00930E5C"/>
    <w:rsid w:val="009312C3"/>
    <w:rsid w:val="009313E3"/>
    <w:rsid w:val="009319E4"/>
    <w:rsid w:val="00931AF9"/>
    <w:rsid w:val="0093240A"/>
    <w:rsid w:val="00932800"/>
    <w:rsid w:val="00932BA8"/>
    <w:rsid w:val="009337C1"/>
    <w:rsid w:val="009339E5"/>
    <w:rsid w:val="00933DFA"/>
    <w:rsid w:val="00933F29"/>
    <w:rsid w:val="009341BF"/>
    <w:rsid w:val="0093445F"/>
    <w:rsid w:val="0093460D"/>
    <w:rsid w:val="0093471F"/>
    <w:rsid w:val="009347F4"/>
    <w:rsid w:val="00934B6A"/>
    <w:rsid w:val="00934C76"/>
    <w:rsid w:val="00934C7B"/>
    <w:rsid w:val="0093535C"/>
    <w:rsid w:val="009356DD"/>
    <w:rsid w:val="00935892"/>
    <w:rsid w:val="00935F7A"/>
    <w:rsid w:val="009364EB"/>
    <w:rsid w:val="009374F0"/>
    <w:rsid w:val="0093786C"/>
    <w:rsid w:val="00937CC0"/>
    <w:rsid w:val="00940022"/>
    <w:rsid w:val="009405EC"/>
    <w:rsid w:val="009406C7"/>
    <w:rsid w:val="009407FD"/>
    <w:rsid w:val="00940C0D"/>
    <w:rsid w:val="00941962"/>
    <w:rsid w:val="00941B33"/>
    <w:rsid w:val="00941C3F"/>
    <w:rsid w:val="00941EF0"/>
    <w:rsid w:val="00941FBB"/>
    <w:rsid w:val="00942482"/>
    <w:rsid w:val="009424FB"/>
    <w:rsid w:val="00942564"/>
    <w:rsid w:val="009426F3"/>
    <w:rsid w:val="00942AD4"/>
    <w:rsid w:val="00942FDF"/>
    <w:rsid w:val="00943181"/>
    <w:rsid w:val="00943601"/>
    <w:rsid w:val="009437FA"/>
    <w:rsid w:val="0094382E"/>
    <w:rsid w:val="009438EE"/>
    <w:rsid w:val="00943EDA"/>
    <w:rsid w:val="00944723"/>
    <w:rsid w:val="0094487E"/>
    <w:rsid w:val="00944AB1"/>
    <w:rsid w:val="00944E95"/>
    <w:rsid w:val="00945049"/>
    <w:rsid w:val="009450B2"/>
    <w:rsid w:val="0094555B"/>
    <w:rsid w:val="009465C9"/>
    <w:rsid w:val="00946A3B"/>
    <w:rsid w:val="00946B9D"/>
    <w:rsid w:val="00946E43"/>
    <w:rsid w:val="009470DF"/>
    <w:rsid w:val="00947479"/>
    <w:rsid w:val="009474C5"/>
    <w:rsid w:val="00947571"/>
    <w:rsid w:val="009477AC"/>
    <w:rsid w:val="00947804"/>
    <w:rsid w:val="009479F7"/>
    <w:rsid w:val="00947A9D"/>
    <w:rsid w:val="00950963"/>
    <w:rsid w:val="00950C9B"/>
    <w:rsid w:val="00950CD5"/>
    <w:rsid w:val="00951388"/>
    <w:rsid w:val="00951472"/>
    <w:rsid w:val="00951634"/>
    <w:rsid w:val="0095216D"/>
    <w:rsid w:val="00952896"/>
    <w:rsid w:val="009529D7"/>
    <w:rsid w:val="00952A71"/>
    <w:rsid w:val="00953F45"/>
    <w:rsid w:val="009540A3"/>
    <w:rsid w:val="009542D6"/>
    <w:rsid w:val="00954957"/>
    <w:rsid w:val="00954A4F"/>
    <w:rsid w:val="009552CC"/>
    <w:rsid w:val="009559C8"/>
    <w:rsid w:val="00955C03"/>
    <w:rsid w:val="00955C3B"/>
    <w:rsid w:val="00955CBA"/>
    <w:rsid w:val="00956068"/>
    <w:rsid w:val="0095656E"/>
    <w:rsid w:val="009565FA"/>
    <w:rsid w:val="00956CBA"/>
    <w:rsid w:val="0095733D"/>
    <w:rsid w:val="009574C8"/>
    <w:rsid w:val="009578AD"/>
    <w:rsid w:val="00957AE8"/>
    <w:rsid w:val="00957F2A"/>
    <w:rsid w:val="00957F3C"/>
    <w:rsid w:val="00960012"/>
    <w:rsid w:val="0096023D"/>
    <w:rsid w:val="00960476"/>
    <w:rsid w:val="00960606"/>
    <w:rsid w:val="00960A76"/>
    <w:rsid w:val="00960C6A"/>
    <w:rsid w:val="00960EB0"/>
    <w:rsid w:val="00960F3F"/>
    <w:rsid w:val="009611CD"/>
    <w:rsid w:val="009612E9"/>
    <w:rsid w:val="009615E3"/>
    <w:rsid w:val="009618FE"/>
    <w:rsid w:val="00961FDA"/>
    <w:rsid w:val="009622A6"/>
    <w:rsid w:val="00962520"/>
    <w:rsid w:val="009629A7"/>
    <w:rsid w:val="00962CA5"/>
    <w:rsid w:val="00962E12"/>
    <w:rsid w:val="00963207"/>
    <w:rsid w:val="00963AF0"/>
    <w:rsid w:val="00963C7C"/>
    <w:rsid w:val="00964D70"/>
    <w:rsid w:val="009657C2"/>
    <w:rsid w:val="009667FE"/>
    <w:rsid w:val="009669C2"/>
    <w:rsid w:val="00966D8C"/>
    <w:rsid w:val="00966F6B"/>
    <w:rsid w:val="00966FF0"/>
    <w:rsid w:val="00967697"/>
    <w:rsid w:val="00967BE7"/>
    <w:rsid w:val="00967D70"/>
    <w:rsid w:val="00967F30"/>
    <w:rsid w:val="00967F73"/>
    <w:rsid w:val="00967FE3"/>
    <w:rsid w:val="0097018E"/>
    <w:rsid w:val="0097047A"/>
    <w:rsid w:val="00970766"/>
    <w:rsid w:val="00970B58"/>
    <w:rsid w:val="0097111B"/>
    <w:rsid w:val="00971435"/>
    <w:rsid w:val="00971462"/>
    <w:rsid w:val="0097179D"/>
    <w:rsid w:val="00971B5A"/>
    <w:rsid w:val="00972368"/>
    <w:rsid w:val="009723C6"/>
    <w:rsid w:val="00972CD9"/>
    <w:rsid w:val="00972F57"/>
    <w:rsid w:val="0097306E"/>
    <w:rsid w:val="0097306F"/>
    <w:rsid w:val="0097308F"/>
    <w:rsid w:val="0097355E"/>
    <w:rsid w:val="00973642"/>
    <w:rsid w:val="0097390C"/>
    <w:rsid w:val="00973AE0"/>
    <w:rsid w:val="00973D06"/>
    <w:rsid w:val="00973DE9"/>
    <w:rsid w:val="0097409A"/>
    <w:rsid w:val="0097492B"/>
    <w:rsid w:val="00974DF7"/>
    <w:rsid w:val="00974E68"/>
    <w:rsid w:val="009755CF"/>
    <w:rsid w:val="00975741"/>
    <w:rsid w:val="009757B8"/>
    <w:rsid w:val="00975976"/>
    <w:rsid w:val="009760A3"/>
    <w:rsid w:val="0097630E"/>
    <w:rsid w:val="00976BF6"/>
    <w:rsid w:val="00976C76"/>
    <w:rsid w:val="00976F90"/>
    <w:rsid w:val="00977710"/>
    <w:rsid w:val="00977BF2"/>
    <w:rsid w:val="00980747"/>
    <w:rsid w:val="00980D7C"/>
    <w:rsid w:val="009812A1"/>
    <w:rsid w:val="009812F7"/>
    <w:rsid w:val="009818C5"/>
    <w:rsid w:val="0098196E"/>
    <w:rsid w:val="00981C4D"/>
    <w:rsid w:val="009823E2"/>
    <w:rsid w:val="00982615"/>
    <w:rsid w:val="00982634"/>
    <w:rsid w:val="00982BCC"/>
    <w:rsid w:val="0098368A"/>
    <w:rsid w:val="00983E19"/>
    <w:rsid w:val="009848AA"/>
    <w:rsid w:val="00984C54"/>
    <w:rsid w:val="00984F29"/>
    <w:rsid w:val="00985270"/>
    <w:rsid w:val="00985377"/>
    <w:rsid w:val="009858FF"/>
    <w:rsid w:val="0098592E"/>
    <w:rsid w:val="00985A33"/>
    <w:rsid w:val="00985DA9"/>
    <w:rsid w:val="009861C4"/>
    <w:rsid w:val="0098623F"/>
    <w:rsid w:val="009866CB"/>
    <w:rsid w:val="00986B73"/>
    <w:rsid w:val="00986FF0"/>
    <w:rsid w:val="0098719F"/>
    <w:rsid w:val="009874E5"/>
    <w:rsid w:val="0098786B"/>
    <w:rsid w:val="00987881"/>
    <w:rsid w:val="00987AEE"/>
    <w:rsid w:val="00987CAD"/>
    <w:rsid w:val="0099010A"/>
    <w:rsid w:val="0099063B"/>
    <w:rsid w:val="00990B32"/>
    <w:rsid w:val="0099102F"/>
    <w:rsid w:val="0099126E"/>
    <w:rsid w:val="0099188D"/>
    <w:rsid w:val="009918D1"/>
    <w:rsid w:val="00992273"/>
    <w:rsid w:val="00992ACA"/>
    <w:rsid w:val="00992F4A"/>
    <w:rsid w:val="0099301C"/>
    <w:rsid w:val="0099367F"/>
    <w:rsid w:val="009936F4"/>
    <w:rsid w:val="00993C18"/>
    <w:rsid w:val="009942A3"/>
    <w:rsid w:val="00994408"/>
    <w:rsid w:val="00994761"/>
    <w:rsid w:val="00994968"/>
    <w:rsid w:val="00994A15"/>
    <w:rsid w:val="00994AD0"/>
    <w:rsid w:val="009951F0"/>
    <w:rsid w:val="009952E5"/>
    <w:rsid w:val="009954FD"/>
    <w:rsid w:val="00995B43"/>
    <w:rsid w:val="00995D4B"/>
    <w:rsid w:val="0099612A"/>
    <w:rsid w:val="0099682D"/>
    <w:rsid w:val="009974F8"/>
    <w:rsid w:val="00997BF7"/>
    <w:rsid w:val="00997C6B"/>
    <w:rsid w:val="00997C92"/>
    <w:rsid w:val="00997C9F"/>
    <w:rsid w:val="00997FE1"/>
    <w:rsid w:val="009A0012"/>
    <w:rsid w:val="009A02B4"/>
    <w:rsid w:val="009A05E8"/>
    <w:rsid w:val="009A090D"/>
    <w:rsid w:val="009A0D03"/>
    <w:rsid w:val="009A15C9"/>
    <w:rsid w:val="009A1CF9"/>
    <w:rsid w:val="009A2401"/>
    <w:rsid w:val="009A25E1"/>
    <w:rsid w:val="009A2646"/>
    <w:rsid w:val="009A26E2"/>
    <w:rsid w:val="009A274F"/>
    <w:rsid w:val="009A280B"/>
    <w:rsid w:val="009A30FA"/>
    <w:rsid w:val="009A3250"/>
    <w:rsid w:val="009A366D"/>
    <w:rsid w:val="009A367E"/>
    <w:rsid w:val="009A3FFD"/>
    <w:rsid w:val="009A41D3"/>
    <w:rsid w:val="009A479F"/>
    <w:rsid w:val="009A4DB0"/>
    <w:rsid w:val="009A4E28"/>
    <w:rsid w:val="009A4E46"/>
    <w:rsid w:val="009A5AD2"/>
    <w:rsid w:val="009A5B50"/>
    <w:rsid w:val="009A60E5"/>
    <w:rsid w:val="009A663B"/>
    <w:rsid w:val="009A6A1D"/>
    <w:rsid w:val="009A6A46"/>
    <w:rsid w:val="009A6B54"/>
    <w:rsid w:val="009A6B91"/>
    <w:rsid w:val="009A6D72"/>
    <w:rsid w:val="009A70E8"/>
    <w:rsid w:val="009A7138"/>
    <w:rsid w:val="009A7257"/>
    <w:rsid w:val="009A77CD"/>
    <w:rsid w:val="009A7A0D"/>
    <w:rsid w:val="009B055A"/>
    <w:rsid w:val="009B0743"/>
    <w:rsid w:val="009B0814"/>
    <w:rsid w:val="009B0C91"/>
    <w:rsid w:val="009B106F"/>
    <w:rsid w:val="009B142D"/>
    <w:rsid w:val="009B1B3F"/>
    <w:rsid w:val="009B2364"/>
    <w:rsid w:val="009B318F"/>
    <w:rsid w:val="009B356F"/>
    <w:rsid w:val="009B49FC"/>
    <w:rsid w:val="009B4B03"/>
    <w:rsid w:val="009B4F08"/>
    <w:rsid w:val="009B56CE"/>
    <w:rsid w:val="009B5BF1"/>
    <w:rsid w:val="009B5FAF"/>
    <w:rsid w:val="009B618F"/>
    <w:rsid w:val="009B67D1"/>
    <w:rsid w:val="009B681A"/>
    <w:rsid w:val="009B70C0"/>
    <w:rsid w:val="009B75F0"/>
    <w:rsid w:val="009B7784"/>
    <w:rsid w:val="009C0180"/>
    <w:rsid w:val="009C026B"/>
    <w:rsid w:val="009C0387"/>
    <w:rsid w:val="009C0630"/>
    <w:rsid w:val="009C0915"/>
    <w:rsid w:val="009C09F3"/>
    <w:rsid w:val="009C0AA3"/>
    <w:rsid w:val="009C142F"/>
    <w:rsid w:val="009C16DA"/>
    <w:rsid w:val="009C1707"/>
    <w:rsid w:val="009C17FF"/>
    <w:rsid w:val="009C18B9"/>
    <w:rsid w:val="009C1C05"/>
    <w:rsid w:val="009C2394"/>
    <w:rsid w:val="009C31BA"/>
    <w:rsid w:val="009C34C8"/>
    <w:rsid w:val="009C36D7"/>
    <w:rsid w:val="009C3722"/>
    <w:rsid w:val="009C47D9"/>
    <w:rsid w:val="009C4919"/>
    <w:rsid w:val="009C4AB8"/>
    <w:rsid w:val="009C4EC5"/>
    <w:rsid w:val="009C5061"/>
    <w:rsid w:val="009C5182"/>
    <w:rsid w:val="009C5B27"/>
    <w:rsid w:val="009C5EFF"/>
    <w:rsid w:val="009C611F"/>
    <w:rsid w:val="009C640F"/>
    <w:rsid w:val="009C6A31"/>
    <w:rsid w:val="009C6F6E"/>
    <w:rsid w:val="009C7477"/>
    <w:rsid w:val="009C7E1A"/>
    <w:rsid w:val="009D05EB"/>
    <w:rsid w:val="009D06B4"/>
    <w:rsid w:val="009D0836"/>
    <w:rsid w:val="009D0F27"/>
    <w:rsid w:val="009D0F31"/>
    <w:rsid w:val="009D102B"/>
    <w:rsid w:val="009D14E8"/>
    <w:rsid w:val="009D1633"/>
    <w:rsid w:val="009D17A3"/>
    <w:rsid w:val="009D1818"/>
    <w:rsid w:val="009D19F8"/>
    <w:rsid w:val="009D1A98"/>
    <w:rsid w:val="009D205B"/>
    <w:rsid w:val="009D258D"/>
    <w:rsid w:val="009D2947"/>
    <w:rsid w:val="009D2A60"/>
    <w:rsid w:val="009D2CB7"/>
    <w:rsid w:val="009D2EBA"/>
    <w:rsid w:val="009D35D3"/>
    <w:rsid w:val="009D4524"/>
    <w:rsid w:val="009D46D5"/>
    <w:rsid w:val="009D4AD8"/>
    <w:rsid w:val="009D56B3"/>
    <w:rsid w:val="009D5817"/>
    <w:rsid w:val="009D5A8F"/>
    <w:rsid w:val="009D5BFD"/>
    <w:rsid w:val="009D5D3B"/>
    <w:rsid w:val="009D66A1"/>
    <w:rsid w:val="009D6830"/>
    <w:rsid w:val="009D6B05"/>
    <w:rsid w:val="009D7414"/>
    <w:rsid w:val="009D7836"/>
    <w:rsid w:val="009D7E34"/>
    <w:rsid w:val="009E0319"/>
    <w:rsid w:val="009E1B0A"/>
    <w:rsid w:val="009E1D3B"/>
    <w:rsid w:val="009E1E3C"/>
    <w:rsid w:val="009E24F0"/>
    <w:rsid w:val="009E252F"/>
    <w:rsid w:val="009E2A37"/>
    <w:rsid w:val="009E2CF8"/>
    <w:rsid w:val="009E2FD2"/>
    <w:rsid w:val="009E32C2"/>
    <w:rsid w:val="009E358C"/>
    <w:rsid w:val="009E3A7D"/>
    <w:rsid w:val="009E3AD1"/>
    <w:rsid w:val="009E3B49"/>
    <w:rsid w:val="009E3E34"/>
    <w:rsid w:val="009E4299"/>
    <w:rsid w:val="009E4AE3"/>
    <w:rsid w:val="009E4B5C"/>
    <w:rsid w:val="009E4E38"/>
    <w:rsid w:val="009E516A"/>
    <w:rsid w:val="009E557B"/>
    <w:rsid w:val="009E57B9"/>
    <w:rsid w:val="009E5B2F"/>
    <w:rsid w:val="009E5C74"/>
    <w:rsid w:val="009E5EB2"/>
    <w:rsid w:val="009E640F"/>
    <w:rsid w:val="009E6653"/>
    <w:rsid w:val="009E69FC"/>
    <w:rsid w:val="009E6EEE"/>
    <w:rsid w:val="009E7A62"/>
    <w:rsid w:val="009E7F7F"/>
    <w:rsid w:val="009F0172"/>
    <w:rsid w:val="009F03DD"/>
    <w:rsid w:val="009F072F"/>
    <w:rsid w:val="009F0786"/>
    <w:rsid w:val="009F0926"/>
    <w:rsid w:val="009F1CBA"/>
    <w:rsid w:val="009F267C"/>
    <w:rsid w:val="009F28D6"/>
    <w:rsid w:val="009F2BFE"/>
    <w:rsid w:val="009F2C0B"/>
    <w:rsid w:val="009F2CDD"/>
    <w:rsid w:val="009F2E3F"/>
    <w:rsid w:val="009F2E8D"/>
    <w:rsid w:val="009F3122"/>
    <w:rsid w:val="009F3D3D"/>
    <w:rsid w:val="009F4549"/>
    <w:rsid w:val="009F48DE"/>
    <w:rsid w:val="009F4A80"/>
    <w:rsid w:val="009F4EB9"/>
    <w:rsid w:val="009F4F38"/>
    <w:rsid w:val="009F5339"/>
    <w:rsid w:val="009F54C7"/>
    <w:rsid w:val="009F5A4E"/>
    <w:rsid w:val="009F5AC5"/>
    <w:rsid w:val="009F6041"/>
    <w:rsid w:val="009F6209"/>
    <w:rsid w:val="009F73AA"/>
    <w:rsid w:val="009F7E25"/>
    <w:rsid w:val="009F7E65"/>
    <w:rsid w:val="00A0081B"/>
    <w:rsid w:val="00A00A3E"/>
    <w:rsid w:val="00A00B72"/>
    <w:rsid w:val="00A00FDA"/>
    <w:rsid w:val="00A01744"/>
    <w:rsid w:val="00A01FF6"/>
    <w:rsid w:val="00A02C85"/>
    <w:rsid w:val="00A02D0F"/>
    <w:rsid w:val="00A02E32"/>
    <w:rsid w:val="00A03090"/>
    <w:rsid w:val="00A03137"/>
    <w:rsid w:val="00A03260"/>
    <w:rsid w:val="00A033DF"/>
    <w:rsid w:val="00A039B9"/>
    <w:rsid w:val="00A041D8"/>
    <w:rsid w:val="00A0486E"/>
    <w:rsid w:val="00A05239"/>
    <w:rsid w:val="00A055DD"/>
    <w:rsid w:val="00A060E1"/>
    <w:rsid w:val="00A06389"/>
    <w:rsid w:val="00A06475"/>
    <w:rsid w:val="00A064AC"/>
    <w:rsid w:val="00A06D06"/>
    <w:rsid w:val="00A077CA"/>
    <w:rsid w:val="00A07D52"/>
    <w:rsid w:val="00A07E5A"/>
    <w:rsid w:val="00A10105"/>
    <w:rsid w:val="00A10418"/>
    <w:rsid w:val="00A106E3"/>
    <w:rsid w:val="00A10712"/>
    <w:rsid w:val="00A107FF"/>
    <w:rsid w:val="00A10ACC"/>
    <w:rsid w:val="00A10CCB"/>
    <w:rsid w:val="00A10E9D"/>
    <w:rsid w:val="00A11170"/>
    <w:rsid w:val="00A114B5"/>
    <w:rsid w:val="00A1166E"/>
    <w:rsid w:val="00A11693"/>
    <w:rsid w:val="00A11A69"/>
    <w:rsid w:val="00A123F8"/>
    <w:rsid w:val="00A12A47"/>
    <w:rsid w:val="00A12D9B"/>
    <w:rsid w:val="00A12DA4"/>
    <w:rsid w:val="00A12E02"/>
    <w:rsid w:val="00A12E7E"/>
    <w:rsid w:val="00A12EE5"/>
    <w:rsid w:val="00A13124"/>
    <w:rsid w:val="00A13148"/>
    <w:rsid w:val="00A13193"/>
    <w:rsid w:val="00A13381"/>
    <w:rsid w:val="00A1338F"/>
    <w:rsid w:val="00A13566"/>
    <w:rsid w:val="00A137AD"/>
    <w:rsid w:val="00A13E15"/>
    <w:rsid w:val="00A13FC8"/>
    <w:rsid w:val="00A14173"/>
    <w:rsid w:val="00A145C9"/>
    <w:rsid w:val="00A14748"/>
    <w:rsid w:val="00A147C7"/>
    <w:rsid w:val="00A14892"/>
    <w:rsid w:val="00A156E8"/>
    <w:rsid w:val="00A15E12"/>
    <w:rsid w:val="00A15F2E"/>
    <w:rsid w:val="00A16119"/>
    <w:rsid w:val="00A16135"/>
    <w:rsid w:val="00A17099"/>
    <w:rsid w:val="00A171BD"/>
    <w:rsid w:val="00A174C2"/>
    <w:rsid w:val="00A17572"/>
    <w:rsid w:val="00A17826"/>
    <w:rsid w:val="00A179CD"/>
    <w:rsid w:val="00A17E98"/>
    <w:rsid w:val="00A20048"/>
    <w:rsid w:val="00A2024C"/>
    <w:rsid w:val="00A2053E"/>
    <w:rsid w:val="00A20D95"/>
    <w:rsid w:val="00A22349"/>
    <w:rsid w:val="00A225D4"/>
    <w:rsid w:val="00A23031"/>
    <w:rsid w:val="00A2362C"/>
    <w:rsid w:val="00A23BF7"/>
    <w:rsid w:val="00A23F79"/>
    <w:rsid w:val="00A2420B"/>
    <w:rsid w:val="00A2423A"/>
    <w:rsid w:val="00A24972"/>
    <w:rsid w:val="00A252C7"/>
    <w:rsid w:val="00A254E9"/>
    <w:rsid w:val="00A25554"/>
    <w:rsid w:val="00A2575F"/>
    <w:rsid w:val="00A258C2"/>
    <w:rsid w:val="00A25B5A"/>
    <w:rsid w:val="00A25D2C"/>
    <w:rsid w:val="00A25E83"/>
    <w:rsid w:val="00A26CA2"/>
    <w:rsid w:val="00A26F91"/>
    <w:rsid w:val="00A2701E"/>
    <w:rsid w:val="00A272E8"/>
    <w:rsid w:val="00A3018E"/>
    <w:rsid w:val="00A30302"/>
    <w:rsid w:val="00A30444"/>
    <w:rsid w:val="00A307E4"/>
    <w:rsid w:val="00A30AE5"/>
    <w:rsid w:val="00A30CE5"/>
    <w:rsid w:val="00A30D83"/>
    <w:rsid w:val="00A30E64"/>
    <w:rsid w:val="00A314F2"/>
    <w:rsid w:val="00A31522"/>
    <w:rsid w:val="00A3159F"/>
    <w:rsid w:val="00A315E9"/>
    <w:rsid w:val="00A3176A"/>
    <w:rsid w:val="00A31E85"/>
    <w:rsid w:val="00A31F9E"/>
    <w:rsid w:val="00A32199"/>
    <w:rsid w:val="00A323E8"/>
    <w:rsid w:val="00A324BD"/>
    <w:rsid w:val="00A32AF1"/>
    <w:rsid w:val="00A32E09"/>
    <w:rsid w:val="00A32F64"/>
    <w:rsid w:val="00A3352B"/>
    <w:rsid w:val="00A34416"/>
    <w:rsid w:val="00A34598"/>
    <w:rsid w:val="00A34A3A"/>
    <w:rsid w:val="00A35030"/>
    <w:rsid w:val="00A351BB"/>
    <w:rsid w:val="00A353B1"/>
    <w:rsid w:val="00A3557E"/>
    <w:rsid w:val="00A355EF"/>
    <w:rsid w:val="00A358B3"/>
    <w:rsid w:val="00A35A47"/>
    <w:rsid w:val="00A35A8B"/>
    <w:rsid w:val="00A35D46"/>
    <w:rsid w:val="00A36078"/>
    <w:rsid w:val="00A3609B"/>
    <w:rsid w:val="00A36486"/>
    <w:rsid w:val="00A364B8"/>
    <w:rsid w:val="00A36875"/>
    <w:rsid w:val="00A36B05"/>
    <w:rsid w:val="00A36C9D"/>
    <w:rsid w:val="00A36D2E"/>
    <w:rsid w:val="00A37132"/>
    <w:rsid w:val="00A377EA"/>
    <w:rsid w:val="00A37B80"/>
    <w:rsid w:val="00A37CCE"/>
    <w:rsid w:val="00A37F6F"/>
    <w:rsid w:val="00A40346"/>
    <w:rsid w:val="00A40377"/>
    <w:rsid w:val="00A403E0"/>
    <w:rsid w:val="00A406A3"/>
    <w:rsid w:val="00A40892"/>
    <w:rsid w:val="00A40A9B"/>
    <w:rsid w:val="00A40C92"/>
    <w:rsid w:val="00A40D65"/>
    <w:rsid w:val="00A41AE7"/>
    <w:rsid w:val="00A41C82"/>
    <w:rsid w:val="00A420D8"/>
    <w:rsid w:val="00A426EF"/>
    <w:rsid w:val="00A4294C"/>
    <w:rsid w:val="00A42A42"/>
    <w:rsid w:val="00A42BD7"/>
    <w:rsid w:val="00A42E16"/>
    <w:rsid w:val="00A43131"/>
    <w:rsid w:val="00A4346C"/>
    <w:rsid w:val="00A43895"/>
    <w:rsid w:val="00A43898"/>
    <w:rsid w:val="00A43BAA"/>
    <w:rsid w:val="00A44123"/>
    <w:rsid w:val="00A44AAE"/>
    <w:rsid w:val="00A44F2D"/>
    <w:rsid w:val="00A453E0"/>
    <w:rsid w:val="00A45AD1"/>
    <w:rsid w:val="00A45C2E"/>
    <w:rsid w:val="00A461BD"/>
    <w:rsid w:val="00A46604"/>
    <w:rsid w:val="00A46799"/>
    <w:rsid w:val="00A46C4C"/>
    <w:rsid w:val="00A46D15"/>
    <w:rsid w:val="00A470F9"/>
    <w:rsid w:val="00A47866"/>
    <w:rsid w:val="00A47BD8"/>
    <w:rsid w:val="00A47D03"/>
    <w:rsid w:val="00A500BC"/>
    <w:rsid w:val="00A505AE"/>
    <w:rsid w:val="00A506E6"/>
    <w:rsid w:val="00A50912"/>
    <w:rsid w:val="00A509DC"/>
    <w:rsid w:val="00A50BE3"/>
    <w:rsid w:val="00A50DE1"/>
    <w:rsid w:val="00A50F0F"/>
    <w:rsid w:val="00A51173"/>
    <w:rsid w:val="00A5146E"/>
    <w:rsid w:val="00A5152B"/>
    <w:rsid w:val="00A51783"/>
    <w:rsid w:val="00A519B4"/>
    <w:rsid w:val="00A51FF4"/>
    <w:rsid w:val="00A5298C"/>
    <w:rsid w:val="00A52ABC"/>
    <w:rsid w:val="00A52BEA"/>
    <w:rsid w:val="00A5328C"/>
    <w:rsid w:val="00A538C9"/>
    <w:rsid w:val="00A539C4"/>
    <w:rsid w:val="00A53A4D"/>
    <w:rsid w:val="00A53CBA"/>
    <w:rsid w:val="00A53E3D"/>
    <w:rsid w:val="00A54183"/>
    <w:rsid w:val="00A543A1"/>
    <w:rsid w:val="00A545D3"/>
    <w:rsid w:val="00A54640"/>
    <w:rsid w:val="00A54A81"/>
    <w:rsid w:val="00A54CAE"/>
    <w:rsid w:val="00A554A9"/>
    <w:rsid w:val="00A5586C"/>
    <w:rsid w:val="00A55A6A"/>
    <w:rsid w:val="00A560A5"/>
    <w:rsid w:val="00A569FA"/>
    <w:rsid w:val="00A56EDB"/>
    <w:rsid w:val="00A5784F"/>
    <w:rsid w:val="00A57E29"/>
    <w:rsid w:val="00A60268"/>
    <w:rsid w:val="00A602C9"/>
    <w:rsid w:val="00A60701"/>
    <w:rsid w:val="00A60BDE"/>
    <w:rsid w:val="00A61006"/>
    <w:rsid w:val="00A61337"/>
    <w:rsid w:val="00A6139A"/>
    <w:rsid w:val="00A617A9"/>
    <w:rsid w:val="00A6196E"/>
    <w:rsid w:val="00A61A0A"/>
    <w:rsid w:val="00A61BD7"/>
    <w:rsid w:val="00A61CD5"/>
    <w:rsid w:val="00A61DC5"/>
    <w:rsid w:val="00A621F0"/>
    <w:rsid w:val="00A6239D"/>
    <w:rsid w:val="00A6255C"/>
    <w:rsid w:val="00A625EB"/>
    <w:rsid w:val="00A6278E"/>
    <w:rsid w:val="00A62EFC"/>
    <w:rsid w:val="00A62F38"/>
    <w:rsid w:val="00A63096"/>
    <w:rsid w:val="00A630E2"/>
    <w:rsid w:val="00A633B8"/>
    <w:rsid w:val="00A63529"/>
    <w:rsid w:val="00A63ECC"/>
    <w:rsid w:val="00A64343"/>
    <w:rsid w:val="00A6464B"/>
    <w:rsid w:val="00A6470E"/>
    <w:rsid w:val="00A649DB"/>
    <w:rsid w:val="00A64ADC"/>
    <w:rsid w:val="00A651AB"/>
    <w:rsid w:val="00A65794"/>
    <w:rsid w:val="00A657D0"/>
    <w:rsid w:val="00A65BC9"/>
    <w:rsid w:val="00A6603F"/>
    <w:rsid w:val="00A6616D"/>
    <w:rsid w:val="00A66577"/>
    <w:rsid w:val="00A665F2"/>
    <w:rsid w:val="00A667D7"/>
    <w:rsid w:val="00A676FA"/>
    <w:rsid w:val="00A67C23"/>
    <w:rsid w:val="00A67CC1"/>
    <w:rsid w:val="00A67D52"/>
    <w:rsid w:val="00A7090B"/>
    <w:rsid w:val="00A70D48"/>
    <w:rsid w:val="00A71D26"/>
    <w:rsid w:val="00A71E5F"/>
    <w:rsid w:val="00A72430"/>
    <w:rsid w:val="00A72AA6"/>
    <w:rsid w:val="00A72AE0"/>
    <w:rsid w:val="00A72EF0"/>
    <w:rsid w:val="00A7341D"/>
    <w:rsid w:val="00A73B83"/>
    <w:rsid w:val="00A73EB1"/>
    <w:rsid w:val="00A74653"/>
    <w:rsid w:val="00A748D8"/>
    <w:rsid w:val="00A750BA"/>
    <w:rsid w:val="00A752CE"/>
    <w:rsid w:val="00A757C5"/>
    <w:rsid w:val="00A75A8B"/>
    <w:rsid w:val="00A766C4"/>
    <w:rsid w:val="00A7690B"/>
    <w:rsid w:val="00A76941"/>
    <w:rsid w:val="00A76D29"/>
    <w:rsid w:val="00A76DF1"/>
    <w:rsid w:val="00A778A1"/>
    <w:rsid w:val="00A779D0"/>
    <w:rsid w:val="00A80747"/>
    <w:rsid w:val="00A807F2"/>
    <w:rsid w:val="00A80990"/>
    <w:rsid w:val="00A8135A"/>
    <w:rsid w:val="00A81980"/>
    <w:rsid w:val="00A824C5"/>
    <w:rsid w:val="00A827B7"/>
    <w:rsid w:val="00A8299E"/>
    <w:rsid w:val="00A829D5"/>
    <w:rsid w:val="00A82A0C"/>
    <w:rsid w:val="00A82CA2"/>
    <w:rsid w:val="00A82D4A"/>
    <w:rsid w:val="00A82D5A"/>
    <w:rsid w:val="00A8319E"/>
    <w:rsid w:val="00A83524"/>
    <w:rsid w:val="00A838FB"/>
    <w:rsid w:val="00A83A98"/>
    <w:rsid w:val="00A83C1F"/>
    <w:rsid w:val="00A84290"/>
    <w:rsid w:val="00A84B26"/>
    <w:rsid w:val="00A854D3"/>
    <w:rsid w:val="00A8559A"/>
    <w:rsid w:val="00A85719"/>
    <w:rsid w:val="00A85854"/>
    <w:rsid w:val="00A86BF5"/>
    <w:rsid w:val="00A86EC0"/>
    <w:rsid w:val="00A87E2B"/>
    <w:rsid w:val="00A90448"/>
    <w:rsid w:val="00A905B6"/>
    <w:rsid w:val="00A9096C"/>
    <w:rsid w:val="00A90AF3"/>
    <w:rsid w:val="00A90F95"/>
    <w:rsid w:val="00A912B5"/>
    <w:rsid w:val="00A914F8"/>
    <w:rsid w:val="00A91826"/>
    <w:rsid w:val="00A919D8"/>
    <w:rsid w:val="00A91A0D"/>
    <w:rsid w:val="00A92499"/>
    <w:rsid w:val="00A924CE"/>
    <w:rsid w:val="00A925E9"/>
    <w:rsid w:val="00A9332E"/>
    <w:rsid w:val="00A93797"/>
    <w:rsid w:val="00A94114"/>
    <w:rsid w:val="00A9412B"/>
    <w:rsid w:val="00A94358"/>
    <w:rsid w:val="00A9440E"/>
    <w:rsid w:val="00A947C9"/>
    <w:rsid w:val="00A948B2"/>
    <w:rsid w:val="00A94B57"/>
    <w:rsid w:val="00A95647"/>
    <w:rsid w:val="00A95991"/>
    <w:rsid w:val="00A95C65"/>
    <w:rsid w:val="00A96685"/>
    <w:rsid w:val="00A967BA"/>
    <w:rsid w:val="00A969FB"/>
    <w:rsid w:val="00A97166"/>
    <w:rsid w:val="00A97615"/>
    <w:rsid w:val="00A97729"/>
    <w:rsid w:val="00A97A96"/>
    <w:rsid w:val="00A97BEB"/>
    <w:rsid w:val="00A97E70"/>
    <w:rsid w:val="00A97FBD"/>
    <w:rsid w:val="00AA0AFE"/>
    <w:rsid w:val="00AA0C81"/>
    <w:rsid w:val="00AA0DBD"/>
    <w:rsid w:val="00AA0F1C"/>
    <w:rsid w:val="00AA0FF7"/>
    <w:rsid w:val="00AA1149"/>
    <w:rsid w:val="00AA1458"/>
    <w:rsid w:val="00AA14D3"/>
    <w:rsid w:val="00AA1BEF"/>
    <w:rsid w:val="00AA1F14"/>
    <w:rsid w:val="00AA2041"/>
    <w:rsid w:val="00AA2239"/>
    <w:rsid w:val="00AA2407"/>
    <w:rsid w:val="00AA2B40"/>
    <w:rsid w:val="00AA2D60"/>
    <w:rsid w:val="00AA2EC8"/>
    <w:rsid w:val="00AA3457"/>
    <w:rsid w:val="00AA39D8"/>
    <w:rsid w:val="00AA3B8F"/>
    <w:rsid w:val="00AA3D05"/>
    <w:rsid w:val="00AA3EBA"/>
    <w:rsid w:val="00AA3F85"/>
    <w:rsid w:val="00AA45BF"/>
    <w:rsid w:val="00AA4748"/>
    <w:rsid w:val="00AA4ACC"/>
    <w:rsid w:val="00AA5074"/>
    <w:rsid w:val="00AA5342"/>
    <w:rsid w:val="00AA54EF"/>
    <w:rsid w:val="00AA54F5"/>
    <w:rsid w:val="00AA550A"/>
    <w:rsid w:val="00AA5972"/>
    <w:rsid w:val="00AA5C99"/>
    <w:rsid w:val="00AA5D97"/>
    <w:rsid w:val="00AA65E3"/>
    <w:rsid w:val="00AA66F1"/>
    <w:rsid w:val="00AA67A0"/>
    <w:rsid w:val="00AA6803"/>
    <w:rsid w:val="00AA6A25"/>
    <w:rsid w:val="00AA6A9A"/>
    <w:rsid w:val="00AA6BD2"/>
    <w:rsid w:val="00AA6CC3"/>
    <w:rsid w:val="00AA6E65"/>
    <w:rsid w:val="00AA7201"/>
    <w:rsid w:val="00AA78A8"/>
    <w:rsid w:val="00AA79E6"/>
    <w:rsid w:val="00AA7A75"/>
    <w:rsid w:val="00AA7BB0"/>
    <w:rsid w:val="00AA7ECA"/>
    <w:rsid w:val="00AB00B4"/>
    <w:rsid w:val="00AB0384"/>
    <w:rsid w:val="00AB0E1C"/>
    <w:rsid w:val="00AB0E50"/>
    <w:rsid w:val="00AB1027"/>
    <w:rsid w:val="00AB1262"/>
    <w:rsid w:val="00AB1C78"/>
    <w:rsid w:val="00AB2C4D"/>
    <w:rsid w:val="00AB2F1E"/>
    <w:rsid w:val="00AB3522"/>
    <w:rsid w:val="00AB35D0"/>
    <w:rsid w:val="00AB36AE"/>
    <w:rsid w:val="00AB372B"/>
    <w:rsid w:val="00AB3BF4"/>
    <w:rsid w:val="00AB4F52"/>
    <w:rsid w:val="00AB5445"/>
    <w:rsid w:val="00AB5614"/>
    <w:rsid w:val="00AB56D7"/>
    <w:rsid w:val="00AB5854"/>
    <w:rsid w:val="00AB5A67"/>
    <w:rsid w:val="00AB61C3"/>
    <w:rsid w:val="00AB65AD"/>
    <w:rsid w:val="00AB65FE"/>
    <w:rsid w:val="00AB6C88"/>
    <w:rsid w:val="00AB6D47"/>
    <w:rsid w:val="00AB6E7D"/>
    <w:rsid w:val="00AB70EE"/>
    <w:rsid w:val="00AB7942"/>
    <w:rsid w:val="00AB7E4C"/>
    <w:rsid w:val="00AB7F5C"/>
    <w:rsid w:val="00AC00F6"/>
    <w:rsid w:val="00AC0260"/>
    <w:rsid w:val="00AC061A"/>
    <w:rsid w:val="00AC0866"/>
    <w:rsid w:val="00AC0D50"/>
    <w:rsid w:val="00AC0F8A"/>
    <w:rsid w:val="00AC13BB"/>
    <w:rsid w:val="00AC13D3"/>
    <w:rsid w:val="00AC1829"/>
    <w:rsid w:val="00AC1D7F"/>
    <w:rsid w:val="00AC1EC3"/>
    <w:rsid w:val="00AC28CC"/>
    <w:rsid w:val="00AC2D68"/>
    <w:rsid w:val="00AC30A1"/>
    <w:rsid w:val="00AC30A9"/>
    <w:rsid w:val="00AC317C"/>
    <w:rsid w:val="00AC3433"/>
    <w:rsid w:val="00AC3891"/>
    <w:rsid w:val="00AC3900"/>
    <w:rsid w:val="00AC3AAE"/>
    <w:rsid w:val="00AC3C21"/>
    <w:rsid w:val="00AC45B0"/>
    <w:rsid w:val="00AC4903"/>
    <w:rsid w:val="00AC4A22"/>
    <w:rsid w:val="00AC4A9F"/>
    <w:rsid w:val="00AC4AD3"/>
    <w:rsid w:val="00AC4DBF"/>
    <w:rsid w:val="00AC52BC"/>
    <w:rsid w:val="00AC54BF"/>
    <w:rsid w:val="00AC596F"/>
    <w:rsid w:val="00AC5ADC"/>
    <w:rsid w:val="00AC5F8D"/>
    <w:rsid w:val="00AC6209"/>
    <w:rsid w:val="00AC64D6"/>
    <w:rsid w:val="00AC6513"/>
    <w:rsid w:val="00AC6645"/>
    <w:rsid w:val="00AC6AD1"/>
    <w:rsid w:val="00AC6E15"/>
    <w:rsid w:val="00AC6F9A"/>
    <w:rsid w:val="00AC706E"/>
    <w:rsid w:val="00AC7142"/>
    <w:rsid w:val="00AC78E6"/>
    <w:rsid w:val="00AC7B2E"/>
    <w:rsid w:val="00AC7DD4"/>
    <w:rsid w:val="00AD102F"/>
    <w:rsid w:val="00AD12E8"/>
    <w:rsid w:val="00AD151B"/>
    <w:rsid w:val="00AD193B"/>
    <w:rsid w:val="00AD1B13"/>
    <w:rsid w:val="00AD20DF"/>
    <w:rsid w:val="00AD2296"/>
    <w:rsid w:val="00AD2B5A"/>
    <w:rsid w:val="00AD330F"/>
    <w:rsid w:val="00AD38D1"/>
    <w:rsid w:val="00AD3D58"/>
    <w:rsid w:val="00AD3FD1"/>
    <w:rsid w:val="00AD40C5"/>
    <w:rsid w:val="00AD47D8"/>
    <w:rsid w:val="00AD4D82"/>
    <w:rsid w:val="00AD4DBE"/>
    <w:rsid w:val="00AD4FB3"/>
    <w:rsid w:val="00AD519B"/>
    <w:rsid w:val="00AD5294"/>
    <w:rsid w:val="00AD56E2"/>
    <w:rsid w:val="00AD5890"/>
    <w:rsid w:val="00AD5A9D"/>
    <w:rsid w:val="00AD5BC5"/>
    <w:rsid w:val="00AD5D74"/>
    <w:rsid w:val="00AD5DB8"/>
    <w:rsid w:val="00AD6196"/>
    <w:rsid w:val="00AD63D0"/>
    <w:rsid w:val="00AD6667"/>
    <w:rsid w:val="00AD6766"/>
    <w:rsid w:val="00AD688F"/>
    <w:rsid w:val="00AD693C"/>
    <w:rsid w:val="00AD694E"/>
    <w:rsid w:val="00AD69F4"/>
    <w:rsid w:val="00AD6E13"/>
    <w:rsid w:val="00AD70CB"/>
    <w:rsid w:val="00AD76CA"/>
    <w:rsid w:val="00AD7E95"/>
    <w:rsid w:val="00AD7EEC"/>
    <w:rsid w:val="00AE01EC"/>
    <w:rsid w:val="00AE065C"/>
    <w:rsid w:val="00AE0CC9"/>
    <w:rsid w:val="00AE14E4"/>
    <w:rsid w:val="00AE1B40"/>
    <w:rsid w:val="00AE1C9F"/>
    <w:rsid w:val="00AE2327"/>
    <w:rsid w:val="00AE2348"/>
    <w:rsid w:val="00AE2715"/>
    <w:rsid w:val="00AE2760"/>
    <w:rsid w:val="00AE2BEE"/>
    <w:rsid w:val="00AE2E18"/>
    <w:rsid w:val="00AE377E"/>
    <w:rsid w:val="00AE3873"/>
    <w:rsid w:val="00AE3D24"/>
    <w:rsid w:val="00AE3F2A"/>
    <w:rsid w:val="00AE4417"/>
    <w:rsid w:val="00AE4421"/>
    <w:rsid w:val="00AE51B8"/>
    <w:rsid w:val="00AE5355"/>
    <w:rsid w:val="00AE5573"/>
    <w:rsid w:val="00AE569D"/>
    <w:rsid w:val="00AE572F"/>
    <w:rsid w:val="00AE577A"/>
    <w:rsid w:val="00AE5834"/>
    <w:rsid w:val="00AE5C4E"/>
    <w:rsid w:val="00AE60BD"/>
    <w:rsid w:val="00AE67EC"/>
    <w:rsid w:val="00AE6B4A"/>
    <w:rsid w:val="00AE6BD2"/>
    <w:rsid w:val="00AE7C64"/>
    <w:rsid w:val="00AE7DDA"/>
    <w:rsid w:val="00AE7F8F"/>
    <w:rsid w:val="00AF02AA"/>
    <w:rsid w:val="00AF034F"/>
    <w:rsid w:val="00AF0CE7"/>
    <w:rsid w:val="00AF0F34"/>
    <w:rsid w:val="00AF13F9"/>
    <w:rsid w:val="00AF146F"/>
    <w:rsid w:val="00AF1889"/>
    <w:rsid w:val="00AF1CD2"/>
    <w:rsid w:val="00AF1E7A"/>
    <w:rsid w:val="00AF1F91"/>
    <w:rsid w:val="00AF2437"/>
    <w:rsid w:val="00AF2A92"/>
    <w:rsid w:val="00AF2AC4"/>
    <w:rsid w:val="00AF2F71"/>
    <w:rsid w:val="00AF3116"/>
    <w:rsid w:val="00AF3312"/>
    <w:rsid w:val="00AF3479"/>
    <w:rsid w:val="00AF3CA2"/>
    <w:rsid w:val="00AF3EFE"/>
    <w:rsid w:val="00AF4007"/>
    <w:rsid w:val="00AF406E"/>
    <w:rsid w:val="00AF4274"/>
    <w:rsid w:val="00AF5550"/>
    <w:rsid w:val="00AF5755"/>
    <w:rsid w:val="00AF5B68"/>
    <w:rsid w:val="00AF5E48"/>
    <w:rsid w:val="00AF610F"/>
    <w:rsid w:val="00AF714C"/>
    <w:rsid w:val="00AF788F"/>
    <w:rsid w:val="00AF795C"/>
    <w:rsid w:val="00AF7F51"/>
    <w:rsid w:val="00B00134"/>
    <w:rsid w:val="00B002F3"/>
    <w:rsid w:val="00B01C90"/>
    <w:rsid w:val="00B01D31"/>
    <w:rsid w:val="00B02021"/>
    <w:rsid w:val="00B02311"/>
    <w:rsid w:val="00B0281D"/>
    <w:rsid w:val="00B02AD5"/>
    <w:rsid w:val="00B02BC3"/>
    <w:rsid w:val="00B02E35"/>
    <w:rsid w:val="00B02F5B"/>
    <w:rsid w:val="00B0344E"/>
    <w:rsid w:val="00B03B8C"/>
    <w:rsid w:val="00B03C88"/>
    <w:rsid w:val="00B04115"/>
    <w:rsid w:val="00B04421"/>
    <w:rsid w:val="00B045B4"/>
    <w:rsid w:val="00B046B4"/>
    <w:rsid w:val="00B04A7A"/>
    <w:rsid w:val="00B04EFB"/>
    <w:rsid w:val="00B04FF9"/>
    <w:rsid w:val="00B0539B"/>
    <w:rsid w:val="00B05577"/>
    <w:rsid w:val="00B05843"/>
    <w:rsid w:val="00B059DA"/>
    <w:rsid w:val="00B059F7"/>
    <w:rsid w:val="00B05C9D"/>
    <w:rsid w:val="00B05CA3"/>
    <w:rsid w:val="00B05DB5"/>
    <w:rsid w:val="00B06D49"/>
    <w:rsid w:val="00B06F4A"/>
    <w:rsid w:val="00B07261"/>
    <w:rsid w:val="00B07467"/>
    <w:rsid w:val="00B10427"/>
    <w:rsid w:val="00B10800"/>
    <w:rsid w:val="00B11D3F"/>
    <w:rsid w:val="00B126F7"/>
    <w:rsid w:val="00B13796"/>
    <w:rsid w:val="00B13886"/>
    <w:rsid w:val="00B140C6"/>
    <w:rsid w:val="00B140CE"/>
    <w:rsid w:val="00B143A4"/>
    <w:rsid w:val="00B14550"/>
    <w:rsid w:val="00B147C3"/>
    <w:rsid w:val="00B15876"/>
    <w:rsid w:val="00B15A06"/>
    <w:rsid w:val="00B1616D"/>
    <w:rsid w:val="00B16211"/>
    <w:rsid w:val="00B1659A"/>
    <w:rsid w:val="00B16996"/>
    <w:rsid w:val="00B16A9B"/>
    <w:rsid w:val="00B16B17"/>
    <w:rsid w:val="00B172A3"/>
    <w:rsid w:val="00B1733A"/>
    <w:rsid w:val="00B1759E"/>
    <w:rsid w:val="00B176B8"/>
    <w:rsid w:val="00B1784C"/>
    <w:rsid w:val="00B179AF"/>
    <w:rsid w:val="00B17A8A"/>
    <w:rsid w:val="00B17BA2"/>
    <w:rsid w:val="00B17CF4"/>
    <w:rsid w:val="00B17DF6"/>
    <w:rsid w:val="00B17E7F"/>
    <w:rsid w:val="00B2076C"/>
    <w:rsid w:val="00B20BE0"/>
    <w:rsid w:val="00B21067"/>
    <w:rsid w:val="00B21262"/>
    <w:rsid w:val="00B21B74"/>
    <w:rsid w:val="00B21DA9"/>
    <w:rsid w:val="00B21F22"/>
    <w:rsid w:val="00B226C2"/>
    <w:rsid w:val="00B2270A"/>
    <w:rsid w:val="00B233BE"/>
    <w:rsid w:val="00B233E6"/>
    <w:rsid w:val="00B23617"/>
    <w:rsid w:val="00B245C3"/>
    <w:rsid w:val="00B24C4A"/>
    <w:rsid w:val="00B24FD8"/>
    <w:rsid w:val="00B25162"/>
    <w:rsid w:val="00B25426"/>
    <w:rsid w:val="00B2554E"/>
    <w:rsid w:val="00B25AA2"/>
    <w:rsid w:val="00B25B82"/>
    <w:rsid w:val="00B25C9D"/>
    <w:rsid w:val="00B25CEE"/>
    <w:rsid w:val="00B2612E"/>
    <w:rsid w:val="00B26427"/>
    <w:rsid w:val="00B2644E"/>
    <w:rsid w:val="00B27308"/>
    <w:rsid w:val="00B27352"/>
    <w:rsid w:val="00B2768F"/>
    <w:rsid w:val="00B27AFF"/>
    <w:rsid w:val="00B27DD6"/>
    <w:rsid w:val="00B304E2"/>
    <w:rsid w:val="00B30861"/>
    <w:rsid w:val="00B311AF"/>
    <w:rsid w:val="00B31754"/>
    <w:rsid w:val="00B319A6"/>
    <w:rsid w:val="00B319C9"/>
    <w:rsid w:val="00B31FC9"/>
    <w:rsid w:val="00B32235"/>
    <w:rsid w:val="00B3260B"/>
    <w:rsid w:val="00B328A1"/>
    <w:rsid w:val="00B32AEA"/>
    <w:rsid w:val="00B3328F"/>
    <w:rsid w:val="00B3387E"/>
    <w:rsid w:val="00B33B71"/>
    <w:rsid w:val="00B3415C"/>
    <w:rsid w:val="00B347B3"/>
    <w:rsid w:val="00B34845"/>
    <w:rsid w:val="00B34EF4"/>
    <w:rsid w:val="00B351C7"/>
    <w:rsid w:val="00B35501"/>
    <w:rsid w:val="00B3588B"/>
    <w:rsid w:val="00B359AD"/>
    <w:rsid w:val="00B36710"/>
    <w:rsid w:val="00B36B40"/>
    <w:rsid w:val="00B3790F"/>
    <w:rsid w:val="00B37950"/>
    <w:rsid w:val="00B37B58"/>
    <w:rsid w:val="00B37E14"/>
    <w:rsid w:val="00B37F29"/>
    <w:rsid w:val="00B400DF"/>
    <w:rsid w:val="00B4013E"/>
    <w:rsid w:val="00B4026E"/>
    <w:rsid w:val="00B40F37"/>
    <w:rsid w:val="00B4124B"/>
    <w:rsid w:val="00B41B04"/>
    <w:rsid w:val="00B41BD2"/>
    <w:rsid w:val="00B41C3B"/>
    <w:rsid w:val="00B41DFB"/>
    <w:rsid w:val="00B4203C"/>
    <w:rsid w:val="00B420BB"/>
    <w:rsid w:val="00B423C0"/>
    <w:rsid w:val="00B42772"/>
    <w:rsid w:val="00B42A6C"/>
    <w:rsid w:val="00B42BD9"/>
    <w:rsid w:val="00B4362D"/>
    <w:rsid w:val="00B43686"/>
    <w:rsid w:val="00B43A3D"/>
    <w:rsid w:val="00B43B84"/>
    <w:rsid w:val="00B448E8"/>
    <w:rsid w:val="00B44C49"/>
    <w:rsid w:val="00B44C79"/>
    <w:rsid w:val="00B44CC4"/>
    <w:rsid w:val="00B44DCD"/>
    <w:rsid w:val="00B44F4A"/>
    <w:rsid w:val="00B45A78"/>
    <w:rsid w:val="00B45A7C"/>
    <w:rsid w:val="00B45B16"/>
    <w:rsid w:val="00B45E14"/>
    <w:rsid w:val="00B46415"/>
    <w:rsid w:val="00B464AF"/>
    <w:rsid w:val="00B46A48"/>
    <w:rsid w:val="00B46BCE"/>
    <w:rsid w:val="00B46D5B"/>
    <w:rsid w:val="00B46F88"/>
    <w:rsid w:val="00B4705D"/>
    <w:rsid w:val="00B4722A"/>
    <w:rsid w:val="00B478D7"/>
    <w:rsid w:val="00B47BD8"/>
    <w:rsid w:val="00B500CE"/>
    <w:rsid w:val="00B5026B"/>
    <w:rsid w:val="00B50380"/>
    <w:rsid w:val="00B504D7"/>
    <w:rsid w:val="00B51305"/>
    <w:rsid w:val="00B51BE5"/>
    <w:rsid w:val="00B51DE9"/>
    <w:rsid w:val="00B51E5E"/>
    <w:rsid w:val="00B51F48"/>
    <w:rsid w:val="00B51FF0"/>
    <w:rsid w:val="00B520BD"/>
    <w:rsid w:val="00B5212F"/>
    <w:rsid w:val="00B524B6"/>
    <w:rsid w:val="00B5287C"/>
    <w:rsid w:val="00B52A45"/>
    <w:rsid w:val="00B52C93"/>
    <w:rsid w:val="00B53BF7"/>
    <w:rsid w:val="00B53EBD"/>
    <w:rsid w:val="00B5401D"/>
    <w:rsid w:val="00B54024"/>
    <w:rsid w:val="00B54151"/>
    <w:rsid w:val="00B547B3"/>
    <w:rsid w:val="00B54C28"/>
    <w:rsid w:val="00B54E6E"/>
    <w:rsid w:val="00B5552A"/>
    <w:rsid w:val="00B55D75"/>
    <w:rsid w:val="00B55DBF"/>
    <w:rsid w:val="00B56259"/>
    <w:rsid w:val="00B5719A"/>
    <w:rsid w:val="00B5728B"/>
    <w:rsid w:val="00B57479"/>
    <w:rsid w:val="00B57CAE"/>
    <w:rsid w:val="00B57CE2"/>
    <w:rsid w:val="00B57CF0"/>
    <w:rsid w:val="00B57E79"/>
    <w:rsid w:val="00B57F84"/>
    <w:rsid w:val="00B57FEA"/>
    <w:rsid w:val="00B6061D"/>
    <w:rsid w:val="00B615B5"/>
    <w:rsid w:val="00B616D6"/>
    <w:rsid w:val="00B61842"/>
    <w:rsid w:val="00B61DA6"/>
    <w:rsid w:val="00B62153"/>
    <w:rsid w:val="00B62654"/>
    <w:rsid w:val="00B62AA8"/>
    <w:rsid w:val="00B63089"/>
    <w:rsid w:val="00B63212"/>
    <w:rsid w:val="00B6390D"/>
    <w:rsid w:val="00B63ED8"/>
    <w:rsid w:val="00B641EB"/>
    <w:rsid w:val="00B6487A"/>
    <w:rsid w:val="00B64A51"/>
    <w:rsid w:val="00B64B92"/>
    <w:rsid w:val="00B64CDC"/>
    <w:rsid w:val="00B653D9"/>
    <w:rsid w:val="00B654C1"/>
    <w:rsid w:val="00B655B4"/>
    <w:rsid w:val="00B658D1"/>
    <w:rsid w:val="00B65988"/>
    <w:rsid w:val="00B65E5D"/>
    <w:rsid w:val="00B66073"/>
    <w:rsid w:val="00B660B2"/>
    <w:rsid w:val="00B6640B"/>
    <w:rsid w:val="00B66643"/>
    <w:rsid w:val="00B668A7"/>
    <w:rsid w:val="00B66BCD"/>
    <w:rsid w:val="00B66C39"/>
    <w:rsid w:val="00B6765D"/>
    <w:rsid w:val="00B6797E"/>
    <w:rsid w:val="00B679EC"/>
    <w:rsid w:val="00B67BA1"/>
    <w:rsid w:val="00B67DA1"/>
    <w:rsid w:val="00B67E7D"/>
    <w:rsid w:val="00B70411"/>
    <w:rsid w:val="00B7045F"/>
    <w:rsid w:val="00B705A4"/>
    <w:rsid w:val="00B70D13"/>
    <w:rsid w:val="00B70EF5"/>
    <w:rsid w:val="00B71093"/>
    <w:rsid w:val="00B71532"/>
    <w:rsid w:val="00B7171D"/>
    <w:rsid w:val="00B71782"/>
    <w:rsid w:val="00B71DE5"/>
    <w:rsid w:val="00B71FD7"/>
    <w:rsid w:val="00B721AF"/>
    <w:rsid w:val="00B72305"/>
    <w:rsid w:val="00B7230C"/>
    <w:rsid w:val="00B726B9"/>
    <w:rsid w:val="00B72994"/>
    <w:rsid w:val="00B72E37"/>
    <w:rsid w:val="00B72F3B"/>
    <w:rsid w:val="00B7326B"/>
    <w:rsid w:val="00B73A31"/>
    <w:rsid w:val="00B73A7F"/>
    <w:rsid w:val="00B73E86"/>
    <w:rsid w:val="00B740C1"/>
    <w:rsid w:val="00B742B6"/>
    <w:rsid w:val="00B743E6"/>
    <w:rsid w:val="00B74F9F"/>
    <w:rsid w:val="00B750D9"/>
    <w:rsid w:val="00B7516E"/>
    <w:rsid w:val="00B7529B"/>
    <w:rsid w:val="00B75542"/>
    <w:rsid w:val="00B75696"/>
    <w:rsid w:val="00B75772"/>
    <w:rsid w:val="00B7591D"/>
    <w:rsid w:val="00B75959"/>
    <w:rsid w:val="00B75ACC"/>
    <w:rsid w:val="00B7607C"/>
    <w:rsid w:val="00B763E4"/>
    <w:rsid w:val="00B765D2"/>
    <w:rsid w:val="00B77076"/>
    <w:rsid w:val="00B77319"/>
    <w:rsid w:val="00B774A4"/>
    <w:rsid w:val="00B77ABA"/>
    <w:rsid w:val="00B77B8C"/>
    <w:rsid w:val="00B77BEC"/>
    <w:rsid w:val="00B80502"/>
    <w:rsid w:val="00B80AA8"/>
    <w:rsid w:val="00B80C34"/>
    <w:rsid w:val="00B80C36"/>
    <w:rsid w:val="00B80C45"/>
    <w:rsid w:val="00B80EBF"/>
    <w:rsid w:val="00B811A4"/>
    <w:rsid w:val="00B81580"/>
    <w:rsid w:val="00B817BF"/>
    <w:rsid w:val="00B81BA5"/>
    <w:rsid w:val="00B81C84"/>
    <w:rsid w:val="00B81D4B"/>
    <w:rsid w:val="00B820EB"/>
    <w:rsid w:val="00B821A4"/>
    <w:rsid w:val="00B82202"/>
    <w:rsid w:val="00B82459"/>
    <w:rsid w:val="00B825EC"/>
    <w:rsid w:val="00B82A0F"/>
    <w:rsid w:val="00B82FEE"/>
    <w:rsid w:val="00B831C4"/>
    <w:rsid w:val="00B833A2"/>
    <w:rsid w:val="00B83402"/>
    <w:rsid w:val="00B8384A"/>
    <w:rsid w:val="00B839C8"/>
    <w:rsid w:val="00B83D14"/>
    <w:rsid w:val="00B83DC2"/>
    <w:rsid w:val="00B84360"/>
    <w:rsid w:val="00B84583"/>
    <w:rsid w:val="00B845B8"/>
    <w:rsid w:val="00B84659"/>
    <w:rsid w:val="00B8484F"/>
    <w:rsid w:val="00B84B45"/>
    <w:rsid w:val="00B850E1"/>
    <w:rsid w:val="00B85AA4"/>
    <w:rsid w:val="00B85B31"/>
    <w:rsid w:val="00B85E43"/>
    <w:rsid w:val="00B85E58"/>
    <w:rsid w:val="00B863EE"/>
    <w:rsid w:val="00B868B1"/>
    <w:rsid w:val="00B86B46"/>
    <w:rsid w:val="00B86E4C"/>
    <w:rsid w:val="00B87333"/>
    <w:rsid w:val="00B8777B"/>
    <w:rsid w:val="00B87F7D"/>
    <w:rsid w:val="00B90C87"/>
    <w:rsid w:val="00B9114E"/>
    <w:rsid w:val="00B9131E"/>
    <w:rsid w:val="00B9133C"/>
    <w:rsid w:val="00B91D63"/>
    <w:rsid w:val="00B920A3"/>
    <w:rsid w:val="00B922D1"/>
    <w:rsid w:val="00B92F3A"/>
    <w:rsid w:val="00B930ED"/>
    <w:rsid w:val="00B931E1"/>
    <w:rsid w:val="00B93570"/>
    <w:rsid w:val="00B93952"/>
    <w:rsid w:val="00B93A00"/>
    <w:rsid w:val="00B93E2B"/>
    <w:rsid w:val="00B94232"/>
    <w:rsid w:val="00B94739"/>
    <w:rsid w:val="00B947B7"/>
    <w:rsid w:val="00B94D63"/>
    <w:rsid w:val="00B94DF5"/>
    <w:rsid w:val="00B9511A"/>
    <w:rsid w:val="00B9521D"/>
    <w:rsid w:val="00B96484"/>
    <w:rsid w:val="00B96A6D"/>
    <w:rsid w:val="00B96F3A"/>
    <w:rsid w:val="00B97448"/>
    <w:rsid w:val="00B97AB8"/>
    <w:rsid w:val="00BA0048"/>
    <w:rsid w:val="00BA015C"/>
    <w:rsid w:val="00BA0296"/>
    <w:rsid w:val="00BA0AB0"/>
    <w:rsid w:val="00BA0E2A"/>
    <w:rsid w:val="00BA1990"/>
    <w:rsid w:val="00BA1DB2"/>
    <w:rsid w:val="00BA1FFF"/>
    <w:rsid w:val="00BA218C"/>
    <w:rsid w:val="00BA289C"/>
    <w:rsid w:val="00BA2A50"/>
    <w:rsid w:val="00BA307F"/>
    <w:rsid w:val="00BA3B30"/>
    <w:rsid w:val="00BA3B3F"/>
    <w:rsid w:val="00BA3C1A"/>
    <w:rsid w:val="00BA3D88"/>
    <w:rsid w:val="00BA3F93"/>
    <w:rsid w:val="00BA46B1"/>
    <w:rsid w:val="00BA49ED"/>
    <w:rsid w:val="00BA4BFF"/>
    <w:rsid w:val="00BA4C89"/>
    <w:rsid w:val="00BA5444"/>
    <w:rsid w:val="00BA54B5"/>
    <w:rsid w:val="00BA5890"/>
    <w:rsid w:val="00BA5CF6"/>
    <w:rsid w:val="00BA6144"/>
    <w:rsid w:val="00BA6748"/>
    <w:rsid w:val="00BA6887"/>
    <w:rsid w:val="00BA6C9E"/>
    <w:rsid w:val="00BA6D32"/>
    <w:rsid w:val="00BA6D8B"/>
    <w:rsid w:val="00BA6EF7"/>
    <w:rsid w:val="00BA6F01"/>
    <w:rsid w:val="00BA77BD"/>
    <w:rsid w:val="00BA7A72"/>
    <w:rsid w:val="00BB0521"/>
    <w:rsid w:val="00BB077B"/>
    <w:rsid w:val="00BB089A"/>
    <w:rsid w:val="00BB092C"/>
    <w:rsid w:val="00BB0995"/>
    <w:rsid w:val="00BB0DF2"/>
    <w:rsid w:val="00BB0FF0"/>
    <w:rsid w:val="00BB13AB"/>
    <w:rsid w:val="00BB1D9E"/>
    <w:rsid w:val="00BB231F"/>
    <w:rsid w:val="00BB3075"/>
    <w:rsid w:val="00BB30C4"/>
    <w:rsid w:val="00BB3146"/>
    <w:rsid w:val="00BB34E9"/>
    <w:rsid w:val="00BB37A1"/>
    <w:rsid w:val="00BB3C29"/>
    <w:rsid w:val="00BB3E9F"/>
    <w:rsid w:val="00BB4205"/>
    <w:rsid w:val="00BB42FE"/>
    <w:rsid w:val="00BB45F0"/>
    <w:rsid w:val="00BB4639"/>
    <w:rsid w:val="00BB4DB9"/>
    <w:rsid w:val="00BB505A"/>
    <w:rsid w:val="00BB5AC0"/>
    <w:rsid w:val="00BB5DE0"/>
    <w:rsid w:val="00BB600E"/>
    <w:rsid w:val="00BB64AD"/>
    <w:rsid w:val="00BB659C"/>
    <w:rsid w:val="00BB6697"/>
    <w:rsid w:val="00BB67AC"/>
    <w:rsid w:val="00BB6985"/>
    <w:rsid w:val="00BB6C36"/>
    <w:rsid w:val="00BB6C74"/>
    <w:rsid w:val="00BB7A0B"/>
    <w:rsid w:val="00BB7C82"/>
    <w:rsid w:val="00BC0091"/>
    <w:rsid w:val="00BC0312"/>
    <w:rsid w:val="00BC0B50"/>
    <w:rsid w:val="00BC0CF7"/>
    <w:rsid w:val="00BC0EC4"/>
    <w:rsid w:val="00BC1110"/>
    <w:rsid w:val="00BC1A46"/>
    <w:rsid w:val="00BC2930"/>
    <w:rsid w:val="00BC2B8B"/>
    <w:rsid w:val="00BC2BC7"/>
    <w:rsid w:val="00BC300F"/>
    <w:rsid w:val="00BC3630"/>
    <w:rsid w:val="00BC37C0"/>
    <w:rsid w:val="00BC4149"/>
    <w:rsid w:val="00BC429F"/>
    <w:rsid w:val="00BC44A5"/>
    <w:rsid w:val="00BC4576"/>
    <w:rsid w:val="00BC46B5"/>
    <w:rsid w:val="00BC4EF6"/>
    <w:rsid w:val="00BC5092"/>
    <w:rsid w:val="00BC5493"/>
    <w:rsid w:val="00BC597A"/>
    <w:rsid w:val="00BC6D07"/>
    <w:rsid w:val="00BC72BA"/>
    <w:rsid w:val="00BC759A"/>
    <w:rsid w:val="00BC78EC"/>
    <w:rsid w:val="00BC7A07"/>
    <w:rsid w:val="00BC7D56"/>
    <w:rsid w:val="00BD024A"/>
    <w:rsid w:val="00BD09B8"/>
    <w:rsid w:val="00BD0FE7"/>
    <w:rsid w:val="00BD1216"/>
    <w:rsid w:val="00BD1570"/>
    <w:rsid w:val="00BD1AF6"/>
    <w:rsid w:val="00BD1B3D"/>
    <w:rsid w:val="00BD1E53"/>
    <w:rsid w:val="00BD2142"/>
    <w:rsid w:val="00BD2270"/>
    <w:rsid w:val="00BD23F5"/>
    <w:rsid w:val="00BD2873"/>
    <w:rsid w:val="00BD2892"/>
    <w:rsid w:val="00BD2B77"/>
    <w:rsid w:val="00BD2C79"/>
    <w:rsid w:val="00BD3616"/>
    <w:rsid w:val="00BD3675"/>
    <w:rsid w:val="00BD3729"/>
    <w:rsid w:val="00BD3A1C"/>
    <w:rsid w:val="00BD3AC8"/>
    <w:rsid w:val="00BD4730"/>
    <w:rsid w:val="00BD485E"/>
    <w:rsid w:val="00BD4C06"/>
    <w:rsid w:val="00BD534F"/>
    <w:rsid w:val="00BD5491"/>
    <w:rsid w:val="00BD562C"/>
    <w:rsid w:val="00BD56C8"/>
    <w:rsid w:val="00BD56D1"/>
    <w:rsid w:val="00BD57D3"/>
    <w:rsid w:val="00BD6F70"/>
    <w:rsid w:val="00BD748C"/>
    <w:rsid w:val="00BD75A8"/>
    <w:rsid w:val="00BD782D"/>
    <w:rsid w:val="00BD7876"/>
    <w:rsid w:val="00BD7995"/>
    <w:rsid w:val="00BD7C53"/>
    <w:rsid w:val="00BE0084"/>
    <w:rsid w:val="00BE04D3"/>
    <w:rsid w:val="00BE0B5E"/>
    <w:rsid w:val="00BE0E48"/>
    <w:rsid w:val="00BE103E"/>
    <w:rsid w:val="00BE171D"/>
    <w:rsid w:val="00BE1CD9"/>
    <w:rsid w:val="00BE1D6E"/>
    <w:rsid w:val="00BE2759"/>
    <w:rsid w:val="00BE2EDE"/>
    <w:rsid w:val="00BE3091"/>
    <w:rsid w:val="00BE33C6"/>
    <w:rsid w:val="00BE362C"/>
    <w:rsid w:val="00BE364C"/>
    <w:rsid w:val="00BE38AA"/>
    <w:rsid w:val="00BE3F1E"/>
    <w:rsid w:val="00BE4740"/>
    <w:rsid w:val="00BE4D9E"/>
    <w:rsid w:val="00BE4E64"/>
    <w:rsid w:val="00BE5AA2"/>
    <w:rsid w:val="00BE5AF0"/>
    <w:rsid w:val="00BE67C2"/>
    <w:rsid w:val="00BE68EB"/>
    <w:rsid w:val="00BE6FE8"/>
    <w:rsid w:val="00BE7067"/>
    <w:rsid w:val="00BE73D1"/>
    <w:rsid w:val="00BE78E3"/>
    <w:rsid w:val="00BE793C"/>
    <w:rsid w:val="00BE7AA6"/>
    <w:rsid w:val="00BE7FA3"/>
    <w:rsid w:val="00BF00C8"/>
    <w:rsid w:val="00BF02A2"/>
    <w:rsid w:val="00BF0435"/>
    <w:rsid w:val="00BF0B5E"/>
    <w:rsid w:val="00BF0B91"/>
    <w:rsid w:val="00BF0F57"/>
    <w:rsid w:val="00BF1182"/>
    <w:rsid w:val="00BF1502"/>
    <w:rsid w:val="00BF19C7"/>
    <w:rsid w:val="00BF1F0C"/>
    <w:rsid w:val="00BF2197"/>
    <w:rsid w:val="00BF2334"/>
    <w:rsid w:val="00BF258C"/>
    <w:rsid w:val="00BF2842"/>
    <w:rsid w:val="00BF2925"/>
    <w:rsid w:val="00BF349C"/>
    <w:rsid w:val="00BF3E21"/>
    <w:rsid w:val="00BF3EEF"/>
    <w:rsid w:val="00BF3EF6"/>
    <w:rsid w:val="00BF40A8"/>
    <w:rsid w:val="00BF44E8"/>
    <w:rsid w:val="00BF45D7"/>
    <w:rsid w:val="00BF464C"/>
    <w:rsid w:val="00BF4852"/>
    <w:rsid w:val="00BF4903"/>
    <w:rsid w:val="00BF4AA1"/>
    <w:rsid w:val="00BF5C59"/>
    <w:rsid w:val="00BF5F44"/>
    <w:rsid w:val="00BF603B"/>
    <w:rsid w:val="00BF6A77"/>
    <w:rsid w:val="00BF6E64"/>
    <w:rsid w:val="00BF70C1"/>
    <w:rsid w:val="00BF7197"/>
    <w:rsid w:val="00BF72A8"/>
    <w:rsid w:val="00BF72CB"/>
    <w:rsid w:val="00BF7A62"/>
    <w:rsid w:val="00C000B9"/>
    <w:rsid w:val="00C00FEE"/>
    <w:rsid w:val="00C016CC"/>
    <w:rsid w:val="00C017AE"/>
    <w:rsid w:val="00C021DE"/>
    <w:rsid w:val="00C02379"/>
    <w:rsid w:val="00C023DA"/>
    <w:rsid w:val="00C0262D"/>
    <w:rsid w:val="00C0290E"/>
    <w:rsid w:val="00C02C88"/>
    <w:rsid w:val="00C02FC8"/>
    <w:rsid w:val="00C0389F"/>
    <w:rsid w:val="00C0407D"/>
    <w:rsid w:val="00C04582"/>
    <w:rsid w:val="00C045C1"/>
    <w:rsid w:val="00C045C9"/>
    <w:rsid w:val="00C04A89"/>
    <w:rsid w:val="00C04B45"/>
    <w:rsid w:val="00C04C22"/>
    <w:rsid w:val="00C04C98"/>
    <w:rsid w:val="00C05477"/>
    <w:rsid w:val="00C05573"/>
    <w:rsid w:val="00C05661"/>
    <w:rsid w:val="00C05758"/>
    <w:rsid w:val="00C05C0E"/>
    <w:rsid w:val="00C060E8"/>
    <w:rsid w:val="00C06160"/>
    <w:rsid w:val="00C06543"/>
    <w:rsid w:val="00C06B28"/>
    <w:rsid w:val="00C06D84"/>
    <w:rsid w:val="00C06E43"/>
    <w:rsid w:val="00C06FC4"/>
    <w:rsid w:val="00C07133"/>
    <w:rsid w:val="00C073CB"/>
    <w:rsid w:val="00C07D73"/>
    <w:rsid w:val="00C1059A"/>
    <w:rsid w:val="00C105B8"/>
    <w:rsid w:val="00C105CE"/>
    <w:rsid w:val="00C109CA"/>
    <w:rsid w:val="00C10C2D"/>
    <w:rsid w:val="00C11444"/>
    <w:rsid w:val="00C11C72"/>
    <w:rsid w:val="00C12134"/>
    <w:rsid w:val="00C123DD"/>
    <w:rsid w:val="00C1240F"/>
    <w:rsid w:val="00C12A41"/>
    <w:rsid w:val="00C12B3F"/>
    <w:rsid w:val="00C12F78"/>
    <w:rsid w:val="00C13016"/>
    <w:rsid w:val="00C13236"/>
    <w:rsid w:val="00C139F1"/>
    <w:rsid w:val="00C13F37"/>
    <w:rsid w:val="00C1429E"/>
    <w:rsid w:val="00C1443F"/>
    <w:rsid w:val="00C1495C"/>
    <w:rsid w:val="00C14D22"/>
    <w:rsid w:val="00C15267"/>
    <w:rsid w:val="00C15596"/>
    <w:rsid w:val="00C156FE"/>
    <w:rsid w:val="00C1583F"/>
    <w:rsid w:val="00C16260"/>
    <w:rsid w:val="00C16626"/>
    <w:rsid w:val="00C1672E"/>
    <w:rsid w:val="00C16E47"/>
    <w:rsid w:val="00C170B1"/>
    <w:rsid w:val="00C171E0"/>
    <w:rsid w:val="00C171FE"/>
    <w:rsid w:val="00C172D3"/>
    <w:rsid w:val="00C172E5"/>
    <w:rsid w:val="00C174F0"/>
    <w:rsid w:val="00C176ED"/>
    <w:rsid w:val="00C17DB5"/>
    <w:rsid w:val="00C17E0A"/>
    <w:rsid w:val="00C200BD"/>
    <w:rsid w:val="00C20128"/>
    <w:rsid w:val="00C21EEB"/>
    <w:rsid w:val="00C22027"/>
    <w:rsid w:val="00C2242B"/>
    <w:rsid w:val="00C23021"/>
    <w:rsid w:val="00C233A9"/>
    <w:rsid w:val="00C238AC"/>
    <w:rsid w:val="00C23E15"/>
    <w:rsid w:val="00C24259"/>
    <w:rsid w:val="00C24356"/>
    <w:rsid w:val="00C24B43"/>
    <w:rsid w:val="00C24B97"/>
    <w:rsid w:val="00C255E7"/>
    <w:rsid w:val="00C258A1"/>
    <w:rsid w:val="00C25AAF"/>
    <w:rsid w:val="00C25CA1"/>
    <w:rsid w:val="00C25DA7"/>
    <w:rsid w:val="00C26B8F"/>
    <w:rsid w:val="00C26EE6"/>
    <w:rsid w:val="00C26F45"/>
    <w:rsid w:val="00C27311"/>
    <w:rsid w:val="00C27317"/>
    <w:rsid w:val="00C27542"/>
    <w:rsid w:val="00C27BBA"/>
    <w:rsid w:val="00C27FE7"/>
    <w:rsid w:val="00C30211"/>
    <w:rsid w:val="00C30777"/>
    <w:rsid w:val="00C3081E"/>
    <w:rsid w:val="00C30B0F"/>
    <w:rsid w:val="00C30D32"/>
    <w:rsid w:val="00C30DF3"/>
    <w:rsid w:val="00C30F98"/>
    <w:rsid w:val="00C3135C"/>
    <w:rsid w:val="00C31B32"/>
    <w:rsid w:val="00C327FD"/>
    <w:rsid w:val="00C32B00"/>
    <w:rsid w:val="00C32FD1"/>
    <w:rsid w:val="00C32FF8"/>
    <w:rsid w:val="00C332A3"/>
    <w:rsid w:val="00C33526"/>
    <w:rsid w:val="00C335DF"/>
    <w:rsid w:val="00C33699"/>
    <w:rsid w:val="00C33E0C"/>
    <w:rsid w:val="00C33EA3"/>
    <w:rsid w:val="00C34C23"/>
    <w:rsid w:val="00C355F6"/>
    <w:rsid w:val="00C35B86"/>
    <w:rsid w:val="00C35BFE"/>
    <w:rsid w:val="00C3611E"/>
    <w:rsid w:val="00C36180"/>
    <w:rsid w:val="00C36356"/>
    <w:rsid w:val="00C366E2"/>
    <w:rsid w:val="00C369B5"/>
    <w:rsid w:val="00C36DC0"/>
    <w:rsid w:val="00C37164"/>
    <w:rsid w:val="00C376BD"/>
    <w:rsid w:val="00C37ABE"/>
    <w:rsid w:val="00C37AFE"/>
    <w:rsid w:val="00C37D8D"/>
    <w:rsid w:val="00C37EB2"/>
    <w:rsid w:val="00C37F5A"/>
    <w:rsid w:val="00C37F9F"/>
    <w:rsid w:val="00C401B2"/>
    <w:rsid w:val="00C406F3"/>
    <w:rsid w:val="00C407D1"/>
    <w:rsid w:val="00C410B6"/>
    <w:rsid w:val="00C4119D"/>
    <w:rsid w:val="00C4122A"/>
    <w:rsid w:val="00C41F98"/>
    <w:rsid w:val="00C4201E"/>
    <w:rsid w:val="00C42058"/>
    <w:rsid w:val="00C42A9F"/>
    <w:rsid w:val="00C42B8C"/>
    <w:rsid w:val="00C42C21"/>
    <w:rsid w:val="00C42F26"/>
    <w:rsid w:val="00C430BC"/>
    <w:rsid w:val="00C43112"/>
    <w:rsid w:val="00C432A4"/>
    <w:rsid w:val="00C4359B"/>
    <w:rsid w:val="00C43CE6"/>
    <w:rsid w:val="00C44863"/>
    <w:rsid w:val="00C44CEC"/>
    <w:rsid w:val="00C45201"/>
    <w:rsid w:val="00C4545D"/>
    <w:rsid w:val="00C45896"/>
    <w:rsid w:val="00C459A8"/>
    <w:rsid w:val="00C45B1A"/>
    <w:rsid w:val="00C45C40"/>
    <w:rsid w:val="00C46280"/>
    <w:rsid w:val="00C46289"/>
    <w:rsid w:val="00C46532"/>
    <w:rsid w:val="00C467A0"/>
    <w:rsid w:val="00C46879"/>
    <w:rsid w:val="00C469D5"/>
    <w:rsid w:val="00C46F8D"/>
    <w:rsid w:val="00C471B1"/>
    <w:rsid w:val="00C47D02"/>
    <w:rsid w:val="00C50162"/>
    <w:rsid w:val="00C50236"/>
    <w:rsid w:val="00C508FC"/>
    <w:rsid w:val="00C515A9"/>
    <w:rsid w:val="00C519DF"/>
    <w:rsid w:val="00C51AF1"/>
    <w:rsid w:val="00C51D12"/>
    <w:rsid w:val="00C51DEE"/>
    <w:rsid w:val="00C521E3"/>
    <w:rsid w:val="00C52422"/>
    <w:rsid w:val="00C52776"/>
    <w:rsid w:val="00C53418"/>
    <w:rsid w:val="00C53C60"/>
    <w:rsid w:val="00C54127"/>
    <w:rsid w:val="00C543BD"/>
    <w:rsid w:val="00C54422"/>
    <w:rsid w:val="00C548D8"/>
    <w:rsid w:val="00C54A56"/>
    <w:rsid w:val="00C550FC"/>
    <w:rsid w:val="00C5514D"/>
    <w:rsid w:val="00C552FF"/>
    <w:rsid w:val="00C55677"/>
    <w:rsid w:val="00C558D2"/>
    <w:rsid w:val="00C55C01"/>
    <w:rsid w:val="00C567F2"/>
    <w:rsid w:val="00C56CEC"/>
    <w:rsid w:val="00C56CF1"/>
    <w:rsid w:val="00C56D81"/>
    <w:rsid w:val="00C56E5E"/>
    <w:rsid w:val="00C56FC0"/>
    <w:rsid w:val="00C575C0"/>
    <w:rsid w:val="00C57665"/>
    <w:rsid w:val="00C60D7A"/>
    <w:rsid w:val="00C6113E"/>
    <w:rsid w:val="00C61251"/>
    <w:rsid w:val="00C61390"/>
    <w:rsid w:val="00C6186F"/>
    <w:rsid w:val="00C61876"/>
    <w:rsid w:val="00C61936"/>
    <w:rsid w:val="00C61956"/>
    <w:rsid w:val="00C61A15"/>
    <w:rsid w:val="00C61A9C"/>
    <w:rsid w:val="00C61E82"/>
    <w:rsid w:val="00C6209C"/>
    <w:rsid w:val="00C622D5"/>
    <w:rsid w:val="00C6249C"/>
    <w:rsid w:val="00C62536"/>
    <w:rsid w:val="00C625D4"/>
    <w:rsid w:val="00C62A62"/>
    <w:rsid w:val="00C62D6E"/>
    <w:rsid w:val="00C62E57"/>
    <w:rsid w:val="00C62EE4"/>
    <w:rsid w:val="00C63945"/>
    <w:rsid w:val="00C6499D"/>
    <w:rsid w:val="00C64B59"/>
    <w:rsid w:val="00C651FF"/>
    <w:rsid w:val="00C6529F"/>
    <w:rsid w:val="00C65D72"/>
    <w:rsid w:val="00C65F0E"/>
    <w:rsid w:val="00C65F4B"/>
    <w:rsid w:val="00C66202"/>
    <w:rsid w:val="00C664F9"/>
    <w:rsid w:val="00C6667B"/>
    <w:rsid w:val="00C6668E"/>
    <w:rsid w:val="00C667BC"/>
    <w:rsid w:val="00C66849"/>
    <w:rsid w:val="00C66FE0"/>
    <w:rsid w:val="00C670D1"/>
    <w:rsid w:val="00C675FB"/>
    <w:rsid w:val="00C67648"/>
    <w:rsid w:val="00C67C03"/>
    <w:rsid w:val="00C70487"/>
    <w:rsid w:val="00C709A4"/>
    <w:rsid w:val="00C70C9D"/>
    <w:rsid w:val="00C70EA8"/>
    <w:rsid w:val="00C7107A"/>
    <w:rsid w:val="00C715F0"/>
    <w:rsid w:val="00C71714"/>
    <w:rsid w:val="00C717A1"/>
    <w:rsid w:val="00C71F5B"/>
    <w:rsid w:val="00C72423"/>
    <w:rsid w:val="00C7256E"/>
    <w:rsid w:val="00C726AE"/>
    <w:rsid w:val="00C72910"/>
    <w:rsid w:val="00C72A55"/>
    <w:rsid w:val="00C72C1A"/>
    <w:rsid w:val="00C73353"/>
    <w:rsid w:val="00C7355D"/>
    <w:rsid w:val="00C7362D"/>
    <w:rsid w:val="00C73651"/>
    <w:rsid w:val="00C739B9"/>
    <w:rsid w:val="00C7441B"/>
    <w:rsid w:val="00C74B22"/>
    <w:rsid w:val="00C75319"/>
    <w:rsid w:val="00C7569E"/>
    <w:rsid w:val="00C758AE"/>
    <w:rsid w:val="00C7611A"/>
    <w:rsid w:val="00C7617F"/>
    <w:rsid w:val="00C7651D"/>
    <w:rsid w:val="00C776B6"/>
    <w:rsid w:val="00C77886"/>
    <w:rsid w:val="00C77C5F"/>
    <w:rsid w:val="00C8016B"/>
    <w:rsid w:val="00C80214"/>
    <w:rsid w:val="00C807DD"/>
    <w:rsid w:val="00C80C3F"/>
    <w:rsid w:val="00C80C44"/>
    <w:rsid w:val="00C80D13"/>
    <w:rsid w:val="00C80FF8"/>
    <w:rsid w:val="00C810AB"/>
    <w:rsid w:val="00C818DA"/>
    <w:rsid w:val="00C81C86"/>
    <w:rsid w:val="00C81F08"/>
    <w:rsid w:val="00C8241C"/>
    <w:rsid w:val="00C8342C"/>
    <w:rsid w:val="00C84061"/>
    <w:rsid w:val="00C8432B"/>
    <w:rsid w:val="00C845ED"/>
    <w:rsid w:val="00C84D90"/>
    <w:rsid w:val="00C850E1"/>
    <w:rsid w:val="00C8524F"/>
    <w:rsid w:val="00C85395"/>
    <w:rsid w:val="00C854AB"/>
    <w:rsid w:val="00C8608C"/>
    <w:rsid w:val="00C86543"/>
    <w:rsid w:val="00C86844"/>
    <w:rsid w:val="00C86BAC"/>
    <w:rsid w:val="00C874B4"/>
    <w:rsid w:val="00C8781B"/>
    <w:rsid w:val="00C87887"/>
    <w:rsid w:val="00C87E5D"/>
    <w:rsid w:val="00C902A2"/>
    <w:rsid w:val="00C90332"/>
    <w:rsid w:val="00C90583"/>
    <w:rsid w:val="00C906B5"/>
    <w:rsid w:val="00C90C3E"/>
    <w:rsid w:val="00C911D9"/>
    <w:rsid w:val="00C91C0F"/>
    <w:rsid w:val="00C920A2"/>
    <w:rsid w:val="00C924F0"/>
    <w:rsid w:val="00C924F2"/>
    <w:rsid w:val="00C92FCA"/>
    <w:rsid w:val="00C931CE"/>
    <w:rsid w:val="00C9336F"/>
    <w:rsid w:val="00C93B7A"/>
    <w:rsid w:val="00C93DFD"/>
    <w:rsid w:val="00C940F8"/>
    <w:rsid w:val="00C94172"/>
    <w:rsid w:val="00C945C7"/>
    <w:rsid w:val="00C94C1D"/>
    <w:rsid w:val="00C94CE6"/>
    <w:rsid w:val="00C94CF4"/>
    <w:rsid w:val="00C9568F"/>
    <w:rsid w:val="00C95BB6"/>
    <w:rsid w:val="00C95DB1"/>
    <w:rsid w:val="00C95F1E"/>
    <w:rsid w:val="00C95F45"/>
    <w:rsid w:val="00C96836"/>
    <w:rsid w:val="00C969CB"/>
    <w:rsid w:val="00C969E0"/>
    <w:rsid w:val="00C96B5E"/>
    <w:rsid w:val="00C96C6A"/>
    <w:rsid w:val="00C971B9"/>
    <w:rsid w:val="00C9721A"/>
    <w:rsid w:val="00C97AE8"/>
    <w:rsid w:val="00CA00D2"/>
    <w:rsid w:val="00CA09CD"/>
    <w:rsid w:val="00CA0BB8"/>
    <w:rsid w:val="00CA0CF7"/>
    <w:rsid w:val="00CA159B"/>
    <w:rsid w:val="00CA1C2A"/>
    <w:rsid w:val="00CA1EB0"/>
    <w:rsid w:val="00CA2196"/>
    <w:rsid w:val="00CA2227"/>
    <w:rsid w:val="00CA24AB"/>
    <w:rsid w:val="00CA2580"/>
    <w:rsid w:val="00CA2F00"/>
    <w:rsid w:val="00CA3381"/>
    <w:rsid w:val="00CA3469"/>
    <w:rsid w:val="00CA380B"/>
    <w:rsid w:val="00CA3E4C"/>
    <w:rsid w:val="00CA4181"/>
    <w:rsid w:val="00CA462B"/>
    <w:rsid w:val="00CA4DFF"/>
    <w:rsid w:val="00CA505D"/>
    <w:rsid w:val="00CA5188"/>
    <w:rsid w:val="00CA5487"/>
    <w:rsid w:val="00CA6044"/>
    <w:rsid w:val="00CA7654"/>
    <w:rsid w:val="00CA7A16"/>
    <w:rsid w:val="00CA7A52"/>
    <w:rsid w:val="00CB02BC"/>
    <w:rsid w:val="00CB0A90"/>
    <w:rsid w:val="00CB1066"/>
    <w:rsid w:val="00CB1138"/>
    <w:rsid w:val="00CB1553"/>
    <w:rsid w:val="00CB15FD"/>
    <w:rsid w:val="00CB2251"/>
    <w:rsid w:val="00CB2794"/>
    <w:rsid w:val="00CB2C7B"/>
    <w:rsid w:val="00CB32CA"/>
    <w:rsid w:val="00CB3478"/>
    <w:rsid w:val="00CB370D"/>
    <w:rsid w:val="00CB3C74"/>
    <w:rsid w:val="00CB43BD"/>
    <w:rsid w:val="00CB4F0E"/>
    <w:rsid w:val="00CB4F9F"/>
    <w:rsid w:val="00CB518B"/>
    <w:rsid w:val="00CB5348"/>
    <w:rsid w:val="00CB5E7A"/>
    <w:rsid w:val="00CB6523"/>
    <w:rsid w:val="00CB6638"/>
    <w:rsid w:val="00CB6E1D"/>
    <w:rsid w:val="00CB6F60"/>
    <w:rsid w:val="00CB7169"/>
    <w:rsid w:val="00CB7631"/>
    <w:rsid w:val="00CC013C"/>
    <w:rsid w:val="00CC0855"/>
    <w:rsid w:val="00CC0F02"/>
    <w:rsid w:val="00CC19FA"/>
    <w:rsid w:val="00CC1E07"/>
    <w:rsid w:val="00CC1EFA"/>
    <w:rsid w:val="00CC2127"/>
    <w:rsid w:val="00CC2563"/>
    <w:rsid w:val="00CC2D1C"/>
    <w:rsid w:val="00CC3007"/>
    <w:rsid w:val="00CC3933"/>
    <w:rsid w:val="00CC3AE2"/>
    <w:rsid w:val="00CC3C4B"/>
    <w:rsid w:val="00CC3D6E"/>
    <w:rsid w:val="00CC3F6F"/>
    <w:rsid w:val="00CC4910"/>
    <w:rsid w:val="00CC49C0"/>
    <w:rsid w:val="00CC4B8A"/>
    <w:rsid w:val="00CC510B"/>
    <w:rsid w:val="00CC53EF"/>
    <w:rsid w:val="00CC5486"/>
    <w:rsid w:val="00CC5F0E"/>
    <w:rsid w:val="00CC64E7"/>
    <w:rsid w:val="00CC676D"/>
    <w:rsid w:val="00CC6901"/>
    <w:rsid w:val="00CC6C05"/>
    <w:rsid w:val="00CC72CE"/>
    <w:rsid w:val="00CC76E3"/>
    <w:rsid w:val="00CC7A01"/>
    <w:rsid w:val="00CC7A5F"/>
    <w:rsid w:val="00CC7DEB"/>
    <w:rsid w:val="00CD032A"/>
    <w:rsid w:val="00CD04BB"/>
    <w:rsid w:val="00CD07B8"/>
    <w:rsid w:val="00CD0932"/>
    <w:rsid w:val="00CD11FE"/>
    <w:rsid w:val="00CD1359"/>
    <w:rsid w:val="00CD1708"/>
    <w:rsid w:val="00CD1892"/>
    <w:rsid w:val="00CD1F03"/>
    <w:rsid w:val="00CD200A"/>
    <w:rsid w:val="00CD256B"/>
    <w:rsid w:val="00CD2724"/>
    <w:rsid w:val="00CD27CC"/>
    <w:rsid w:val="00CD292E"/>
    <w:rsid w:val="00CD2FE9"/>
    <w:rsid w:val="00CD301A"/>
    <w:rsid w:val="00CD336C"/>
    <w:rsid w:val="00CD4030"/>
    <w:rsid w:val="00CD419C"/>
    <w:rsid w:val="00CD461C"/>
    <w:rsid w:val="00CD4680"/>
    <w:rsid w:val="00CD4798"/>
    <w:rsid w:val="00CD49AC"/>
    <w:rsid w:val="00CD4ABF"/>
    <w:rsid w:val="00CD4B41"/>
    <w:rsid w:val="00CD4F4C"/>
    <w:rsid w:val="00CD5693"/>
    <w:rsid w:val="00CD5B28"/>
    <w:rsid w:val="00CD5F12"/>
    <w:rsid w:val="00CD6154"/>
    <w:rsid w:val="00CD620F"/>
    <w:rsid w:val="00CD6721"/>
    <w:rsid w:val="00CD69C8"/>
    <w:rsid w:val="00CD6AEC"/>
    <w:rsid w:val="00CD6CFD"/>
    <w:rsid w:val="00CD6D0A"/>
    <w:rsid w:val="00CD7B53"/>
    <w:rsid w:val="00CD7D57"/>
    <w:rsid w:val="00CD7F20"/>
    <w:rsid w:val="00CE1600"/>
    <w:rsid w:val="00CE1711"/>
    <w:rsid w:val="00CE1F6C"/>
    <w:rsid w:val="00CE279E"/>
    <w:rsid w:val="00CE28D6"/>
    <w:rsid w:val="00CE2A05"/>
    <w:rsid w:val="00CE2A56"/>
    <w:rsid w:val="00CE393F"/>
    <w:rsid w:val="00CE39EE"/>
    <w:rsid w:val="00CE3A70"/>
    <w:rsid w:val="00CE3D31"/>
    <w:rsid w:val="00CE403B"/>
    <w:rsid w:val="00CE45BA"/>
    <w:rsid w:val="00CE4B6A"/>
    <w:rsid w:val="00CE4EC3"/>
    <w:rsid w:val="00CE53C4"/>
    <w:rsid w:val="00CE54E0"/>
    <w:rsid w:val="00CE54E1"/>
    <w:rsid w:val="00CE5782"/>
    <w:rsid w:val="00CE58FA"/>
    <w:rsid w:val="00CE59CD"/>
    <w:rsid w:val="00CE5F51"/>
    <w:rsid w:val="00CE5FDA"/>
    <w:rsid w:val="00CE6391"/>
    <w:rsid w:val="00CE66C8"/>
    <w:rsid w:val="00CE76FA"/>
    <w:rsid w:val="00CE7847"/>
    <w:rsid w:val="00CE7889"/>
    <w:rsid w:val="00CE7EAC"/>
    <w:rsid w:val="00CF0047"/>
    <w:rsid w:val="00CF0303"/>
    <w:rsid w:val="00CF046D"/>
    <w:rsid w:val="00CF0675"/>
    <w:rsid w:val="00CF06B3"/>
    <w:rsid w:val="00CF101F"/>
    <w:rsid w:val="00CF11BE"/>
    <w:rsid w:val="00CF1310"/>
    <w:rsid w:val="00CF14BC"/>
    <w:rsid w:val="00CF16F5"/>
    <w:rsid w:val="00CF1943"/>
    <w:rsid w:val="00CF2025"/>
    <w:rsid w:val="00CF23BF"/>
    <w:rsid w:val="00CF2B2B"/>
    <w:rsid w:val="00CF3030"/>
    <w:rsid w:val="00CF31DA"/>
    <w:rsid w:val="00CF3B2E"/>
    <w:rsid w:val="00CF42B4"/>
    <w:rsid w:val="00CF4384"/>
    <w:rsid w:val="00CF4478"/>
    <w:rsid w:val="00CF44BC"/>
    <w:rsid w:val="00CF44F9"/>
    <w:rsid w:val="00CF4983"/>
    <w:rsid w:val="00CF4B33"/>
    <w:rsid w:val="00CF4BD5"/>
    <w:rsid w:val="00CF56BC"/>
    <w:rsid w:val="00CF5DE2"/>
    <w:rsid w:val="00CF6304"/>
    <w:rsid w:val="00CF65F3"/>
    <w:rsid w:val="00CF6B59"/>
    <w:rsid w:val="00CF76FD"/>
    <w:rsid w:val="00CF7E2C"/>
    <w:rsid w:val="00D001C4"/>
    <w:rsid w:val="00D0045E"/>
    <w:rsid w:val="00D00478"/>
    <w:rsid w:val="00D005C3"/>
    <w:rsid w:val="00D006CD"/>
    <w:rsid w:val="00D00911"/>
    <w:rsid w:val="00D00A78"/>
    <w:rsid w:val="00D01151"/>
    <w:rsid w:val="00D012B4"/>
    <w:rsid w:val="00D01476"/>
    <w:rsid w:val="00D01627"/>
    <w:rsid w:val="00D01665"/>
    <w:rsid w:val="00D01C27"/>
    <w:rsid w:val="00D01F39"/>
    <w:rsid w:val="00D02898"/>
    <w:rsid w:val="00D02C74"/>
    <w:rsid w:val="00D03C09"/>
    <w:rsid w:val="00D03D3D"/>
    <w:rsid w:val="00D046C3"/>
    <w:rsid w:val="00D04DB2"/>
    <w:rsid w:val="00D05AEF"/>
    <w:rsid w:val="00D05B72"/>
    <w:rsid w:val="00D06201"/>
    <w:rsid w:val="00D063AC"/>
    <w:rsid w:val="00D0645D"/>
    <w:rsid w:val="00D06746"/>
    <w:rsid w:val="00D06A78"/>
    <w:rsid w:val="00D06A91"/>
    <w:rsid w:val="00D06E21"/>
    <w:rsid w:val="00D06FC3"/>
    <w:rsid w:val="00D071B2"/>
    <w:rsid w:val="00D07561"/>
    <w:rsid w:val="00D078F9"/>
    <w:rsid w:val="00D07BDC"/>
    <w:rsid w:val="00D07DB4"/>
    <w:rsid w:val="00D07ED3"/>
    <w:rsid w:val="00D10258"/>
    <w:rsid w:val="00D104E0"/>
    <w:rsid w:val="00D10530"/>
    <w:rsid w:val="00D107FF"/>
    <w:rsid w:val="00D10A24"/>
    <w:rsid w:val="00D10D1B"/>
    <w:rsid w:val="00D119CF"/>
    <w:rsid w:val="00D11B39"/>
    <w:rsid w:val="00D11C10"/>
    <w:rsid w:val="00D11C4E"/>
    <w:rsid w:val="00D11C84"/>
    <w:rsid w:val="00D12059"/>
    <w:rsid w:val="00D1209D"/>
    <w:rsid w:val="00D125E5"/>
    <w:rsid w:val="00D12C2C"/>
    <w:rsid w:val="00D12E52"/>
    <w:rsid w:val="00D13047"/>
    <w:rsid w:val="00D1308D"/>
    <w:rsid w:val="00D137FD"/>
    <w:rsid w:val="00D1408D"/>
    <w:rsid w:val="00D14239"/>
    <w:rsid w:val="00D1482B"/>
    <w:rsid w:val="00D148D4"/>
    <w:rsid w:val="00D14CF7"/>
    <w:rsid w:val="00D14E0D"/>
    <w:rsid w:val="00D1510C"/>
    <w:rsid w:val="00D152B5"/>
    <w:rsid w:val="00D15394"/>
    <w:rsid w:val="00D158A8"/>
    <w:rsid w:val="00D15D58"/>
    <w:rsid w:val="00D15EDC"/>
    <w:rsid w:val="00D15F59"/>
    <w:rsid w:val="00D15FCB"/>
    <w:rsid w:val="00D16374"/>
    <w:rsid w:val="00D165F4"/>
    <w:rsid w:val="00D16940"/>
    <w:rsid w:val="00D16E85"/>
    <w:rsid w:val="00D178D3"/>
    <w:rsid w:val="00D17B48"/>
    <w:rsid w:val="00D202A8"/>
    <w:rsid w:val="00D206FC"/>
    <w:rsid w:val="00D2092D"/>
    <w:rsid w:val="00D20DE3"/>
    <w:rsid w:val="00D210C6"/>
    <w:rsid w:val="00D2125C"/>
    <w:rsid w:val="00D21845"/>
    <w:rsid w:val="00D21852"/>
    <w:rsid w:val="00D21D1F"/>
    <w:rsid w:val="00D21D96"/>
    <w:rsid w:val="00D2248D"/>
    <w:rsid w:val="00D22F0C"/>
    <w:rsid w:val="00D23163"/>
    <w:rsid w:val="00D23378"/>
    <w:rsid w:val="00D233FD"/>
    <w:rsid w:val="00D235D3"/>
    <w:rsid w:val="00D240BC"/>
    <w:rsid w:val="00D247B7"/>
    <w:rsid w:val="00D24ADA"/>
    <w:rsid w:val="00D24D98"/>
    <w:rsid w:val="00D2506C"/>
    <w:rsid w:val="00D25462"/>
    <w:rsid w:val="00D25B08"/>
    <w:rsid w:val="00D2611B"/>
    <w:rsid w:val="00D26AFB"/>
    <w:rsid w:val="00D26C56"/>
    <w:rsid w:val="00D26EB7"/>
    <w:rsid w:val="00D276E8"/>
    <w:rsid w:val="00D2787E"/>
    <w:rsid w:val="00D27BB0"/>
    <w:rsid w:val="00D27D5D"/>
    <w:rsid w:val="00D302C2"/>
    <w:rsid w:val="00D3031D"/>
    <w:rsid w:val="00D30407"/>
    <w:rsid w:val="00D30C3C"/>
    <w:rsid w:val="00D30E08"/>
    <w:rsid w:val="00D31283"/>
    <w:rsid w:val="00D31598"/>
    <w:rsid w:val="00D31DA6"/>
    <w:rsid w:val="00D32206"/>
    <w:rsid w:val="00D322AB"/>
    <w:rsid w:val="00D327E7"/>
    <w:rsid w:val="00D3288A"/>
    <w:rsid w:val="00D3299A"/>
    <w:rsid w:val="00D32D41"/>
    <w:rsid w:val="00D33234"/>
    <w:rsid w:val="00D336DB"/>
    <w:rsid w:val="00D338C6"/>
    <w:rsid w:val="00D339F2"/>
    <w:rsid w:val="00D33E6C"/>
    <w:rsid w:val="00D33F20"/>
    <w:rsid w:val="00D34301"/>
    <w:rsid w:val="00D34338"/>
    <w:rsid w:val="00D3477B"/>
    <w:rsid w:val="00D34BFA"/>
    <w:rsid w:val="00D35476"/>
    <w:rsid w:val="00D355E3"/>
    <w:rsid w:val="00D35BB7"/>
    <w:rsid w:val="00D35E37"/>
    <w:rsid w:val="00D35EBE"/>
    <w:rsid w:val="00D360A8"/>
    <w:rsid w:val="00D3620E"/>
    <w:rsid w:val="00D363DE"/>
    <w:rsid w:val="00D3653D"/>
    <w:rsid w:val="00D36B49"/>
    <w:rsid w:val="00D36E6C"/>
    <w:rsid w:val="00D371DF"/>
    <w:rsid w:val="00D37741"/>
    <w:rsid w:val="00D4011A"/>
    <w:rsid w:val="00D404CD"/>
    <w:rsid w:val="00D4101C"/>
    <w:rsid w:val="00D41218"/>
    <w:rsid w:val="00D414E8"/>
    <w:rsid w:val="00D41B85"/>
    <w:rsid w:val="00D41EBD"/>
    <w:rsid w:val="00D42F40"/>
    <w:rsid w:val="00D43162"/>
    <w:rsid w:val="00D4343B"/>
    <w:rsid w:val="00D43617"/>
    <w:rsid w:val="00D43652"/>
    <w:rsid w:val="00D436A4"/>
    <w:rsid w:val="00D43935"/>
    <w:rsid w:val="00D43AE4"/>
    <w:rsid w:val="00D44056"/>
    <w:rsid w:val="00D440B4"/>
    <w:rsid w:val="00D44207"/>
    <w:rsid w:val="00D448FF"/>
    <w:rsid w:val="00D44948"/>
    <w:rsid w:val="00D44B87"/>
    <w:rsid w:val="00D45019"/>
    <w:rsid w:val="00D4522C"/>
    <w:rsid w:val="00D45595"/>
    <w:rsid w:val="00D4562D"/>
    <w:rsid w:val="00D45945"/>
    <w:rsid w:val="00D45ABC"/>
    <w:rsid w:val="00D45B0F"/>
    <w:rsid w:val="00D45B65"/>
    <w:rsid w:val="00D45D51"/>
    <w:rsid w:val="00D461BC"/>
    <w:rsid w:val="00D46289"/>
    <w:rsid w:val="00D46743"/>
    <w:rsid w:val="00D46AA4"/>
    <w:rsid w:val="00D4761B"/>
    <w:rsid w:val="00D50682"/>
    <w:rsid w:val="00D50970"/>
    <w:rsid w:val="00D509DE"/>
    <w:rsid w:val="00D50A49"/>
    <w:rsid w:val="00D51386"/>
    <w:rsid w:val="00D51749"/>
    <w:rsid w:val="00D5184E"/>
    <w:rsid w:val="00D51ABC"/>
    <w:rsid w:val="00D51E0B"/>
    <w:rsid w:val="00D522A8"/>
    <w:rsid w:val="00D52632"/>
    <w:rsid w:val="00D5287D"/>
    <w:rsid w:val="00D52987"/>
    <w:rsid w:val="00D52FE5"/>
    <w:rsid w:val="00D53410"/>
    <w:rsid w:val="00D53CDB"/>
    <w:rsid w:val="00D53DA3"/>
    <w:rsid w:val="00D53F1B"/>
    <w:rsid w:val="00D53F42"/>
    <w:rsid w:val="00D54136"/>
    <w:rsid w:val="00D54835"/>
    <w:rsid w:val="00D54BD4"/>
    <w:rsid w:val="00D550F9"/>
    <w:rsid w:val="00D55D06"/>
    <w:rsid w:val="00D55EE5"/>
    <w:rsid w:val="00D56298"/>
    <w:rsid w:val="00D563A2"/>
    <w:rsid w:val="00D56892"/>
    <w:rsid w:val="00D577DF"/>
    <w:rsid w:val="00D57D66"/>
    <w:rsid w:val="00D607B7"/>
    <w:rsid w:val="00D60AA7"/>
    <w:rsid w:val="00D60B38"/>
    <w:rsid w:val="00D60BAA"/>
    <w:rsid w:val="00D61385"/>
    <w:rsid w:val="00D61640"/>
    <w:rsid w:val="00D61715"/>
    <w:rsid w:val="00D61788"/>
    <w:rsid w:val="00D61865"/>
    <w:rsid w:val="00D61896"/>
    <w:rsid w:val="00D61CBC"/>
    <w:rsid w:val="00D623A4"/>
    <w:rsid w:val="00D62C09"/>
    <w:rsid w:val="00D634CB"/>
    <w:rsid w:val="00D635B4"/>
    <w:rsid w:val="00D63FD6"/>
    <w:rsid w:val="00D6417B"/>
    <w:rsid w:val="00D641E6"/>
    <w:rsid w:val="00D6465C"/>
    <w:rsid w:val="00D64D84"/>
    <w:rsid w:val="00D651A9"/>
    <w:rsid w:val="00D65406"/>
    <w:rsid w:val="00D65A6E"/>
    <w:rsid w:val="00D65BDF"/>
    <w:rsid w:val="00D65E42"/>
    <w:rsid w:val="00D6606D"/>
    <w:rsid w:val="00D667AD"/>
    <w:rsid w:val="00D66BE9"/>
    <w:rsid w:val="00D67045"/>
    <w:rsid w:val="00D6723F"/>
    <w:rsid w:val="00D672F0"/>
    <w:rsid w:val="00D67590"/>
    <w:rsid w:val="00D675CA"/>
    <w:rsid w:val="00D6786E"/>
    <w:rsid w:val="00D67ADD"/>
    <w:rsid w:val="00D67DE1"/>
    <w:rsid w:val="00D704CB"/>
    <w:rsid w:val="00D70853"/>
    <w:rsid w:val="00D7086D"/>
    <w:rsid w:val="00D708D0"/>
    <w:rsid w:val="00D71401"/>
    <w:rsid w:val="00D7145D"/>
    <w:rsid w:val="00D716C7"/>
    <w:rsid w:val="00D71990"/>
    <w:rsid w:val="00D71AE5"/>
    <w:rsid w:val="00D71C3D"/>
    <w:rsid w:val="00D71CBC"/>
    <w:rsid w:val="00D71DCE"/>
    <w:rsid w:val="00D72008"/>
    <w:rsid w:val="00D72256"/>
    <w:rsid w:val="00D72315"/>
    <w:rsid w:val="00D72533"/>
    <w:rsid w:val="00D72ABD"/>
    <w:rsid w:val="00D72BED"/>
    <w:rsid w:val="00D72C2C"/>
    <w:rsid w:val="00D732FE"/>
    <w:rsid w:val="00D73570"/>
    <w:rsid w:val="00D7418D"/>
    <w:rsid w:val="00D7442C"/>
    <w:rsid w:val="00D74834"/>
    <w:rsid w:val="00D7502B"/>
    <w:rsid w:val="00D75292"/>
    <w:rsid w:val="00D7552B"/>
    <w:rsid w:val="00D75582"/>
    <w:rsid w:val="00D756ED"/>
    <w:rsid w:val="00D7589B"/>
    <w:rsid w:val="00D75AC2"/>
    <w:rsid w:val="00D75DAC"/>
    <w:rsid w:val="00D76116"/>
    <w:rsid w:val="00D76432"/>
    <w:rsid w:val="00D766A4"/>
    <w:rsid w:val="00D7671E"/>
    <w:rsid w:val="00D76A3E"/>
    <w:rsid w:val="00D804A5"/>
    <w:rsid w:val="00D80A08"/>
    <w:rsid w:val="00D80FB9"/>
    <w:rsid w:val="00D8115A"/>
    <w:rsid w:val="00D811FB"/>
    <w:rsid w:val="00D81276"/>
    <w:rsid w:val="00D8136A"/>
    <w:rsid w:val="00D81807"/>
    <w:rsid w:val="00D81D81"/>
    <w:rsid w:val="00D81DA1"/>
    <w:rsid w:val="00D81EFA"/>
    <w:rsid w:val="00D82486"/>
    <w:rsid w:val="00D82818"/>
    <w:rsid w:val="00D83148"/>
    <w:rsid w:val="00D833DE"/>
    <w:rsid w:val="00D83725"/>
    <w:rsid w:val="00D8398F"/>
    <w:rsid w:val="00D83DAE"/>
    <w:rsid w:val="00D83FF9"/>
    <w:rsid w:val="00D84432"/>
    <w:rsid w:val="00D84D60"/>
    <w:rsid w:val="00D85175"/>
    <w:rsid w:val="00D8521D"/>
    <w:rsid w:val="00D85337"/>
    <w:rsid w:val="00D853ED"/>
    <w:rsid w:val="00D85E16"/>
    <w:rsid w:val="00D86386"/>
    <w:rsid w:val="00D864A6"/>
    <w:rsid w:val="00D86AC9"/>
    <w:rsid w:val="00D86C93"/>
    <w:rsid w:val="00D8702A"/>
    <w:rsid w:val="00D87078"/>
    <w:rsid w:val="00D87088"/>
    <w:rsid w:val="00D870A3"/>
    <w:rsid w:val="00D87459"/>
    <w:rsid w:val="00D8769A"/>
    <w:rsid w:val="00D876CD"/>
    <w:rsid w:val="00D87934"/>
    <w:rsid w:val="00D87B9E"/>
    <w:rsid w:val="00D87F96"/>
    <w:rsid w:val="00D90494"/>
    <w:rsid w:val="00D90567"/>
    <w:rsid w:val="00D907EF"/>
    <w:rsid w:val="00D90834"/>
    <w:rsid w:val="00D90C09"/>
    <w:rsid w:val="00D90C29"/>
    <w:rsid w:val="00D90CE7"/>
    <w:rsid w:val="00D90EAA"/>
    <w:rsid w:val="00D91189"/>
    <w:rsid w:val="00D91F65"/>
    <w:rsid w:val="00D925AA"/>
    <w:rsid w:val="00D92AA2"/>
    <w:rsid w:val="00D92B6F"/>
    <w:rsid w:val="00D92DB9"/>
    <w:rsid w:val="00D92F1A"/>
    <w:rsid w:val="00D92F40"/>
    <w:rsid w:val="00D93D7D"/>
    <w:rsid w:val="00D941F0"/>
    <w:rsid w:val="00D943A4"/>
    <w:rsid w:val="00D949CB"/>
    <w:rsid w:val="00D94ACE"/>
    <w:rsid w:val="00D94C0B"/>
    <w:rsid w:val="00D95034"/>
    <w:rsid w:val="00D952A6"/>
    <w:rsid w:val="00D953F3"/>
    <w:rsid w:val="00D955D9"/>
    <w:rsid w:val="00D9568F"/>
    <w:rsid w:val="00D95ADE"/>
    <w:rsid w:val="00D95B78"/>
    <w:rsid w:val="00D97394"/>
    <w:rsid w:val="00D973ED"/>
    <w:rsid w:val="00D977DE"/>
    <w:rsid w:val="00D97B9D"/>
    <w:rsid w:val="00DA0016"/>
    <w:rsid w:val="00DA08B5"/>
    <w:rsid w:val="00DA0CC8"/>
    <w:rsid w:val="00DA0D6A"/>
    <w:rsid w:val="00DA1C9A"/>
    <w:rsid w:val="00DA1F03"/>
    <w:rsid w:val="00DA1F7D"/>
    <w:rsid w:val="00DA25D3"/>
    <w:rsid w:val="00DA2AB1"/>
    <w:rsid w:val="00DA2B22"/>
    <w:rsid w:val="00DA3495"/>
    <w:rsid w:val="00DA3D5F"/>
    <w:rsid w:val="00DA4013"/>
    <w:rsid w:val="00DA40AA"/>
    <w:rsid w:val="00DA437F"/>
    <w:rsid w:val="00DA4F55"/>
    <w:rsid w:val="00DA510C"/>
    <w:rsid w:val="00DA5276"/>
    <w:rsid w:val="00DA53A8"/>
    <w:rsid w:val="00DA543E"/>
    <w:rsid w:val="00DA5487"/>
    <w:rsid w:val="00DA568E"/>
    <w:rsid w:val="00DA5699"/>
    <w:rsid w:val="00DA5728"/>
    <w:rsid w:val="00DA5AB6"/>
    <w:rsid w:val="00DA5B39"/>
    <w:rsid w:val="00DA5CDE"/>
    <w:rsid w:val="00DA5E1D"/>
    <w:rsid w:val="00DA5EEC"/>
    <w:rsid w:val="00DA653E"/>
    <w:rsid w:val="00DA6564"/>
    <w:rsid w:val="00DA6659"/>
    <w:rsid w:val="00DA6E96"/>
    <w:rsid w:val="00DA6EDD"/>
    <w:rsid w:val="00DA7530"/>
    <w:rsid w:val="00DA758D"/>
    <w:rsid w:val="00DA7754"/>
    <w:rsid w:val="00DA7805"/>
    <w:rsid w:val="00DA7979"/>
    <w:rsid w:val="00DA7ED2"/>
    <w:rsid w:val="00DB015D"/>
    <w:rsid w:val="00DB030A"/>
    <w:rsid w:val="00DB0999"/>
    <w:rsid w:val="00DB0A6B"/>
    <w:rsid w:val="00DB0B04"/>
    <w:rsid w:val="00DB0DA2"/>
    <w:rsid w:val="00DB0F5E"/>
    <w:rsid w:val="00DB141E"/>
    <w:rsid w:val="00DB1A74"/>
    <w:rsid w:val="00DB1AE7"/>
    <w:rsid w:val="00DB1E3C"/>
    <w:rsid w:val="00DB1E93"/>
    <w:rsid w:val="00DB2098"/>
    <w:rsid w:val="00DB2154"/>
    <w:rsid w:val="00DB278F"/>
    <w:rsid w:val="00DB27AE"/>
    <w:rsid w:val="00DB2A33"/>
    <w:rsid w:val="00DB2C9A"/>
    <w:rsid w:val="00DB2E06"/>
    <w:rsid w:val="00DB2EB2"/>
    <w:rsid w:val="00DB2FB5"/>
    <w:rsid w:val="00DB2FCD"/>
    <w:rsid w:val="00DB35BB"/>
    <w:rsid w:val="00DB37C6"/>
    <w:rsid w:val="00DB3C15"/>
    <w:rsid w:val="00DB3D89"/>
    <w:rsid w:val="00DB40D0"/>
    <w:rsid w:val="00DB42CF"/>
    <w:rsid w:val="00DB4D94"/>
    <w:rsid w:val="00DB50AC"/>
    <w:rsid w:val="00DB54DF"/>
    <w:rsid w:val="00DB560F"/>
    <w:rsid w:val="00DB6019"/>
    <w:rsid w:val="00DB617F"/>
    <w:rsid w:val="00DB6C3C"/>
    <w:rsid w:val="00DB78BD"/>
    <w:rsid w:val="00DC049D"/>
    <w:rsid w:val="00DC0933"/>
    <w:rsid w:val="00DC0A97"/>
    <w:rsid w:val="00DC0B94"/>
    <w:rsid w:val="00DC1158"/>
    <w:rsid w:val="00DC14DC"/>
    <w:rsid w:val="00DC15D2"/>
    <w:rsid w:val="00DC1726"/>
    <w:rsid w:val="00DC2515"/>
    <w:rsid w:val="00DC2528"/>
    <w:rsid w:val="00DC26B4"/>
    <w:rsid w:val="00DC2BC6"/>
    <w:rsid w:val="00DC2E60"/>
    <w:rsid w:val="00DC2EB9"/>
    <w:rsid w:val="00DC2FA5"/>
    <w:rsid w:val="00DC3205"/>
    <w:rsid w:val="00DC3235"/>
    <w:rsid w:val="00DC3346"/>
    <w:rsid w:val="00DC3377"/>
    <w:rsid w:val="00DC34AF"/>
    <w:rsid w:val="00DC3519"/>
    <w:rsid w:val="00DC385D"/>
    <w:rsid w:val="00DC3A6B"/>
    <w:rsid w:val="00DC3AFC"/>
    <w:rsid w:val="00DC3DA6"/>
    <w:rsid w:val="00DC403D"/>
    <w:rsid w:val="00DC4882"/>
    <w:rsid w:val="00DC5324"/>
    <w:rsid w:val="00DC5743"/>
    <w:rsid w:val="00DC575B"/>
    <w:rsid w:val="00DC5892"/>
    <w:rsid w:val="00DC6072"/>
    <w:rsid w:val="00DC61A4"/>
    <w:rsid w:val="00DC641E"/>
    <w:rsid w:val="00DC6873"/>
    <w:rsid w:val="00DC6AEC"/>
    <w:rsid w:val="00DC6C2C"/>
    <w:rsid w:val="00DC6D48"/>
    <w:rsid w:val="00DD00A3"/>
    <w:rsid w:val="00DD070A"/>
    <w:rsid w:val="00DD086F"/>
    <w:rsid w:val="00DD095F"/>
    <w:rsid w:val="00DD13F7"/>
    <w:rsid w:val="00DD1F00"/>
    <w:rsid w:val="00DD214C"/>
    <w:rsid w:val="00DD2969"/>
    <w:rsid w:val="00DD2A87"/>
    <w:rsid w:val="00DD2B15"/>
    <w:rsid w:val="00DD2B4D"/>
    <w:rsid w:val="00DD2CD8"/>
    <w:rsid w:val="00DD2D30"/>
    <w:rsid w:val="00DD2D5E"/>
    <w:rsid w:val="00DD2EBC"/>
    <w:rsid w:val="00DD2F37"/>
    <w:rsid w:val="00DD3866"/>
    <w:rsid w:val="00DD3BF9"/>
    <w:rsid w:val="00DD3D85"/>
    <w:rsid w:val="00DD3E54"/>
    <w:rsid w:val="00DD42B7"/>
    <w:rsid w:val="00DD4F20"/>
    <w:rsid w:val="00DD550A"/>
    <w:rsid w:val="00DD560C"/>
    <w:rsid w:val="00DD5F9B"/>
    <w:rsid w:val="00DD5FF5"/>
    <w:rsid w:val="00DD60ED"/>
    <w:rsid w:val="00DD693C"/>
    <w:rsid w:val="00DD6B36"/>
    <w:rsid w:val="00DD723B"/>
    <w:rsid w:val="00DD72AC"/>
    <w:rsid w:val="00DD7335"/>
    <w:rsid w:val="00DD7E7E"/>
    <w:rsid w:val="00DE0B15"/>
    <w:rsid w:val="00DE0BE8"/>
    <w:rsid w:val="00DE0CAD"/>
    <w:rsid w:val="00DE119E"/>
    <w:rsid w:val="00DE181C"/>
    <w:rsid w:val="00DE1BF2"/>
    <w:rsid w:val="00DE2489"/>
    <w:rsid w:val="00DE27C1"/>
    <w:rsid w:val="00DE287B"/>
    <w:rsid w:val="00DE2CAE"/>
    <w:rsid w:val="00DE2D15"/>
    <w:rsid w:val="00DE318B"/>
    <w:rsid w:val="00DE31B4"/>
    <w:rsid w:val="00DE3502"/>
    <w:rsid w:val="00DE3878"/>
    <w:rsid w:val="00DE3E88"/>
    <w:rsid w:val="00DE3F88"/>
    <w:rsid w:val="00DE3FE7"/>
    <w:rsid w:val="00DE42B2"/>
    <w:rsid w:val="00DE4951"/>
    <w:rsid w:val="00DE4B7C"/>
    <w:rsid w:val="00DE544D"/>
    <w:rsid w:val="00DE59B3"/>
    <w:rsid w:val="00DE5B48"/>
    <w:rsid w:val="00DE5C1F"/>
    <w:rsid w:val="00DE5E40"/>
    <w:rsid w:val="00DE70B7"/>
    <w:rsid w:val="00DF0788"/>
    <w:rsid w:val="00DF08E4"/>
    <w:rsid w:val="00DF09F9"/>
    <w:rsid w:val="00DF0D46"/>
    <w:rsid w:val="00DF1365"/>
    <w:rsid w:val="00DF16E7"/>
    <w:rsid w:val="00DF199B"/>
    <w:rsid w:val="00DF2193"/>
    <w:rsid w:val="00DF2492"/>
    <w:rsid w:val="00DF2B16"/>
    <w:rsid w:val="00DF2B9E"/>
    <w:rsid w:val="00DF2D10"/>
    <w:rsid w:val="00DF2E47"/>
    <w:rsid w:val="00DF3006"/>
    <w:rsid w:val="00DF4031"/>
    <w:rsid w:val="00DF40B5"/>
    <w:rsid w:val="00DF43E6"/>
    <w:rsid w:val="00DF4F51"/>
    <w:rsid w:val="00DF6A3E"/>
    <w:rsid w:val="00DF6AE8"/>
    <w:rsid w:val="00DF6BD5"/>
    <w:rsid w:val="00DF6CE0"/>
    <w:rsid w:val="00DF6E80"/>
    <w:rsid w:val="00DF7897"/>
    <w:rsid w:val="00DF7CDA"/>
    <w:rsid w:val="00DF7D73"/>
    <w:rsid w:val="00E003C5"/>
    <w:rsid w:val="00E00AAD"/>
    <w:rsid w:val="00E00ADE"/>
    <w:rsid w:val="00E00E90"/>
    <w:rsid w:val="00E01743"/>
    <w:rsid w:val="00E01B74"/>
    <w:rsid w:val="00E020C0"/>
    <w:rsid w:val="00E021CF"/>
    <w:rsid w:val="00E022AC"/>
    <w:rsid w:val="00E024F1"/>
    <w:rsid w:val="00E02BC7"/>
    <w:rsid w:val="00E02D0E"/>
    <w:rsid w:val="00E0345B"/>
    <w:rsid w:val="00E040C1"/>
    <w:rsid w:val="00E04144"/>
    <w:rsid w:val="00E043C9"/>
    <w:rsid w:val="00E04B6C"/>
    <w:rsid w:val="00E04BE8"/>
    <w:rsid w:val="00E04D00"/>
    <w:rsid w:val="00E05181"/>
    <w:rsid w:val="00E051C2"/>
    <w:rsid w:val="00E0560B"/>
    <w:rsid w:val="00E056CD"/>
    <w:rsid w:val="00E057C8"/>
    <w:rsid w:val="00E06381"/>
    <w:rsid w:val="00E068AD"/>
    <w:rsid w:val="00E06C03"/>
    <w:rsid w:val="00E06C1E"/>
    <w:rsid w:val="00E06E5B"/>
    <w:rsid w:val="00E06EAC"/>
    <w:rsid w:val="00E07A4A"/>
    <w:rsid w:val="00E07AF6"/>
    <w:rsid w:val="00E07D1C"/>
    <w:rsid w:val="00E100E3"/>
    <w:rsid w:val="00E10167"/>
    <w:rsid w:val="00E101F3"/>
    <w:rsid w:val="00E10394"/>
    <w:rsid w:val="00E10B40"/>
    <w:rsid w:val="00E10F44"/>
    <w:rsid w:val="00E10FBA"/>
    <w:rsid w:val="00E11007"/>
    <w:rsid w:val="00E11055"/>
    <w:rsid w:val="00E112F7"/>
    <w:rsid w:val="00E11493"/>
    <w:rsid w:val="00E115F7"/>
    <w:rsid w:val="00E117EB"/>
    <w:rsid w:val="00E119E1"/>
    <w:rsid w:val="00E11A33"/>
    <w:rsid w:val="00E11F08"/>
    <w:rsid w:val="00E123F0"/>
    <w:rsid w:val="00E12FAB"/>
    <w:rsid w:val="00E13754"/>
    <w:rsid w:val="00E1395F"/>
    <w:rsid w:val="00E13B2F"/>
    <w:rsid w:val="00E13E5F"/>
    <w:rsid w:val="00E14129"/>
    <w:rsid w:val="00E14476"/>
    <w:rsid w:val="00E14586"/>
    <w:rsid w:val="00E14794"/>
    <w:rsid w:val="00E15577"/>
    <w:rsid w:val="00E15D1E"/>
    <w:rsid w:val="00E16378"/>
    <w:rsid w:val="00E16538"/>
    <w:rsid w:val="00E165DE"/>
    <w:rsid w:val="00E16CB1"/>
    <w:rsid w:val="00E16D6D"/>
    <w:rsid w:val="00E17393"/>
    <w:rsid w:val="00E177C8"/>
    <w:rsid w:val="00E177E0"/>
    <w:rsid w:val="00E17897"/>
    <w:rsid w:val="00E17BAF"/>
    <w:rsid w:val="00E17D49"/>
    <w:rsid w:val="00E2028F"/>
    <w:rsid w:val="00E20745"/>
    <w:rsid w:val="00E20C99"/>
    <w:rsid w:val="00E20D6C"/>
    <w:rsid w:val="00E20D8A"/>
    <w:rsid w:val="00E20DDA"/>
    <w:rsid w:val="00E20E19"/>
    <w:rsid w:val="00E211A4"/>
    <w:rsid w:val="00E215D8"/>
    <w:rsid w:val="00E218CA"/>
    <w:rsid w:val="00E21A5A"/>
    <w:rsid w:val="00E21C1C"/>
    <w:rsid w:val="00E220FF"/>
    <w:rsid w:val="00E2211A"/>
    <w:rsid w:val="00E22527"/>
    <w:rsid w:val="00E22747"/>
    <w:rsid w:val="00E22900"/>
    <w:rsid w:val="00E23508"/>
    <w:rsid w:val="00E236C4"/>
    <w:rsid w:val="00E23B48"/>
    <w:rsid w:val="00E23CA9"/>
    <w:rsid w:val="00E24157"/>
    <w:rsid w:val="00E24226"/>
    <w:rsid w:val="00E24302"/>
    <w:rsid w:val="00E24F0F"/>
    <w:rsid w:val="00E259C5"/>
    <w:rsid w:val="00E25B48"/>
    <w:rsid w:val="00E25FAA"/>
    <w:rsid w:val="00E26ACE"/>
    <w:rsid w:val="00E27368"/>
    <w:rsid w:val="00E27608"/>
    <w:rsid w:val="00E27753"/>
    <w:rsid w:val="00E27898"/>
    <w:rsid w:val="00E27A87"/>
    <w:rsid w:val="00E3006A"/>
    <w:rsid w:val="00E302BB"/>
    <w:rsid w:val="00E30587"/>
    <w:rsid w:val="00E30D0E"/>
    <w:rsid w:val="00E30D6E"/>
    <w:rsid w:val="00E30E09"/>
    <w:rsid w:val="00E31A21"/>
    <w:rsid w:val="00E31EBB"/>
    <w:rsid w:val="00E320CB"/>
    <w:rsid w:val="00E323E2"/>
    <w:rsid w:val="00E3287D"/>
    <w:rsid w:val="00E32C35"/>
    <w:rsid w:val="00E33045"/>
    <w:rsid w:val="00E33373"/>
    <w:rsid w:val="00E336F7"/>
    <w:rsid w:val="00E33973"/>
    <w:rsid w:val="00E33A83"/>
    <w:rsid w:val="00E33AB0"/>
    <w:rsid w:val="00E33E42"/>
    <w:rsid w:val="00E3413B"/>
    <w:rsid w:val="00E3471B"/>
    <w:rsid w:val="00E3491A"/>
    <w:rsid w:val="00E34AED"/>
    <w:rsid w:val="00E34C5B"/>
    <w:rsid w:val="00E34C67"/>
    <w:rsid w:val="00E353BE"/>
    <w:rsid w:val="00E35615"/>
    <w:rsid w:val="00E36512"/>
    <w:rsid w:val="00E365E9"/>
    <w:rsid w:val="00E36658"/>
    <w:rsid w:val="00E36BBC"/>
    <w:rsid w:val="00E36CDF"/>
    <w:rsid w:val="00E3705B"/>
    <w:rsid w:val="00E371BB"/>
    <w:rsid w:val="00E37594"/>
    <w:rsid w:val="00E375A5"/>
    <w:rsid w:val="00E37792"/>
    <w:rsid w:val="00E37867"/>
    <w:rsid w:val="00E37F26"/>
    <w:rsid w:val="00E37F9A"/>
    <w:rsid w:val="00E404C8"/>
    <w:rsid w:val="00E4087C"/>
    <w:rsid w:val="00E4093D"/>
    <w:rsid w:val="00E40E31"/>
    <w:rsid w:val="00E4166F"/>
    <w:rsid w:val="00E41DE5"/>
    <w:rsid w:val="00E4299E"/>
    <w:rsid w:val="00E42C70"/>
    <w:rsid w:val="00E430D1"/>
    <w:rsid w:val="00E4322A"/>
    <w:rsid w:val="00E4385F"/>
    <w:rsid w:val="00E44544"/>
    <w:rsid w:val="00E44F0C"/>
    <w:rsid w:val="00E44FDC"/>
    <w:rsid w:val="00E45325"/>
    <w:rsid w:val="00E4592D"/>
    <w:rsid w:val="00E45C87"/>
    <w:rsid w:val="00E46700"/>
    <w:rsid w:val="00E46712"/>
    <w:rsid w:val="00E4688F"/>
    <w:rsid w:val="00E46DD5"/>
    <w:rsid w:val="00E477FD"/>
    <w:rsid w:val="00E47DD3"/>
    <w:rsid w:val="00E5008F"/>
    <w:rsid w:val="00E50557"/>
    <w:rsid w:val="00E513C9"/>
    <w:rsid w:val="00E518F9"/>
    <w:rsid w:val="00E51E1B"/>
    <w:rsid w:val="00E522AC"/>
    <w:rsid w:val="00E528EC"/>
    <w:rsid w:val="00E5296F"/>
    <w:rsid w:val="00E52AC0"/>
    <w:rsid w:val="00E53542"/>
    <w:rsid w:val="00E53545"/>
    <w:rsid w:val="00E5414A"/>
    <w:rsid w:val="00E54450"/>
    <w:rsid w:val="00E54FE9"/>
    <w:rsid w:val="00E550ED"/>
    <w:rsid w:val="00E5513B"/>
    <w:rsid w:val="00E5521E"/>
    <w:rsid w:val="00E55444"/>
    <w:rsid w:val="00E55D2D"/>
    <w:rsid w:val="00E562B6"/>
    <w:rsid w:val="00E566F4"/>
    <w:rsid w:val="00E566FD"/>
    <w:rsid w:val="00E569C8"/>
    <w:rsid w:val="00E56FFE"/>
    <w:rsid w:val="00E5706F"/>
    <w:rsid w:val="00E57389"/>
    <w:rsid w:val="00E576C6"/>
    <w:rsid w:val="00E60461"/>
    <w:rsid w:val="00E60487"/>
    <w:rsid w:val="00E60858"/>
    <w:rsid w:val="00E608E5"/>
    <w:rsid w:val="00E61ACF"/>
    <w:rsid w:val="00E61BB2"/>
    <w:rsid w:val="00E61BC7"/>
    <w:rsid w:val="00E62142"/>
    <w:rsid w:val="00E6222F"/>
    <w:rsid w:val="00E625DE"/>
    <w:rsid w:val="00E6303C"/>
    <w:rsid w:val="00E631E6"/>
    <w:rsid w:val="00E632C0"/>
    <w:rsid w:val="00E635C6"/>
    <w:rsid w:val="00E63E80"/>
    <w:rsid w:val="00E640F3"/>
    <w:rsid w:val="00E64255"/>
    <w:rsid w:val="00E643ED"/>
    <w:rsid w:val="00E64588"/>
    <w:rsid w:val="00E64FC2"/>
    <w:rsid w:val="00E651A8"/>
    <w:rsid w:val="00E655C5"/>
    <w:rsid w:val="00E65C45"/>
    <w:rsid w:val="00E65D30"/>
    <w:rsid w:val="00E65DB0"/>
    <w:rsid w:val="00E65EB4"/>
    <w:rsid w:val="00E66299"/>
    <w:rsid w:val="00E66673"/>
    <w:rsid w:val="00E67280"/>
    <w:rsid w:val="00E67570"/>
    <w:rsid w:val="00E678C9"/>
    <w:rsid w:val="00E67B35"/>
    <w:rsid w:val="00E70030"/>
    <w:rsid w:val="00E70484"/>
    <w:rsid w:val="00E706A7"/>
    <w:rsid w:val="00E7091E"/>
    <w:rsid w:val="00E70CEC"/>
    <w:rsid w:val="00E710AC"/>
    <w:rsid w:val="00E710F5"/>
    <w:rsid w:val="00E71131"/>
    <w:rsid w:val="00E714FD"/>
    <w:rsid w:val="00E717F8"/>
    <w:rsid w:val="00E718E0"/>
    <w:rsid w:val="00E71F35"/>
    <w:rsid w:val="00E7236A"/>
    <w:rsid w:val="00E72584"/>
    <w:rsid w:val="00E728C4"/>
    <w:rsid w:val="00E730A9"/>
    <w:rsid w:val="00E73832"/>
    <w:rsid w:val="00E7398E"/>
    <w:rsid w:val="00E73DEA"/>
    <w:rsid w:val="00E73F52"/>
    <w:rsid w:val="00E74526"/>
    <w:rsid w:val="00E75283"/>
    <w:rsid w:val="00E752C9"/>
    <w:rsid w:val="00E7531A"/>
    <w:rsid w:val="00E7557C"/>
    <w:rsid w:val="00E75909"/>
    <w:rsid w:val="00E759BE"/>
    <w:rsid w:val="00E75E82"/>
    <w:rsid w:val="00E75FEB"/>
    <w:rsid w:val="00E76553"/>
    <w:rsid w:val="00E76615"/>
    <w:rsid w:val="00E77A8B"/>
    <w:rsid w:val="00E801E0"/>
    <w:rsid w:val="00E8039D"/>
    <w:rsid w:val="00E804C6"/>
    <w:rsid w:val="00E8061F"/>
    <w:rsid w:val="00E80F9A"/>
    <w:rsid w:val="00E811A3"/>
    <w:rsid w:val="00E8149C"/>
    <w:rsid w:val="00E8161D"/>
    <w:rsid w:val="00E8227B"/>
    <w:rsid w:val="00E827B5"/>
    <w:rsid w:val="00E829C0"/>
    <w:rsid w:val="00E8348B"/>
    <w:rsid w:val="00E83B39"/>
    <w:rsid w:val="00E83EB7"/>
    <w:rsid w:val="00E8408B"/>
    <w:rsid w:val="00E84152"/>
    <w:rsid w:val="00E84FE1"/>
    <w:rsid w:val="00E8504A"/>
    <w:rsid w:val="00E850F6"/>
    <w:rsid w:val="00E857BF"/>
    <w:rsid w:val="00E85BF2"/>
    <w:rsid w:val="00E85EC3"/>
    <w:rsid w:val="00E862D7"/>
    <w:rsid w:val="00E863A9"/>
    <w:rsid w:val="00E86CCD"/>
    <w:rsid w:val="00E86E9C"/>
    <w:rsid w:val="00E86F81"/>
    <w:rsid w:val="00E87356"/>
    <w:rsid w:val="00E8751A"/>
    <w:rsid w:val="00E875E6"/>
    <w:rsid w:val="00E87794"/>
    <w:rsid w:val="00E8782F"/>
    <w:rsid w:val="00E87FAE"/>
    <w:rsid w:val="00E90115"/>
    <w:rsid w:val="00E90234"/>
    <w:rsid w:val="00E90537"/>
    <w:rsid w:val="00E90730"/>
    <w:rsid w:val="00E91945"/>
    <w:rsid w:val="00E91D83"/>
    <w:rsid w:val="00E921E7"/>
    <w:rsid w:val="00E9260B"/>
    <w:rsid w:val="00E928A7"/>
    <w:rsid w:val="00E92D40"/>
    <w:rsid w:val="00E92FB4"/>
    <w:rsid w:val="00E9353C"/>
    <w:rsid w:val="00E936F5"/>
    <w:rsid w:val="00E938B3"/>
    <w:rsid w:val="00E939A0"/>
    <w:rsid w:val="00E93C33"/>
    <w:rsid w:val="00E93D8F"/>
    <w:rsid w:val="00E93FA0"/>
    <w:rsid w:val="00E9418D"/>
    <w:rsid w:val="00E94469"/>
    <w:rsid w:val="00E946C3"/>
    <w:rsid w:val="00E94B00"/>
    <w:rsid w:val="00E94F4E"/>
    <w:rsid w:val="00E956A1"/>
    <w:rsid w:val="00E95A5F"/>
    <w:rsid w:val="00E95DD2"/>
    <w:rsid w:val="00E96569"/>
    <w:rsid w:val="00E966F5"/>
    <w:rsid w:val="00E96ACF"/>
    <w:rsid w:val="00E9722C"/>
    <w:rsid w:val="00E97D54"/>
    <w:rsid w:val="00EA038B"/>
    <w:rsid w:val="00EA0A6D"/>
    <w:rsid w:val="00EA0EB1"/>
    <w:rsid w:val="00EA148C"/>
    <w:rsid w:val="00EA19C4"/>
    <w:rsid w:val="00EA1B82"/>
    <w:rsid w:val="00EA1F23"/>
    <w:rsid w:val="00EA24BE"/>
    <w:rsid w:val="00EA2611"/>
    <w:rsid w:val="00EA285A"/>
    <w:rsid w:val="00EA29FD"/>
    <w:rsid w:val="00EA2A08"/>
    <w:rsid w:val="00EA2F02"/>
    <w:rsid w:val="00EA3113"/>
    <w:rsid w:val="00EA33E0"/>
    <w:rsid w:val="00EA363B"/>
    <w:rsid w:val="00EA3960"/>
    <w:rsid w:val="00EA3A5A"/>
    <w:rsid w:val="00EA4226"/>
    <w:rsid w:val="00EA4236"/>
    <w:rsid w:val="00EA4ADC"/>
    <w:rsid w:val="00EA4B61"/>
    <w:rsid w:val="00EA4B84"/>
    <w:rsid w:val="00EA4FA9"/>
    <w:rsid w:val="00EA501B"/>
    <w:rsid w:val="00EA52C7"/>
    <w:rsid w:val="00EA5882"/>
    <w:rsid w:val="00EA5953"/>
    <w:rsid w:val="00EA5DB1"/>
    <w:rsid w:val="00EA68D8"/>
    <w:rsid w:val="00EA6A98"/>
    <w:rsid w:val="00EA79A9"/>
    <w:rsid w:val="00EB0334"/>
    <w:rsid w:val="00EB056A"/>
    <w:rsid w:val="00EB0A0B"/>
    <w:rsid w:val="00EB11A6"/>
    <w:rsid w:val="00EB1443"/>
    <w:rsid w:val="00EB1ACE"/>
    <w:rsid w:val="00EB1B3E"/>
    <w:rsid w:val="00EB1B82"/>
    <w:rsid w:val="00EB20F5"/>
    <w:rsid w:val="00EB24C5"/>
    <w:rsid w:val="00EB2710"/>
    <w:rsid w:val="00EB296B"/>
    <w:rsid w:val="00EB2C46"/>
    <w:rsid w:val="00EB3DC9"/>
    <w:rsid w:val="00EB448B"/>
    <w:rsid w:val="00EB4510"/>
    <w:rsid w:val="00EB5972"/>
    <w:rsid w:val="00EB5D4C"/>
    <w:rsid w:val="00EB6540"/>
    <w:rsid w:val="00EB736A"/>
    <w:rsid w:val="00EB7732"/>
    <w:rsid w:val="00EB7C27"/>
    <w:rsid w:val="00EC0C4A"/>
    <w:rsid w:val="00EC0D8A"/>
    <w:rsid w:val="00EC0E87"/>
    <w:rsid w:val="00EC187C"/>
    <w:rsid w:val="00EC1F2F"/>
    <w:rsid w:val="00EC226E"/>
    <w:rsid w:val="00EC26FC"/>
    <w:rsid w:val="00EC294E"/>
    <w:rsid w:val="00EC3479"/>
    <w:rsid w:val="00EC36AC"/>
    <w:rsid w:val="00EC37E2"/>
    <w:rsid w:val="00EC382A"/>
    <w:rsid w:val="00EC39A6"/>
    <w:rsid w:val="00EC3A0F"/>
    <w:rsid w:val="00EC4168"/>
    <w:rsid w:val="00EC4212"/>
    <w:rsid w:val="00EC42BB"/>
    <w:rsid w:val="00EC43C5"/>
    <w:rsid w:val="00EC45F7"/>
    <w:rsid w:val="00EC4986"/>
    <w:rsid w:val="00EC4BE2"/>
    <w:rsid w:val="00EC4DEB"/>
    <w:rsid w:val="00EC4F17"/>
    <w:rsid w:val="00EC504A"/>
    <w:rsid w:val="00EC5083"/>
    <w:rsid w:val="00EC59E4"/>
    <w:rsid w:val="00EC60DD"/>
    <w:rsid w:val="00EC6AEA"/>
    <w:rsid w:val="00EC6B94"/>
    <w:rsid w:val="00EC70C7"/>
    <w:rsid w:val="00EC729E"/>
    <w:rsid w:val="00EC72E4"/>
    <w:rsid w:val="00EC75B4"/>
    <w:rsid w:val="00ED0160"/>
    <w:rsid w:val="00ED03AF"/>
    <w:rsid w:val="00ED03BB"/>
    <w:rsid w:val="00ED05B8"/>
    <w:rsid w:val="00ED06D7"/>
    <w:rsid w:val="00ED08EF"/>
    <w:rsid w:val="00ED0E1D"/>
    <w:rsid w:val="00ED13A5"/>
    <w:rsid w:val="00ED13AC"/>
    <w:rsid w:val="00ED13FC"/>
    <w:rsid w:val="00ED1571"/>
    <w:rsid w:val="00ED164D"/>
    <w:rsid w:val="00ED1A31"/>
    <w:rsid w:val="00ED1C06"/>
    <w:rsid w:val="00ED1D82"/>
    <w:rsid w:val="00ED1D86"/>
    <w:rsid w:val="00ED1DF3"/>
    <w:rsid w:val="00ED1FEE"/>
    <w:rsid w:val="00ED2BFA"/>
    <w:rsid w:val="00ED2FDA"/>
    <w:rsid w:val="00ED3AD9"/>
    <w:rsid w:val="00ED3C21"/>
    <w:rsid w:val="00ED3CC7"/>
    <w:rsid w:val="00ED3D80"/>
    <w:rsid w:val="00ED3EDA"/>
    <w:rsid w:val="00ED4051"/>
    <w:rsid w:val="00ED419D"/>
    <w:rsid w:val="00ED433B"/>
    <w:rsid w:val="00ED4F33"/>
    <w:rsid w:val="00ED5008"/>
    <w:rsid w:val="00ED552B"/>
    <w:rsid w:val="00ED5723"/>
    <w:rsid w:val="00ED5C2C"/>
    <w:rsid w:val="00ED5FB4"/>
    <w:rsid w:val="00ED68FD"/>
    <w:rsid w:val="00ED6957"/>
    <w:rsid w:val="00ED69E3"/>
    <w:rsid w:val="00ED6BEF"/>
    <w:rsid w:val="00ED6D3F"/>
    <w:rsid w:val="00ED7518"/>
    <w:rsid w:val="00ED776E"/>
    <w:rsid w:val="00ED77A2"/>
    <w:rsid w:val="00EE02C7"/>
    <w:rsid w:val="00EE051F"/>
    <w:rsid w:val="00EE0C88"/>
    <w:rsid w:val="00EE0CAA"/>
    <w:rsid w:val="00EE1009"/>
    <w:rsid w:val="00EE1096"/>
    <w:rsid w:val="00EE14D8"/>
    <w:rsid w:val="00EE16D3"/>
    <w:rsid w:val="00EE20F3"/>
    <w:rsid w:val="00EE21ED"/>
    <w:rsid w:val="00EE2B7E"/>
    <w:rsid w:val="00EE2C4F"/>
    <w:rsid w:val="00EE368E"/>
    <w:rsid w:val="00EE38A0"/>
    <w:rsid w:val="00EE3AB2"/>
    <w:rsid w:val="00EE4344"/>
    <w:rsid w:val="00EE457B"/>
    <w:rsid w:val="00EE491E"/>
    <w:rsid w:val="00EE4EFD"/>
    <w:rsid w:val="00EE4F79"/>
    <w:rsid w:val="00EE509E"/>
    <w:rsid w:val="00EE5194"/>
    <w:rsid w:val="00EE5424"/>
    <w:rsid w:val="00EE5652"/>
    <w:rsid w:val="00EE5A01"/>
    <w:rsid w:val="00EE5FBB"/>
    <w:rsid w:val="00EE6122"/>
    <w:rsid w:val="00EE63FD"/>
    <w:rsid w:val="00EE6461"/>
    <w:rsid w:val="00EE651A"/>
    <w:rsid w:val="00EE66BA"/>
    <w:rsid w:val="00EE6CCA"/>
    <w:rsid w:val="00EE6DC1"/>
    <w:rsid w:val="00EE703A"/>
    <w:rsid w:val="00EE7F14"/>
    <w:rsid w:val="00EF0138"/>
    <w:rsid w:val="00EF0198"/>
    <w:rsid w:val="00EF0E69"/>
    <w:rsid w:val="00EF149D"/>
    <w:rsid w:val="00EF15AD"/>
    <w:rsid w:val="00EF17A5"/>
    <w:rsid w:val="00EF1B22"/>
    <w:rsid w:val="00EF1F43"/>
    <w:rsid w:val="00EF21D2"/>
    <w:rsid w:val="00EF34A8"/>
    <w:rsid w:val="00EF35AA"/>
    <w:rsid w:val="00EF39AB"/>
    <w:rsid w:val="00EF3D8B"/>
    <w:rsid w:val="00EF3DBE"/>
    <w:rsid w:val="00EF425B"/>
    <w:rsid w:val="00EF4384"/>
    <w:rsid w:val="00EF43C5"/>
    <w:rsid w:val="00EF4751"/>
    <w:rsid w:val="00EF47F3"/>
    <w:rsid w:val="00EF4C02"/>
    <w:rsid w:val="00EF50EF"/>
    <w:rsid w:val="00EF5281"/>
    <w:rsid w:val="00EF5640"/>
    <w:rsid w:val="00EF5B1E"/>
    <w:rsid w:val="00EF5BD3"/>
    <w:rsid w:val="00EF5E8E"/>
    <w:rsid w:val="00EF6B09"/>
    <w:rsid w:val="00EF6B94"/>
    <w:rsid w:val="00EF7318"/>
    <w:rsid w:val="00EF7344"/>
    <w:rsid w:val="00EF7472"/>
    <w:rsid w:val="00EF7C91"/>
    <w:rsid w:val="00EF7D3F"/>
    <w:rsid w:val="00EF7F59"/>
    <w:rsid w:val="00F0011A"/>
    <w:rsid w:val="00F0028F"/>
    <w:rsid w:val="00F006C6"/>
    <w:rsid w:val="00F00732"/>
    <w:rsid w:val="00F00A7F"/>
    <w:rsid w:val="00F00B55"/>
    <w:rsid w:val="00F00C50"/>
    <w:rsid w:val="00F00D63"/>
    <w:rsid w:val="00F010F8"/>
    <w:rsid w:val="00F0138F"/>
    <w:rsid w:val="00F017AA"/>
    <w:rsid w:val="00F0181F"/>
    <w:rsid w:val="00F0183B"/>
    <w:rsid w:val="00F019AD"/>
    <w:rsid w:val="00F019E6"/>
    <w:rsid w:val="00F01D8C"/>
    <w:rsid w:val="00F01E81"/>
    <w:rsid w:val="00F020AB"/>
    <w:rsid w:val="00F027C1"/>
    <w:rsid w:val="00F02D08"/>
    <w:rsid w:val="00F03153"/>
    <w:rsid w:val="00F0358D"/>
    <w:rsid w:val="00F03793"/>
    <w:rsid w:val="00F037BE"/>
    <w:rsid w:val="00F03CC3"/>
    <w:rsid w:val="00F03DC2"/>
    <w:rsid w:val="00F042D3"/>
    <w:rsid w:val="00F0440E"/>
    <w:rsid w:val="00F04777"/>
    <w:rsid w:val="00F04AC0"/>
    <w:rsid w:val="00F04BDF"/>
    <w:rsid w:val="00F050CE"/>
    <w:rsid w:val="00F0537B"/>
    <w:rsid w:val="00F0537E"/>
    <w:rsid w:val="00F064D2"/>
    <w:rsid w:val="00F06557"/>
    <w:rsid w:val="00F06733"/>
    <w:rsid w:val="00F06BDE"/>
    <w:rsid w:val="00F06E54"/>
    <w:rsid w:val="00F0748C"/>
    <w:rsid w:val="00F075C0"/>
    <w:rsid w:val="00F07B71"/>
    <w:rsid w:val="00F07D2B"/>
    <w:rsid w:val="00F07E24"/>
    <w:rsid w:val="00F07E68"/>
    <w:rsid w:val="00F100BC"/>
    <w:rsid w:val="00F10421"/>
    <w:rsid w:val="00F105AD"/>
    <w:rsid w:val="00F106A9"/>
    <w:rsid w:val="00F10920"/>
    <w:rsid w:val="00F10E82"/>
    <w:rsid w:val="00F10F16"/>
    <w:rsid w:val="00F112C3"/>
    <w:rsid w:val="00F11F08"/>
    <w:rsid w:val="00F12140"/>
    <w:rsid w:val="00F12230"/>
    <w:rsid w:val="00F125A4"/>
    <w:rsid w:val="00F12724"/>
    <w:rsid w:val="00F1276E"/>
    <w:rsid w:val="00F127C6"/>
    <w:rsid w:val="00F130A4"/>
    <w:rsid w:val="00F133CD"/>
    <w:rsid w:val="00F13776"/>
    <w:rsid w:val="00F13892"/>
    <w:rsid w:val="00F1391E"/>
    <w:rsid w:val="00F13974"/>
    <w:rsid w:val="00F139E7"/>
    <w:rsid w:val="00F13A73"/>
    <w:rsid w:val="00F13C84"/>
    <w:rsid w:val="00F1409C"/>
    <w:rsid w:val="00F14D29"/>
    <w:rsid w:val="00F1524D"/>
    <w:rsid w:val="00F1588C"/>
    <w:rsid w:val="00F15D91"/>
    <w:rsid w:val="00F15DBF"/>
    <w:rsid w:val="00F15FE0"/>
    <w:rsid w:val="00F160F3"/>
    <w:rsid w:val="00F16231"/>
    <w:rsid w:val="00F163C4"/>
    <w:rsid w:val="00F16740"/>
    <w:rsid w:val="00F16CBC"/>
    <w:rsid w:val="00F17792"/>
    <w:rsid w:val="00F17A93"/>
    <w:rsid w:val="00F17CD8"/>
    <w:rsid w:val="00F17D5C"/>
    <w:rsid w:val="00F17D87"/>
    <w:rsid w:val="00F17F85"/>
    <w:rsid w:val="00F202D1"/>
    <w:rsid w:val="00F2066B"/>
    <w:rsid w:val="00F20760"/>
    <w:rsid w:val="00F2082B"/>
    <w:rsid w:val="00F20860"/>
    <w:rsid w:val="00F20C1B"/>
    <w:rsid w:val="00F21177"/>
    <w:rsid w:val="00F212BB"/>
    <w:rsid w:val="00F21484"/>
    <w:rsid w:val="00F21667"/>
    <w:rsid w:val="00F216BA"/>
    <w:rsid w:val="00F21CFE"/>
    <w:rsid w:val="00F21D7B"/>
    <w:rsid w:val="00F21E72"/>
    <w:rsid w:val="00F2220C"/>
    <w:rsid w:val="00F227B1"/>
    <w:rsid w:val="00F235BA"/>
    <w:rsid w:val="00F2376B"/>
    <w:rsid w:val="00F23D20"/>
    <w:rsid w:val="00F24105"/>
    <w:rsid w:val="00F24387"/>
    <w:rsid w:val="00F247A1"/>
    <w:rsid w:val="00F2495B"/>
    <w:rsid w:val="00F24A0B"/>
    <w:rsid w:val="00F24C92"/>
    <w:rsid w:val="00F24E6A"/>
    <w:rsid w:val="00F25224"/>
    <w:rsid w:val="00F257B0"/>
    <w:rsid w:val="00F25AAA"/>
    <w:rsid w:val="00F25C04"/>
    <w:rsid w:val="00F25EFD"/>
    <w:rsid w:val="00F26375"/>
    <w:rsid w:val="00F26482"/>
    <w:rsid w:val="00F26DE6"/>
    <w:rsid w:val="00F27068"/>
    <w:rsid w:val="00F271CC"/>
    <w:rsid w:val="00F27562"/>
    <w:rsid w:val="00F276CB"/>
    <w:rsid w:val="00F27936"/>
    <w:rsid w:val="00F27F36"/>
    <w:rsid w:val="00F30437"/>
    <w:rsid w:val="00F31596"/>
    <w:rsid w:val="00F316E4"/>
    <w:rsid w:val="00F31BA2"/>
    <w:rsid w:val="00F31D39"/>
    <w:rsid w:val="00F31F35"/>
    <w:rsid w:val="00F320B2"/>
    <w:rsid w:val="00F3214C"/>
    <w:rsid w:val="00F3295C"/>
    <w:rsid w:val="00F32A10"/>
    <w:rsid w:val="00F32C88"/>
    <w:rsid w:val="00F32ED0"/>
    <w:rsid w:val="00F3349F"/>
    <w:rsid w:val="00F336CC"/>
    <w:rsid w:val="00F33720"/>
    <w:rsid w:val="00F3388E"/>
    <w:rsid w:val="00F33903"/>
    <w:rsid w:val="00F3448A"/>
    <w:rsid w:val="00F34557"/>
    <w:rsid w:val="00F346AC"/>
    <w:rsid w:val="00F3489D"/>
    <w:rsid w:val="00F34DCB"/>
    <w:rsid w:val="00F350B2"/>
    <w:rsid w:val="00F3517E"/>
    <w:rsid w:val="00F356E9"/>
    <w:rsid w:val="00F35810"/>
    <w:rsid w:val="00F35C06"/>
    <w:rsid w:val="00F3656B"/>
    <w:rsid w:val="00F365AE"/>
    <w:rsid w:val="00F367C4"/>
    <w:rsid w:val="00F36A64"/>
    <w:rsid w:val="00F36AC1"/>
    <w:rsid w:val="00F36CF8"/>
    <w:rsid w:val="00F370AF"/>
    <w:rsid w:val="00F372CE"/>
    <w:rsid w:val="00F37490"/>
    <w:rsid w:val="00F3764A"/>
    <w:rsid w:val="00F377CB"/>
    <w:rsid w:val="00F4003A"/>
    <w:rsid w:val="00F404F0"/>
    <w:rsid w:val="00F4086D"/>
    <w:rsid w:val="00F40A82"/>
    <w:rsid w:val="00F40EEA"/>
    <w:rsid w:val="00F40F57"/>
    <w:rsid w:val="00F410D0"/>
    <w:rsid w:val="00F41A60"/>
    <w:rsid w:val="00F41F98"/>
    <w:rsid w:val="00F42111"/>
    <w:rsid w:val="00F42482"/>
    <w:rsid w:val="00F4278D"/>
    <w:rsid w:val="00F4293C"/>
    <w:rsid w:val="00F437B5"/>
    <w:rsid w:val="00F43902"/>
    <w:rsid w:val="00F43908"/>
    <w:rsid w:val="00F43A2F"/>
    <w:rsid w:val="00F43A74"/>
    <w:rsid w:val="00F44032"/>
    <w:rsid w:val="00F44CCB"/>
    <w:rsid w:val="00F452CC"/>
    <w:rsid w:val="00F455B6"/>
    <w:rsid w:val="00F45751"/>
    <w:rsid w:val="00F45B67"/>
    <w:rsid w:val="00F45CAC"/>
    <w:rsid w:val="00F45E63"/>
    <w:rsid w:val="00F461C3"/>
    <w:rsid w:val="00F46B70"/>
    <w:rsid w:val="00F4727F"/>
    <w:rsid w:val="00F47C1E"/>
    <w:rsid w:val="00F47CB8"/>
    <w:rsid w:val="00F47D13"/>
    <w:rsid w:val="00F47EA4"/>
    <w:rsid w:val="00F50042"/>
    <w:rsid w:val="00F50461"/>
    <w:rsid w:val="00F5087A"/>
    <w:rsid w:val="00F50D0C"/>
    <w:rsid w:val="00F50F0B"/>
    <w:rsid w:val="00F51372"/>
    <w:rsid w:val="00F5153A"/>
    <w:rsid w:val="00F51ABB"/>
    <w:rsid w:val="00F51B41"/>
    <w:rsid w:val="00F51D8E"/>
    <w:rsid w:val="00F5215D"/>
    <w:rsid w:val="00F5263D"/>
    <w:rsid w:val="00F52A53"/>
    <w:rsid w:val="00F5300D"/>
    <w:rsid w:val="00F53188"/>
    <w:rsid w:val="00F533BE"/>
    <w:rsid w:val="00F53424"/>
    <w:rsid w:val="00F53523"/>
    <w:rsid w:val="00F5352D"/>
    <w:rsid w:val="00F539BF"/>
    <w:rsid w:val="00F53CD4"/>
    <w:rsid w:val="00F53D8C"/>
    <w:rsid w:val="00F53E65"/>
    <w:rsid w:val="00F53FED"/>
    <w:rsid w:val="00F545D5"/>
    <w:rsid w:val="00F5477F"/>
    <w:rsid w:val="00F556DB"/>
    <w:rsid w:val="00F55E0B"/>
    <w:rsid w:val="00F560FD"/>
    <w:rsid w:val="00F5645B"/>
    <w:rsid w:val="00F5672A"/>
    <w:rsid w:val="00F568A1"/>
    <w:rsid w:val="00F56BF1"/>
    <w:rsid w:val="00F570A5"/>
    <w:rsid w:val="00F57323"/>
    <w:rsid w:val="00F57787"/>
    <w:rsid w:val="00F57CAA"/>
    <w:rsid w:val="00F608C6"/>
    <w:rsid w:val="00F60EA8"/>
    <w:rsid w:val="00F616C1"/>
    <w:rsid w:val="00F618AC"/>
    <w:rsid w:val="00F61EC3"/>
    <w:rsid w:val="00F622A1"/>
    <w:rsid w:val="00F622DF"/>
    <w:rsid w:val="00F62432"/>
    <w:rsid w:val="00F6275A"/>
    <w:rsid w:val="00F6299C"/>
    <w:rsid w:val="00F62A9B"/>
    <w:rsid w:val="00F62CED"/>
    <w:rsid w:val="00F6324B"/>
    <w:rsid w:val="00F63AD2"/>
    <w:rsid w:val="00F63BC6"/>
    <w:rsid w:val="00F64138"/>
    <w:rsid w:val="00F64A80"/>
    <w:rsid w:val="00F64D23"/>
    <w:rsid w:val="00F64DDC"/>
    <w:rsid w:val="00F65244"/>
    <w:rsid w:val="00F65597"/>
    <w:rsid w:val="00F657AC"/>
    <w:rsid w:val="00F65A6F"/>
    <w:rsid w:val="00F65BAF"/>
    <w:rsid w:val="00F66497"/>
    <w:rsid w:val="00F665CB"/>
    <w:rsid w:val="00F66979"/>
    <w:rsid w:val="00F66A85"/>
    <w:rsid w:val="00F66B64"/>
    <w:rsid w:val="00F66F21"/>
    <w:rsid w:val="00F67419"/>
    <w:rsid w:val="00F67997"/>
    <w:rsid w:val="00F702E5"/>
    <w:rsid w:val="00F70AB5"/>
    <w:rsid w:val="00F7117C"/>
    <w:rsid w:val="00F71487"/>
    <w:rsid w:val="00F72007"/>
    <w:rsid w:val="00F72021"/>
    <w:rsid w:val="00F72534"/>
    <w:rsid w:val="00F72CF3"/>
    <w:rsid w:val="00F72E18"/>
    <w:rsid w:val="00F73538"/>
    <w:rsid w:val="00F739EE"/>
    <w:rsid w:val="00F73E3D"/>
    <w:rsid w:val="00F73EFB"/>
    <w:rsid w:val="00F7404D"/>
    <w:rsid w:val="00F740D2"/>
    <w:rsid w:val="00F7425C"/>
    <w:rsid w:val="00F74577"/>
    <w:rsid w:val="00F74F73"/>
    <w:rsid w:val="00F75052"/>
    <w:rsid w:val="00F754BD"/>
    <w:rsid w:val="00F76319"/>
    <w:rsid w:val="00F7684E"/>
    <w:rsid w:val="00F76C97"/>
    <w:rsid w:val="00F76F69"/>
    <w:rsid w:val="00F773C8"/>
    <w:rsid w:val="00F774B1"/>
    <w:rsid w:val="00F779C8"/>
    <w:rsid w:val="00F77A8A"/>
    <w:rsid w:val="00F77DCC"/>
    <w:rsid w:val="00F8098B"/>
    <w:rsid w:val="00F80C61"/>
    <w:rsid w:val="00F80CF2"/>
    <w:rsid w:val="00F80D7E"/>
    <w:rsid w:val="00F80D7F"/>
    <w:rsid w:val="00F810DD"/>
    <w:rsid w:val="00F813EB"/>
    <w:rsid w:val="00F8153A"/>
    <w:rsid w:val="00F81556"/>
    <w:rsid w:val="00F81EB2"/>
    <w:rsid w:val="00F820C4"/>
    <w:rsid w:val="00F82E49"/>
    <w:rsid w:val="00F82F8C"/>
    <w:rsid w:val="00F832F1"/>
    <w:rsid w:val="00F83C8D"/>
    <w:rsid w:val="00F8404D"/>
    <w:rsid w:val="00F84576"/>
    <w:rsid w:val="00F84FA4"/>
    <w:rsid w:val="00F8520D"/>
    <w:rsid w:val="00F855A8"/>
    <w:rsid w:val="00F85977"/>
    <w:rsid w:val="00F85D97"/>
    <w:rsid w:val="00F86316"/>
    <w:rsid w:val="00F8684A"/>
    <w:rsid w:val="00F868AF"/>
    <w:rsid w:val="00F868CB"/>
    <w:rsid w:val="00F86C23"/>
    <w:rsid w:val="00F87022"/>
    <w:rsid w:val="00F87343"/>
    <w:rsid w:val="00F87383"/>
    <w:rsid w:val="00F873DC"/>
    <w:rsid w:val="00F87C7E"/>
    <w:rsid w:val="00F901AB"/>
    <w:rsid w:val="00F90790"/>
    <w:rsid w:val="00F90BF5"/>
    <w:rsid w:val="00F90F19"/>
    <w:rsid w:val="00F91B00"/>
    <w:rsid w:val="00F91E45"/>
    <w:rsid w:val="00F92084"/>
    <w:rsid w:val="00F922DD"/>
    <w:rsid w:val="00F92361"/>
    <w:rsid w:val="00F9256F"/>
    <w:rsid w:val="00F9260F"/>
    <w:rsid w:val="00F92E6B"/>
    <w:rsid w:val="00F93454"/>
    <w:rsid w:val="00F934BF"/>
    <w:rsid w:val="00F93B15"/>
    <w:rsid w:val="00F93BD3"/>
    <w:rsid w:val="00F9477C"/>
    <w:rsid w:val="00F9493E"/>
    <w:rsid w:val="00F949E7"/>
    <w:rsid w:val="00F94F23"/>
    <w:rsid w:val="00F95131"/>
    <w:rsid w:val="00F9527D"/>
    <w:rsid w:val="00F95428"/>
    <w:rsid w:val="00F954B0"/>
    <w:rsid w:val="00F95753"/>
    <w:rsid w:val="00F95905"/>
    <w:rsid w:val="00F95CC7"/>
    <w:rsid w:val="00F961D3"/>
    <w:rsid w:val="00F962E8"/>
    <w:rsid w:val="00F96559"/>
    <w:rsid w:val="00F968C8"/>
    <w:rsid w:val="00F96959"/>
    <w:rsid w:val="00F970D8"/>
    <w:rsid w:val="00F971DB"/>
    <w:rsid w:val="00F971E0"/>
    <w:rsid w:val="00F9723E"/>
    <w:rsid w:val="00F9788F"/>
    <w:rsid w:val="00F97DD3"/>
    <w:rsid w:val="00F97DEF"/>
    <w:rsid w:val="00F97E23"/>
    <w:rsid w:val="00F97ED3"/>
    <w:rsid w:val="00F97F79"/>
    <w:rsid w:val="00F97FC4"/>
    <w:rsid w:val="00FA0870"/>
    <w:rsid w:val="00FA0B13"/>
    <w:rsid w:val="00FA1C42"/>
    <w:rsid w:val="00FA1C68"/>
    <w:rsid w:val="00FA1CE9"/>
    <w:rsid w:val="00FA1E79"/>
    <w:rsid w:val="00FA223B"/>
    <w:rsid w:val="00FA24CE"/>
    <w:rsid w:val="00FA2556"/>
    <w:rsid w:val="00FA2625"/>
    <w:rsid w:val="00FA288C"/>
    <w:rsid w:val="00FA2A08"/>
    <w:rsid w:val="00FA2EC7"/>
    <w:rsid w:val="00FA303C"/>
    <w:rsid w:val="00FA3445"/>
    <w:rsid w:val="00FA366F"/>
    <w:rsid w:val="00FA36BA"/>
    <w:rsid w:val="00FA3E60"/>
    <w:rsid w:val="00FA3FB6"/>
    <w:rsid w:val="00FA4048"/>
    <w:rsid w:val="00FA5011"/>
    <w:rsid w:val="00FA545F"/>
    <w:rsid w:val="00FA56A2"/>
    <w:rsid w:val="00FA57B9"/>
    <w:rsid w:val="00FA587B"/>
    <w:rsid w:val="00FA5A5D"/>
    <w:rsid w:val="00FA5B5A"/>
    <w:rsid w:val="00FA5F69"/>
    <w:rsid w:val="00FA66BD"/>
    <w:rsid w:val="00FA66F1"/>
    <w:rsid w:val="00FA6E14"/>
    <w:rsid w:val="00FA6EC9"/>
    <w:rsid w:val="00FA6EE8"/>
    <w:rsid w:val="00FA6FA5"/>
    <w:rsid w:val="00FA727B"/>
    <w:rsid w:val="00FA7778"/>
    <w:rsid w:val="00FA7C43"/>
    <w:rsid w:val="00FB040D"/>
    <w:rsid w:val="00FB0549"/>
    <w:rsid w:val="00FB05AE"/>
    <w:rsid w:val="00FB08F3"/>
    <w:rsid w:val="00FB095D"/>
    <w:rsid w:val="00FB0D60"/>
    <w:rsid w:val="00FB1191"/>
    <w:rsid w:val="00FB127E"/>
    <w:rsid w:val="00FB18CA"/>
    <w:rsid w:val="00FB1A9B"/>
    <w:rsid w:val="00FB1D17"/>
    <w:rsid w:val="00FB20DC"/>
    <w:rsid w:val="00FB20F4"/>
    <w:rsid w:val="00FB220C"/>
    <w:rsid w:val="00FB23C7"/>
    <w:rsid w:val="00FB2B46"/>
    <w:rsid w:val="00FB2E10"/>
    <w:rsid w:val="00FB31B3"/>
    <w:rsid w:val="00FB336A"/>
    <w:rsid w:val="00FB3520"/>
    <w:rsid w:val="00FB3DAE"/>
    <w:rsid w:val="00FB3DB2"/>
    <w:rsid w:val="00FB4187"/>
    <w:rsid w:val="00FB4240"/>
    <w:rsid w:val="00FB48F3"/>
    <w:rsid w:val="00FB4B10"/>
    <w:rsid w:val="00FB4C64"/>
    <w:rsid w:val="00FB4D57"/>
    <w:rsid w:val="00FB4DC5"/>
    <w:rsid w:val="00FB4E50"/>
    <w:rsid w:val="00FB5003"/>
    <w:rsid w:val="00FB53C9"/>
    <w:rsid w:val="00FB5841"/>
    <w:rsid w:val="00FB65F0"/>
    <w:rsid w:val="00FB6952"/>
    <w:rsid w:val="00FB699F"/>
    <w:rsid w:val="00FB6AD8"/>
    <w:rsid w:val="00FB70DB"/>
    <w:rsid w:val="00FB73E5"/>
    <w:rsid w:val="00FB7445"/>
    <w:rsid w:val="00FB7447"/>
    <w:rsid w:val="00FB75BC"/>
    <w:rsid w:val="00FB7AAF"/>
    <w:rsid w:val="00FB7EDC"/>
    <w:rsid w:val="00FC0488"/>
    <w:rsid w:val="00FC1205"/>
    <w:rsid w:val="00FC1928"/>
    <w:rsid w:val="00FC192D"/>
    <w:rsid w:val="00FC1C91"/>
    <w:rsid w:val="00FC2817"/>
    <w:rsid w:val="00FC2DE1"/>
    <w:rsid w:val="00FC2EE7"/>
    <w:rsid w:val="00FC3574"/>
    <w:rsid w:val="00FC3ADF"/>
    <w:rsid w:val="00FC3D85"/>
    <w:rsid w:val="00FC3E97"/>
    <w:rsid w:val="00FC3F76"/>
    <w:rsid w:val="00FC3FBF"/>
    <w:rsid w:val="00FC4309"/>
    <w:rsid w:val="00FC4469"/>
    <w:rsid w:val="00FC4504"/>
    <w:rsid w:val="00FC481C"/>
    <w:rsid w:val="00FC4D3E"/>
    <w:rsid w:val="00FC4DDA"/>
    <w:rsid w:val="00FC534C"/>
    <w:rsid w:val="00FC5C11"/>
    <w:rsid w:val="00FC603D"/>
    <w:rsid w:val="00FC6E28"/>
    <w:rsid w:val="00FC7178"/>
    <w:rsid w:val="00FC7867"/>
    <w:rsid w:val="00FC7E2A"/>
    <w:rsid w:val="00FC7F88"/>
    <w:rsid w:val="00FD0148"/>
    <w:rsid w:val="00FD0168"/>
    <w:rsid w:val="00FD0598"/>
    <w:rsid w:val="00FD062D"/>
    <w:rsid w:val="00FD0A3A"/>
    <w:rsid w:val="00FD0B27"/>
    <w:rsid w:val="00FD11E5"/>
    <w:rsid w:val="00FD14B4"/>
    <w:rsid w:val="00FD15F4"/>
    <w:rsid w:val="00FD1D6A"/>
    <w:rsid w:val="00FD1E8D"/>
    <w:rsid w:val="00FD22B1"/>
    <w:rsid w:val="00FD249A"/>
    <w:rsid w:val="00FD29DC"/>
    <w:rsid w:val="00FD2CC7"/>
    <w:rsid w:val="00FD324B"/>
    <w:rsid w:val="00FD3455"/>
    <w:rsid w:val="00FD3858"/>
    <w:rsid w:val="00FD3A95"/>
    <w:rsid w:val="00FD3DDB"/>
    <w:rsid w:val="00FD4223"/>
    <w:rsid w:val="00FD44FB"/>
    <w:rsid w:val="00FD478D"/>
    <w:rsid w:val="00FD47A4"/>
    <w:rsid w:val="00FD5088"/>
    <w:rsid w:val="00FD50B8"/>
    <w:rsid w:val="00FD568E"/>
    <w:rsid w:val="00FD5B49"/>
    <w:rsid w:val="00FD6AD6"/>
    <w:rsid w:val="00FD6D41"/>
    <w:rsid w:val="00FD6E92"/>
    <w:rsid w:val="00FD7189"/>
    <w:rsid w:val="00FD72EE"/>
    <w:rsid w:val="00FD76C4"/>
    <w:rsid w:val="00FD7C79"/>
    <w:rsid w:val="00FE0766"/>
    <w:rsid w:val="00FE0C8A"/>
    <w:rsid w:val="00FE11BA"/>
    <w:rsid w:val="00FE17F0"/>
    <w:rsid w:val="00FE1F5D"/>
    <w:rsid w:val="00FE22D4"/>
    <w:rsid w:val="00FE22E6"/>
    <w:rsid w:val="00FE2BAB"/>
    <w:rsid w:val="00FE2DFE"/>
    <w:rsid w:val="00FE3128"/>
    <w:rsid w:val="00FE3C33"/>
    <w:rsid w:val="00FE3E93"/>
    <w:rsid w:val="00FE42DF"/>
    <w:rsid w:val="00FE4526"/>
    <w:rsid w:val="00FE490F"/>
    <w:rsid w:val="00FE494F"/>
    <w:rsid w:val="00FE5761"/>
    <w:rsid w:val="00FE5EA8"/>
    <w:rsid w:val="00FE6103"/>
    <w:rsid w:val="00FE618D"/>
    <w:rsid w:val="00FE648A"/>
    <w:rsid w:val="00FE64F0"/>
    <w:rsid w:val="00FE6757"/>
    <w:rsid w:val="00FE698D"/>
    <w:rsid w:val="00FE737F"/>
    <w:rsid w:val="00FE7551"/>
    <w:rsid w:val="00FF0620"/>
    <w:rsid w:val="00FF068E"/>
    <w:rsid w:val="00FF0BE2"/>
    <w:rsid w:val="00FF0C0B"/>
    <w:rsid w:val="00FF0F68"/>
    <w:rsid w:val="00FF131E"/>
    <w:rsid w:val="00FF14B2"/>
    <w:rsid w:val="00FF15EF"/>
    <w:rsid w:val="00FF1634"/>
    <w:rsid w:val="00FF1985"/>
    <w:rsid w:val="00FF1E67"/>
    <w:rsid w:val="00FF1F63"/>
    <w:rsid w:val="00FF2212"/>
    <w:rsid w:val="00FF276D"/>
    <w:rsid w:val="00FF27DC"/>
    <w:rsid w:val="00FF27E5"/>
    <w:rsid w:val="00FF2EFB"/>
    <w:rsid w:val="00FF3250"/>
    <w:rsid w:val="00FF3328"/>
    <w:rsid w:val="00FF3426"/>
    <w:rsid w:val="00FF34C4"/>
    <w:rsid w:val="00FF3AA9"/>
    <w:rsid w:val="00FF3F99"/>
    <w:rsid w:val="00FF474C"/>
    <w:rsid w:val="00FF49F4"/>
    <w:rsid w:val="00FF4C3A"/>
    <w:rsid w:val="00FF4E9A"/>
    <w:rsid w:val="00FF5232"/>
    <w:rsid w:val="00FF550D"/>
    <w:rsid w:val="00FF573E"/>
    <w:rsid w:val="00FF577E"/>
    <w:rsid w:val="00FF5A26"/>
    <w:rsid w:val="00FF5AD7"/>
    <w:rsid w:val="00FF652A"/>
    <w:rsid w:val="00FF659D"/>
    <w:rsid w:val="00FF65DD"/>
    <w:rsid w:val="00FF66F1"/>
    <w:rsid w:val="00FF6727"/>
    <w:rsid w:val="00FF6ABB"/>
    <w:rsid w:val="00FF6B04"/>
    <w:rsid w:val="00FF6E1E"/>
    <w:rsid w:val="00FF7440"/>
    <w:rsid w:val="00FF7729"/>
    <w:rsid w:val="00FF7979"/>
    <w:rsid w:val="00FF79EA"/>
    <w:rsid w:val="00FF7AD8"/>
    <w:rsid w:val="00FF7C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0DAB42B"/>
  <w15:docId w15:val="{18FE5007-37F0-42F8-AFFD-7460C5EF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93C"/>
    <w:pPr>
      <w:spacing w:line="360" w:lineRule="auto"/>
      <w:jc w:val="both"/>
    </w:pPr>
    <w:rPr>
      <w:rFonts w:ascii="Arial" w:hAnsi="Arial" w:cs="Times New Roman"/>
      <w:sz w:val="24"/>
      <w:szCs w:val="24"/>
      <w:lang w:val="es-ES" w:eastAsia="es-ES"/>
    </w:rPr>
  </w:style>
  <w:style w:type="paragraph" w:styleId="Ttulo1">
    <w:name w:val="heading 1"/>
    <w:basedOn w:val="Normal"/>
    <w:next w:val="Normal"/>
    <w:link w:val="Ttulo1Car"/>
    <w:uiPriority w:val="9"/>
    <w:qFormat/>
    <w:rsid w:val="00C85395"/>
    <w:pPr>
      <w:keepNext/>
      <w:spacing w:before="240" w:after="60"/>
      <w:outlineLvl w:val="0"/>
    </w:pPr>
    <w:rPr>
      <w:rFonts w:ascii="Cambria" w:hAnsi="Cambria"/>
      <w:b/>
      <w:kern w:val="32"/>
      <w:sz w:val="32"/>
      <w:szCs w:val="20"/>
    </w:rPr>
  </w:style>
  <w:style w:type="paragraph" w:styleId="Ttulo3">
    <w:name w:val="heading 3"/>
    <w:basedOn w:val="Normal"/>
    <w:next w:val="Normal"/>
    <w:link w:val="Ttulo3Car"/>
    <w:uiPriority w:val="9"/>
    <w:qFormat/>
    <w:rsid w:val="00C85395"/>
    <w:pPr>
      <w:keepNext/>
      <w:spacing w:before="240" w:after="60"/>
      <w:outlineLvl w:val="2"/>
    </w:pPr>
    <w:rPr>
      <w:b/>
      <w:sz w:val="26"/>
      <w:szCs w:val="20"/>
    </w:rPr>
  </w:style>
  <w:style w:type="paragraph" w:styleId="Ttulo5">
    <w:name w:val="heading 5"/>
    <w:basedOn w:val="Normal"/>
    <w:next w:val="Normal"/>
    <w:link w:val="Ttulo5Car"/>
    <w:uiPriority w:val="9"/>
    <w:qFormat/>
    <w:rsid w:val="00C85395"/>
    <w:pPr>
      <w:keepNext/>
      <w:jc w:val="center"/>
      <w:outlineLvl w:val="4"/>
    </w:pPr>
    <w:rPr>
      <w:b/>
      <w:sz w:val="20"/>
      <w:szCs w:val="20"/>
    </w:rPr>
  </w:style>
  <w:style w:type="paragraph" w:styleId="Ttulo6">
    <w:name w:val="heading 6"/>
    <w:basedOn w:val="Normal"/>
    <w:next w:val="Normal"/>
    <w:link w:val="Ttulo6Car"/>
    <w:uiPriority w:val="9"/>
    <w:qFormat/>
    <w:rsid w:val="00C85395"/>
    <w:pPr>
      <w:spacing w:before="240" w:after="60"/>
      <w:outlineLvl w:val="5"/>
    </w:pPr>
    <w:rPr>
      <w:rFonts w:ascii="Calibri" w:hAnsi="Calibri"/>
      <w:b/>
      <w:sz w:val="20"/>
      <w:szCs w:val="20"/>
    </w:rPr>
  </w:style>
  <w:style w:type="paragraph" w:styleId="Ttulo7">
    <w:name w:val="heading 7"/>
    <w:basedOn w:val="Normal"/>
    <w:next w:val="Normal"/>
    <w:link w:val="Ttulo7Car"/>
    <w:uiPriority w:val="9"/>
    <w:qFormat/>
    <w:rsid w:val="00C85395"/>
    <w:pPr>
      <w:spacing w:before="240" w:after="60"/>
      <w:outlineLvl w:val="6"/>
    </w:pPr>
    <w:rPr>
      <w:szCs w:val="20"/>
    </w:rPr>
  </w:style>
  <w:style w:type="paragraph" w:styleId="Ttulo9">
    <w:name w:val="heading 9"/>
    <w:basedOn w:val="Normal"/>
    <w:next w:val="Normal"/>
    <w:link w:val="Ttulo9Car"/>
    <w:uiPriority w:val="9"/>
    <w:qFormat/>
    <w:rsid w:val="00C85395"/>
    <w:pPr>
      <w:spacing w:before="240" w:after="60"/>
      <w:outlineLvl w:val="8"/>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85395"/>
    <w:rPr>
      <w:rFonts w:ascii="Cambria" w:hAnsi="Cambria"/>
      <w:b/>
      <w:kern w:val="32"/>
      <w:sz w:val="32"/>
      <w:lang w:eastAsia="es-ES"/>
    </w:rPr>
  </w:style>
  <w:style w:type="character" w:customStyle="1" w:styleId="Ttulo3Car">
    <w:name w:val="Título 3 Car"/>
    <w:link w:val="Ttulo3"/>
    <w:uiPriority w:val="9"/>
    <w:locked/>
    <w:rsid w:val="00C85395"/>
    <w:rPr>
      <w:rFonts w:ascii="Arial" w:hAnsi="Arial"/>
      <w:b/>
      <w:sz w:val="26"/>
      <w:lang w:eastAsia="es-ES"/>
    </w:rPr>
  </w:style>
  <w:style w:type="character" w:customStyle="1" w:styleId="Ttulo5Car">
    <w:name w:val="Título 5 Car"/>
    <w:link w:val="Ttulo5"/>
    <w:uiPriority w:val="9"/>
    <w:locked/>
    <w:rsid w:val="00C85395"/>
    <w:rPr>
      <w:rFonts w:ascii="Arial" w:hAnsi="Arial"/>
      <w:b/>
      <w:lang w:eastAsia="es-ES"/>
    </w:rPr>
  </w:style>
  <w:style w:type="character" w:customStyle="1" w:styleId="Ttulo6Car">
    <w:name w:val="Título 6 Car"/>
    <w:link w:val="Ttulo6"/>
    <w:uiPriority w:val="9"/>
    <w:locked/>
    <w:rsid w:val="00C85395"/>
    <w:rPr>
      <w:rFonts w:ascii="Calibri" w:hAnsi="Calibri"/>
      <w:b/>
      <w:lang w:eastAsia="es-ES"/>
    </w:rPr>
  </w:style>
  <w:style w:type="character" w:customStyle="1" w:styleId="Ttulo7Car">
    <w:name w:val="Título 7 Car"/>
    <w:link w:val="Ttulo7"/>
    <w:uiPriority w:val="9"/>
    <w:locked/>
    <w:rsid w:val="00C85395"/>
    <w:rPr>
      <w:rFonts w:ascii="Arial" w:hAnsi="Arial"/>
      <w:sz w:val="24"/>
      <w:lang w:eastAsia="es-ES"/>
    </w:rPr>
  </w:style>
  <w:style w:type="character" w:customStyle="1" w:styleId="Ttulo9Car">
    <w:name w:val="Título 9 Car"/>
    <w:link w:val="Ttulo9"/>
    <w:uiPriority w:val="9"/>
    <w:locked/>
    <w:rsid w:val="00C85395"/>
    <w:rPr>
      <w:rFonts w:ascii="Arial" w:hAnsi="Arial"/>
      <w:lang w:eastAsia="es-ES"/>
    </w:rPr>
  </w:style>
  <w:style w:type="paragraph" w:styleId="Textoindependiente2">
    <w:name w:val="Body Text 2"/>
    <w:basedOn w:val="Normal"/>
    <w:link w:val="Textoindependiente2Car"/>
    <w:uiPriority w:val="99"/>
    <w:semiHidden/>
    <w:rsid w:val="00C85395"/>
    <w:pPr>
      <w:spacing w:after="120"/>
      <w:ind w:left="283"/>
    </w:pPr>
    <w:rPr>
      <w:szCs w:val="20"/>
    </w:rPr>
  </w:style>
  <w:style w:type="character" w:customStyle="1" w:styleId="Textoindependiente2Car">
    <w:name w:val="Texto independiente 2 Car"/>
    <w:link w:val="Textoindependiente2"/>
    <w:uiPriority w:val="99"/>
    <w:semiHidden/>
    <w:locked/>
    <w:rsid w:val="00C85395"/>
    <w:rPr>
      <w:rFonts w:ascii="Arial" w:hAnsi="Arial"/>
      <w:sz w:val="24"/>
      <w:lang w:eastAsia="es-ES"/>
    </w:rPr>
  </w:style>
  <w:style w:type="paragraph" w:customStyle="1" w:styleId="Textoindependiente21">
    <w:name w:val="Texto independiente 21"/>
    <w:basedOn w:val="Normal"/>
    <w:rsid w:val="00C85395"/>
    <w:pPr>
      <w:tabs>
        <w:tab w:val="left" w:pos="3969"/>
      </w:tabs>
      <w:overflowPunct w:val="0"/>
      <w:autoSpaceDE w:val="0"/>
      <w:autoSpaceDN w:val="0"/>
      <w:adjustRightInd w:val="0"/>
      <w:textAlignment w:val="baseline"/>
    </w:pPr>
    <w:rPr>
      <w:rFonts w:cs="Arial"/>
      <w:i/>
      <w:iCs/>
      <w:sz w:val="26"/>
      <w:szCs w:val="26"/>
      <w:lang w:val="es-ES_tradnl"/>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rsid w:val="00C85395"/>
    <w:rPr>
      <w:vertAlign w:val="superscript"/>
    </w:rPr>
  </w:style>
  <w:style w:type="paragraph" w:styleId="Textoindependiente">
    <w:name w:val="Body Text"/>
    <w:aliases w:val="Texto independiente Car Car Car"/>
    <w:basedOn w:val="Normal"/>
    <w:link w:val="TextoindependienteCar"/>
    <w:rsid w:val="00C85395"/>
    <w:pPr>
      <w:autoSpaceDE w:val="0"/>
      <w:autoSpaceDN w:val="0"/>
      <w:adjustRightInd w:val="0"/>
    </w:pPr>
    <w:rPr>
      <w:szCs w:val="20"/>
      <w:lang w:val="es-ES_tradnl"/>
    </w:rPr>
  </w:style>
  <w:style w:type="paragraph" w:styleId="NormalWeb">
    <w:name w:val="Normal (Web)"/>
    <w:basedOn w:val="Normal"/>
    <w:uiPriority w:val="99"/>
    <w:rsid w:val="00C85395"/>
    <w:pPr>
      <w:spacing w:before="100" w:beforeAutospacing="1" w:after="100" w:afterAutospacing="1"/>
    </w:pPr>
  </w:style>
  <w:style w:type="paragraph" w:styleId="Textoindependiente3">
    <w:name w:val="Body Text 3"/>
    <w:basedOn w:val="Normal"/>
    <w:link w:val="Textoindependiente3Car"/>
    <w:uiPriority w:val="99"/>
    <w:rsid w:val="00F0748C"/>
    <w:pPr>
      <w:overflowPunct w:val="0"/>
      <w:autoSpaceDE w:val="0"/>
      <w:autoSpaceDN w:val="0"/>
      <w:adjustRightInd w:val="0"/>
      <w:textAlignment w:val="baseline"/>
    </w:pPr>
    <w:rPr>
      <w:sz w:val="20"/>
      <w:szCs w:val="20"/>
    </w:rPr>
  </w:style>
  <w:style w:type="character" w:customStyle="1" w:styleId="Textoindependiente3Car">
    <w:name w:val="Texto independiente 3 Car"/>
    <w:link w:val="Textoindependiente3"/>
    <w:uiPriority w:val="99"/>
    <w:locked/>
    <w:rsid w:val="00C85395"/>
    <w:rPr>
      <w:rFonts w:ascii="Arial" w:hAnsi="Arial"/>
      <w:lang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locked/>
    <w:rsid w:val="00C85395"/>
    <w:rPr>
      <w:rFonts w:ascii="Arial" w:hAnsi="Arial"/>
      <w:sz w:val="20"/>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C85395"/>
    <w:rPr>
      <w:sz w:val="20"/>
      <w:szCs w:val="20"/>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uiPriority w:val="99"/>
    <w:rsid w:val="00D7442C"/>
    <w:rPr>
      <w:rFonts w:ascii="Arial" w:hAnsi="Arial" w:cs="Times New Roman"/>
      <w:lang w:val="es-ES" w:eastAsia="es-E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D7442C"/>
    <w:rPr>
      <w:rFonts w:ascii="Arial" w:hAnsi="Arial"/>
    </w:rPr>
  </w:style>
  <w:style w:type="paragraph" w:styleId="Encabezado">
    <w:name w:val="header"/>
    <w:basedOn w:val="Normal"/>
    <w:link w:val="EncabezadoCar"/>
    <w:uiPriority w:val="99"/>
    <w:rsid w:val="00C85395"/>
    <w:pPr>
      <w:tabs>
        <w:tab w:val="center" w:pos="4419"/>
        <w:tab w:val="right" w:pos="8838"/>
      </w:tabs>
      <w:overflowPunct w:val="0"/>
      <w:autoSpaceDE w:val="0"/>
      <w:autoSpaceDN w:val="0"/>
      <w:adjustRightInd w:val="0"/>
      <w:textAlignment w:val="baseline"/>
    </w:pPr>
    <w:rPr>
      <w:szCs w:val="20"/>
      <w:lang w:val="es-ES_tradnl"/>
    </w:rPr>
  </w:style>
  <w:style w:type="character" w:customStyle="1" w:styleId="EncabezadoCar">
    <w:name w:val="Encabezado Car"/>
    <w:link w:val="Encabezado"/>
    <w:uiPriority w:val="99"/>
    <w:locked/>
    <w:rsid w:val="00C85395"/>
    <w:rPr>
      <w:rFonts w:ascii="Arial" w:hAnsi="Arial"/>
      <w:sz w:val="24"/>
      <w:lang w:val="es-ES_tradnl" w:eastAsia="es-ES"/>
    </w:rPr>
  </w:style>
  <w:style w:type="character" w:customStyle="1" w:styleId="TextoindependienteCar">
    <w:name w:val="Texto independiente Car"/>
    <w:aliases w:val="Texto independiente Car Car Car Car2"/>
    <w:link w:val="Textoindependiente"/>
    <w:locked/>
    <w:rsid w:val="00C85395"/>
    <w:rPr>
      <w:rFonts w:ascii="Arial" w:hAnsi="Arial"/>
      <w:sz w:val="24"/>
      <w:lang w:val="es-ES_tradnl" w:eastAsia="es-ES"/>
    </w:rPr>
  </w:style>
  <w:style w:type="paragraph" w:styleId="Piedepgina">
    <w:name w:val="footer"/>
    <w:basedOn w:val="Normal"/>
    <w:link w:val="PiedepginaCar"/>
    <w:rsid w:val="00C85395"/>
    <w:pPr>
      <w:tabs>
        <w:tab w:val="center" w:pos="4252"/>
        <w:tab w:val="right" w:pos="8504"/>
      </w:tabs>
    </w:pPr>
    <w:rPr>
      <w:szCs w:val="20"/>
    </w:rPr>
  </w:style>
  <w:style w:type="character" w:customStyle="1" w:styleId="PiedepginaCar">
    <w:name w:val="Pie de página Car"/>
    <w:link w:val="Piedepgina"/>
    <w:locked/>
    <w:rsid w:val="00C85395"/>
    <w:rPr>
      <w:rFonts w:ascii="Arial" w:hAnsi="Arial"/>
      <w:sz w:val="24"/>
      <w:lang w:eastAsia="es-ES"/>
    </w:rPr>
  </w:style>
  <w:style w:type="character" w:styleId="Nmerodepgina">
    <w:name w:val="page number"/>
    <w:rsid w:val="00C85395"/>
  </w:style>
  <w:style w:type="paragraph" w:styleId="Textodebloque">
    <w:name w:val="Block Text"/>
    <w:basedOn w:val="Normal"/>
    <w:rsid w:val="00C8539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3" w:right="567"/>
    </w:pPr>
    <w:rPr>
      <w:rFonts w:ascii="Century Gothic" w:hAnsi="Century Gothic" w:cs="Century Gothic"/>
      <w:sz w:val="22"/>
      <w:szCs w:val="22"/>
    </w:rPr>
  </w:style>
  <w:style w:type="paragraph" w:customStyle="1" w:styleId="Estilo">
    <w:name w:val="Estilo"/>
    <w:rsid w:val="00C85395"/>
    <w:pPr>
      <w:widowControl w:val="0"/>
      <w:autoSpaceDE w:val="0"/>
      <w:autoSpaceDN w:val="0"/>
      <w:adjustRightInd w:val="0"/>
      <w:spacing w:line="360" w:lineRule="auto"/>
      <w:jc w:val="both"/>
    </w:pPr>
    <w:rPr>
      <w:rFonts w:ascii="Arial" w:hAnsi="Arial" w:cs="Arial"/>
      <w:sz w:val="24"/>
      <w:szCs w:val="24"/>
      <w:lang w:val="es-ES" w:eastAsia="es-ES"/>
    </w:rPr>
  </w:style>
  <w:style w:type="paragraph" w:customStyle="1" w:styleId="Textoindependiente22">
    <w:name w:val="Texto independiente 22"/>
    <w:basedOn w:val="Normal"/>
    <w:rsid w:val="00C85395"/>
    <w:pPr>
      <w:overflowPunct w:val="0"/>
      <w:autoSpaceDE w:val="0"/>
      <w:autoSpaceDN w:val="0"/>
      <w:adjustRightInd w:val="0"/>
      <w:ind w:firstLine="1418"/>
      <w:textAlignment w:val="baseline"/>
    </w:pPr>
    <w:rPr>
      <w:szCs w:val="20"/>
    </w:rPr>
  </w:style>
  <w:style w:type="paragraph" w:customStyle="1" w:styleId="CUERPO">
    <w:name w:val="CUERPO"/>
    <w:rsid w:val="00C85395"/>
    <w:pPr>
      <w:spacing w:before="144" w:after="144" w:line="360" w:lineRule="auto"/>
      <w:ind w:firstLine="360"/>
      <w:jc w:val="both"/>
    </w:pPr>
    <w:rPr>
      <w:rFonts w:ascii="Arial" w:hAnsi="Arial" w:cs="Times New Roman"/>
      <w:lang w:val="en-US" w:eastAsia="en-US"/>
    </w:rPr>
  </w:style>
  <w:style w:type="paragraph" w:customStyle="1" w:styleId="Textodebloque1">
    <w:name w:val="Texto de bloque1"/>
    <w:basedOn w:val="Normal"/>
    <w:qFormat/>
    <w:rsid w:val="00C85395"/>
    <w:pPr>
      <w:overflowPunct w:val="0"/>
      <w:autoSpaceDE w:val="0"/>
      <w:autoSpaceDN w:val="0"/>
      <w:adjustRightInd w:val="0"/>
      <w:ind w:left="851" w:right="851" w:firstLine="567"/>
      <w:textAlignment w:val="baseline"/>
    </w:pPr>
    <w:rPr>
      <w:rFonts w:ascii="Century Gothic" w:hAnsi="Century Gothic" w:cs="Arial"/>
      <w:sz w:val="22"/>
    </w:rPr>
  </w:style>
  <w:style w:type="paragraph" w:customStyle="1" w:styleId="Sangra3detindependiente1">
    <w:name w:val="Sangría 3 de t. independiente1"/>
    <w:basedOn w:val="Normal"/>
    <w:rsid w:val="00C85395"/>
    <w:pPr>
      <w:overflowPunct w:val="0"/>
      <w:autoSpaceDE w:val="0"/>
      <w:autoSpaceDN w:val="0"/>
      <w:adjustRightInd w:val="0"/>
      <w:ind w:firstLine="540"/>
      <w:textAlignment w:val="baseline"/>
    </w:pPr>
    <w:rPr>
      <w:b/>
      <w:szCs w:val="20"/>
    </w:rPr>
  </w:style>
  <w:style w:type="paragraph" w:customStyle="1" w:styleId="BodyText21">
    <w:name w:val="Body Text 21"/>
    <w:basedOn w:val="Normal"/>
    <w:rsid w:val="00C85395"/>
    <w:pPr>
      <w:overflowPunct w:val="0"/>
      <w:autoSpaceDE w:val="0"/>
      <w:autoSpaceDN w:val="0"/>
      <w:adjustRightInd w:val="0"/>
      <w:ind w:left="1418"/>
      <w:textAlignment w:val="baseline"/>
    </w:pPr>
    <w:rPr>
      <w:szCs w:val="20"/>
    </w:rPr>
  </w:style>
  <w:style w:type="paragraph" w:styleId="Sangra3detindependiente">
    <w:name w:val="Body Text Indent 3"/>
    <w:basedOn w:val="Normal"/>
    <w:link w:val="Sangra3detindependienteCar"/>
    <w:uiPriority w:val="99"/>
    <w:rsid w:val="00C85395"/>
    <w:pPr>
      <w:overflowPunct w:val="0"/>
      <w:autoSpaceDE w:val="0"/>
      <w:autoSpaceDN w:val="0"/>
      <w:adjustRightInd w:val="0"/>
      <w:spacing w:after="120"/>
      <w:ind w:left="283"/>
      <w:textAlignment w:val="baseline"/>
    </w:pPr>
    <w:rPr>
      <w:sz w:val="16"/>
      <w:szCs w:val="20"/>
    </w:rPr>
  </w:style>
  <w:style w:type="character" w:customStyle="1" w:styleId="Sangra3detindependienteCar">
    <w:name w:val="Sangría 3 de t. independiente Car"/>
    <w:link w:val="Sangra3detindependiente"/>
    <w:uiPriority w:val="99"/>
    <w:locked/>
    <w:rsid w:val="00C85395"/>
    <w:rPr>
      <w:rFonts w:ascii="Arial" w:hAnsi="Arial"/>
      <w:sz w:val="16"/>
      <w:lang w:eastAsia="es-ES"/>
    </w:rPr>
  </w:style>
  <w:style w:type="paragraph" w:customStyle="1" w:styleId="Textonormal">
    <w:name w:val="Texto normal"/>
    <w:basedOn w:val="Normal"/>
    <w:rsid w:val="00C85395"/>
    <w:pPr>
      <w:spacing w:line="360" w:lineRule="atLeast"/>
    </w:pPr>
    <w:rPr>
      <w:szCs w:val="20"/>
    </w:rPr>
  </w:style>
  <w:style w:type="paragraph" w:customStyle="1" w:styleId="tesis">
    <w:name w:val="tesis"/>
    <w:basedOn w:val="Cuerpotexto"/>
    <w:rsid w:val="00C85395"/>
    <w:pPr>
      <w:spacing w:before="0" w:after="170"/>
      <w:ind w:left="567" w:right="0" w:firstLine="0"/>
    </w:pPr>
    <w:rPr>
      <w:b/>
      <w:color w:val="auto"/>
    </w:rPr>
  </w:style>
  <w:style w:type="paragraph" w:customStyle="1" w:styleId="Cuerpotexto">
    <w:name w:val="Cuerpo texto"/>
    <w:rsid w:val="00C85395"/>
    <w:pPr>
      <w:overflowPunct w:val="0"/>
      <w:autoSpaceDE w:val="0"/>
      <w:autoSpaceDN w:val="0"/>
      <w:adjustRightInd w:val="0"/>
      <w:spacing w:before="1" w:after="171" w:line="360" w:lineRule="auto"/>
      <w:ind w:left="1" w:right="1" w:firstLine="397"/>
      <w:jc w:val="both"/>
      <w:textAlignment w:val="baseline"/>
    </w:pPr>
    <w:rPr>
      <w:rFonts w:ascii="Times New Roman" w:hAnsi="Times New Roman" w:cs="Times New Roman"/>
      <w:color w:val="000000"/>
      <w:sz w:val="22"/>
      <w:lang w:val="es-ES_tradnl" w:eastAsia="es-ES"/>
    </w:rPr>
  </w:style>
  <w:style w:type="character" w:customStyle="1" w:styleId="TextonotapieCarCarCar">
    <w:name w:val="Texto nota pie Car Car Car"/>
    <w:aliases w:val="Texto nota pie Car1 Car Car"/>
    <w:rsid w:val="00C85395"/>
    <w:rPr>
      <w:lang w:val="es-CO" w:eastAsia="es-ES"/>
    </w:rPr>
  </w:style>
  <w:style w:type="paragraph" w:styleId="Textonotaalfinal">
    <w:name w:val="endnote text"/>
    <w:basedOn w:val="Normal"/>
    <w:link w:val="TextonotaalfinalCar"/>
    <w:uiPriority w:val="99"/>
    <w:unhideWhenUsed/>
    <w:rsid w:val="00C85395"/>
    <w:rPr>
      <w:sz w:val="20"/>
      <w:szCs w:val="20"/>
    </w:rPr>
  </w:style>
  <w:style w:type="character" w:customStyle="1" w:styleId="TextonotaalfinalCar">
    <w:name w:val="Texto nota al final Car"/>
    <w:link w:val="Textonotaalfinal"/>
    <w:uiPriority w:val="99"/>
    <w:locked/>
    <w:rsid w:val="00C85395"/>
    <w:rPr>
      <w:rFonts w:ascii="Arial" w:hAnsi="Arial"/>
      <w:sz w:val="20"/>
      <w:lang w:eastAsia="es-ES"/>
    </w:rPr>
  </w:style>
  <w:style w:type="paragraph" w:customStyle="1" w:styleId="BodyText22">
    <w:name w:val="Body Text 22"/>
    <w:basedOn w:val="Normal"/>
    <w:rsid w:val="00C85395"/>
    <w:pPr>
      <w:autoSpaceDE w:val="0"/>
      <w:autoSpaceDN w:val="0"/>
      <w:adjustRightInd w:val="0"/>
      <w:ind w:firstLine="708"/>
    </w:pPr>
    <w:rPr>
      <w:rFonts w:ascii="Century Gothic" w:hAnsi="Century Gothic"/>
      <w:sz w:val="22"/>
      <w:szCs w:val="22"/>
    </w:rPr>
  </w:style>
  <w:style w:type="character" w:customStyle="1" w:styleId="TextoindependienteCarCarCarCar">
    <w:name w:val="Texto independiente Car Car Car Car"/>
    <w:aliases w:val="Texto independiente Car Car Car1"/>
    <w:rsid w:val="00C85395"/>
    <w:rPr>
      <w:rFonts w:ascii="Arial" w:hAnsi="Arial"/>
      <w:sz w:val="24"/>
      <w:lang w:val="es-ES_tradnl" w:eastAsia="es-ES"/>
    </w:rPr>
  </w:style>
  <w:style w:type="character" w:styleId="Hipervnculo">
    <w:name w:val="Hyperlink"/>
    <w:uiPriority w:val="99"/>
    <w:rsid w:val="00C85395"/>
    <w:rPr>
      <w:rFonts w:ascii="Arial" w:hAnsi="Arial"/>
      <w:color w:val="auto"/>
      <w:sz w:val="18"/>
      <w:u w:val="none"/>
      <w:effect w:val="none"/>
    </w:rPr>
  </w:style>
  <w:style w:type="character" w:customStyle="1" w:styleId="CarCar10">
    <w:name w:val="Car Car10"/>
    <w:rsid w:val="00C85395"/>
    <w:rPr>
      <w:rFonts w:ascii="Arial" w:hAnsi="Arial"/>
      <w:b/>
      <w:sz w:val="26"/>
      <w:lang w:eastAsia="es-ES"/>
    </w:rPr>
  </w:style>
  <w:style w:type="paragraph" w:customStyle="1" w:styleId="BodyText28">
    <w:name w:val="Body Text 28"/>
    <w:basedOn w:val="Normal"/>
    <w:rsid w:val="00C8539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textAlignment w:val="baseline"/>
    </w:pPr>
    <w:rPr>
      <w:spacing w:val="-2"/>
      <w:sz w:val="22"/>
      <w:szCs w:val="20"/>
      <w:lang w:val="es-CO"/>
    </w:rPr>
  </w:style>
  <w:style w:type="character" w:customStyle="1" w:styleId="TextoindependienteCarCarCarCarCar">
    <w:name w:val="Texto independiente Car Car Car Car Car"/>
    <w:rsid w:val="00C85395"/>
    <w:rPr>
      <w:rFonts w:ascii="Arial" w:hAnsi="Arial"/>
      <w:sz w:val="24"/>
      <w:lang w:val="es-ES_tradnl" w:eastAsia="es-ES"/>
    </w:rPr>
  </w:style>
  <w:style w:type="character" w:customStyle="1" w:styleId="CarCar11">
    <w:name w:val="Car Car11"/>
    <w:rsid w:val="00C85395"/>
    <w:rPr>
      <w:rFonts w:ascii="Arial" w:hAnsi="Arial"/>
      <w:b/>
      <w:sz w:val="26"/>
      <w:lang w:val="es-ES" w:eastAsia="es-ES"/>
    </w:rPr>
  </w:style>
  <w:style w:type="paragraph" w:styleId="Sangradetextonormal">
    <w:name w:val="Body Text Indent"/>
    <w:basedOn w:val="Normal"/>
    <w:link w:val="SangradetextonormalCar"/>
    <w:uiPriority w:val="99"/>
    <w:rsid w:val="00C85395"/>
    <w:pPr>
      <w:spacing w:after="120"/>
      <w:ind w:left="283"/>
    </w:pPr>
    <w:rPr>
      <w:rFonts w:ascii="Times New Roman" w:hAnsi="Times New Roman"/>
      <w:szCs w:val="20"/>
    </w:rPr>
  </w:style>
  <w:style w:type="character" w:customStyle="1" w:styleId="SangradetextonormalCar">
    <w:name w:val="Sangría de texto normal Car"/>
    <w:link w:val="Sangradetextonormal"/>
    <w:uiPriority w:val="99"/>
    <w:locked/>
    <w:rsid w:val="00C85395"/>
    <w:rPr>
      <w:rFonts w:ascii="Times New Roman" w:hAnsi="Times New Roman"/>
      <w:sz w:val="24"/>
      <w:lang w:eastAsia="es-ES"/>
    </w:rPr>
  </w:style>
  <w:style w:type="paragraph" w:styleId="Sangra2detindependiente">
    <w:name w:val="Body Text Indent 2"/>
    <w:basedOn w:val="Normal"/>
    <w:link w:val="Sangra2detindependienteCar"/>
    <w:uiPriority w:val="99"/>
    <w:rsid w:val="00C85395"/>
    <w:pPr>
      <w:spacing w:after="120" w:line="480" w:lineRule="auto"/>
      <w:ind w:left="283"/>
    </w:pPr>
    <w:rPr>
      <w:rFonts w:ascii="Times New Roman" w:hAnsi="Times New Roman"/>
      <w:szCs w:val="20"/>
    </w:rPr>
  </w:style>
  <w:style w:type="character" w:customStyle="1" w:styleId="Sangra2detindependienteCar">
    <w:name w:val="Sangría 2 de t. independiente Car"/>
    <w:link w:val="Sangra2detindependiente"/>
    <w:uiPriority w:val="99"/>
    <w:locked/>
    <w:rsid w:val="00C85395"/>
    <w:rPr>
      <w:rFonts w:ascii="Times New Roman" w:hAnsi="Times New Roman"/>
      <w:sz w:val="24"/>
      <w:lang w:eastAsia="es-ES"/>
    </w:rPr>
  </w:style>
  <w:style w:type="paragraph" w:customStyle="1" w:styleId="Sangra3detindependiente11">
    <w:name w:val="Sangría 3 de t. independiente11"/>
    <w:basedOn w:val="Normal"/>
    <w:rsid w:val="00C85395"/>
    <w:pPr>
      <w:overflowPunct w:val="0"/>
      <w:autoSpaceDE w:val="0"/>
      <w:autoSpaceDN w:val="0"/>
      <w:adjustRightInd w:val="0"/>
      <w:ind w:firstLine="709"/>
      <w:textAlignment w:val="baseline"/>
    </w:pPr>
    <w:rPr>
      <w:szCs w:val="20"/>
    </w:rPr>
  </w:style>
  <w:style w:type="paragraph" w:customStyle="1" w:styleId="Sangra2detindependiente1">
    <w:name w:val="Sangría 2 de t. independiente1"/>
    <w:basedOn w:val="Normal"/>
    <w:rsid w:val="00C85395"/>
    <w:pPr>
      <w:overflowPunct w:val="0"/>
      <w:autoSpaceDE w:val="0"/>
      <w:autoSpaceDN w:val="0"/>
      <w:adjustRightInd w:val="0"/>
      <w:ind w:left="1418"/>
      <w:textAlignment w:val="baseline"/>
    </w:pPr>
    <w:rPr>
      <w:szCs w:val="20"/>
    </w:rPr>
  </w:style>
  <w:style w:type="paragraph" w:customStyle="1" w:styleId="03Cuerpo">
    <w:name w:val="03Cuerpo"/>
    <w:rsid w:val="00C85395"/>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C85395"/>
    <w:pPr>
      <w:widowControl w:val="0"/>
      <w:adjustRightInd w:val="0"/>
      <w:spacing w:line="360" w:lineRule="atLeast"/>
      <w:ind w:left="708"/>
      <w:textAlignment w:val="baseline"/>
    </w:pPr>
    <w:rPr>
      <w:rFonts w:ascii="Times New Roman" w:hAnsi="Times New Roman"/>
    </w:rPr>
  </w:style>
  <w:style w:type="paragraph" w:styleId="Lista">
    <w:name w:val="List"/>
    <w:basedOn w:val="Normal"/>
    <w:uiPriority w:val="99"/>
    <w:rsid w:val="00C85395"/>
    <w:pPr>
      <w:widowControl w:val="0"/>
      <w:adjustRightInd w:val="0"/>
      <w:spacing w:line="360" w:lineRule="atLeast"/>
      <w:ind w:left="283" w:hanging="283"/>
      <w:textAlignment w:val="baseline"/>
    </w:pPr>
    <w:rPr>
      <w:rFonts w:ascii="Times New Roman" w:hAnsi="Times New Roman"/>
    </w:rPr>
  </w:style>
  <w:style w:type="paragraph" w:styleId="Continuarlista">
    <w:name w:val="List Continue"/>
    <w:basedOn w:val="Normal"/>
    <w:uiPriority w:val="99"/>
    <w:rsid w:val="00C85395"/>
    <w:pPr>
      <w:widowControl w:val="0"/>
      <w:adjustRightInd w:val="0"/>
      <w:spacing w:after="120" w:line="360" w:lineRule="atLeast"/>
      <w:ind w:left="283"/>
      <w:textAlignment w:val="baseline"/>
    </w:pPr>
    <w:rPr>
      <w:rFonts w:ascii="Times New Roman" w:hAnsi="Times New Roman"/>
    </w:rPr>
  </w:style>
  <w:style w:type="character" w:styleId="Hipervnculovisitado">
    <w:name w:val="FollowedHyperlink"/>
    <w:uiPriority w:val="99"/>
    <w:rsid w:val="00C85395"/>
    <w:rPr>
      <w:color w:val="800080"/>
      <w:u w:val="single"/>
    </w:rPr>
  </w:style>
  <w:style w:type="character" w:customStyle="1" w:styleId="CarCar13">
    <w:name w:val="Car Car13"/>
    <w:rsid w:val="00C85395"/>
    <w:rPr>
      <w:rFonts w:ascii="Arial" w:hAnsi="Arial"/>
      <w:sz w:val="24"/>
      <w:lang w:val="es-ES_tradnl" w:eastAsia="es-ES"/>
    </w:rPr>
  </w:style>
  <w:style w:type="paragraph" w:customStyle="1" w:styleId="07Resaltado">
    <w:name w:val="07Resaltado"/>
    <w:basedOn w:val="Normal"/>
    <w:rsid w:val="00C85395"/>
    <w:pPr>
      <w:overflowPunct w:val="0"/>
      <w:autoSpaceDE w:val="0"/>
      <w:autoSpaceDN w:val="0"/>
      <w:adjustRightInd w:val="0"/>
      <w:spacing w:line="240" w:lineRule="atLeast"/>
      <w:ind w:left="454" w:right="454"/>
      <w:textAlignment w:val="baseline"/>
    </w:pPr>
    <w:rPr>
      <w:rFonts w:ascii="Book Antiqua" w:hAnsi="Book Antiqua"/>
      <w:i/>
      <w:sz w:val="22"/>
      <w:szCs w:val="20"/>
      <w:lang w:val="es-ES_tradnl"/>
    </w:rPr>
  </w:style>
  <w:style w:type="paragraph" w:styleId="Prrafodelista">
    <w:name w:val="List Paragraph"/>
    <w:basedOn w:val="Normal"/>
    <w:uiPriority w:val="34"/>
    <w:qFormat/>
    <w:rsid w:val="00C85395"/>
    <w:pPr>
      <w:ind w:left="708"/>
    </w:pPr>
  </w:style>
  <w:style w:type="character" w:customStyle="1" w:styleId="TextoindependienteCarCarCarCar1">
    <w:name w:val="Texto independiente Car Car Car Car1"/>
    <w:aliases w:val="Texto independiente Car Car Car2"/>
    <w:rsid w:val="007D56CB"/>
    <w:rPr>
      <w:rFonts w:ascii="Arial" w:hAnsi="Arial"/>
      <w:sz w:val="24"/>
      <w:lang w:val="es-ES_tradnl" w:eastAsia="es-ES"/>
    </w:rPr>
  </w:style>
  <w:style w:type="paragraph" w:styleId="Textosinformato">
    <w:name w:val="Plain Text"/>
    <w:basedOn w:val="Normal"/>
    <w:link w:val="TextosinformatoCar"/>
    <w:uiPriority w:val="99"/>
    <w:rsid w:val="006E5912"/>
    <w:rPr>
      <w:rFonts w:ascii="Courier New" w:hAnsi="Courier New"/>
      <w:sz w:val="20"/>
      <w:szCs w:val="20"/>
    </w:rPr>
  </w:style>
  <w:style w:type="character" w:customStyle="1" w:styleId="TextosinformatoCar">
    <w:name w:val="Texto sin formato Car"/>
    <w:link w:val="Textosinformato"/>
    <w:uiPriority w:val="99"/>
    <w:semiHidden/>
    <w:locked/>
    <w:rsid w:val="00D7442C"/>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F21484"/>
    <w:rPr>
      <w:lang w:val="es-ES" w:eastAsia="es-ES"/>
    </w:rPr>
  </w:style>
  <w:style w:type="table" w:styleId="Tablaconcuadrcula">
    <w:name w:val="Table Grid"/>
    <w:basedOn w:val="Tablanormal"/>
    <w:uiPriority w:val="59"/>
    <w:rsid w:val="000D27B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14D8"/>
    <w:pPr>
      <w:spacing w:line="240" w:lineRule="auto"/>
    </w:pPr>
    <w:rPr>
      <w:rFonts w:ascii="Tahoma" w:hAnsi="Tahoma"/>
      <w:sz w:val="16"/>
      <w:szCs w:val="20"/>
    </w:rPr>
  </w:style>
  <w:style w:type="character" w:customStyle="1" w:styleId="TextodegloboCar">
    <w:name w:val="Texto de globo Car"/>
    <w:link w:val="Textodeglobo"/>
    <w:uiPriority w:val="99"/>
    <w:semiHidden/>
    <w:locked/>
    <w:rsid w:val="00EE14D8"/>
    <w:rPr>
      <w:rFonts w:ascii="Tahoma" w:hAnsi="Tahoma"/>
      <w:sz w:val="16"/>
      <w:lang w:val="es-ES" w:eastAsia="es-ES"/>
    </w:rPr>
  </w:style>
  <w:style w:type="paragraph" w:customStyle="1" w:styleId="Style11">
    <w:name w:val="Style11"/>
    <w:basedOn w:val="Normal"/>
    <w:rsid w:val="00D56298"/>
    <w:pPr>
      <w:widowControl w:val="0"/>
      <w:autoSpaceDE w:val="0"/>
      <w:autoSpaceDN w:val="0"/>
      <w:adjustRightInd w:val="0"/>
      <w:spacing w:line="230" w:lineRule="exact"/>
      <w:ind w:firstLine="264"/>
    </w:pPr>
  </w:style>
  <w:style w:type="character" w:customStyle="1" w:styleId="FontStyle92">
    <w:name w:val="Font Style92"/>
    <w:rsid w:val="00D56298"/>
    <w:rPr>
      <w:rFonts w:ascii="Times New Roman" w:hAnsi="Times New Roman"/>
      <w:sz w:val="18"/>
    </w:rPr>
  </w:style>
  <w:style w:type="paragraph" w:customStyle="1" w:styleId="Textodebloque2">
    <w:name w:val="Texto de bloque2"/>
    <w:basedOn w:val="Normal"/>
    <w:rsid w:val="00182253"/>
    <w:pPr>
      <w:overflowPunct w:val="0"/>
      <w:autoSpaceDE w:val="0"/>
      <w:autoSpaceDN w:val="0"/>
      <w:adjustRightInd w:val="0"/>
      <w:spacing w:line="240" w:lineRule="auto"/>
      <w:ind w:left="576" w:right="576"/>
      <w:textAlignment w:val="baseline"/>
    </w:pPr>
    <w:rPr>
      <w:i/>
      <w:sz w:val="20"/>
      <w:szCs w:val="20"/>
      <w:lang w:val="es-ES_tradnl"/>
    </w:rPr>
  </w:style>
  <w:style w:type="paragraph" w:customStyle="1" w:styleId="Sangra2detindependiente2">
    <w:name w:val="Sangría 2 de t. independiente2"/>
    <w:basedOn w:val="Normal"/>
    <w:rsid w:val="00CF76FD"/>
    <w:pPr>
      <w:overflowPunct w:val="0"/>
      <w:autoSpaceDE w:val="0"/>
      <w:autoSpaceDN w:val="0"/>
      <w:adjustRightInd w:val="0"/>
      <w:spacing w:line="240" w:lineRule="auto"/>
      <w:ind w:left="1418"/>
      <w:textAlignment w:val="baseline"/>
    </w:pPr>
    <w:rPr>
      <w:szCs w:val="20"/>
    </w:rPr>
  </w:style>
  <w:style w:type="character" w:customStyle="1" w:styleId="textonavy1">
    <w:name w:val="texto_navy1"/>
    <w:rsid w:val="004800C2"/>
    <w:rPr>
      <w:color w:val="000080"/>
    </w:rPr>
  </w:style>
  <w:style w:type="paragraph" w:customStyle="1" w:styleId="Enconsecueencia">
    <w:name w:val="En consecueencia"/>
    <w:basedOn w:val="Normal"/>
    <w:rsid w:val="001C6080"/>
    <w:pPr>
      <w:tabs>
        <w:tab w:val="left" w:pos="1276"/>
      </w:tabs>
      <w:spacing w:line="240" w:lineRule="auto"/>
    </w:pPr>
    <w:rPr>
      <w:sz w:val="22"/>
      <w:szCs w:val="20"/>
      <w:lang w:val="es-ES_tradnl"/>
    </w:rPr>
  </w:style>
  <w:style w:type="paragraph" w:customStyle="1" w:styleId="Ed">
    <w:name w:val="Ed"/>
    <w:basedOn w:val="Normal"/>
    <w:rsid w:val="00F00B55"/>
    <w:pPr>
      <w:overflowPunct w:val="0"/>
      <w:autoSpaceDE w:val="0"/>
      <w:autoSpaceDN w:val="0"/>
      <w:adjustRightInd w:val="0"/>
      <w:spacing w:line="480" w:lineRule="auto"/>
      <w:textAlignment w:val="baseline"/>
    </w:pPr>
    <w:rPr>
      <w:szCs w:val="20"/>
      <w:lang w:val="es-ES_tradnl" w:eastAsia="es-CO"/>
    </w:rPr>
  </w:style>
  <w:style w:type="character" w:styleId="Textoennegrita">
    <w:name w:val="Strong"/>
    <w:uiPriority w:val="22"/>
    <w:qFormat/>
    <w:rsid w:val="00915AC0"/>
    <w:rPr>
      <w:b/>
    </w:rPr>
  </w:style>
  <w:style w:type="character" w:customStyle="1" w:styleId="apple-converted-space">
    <w:name w:val="apple-converted-space"/>
    <w:rsid w:val="00CD1359"/>
  </w:style>
  <w:style w:type="paragraph" w:customStyle="1" w:styleId="Default">
    <w:name w:val="Default"/>
    <w:rsid w:val="00117B6F"/>
    <w:pPr>
      <w:autoSpaceDE w:val="0"/>
      <w:autoSpaceDN w:val="0"/>
      <w:adjustRightInd w:val="0"/>
    </w:pPr>
    <w:rPr>
      <w:rFonts w:ascii="NJICAK+Arial" w:hAnsi="NJICAK+Arial" w:cs="NJICAK+Arial"/>
      <w:color w:val="000000"/>
      <w:sz w:val="24"/>
      <w:szCs w:val="24"/>
    </w:rPr>
  </w:style>
  <w:style w:type="character" w:customStyle="1" w:styleId="t132">
    <w:name w:val="t132"/>
    <w:basedOn w:val="Fuentedeprrafopredeter"/>
    <w:rsid w:val="00D95B78"/>
  </w:style>
  <w:style w:type="character" w:customStyle="1" w:styleId="toctoggle">
    <w:name w:val="toctoggle"/>
    <w:basedOn w:val="Fuentedeprrafopredeter"/>
    <w:rsid w:val="00D95B78"/>
  </w:style>
  <w:style w:type="character" w:customStyle="1" w:styleId="t125">
    <w:name w:val="t125"/>
    <w:basedOn w:val="Fuentedeprrafopredeter"/>
    <w:rsid w:val="00F25C04"/>
  </w:style>
  <w:style w:type="paragraph" w:customStyle="1" w:styleId="parrafo-division">
    <w:name w:val="parrafo-division"/>
    <w:basedOn w:val="Normal"/>
    <w:rsid w:val="00747CB1"/>
    <w:pPr>
      <w:spacing w:before="100" w:beforeAutospacing="1" w:after="100" w:afterAutospacing="1" w:line="240" w:lineRule="auto"/>
      <w:jc w:val="left"/>
    </w:pPr>
    <w:rPr>
      <w:rFonts w:ascii="Times New Roman" w:hAnsi="Times New Roman"/>
    </w:rPr>
  </w:style>
  <w:style w:type="character" w:customStyle="1" w:styleId="textonavy">
    <w:name w:val="texto_navy"/>
    <w:basedOn w:val="Fuentedeprrafopredeter"/>
    <w:rsid w:val="00850264"/>
  </w:style>
  <w:style w:type="paragraph" w:customStyle="1" w:styleId="Textoindependiente23">
    <w:name w:val="Texto independiente 23"/>
    <w:basedOn w:val="Normal"/>
    <w:rsid w:val="000F05E1"/>
    <w:pPr>
      <w:overflowPunct w:val="0"/>
      <w:autoSpaceDE w:val="0"/>
      <w:autoSpaceDN w:val="0"/>
      <w:adjustRightInd w:val="0"/>
      <w:ind w:firstLine="1418"/>
      <w:textAlignment w:val="baseline"/>
    </w:pPr>
    <w:rPr>
      <w:szCs w:val="20"/>
      <w:lang w:val="es-CO"/>
    </w:rPr>
  </w:style>
  <w:style w:type="paragraph" w:customStyle="1" w:styleId="Textoindependiente24">
    <w:name w:val="Texto independiente 24"/>
    <w:basedOn w:val="Normal"/>
    <w:rsid w:val="00C81F08"/>
    <w:pPr>
      <w:overflowPunct w:val="0"/>
      <w:autoSpaceDE w:val="0"/>
      <w:autoSpaceDN w:val="0"/>
      <w:adjustRightInd w:val="0"/>
      <w:spacing w:line="480" w:lineRule="auto"/>
      <w:textAlignment w:val="baseline"/>
    </w:pPr>
    <w:rPr>
      <w:szCs w:val="20"/>
    </w:rPr>
  </w:style>
  <w:style w:type="paragraph" w:styleId="Ttulo">
    <w:name w:val="Title"/>
    <w:basedOn w:val="Normal"/>
    <w:link w:val="TtuloCar"/>
    <w:qFormat/>
    <w:rsid w:val="00D210C6"/>
    <w:pPr>
      <w:spacing w:line="240" w:lineRule="auto"/>
      <w:jc w:val="center"/>
    </w:pPr>
    <w:rPr>
      <w:rFonts w:eastAsia="Batang" w:cs="Arial"/>
      <w:b/>
      <w:bCs/>
      <w:sz w:val="22"/>
      <w:lang w:val="es-ES_tradnl"/>
    </w:rPr>
  </w:style>
  <w:style w:type="character" w:customStyle="1" w:styleId="TtuloCar">
    <w:name w:val="Título Car"/>
    <w:link w:val="Ttulo"/>
    <w:rsid w:val="00D210C6"/>
    <w:rPr>
      <w:rFonts w:ascii="Arial" w:eastAsia="Batang" w:hAnsi="Arial" w:cs="Arial"/>
      <w:b/>
      <w:bCs/>
      <w:sz w:val="22"/>
      <w:szCs w:val="24"/>
      <w:lang w:val="es-ES_tradnl"/>
    </w:rPr>
  </w:style>
  <w:style w:type="paragraph" w:customStyle="1" w:styleId="Textoindependiente25">
    <w:name w:val="Texto independiente 25"/>
    <w:basedOn w:val="Normal"/>
    <w:rsid w:val="001235E1"/>
    <w:pPr>
      <w:overflowPunct w:val="0"/>
      <w:autoSpaceDE w:val="0"/>
      <w:autoSpaceDN w:val="0"/>
      <w:adjustRightInd w:val="0"/>
      <w:ind w:firstLine="710"/>
      <w:textAlignment w:val="baseline"/>
    </w:pPr>
    <w:rPr>
      <w:szCs w:val="20"/>
      <w:lang w:val="es-CO"/>
    </w:rPr>
  </w:style>
  <w:style w:type="paragraph" w:customStyle="1" w:styleId="textocaja">
    <w:name w:val="textocaja"/>
    <w:basedOn w:val="Normal"/>
    <w:rsid w:val="00C61876"/>
    <w:pPr>
      <w:spacing w:before="100" w:beforeAutospacing="1" w:after="100" w:afterAutospacing="1" w:line="240" w:lineRule="auto"/>
      <w:jc w:val="left"/>
    </w:pPr>
    <w:rPr>
      <w:rFonts w:ascii="Times New Roman" w:hAnsi="Times New Roman"/>
    </w:rPr>
  </w:style>
  <w:style w:type="paragraph" w:customStyle="1" w:styleId="Textoindependiente26">
    <w:name w:val="Texto independiente 26"/>
    <w:basedOn w:val="Normal"/>
    <w:rsid w:val="008462BA"/>
    <w:pPr>
      <w:overflowPunct w:val="0"/>
      <w:autoSpaceDE w:val="0"/>
      <w:autoSpaceDN w:val="0"/>
      <w:adjustRightInd w:val="0"/>
      <w:spacing w:line="240" w:lineRule="auto"/>
      <w:jc w:val="left"/>
      <w:textAlignment w:val="baseline"/>
    </w:pPr>
    <w:rPr>
      <w:i/>
      <w:sz w:val="22"/>
      <w:szCs w:val="20"/>
      <w:lang w:val="es-CO"/>
    </w:rPr>
  </w:style>
  <w:style w:type="paragraph" w:styleId="Lista2">
    <w:name w:val="List 2"/>
    <w:basedOn w:val="Normal"/>
    <w:uiPriority w:val="99"/>
    <w:unhideWhenUsed/>
    <w:rsid w:val="00E759BE"/>
    <w:pPr>
      <w:ind w:left="566" w:hanging="283"/>
      <w:contextualSpacing/>
    </w:pPr>
  </w:style>
  <w:style w:type="paragraph" w:styleId="Lista3">
    <w:name w:val="List 3"/>
    <w:basedOn w:val="Normal"/>
    <w:uiPriority w:val="99"/>
    <w:unhideWhenUsed/>
    <w:rsid w:val="00E759BE"/>
    <w:pPr>
      <w:ind w:left="849" w:hanging="283"/>
      <w:contextualSpacing/>
    </w:pPr>
  </w:style>
  <w:style w:type="paragraph" w:styleId="Lista4">
    <w:name w:val="List 4"/>
    <w:basedOn w:val="Normal"/>
    <w:uiPriority w:val="99"/>
    <w:unhideWhenUsed/>
    <w:rsid w:val="00E759BE"/>
    <w:pPr>
      <w:ind w:left="1132" w:hanging="283"/>
      <w:contextualSpacing/>
    </w:pPr>
  </w:style>
  <w:style w:type="paragraph" w:styleId="Lista5">
    <w:name w:val="List 5"/>
    <w:basedOn w:val="Normal"/>
    <w:uiPriority w:val="99"/>
    <w:unhideWhenUsed/>
    <w:rsid w:val="00E759BE"/>
    <w:pPr>
      <w:ind w:left="1415" w:hanging="283"/>
      <w:contextualSpacing/>
    </w:pPr>
  </w:style>
  <w:style w:type="paragraph" w:styleId="Saludo">
    <w:name w:val="Salutation"/>
    <w:basedOn w:val="Normal"/>
    <w:next w:val="Normal"/>
    <w:link w:val="SaludoCar"/>
    <w:uiPriority w:val="99"/>
    <w:unhideWhenUsed/>
    <w:rsid w:val="00E759BE"/>
  </w:style>
  <w:style w:type="character" w:customStyle="1" w:styleId="SaludoCar">
    <w:name w:val="Saludo Car"/>
    <w:link w:val="Saludo"/>
    <w:uiPriority w:val="99"/>
    <w:rsid w:val="00E759BE"/>
    <w:rPr>
      <w:rFonts w:ascii="Arial" w:hAnsi="Arial" w:cs="Times New Roman"/>
      <w:sz w:val="24"/>
      <w:szCs w:val="24"/>
    </w:rPr>
  </w:style>
  <w:style w:type="paragraph" w:styleId="Continuarlista2">
    <w:name w:val="List Continue 2"/>
    <w:basedOn w:val="Normal"/>
    <w:uiPriority w:val="99"/>
    <w:unhideWhenUsed/>
    <w:rsid w:val="00E759BE"/>
    <w:pPr>
      <w:spacing w:after="120"/>
      <w:ind w:left="566"/>
      <w:contextualSpacing/>
    </w:pPr>
  </w:style>
  <w:style w:type="paragraph" w:styleId="Continuarlista3">
    <w:name w:val="List Continue 3"/>
    <w:basedOn w:val="Normal"/>
    <w:uiPriority w:val="99"/>
    <w:unhideWhenUsed/>
    <w:rsid w:val="00E759BE"/>
    <w:pPr>
      <w:spacing w:after="120"/>
      <w:ind w:left="849"/>
      <w:contextualSpacing/>
    </w:pPr>
  </w:style>
  <w:style w:type="paragraph" w:styleId="Textoindependienteprimerasangra2">
    <w:name w:val="Body Text First Indent 2"/>
    <w:basedOn w:val="Sangradetextonormal"/>
    <w:link w:val="Textoindependienteprimerasangra2Car"/>
    <w:uiPriority w:val="99"/>
    <w:unhideWhenUsed/>
    <w:rsid w:val="00E759BE"/>
    <w:pPr>
      <w:spacing w:after="0"/>
      <w:ind w:left="360" w:firstLine="360"/>
    </w:pPr>
    <w:rPr>
      <w:rFonts w:ascii="Arial" w:hAnsi="Arial"/>
      <w:szCs w:val="24"/>
    </w:rPr>
  </w:style>
  <w:style w:type="character" w:customStyle="1" w:styleId="Textoindependienteprimerasangra2Car">
    <w:name w:val="Texto independiente primera sangría 2 Car"/>
    <w:link w:val="Textoindependienteprimerasangra2"/>
    <w:uiPriority w:val="99"/>
    <w:rsid w:val="00E759BE"/>
    <w:rPr>
      <w:rFonts w:ascii="Arial" w:hAnsi="Arial" w:cs="Times New Roman"/>
      <w:sz w:val="24"/>
      <w:szCs w:val="24"/>
      <w:lang w:eastAsia="es-ES"/>
    </w:rPr>
  </w:style>
  <w:style w:type="paragraph" w:customStyle="1" w:styleId="Cuadrculamedia1-nfasis21">
    <w:name w:val="Cuadrícula media 1 - Énfasis 21"/>
    <w:basedOn w:val="Normal"/>
    <w:qFormat/>
    <w:rsid w:val="00A307E4"/>
    <w:pPr>
      <w:spacing w:line="240" w:lineRule="auto"/>
      <w:ind w:left="851" w:right="851"/>
      <w:contextualSpacing/>
    </w:pPr>
    <w:rPr>
      <w:rFonts w:ascii="Century Gothic" w:eastAsia="Calibri" w:hAnsi="Century Gothic"/>
      <w:sz w:val="22"/>
      <w:szCs w:val="22"/>
      <w:lang w:val="es-ES_tradnl" w:eastAsia="en-US"/>
    </w:rPr>
  </w:style>
  <w:style w:type="paragraph" w:customStyle="1" w:styleId="western">
    <w:name w:val="western"/>
    <w:basedOn w:val="Normal"/>
    <w:rsid w:val="006A1D4A"/>
    <w:pPr>
      <w:spacing w:before="100" w:beforeAutospacing="1" w:after="100" w:afterAutospacing="1" w:line="240" w:lineRule="auto"/>
      <w:jc w:val="left"/>
    </w:pPr>
    <w:rPr>
      <w:rFonts w:ascii="Times New Roman" w:hAnsi="Times New Roman"/>
    </w:rPr>
  </w:style>
  <w:style w:type="character" w:styleId="Refdenotaalfinal">
    <w:name w:val="endnote reference"/>
    <w:uiPriority w:val="99"/>
    <w:semiHidden/>
    <w:unhideWhenUsed/>
    <w:rsid w:val="00AE2715"/>
    <w:rPr>
      <w:vertAlign w:val="superscript"/>
    </w:rPr>
  </w:style>
  <w:style w:type="character" w:styleId="nfasis">
    <w:name w:val="Emphasis"/>
    <w:uiPriority w:val="20"/>
    <w:qFormat/>
    <w:rsid w:val="00AF1F91"/>
    <w:rPr>
      <w:i/>
      <w:iCs/>
    </w:rPr>
  </w:style>
  <w:style w:type="character" w:customStyle="1" w:styleId="auto-style27">
    <w:name w:val="auto-style27"/>
    <w:basedOn w:val="Fuentedeprrafopredeter"/>
    <w:rsid w:val="00C72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6344">
      <w:bodyDiv w:val="1"/>
      <w:marLeft w:val="0"/>
      <w:marRight w:val="0"/>
      <w:marTop w:val="0"/>
      <w:marBottom w:val="0"/>
      <w:divBdr>
        <w:top w:val="none" w:sz="0" w:space="0" w:color="auto"/>
        <w:left w:val="none" w:sz="0" w:space="0" w:color="auto"/>
        <w:bottom w:val="none" w:sz="0" w:space="0" w:color="auto"/>
        <w:right w:val="none" w:sz="0" w:space="0" w:color="auto"/>
      </w:divBdr>
      <w:divsChild>
        <w:div w:id="353653285">
          <w:marLeft w:val="0"/>
          <w:marRight w:val="0"/>
          <w:marTop w:val="0"/>
          <w:marBottom w:val="0"/>
          <w:divBdr>
            <w:top w:val="none" w:sz="0" w:space="0" w:color="auto"/>
            <w:left w:val="none" w:sz="0" w:space="0" w:color="auto"/>
            <w:bottom w:val="none" w:sz="0" w:space="0" w:color="auto"/>
            <w:right w:val="none" w:sz="0" w:space="0" w:color="auto"/>
          </w:divBdr>
          <w:divsChild>
            <w:div w:id="5176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5430">
      <w:bodyDiv w:val="1"/>
      <w:marLeft w:val="0"/>
      <w:marRight w:val="0"/>
      <w:marTop w:val="0"/>
      <w:marBottom w:val="0"/>
      <w:divBdr>
        <w:top w:val="none" w:sz="0" w:space="0" w:color="auto"/>
        <w:left w:val="none" w:sz="0" w:space="0" w:color="auto"/>
        <w:bottom w:val="none" w:sz="0" w:space="0" w:color="auto"/>
        <w:right w:val="none" w:sz="0" w:space="0" w:color="auto"/>
      </w:divBdr>
    </w:div>
    <w:div w:id="75366753">
      <w:bodyDiv w:val="1"/>
      <w:marLeft w:val="0"/>
      <w:marRight w:val="0"/>
      <w:marTop w:val="0"/>
      <w:marBottom w:val="0"/>
      <w:divBdr>
        <w:top w:val="none" w:sz="0" w:space="0" w:color="auto"/>
        <w:left w:val="none" w:sz="0" w:space="0" w:color="auto"/>
        <w:bottom w:val="none" w:sz="0" w:space="0" w:color="auto"/>
        <w:right w:val="none" w:sz="0" w:space="0" w:color="auto"/>
      </w:divBdr>
    </w:div>
    <w:div w:id="131948534">
      <w:bodyDiv w:val="1"/>
      <w:marLeft w:val="0"/>
      <w:marRight w:val="0"/>
      <w:marTop w:val="0"/>
      <w:marBottom w:val="0"/>
      <w:divBdr>
        <w:top w:val="none" w:sz="0" w:space="0" w:color="auto"/>
        <w:left w:val="none" w:sz="0" w:space="0" w:color="auto"/>
        <w:bottom w:val="none" w:sz="0" w:space="0" w:color="auto"/>
        <w:right w:val="none" w:sz="0" w:space="0" w:color="auto"/>
      </w:divBdr>
    </w:div>
    <w:div w:id="150223386">
      <w:bodyDiv w:val="1"/>
      <w:marLeft w:val="0"/>
      <w:marRight w:val="0"/>
      <w:marTop w:val="0"/>
      <w:marBottom w:val="0"/>
      <w:divBdr>
        <w:top w:val="none" w:sz="0" w:space="0" w:color="auto"/>
        <w:left w:val="none" w:sz="0" w:space="0" w:color="auto"/>
        <w:bottom w:val="none" w:sz="0" w:space="0" w:color="auto"/>
        <w:right w:val="none" w:sz="0" w:space="0" w:color="auto"/>
      </w:divBdr>
    </w:div>
    <w:div w:id="238834487">
      <w:bodyDiv w:val="1"/>
      <w:marLeft w:val="0"/>
      <w:marRight w:val="0"/>
      <w:marTop w:val="0"/>
      <w:marBottom w:val="0"/>
      <w:divBdr>
        <w:top w:val="none" w:sz="0" w:space="0" w:color="auto"/>
        <w:left w:val="none" w:sz="0" w:space="0" w:color="auto"/>
        <w:bottom w:val="none" w:sz="0" w:space="0" w:color="auto"/>
        <w:right w:val="none" w:sz="0" w:space="0" w:color="auto"/>
      </w:divBdr>
    </w:div>
    <w:div w:id="241959854">
      <w:bodyDiv w:val="1"/>
      <w:marLeft w:val="0"/>
      <w:marRight w:val="0"/>
      <w:marTop w:val="0"/>
      <w:marBottom w:val="0"/>
      <w:divBdr>
        <w:top w:val="none" w:sz="0" w:space="0" w:color="auto"/>
        <w:left w:val="none" w:sz="0" w:space="0" w:color="auto"/>
        <w:bottom w:val="none" w:sz="0" w:space="0" w:color="auto"/>
        <w:right w:val="none" w:sz="0" w:space="0" w:color="auto"/>
      </w:divBdr>
    </w:div>
    <w:div w:id="253319099">
      <w:bodyDiv w:val="1"/>
      <w:marLeft w:val="0"/>
      <w:marRight w:val="0"/>
      <w:marTop w:val="0"/>
      <w:marBottom w:val="0"/>
      <w:divBdr>
        <w:top w:val="none" w:sz="0" w:space="0" w:color="auto"/>
        <w:left w:val="none" w:sz="0" w:space="0" w:color="auto"/>
        <w:bottom w:val="none" w:sz="0" w:space="0" w:color="auto"/>
        <w:right w:val="none" w:sz="0" w:space="0" w:color="auto"/>
      </w:divBdr>
    </w:div>
    <w:div w:id="262806578">
      <w:bodyDiv w:val="1"/>
      <w:marLeft w:val="0"/>
      <w:marRight w:val="0"/>
      <w:marTop w:val="0"/>
      <w:marBottom w:val="0"/>
      <w:divBdr>
        <w:top w:val="none" w:sz="0" w:space="0" w:color="auto"/>
        <w:left w:val="none" w:sz="0" w:space="0" w:color="auto"/>
        <w:bottom w:val="none" w:sz="0" w:space="0" w:color="auto"/>
        <w:right w:val="none" w:sz="0" w:space="0" w:color="auto"/>
      </w:divBdr>
    </w:div>
    <w:div w:id="264268354">
      <w:bodyDiv w:val="1"/>
      <w:marLeft w:val="0"/>
      <w:marRight w:val="0"/>
      <w:marTop w:val="0"/>
      <w:marBottom w:val="0"/>
      <w:divBdr>
        <w:top w:val="none" w:sz="0" w:space="0" w:color="auto"/>
        <w:left w:val="none" w:sz="0" w:space="0" w:color="auto"/>
        <w:bottom w:val="none" w:sz="0" w:space="0" w:color="auto"/>
        <w:right w:val="none" w:sz="0" w:space="0" w:color="auto"/>
      </w:divBdr>
    </w:div>
    <w:div w:id="286012431">
      <w:bodyDiv w:val="1"/>
      <w:marLeft w:val="0"/>
      <w:marRight w:val="0"/>
      <w:marTop w:val="0"/>
      <w:marBottom w:val="0"/>
      <w:divBdr>
        <w:top w:val="none" w:sz="0" w:space="0" w:color="auto"/>
        <w:left w:val="none" w:sz="0" w:space="0" w:color="auto"/>
        <w:bottom w:val="none" w:sz="0" w:space="0" w:color="auto"/>
        <w:right w:val="none" w:sz="0" w:space="0" w:color="auto"/>
      </w:divBdr>
      <w:divsChild>
        <w:div w:id="1122305107">
          <w:marLeft w:val="0"/>
          <w:marRight w:val="0"/>
          <w:marTop w:val="300"/>
          <w:marBottom w:val="300"/>
          <w:divBdr>
            <w:top w:val="none" w:sz="0" w:space="0" w:color="auto"/>
            <w:left w:val="none" w:sz="0" w:space="0" w:color="auto"/>
            <w:bottom w:val="none" w:sz="0" w:space="0" w:color="auto"/>
            <w:right w:val="none" w:sz="0" w:space="0" w:color="auto"/>
          </w:divBdr>
        </w:div>
        <w:div w:id="1204555232">
          <w:marLeft w:val="0"/>
          <w:marRight w:val="0"/>
          <w:marTop w:val="300"/>
          <w:marBottom w:val="300"/>
          <w:divBdr>
            <w:top w:val="none" w:sz="0" w:space="0" w:color="auto"/>
            <w:left w:val="none" w:sz="0" w:space="0" w:color="auto"/>
            <w:bottom w:val="none" w:sz="0" w:space="0" w:color="auto"/>
            <w:right w:val="none" w:sz="0" w:space="0" w:color="auto"/>
          </w:divBdr>
        </w:div>
        <w:div w:id="1283614969">
          <w:marLeft w:val="0"/>
          <w:marRight w:val="0"/>
          <w:marTop w:val="0"/>
          <w:marBottom w:val="150"/>
          <w:divBdr>
            <w:top w:val="none" w:sz="0" w:space="0" w:color="auto"/>
            <w:left w:val="none" w:sz="0" w:space="0" w:color="auto"/>
            <w:bottom w:val="none" w:sz="0" w:space="0" w:color="auto"/>
            <w:right w:val="none" w:sz="0" w:space="0" w:color="auto"/>
          </w:divBdr>
        </w:div>
        <w:div w:id="1772973511">
          <w:marLeft w:val="0"/>
          <w:marRight w:val="0"/>
          <w:marTop w:val="0"/>
          <w:marBottom w:val="150"/>
          <w:divBdr>
            <w:top w:val="none" w:sz="0" w:space="0" w:color="auto"/>
            <w:left w:val="none" w:sz="0" w:space="0" w:color="auto"/>
            <w:bottom w:val="none" w:sz="0" w:space="0" w:color="auto"/>
            <w:right w:val="none" w:sz="0" w:space="0" w:color="auto"/>
          </w:divBdr>
        </w:div>
      </w:divsChild>
    </w:div>
    <w:div w:id="306863218">
      <w:bodyDiv w:val="1"/>
      <w:marLeft w:val="0"/>
      <w:marRight w:val="0"/>
      <w:marTop w:val="0"/>
      <w:marBottom w:val="0"/>
      <w:divBdr>
        <w:top w:val="none" w:sz="0" w:space="0" w:color="auto"/>
        <w:left w:val="none" w:sz="0" w:space="0" w:color="auto"/>
        <w:bottom w:val="none" w:sz="0" w:space="0" w:color="auto"/>
        <w:right w:val="none" w:sz="0" w:space="0" w:color="auto"/>
      </w:divBdr>
    </w:div>
    <w:div w:id="352539975">
      <w:bodyDiv w:val="1"/>
      <w:marLeft w:val="0"/>
      <w:marRight w:val="0"/>
      <w:marTop w:val="0"/>
      <w:marBottom w:val="0"/>
      <w:divBdr>
        <w:top w:val="none" w:sz="0" w:space="0" w:color="auto"/>
        <w:left w:val="none" w:sz="0" w:space="0" w:color="auto"/>
        <w:bottom w:val="none" w:sz="0" w:space="0" w:color="auto"/>
        <w:right w:val="none" w:sz="0" w:space="0" w:color="auto"/>
      </w:divBdr>
    </w:div>
    <w:div w:id="353195991">
      <w:bodyDiv w:val="1"/>
      <w:marLeft w:val="0"/>
      <w:marRight w:val="0"/>
      <w:marTop w:val="0"/>
      <w:marBottom w:val="0"/>
      <w:divBdr>
        <w:top w:val="none" w:sz="0" w:space="0" w:color="auto"/>
        <w:left w:val="none" w:sz="0" w:space="0" w:color="auto"/>
        <w:bottom w:val="none" w:sz="0" w:space="0" w:color="auto"/>
        <w:right w:val="none" w:sz="0" w:space="0" w:color="auto"/>
      </w:divBdr>
      <w:divsChild>
        <w:div w:id="637879158">
          <w:marLeft w:val="0"/>
          <w:marRight w:val="0"/>
          <w:marTop w:val="0"/>
          <w:marBottom w:val="0"/>
          <w:divBdr>
            <w:top w:val="none" w:sz="0" w:space="0" w:color="auto"/>
            <w:left w:val="none" w:sz="0" w:space="0" w:color="auto"/>
            <w:bottom w:val="none" w:sz="0" w:space="0" w:color="auto"/>
            <w:right w:val="none" w:sz="0" w:space="0" w:color="auto"/>
          </w:divBdr>
          <w:divsChild>
            <w:div w:id="979075062">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922761311">
          <w:marLeft w:val="0"/>
          <w:marRight w:val="0"/>
          <w:marTop w:val="0"/>
          <w:marBottom w:val="0"/>
          <w:divBdr>
            <w:top w:val="none" w:sz="0" w:space="0" w:color="auto"/>
            <w:left w:val="none" w:sz="0" w:space="0" w:color="auto"/>
            <w:bottom w:val="none" w:sz="0" w:space="0" w:color="auto"/>
            <w:right w:val="none" w:sz="0" w:space="0" w:color="auto"/>
          </w:divBdr>
          <w:divsChild>
            <w:div w:id="5631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9744">
      <w:bodyDiv w:val="1"/>
      <w:marLeft w:val="0"/>
      <w:marRight w:val="0"/>
      <w:marTop w:val="0"/>
      <w:marBottom w:val="0"/>
      <w:divBdr>
        <w:top w:val="none" w:sz="0" w:space="0" w:color="auto"/>
        <w:left w:val="none" w:sz="0" w:space="0" w:color="auto"/>
        <w:bottom w:val="none" w:sz="0" w:space="0" w:color="auto"/>
        <w:right w:val="none" w:sz="0" w:space="0" w:color="auto"/>
      </w:divBdr>
    </w:div>
    <w:div w:id="450173775">
      <w:bodyDiv w:val="1"/>
      <w:marLeft w:val="0"/>
      <w:marRight w:val="0"/>
      <w:marTop w:val="0"/>
      <w:marBottom w:val="0"/>
      <w:divBdr>
        <w:top w:val="none" w:sz="0" w:space="0" w:color="auto"/>
        <w:left w:val="none" w:sz="0" w:space="0" w:color="auto"/>
        <w:bottom w:val="none" w:sz="0" w:space="0" w:color="auto"/>
        <w:right w:val="none" w:sz="0" w:space="0" w:color="auto"/>
      </w:divBdr>
    </w:div>
    <w:div w:id="477918723">
      <w:bodyDiv w:val="1"/>
      <w:marLeft w:val="0"/>
      <w:marRight w:val="0"/>
      <w:marTop w:val="0"/>
      <w:marBottom w:val="0"/>
      <w:divBdr>
        <w:top w:val="none" w:sz="0" w:space="0" w:color="auto"/>
        <w:left w:val="none" w:sz="0" w:space="0" w:color="auto"/>
        <w:bottom w:val="none" w:sz="0" w:space="0" w:color="auto"/>
        <w:right w:val="none" w:sz="0" w:space="0" w:color="auto"/>
      </w:divBdr>
    </w:div>
    <w:div w:id="506096148">
      <w:bodyDiv w:val="1"/>
      <w:marLeft w:val="0"/>
      <w:marRight w:val="0"/>
      <w:marTop w:val="0"/>
      <w:marBottom w:val="0"/>
      <w:divBdr>
        <w:top w:val="none" w:sz="0" w:space="0" w:color="auto"/>
        <w:left w:val="none" w:sz="0" w:space="0" w:color="auto"/>
        <w:bottom w:val="none" w:sz="0" w:space="0" w:color="auto"/>
        <w:right w:val="none" w:sz="0" w:space="0" w:color="auto"/>
      </w:divBdr>
    </w:div>
    <w:div w:id="530609917">
      <w:bodyDiv w:val="1"/>
      <w:marLeft w:val="0"/>
      <w:marRight w:val="0"/>
      <w:marTop w:val="0"/>
      <w:marBottom w:val="0"/>
      <w:divBdr>
        <w:top w:val="none" w:sz="0" w:space="0" w:color="auto"/>
        <w:left w:val="none" w:sz="0" w:space="0" w:color="auto"/>
        <w:bottom w:val="none" w:sz="0" w:space="0" w:color="auto"/>
        <w:right w:val="none" w:sz="0" w:space="0" w:color="auto"/>
      </w:divBdr>
      <w:divsChild>
        <w:div w:id="2045863400">
          <w:marLeft w:val="0"/>
          <w:marRight w:val="0"/>
          <w:marTop w:val="0"/>
          <w:marBottom w:val="0"/>
          <w:divBdr>
            <w:top w:val="none" w:sz="0" w:space="0" w:color="auto"/>
            <w:left w:val="none" w:sz="0" w:space="0" w:color="auto"/>
            <w:bottom w:val="none" w:sz="0" w:space="0" w:color="auto"/>
            <w:right w:val="none" w:sz="0" w:space="0" w:color="auto"/>
          </w:divBdr>
          <w:divsChild>
            <w:div w:id="10902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1706">
      <w:bodyDiv w:val="1"/>
      <w:marLeft w:val="0"/>
      <w:marRight w:val="0"/>
      <w:marTop w:val="0"/>
      <w:marBottom w:val="0"/>
      <w:divBdr>
        <w:top w:val="none" w:sz="0" w:space="0" w:color="auto"/>
        <w:left w:val="none" w:sz="0" w:space="0" w:color="auto"/>
        <w:bottom w:val="none" w:sz="0" w:space="0" w:color="auto"/>
        <w:right w:val="none" w:sz="0" w:space="0" w:color="auto"/>
      </w:divBdr>
    </w:div>
    <w:div w:id="721712255">
      <w:bodyDiv w:val="1"/>
      <w:marLeft w:val="0"/>
      <w:marRight w:val="0"/>
      <w:marTop w:val="0"/>
      <w:marBottom w:val="0"/>
      <w:divBdr>
        <w:top w:val="none" w:sz="0" w:space="0" w:color="auto"/>
        <w:left w:val="none" w:sz="0" w:space="0" w:color="auto"/>
        <w:bottom w:val="none" w:sz="0" w:space="0" w:color="auto"/>
        <w:right w:val="none" w:sz="0" w:space="0" w:color="auto"/>
      </w:divBdr>
    </w:div>
    <w:div w:id="805052469">
      <w:bodyDiv w:val="1"/>
      <w:marLeft w:val="0"/>
      <w:marRight w:val="0"/>
      <w:marTop w:val="0"/>
      <w:marBottom w:val="0"/>
      <w:divBdr>
        <w:top w:val="none" w:sz="0" w:space="0" w:color="auto"/>
        <w:left w:val="none" w:sz="0" w:space="0" w:color="auto"/>
        <w:bottom w:val="none" w:sz="0" w:space="0" w:color="auto"/>
        <w:right w:val="none" w:sz="0" w:space="0" w:color="auto"/>
      </w:divBdr>
    </w:div>
    <w:div w:id="805512102">
      <w:bodyDiv w:val="1"/>
      <w:marLeft w:val="0"/>
      <w:marRight w:val="0"/>
      <w:marTop w:val="0"/>
      <w:marBottom w:val="0"/>
      <w:divBdr>
        <w:top w:val="none" w:sz="0" w:space="0" w:color="auto"/>
        <w:left w:val="none" w:sz="0" w:space="0" w:color="auto"/>
        <w:bottom w:val="none" w:sz="0" w:space="0" w:color="auto"/>
        <w:right w:val="none" w:sz="0" w:space="0" w:color="auto"/>
      </w:divBdr>
      <w:divsChild>
        <w:div w:id="156045468">
          <w:marLeft w:val="0"/>
          <w:marRight w:val="0"/>
          <w:marTop w:val="0"/>
          <w:marBottom w:val="150"/>
          <w:divBdr>
            <w:top w:val="none" w:sz="0" w:space="0" w:color="auto"/>
            <w:left w:val="none" w:sz="0" w:space="0" w:color="auto"/>
            <w:bottom w:val="none" w:sz="0" w:space="0" w:color="auto"/>
            <w:right w:val="none" w:sz="0" w:space="0" w:color="auto"/>
          </w:divBdr>
        </w:div>
        <w:div w:id="1511214518">
          <w:marLeft w:val="0"/>
          <w:marRight w:val="0"/>
          <w:marTop w:val="0"/>
          <w:marBottom w:val="150"/>
          <w:divBdr>
            <w:top w:val="none" w:sz="0" w:space="0" w:color="auto"/>
            <w:left w:val="none" w:sz="0" w:space="0" w:color="auto"/>
            <w:bottom w:val="none" w:sz="0" w:space="0" w:color="auto"/>
            <w:right w:val="none" w:sz="0" w:space="0" w:color="auto"/>
          </w:divBdr>
        </w:div>
        <w:div w:id="1525558565">
          <w:marLeft w:val="0"/>
          <w:marRight w:val="0"/>
          <w:marTop w:val="0"/>
          <w:marBottom w:val="150"/>
          <w:divBdr>
            <w:top w:val="none" w:sz="0" w:space="0" w:color="auto"/>
            <w:left w:val="none" w:sz="0" w:space="0" w:color="auto"/>
            <w:bottom w:val="none" w:sz="0" w:space="0" w:color="auto"/>
            <w:right w:val="none" w:sz="0" w:space="0" w:color="auto"/>
          </w:divBdr>
        </w:div>
      </w:divsChild>
    </w:div>
    <w:div w:id="869994694">
      <w:bodyDiv w:val="1"/>
      <w:marLeft w:val="0"/>
      <w:marRight w:val="0"/>
      <w:marTop w:val="0"/>
      <w:marBottom w:val="0"/>
      <w:divBdr>
        <w:top w:val="none" w:sz="0" w:space="0" w:color="auto"/>
        <w:left w:val="none" w:sz="0" w:space="0" w:color="auto"/>
        <w:bottom w:val="none" w:sz="0" w:space="0" w:color="auto"/>
        <w:right w:val="none" w:sz="0" w:space="0" w:color="auto"/>
      </w:divBdr>
    </w:div>
    <w:div w:id="929582115">
      <w:bodyDiv w:val="1"/>
      <w:marLeft w:val="0"/>
      <w:marRight w:val="0"/>
      <w:marTop w:val="0"/>
      <w:marBottom w:val="0"/>
      <w:divBdr>
        <w:top w:val="none" w:sz="0" w:space="0" w:color="auto"/>
        <w:left w:val="none" w:sz="0" w:space="0" w:color="auto"/>
        <w:bottom w:val="none" w:sz="0" w:space="0" w:color="auto"/>
        <w:right w:val="none" w:sz="0" w:space="0" w:color="auto"/>
      </w:divBdr>
    </w:div>
    <w:div w:id="940726732">
      <w:marLeft w:val="0"/>
      <w:marRight w:val="0"/>
      <w:marTop w:val="0"/>
      <w:marBottom w:val="0"/>
      <w:divBdr>
        <w:top w:val="none" w:sz="0" w:space="0" w:color="auto"/>
        <w:left w:val="none" w:sz="0" w:space="0" w:color="auto"/>
        <w:bottom w:val="none" w:sz="0" w:space="0" w:color="auto"/>
        <w:right w:val="none" w:sz="0" w:space="0" w:color="auto"/>
      </w:divBdr>
    </w:div>
    <w:div w:id="940726733">
      <w:marLeft w:val="150"/>
      <w:marRight w:val="150"/>
      <w:marTop w:val="150"/>
      <w:marBottom w:val="150"/>
      <w:divBdr>
        <w:top w:val="none" w:sz="0" w:space="0" w:color="auto"/>
        <w:left w:val="none" w:sz="0" w:space="0" w:color="auto"/>
        <w:bottom w:val="none" w:sz="0" w:space="0" w:color="auto"/>
        <w:right w:val="none" w:sz="0" w:space="0" w:color="auto"/>
      </w:divBdr>
      <w:divsChild>
        <w:div w:id="940726737">
          <w:marLeft w:val="0"/>
          <w:marRight w:val="0"/>
          <w:marTop w:val="0"/>
          <w:marBottom w:val="0"/>
          <w:divBdr>
            <w:top w:val="none" w:sz="0" w:space="0" w:color="auto"/>
            <w:left w:val="none" w:sz="0" w:space="0" w:color="auto"/>
            <w:bottom w:val="none" w:sz="0" w:space="0" w:color="auto"/>
            <w:right w:val="none" w:sz="0" w:space="0" w:color="auto"/>
          </w:divBdr>
        </w:div>
        <w:div w:id="940726743">
          <w:marLeft w:val="0"/>
          <w:marRight w:val="0"/>
          <w:marTop w:val="0"/>
          <w:marBottom w:val="0"/>
          <w:divBdr>
            <w:top w:val="none" w:sz="0" w:space="0" w:color="auto"/>
            <w:left w:val="none" w:sz="0" w:space="0" w:color="auto"/>
            <w:bottom w:val="none" w:sz="0" w:space="0" w:color="auto"/>
            <w:right w:val="none" w:sz="0" w:space="0" w:color="auto"/>
          </w:divBdr>
        </w:div>
        <w:div w:id="940726744">
          <w:marLeft w:val="0"/>
          <w:marRight w:val="0"/>
          <w:marTop w:val="0"/>
          <w:marBottom w:val="0"/>
          <w:divBdr>
            <w:top w:val="none" w:sz="0" w:space="0" w:color="auto"/>
            <w:left w:val="none" w:sz="0" w:space="0" w:color="auto"/>
            <w:bottom w:val="none" w:sz="0" w:space="0" w:color="auto"/>
            <w:right w:val="none" w:sz="0" w:space="0" w:color="auto"/>
          </w:divBdr>
        </w:div>
        <w:div w:id="940726749">
          <w:marLeft w:val="0"/>
          <w:marRight w:val="0"/>
          <w:marTop w:val="0"/>
          <w:marBottom w:val="0"/>
          <w:divBdr>
            <w:top w:val="none" w:sz="0" w:space="0" w:color="auto"/>
            <w:left w:val="none" w:sz="0" w:space="0" w:color="auto"/>
            <w:bottom w:val="none" w:sz="0" w:space="0" w:color="auto"/>
            <w:right w:val="none" w:sz="0" w:space="0" w:color="auto"/>
          </w:divBdr>
        </w:div>
        <w:div w:id="940726751">
          <w:marLeft w:val="0"/>
          <w:marRight w:val="0"/>
          <w:marTop w:val="0"/>
          <w:marBottom w:val="0"/>
          <w:divBdr>
            <w:top w:val="none" w:sz="0" w:space="0" w:color="auto"/>
            <w:left w:val="none" w:sz="0" w:space="0" w:color="auto"/>
            <w:bottom w:val="none" w:sz="0" w:space="0" w:color="auto"/>
            <w:right w:val="none" w:sz="0" w:space="0" w:color="auto"/>
          </w:divBdr>
        </w:div>
        <w:div w:id="940726753">
          <w:marLeft w:val="0"/>
          <w:marRight w:val="0"/>
          <w:marTop w:val="0"/>
          <w:marBottom w:val="0"/>
          <w:divBdr>
            <w:top w:val="none" w:sz="0" w:space="0" w:color="auto"/>
            <w:left w:val="none" w:sz="0" w:space="0" w:color="auto"/>
            <w:bottom w:val="none" w:sz="0" w:space="0" w:color="auto"/>
            <w:right w:val="none" w:sz="0" w:space="0" w:color="auto"/>
          </w:divBdr>
        </w:div>
        <w:div w:id="940726756">
          <w:marLeft w:val="0"/>
          <w:marRight w:val="0"/>
          <w:marTop w:val="0"/>
          <w:marBottom w:val="0"/>
          <w:divBdr>
            <w:top w:val="none" w:sz="0" w:space="0" w:color="auto"/>
            <w:left w:val="none" w:sz="0" w:space="0" w:color="auto"/>
            <w:bottom w:val="none" w:sz="0" w:space="0" w:color="auto"/>
            <w:right w:val="none" w:sz="0" w:space="0" w:color="auto"/>
          </w:divBdr>
        </w:div>
      </w:divsChild>
    </w:div>
    <w:div w:id="940726735">
      <w:marLeft w:val="0"/>
      <w:marRight w:val="0"/>
      <w:marTop w:val="0"/>
      <w:marBottom w:val="0"/>
      <w:divBdr>
        <w:top w:val="none" w:sz="0" w:space="0" w:color="auto"/>
        <w:left w:val="none" w:sz="0" w:space="0" w:color="auto"/>
        <w:bottom w:val="none" w:sz="0" w:space="0" w:color="auto"/>
        <w:right w:val="none" w:sz="0" w:space="0" w:color="auto"/>
      </w:divBdr>
      <w:divsChild>
        <w:div w:id="940726742">
          <w:marLeft w:val="0"/>
          <w:marRight w:val="0"/>
          <w:marTop w:val="0"/>
          <w:marBottom w:val="0"/>
          <w:divBdr>
            <w:top w:val="none" w:sz="0" w:space="0" w:color="auto"/>
            <w:left w:val="none" w:sz="0" w:space="0" w:color="auto"/>
            <w:bottom w:val="none" w:sz="0" w:space="0" w:color="auto"/>
            <w:right w:val="none" w:sz="0" w:space="0" w:color="auto"/>
          </w:divBdr>
          <w:divsChild>
            <w:div w:id="940726734">
              <w:marLeft w:val="0"/>
              <w:marRight w:val="0"/>
              <w:marTop w:val="0"/>
              <w:marBottom w:val="0"/>
              <w:divBdr>
                <w:top w:val="none" w:sz="0" w:space="0" w:color="auto"/>
                <w:left w:val="none" w:sz="0" w:space="0" w:color="auto"/>
                <w:bottom w:val="none" w:sz="0" w:space="0" w:color="auto"/>
                <w:right w:val="none" w:sz="0" w:space="0" w:color="auto"/>
              </w:divBdr>
              <w:divsChild>
                <w:div w:id="940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36">
      <w:marLeft w:val="0"/>
      <w:marRight w:val="0"/>
      <w:marTop w:val="0"/>
      <w:marBottom w:val="0"/>
      <w:divBdr>
        <w:top w:val="none" w:sz="0" w:space="0" w:color="auto"/>
        <w:left w:val="none" w:sz="0" w:space="0" w:color="auto"/>
        <w:bottom w:val="none" w:sz="0" w:space="0" w:color="auto"/>
        <w:right w:val="none" w:sz="0" w:space="0" w:color="auto"/>
      </w:divBdr>
    </w:div>
    <w:div w:id="940726738">
      <w:marLeft w:val="0"/>
      <w:marRight w:val="0"/>
      <w:marTop w:val="0"/>
      <w:marBottom w:val="0"/>
      <w:divBdr>
        <w:top w:val="none" w:sz="0" w:space="0" w:color="auto"/>
        <w:left w:val="none" w:sz="0" w:space="0" w:color="auto"/>
        <w:bottom w:val="none" w:sz="0" w:space="0" w:color="auto"/>
        <w:right w:val="none" w:sz="0" w:space="0" w:color="auto"/>
      </w:divBdr>
    </w:div>
    <w:div w:id="940726739">
      <w:marLeft w:val="0"/>
      <w:marRight w:val="0"/>
      <w:marTop w:val="0"/>
      <w:marBottom w:val="0"/>
      <w:divBdr>
        <w:top w:val="none" w:sz="0" w:space="0" w:color="auto"/>
        <w:left w:val="none" w:sz="0" w:space="0" w:color="auto"/>
        <w:bottom w:val="none" w:sz="0" w:space="0" w:color="auto"/>
        <w:right w:val="none" w:sz="0" w:space="0" w:color="auto"/>
      </w:divBdr>
    </w:div>
    <w:div w:id="940726741">
      <w:marLeft w:val="0"/>
      <w:marRight w:val="0"/>
      <w:marTop w:val="0"/>
      <w:marBottom w:val="0"/>
      <w:divBdr>
        <w:top w:val="none" w:sz="0" w:space="0" w:color="auto"/>
        <w:left w:val="none" w:sz="0" w:space="0" w:color="auto"/>
        <w:bottom w:val="none" w:sz="0" w:space="0" w:color="auto"/>
        <w:right w:val="none" w:sz="0" w:space="0" w:color="auto"/>
      </w:divBdr>
    </w:div>
    <w:div w:id="940726746">
      <w:marLeft w:val="0"/>
      <w:marRight w:val="0"/>
      <w:marTop w:val="0"/>
      <w:marBottom w:val="0"/>
      <w:divBdr>
        <w:top w:val="none" w:sz="0" w:space="0" w:color="auto"/>
        <w:left w:val="none" w:sz="0" w:space="0" w:color="auto"/>
        <w:bottom w:val="none" w:sz="0" w:space="0" w:color="auto"/>
        <w:right w:val="none" w:sz="0" w:space="0" w:color="auto"/>
      </w:divBdr>
    </w:div>
    <w:div w:id="940726747">
      <w:marLeft w:val="0"/>
      <w:marRight w:val="0"/>
      <w:marTop w:val="0"/>
      <w:marBottom w:val="0"/>
      <w:divBdr>
        <w:top w:val="none" w:sz="0" w:space="0" w:color="auto"/>
        <w:left w:val="none" w:sz="0" w:space="0" w:color="auto"/>
        <w:bottom w:val="none" w:sz="0" w:space="0" w:color="auto"/>
        <w:right w:val="none" w:sz="0" w:space="0" w:color="auto"/>
      </w:divBdr>
    </w:div>
    <w:div w:id="940726748">
      <w:marLeft w:val="0"/>
      <w:marRight w:val="0"/>
      <w:marTop w:val="0"/>
      <w:marBottom w:val="0"/>
      <w:divBdr>
        <w:top w:val="none" w:sz="0" w:space="0" w:color="auto"/>
        <w:left w:val="none" w:sz="0" w:space="0" w:color="auto"/>
        <w:bottom w:val="none" w:sz="0" w:space="0" w:color="auto"/>
        <w:right w:val="none" w:sz="0" w:space="0" w:color="auto"/>
      </w:divBdr>
    </w:div>
    <w:div w:id="940726750">
      <w:marLeft w:val="0"/>
      <w:marRight w:val="0"/>
      <w:marTop w:val="0"/>
      <w:marBottom w:val="0"/>
      <w:divBdr>
        <w:top w:val="none" w:sz="0" w:space="0" w:color="auto"/>
        <w:left w:val="none" w:sz="0" w:space="0" w:color="auto"/>
        <w:bottom w:val="none" w:sz="0" w:space="0" w:color="auto"/>
        <w:right w:val="none" w:sz="0" w:space="0" w:color="auto"/>
      </w:divBdr>
    </w:div>
    <w:div w:id="940726752">
      <w:marLeft w:val="0"/>
      <w:marRight w:val="0"/>
      <w:marTop w:val="0"/>
      <w:marBottom w:val="0"/>
      <w:divBdr>
        <w:top w:val="none" w:sz="0" w:space="0" w:color="auto"/>
        <w:left w:val="none" w:sz="0" w:space="0" w:color="auto"/>
        <w:bottom w:val="none" w:sz="0" w:space="0" w:color="auto"/>
        <w:right w:val="none" w:sz="0" w:space="0" w:color="auto"/>
      </w:divBdr>
      <w:divsChild>
        <w:div w:id="940726740">
          <w:marLeft w:val="0"/>
          <w:marRight w:val="0"/>
          <w:marTop w:val="0"/>
          <w:marBottom w:val="0"/>
          <w:divBdr>
            <w:top w:val="none" w:sz="0" w:space="0" w:color="auto"/>
            <w:left w:val="none" w:sz="0" w:space="0" w:color="auto"/>
            <w:bottom w:val="none" w:sz="0" w:space="0" w:color="auto"/>
            <w:right w:val="none" w:sz="0" w:space="0" w:color="auto"/>
          </w:divBdr>
          <w:divsChild>
            <w:div w:id="940726755">
              <w:marLeft w:val="0"/>
              <w:marRight w:val="0"/>
              <w:marTop w:val="0"/>
              <w:marBottom w:val="0"/>
              <w:divBdr>
                <w:top w:val="none" w:sz="0" w:space="0" w:color="auto"/>
                <w:left w:val="none" w:sz="0" w:space="0" w:color="auto"/>
                <w:bottom w:val="none" w:sz="0" w:space="0" w:color="auto"/>
                <w:right w:val="none" w:sz="0" w:space="0" w:color="auto"/>
              </w:divBdr>
              <w:divsChild>
                <w:div w:id="940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54">
      <w:marLeft w:val="0"/>
      <w:marRight w:val="0"/>
      <w:marTop w:val="0"/>
      <w:marBottom w:val="0"/>
      <w:divBdr>
        <w:top w:val="none" w:sz="0" w:space="0" w:color="auto"/>
        <w:left w:val="none" w:sz="0" w:space="0" w:color="auto"/>
        <w:bottom w:val="none" w:sz="0" w:space="0" w:color="auto"/>
        <w:right w:val="none" w:sz="0" w:space="0" w:color="auto"/>
      </w:divBdr>
    </w:div>
    <w:div w:id="940726758">
      <w:marLeft w:val="0"/>
      <w:marRight w:val="0"/>
      <w:marTop w:val="0"/>
      <w:marBottom w:val="0"/>
      <w:divBdr>
        <w:top w:val="none" w:sz="0" w:space="0" w:color="auto"/>
        <w:left w:val="none" w:sz="0" w:space="0" w:color="auto"/>
        <w:bottom w:val="none" w:sz="0" w:space="0" w:color="auto"/>
        <w:right w:val="none" w:sz="0" w:space="0" w:color="auto"/>
      </w:divBdr>
    </w:div>
    <w:div w:id="940726778">
      <w:marLeft w:val="0"/>
      <w:marRight w:val="0"/>
      <w:marTop w:val="0"/>
      <w:marBottom w:val="0"/>
      <w:divBdr>
        <w:top w:val="none" w:sz="0" w:space="0" w:color="auto"/>
        <w:left w:val="none" w:sz="0" w:space="0" w:color="auto"/>
        <w:bottom w:val="none" w:sz="0" w:space="0" w:color="auto"/>
        <w:right w:val="none" w:sz="0" w:space="0" w:color="auto"/>
      </w:divBdr>
    </w:div>
    <w:div w:id="940726779">
      <w:marLeft w:val="0"/>
      <w:marRight w:val="0"/>
      <w:marTop w:val="0"/>
      <w:marBottom w:val="0"/>
      <w:divBdr>
        <w:top w:val="none" w:sz="0" w:space="0" w:color="auto"/>
        <w:left w:val="none" w:sz="0" w:space="0" w:color="auto"/>
        <w:bottom w:val="none" w:sz="0" w:space="0" w:color="auto"/>
        <w:right w:val="none" w:sz="0" w:space="0" w:color="auto"/>
      </w:divBdr>
      <w:divsChild>
        <w:div w:id="940726795">
          <w:marLeft w:val="0"/>
          <w:marRight w:val="0"/>
          <w:marTop w:val="0"/>
          <w:marBottom w:val="0"/>
          <w:divBdr>
            <w:top w:val="none" w:sz="0" w:space="0" w:color="auto"/>
            <w:left w:val="none" w:sz="0" w:space="0" w:color="auto"/>
            <w:bottom w:val="none" w:sz="0" w:space="0" w:color="auto"/>
            <w:right w:val="none" w:sz="0" w:space="0" w:color="auto"/>
          </w:divBdr>
          <w:divsChild>
            <w:div w:id="9407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6785">
      <w:marLeft w:val="0"/>
      <w:marRight w:val="0"/>
      <w:marTop w:val="0"/>
      <w:marBottom w:val="0"/>
      <w:divBdr>
        <w:top w:val="none" w:sz="0" w:space="0" w:color="auto"/>
        <w:left w:val="none" w:sz="0" w:space="0" w:color="auto"/>
        <w:bottom w:val="none" w:sz="0" w:space="0" w:color="auto"/>
        <w:right w:val="none" w:sz="0" w:space="0" w:color="auto"/>
      </w:divBdr>
      <w:divsChild>
        <w:div w:id="940726784">
          <w:marLeft w:val="0"/>
          <w:marRight w:val="0"/>
          <w:marTop w:val="0"/>
          <w:marBottom w:val="0"/>
          <w:divBdr>
            <w:top w:val="none" w:sz="0" w:space="0" w:color="auto"/>
            <w:left w:val="none" w:sz="0" w:space="0" w:color="auto"/>
            <w:bottom w:val="none" w:sz="0" w:space="0" w:color="auto"/>
            <w:right w:val="none" w:sz="0" w:space="0" w:color="auto"/>
          </w:divBdr>
          <w:divsChild>
            <w:div w:id="940726759">
              <w:marLeft w:val="0"/>
              <w:marRight w:val="0"/>
              <w:marTop w:val="0"/>
              <w:marBottom w:val="0"/>
              <w:divBdr>
                <w:top w:val="none" w:sz="0" w:space="0" w:color="auto"/>
                <w:left w:val="none" w:sz="0" w:space="0" w:color="auto"/>
                <w:bottom w:val="none" w:sz="0" w:space="0" w:color="auto"/>
                <w:right w:val="none" w:sz="0" w:space="0" w:color="auto"/>
              </w:divBdr>
              <w:divsChild>
                <w:div w:id="940726773">
                  <w:marLeft w:val="0"/>
                  <w:marRight w:val="0"/>
                  <w:marTop w:val="0"/>
                  <w:marBottom w:val="0"/>
                  <w:divBdr>
                    <w:top w:val="none" w:sz="0" w:space="0" w:color="auto"/>
                    <w:left w:val="none" w:sz="0" w:space="0" w:color="auto"/>
                    <w:bottom w:val="none" w:sz="0" w:space="0" w:color="auto"/>
                    <w:right w:val="none" w:sz="0" w:space="0" w:color="auto"/>
                  </w:divBdr>
                  <w:divsChild>
                    <w:div w:id="940726788">
                      <w:marLeft w:val="0"/>
                      <w:marRight w:val="0"/>
                      <w:marTop w:val="0"/>
                      <w:marBottom w:val="0"/>
                      <w:divBdr>
                        <w:top w:val="none" w:sz="0" w:space="0" w:color="auto"/>
                        <w:left w:val="none" w:sz="0" w:space="0" w:color="auto"/>
                        <w:bottom w:val="none" w:sz="0" w:space="0" w:color="auto"/>
                        <w:right w:val="none" w:sz="0" w:space="0" w:color="auto"/>
                      </w:divBdr>
                      <w:divsChild>
                        <w:div w:id="940726787">
                          <w:marLeft w:val="0"/>
                          <w:marRight w:val="0"/>
                          <w:marTop w:val="0"/>
                          <w:marBottom w:val="0"/>
                          <w:divBdr>
                            <w:top w:val="none" w:sz="0" w:space="0" w:color="auto"/>
                            <w:left w:val="none" w:sz="0" w:space="0" w:color="auto"/>
                            <w:bottom w:val="none" w:sz="0" w:space="0" w:color="auto"/>
                            <w:right w:val="none" w:sz="0" w:space="0" w:color="auto"/>
                          </w:divBdr>
                          <w:divsChild>
                            <w:div w:id="940726790">
                              <w:marLeft w:val="0"/>
                              <w:marRight w:val="0"/>
                              <w:marTop w:val="0"/>
                              <w:marBottom w:val="0"/>
                              <w:divBdr>
                                <w:top w:val="none" w:sz="0" w:space="0" w:color="auto"/>
                                <w:left w:val="none" w:sz="0" w:space="0" w:color="auto"/>
                                <w:bottom w:val="none" w:sz="0" w:space="0" w:color="auto"/>
                                <w:right w:val="none" w:sz="0" w:space="0" w:color="auto"/>
                              </w:divBdr>
                              <w:divsChild>
                                <w:div w:id="940726781">
                                  <w:marLeft w:val="0"/>
                                  <w:marRight w:val="0"/>
                                  <w:marTop w:val="0"/>
                                  <w:marBottom w:val="0"/>
                                  <w:divBdr>
                                    <w:top w:val="none" w:sz="0" w:space="0" w:color="auto"/>
                                    <w:left w:val="none" w:sz="0" w:space="0" w:color="auto"/>
                                    <w:bottom w:val="none" w:sz="0" w:space="0" w:color="auto"/>
                                    <w:right w:val="none" w:sz="0" w:space="0" w:color="auto"/>
                                  </w:divBdr>
                                  <w:divsChild>
                                    <w:div w:id="940726760">
                                      <w:marLeft w:val="0"/>
                                      <w:marRight w:val="0"/>
                                      <w:marTop w:val="0"/>
                                      <w:marBottom w:val="0"/>
                                      <w:divBdr>
                                        <w:top w:val="none" w:sz="0" w:space="0" w:color="auto"/>
                                        <w:left w:val="none" w:sz="0" w:space="0" w:color="auto"/>
                                        <w:bottom w:val="none" w:sz="0" w:space="0" w:color="auto"/>
                                        <w:right w:val="none" w:sz="0" w:space="0" w:color="auto"/>
                                      </w:divBdr>
                                      <w:divsChild>
                                        <w:div w:id="940726729">
                                          <w:marLeft w:val="0"/>
                                          <w:marRight w:val="0"/>
                                          <w:marTop w:val="0"/>
                                          <w:marBottom w:val="0"/>
                                          <w:divBdr>
                                            <w:top w:val="none" w:sz="0" w:space="0" w:color="auto"/>
                                            <w:left w:val="none" w:sz="0" w:space="0" w:color="auto"/>
                                            <w:bottom w:val="none" w:sz="0" w:space="0" w:color="auto"/>
                                            <w:right w:val="none" w:sz="0" w:space="0" w:color="auto"/>
                                          </w:divBdr>
                                          <w:divsChild>
                                            <w:div w:id="940726725">
                                              <w:marLeft w:val="0"/>
                                              <w:marRight w:val="0"/>
                                              <w:marTop w:val="0"/>
                                              <w:marBottom w:val="0"/>
                                              <w:divBdr>
                                                <w:top w:val="none" w:sz="0" w:space="0" w:color="auto"/>
                                                <w:left w:val="none" w:sz="0" w:space="0" w:color="auto"/>
                                                <w:bottom w:val="none" w:sz="0" w:space="0" w:color="auto"/>
                                                <w:right w:val="none" w:sz="0" w:space="0" w:color="auto"/>
                                              </w:divBdr>
                                              <w:divsChild>
                                                <w:div w:id="940726724">
                                                  <w:marLeft w:val="0"/>
                                                  <w:marRight w:val="0"/>
                                                  <w:marTop w:val="0"/>
                                                  <w:marBottom w:val="0"/>
                                                  <w:divBdr>
                                                    <w:top w:val="none" w:sz="0" w:space="0" w:color="auto"/>
                                                    <w:left w:val="none" w:sz="0" w:space="0" w:color="auto"/>
                                                    <w:bottom w:val="none" w:sz="0" w:space="0" w:color="auto"/>
                                                    <w:right w:val="none" w:sz="0" w:space="0" w:color="auto"/>
                                                  </w:divBdr>
                                                  <w:divsChild>
                                                    <w:div w:id="940726765">
                                                      <w:marLeft w:val="0"/>
                                                      <w:marRight w:val="0"/>
                                                      <w:marTop w:val="0"/>
                                                      <w:marBottom w:val="0"/>
                                                      <w:divBdr>
                                                        <w:top w:val="none" w:sz="0" w:space="0" w:color="auto"/>
                                                        <w:left w:val="none" w:sz="0" w:space="0" w:color="auto"/>
                                                        <w:bottom w:val="none" w:sz="0" w:space="0" w:color="auto"/>
                                                        <w:right w:val="none" w:sz="0" w:space="0" w:color="auto"/>
                                                      </w:divBdr>
                                                      <w:divsChild>
                                                        <w:div w:id="940726726">
                                                          <w:marLeft w:val="0"/>
                                                          <w:marRight w:val="0"/>
                                                          <w:marTop w:val="0"/>
                                                          <w:marBottom w:val="0"/>
                                                          <w:divBdr>
                                                            <w:top w:val="none" w:sz="0" w:space="0" w:color="auto"/>
                                                            <w:left w:val="none" w:sz="0" w:space="0" w:color="auto"/>
                                                            <w:bottom w:val="none" w:sz="0" w:space="0" w:color="auto"/>
                                                            <w:right w:val="none" w:sz="0" w:space="0" w:color="auto"/>
                                                          </w:divBdr>
                                                        </w:div>
                                                        <w:div w:id="940726727">
                                                          <w:marLeft w:val="0"/>
                                                          <w:marRight w:val="0"/>
                                                          <w:marTop w:val="0"/>
                                                          <w:marBottom w:val="0"/>
                                                          <w:divBdr>
                                                            <w:top w:val="none" w:sz="0" w:space="0" w:color="auto"/>
                                                            <w:left w:val="none" w:sz="0" w:space="0" w:color="auto"/>
                                                            <w:bottom w:val="none" w:sz="0" w:space="0" w:color="auto"/>
                                                            <w:right w:val="none" w:sz="0" w:space="0" w:color="auto"/>
                                                          </w:divBdr>
                                                        </w:div>
                                                        <w:div w:id="940726728">
                                                          <w:marLeft w:val="0"/>
                                                          <w:marRight w:val="0"/>
                                                          <w:marTop w:val="0"/>
                                                          <w:marBottom w:val="0"/>
                                                          <w:divBdr>
                                                            <w:top w:val="none" w:sz="0" w:space="0" w:color="auto"/>
                                                            <w:left w:val="none" w:sz="0" w:space="0" w:color="auto"/>
                                                            <w:bottom w:val="none" w:sz="0" w:space="0" w:color="auto"/>
                                                            <w:right w:val="none" w:sz="0" w:space="0" w:color="auto"/>
                                                          </w:divBdr>
                                                        </w:div>
                                                        <w:div w:id="940726730">
                                                          <w:marLeft w:val="0"/>
                                                          <w:marRight w:val="0"/>
                                                          <w:marTop w:val="0"/>
                                                          <w:marBottom w:val="0"/>
                                                          <w:divBdr>
                                                            <w:top w:val="none" w:sz="0" w:space="0" w:color="auto"/>
                                                            <w:left w:val="none" w:sz="0" w:space="0" w:color="auto"/>
                                                            <w:bottom w:val="none" w:sz="0" w:space="0" w:color="auto"/>
                                                            <w:right w:val="none" w:sz="0" w:space="0" w:color="auto"/>
                                                          </w:divBdr>
                                                        </w:div>
                                                        <w:div w:id="940726731">
                                                          <w:marLeft w:val="0"/>
                                                          <w:marRight w:val="0"/>
                                                          <w:marTop w:val="0"/>
                                                          <w:marBottom w:val="0"/>
                                                          <w:divBdr>
                                                            <w:top w:val="none" w:sz="0" w:space="0" w:color="auto"/>
                                                            <w:left w:val="none" w:sz="0" w:space="0" w:color="auto"/>
                                                            <w:bottom w:val="none" w:sz="0" w:space="0" w:color="auto"/>
                                                            <w:right w:val="none" w:sz="0" w:space="0" w:color="auto"/>
                                                          </w:divBdr>
                                                        </w:div>
                                                        <w:div w:id="940726761">
                                                          <w:marLeft w:val="0"/>
                                                          <w:marRight w:val="0"/>
                                                          <w:marTop w:val="0"/>
                                                          <w:marBottom w:val="0"/>
                                                          <w:divBdr>
                                                            <w:top w:val="none" w:sz="0" w:space="0" w:color="auto"/>
                                                            <w:left w:val="none" w:sz="0" w:space="0" w:color="auto"/>
                                                            <w:bottom w:val="none" w:sz="0" w:space="0" w:color="auto"/>
                                                            <w:right w:val="none" w:sz="0" w:space="0" w:color="auto"/>
                                                          </w:divBdr>
                                                        </w:div>
                                                        <w:div w:id="940726762">
                                                          <w:marLeft w:val="0"/>
                                                          <w:marRight w:val="0"/>
                                                          <w:marTop w:val="0"/>
                                                          <w:marBottom w:val="0"/>
                                                          <w:divBdr>
                                                            <w:top w:val="none" w:sz="0" w:space="0" w:color="auto"/>
                                                            <w:left w:val="none" w:sz="0" w:space="0" w:color="auto"/>
                                                            <w:bottom w:val="none" w:sz="0" w:space="0" w:color="auto"/>
                                                            <w:right w:val="none" w:sz="0" w:space="0" w:color="auto"/>
                                                          </w:divBdr>
                                                        </w:div>
                                                        <w:div w:id="940726763">
                                                          <w:marLeft w:val="0"/>
                                                          <w:marRight w:val="0"/>
                                                          <w:marTop w:val="0"/>
                                                          <w:marBottom w:val="0"/>
                                                          <w:divBdr>
                                                            <w:top w:val="none" w:sz="0" w:space="0" w:color="auto"/>
                                                            <w:left w:val="none" w:sz="0" w:space="0" w:color="auto"/>
                                                            <w:bottom w:val="none" w:sz="0" w:space="0" w:color="auto"/>
                                                            <w:right w:val="none" w:sz="0" w:space="0" w:color="auto"/>
                                                          </w:divBdr>
                                                        </w:div>
                                                        <w:div w:id="940726764">
                                                          <w:marLeft w:val="0"/>
                                                          <w:marRight w:val="0"/>
                                                          <w:marTop w:val="0"/>
                                                          <w:marBottom w:val="0"/>
                                                          <w:divBdr>
                                                            <w:top w:val="none" w:sz="0" w:space="0" w:color="auto"/>
                                                            <w:left w:val="none" w:sz="0" w:space="0" w:color="auto"/>
                                                            <w:bottom w:val="none" w:sz="0" w:space="0" w:color="auto"/>
                                                            <w:right w:val="none" w:sz="0" w:space="0" w:color="auto"/>
                                                          </w:divBdr>
                                                        </w:div>
                                                        <w:div w:id="940726766">
                                                          <w:marLeft w:val="0"/>
                                                          <w:marRight w:val="0"/>
                                                          <w:marTop w:val="0"/>
                                                          <w:marBottom w:val="0"/>
                                                          <w:divBdr>
                                                            <w:top w:val="none" w:sz="0" w:space="0" w:color="auto"/>
                                                            <w:left w:val="none" w:sz="0" w:space="0" w:color="auto"/>
                                                            <w:bottom w:val="none" w:sz="0" w:space="0" w:color="auto"/>
                                                            <w:right w:val="none" w:sz="0" w:space="0" w:color="auto"/>
                                                          </w:divBdr>
                                                        </w:div>
                                                        <w:div w:id="940726767">
                                                          <w:marLeft w:val="0"/>
                                                          <w:marRight w:val="0"/>
                                                          <w:marTop w:val="0"/>
                                                          <w:marBottom w:val="0"/>
                                                          <w:divBdr>
                                                            <w:top w:val="none" w:sz="0" w:space="0" w:color="auto"/>
                                                            <w:left w:val="none" w:sz="0" w:space="0" w:color="auto"/>
                                                            <w:bottom w:val="none" w:sz="0" w:space="0" w:color="auto"/>
                                                            <w:right w:val="none" w:sz="0" w:space="0" w:color="auto"/>
                                                          </w:divBdr>
                                                        </w:div>
                                                        <w:div w:id="940726768">
                                                          <w:marLeft w:val="0"/>
                                                          <w:marRight w:val="0"/>
                                                          <w:marTop w:val="0"/>
                                                          <w:marBottom w:val="0"/>
                                                          <w:divBdr>
                                                            <w:top w:val="none" w:sz="0" w:space="0" w:color="auto"/>
                                                            <w:left w:val="none" w:sz="0" w:space="0" w:color="auto"/>
                                                            <w:bottom w:val="none" w:sz="0" w:space="0" w:color="auto"/>
                                                            <w:right w:val="none" w:sz="0" w:space="0" w:color="auto"/>
                                                          </w:divBdr>
                                                        </w:div>
                                                        <w:div w:id="940726769">
                                                          <w:marLeft w:val="0"/>
                                                          <w:marRight w:val="0"/>
                                                          <w:marTop w:val="0"/>
                                                          <w:marBottom w:val="0"/>
                                                          <w:divBdr>
                                                            <w:top w:val="none" w:sz="0" w:space="0" w:color="auto"/>
                                                            <w:left w:val="none" w:sz="0" w:space="0" w:color="auto"/>
                                                            <w:bottom w:val="none" w:sz="0" w:space="0" w:color="auto"/>
                                                            <w:right w:val="none" w:sz="0" w:space="0" w:color="auto"/>
                                                          </w:divBdr>
                                                        </w:div>
                                                        <w:div w:id="940726770">
                                                          <w:marLeft w:val="0"/>
                                                          <w:marRight w:val="0"/>
                                                          <w:marTop w:val="0"/>
                                                          <w:marBottom w:val="0"/>
                                                          <w:divBdr>
                                                            <w:top w:val="none" w:sz="0" w:space="0" w:color="auto"/>
                                                            <w:left w:val="none" w:sz="0" w:space="0" w:color="auto"/>
                                                            <w:bottom w:val="none" w:sz="0" w:space="0" w:color="auto"/>
                                                            <w:right w:val="none" w:sz="0" w:space="0" w:color="auto"/>
                                                          </w:divBdr>
                                                        </w:div>
                                                        <w:div w:id="940726772">
                                                          <w:marLeft w:val="0"/>
                                                          <w:marRight w:val="0"/>
                                                          <w:marTop w:val="0"/>
                                                          <w:marBottom w:val="0"/>
                                                          <w:divBdr>
                                                            <w:top w:val="none" w:sz="0" w:space="0" w:color="auto"/>
                                                            <w:left w:val="none" w:sz="0" w:space="0" w:color="auto"/>
                                                            <w:bottom w:val="none" w:sz="0" w:space="0" w:color="auto"/>
                                                            <w:right w:val="none" w:sz="0" w:space="0" w:color="auto"/>
                                                          </w:divBdr>
                                                        </w:div>
                                                        <w:div w:id="940726774">
                                                          <w:marLeft w:val="0"/>
                                                          <w:marRight w:val="0"/>
                                                          <w:marTop w:val="0"/>
                                                          <w:marBottom w:val="0"/>
                                                          <w:divBdr>
                                                            <w:top w:val="none" w:sz="0" w:space="0" w:color="auto"/>
                                                            <w:left w:val="none" w:sz="0" w:space="0" w:color="auto"/>
                                                            <w:bottom w:val="none" w:sz="0" w:space="0" w:color="auto"/>
                                                            <w:right w:val="none" w:sz="0" w:space="0" w:color="auto"/>
                                                          </w:divBdr>
                                                        </w:div>
                                                        <w:div w:id="940726775">
                                                          <w:marLeft w:val="0"/>
                                                          <w:marRight w:val="0"/>
                                                          <w:marTop w:val="0"/>
                                                          <w:marBottom w:val="0"/>
                                                          <w:divBdr>
                                                            <w:top w:val="none" w:sz="0" w:space="0" w:color="auto"/>
                                                            <w:left w:val="none" w:sz="0" w:space="0" w:color="auto"/>
                                                            <w:bottom w:val="none" w:sz="0" w:space="0" w:color="auto"/>
                                                            <w:right w:val="none" w:sz="0" w:space="0" w:color="auto"/>
                                                          </w:divBdr>
                                                        </w:div>
                                                        <w:div w:id="940726776">
                                                          <w:marLeft w:val="0"/>
                                                          <w:marRight w:val="0"/>
                                                          <w:marTop w:val="0"/>
                                                          <w:marBottom w:val="0"/>
                                                          <w:divBdr>
                                                            <w:top w:val="none" w:sz="0" w:space="0" w:color="auto"/>
                                                            <w:left w:val="none" w:sz="0" w:space="0" w:color="auto"/>
                                                            <w:bottom w:val="none" w:sz="0" w:space="0" w:color="auto"/>
                                                            <w:right w:val="none" w:sz="0" w:space="0" w:color="auto"/>
                                                          </w:divBdr>
                                                        </w:div>
                                                        <w:div w:id="940726777">
                                                          <w:marLeft w:val="0"/>
                                                          <w:marRight w:val="0"/>
                                                          <w:marTop w:val="0"/>
                                                          <w:marBottom w:val="0"/>
                                                          <w:divBdr>
                                                            <w:top w:val="none" w:sz="0" w:space="0" w:color="auto"/>
                                                            <w:left w:val="none" w:sz="0" w:space="0" w:color="auto"/>
                                                            <w:bottom w:val="none" w:sz="0" w:space="0" w:color="auto"/>
                                                            <w:right w:val="none" w:sz="0" w:space="0" w:color="auto"/>
                                                          </w:divBdr>
                                                        </w:div>
                                                        <w:div w:id="940726780">
                                                          <w:marLeft w:val="0"/>
                                                          <w:marRight w:val="0"/>
                                                          <w:marTop w:val="0"/>
                                                          <w:marBottom w:val="0"/>
                                                          <w:divBdr>
                                                            <w:top w:val="none" w:sz="0" w:space="0" w:color="auto"/>
                                                            <w:left w:val="none" w:sz="0" w:space="0" w:color="auto"/>
                                                            <w:bottom w:val="none" w:sz="0" w:space="0" w:color="auto"/>
                                                            <w:right w:val="none" w:sz="0" w:space="0" w:color="auto"/>
                                                          </w:divBdr>
                                                        </w:div>
                                                        <w:div w:id="940726782">
                                                          <w:marLeft w:val="0"/>
                                                          <w:marRight w:val="0"/>
                                                          <w:marTop w:val="0"/>
                                                          <w:marBottom w:val="0"/>
                                                          <w:divBdr>
                                                            <w:top w:val="none" w:sz="0" w:space="0" w:color="auto"/>
                                                            <w:left w:val="none" w:sz="0" w:space="0" w:color="auto"/>
                                                            <w:bottom w:val="none" w:sz="0" w:space="0" w:color="auto"/>
                                                            <w:right w:val="none" w:sz="0" w:space="0" w:color="auto"/>
                                                          </w:divBdr>
                                                        </w:div>
                                                        <w:div w:id="940726783">
                                                          <w:marLeft w:val="0"/>
                                                          <w:marRight w:val="0"/>
                                                          <w:marTop w:val="0"/>
                                                          <w:marBottom w:val="0"/>
                                                          <w:divBdr>
                                                            <w:top w:val="none" w:sz="0" w:space="0" w:color="auto"/>
                                                            <w:left w:val="none" w:sz="0" w:space="0" w:color="auto"/>
                                                            <w:bottom w:val="none" w:sz="0" w:space="0" w:color="auto"/>
                                                            <w:right w:val="none" w:sz="0" w:space="0" w:color="auto"/>
                                                          </w:divBdr>
                                                        </w:div>
                                                        <w:div w:id="940726786">
                                                          <w:marLeft w:val="0"/>
                                                          <w:marRight w:val="0"/>
                                                          <w:marTop w:val="0"/>
                                                          <w:marBottom w:val="0"/>
                                                          <w:divBdr>
                                                            <w:top w:val="none" w:sz="0" w:space="0" w:color="auto"/>
                                                            <w:left w:val="none" w:sz="0" w:space="0" w:color="auto"/>
                                                            <w:bottom w:val="none" w:sz="0" w:space="0" w:color="auto"/>
                                                            <w:right w:val="none" w:sz="0" w:space="0" w:color="auto"/>
                                                          </w:divBdr>
                                                        </w:div>
                                                        <w:div w:id="940726789">
                                                          <w:marLeft w:val="0"/>
                                                          <w:marRight w:val="0"/>
                                                          <w:marTop w:val="0"/>
                                                          <w:marBottom w:val="0"/>
                                                          <w:divBdr>
                                                            <w:top w:val="none" w:sz="0" w:space="0" w:color="auto"/>
                                                            <w:left w:val="none" w:sz="0" w:space="0" w:color="auto"/>
                                                            <w:bottom w:val="none" w:sz="0" w:space="0" w:color="auto"/>
                                                            <w:right w:val="none" w:sz="0" w:space="0" w:color="auto"/>
                                                          </w:divBdr>
                                                        </w:div>
                                                        <w:div w:id="940726791">
                                                          <w:marLeft w:val="0"/>
                                                          <w:marRight w:val="0"/>
                                                          <w:marTop w:val="0"/>
                                                          <w:marBottom w:val="0"/>
                                                          <w:divBdr>
                                                            <w:top w:val="none" w:sz="0" w:space="0" w:color="auto"/>
                                                            <w:left w:val="none" w:sz="0" w:space="0" w:color="auto"/>
                                                            <w:bottom w:val="none" w:sz="0" w:space="0" w:color="auto"/>
                                                            <w:right w:val="none" w:sz="0" w:space="0" w:color="auto"/>
                                                          </w:divBdr>
                                                        </w:div>
                                                        <w:div w:id="940726792">
                                                          <w:marLeft w:val="0"/>
                                                          <w:marRight w:val="0"/>
                                                          <w:marTop w:val="0"/>
                                                          <w:marBottom w:val="0"/>
                                                          <w:divBdr>
                                                            <w:top w:val="none" w:sz="0" w:space="0" w:color="auto"/>
                                                            <w:left w:val="none" w:sz="0" w:space="0" w:color="auto"/>
                                                            <w:bottom w:val="none" w:sz="0" w:space="0" w:color="auto"/>
                                                            <w:right w:val="none" w:sz="0" w:space="0" w:color="auto"/>
                                                          </w:divBdr>
                                                        </w:div>
                                                        <w:div w:id="940726793">
                                                          <w:marLeft w:val="0"/>
                                                          <w:marRight w:val="0"/>
                                                          <w:marTop w:val="0"/>
                                                          <w:marBottom w:val="0"/>
                                                          <w:divBdr>
                                                            <w:top w:val="none" w:sz="0" w:space="0" w:color="auto"/>
                                                            <w:left w:val="none" w:sz="0" w:space="0" w:color="auto"/>
                                                            <w:bottom w:val="none" w:sz="0" w:space="0" w:color="auto"/>
                                                            <w:right w:val="none" w:sz="0" w:space="0" w:color="auto"/>
                                                          </w:divBdr>
                                                        </w:div>
                                                        <w:div w:id="940726794">
                                                          <w:marLeft w:val="0"/>
                                                          <w:marRight w:val="0"/>
                                                          <w:marTop w:val="0"/>
                                                          <w:marBottom w:val="0"/>
                                                          <w:divBdr>
                                                            <w:top w:val="none" w:sz="0" w:space="0" w:color="auto"/>
                                                            <w:left w:val="none" w:sz="0" w:space="0" w:color="auto"/>
                                                            <w:bottom w:val="none" w:sz="0" w:space="0" w:color="auto"/>
                                                            <w:right w:val="none" w:sz="0" w:space="0" w:color="auto"/>
                                                          </w:divBdr>
                                                        </w:div>
                                                        <w:div w:id="940726796">
                                                          <w:marLeft w:val="0"/>
                                                          <w:marRight w:val="0"/>
                                                          <w:marTop w:val="0"/>
                                                          <w:marBottom w:val="0"/>
                                                          <w:divBdr>
                                                            <w:top w:val="none" w:sz="0" w:space="0" w:color="auto"/>
                                                            <w:left w:val="none" w:sz="0" w:space="0" w:color="auto"/>
                                                            <w:bottom w:val="none" w:sz="0" w:space="0" w:color="auto"/>
                                                            <w:right w:val="none" w:sz="0" w:space="0" w:color="auto"/>
                                                          </w:divBdr>
                                                        </w:div>
                                                        <w:div w:id="940726797">
                                                          <w:marLeft w:val="0"/>
                                                          <w:marRight w:val="0"/>
                                                          <w:marTop w:val="0"/>
                                                          <w:marBottom w:val="0"/>
                                                          <w:divBdr>
                                                            <w:top w:val="none" w:sz="0" w:space="0" w:color="auto"/>
                                                            <w:left w:val="none" w:sz="0" w:space="0" w:color="auto"/>
                                                            <w:bottom w:val="none" w:sz="0" w:space="0" w:color="auto"/>
                                                            <w:right w:val="none" w:sz="0" w:space="0" w:color="auto"/>
                                                          </w:divBdr>
                                                        </w:div>
                                                        <w:div w:id="940726798">
                                                          <w:marLeft w:val="0"/>
                                                          <w:marRight w:val="0"/>
                                                          <w:marTop w:val="0"/>
                                                          <w:marBottom w:val="0"/>
                                                          <w:divBdr>
                                                            <w:top w:val="none" w:sz="0" w:space="0" w:color="auto"/>
                                                            <w:left w:val="none" w:sz="0" w:space="0" w:color="auto"/>
                                                            <w:bottom w:val="none" w:sz="0" w:space="0" w:color="auto"/>
                                                            <w:right w:val="none" w:sz="0" w:space="0" w:color="auto"/>
                                                          </w:divBdr>
                                                        </w:div>
                                                        <w:div w:id="940726799">
                                                          <w:marLeft w:val="0"/>
                                                          <w:marRight w:val="0"/>
                                                          <w:marTop w:val="0"/>
                                                          <w:marBottom w:val="0"/>
                                                          <w:divBdr>
                                                            <w:top w:val="none" w:sz="0" w:space="0" w:color="auto"/>
                                                            <w:left w:val="none" w:sz="0" w:space="0" w:color="auto"/>
                                                            <w:bottom w:val="none" w:sz="0" w:space="0" w:color="auto"/>
                                                            <w:right w:val="none" w:sz="0" w:space="0" w:color="auto"/>
                                                          </w:divBdr>
                                                        </w:div>
                                                        <w:div w:id="940726800">
                                                          <w:marLeft w:val="0"/>
                                                          <w:marRight w:val="0"/>
                                                          <w:marTop w:val="0"/>
                                                          <w:marBottom w:val="0"/>
                                                          <w:divBdr>
                                                            <w:top w:val="none" w:sz="0" w:space="0" w:color="auto"/>
                                                            <w:left w:val="none" w:sz="0" w:space="0" w:color="auto"/>
                                                            <w:bottom w:val="none" w:sz="0" w:space="0" w:color="auto"/>
                                                            <w:right w:val="none" w:sz="0" w:space="0" w:color="auto"/>
                                                          </w:divBdr>
                                                        </w:div>
                                                        <w:div w:id="940726801">
                                                          <w:marLeft w:val="0"/>
                                                          <w:marRight w:val="0"/>
                                                          <w:marTop w:val="0"/>
                                                          <w:marBottom w:val="0"/>
                                                          <w:divBdr>
                                                            <w:top w:val="none" w:sz="0" w:space="0" w:color="auto"/>
                                                            <w:left w:val="none" w:sz="0" w:space="0" w:color="auto"/>
                                                            <w:bottom w:val="none" w:sz="0" w:space="0" w:color="auto"/>
                                                            <w:right w:val="none" w:sz="0" w:space="0" w:color="auto"/>
                                                          </w:divBdr>
                                                        </w:div>
                                                        <w:div w:id="940726802">
                                                          <w:marLeft w:val="0"/>
                                                          <w:marRight w:val="0"/>
                                                          <w:marTop w:val="0"/>
                                                          <w:marBottom w:val="0"/>
                                                          <w:divBdr>
                                                            <w:top w:val="none" w:sz="0" w:space="0" w:color="auto"/>
                                                            <w:left w:val="none" w:sz="0" w:space="0" w:color="auto"/>
                                                            <w:bottom w:val="none" w:sz="0" w:space="0" w:color="auto"/>
                                                            <w:right w:val="none" w:sz="0" w:space="0" w:color="auto"/>
                                                          </w:divBdr>
                                                        </w:div>
                                                        <w:div w:id="940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2368161">
      <w:bodyDiv w:val="1"/>
      <w:marLeft w:val="0"/>
      <w:marRight w:val="0"/>
      <w:marTop w:val="0"/>
      <w:marBottom w:val="0"/>
      <w:divBdr>
        <w:top w:val="none" w:sz="0" w:space="0" w:color="auto"/>
        <w:left w:val="none" w:sz="0" w:space="0" w:color="auto"/>
        <w:bottom w:val="none" w:sz="0" w:space="0" w:color="auto"/>
        <w:right w:val="none" w:sz="0" w:space="0" w:color="auto"/>
      </w:divBdr>
    </w:div>
    <w:div w:id="1071973567">
      <w:bodyDiv w:val="1"/>
      <w:marLeft w:val="0"/>
      <w:marRight w:val="0"/>
      <w:marTop w:val="0"/>
      <w:marBottom w:val="0"/>
      <w:divBdr>
        <w:top w:val="none" w:sz="0" w:space="0" w:color="auto"/>
        <w:left w:val="none" w:sz="0" w:space="0" w:color="auto"/>
        <w:bottom w:val="none" w:sz="0" w:space="0" w:color="auto"/>
        <w:right w:val="none" w:sz="0" w:space="0" w:color="auto"/>
      </w:divBdr>
    </w:div>
    <w:div w:id="1111321302">
      <w:bodyDiv w:val="1"/>
      <w:marLeft w:val="0"/>
      <w:marRight w:val="0"/>
      <w:marTop w:val="0"/>
      <w:marBottom w:val="0"/>
      <w:divBdr>
        <w:top w:val="none" w:sz="0" w:space="0" w:color="auto"/>
        <w:left w:val="none" w:sz="0" w:space="0" w:color="auto"/>
        <w:bottom w:val="none" w:sz="0" w:space="0" w:color="auto"/>
        <w:right w:val="none" w:sz="0" w:space="0" w:color="auto"/>
      </w:divBdr>
    </w:div>
    <w:div w:id="1232160553">
      <w:bodyDiv w:val="1"/>
      <w:marLeft w:val="0"/>
      <w:marRight w:val="0"/>
      <w:marTop w:val="0"/>
      <w:marBottom w:val="0"/>
      <w:divBdr>
        <w:top w:val="none" w:sz="0" w:space="0" w:color="auto"/>
        <w:left w:val="none" w:sz="0" w:space="0" w:color="auto"/>
        <w:bottom w:val="none" w:sz="0" w:space="0" w:color="auto"/>
        <w:right w:val="none" w:sz="0" w:space="0" w:color="auto"/>
      </w:divBdr>
    </w:div>
    <w:div w:id="1251507751">
      <w:bodyDiv w:val="1"/>
      <w:marLeft w:val="0"/>
      <w:marRight w:val="0"/>
      <w:marTop w:val="0"/>
      <w:marBottom w:val="0"/>
      <w:divBdr>
        <w:top w:val="none" w:sz="0" w:space="0" w:color="auto"/>
        <w:left w:val="none" w:sz="0" w:space="0" w:color="auto"/>
        <w:bottom w:val="none" w:sz="0" w:space="0" w:color="auto"/>
        <w:right w:val="none" w:sz="0" w:space="0" w:color="auto"/>
      </w:divBdr>
    </w:div>
    <w:div w:id="1334796555">
      <w:bodyDiv w:val="1"/>
      <w:marLeft w:val="0"/>
      <w:marRight w:val="0"/>
      <w:marTop w:val="0"/>
      <w:marBottom w:val="0"/>
      <w:divBdr>
        <w:top w:val="none" w:sz="0" w:space="0" w:color="auto"/>
        <w:left w:val="none" w:sz="0" w:space="0" w:color="auto"/>
        <w:bottom w:val="none" w:sz="0" w:space="0" w:color="auto"/>
        <w:right w:val="none" w:sz="0" w:space="0" w:color="auto"/>
      </w:divBdr>
    </w:div>
    <w:div w:id="1354111608">
      <w:bodyDiv w:val="1"/>
      <w:marLeft w:val="0"/>
      <w:marRight w:val="0"/>
      <w:marTop w:val="0"/>
      <w:marBottom w:val="0"/>
      <w:divBdr>
        <w:top w:val="none" w:sz="0" w:space="0" w:color="auto"/>
        <w:left w:val="none" w:sz="0" w:space="0" w:color="auto"/>
        <w:bottom w:val="none" w:sz="0" w:space="0" w:color="auto"/>
        <w:right w:val="none" w:sz="0" w:space="0" w:color="auto"/>
      </w:divBdr>
    </w:div>
    <w:div w:id="1406955147">
      <w:bodyDiv w:val="1"/>
      <w:marLeft w:val="0"/>
      <w:marRight w:val="0"/>
      <w:marTop w:val="0"/>
      <w:marBottom w:val="0"/>
      <w:divBdr>
        <w:top w:val="none" w:sz="0" w:space="0" w:color="auto"/>
        <w:left w:val="none" w:sz="0" w:space="0" w:color="auto"/>
        <w:bottom w:val="none" w:sz="0" w:space="0" w:color="auto"/>
        <w:right w:val="none" w:sz="0" w:space="0" w:color="auto"/>
      </w:divBdr>
    </w:div>
    <w:div w:id="1418751971">
      <w:bodyDiv w:val="1"/>
      <w:marLeft w:val="0"/>
      <w:marRight w:val="0"/>
      <w:marTop w:val="0"/>
      <w:marBottom w:val="0"/>
      <w:divBdr>
        <w:top w:val="none" w:sz="0" w:space="0" w:color="auto"/>
        <w:left w:val="none" w:sz="0" w:space="0" w:color="auto"/>
        <w:bottom w:val="none" w:sz="0" w:space="0" w:color="auto"/>
        <w:right w:val="none" w:sz="0" w:space="0" w:color="auto"/>
      </w:divBdr>
    </w:div>
    <w:div w:id="1429934891">
      <w:bodyDiv w:val="1"/>
      <w:marLeft w:val="0"/>
      <w:marRight w:val="0"/>
      <w:marTop w:val="0"/>
      <w:marBottom w:val="0"/>
      <w:divBdr>
        <w:top w:val="none" w:sz="0" w:space="0" w:color="auto"/>
        <w:left w:val="none" w:sz="0" w:space="0" w:color="auto"/>
        <w:bottom w:val="none" w:sz="0" w:space="0" w:color="auto"/>
        <w:right w:val="none" w:sz="0" w:space="0" w:color="auto"/>
      </w:divBdr>
    </w:div>
    <w:div w:id="1431701508">
      <w:bodyDiv w:val="1"/>
      <w:marLeft w:val="0"/>
      <w:marRight w:val="0"/>
      <w:marTop w:val="0"/>
      <w:marBottom w:val="0"/>
      <w:divBdr>
        <w:top w:val="none" w:sz="0" w:space="0" w:color="auto"/>
        <w:left w:val="none" w:sz="0" w:space="0" w:color="auto"/>
        <w:bottom w:val="none" w:sz="0" w:space="0" w:color="auto"/>
        <w:right w:val="none" w:sz="0" w:space="0" w:color="auto"/>
      </w:divBdr>
    </w:div>
    <w:div w:id="1443764315">
      <w:bodyDiv w:val="1"/>
      <w:marLeft w:val="0"/>
      <w:marRight w:val="0"/>
      <w:marTop w:val="0"/>
      <w:marBottom w:val="0"/>
      <w:divBdr>
        <w:top w:val="none" w:sz="0" w:space="0" w:color="auto"/>
        <w:left w:val="none" w:sz="0" w:space="0" w:color="auto"/>
        <w:bottom w:val="none" w:sz="0" w:space="0" w:color="auto"/>
        <w:right w:val="none" w:sz="0" w:space="0" w:color="auto"/>
      </w:divBdr>
    </w:div>
    <w:div w:id="1509059072">
      <w:bodyDiv w:val="1"/>
      <w:marLeft w:val="0"/>
      <w:marRight w:val="0"/>
      <w:marTop w:val="0"/>
      <w:marBottom w:val="0"/>
      <w:divBdr>
        <w:top w:val="none" w:sz="0" w:space="0" w:color="auto"/>
        <w:left w:val="none" w:sz="0" w:space="0" w:color="auto"/>
        <w:bottom w:val="none" w:sz="0" w:space="0" w:color="auto"/>
        <w:right w:val="none" w:sz="0" w:space="0" w:color="auto"/>
      </w:divBdr>
    </w:div>
    <w:div w:id="1593080909">
      <w:bodyDiv w:val="1"/>
      <w:marLeft w:val="0"/>
      <w:marRight w:val="0"/>
      <w:marTop w:val="0"/>
      <w:marBottom w:val="0"/>
      <w:divBdr>
        <w:top w:val="none" w:sz="0" w:space="0" w:color="auto"/>
        <w:left w:val="none" w:sz="0" w:space="0" w:color="auto"/>
        <w:bottom w:val="none" w:sz="0" w:space="0" w:color="auto"/>
        <w:right w:val="none" w:sz="0" w:space="0" w:color="auto"/>
      </w:divBdr>
    </w:div>
    <w:div w:id="1604996715">
      <w:bodyDiv w:val="1"/>
      <w:marLeft w:val="0"/>
      <w:marRight w:val="0"/>
      <w:marTop w:val="0"/>
      <w:marBottom w:val="0"/>
      <w:divBdr>
        <w:top w:val="none" w:sz="0" w:space="0" w:color="auto"/>
        <w:left w:val="none" w:sz="0" w:space="0" w:color="auto"/>
        <w:bottom w:val="none" w:sz="0" w:space="0" w:color="auto"/>
        <w:right w:val="none" w:sz="0" w:space="0" w:color="auto"/>
      </w:divBdr>
    </w:div>
    <w:div w:id="1667127492">
      <w:bodyDiv w:val="1"/>
      <w:marLeft w:val="0"/>
      <w:marRight w:val="0"/>
      <w:marTop w:val="0"/>
      <w:marBottom w:val="0"/>
      <w:divBdr>
        <w:top w:val="none" w:sz="0" w:space="0" w:color="auto"/>
        <w:left w:val="none" w:sz="0" w:space="0" w:color="auto"/>
        <w:bottom w:val="none" w:sz="0" w:space="0" w:color="auto"/>
        <w:right w:val="none" w:sz="0" w:space="0" w:color="auto"/>
      </w:divBdr>
    </w:div>
    <w:div w:id="1678268436">
      <w:bodyDiv w:val="1"/>
      <w:marLeft w:val="0"/>
      <w:marRight w:val="0"/>
      <w:marTop w:val="0"/>
      <w:marBottom w:val="0"/>
      <w:divBdr>
        <w:top w:val="none" w:sz="0" w:space="0" w:color="auto"/>
        <w:left w:val="none" w:sz="0" w:space="0" w:color="auto"/>
        <w:bottom w:val="none" w:sz="0" w:space="0" w:color="auto"/>
        <w:right w:val="none" w:sz="0" w:space="0" w:color="auto"/>
      </w:divBdr>
    </w:div>
    <w:div w:id="1710760959">
      <w:bodyDiv w:val="1"/>
      <w:marLeft w:val="0"/>
      <w:marRight w:val="0"/>
      <w:marTop w:val="0"/>
      <w:marBottom w:val="0"/>
      <w:divBdr>
        <w:top w:val="none" w:sz="0" w:space="0" w:color="auto"/>
        <w:left w:val="none" w:sz="0" w:space="0" w:color="auto"/>
        <w:bottom w:val="none" w:sz="0" w:space="0" w:color="auto"/>
        <w:right w:val="none" w:sz="0" w:space="0" w:color="auto"/>
      </w:divBdr>
    </w:div>
    <w:div w:id="1720322706">
      <w:bodyDiv w:val="1"/>
      <w:marLeft w:val="0"/>
      <w:marRight w:val="0"/>
      <w:marTop w:val="0"/>
      <w:marBottom w:val="0"/>
      <w:divBdr>
        <w:top w:val="none" w:sz="0" w:space="0" w:color="auto"/>
        <w:left w:val="none" w:sz="0" w:space="0" w:color="auto"/>
        <w:bottom w:val="none" w:sz="0" w:space="0" w:color="auto"/>
        <w:right w:val="none" w:sz="0" w:space="0" w:color="auto"/>
      </w:divBdr>
    </w:div>
    <w:div w:id="1736585331">
      <w:bodyDiv w:val="1"/>
      <w:marLeft w:val="0"/>
      <w:marRight w:val="0"/>
      <w:marTop w:val="0"/>
      <w:marBottom w:val="0"/>
      <w:divBdr>
        <w:top w:val="none" w:sz="0" w:space="0" w:color="auto"/>
        <w:left w:val="none" w:sz="0" w:space="0" w:color="auto"/>
        <w:bottom w:val="none" w:sz="0" w:space="0" w:color="auto"/>
        <w:right w:val="none" w:sz="0" w:space="0" w:color="auto"/>
      </w:divBdr>
    </w:div>
    <w:div w:id="1766878599">
      <w:bodyDiv w:val="1"/>
      <w:marLeft w:val="0"/>
      <w:marRight w:val="0"/>
      <w:marTop w:val="0"/>
      <w:marBottom w:val="0"/>
      <w:divBdr>
        <w:top w:val="none" w:sz="0" w:space="0" w:color="auto"/>
        <w:left w:val="none" w:sz="0" w:space="0" w:color="auto"/>
        <w:bottom w:val="none" w:sz="0" w:space="0" w:color="auto"/>
        <w:right w:val="none" w:sz="0" w:space="0" w:color="auto"/>
      </w:divBdr>
    </w:div>
    <w:div w:id="1780832622">
      <w:bodyDiv w:val="1"/>
      <w:marLeft w:val="0"/>
      <w:marRight w:val="0"/>
      <w:marTop w:val="0"/>
      <w:marBottom w:val="0"/>
      <w:divBdr>
        <w:top w:val="none" w:sz="0" w:space="0" w:color="auto"/>
        <w:left w:val="none" w:sz="0" w:space="0" w:color="auto"/>
        <w:bottom w:val="none" w:sz="0" w:space="0" w:color="auto"/>
        <w:right w:val="none" w:sz="0" w:space="0" w:color="auto"/>
      </w:divBdr>
    </w:div>
    <w:div w:id="1830515931">
      <w:bodyDiv w:val="1"/>
      <w:marLeft w:val="0"/>
      <w:marRight w:val="0"/>
      <w:marTop w:val="0"/>
      <w:marBottom w:val="0"/>
      <w:divBdr>
        <w:top w:val="none" w:sz="0" w:space="0" w:color="auto"/>
        <w:left w:val="none" w:sz="0" w:space="0" w:color="auto"/>
        <w:bottom w:val="none" w:sz="0" w:space="0" w:color="auto"/>
        <w:right w:val="none" w:sz="0" w:space="0" w:color="auto"/>
      </w:divBdr>
    </w:div>
    <w:div w:id="1883134409">
      <w:bodyDiv w:val="1"/>
      <w:marLeft w:val="0"/>
      <w:marRight w:val="0"/>
      <w:marTop w:val="0"/>
      <w:marBottom w:val="0"/>
      <w:divBdr>
        <w:top w:val="none" w:sz="0" w:space="0" w:color="auto"/>
        <w:left w:val="none" w:sz="0" w:space="0" w:color="auto"/>
        <w:bottom w:val="none" w:sz="0" w:space="0" w:color="auto"/>
        <w:right w:val="none" w:sz="0" w:space="0" w:color="auto"/>
      </w:divBdr>
    </w:div>
    <w:div w:id="1915780434">
      <w:bodyDiv w:val="1"/>
      <w:marLeft w:val="0"/>
      <w:marRight w:val="0"/>
      <w:marTop w:val="0"/>
      <w:marBottom w:val="0"/>
      <w:divBdr>
        <w:top w:val="none" w:sz="0" w:space="0" w:color="auto"/>
        <w:left w:val="none" w:sz="0" w:space="0" w:color="auto"/>
        <w:bottom w:val="none" w:sz="0" w:space="0" w:color="auto"/>
        <w:right w:val="none" w:sz="0" w:space="0" w:color="auto"/>
      </w:divBdr>
    </w:div>
    <w:div w:id="1929925056">
      <w:bodyDiv w:val="1"/>
      <w:marLeft w:val="0"/>
      <w:marRight w:val="0"/>
      <w:marTop w:val="0"/>
      <w:marBottom w:val="0"/>
      <w:divBdr>
        <w:top w:val="none" w:sz="0" w:space="0" w:color="auto"/>
        <w:left w:val="none" w:sz="0" w:space="0" w:color="auto"/>
        <w:bottom w:val="none" w:sz="0" w:space="0" w:color="auto"/>
        <w:right w:val="none" w:sz="0" w:space="0" w:color="auto"/>
      </w:divBdr>
    </w:div>
    <w:div w:id="1956642875">
      <w:bodyDiv w:val="1"/>
      <w:marLeft w:val="0"/>
      <w:marRight w:val="0"/>
      <w:marTop w:val="0"/>
      <w:marBottom w:val="0"/>
      <w:divBdr>
        <w:top w:val="none" w:sz="0" w:space="0" w:color="auto"/>
        <w:left w:val="none" w:sz="0" w:space="0" w:color="auto"/>
        <w:bottom w:val="none" w:sz="0" w:space="0" w:color="auto"/>
        <w:right w:val="none" w:sz="0" w:space="0" w:color="auto"/>
      </w:divBdr>
    </w:div>
    <w:div w:id="1984197253">
      <w:bodyDiv w:val="1"/>
      <w:marLeft w:val="0"/>
      <w:marRight w:val="0"/>
      <w:marTop w:val="0"/>
      <w:marBottom w:val="0"/>
      <w:divBdr>
        <w:top w:val="none" w:sz="0" w:space="0" w:color="auto"/>
        <w:left w:val="none" w:sz="0" w:space="0" w:color="auto"/>
        <w:bottom w:val="none" w:sz="0" w:space="0" w:color="auto"/>
        <w:right w:val="none" w:sz="0" w:space="0" w:color="auto"/>
      </w:divBdr>
    </w:div>
    <w:div w:id="2023508164">
      <w:bodyDiv w:val="1"/>
      <w:marLeft w:val="0"/>
      <w:marRight w:val="0"/>
      <w:marTop w:val="0"/>
      <w:marBottom w:val="0"/>
      <w:divBdr>
        <w:top w:val="none" w:sz="0" w:space="0" w:color="auto"/>
        <w:left w:val="none" w:sz="0" w:space="0" w:color="auto"/>
        <w:bottom w:val="none" w:sz="0" w:space="0" w:color="auto"/>
        <w:right w:val="none" w:sz="0" w:space="0" w:color="auto"/>
      </w:divBdr>
    </w:div>
    <w:div w:id="2051875067">
      <w:bodyDiv w:val="1"/>
      <w:marLeft w:val="0"/>
      <w:marRight w:val="0"/>
      <w:marTop w:val="0"/>
      <w:marBottom w:val="0"/>
      <w:divBdr>
        <w:top w:val="none" w:sz="0" w:space="0" w:color="auto"/>
        <w:left w:val="none" w:sz="0" w:space="0" w:color="auto"/>
        <w:bottom w:val="none" w:sz="0" w:space="0" w:color="auto"/>
        <w:right w:val="none" w:sz="0" w:space="0" w:color="auto"/>
      </w:divBdr>
    </w:div>
    <w:div w:id="2111851986">
      <w:bodyDiv w:val="1"/>
      <w:marLeft w:val="0"/>
      <w:marRight w:val="0"/>
      <w:marTop w:val="0"/>
      <w:marBottom w:val="0"/>
      <w:divBdr>
        <w:top w:val="none" w:sz="0" w:space="0" w:color="auto"/>
        <w:left w:val="none" w:sz="0" w:space="0" w:color="auto"/>
        <w:bottom w:val="none" w:sz="0" w:space="0" w:color="auto"/>
        <w:right w:val="none" w:sz="0" w:space="0" w:color="auto"/>
      </w:divBdr>
    </w:div>
    <w:div w:id="2118132632">
      <w:bodyDiv w:val="1"/>
      <w:marLeft w:val="0"/>
      <w:marRight w:val="0"/>
      <w:marTop w:val="0"/>
      <w:marBottom w:val="0"/>
      <w:divBdr>
        <w:top w:val="none" w:sz="0" w:space="0" w:color="auto"/>
        <w:left w:val="none" w:sz="0" w:space="0" w:color="auto"/>
        <w:bottom w:val="none" w:sz="0" w:space="0" w:color="auto"/>
        <w:right w:val="none" w:sz="0" w:space="0" w:color="auto"/>
      </w:divBdr>
    </w:div>
    <w:div w:id="21469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alcaldiabogota.gov.co/sisjur/normas/Norma1.jsp?i=34192" TargetMode="External"/><Relationship Id="rId2" Type="http://schemas.openxmlformats.org/officeDocument/2006/relationships/hyperlink" Target="http://www.secretariasenado.gov.co/senado/basedoc/ley_0226_1995.html" TargetMode="External"/><Relationship Id="rId1" Type="http://schemas.openxmlformats.org/officeDocument/2006/relationships/hyperlink" Target="http://www.alcaldiabogota.gov.co/sisjur/normas/Norma1.jsp?i=41249" TargetMode="External"/><Relationship Id="rId4" Type="http://schemas.openxmlformats.org/officeDocument/2006/relationships/hyperlink" Target="http://www.DANE.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ED342-C678-40DF-A6CA-433C13053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5955A2-A5EC-46A6-91FE-788FD2C9454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9d85dbaf-23eb-4e57-a637-93dcacc8b1a1"/>
    <ds:schemaRef ds:uri="http://www.w3.org/XML/1998/namespace"/>
    <ds:schemaRef ds:uri="http://purl.org/dc/dcmitype/"/>
  </ds:schemaRefs>
</ds:datastoreItem>
</file>

<file path=customXml/itemProps3.xml><?xml version="1.0" encoding="utf-8"?>
<ds:datastoreItem xmlns:ds="http://schemas.openxmlformats.org/officeDocument/2006/customXml" ds:itemID="{EEC66015-E7FA-4DC8-B350-08DBA466A914}">
  <ds:schemaRefs>
    <ds:schemaRef ds:uri="http://schemas.microsoft.com/sharepoint/v3/contenttype/forms"/>
  </ds:schemaRefs>
</ds:datastoreItem>
</file>

<file path=customXml/itemProps4.xml><?xml version="1.0" encoding="utf-8"?>
<ds:datastoreItem xmlns:ds="http://schemas.openxmlformats.org/officeDocument/2006/customXml" ds:itemID="{6CDAE6B8-3703-4DD7-AAEF-3811D48CC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21790</Words>
  <Characters>111224</Characters>
  <Application>Microsoft Office Word</Application>
  <DocSecurity>0</DocSecurity>
  <Lines>926</Lines>
  <Paragraphs>265</Paragraphs>
  <ScaleCrop>false</ScaleCrop>
  <HeadingPairs>
    <vt:vector size="2" baseType="variant">
      <vt:variant>
        <vt:lpstr>Título</vt:lpstr>
      </vt:variant>
      <vt:variant>
        <vt:i4>1</vt:i4>
      </vt:variant>
    </vt:vector>
  </HeadingPairs>
  <TitlesOfParts>
    <vt:vector size="1" baseType="lpstr">
      <vt:lpstr>CONSEJO DE ESTADO</vt:lpstr>
    </vt:vector>
  </TitlesOfParts>
  <Company>Toshiba</Company>
  <LinksUpToDate>false</LinksUpToDate>
  <CharactersWithSpaces>132749</CharactersWithSpaces>
  <SharedDoc>false</SharedDoc>
  <HLinks>
    <vt:vector size="24" baseType="variant">
      <vt:variant>
        <vt:i4>2162726</vt:i4>
      </vt:variant>
      <vt:variant>
        <vt:i4>9</vt:i4>
      </vt:variant>
      <vt:variant>
        <vt:i4>0</vt:i4>
      </vt:variant>
      <vt:variant>
        <vt:i4>5</vt:i4>
      </vt:variant>
      <vt:variant>
        <vt:lpwstr>http://www.dane.gov.co/</vt:lpwstr>
      </vt:variant>
      <vt:variant>
        <vt:lpwstr/>
      </vt:variant>
      <vt:variant>
        <vt:i4>5832759</vt:i4>
      </vt:variant>
      <vt:variant>
        <vt:i4>6</vt:i4>
      </vt:variant>
      <vt:variant>
        <vt:i4>0</vt:i4>
      </vt:variant>
      <vt:variant>
        <vt:i4>5</vt:i4>
      </vt:variant>
      <vt:variant>
        <vt:lpwstr>http://www.alcaldiabogota.gov.co/sisjur/normas/Norma1.jsp?i=34192</vt:lpwstr>
      </vt:variant>
      <vt:variant>
        <vt:lpwstr>2</vt:lpwstr>
      </vt:variant>
      <vt:variant>
        <vt:i4>3997723</vt:i4>
      </vt:variant>
      <vt:variant>
        <vt:i4>3</vt:i4>
      </vt:variant>
      <vt:variant>
        <vt:i4>0</vt:i4>
      </vt:variant>
      <vt:variant>
        <vt:i4>5</vt:i4>
      </vt:variant>
      <vt:variant>
        <vt:lpwstr>http://www.secretariasenado.gov.co/senado/basedoc/ley_0226_1995.html</vt:lpwstr>
      </vt:variant>
      <vt:variant>
        <vt:lpwstr>1</vt:lpwstr>
      </vt:variant>
      <vt:variant>
        <vt:i4>6553648</vt:i4>
      </vt:variant>
      <vt:variant>
        <vt:i4>0</vt:i4>
      </vt:variant>
      <vt:variant>
        <vt:i4>0</vt:i4>
      </vt:variant>
      <vt:variant>
        <vt:i4>5</vt:i4>
      </vt:variant>
      <vt:variant>
        <vt:lpwstr>http://www.alcaldiabogota.gov.co/sisjur/normas/Norma1.jsp?i=41249</vt:lpwstr>
      </vt:variant>
      <vt:variant>
        <vt:lpwstr>157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Usuario Autorizado</dc:creator>
  <cp:keywords/>
  <cp:lastModifiedBy>Silvia Juliana Saavedra Arguello</cp:lastModifiedBy>
  <cp:revision>2</cp:revision>
  <cp:lastPrinted>2017-05-03T13:02:00Z</cp:lastPrinted>
  <dcterms:created xsi:type="dcterms:W3CDTF">2020-06-11T21:21:00Z</dcterms:created>
  <dcterms:modified xsi:type="dcterms:W3CDTF">2020-06-11T21:21:00Z</dcterms:modified>
</cp:coreProperties>
</file>