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4A3A7" w14:textId="6703D40B" w:rsidR="00DE1E46" w:rsidRDefault="00DE1E46" w:rsidP="00DE1E46">
      <w:pPr>
        <w:tabs>
          <w:tab w:val="left" w:pos="5055"/>
        </w:tabs>
        <w:spacing w:line="360" w:lineRule="auto"/>
        <w:ind w:right="-142"/>
        <w:contextualSpacing/>
        <w:jc w:val="center"/>
        <w:rPr>
          <w:rFonts w:ascii="Century Gothic" w:hAnsi="Century Gothic" w:cs="Arial"/>
          <w:b/>
          <w:sz w:val="24"/>
          <w:szCs w:val="24"/>
        </w:rPr>
      </w:pPr>
    </w:p>
    <w:p w14:paraId="4D35B09A" w14:textId="430B2C41" w:rsidR="00912C83" w:rsidRPr="004207D5" w:rsidRDefault="005C16DA" w:rsidP="00641AB4">
      <w:pPr>
        <w:spacing w:after="0" w:line="240" w:lineRule="auto"/>
        <w:jc w:val="both"/>
        <w:rPr>
          <w:rFonts w:ascii="Arial" w:hAnsi="Arial" w:cs="Arial"/>
          <w:b/>
          <w:bCs/>
        </w:rPr>
      </w:pPr>
      <w:r w:rsidRPr="004207D5">
        <w:rPr>
          <w:rFonts w:ascii="Arial" w:hAnsi="Arial" w:cs="Arial"/>
          <w:b/>
        </w:rPr>
        <w:t xml:space="preserve">DECLARACIÓN DEL SINIESTRO </w:t>
      </w:r>
      <w:r w:rsidR="00722CDE">
        <w:rPr>
          <w:rFonts w:ascii="Arial" w:hAnsi="Arial" w:cs="Arial"/>
          <w:b/>
        </w:rPr>
        <w:t>-</w:t>
      </w:r>
      <w:r w:rsidRPr="004207D5">
        <w:rPr>
          <w:rFonts w:ascii="Arial" w:hAnsi="Arial" w:cs="Arial"/>
          <w:b/>
        </w:rPr>
        <w:t xml:space="preserve"> </w:t>
      </w:r>
      <w:r w:rsidR="00722CDE">
        <w:rPr>
          <w:rFonts w:ascii="Arial" w:hAnsi="Arial" w:cs="Arial"/>
          <w:b/>
          <w:bCs/>
        </w:rPr>
        <w:t>C</w:t>
      </w:r>
      <w:r w:rsidR="005B2190" w:rsidRPr="004207D5">
        <w:rPr>
          <w:rFonts w:ascii="Arial" w:hAnsi="Arial" w:cs="Arial"/>
          <w:b/>
          <w:bCs/>
        </w:rPr>
        <w:t>arácter sancionatorio</w:t>
      </w:r>
    </w:p>
    <w:p w14:paraId="276CACC7" w14:textId="0F2D134E" w:rsidR="003B033B" w:rsidRPr="004207D5" w:rsidRDefault="003B033B" w:rsidP="00641AB4">
      <w:pPr>
        <w:spacing w:after="0" w:line="240" w:lineRule="auto"/>
        <w:jc w:val="both"/>
        <w:rPr>
          <w:rFonts w:ascii="Arial" w:hAnsi="Arial" w:cs="Arial"/>
        </w:rPr>
      </w:pPr>
    </w:p>
    <w:p w14:paraId="4F4A55FA" w14:textId="3CB3ABA9" w:rsidR="003B033B" w:rsidRPr="004207D5" w:rsidRDefault="00D574F9" w:rsidP="00641AB4">
      <w:pPr>
        <w:spacing w:after="0" w:line="240" w:lineRule="auto"/>
        <w:jc w:val="both"/>
        <w:rPr>
          <w:rFonts w:ascii="Arial" w:hAnsi="Arial" w:cs="Arial"/>
        </w:rPr>
      </w:pPr>
      <w:r w:rsidRPr="004207D5">
        <w:rPr>
          <w:rFonts w:ascii="Arial" w:hAnsi="Arial" w:cs="Arial"/>
        </w:rPr>
        <w:t>Debe recordarse que, tal y como lo ha sostenido esta Sección la declaratoria de ocurrencia del siniestro de estabilidad de la obra no tiene carácter sancionatorio, por lo que no requiere del agotamiento de un procedimiento administrativo previo</w:t>
      </w:r>
      <w:r w:rsidR="000D2EAC" w:rsidRPr="004207D5">
        <w:rPr>
          <w:rFonts w:ascii="Arial" w:hAnsi="Arial" w:cs="Arial"/>
        </w:rPr>
        <w:t xml:space="preserve"> (Sección tercera, </w:t>
      </w:r>
      <w:proofErr w:type="spellStart"/>
      <w:r w:rsidR="000D2EAC" w:rsidRPr="004207D5">
        <w:rPr>
          <w:rFonts w:ascii="Arial" w:hAnsi="Arial" w:cs="Arial"/>
        </w:rPr>
        <w:t>Subseccion</w:t>
      </w:r>
      <w:proofErr w:type="spellEnd"/>
      <w:r w:rsidR="000D2EAC" w:rsidRPr="004207D5">
        <w:rPr>
          <w:rFonts w:ascii="Arial" w:hAnsi="Arial" w:cs="Arial"/>
        </w:rPr>
        <w:t xml:space="preserve"> B en sentencias del 23 de febrero de 2012, </w:t>
      </w:r>
      <w:proofErr w:type="spellStart"/>
      <w:r w:rsidR="000D2EAC" w:rsidRPr="004207D5">
        <w:rPr>
          <w:rFonts w:ascii="Arial" w:hAnsi="Arial" w:cs="Arial"/>
        </w:rPr>
        <w:t>exp</w:t>
      </w:r>
      <w:proofErr w:type="spellEnd"/>
      <w:r w:rsidR="000D2EAC" w:rsidRPr="004207D5">
        <w:rPr>
          <w:rFonts w:ascii="Arial" w:hAnsi="Arial" w:cs="Arial"/>
        </w:rPr>
        <w:t xml:space="preserve">. 20.810 y del 5 de diciembre de 2016, </w:t>
      </w:r>
      <w:proofErr w:type="spellStart"/>
      <w:r w:rsidR="000D2EAC" w:rsidRPr="004207D5">
        <w:rPr>
          <w:rFonts w:ascii="Arial" w:hAnsi="Arial" w:cs="Arial"/>
        </w:rPr>
        <w:t>exp</w:t>
      </w:r>
      <w:proofErr w:type="spellEnd"/>
      <w:r w:rsidR="000D2EAC" w:rsidRPr="004207D5">
        <w:rPr>
          <w:rFonts w:ascii="Arial" w:hAnsi="Arial" w:cs="Arial"/>
        </w:rPr>
        <w:t>. 35.057)</w:t>
      </w:r>
      <w:r w:rsidRPr="004207D5">
        <w:rPr>
          <w:rFonts w:ascii="Arial" w:hAnsi="Arial" w:cs="Arial"/>
        </w:rPr>
        <w:t>. En ese sentido, si una entidad pretende declarar la ocurrencia de este siniestro, no tiene por qué citar al contratista y su garante antes de adoptar la decisión y, por consiguiente, no se requiere la presencia de estos en la consecución de los medios de convicción que le permitirán a la entidad determinar si declara o no la ocurrencia del siniestro.</w:t>
      </w:r>
    </w:p>
    <w:p w14:paraId="727FABA2" w14:textId="26E858F1" w:rsidR="00C77719" w:rsidRPr="004207D5" w:rsidRDefault="00C77719" w:rsidP="00641AB4">
      <w:pPr>
        <w:spacing w:after="0" w:line="240" w:lineRule="auto"/>
        <w:jc w:val="both"/>
        <w:rPr>
          <w:rFonts w:ascii="Arial" w:hAnsi="Arial" w:cs="Arial"/>
        </w:rPr>
      </w:pPr>
    </w:p>
    <w:p w14:paraId="4C47E201" w14:textId="5F5777E2" w:rsidR="00FB3794" w:rsidRPr="004207D5" w:rsidRDefault="005850FE" w:rsidP="00641AB4">
      <w:pPr>
        <w:spacing w:after="0" w:line="240" w:lineRule="auto"/>
        <w:jc w:val="both"/>
        <w:rPr>
          <w:rFonts w:ascii="Arial" w:hAnsi="Arial" w:cs="Arial"/>
        </w:rPr>
      </w:pPr>
      <w:r w:rsidRPr="004207D5">
        <w:rPr>
          <w:rFonts w:ascii="Arial" w:hAnsi="Arial" w:cs="Arial"/>
          <w:b/>
        </w:rPr>
        <w:t>DEBIDO PROCESO</w:t>
      </w:r>
      <w:r w:rsidR="00E97B95" w:rsidRPr="004207D5">
        <w:rPr>
          <w:rFonts w:ascii="Arial" w:hAnsi="Arial" w:cs="Arial"/>
          <w:b/>
        </w:rPr>
        <w:t xml:space="preserve"> </w:t>
      </w:r>
      <w:r w:rsidR="00722CDE">
        <w:rPr>
          <w:rFonts w:ascii="Arial" w:hAnsi="Arial" w:cs="Arial"/>
          <w:b/>
        </w:rPr>
        <w:t>-</w:t>
      </w:r>
      <w:r w:rsidR="00E97B95" w:rsidRPr="004207D5">
        <w:rPr>
          <w:rFonts w:ascii="Arial" w:hAnsi="Arial" w:cs="Arial"/>
        </w:rPr>
        <w:t xml:space="preserve"> </w:t>
      </w:r>
      <w:r w:rsidR="00FB446B" w:rsidRPr="004207D5">
        <w:rPr>
          <w:rFonts w:ascii="Arial" w:hAnsi="Arial" w:cs="Arial"/>
          <w:b/>
          <w:bCs/>
        </w:rPr>
        <w:t xml:space="preserve">Violación </w:t>
      </w:r>
      <w:r w:rsidR="00722CDE">
        <w:rPr>
          <w:rFonts w:ascii="Arial" w:hAnsi="Arial" w:cs="Arial"/>
          <w:b/>
          <w:bCs/>
        </w:rPr>
        <w:t>-</w:t>
      </w:r>
      <w:r w:rsidR="004A7566" w:rsidRPr="004207D5">
        <w:rPr>
          <w:rFonts w:ascii="Arial" w:hAnsi="Arial" w:cs="Arial"/>
          <w:b/>
          <w:bCs/>
        </w:rPr>
        <w:t xml:space="preserve"> </w:t>
      </w:r>
      <w:r w:rsidR="00722CDE">
        <w:rPr>
          <w:rFonts w:ascii="Arial" w:hAnsi="Arial" w:cs="Arial"/>
          <w:b/>
          <w:bCs/>
        </w:rPr>
        <w:t>A</w:t>
      </w:r>
      <w:r w:rsidR="004302DE" w:rsidRPr="004207D5">
        <w:rPr>
          <w:rFonts w:ascii="Arial" w:hAnsi="Arial" w:cs="Arial"/>
          <w:b/>
          <w:bCs/>
        </w:rPr>
        <w:t>ctuaciones</w:t>
      </w:r>
      <w:r w:rsidR="00E97B95" w:rsidRPr="004207D5">
        <w:rPr>
          <w:rFonts w:ascii="Arial" w:hAnsi="Arial" w:cs="Arial"/>
          <w:b/>
          <w:bCs/>
        </w:rPr>
        <w:t xml:space="preserve"> administrativas </w:t>
      </w:r>
    </w:p>
    <w:p w14:paraId="53D13F15" w14:textId="133B308E" w:rsidR="004302DE" w:rsidRPr="004207D5" w:rsidRDefault="004302DE" w:rsidP="00641AB4">
      <w:pPr>
        <w:spacing w:after="0" w:line="240" w:lineRule="auto"/>
        <w:jc w:val="both"/>
        <w:rPr>
          <w:rFonts w:ascii="Arial" w:hAnsi="Arial" w:cs="Arial"/>
        </w:rPr>
      </w:pPr>
    </w:p>
    <w:p w14:paraId="60C27780" w14:textId="53812907" w:rsidR="005B126F" w:rsidRPr="004207D5" w:rsidRDefault="005B126F" w:rsidP="00641AB4">
      <w:pPr>
        <w:spacing w:after="0" w:line="240" w:lineRule="auto"/>
        <w:jc w:val="both"/>
        <w:rPr>
          <w:rFonts w:ascii="Arial" w:hAnsi="Arial" w:cs="Arial"/>
        </w:rPr>
      </w:pPr>
      <w:r w:rsidRPr="004207D5">
        <w:rPr>
          <w:rFonts w:ascii="Arial" w:hAnsi="Arial" w:cs="Arial"/>
        </w:rPr>
        <w:t>En este contexto, el derecho al debido proceso [en actuaciones administrativas que</w:t>
      </w:r>
      <w:r w:rsidR="001F26B7" w:rsidRPr="004207D5">
        <w:rPr>
          <w:rFonts w:ascii="Arial" w:hAnsi="Arial" w:cs="Arial"/>
        </w:rPr>
        <w:t xml:space="preserve"> deriven en la declaratoria de siniestro</w:t>
      </w:r>
      <w:r w:rsidRPr="004207D5">
        <w:rPr>
          <w:rFonts w:ascii="Arial" w:hAnsi="Arial" w:cs="Arial"/>
        </w:rPr>
        <w:t>] se garantiza al permitir al contratista y la compañía de seguros impugnar el acto a través del recurso de reposición, con el fin de que, mediante el mismo, puedan controvertir las razones y pruebas tenidas en cuenta por la entidad para declarar el siniestro.</w:t>
      </w:r>
    </w:p>
    <w:p w14:paraId="1D0FC9D0" w14:textId="705A6C0E" w:rsidR="001F26B7" w:rsidRPr="004207D5" w:rsidRDefault="001F26B7" w:rsidP="00641AB4">
      <w:pPr>
        <w:spacing w:after="0" w:line="240" w:lineRule="auto"/>
        <w:jc w:val="both"/>
        <w:rPr>
          <w:rFonts w:ascii="Arial" w:hAnsi="Arial" w:cs="Arial"/>
        </w:rPr>
      </w:pPr>
    </w:p>
    <w:p w14:paraId="2E72CB06" w14:textId="502F1505" w:rsidR="00977AF4" w:rsidRPr="004207D5" w:rsidRDefault="004A7566" w:rsidP="00641AB4">
      <w:pPr>
        <w:spacing w:after="0" w:line="240" w:lineRule="auto"/>
        <w:jc w:val="both"/>
        <w:rPr>
          <w:rFonts w:ascii="Arial" w:hAnsi="Arial" w:cs="Arial"/>
          <w:b/>
          <w:bCs/>
        </w:rPr>
      </w:pPr>
      <w:r w:rsidRPr="004207D5">
        <w:rPr>
          <w:rFonts w:ascii="Arial" w:hAnsi="Arial" w:cs="Arial"/>
          <w:b/>
        </w:rPr>
        <w:t>GARANTÍ</w:t>
      </w:r>
      <w:r w:rsidR="005C16DA" w:rsidRPr="004207D5">
        <w:rPr>
          <w:rFonts w:ascii="Arial" w:hAnsi="Arial" w:cs="Arial"/>
          <w:b/>
        </w:rPr>
        <w:t xml:space="preserve">A DE </w:t>
      </w:r>
      <w:r w:rsidR="00977AF4" w:rsidRPr="004207D5">
        <w:rPr>
          <w:rFonts w:ascii="Arial" w:hAnsi="Arial" w:cs="Arial"/>
          <w:b/>
        </w:rPr>
        <w:t xml:space="preserve">ESTABILIDAD DE LA OBRA </w:t>
      </w:r>
      <w:r w:rsidR="00722CDE">
        <w:rPr>
          <w:rFonts w:ascii="Arial" w:hAnsi="Arial" w:cs="Arial"/>
          <w:b/>
        </w:rPr>
        <w:t>-</w:t>
      </w:r>
      <w:r w:rsidR="00977AF4" w:rsidRPr="004207D5">
        <w:rPr>
          <w:rFonts w:ascii="Arial" w:hAnsi="Arial" w:cs="Arial"/>
          <w:b/>
        </w:rPr>
        <w:t xml:space="preserve"> </w:t>
      </w:r>
      <w:r w:rsidR="00641AB4" w:rsidRPr="004207D5">
        <w:rPr>
          <w:rFonts w:ascii="Arial" w:hAnsi="Arial" w:cs="Arial"/>
          <w:b/>
          <w:bCs/>
        </w:rPr>
        <w:t>A</w:t>
      </w:r>
      <w:r w:rsidR="005B2190" w:rsidRPr="004207D5">
        <w:rPr>
          <w:rFonts w:ascii="Arial" w:hAnsi="Arial" w:cs="Arial"/>
          <w:b/>
          <w:bCs/>
        </w:rPr>
        <w:t>mpar</w:t>
      </w:r>
      <w:r w:rsidR="00722CDE">
        <w:rPr>
          <w:rFonts w:ascii="Arial" w:hAnsi="Arial" w:cs="Arial"/>
          <w:b/>
          <w:bCs/>
        </w:rPr>
        <w:t>o</w:t>
      </w:r>
      <w:r w:rsidR="005B2190" w:rsidRPr="004207D5">
        <w:rPr>
          <w:rFonts w:ascii="Arial" w:hAnsi="Arial" w:cs="Arial"/>
          <w:b/>
          <w:bCs/>
        </w:rPr>
        <w:t xml:space="preserve"> </w:t>
      </w:r>
      <w:r w:rsidR="00722CDE">
        <w:rPr>
          <w:rFonts w:ascii="Arial" w:hAnsi="Arial" w:cs="Arial"/>
          <w:b/>
          <w:bCs/>
        </w:rPr>
        <w:t>- V</w:t>
      </w:r>
      <w:r w:rsidR="005B2190" w:rsidRPr="004207D5">
        <w:rPr>
          <w:rFonts w:ascii="Arial" w:hAnsi="Arial" w:cs="Arial"/>
          <w:b/>
          <w:bCs/>
        </w:rPr>
        <w:t xml:space="preserve">icios imputables al contratista </w:t>
      </w:r>
    </w:p>
    <w:p w14:paraId="08C3E3BB" w14:textId="0D29CC1C" w:rsidR="00CB34C7" w:rsidRPr="004207D5" w:rsidRDefault="00CB34C7" w:rsidP="00641AB4">
      <w:pPr>
        <w:spacing w:after="0" w:line="240" w:lineRule="auto"/>
        <w:jc w:val="both"/>
        <w:rPr>
          <w:rFonts w:ascii="Arial" w:hAnsi="Arial" w:cs="Arial"/>
        </w:rPr>
      </w:pPr>
    </w:p>
    <w:p w14:paraId="178809F8" w14:textId="1AEA1988" w:rsidR="00CB34C7" w:rsidRPr="004207D5" w:rsidRDefault="00144588" w:rsidP="00641AB4">
      <w:pPr>
        <w:spacing w:after="0" w:line="240" w:lineRule="auto"/>
        <w:jc w:val="both"/>
        <w:rPr>
          <w:rFonts w:ascii="Arial" w:hAnsi="Arial" w:cs="Arial"/>
        </w:rPr>
      </w:pPr>
      <w:r w:rsidRPr="004207D5">
        <w:rPr>
          <w:rFonts w:ascii="Arial" w:hAnsi="Arial" w:cs="Arial"/>
        </w:rPr>
        <w:t xml:space="preserve">Según lo ha señalado esta Corporación, la garantía de estabilidad ampara: “el acaecimiento de vicios, mala calidad, defectos, deficiencias técnicas o fallas que no pudieron ser percibidos y detectados al momento de recibir el bien y que se presentan o descubren con posterioridad a la terminación del contrato y afectan el cumplimiento de los fines que animaron la contratación”. Estos vicios, se ha precisado, deben ser imputables al contratista pues, de lo contrario, será el dueño de la obra quien deba soportar el deterioro de la misma. </w:t>
      </w:r>
      <w:r w:rsidR="00BA2E95" w:rsidRPr="004207D5">
        <w:rPr>
          <w:rFonts w:ascii="Arial" w:hAnsi="Arial" w:cs="Arial"/>
        </w:rPr>
        <w:t>(Consejo</w:t>
      </w:r>
      <w:r w:rsidR="00995FDB" w:rsidRPr="004207D5">
        <w:rPr>
          <w:rFonts w:ascii="Arial" w:hAnsi="Arial" w:cs="Arial"/>
        </w:rPr>
        <w:t xml:space="preserve"> de Estado, Sala de lo Contencioso Administrativo, Sección Tercera, Subsección B, Sentencia de 23 de febrero de 2012, </w:t>
      </w:r>
      <w:proofErr w:type="spellStart"/>
      <w:r w:rsidR="00995FDB" w:rsidRPr="004207D5">
        <w:rPr>
          <w:rFonts w:ascii="Arial" w:hAnsi="Arial" w:cs="Arial"/>
        </w:rPr>
        <w:t>exp</w:t>
      </w:r>
      <w:proofErr w:type="spellEnd"/>
      <w:r w:rsidR="00995FDB" w:rsidRPr="004207D5">
        <w:rPr>
          <w:rFonts w:ascii="Arial" w:hAnsi="Arial" w:cs="Arial"/>
        </w:rPr>
        <w:t xml:space="preserve">. </w:t>
      </w:r>
      <w:r w:rsidR="00BA2E95" w:rsidRPr="004207D5">
        <w:rPr>
          <w:rFonts w:ascii="Arial" w:hAnsi="Arial" w:cs="Arial"/>
        </w:rPr>
        <w:t>20.810 y</w:t>
      </w:r>
      <w:r w:rsidR="00995FDB" w:rsidRPr="004207D5">
        <w:rPr>
          <w:rFonts w:ascii="Arial" w:hAnsi="Arial" w:cs="Arial"/>
        </w:rPr>
        <w:t xml:space="preserve"> Consejo de Estado, Sala de lo Contencioso Administrativo, Sección Tercera, Subsección A, Sentencia de 2 de agosto de 2018, </w:t>
      </w:r>
      <w:proofErr w:type="spellStart"/>
      <w:r w:rsidR="00995FDB" w:rsidRPr="004207D5">
        <w:rPr>
          <w:rFonts w:ascii="Arial" w:hAnsi="Arial" w:cs="Arial"/>
        </w:rPr>
        <w:t>exp</w:t>
      </w:r>
      <w:proofErr w:type="spellEnd"/>
      <w:r w:rsidR="00995FDB" w:rsidRPr="004207D5">
        <w:rPr>
          <w:rFonts w:ascii="Arial" w:hAnsi="Arial" w:cs="Arial"/>
        </w:rPr>
        <w:t>. 37.317</w:t>
      </w:r>
      <w:r w:rsidR="008D74AA" w:rsidRPr="004207D5">
        <w:rPr>
          <w:rFonts w:ascii="Arial" w:hAnsi="Arial" w:cs="Arial"/>
        </w:rPr>
        <w:t>)</w:t>
      </w:r>
    </w:p>
    <w:p w14:paraId="59A862E5" w14:textId="6E129EE8" w:rsidR="008D74AA" w:rsidRPr="004207D5" w:rsidRDefault="008D74AA" w:rsidP="00641AB4">
      <w:pPr>
        <w:spacing w:after="0" w:line="240" w:lineRule="auto"/>
        <w:jc w:val="both"/>
        <w:rPr>
          <w:rFonts w:ascii="Arial" w:hAnsi="Arial" w:cs="Arial"/>
        </w:rPr>
      </w:pPr>
    </w:p>
    <w:p w14:paraId="5B6723E3" w14:textId="452D8841" w:rsidR="00EE5CE8" w:rsidRPr="004207D5" w:rsidRDefault="004037E7" w:rsidP="00641AB4">
      <w:pPr>
        <w:spacing w:after="0" w:line="240" w:lineRule="auto"/>
        <w:jc w:val="both"/>
        <w:rPr>
          <w:rFonts w:ascii="Arial" w:hAnsi="Arial" w:cs="Arial"/>
          <w:b/>
          <w:bCs/>
        </w:rPr>
      </w:pPr>
      <w:r w:rsidRPr="004207D5">
        <w:rPr>
          <w:rFonts w:ascii="Arial" w:hAnsi="Arial" w:cs="Arial"/>
          <w:b/>
        </w:rPr>
        <w:t xml:space="preserve">FALSA MOTIVACIÓN </w:t>
      </w:r>
      <w:r w:rsidR="00DB1931">
        <w:rPr>
          <w:rFonts w:ascii="Arial" w:hAnsi="Arial" w:cs="Arial"/>
          <w:b/>
        </w:rPr>
        <w:t>- Eventos - D</w:t>
      </w:r>
      <w:r w:rsidR="00A7379C" w:rsidRPr="004207D5">
        <w:rPr>
          <w:rFonts w:ascii="Arial" w:hAnsi="Arial" w:cs="Arial"/>
          <w:b/>
          <w:bCs/>
        </w:rPr>
        <w:t xml:space="preserve">eclaratoria de siniestro </w:t>
      </w:r>
      <w:r w:rsidR="00DB1931">
        <w:rPr>
          <w:rFonts w:ascii="Arial" w:hAnsi="Arial" w:cs="Arial"/>
          <w:b/>
          <w:bCs/>
        </w:rPr>
        <w:t>- Acto -</w:t>
      </w:r>
      <w:r w:rsidR="00641AB4" w:rsidRPr="004207D5">
        <w:rPr>
          <w:rFonts w:ascii="Arial" w:hAnsi="Arial" w:cs="Arial"/>
          <w:b/>
          <w:bCs/>
        </w:rPr>
        <w:t xml:space="preserve"> Mo</w:t>
      </w:r>
      <w:r w:rsidR="009E4957" w:rsidRPr="004207D5">
        <w:rPr>
          <w:rFonts w:ascii="Arial" w:hAnsi="Arial" w:cs="Arial"/>
          <w:b/>
          <w:bCs/>
        </w:rPr>
        <w:t>tiv</w:t>
      </w:r>
      <w:r w:rsidR="00DB1931">
        <w:rPr>
          <w:rFonts w:ascii="Arial" w:hAnsi="Arial" w:cs="Arial"/>
          <w:b/>
          <w:bCs/>
        </w:rPr>
        <w:t>ación - F</w:t>
      </w:r>
      <w:r w:rsidR="009E4957" w:rsidRPr="004207D5">
        <w:rPr>
          <w:rFonts w:ascii="Arial" w:hAnsi="Arial" w:cs="Arial"/>
          <w:b/>
          <w:bCs/>
        </w:rPr>
        <w:t>allas imputables a</w:t>
      </w:r>
      <w:r w:rsidR="00A7379C" w:rsidRPr="004207D5">
        <w:rPr>
          <w:rFonts w:ascii="Arial" w:hAnsi="Arial" w:cs="Arial"/>
          <w:b/>
          <w:bCs/>
        </w:rPr>
        <w:t>l contrati</w:t>
      </w:r>
      <w:r w:rsidR="009E4957" w:rsidRPr="004207D5">
        <w:rPr>
          <w:rFonts w:ascii="Arial" w:hAnsi="Arial" w:cs="Arial"/>
          <w:b/>
          <w:bCs/>
        </w:rPr>
        <w:t xml:space="preserve">sta </w:t>
      </w:r>
    </w:p>
    <w:p w14:paraId="76640F26" w14:textId="77A62395" w:rsidR="00353192" w:rsidRPr="004207D5" w:rsidRDefault="00353192" w:rsidP="00641AB4">
      <w:pPr>
        <w:spacing w:after="0" w:line="240" w:lineRule="auto"/>
        <w:jc w:val="both"/>
        <w:rPr>
          <w:rFonts w:ascii="Arial" w:hAnsi="Arial" w:cs="Arial"/>
        </w:rPr>
      </w:pPr>
    </w:p>
    <w:p w14:paraId="3BAFF1DB" w14:textId="54ADFF6A" w:rsidR="00353192" w:rsidRPr="004207D5" w:rsidRDefault="00893C47" w:rsidP="00641AB4">
      <w:pPr>
        <w:spacing w:after="0" w:line="240" w:lineRule="auto"/>
        <w:jc w:val="both"/>
        <w:rPr>
          <w:rFonts w:ascii="Arial" w:hAnsi="Arial" w:cs="Arial"/>
        </w:rPr>
      </w:pPr>
      <w:r w:rsidRPr="004207D5">
        <w:rPr>
          <w:rFonts w:ascii="Arial" w:hAnsi="Arial" w:cs="Arial"/>
        </w:rPr>
        <w:t xml:space="preserve">A partir de las pruebas transcritas, la Sala puede establecer que, debido a las deficiencias en los diseños suministrados por el Departamento de Boyacá, la falta de construcción de obras de contención necesarias para la duración de la obra, la baja calidad de los materiales empleados , la inestabilidad geológica de varios tramos de la vía y la ausencia de mantenimiento a los sistemas de drenaje, era apenas natural que la vía Garagoa – </w:t>
      </w:r>
      <w:proofErr w:type="spellStart"/>
      <w:r w:rsidRPr="004207D5">
        <w:rPr>
          <w:rFonts w:ascii="Arial" w:hAnsi="Arial" w:cs="Arial"/>
        </w:rPr>
        <w:t>Chinavita</w:t>
      </w:r>
      <w:proofErr w:type="spellEnd"/>
      <w:r w:rsidRPr="004207D5">
        <w:rPr>
          <w:rFonts w:ascii="Arial" w:hAnsi="Arial" w:cs="Arial"/>
        </w:rPr>
        <w:t xml:space="preserve"> presentara problemas de estabilidad, problemas estos que, como se encuentra establecido, no eran imputables al Consorcio ICM Ingenieros Ltda. – Suárez y Silva Ltda. Ingenieros Contratistas. Por consiguiente, la Sala concluye que las Resoluciones No. 185 de 11 de mayo de 2004 y 291 de 22 de diciembre de 2006 están viciadas de nulidad por falsa motivación, y así lo declarará.</w:t>
      </w:r>
    </w:p>
    <w:p w14:paraId="331548A0" w14:textId="2FF21EFF" w:rsidR="00DE1E46" w:rsidRPr="004207D5" w:rsidRDefault="00DE1E46" w:rsidP="00641AB4">
      <w:pPr>
        <w:spacing w:after="0" w:line="240" w:lineRule="auto"/>
        <w:rPr>
          <w:rFonts w:ascii="Century Gothic" w:hAnsi="Century Gothic" w:cs="Arial"/>
          <w:b/>
        </w:rPr>
      </w:pPr>
    </w:p>
    <w:p w14:paraId="769BE397" w14:textId="77777777" w:rsidR="005B2190" w:rsidRDefault="005B2190" w:rsidP="00FB3794">
      <w:pPr>
        <w:spacing w:after="0" w:line="240" w:lineRule="auto"/>
        <w:rPr>
          <w:rFonts w:ascii="Century Gothic" w:hAnsi="Century Gothic" w:cs="Arial"/>
          <w:b/>
          <w:sz w:val="24"/>
          <w:szCs w:val="24"/>
        </w:rPr>
      </w:pPr>
    </w:p>
    <w:p w14:paraId="55771895" w14:textId="77777777" w:rsidR="005B2190" w:rsidRDefault="005B2190" w:rsidP="00FB3794">
      <w:pPr>
        <w:spacing w:after="0" w:line="240" w:lineRule="auto"/>
        <w:rPr>
          <w:rFonts w:ascii="Century Gothic" w:hAnsi="Century Gothic" w:cs="Arial"/>
          <w:b/>
          <w:sz w:val="24"/>
          <w:szCs w:val="24"/>
        </w:rPr>
      </w:pPr>
    </w:p>
    <w:p w14:paraId="54F6E85D" w14:textId="77777777" w:rsidR="005B2190" w:rsidRDefault="005B2190" w:rsidP="00FB3794">
      <w:pPr>
        <w:spacing w:after="0" w:line="240" w:lineRule="auto"/>
        <w:rPr>
          <w:rFonts w:ascii="Century Gothic" w:hAnsi="Century Gothic" w:cs="Arial"/>
          <w:b/>
          <w:sz w:val="24"/>
          <w:szCs w:val="24"/>
        </w:rPr>
      </w:pPr>
    </w:p>
    <w:p w14:paraId="3EC7A3C5" w14:textId="05482712" w:rsidR="00DE1E46" w:rsidRPr="00742D59" w:rsidRDefault="00DE1E46" w:rsidP="00DE1E46">
      <w:pPr>
        <w:tabs>
          <w:tab w:val="left" w:pos="5055"/>
        </w:tabs>
        <w:spacing w:line="360" w:lineRule="auto"/>
        <w:ind w:right="-142"/>
        <w:contextualSpacing/>
        <w:jc w:val="center"/>
        <w:rPr>
          <w:rFonts w:ascii="Century Gothic" w:hAnsi="Century Gothic" w:cs="Arial"/>
          <w:b/>
          <w:sz w:val="24"/>
          <w:szCs w:val="24"/>
        </w:rPr>
      </w:pPr>
      <w:r>
        <w:rPr>
          <w:noProof/>
          <w:lang w:val="en-US"/>
        </w:rPr>
        <w:drawing>
          <wp:anchor distT="0" distB="0" distL="114300" distR="114300" simplePos="0" relativeHeight="251659264" behindDoc="0" locked="0" layoutInCell="1" allowOverlap="1" wp14:anchorId="4822E8E2" wp14:editId="3C0F9849">
            <wp:simplePos x="0" y="0"/>
            <wp:positionH relativeFrom="margin">
              <wp:align>left</wp:align>
            </wp:positionH>
            <wp:positionV relativeFrom="paragraph">
              <wp:posOffset>292</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69D" w:rsidRPr="00742D59">
        <w:rPr>
          <w:rFonts w:ascii="Century Gothic" w:hAnsi="Century Gothic" w:cs="Arial"/>
          <w:b/>
          <w:sz w:val="24"/>
          <w:szCs w:val="24"/>
        </w:rPr>
        <w:t>CONSEJO DE ESTADO</w:t>
      </w:r>
    </w:p>
    <w:p w14:paraId="0AEF7085" w14:textId="05521E6C" w:rsidR="0087769D" w:rsidRPr="00742D59" w:rsidRDefault="0087769D" w:rsidP="00DE1E46">
      <w:pPr>
        <w:tabs>
          <w:tab w:val="left" w:pos="5055"/>
        </w:tabs>
        <w:spacing w:line="360" w:lineRule="auto"/>
        <w:ind w:right="-142"/>
        <w:contextualSpacing/>
        <w:jc w:val="center"/>
        <w:rPr>
          <w:rFonts w:ascii="Century Gothic" w:hAnsi="Century Gothic" w:cs="Arial"/>
          <w:b/>
          <w:sz w:val="24"/>
          <w:szCs w:val="24"/>
        </w:rPr>
      </w:pPr>
      <w:r w:rsidRPr="00742D59">
        <w:rPr>
          <w:rFonts w:ascii="Century Gothic" w:hAnsi="Century Gothic" w:cs="Arial"/>
          <w:b/>
          <w:sz w:val="24"/>
          <w:szCs w:val="24"/>
        </w:rPr>
        <w:t>SALA DE LO CONTENCIOSO ADMINISTRATIVO</w:t>
      </w:r>
    </w:p>
    <w:p w14:paraId="3B2198D5" w14:textId="0B6C6BDA" w:rsidR="0087769D" w:rsidRPr="00742D59" w:rsidRDefault="0087769D" w:rsidP="00DE1E46">
      <w:pPr>
        <w:tabs>
          <w:tab w:val="left" w:pos="5055"/>
        </w:tabs>
        <w:spacing w:line="360" w:lineRule="auto"/>
        <w:ind w:right="-142"/>
        <w:contextualSpacing/>
        <w:jc w:val="center"/>
        <w:rPr>
          <w:rFonts w:ascii="Century Gothic" w:hAnsi="Century Gothic" w:cs="Arial"/>
          <w:b/>
          <w:sz w:val="24"/>
          <w:szCs w:val="24"/>
        </w:rPr>
      </w:pPr>
      <w:r w:rsidRPr="00742D59">
        <w:rPr>
          <w:rFonts w:ascii="Century Gothic" w:hAnsi="Century Gothic" w:cs="Arial"/>
          <w:b/>
          <w:sz w:val="24"/>
          <w:szCs w:val="24"/>
        </w:rPr>
        <w:t>SECCIÓN TERCERA</w:t>
      </w:r>
    </w:p>
    <w:p w14:paraId="12F0E565" w14:textId="77777777" w:rsidR="0087769D" w:rsidRPr="00742D59" w:rsidRDefault="0087769D" w:rsidP="00DE1E46">
      <w:pPr>
        <w:tabs>
          <w:tab w:val="left" w:pos="5055"/>
        </w:tabs>
        <w:spacing w:line="360" w:lineRule="auto"/>
        <w:ind w:right="-142"/>
        <w:contextualSpacing/>
        <w:jc w:val="center"/>
        <w:rPr>
          <w:rFonts w:ascii="Century Gothic" w:hAnsi="Century Gothic" w:cs="Arial"/>
          <w:b/>
          <w:sz w:val="24"/>
          <w:szCs w:val="24"/>
        </w:rPr>
      </w:pPr>
      <w:r w:rsidRPr="00742D59">
        <w:rPr>
          <w:rFonts w:ascii="Century Gothic" w:hAnsi="Century Gothic" w:cs="Arial"/>
          <w:b/>
          <w:sz w:val="24"/>
          <w:szCs w:val="24"/>
        </w:rPr>
        <w:t>SUBSECCIÓN B</w:t>
      </w:r>
    </w:p>
    <w:p w14:paraId="3E9D0824" w14:textId="77777777" w:rsidR="0087769D" w:rsidRPr="00742D59" w:rsidRDefault="0087769D" w:rsidP="0087769D">
      <w:pPr>
        <w:ind w:right="-142"/>
        <w:contextualSpacing/>
        <w:jc w:val="center"/>
        <w:rPr>
          <w:rFonts w:ascii="Century Gothic" w:hAnsi="Century Gothic" w:cs="Arial"/>
          <w:b/>
          <w:sz w:val="24"/>
          <w:szCs w:val="24"/>
        </w:rPr>
      </w:pPr>
    </w:p>
    <w:p w14:paraId="294E2C9D" w14:textId="77777777" w:rsidR="0087769D" w:rsidRPr="00742D59" w:rsidRDefault="0087769D" w:rsidP="0087769D">
      <w:pPr>
        <w:ind w:right="-142"/>
        <w:contextualSpacing/>
        <w:jc w:val="center"/>
        <w:rPr>
          <w:rFonts w:ascii="Century Gothic" w:hAnsi="Century Gothic" w:cs="Arial"/>
          <w:b/>
          <w:sz w:val="24"/>
          <w:szCs w:val="24"/>
        </w:rPr>
      </w:pPr>
      <w:r w:rsidRPr="00E210A2">
        <w:rPr>
          <w:rFonts w:ascii="Century Gothic" w:hAnsi="Century Gothic" w:cs="Arial"/>
          <w:sz w:val="24"/>
          <w:szCs w:val="24"/>
        </w:rPr>
        <w:t>Consejero ponente:</w:t>
      </w:r>
      <w:r w:rsidRPr="00742D59">
        <w:rPr>
          <w:rFonts w:ascii="Century Gothic" w:hAnsi="Century Gothic" w:cs="Arial"/>
          <w:b/>
          <w:sz w:val="24"/>
          <w:szCs w:val="24"/>
        </w:rPr>
        <w:t xml:space="preserve"> </w:t>
      </w:r>
      <w:r w:rsidRPr="000E49A5">
        <w:rPr>
          <w:rFonts w:ascii="Century Gothic" w:hAnsi="Century Gothic" w:cs="Arial"/>
          <w:sz w:val="24"/>
          <w:szCs w:val="24"/>
        </w:rPr>
        <w:t>Alberto Montaña Plata</w:t>
      </w:r>
    </w:p>
    <w:p w14:paraId="37124D37" w14:textId="77777777" w:rsidR="0087769D" w:rsidRPr="00742D59" w:rsidRDefault="0087769D" w:rsidP="0087769D">
      <w:pPr>
        <w:ind w:right="-142"/>
        <w:contextualSpacing/>
        <w:jc w:val="center"/>
        <w:rPr>
          <w:rFonts w:ascii="Century Gothic" w:hAnsi="Century Gothic" w:cs="Arial"/>
          <w:b/>
          <w:sz w:val="24"/>
          <w:szCs w:val="24"/>
        </w:rPr>
      </w:pPr>
    </w:p>
    <w:p w14:paraId="54290A13" w14:textId="77777777" w:rsidR="0087769D" w:rsidRPr="00742D59" w:rsidRDefault="0087769D" w:rsidP="0087769D">
      <w:pPr>
        <w:ind w:right="-142"/>
        <w:contextualSpacing/>
        <w:jc w:val="both"/>
        <w:rPr>
          <w:rFonts w:ascii="Century Gothic" w:hAnsi="Century Gothic" w:cs="Arial"/>
          <w:sz w:val="24"/>
          <w:szCs w:val="24"/>
        </w:rPr>
      </w:pPr>
      <w:r>
        <w:rPr>
          <w:rFonts w:ascii="Century Gothic" w:hAnsi="Century Gothic" w:cs="Arial"/>
          <w:sz w:val="24"/>
          <w:szCs w:val="24"/>
        </w:rPr>
        <w:t xml:space="preserve">Bogotá D.C., 26 de agosto </w:t>
      </w:r>
      <w:r w:rsidRPr="00742D59">
        <w:rPr>
          <w:rFonts w:ascii="Century Gothic" w:hAnsi="Century Gothic" w:cs="Arial"/>
          <w:sz w:val="24"/>
          <w:szCs w:val="24"/>
        </w:rPr>
        <w:t>de 2019</w:t>
      </w:r>
    </w:p>
    <w:p w14:paraId="4574659A" w14:textId="77777777" w:rsidR="0087769D" w:rsidRPr="00742D59" w:rsidRDefault="0087769D" w:rsidP="0087769D">
      <w:pPr>
        <w:ind w:right="-142"/>
        <w:contextualSpacing/>
        <w:jc w:val="both"/>
        <w:rPr>
          <w:rFonts w:ascii="Century Gothic" w:hAnsi="Century Gothic" w:cs="Arial"/>
          <w:sz w:val="24"/>
          <w:szCs w:val="24"/>
        </w:rPr>
      </w:pPr>
    </w:p>
    <w:p w14:paraId="1D6A9199" w14:textId="77777777" w:rsidR="0087769D" w:rsidRPr="008E5C40" w:rsidRDefault="0087769D" w:rsidP="0087769D">
      <w:pPr>
        <w:ind w:right="-142"/>
        <w:contextualSpacing/>
        <w:jc w:val="both"/>
        <w:rPr>
          <w:rFonts w:ascii="Century Gothic" w:hAnsi="Century Gothic" w:cs="Arial"/>
          <w:szCs w:val="24"/>
        </w:rPr>
      </w:pPr>
      <w:r w:rsidRPr="008E5C40">
        <w:rPr>
          <w:rFonts w:ascii="Century Gothic" w:hAnsi="Century Gothic" w:cs="Arial"/>
          <w:b/>
          <w:szCs w:val="24"/>
        </w:rPr>
        <w:t xml:space="preserve">Radicación número: </w:t>
      </w:r>
      <w:r w:rsidRPr="008E5C40">
        <w:rPr>
          <w:rFonts w:ascii="Century Gothic" w:hAnsi="Century Gothic" w:cs="Arial"/>
          <w:b/>
          <w:szCs w:val="24"/>
        </w:rPr>
        <w:tab/>
      </w:r>
      <w:r>
        <w:rPr>
          <w:rFonts w:ascii="Century Gothic" w:hAnsi="Century Gothic" w:cs="Arial"/>
          <w:szCs w:val="24"/>
        </w:rPr>
        <w:t>15001-33-31-005-2007-00580-01 (44.170</w:t>
      </w:r>
      <w:r w:rsidRPr="008E5C40">
        <w:rPr>
          <w:rFonts w:ascii="Century Gothic" w:hAnsi="Century Gothic" w:cs="Arial"/>
          <w:szCs w:val="24"/>
        </w:rPr>
        <w:t>)</w:t>
      </w:r>
    </w:p>
    <w:p w14:paraId="1C606D75" w14:textId="77777777" w:rsidR="0087769D" w:rsidRPr="008E5C40" w:rsidRDefault="0087769D" w:rsidP="0087769D">
      <w:pPr>
        <w:ind w:left="2832" w:right="-142" w:hanging="2832"/>
        <w:contextualSpacing/>
        <w:jc w:val="both"/>
        <w:rPr>
          <w:rFonts w:ascii="Century Gothic" w:hAnsi="Century Gothic" w:cs="Arial"/>
          <w:szCs w:val="24"/>
        </w:rPr>
      </w:pPr>
      <w:r w:rsidRPr="008E5C40">
        <w:rPr>
          <w:rFonts w:ascii="Century Gothic" w:hAnsi="Century Gothic" w:cs="Arial"/>
          <w:b/>
          <w:szCs w:val="24"/>
        </w:rPr>
        <w:t xml:space="preserve">Actor: </w:t>
      </w:r>
      <w:r w:rsidRPr="008E5C40">
        <w:rPr>
          <w:rFonts w:ascii="Century Gothic" w:hAnsi="Century Gothic" w:cs="Arial"/>
          <w:b/>
          <w:szCs w:val="24"/>
        </w:rPr>
        <w:tab/>
      </w:r>
      <w:r>
        <w:rPr>
          <w:rFonts w:ascii="Century Gothic" w:hAnsi="Century Gothic" w:cs="Arial"/>
          <w:szCs w:val="24"/>
        </w:rPr>
        <w:t>Consorcio ICM Ingenieros Ltda. – Suárez y Silva Ingenieros Contratistas</w:t>
      </w:r>
    </w:p>
    <w:p w14:paraId="3A53D0EF" w14:textId="77777777" w:rsidR="0087769D" w:rsidRPr="008E5C40" w:rsidRDefault="0087769D" w:rsidP="0087769D">
      <w:pPr>
        <w:ind w:left="2832" w:right="-142" w:hanging="2832"/>
        <w:contextualSpacing/>
        <w:jc w:val="both"/>
        <w:rPr>
          <w:rFonts w:ascii="Century Gothic" w:hAnsi="Century Gothic" w:cs="Arial"/>
          <w:szCs w:val="24"/>
        </w:rPr>
      </w:pPr>
      <w:r>
        <w:rPr>
          <w:rFonts w:ascii="Century Gothic" w:hAnsi="Century Gothic" w:cs="Arial"/>
          <w:b/>
          <w:szCs w:val="24"/>
        </w:rPr>
        <w:t xml:space="preserve">Demandado: </w:t>
      </w:r>
      <w:r>
        <w:rPr>
          <w:rFonts w:ascii="Century Gothic" w:hAnsi="Century Gothic" w:cs="Arial"/>
          <w:b/>
          <w:szCs w:val="24"/>
        </w:rPr>
        <w:tab/>
      </w:r>
      <w:r>
        <w:rPr>
          <w:rFonts w:ascii="Century Gothic" w:hAnsi="Century Gothic" w:cs="Arial"/>
          <w:szCs w:val="24"/>
        </w:rPr>
        <w:t>Departamento de Boyacá</w:t>
      </w:r>
      <w:r w:rsidRPr="008E5C40">
        <w:rPr>
          <w:rFonts w:ascii="Century Gothic" w:hAnsi="Century Gothic" w:cs="Arial"/>
          <w:szCs w:val="24"/>
        </w:rPr>
        <w:t xml:space="preserve"> </w:t>
      </w:r>
    </w:p>
    <w:p w14:paraId="3C8339D7" w14:textId="77777777" w:rsidR="0087769D" w:rsidRPr="008E5C40" w:rsidRDefault="0087769D" w:rsidP="0087769D">
      <w:pPr>
        <w:ind w:right="-142"/>
        <w:contextualSpacing/>
        <w:jc w:val="both"/>
        <w:rPr>
          <w:rFonts w:ascii="Century Gothic" w:hAnsi="Century Gothic" w:cs="Arial"/>
          <w:szCs w:val="24"/>
        </w:rPr>
      </w:pPr>
      <w:r w:rsidRPr="008E5C40">
        <w:rPr>
          <w:rFonts w:ascii="Century Gothic" w:hAnsi="Century Gothic" w:cs="Arial"/>
          <w:b/>
          <w:szCs w:val="24"/>
        </w:rPr>
        <w:t xml:space="preserve">Referencia: </w:t>
      </w:r>
      <w:r w:rsidRPr="008E5C40">
        <w:rPr>
          <w:rFonts w:ascii="Century Gothic" w:hAnsi="Century Gothic" w:cs="Arial"/>
          <w:b/>
          <w:szCs w:val="24"/>
        </w:rPr>
        <w:tab/>
      </w:r>
      <w:r w:rsidRPr="008E5C40">
        <w:rPr>
          <w:rFonts w:ascii="Century Gothic" w:hAnsi="Century Gothic" w:cs="Arial"/>
          <w:b/>
          <w:szCs w:val="24"/>
        </w:rPr>
        <w:tab/>
      </w:r>
      <w:r w:rsidRPr="008E5C40">
        <w:rPr>
          <w:rFonts w:ascii="Century Gothic" w:hAnsi="Century Gothic" w:cs="Arial"/>
          <w:b/>
          <w:szCs w:val="24"/>
        </w:rPr>
        <w:tab/>
      </w:r>
      <w:r w:rsidRPr="008E5C40">
        <w:rPr>
          <w:rFonts w:ascii="Century Gothic" w:hAnsi="Century Gothic" w:cs="Arial"/>
          <w:szCs w:val="24"/>
        </w:rPr>
        <w:t xml:space="preserve">Controversias contractuales </w:t>
      </w:r>
    </w:p>
    <w:p w14:paraId="114EBEDB" w14:textId="77777777" w:rsidR="0087769D" w:rsidRPr="003F2531" w:rsidRDefault="0087769D" w:rsidP="0087769D">
      <w:pPr>
        <w:ind w:right="-142"/>
        <w:contextualSpacing/>
        <w:jc w:val="both"/>
        <w:rPr>
          <w:rFonts w:ascii="Century Gothic" w:hAnsi="Century Gothic" w:cs="Arial"/>
        </w:rPr>
      </w:pPr>
    </w:p>
    <w:p w14:paraId="14FC918E" w14:textId="77777777" w:rsidR="0087769D" w:rsidRDefault="0087769D" w:rsidP="0087769D">
      <w:pPr>
        <w:ind w:right="-142"/>
        <w:contextualSpacing/>
        <w:jc w:val="both"/>
        <w:rPr>
          <w:rFonts w:ascii="Century Gothic" w:hAnsi="Century Gothic" w:cs="Arial"/>
          <w:sz w:val="20"/>
        </w:rPr>
      </w:pPr>
      <w:r w:rsidRPr="000A2589">
        <w:rPr>
          <w:rFonts w:ascii="Century Gothic" w:hAnsi="Century Gothic" w:cs="Arial"/>
          <w:sz w:val="20"/>
        </w:rPr>
        <w:t>Temas:</w:t>
      </w:r>
      <w:r w:rsidRPr="008369FE">
        <w:rPr>
          <w:rFonts w:ascii="Century Gothic" w:hAnsi="Century Gothic" w:cs="Arial"/>
          <w:sz w:val="20"/>
        </w:rPr>
        <w:t xml:space="preserve"> co</w:t>
      </w:r>
      <w:r>
        <w:rPr>
          <w:rFonts w:ascii="Century Gothic" w:hAnsi="Century Gothic" w:cs="Arial"/>
          <w:sz w:val="20"/>
        </w:rPr>
        <w:t>ntroversias contractuales</w:t>
      </w:r>
      <w:r w:rsidRPr="00AC7AD8">
        <w:rPr>
          <w:rFonts w:ascii="Century Gothic" w:hAnsi="Century Gothic" w:cs="Arial"/>
          <w:sz w:val="20"/>
        </w:rPr>
        <w:t xml:space="preserve"> –</w:t>
      </w:r>
      <w:r>
        <w:rPr>
          <w:rFonts w:ascii="Century Gothic" w:hAnsi="Century Gothic" w:cs="Arial"/>
          <w:sz w:val="20"/>
        </w:rPr>
        <w:t xml:space="preserve"> declaratoria del siniestro – falsa motivación</w:t>
      </w:r>
    </w:p>
    <w:p w14:paraId="3868BEB1" w14:textId="77777777" w:rsidR="0087769D" w:rsidRPr="008369FE" w:rsidRDefault="0087769D" w:rsidP="0087769D">
      <w:pPr>
        <w:ind w:right="-142"/>
        <w:contextualSpacing/>
        <w:jc w:val="both"/>
        <w:rPr>
          <w:rFonts w:ascii="Century Gothic" w:hAnsi="Century Gothic" w:cs="Arial"/>
          <w:sz w:val="20"/>
        </w:rPr>
      </w:pPr>
    </w:p>
    <w:p w14:paraId="2568586E" w14:textId="77777777" w:rsidR="0087769D" w:rsidRDefault="0087769D" w:rsidP="0087769D">
      <w:pPr>
        <w:ind w:right="-142"/>
        <w:contextualSpacing/>
        <w:jc w:val="both"/>
        <w:rPr>
          <w:rFonts w:ascii="Century Gothic" w:hAnsi="Century Gothic" w:cs="Arial"/>
          <w:sz w:val="20"/>
        </w:rPr>
      </w:pPr>
      <w:r w:rsidRPr="000A2589">
        <w:rPr>
          <w:rFonts w:ascii="Century Gothic" w:hAnsi="Century Gothic" w:cs="Arial"/>
          <w:sz w:val="20"/>
        </w:rPr>
        <w:t>Síntesis:</w:t>
      </w:r>
      <w:r w:rsidRPr="008369FE">
        <w:rPr>
          <w:rFonts w:ascii="Century Gothic" w:hAnsi="Century Gothic" w:cs="Arial"/>
          <w:b/>
          <w:sz w:val="20"/>
        </w:rPr>
        <w:t xml:space="preserve"> </w:t>
      </w:r>
      <w:r>
        <w:rPr>
          <w:rFonts w:ascii="Century Gothic" w:hAnsi="Century Gothic" w:cs="Arial"/>
          <w:sz w:val="20"/>
        </w:rPr>
        <w:t xml:space="preserve">El consorcio demandante suscribió con el Departamento de Boyacá un contrato que tenía como objeto el mantenimiento de la vía </w:t>
      </w:r>
      <w:proofErr w:type="spellStart"/>
      <w:r>
        <w:rPr>
          <w:rFonts w:ascii="Century Gothic" w:hAnsi="Century Gothic" w:cs="Arial"/>
          <w:sz w:val="20"/>
        </w:rPr>
        <w:t>Chinavita</w:t>
      </w:r>
      <w:proofErr w:type="spellEnd"/>
      <w:r>
        <w:rPr>
          <w:rFonts w:ascii="Century Gothic" w:hAnsi="Century Gothic" w:cs="Arial"/>
          <w:sz w:val="20"/>
        </w:rPr>
        <w:t xml:space="preserve"> – Garagoa. Luego de finalizado el contrato, la vía objeto del mismo presentó varios problemas, motivo por el cual el Departamento de Boyacá declaró la ocurrencia del siniestro de estabilidad de la obra. El contratista interpuso recurso de reposición frente a la anterior decisión. La declaratoria del siniestro fue confirmada posteriormente. En la demanda, el contratista solicitó que se declarara la nulidad de las referidas resoluciones por violación del debido proceso y falsa motivación y que, a título de restablecimiento del derecho, se condenara a la entidad al pago de los perjuicios materiales ocasionados por la expedición de esos actos administrativos. </w:t>
      </w:r>
    </w:p>
    <w:p w14:paraId="2F153C6B" w14:textId="77777777" w:rsidR="0087769D" w:rsidRDefault="0087769D" w:rsidP="0087769D">
      <w:pPr>
        <w:spacing w:line="360" w:lineRule="auto"/>
        <w:ind w:right="-142"/>
        <w:contextualSpacing/>
        <w:jc w:val="both"/>
        <w:rPr>
          <w:rFonts w:ascii="Century Gothic" w:hAnsi="Century Gothic" w:cs="Arial"/>
          <w:sz w:val="24"/>
          <w:szCs w:val="24"/>
        </w:rPr>
      </w:pPr>
    </w:p>
    <w:p w14:paraId="5CBBA126" w14:textId="77777777" w:rsidR="0087769D" w:rsidRPr="00D34179" w:rsidRDefault="0087769D" w:rsidP="0087769D">
      <w:pPr>
        <w:spacing w:line="360" w:lineRule="auto"/>
        <w:ind w:right="-142"/>
        <w:contextualSpacing/>
        <w:jc w:val="both"/>
        <w:rPr>
          <w:rFonts w:ascii="Century Gothic" w:hAnsi="Century Gothic" w:cs="Arial"/>
          <w:sz w:val="24"/>
          <w:szCs w:val="24"/>
        </w:rPr>
      </w:pPr>
      <w:r w:rsidRPr="00D34179">
        <w:rPr>
          <w:rFonts w:ascii="Century Gothic" w:hAnsi="Century Gothic" w:cs="Arial"/>
          <w:sz w:val="24"/>
          <w:szCs w:val="24"/>
        </w:rPr>
        <w:t>Decide la Sala el recurso de apelación interpuesto por</w:t>
      </w:r>
      <w:r>
        <w:rPr>
          <w:rFonts w:ascii="Century Gothic" w:hAnsi="Century Gothic" w:cs="Arial"/>
          <w:sz w:val="24"/>
          <w:szCs w:val="24"/>
        </w:rPr>
        <w:t xml:space="preserve"> la parte demandante contra la S</w:t>
      </w:r>
      <w:r w:rsidRPr="00D34179">
        <w:rPr>
          <w:rFonts w:ascii="Century Gothic" w:hAnsi="Century Gothic" w:cs="Arial"/>
          <w:sz w:val="24"/>
          <w:szCs w:val="24"/>
        </w:rPr>
        <w:t>entencia proferida por el Tribunal Admi</w:t>
      </w:r>
      <w:r>
        <w:rPr>
          <w:rFonts w:ascii="Century Gothic" w:hAnsi="Century Gothic" w:cs="Arial"/>
          <w:sz w:val="24"/>
          <w:szCs w:val="24"/>
        </w:rPr>
        <w:t>nistrativo de Casanare el 15 de diciembre de 2011</w:t>
      </w:r>
      <w:r w:rsidRPr="00D34179">
        <w:rPr>
          <w:rFonts w:ascii="Century Gothic" w:hAnsi="Century Gothic" w:cs="Arial"/>
          <w:sz w:val="24"/>
          <w:szCs w:val="24"/>
        </w:rPr>
        <w:t>, mediante la cual se decidió</w:t>
      </w:r>
      <w:r>
        <w:rPr>
          <w:rFonts w:ascii="Century Gothic" w:hAnsi="Century Gothic" w:cs="Arial"/>
          <w:sz w:val="24"/>
          <w:szCs w:val="24"/>
        </w:rPr>
        <w:t xml:space="preserve"> (se trascribe)</w:t>
      </w:r>
      <w:r w:rsidRPr="00D34179">
        <w:rPr>
          <w:rFonts w:ascii="Century Gothic" w:hAnsi="Century Gothic" w:cs="Arial"/>
          <w:sz w:val="24"/>
          <w:szCs w:val="24"/>
        </w:rPr>
        <w:t>:</w:t>
      </w:r>
    </w:p>
    <w:p w14:paraId="25220533" w14:textId="77777777" w:rsidR="0087769D" w:rsidRPr="00D34179" w:rsidRDefault="0087769D" w:rsidP="0087769D">
      <w:pPr>
        <w:spacing w:line="360" w:lineRule="auto"/>
        <w:ind w:right="-142"/>
        <w:contextualSpacing/>
        <w:jc w:val="both"/>
        <w:rPr>
          <w:rFonts w:ascii="Century Gothic" w:hAnsi="Century Gothic" w:cs="Arial"/>
          <w:i/>
          <w:iCs/>
          <w:sz w:val="24"/>
          <w:szCs w:val="24"/>
        </w:rPr>
      </w:pPr>
    </w:p>
    <w:p w14:paraId="252E3990" w14:textId="77777777" w:rsidR="0087769D" w:rsidRDefault="0087769D" w:rsidP="0087769D">
      <w:pPr>
        <w:ind w:left="567" w:right="567"/>
        <w:contextualSpacing/>
        <w:jc w:val="both"/>
        <w:rPr>
          <w:rFonts w:ascii="Century Gothic" w:hAnsi="Century Gothic" w:cs="Arial"/>
          <w:i/>
          <w:szCs w:val="24"/>
        </w:rPr>
      </w:pPr>
      <w:r w:rsidRPr="00206A6D">
        <w:rPr>
          <w:rFonts w:ascii="Century Gothic" w:hAnsi="Century Gothic" w:cs="Arial"/>
          <w:szCs w:val="24"/>
        </w:rPr>
        <w:t>“</w:t>
      </w:r>
      <w:r>
        <w:rPr>
          <w:rFonts w:ascii="Century Gothic" w:hAnsi="Century Gothic" w:cs="Arial"/>
          <w:i/>
          <w:szCs w:val="24"/>
        </w:rPr>
        <w:t>PRIMERO: NEGAR las pretensiones de la demanda por las razones indicadas en la parte considerativa.</w:t>
      </w:r>
    </w:p>
    <w:p w14:paraId="79632073" w14:textId="77777777" w:rsidR="0087769D" w:rsidRDefault="0087769D" w:rsidP="0087769D">
      <w:pPr>
        <w:ind w:left="567" w:right="567"/>
        <w:contextualSpacing/>
        <w:jc w:val="both"/>
        <w:rPr>
          <w:rFonts w:ascii="Century Gothic" w:hAnsi="Century Gothic" w:cs="Arial"/>
          <w:i/>
          <w:szCs w:val="24"/>
        </w:rPr>
      </w:pPr>
      <w:r>
        <w:rPr>
          <w:rFonts w:ascii="Century Gothic" w:hAnsi="Century Gothic" w:cs="Arial"/>
          <w:i/>
          <w:szCs w:val="24"/>
        </w:rPr>
        <w:t>SEGUNDO: NO CONDENAR en costas en esta instancia.</w:t>
      </w:r>
    </w:p>
    <w:p w14:paraId="6AE0E57E" w14:textId="77777777" w:rsidR="0087769D" w:rsidRPr="00F15712" w:rsidRDefault="0087769D" w:rsidP="0087769D">
      <w:pPr>
        <w:ind w:left="567" w:right="567"/>
        <w:contextualSpacing/>
        <w:jc w:val="both"/>
        <w:rPr>
          <w:rFonts w:ascii="Century Gothic" w:hAnsi="Century Gothic" w:cs="Arial"/>
          <w:i/>
          <w:szCs w:val="24"/>
        </w:rPr>
      </w:pPr>
      <w:r>
        <w:rPr>
          <w:rFonts w:ascii="Century Gothic" w:hAnsi="Century Gothic" w:cs="Arial"/>
          <w:i/>
          <w:szCs w:val="24"/>
        </w:rPr>
        <w:t>TERCERO: Suscrito el fallo, ORDENAR que la Secretaría de esta Corporación lo remita inmediatamente y conjuntamente con el expediente al despacho de origen, acorde con lo dispuesto en el Acuerdo 8152 del año en curso, emitido por la Sala Administrativa del Consejo Superior de la Judicatura y la Resolución No. 45 de 2011 emanada de la Presidencia del Tribunal Administrativo de Casanare, para que se surtan la notificación y demás actuaciones posteriores a que haya lugar. Déjese copia auténtica de la sentencia en el archivo institucional”.</w:t>
      </w:r>
    </w:p>
    <w:p w14:paraId="50D10D95" w14:textId="77777777" w:rsidR="0087769D" w:rsidRDefault="0087769D" w:rsidP="0087769D">
      <w:pPr>
        <w:spacing w:line="360" w:lineRule="auto"/>
        <w:ind w:right="-142"/>
        <w:contextualSpacing/>
        <w:jc w:val="both"/>
        <w:rPr>
          <w:rFonts w:ascii="Century Gothic" w:hAnsi="Century Gothic" w:cs="Arial"/>
          <w:sz w:val="20"/>
          <w:szCs w:val="24"/>
        </w:rPr>
      </w:pPr>
      <w:r>
        <w:rPr>
          <w:rFonts w:ascii="Century Gothic" w:hAnsi="Century Gothic" w:cs="Arial"/>
          <w:sz w:val="20"/>
          <w:szCs w:val="24"/>
        </w:rPr>
        <w:t>Contenido: 1. Antecedentes – 2. Consideraciones – 3. Decisión</w:t>
      </w:r>
    </w:p>
    <w:p w14:paraId="7F02DBE0" w14:textId="77777777" w:rsidR="0087769D" w:rsidRPr="00B87806" w:rsidRDefault="0087769D" w:rsidP="0087769D">
      <w:pPr>
        <w:spacing w:line="360" w:lineRule="auto"/>
        <w:ind w:right="-142"/>
        <w:contextualSpacing/>
        <w:jc w:val="both"/>
        <w:rPr>
          <w:rFonts w:ascii="Century Gothic" w:hAnsi="Century Gothic" w:cs="Arial"/>
          <w:sz w:val="20"/>
          <w:szCs w:val="24"/>
        </w:rPr>
      </w:pPr>
    </w:p>
    <w:p w14:paraId="2BBA1CE8" w14:textId="77777777" w:rsidR="0087769D" w:rsidRPr="00D34179" w:rsidRDefault="0087769D" w:rsidP="0087769D">
      <w:pPr>
        <w:spacing w:line="360" w:lineRule="auto"/>
        <w:ind w:right="-142"/>
        <w:contextualSpacing/>
        <w:jc w:val="center"/>
        <w:rPr>
          <w:rFonts w:ascii="Century Gothic" w:hAnsi="Century Gothic" w:cs="Arial"/>
          <w:b/>
          <w:sz w:val="24"/>
          <w:szCs w:val="24"/>
        </w:rPr>
      </w:pPr>
      <w:r>
        <w:rPr>
          <w:rFonts w:ascii="Century Gothic" w:hAnsi="Century Gothic" w:cs="Arial"/>
          <w:b/>
          <w:sz w:val="24"/>
          <w:szCs w:val="24"/>
        </w:rPr>
        <w:t>1</w:t>
      </w:r>
      <w:r w:rsidRPr="00D34179">
        <w:rPr>
          <w:rFonts w:ascii="Century Gothic" w:hAnsi="Century Gothic" w:cs="Arial"/>
          <w:b/>
          <w:sz w:val="24"/>
          <w:szCs w:val="24"/>
        </w:rPr>
        <w:t>.- ANTECEDENTES</w:t>
      </w:r>
    </w:p>
    <w:p w14:paraId="1DF3C5ED" w14:textId="77777777" w:rsidR="0087769D" w:rsidRDefault="0087769D" w:rsidP="0087769D">
      <w:pPr>
        <w:spacing w:line="360" w:lineRule="auto"/>
        <w:ind w:right="-142"/>
        <w:contextualSpacing/>
        <w:jc w:val="center"/>
        <w:rPr>
          <w:rFonts w:ascii="Century Gothic" w:hAnsi="Century Gothic" w:cs="Arial"/>
          <w:b/>
          <w:sz w:val="24"/>
          <w:szCs w:val="24"/>
        </w:rPr>
      </w:pPr>
    </w:p>
    <w:p w14:paraId="2BFCE02D" w14:textId="77777777" w:rsidR="0087769D" w:rsidRPr="00DA5243" w:rsidRDefault="0087769D" w:rsidP="0087769D">
      <w:pPr>
        <w:ind w:right="-142"/>
        <w:contextualSpacing/>
        <w:jc w:val="both"/>
        <w:rPr>
          <w:rFonts w:ascii="Century Gothic" w:hAnsi="Century Gothic" w:cs="Arial"/>
          <w:sz w:val="20"/>
          <w:szCs w:val="24"/>
        </w:rPr>
      </w:pPr>
      <w:r>
        <w:rPr>
          <w:rFonts w:ascii="Century Gothic" w:hAnsi="Century Gothic" w:cs="Arial"/>
          <w:sz w:val="20"/>
          <w:szCs w:val="24"/>
        </w:rPr>
        <w:t>Contenido: 1.1. La demanda y su trámite en primera instancia - 1.2. El recurso de apelación y su trámite en segunda instancia</w:t>
      </w:r>
    </w:p>
    <w:p w14:paraId="1F30F857" w14:textId="77777777" w:rsidR="0087769D" w:rsidRPr="004B4E4E" w:rsidRDefault="0087769D" w:rsidP="0087769D">
      <w:pPr>
        <w:spacing w:line="360" w:lineRule="auto"/>
        <w:ind w:right="-142"/>
        <w:contextualSpacing/>
        <w:jc w:val="both"/>
        <w:rPr>
          <w:rFonts w:ascii="Century Gothic" w:hAnsi="Century Gothic" w:cs="Arial"/>
          <w:sz w:val="24"/>
          <w:szCs w:val="24"/>
        </w:rPr>
      </w:pPr>
    </w:p>
    <w:p w14:paraId="34B3DADA" w14:textId="77777777" w:rsidR="0087769D" w:rsidRPr="00D34179" w:rsidRDefault="0087769D" w:rsidP="0087769D">
      <w:pPr>
        <w:spacing w:line="360" w:lineRule="auto"/>
        <w:ind w:right="-142"/>
        <w:contextualSpacing/>
        <w:jc w:val="both"/>
        <w:rPr>
          <w:rFonts w:ascii="Century Gothic" w:hAnsi="Century Gothic" w:cs="Arial"/>
          <w:b/>
          <w:sz w:val="24"/>
          <w:szCs w:val="24"/>
        </w:rPr>
      </w:pPr>
      <w:r>
        <w:rPr>
          <w:rFonts w:ascii="Century Gothic" w:hAnsi="Century Gothic" w:cs="Arial"/>
          <w:b/>
          <w:sz w:val="24"/>
          <w:szCs w:val="24"/>
        </w:rPr>
        <w:t xml:space="preserve">1.1. </w:t>
      </w:r>
      <w:r w:rsidRPr="00D34179">
        <w:rPr>
          <w:rFonts w:ascii="Century Gothic" w:hAnsi="Century Gothic" w:cs="Arial"/>
          <w:b/>
          <w:sz w:val="24"/>
          <w:szCs w:val="24"/>
        </w:rPr>
        <w:t xml:space="preserve">La demanda </w:t>
      </w:r>
      <w:r>
        <w:rPr>
          <w:rFonts w:ascii="Century Gothic" w:hAnsi="Century Gothic" w:cs="Arial"/>
          <w:b/>
          <w:sz w:val="24"/>
          <w:szCs w:val="24"/>
        </w:rPr>
        <w:t>y su trámite en primera instancia</w:t>
      </w:r>
    </w:p>
    <w:p w14:paraId="72DFAE57" w14:textId="77777777" w:rsidR="0087769D" w:rsidRPr="00791398" w:rsidRDefault="0087769D" w:rsidP="0087769D">
      <w:pPr>
        <w:spacing w:line="360" w:lineRule="auto"/>
        <w:ind w:right="-142"/>
        <w:contextualSpacing/>
        <w:jc w:val="both"/>
        <w:rPr>
          <w:rFonts w:ascii="Century Gothic" w:hAnsi="Century Gothic" w:cs="Arial"/>
          <w:b/>
          <w:sz w:val="24"/>
          <w:szCs w:val="24"/>
        </w:rPr>
      </w:pPr>
    </w:p>
    <w:p w14:paraId="0A3034F2" w14:textId="77777777" w:rsidR="0087769D" w:rsidRDefault="0087769D" w:rsidP="0087769D">
      <w:pPr>
        <w:widowControl w:val="0"/>
        <w:autoSpaceDE w:val="0"/>
        <w:autoSpaceDN w:val="0"/>
        <w:adjustRightInd w:val="0"/>
        <w:spacing w:line="360" w:lineRule="auto"/>
        <w:ind w:right="-142"/>
        <w:contextualSpacing/>
        <w:jc w:val="both"/>
        <w:rPr>
          <w:rFonts w:ascii="Century Gothic" w:hAnsi="Century Gothic" w:cs="Arial"/>
          <w:sz w:val="24"/>
          <w:szCs w:val="24"/>
        </w:rPr>
      </w:pPr>
      <w:r w:rsidRPr="00791398">
        <w:rPr>
          <w:rFonts w:ascii="Century Gothic" w:hAnsi="Century Gothic" w:cs="Arial"/>
          <w:sz w:val="24"/>
          <w:szCs w:val="24"/>
        </w:rPr>
        <w:t>1</w:t>
      </w:r>
      <w:r>
        <w:rPr>
          <w:rFonts w:ascii="Century Gothic" w:hAnsi="Century Gothic" w:cs="Arial"/>
          <w:sz w:val="24"/>
          <w:szCs w:val="24"/>
        </w:rPr>
        <w:t xml:space="preserve">. El 6 de junio de 2007 el </w:t>
      </w:r>
      <w:r>
        <w:rPr>
          <w:rFonts w:ascii="Century Gothic" w:hAnsi="Century Gothic" w:cs="Arial"/>
          <w:sz w:val="24"/>
          <w:szCs w:val="24"/>
          <w:u w:val="single"/>
        </w:rPr>
        <w:t>Consorcio ICM Ingenieros Ltda. – Suárez y Silva Ingenieros Contratistas</w:t>
      </w:r>
      <w:r w:rsidRPr="00F56F12">
        <w:rPr>
          <w:rFonts w:ascii="Century Gothic" w:hAnsi="Century Gothic" w:cs="Arial"/>
          <w:sz w:val="24"/>
          <w:szCs w:val="24"/>
        </w:rPr>
        <w:t xml:space="preserve"> </w:t>
      </w:r>
      <w:r>
        <w:rPr>
          <w:rFonts w:ascii="Century Gothic" w:hAnsi="Century Gothic" w:cs="Arial"/>
          <w:sz w:val="24"/>
          <w:szCs w:val="24"/>
        </w:rPr>
        <w:t xml:space="preserve">presentó </w:t>
      </w:r>
      <w:r w:rsidRPr="00E44CF3">
        <w:rPr>
          <w:rFonts w:ascii="Century Gothic" w:hAnsi="Century Gothic" w:cs="Arial"/>
          <w:b/>
          <w:sz w:val="24"/>
          <w:szCs w:val="24"/>
        </w:rPr>
        <w:t>demanda</w:t>
      </w:r>
      <w:r>
        <w:rPr>
          <w:rFonts w:ascii="Century Gothic" w:hAnsi="Century Gothic" w:cs="Arial"/>
          <w:sz w:val="24"/>
          <w:szCs w:val="24"/>
        </w:rPr>
        <w:t xml:space="preserve"> en contra del </w:t>
      </w:r>
      <w:r>
        <w:rPr>
          <w:rFonts w:ascii="Century Gothic" w:hAnsi="Century Gothic" w:cs="Arial"/>
          <w:sz w:val="24"/>
          <w:szCs w:val="24"/>
          <w:u w:val="single"/>
        </w:rPr>
        <w:t>Departamento de Boyacá</w:t>
      </w:r>
      <w:r>
        <w:rPr>
          <w:rFonts w:ascii="Century Gothic" w:hAnsi="Century Gothic" w:cs="Arial"/>
          <w:sz w:val="24"/>
          <w:szCs w:val="24"/>
        </w:rPr>
        <w:t>,</w:t>
      </w:r>
      <w:r w:rsidRPr="00D34179">
        <w:rPr>
          <w:rFonts w:ascii="Century Gothic" w:hAnsi="Century Gothic" w:cs="Arial"/>
          <w:sz w:val="24"/>
          <w:szCs w:val="24"/>
        </w:rPr>
        <w:t xml:space="preserve"> en cuyas pretensiones solicitó que se hicieran las siguientes declaraciones y condenas</w:t>
      </w:r>
      <w:r>
        <w:rPr>
          <w:rFonts w:ascii="Century Gothic" w:hAnsi="Century Gothic" w:cs="Arial"/>
          <w:sz w:val="24"/>
          <w:szCs w:val="24"/>
        </w:rPr>
        <w:t xml:space="preserve"> (se trascribe)</w:t>
      </w:r>
      <w:r w:rsidRPr="00D34179">
        <w:rPr>
          <w:rFonts w:ascii="Century Gothic" w:hAnsi="Century Gothic" w:cs="Arial"/>
          <w:sz w:val="24"/>
          <w:szCs w:val="24"/>
          <w:vertAlign w:val="superscript"/>
        </w:rPr>
        <w:footnoteReference w:id="1"/>
      </w:r>
      <w:r w:rsidRPr="00D34179">
        <w:rPr>
          <w:rFonts w:ascii="Century Gothic" w:hAnsi="Century Gothic" w:cs="Arial"/>
          <w:sz w:val="24"/>
          <w:szCs w:val="24"/>
        </w:rPr>
        <w:t>:</w:t>
      </w:r>
      <w:r>
        <w:rPr>
          <w:rFonts w:ascii="Century Gothic" w:hAnsi="Century Gothic" w:cs="Arial"/>
          <w:sz w:val="24"/>
          <w:szCs w:val="24"/>
        </w:rPr>
        <w:t xml:space="preserve"> </w:t>
      </w:r>
    </w:p>
    <w:p w14:paraId="766BECC5" w14:textId="77777777" w:rsidR="0087769D" w:rsidRDefault="0087769D" w:rsidP="0087769D">
      <w:pPr>
        <w:widowControl w:val="0"/>
        <w:autoSpaceDE w:val="0"/>
        <w:autoSpaceDN w:val="0"/>
        <w:adjustRightInd w:val="0"/>
        <w:spacing w:line="360" w:lineRule="auto"/>
        <w:ind w:right="-142"/>
        <w:contextualSpacing/>
        <w:jc w:val="both"/>
        <w:rPr>
          <w:rFonts w:ascii="Century Gothic" w:hAnsi="Century Gothic" w:cs="Arial"/>
          <w:sz w:val="24"/>
          <w:szCs w:val="24"/>
        </w:rPr>
      </w:pPr>
    </w:p>
    <w:p w14:paraId="25673F00" w14:textId="77777777" w:rsidR="0087769D" w:rsidRDefault="0087769D" w:rsidP="0087769D">
      <w:pPr>
        <w:ind w:left="567" w:right="567"/>
        <w:contextualSpacing/>
        <w:jc w:val="both"/>
        <w:rPr>
          <w:rFonts w:ascii="Century Gothic" w:hAnsi="Century Gothic" w:cs="Arial"/>
          <w:i/>
          <w:szCs w:val="24"/>
        </w:rPr>
      </w:pPr>
      <w:r>
        <w:rPr>
          <w:rFonts w:ascii="Century Gothic" w:hAnsi="Century Gothic" w:cs="Arial"/>
          <w:i/>
          <w:szCs w:val="24"/>
        </w:rPr>
        <w:t>“1. Se declaren nulos los siguientes actos administrativos:</w:t>
      </w:r>
    </w:p>
    <w:p w14:paraId="04E8992D" w14:textId="77777777" w:rsidR="0087769D" w:rsidRDefault="0087769D" w:rsidP="0087769D">
      <w:pPr>
        <w:ind w:left="567" w:right="567"/>
        <w:contextualSpacing/>
        <w:jc w:val="both"/>
        <w:rPr>
          <w:rFonts w:ascii="Century Gothic" w:hAnsi="Century Gothic" w:cs="Arial"/>
          <w:i/>
          <w:szCs w:val="24"/>
        </w:rPr>
      </w:pPr>
      <w:r>
        <w:rPr>
          <w:rFonts w:ascii="Century Gothic" w:hAnsi="Century Gothic" w:cs="Arial"/>
          <w:i/>
          <w:szCs w:val="24"/>
        </w:rPr>
        <w:t>1.1. Resolución No. 000185 del 11 de mayo de 2004 por medio de la cual se declara la ocurrencia de un siniestro del contrato de obra No. 0084 de 2000, acto administrativo suscrito por el Secretario de Hacienda del Departamento de Boyacá.</w:t>
      </w:r>
    </w:p>
    <w:p w14:paraId="6A491356" w14:textId="77777777" w:rsidR="0087769D" w:rsidRDefault="0087769D" w:rsidP="0087769D">
      <w:pPr>
        <w:ind w:left="567" w:right="567"/>
        <w:contextualSpacing/>
        <w:jc w:val="both"/>
        <w:rPr>
          <w:rFonts w:ascii="Century Gothic" w:hAnsi="Century Gothic" w:cs="Arial"/>
          <w:i/>
          <w:szCs w:val="24"/>
        </w:rPr>
      </w:pPr>
      <w:r>
        <w:rPr>
          <w:rFonts w:ascii="Century Gothic" w:hAnsi="Century Gothic" w:cs="Arial"/>
          <w:i/>
          <w:szCs w:val="24"/>
        </w:rPr>
        <w:t>1.2. Resolución No. 000291 del 22 de diciembre de 2006, por medio de la cual se resuelve el recurso de reposición interpuesto contra la Resolución No. 000185 del 11 de mayo de 2004; administrativo suscrito por el Secretario de Hacienda del Departamento de Boyacá.</w:t>
      </w:r>
    </w:p>
    <w:p w14:paraId="1077A8BB" w14:textId="77777777" w:rsidR="0087769D" w:rsidRDefault="0087769D" w:rsidP="0087769D">
      <w:pPr>
        <w:ind w:left="567" w:right="567"/>
        <w:contextualSpacing/>
        <w:jc w:val="both"/>
        <w:rPr>
          <w:rFonts w:ascii="Century Gothic" w:hAnsi="Century Gothic" w:cs="Arial"/>
          <w:i/>
          <w:szCs w:val="24"/>
        </w:rPr>
      </w:pPr>
      <w:r>
        <w:rPr>
          <w:rFonts w:ascii="Century Gothic" w:hAnsi="Century Gothic" w:cs="Arial"/>
          <w:i/>
          <w:szCs w:val="24"/>
        </w:rPr>
        <w:t>2. Como consecuencia de la anterior declaración se condene a la entidad demandada a restablecer el derecho de mi mandante es decir reconocerle el pago de la suma de $164’754.027,82 por concepto de perjuicios materiales causados a la parte actora con la expedición de los actos que se demandan.</w:t>
      </w:r>
    </w:p>
    <w:p w14:paraId="5990C348" w14:textId="77777777" w:rsidR="0087769D" w:rsidRDefault="0087769D" w:rsidP="0087769D">
      <w:pPr>
        <w:ind w:left="567" w:right="567"/>
        <w:contextualSpacing/>
        <w:jc w:val="both"/>
        <w:rPr>
          <w:rFonts w:ascii="Century Gothic" w:hAnsi="Century Gothic" w:cs="Arial"/>
          <w:i/>
          <w:szCs w:val="24"/>
        </w:rPr>
      </w:pPr>
      <w:r>
        <w:rPr>
          <w:rFonts w:ascii="Century Gothic" w:hAnsi="Century Gothic" w:cs="Arial"/>
          <w:i/>
          <w:szCs w:val="24"/>
        </w:rPr>
        <w:t>3. Que las anteriores sumas se indexen con base en el I.P.C.</w:t>
      </w:r>
    </w:p>
    <w:p w14:paraId="21A08796" w14:textId="77777777" w:rsidR="0087769D" w:rsidRDefault="0087769D" w:rsidP="0087769D">
      <w:pPr>
        <w:ind w:left="567" w:right="567"/>
        <w:contextualSpacing/>
        <w:jc w:val="both"/>
        <w:rPr>
          <w:rFonts w:ascii="Century Gothic" w:hAnsi="Century Gothic" w:cs="Arial"/>
          <w:i/>
          <w:szCs w:val="24"/>
        </w:rPr>
      </w:pPr>
      <w:r>
        <w:rPr>
          <w:rFonts w:ascii="Century Gothic" w:hAnsi="Century Gothic" w:cs="Arial"/>
          <w:i/>
          <w:szCs w:val="24"/>
        </w:rPr>
        <w:t>4. Que la condena se liquide y cancele en los términos previstos en el C.C.A.</w:t>
      </w:r>
    </w:p>
    <w:p w14:paraId="267E4495" w14:textId="77777777" w:rsidR="0087769D" w:rsidRPr="00206A6D" w:rsidRDefault="0087769D" w:rsidP="0087769D">
      <w:pPr>
        <w:ind w:left="567" w:right="567"/>
        <w:contextualSpacing/>
        <w:jc w:val="both"/>
        <w:rPr>
          <w:rFonts w:ascii="Century Gothic" w:hAnsi="Century Gothic" w:cs="Arial"/>
          <w:i/>
          <w:szCs w:val="24"/>
        </w:rPr>
      </w:pPr>
      <w:r>
        <w:rPr>
          <w:rFonts w:ascii="Century Gothic" w:hAnsi="Century Gothic" w:cs="Arial"/>
          <w:i/>
          <w:szCs w:val="24"/>
        </w:rPr>
        <w:t>5. Que se condene en costas a la pasiva”.</w:t>
      </w:r>
    </w:p>
    <w:p w14:paraId="5519DFB8" w14:textId="77777777" w:rsidR="0087769D" w:rsidRDefault="0087769D" w:rsidP="0087769D">
      <w:pPr>
        <w:widowControl w:val="0"/>
        <w:autoSpaceDE w:val="0"/>
        <w:autoSpaceDN w:val="0"/>
        <w:adjustRightInd w:val="0"/>
        <w:spacing w:line="360" w:lineRule="auto"/>
        <w:ind w:right="-142"/>
        <w:contextualSpacing/>
        <w:jc w:val="both"/>
        <w:rPr>
          <w:rFonts w:ascii="Century Gothic" w:hAnsi="Century Gothic" w:cs="Arial"/>
          <w:sz w:val="24"/>
          <w:szCs w:val="24"/>
        </w:rPr>
      </w:pPr>
    </w:p>
    <w:p w14:paraId="5CA87CA5" w14:textId="77777777" w:rsidR="0087769D" w:rsidRDefault="0087769D" w:rsidP="0087769D">
      <w:pPr>
        <w:widowControl w:val="0"/>
        <w:autoSpaceDE w:val="0"/>
        <w:autoSpaceDN w:val="0"/>
        <w:adjustRightInd w:val="0"/>
        <w:spacing w:line="360" w:lineRule="auto"/>
        <w:ind w:right="-142"/>
        <w:contextualSpacing/>
        <w:jc w:val="both"/>
        <w:rPr>
          <w:rFonts w:ascii="Century Gothic" w:hAnsi="Century Gothic" w:cs="Arial"/>
          <w:b/>
          <w:sz w:val="24"/>
          <w:szCs w:val="24"/>
        </w:rPr>
      </w:pPr>
      <w:r>
        <w:rPr>
          <w:rFonts w:ascii="Century Gothic" w:hAnsi="Century Gothic" w:cs="Arial"/>
          <w:sz w:val="24"/>
          <w:szCs w:val="24"/>
        </w:rPr>
        <w:t xml:space="preserve">2. </w:t>
      </w:r>
      <w:r w:rsidRPr="00D34179">
        <w:rPr>
          <w:rFonts w:ascii="Century Gothic" w:hAnsi="Century Gothic" w:cs="Arial"/>
          <w:sz w:val="24"/>
          <w:szCs w:val="24"/>
        </w:rPr>
        <w:t xml:space="preserve">En el escrito de </w:t>
      </w:r>
      <w:r w:rsidRPr="00E84022">
        <w:rPr>
          <w:rFonts w:ascii="Century Gothic" w:hAnsi="Century Gothic" w:cs="Arial"/>
          <w:b/>
          <w:sz w:val="24"/>
          <w:szCs w:val="24"/>
        </w:rPr>
        <w:t>demanda,</w:t>
      </w:r>
      <w:r w:rsidRPr="00D34179">
        <w:rPr>
          <w:rFonts w:ascii="Century Gothic" w:hAnsi="Century Gothic" w:cs="Arial"/>
          <w:sz w:val="24"/>
          <w:szCs w:val="24"/>
        </w:rPr>
        <w:t xml:space="preserve"> la p</w:t>
      </w:r>
      <w:r>
        <w:rPr>
          <w:rFonts w:ascii="Century Gothic" w:hAnsi="Century Gothic" w:cs="Arial"/>
          <w:sz w:val="24"/>
          <w:szCs w:val="24"/>
        </w:rPr>
        <w:t>arte actora narró, en síntesis, los siguientes</w:t>
      </w:r>
      <w:r w:rsidRPr="00D34179">
        <w:rPr>
          <w:rFonts w:ascii="Century Gothic" w:hAnsi="Century Gothic" w:cs="Arial"/>
          <w:sz w:val="24"/>
          <w:szCs w:val="24"/>
        </w:rPr>
        <w:t xml:space="preserve"> </w:t>
      </w:r>
      <w:r w:rsidRPr="0087769D">
        <w:rPr>
          <w:rFonts w:ascii="Century Gothic" w:hAnsi="Century Gothic" w:cs="Arial"/>
          <w:b/>
          <w:sz w:val="24"/>
          <w:szCs w:val="24"/>
        </w:rPr>
        <w:t>H</w:t>
      </w:r>
      <w:r w:rsidRPr="001F3D98">
        <w:rPr>
          <w:rFonts w:ascii="Century Gothic" w:hAnsi="Century Gothic" w:cs="Arial"/>
          <w:b/>
          <w:sz w:val="24"/>
          <w:szCs w:val="24"/>
        </w:rPr>
        <w:t>echos</w:t>
      </w:r>
      <w:r w:rsidRPr="003613B8">
        <w:rPr>
          <w:rFonts w:ascii="Century Gothic" w:hAnsi="Century Gothic" w:cs="Arial"/>
          <w:b/>
          <w:sz w:val="24"/>
          <w:szCs w:val="24"/>
        </w:rPr>
        <w:t>:</w:t>
      </w:r>
    </w:p>
    <w:p w14:paraId="46C2A7DF" w14:textId="77777777" w:rsidR="0087769D" w:rsidRPr="00C527DF" w:rsidRDefault="0087769D" w:rsidP="0087769D">
      <w:pPr>
        <w:widowControl w:val="0"/>
        <w:autoSpaceDE w:val="0"/>
        <w:autoSpaceDN w:val="0"/>
        <w:adjustRightInd w:val="0"/>
        <w:spacing w:line="360" w:lineRule="auto"/>
        <w:ind w:right="-142"/>
        <w:contextualSpacing/>
        <w:jc w:val="both"/>
        <w:rPr>
          <w:rFonts w:ascii="Century Gothic" w:hAnsi="Century Gothic" w:cs="Arial"/>
          <w:b/>
          <w:sz w:val="24"/>
          <w:szCs w:val="24"/>
        </w:rPr>
      </w:pPr>
    </w:p>
    <w:p w14:paraId="34AEFF5D" w14:textId="77777777" w:rsidR="0087769D" w:rsidRDefault="0087769D" w:rsidP="0087769D">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3. 1) El Departamento de Boyacá expidió la Resolución No. 185 de 11 de mayo de 2004, mediante la cual declaró la ocurrencia del siniestro de </w:t>
      </w:r>
      <w:r>
        <w:rPr>
          <w:rFonts w:ascii="Century Gothic" w:hAnsi="Century Gothic" w:cs="Arial"/>
          <w:sz w:val="24"/>
          <w:szCs w:val="24"/>
        </w:rPr>
        <w:lastRenderedPageBreak/>
        <w:t>estabilidad del contrato de obra No. 84 de 2000, suscrito con el consorcio ICM Ingenieros Ltda. – Suárez y Silva Ingenieros Contratistas.</w:t>
      </w:r>
    </w:p>
    <w:p w14:paraId="38875519" w14:textId="77777777" w:rsidR="0087769D" w:rsidRDefault="0087769D" w:rsidP="0087769D">
      <w:pPr>
        <w:spacing w:line="360" w:lineRule="auto"/>
        <w:ind w:right="-142"/>
        <w:contextualSpacing/>
        <w:jc w:val="both"/>
        <w:rPr>
          <w:rFonts w:ascii="Century Gothic" w:hAnsi="Century Gothic" w:cs="Arial"/>
          <w:sz w:val="24"/>
          <w:szCs w:val="24"/>
        </w:rPr>
      </w:pPr>
    </w:p>
    <w:p w14:paraId="3AD87068" w14:textId="77777777" w:rsidR="0087769D" w:rsidRPr="001530B3" w:rsidRDefault="0087769D" w:rsidP="0087769D">
      <w:pPr>
        <w:spacing w:line="360" w:lineRule="auto"/>
        <w:contextualSpacing/>
        <w:jc w:val="both"/>
        <w:rPr>
          <w:rFonts w:ascii="Century Gothic" w:hAnsi="Century Gothic" w:cs="Arial"/>
          <w:sz w:val="24"/>
          <w:szCs w:val="24"/>
        </w:rPr>
      </w:pPr>
      <w:r>
        <w:rPr>
          <w:rFonts w:ascii="Century Gothic" w:hAnsi="Century Gothic" w:cs="Arial"/>
          <w:sz w:val="24"/>
          <w:szCs w:val="24"/>
        </w:rPr>
        <w:t>4. 2) El consorcio interpuso recurso de reposición contra la Resolución No. 185 de 2004, en el cual explicó las causas de nulidad que afectaban este acto administrativo.</w:t>
      </w:r>
    </w:p>
    <w:p w14:paraId="1C5D14D5" w14:textId="77777777" w:rsidR="0087769D" w:rsidRDefault="0087769D" w:rsidP="0087769D">
      <w:pPr>
        <w:spacing w:line="360" w:lineRule="auto"/>
        <w:ind w:right="-142"/>
        <w:contextualSpacing/>
        <w:jc w:val="both"/>
        <w:rPr>
          <w:rFonts w:ascii="Century Gothic" w:hAnsi="Century Gothic" w:cs="Arial"/>
          <w:sz w:val="24"/>
          <w:szCs w:val="24"/>
        </w:rPr>
      </w:pPr>
    </w:p>
    <w:p w14:paraId="39F4FB0F" w14:textId="77777777" w:rsidR="0087769D" w:rsidRPr="007675E4" w:rsidRDefault="0087769D" w:rsidP="0087769D">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5. 3) El Departamento de Boyacá adoptó una actitud “soberbia y abusiva” y decidió negar la práctica de las pruebas solicitadas en el recurso de reposición. </w:t>
      </w:r>
    </w:p>
    <w:p w14:paraId="06503376" w14:textId="77777777" w:rsidR="0087769D" w:rsidRPr="00EC3410" w:rsidRDefault="0087769D" w:rsidP="0087769D">
      <w:pPr>
        <w:spacing w:line="360" w:lineRule="auto"/>
        <w:ind w:right="-142"/>
        <w:contextualSpacing/>
        <w:jc w:val="both"/>
        <w:rPr>
          <w:rFonts w:ascii="Century Gothic" w:hAnsi="Century Gothic" w:cs="Arial"/>
          <w:sz w:val="24"/>
          <w:szCs w:val="24"/>
        </w:rPr>
      </w:pPr>
    </w:p>
    <w:p w14:paraId="4DD2F482" w14:textId="77777777" w:rsidR="0087769D" w:rsidRPr="007675E4" w:rsidRDefault="0087769D" w:rsidP="0087769D">
      <w:pPr>
        <w:spacing w:line="360" w:lineRule="auto"/>
        <w:contextualSpacing/>
        <w:jc w:val="both"/>
        <w:rPr>
          <w:rFonts w:ascii="Century Gothic" w:hAnsi="Century Gothic" w:cs="Arial"/>
          <w:i/>
          <w:sz w:val="24"/>
          <w:szCs w:val="24"/>
        </w:rPr>
      </w:pPr>
      <w:r>
        <w:rPr>
          <w:rFonts w:ascii="Century Gothic" w:hAnsi="Century Gothic" w:cs="Arial"/>
          <w:sz w:val="24"/>
          <w:szCs w:val="24"/>
        </w:rPr>
        <w:t>6. 4) Mediante Resolución No. 291 de 22 de diciembre de 2006, el Departamento de Boyacá “confirmó la ilegalidad del acto inicial”. Este último acto administrativo fue notificado el 12 de febrero de 2007.</w:t>
      </w:r>
    </w:p>
    <w:p w14:paraId="30FAF35F" w14:textId="77777777" w:rsidR="0087769D" w:rsidRDefault="0087769D" w:rsidP="0087769D">
      <w:pPr>
        <w:spacing w:line="360" w:lineRule="auto"/>
        <w:ind w:right="-142"/>
        <w:contextualSpacing/>
        <w:jc w:val="both"/>
        <w:rPr>
          <w:rFonts w:ascii="Century Gothic" w:hAnsi="Century Gothic" w:cs="Arial"/>
          <w:sz w:val="24"/>
          <w:szCs w:val="24"/>
        </w:rPr>
      </w:pPr>
    </w:p>
    <w:p w14:paraId="26575CAE" w14:textId="77777777" w:rsidR="0087769D" w:rsidRPr="00F12981"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7. Según la parte demandante, las Resoluciones No. 185 de 2004 y 291 de 2006 son nulas, por violar los artículos 29 de la Constitución Política, 2, 34, 35, 84, 87, 267 y concordantes del Código Contencioso Administrativo (CCA), 4, 5, 23, 26, 27, 28, 60, 68 y 77 de la Ley 80 de 1993 y el capítulo 1 del título XIII del Código de Procedimiento Civil (CPC).</w:t>
      </w:r>
    </w:p>
    <w:p w14:paraId="008B3889" w14:textId="77777777" w:rsidR="0087769D" w:rsidRPr="003A26AF" w:rsidRDefault="0087769D" w:rsidP="0087769D">
      <w:pPr>
        <w:spacing w:line="360" w:lineRule="auto"/>
        <w:ind w:right="-142"/>
        <w:contextualSpacing/>
        <w:jc w:val="both"/>
        <w:rPr>
          <w:rFonts w:ascii="Century Gothic" w:hAnsi="Century Gothic" w:cs="Arial"/>
          <w:sz w:val="24"/>
          <w:szCs w:val="24"/>
        </w:rPr>
      </w:pPr>
    </w:p>
    <w:p w14:paraId="78049185"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8. En primer lugar, acusó los actos administrativos demandados de estar basados en pruebas inexistentes o recaudadas con violación de los derechos de defensa y contradicción. Al respecto, recordó que el artículo 34 del CCA prevé que durante las actuaciones administrativas es posible solicitar y practicar pruebas y allegar informaciones. Indicó que, no obstante lo anterior, la entidad demandada no vinculó al consorcio y a la compañía Seguros del Estado S.A. al “procedimiento administrativo previo” a la expedición de las Resoluciones No. 185 de 2004 y 291 de 2006, lo que les impidió solicitar pruebas o impugnar los medios de prueba tenidos en </w:t>
      </w:r>
      <w:r>
        <w:rPr>
          <w:rFonts w:ascii="Century Gothic" w:hAnsi="Century Gothic" w:cs="Arial"/>
          <w:sz w:val="24"/>
          <w:szCs w:val="24"/>
        </w:rPr>
        <w:lastRenderedPageBreak/>
        <w:t>cuenta por la entidad para adoptar su decisión. En ese sentido, argumentó que el Departamento de Boyacá violó el “derecho fundamental a la prueba” del consorcio.</w:t>
      </w:r>
    </w:p>
    <w:p w14:paraId="624F8C88" w14:textId="77777777" w:rsidR="0087769D" w:rsidRDefault="0087769D" w:rsidP="0087769D">
      <w:pPr>
        <w:spacing w:line="360" w:lineRule="auto"/>
        <w:ind w:right="-142"/>
        <w:contextualSpacing/>
        <w:jc w:val="both"/>
        <w:rPr>
          <w:rFonts w:ascii="Century Gothic" w:hAnsi="Century Gothic" w:cs="Arial"/>
          <w:sz w:val="24"/>
          <w:szCs w:val="24"/>
        </w:rPr>
      </w:pPr>
    </w:p>
    <w:p w14:paraId="20CF3478" w14:textId="77777777" w:rsidR="0087769D" w:rsidRDefault="0087769D" w:rsidP="0087769D">
      <w:pPr>
        <w:spacing w:line="360" w:lineRule="auto"/>
        <w:contextualSpacing/>
        <w:jc w:val="both"/>
        <w:rPr>
          <w:rFonts w:ascii="Century Gothic" w:hAnsi="Century Gothic" w:cs="Arial"/>
          <w:sz w:val="24"/>
          <w:szCs w:val="24"/>
        </w:rPr>
      </w:pPr>
      <w:r>
        <w:rPr>
          <w:rFonts w:ascii="Century Gothic" w:hAnsi="Century Gothic" w:cs="Arial"/>
          <w:sz w:val="24"/>
          <w:szCs w:val="24"/>
        </w:rPr>
        <w:t>9. Igualmente indicó (se trascribe):</w:t>
      </w:r>
    </w:p>
    <w:p w14:paraId="481CAB1F" w14:textId="77777777" w:rsidR="0087769D" w:rsidRDefault="0087769D" w:rsidP="0087769D">
      <w:pPr>
        <w:spacing w:line="360" w:lineRule="auto"/>
        <w:contextualSpacing/>
        <w:jc w:val="both"/>
        <w:rPr>
          <w:rFonts w:ascii="Century Gothic" w:hAnsi="Century Gothic" w:cs="Arial"/>
          <w:sz w:val="24"/>
          <w:szCs w:val="24"/>
        </w:rPr>
      </w:pPr>
    </w:p>
    <w:p w14:paraId="0EDDA1B3" w14:textId="77777777" w:rsidR="0087769D" w:rsidRPr="00670803" w:rsidRDefault="0087769D" w:rsidP="0087769D">
      <w:pPr>
        <w:ind w:left="567" w:right="567"/>
        <w:contextualSpacing/>
        <w:jc w:val="both"/>
        <w:rPr>
          <w:rFonts w:ascii="Century Gothic" w:hAnsi="Century Gothic" w:cs="Arial"/>
          <w:i/>
          <w:szCs w:val="24"/>
        </w:rPr>
      </w:pPr>
      <w:r w:rsidRPr="00670803">
        <w:rPr>
          <w:rFonts w:ascii="Century Gothic" w:hAnsi="Century Gothic" w:cs="Arial"/>
          <w:szCs w:val="24"/>
        </w:rPr>
        <w:t>“</w:t>
      </w:r>
      <w:r w:rsidRPr="00670803">
        <w:rPr>
          <w:rFonts w:ascii="Century Gothic" w:hAnsi="Century Gothic" w:cs="Arial"/>
          <w:i/>
          <w:szCs w:val="24"/>
        </w:rPr>
        <w:t xml:space="preserve">Adicionalmente debe tenerse en cuenta que en vía gubernativa la administración ordenó la práctica de una inspección judicial con intervención de peritos, prueba solicitada por la parte que representó, sin embargo al momento de la </w:t>
      </w:r>
      <w:proofErr w:type="spellStart"/>
      <w:r w:rsidRPr="00670803">
        <w:rPr>
          <w:rFonts w:ascii="Century Gothic" w:hAnsi="Century Gothic" w:cs="Arial"/>
          <w:i/>
          <w:szCs w:val="24"/>
        </w:rPr>
        <w:t>practica</w:t>
      </w:r>
      <w:proofErr w:type="spellEnd"/>
      <w:r w:rsidRPr="00670803">
        <w:rPr>
          <w:rFonts w:ascii="Century Gothic" w:hAnsi="Century Gothic" w:cs="Arial"/>
          <w:i/>
          <w:szCs w:val="24"/>
        </w:rPr>
        <w:t xml:space="preserve"> de la prueba, la inspección judicial se delega y no hubo practica de prueba pericial completa, simplemente se tomó el informe geológico pero se omitió el dictamen del ingeniero civil, intentando subsanar la administración este error mediante la contratación de un estudio técnico de consultoría con la firma Servicios de Ingeniería Ltda., empresa que no tiene el carácter de perito y que no podía subsanar las falencias de la inspección judicial con intervención de peritos, lo que implica que la administración en vía gubernativa resuelve a partir de un informe de consultoría que la propia administración contrató y no a partir de un dictamen pericial como lo había ordenado en el auto de pruebas; es decir que de hecho cambió un dictamen pericial por una consultoría; que obviamente le es favorable porque la misma administración la pagó. De esta forma, se confirma la violación de los derechos al debido proceso administrativo y derecho de defensa; circunstancia que conlleva la nulidad del acto”.</w:t>
      </w:r>
    </w:p>
    <w:p w14:paraId="679116E8" w14:textId="77777777" w:rsidR="0087769D" w:rsidRDefault="0087769D" w:rsidP="0087769D">
      <w:pPr>
        <w:spacing w:line="360" w:lineRule="auto"/>
        <w:ind w:right="-142"/>
        <w:contextualSpacing/>
        <w:jc w:val="both"/>
        <w:rPr>
          <w:rFonts w:ascii="Century Gothic" w:hAnsi="Century Gothic" w:cs="Arial"/>
          <w:sz w:val="24"/>
          <w:szCs w:val="24"/>
        </w:rPr>
      </w:pPr>
    </w:p>
    <w:p w14:paraId="4428BC0A"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10. En segundo lugar, el consorcio manifestó que las Resoluciones No. 185 de 2004 y 291 de 2006 estaban viciadas de falsa motivación. Sobre este punto, indicó que los actos administrativos demandados se basaron en una prueba que no era idónea para demostrar que los defectos de estabilidad de la obra eran atribuibles al consorcio demandante. En ese sentido, indicó que el equipo interdisciplinario que realizó visita ocular a la obra –una de las pruebas en las que se basó la entidad para declarar el siniestro- había sido: “</w:t>
      </w:r>
      <w:r>
        <w:rPr>
          <w:rFonts w:ascii="Century Gothic" w:hAnsi="Century Gothic" w:cs="Arial"/>
          <w:i/>
          <w:sz w:val="24"/>
          <w:szCs w:val="24"/>
        </w:rPr>
        <w:t xml:space="preserve">claro en señalar las falencias y limitaciones de su </w:t>
      </w:r>
      <w:proofErr w:type="spellStart"/>
      <w:r>
        <w:rPr>
          <w:rFonts w:ascii="Century Gothic" w:hAnsi="Century Gothic" w:cs="Arial"/>
          <w:i/>
          <w:sz w:val="24"/>
          <w:szCs w:val="24"/>
        </w:rPr>
        <w:t>experticio</w:t>
      </w:r>
      <w:proofErr w:type="spellEnd"/>
      <w:r>
        <w:rPr>
          <w:rFonts w:ascii="Century Gothic" w:hAnsi="Century Gothic" w:cs="Arial"/>
          <w:i/>
          <w:sz w:val="24"/>
          <w:szCs w:val="24"/>
        </w:rPr>
        <w:t>, así como la influencia de los factores de orden climático y geológico sobre la obra revisada”.</w:t>
      </w:r>
    </w:p>
    <w:p w14:paraId="69C2ABD7" w14:textId="77777777" w:rsidR="0087769D" w:rsidRDefault="0087769D" w:rsidP="0087769D">
      <w:pPr>
        <w:spacing w:line="360" w:lineRule="auto"/>
        <w:ind w:right="-142"/>
        <w:contextualSpacing/>
        <w:jc w:val="both"/>
        <w:rPr>
          <w:rFonts w:ascii="Century Gothic" w:hAnsi="Century Gothic" w:cs="Arial"/>
          <w:sz w:val="24"/>
          <w:szCs w:val="24"/>
        </w:rPr>
      </w:pPr>
    </w:p>
    <w:p w14:paraId="6C4739A2" w14:textId="77777777" w:rsidR="0087769D" w:rsidRDefault="0087769D" w:rsidP="0087769D">
      <w:pPr>
        <w:spacing w:line="360" w:lineRule="auto"/>
        <w:contextualSpacing/>
        <w:jc w:val="both"/>
        <w:rPr>
          <w:rFonts w:ascii="Century Gothic" w:hAnsi="Century Gothic" w:cs="Arial"/>
          <w:sz w:val="24"/>
          <w:szCs w:val="24"/>
        </w:rPr>
      </w:pPr>
      <w:r>
        <w:rPr>
          <w:rFonts w:ascii="Century Gothic" w:hAnsi="Century Gothic" w:cs="Arial"/>
          <w:sz w:val="24"/>
          <w:szCs w:val="24"/>
        </w:rPr>
        <w:lastRenderedPageBreak/>
        <w:t xml:space="preserve">11. De igual manera, indicó que un informe rendido por los funcionarios del departamento permitía deducir que las obras sufrieron deterioro, no por su calidad, sino por efectos de la naturaleza, y que hubiera podido ser evitado con un oportuno mantenimiento realizado por el departamento. </w:t>
      </w:r>
    </w:p>
    <w:p w14:paraId="037AF697" w14:textId="77777777" w:rsidR="0087769D" w:rsidRDefault="0087769D" w:rsidP="0087769D">
      <w:pPr>
        <w:spacing w:line="360" w:lineRule="auto"/>
        <w:ind w:right="-142"/>
        <w:contextualSpacing/>
        <w:jc w:val="both"/>
        <w:rPr>
          <w:rFonts w:ascii="Century Gothic" w:hAnsi="Century Gothic" w:cs="Arial"/>
          <w:sz w:val="24"/>
          <w:szCs w:val="24"/>
        </w:rPr>
      </w:pPr>
    </w:p>
    <w:p w14:paraId="1F52A05A"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12. Así las cosas, el consorcio indicó que el deterioro de la obra era imputable exclusivamente al Departamento de Boyacá y que, por consiguiente, no existió un siniestro, por lo que la administración no podía declarar su ocurrencia.</w:t>
      </w:r>
    </w:p>
    <w:p w14:paraId="3FDE5797" w14:textId="77777777" w:rsidR="0087769D" w:rsidRDefault="0087769D" w:rsidP="0087769D">
      <w:pPr>
        <w:spacing w:line="360" w:lineRule="auto"/>
        <w:ind w:right="-142"/>
        <w:contextualSpacing/>
        <w:jc w:val="both"/>
        <w:rPr>
          <w:rFonts w:ascii="Century Gothic" w:hAnsi="Century Gothic" w:cs="Arial"/>
          <w:sz w:val="24"/>
          <w:szCs w:val="24"/>
        </w:rPr>
      </w:pPr>
    </w:p>
    <w:p w14:paraId="4FD30CDA"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13. </w:t>
      </w:r>
      <w:r w:rsidRPr="00D34179">
        <w:rPr>
          <w:rFonts w:ascii="Century Gothic" w:hAnsi="Century Gothic" w:cs="Arial"/>
          <w:sz w:val="24"/>
          <w:szCs w:val="24"/>
        </w:rPr>
        <w:t>El Tribuna</w:t>
      </w:r>
      <w:r>
        <w:rPr>
          <w:rFonts w:ascii="Century Gothic" w:hAnsi="Century Gothic" w:cs="Arial"/>
          <w:sz w:val="24"/>
          <w:szCs w:val="24"/>
        </w:rPr>
        <w:t>l Administrativo de Cundinamarca</w:t>
      </w:r>
      <w:r w:rsidRPr="00D34179">
        <w:rPr>
          <w:rFonts w:ascii="Century Gothic" w:hAnsi="Century Gothic" w:cs="Arial"/>
          <w:sz w:val="24"/>
          <w:szCs w:val="24"/>
        </w:rPr>
        <w:t xml:space="preserve"> </w:t>
      </w:r>
      <w:r w:rsidRPr="00D82798">
        <w:rPr>
          <w:rFonts w:ascii="Century Gothic" w:hAnsi="Century Gothic" w:cs="Arial"/>
          <w:b/>
          <w:sz w:val="24"/>
          <w:szCs w:val="24"/>
        </w:rPr>
        <w:t>admitió la demanda</w:t>
      </w:r>
      <w:r w:rsidRPr="00D34179">
        <w:rPr>
          <w:rFonts w:ascii="Century Gothic" w:hAnsi="Century Gothic" w:cs="Arial"/>
          <w:sz w:val="24"/>
          <w:szCs w:val="24"/>
        </w:rPr>
        <w:t xml:space="preserve"> </w:t>
      </w:r>
      <w:r>
        <w:rPr>
          <w:rFonts w:ascii="Century Gothic" w:hAnsi="Century Gothic" w:cs="Arial"/>
          <w:sz w:val="24"/>
          <w:szCs w:val="24"/>
        </w:rPr>
        <w:t>mediante Auto de 11 de diciembre de 2007</w:t>
      </w:r>
      <w:r w:rsidRPr="00206A6D">
        <w:rPr>
          <w:rStyle w:val="Refdenotaalpie"/>
          <w:rFonts w:ascii="Century Gothic" w:hAnsi="Century Gothic" w:cs="Arial"/>
        </w:rPr>
        <w:footnoteReference w:id="2"/>
      </w:r>
      <w:r w:rsidRPr="00206A6D">
        <w:rPr>
          <w:rFonts w:ascii="Century Gothic" w:hAnsi="Century Gothic" w:cs="Arial"/>
          <w:sz w:val="24"/>
          <w:szCs w:val="24"/>
        </w:rPr>
        <w:t>.</w:t>
      </w:r>
    </w:p>
    <w:p w14:paraId="6EA0EE98" w14:textId="77777777" w:rsidR="0087769D" w:rsidRDefault="0087769D" w:rsidP="0087769D">
      <w:pPr>
        <w:spacing w:line="360" w:lineRule="auto"/>
        <w:ind w:right="-142"/>
        <w:contextualSpacing/>
        <w:jc w:val="both"/>
        <w:rPr>
          <w:rFonts w:ascii="Century Gothic" w:hAnsi="Century Gothic" w:cs="Arial"/>
          <w:sz w:val="24"/>
          <w:szCs w:val="24"/>
        </w:rPr>
      </w:pPr>
    </w:p>
    <w:p w14:paraId="2EEE3089"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14. El 10 de noviembre de 2008, el Departamento de Boyacá</w:t>
      </w:r>
      <w:r w:rsidRPr="00206A6D">
        <w:rPr>
          <w:rFonts w:ascii="Century Gothic" w:hAnsi="Century Gothic" w:cs="Arial"/>
          <w:sz w:val="24"/>
          <w:szCs w:val="24"/>
        </w:rPr>
        <w:t xml:space="preserve"> </w:t>
      </w:r>
      <w:r w:rsidRPr="00206A6D">
        <w:rPr>
          <w:rFonts w:ascii="Century Gothic" w:hAnsi="Century Gothic" w:cs="Arial"/>
          <w:b/>
          <w:sz w:val="24"/>
          <w:szCs w:val="24"/>
        </w:rPr>
        <w:t>contestó la demanda</w:t>
      </w:r>
      <w:r w:rsidRPr="00206A6D">
        <w:rPr>
          <w:rStyle w:val="Refdenotaalpie"/>
          <w:rFonts w:ascii="Century Gothic" w:hAnsi="Century Gothic" w:cs="Arial"/>
          <w:b/>
        </w:rPr>
        <w:footnoteReference w:id="3"/>
      </w:r>
      <w:r w:rsidRPr="00206A6D">
        <w:rPr>
          <w:rFonts w:ascii="Century Gothic" w:hAnsi="Century Gothic" w:cs="Arial"/>
          <w:b/>
          <w:sz w:val="24"/>
          <w:szCs w:val="24"/>
        </w:rPr>
        <w:t>.</w:t>
      </w:r>
      <w:r>
        <w:rPr>
          <w:rFonts w:ascii="Century Gothic" w:hAnsi="Century Gothic" w:cs="Arial"/>
          <w:sz w:val="24"/>
          <w:szCs w:val="24"/>
        </w:rPr>
        <w:t xml:space="preserve"> Propuso las excepciones</w:t>
      </w:r>
      <w:r w:rsidRPr="00206A6D">
        <w:rPr>
          <w:rFonts w:ascii="Century Gothic" w:hAnsi="Century Gothic" w:cs="Arial"/>
          <w:sz w:val="24"/>
          <w:szCs w:val="24"/>
        </w:rPr>
        <w:t xml:space="preserve"> que denominó </w:t>
      </w:r>
      <w:r>
        <w:rPr>
          <w:rFonts w:ascii="Century Gothic" w:hAnsi="Century Gothic" w:cs="Arial"/>
          <w:sz w:val="24"/>
          <w:szCs w:val="24"/>
        </w:rPr>
        <w:t>“</w:t>
      </w:r>
      <w:r>
        <w:rPr>
          <w:rFonts w:ascii="Century Gothic" w:hAnsi="Century Gothic" w:cs="Arial"/>
          <w:i/>
          <w:sz w:val="24"/>
          <w:szCs w:val="24"/>
        </w:rPr>
        <w:t xml:space="preserve">inepta demanda por indebida escogencia de la acción”, “ausencia de causa para demandar” </w:t>
      </w:r>
      <w:r>
        <w:rPr>
          <w:rFonts w:ascii="Century Gothic" w:hAnsi="Century Gothic" w:cs="Arial"/>
          <w:sz w:val="24"/>
          <w:szCs w:val="24"/>
        </w:rPr>
        <w:t>y “</w:t>
      </w:r>
      <w:r>
        <w:rPr>
          <w:rFonts w:ascii="Century Gothic" w:hAnsi="Century Gothic" w:cs="Arial"/>
          <w:i/>
          <w:sz w:val="24"/>
          <w:szCs w:val="24"/>
        </w:rPr>
        <w:t>ausencia de material probatorio para determinar la falsa motivación”</w:t>
      </w:r>
      <w:r>
        <w:rPr>
          <w:rFonts w:ascii="Century Gothic" w:hAnsi="Century Gothic" w:cs="Arial"/>
          <w:sz w:val="24"/>
          <w:szCs w:val="24"/>
        </w:rPr>
        <w:t>:</w:t>
      </w:r>
    </w:p>
    <w:p w14:paraId="02C8C03B" w14:textId="77777777" w:rsidR="0087769D" w:rsidRDefault="0087769D" w:rsidP="0087769D">
      <w:pPr>
        <w:spacing w:line="360" w:lineRule="auto"/>
        <w:ind w:right="-142"/>
        <w:contextualSpacing/>
        <w:jc w:val="both"/>
        <w:rPr>
          <w:rFonts w:ascii="Century Gothic" w:hAnsi="Century Gothic" w:cs="Arial"/>
          <w:sz w:val="24"/>
          <w:szCs w:val="24"/>
        </w:rPr>
      </w:pPr>
    </w:p>
    <w:p w14:paraId="6A833D58"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15. Respecto de la excepción titulada “</w:t>
      </w:r>
      <w:r>
        <w:rPr>
          <w:rFonts w:ascii="Century Gothic" w:hAnsi="Century Gothic" w:cs="Arial"/>
          <w:i/>
          <w:sz w:val="24"/>
          <w:szCs w:val="24"/>
        </w:rPr>
        <w:t>inepta demanda por indebida escogencia de la acción”</w:t>
      </w:r>
      <w:r>
        <w:rPr>
          <w:rFonts w:ascii="Century Gothic" w:hAnsi="Century Gothic" w:cs="Arial"/>
          <w:sz w:val="24"/>
          <w:szCs w:val="24"/>
        </w:rPr>
        <w:t>, el Departamento de Boyacá señaló que, si el consorcio demandante quería controvertir la legalidad de las Resoluciones No. 185 de 2004 y 291 de 2006, debió instaurar una acción contractual y no, como ocurrió, una de nulidad y restablecimiento del derecho.</w:t>
      </w:r>
    </w:p>
    <w:p w14:paraId="47D555BA" w14:textId="77777777" w:rsidR="0087769D" w:rsidRDefault="0087769D" w:rsidP="0087769D">
      <w:pPr>
        <w:spacing w:line="360" w:lineRule="auto"/>
        <w:ind w:left="708" w:right="-142"/>
        <w:contextualSpacing/>
        <w:jc w:val="both"/>
        <w:rPr>
          <w:rFonts w:ascii="Century Gothic" w:hAnsi="Century Gothic" w:cs="Arial"/>
          <w:sz w:val="24"/>
          <w:szCs w:val="24"/>
        </w:rPr>
      </w:pPr>
    </w:p>
    <w:p w14:paraId="5E469B9B"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16. Sobre la excepción denominada “</w:t>
      </w:r>
      <w:r>
        <w:rPr>
          <w:rFonts w:ascii="Century Gothic" w:hAnsi="Century Gothic" w:cs="Arial"/>
          <w:i/>
          <w:sz w:val="24"/>
          <w:szCs w:val="24"/>
        </w:rPr>
        <w:t>ausencia de causa para demandar”</w:t>
      </w:r>
      <w:r>
        <w:rPr>
          <w:rFonts w:ascii="Century Gothic" w:hAnsi="Century Gothic" w:cs="Arial"/>
          <w:sz w:val="24"/>
          <w:szCs w:val="24"/>
        </w:rPr>
        <w:t xml:space="preserve">, la entidad demandada sostuvo que no se vulneró el derecho de defensa del contratista, pues los actos administrativos adoptados fueron notificados oportunamente. Así mismo, agregó que las pruebas que se tuvieron en </w:t>
      </w:r>
      <w:r>
        <w:rPr>
          <w:rFonts w:ascii="Century Gothic" w:hAnsi="Century Gothic" w:cs="Arial"/>
          <w:sz w:val="24"/>
          <w:szCs w:val="24"/>
        </w:rPr>
        <w:lastRenderedPageBreak/>
        <w:t>cuenta para expedir las resoluciones fueron recaudadas “de manera responsable” por el departamento, tanto así que se contrató una consultoría con el fin de determinar las fallas atribuibles al contratista.</w:t>
      </w:r>
    </w:p>
    <w:p w14:paraId="55CC7DBF" w14:textId="77777777" w:rsidR="0087769D" w:rsidRDefault="0087769D" w:rsidP="0087769D">
      <w:pPr>
        <w:spacing w:line="360" w:lineRule="auto"/>
        <w:ind w:left="708" w:right="-142"/>
        <w:contextualSpacing/>
        <w:jc w:val="both"/>
        <w:rPr>
          <w:rFonts w:ascii="Century Gothic" w:hAnsi="Century Gothic" w:cs="Arial"/>
          <w:sz w:val="24"/>
          <w:szCs w:val="24"/>
        </w:rPr>
      </w:pPr>
    </w:p>
    <w:p w14:paraId="2100EC91" w14:textId="77777777" w:rsidR="0087769D" w:rsidRPr="00811CA7"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17. Por último, en desarrollo de la excepción de </w:t>
      </w:r>
      <w:r>
        <w:rPr>
          <w:rFonts w:ascii="Century Gothic" w:hAnsi="Century Gothic" w:cs="Arial"/>
          <w:i/>
          <w:sz w:val="24"/>
          <w:szCs w:val="24"/>
        </w:rPr>
        <w:t xml:space="preserve">“ausencia de material probatorio para determinar la falsa motivación”, </w:t>
      </w:r>
      <w:r>
        <w:rPr>
          <w:rFonts w:ascii="Century Gothic" w:hAnsi="Century Gothic" w:cs="Arial"/>
          <w:sz w:val="24"/>
          <w:szCs w:val="24"/>
        </w:rPr>
        <w:t>el Departamento de Boyacá argumentó que la parte demandante no cumplió con su carga probatoria consistente en acreditar la falsa motivación de los actos demandados.</w:t>
      </w:r>
    </w:p>
    <w:p w14:paraId="3B804AE5" w14:textId="77777777" w:rsidR="0087769D" w:rsidRDefault="0087769D" w:rsidP="0087769D">
      <w:pPr>
        <w:spacing w:line="360" w:lineRule="auto"/>
        <w:ind w:right="-142"/>
        <w:contextualSpacing/>
        <w:jc w:val="both"/>
        <w:rPr>
          <w:rFonts w:ascii="Century Gothic" w:hAnsi="Century Gothic" w:cs="Arial"/>
          <w:sz w:val="24"/>
          <w:szCs w:val="24"/>
        </w:rPr>
      </w:pPr>
    </w:p>
    <w:p w14:paraId="43C61353" w14:textId="77777777" w:rsidR="0087769D" w:rsidRDefault="0087769D" w:rsidP="0087769D">
      <w:pPr>
        <w:spacing w:line="360" w:lineRule="auto"/>
        <w:contextualSpacing/>
        <w:jc w:val="both"/>
        <w:rPr>
          <w:rFonts w:ascii="Century Gothic" w:hAnsi="Century Gothic" w:cs="Arial"/>
          <w:sz w:val="24"/>
          <w:szCs w:val="24"/>
        </w:rPr>
      </w:pPr>
      <w:r>
        <w:rPr>
          <w:rFonts w:ascii="Century Gothic" w:hAnsi="Century Gothic" w:cs="Arial"/>
          <w:sz w:val="24"/>
          <w:szCs w:val="24"/>
        </w:rPr>
        <w:t>18. Mediante Auto de 3 de diciembre de 2008</w:t>
      </w:r>
      <w:r w:rsidRPr="00206A6D">
        <w:rPr>
          <w:rFonts w:ascii="Century Gothic" w:hAnsi="Century Gothic" w:cs="Arial"/>
          <w:sz w:val="24"/>
          <w:szCs w:val="24"/>
        </w:rPr>
        <w:t xml:space="preserve">, se </w:t>
      </w:r>
      <w:r w:rsidRPr="00206A6D">
        <w:rPr>
          <w:rFonts w:ascii="Century Gothic" w:hAnsi="Century Gothic" w:cs="Arial"/>
          <w:b/>
          <w:sz w:val="24"/>
          <w:szCs w:val="24"/>
        </w:rPr>
        <w:t>decretaron las pruebas</w:t>
      </w:r>
      <w:r w:rsidRPr="00206A6D">
        <w:rPr>
          <w:rFonts w:ascii="Century Gothic" w:hAnsi="Century Gothic" w:cs="Arial"/>
          <w:sz w:val="24"/>
          <w:szCs w:val="24"/>
        </w:rPr>
        <w:t xml:space="preserve"> a ser tenidas en cuenta en el proceso</w:t>
      </w:r>
      <w:r w:rsidRPr="00206A6D">
        <w:rPr>
          <w:rStyle w:val="Refdenotaalpie"/>
          <w:rFonts w:ascii="Century Gothic" w:hAnsi="Century Gothic" w:cs="Arial"/>
        </w:rPr>
        <w:footnoteReference w:id="4"/>
      </w:r>
      <w:r>
        <w:rPr>
          <w:rFonts w:ascii="Century Gothic" w:hAnsi="Century Gothic" w:cs="Arial"/>
          <w:sz w:val="24"/>
          <w:szCs w:val="24"/>
        </w:rPr>
        <w:t xml:space="preserve">. Se tuvieron en cuenta las pruebas documentales aportadas en los escritos de demanda y contestación, así como una copia del expediente del contrato No. 84 de 2000 remitida por el Departamento de Boyacá. </w:t>
      </w:r>
    </w:p>
    <w:p w14:paraId="20E032B8" w14:textId="77777777" w:rsidR="0087769D" w:rsidRDefault="0087769D" w:rsidP="0087769D">
      <w:pPr>
        <w:spacing w:line="360" w:lineRule="auto"/>
        <w:ind w:right="-142"/>
        <w:contextualSpacing/>
        <w:jc w:val="both"/>
        <w:rPr>
          <w:rFonts w:ascii="Century Gothic" w:hAnsi="Century Gothic" w:cs="Arial"/>
          <w:sz w:val="24"/>
          <w:szCs w:val="24"/>
        </w:rPr>
      </w:pPr>
    </w:p>
    <w:p w14:paraId="54066EF8"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19. Una vez vencido el periodo probatorio, mediante Auto de 1 de diciembre de 2010</w:t>
      </w:r>
      <w:r w:rsidRPr="00206A6D">
        <w:rPr>
          <w:rFonts w:ascii="Century Gothic" w:hAnsi="Century Gothic" w:cs="Arial"/>
          <w:sz w:val="24"/>
          <w:szCs w:val="24"/>
        </w:rPr>
        <w:t xml:space="preserve"> se corrió traslado a las partes para alegar de conclusión</w:t>
      </w:r>
      <w:r w:rsidRPr="00206A6D">
        <w:rPr>
          <w:rStyle w:val="Refdenotaalpie"/>
          <w:rFonts w:ascii="Century Gothic" w:hAnsi="Century Gothic" w:cs="Arial"/>
        </w:rPr>
        <w:footnoteReference w:id="5"/>
      </w:r>
      <w:r>
        <w:rPr>
          <w:rFonts w:ascii="Century Gothic" w:hAnsi="Century Gothic" w:cs="Arial"/>
          <w:sz w:val="24"/>
          <w:szCs w:val="24"/>
        </w:rPr>
        <w:t>. Las partes guardaron silencio.</w:t>
      </w:r>
    </w:p>
    <w:p w14:paraId="15DC0DCB" w14:textId="77777777" w:rsidR="0087769D" w:rsidRDefault="0087769D" w:rsidP="0087769D">
      <w:pPr>
        <w:spacing w:line="360" w:lineRule="auto"/>
        <w:ind w:right="-142"/>
        <w:contextualSpacing/>
        <w:jc w:val="both"/>
        <w:rPr>
          <w:rFonts w:ascii="Century Gothic" w:hAnsi="Century Gothic" w:cs="Arial"/>
          <w:sz w:val="24"/>
          <w:szCs w:val="24"/>
        </w:rPr>
      </w:pPr>
    </w:p>
    <w:p w14:paraId="3609D53A" w14:textId="77777777" w:rsidR="0087769D" w:rsidRPr="0004152E"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20. El 15 de diciembre de 2011</w:t>
      </w:r>
      <w:r w:rsidRPr="00206A6D">
        <w:rPr>
          <w:rFonts w:ascii="Century Gothic" w:hAnsi="Century Gothic" w:cs="Arial"/>
          <w:sz w:val="24"/>
          <w:szCs w:val="24"/>
        </w:rPr>
        <w:t>, el Tri</w:t>
      </w:r>
      <w:r>
        <w:rPr>
          <w:rFonts w:ascii="Century Gothic" w:hAnsi="Century Gothic" w:cs="Arial"/>
          <w:sz w:val="24"/>
          <w:szCs w:val="24"/>
        </w:rPr>
        <w:t>bunal Administrativo de Casanare</w:t>
      </w:r>
      <w:r w:rsidRPr="00206A6D">
        <w:rPr>
          <w:rFonts w:ascii="Century Gothic" w:hAnsi="Century Gothic" w:cs="Arial"/>
          <w:sz w:val="24"/>
          <w:szCs w:val="24"/>
        </w:rPr>
        <w:t xml:space="preserve"> profirió </w:t>
      </w:r>
      <w:r>
        <w:rPr>
          <w:rFonts w:ascii="Century Gothic" w:hAnsi="Century Gothic" w:cs="Arial"/>
          <w:b/>
          <w:sz w:val="24"/>
          <w:szCs w:val="24"/>
        </w:rPr>
        <w:t>S</w:t>
      </w:r>
      <w:r w:rsidRPr="00206A6D">
        <w:rPr>
          <w:rFonts w:ascii="Century Gothic" w:hAnsi="Century Gothic" w:cs="Arial"/>
          <w:b/>
          <w:sz w:val="24"/>
          <w:szCs w:val="24"/>
        </w:rPr>
        <w:t>entencia</w:t>
      </w:r>
      <w:r>
        <w:rPr>
          <w:rFonts w:ascii="Century Gothic" w:hAnsi="Century Gothic" w:cs="Arial"/>
          <w:b/>
          <w:sz w:val="24"/>
          <w:szCs w:val="24"/>
        </w:rPr>
        <w:t xml:space="preserve"> de primera instancia</w:t>
      </w:r>
      <w:r w:rsidRPr="00206A6D">
        <w:rPr>
          <w:rStyle w:val="Refdenotaalpie"/>
          <w:rFonts w:ascii="Century Gothic" w:hAnsi="Century Gothic" w:cs="Arial"/>
        </w:rPr>
        <w:footnoteReference w:id="6"/>
      </w:r>
      <w:r>
        <w:rPr>
          <w:rFonts w:ascii="Century Gothic" w:hAnsi="Century Gothic" w:cs="Arial"/>
          <w:b/>
          <w:sz w:val="24"/>
          <w:szCs w:val="24"/>
        </w:rPr>
        <w:t xml:space="preserve">. </w:t>
      </w:r>
      <w:r>
        <w:rPr>
          <w:rFonts w:ascii="Century Gothic" w:hAnsi="Century Gothic" w:cs="Arial"/>
          <w:sz w:val="24"/>
          <w:szCs w:val="24"/>
        </w:rPr>
        <w:t>Como primera medida</w:t>
      </w:r>
      <w:r w:rsidRPr="00206A6D">
        <w:rPr>
          <w:rFonts w:ascii="Century Gothic" w:hAnsi="Century Gothic" w:cs="Arial"/>
          <w:sz w:val="24"/>
          <w:szCs w:val="24"/>
        </w:rPr>
        <w:t xml:space="preserve">, el Tribunal </w:t>
      </w:r>
      <w:r>
        <w:rPr>
          <w:rFonts w:ascii="Century Gothic" w:hAnsi="Century Gothic" w:cs="Arial"/>
          <w:sz w:val="24"/>
          <w:szCs w:val="24"/>
        </w:rPr>
        <w:t>estableció que el problema jurídico a resolver consistía en determinar: si había lugar a “</w:t>
      </w:r>
      <w:r>
        <w:rPr>
          <w:rFonts w:ascii="Century Gothic" w:hAnsi="Century Gothic" w:cs="Arial"/>
          <w:i/>
          <w:sz w:val="24"/>
          <w:szCs w:val="24"/>
        </w:rPr>
        <w:t xml:space="preserve">la declaratoria de nulidad de la Resolución No. 000185 del 11 de mayo de 2004, por medio de la cual se declaró la ocurrencia de siniestro en el Contrato de Obra No. 0084 de 2000 y de la Resolución No. 000291 del 22 de diciembre de 2006, a través de la cual se resolvió el recurso de reposición interpuesto contra el anterior acto administrativo, confirmándolo, </w:t>
      </w:r>
      <w:r>
        <w:rPr>
          <w:rFonts w:ascii="Century Gothic" w:hAnsi="Century Gothic" w:cs="Arial"/>
          <w:i/>
          <w:sz w:val="24"/>
          <w:szCs w:val="24"/>
        </w:rPr>
        <w:lastRenderedPageBreak/>
        <w:t xml:space="preserve">por las razones indicadas en el libelo </w:t>
      </w:r>
      <w:proofErr w:type="spellStart"/>
      <w:r>
        <w:rPr>
          <w:rFonts w:ascii="Century Gothic" w:hAnsi="Century Gothic" w:cs="Arial"/>
          <w:i/>
          <w:sz w:val="24"/>
          <w:szCs w:val="24"/>
        </w:rPr>
        <w:t>demandatorio</w:t>
      </w:r>
      <w:proofErr w:type="spellEnd"/>
      <w:r>
        <w:rPr>
          <w:rFonts w:ascii="Century Gothic" w:hAnsi="Century Gothic" w:cs="Arial"/>
          <w:i/>
          <w:sz w:val="24"/>
          <w:szCs w:val="24"/>
        </w:rPr>
        <w:t>, y al consecuente restablecimiento del derecho solicitado”.</w:t>
      </w:r>
    </w:p>
    <w:p w14:paraId="3245D98E" w14:textId="77777777" w:rsidR="0087769D" w:rsidRDefault="0087769D" w:rsidP="0087769D">
      <w:pPr>
        <w:spacing w:line="360" w:lineRule="auto"/>
        <w:contextualSpacing/>
        <w:jc w:val="both"/>
        <w:rPr>
          <w:rFonts w:ascii="Century Gothic" w:hAnsi="Century Gothic" w:cs="Arial"/>
          <w:sz w:val="24"/>
          <w:szCs w:val="24"/>
        </w:rPr>
      </w:pPr>
      <w:r>
        <w:rPr>
          <w:rFonts w:ascii="Century Gothic" w:hAnsi="Century Gothic" w:cs="Arial"/>
          <w:sz w:val="24"/>
          <w:szCs w:val="24"/>
        </w:rPr>
        <w:t>21. Definido el problema jurídico y luego de haber realizado algunas consideraciones sobre la contratación estatal, particularmente sobre el deber de los contratistas de garantizar y responder por la calidad de los bienes y servicios contratados, el Tribunal señaló que, para verificar la calidad de las obras ejecutadas por un contratista, no es indispensable que la entidad ponga esto en conocimiento del contratista o su garante. Agregó que para garantizar el derecho al debido proceso en los casos de declaratoria del siniestro de estabilidad, la entidad debe motivar apropiadamente su decisión y notificarla oportunamente, con el fin de que el contratista pueda controvertirla.</w:t>
      </w:r>
    </w:p>
    <w:p w14:paraId="3CB7DB00" w14:textId="77777777" w:rsidR="0087769D" w:rsidRPr="004863B8" w:rsidRDefault="0087769D" w:rsidP="0087769D">
      <w:pPr>
        <w:spacing w:line="360" w:lineRule="auto"/>
        <w:ind w:right="-142"/>
        <w:contextualSpacing/>
        <w:jc w:val="both"/>
        <w:rPr>
          <w:rFonts w:ascii="Century Gothic" w:hAnsi="Century Gothic" w:cs="Arial"/>
          <w:sz w:val="24"/>
          <w:szCs w:val="24"/>
        </w:rPr>
      </w:pPr>
    </w:p>
    <w:p w14:paraId="7459749A" w14:textId="77777777" w:rsidR="0087769D" w:rsidRDefault="0087769D" w:rsidP="0087769D">
      <w:pPr>
        <w:spacing w:line="360" w:lineRule="auto"/>
        <w:contextualSpacing/>
        <w:jc w:val="both"/>
        <w:rPr>
          <w:rFonts w:ascii="Century Gothic" w:hAnsi="Century Gothic" w:cs="Arial"/>
          <w:sz w:val="24"/>
          <w:szCs w:val="24"/>
        </w:rPr>
      </w:pPr>
      <w:r>
        <w:rPr>
          <w:rFonts w:ascii="Century Gothic" w:hAnsi="Century Gothic" w:cs="Arial"/>
          <w:sz w:val="24"/>
          <w:szCs w:val="24"/>
        </w:rPr>
        <w:t>22. En el caso particular, el Tribunal refirió que el consorcio demandante fue notificado de la Resolución No. 185 de 2004 e interpuso recurso de reposición en el cual solicitó la práctica de pruebas. Señaló que las pruebas fueron practicadas y que, posteriormente, se expidió la Resolución No. 291 de 2006. En ese sentido, concluyó que no se vulneró el derecho de defensa del consorcio contratista.</w:t>
      </w:r>
    </w:p>
    <w:p w14:paraId="26DB1D7A" w14:textId="77777777" w:rsidR="0087769D" w:rsidRDefault="0087769D" w:rsidP="0087769D">
      <w:pPr>
        <w:spacing w:line="360" w:lineRule="auto"/>
        <w:ind w:right="-142"/>
        <w:contextualSpacing/>
        <w:jc w:val="both"/>
        <w:rPr>
          <w:rFonts w:ascii="Century Gothic" w:hAnsi="Century Gothic" w:cs="Arial"/>
          <w:sz w:val="24"/>
          <w:szCs w:val="24"/>
        </w:rPr>
      </w:pPr>
    </w:p>
    <w:p w14:paraId="3F068998" w14:textId="77777777" w:rsidR="0087769D" w:rsidRDefault="0087769D" w:rsidP="0087769D">
      <w:pPr>
        <w:spacing w:line="360" w:lineRule="auto"/>
        <w:contextualSpacing/>
        <w:jc w:val="both"/>
        <w:rPr>
          <w:rFonts w:ascii="Century Gothic" w:hAnsi="Century Gothic" w:cs="Arial"/>
          <w:sz w:val="24"/>
          <w:szCs w:val="24"/>
        </w:rPr>
      </w:pPr>
      <w:r>
        <w:rPr>
          <w:rFonts w:ascii="Century Gothic" w:hAnsi="Century Gothic" w:cs="Arial"/>
          <w:sz w:val="24"/>
          <w:szCs w:val="24"/>
        </w:rPr>
        <w:t>23. Finalmente, en lo que tiene que ver con la aducida falsa motivación de los actos administrativos demandados, el Tribunal señaló (se trascribe):</w:t>
      </w:r>
    </w:p>
    <w:p w14:paraId="78D94F80" w14:textId="77777777" w:rsidR="0087769D" w:rsidRDefault="0087769D" w:rsidP="0087769D">
      <w:pPr>
        <w:spacing w:line="360" w:lineRule="auto"/>
        <w:contextualSpacing/>
        <w:jc w:val="both"/>
        <w:rPr>
          <w:rFonts w:ascii="Century Gothic" w:hAnsi="Century Gothic" w:cs="Arial"/>
          <w:sz w:val="24"/>
          <w:szCs w:val="24"/>
        </w:rPr>
      </w:pPr>
    </w:p>
    <w:p w14:paraId="43CBE60C" w14:textId="77777777" w:rsidR="0087769D" w:rsidRPr="00F169AB" w:rsidRDefault="0087769D" w:rsidP="0087769D">
      <w:pPr>
        <w:ind w:left="567" w:right="567"/>
        <w:contextualSpacing/>
        <w:jc w:val="both"/>
        <w:rPr>
          <w:rFonts w:ascii="Century Gothic" w:hAnsi="Century Gothic" w:cs="Arial"/>
          <w:i/>
          <w:szCs w:val="24"/>
        </w:rPr>
      </w:pPr>
      <w:r w:rsidRPr="00F169AB">
        <w:rPr>
          <w:rFonts w:ascii="Century Gothic" w:hAnsi="Century Gothic" w:cs="Arial"/>
          <w:szCs w:val="24"/>
        </w:rPr>
        <w:t>“</w:t>
      </w:r>
      <w:r w:rsidRPr="00F169AB">
        <w:rPr>
          <w:rFonts w:ascii="Century Gothic" w:hAnsi="Century Gothic" w:cs="Arial"/>
          <w:i/>
          <w:szCs w:val="24"/>
        </w:rPr>
        <w:t xml:space="preserve">(…) si el consorcio accionante manifestó en la demanda que el siniestro no existía, o que este se produjo por falta de mantenimiento de la vía, y en general por las razones que expuso en el libelo </w:t>
      </w:r>
      <w:proofErr w:type="spellStart"/>
      <w:r w:rsidRPr="00F169AB">
        <w:rPr>
          <w:rFonts w:ascii="Century Gothic" w:hAnsi="Century Gothic" w:cs="Arial"/>
          <w:i/>
          <w:szCs w:val="24"/>
        </w:rPr>
        <w:t>demandatorio</w:t>
      </w:r>
      <w:proofErr w:type="spellEnd"/>
      <w:r w:rsidRPr="00F169AB">
        <w:rPr>
          <w:rFonts w:ascii="Century Gothic" w:hAnsi="Century Gothic" w:cs="Arial"/>
          <w:i/>
          <w:szCs w:val="24"/>
        </w:rPr>
        <w:t>, debió probarlo dentro de la presente acción, lo mismo que las supuestas falsa motivación y desviación de poder aducidas, al tenor de lo establecido en el artículo 177 del C.P.C., pero no lo hizo, es decir, las manifestaciones contenidas en los hechos de la demanda solo se quedaron en eso, ya que no tienen soporte probatorio que las respalde</w:t>
      </w:r>
    </w:p>
    <w:p w14:paraId="004540A4" w14:textId="77777777" w:rsidR="0087769D" w:rsidRPr="00F169AB" w:rsidRDefault="0087769D" w:rsidP="0087769D">
      <w:pPr>
        <w:ind w:left="567" w:right="567"/>
        <w:contextualSpacing/>
        <w:jc w:val="both"/>
        <w:rPr>
          <w:rFonts w:ascii="Century Gothic" w:hAnsi="Century Gothic" w:cs="Arial"/>
          <w:i/>
          <w:szCs w:val="24"/>
        </w:rPr>
      </w:pPr>
      <w:r>
        <w:rPr>
          <w:rFonts w:ascii="Century Gothic" w:hAnsi="Century Gothic" w:cs="Arial"/>
          <w:i/>
          <w:szCs w:val="24"/>
        </w:rPr>
        <w:t>(…)</w:t>
      </w:r>
    </w:p>
    <w:p w14:paraId="7BCD84BA" w14:textId="77777777" w:rsidR="0087769D" w:rsidRPr="00F169AB" w:rsidRDefault="0087769D" w:rsidP="0087769D">
      <w:pPr>
        <w:ind w:left="567" w:right="567"/>
        <w:contextualSpacing/>
        <w:jc w:val="both"/>
        <w:rPr>
          <w:rFonts w:ascii="Century Gothic" w:hAnsi="Century Gothic" w:cs="Arial"/>
          <w:i/>
          <w:szCs w:val="24"/>
        </w:rPr>
      </w:pPr>
      <w:r w:rsidRPr="00F169AB">
        <w:rPr>
          <w:rFonts w:ascii="Century Gothic" w:hAnsi="Century Gothic" w:cs="Arial"/>
          <w:i/>
          <w:szCs w:val="24"/>
        </w:rPr>
        <w:lastRenderedPageBreak/>
        <w:t>En consecuencia, no se ha desvirtuado la presunción de legalidad que ampara a los actos demandados y los hechos tenidos en cuenta para adoptar la decisión se encuentran soportados con pruebas regular y oportunamente allegadas durante la actuación previa a la declaratoria de siniestro, razones más que suficientes para desestimar los argumentos del consorcio demandante, aceptar los de la entidad accionada y consecuencialmente negar las pretensiones de la demanda”.</w:t>
      </w:r>
    </w:p>
    <w:p w14:paraId="1669D9C5" w14:textId="77777777" w:rsidR="0087769D" w:rsidRDefault="0087769D" w:rsidP="0087769D">
      <w:pPr>
        <w:spacing w:line="360" w:lineRule="auto"/>
        <w:ind w:right="-142"/>
        <w:contextualSpacing/>
        <w:jc w:val="both"/>
        <w:rPr>
          <w:rFonts w:ascii="Century Gothic" w:hAnsi="Century Gothic" w:cs="Arial"/>
          <w:sz w:val="24"/>
          <w:szCs w:val="24"/>
        </w:rPr>
      </w:pPr>
    </w:p>
    <w:p w14:paraId="75D428B7" w14:textId="77777777" w:rsidR="0087769D" w:rsidRPr="00206A6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b/>
          <w:sz w:val="24"/>
          <w:szCs w:val="24"/>
        </w:rPr>
        <w:t>1.2. El recurso de apelación y su trámite en segunda instancia</w:t>
      </w:r>
    </w:p>
    <w:p w14:paraId="672ADFA0" w14:textId="77777777" w:rsidR="0087769D" w:rsidRDefault="0087769D" w:rsidP="0087769D">
      <w:pPr>
        <w:spacing w:line="360" w:lineRule="auto"/>
        <w:ind w:right="-142"/>
        <w:contextualSpacing/>
        <w:jc w:val="both"/>
        <w:rPr>
          <w:rFonts w:ascii="Century Gothic" w:hAnsi="Century Gothic" w:cs="Arial"/>
          <w:sz w:val="24"/>
          <w:szCs w:val="24"/>
        </w:rPr>
      </w:pPr>
    </w:p>
    <w:p w14:paraId="72D1F3BC" w14:textId="77777777" w:rsidR="0087769D" w:rsidRPr="0021311D" w:rsidRDefault="0087769D" w:rsidP="0087769D">
      <w:pPr>
        <w:spacing w:line="360" w:lineRule="auto"/>
        <w:contextualSpacing/>
        <w:jc w:val="both"/>
        <w:rPr>
          <w:rFonts w:ascii="Century Gothic" w:hAnsi="Century Gothic" w:cs="Arial"/>
          <w:i/>
          <w:szCs w:val="24"/>
        </w:rPr>
      </w:pPr>
      <w:r>
        <w:rPr>
          <w:rFonts w:ascii="Century Gothic" w:hAnsi="Century Gothic" w:cs="Arial"/>
          <w:sz w:val="24"/>
          <w:szCs w:val="24"/>
        </w:rPr>
        <w:t xml:space="preserve">24. </w:t>
      </w:r>
      <w:r w:rsidRPr="00206A6D">
        <w:rPr>
          <w:rFonts w:ascii="Century Gothic" w:hAnsi="Century Gothic" w:cs="Arial"/>
          <w:sz w:val="24"/>
          <w:szCs w:val="24"/>
        </w:rPr>
        <w:t>El 2</w:t>
      </w:r>
      <w:r>
        <w:rPr>
          <w:rFonts w:ascii="Century Gothic" w:hAnsi="Century Gothic" w:cs="Arial"/>
          <w:sz w:val="24"/>
          <w:szCs w:val="24"/>
        </w:rPr>
        <w:t xml:space="preserve"> de febrero</w:t>
      </w:r>
      <w:r w:rsidRPr="00206A6D">
        <w:rPr>
          <w:rFonts w:ascii="Century Gothic" w:hAnsi="Century Gothic" w:cs="Arial"/>
          <w:sz w:val="24"/>
          <w:szCs w:val="24"/>
        </w:rPr>
        <w:t xml:space="preserve"> de 20</w:t>
      </w:r>
      <w:r>
        <w:rPr>
          <w:rFonts w:ascii="Century Gothic" w:hAnsi="Century Gothic" w:cs="Arial"/>
          <w:sz w:val="24"/>
          <w:szCs w:val="24"/>
        </w:rPr>
        <w:t xml:space="preserve">12, el apoderado de la parte demandante </w:t>
      </w:r>
      <w:r w:rsidRPr="00206A6D">
        <w:rPr>
          <w:rFonts w:ascii="Century Gothic" w:hAnsi="Century Gothic" w:cs="Arial"/>
          <w:sz w:val="24"/>
          <w:szCs w:val="24"/>
        </w:rPr>
        <w:t xml:space="preserve">presentó </w:t>
      </w:r>
      <w:r w:rsidRPr="00206A6D">
        <w:rPr>
          <w:rFonts w:ascii="Century Gothic" w:hAnsi="Century Gothic" w:cs="Arial"/>
          <w:b/>
          <w:sz w:val="24"/>
          <w:szCs w:val="24"/>
        </w:rPr>
        <w:t>recurso de apelación</w:t>
      </w:r>
      <w:r>
        <w:rPr>
          <w:rFonts w:ascii="Century Gothic" w:hAnsi="Century Gothic" w:cs="Arial"/>
          <w:sz w:val="24"/>
          <w:szCs w:val="24"/>
        </w:rPr>
        <w:t xml:space="preserve"> en contra de la Sentencia de 15 de diciembre de 2011</w:t>
      </w:r>
      <w:r w:rsidRPr="00206A6D">
        <w:rPr>
          <w:rStyle w:val="Refdenotaalpie"/>
          <w:rFonts w:ascii="Century Gothic" w:hAnsi="Century Gothic" w:cs="Arial"/>
        </w:rPr>
        <w:footnoteReference w:id="7"/>
      </w:r>
      <w:r>
        <w:rPr>
          <w:rFonts w:ascii="Century Gothic" w:hAnsi="Century Gothic" w:cs="Arial"/>
          <w:sz w:val="24"/>
          <w:szCs w:val="24"/>
        </w:rPr>
        <w:t>. En el recurso señaló, en primer lugar, que el Tribunal desconoció que, según el principio constitucional del debido proceso: “</w:t>
      </w:r>
      <w:r w:rsidRPr="00CC1D35">
        <w:rPr>
          <w:rFonts w:ascii="Century Gothic" w:hAnsi="Century Gothic" w:cs="Arial"/>
          <w:i/>
          <w:sz w:val="24"/>
          <w:szCs w:val="24"/>
        </w:rPr>
        <w:t>toda prueba recaudada sin la comparecencia de la persona respecto de la cual se pretende hacer valer es nula; por lo tanto, es inoponible al afectado”.</w:t>
      </w:r>
      <w:r>
        <w:rPr>
          <w:rFonts w:ascii="Century Gothic" w:hAnsi="Century Gothic" w:cs="Arial"/>
          <w:sz w:val="24"/>
          <w:szCs w:val="24"/>
        </w:rPr>
        <w:t xml:space="preserve"> En ese sentido, indicó que el Tribunal no tuvo en cuenta que el Departamento de Boyacá basó la declaratoria del siniestro en pruebas recaudadas “</w:t>
      </w:r>
      <w:r>
        <w:rPr>
          <w:rFonts w:ascii="Century Gothic" w:hAnsi="Century Gothic" w:cs="Arial"/>
          <w:i/>
          <w:sz w:val="24"/>
          <w:szCs w:val="24"/>
        </w:rPr>
        <w:t>unilateralmente sin la comparecencia de los contratistas y la propia compañía de seguros”</w:t>
      </w:r>
      <w:r>
        <w:rPr>
          <w:rFonts w:ascii="Century Gothic" w:hAnsi="Century Gothic" w:cs="Arial"/>
          <w:sz w:val="24"/>
          <w:szCs w:val="24"/>
        </w:rPr>
        <w:t>, y que</w:t>
      </w:r>
      <w:r>
        <w:rPr>
          <w:rFonts w:ascii="Century Gothic" w:hAnsi="Century Gothic" w:cs="Arial"/>
          <w:i/>
          <w:sz w:val="24"/>
          <w:szCs w:val="24"/>
        </w:rPr>
        <w:t xml:space="preserve"> </w:t>
      </w:r>
      <w:r>
        <w:rPr>
          <w:rFonts w:ascii="Century Gothic" w:hAnsi="Century Gothic" w:cs="Arial"/>
          <w:sz w:val="24"/>
          <w:szCs w:val="24"/>
        </w:rPr>
        <w:t>la entidad “</w:t>
      </w:r>
      <w:r>
        <w:rPr>
          <w:rFonts w:ascii="Century Gothic" w:hAnsi="Century Gothic" w:cs="Arial"/>
          <w:i/>
          <w:sz w:val="24"/>
          <w:szCs w:val="24"/>
        </w:rPr>
        <w:t>decidió abstenerse de practicar las pruebas dentro del trámite del recurso de reposición contra la decisión inicial”.</w:t>
      </w:r>
    </w:p>
    <w:p w14:paraId="7B8061BD" w14:textId="77777777" w:rsidR="0087769D" w:rsidRPr="00D82270" w:rsidRDefault="0087769D" w:rsidP="0087769D">
      <w:pPr>
        <w:spacing w:line="360" w:lineRule="auto"/>
        <w:ind w:right="-142"/>
        <w:contextualSpacing/>
        <w:jc w:val="both"/>
        <w:rPr>
          <w:rFonts w:ascii="Century Gothic" w:hAnsi="Century Gothic" w:cs="Arial"/>
          <w:sz w:val="24"/>
          <w:szCs w:val="24"/>
        </w:rPr>
      </w:pPr>
    </w:p>
    <w:p w14:paraId="073285FA" w14:textId="77777777" w:rsidR="0087769D" w:rsidRPr="007A0274" w:rsidRDefault="0087769D" w:rsidP="0087769D">
      <w:pPr>
        <w:spacing w:line="360" w:lineRule="auto"/>
        <w:contextualSpacing/>
        <w:jc w:val="both"/>
        <w:rPr>
          <w:rFonts w:ascii="Century Gothic" w:hAnsi="Century Gothic" w:cs="Arial"/>
          <w:sz w:val="24"/>
          <w:szCs w:val="24"/>
        </w:rPr>
      </w:pPr>
      <w:r>
        <w:rPr>
          <w:rFonts w:ascii="Century Gothic" w:hAnsi="Century Gothic" w:cs="Arial"/>
          <w:sz w:val="24"/>
          <w:szCs w:val="24"/>
        </w:rPr>
        <w:t>25. Adicionalmente, reprochó que el Departamento basara su decisión en transcripciones parciales de “</w:t>
      </w:r>
      <w:r>
        <w:rPr>
          <w:rFonts w:ascii="Century Gothic" w:hAnsi="Century Gothic" w:cs="Arial"/>
          <w:i/>
          <w:sz w:val="24"/>
          <w:szCs w:val="24"/>
        </w:rPr>
        <w:t xml:space="preserve">un dictamen recaudado unilateralmente por ente particular y del cual jamás se corrió traslado a los afectados” </w:t>
      </w:r>
      <w:r>
        <w:rPr>
          <w:rFonts w:ascii="Century Gothic" w:hAnsi="Century Gothic" w:cs="Arial"/>
          <w:sz w:val="24"/>
          <w:szCs w:val="24"/>
        </w:rPr>
        <w:t>y argumentó que, de todas formas, los ingenieros que elaboraron la referida prueba habían aclarado que los defectos de la obra se originaron por “</w:t>
      </w:r>
      <w:r w:rsidRPr="00623204">
        <w:rPr>
          <w:rFonts w:ascii="Century Gothic" w:hAnsi="Century Gothic" w:cs="Arial"/>
          <w:i/>
          <w:sz w:val="24"/>
          <w:szCs w:val="24"/>
        </w:rPr>
        <w:t>la geología de la zona y el impacto del invierno en la región, sumado a la falta de mantenimiento por parte del dueño de la obra</w:t>
      </w:r>
      <w:r>
        <w:rPr>
          <w:rFonts w:ascii="Century Gothic" w:hAnsi="Century Gothic" w:cs="Arial"/>
          <w:sz w:val="24"/>
          <w:szCs w:val="24"/>
        </w:rPr>
        <w:t xml:space="preserve">”, situación que </w:t>
      </w:r>
      <w:r>
        <w:rPr>
          <w:rFonts w:ascii="Century Gothic" w:hAnsi="Century Gothic" w:cs="Arial"/>
          <w:sz w:val="24"/>
          <w:szCs w:val="24"/>
        </w:rPr>
        <w:lastRenderedPageBreak/>
        <w:t>entendió debidamente acreditada en providencias obrantes en el expediente, expedidas por la Contraloría General de Boyacá.</w:t>
      </w:r>
    </w:p>
    <w:p w14:paraId="384A741B" w14:textId="77777777" w:rsidR="0087769D" w:rsidRDefault="0087769D" w:rsidP="0087769D">
      <w:pPr>
        <w:spacing w:line="360" w:lineRule="auto"/>
        <w:ind w:right="-142"/>
        <w:contextualSpacing/>
        <w:jc w:val="both"/>
        <w:rPr>
          <w:rFonts w:ascii="Century Gothic" w:hAnsi="Century Gothic" w:cs="Arial"/>
          <w:sz w:val="24"/>
          <w:szCs w:val="24"/>
        </w:rPr>
      </w:pPr>
    </w:p>
    <w:p w14:paraId="1B54F0B3" w14:textId="77777777" w:rsidR="0087769D" w:rsidRDefault="0087769D" w:rsidP="0087769D">
      <w:pPr>
        <w:spacing w:line="360" w:lineRule="auto"/>
        <w:contextualSpacing/>
        <w:jc w:val="both"/>
        <w:rPr>
          <w:rFonts w:ascii="Century Gothic" w:hAnsi="Century Gothic" w:cs="Arial"/>
          <w:sz w:val="24"/>
          <w:szCs w:val="24"/>
        </w:rPr>
      </w:pPr>
      <w:r>
        <w:rPr>
          <w:rFonts w:ascii="Century Gothic" w:hAnsi="Century Gothic" w:cs="Arial"/>
          <w:sz w:val="24"/>
          <w:szCs w:val="24"/>
        </w:rPr>
        <w:t>26. El 30 de enero de 2013 se corrió traslado a las partes para presentar alegatos de conclusión en segunda instancia</w:t>
      </w:r>
      <w:r>
        <w:rPr>
          <w:rStyle w:val="Refdenotaalpie"/>
          <w:rFonts w:ascii="Century Gothic" w:hAnsi="Century Gothic" w:cs="Arial"/>
        </w:rPr>
        <w:footnoteReference w:id="8"/>
      </w:r>
      <w:r>
        <w:rPr>
          <w:rFonts w:ascii="Century Gothic" w:hAnsi="Century Gothic" w:cs="Arial"/>
          <w:sz w:val="24"/>
          <w:szCs w:val="24"/>
        </w:rPr>
        <w:t>. Las partes guardaron silencio.</w:t>
      </w:r>
    </w:p>
    <w:p w14:paraId="24A2C20B" w14:textId="77777777" w:rsidR="0087769D" w:rsidRPr="00AD5B73" w:rsidRDefault="0087769D" w:rsidP="0087769D">
      <w:pPr>
        <w:tabs>
          <w:tab w:val="left" w:pos="3606"/>
        </w:tabs>
        <w:spacing w:line="360" w:lineRule="auto"/>
        <w:ind w:right="-142"/>
        <w:contextualSpacing/>
        <w:jc w:val="both"/>
        <w:rPr>
          <w:rFonts w:ascii="Century Gothic" w:hAnsi="Century Gothic" w:cs="Arial"/>
          <w:sz w:val="24"/>
          <w:szCs w:val="24"/>
        </w:rPr>
      </w:pPr>
    </w:p>
    <w:p w14:paraId="12FAF09F" w14:textId="77777777" w:rsidR="0087769D" w:rsidRDefault="0087769D" w:rsidP="0087769D">
      <w:pPr>
        <w:spacing w:line="360" w:lineRule="auto"/>
        <w:ind w:right="-142"/>
        <w:contextualSpacing/>
        <w:jc w:val="center"/>
        <w:rPr>
          <w:rFonts w:ascii="Century Gothic" w:hAnsi="Century Gothic" w:cs="Arial"/>
          <w:b/>
          <w:sz w:val="24"/>
          <w:szCs w:val="24"/>
        </w:rPr>
      </w:pPr>
      <w:r>
        <w:rPr>
          <w:rFonts w:ascii="Century Gothic" w:hAnsi="Century Gothic" w:cs="Arial"/>
          <w:b/>
          <w:sz w:val="24"/>
          <w:szCs w:val="24"/>
        </w:rPr>
        <w:t>2.- CONSIDERACIONES</w:t>
      </w:r>
    </w:p>
    <w:p w14:paraId="3FEDC852" w14:textId="77777777" w:rsidR="0087769D" w:rsidRDefault="0087769D" w:rsidP="0087769D">
      <w:pPr>
        <w:spacing w:line="360" w:lineRule="auto"/>
        <w:ind w:right="-142"/>
        <w:contextualSpacing/>
        <w:jc w:val="center"/>
        <w:rPr>
          <w:rFonts w:ascii="Century Gothic" w:hAnsi="Century Gothic" w:cs="Arial"/>
          <w:b/>
          <w:sz w:val="24"/>
          <w:szCs w:val="24"/>
        </w:rPr>
      </w:pPr>
    </w:p>
    <w:p w14:paraId="202AD359" w14:textId="77777777" w:rsidR="0087769D" w:rsidRDefault="0087769D" w:rsidP="0087769D">
      <w:pPr>
        <w:ind w:right="-142"/>
        <w:contextualSpacing/>
        <w:jc w:val="both"/>
        <w:rPr>
          <w:rFonts w:ascii="Century Gothic" w:hAnsi="Century Gothic" w:cs="Arial"/>
          <w:sz w:val="20"/>
          <w:szCs w:val="24"/>
        </w:rPr>
      </w:pPr>
      <w:r>
        <w:rPr>
          <w:rFonts w:ascii="Century Gothic" w:hAnsi="Century Gothic" w:cs="Arial"/>
          <w:sz w:val="20"/>
          <w:szCs w:val="24"/>
        </w:rPr>
        <w:t xml:space="preserve">Contenido: 2.1. Jurisdicción y competencia – 2.2. Hechos probados – 2.3. El problema jurídico – 2.4. El caso concreto – 2.5. Sobre la condena en costas </w:t>
      </w:r>
    </w:p>
    <w:p w14:paraId="25FAC3D7" w14:textId="77777777" w:rsidR="0087769D" w:rsidRDefault="0087769D" w:rsidP="0087769D">
      <w:pPr>
        <w:ind w:right="-142"/>
        <w:contextualSpacing/>
        <w:jc w:val="both"/>
        <w:rPr>
          <w:rFonts w:ascii="Century Gothic" w:hAnsi="Century Gothic" w:cs="Arial"/>
          <w:sz w:val="20"/>
          <w:szCs w:val="24"/>
        </w:rPr>
      </w:pPr>
    </w:p>
    <w:p w14:paraId="2037E606" w14:textId="77777777" w:rsidR="0087769D" w:rsidRPr="00963039" w:rsidRDefault="0087769D" w:rsidP="0087769D">
      <w:pPr>
        <w:ind w:right="-142"/>
        <w:contextualSpacing/>
        <w:jc w:val="both"/>
        <w:rPr>
          <w:rFonts w:ascii="Century Gothic" w:hAnsi="Century Gothic" w:cs="Arial"/>
          <w:sz w:val="20"/>
          <w:szCs w:val="24"/>
        </w:rPr>
      </w:pPr>
    </w:p>
    <w:p w14:paraId="1B8042A2" w14:textId="77777777" w:rsidR="0087769D" w:rsidRDefault="0087769D" w:rsidP="0087769D">
      <w:pPr>
        <w:spacing w:line="360" w:lineRule="auto"/>
        <w:ind w:right="-142"/>
        <w:contextualSpacing/>
        <w:jc w:val="both"/>
        <w:rPr>
          <w:rFonts w:ascii="Century Gothic" w:hAnsi="Century Gothic" w:cs="Arial"/>
          <w:b/>
          <w:sz w:val="24"/>
          <w:szCs w:val="24"/>
        </w:rPr>
      </w:pPr>
      <w:r>
        <w:rPr>
          <w:rFonts w:ascii="Century Gothic" w:hAnsi="Century Gothic" w:cs="Arial"/>
          <w:b/>
          <w:sz w:val="24"/>
          <w:szCs w:val="24"/>
        </w:rPr>
        <w:t>2.</w:t>
      </w:r>
      <w:r w:rsidRPr="007415DD">
        <w:rPr>
          <w:rFonts w:ascii="Century Gothic" w:hAnsi="Century Gothic" w:cs="Arial"/>
          <w:b/>
          <w:sz w:val="24"/>
          <w:szCs w:val="24"/>
        </w:rPr>
        <w:t xml:space="preserve">1. </w:t>
      </w:r>
      <w:r>
        <w:rPr>
          <w:rFonts w:ascii="Century Gothic" w:hAnsi="Century Gothic" w:cs="Arial"/>
          <w:b/>
          <w:sz w:val="24"/>
          <w:szCs w:val="24"/>
        </w:rPr>
        <w:t>Jurisdicción y c</w:t>
      </w:r>
      <w:r w:rsidRPr="007415DD">
        <w:rPr>
          <w:rFonts w:ascii="Century Gothic" w:hAnsi="Century Gothic" w:cs="Arial"/>
          <w:b/>
          <w:sz w:val="24"/>
          <w:szCs w:val="24"/>
        </w:rPr>
        <w:t>ompetencia</w:t>
      </w:r>
      <w:r>
        <w:rPr>
          <w:rFonts w:ascii="Century Gothic" w:hAnsi="Century Gothic" w:cs="Arial"/>
          <w:b/>
          <w:sz w:val="24"/>
          <w:szCs w:val="24"/>
        </w:rPr>
        <w:t xml:space="preserve"> </w:t>
      </w:r>
    </w:p>
    <w:p w14:paraId="2288FB26" w14:textId="77777777" w:rsidR="0087769D" w:rsidRDefault="0087769D" w:rsidP="0087769D">
      <w:pPr>
        <w:spacing w:line="360" w:lineRule="auto"/>
        <w:ind w:right="-142"/>
        <w:contextualSpacing/>
        <w:jc w:val="both"/>
        <w:rPr>
          <w:rFonts w:ascii="Century Gothic" w:hAnsi="Century Gothic" w:cs="Arial"/>
          <w:b/>
          <w:sz w:val="24"/>
          <w:szCs w:val="24"/>
        </w:rPr>
      </w:pPr>
    </w:p>
    <w:p w14:paraId="7C17A06A"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27. De acuerdo con el artículo 82 del Código Contencioso Administrativo (CCA): </w:t>
      </w:r>
      <w:r w:rsidRPr="008F7E1B">
        <w:rPr>
          <w:rFonts w:ascii="Century Gothic" w:hAnsi="Century Gothic" w:cs="Arial"/>
          <w:i/>
          <w:sz w:val="24"/>
          <w:szCs w:val="24"/>
        </w:rPr>
        <w:t>“la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tribunales administrativos y los juzgados administrativos de conformidad con la constitución y la ley”</w:t>
      </w:r>
      <w:r w:rsidRPr="008F7E1B">
        <w:rPr>
          <w:rFonts w:ascii="Century Gothic" w:hAnsi="Century Gothic" w:cs="Arial"/>
          <w:sz w:val="24"/>
          <w:szCs w:val="24"/>
        </w:rPr>
        <w:t>.</w:t>
      </w:r>
      <w:r>
        <w:rPr>
          <w:rFonts w:ascii="Century Gothic" w:hAnsi="Century Gothic" w:cs="Arial"/>
          <w:sz w:val="24"/>
          <w:szCs w:val="24"/>
        </w:rPr>
        <w:t xml:space="preserve"> Así mismo, el artículo 75 de la Ley 80 de 1993 prevé que “</w:t>
      </w:r>
      <w:r>
        <w:rPr>
          <w:rFonts w:ascii="Century Gothic" w:hAnsi="Century Gothic" w:cs="Arial"/>
          <w:i/>
          <w:sz w:val="24"/>
          <w:szCs w:val="24"/>
        </w:rPr>
        <w:t>el juez competente para conocer de las controversias derivadas de los contratos estatales (…) será el de la jurisdicción contencioso administrativa”.</w:t>
      </w:r>
    </w:p>
    <w:p w14:paraId="31720AE1" w14:textId="77777777" w:rsidR="0087769D" w:rsidRDefault="0087769D" w:rsidP="0087769D">
      <w:pPr>
        <w:spacing w:line="360" w:lineRule="auto"/>
        <w:ind w:right="-142"/>
        <w:contextualSpacing/>
        <w:jc w:val="both"/>
        <w:rPr>
          <w:rFonts w:ascii="Century Gothic" w:hAnsi="Century Gothic" w:cs="Arial"/>
          <w:sz w:val="24"/>
          <w:szCs w:val="24"/>
        </w:rPr>
      </w:pPr>
    </w:p>
    <w:p w14:paraId="7F1823B0"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28. </w:t>
      </w:r>
      <w:r w:rsidRPr="00F204B9">
        <w:rPr>
          <w:rFonts w:ascii="Century Gothic" w:hAnsi="Century Gothic" w:cs="Arial"/>
          <w:sz w:val="24"/>
          <w:szCs w:val="24"/>
        </w:rPr>
        <w:t>Por consiguiente, en vista de que en la demanda presentada por</w:t>
      </w:r>
      <w:r>
        <w:rPr>
          <w:rFonts w:ascii="Century Gothic" w:hAnsi="Century Gothic" w:cs="Arial"/>
          <w:sz w:val="24"/>
          <w:szCs w:val="24"/>
        </w:rPr>
        <w:t xml:space="preserve"> el Consorcio ICM Ingenieros Ltda. Suárez y Silva Ingenieros Contratistas</w:t>
      </w:r>
      <w:r w:rsidRPr="00F204B9">
        <w:rPr>
          <w:rFonts w:ascii="Century Gothic" w:hAnsi="Century Gothic" w:cs="Arial"/>
          <w:sz w:val="24"/>
          <w:szCs w:val="24"/>
        </w:rPr>
        <w:t xml:space="preserve"> se</w:t>
      </w:r>
      <w:r>
        <w:rPr>
          <w:rFonts w:ascii="Century Gothic" w:hAnsi="Century Gothic" w:cs="Arial"/>
          <w:sz w:val="24"/>
          <w:szCs w:val="24"/>
        </w:rPr>
        <w:t xml:space="preserve"> elevan pretensiones de nulidad y restablecimiento del derecho de un acto administrativo proferido por una entidad pública con ocasión de un </w:t>
      </w:r>
      <w:r>
        <w:rPr>
          <w:rFonts w:ascii="Century Gothic" w:hAnsi="Century Gothic" w:cs="Arial"/>
          <w:sz w:val="24"/>
          <w:szCs w:val="24"/>
        </w:rPr>
        <w:lastRenderedPageBreak/>
        <w:t xml:space="preserve">contrato estatal, el presente asunto es de conocimiento de la </w:t>
      </w:r>
      <w:r w:rsidRPr="00BE678A">
        <w:rPr>
          <w:rFonts w:ascii="Century Gothic" w:hAnsi="Century Gothic" w:cs="Arial"/>
          <w:b/>
          <w:sz w:val="24"/>
          <w:szCs w:val="24"/>
        </w:rPr>
        <w:t>jurisdicción</w:t>
      </w:r>
      <w:r>
        <w:rPr>
          <w:rFonts w:ascii="Century Gothic" w:hAnsi="Century Gothic" w:cs="Arial"/>
          <w:sz w:val="24"/>
          <w:szCs w:val="24"/>
        </w:rPr>
        <w:t xml:space="preserve"> </w:t>
      </w:r>
      <w:r w:rsidRPr="00054F08">
        <w:rPr>
          <w:rFonts w:ascii="Century Gothic" w:hAnsi="Century Gothic" w:cs="Arial"/>
          <w:b/>
          <w:sz w:val="24"/>
          <w:szCs w:val="24"/>
        </w:rPr>
        <w:t>de lo contencioso administrativo</w:t>
      </w:r>
      <w:r>
        <w:rPr>
          <w:rFonts w:ascii="Century Gothic" w:hAnsi="Century Gothic" w:cs="Arial"/>
          <w:sz w:val="24"/>
          <w:szCs w:val="24"/>
        </w:rPr>
        <w:t>.</w:t>
      </w:r>
    </w:p>
    <w:p w14:paraId="5C1E21DA" w14:textId="77777777" w:rsidR="0087769D" w:rsidRDefault="0087769D" w:rsidP="0087769D">
      <w:pPr>
        <w:spacing w:line="360" w:lineRule="auto"/>
        <w:ind w:right="-142"/>
        <w:contextualSpacing/>
        <w:jc w:val="both"/>
        <w:rPr>
          <w:rFonts w:ascii="Century Gothic" w:hAnsi="Century Gothic" w:cs="Arial"/>
          <w:sz w:val="24"/>
          <w:szCs w:val="24"/>
        </w:rPr>
      </w:pPr>
    </w:p>
    <w:p w14:paraId="0B059F69" w14:textId="77777777" w:rsidR="0087769D" w:rsidRPr="007B51A8" w:rsidRDefault="0087769D" w:rsidP="0087769D">
      <w:pPr>
        <w:spacing w:line="360" w:lineRule="auto"/>
        <w:ind w:right="-142"/>
        <w:contextualSpacing/>
        <w:jc w:val="both"/>
        <w:rPr>
          <w:rFonts w:ascii="Century Gothic" w:hAnsi="Century Gothic" w:cs="Arial"/>
          <w:sz w:val="24"/>
          <w:szCs w:val="24"/>
        </w:rPr>
      </w:pPr>
    </w:p>
    <w:p w14:paraId="71C1323E" w14:textId="77777777" w:rsidR="0087769D" w:rsidRPr="007B51A8"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29. E</w:t>
      </w:r>
      <w:r w:rsidRPr="007415DD">
        <w:rPr>
          <w:rFonts w:ascii="Century Gothic" w:hAnsi="Century Gothic" w:cs="Arial"/>
          <w:sz w:val="24"/>
          <w:szCs w:val="24"/>
        </w:rPr>
        <w:t xml:space="preserve">l Consejo de Estado es </w:t>
      </w:r>
      <w:r w:rsidRPr="00527E2B">
        <w:rPr>
          <w:rFonts w:ascii="Century Gothic" w:hAnsi="Century Gothic" w:cs="Arial"/>
          <w:b/>
          <w:sz w:val="24"/>
          <w:szCs w:val="24"/>
        </w:rPr>
        <w:t>competente</w:t>
      </w:r>
      <w:r w:rsidRPr="007415DD">
        <w:rPr>
          <w:rFonts w:ascii="Century Gothic" w:hAnsi="Century Gothic" w:cs="Arial"/>
          <w:sz w:val="24"/>
          <w:szCs w:val="24"/>
        </w:rPr>
        <w:t xml:space="preserve"> para conocer del presente asunto en virtud del recurso de apelación inte</w:t>
      </w:r>
      <w:r>
        <w:rPr>
          <w:rFonts w:ascii="Century Gothic" w:hAnsi="Century Gothic" w:cs="Arial"/>
          <w:sz w:val="24"/>
          <w:szCs w:val="24"/>
        </w:rPr>
        <w:t>rpuesto por la parte demandante el 28 de febrero de 2012</w:t>
      </w:r>
      <w:r w:rsidRPr="007415DD">
        <w:rPr>
          <w:rFonts w:ascii="Century Gothic" w:hAnsi="Century Gothic" w:cs="Arial"/>
          <w:sz w:val="24"/>
          <w:szCs w:val="24"/>
        </w:rPr>
        <w:t>, en un proceso con vocación de segunda instancia ante esta Corporación</w:t>
      </w:r>
      <w:r>
        <w:rPr>
          <w:rFonts w:ascii="Century Gothic" w:hAnsi="Century Gothic" w:cs="Arial"/>
          <w:sz w:val="24"/>
          <w:szCs w:val="24"/>
        </w:rPr>
        <w:t>, de conformidad con lo establecido en el artículo 129 del CCA</w:t>
      </w:r>
      <w:r>
        <w:rPr>
          <w:rStyle w:val="Refdenotaalpie"/>
          <w:rFonts w:ascii="Century Gothic" w:hAnsi="Century Gothic" w:cs="Arial"/>
        </w:rPr>
        <w:footnoteReference w:id="9"/>
      </w:r>
      <w:r>
        <w:rPr>
          <w:rFonts w:ascii="Century Gothic" w:hAnsi="Century Gothic" w:cs="Arial"/>
          <w:sz w:val="24"/>
          <w:szCs w:val="24"/>
        </w:rPr>
        <w:t>.</w:t>
      </w:r>
    </w:p>
    <w:p w14:paraId="1BB17015" w14:textId="77777777" w:rsidR="0087769D" w:rsidRDefault="0087769D" w:rsidP="0087769D">
      <w:pPr>
        <w:spacing w:line="360" w:lineRule="auto"/>
        <w:ind w:right="-142"/>
        <w:contextualSpacing/>
        <w:jc w:val="both"/>
        <w:rPr>
          <w:rFonts w:ascii="Century Gothic" w:hAnsi="Century Gothic" w:cs="Arial"/>
          <w:sz w:val="24"/>
          <w:szCs w:val="24"/>
        </w:rPr>
      </w:pPr>
    </w:p>
    <w:p w14:paraId="01259D57" w14:textId="77777777" w:rsidR="0087769D" w:rsidRPr="00F642E7" w:rsidRDefault="0087769D" w:rsidP="0087769D">
      <w:pPr>
        <w:spacing w:line="360" w:lineRule="auto"/>
        <w:ind w:right="-142"/>
        <w:contextualSpacing/>
        <w:jc w:val="both"/>
        <w:rPr>
          <w:rFonts w:ascii="Century Gothic" w:hAnsi="Century Gothic" w:cs="Arial"/>
          <w:b/>
          <w:sz w:val="24"/>
          <w:szCs w:val="24"/>
        </w:rPr>
      </w:pPr>
      <w:r>
        <w:rPr>
          <w:rFonts w:ascii="Century Gothic" w:hAnsi="Century Gothic" w:cs="Arial"/>
          <w:b/>
          <w:sz w:val="24"/>
          <w:szCs w:val="24"/>
        </w:rPr>
        <w:t>2.2</w:t>
      </w:r>
      <w:r w:rsidRPr="00001168">
        <w:rPr>
          <w:rFonts w:ascii="Century Gothic" w:hAnsi="Century Gothic" w:cs="Arial"/>
          <w:b/>
          <w:sz w:val="24"/>
          <w:szCs w:val="24"/>
        </w:rPr>
        <w:t>. Hechos probados</w:t>
      </w:r>
      <w:r w:rsidRPr="001E3CA5">
        <w:rPr>
          <w:rFonts w:ascii="Century Gothic" w:hAnsi="Century Gothic" w:cs="Arial"/>
          <w:b/>
          <w:sz w:val="24"/>
          <w:szCs w:val="24"/>
        </w:rPr>
        <w:t xml:space="preserve"> </w:t>
      </w:r>
    </w:p>
    <w:p w14:paraId="1B11BF91" w14:textId="77777777" w:rsidR="0087769D" w:rsidRDefault="0087769D" w:rsidP="0087769D">
      <w:pPr>
        <w:spacing w:line="360" w:lineRule="auto"/>
        <w:ind w:right="-142"/>
        <w:contextualSpacing/>
        <w:jc w:val="both"/>
        <w:rPr>
          <w:rFonts w:ascii="Century Gothic" w:hAnsi="Century Gothic" w:cs="Arial"/>
          <w:sz w:val="24"/>
          <w:szCs w:val="24"/>
        </w:rPr>
      </w:pPr>
    </w:p>
    <w:p w14:paraId="12EED08E"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30. El Departamento de Boyacá –en calidad de contratante- y el Consorcio ICM Ingenieros Ltda. – Suárez y Silva Ltda. Ingenieros Contratistas –en calidad de contratista- celebraron el contrato No. 84 de 4 de diciembre de 2000, con el siguiente objeto (se trascribe)</w:t>
      </w:r>
      <w:r>
        <w:rPr>
          <w:rStyle w:val="Refdenotaalpie"/>
          <w:rFonts w:ascii="Century Gothic" w:hAnsi="Century Gothic" w:cs="Arial"/>
          <w:sz w:val="24"/>
          <w:szCs w:val="24"/>
        </w:rPr>
        <w:footnoteReference w:id="10"/>
      </w:r>
      <w:r>
        <w:rPr>
          <w:rFonts w:ascii="Century Gothic" w:hAnsi="Century Gothic" w:cs="Arial"/>
          <w:sz w:val="24"/>
          <w:szCs w:val="24"/>
        </w:rPr>
        <w:t>:</w:t>
      </w:r>
    </w:p>
    <w:p w14:paraId="6EC3A360" w14:textId="77777777" w:rsidR="0087769D" w:rsidRDefault="0087769D" w:rsidP="0087769D">
      <w:pPr>
        <w:spacing w:line="360" w:lineRule="auto"/>
        <w:ind w:right="-142"/>
        <w:contextualSpacing/>
        <w:jc w:val="both"/>
        <w:rPr>
          <w:rFonts w:ascii="Century Gothic" w:hAnsi="Century Gothic" w:cs="Arial"/>
          <w:sz w:val="24"/>
          <w:szCs w:val="24"/>
        </w:rPr>
      </w:pPr>
    </w:p>
    <w:p w14:paraId="625F7C84" w14:textId="77777777" w:rsidR="0087769D" w:rsidRPr="00640A67" w:rsidRDefault="0087769D" w:rsidP="0087769D">
      <w:pPr>
        <w:ind w:left="567" w:right="567"/>
        <w:contextualSpacing/>
        <w:jc w:val="both"/>
        <w:rPr>
          <w:rFonts w:ascii="Century Gothic" w:hAnsi="Century Gothic" w:cs="Arial"/>
          <w:i/>
          <w:szCs w:val="24"/>
        </w:rPr>
      </w:pPr>
      <w:r w:rsidRPr="00640A67">
        <w:rPr>
          <w:rFonts w:ascii="Century Gothic" w:hAnsi="Century Gothic" w:cs="Arial"/>
          <w:szCs w:val="24"/>
        </w:rPr>
        <w:t>“</w:t>
      </w:r>
      <w:r w:rsidRPr="00640A67">
        <w:rPr>
          <w:rFonts w:ascii="Century Gothic" w:hAnsi="Century Gothic" w:cs="Arial"/>
          <w:i/>
          <w:szCs w:val="24"/>
        </w:rPr>
        <w:t>CLAUSULA PRIMERA: OBJETO.- EL CONTRATISTA se obliga a ejecutar para el DEPARTAMENTO por el sistema de precios unitarios fijos, EL MANTENIMIENTO DE LA VIA GARAGOA – CHINAVITA – SEGUNDA, de conformidad con la propuesta presentada por EL CONTRATISTA, revisada y aprobada por el DEPARTAMENTO, de acuerdo con las especificaciones suministradas por el mismo y bajo las condiciones estipuladas en el presente contrato (…)”</w:t>
      </w:r>
    </w:p>
    <w:p w14:paraId="0438C613" w14:textId="77777777" w:rsidR="0087769D" w:rsidRDefault="0087769D" w:rsidP="0087769D">
      <w:pPr>
        <w:spacing w:line="360" w:lineRule="auto"/>
        <w:ind w:right="-142"/>
        <w:contextualSpacing/>
        <w:jc w:val="both"/>
        <w:rPr>
          <w:rFonts w:ascii="Century Gothic" w:hAnsi="Century Gothic" w:cs="Arial"/>
          <w:sz w:val="24"/>
          <w:szCs w:val="24"/>
        </w:rPr>
      </w:pPr>
    </w:p>
    <w:p w14:paraId="11136C85"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31. El 30 de abril de 2002, las partes del contrato No. 84 de 2000 suscribieron el acta de recibo</w:t>
      </w:r>
      <w:r>
        <w:rPr>
          <w:rStyle w:val="Refdenotaalpie"/>
          <w:rFonts w:ascii="Century Gothic" w:hAnsi="Century Gothic" w:cs="Arial"/>
          <w:sz w:val="24"/>
          <w:szCs w:val="24"/>
        </w:rPr>
        <w:footnoteReference w:id="11"/>
      </w:r>
      <w:r>
        <w:rPr>
          <w:rFonts w:ascii="Century Gothic" w:hAnsi="Century Gothic" w:cs="Arial"/>
          <w:sz w:val="24"/>
          <w:szCs w:val="24"/>
        </w:rPr>
        <w:t xml:space="preserve"> a satisfacción y, el 14 de mayo de 2002, realizaron su liquidación bilateral</w:t>
      </w:r>
      <w:r>
        <w:rPr>
          <w:rStyle w:val="Refdenotaalpie"/>
          <w:rFonts w:ascii="Century Gothic" w:hAnsi="Century Gothic" w:cs="Arial"/>
          <w:sz w:val="24"/>
          <w:szCs w:val="24"/>
        </w:rPr>
        <w:footnoteReference w:id="12"/>
      </w:r>
      <w:r>
        <w:rPr>
          <w:rFonts w:ascii="Century Gothic" w:hAnsi="Century Gothic" w:cs="Arial"/>
          <w:sz w:val="24"/>
          <w:szCs w:val="24"/>
        </w:rPr>
        <w:t>.</w:t>
      </w:r>
    </w:p>
    <w:p w14:paraId="3136E4D6" w14:textId="77777777" w:rsidR="0087769D" w:rsidRDefault="0087769D" w:rsidP="0087769D">
      <w:pPr>
        <w:spacing w:line="360" w:lineRule="auto"/>
        <w:ind w:right="-142"/>
        <w:contextualSpacing/>
        <w:jc w:val="both"/>
        <w:rPr>
          <w:rFonts w:ascii="Century Gothic" w:hAnsi="Century Gothic" w:cs="Arial"/>
          <w:sz w:val="24"/>
          <w:szCs w:val="24"/>
        </w:rPr>
      </w:pPr>
    </w:p>
    <w:p w14:paraId="21F5BA43"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32. Para garantizar el cumplimiento de las obligaciones del contrato a cargo del consorcio, la compañía Seguros del Estado S.A. expidió la “póliza única de seguro de cumplimiento en favor de entidades estatales (Ley 80 de 1993)” No. 9763210, la cual incluía los amparos de cumplimiento, anticipo, prestaciones sociales y estabilidad de la obra</w:t>
      </w:r>
      <w:r>
        <w:rPr>
          <w:rStyle w:val="Refdenotaalpie"/>
          <w:rFonts w:ascii="Century Gothic" w:hAnsi="Century Gothic" w:cs="Arial"/>
          <w:sz w:val="24"/>
          <w:szCs w:val="24"/>
        </w:rPr>
        <w:footnoteReference w:id="13"/>
      </w:r>
      <w:r>
        <w:rPr>
          <w:rFonts w:ascii="Century Gothic" w:hAnsi="Century Gothic" w:cs="Arial"/>
          <w:sz w:val="24"/>
          <w:szCs w:val="24"/>
        </w:rPr>
        <w:t>. Esta póliza fue objeto de varias modificaciones</w:t>
      </w:r>
      <w:r>
        <w:rPr>
          <w:rStyle w:val="Refdenotaalpie"/>
          <w:rFonts w:ascii="Century Gothic" w:hAnsi="Century Gothic" w:cs="Arial"/>
          <w:sz w:val="24"/>
          <w:szCs w:val="24"/>
        </w:rPr>
        <w:footnoteReference w:id="14"/>
      </w:r>
      <w:r>
        <w:rPr>
          <w:rFonts w:ascii="Century Gothic" w:hAnsi="Century Gothic" w:cs="Arial"/>
          <w:sz w:val="24"/>
          <w:szCs w:val="24"/>
        </w:rPr>
        <w:t>. En el último anexo de modificación, expedido el 6 de diciembre de 2002, se lee lo siguiente (se trascribe)</w:t>
      </w:r>
      <w:r>
        <w:rPr>
          <w:rStyle w:val="Refdenotaalpie"/>
          <w:rFonts w:ascii="Century Gothic" w:hAnsi="Century Gothic" w:cs="Arial"/>
          <w:sz w:val="24"/>
          <w:szCs w:val="24"/>
        </w:rPr>
        <w:footnoteReference w:id="15"/>
      </w:r>
      <w:r>
        <w:rPr>
          <w:rFonts w:ascii="Century Gothic" w:hAnsi="Century Gothic" w:cs="Arial"/>
          <w:sz w:val="24"/>
          <w:szCs w:val="24"/>
        </w:rPr>
        <w:t>:</w:t>
      </w:r>
    </w:p>
    <w:p w14:paraId="6AF771FB" w14:textId="77777777" w:rsidR="0087769D" w:rsidRPr="00BE2DD9" w:rsidRDefault="0087769D" w:rsidP="0087769D">
      <w:pPr>
        <w:ind w:left="567"/>
        <w:contextualSpacing/>
        <w:jc w:val="both"/>
        <w:rPr>
          <w:rFonts w:ascii="Century Gothic" w:hAnsi="Century Gothic" w:cs="Arial"/>
          <w:i/>
          <w:szCs w:val="24"/>
        </w:rPr>
      </w:pPr>
      <w:r w:rsidRPr="00BE2DD9">
        <w:rPr>
          <w:rFonts w:ascii="Century Gothic" w:hAnsi="Century Gothic"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086"/>
        <w:gridCol w:w="2086"/>
        <w:gridCol w:w="2307"/>
      </w:tblGrid>
      <w:tr w:rsidR="0087769D" w:rsidRPr="00BE2DD9" w14:paraId="50C1E2FA" w14:textId="77777777" w:rsidTr="00656F32">
        <w:tc>
          <w:tcPr>
            <w:tcW w:w="2245" w:type="dxa"/>
            <w:shd w:val="clear" w:color="auto" w:fill="auto"/>
          </w:tcPr>
          <w:p w14:paraId="31DC9BA0" w14:textId="77777777" w:rsidR="0087769D" w:rsidRPr="00BE2DD9" w:rsidRDefault="0087769D" w:rsidP="00656F32">
            <w:pPr>
              <w:ind w:left="567"/>
              <w:contextualSpacing/>
              <w:jc w:val="center"/>
              <w:rPr>
                <w:rFonts w:ascii="Century Gothic" w:hAnsi="Century Gothic" w:cs="Arial"/>
                <w:i/>
                <w:szCs w:val="24"/>
              </w:rPr>
            </w:pPr>
            <w:r w:rsidRPr="00BE2DD9">
              <w:rPr>
                <w:rFonts w:ascii="Century Gothic" w:hAnsi="Century Gothic" w:cs="Arial"/>
                <w:i/>
                <w:szCs w:val="24"/>
              </w:rPr>
              <w:t>Amparos</w:t>
            </w:r>
          </w:p>
        </w:tc>
        <w:tc>
          <w:tcPr>
            <w:tcW w:w="2245" w:type="dxa"/>
            <w:shd w:val="clear" w:color="auto" w:fill="auto"/>
          </w:tcPr>
          <w:p w14:paraId="774B2343" w14:textId="77777777" w:rsidR="0087769D" w:rsidRPr="00BE2DD9" w:rsidRDefault="0087769D" w:rsidP="00656F32">
            <w:pPr>
              <w:ind w:left="567"/>
              <w:contextualSpacing/>
              <w:jc w:val="center"/>
              <w:rPr>
                <w:rFonts w:ascii="Century Gothic" w:hAnsi="Century Gothic" w:cs="Arial"/>
                <w:i/>
                <w:szCs w:val="24"/>
              </w:rPr>
            </w:pPr>
            <w:r w:rsidRPr="00BE2DD9">
              <w:rPr>
                <w:rFonts w:ascii="Century Gothic" w:hAnsi="Century Gothic" w:cs="Arial"/>
                <w:i/>
                <w:szCs w:val="24"/>
              </w:rPr>
              <w:t>Vigencia Inicial</w:t>
            </w:r>
          </w:p>
        </w:tc>
        <w:tc>
          <w:tcPr>
            <w:tcW w:w="2245" w:type="dxa"/>
            <w:shd w:val="clear" w:color="auto" w:fill="auto"/>
          </w:tcPr>
          <w:p w14:paraId="1894AEE3" w14:textId="77777777" w:rsidR="0087769D" w:rsidRPr="00BE2DD9" w:rsidRDefault="0087769D" w:rsidP="00656F32">
            <w:pPr>
              <w:ind w:left="567"/>
              <w:contextualSpacing/>
              <w:jc w:val="center"/>
              <w:rPr>
                <w:rFonts w:ascii="Century Gothic" w:hAnsi="Century Gothic" w:cs="Arial"/>
                <w:i/>
                <w:szCs w:val="24"/>
              </w:rPr>
            </w:pPr>
            <w:r w:rsidRPr="00BE2DD9">
              <w:rPr>
                <w:rFonts w:ascii="Century Gothic" w:hAnsi="Century Gothic" w:cs="Arial"/>
                <w:i/>
                <w:szCs w:val="24"/>
              </w:rPr>
              <w:t>Vigencia Final</w:t>
            </w:r>
          </w:p>
        </w:tc>
        <w:tc>
          <w:tcPr>
            <w:tcW w:w="2245" w:type="dxa"/>
            <w:shd w:val="clear" w:color="auto" w:fill="auto"/>
          </w:tcPr>
          <w:p w14:paraId="1B060386" w14:textId="77777777" w:rsidR="0087769D" w:rsidRPr="00BE2DD9" w:rsidRDefault="0087769D" w:rsidP="00656F32">
            <w:pPr>
              <w:ind w:left="567"/>
              <w:contextualSpacing/>
              <w:jc w:val="center"/>
              <w:rPr>
                <w:rFonts w:ascii="Century Gothic" w:hAnsi="Century Gothic" w:cs="Arial"/>
                <w:i/>
                <w:szCs w:val="24"/>
              </w:rPr>
            </w:pPr>
            <w:r w:rsidRPr="00BE2DD9">
              <w:rPr>
                <w:rFonts w:ascii="Century Gothic" w:hAnsi="Century Gothic" w:cs="Arial"/>
                <w:i/>
                <w:szCs w:val="24"/>
              </w:rPr>
              <w:t>Valor Asegurado</w:t>
            </w:r>
          </w:p>
        </w:tc>
      </w:tr>
      <w:tr w:rsidR="0087769D" w:rsidRPr="00BE2DD9" w14:paraId="42484144" w14:textId="77777777" w:rsidTr="00656F32">
        <w:tc>
          <w:tcPr>
            <w:tcW w:w="2245" w:type="dxa"/>
            <w:shd w:val="clear" w:color="auto" w:fill="auto"/>
          </w:tcPr>
          <w:p w14:paraId="392D6C9C" w14:textId="77777777" w:rsidR="0087769D" w:rsidRPr="00BE2DD9" w:rsidRDefault="0087769D" w:rsidP="00656F32">
            <w:pPr>
              <w:ind w:left="567"/>
              <w:contextualSpacing/>
              <w:jc w:val="center"/>
              <w:rPr>
                <w:rFonts w:ascii="Century Gothic" w:hAnsi="Century Gothic" w:cs="Arial"/>
                <w:i/>
                <w:szCs w:val="24"/>
              </w:rPr>
            </w:pPr>
            <w:r w:rsidRPr="00BE2DD9">
              <w:rPr>
                <w:rFonts w:ascii="Century Gothic" w:hAnsi="Century Gothic" w:cs="Arial"/>
                <w:i/>
                <w:szCs w:val="24"/>
              </w:rPr>
              <w:t>ESTABILIDAD DE OBRA</w:t>
            </w:r>
          </w:p>
        </w:tc>
        <w:tc>
          <w:tcPr>
            <w:tcW w:w="2245" w:type="dxa"/>
            <w:shd w:val="clear" w:color="auto" w:fill="auto"/>
          </w:tcPr>
          <w:p w14:paraId="1EAC63B5" w14:textId="77777777" w:rsidR="0087769D" w:rsidRPr="00BE2DD9" w:rsidRDefault="0087769D" w:rsidP="00656F32">
            <w:pPr>
              <w:ind w:left="567"/>
              <w:contextualSpacing/>
              <w:jc w:val="center"/>
              <w:rPr>
                <w:rFonts w:ascii="Century Gothic" w:hAnsi="Century Gothic" w:cs="Arial"/>
                <w:i/>
                <w:szCs w:val="24"/>
              </w:rPr>
            </w:pPr>
            <w:r w:rsidRPr="00BE2DD9">
              <w:rPr>
                <w:rFonts w:ascii="Century Gothic" w:hAnsi="Century Gothic" w:cs="Arial"/>
                <w:i/>
                <w:szCs w:val="24"/>
              </w:rPr>
              <w:t>30/04/2002</w:t>
            </w:r>
          </w:p>
        </w:tc>
        <w:tc>
          <w:tcPr>
            <w:tcW w:w="2245" w:type="dxa"/>
            <w:shd w:val="clear" w:color="auto" w:fill="auto"/>
          </w:tcPr>
          <w:p w14:paraId="5679D1B9" w14:textId="77777777" w:rsidR="0087769D" w:rsidRPr="00BE2DD9" w:rsidRDefault="0087769D" w:rsidP="00656F32">
            <w:pPr>
              <w:ind w:left="567"/>
              <w:contextualSpacing/>
              <w:jc w:val="center"/>
              <w:rPr>
                <w:rFonts w:ascii="Century Gothic" w:hAnsi="Century Gothic" w:cs="Arial"/>
                <w:i/>
                <w:szCs w:val="24"/>
              </w:rPr>
            </w:pPr>
            <w:r w:rsidRPr="00BE2DD9">
              <w:rPr>
                <w:rFonts w:ascii="Century Gothic" w:hAnsi="Century Gothic" w:cs="Arial"/>
                <w:i/>
                <w:szCs w:val="24"/>
              </w:rPr>
              <w:t>30/04/2007</w:t>
            </w:r>
          </w:p>
        </w:tc>
        <w:tc>
          <w:tcPr>
            <w:tcW w:w="2245" w:type="dxa"/>
            <w:shd w:val="clear" w:color="auto" w:fill="auto"/>
          </w:tcPr>
          <w:p w14:paraId="1A6F7E2D" w14:textId="77777777" w:rsidR="0087769D" w:rsidRPr="00BE2DD9" w:rsidRDefault="0087769D" w:rsidP="00656F32">
            <w:pPr>
              <w:ind w:left="567"/>
              <w:contextualSpacing/>
              <w:jc w:val="center"/>
              <w:rPr>
                <w:rFonts w:ascii="Century Gothic" w:hAnsi="Century Gothic" w:cs="Arial"/>
                <w:i/>
                <w:szCs w:val="24"/>
              </w:rPr>
            </w:pPr>
            <w:r w:rsidRPr="00BE2DD9">
              <w:rPr>
                <w:rFonts w:ascii="Century Gothic" w:hAnsi="Century Gothic" w:cs="Arial"/>
                <w:i/>
                <w:szCs w:val="24"/>
              </w:rPr>
              <w:t>901,151,749.20</w:t>
            </w:r>
          </w:p>
        </w:tc>
      </w:tr>
    </w:tbl>
    <w:p w14:paraId="68FC9B07" w14:textId="77777777" w:rsidR="0087769D" w:rsidRPr="00BE2DD9" w:rsidRDefault="0087769D" w:rsidP="0087769D">
      <w:pPr>
        <w:ind w:left="567"/>
        <w:contextualSpacing/>
        <w:jc w:val="both"/>
        <w:rPr>
          <w:rFonts w:ascii="Century Gothic" w:hAnsi="Century Gothic" w:cs="Arial"/>
          <w:i/>
          <w:szCs w:val="24"/>
        </w:rPr>
      </w:pPr>
    </w:p>
    <w:p w14:paraId="3DD446C4" w14:textId="77777777" w:rsidR="0087769D" w:rsidRPr="00BE2DD9" w:rsidRDefault="0087769D" w:rsidP="0087769D">
      <w:pPr>
        <w:ind w:left="567" w:right="567"/>
        <w:contextualSpacing/>
        <w:jc w:val="both"/>
        <w:rPr>
          <w:rFonts w:ascii="Century Gothic" w:hAnsi="Century Gothic" w:cs="Arial"/>
          <w:i/>
          <w:szCs w:val="24"/>
        </w:rPr>
      </w:pPr>
      <w:r w:rsidRPr="00BE2DD9">
        <w:rPr>
          <w:rFonts w:ascii="Century Gothic" w:hAnsi="Century Gothic" w:cs="Arial"/>
          <w:i/>
          <w:szCs w:val="24"/>
        </w:rPr>
        <w:t>POR MEDIO DEL PRESENTE ANEXO SE HACE CONSTAR QUE SEGUN ACTA DE RECIBO FINAL DE OBRA DE FECHA 30 DE ABRIL DE 2002 SE EFECTUAN LAS SIGUIENTES MODIFICACIONES:</w:t>
      </w:r>
    </w:p>
    <w:p w14:paraId="13ABA446" w14:textId="77777777" w:rsidR="0087769D" w:rsidRPr="00BE2DD9" w:rsidRDefault="0087769D" w:rsidP="0087769D">
      <w:pPr>
        <w:ind w:left="567" w:right="567"/>
        <w:contextualSpacing/>
        <w:jc w:val="both"/>
        <w:rPr>
          <w:rFonts w:ascii="Century Gothic" w:hAnsi="Century Gothic" w:cs="Arial"/>
          <w:i/>
          <w:szCs w:val="24"/>
        </w:rPr>
      </w:pPr>
      <w:r w:rsidRPr="00BE2DD9">
        <w:rPr>
          <w:rFonts w:ascii="Century Gothic" w:hAnsi="Century Gothic" w:cs="Arial"/>
          <w:i/>
          <w:szCs w:val="24"/>
        </w:rPr>
        <w:t>(…)</w:t>
      </w:r>
    </w:p>
    <w:p w14:paraId="3AC9C774" w14:textId="77777777" w:rsidR="0087769D" w:rsidRPr="00BE2DD9" w:rsidRDefault="0087769D" w:rsidP="0087769D">
      <w:pPr>
        <w:ind w:left="567" w:right="567"/>
        <w:contextualSpacing/>
        <w:jc w:val="both"/>
        <w:rPr>
          <w:rFonts w:ascii="Century Gothic" w:hAnsi="Century Gothic" w:cs="Arial"/>
          <w:i/>
          <w:szCs w:val="24"/>
        </w:rPr>
      </w:pPr>
      <w:r w:rsidRPr="00BE2DD9">
        <w:rPr>
          <w:rFonts w:ascii="Century Gothic" w:hAnsi="Century Gothic" w:cs="Arial"/>
          <w:i/>
          <w:szCs w:val="24"/>
        </w:rPr>
        <w:t>SE INCLUYE LA VIGENCIA DEL AMPARO DE ESTABILIDAD QUE ES DE CINCO (5) AÑOS”.</w:t>
      </w:r>
    </w:p>
    <w:p w14:paraId="69F5858E" w14:textId="77777777" w:rsidR="0087769D" w:rsidRDefault="0087769D" w:rsidP="0087769D">
      <w:pPr>
        <w:spacing w:line="360" w:lineRule="auto"/>
        <w:ind w:right="-142"/>
        <w:contextualSpacing/>
        <w:jc w:val="both"/>
        <w:rPr>
          <w:rFonts w:ascii="Century Gothic" w:hAnsi="Century Gothic" w:cs="Arial"/>
          <w:sz w:val="24"/>
          <w:szCs w:val="24"/>
        </w:rPr>
      </w:pPr>
    </w:p>
    <w:p w14:paraId="0B117F51"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33. Mediante Resolución No. 185 de 11 de mayo de 2004, el Departamento de Boyacá declaró la ocurrencia del siniestro de estabilidad de la obra de la póliza No. 9763210 expedida por Seguros del Estado S.A</w:t>
      </w:r>
      <w:r>
        <w:rPr>
          <w:rStyle w:val="Refdenotaalpie"/>
          <w:rFonts w:ascii="Century Gothic" w:hAnsi="Century Gothic" w:cs="Arial"/>
          <w:sz w:val="24"/>
          <w:szCs w:val="24"/>
        </w:rPr>
        <w:footnoteReference w:id="16"/>
      </w:r>
      <w:r>
        <w:rPr>
          <w:rFonts w:ascii="Century Gothic" w:hAnsi="Century Gothic" w:cs="Arial"/>
          <w:sz w:val="24"/>
          <w:szCs w:val="24"/>
        </w:rPr>
        <w:t>. En este acto administrativo la entidad indicó (se trascribe):</w:t>
      </w:r>
    </w:p>
    <w:p w14:paraId="394DFB07" w14:textId="77777777" w:rsidR="0087769D" w:rsidRDefault="0087769D" w:rsidP="0087769D">
      <w:pPr>
        <w:spacing w:line="360" w:lineRule="auto"/>
        <w:ind w:right="-142"/>
        <w:contextualSpacing/>
        <w:jc w:val="both"/>
        <w:rPr>
          <w:rFonts w:ascii="Century Gothic" w:hAnsi="Century Gothic" w:cs="Arial"/>
          <w:sz w:val="24"/>
          <w:szCs w:val="24"/>
        </w:rPr>
      </w:pPr>
    </w:p>
    <w:p w14:paraId="7FA402A5" w14:textId="77777777" w:rsidR="0087769D" w:rsidRPr="00B569F7" w:rsidRDefault="0087769D" w:rsidP="0087769D">
      <w:pPr>
        <w:ind w:left="567" w:right="567"/>
        <w:contextualSpacing/>
        <w:jc w:val="both"/>
        <w:rPr>
          <w:rFonts w:ascii="Century Gothic" w:hAnsi="Century Gothic" w:cs="Arial"/>
          <w:i/>
          <w:szCs w:val="24"/>
        </w:rPr>
      </w:pPr>
      <w:r w:rsidRPr="00B569F7">
        <w:rPr>
          <w:rFonts w:ascii="Century Gothic" w:hAnsi="Century Gothic" w:cs="Arial"/>
          <w:szCs w:val="24"/>
        </w:rPr>
        <w:t>“</w:t>
      </w:r>
      <w:r w:rsidRPr="00B569F7">
        <w:rPr>
          <w:rFonts w:ascii="Century Gothic" w:hAnsi="Century Gothic" w:cs="Arial"/>
          <w:i/>
          <w:szCs w:val="24"/>
        </w:rPr>
        <w:t>CONSIDERANDO:</w:t>
      </w:r>
    </w:p>
    <w:p w14:paraId="5206829B" w14:textId="77777777" w:rsidR="0087769D" w:rsidRPr="00B569F7" w:rsidRDefault="0087769D" w:rsidP="0087769D">
      <w:pPr>
        <w:ind w:left="567" w:right="567"/>
        <w:contextualSpacing/>
        <w:jc w:val="both"/>
        <w:rPr>
          <w:rFonts w:ascii="Century Gothic" w:hAnsi="Century Gothic" w:cs="Arial"/>
          <w:i/>
          <w:szCs w:val="24"/>
        </w:rPr>
      </w:pPr>
      <w:r w:rsidRPr="00B569F7">
        <w:rPr>
          <w:rFonts w:ascii="Century Gothic" w:hAnsi="Century Gothic" w:cs="Arial"/>
          <w:i/>
          <w:szCs w:val="24"/>
        </w:rPr>
        <w:t>Que el 7 de noviembre de 2002 el Ingeniero JORGE AVELLA LOPEZ, Director Regional Boyacá de INVIAS, mediante oficio Nro. 001719 notifica al señor Gobernador que en desarrollo del Contrato Interadministrativo 640/99 y de conformidad con la cláusula octava del acto administrativo Nro. 1 del contrato referido, luego de la visita practicada el día 31 de octubre de 2002 a las obras contratadas en el tramo Puente Camacho – Jenesano, Tibaná-</w:t>
      </w:r>
      <w:proofErr w:type="spellStart"/>
      <w:r w:rsidRPr="00B569F7">
        <w:rPr>
          <w:rFonts w:ascii="Century Gothic" w:hAnsi="Century Gothic" w:cs="Arial"/>
          <w:i/>
          <w:szCs w:val="24"/>
        </w:rPr>
        <w:t>Chinavita</w:t>
      </w:r>
      <w:proofErr w:type="spellEnd"/>
      <w:r w:rsidRPr="00B569F7">
        <w:rPr>
          <w:rFonts w:ascii="Century Gothic" w:hAnsi="Century Gothic" w:cs="Arial"/>
          <w:i/>
          <w:szCs w:val="24"/>
        </w:rPr>
        <w:t xml:space="preserve">-Garagoa por el </w:t>
      </w:r>
      <w:r w:rsidRPr="00B569F7">
        <w:rPr>
          <w:rFonts w:ascii="Century Gothic" w:hAnsi="Century Gothic" w:cs="Arial"/>
          <w:i/>
          <w:szCs w:val="24"/>
        </w:rPr>
        <w:lastRenderedPageBreak/>
        <w:t xml:space="preserve">DEPARTAMENTO, con la asistencia de las siguientes personas: Ingeniero Jorge E. AVELLA LOPEZ, Director Regional Invias; Ingeniero NELSON LOZADA Supervisor de Obra por parte del Departamento; (…) OSCAR HERNANDO MORALES Director Interventoría sector Garagoa – </w:t>
      </w:r>
      <w:proofErr w:type="spellStart"/>
      <w:r w:rsidRPr="00B569F7">
        <w:rPr>
          <w:rFonts w:ascii="Century Gothic" w:hAnsi="Century Gothic" w:cs="Arial"/>
          <w:i/>
          <w:szCs w:val="24"/>
        </w:rPr>
        <w:t>Chinavita</w:t>
      </w:r>
      <w:proofErr w:type="spellEnd"/>
      <w:r w:rsidRPr="00B569F7">
        <w:rPr>
          <w:rFonts w:ascii="Century Gothic" w:hAnsi="Century Gothic" w:cs="Arial"/>
          <w:i/>
          <w:szCs w:val="24"/>
        </w:rPr>
        <w:t>; Ingeniero GUILLERMO BEJARANO Veedor ciudadano e Ingeniero JOSE D. VERGARA, funcionario INVIAS, se encontraron defectos en las obras construidas, algunas de ellas imputables a los contratistas, las cuales se especificaron e individualizaron.</w:t>
      </w:r>
    </w:p>
    <w:p w14:paraId="5ECD4827" w14:textId="77777777" w:rsidR="0087769D" w:rsidRPr="00B569F7" w:rsidRDefault="0087769D" w:rsidP="0087769D">
      <w:pPr>
        <w:ind w:left="567" w:right="567"/>
        <w:contextualSpacing/>
        <w:jc w:val="both"/>
        <w:rPr>
          <w:rFonts w:ascii="Century Gothic" w:hAnsi="Century Gothic" w:cs="Arial"/>
          <w:i/>
          <w:szCs w:val="24"/>
        </w:rPr>
      </w:pPr>
    </w:p>
    <w:p w14:paraId="0455E3D4" w14:textId="77777777" w:rsidR="0087769D" w:rsidRPr="00B569F7" w:rsidRDefault="0087769D" w:rsidP="0087769D">
      <w:pPr>
        <w:ind w:left="567" w:right="567"/>
        <w:contextualSpacing/>
        <w:jc w:val="both"/>
        <w:rPr>
          <w:rFonts w:ascii="Century Gothic" w:hAnsi="Century Gothic" w:cs="Arial"/>
          <w:i/>
          <w:szCs w:val="24"/>
        </w:rPr>
      </w:pPr>
      <w:r w:rsidRPr="00B569F7">
        <w:rPr>
          <w:rFonts w:ascii="Century Gothic" w:hAnsi="Century Gothic" w:cs="Arial"/>
          <w:i/>
          <w:szCs w:val="24"/>
        </w:rPr>
        <w:t>Que el Contratista CONSORCIO ICM INGENIEROS LTDA – SUAREZ Y SILVA LTDA INGENIEROS CONTRATISTAS, ha incumplido en forma ostensible y grave las obligaciones dimanadas del Contrato de Obra Nro. 084 de 2000, suscrito con el del DEPARTAMENTO DE BOYACÁ, en desarrollo del Convenio Interadministrativo Nro. 640 de 1999, consistente en la mala calidad técnica de las obras ejecutadas, circunstancia esta que se demuestra a través de los informes presentados por el Invias Regional Boyacá, el Supervisor del Convenio Ingeniero NELSON LOZADA, la Interventoría contratada y las diferentes instituciones y corporaciones como veedurías ciudadanas, concejos municipales, person</w:t>
      </w:r>
      <w:r>
        <w:rPr>
          <w:rFonts w:ascii="Century Gothic" w:hAnsi="Century Gothic" w:cs="Arial"/>
          <w:i/>
          <w:szCs w:val="24"/>
        </w:rPr>
        <w:t xml:space="preserve">eros locales, alcaldes, </w:t>
      </w:r>
      <w:proofErr w:type="spellStart"/>
      <w:r>
        <w:rPr>
          <w:rFonts w:ascii="Century Gothic" w:hAnsi="Century Gothic" w:cs="Arial"/>
          <w:i/>
          <w:szCs w:val="24"/>
        </w:rPr>
        <w:t>etc</w:t>
      </w:r>
      <w:proofErr w:type="spellEnd"/>
      <w:r>
        <w:rPr>
          <w:rFonts w:ascii="Century Gothic" w:hAnsi="Century Gothic" w:cs="Arial"/>
          <w:i/>
          <w:szCs w:val="24"/>
        </w:rPr>
        <w:t xml:space="preserve"> (…)</w:t>
      </w:r>
    </w:p>
    <w:p w14:paraId="6E11DF74" w14:textId="77777777" w:rsidR="0087769D" w:rsidRPr="00B569F7" w:rsidRDefault="0087769D" w:rsidP="0087769D">
      <w:pPr>
        <w:ind w:left="567" w:right="567"/>
        <w:contextualSpacing/>
        <w:jc w:val="both"/>
        <w:rPr>
          <w:rFonts w:ascii="Century Gothic" w:hAnsi="Century Gothic" w:cs="Arial"/>
          <w:i/>
          <w:szCs w:val="24"/>
        </w:rPr>
      </w:pPr>
      <w:r w:rsidRPr="00B569F7">
        <w:rPr>
          <w:rFonts w:ascii="Century Gothic" w:hAnsi="Century Gothic" w:cs="Arial"/>
          <w:i/>
          <w:szCs w:val="24"/>
        </w:rPr>
        <w:t>Que ante la negativa del Contratista para corregir las fallas técnicas imputables a éste, que afectan la estabilidad de la obra ejecutada y, al silencio de la interventoría contratada, la Secretaría de Obras del Departamento de Boyacá, comisionó a los ingenieros EVIDALIA COLMENARES CAÑON, ALBA ROCIO RAMIREZ LASSO, MARCELA ELVIRA ROJAS y GUILLERMO FLECHAS FAJARDO, para que presentara un informe técnico y peritaje a cada una de las obras contratadas y ejecutadas en desarrollo del convenio interadministrativo No 640 de 1999, inspección que fue desarrollada durante los días 30 de enero, 2 y 5 de febrero de 2004.</w:t>
      </w:r>
    </w:p>
    <w:p w14:paraId="3EB6621F" w14:textId="77777777" w:rsidR="0087769D" w:rsidRPr="00B569F7" w:rsidRDefault="0087769D" w:rsidP="0087769D">
      <w:pPr>
        <w:ind w:left="567" w:right="567"/>
        <w:contextualSpacing/>
        <w:jc w:val="both"/>
        <w:rPr>
          <w:rFonts w:ascii="Century Gothic" w:hAnsi="Century Gothic" w:cs="Arial"/>
          <w:i/>
          <w:szCs w:val="24"/>
        </w:rPr>
      </w:pPr>
      <w:r w:rsidRPr="00B569F7">
        <w:rPr>
          <w:rFonts w:ascii="Century Gothic" w:hAnsi="Century Gothic" w:cs="Arial"/>
          <w:i/>
          <w:szCs w:val="24"/>
        </w:rPr>
        <w:t xml:space="preserve">Que con fundamento en la inspección realizada por los profesionales citados, estos pudieron establecer en forma clara y precisa el estado actual y real de las obras ejecutadas por el CONSORCIO ICM INGENIEROS LTDA – SUAREZ Y SILVA LTDA INGENIEROS CONTRATISTAS, contenidas en el contrato No 084 de 2000 (cuya ubicación, descripción, especificación, individualización y costo de la reparación del daño, se encuentra contenido en dicho informe), informe presentado por los ingenieros, en documento escrito donde hacen un inventario pormenorizado de las diversas fallas técnicas que presenta la obra, diagnostican con precisión los daños encontrados al momento de la visita, las causas y razones que la originaron, las fallas técnicas y el presupuesto de reparación de cada uno de los daños ocasionados a la estructura de la obra, valor que fue estimado en la suma de: CIENTO SESENTA Y CUATRO MILLONES SETECIENTOS CINCUENTA Y CUATRO MIL CERO VEINTISIETE PESOS CON </w:t>
      </w:r>
      <w:r>
        <w:rPr>
          <w:rFonts w:ascii="Century Gothic" w:hAnsi="Century Gothic" w:cs="Arial"/>
          <w:i/>
          <w:szCs w:val="24"/>
        </w:rPr>
        <w:t>82/100 ($164.754.027.82) M7cte.</w:t>
      </w:r>
    </w:p>
    <w:p w14:paraId="75DF1833" w14:textId="77777777" w:rsidR="0087769D" w:rsidRPr="00B569F7" w:rsidRDefault="0087769D" w:rsidP="0087769D">
      <w:pPr>
        <w:ind w:left="567" w:right="567"/>
        <w:contextualSpacing/>
        <w:jc w:val="both"/>
        <w:rPr>
          <w:rFonts w:ascii="Century Gothic" w:hAnsi="Century Gothic" w:cs="Arial"/>
          <w:i/>
          <w:szCs w:val="24"/>
        </w:rPr>
      </w:pPr>
      <w:r w:rsidRPr="00B569F7">
        <w:rPr>
          <w:rFonts w:ascii="Century Gothic" w:hAnsi="Century Gothic" w:cs="Arial"/>
          <w:i/>
          <w:szCs w:val="24"/>
        </w:rPr>
        <w:lastRenderedPageBreak/>
        <w:t>Que el peritaje inicialmente presentado por la comisión de ingenieros en febrero 12 de 2004 fue precisado, clarificado y ratificado por el mismo equipo técnico designado, mediante informe técnico de fecha 26 de marzo de 2004, en donde concluyen que los responsables de las fallas encontradas son las firmas contratistas e interventoras.</w:t>
      </w:r>
    </w:p>
    <w:p w14:paraId="0AB04DAC" w14:textId="77777777" w:rsidR="0087769D" w:rsidRPr="00B569F7" w:rsidRDefault="0087769D" w:rsidP="0087769D">
      <w:pPr>
        <w:ind w:left="567" w:right="567"/>
        <w:contextualSpacing/>
        <w:jc w:val="both"/>
        <w:rPr>
          <w:rFonts w:ascii="Century Gothic" w:hAnsi="Century Gothic" w:cs="Arial"/>
          <w:i/>
          <w:szCs w:val="24"/>
        </w:rPr>
      </w:pPr>
      <w:r>
        <w:rPr>
          <w:rFonts w:ascii="Century Gothic" w:hAnsi="Century Gothic" w:cs="Arial"/>
          <w:i/>
          <w:szCs w:val="24"/>
        </w:rPr>
        <w:t>(…)</w:t>
      </w:r>
    </w:p>
    <w:p w14:paraId="28A07DC0" w14:textId="77777777" w:rsidR="0087769D" w:rsidRPr="00B569F7" w:rsidRDefault="0087769D" w:rsidP="0087769D">
      <w:pPr>
        <w:ind w:left="567" w:right="567"/>
        <w:contextualSpacing/>
        <w:jc w:val="both"/>
        <w:rPr>
          <w:rFonts w:ascii="Century Gothic" w:hAnsi="Century Gothic" w:cs="Arial"/>
          <w:i/>
          <w:szCs w:val="24"/>
        </w:rPr>
      </w:pPr>
      <w:r w:rsidRPr="00B569F7">
        <w:rPr>
          <w:rFonts w:ascii="Century Gothic" w:hAnsi="Century Gothic" w:cs="Arial"/>
          <w:i/>
          <w:szCs w:val="24"/>
        </w:rPr>
        <w:t>RESUELVE</w:t>
      </w:r>
    </w:p>
    <w:p w14:paraId="3005066B" w14:textId="77777777" w:rsidR="0087769D" w:rsidRPr="00B569F7" w:rsidRDefault="0087769D" w:rsidP="0087769D">
      <w:pPr>
        <w:ind w:left="567" w:right="567"/>
        <w:contextualSpacing/>
        <w:jc w:val="both"/>
        <w:rPr>
          <w:rFonts w:ascii="Century Gothic" w:hAnsi="Century Gothic" w:cs="Arial"/>
          <w:i/>
          <w:szCs w:val="24"/>
        </w:rPr>
      </w:pPr>
      <w:r w:rsidRPr="00B569F7">
        <w:rPr>
          <w:rFonts w:ascii="Century Gothic" w:hAnsi="Century Gothic" w:cs="Arial"/>
          <w:i/>
          <w:szCs w:val="24"/>
        </w:rPr>
        <w:t xml:space="preserve">ARTICULO PRIMERO: Declarar el Siniestro por estabilidad de obra del Contrato Nro. 084 de 2000 suscrito entre el DEPARTAMENTO DE BOYACA y CONSORCIO ICM INGENIEROS LTDA – SUAREZ Y SILVA LTDA INGENIEROS CONTRATISTAS, por el incumplimiento en la ejecución de la obra contratada, mantenimiento de la vía Garagoa – </w:t>
      </w:r>
      <w:proofErr w:type="spellStart"/>
      <w:r w:rsidRPr="00B569F7">
        <w:rPr>
          <w:rFonts w:ascii="Century Gothic" w:hAnsi="Century Gothic" w:cs="Arial"/>
          <w:i/>
          <w:szCs w:val="24"/>
        </w:rPr>
        <w:t>Chinavita</w:t>
      </w:r>
      <w:proofErr w:type="spellEnd"/>
      <w:r w:rsidRPr="00B569F7">
        <w:rPr>
          <w:rFonts w:ascii="Century Gothic" w:hAnsi="Century Gothic" w:cs="Arial"/>
          <w:i/>
          <w:szCs w:val="24"/>
        </w:rPr>
        <w:t xml:space="preserve"> por las razones expuestas en la parte motiva de la presente resolución.</w:t>
      </w:r>
    </w:p>
    <w:p w14:paraId="4BD3FE47" w14:textId="77777777" w:rsidR="0087769D" w:rsidRPr="00B569F7" w:rsidRDefault="0087769D" w:rsidP="0087769D">
      <w:pPr>
        <w:ind w:left="567" w:right="567"/>
        <w:contextualSpacing/>
        <w:jc w:val="both"/>
        <w:rPr>
          <w:rFonts w:ascii="Century Gothic" w:hAnsi="Century Gothic" w:cs="Arial"/>
          <w:i/>
          <w:szCs w:val="24"/>
        </w:rPr>
      </w:pPr>
      <w:r w:rsidRPr="00B569F7">
        <w:rPr>
          <w:rFonts w:ascii="Century Gothic" w:hAnsi="Century Gothic" w:cs="Arial"/>
          <w:i/>
          <w:szCs w:val="24"/>
        </w:rPr>
        <w:t>ARTICULO SEGUNDO: Como consecuencia de la anterior declaración proceder a hacer efectiva la garantía constituida mediante la Póliza única de seguros de cumplimiento en favor de entidades estatales Nro. 9763210 expedida por la Compañía SEGUROS DEL ESTADO S.A., modificada mediante anexo de modificación No A96002 expedido el 6 de diciembre de 2002, Aseguradora que afianzó al Contratista CONSORCIO ICM INGENIEROS LTDA – SUAREZ Y SILVA LTDA INGENIEROS CONTRATISTAS, en cuantía de CIENTO SESENTA Y CUATRO MILLONES SETECIENTOS CINCUENTA Y CUATRO MIL CERO VEINTISIETE PESOS CON 82/100 ($164.754.027.82) M7cte., a favor del DEPARTAMENTO DE BOYACÁ”.</w:t>
      </w:r>
    </w:p>
    <w:p w14:paraId="1ECEC79B" w14:textId="77777777" w:rsidR="0087769D" w:rsidRPr="00A040F8" w:rsidRDefault="0087769D" w:rsidP="0087769D">
      <w:pPr>
        <w:spacing w:line="360" w:lineRule="auto"/>
        <w:ind w:right="-142"/>
        <w:contextualSpacing/>
        <w:jc w:val="both"/>
        <w:rPr>
          <w:rFonts w:ascii="Century Gothic" w:hAnsi="Century Gothic"/>
          <w:i/>
        </w:rPr>
      </w:pPr>
      <w:r>
        <w:rPr>
          <w:rFonts w:ascii="Century Gothic" w:hAnsi="Century Gothic" w:cs="Arial"/>
          <w:sz w:val="24"/>
          <w:szCs w:val="24"/>
        </w:rPr>
        <w:t xml:space="preserve"> </w:t>
      </w:r>
    </w:p>
    <w:p w14:paraId="7DCC48AA"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34. El Consorcio ICM Ingenieros Ltda. – Suárez y Silva Ltda. Ingenieros Contratistas interpuso recurso de reposición en contra de la Resolución No. 185 de 2004. En la impugnación, señaló que la entidad no podía declarar el siniestro ya que el contrato no había sido liquidado. Igualmente, reprochó que el Departamento de Boyacá practicara pruebas para determinar si declaraba o no la ocurrencia del siniestro sin la presencia del contratista y su aseguradora, lo que calificó como violatorio de los derecho de defensa y contradicción. Por último, señaló que las pruebas tenidas en cuenta por el Departamento de Boyacá no eran idóneas para demostrar la ocurrencia del siniestro y que, de todas formas, en estas pruebas se establecía que los daños se debieron a factores climatológicos y geológicos y a la falta de mantenimiento de la obra. En el recurso, el consorcio aportó unas pruebas </w:t>
      </w:r>
      <w:r>
        <w:rPr>
          <w:rFonts w:ascii="Century Gothic" w:hAnsi="Century Gothic" w:cs="Arial"/>
          <w:sz w:val="24"/>
          <w:szCs w:val="24"/>
        </w:rPr>
        <w:lastRenderedPageBreak/>
        <w:t>documentales y solicitó la práctica de una inspección a la obra, así (se trascribe)</w:t>
      </w:r>
      <w:r>
        <w:rPr>
          <w:rStyle w:val="Refdenotaalpie"/>
          <w:rFonts w:ascii="Century Gothic" w:hAnsi="Century Gothic" w:cs="Arial"/>
          <w:sz w:val="24"/>
          <w:szCs w:val="24"/>
        </w:rPr>
        <w:footnoteReference w:id="17"/>
      </w:r>
      <w:r>
        <w:rPr>
          <w:rFonts w:ascii="Century Gothic" w:hAnsi="Century Gothic" w:cs="Arial"/>
          <w:sz w:val="24"/>
          <w:szCs w:val="24"/>
        </w:rPr>
        <w:t xml:space="preserve">: </w:t>
      </w:r>
    </w:p>
    <w:p w14:paraId="210CAD47" w14:textId="77777777" w:rsidR="0087769D" w:rsidRDefault="0087769D" w:rsidP="0087769D">
      <w:pPr>
        <w:spacing w:line="360" w:lineRule="auto"/>
        <w:ind w:right="-142"/>
        <w:contextualSpacing/>
        <w:jc w:val="both"/>
        <w:rPr>
          <w:rFonts w:ascii="Century Gothic" w:hAnsi="Century Gothic" w:cs="Arial"/>
          <w:sz w:val="24"/>
          <w:szCs w:val="24"/>
        </w:rPr>
      </w:pPr>
    </w:p>
    <w:p w14:paraId="7E6038A8" w14:textId="77777777" w:rsidR="0087769D" w:rsidRPr="00AE5347" w:rsidRDefault="0087769D" w:rsidP="0087769D">
      <w:pPr>
        <w:spacing w:line="276" w:lineRule="auto"/>
        <w:ind w:left="567" w:right="567"/>
        <w:contextualSpacing/>
        <w:jc w:val="both"/>
        <w:rPr>
          <w:rFonts w:ascii="Century Gothic" w:hAnsi="Century Gothic" w:cs="Arial"/>
          <w:i/>
          <w:szCs w:val="24"/>
        </w:rPr>
      </w:pPr>
      <w:r w:rsidRPr="00AE5347">
        <w:rPr>
          <w:rFonts w:ascii="Century Gothic" w:hAnsi="Century Gothic" w:cs="Arial"/>
          <w:szCs w:val="24"/>
        </w:rPr>
        <w:t>“</w:t>
      </w:r>
      <w:r w:rsidRPr="00AE5347">
        <w:rPr>
          <w:rFonts w:ascii="Century Gothic" w:hAnsi="Century Gothic" w:cs="Arial"/>
          <w:i/>
          <w:szCs w:val="24"/>
        </w:rPr>
        <w:t>PRUEBAS</w:t>
      </w:r>
    </w:p>
    <w:p w14:paraId="4C6A8A41" w14:textId="77777777" w:rsidR="0087769D" w:rsidRPr="00AE5347" w:rsidRDefault="0087769D" w:rsidP="0087769D">
      <w:pPr>
        <w:spacing w:line="276" w:lineRule="auto"/>
        <w:ind w:left="567" w:right="567"/>
        <w:contextualSpacing/>
        <w:jc w:val="both"/>
        <w:rPr>
          <w:rFonts w:ascii="Century Gothic" w:hAnsi="Century Gothic" w:cs="Arial"/>
          <w:i/>
          <w:szCs w:val="24"/>
        </w:rPr>
      </w:pPr>
      <w:r w:rsidRPr="00AE5347">
        <w:rPr>
          <w:rFonts w:ascii="Century Gothic" w:hAnsi="Century Gothic" w:cs="Arial"/>
          <w:i/>
          <w:szCs w:val="24"/>
        </w:rPr>
        <w:t>1. Se aporta el estudio técnico y evaluativo realizado por el ingeniero MAURICIO ORTIZ BARRERA designado como director del proyecto por el Consorcio ICM ingenieros Ltda. - Suarez y Silva Ltda. Ingenieros contratistas el cual consta de 60 folios i</w:t>
      </w:r>
      <w:r>
        <w:rPr>
          <w:rFonts w:ascii="Century Gothic" w:hAnsi="Century Gothic" w:cs="Arial"/>
          <w:i/>
          <w:szCs w:val="24"/>
        </w:rPr>
        <w:t>ncluyendo cartilla fotográfica.</w:t>
      </w:r>
    </w:p>
    <w:p w14:paraId="2E46B7F5" w14:textId="77777777" w:rsidR="0087769D" w:rsidRPr="00AE5347" w:rsidRDefault="0087769D" w:rsidP="0087769D">
      <w:pPr>
        <w:spacing w:line="276" w:lineRule="auto"/>
        <w:ind w:left="567" w:right="567"/>
        <w:contextualSpacing/>
        <w:jc w:val="both"/>
        <w:rPr>
          <w:rFonts w:ascii="Century Gothic" w:hAnsi="Century Gothic" w:cs="Arial"/>
          <w:i/>
          <w:szCs w:val="24"/>
        </w:rPr>
      </w:pPr>
      <w:r w:rsidRPr="00AE5347">
        <w:rPr>
          <w:rFonts w:ascii="Century Gothic" w:hAnsi="Century Gothic" w:cs="Arial"/>
          <w:i/>
          <w:szCs w:val="24"/>
        </w:rPr>
        <w:t>2. Se solicita fijar fecha y hora para la práctica de una inspección ocular con designación de peritos idóneos seleccionados por las partes contratantes”.</w:t>
      </w:r>
    </w:p>
    <w:p w14:paraId="6A0BEB66" w14:textId="77777777" w:rsidR="0087769D" w:rsidRPr="00BB382C" w:rsidRDefault="0087769D" w:rsidP="0087769D">
      <w:pPr>
        <w:spacing w:line="360" w:lineRule="auto"/>
        <w:ind w:right="-142"/>
        <w:contextualSpacing/>
        <w:jc w:val="both"/>
        <w:rPr>
          <w:rFonts w:ascii="Century Gothic" w:hAnsi="Century Gothic"/>
          <w:i/>
        </w:rPr>
      </w:pPr>
    </w:p>
    <w:p w14:paraId="66528723"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35. El Consorcio Oscar Daniel Garzón Forero y Vanegas Garzón Ltda. –quien ejerció la interventoría del contrato de obra No. 84 de 2000- también interpuso recurso de reposición contra la Resolución No. 185 de 2004. En el recurso, al igual que el contratista, argumentó que se había violado el debido proceso de los interesados al no citarlos a la práctica de pruebas y atacó la idoneidad de las pruebas tenidas en cuenta por el Departamento de Boyacá para declarar la ocurrencia del siniestro. La interventoría aportó unos documentos y solicitó la práctica de declaraciones y una inspección a la obra (se trascribe)</w:t>
      </w:r>
      <w:r>
        <w:rPr>
          <w:rStyle w:val="Refdenotaalpie"/>
          <w:rFonts w:ascii="Century Gothic" w:hAnsi="Century Gothic" w:cs="Arial"/>
          <w:sz w:val="24"/>
          <w:szCs w:val="24"/>
        </w:rPr>
        <w:footnoteReference w:id="18"/>
      </w:r>
      <w:r>
        <w:rPr>
          <w:rFonts w:ascii="Century Gothic" w:hAnsi="Century Gothic" w:cs="Arial"/>
          <w:sz w:val="24"/>
          <w:szCs w:val="24"/>
        </w:rPr>
        <w:t>:</w:t>
      </w:r>
    </w:p>
    <w:p w14:paraId="071736D0" w14:textId="77777777" w:rsidR="0087769D" w:rsidRDefault="0087769D" w:rsidP="0087769D">
      <w:pPr>
        <w:spacing w:line="360" w:lineRule="auto"/>
        <w:ind w:right="-142"/>
        <w:contextualSpacing/>
        <w:jc w:val="both"/>
        <w:rPr>
          <w:rFonts w:ascii="Century Gothic" w:hAnsi="Century Gothic" w:cs="Arial"/>
          <w:sz w:val="24"/>
          <w:szCs w:val="24"/>
        </w:rPr>
      </w:pPr>
    </w:p>
    <w:p w14:paraId="209E8F06"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szCs w:val="24"/>
        </w:rPr>
        <w:t>“</w:t>
      </w:r>
      <w:r w:rsidRPr="0001129A">
        <w:rPr>
          <w:rFonts w:ascii="Century Gothic" w:hAnsi="Century Gothic" w:cs="Arial"/>
          <w:i/>
          <w:szCs w:val="24"/>
        </w:rPr>
        <w:t>PRUEBAS</w:t>
      </w:r>
    </w:p>
    <w:p w14:paraId="7DE19B43" w14:textId="77777777" w:rsidR="0087769D" w:rsidRPr="0001129A" w:rsidRDefault="0087769D" w:rsidP="0087769D">
      <w:pPr>
        <w:ind w:left="567" w:right="567"/>
        <w:contextualSpacing/>
        <w:jc w:val="both"/>
        <w:rPr>
          <w:rFonts w:ascii="Century Gothic" w:hAnsi="Century Gothic" w:cs="Arial"/>
          <w:i/>
          <w:szCs w:val="24"/>
        </w:rPr>
      </w:pPr>
      <w:r>
        <w:rPr>
          <w:rFonts w:ascii="Century Gothic" w:hAnsi="Century Gothic" w:cs="Arial"/>
          <w:i/>
          <w:szCs w:val="24"/>
        </w:rPr>
        <w:t>1. DOCUMENTALES</w:t>
      </w:r>
    </w:p>
    <w:p w14:paraId="530E617C"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1.1. Oficio No. 086 enviado a CONSORCIO ICM INGENIEROS LTDA. – SUAREZ Y SILVA LTDA. INGENIEROS CONTRATISTAS.</w:t>
      </w:r>
    </w:p>
    <w:p w14:paraId="69BEAD88"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1.2. Oficio 088 dirigido a la Secretaría de Obras Públic</w:t>
      </w:r>
      <w:r>
        <w:rPr>
          <w:rFonts w:ascii="Century Gothic" w:hAnsi="Century Gothic" w:cs="Arial"/>
          <w:i/>
          <w:szCs w:val="24"/>
        </w:rPr>
        <w:t>as de la Gobernación de Boyacá.</w:t>
      </w:r>
    </w:p>
    <w:p w14:paraId="5314324A"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1.3. Informe de Interventoría remitido a CONSORCIO ICM INGENIEROS LTDA – SUAREZ Y SILV</w:t>
      </w:r>
      <w:r>
        <w:rPr>
          <w:rFonts w:ascii="Century Gothic" w:hAnsi="Century Gothic" w:cs="Arial"/>
          <w:i/>
          <w:szCs w:val="24"/>
        </w:rPr>
        <w:t>A LTDA. INGENIEROS CONTRATISTAS</w:t>
      </w:r>
    </w:p>
    <w:p w14:paraId="48DA32B3"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1.4. Acta de compromiso enviada a CONSORCIO ICM INGENIEROS LTDA. – SUAREZ Y SILVA LTDA INGENIEROS CONTR</w:t>
      </w:r>
      <w:r>
        <w:rPr>
          <w:rFonts w:ascii="Century Gothic" w:hAnsi="Century Gothic" w:cs="Arial"/>
          <w:i/>
          <w:szCs w:val="24"/>
        </w:rPr>
        <w:t>ATISTAS.</w:t>
      </w:r>
    </w:p>
    <w:p w14:paraId="75D7D37E"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1.5. Oficio 188 dirigido a CONSORCIO ICM INGENIEROS LTDA – SUAREZ Y SILV</w:t>
      </w:r>
      <w:r>
        <w:rPr>
          <w:rFonts w:ascii="Century Gothic" w:hAnsi="Century Gothic" w:cs="Arial"/>
          <w:i/>
          <w:szCs w:val="24"/>
        </w:rPr>
        <w:t>A LTDA INGENIEROS CONTRATISTAS.</w:t>
      </w:r>
    </w:p>
    <w:p w14:paraId="73D97A23"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1.6. Acta de entrega y</w:t>
      </w:r>
      <w:r>
        <w:rPr>
          <w:rFonts w:ascii="Century Gothic" w:hAnsi="Century Gothic" w:cs="Arial"/>
          <w:i/>
          <w:szCs w:val="24"/>
        </w:rPr>
        <w:t xml:space="preserve"> recibo final de Interventoría.</w:t>
      </w:r>
    </w:p>
    <w:p w14:paraId="792F8A2C"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lastRenderedPageBreak/>
        <w:t xml:space="preserve">1.7. Acta de visita técnica de obra Vía Garagoa </w:t>
      </w:r>
      <w:proofErr w:type="spellStart"/>
      <w:r w:rsidRPr="0001129A">
        <w:rPr>
          <w:rFonts w:ascii="Century Gothic" w:hAnsi="Century Gothic" w:cs="Arial"/>
          <w:i/>
          <w:szCs w:val="24"/>
        </w:rPr>
        <w:t>Chinavita</w:t>
      </w:r>
      <w:proofErr w:type="spellEnd"/>
      <w:r w:rsidRPr="0001129A">
        <w:rPr>
          <w:rFonts w:ascii="Century Gothic" w:hAnsi="Century Gothic" w:cs="Arial"/>
          <w:i/>
          <w:szCs w:val="24"/>
        </w:rPr>
        <w:t xml:space="preserve"> realizada el 19 de septiembr</w:t>
      </w:r>
      <w:r>
        <w:rPr>
          <w:rFonts w:ascii="Century Gothic" w:hAnsi="Century Gothic" w:cs="Arial"/>
          <w:i/>
          <w:szCs w:val="24"/>
        </w:rPr>
        <w:t>e de 2002.</w:t>
      </w:r>
    </w:p>
    <w:p w14:paraId="2FD4A4C2"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1.8. Registros fotográficos de la visita realizad</w:t>
      </w:r>
      <w:r>
        <w:rPr>
          <w:rFonts w:ascii="Century Gothic" w:hAnsi="Century Gothic" w:cs="Arial"/>
          <w:i/>
          <w:szCs w:val="24"/>
        </w:rPr>
        <w:t>a el pasado 3 de junio de 2004.</w:t>
      </w:r>
    </w:p>
    <w:p w14:paraId="0BC17A2D" w14:textId="77777777" w:rsidR="0087769D" w:rsidRPr="0001129A" w:rsidRDefault="0087769D" w:rsidP="0087769D">
      <w:pPr>
        <w:ind w:left="567" w:right="567"/>
        <w:contextualSpacing/>
        <w:jc w:val="both"/>
        <w:rPr>
          <w:rFonts w:ascii="Century Gothic" w:hAnsi="Century Gothic" w:cs="Arial"/>
          <w:i/>
          <w:szCs w:val="24"/>
        </w:rPr>
      </w:pPr>
      <w:r>
        <w:rPr>
          <w:rFonts w:ascii="Century Gothic" w:hAnsi="Century Gothic" w:cs="Arial"/>
          <w:i/>
          <w:szCs w:val="24"/>
        </w:rPr>
        <w:t>(…)</w:t>
      </w:r>
    </w:p>
    <w:p w14:paraId="1878BFB5" w14:textId="77777777" w:rsidR="0087769D" w:rsidRPr="0001129A" w:rsidRDefault="0087769D" w:rsidP="0087769D">
      <w:pPr>
        <w:ind w:left="567" w:right="567"/>
        <w:contextualSpacing/>
        <w:jc w:val="both"/>
        <w:rPr>
          <w:rFonts w:ascii="Century Gothic" w:hAnsi="Century Gothic" w:cs="Arial"/>
          <w:i/>
          <w:szCs w:val="24"/>
        </w:rPr>
      </w:pPr>
      <w:r>
        <w:rPr>
          <w:rFonts w:ascii="Century Gothic" w:hAnsi="Century Gothic" w:cs="Arial"/>
          <w:i/>
          <w:szCs w:val="24"/>
        </w:rPr>
        <w:t>2. PERICIAL</w:t>
      </w:r>
    </w:p>
    <w:p w14:paraId="6B5F2E6F"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 xml:space="preserve">Solicito, con todo respeto, se disponga la realización de una diligencia de Inspección sobre el tramo de la vía Garagoa – </w:t>
      </w:r>
      <w:proofErr w:type="spellStart"/>
      <w:r w:rsidRPr="0001129A">
        <w:rPr>
          <w:rFonts w:ascii="Century Gothic" w:hAnsi="Century Gothic" w:cs="Arial"/>
          <w:i/>
          <w:szCs w:val="24"/>
        </w:rPr>
        <w:t>Chinavita</w:t>
      </w:r>
      <w:proofErr w:type="spellEnd"/>
      <w:r w:rsidRPr="0001129A">
        <w:rPr>
          <w:rFonts w:ascii="Century Gothic" w:hAnsi="Century Gothic" w:cs="Arial"/>
          <w:i/>
          <w:szCs w:val="24"/>
        </w:rPr>
        <w:t xml:space="preserve">, con designación de peritos especializados como geólogo, </w:t>
      </w:r>
      <w:proofErr w:type="spellStart"/>
      <w:r w:rsidRPr="0001129A">
        <w:rPr>
          <w:rFonts w:ascii="Century Gothic" w:hAnsi="Century Gothic" w:cs="Arial"/>
          <w:i/>
          <w:szCs w:val="24"/>
        </w:rPr>
        <w:t>geotecnista</w:t>
      </w:r>
      <w:proofErr w:type="spellEnd"/>
      <w:r w:rsidRPr="0001129A">
        <w:rPr>
          <w:rFonts w:ascii="Century Gothic" w:hAnsi="Century Gothic" w:cs="Arial"/>
          <w:i/>
          <w:szCs w:val="24"/>
        </w:rPr>
        <w:t xml:space="preserve">, hidrólogo, especialista en pavimentos, </w:t>
      </w:r>
      <w:proofErr w:type="spellStart"/>
      <w:r w:rsidRPr="0001129A">
        <w:rPr>
          <w:rFonts w:ascii="Century Gothic" w:hAnsi="Century Gothic" w:cs="Arial"/>
          <w:i/>
          <w:szCs w:val="24"/>
        </w:rPr>
        <w:t>metereólogo</w:t>
      </w:r>
      <w:proofErr w:type="spellEnd"/>
      <w:r w:rsidRPr="0001129A">
        <w:rPr>
          <w:rFonts w:ascii="Century Gothic" w:hAnsi="Century Gothic" w:cs="Arial"/>
          <w:i/>
          <w:szCs w:val="24"/>
        </w:rPr>
        <w:t xml:space="preserve"> y laboratoristas, con el objeto de determinar la clase de fallas que presenta la vía, causas que originan estas fallas, incidencia de las condiciones meteorológicas del lugar, y demás aspectos que permitan clarificar el origen y responsabilidad de los daños q</w:t>
      </w:r>
      <w:r>
        <w:rPr>
          <w:rFonts w:ascii="Century Gothic" w:hAnsi="Century Gothic" w:cs="Arial"/>
          <w:i/>
          <w:szCs w:val="24"/>
        </w:rPr>
        <w:t>ue presenta la vía cuestionada.</w:t>
      </w:r>
    </w:p>
    <w:p w14:paraId="3D85548E" w14:textId="77777777" w:rsidR="0087769D" w:rsidRPr="0001129A" w:rsidRDefault="0087769D" w:rsidP="0087769D">
      <w:pPr>
        <w:ind w:left="567" w:right="567"/>
        <w:contextualSpacing/>
        <w:jc w:val="both"/>
        <w:rPr>
          <w:rFonts w:ascii="Century Gothic" w:hAnsi="Century Gothic" w:cs="Arial"/>
          <w:i/>
          <w:szCs w:val="24"/>
        </w:rPr>
      </w:pPr>
      <w:r>
        <w:rPr>
          <w:rFonts w:ascii="Century Gothic" w:hAnsi="Century Gothic" w:cs="Arial"/>
          <w:i/>
          <w:szCs w:val="24"/>
        </w:rPr>
        <w:t>3. TESTIMONIAL</w:t>
      </w:r>
    </w:p>
    <w:p w14:paraId="3F09ABB8"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Con el objeto que rindan declaración juramentada relacionada con el desarrollo del 084 de 2000 y 097 de 2000, solicito se escuche a las siguientes personas, por tener conocimiento de la ejecución de dichos contratos y de las condiciones bajo l</w:t>
      </w:r>
      <w:r>
        <w:rPr>
          <w:rFonts w:ascii="Century Gothic" w:hAnsi="Century Gothic" w:cs="Arial"/>
          <w:i/>
          <w:szCs w:val="24"/>
        </w:rPr>
        <w:t>as cuales fueron desarrollados:</w:t>
      </w:r>
    </w:p>
    <w:p w14:paraId="710D8D67"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 xml:space="preserve">OSCAR HERNANDO </w:t>
      </w:r>
      <w:r>
        <w:rPr>
          <w:rFonts w:ascii="Century Gothic" w:hAnsi="Century Gothic" w:cs="Arial"/>
          <w:i/>
          <w:szCs w:val="24"/>
        </w:rPr>
        <w:t>MORALES, Ingeniero Interventor.</w:t>
      </w:r>
    </w:p>
    <w:p w14:paraId="2FF6A746"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MAURICIO CASTILLO, Supervis</w:t>
      </w:r>
      <w:r>
        <w:rPr>
          <w:rFonts w:ascii="Century Gothic" w:hAnsi="Century Gothic" w:cs="Arial"/>
          <w:i/>
          <w:szCs w:val="24"/>
        </w:rPr>
        <w:t>or del contrato 084 de 2000.</w:t>
      </w:r>
    </w:p>
    <w:p w14:paraId="247BEFD7"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Dichas personas deberán deponer sobre los siguientes hechos:</w:t>
      </w:r>
    </w:p>
    <w:p w14:paraId="41ACC28D"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 Lo de ley</w:t>
      </w:r>
    </w:p>
    <w:p w14:paraId="1BB084F3"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 Tiempo durante el cual participaron en el desarrollo de los cont</w:t>
      </w:r>
      <w:r>
        <w:rPr>
          <w:rFonts w:ascii="Century Gothic" w:hAnsi="Century Gothic" w:cs="Arial"/>
          <w:i/>
          <w:szCs w:val="24"/>
        </w:rPr>
        <w:t>rato 084 de 2000 y 097 de 2000.</w:t>
      </w:r>
    </w:p>
    <w:p w14:paraId="5DE91D11"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 xml:space="preserve">* Si por la vinculación a estos contratos les consta las falencias geológicas de la vía Garagoa – </w:t>
      </w:r>
      <w:proofErr w:type="spellStart"/>
      <w:r w:rsidRPr="0001129A">
        <w:rPr>
          <w:rFonts w:ascii="Century Gothic" w:hAnsi="Century Gothic" w:cs="Arial"/>
          <w:i/>
          <w:szCs w:val="24"/>
        </w:rPr>
        <w:t>Chinavita</w:t>
      </w:r>
      <w:proofErr w:type="spellEnd"/>
      <w:r w:rsidRPr="0001129A">
        <w:rPr>
          <w:rFonts w:ascii="Century Gothic" w:hAnsi="Century Gothic" w:cs="Arial"/>
          <w:i/>
          <w:szCs w:val="24"/>
        </w:rPr>
        <w:t xml:space="preserve"> y la necesidad de manten</w:t>
      </w:r>
      <w:r>
        <w:rPr>
          <w:rFonts w:ascii="Century Gothic" w:hAnsi="Century Gothic" w:cs="Arial"/>
          <w:i/>
          <w:szCs w:val="24"/>
        </w:rPr>
        <w:t>imiento permanente de la misma.</w:t>
      </w:r>
    </w:p>
    <w:p w14:paraId="530CF742"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 La preexistencia de los estudi</w:t>
      </w:r>
      <w:r>
        <w:rPr>
          <w:rFonts w:ascii="Century Gothic" w:hAnsi="Century Gothic" w:cs="Arial"/>
          <w:i/>
          <w:szCs w:val="24"/>
        </w:rPr>
        <w:t>os, diseños y trazado de la vía</w:t>
      </w:r>
    </w:p>
    <w:p w14:paraId="33766FE6"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 xml:space="preserve">* La calidad técnica </w:t>
      </w:r>
      <w:r>
        <w:rPr>
          <w:rFonts w:ascii="Century Gothic" w:hAnsi="Century Gothic" w:cs="Arial"/>
          <w:i/>
          <w:szCs w:val="24"/>
        </w:rPr>
        <w:t>de la construcción de las obras</w:t>
      </w:r>
    </w:p>
    <w:p w14:paraId="61AFAAFC"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Adicionalmente solicito que estas personas sean citadas a la diligencia de Inspección Ocular para determinar las circunstancias físicas en que fueron desarrol</w:t>
      </w:r>
      <w:r>
        <w:rPr>
          <w:rFonts w:ascii="Century Gothic" w:hAnsi="Century Gothic" w:cs="Arial"/>
          <w:i/>
          <w:szCs w:val="24"/>
        </w:rPr>
        <w:t>lados los contratos en mención.</w:t>
      </w:r>
    </w:p>
    <w:p w14:paraId="2B3F7CFC" w14:textId="77777777" w:rsidR="0087769D" w:rsidRPr="0001129A" w:rsidRDefault="0087769D" w:rsidP="0087769D">
      <w:pPr>
        <w:ind w:left="567" w:right="567"/>
        <w:contextualSpacing/>
        <w:jc w:val="both"/>
        <w:rPr>
          <w:rFonts w:ascii="Century Gothic" w:hAnsi="Century Gothic" w:cs="Arial"/>
          <w:i/>
          <w:szCs w:val="24"/>
        </w:rPr>
      </w:pPr>
      <w:r>
        <w:rPr>
          <w:rFonts w:ascii="Century Gothic" w:hAnsi="Century Gothic" w:cs="Arial"/>
          <w:i/>
          <w:szCs w:val="24"/>
        </w:rPr>
        <w:t>4. DECLARACIÓN DE PARTE</w:t>
      </w:r>
    </w:p>
    <w:p w14:paraId="3DAA978E" w14:textId="77777777" w:rsidR="0087769D" w:rsidRPr="0001129A" w:rsidRDefault="0087769D" w:rsidP="0087769D">
      <w:pPr>
        <w:ind w:left="567" w:right="567"/>
        <w:contextualSpacing/>
        <w:jc w:val="both"/>
        <w:rPr>
          <w:rFonts w:ascii="Century Gothic" w:hAnsi="Century Gothic" w:cs="Arial"/>
          <w:i/>
          <w:szCs w:val="24"/>
        </w:rPr>
      </w:pPr>
      <w:r w:rsidRPr="0001129A">
        <w:rPr>
          <w:rFonts w:ascii="Century Gothic" w:hAnsi="Century Gothic" w:cs="Arial"/>
          <w:i/>
          <w:szCs w:val="24"/>
        </w:rPr>
        <w:t>Solicito se sirva citar al Ingeniero OSCAR DANIEL GARZON FORERO, a fin de que deponga sobre los aspectos relacionados con el desarrollo de los contratos 084 de 2000 y 097 de 2000 y las condiciones geológicas y meteorológicas del lugar.”</w:t>
      </w:r>
    </w:p>
    <w:p w14:paraId="5484EB6A" w14:textId="77777777" w:rsidR="0087769D" w:rsidRPr="00107500" w:rsidRDefault="0087769D" w:rsidP="0087769D">
      <w:pPr>
        <w:spacing w:line="360" w:lineRule="auto"/>
        <w:ind w:right="-142"/>
        <w:contextualSpacing/>
        <w:jc w:val="both"/>
        <w:rPr>
          <w:rFonts w:ascii="Century Gothic" w:hAnsi="Century Gothic"/>
          <w:i/>
        </w:rPr>
      </w:pPr>
    </w:p>
    <w:p w14:paraId="0A4830A1" w14:textId="77777777" w:rsidR="0087769D" w:rsidRPr="008229AD" w:rsidRDefault="0087769D" w:rsidP="0087769D">
      <w:pPr>
        <w:spacing w:line="360" w:lineRule="auto"/>
        <w:ind w:right="-142"/>
        <w:contextualSpacing/>
        <w:jc w:val="both"/>
        <w:rPr>
          <w:rFonts w:ascii="Century Gothic" w:hAnsi="Century Gothic"/>
          <w:i/>
        </w:rPr>
      </w:pPr>
      <w:r>
        <w:rPr>
          <w:rFonts w:ascii="Century Gothic" w:hAnsi="Century Gothic" w:cs="Arial"/>
          <w:sz w:val="24"/>
          <w:szCs w:val="24"/>
        </w:rPr>
        <w:t>36. Mediante Resoluciones sin número de 20 de julio</w:t>
      </w:r>
      <w:r>
        <w:rPr>
          <w:rStyle w:val="Refdenotaalpie"/>
          <w:rFonts w:ascii="Century Gothic" w:hAnsi="Century Gothic" w:cs="Arial"/>
          <w:sz w:val="24"/>
          <w:szCs w:val="24"/>
        </w:rPr>
        <w:footnoteReference w:id="19"/>
      </w:r>
      <w:r>
        <w:rPr>
          <w:rFonts w:ascii="Century Gothic" w:hAnsi="Century Gothic" w:cs="Arial"/>
          <w:sz w:val="24"/>
          <w:szCs w:val="24"/>
        </w:rPr>
        <w:t xml:space="preserve"> y 12 de agosto</w:t>
      </w:r>
      <w:r>
        <w:rPr>
          <w:rStyle w:val="Refdenotaalpie"/>
          <w:rFonts w:ascii="Century Gothic" w:hAnsi="Century Gothic" w:cs="Arial"/>
          <w:sz w:val="24"/>
          <w:szCs w:val="24"/>
        </w:rPr>
        <w:footnoteReference w:id="20"/>
      </w:r>
      <w:r>
        <w:rPr>
          <w:rFonts w:ascii="Century Gothic" w:hAnsi="Century Gothic" w:cs="Arial"/>
          <w:sz w:val="24"/>
          <w:szCs w:val="24"/>
        </w:rPr>
        <w:t xml:space="preserve"> de 2004, el Departamento de Boyacá decretó la práctica de las pruebas </w:t>
      </w:r>
      <w:r>
        <w:rPr>
          <w:rFonts w:ascii="Century Gothic" w:hAnsi="Century Gothic" w:cs="Arial"/>
          <w:sz w:val="24"/>
          <w:szCs w:val="24"/>
        </w:rPr>
        <w:lastRenderedPageBreak/>
        <w:t xml:space="preserve">solicitadas por el consorcio demandante y la interventoría. Para la práctica de la inspección con intervención de peritos, designó al geólogo Harvey de Jesús </w:t>
      </w:r>
      <w:proofErr w:type="spellStart"/>
      <w:r>
        <w:rPr>
          <w:rFonts w:ascii="Century Gothic" w:hAnsi="Century Gothic" w:cs="Arial"/>
          <w:sz w:val="24"/>
          <w:szCs w:val="24"/>
        </w:rPr>
        <w:t>Nope</w:t>
      </w:r>
      <w:proofErr w:type="spellEnd"/>
      <w:r>
        <w:rPr>
          <w:rFonts w:ascii="Century Gothic" w:hAnsi="Century Gothic" w:cs="Arial"/>
          <w:sz w:val="24"/>
          <w:szCs w:val="24"/>
        </w:rPr>
        <w:t xml:space="preserve"> Gómez y al ingeniero civil José William Gaitán Ocampo. </w:t>
      </w:r>
    </w:p>
    <w:p w14:paraId="0E7E5247" w14:textId="77777777" w:rsidR="0087769D" w:rsidRDefault="0087769D" w:rsidP="0087769D">
      <w:pPr>
        <w:spacing w:line="360" w:lineRule="auto"/>
        <w:ind w:right="-142"/>
        <w:contextualSpacing/>
        <w:jc w:val="both"/>
        <w:rPr>
          <w:rFonts w:ascii="Century Gothic" w:hAnsi="Century Gothic" w:cs="Arial"/>
          <w:sz w:val="24"/>
          <w:szCs w:val="24"/>
        </w:rPr>
      </w:pPr>
    </w:p>
    <w:p w14:paraId="1F2733B4"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37. Las pruebas solicitadas y decretadas fueron practicadas así: el 25 de agosto de 2004 se realizó una “inspección ocular” a la obra, con presencia del geólogo Harvey de Jesús </w:t>
      </w:r>
      <w:proofErr w:type="spellStart"/>
      <w:r>
        <w:rPr>
          <w:rFonts w:ascii="Century Gothic" w:hAnsi="Century Gothic" w:cs="Arial"/>
          <w:sz w:val="24"/>
          <w:szCs w:val="24"/>
        </w:rPr>
        <w:t>Nope</w:t>
      </w:r>
      <w:proofErr w:type="spellEnd"/>
      <w:r>
        <w:rPr>
          <w:rFonts w:ascii="Century Gothic" w:hAnsi="Century Gothic" w:cs="Arial"/>
          <w:sz w:val="24"/>
          <w:szCs w:val="24"/>
        </w:rPr>
        <w:t xml:space="preserve"> Gómez y el ingeniero civil José William Gaitán Ocampo</w:t>
      </w:r>
      <w:r>
        <w:rPr>
          <w:rStyle w:val="Refdenotaalpie"/>
          <w:rFonts w:ascii="Century Gothic" w:hAnsi="Century Gothic" w:cs="Arial"/>
          <w:sz w:val="24"/>
          <w:szCs w:val="24"/>
        </w:rPr>
        <w:footnoteReference w:id="21"/>
      </w:r>
      <w:r>
        <w:rPr>
          <w:rFonts w:ascii="Century Gothic" w:hAnsi="Century Gothic" w:cs="Arial"/>
          <w:sz w:val="24"/>
          <w:szCs w:val="24"/>
        </w:rPr>
        <w:t xml:space="preserve">. El 3 de septiembre de 2004 se recibió el testimonio de Oscar Hernando Morales </w:t>
      </w:r>
      <w:proofErr w:type="spellStart"/>
      <w:r>
        <w:rPr>
          <w:rFonts w:ascii="Century Gothic" w:hAnsi="Century Gothic" w:cs="Arial"/>
          <w:sz w:val="24"/>
          <w:szCs w:val="24"/>
        </w:rPr>
        <w:t>Morales</w:t>
      </w:r>
      <w:proofErr w:type="spellEnd"/>
      <w:r>
        <w:rPr>
          <w:rStyle w:val="Refdenotaalpie"/>
          <w:rFonts w:ascii="Century Gothic" w:hAnsi="Century Gothic" w:cs="Arial"/>
          <w:sz w:val="24"/>
          <w:szCs w:val="24"/>
        </w:rPr>
        <w:footnoteReference w:id="22"/>
      </w:r>
      <w:r>
        <w:rPr>
          <w:rFonts w:ascii="Century Gothic" w:hAnsi="Century Gothic" w:cs="Arial"/>
          <w:sz w:val="24"/>
          <w:szCs w:val="24"/>
        </w:rPr>
        <w:t>, ingeniero residente de la interventoría y, el 4 de septiembre, la declaración del representante legal del consorcio interventor</w:t>
      </w:r>
      <w:r>
        <w:rPr>
          <w:rStyle w:val="Refdenotaalpie"/>
          <w:rFonts w:ascii="Century Gothic" w:hAnsi="Century Gothic" w:cs="Arial"/>
          <w:sz w:val="24"/>
          <w:szCs w:val="24"/>
        </w:rPr>
        <w:footnoteReference w:id="23"/>
      </w:r>
      <w:r>
        <w:rPr>
          <w:rFonts w:ascii="Century Gothic" w:hAnsi="Century Gothic" w:cs="Arial"/>
          <w:sz w:val="24"/>
          <w:szCs w:val="24"/>
        </w:rPr>
        <w:t>. En la declaración, el representante legal aportó unos documentos, entre los cuales se destaca la bitácora de obra</w:t>
      </w:r>
      <w:r>
        <w:rPr>
          <w:rStyle w:val="Refdenotaalpie"/>
          <w:rFonts w:ascii="Century Gothic" w:hAnsi="Century Gothic" w:cs="Arial"/>
          <w:sz w:val="24"/>
          <w:szCs w:val="24"/>
        </w:rPr>
        <w:footnoteReference w:id="24"/>
      </w:r>
      <w:r>
        <w:rPr>
          <w:rFonts w:ascii="Century Gothic" w:hAnsi="Century Gothic" w:cs="Arial"/>
          <w:sz w:val="24"/>
          <w:szCs w:val="24"/>
        </w:rPr>
        <w:t>.</w:t>
      </w:r>
    </w:p>
    <w:p w14:paraId="3DF745ED" w14:textId="77777777" w:rsidR="0087769D" w:rsidRDefault="0087769D" w:rsidP="0087769D">
      <w:pPr>
        <w:pStyle w:val="Sinespaciado"/>
        <w:ind w:right="-142"/>
        <w:jc w:val="both"/>
        <w:rPr>
          <w:rFonts w:ascii="Century Gothic" w:hAnsi="Century Gothic"/>
          <w:i/>
        </w:rPr>
      </w:pPr>
    </w:p>
    <w:p w14:paraId="52425E27" w14:textId="77777777" w:rsidR="0087769D" w:rsidRPr="00FC60ED" w:rsidRDefault="0087769D" w:rsidP="0087769D">
      <w:pPr>
        <w:pStyle w:val="Sinespaciado"/>
        <w:ind w:right="-142"/>
        <w:jc w:val="both"/>
        <w:rPr>
          <w:rFonts w:ascii="Century Gothic" w:hAnsi="Century Gothic"/>
          <w:i/>
        </w:rPr>
      </w:pPr>
    </w:p>
    <w:p w14:paraId="5722DBD4"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38. El 12 de julio de 2005, la Secretaría de Infraestructura del Departamento de Boyacá remitió a la Oficina Jurídica un estudio realizado por Servicios de Ingeniería Ltda., en el cual se realizó un análisis de la situación de varias vías, entre esas, la vía Garagoa – </w:t>
      </w:r>
      <w:proofErr w:type="spellStart"/>
      <w:r>
        <w:rPr>
          <w:rFonts w:ascii="Century Gothic" w:hAnsi="Century Gothic" w:cs="Arial"/>
          <w:sz w:val="24"/>
          <w:szCs w:val="24"/>
        </w:rPr>
        <w:t>Chinavita</w:t>
      </w:r>
      <w:proofErr w:type="spellEnd"/>
      <w:r>
        <w:rPr>
          <w:rFonts w:ascii="Century Gothic" w:hAnsi="Century Gothic" w:cs="Arial"/>
          <w:sz w:val="24"/>
          <w:szCs w:val="24"/>
        </w:rPr>
        <w:t>. En el estudio, se hizo un inventario de daños, una identificación de las causas de los daños y se cuantificaron los mismos</w:t>
      </w:r>
      <w:r>
        <w:rPr>
          <w:rStyle w:val="Refdenotaalpie"/>
          <w:rFonts w:ascii="Century Gothic" w:hAnsi="Century Gothic" w:cs="Arial"/>
          <w:sz w:val="24"/>
          <w:szCs w:val="24"/>
        </w:rPr>
        <w:footnoteReference w:id="25"/>
      </w:r>
      <w:r>
        <w:rPr>
          <w:rFonts w:ascii="Century Gothic" w:hAnsi="Century Gothic" w:cs="Arial"/>
          <w:sz w:val="24"/>
          <w:szCs w:val="24"/>
        </w:rPr>
        <w:t>.</w:t>
      </w:r>
    </w:p>
    <w:p w14:paraId="6F582FCD"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 </w:t>
      </w:r>
    </w:p>
    <w:p w14:paraId="252EB8DF" w14:textId="77777777" w:rsidR="0087769D" w:rsidRDefault="0087769D" w:rsidP="0087769D">
      <w:pPr>
        <w:spacing w:line="360" w:lineRule="auto"/>
        <w:ind w:right="-142"/>
        <w:contextualSpacing/>
        <w:jc w:val="both"/>
        <w:rPr>
          <w:rFonts w:ascii="Century Gothic" w:hAnsi="Century Gothic"/>
          <w:i/>
        </w:rPr>
      </w:pPr>
      <w:r>
        <w:rPr>
          <w:rFonts w:ascii="Century Gothic" w:hAnsi="Century Gothic" w:cs="Arial"/>
          <w:sz w:val="24"/>
          <w:szCs w:val="24"/>
        </w:rPr>
        <w:t>39. Mediante Resolución sin número de 25 de julio de 2005, el Departamento de Boyacá ordenó oficiar a la Fiscalía General de la Nación para que le remitiera un informe de auditoría realizado por la Contraloría General de la República</w:t>
      </w:r>
      <w:r>
        <w:rPr>
          <w:rStyle w:val="Refdenotaalpie"/>
          <w:rFonts w:ascii="Century Gothic" w:hAnsi="Century Gothic" w:cs="Arial"/>
          <w:sz w:val="24"/>
          <w:szCs w:val="24"/>
        </w:rPr>
        <w:footnoteReference w:id="26"/>
      </w:r>
      <w:r>
        <w:rPr>
          <w:rFonts w:ascii="Century Gothic" w:hAnsi="Century Gothic" w:cs="Arial"/>
          <w:sz w:val="24"/>
          <w:szCs w:val="24"/>
        </w:rPr>
        <w:t>. El informe fue efectivamente remitido mediante oficio No. 283-05 de 8 de agosto de 2005</w:t>
      </w:r>
      <w:r>
        <w:rPr>
          <w:rStyle w:val="Refdenotaalpie"/>
          <w:rFonts w:ascii="Century Gothic" w:hAnsi="Century Gothic" w:cs="Arial"/>
          <w:sz w:val="24"/>
          <w:szCs w:val="24"/>
        </w:rPr>
        <w:footnoteReference w:id="27"/>
      </w:r>
      <w:r>
        <w:rPr>
          <w:rFonts w:ascii="Century Gothic" w:hAnsi="Century Gothic" w:cs="Arial"/>
          <w:sz w:val="24"/>
          <w:szCs w:val="24"/>
        </w:rPr>
        <w:t>.</w:t>
      </w:r>
    </w:p>
    <w:p w14:paraId="0C76FDFC" w14:textId="77777777" w:rsidR="0087769D" w:rsidRDefault="0087769D" w:rsidP="0087769D">
      <w:pPr>
        <w:spacing w:line="360" w:lineRule="auto"/>
        <w:ind w:right="-142"/>
        <w:contextualSpacing/>
        <w:jc w:val="both"/>
        <w:rPr>
          <w:rFonts w:ascii="Century Gothic" w:hAnsi="Century Gothic" w:cs="Arial"/>
          <w:sz w:val="24"/>
          <w:szCs w:val="24"/>
        </w:rPr>
      </w:pPr>
    </w:p>
    <w:p w14:paraId="4BFA5E26" w14:textId="77777777" w:rsidR="0087769D" w:rsidRPr="00577621" w:rsidRDefault="0087769D" w:rsidP="0087769D">
      <w:pPr>
        <w:spacing w:line="360" w:lineRule="auto"/>
        <w:ind w:right="-142"/>
        <w:contextualSpacing/>
        <w:jc w:val="both"/>
        <w:rPr>
          <w:rFonts w:ascii="Century Gothic" w:hAnsi="Century Gothic" w:cs="Arial"/>
          <w:i/>
          <w:szCs w:val="24"/>
        </w:rPr>
      </w:pPr>
      <w:r>
        <w:rPr>
          <w:rFonts w:ascii="Century Gothic" w:hAnsi="Century Gothic" w:cs="Arial"/>
          <w:sz w:val="24"/>
          <w:szCs w:val="24"/>
        </w:rPr>
        <w:t xml:space="preserve">40. El 6 de noviembre de 2005, el geólogo Harvey de Jesús </w:t>
      </w:r>
      <w:proofErr w:type="spellStart"/>
      <w:r>
        <w:rPr>
          <w:rFonts w:ascii="Century Gothic" w:hAnsi="Century Gothic" w:cs="Arial"/>
          <w:sz w:val="24"/>
          <w:szCs w:val="24"/>
        </w:rPr>
        <w:t>Nope</w:t>
      </w:r>
      <w:proofErr w:type="spellEnd"/>
      <w:r>
        <w:rPr>
          <w:rFonts w:ascii="Century Gothic" w:hAnsi="Century Gothic" w:cs="Arial"/>
          <w:sz w:val="24"/>
          <w:szCs w:val="24"/>
        </w:rPr>
        <w:t xml:space="preserve"> Gómez presentó un informe acerca de las causas de los daños de la vía Garagoa – </w:t>
      </w:r>
      <w:proofErr w:type="spellStart"/>
      <w:r>
        <w:rPr>
          <w:rFonts w:ascii="Century Gothic" w:hAnsi="Century Gothic" w:cs="Arial"/>
          <w:sz w:val="24"/>
          <w:szCs w:val="24"/>
        </w:rPr>
        <w:t>Chinavita</w:t>
      </w:r>
      <w:proofErr w:type="spellEnd"/>
      <w:r>
        <w:rPr>
          <w:rFonts w:ascii="Century Gothic" w:hAnsi="Century Gothic" w:cs="Arial"/>
          <w:sz w:val="24"/>
          <w:szCs w:val="24"/>
        </w:rPr>
        <w:t xml:space="preserve">. </w:t>
      </w:r>
    </w:p>
    <w:p w14:paraId="5EFABB15" w14:textId="77777777" w:rsidR="0087769D" w:rsidRDefault="0087769D" w:rsidP="0087769D">
      <w:pPr>
        <w:spacing w:line="360" w:lineRule="auto"/>
        <w:ind w:right="-142"/>
        <w:contextualSpacing/>
        <w:jc w:val="both"/>
        <w:rPr>
          <w:rFonts w:ascii="Century Gothic" w:hAnsi="Century Gothic" w:cs="Arial"/>
          <w:sz w:val="24"/>
          <w:szCs w:val="24"/>
        </w:rPr>
      </w:pPr>
    </w:p>
    <w:p w14:paraId="53E80851"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41. Los días 2 y 4 de noviembre de 2005, el Departamento de Boyacá corrió traslado al contratista, la interventoría y la aseguradora, de los informes rendidos por Servicios de Ingeniería Ltda. y el geólogo Harvey de Jesús </w:t>
      </w:r>
      <w:proofErr w:type="spellStart"/>
      <w:r>
        <w:rPr>
          <w:rFonts w:ascii="Century Gothic" w:hAnsi="Century Gothic" w:cs="Arial"/>
          <w:sz w:val="24"/>
          <w:szCs w:val="24"/>
        </w:rPr>
        <w:t>Nope</w:t>
      </w:r>
      <w:proofErr w:type="spellEnd"/>
      <w:r>
        <w:rPr>
          <w:rFonts w:ascii="Century Gothic" w:hAnsi="Century Gothic" w:cs="Arial"/>
          <w:sz w:val="24"/>
          <w:szCs w:val="24"/>
        </w:rPr>
        <w:t xml:space="preserve"> Gómez</w:t>
      </w:r>
      <w:r>
        <w:rPr>
          <w:rStyle w:val="Refdenotaalpie"/>
          <w:rFonts w:ascii="Century Gothic" w:hAnsi="Century Gothic" w:cs="Arial"/>
          <w:sz w:val="24"/>
          <w:szCs w:val="24"/>
        </w:rPr>
        <w:footnoteReference w:id="28"/>
      </w:r>
      <w:r>
        <w:rPr>
          <w:rFonts w:ascii="Century Gothic" w:hAnsi="Century Gothic" w:cs="Arial"/>
          <w:sz w:val="24"/>
          <w:szCs w:val="24"/>
        </w:rPr>
        <w:t>.</w:t>
      </w:r>
    </w:p>
    <w:p w14:paraId="0793F6A7" w14:textId="77777777" w:rsidR="0087769D" w:rsidRDefault="0087769D" w:rsidP="0087769D">
      <w:pPr>
        <w:spacing w:line="360" w:lineRule="auto"/>
        <w:ind w:right="-142"/>
        <w:contextualSpacing/>
        <w:jc w:val="both"/>
        <w:rPr>
          <w:rFonts w:ascii="Century Gothic" w:hAnsi="Century Gothic" w:cs="Arial"/>
          <w:sz w:val="24"/>
          <w:szCs w:val="24"/>
        </w:rPr>
      </w:pPr>
    </w:p>
    <w:p w14:paraId="526A155F"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42. Mediante memoriales de 9 y 10 de noviembre de 2005, la interventoría</w:t>
      </w:r>
      <w:r>
        <w:rPr>
          <w:rStyle w:val="Refdenotaalpie"/>
          <w:rFonts w:ascii="Century Gothic" w:hAnsi="Century Gothic" w:cs="Arial"/>
          <w:sz w:val="24"/>
          <w:szCs w:val="24"/>
        </w:rPr>
        <w:footnoteReference w:id="29"/>
      </w:r>
      <w:r>
        <w:rPr>
          <w:rFonts w:ascii="Century Gothic" w:hAnsi="Century Gothic" w:cs="Arial"/>
          <w:sz w:val="24"/>
          <w:szCs w:val="24"/>
        </w:rPr>
        <w:t xml:space="preserve"> y el contratista</w:t>
      </w:r>
      <w:r>
        <w:rPr>
          <w:rStyle w:val="Refdenotaalpie"/>
          <w:rFonts w:ascii="Century Gothic" w:hAnsi="Century Gothic" w:cs="Arial"/>
          <w:sz w:val="24"/>
          <w:szCs w:val="24"/>
        </w:rPr>
        <w:footnoteReference w:id="30"/>
      </w:r>
      <w:r>
        <w:rPr>
          <w:rFonts w:ascii="Century Gothic" w:hAnsi="Century Gothic" w:cs="Arial"/>
          <w:sz w:val="24"/>
          <w:szCs w:val="24"/>
        </w:rPr>
        <w:t xml:space="preserve">, respectivamente, se pronunciaron sobre los estudios realizados por Servicios de Ingeniería Ltda. y el geólogo Harvey de Jesús </w:t>
      </w:r>
      <w:proofErr w:type="spellStart"/>
      <w:r>
        <w:rPr>
          <w:rFonts w:ascii="Century Gothic" w:hAnsi="Century Gothic" w:cs="Arial"/>
          <w:sz w:val="24"/>
          <w:szCs w:val="24"/>
        </w:rPr>
        <w:t>Nope</w:t>
      </w:r>
      <w:proofErr w:type="spellEnd"/>
      <w:r>
        <w:rPr>
          <w:rFonts w:ascii="Century Gothic" w:hAnsi="Century Gothic" w:cs="Arial"/>
          <w:sz w:val="24"/>
          <w:szCs w:val="24"/>
        </w:rPr>
        <w:t xml:space="preserve"> Gómez.  </w:t>
      </w:r>
    </w:p>
    <w:p w14:paraId="4AC2B9E6" w14:textId="77777777" w:rsidR="0087769D" w:rsidRDefault="0087769D" w:rsidP="0087769D">
      <w:pPr>
        <w:spacing w:line="360" w:lineRule="auto"/>
        <w:ind w:right="-142"/>
        <w:contextualSpacing/>
        <w:jc w:val="both"/>
        <w:rPr>
          <w:rFonts w:ascii="Century Gothic" w:hAnsi="Century Gothic" w:cs="Arial"/>
          <w:sz w:val="24"/>
          <w:szCs w:val="24"/>
        </w:rPr>
      </w:pPr>
    </w:p>
    <w:p w14:paraId="2B6284F9"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43. Mediante Resolución No. 34 de 8 de mayo de 2006, la Fiscalía General de la Nación decidió precluir una investigación penal en contra del representante legal del Consorcio ICM Ingenieros Ltda. – Suárez y Silva Ltda. Ingenieros Contratistas</w:t>
      </w:r>
      <w:r>
        <w:rPr>
          <w:rStyle w:val="Refdenotaalpie"/>
          <w:rFonts w:ascii="Century Gothic" w:hAnsi="Century Gothic" w:cs="Arial"/>
          <w:sz w:val="24"/>
          <w:szCs w:val="24"/>
        </w:rPr>
        <w:footnoteReference w:id="31"/>
      </w:r>
      <w:r>
        <w:rPr>
          <w:rFonts w:ascii="Century Gothic" w:hAnsi="Century Gothic" w:cs="Arial"/>
          <w:sz w:val="24"/>
          <w:szCs w:val="24"/>
        </w:rPr>
        <w:t>.</w:t>
      </w:r>
    </w:p>
    <w:p w14:paraId="7D9404D1" w14:textId="77777777" w:rsidR="0087769D" w:rsidRDefault="0087769D" w:rsidP="0087769D">
      <w:pPr>
        <w:spacing w:line="360" w:lineRule="auto"/>
        <w:ind w:right="-142"/>
        <w:contextualSpacing/>
        <w:jc w:val="both"/>
        <w:rPr>
          <w:rFonts w:ascii="Century Gothic" w:hAnsi="Century Gothic" w:cs="Arial"/>
          <w:sz w:val="24"/>
          <w:szCs w:val="24"/>
        </w:rPr>
      </w:pPr>
    </w:p>
    <w:p w14:paraId="3289C741"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44. El geólogo Harvey de Jesús </w:t>
      </w:r>
      <w:proofErr w:type="spellStart"/>
      <w:r>
        <w:rPr>
          <w:rFonts w:ascii="Century Gothic" w:hAnsi="Century Gothic" w:cs="Arial"/>
          <w:sz w:val="24"/>
          <w:szCs w:val="24"/>
        </w:rPr>
        <w:t>Nope</w:t>
      </w:r>
      <w:proofErr w:type="spellEnd"/>
      <w:r>
        <w:rPr>
          <w:rFonts w:ascii="Century Gothic" w:hAnsi="Century Gothic" w:cs="Arial"/>
          <w:sz w:val="24"/>
          <w:szCs w:val="24"/>
        </w:rPr>
        <w:t xml:space="preserve"> Gómez presentó respuesta a unas solicitudes de adición y aclaración de su estudio</w:t>
      </w:r>
      <w:r>
        <w:rPr>
          <w:rStyle w:val="Refdenotaalpie"/>
          <w:rFonts w:ascii="Century Gothic" w:hAnsi="Century Gothic" w:cs="Arial"/>
          <w:sz w:val="24"/>
          <w:szCs w:val="24"/>
        </w:rPr>
        <w:footnoteReference w:id="32"/>
      </w:r>
      <w:r>
        <w:rPr>
          <w:rFonts w:ascii="Century Gothic" w:hAnsi="Century Gothic" w:cs="Arial"/>
          <w:sz w:val="24"/>
          <w:szCs w:val="24"/>
        </w:rPr>
        <w:t>, respuesta de la cual se corrió traslado al contratista y a la interventoría los días 6 y 26 de julio de 2006</w:t>
      </w:r>
      <w:r>
        <w:rPr>
          <w:rStyle w:val="Refdenotaalpie"/>
          <w:rFonts w:ascii="Century Gothic" w:hAnsi="Century Gothic" w:cs="Arial"/>
          <w:sz w:val="24"/>
          <w:szCs w:val="24"/>
        </w:rPr>
        <w:footnoteReference w:id="33"/>
      </w:r>
      <w:r>
        <w:rPr>
          <w:rFonts w:ascii="Century Gothic" w:hAnsi="Century Gothic" w:cs="Arial"/>
          <w:sz w:val="24"/>
          <w:szCs w:val="24"/>
        </w:rPr>
        <w:t>.</w:t>
      </w:r>
    </w:p>
    <w:p w14:paraId="6AADCFDE" w14:textId="77777777" w:rsidR="0087769D" w:rsidRDefault="0087769D" w:rsidP="0087769D">
      <w:pPr>
        <w:spacing w:line="360" w:lineRule="auto"/>
        <w:ind w:right="-142"/>
        <w:contextualSpacing/>
        <w:jc w:val="both"/>
        <w:rPr>
          <w:rFonts w:ascii="Century Gothic" w:hAnsi="Century Gothic" w:cs="Arial"/>
          <w:sz w:val="24"/>
          <w:szCs w:val="24"/>
        </w:rPr>
      </w:pPr>
    </w:p>
    <w:p w14:paraId="290C6DE3"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lastRenderedPageBreak/>
        <w:t>45. El Departamento de Boyacá resolvió los recursos de reposición interpuestos por el contratista y la interventoría contra la Resolución No. 185 de 2004 –declaratoria del siniestro de estabilidad de la obra- mediante la expedición de la Resolución No. 291 de 22 de diciembre de 2006. En la decisión decidió: “</w:t>
      </w:r>
      <w:r>
        <w:rPr>
          <w:rFonts w:ascii="Century Gothic" w:hAnsi="Century Gothic" w:cs="Arial"/>
          <w:i/>
          <w:sz w:val="24"/>
          <w:szCs w:val="24"/>
        </w:rPr>
        <w:t>Confirmar en todas y cada una de sus partes, el contenido de la Resolución No. 000185 de fecha 11 de mayo de 2004</w:t>
      </w:r>
      <w:r>
        <w:rPr>
          <w:rStyle w:val="Refdenotaalpie"/>
          <w:rFonts w:ascii="Century Gothic" w:hAnsi="Century Gothic" w:cs="Arial"/>
          <w:i/>
          <w:sz w:val="24"/>
          <w:szCs w:val="24"/>
        </w:rPr>
        <w:footnoteReference w:id="34"/>
      </w:r>
      <w:r>
        <w:rPr>
          <w:rFonts w:ascii="Century Gothic" w:hAnsi="Century Gothic" w:cs="Arial"/>
          <w:i/>
          <w:sz w:val="24"/>
          <w:szCs w:val="24"/>
        </w:rPr>
        <w:t>”.</w:t>
      </w:r>
      <w:r>
        <w:rPr>
          <w:rFonts w:ascii="Century Gothic" w:hAnsi="Century Gothic" w:cs="Arial"/>
          <w:sz w:val="24"/>
          <w:szCs w:val="24"/>
        </w:rPr>
        <w:t xml:space="preserve"> </w:t>
      </w:r>
    </w:p>
    <w:p w14:paraId="5CE06911" w14:textId="77777777" w:rsidR="0087769D" w:rsidRDefault="0087769D" w:rsidP="0087769D">
      <w:pPr>
        <w:spacing w:line="360" w:lineRule="auto"/>
        <w:ind w:right="-142"/>
        <w:contextualSpacing/>
        <w:jc w:val="both"/>
        <w:rPr>
          <w:rFonts w:ascii="Century Gothic" w:hAnsi="Century Gothic" w:cs="Arial"/>
          <w:sz w:val="24"/>
          <w:szCs w:val="24"/>
        </w:rPr>
      </w:pPr>
    </w:p>
    <w:p w14:paraId="282B9595" w14:textId="77777777" w:rsidR="0087769D" w:rsidRPr="00686821"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46. Mediante Auto No. 830 de 30 de septiembre de 2010, la dirección operativa de responsabilidad fiscal de la Contraloría General de Boyacá ordenó cesar la acción fiscal respecto de los representantes legales del Consorcio ICM Ingenieros Ltda. – Suárez y Silva Ltda. Ingenieros Contratistas y el Consorcio Oscar Daniel Garzón Forero y Vanegas Garzón </w:t>
      </w:r>
      <w:proofErr w:type="spellStart"/>
      <w:r>
        <w:rPr>
          <w:rFonts w:ascii="Century Gothic" w:hAnsi="Century Gothic" w:cs="Arial"/>
          <w:sz w:val="24"/>
          <w:szCs w:val="24"/>
        </w:rPr>
        <w:t>Ltda</w:t>
      </w:r>
      <w:proofErr w:type="spellEnd"/>
      <w:r>
        <w:rPr>
          <w:rStyle w:val="Refdenotaalpie"/>
          <w:rFonts w:ascii="Century Gothic" w:hAnsi="Century Gothic" w:cs="Arial"/>
          <w:sz w:val="24"/>
          <w:szCs w:val="24"/>
        </w:rPr>
        <w:footnoteReference w:id="35"/>
      </w:r>
      <w:r>
        <w:rPr>
          <w:rFonts w:ascii="Century Gothic" w:hAnsi="Century Gothic" w:cs="Arial"/>
          <w:sz w:val="24"/>
          <w:szCs w:val="24"/>
        </w:rPr>
        <w:t>. Esta decisión fue confirmada por el Contralor General de Boyacá mediante Resolución No. 133 de 18 de febrero de 2011, al resolver el respectivo grado de consulta</w:t>
      </w:r>
      <w:r>
        <w:rPr>
          <w:rStyle w:val="Refdenotaalpie"/>
          <w:rFonts w:ascii="Century Gothic" w:hAnsi="Century Gothic" w:cs="Arial"/>
          <w:sz w:val="24"/>
          <w:szCs w:val="24"/>
        </w:rPr>
        <w:footnoteReference w:id="36"/>
      </w:r>
      <w:r>
        <w:rPr>
          <w:rFonts w:ascii="Century Gothic" w:hAnsi="Century Gothic" w:cs="Arial"/>
          <w:sz w:val="24"/>
          <w:szCs w:val="24"/>
        </w:rPr>
        <w:t>.</w:t>
      </w:r>
    </w:p>
    <w:p w14:paraId="2B1637E4" w14:textId="77777777" w:rsidR="0087769D" w:rsidRDefault="0087769D" w:rsidP="0087769D">
      <w:pPr>
        <w:spacing w:line="360" w:lineRule="auto"/>
        <w:ind w:right="-142"/>
        <w:contextualSpacing/>
        <w:jc w:val="both"/>
        <w:rPr>
          <w:rFonts w:ascii="Century Gothic" w:hAnsi="Century Gothic" w:cs="Arial"/>
          <w:sz w:val="24"/>
          <w:szCs w:val="24"/>
        </w:rPr>
      </w:pPr>
    </w:p>
    <w:p w14:paraId="0E6AF99A" w14:textId="77777777" w:rsidR="0087769D" w:rsidRPr="005A1FF0" w:rsidRDefault="0087769D" w:rsidP="0087769D">
      <w:pPr>
        <w:spacing w:line="360" w:lineRule="auto"/>
        <w:ind w:right="-142"/>
        <w:contextualSpacing/>
        <w:jc w:val="both"/>
        <w:rPr>
          <w:rFonts w:ascii="Century Gothic" w:hAnsi="Century Gothic" w:cs="Arial"/>
          <w:b/>
          <w:sz w:val="24"/>
          <w:szCs w:val="24"/>
        </w:rPr>
      </w:pPr>
      <w:r>
        <w:rPr>
          <w:rFonts w:ascii="Century Gothic" w:hAnsi="Century Gothic" w:cs="Arial"/>
          <w:b/>
          <w:sz w:val="24"/>
          <w:szCs w:val="24"/>
        </w:rPr>
        <w:t>2.3</w:t>
      </w:r>
      <w:r w:rsidRPr="006B2625">
        <w:rPr>
          <w:rFonts w:ascii="Century Gothic" w:hAnsi="Century Gothic" w:cs="Arial"/>
          <w:b/>
          <w:sz w:val="24"/>
          <w:szCs w:val="24"/>
        </w:rPr>
        <w:t>. El problema jurídico</w:t>
      </w:r>
    </w:p>
    <w:p w14:paraId="38F63F45" w14:textId="77777777" w:rsidR="0087769D" w:rsidRDefault="0087769D" w:rsidP="0087769D">
      <w:pPr>
        <w:spacing w:line="360" w:lineRule="auto"/>
        <w:ind w:right="-142"/>
        <w:contextualSpacing/>
        <w:jc w:val="both"/>
        <w:rPr>
          <w:rFonts w:ascii="Century Gothic" w:hAnsi="Century Gothic" w:cs="Arial"/>
          <w:sz w:val="24"/>
          <w:szCs w:val="24"/>
        </w:rPr>
      </w:pPr>
    </w:p>
    <w:p w14:paraId="59E607FE"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47. A partir de</w:t>
      </w:r>
      <w:r w:rsidRPr="007415DD">
        <w:rPr>
          <w:rFonts w:ascii="Century Gothic" w:hAnsi="Century Gothic" w:cs="Arial"/>
          <w:sz w:val="24"/>
          <w:szCs w:val="24"/>
        </w:rPr>
        <w:t xml:space="preserve"> los hechos probados y los motivos de la apelac</w:t>
      </w:r>
      <w:r>
        <w:rPr>
          <w:rFonts w:ascii="Century Gothic" w:hAnsi="Century Gothic" w:cs="Arial"/>
          <w:sz w:val="24"/>
          <w:szCs w:val="24"/>
        </w:rPr>
        <w:t>ión interpuesta por la parte demandante, deberá la Sala establecer si el Tribunal erró: 1) al concluir que el Departamento de Boyacá garantizó el derecho al debido proceso del Consorcio ICM Ingenieros Ltda. – Suárez y Silva Ltda. Ingenieros Contratistas y; 2) al considerar que la parte demandante no acreditó la alegada falsa motivación de los actos administrativos demandados.</w:t>
      </w:r>
    </w:p>
    <w:p w14:paraId="68CD7184" w14:textId="77777777" w:rsidR="0087769D" w:rsidRPr="00E66A17" w:rsidRDefault="0087769D" w:rsidP="0087769D">
      <w:pPr>
        <w:spacing w:line="360" w:lineRule="auto"/>
        <w:ind w:right="-142"/>
        <w:contextualSpacing/>
        <w:jc w:val="both"/>
        <w:rPr>
          <w:rFonts w:ascii="Century Gothic" w:hAnsi="Century Gothic" w:cs="Arial"/>
          <w:sz w:val="24"/>
          <w:szCs w:val="24"/>
        </w:rPr>
      </w:pPr>
    </w:p>
    <w:p w14:paraId="2C88B16B" w14:textId="77777777" w:rsidR="0087769D" w:rsidRDefault="0087769D" w:rsidP="0087769D">
      <w:pPr>
        <w:spacing w:line="360" w:lineRule="auto"/>
        <w:ind w:right="-142"/>
        <w:contextualSpacing/>
        <w:jc w:val="both"/>
        <w:rPr>
          <w:rFonts w:ascii="Century Gothic" w:hAnsi="Century Gothic" w:cs="Arial"/>
          <w:b/>
          <w:sz w:val="24"/>
          <w:szCs w:val="24"/>
        </w:rPr>
      </w:pPr>
      <w:r>
        <w:rPr>
          <w:rFonts w:ascii="Century Gothic" w:hAnsi="Century Gothic" w:cs="Arial"/>
          <w:b/>
          <w:sz w:val="24"/>
          <w:szCs w:val="24"/>
        </w:rPr>
        <w:t xml:space="preserve">2.4. </w:t>
      </w:r>
      <w:r w:rsidRPr="004B5864">
        <w:rPr>
          <w:rFonts w:ascii="Century Gothic" w:hAnsi="Century Gothic" w:cs="Arial"/>
          <w:b/>
          <w:sz w:val="24"/>
          <w:szCs w:val="24"/>
        </w:rPr>
        <w:t>El caso concreto</w:t>
      </w:r>
    </w:p>
    <w:p w14:paraId="130B0EE5" w14:textId="77777777" w:rsidR="0087769D" w:rsidRDefault="0087769D" w:rsidP="0087769D">
      <w:pPr>
        <w:spacing w:line="360" w:lineRule="auto"/>
        <w:ind w:right="-142"/>
        <w:contextualSpacing/>
        <w:jc w:val="both"/>
        <w:rPr>
          <w:rFonts w:ascii="Century Gothic" w:hAnsi="Century Gothic" w:cs="Arial"/>
          <w:sz w:val="24"/>
          <w:szCs w:val="24"/>
        </w:rPr>
      </w:pPr>
    </w:p>
    <w:p w14:paraId="2A47236F"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lastRenderedPageBreak/>
        <w:t>48. La Sala considera que la forma adecuada de abordar el problema jurídico consiste, en primer lugar, en determinar si las Resoluciones No. 185 de 11 de mayo de 2004 y 291 de 22 de diciembre 2006 son nulas, por haber desconocido los derechos de audiencia y de defensa del consorcio demandante. En efecto, de prosperar este cargo, no sería necesario entrar a estudiar la alegada falsa motivación de los actos administrativos demandados. De concluirse que el Departamento de Boyacá garantizó efectivamente el derecho al debido proceso, corresponderá a la Sala verificar si las resoluciones demandadas adolecen de falsa motivación.</w:t>
      </w:r>
    </w:p>
    <w:p w14:paraId="373800AA" w14:textId="77777777" w:rsidR="0087769D" w:rsidRDefault="0087769D" w:rsidP="0087769D">
      <w:pPr>
        <w:spacing w:line="360" w:lineRule="auto"/>
        <w:ind w:right="-142"/>
        <w:contextualSpacing/>
        <w:jc w:val="both"/>
        <w:rPr>
          <w:rFonts w:ascii="Century Gothic" w:hAnsi="Century Gothic" w:cs="Arial"/>
          <w:sz w:val="24"/>
          <w:szCs w:val="24"/>
        </w:rPr>
      </w:pPr>
    </w:p>
    <w:p w14:paraId="7A7E4F79" w14:textId="77777777" w:rsidR="0087769D" w:rsidRDefault="0087769D" w:rsidP="0087769D">
      <w:pPr>
        <w:spacing w:line="360" w:lineRule="auto"/>
        <w:ind w:right="-142"/>
        <w:contextualSpacing/>
        <w:jc w:val="both"/>
        <w:rPr>
          <w:rFonts w:ascii="Century Gothic" w:hAnsi="Century Gothic" w:cs="Arial"/>
          <w:sz w:val="24"/>
          <w:szCs w:val="24"/>
        </w:rPr>
      </w:pPr>
    </w:p>
    <w:p w14:paraId="5ABBCD5E" w14:textId="77777777" w:rsidR="0087769D" w:rsidRDefault="0087769D" w:rsidP="0087769D">
      <w:pPr>
        <w:spacing w:line="360" w:lineRule="auto"/>
        <w:ind w:right="-142"/>
        <w:contextualSpacing/>
        <w:jc w:val="both"/>
        <w:rPr>
          <w:rFonts w:ascii="Century Gothic" w:hAnsi="Century Gothic" w:cs="Arial"/>
          <w:b/>
          <w:sz w:val="24"/>
          <w:szCs w:val="24"/>
        </w:rPr>
      </w:pPr>
      <w:r>
        <w:rPr>
          <w:rFonts w:ascii="Century Gothic" w:hAnsi="Century Gothic" w:cs="Arial"/>
          <w:b/>
          <w:sz w:val="24"/>
          <w:szCs w:val="24"/>
        </w:rPr>
        <w:t>1) Nulidad de las Resoluciones No. 185 de 2004 y 291 de 2006 por violación del debido proceso</w:t>
      </w:r>
    </w:p>
    <w:p w14:paraId="71C26517" w14:textId="77777777" w:rsidR="0087769D" w:rsidRPr="00561B73" w:rsidRDefault="0087769D" w:rsidP="0087769D">
      <w:pPr>
        <w:spacing w:line="360" w:lineRule="auto"/>
        <w:ind w:right="-142"/>
        <w:contextualSpacing/>
        <w:jc w:val="both"/>
        <w:rPr>
          <w:rFonts w:ascii="Century Gothic" w:hAnsi="Century Gothic" w:cs="Arial"/>
          <w:b/>
          <w:sz w:val="24"/>
          <w:szCs w:val="24"/>
        </w:rPr>
      </w:pPr>
    </w:p>
    <w:p w14:paraId="49AD0A4F"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49. De la lectura del recurso de apelación presentado por el consorcio demandante, se extrae que, a juicio del recurrente, la entidad vulneró su derecho constitucional al debido proceso en la medida en que: 1) basó su decisión inicial en pruebas recaudadas unilateralmente sin la presencia del contratista y la compañía de seguros; 2) no corrió traslado de las mencionadas pruebas a los afectados con la decisión de declaratoria del siniestro y; 3) se abstuvo de practicar las pruebas solicitadas por el contratista y su garante al momento de estos interponer recurso de reposición. La Sala rechazará estos argumentos por las razones que a continuación se exponen:</w:t>
      </w:r>
    </w:p>
    <w:p w14:paraId="0E71425B" w14:textId="77777777" w:rsidR="0087769D" w:rsidRDefault="0087769D" w:rsidP="0087769D">
      <w:pPr>
        <w:spacing w:line="360" w:lineRule="auto"/>
        <w:ind w:right="-142"/>
        <w:contextualSpacing/>
        <w:jc w:val="both"/>
        <w:rPr>
          <w:rFonts w:ascii="Century Gothic" w:hAnsi="Century Gothic" w:cs="Arial"/>
          <w:sz w:val="24"/>
          <w:szCs w:val="24"/>
        </w:rPr>
      </w:pPr>
    </w:p>
    <w:p w14:paraId="2A0B65BE"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50. Revisada la Resolución No. 185 de 11 de mayo de 2004, se observa que el Departamento de Boyacá adoptó la decisión de declarar la ocurrencia del siniestro de estabilidad de la obra con fundamento en una inspección y un informe técnico realizado por los ingenieros </w:t>
      </w:r>
      <w:proofErr w:type="spellStart"/>
      <w:r>
        <w:rPr>
          <w:rFonts w:ascii="Century Gothic" w:hAnsi="Century Gothic" w:cs="Arial"/>
          <w:sz w:val="24"/>
          <w:szCs w:val="24"/>
        </w:rPr>
        <w:t>Evidalia</w:t>
      </w:r>
      <w:proofErr w:type="spellEnd"/>
      <w:r>
        <w:rPr>
          <w:rFonts w:ascii="Century Gothic" w:hAnsi="Century Gothic" w:cs="Arial"/>
          <w:sz w:val="24"/>
          <w:szCs w:val="24"/>
        </w:rPr>
        <w:t xml:space="preserve"> Colmenares Cañón, Alba Rocío Ramírez Lasso, Marcela Elvira Rojas y Guillermo Flechas Fajardo. </w:t>
      </w:r>
      <w:r>
        <w:rPr>
          <w:rFonts w:ascii="Century Gothic" w:hAnsi="Century Gothic" w:cs="Arial"/>
          <w:sz w:val="24"/>
          <w:szCs w:val="24"/>
        </w:rPr>
        <w:lastRenderedPageBreak/>
        <w:t>Las referidas pruebas no fueron aportadas con la demanda o la contestación de la misma, ni fueron allegadas por el Departamento de Boyacá al momento de remitir el expediente del contrato No. 84 de 2000. No obstante no obrar estos documentos en el expediente, según lo afirmado en los escritos de demanda y contestación, se tiene que ni el Consorcio ICM Ingenieros Ltda. – Suárez y Silva Ltda. Ingenieros Contratistas ni la compañía Seguros del Estado S.A. participaron en la práctica de las mencionadas pruebas.</w:t>
      </w:r>
    </w:p>
    <w:p w14:paraId="124AE4D8" w14:textId="77777777" w:rsidR="0087769D" w:rsidRDefault="0087769D" w:rsidP="0087769D">
      <w:pPr>
        <w:spacing w:line="360" w:lineRule="auto"/>
        <w:ind w:right="-142"/>
        <w:contextualSpacing/>
        <w:jc w:val="both"/>
        <w:rPr>
          <w:rFonts w:ascii="Century Gothic" w:hAnsi="Century Gothic" w:cs="Arial"/>
          <w:sz w:val="24"/>
          <w:szCs w:val="24"/>
        </w:rPr>
      </w:pPr>
    </w:p>
    <w:p w14:paraId="5E39FC7F"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51. De acuerdo con el consorcio demandante, el hecho de haberse practicado pruebas sin la comparecencia del contratista y la aseguradora convirtió esas pruebas en nulas y, por lo tanto, en inoponibles.</w:t>
      </w:r>
    </w:p>
    <w:p w14:paraId="71987FA8"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52. Debe recordarse que, tal y como lo ha sostenido esta Sección, la declaratoria de ocurrencia del siniestro de estabilidad de la obra no tiene carácter sancionatorio, por lo que no requiere del agotamiento de un procedimiento administrativo previo</w:t>
      </w:r>
      <w:r>
        <w:rPr>
          <w:rStyle w:val="Refdenotaalpie"/>
          <w:rFonts w:ascii="Century Gothic" w:hAnsi="Century Gothic" w:cs="Arial"/>
          <w:sz w:val="24"/>
          <w:szCs w:val="24"/>
        </w:rPr>
        <w:footnoteReference w:id="37"/>
      </w:r>
      <w:r>
        <w:rPr>
          <w:rFonts w:ascii="Century Gothic" w:hAnsi="Century Gothic" w:cs="Arial"/>
          <w:sz w:val="24"/>
          <w:szCs w:val="24"/>
        </w:rPr>
        <w:t>. En ese sentido, si una entidad pretende declarar la ocurrencia de este siniestro, no tiene por qué citar al contratista y su garante antes de adoptar la decisión y, por consiguiente, no se requiere la presencia de estos en la consecución de los medios de convicción que le permitirán a la entidad determinar si declara o no la ocurrencia del siniestro. En este contexto, el derecho al debido proceso se garantiza al permitir al contratista y la compañía de seguros impugnar el acto a través del recurso de reposición, con el fin de que, mediante el mismo, puedan controvertir las razones y pruebas tenidas en cuenta por la entidad para declarar el siniestro. En ese orden de ideas, el primer argumento de la apelación relativo a la violación del derecho al debido proceso no está llamado a prosperar.</w:t>
      </w:r>
    </w:p>
    <w:p w14:paraId="026642FA" w14:textId="77777777" w:rsidR="0087769D" w:rsidRDefault="0087769D" w:rsidP="0087769D">
      <w:pPr>
        <w:spacing w:line="360" w:lineRule="auto"/>
        <w:ind w:right="-142"/>
        <w:contextualSpacing/>
        <w:jc w:val="both"/>
        <w:rPr>
          <w:rFonts w:ascii="Century Gothic" w:hAnsi="Century Gothic" w:cs="Arial"/>
          <w:sz w:val="24"/>
          <w:szCs w:val="24"/>
        </w:rPr>
      </w:pPr>
    </w:p>
    <w:p w14:paraId="28241683"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53. En el caso bajo estudio, es absolutamente claro que el Departamento de Boyacá garantizó el derecho al debido proceso tanto del Consorcio ICM Ingenieros Ltda. – Suárez y Silva Ltda. Ingenieros Contratistas como de la compañía Seguros del Estado S.A. En efecto, al momento de notificarles el contenido de la Resolución No. 185 de 2004, les permitió interponer recurso de reposición con el fin de debatir los motivos de la decisión adoptada y de controvertir las pruebas tenidas en cuenta. De igual manera, el Departamento de Boyacá decretó y practicó las pruebas solicitadas por el contratista y la interventoría, como puede apreciarse en los párrafos 33 y siguientes de esta providencia. Así las cosas, los argumentos según los cuales no se corrió traslado de las pruebas tenidas en cuenta para declarar la ocurrencia del siniestro y no se practicaron las pruebas solicitadas en los recursos de reposición, tampoco tienen vocación de prosperidad.</w:t>
      </w:r>
    </w:p>
    <w:p w14:paraId="0B806115" w14:textId="77777777" w:rsidR="0087769D" w:rsidRDefault="0087769D" w:rsidP="0087769D">
      <w:pPr>
        <w:spacing w:line="360" w:lineRule="auto"/>
        <w:ind w:right="-142"/>
        <w:contextualSpacing/>
        <w:jc w:val="both"/>
        <w:rPr>
          <w:rFonts w:ascii="Century Gothic" w:hAnsi="Century Gothic" w:cs="Arial"/>
          <w:sz w:val="24"/>
          <w:szCs w:val="24"/>
        </w:rPr>
      </w:pPr>
    </w:p>
    <w:p w14:paraId="571923AA" w14:textId="77777777" w:rsidR="0087769D" w:rsidRPr="009C2664" w:rsidRDefault="0087769D" w:rsidP="0087769D">
      <w:pPr>
        <w:spacing w:line="360" w:lineRule="auto"/>
        <w:ind w:right="-142"/>
        <w:contextualSpacing/>
        <w:jc w:val="both"/>
        <w:rPr>
          <w:rFonts w:ascii="Century Gothic" w:hAnsi="Century Gothic" w:cs="Arial"/>
          <w:b/>
          <w:sz w:val="24"/>
          <w:szCs w:val="24"/>
        </w:rPr>
      </w:pPr>
      <w:r>
        <w:rPr>
          <w:rFonts w:ascii="Century Gothic" w:hAnsi="Century Gothic" w:cs="Arial"/>
          <w:b/>
          <w:sz w:val="24"/>
          <w:szCs w:val="24"/>
        </w:rPr>
        <w:t>12) Nulidad de las Resoluciones No. 185 de 2004 y 291 de 2006 por falsa motivación</w:t>
      </w:r>
    </w:p>
    <w:p w14:paraId="7A7A2412" w14:textId="77777777" w:rsidR="0087769D" w:rsidRDefault="0087769D" w:rsidP="0087769D">
      <w:pPr>
        <w:spacing w:line="360" w:lineRule="auto"/>
        <w:ind w:right="-142"/>
        <w:contextualSpacing/>
        <w:jc w:val="both"/>
        <w:rPr>
          <w:rFonts w:ascii="Century Gothic" w:hAnsi="Century Gothic" w:cs="Arial"/>
          <w:sz w:val="24"/>
          <w:szCs w:val="24"/>
        </w:rPr>
      </w:pPr>
    </w:p>
    <w:p w14:paraId="3AC6B549"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54. En este punto, el Consorcio ICM Ingenieros Ltda. – Suárez y Silva Ltda. Ingenieros Contratistas sostuvo que las resoluciones están viciadas de falsa motivación pues, a su juicio, los daños de la vía Garagoa – </w:t>
      </w:r>
      <w:proofErr w:type="spellStart"/>
      <w:r>
        <w:rPr>
          <w:rFonts w:ascii="Century Gothic" w:hAnsi="Century Gothic" w:cs="Arial"/>
          <w:sz w:val="24"/>
          <w:szCs w:val="24"/>
        </w:rPr>
        <w:t>Chinavita</w:t>
      </w:r>
      <w:proofErr w:type="spellEnd"/>
      <w:r>
        <w:rPr>
          <w:rFonts w:ascii="Century Gothic" w:hAnsi="Century Gothic" w:cs="Arial"/>
          <w:sz w:val="24"/>
          <w:szCs w:val="24"/>
        </w:rPr>
        <w:t xml:space="preserve"> posteriores a la entrega final de la obra no se debieron a su responsabilidad, sino a “</w:t>
      </w:r>
      <w:r w:rsidRPr="00231A38">
        <w:rPr>
          <w:rFonts w:ascii="Century Gothic" w:hAnsi="Century Gothic" w:cs="Arial"/>
          <w:i/>
          <w:sz w:val="24"/>
          <w:szCs w:val="24"/>
        </w:rPr>
        <w:t>la geología de la zona y el impacto del invierno en la región, sumado a la falta de mantenimiento</w:t>
      </w:r>
      <w:r>
        <w:rPr>
          <w:rFonts w:ascii="Century Gothic" w:hAnsi="Century Gothic" w:cs="Arial"/>
          <w:sz w:val="24"/>
          <w:szCs w:val="24"/>
        </w:rPr>
        <w:t>” por parte del Departamento de Boyacá. Para la Sala, le asiste razón al recurrente cuando afirma que este hecho sí se encontraba acreditado en el expediente, como pasa a explicarse:</w:t>
      </w:r>
    </w:p>
    <w:p w14:paraId="742576FA" w14:textId="77777777" w:rsidR="0087769D" w:rsidRDefault="0087769D" w:rsidP="0087769D">
      <w:pPr>
        <w:spacing w:line="360" w:lineRule="auto"/>
        <w:ind w:right="-142"/>
        <w:contextualSpacing/>
        <w:jc w:val="both"/>
        <w:rPr>
          <w:rFonts w:ascii="Century Gothic" w:hAnsi="Century Gothic" w:cs="Arial"/>
          <w:sz w:val="24"/>
          <w:szCs w:val="24"/>
        </w:rPr>
      </w:pPr>
    </w:p>
    <w:p w14:paraId="5C523D45"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55. Según lo ha señalado esta Corporación, la garantía de estabilidad ampara: “</w:t>
      </w:r>
      <w:r w:rsidRPr="00070C88">
        <w:rPr>
          <w:rFonts w:ascii="Century Gothic" w:hAnsi="Century Gothic" w:cs="Arial"/>
          <w:i/>
          <w:sz w:val="24"/>
          <w:szCs w:val="24"/>
        </w:rPr>
        <w:t xml:space="preserve">el acaecimiento de vicios, mala calidad, defectos, deficiencias técnicas o fallas que no pudieron ser percibidos y detectados al momento </w:t>
      </w:r>
      <w:r w:rsidRPr="00070C88">
        <w:rPr>
          <w:rFonts w:ascii="Century Gothic" w:hAnsi="Century Gothic" w:cs="Arial"/>
          <w:i/>
          <w:sz w:val="24"/>
          <w:szCs w:val="24"/>
        </w:rPr>
        <w:lastRenderedPageBreak/>
        <w:t>de recibir el bien y que se presentan o descubren con posterioridad a la terminación del contrato y afectan el cumplimiento de los fines que animaron la contratación</w:t>
      </w:r>
      <w:r>
        <w:rPr>
          <w:rStyle w:val="Refdenotaalpie"/>
          <w:rFonts w:ascii="Century Gothic" w:hAnsi="Century Gothic" w:cs="Arial"/>
          <w:i/>
          <w:sz w:val="24"/>
          <w:szCs w:val="24"/>
        </w:rPr>
        <w:footnoteReference w:id="38"/>
      </w:r>
      <w:r>
        <w:rPr>
          <w:rFonts w:ascii="Century Gothic" w:hAnsi="Century Gothic" w:cs="Arial"/>
          <w:sz w:val="24"/>
          <w:szCs w:val="24"/>
        </w:rPr>
        <w:t>”</w:t>
      </w:r>
      <w:r w:rsidRPr="00C261FA">
        <w:rPr>
          <w:rFonts w:ascii="Century Gothic" w:hAnsi="Century Gothic" w:cs="Arial"/>
          <w:sz w:val="24"/>
          <w:szCs w:val="24"/>
        </w:rPr>
        <w:t>.</w:t>
      </w:r>
      <w:r>
        <w:rPr>
          <w:rFonts w:ascii="Century Gothic" w:hAnsi="Century Gothic" w:cs="Arial"/>
          <w:sz w:val="24"/>
          <w:szCs w:val="24"/>
        </w:rPr>
        <w:t xml:space="preserve"> Estos vicios, se ha precisado, deben ser imputables al contratista pues, de lo contrario, será el dueño de la obra quien deba soportar el deterioro de la misma</w:t>
      </w:r>
      <w:r>
        <w:rPr>
          <w:rStyle w:val="Refdenotaalpie"/>
          <w:rFonts w:ascii="Century Gothic" w:hAnsi="Century Gothic" w:cs="Arial"/>
          <w:sz w:val="24"/>
          <w:szCs w:val="24"/>
        </w:rPr>
        <w:footnoteReference w:id="39"/>
      </w:r>
      <w:r>
        <w:rPr>
          <w:rFonts w:ascii="Century Gothic" w:hAnsi="Century Gothic" w:cs="Arial"/>
          <w:sz w:val="24"/>
          <w:szCs w:val="24"/>
        </w:rPr>
        <w:t xml:space="preserve">. </w:t>
      </w:r>
    </w:p>
    <w:p w14:paraId="5A0561FF" w14:textId="77777777" w:rsidR="0087769D" w:rsidRDefault="0087769D" w:rsidP="0087769D">
      <w:pPr>
        <w:spacing w:line="360" w:lineRule="auto"/>
        <w:ind w:right="-142"/>
        <w:contextualSpacing/>
        <w:jc w:val="both"/>
        <w:rPr>
          <w:rFonts w:ascii="Century Gothic" w:hAnsi="Century Gothic" w:cs="Arial"/>
          <w:sz w:val="24"/>
          <w:szCs w:val="24"/>
        </w:rPr>
      </w:pPr>
    </w:p>
    <w:p w14:paraId="1B8D5CFD" w14:textId="77777777" w:rsidR="0087769D" w:rsidRPr="00F16EDF" w:rsidRDefault="0087769D" w:rsidP="0087769D">
      <w:pPr>
        <w:spacing w:line="360" w:lineRule="auto"/>
        <w:ind w:right="-142"/>
        <w:contextualSpacing/>
        <w:jc w:val="both"/>
        <w:rPr>
          <w:rFonts w:ascii="Century Gothic" w:hAnsi="Century Gothic" w:cs="Arial"/>
          <w:i/>
          <w:szCs w:val="24"/>
        </w:rPr>
      </w:pPr>
      <w:r>
        <w:rPr>
          <w:rFonts w:ascii="Century Gothic" w:hAnsi="Century Gothic" w:cs="Arial"/>
          <w:sz w:val="24"/>
          <w:szCs w:val="24"/>
        </w:rPr>
        <w:t>56. Como se indicó anteriormente, la Resolución No. 185 de 2004 fue adoptada luego de haberse practicado una inspección y un informe técnico de los cuales no se tiene copia en el expediente, mientras que la Resolución No. 291 de 2006 se adoptó con fundamento en las pruebas solicitadas en los recursos de reposición presentados por el consorcio y la interventoría, las cuales, se reitera, fueron debidamente practicadas, además de otras pruebas que fueron remitidas al Departamento de Boyacá. Será a partir de estas pruebas, y de las demás debidamente allegadas al expediente, que la Sala determinará si se configura o no el defecto de falsa motivación de los actos administrativos demandados.</w:t>
      </w:r>
    </w:p>
    <w:p w14:paraId="19351839" w14:textId="77777777" w:rsidR="0087769D" w:rsidRDefault="0087769D" w:rsidP="0087769D">
      <w:pPr>
        <w:spacing w:line="360" w:lineRule="auto"/>
        <w:ind w:right="-142"/>
        <w:contextualSpacing/>
        <w:jc w:val="both"/>
        <w:rPr>
          <w:rFonts w:ascii="Century Gothic" w:hAnsi="Century Gothic" w:cs="Arial"/>
          <w:sz w:val="24"/>
          <w:szCs w:val="24"/>
        </w:rPr>
      </w:pPr>
    </w:p>
    <w:p w14:paraId="24EF1308"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57. En la Resolución No. 185 de 2004 se lee que el Departamento de Boyacá declaró la ocurrencia del siniestro de estabilidad de la obra debido a la “</w:t>
      </w:r>
      <w:r>
        <w:rPr>
          <w:rFonts w:ascii="Century Gothic" w:hAnsi="Century Gothic" w:cs="Arial"/>
          <w:i/>
          <w:sz w:val="24"/>
          <w:szCs w:val="24"/>
        </w:rPr>
        <w:t>mala calidad técnica de las obras ejecutadas”.</w:t>
      </w:r>
      <w:r>
        <w:rPr>
          <w:rFonts w:ascii="Century Gothic" w:hAnsi="Century Gothic" w:cs="Arial"/>
          <w:sz w:val="24"/>
          <w:szCs w:val="24"/>
        </w:rPr>
        <w:t xml:space="preserve"> Es decir, de acuerdo con la entidad, existieron problemas en la construcción y en las características técnicas de las obras realizadas, imputables al consorcio demandante, por las cuales resultaba procedente declarar la ocurrencia del siniestro de estabilidad de la obra. Por su parte, en la Resolución No. 291 de 2006, luego de haberse practicado las pruebas solicitadas por las partes y de haberse recibo otras, la entidad simplemente transcribió el resultado del estudio realizado por la sociedad Servicios de Ingeniería Ltda. e indicó que no se </w:t>
      </w:r>
      <w:r>
        <w:rPr>
          <w:rFonts w:ascii="Century Gothic" w:hAnsi="Century Gothic" w:cs="Arial"/>
          <w:sz w:val="24"/>
          <w:szCs w:val="24"/>
        </w:rPr>
        <w:lastRenderedPageBreak/>
        <w:t>lograron desvirtuar los fundamentos de la decisión de declarar la ocurrencia del siniestro (se trascribe):</w:t>
      </w:r>
    </w:p>
    <w:p w14:paraId="02B9E8F6" w14:textId="77777777" w:rsidR="0087769D" w:rsidRDefault="0087769D" w:rsidP="0087769D">
      <w:pPr>
        <w:spacing w:line="360" w:lineRule="auto"/>
        <w:ind w:right="-142"/>
        <w:contextualSpacing/>
        <w:jc w:val="both"/>
        <w:rPr>
          <w:rFonts w:ascii="Century Gothic" w:hAnsi="Century Gothic" w:cs="Arial"/>
          <w:sz w:val="24"/>
          <w:szCs w:val="24"/>
        </w:rPr>
      </w:pPr>
    </w:p>
    <w:p w14:paraId="312ACAAF" w14:textId="77777777" w:rsidR="0087769D" w:rsidRPr="006618FD" w:rsidRDefault="0087769D" w:rsidP="0087769D">
      <w:pPr>
        <w:ind w:left="567" w:right="567"/>
        <w:contextualSpacing/>
        <w:jc w:val="both"/>
        <w:rPr>
          <w:rFonts w:ascii="Century Gothic" w:hAnsi="Century Gothic" w:cs="Arial"/>
          <w:i/>
          <w:szCs w:val="24"/>
        </w:rPr>
      </w:pPr>
      <w:r w:rsidRPr="006F2C1F">
        <w:rPr>
          <w:rFonts w:ascii="Century Gothic" w:hAnsi="Century Gothic" w:cs="Arial"/>
          <w:szCs w:val="24"/>
        </w:rPr>
        <w:t>“</w:t>
      </w:r>
      <w:r w:rsidRPr="006F2C1F">
        <w:rPr>
          <w:rFonts w:ascii="Century Gothic" w:hAnsi="Century Gothic" w:cs="Arial"/>
          <w:i/>
          <w:szCs w:val="24"/>
        </w:rPr>
        <w:t>Por todo lo anterior, encontramos que los argumentos esgrimidos por los recurrentes no son de recibo para el Departamento de Boyacá por carecer de soporte constitucional, legal, fáctico y técnico, razón por la cual se procederá a confirmar la resolución impugnada”.</w:t>
      </w:r>
    </w:p>
    <w:p w14:paraId="51AE6096" w14:textId="77777777" w:rsidR="0087769D" w:rsidRDefault="0087769D" w:rsidP="0087769D">
      <w:pPr>
        <w:spacing w:line="360" w:lineRule="auto"/>
        <w:ind w:right="-142"/>
        <w:contextualSpacing/>
        <w:jc w:val="both"/>
        <w:rPr>
          <w:rFonts w:ascii="Century Gothic" w:hAnsi="Century Gothic" w:cs="Arial"/>
          <w:sz w:val="24"/>
          <w:szCs w:val="24"/>
        </w:rPr>
      </w:pPr>
    </w:p>
    <w:p w14:paraId="29BC3023"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58. Del análisis del acervo probatorio, la Sala concluye que los defectos que se evidenciaron en la vía Garagoa – </w:t>
      </w:r>
      <w:proofErr w:type="spellStart"/>
      <w:r>
        <w:rPr>
          <w:rFonts w:ascii="Century Gothic" w:hAnsi="Century Gothic" w:cs="Arial"/>
          <w:sz w:val="24"/>
          <w:szCs w:val="24"/>
        </w:rPr>
        <w:t>Chinavita</w:t>
      </w:r>
      <w:proofErr w:type="spellEnd"/>
      <w:r>
        <w:rPr>
          <w:rFonts w:ascii="Century Gothic" w:hAnsi="Century Gothic" w:cs="Arial"/>
          <w:sz w:val="24"/>
          <w:szCs w:val="24"/>
        </w:rPr>
        <w:t xml:space="preserve"> no eran imputables al Consorcio ICM Ingenieros Ltda. – Suárez y Silva Ltda. Ingenieros Contratistas, situación que encuentra acreditada en varias pruebas:</w:t>
      </w:r>
    </w:p>
    <w:p w14:paraId="338F79CB" w14:textId="77777777" w:rsidR="0087769D" w:rsidRDefault="0087769D" w:rsidP="0087769D">
      <w:pPr>
        <w:spacing w:line="360" w:lineRule="auto"/>
        <w:ind w:right="-142"/>
        <w:contextualSpacing/>
        <w:jc w:val="both"/>
        <w:rPr>
          <w:rFonts w:ascii="Century Gothic" w:hAnsi="Century Gothic" w:cs="Arial"/>
          <w:sz w:val="24"/>
          <w:szCs w:val="24"/>
        </w:rPr>
      </w:pPr>
    </w:p>
    <w:p w14:paraId="22403ABD"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59. 1)</w:t>
      </w:r>
      <w:r w:rsidRPr="00DB67C7">
        <w:rPr>
          <w:rFonts w:ascii="Century Gothic" w:hAnsi="Century Gothic" w:cs="Arial"/>
          <w:sz w:val="24"/>
          <w:szCs w:val="24"/>
        </w:rPr>
        <w:t xml:space="preserve"> </w:t>
      </w:r>
      <w:r>
        <w:rPr>
          <w:rFonts w:ascii="Century Gothic" w:hAnsi="Century Gothic" w:cs="Arial"/>
          <w:sz w:val="24"/>
          <w:szCs w:val="24"/>
        </w:rPr>
        <w:t xml:space="preserve">El especialista en geotecnia José Manuel Álvarez Lugo, en un estudio geotécnico elaborado el 26 de abril de 2001, determinó que a lo largo de la vía Garagoa – </w:t>
      </w:r>
      <w:proofErr w:type="spellStart"/>
      <w:r>
        <w:rPr>
          <w:rFonts w:ascii="Century Gothic" w:hAnsi="Century Gothic" w:cs="Arial"/>
          <w:sz w:val="24"/>
          <w:szCs w:val="24"/>
        </w:rPr>
        <w:t>Chinavita</w:t>
      </w:r>
      <w:proofErr w:type="spellEnd"/>
      <w:r>
        <w:rPr>
          <w:rFonts w:ascii="Century Gothic" w:hAnsi="Century Gothic" w:cs="Arial"/>
          <w:sz w:val="24"/>
          <w:szCs w:val="24"/>
        </w:rPr>
        <w:t xml:space="preserve"> existían varios lugares geológicamente inestables, para lo cual recomendó realizar varias obras de contención y estabilización</w:t>
      </w:r>
      <w:r>
        <w:rPr>
          <w:rStyle w:val="Refdenotaalpie"/>
          <w:rFonts w:ascii="Century Gothic" w:hAnsi="Century Gothic" w:cs="Arial"/>
          <w:sz w:val="24"/>
          <w:szCs w:val="24"/>
        </w:rPr>
        <w:footnoteReference w:id="40"/>
      </w:r>
      <w:r>
        <w:rPr>
          <w:rFonts w:ascii="Century Gothic" w:hAnsi="Century Gothic" w:cs="Arial"/>
          <w:sz w:val="24"/>
          <w:szCs w:val="24"/>
        </w:rPr>
        <w:t>.</w:t>
      </w:r>
    </w:p>
    <w:p w14:paraId="151A1DE9" w14:textId="77777777" w:rsidR="0087769D" w:rsidRDefault="0087769D" w:rsidP="0087769D">
      <w:pPr>
        <w:spacing w:line="360" w:lineRule="auto"/>
        <w:ind w:left="708" w:right="-142"/>
        <w:contextualSpacing/>
        <w:jc w:val="both"/>
        <w:rPr>
          <w:rFonts w:ascii="Century Gothic" w:hAnsi="Century Gothic" w:cs="Arial"/>
          <w:sz w:val="24"/>
          <w:szCs w:val="24"/>
        </w:rPr>
      </w:pPr>
    </w:p>
    <w:p w14:paraId="25FA1E6E"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60. 2) En la inspección realizada a la obra el 25 de agosto de 2004, el ingeniero civil José William Gaitán Ocampo manifestó que las infiltraciones de agua que deterioraban la obra se producían: “</w:t>
      </w:r>
      <w:r>
        <w:rPr>
          <w:rFonts w:ascii="Century Gothic" w:hAnsi="Century Gothic" w:cs="Arial"/>
          <w:i/>
          <w:sz w:val="24"/>
          <w:szCs w:val="24"/>
        </w:rPr>
        <w:t xml:space="preserve">porque no se calcula ni se prevé la circulación eficiente del agua con su escorrentía natural, tanto en época de lluvias como en época de sequía (…)”. </w:t>
      </w:r>
      <w:r>
        <w:rPr>
          <w:rFonts w:ascii="Century Gothic" w:hAnsi="Century Gothic" w:cs="Arial"/>
          <w:sz w:val="24"/>
          <w:szCs w:val="24"/>
        </w:rPr>
        <w:t>La Sala recuerda que, de conformidad con la cláusula primera del contrato de obra No. 84 de 2000, el contratista debía ejecutar la obra de acuerdo con las especificaciones indicadas por el Departamento de Boyacá. Sin embargo, como se extrae de las declaraciones del ingeniero residente</w:t>
      </w:r>
      <w:r>
        <w:rPr>
          <w:rStyle w:val="Refdenotaalpie"/>
          <w:rFonts w:ascii="Century Gothic" w:hAnsi="Century Gothic" w:cs="Arial"/>
          <w:sz w:val="24"/>
          <w:szCs w:val="24"/>
        </w:rPr>
        <w:footnoteReference w:id="41"/>
      </w:r>
      <w:r>
        <w:rPr>
          <w:rFonts w:ascii="Century Gothic" w:hAnsi="Century Gothic" w:cs="Arial"/>
          <w:sz w:val="24"/>
          <w:szCs w:val="24"/>
        </w:rPr>
        <w:t xml:space="preserve"> y del representante legal de la interventoría</w:t>
      </w:r>
      <w:r>
        <w:rPr>
          <w:rStyle w:val="Refdenotaalpie"/>
          <w:rFonts w:ascii="Century Gothic" w:hAnsi="Century Gothic" w:cs="Arial"/>
          <w:sz w:val="24"/>
          <w:szCs w:val="24"/>
        </w:rPr>
        <w:footnoteReference w:id="42"/>
      </w:r>
      <w:r>
        <w:rPr>
          <w:rFonts w:ascii="Century Gothic" w:hAnsi="Century Gothic" w:cs="Arial"/>
          <w:sz w:val="24"/>
          <w:szCs w:val="24"/>
        </w:rPr>
        <w:t xml:space="preserve">, los estudios y diseños entregados </w:t>
      </w:r>
      <w:r>
        <w:rPr>
          <w:rFonts w:ascii="Century Gothic" w:hAnsi="Century Gothic" w:cs="Arial"/>
          <w:sz w:val="24"/>
          <w:szCs w:val="24"/>
        </w:rPr>
        <w:lastRenderedPageBreak/>
        <w:t>por la entidad contratante fueron defectuosos, lo que llevó a que los diseños a implementar tuvieran que ser improvisados a medida que avanzaba la obra. Además de lo anterior, por aspectos presupuestales de la entidad, no pudieron realizarse varias obras necesarias para garantizar que la vía se mantuviera estable, como se evidencia en varias actas de comité de obra y en la bitácora de obra</w:t>
      </w:r>
      <w:r>
        <w:rPr>
          <w:rStyle w:val="Refdenotaalpie"/>
          <w:rFonts w:ascii="Century Gothic" w:hAnsi="Century Gothic" w:cs="Arial"/>
          <w:sz w:val="24"/>
          <w:szCs w:val="24"/>
        </w:rPr>
        <w:footnoteReference w:id="43"/>
      </w:r>
      <w:r>
        <w:rPr>
          <w:rFonts w:ascii="Century Gothic" w:hAnsi="Century Gothic" w:cs="Arial"/>
          <w:sz w:val="24"/>
          <w:szCs w:val="24"/>
        </w:rPr>
        <w:t xml:space="preserve">. </w:t>
      </w:r>
    </w:p>
    <w:p w14:paraId="076E30F0" w14:textId="77777777" w:rsidR="0087769D" w:rsidRDefault="0087769D" w:rsidP="0087769D">
      <w:pPr>
        <w:spacing w:line="360" w:lineRule="auto"/>
        <w:ind w:right="-142"/>
        <w:contextualSpacing/>
        <w:jc w:val="both"/>
        <w:rPr>
          <w:rFonts w:ascii="Century Gothic" w:hAnsi="Century Gothic" w:cs="Arial"/>
          <w:sz w:val="24"/>
          <w:szCs w:val="24"/>
        </w:rPr>
      </w:pPr>
    </w:p>
    <w:p w14:paraId="29582BE6"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61. 3) La firma Servicios de Ingeniería Ltda. estableció en el estudio que elaboró, que las causas del deterioro de la vía fueron: 1) la inestabilidad geológica de la zona; 2) defectos de mantenimiento de las obras de drenaje por parte del Departamento de Boyacá; 3) errores en el diseño de la estructura del pavimento y; 4) la baja calidad de los materiales empleados (se trascribe):</w:t>
      </w:r>
    </w:p>
    <w:p w14:paraId="3698DFB0" w14:textId="77777777" w:rsidR="0087769D" w:rsidRDefault="0087769D" w:rsidP="0087769D">
      <w:pPr>
        <w:spacing w:line="360" w:lineRule="auto"/>
        <w:ind w:right="-142"/>
        <w:contextualSpacing/>
        <w:jc w:val="both"/>
        <w:rPr>
          <w:rFonts w:ascii="Century Gothic" w:hAnsi="Century Gothic" w:cs="Arial"/>
          <w:sz w:val="24"/>
          <w:szCs w:val="24"/>
        </w:rPr>
      </w:pPr>
    </w:p>
    <w:p w14:paraId="21CA2135" w14:textId="77777777" w:rsidR="0087769D" w:rsidRDefault="0087769D" w:rsidP="0087769D">
      <w:pPr>
        <w:spacing w:line="360" w:lineRule="auto"/>
        <w:ind w:right="-142"/>
        <w:contextualSpacing/>
        <w:jc w:val="both"/>
        <w:rPr>
          <w:rFonts w:ascii="Century Gothic" w:hAnsi="Century Gothic" w:cs="Arial"/>
          <w:sz w:val="24"/>
          <w:szCs w:val="24"/>
        </w:rPr>
      </w:pPr>
    </w:p>
    <w:p w14:paraId="62689F8E" w14:textId="77777777" w:rsidR="0087769D" w:rsidRDefault="0087769D" w:rsidP="0087769D">
      <w:pPr>
        <w:spacing w:line="360" w:lineRule="auto"/>
        <w:ind w:right="-142"/>
        <w:contextualSpacing/>
        <w:jc w:val="both"/>
        <w:rPr>
          <w:rFonts w:ascii="Century Gothic" w:hAnsi="Century Gothic" w:cs="Arial"/>
          <w:sz w:val="24"/>
          <w:szCs w:val="24"/>
        </w:rPr>
      </w:pPr>
    </w:p>
    <w:p w14:paraId="62BDF85B" w14:textId="77777777" w:rsidR="0087769D" w:rsidRPr="00630593" w:rsidRDefault="0087769D" w:rsidP="0087769D">
      <w:pPr>
        <w:ind w:left="567" w:right="567"/>
        <w:contextualSpacing/>
        <w:jc w:val="both"/>
        <w:rPr>
          <w:rFonts w:ascii="Century Gothic" w:hAnsi="Century Gothic" w:cs="Arial"/>
          <w:i/>
          <w:szCs w:val="24"/>
        </w:rPr>
      </w:pPr>
      <w:r w:rsidRPr="00630593">
        <w:rPr>
          <w:rFonts w:ascii="Century Gothic" w:hAnsi="Century Gothic" w:cs="Arial"/>
          <w:szCs w:val="24"/>
        </w:rPr>
        <w:t>“</w:t>
      </w:r>
      <w:r w:rsidRPr="00630593">
        <w:rPr>
          <w:rFonts w:ascii="Century Gothic" w:hAnsi="Century Gothic" w:cs="Arial"/>
          <w:i/>
          <w:szCs w:val="24"/>
        </w:rPr>
        <w:t>3.5.2 Calidad de los materiales</w:t>
      </w:r>
    </w:p>
    <w:p w14:paraId="2CED98DF" w14:textId="77777777" w:rsidR="0087769D" w:rsidRPr="00270726" w:rsidRDefault="0087769D" w:rsidP="0087769D">
      <w:pPr>
        <w:ind w:left="567" w:right="567"/>
        <w:contextualSpacing/>
        <w:jc w:val="both"/>
        <w:rPr>
          <w:rFonts w:ascii="Century Gothic" w:hAnsi="Century Gothic" w:cs="Arial"/>
          <w:i/>
          <w:szCs w:val="24"/>
        </w:rPr>
      </w:pPr>
      <w:r w:rsidRPr="00630593">
        <w:rPr>
          <w:rFonts w:ascii="Century Gothic" w:hAnsi="Century Gothic" w:cs="Arial"/>
          <w:i/>
          <w:szCs w:val="24"/>
        </w:rPr>
        <w:t>Para este tramo se tienen en cuenta los mismos parámetros de evaluación del tramo anterior. En este tramo como en los anteriores se aprecian varios problemas de calidad de los materiales de las capas granulares y de la carpeta asfáltica, los cuales tienen repercusión directa en los daños del pavimento que se observaron durante la etapa de inventario. Existen sectores en los que el pavimento en general se encontraba en buen estado durante la etapa de inventario pero donde persisten los mismos problemas de calidad de los materiales; debido a esto es de esperarse que en el futuro se produzcan diferentes afectaciones por esta causa y se incrementen los deterioros en los sectores dañados”.</w:t>
      </w:r>
    </w:p>
    <w:p w14:paraId="320E6660" w14:textId="77777777" w:rsidR="0087769D" w:rsidRPr="00630593" w:rsidRDefault="0087769D" w:rsidP="0087769D">
      <w:pPr>
        <w:ind w:left="567" w:right="567"/>
        <w:contextualSpacing/>
        <w:jc w:val="both"/>
        <w:rPr>
          <w:rFonts w:ascii="Century Gothic" w:hAnsi="Century Gothic" w:cs="Arial"/>
          <w:i/>
          <w:szCs w:val="24"/>
        </w:rPr>
      </w:pPr>
      <w:r w:rsidRPr="00630593">
        <w:rPr>
          <w:rFonts w:ascii="Century Gothic" w:hAnsi="Century Gothic" w:cs="Arial"/>
          <w:i/>
          <w:szCs w:val="24"/>
        </w:rPr>
        <w:t>(…</w:t>
      </w:r>
      <w:r>
        <w:rPr>
          <w:rFonts w:ascii="Century Gothic" w:hAnsi="Century Gothic" w:cs="Arial"/>
          <w:i/>
          <w:szCs w:val="24"/>
        </w:rPr>
        <w:t>)</w:t>
      </w:r>
    </w:p>
    <w:p w14:paraId="6D7A2FAA" w14:textId="77777777" w:rsidR="0087769D" w:rsidRPr="00630593" w:rsidRDefault="0087769D" w:rsidP="0087769D">
      <w:pPr>
        <w:ind w:left="567" w:right="567"/>
        <w:contextualSpacing/>
        <w:jc w:val="both"/>
        <w:rPr>
          <w:rFonts w:ascii="Century Gothic" w:hAnsi="Century Gothic" w:cs="Arial"/>
          <w:i/>
          <w:szCs w:val="24"/>
        </w:rPr>
      </w:pPr>
      <w:r w:rsidRPr="00630593">
        <w:rPr>
          <w:rFonts w:ascii="Century Gothic" w:hAnsi="Century Gothic" w:cs="Arial"/>
          <w:i/>
          <w:szCs w:val="24"/>
        </w:rPr>
        <w:t>- Índices de deterioro</w:t>
      </w:r>
    </w:p>
    <w:p w14:paraId="03836ED8" w14:textId="77777777" w:rsidR="0087769D" w:rsidRPr="00630593" w:rsidRDefault="0087769D" w:rsidP="0087769D">
      <w:pPr>
        <w:ind w:left="567" w:right="567"/>
        <w:contextualSpacing/>
        <w:jc w:val="both"/>
        <w:rPr>
          <w:rFonts w:ascii="Century Gothic" w:hAnsi="Century Gothic" w:cs="Arial"/>
          <w:i/>
          <w:szCs w:val="24"/>
        </w:rPr>
      </w:pPr>
      <w:r w:rsidRPr="00630593">
        <w:rPr>
          <w:rFonts w:ascii="Century Gothic" w:hAnsi="Century Gothic" w:cs="Arial"/>
          <w:i/>
          <w:szCs w:val="24"/>
        </w:rPr>
        <w:t>El estado del pavimento en este tramo es deficiente, particularmente en la segunda mitad del tramo debido a los problemas estructurales graves y a los fenómenos de inestabilidad que afectan seriamente la banca. Existen zonas en que la carpeta ha sido destruida o ha sufrido daños severos a causa de fenómenos de inestabilidad.</w:t>
      </w:r>
    </w:p>
    <w:p w14:paraId="643FFF1A" w14:textId="77777777" w:rsidR="0087769D" w:rsidRPr="00630593" w:rsidRDefault="0087769D" w:rsidP="0087769D">
      <w:pPr>
        <w:ind w:left="567" w:right="567"/>
        <w:contextualSpacing/>
        <w:jc w:val="both"/>
        <w:rPr>
          <w:rFonts w:ascii="Century Gothic" w:hAnsi="Century Gothic" w:cs="Arial"/>
          <w:i/>
          <w:szCs w:val="24"/>
        </w:rPr>
      </w:pPr>
      <w:r>
        <w:rPr>
          <w:rFonts w:ascii="Century Gothic" w:hAnsi="Century Gothic" w:cs="Arial"/>
          <w:i/>
          <w:szCs w:val="24"/>
        </w:rPr>
        <w:t>(…)</w:t>
      </w:r>
    </w:p>
    <w:p w14:paraId="062A6FDA" w14:textId="77777777" w:rsidR="0087769D" w:rsidRPr="00630593" w:rsidRDefault="0087769D" w:rsidP="0087769D">
      <w:pPr>
        <w:ind w:left="567" w:right="567"/>
        <w:contextualSpacing/>
        <w:jc w:val="both"/>
        <w:rPr>
          <w:rFonts w:ascii="Century Gothic" w:hAnsi="Century Gothic" w:cs="Arial"/>
          <w:i/>
          <w:szCs w:val="24"/>
        </w:rPr>
      </w:pPr>
      <w:r>
        <w:rPr>
          <w:rFonts w:ascii="Century Gothic" w:hAnsi="Century Gothic" w:cs="Arial"/>
          <w:i/>
          <w:szCs w:val="24"/>
        </w:rPr>
        <w:lastRenderedPageBreak/>
        <w:t>- Condiciones de drenaje</w:t>
      </w:r>
    </w:p>
    <w:p w14:paraId="2511A4C9" w14:textId="77777777" w:rsidR="0087769D" w:rsidRPr="00630593" w:rsidRDefault="0087769D" w:rsidP="0087769D">
      <w:pPr>
        <w:ind w:left="567" w:right="567"/>
        <w:contextualSpacing/>
        <w:jc w:val="both"/>
        <w:rPr>
          <w:rFonts w:ascii="Century Gothic" w:hAnsi="Century Gothic" w:cs="Arial"/>
          <w:i/>
          <w:szCs w:val="24"/>
        </w:rPr>
      </w:pPr>
      <w:r w:rsidRPr="00630593">
        <w:rPr>
          <w:rFonts w:ascii="Century Gothic" w:hAnsi="Century Gothic" w:cs="Arial"/>
          <w:i/>
          <w:szCs w:val="24"/>
        </w:rPr>
        <w:t xml:space="preserve">- Las condiciones del drenaje en el tramo </w:t>
      </w:r>
      <w:proofErr w:type="spellStart"/>
      <w:r w:rsidRPr="00630593">
        <w:rPr>
          <w:rFonts w:ascii="Century Gothic" w:hAnsi="Century Gothic" w:cs="Arial"/>
          <w:i/>
          <w:szCs w:val="24"/>
        </w:rPr>
        <w:t>Chinavita</w:t>
      </w:r>
      <w:proofErr w:type="spellEnd"/>
      <w:r w:rsidRPr="00630593">
        <w:rPr>
          <w:rFonts w:ascii="Century Gothic" w:hAnsi="Century Gothic" w:cs="Arial"/>
          <w:i/>
          <w:szCs w:val="24"/>
        </w:rPr>
        <w:t>-Garagoa van de regulares a deficientes. Se observó la presencia de estructuras de subdrenajes en algunos sitios, confirmando su presencia en la conexión con las alcantarillas. Las obras de drenaje superficiales a lo largo de este tramo se encuentran en mal estado por falta de mantenimiento, con abundante presencia de ve</w:t>
      </w:r>
      <w:r>
        <w:rPr>
          <w:rFonts w:ascii="Century Gothic" w:hAnsi="Century Gothic" w:cs="Arial"/>
          <w:i/>
          <w:szCs w:val="24"/>
        </w:rPr>
        <w:t>getación, sedimentos y basuras.</w:t>
      </w:r>
    </w:p>
    <w:p w14:paraId="30EB7B67" w14:textId="77777777" w:rsidR="0087769D" w:rsidRPr="00630593" w:rsidRDefault="0087769D" w:rsidP="0087769D">
      <w:pPr>
        <w:ind w:left="567" w:right="567"/>
        <w:contextualSpacing/>
        <w:jc w:val="both"/>
        <w:rPr>
          <w:rFonts w:ascii="Century Gothic" w:hAnsi="Century Gothic" w:cs="Arial"/>
          <w:i/>
          <w:szCs w:val="24"/>
        </w:rPr>
      </w:pPr>
      <w:r w:rsidRPr="00630593">
        <w:rPr>
          <w:rFonts w:ascii="Century Gothic" w:hAnsi="Century Gothic" w:cs="Arial"/>
          <w:i/>
          <w:szCs w:val="24"/>
        </w:rPr>
        <w:t>- Problemas de estabilidad</w:t>
      </w:r>
    </w:p>
    <w:p w14:paraId="54E9E3BA" w14:textId="77777777" w:rsidR="0087769D" w:rsidRPr="00630593" w:rsidRDefault="0087769D" w:rsidP="0087769D">
      <w:pPr>
        <w:ind w:left="567" w:right="567"/>
        <w:contextualSpacing/>
        <w:jc w:val="both"/>
        <w:rPr>
          <w:rFonts w:ascii="Century Gothic" w:hAnsi="Century Gothic" w:cs="Arial"/>
          <w:i/>
          <w:szCs w:val="24"/>
        </w:rPr>
      </w:pPr>
      <w:r w:rsidRPr="00630593">
        <w:rPr>
          <w:rFonts w:ascii="Century Gothic" w:hAnsi="Century Gothic" w:cs="Arial"/>
          <w:i/>
          <w:szCs w:val="24"/>
        </w:rPr>
        <w:t xml:space="preserve">- En el tramo </w:t>
      </w:r>
      <w:proofErr w:type="spellStart"/>
      <w:r w:rsidRPr="00630593">
        <w:rPr>
          <w:rFonts w:ascii="Century Gothic" w:hAnsi="Century Gothic" w:cs="Arial"/>
          <w:i/>
          <w:szCs w:val="24"/>
        </w:rPr>
        <w:t>Chinavita</w:t>
      </w:r>
      <w:proofErr w:type="spellEnd"/>
      <w:r w:rsidRPr="00630593">
        <w:rPr>
          <w:rFonts w:ascii="Century Gothic" w:hAnsi="Century Gothic" w:cs="Arial"/>
          <w:i/>
          <w:szCs w:val="24"/>
        </w:rPr>
        <w:t>-Garagoa se presentan varios fenómenos de inestabilidad importantes que afectan seriamente la estabilidad de la banca y por lo tanto la operación normal de la vía; en algunos puntos se presentan hundimientos o zonas con destrucción de la carpeta que se han rellenado con recebo</w:t>
      </w:r>
      <w:r>
        <w:rPr>
          <w:rFonts w:ascii="Century Gothic" w:hAnsi="Century Gothic" w:cs="Arial"/>
          <w:i/>
          <w:szCs w:val="24"/>
        </w:rPr>
        <w:t xml:space="preserve"> para poder dar paso en la vía.</w:t>
      </w:r>
    </w:p>
    <w:p w14:paraId="2BD23116" w14:textId="77777777" w:rsidR="0087769D" w:rsidRPr="00630593" w:rsidRDefault="0087769D" w:rsidP="0087769D">
      <w:pPr>
        <w:ind w:left="567" w:right="567"/>
        <w:contextualSpacing/>
        <w:jc w:val="both"/>
        <w:rPr>
          <w:rFonts w:ascii="Century Gothic" w:hAnsi="Century Gothic" w:cs="Arial"/>
          <w:i/>
          <w:szCs w:val="24"/>
        </w:rPr>
      </w:pPr>
      <w:r w:rsidRPr="00630593">
        <w:rPr>
          <w:rFonts w:ascii="Century Gothic" w:hAnsi="Century Gothic" w:cs="Arial"/>
          <w:i/>
          <w:szCs w:val="24"/>
        </w:rPr>
        <w:t>- También se presentan problemas de reducidas dimensiones tipo caídas de bloques aisladas y en especial flujos de detritos o de tierra en taludes rocosos fracturados, cortes en m</w:t>
      </w:r>
      <w:r>
        <w:rPr>
          <w:rFonts w:ascii="Century Gothic" w:hAnsi="Century Gothic" w:cs="Arial"/>
          <w:i/>
          <w:szCs w:val="24"/>
        </w:rPr>
        <w:t>aterial residual o en coluvión.</w:t>
      </w:r>
    </w:p>
    <w:p w14:paraId="39B1DCA7" w14:textId="77777777" w:rsidR="0087769D" w:rsidRPr="00630593" w:rsidRDefault="0087769D" w:rsidP="0087769D">
      <w:pPr>
        <w:ind w:left="567" w:right="567"/>
        <w:contextualSpacing/>
        <w:jc w:val="both"/>
        <w:rPr>
          <w:rFonts w:ascii="Century Gothic" w:hAnsi="Century Gothic" w:cs="Arial"/>
          <w:i/>
          <w:szCs w:val="24"/>
        </w:rPr>
      </w:pPr>
      <w:r w:rsidRPr="00630593">
        <w:rPr>
          <w:rFonts w:ascii="Century Gothic" w:hAnsi="Century Gothic" w:cs="Arial"/>
          <w:i/>
          <w:szCs w:val="24"/>
        </w:rPr>
        <w:t>- Finalmente, se tienen sitios en los que se producen fisuras de borde y hundimientos leves sobre el costado derecho de la calzada”.</w:t>
      </w:r>
    </w:p>
    <w:p w14:paraId="776ACD54" w14:textId="77777777" w:rsidR="0087769D" w:rsidRDefault="0087769D" w:rsidP="0087769D">
      <w:pPr>
        <w:spacing w:line="360" w:lineRule="auto"/>
        <w:ind w:right="-142"/>
        <w:contextualSpacing/>
        <w:jc w:val="both"/>
        <w:rPr>
          <w:rFonts w:ascii="Century Gothic" w:hAnsi="Century Gothic" w:cs="Arial"/>
          <w:sz w:val="24"/>
          <w:szCs w:val="24"/>
        </w:rPr>
      </w:pPr>
    </w:p>
    <w:p w14:paraId="5754077A"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62. 4) En el informe de auditoría de la Contraloría General de la República de 29 de octubre de 2004, el ente de control fiscal estableció que las causas de los daños en la vía Garagoa – </w:t>
      </w:r>
      <w:proofErr w:type="spellStart"/>
      <w:r>
        <w:rPr>
          <w:rFonts w:ascii="Century Gothic" w:hAnsi="Century Gothic" w:cs="Arial"/>
          <w:sz w:val="24"/>
          <w:szCs w:val="24"/>
        </w:rPr>
        <w:t>Chinavita</w:t>
      </w:r>
      <w:proofErr w:type="spellEnd"/>
      <w:r>
        <w:rPr>
          <w:rFonts w:ascii="Century Gothic" w:hAnsi="Century Gothic" w:cs="Arial"/>
          <w:sz w:val="24"/>
          <w:szCs w:val="24"/>
        </w:rPr>
        <w:t xml:space="preserve"> eran: 1) defectos constructivos o en la calidad de los materiales; 2) fallas de orden geológico y; 3) deficiencias en los estudios y diseños (se trascribe)</w:t>
      </w:r>
      <w:r>
        <w:rPr>
          <w:rStyle w:val="Refdenotaalpie"/>
          <w:rFonts w:ascii="Century Gothic" w:hAnsi="Century Gothic" w:cs="Arial"/>
          <w:sz w:val="24"/>
          <w:szCs w:val="24"/>
        </w:rPr>
        <w:footnoteReference w:id="44"/>
      </w:r>
      <w:r>
        <w:rPr>
          <w:rFonts w:ascii="Century Gothic" w:hAnsi="Century Gothic" w:cs="Arial"/>
          <w:sz w:val="24"/>
          <w:szCs w:val="24"/>
        </w:rPr>
        <w:t>:</w:t>
      </w:r>
    </w:p>
    <w:p w14:paraId="4DAFA5D1" w14:textId="77777777" w:rsidR="0087769D" w:rsidRDefault="0087769D" w:rsidP="0087769D">
      <w:pPr>
        <w:spacing w:line="360" w:lineRule="auto"/>
        <w:ind w:right="-142"/>
        <w:contextualSpacing/>
        <w:jc w:val="both"/>
        <w:rPr>
          <w:rFonts w:ascii="Century Gothic" w:hAnsi="Century Gothic" w:cs="Arial"/>
          <w:sz w:val="24"/>
          <w:szCs w:val="24"/>
        </w:rPr>
      </w:pPr>
    </w:p>
    <w:p w14:paraId="66791C3D" w14:textId="77777777" w:rsidR="0087769D" w:rsidRPr="00215275" w:rsidRDefault="0087769D" w:rsidP="0087769D">
      <w:pPr>
        <w:ind w:left="567" w:right="567"/>
        <w:contextualSpacing/>
        <w:jc w:val="both"/>
        <w:rPr>
          <w:rFonts w:ascii="Century Gothic" w:hAnsi="Century Gothic" w:cs="Arial"/>
          <w:i/>
          <w:szCs w:val="24"/>
        </w:rPr>
      </w:pPr>
      <w:r w:rsidRPr="00215275">
        <w:rPr>
          <w:rFonts w:ascii="Century Gothic" w:hAnsi="Century Gothic" w:cs="Arial"/>
          <w:szCs w:val="24"/>
        </w:rPr>
        <w:t>“</w:t>
      </w:r>
      <w:r w:rsidRPr="00215275">
        <w:rPr>
          <w:rFonts w:ascii="Century Gothic" w:hAnsi="Century Gothic" w:cs="Arial"/>
          <w:i/>
          <w:szCs w:val="24"/>
        </w:rPr>
        <w:t>Contrato de obra No. 084/00</w:t>
      </w:r>
    </w:p>
    <w:p w14:paraId="4F3D3DC8" w14:textId="77777777" w:rsidR="0087769D" w:rsidRPr="00215275" w:rsidRDefault="0087769D" w:rsidP="0087769D">
      <w:pPr>
        <w:ind w:left="567" w:right="567"/>
        <w:contextualSpacing/>
        <w:jc w:val="both"/>
        <w:rPr>
          <w:rFonts w:ascii="Century Gothic" w:hAnsi="Century Gothic" w:cs="Arial"/>
          <w:i/>
          <w:szCs w:val="24"/>
        </w:rPr>
      </w:pPr>
      <w:r w:rsidRPr="00215275">
        <w:rPr>
          <w:rFonts w:ascii="Century Gothic" w:hAnsi="Century Gothic" w:cs="Arial"/>
          <w:i/>
          <w:szCs w:val="24"/>
        </w:rPr>
        <w:t>Se concluye conforme a la visita técnica realizada, que las fallas detectadas son en su mayoría de tipo constructivo o de calidad de los materiales, lo que podría ser responsabilidad del contratista de obra e interventor, en anuencia con el supervisor.</w:t>
      </w:r>
    </w:p>
    <w:p w14:paraId="7B77F187" w14:textId="77777777" w:rsidR="0087769D" w:rsidRPr="00215275" w:rsidRDefault="0087769D" w:rsidP="0087769D">
      <w:pPr>
        <w:ind w:left="567" w:right="567"/>
        <w:contextualSpacing/>
        <w:jc w:val="both"/>
        <w:rPr>
          <w:rFonts w:ascii="Century Gothic" w:hAnsi="Century Gothic" w:cs="Arial"/>
          <w:i/>
          <w:szCs w:val="24"/>
        </w:rPr>
      </w:pPr>
      <w:r w:rsidRPr="00215275">
        <w:rPr>
          <w:rFonts w:ascii="Century Gothic" w:hAnsi="Century Gothic" w:cs="Arial"/>
          <w:i/>
          <w:szCs w:val="24"/>
        </w:rPr>
        <w:t>En menor escala también se detectan fallas de orden geológico que pueden haber incidido en la estabilidad del proyecto, que reflejan una posible fa</w:t>
      </w:r>
      <w:r>
        <w:rPr>
          <w:rFonts w:ascii="Century Gothic" w:hAnsi="Century Gothic" w:cs="Arial"/>
          <w:i/>
          <w:szCs w:val="24"/>
        </w:rPr>
        <w:t>lencia en los estudios previos.</w:t>
      </w:r>
    </w:p>
    <w:p w14:paraId="4379BA02" w14:textId="77777777" w:rsidR="0087769D" w:rsidRPr="00215275" w:rsidRDefault="0087769D" w:rsidP="0087769D">
      <w:pPr>
        <w:ind w:left="567" w:right="567"/>
        <w:contextualSpacing/>
        <w:jc w:val="both"/>
        <w:rPr>
          <w:rFonts w:ascii="Century Gothic" w:hAnsi="Century Gothic" w:cs="Arial"/>
          <w:i/>
          <w:szCs w:val="24"/>
        </w:rPr>
      </w:pPr>
      <w:r w:rsidRPr="00215275">
        <w:rPr>
          <w:rFonts w:ascii="Century Gothic" w:hAnsi="Century Gothic" w:cs="Arial"/>
          <w:i/>
          <w:szCs w:val="24"/>
        </w:rPr>
        <w:t>(…)</w:t>
      </w:r>
    </w:p>
    <w:p w14:paraId="2FE1C335" w14:textId="77777777" w:rsidR="0087769D" w:rsidRPr="00215275" w:rsidRDefault="0087769D" w:rsidP="0087769D">
      <w:pPr>
        <w:ind w:left="567" w:right="567"/>
        <w:contextualSpacing/>
        <w:jc w:val="both"/>
        <w:rPr>
          <w:rFonts w:ascii="Century Gothic" w:hAnsi="Century Gothic" w:cs="Arial"/>
          <w:i/>
          <w:szCs w:val="24"/>
        </w:rPr>
      </w:pPr>
      <w:r w:rsidRPr="00215275">
        <w:rPr>
          <w:rFonts w:ascii="Century Gothic" w:hAnsi="Century Gothic" w:cs="Arial"/>
          <w:i/>
          <w:szCs w:val="24"/>
        </w:rPr>
        <w:t>De acuerdo con los informes</w:t>
      </w:r>
      <w:r>
        <w:rPr>
          <w:rFonts w:ascii="Century Gothic" w:hAnsi="Century Gothic" w:cs="Arial"/>
          <w:i/>
          <w:szCs w:val="24"/>
        </w:rPr>
        <w:t xml:space="preserve"> de interventoría se determina:</w:t>
      </w:r>
    </w:p>
    <w:p w14:paraId="030A91FD" w14:textId="77777777" w:rsidR="0087769D" w:rsidRPr="00215275" w:rsidRDefault="0087769D" w:rsidP="0087769D">
      <w:pPr>
        <w:ind w:left="567" w:right="567"/>
        <w:contextualSpacing/>
        <w:jc w:val="both"/>
        <w:rPr>
          <w:rFonts w:ascii="Century Gothic" w:hAnsi="Century Gothic" w:cs="Arial"/>
          <w:i/>
          <w:szCs w:val="24"/>
        </w:rPr>
      </w:pPr>
      <w:r w:rsidRPr="00215275">
        <w:rPr>
          <w:rFonts w:ascii="Century Gothic" w:hAnsi="Century Gothic" w:cs="Arial"/>
          <w:i/>
          <w:szCs w:val="24"/>
        </w:rPr>
        <w:t xml:space="preserve">Los diseños que sirvieron de base para la contratación de Mantenimiento de las vías </w:t>
      </w:r>
      <w:proofErr w:type="spellStart"/>
      <w:r w:rsidRPr="00215275">
        <w:rPr>
          <w:rFonts w:ascii="Century Gothic" w:hAnsi="Century Gothic" w:cs="Arial"/>
          <w:i/>
          <w:szCs w:val="24"/>
        </w:rPr>
        <w:t>Chinavita</w:t>
      </w:r>
      <w:proofErr w:type="spellEnd"/>
      <w:r w:rsidRPr="00215275">
        <w:rPr>
          <w:rFonts w:ascii="Century Gothic" w:hAnsi="Century Gothic" w:cs="Arial"/>
          <w:i/>
          <w:szCs w:val="24"/>
        </w:rPr>
        <w:t xml:space="preserve"> – Sisa contr</w:t>
      </w:r>
      <w:r>
        <w:rPr>
          <w:rFonts w:ascii="Century Gothic" w:hAnsi="Century Gothic" w:cs="Arial"/>
          <w:i/>
          <w:szCs w:val="24"/>
        </w:rPr>
        <w:t xml:space="preserve">ato 087/00 y Garagoa – </w:t>
      </w:r>
      <w:proofErr w:type="spellStart"/>
      <w:r>
        <w:rPr>
          <w:rFonts w:ascii="Century Gothic" w:hAnsi="Century Gothic" w:cs="Arial"/>
          <w:i/>
          <w:szCs w:val="24"/>
        </w:rPr>
        <w:t>Chinavita</w:t>
      </w:r>
      <w:proofErr w:type="spellEnd"/>
      <w:r w:rsidRPr="00215275">
        <w:rPr>
          <w:rFonts w:ascii="Century Gothic" w:hAnsi="Century Gothic" w:cs="Arial"/>
          <w:i/>
          <w:szCs w:val="24"/>
        </w:rPr>
        <w:t xml:space="preserve">, contrato 084/00, al hacer la localización y replanteo coincidían con lo encontrado en el terreno, situación advertida por la </w:t>
      </w:r>
      <w:r w:rsidRPr="00215275">
        <w:rPr>
          <w:rFonts w:ascii="Century Gothic" w:hAnsi="Century Gothic" w:cs="Arial"/>
          <w:i/>
          <w:szCs w:val="24"/>
        </w:rPr>
        <w:lastRenderedPageBreak/>
        <w:t>interventoría a la Gobernación sin que se evidenciara que esta tomara acciones tendientes a la declaratoria del siniestro de calidad en el contrato correspondiente a los estudios previos, lo cual implicó realizar nuevos diseños, modificación en las cantidades contratadas en forma relevante, teniendo como consecuencia que no se pudieran llevar a cabo en su t</w:t>
      </w:r>
      <w:r>
        <w:rPr>
          <w:rFonts w:ascii="Century Gothic" w:hAnsi="Century Gothic" w:cs="Arial"/>
          <w:i/>
          <w:szCs w:val="24"/>
        </w:rPr>
        <w:t>otalidad las obras contratadas.</w:t>
      </w:r>
    </w:p>
    <w:p w14:paraId="478F4032" w14:textId="77777777" w:rsidR="0087769D" w:rsidRPr="00215275" w:rsidRDefault="0087769D" w:rsidP="0087769D">
      <w:pPr>
        <w:ind w:left="567" w:right="567"/>
        <w:contextualSpacing/>
        <w:jc w:val="both"/>
        <w:rPr>
          <w:rFonts w:ascii="Century Gothic" w:hAnsi="Century Gothic" w:cs="Arial"/>
          <w:szCs w:val="24"/>
        </w:rPr>
      </w:pPr>
      <w:r w:rsidRPr="00215275">
        <w:rPr>
          <w:rFonts w:ascii="Century Gothic" w:hAnsi="Century Gothic" w:cs="Arial"/>
          <w:i/>
          <w:szCs w:val="24"/>
        </w:rPr>
        <w:t xml:space="preserve">Para las vías </w:t>
      </w:r>
      <w:proofErr w:type="spellStart"/>
      <w:r w:rsidRPr="00215275">
        <w:rPr>
          <w:rFonts w:ascii="Century Gothic" w:hAnsi="Century Gothic" w:cs="Arial"/>
          <w:i/>
          <w:szCs w:val="24"/>
        </w:rPr>
        <w:t>Chinavita</w:t>
      </w:r>
      <w:proofErr w:type="spellEnd"/>
      <w:r w:rsidRPr="00215275">
        <w:rPr>
          <w:rFonts w:ascii="Century Gothic" w:hAnsi="Century Gothic" w:cs="Arial"/>
          <w:i/>
          <w:szCs w:val="24"/>
        </w:rPr>
        <w:t xml:space="preserve"> – Sisa contrato 087/00, por valor de $3.044.8 millones y Garagoa – </w:t>
      </w:r>
      <w:proofErr w:type="spellStart"/>
      <w:r w:rsidRPr="00215275">
        <w:rPr>
          <w:rFonts w:ascii="Century Gothic" w:hAnsi="Century Gothic" w:cs="Arial"/>
          <w:i/>
          <w:szCs w:val="24"/>
        </w:rPr>
        <w:t>Chinavita</w:t>
      </w:r>
      <w:proofErr w:type="spellEnd"/>
      <w:r w:rsidRPr="00215275">
        <w:rPr>
          <w:rFonts w:ascii="Century Gothic" w:hAnsi="Century Gothic" w:cs="Arial"/>
          <w:i/>
          <w:szCs w:val="24"/>
        </w:rPr>
        <w:t>, contrato 084/00 por $3.003.8 millones no se contempló la construcción de drenaje superficial, cunetas revestidas en concreto, ni obras de estabilización; obras de vital importancia para el buen funcionamiento y conservación, hecho que ha contribuido al deterioro prematuro de la vía y de las inversiones realizadas. Así mismo en desarrollo de la visita técnica se evidenciaron fallas de tipo constructivo, de calidad de los materiales y de orden geológico (…)”.</w:t>
      </w:r>
    </w:p>
    <w:p w14:paraId="5D9E9B3A" w14:textId="77777777" w:rsidR="0087769D" w:rsidRDefault="0087769D" w:rsidP="0087769D">
      <w:pPr>
        <w:spacing w:line="360" w:lineRule="auto"/>
        <w:ind w:right="-142"/>
        <w:contextualSpacing/>
        <w:jc w:val="both"/>
        <w:rPr>
          <w:rFonts w:ascii="Century Gothic" w:hAnsi="Century Gothic" w:cs="Arial"/>
          <w:sz w:val="24"/>
          <w:szCs w:val="24"/>
        </w:rPr>
      </w:pPr>
    </w:p>
    <w:p w14:paraId="28B5E17B"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63. 5) Para el geólogo Harvey de Jesús </w:t>
      </w:r>
      <w:proofErr w:type="spellStart"/>
      <w:r>
        <w:rPr>
          <w:rFonts w:ascii="Century Gothic" w:hAnsi="Century Gothic" w:cs="Arial"/>
          <w:sz w:val="24"/>
          <w:szCs w:val="24"/>
        </w:rPr>
        <w:t>Nope</w:t>
      </w:r>
      <w:proofErr w:type="spellEnd"/>
      <w:r>
        <w:rPr>
          <w:rFonts w:ascii="Century Gothic" w:hAnsi="Century Gothic" w:cs="Arial"/>
          <w:sz w:val="24"/>
          <w:szCs w:val="24"/>
        </w:rPr>
        <w:t xml:space="preserve"> Gómez, las causas del deterioro de la vía fueron: 1) defectos en la calidad de los materiales empleados; 2) falta de construcción de cunetas y; 3) deficiencias en los estudios y diseños (se trascribe):</w:t>
      </w:r>
    </w:p>
    <w:p w14:paraId="6497E441" w14:textId="77777777" w:rsidR="0087769D" w:rsidRDefault="0087769D" w:rsidP="0087769D">
      <w:pPr>
        <w:spacing w:line="360" w:lineRule="auto"/>
        <w:ind w:right="-142"/>
        <w:contextualSpacing/>
        <w:jc w:val="both"/>
        <w:rPr>
          <w:rFonts w:ascii="Century Gothic" w:hAnsi="Century Gothic" w:cs="Arial"/>
          <w:sz w:val="24"/>
          <w:szCs w:val="24"/>
        </w:rPr>
      </w:pPr>
    </w:p>
    <w:p w14:paraId="321C70C6" w14:textId="77777777" w:rsidR="0087769D" w:rsidRPr="00C1270F" w:rsidRDefault="0087769D" w:rsidP="0087769D">
      <w:pPr>
        <w:ind w:left="567" w:right="567"/>
        <w:contextualSpacing/>
        <w:jc w:val="both"/>
        <w:rPr>
          <w:rFonts w:ascii="Century Gothic" w:hAnsi="Century Gothic" w:cs="Arial"/>
          <w:i/>
          <w:szCs w:val="24"/>
        </w:rPr>
      </w:pPr>
      <w:r w:rsidRPr="00C1270F">
        <w:rPr>
          <w:rFonts w:ascii="Century Gothic" w:hAnsi="Century Gothic" w:cs="Arial"/>
          <w:szCs w:val="24"/>
        </w:rPr>
        <w:t>“</w:t>
      </w:r>
      <w:r w:rsidRPr="00C1270F">
        <w:rPr>
          <w:rFonts w:ascii="Century Gothic" w:hAnsi="Century Gothic" w:cs="Arial"/>
          <w:i/>
          <w:szCs w:val="24"/>
        </w:rPr>
        <w:t>CONCLUSIONES</w:t>
      </w:r>
    </w:p>
    <w:p w14:paraId="081F29A2" w14:textId="77777777" w:rsidR="0087769D" w:rsidRPr="00C1270F" w:rsidRDefault="0087769D" w:rsidP="0087769D">
      <w:pPr>
        <w:ind w:left="567" w:right="567"/>
        <w:contextualSpacing/>
        <w:jc w:val="both"/>
        <w:rPr>
          <w:rFonts w:ascii="Century Gothic" w:hAnsi="Century Gothic" w:cs="Arial"/>
          <w:i/>
          <w:szCs w:val="24"/>
        </w:rPr>
      </w:pPr>
      <w:r w:rsidRPr="00C1270F">
        <w:rPr>
          <w:rFonts w:ascii="Century Gothic" w:hAnsi="Century Gothic" w:cs="Arial"/>
          <w:i/>
          <w:szCs w:val="24"/>
        </w:rPr>
        <w:t xml:space="preserve">Se puede establecer que el problema generalizado de la vía </w:t>
      </w:r>
      <w:proofErr w:type="spellStart"/>
      <w:r w:rsidRPr="00C1270F">
        <w:rPr>
          <w:rFonts w:ascii="Century Gothic" w:hAnsi="Century Gothic" w:cs="Arial"/>
          <w:i/>
          <w:szCs w:val="24"/>
        </w:rPr>
        <w:t>Chinavita</w:t>
      </w:r>
      <w:proofErr w:type="spellEnd"/>
      <w:r w:rsidRPr="00C1270F">
        <w:rPr>
          <w:rFonts w:ascii="Century Gothic" w:hAnsi="Century Gothic" w:cs="Arial"/>
          <w:i/>
          <w:szCs w:val="24"/>
        </w:rPr>
        <w:t xml:space="preserve"> Garagoa ha sido en su orden la filtración de aguas, los materiales empleados para la base y subbase, la ausencia de cunetas, los espesores inadecuados del pavimento, la falta de conocimiento de una forma más acertada del comportamiento físico mecánico de las formaciones geológicas allí presente como la dinámica de los procesos erosivos, como agentes modeladores del medio”.</w:t>
      </w:r>
    </w:p>
    <w:p w14:paraId="2E8CED31" w14:textId="77777777" w:rsidR="0087769D" w:rsidRDefault="0087769D" w:rsidP="0087769D">
      <w:pPr>
        <w:spacing w:line="360" w:lineRule="auto"/>
        <w:ind w:right="-142"/>
        <w:contextualSpacing/>
        <w:jc w:val="both"/>
        <w:rPr>
          <w:rFonts w:ascii="Century Gothic" w:hAnsi="Century Gothic" w:cs="Arial"/>
          <w:sz w:val="24"/>
          <w:szCs w:val="24"/>
        </w:rPr>
      </w:pPr>
    </w:p>
    <w:p w14:paraId="6F743342"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64. 6) La Fiscalía General de la Nación concluyó, luego de haber adelantado sus investigaciones, que las causas de los daños evidenciados en la vía fueron: 1) defectos en los diseños; 2) fallas geológicas y; 3) falta de mantenimiento de las obras por parte del Departamento de Boyacá (se trascribe):</w:t>
      </w:r>
    </w:p>
    <w:p w14:paraId="57DF6F99" w14:textId="77777777" w:rsidR="0087769D" w:rsidRDefault="0087769D" w:rsidP="0087769D">
      <w:pPr>
        <w:spacing w:line="360" w:lineRule="auto"/>
        <w:ind w:right="-142"/>
        <w:contextualSpacing/>
        <w:jc w:val="both"/>
        <w:rPr>
          <w:rFonts w:ascii="Century Gothic" w:hAnsi="Century Gothic" w:cs="Arial"/>
          <w:sz w:val="24"/>
          <w:szCs w:val="24"/>
        </w:rPr>
      </w:pPr>
    </w:p>
    <w:p w14:paraId="31C92DE7" w14:textId="77777777" w:rsidR="0087769D" w:rsidRPr="0034107F" w:rsidRDefault="0087769D" w:rsidP="0087769D">
      <w:pPr>
        <w:ind w:left="567" w:right="567"/>
        <w:contextualSpacing/>
        <w:jc w:val="both"/>
        <w:rPr>
          <w:rFonts w:ascii="Century Gothic" w:hAnsi="Century Gothic" w:cs="Arial"/>
          <w:i/>
          <w:szCs w:val="24"/>
        </w:rPr>
      </w:pPr>
      <w:r w:rsidRPr="0034107F">
        <w:rPr>
          <w:rFonts w:ascii="Century Gothic" w:hAnsi="Century Gothic" w:cs="Arial"/>
          <w:szCs w:val="24"/>
        </w:rPr>
        <w:t>“</w:t>
      </w:r>
      <w:r w:rsidRPr="0034107F">
        <w:rPr>
          <w:rFonts w:ascii="Century Gothic" w:hAnsi="Century Gothic" w:cs="Arial"/>
          <w:i/>
          <w:szCs w:val="24"/>
        </w:rPr>
        <w:t xml:space="preserve">Dentro de la presente investigación, los sujetos procesales han hecho uso de los diferentes medios probatorios, en aras de demostrar que sus actuaciones se surtieron en debida y que si bien es cierto se </w:t>
      </w:r>
      <w:r w:rsidRPr="0034107F">
        <w:rPr>
          <w:rFonts w:ascii="Century Gothic" w:hAnsi="Century Gothic" w:cs="Arial"/>
          <w:i/>
          <w:szCs w:val="24"/>
        </w:rPr>
        <w:lastRenderedPageBreak/>
        <w:t xml:space="preserve">presentaron se presentaron algunas irregularidades en la capa asfáltica de la vía </w:t>
      </w:r>
      <w:proofErr w:type="spellStart"/>
      <w:r w:rsidRPr="0034107F">
        <w:rPr>
          <w:rFonts w:ascii="Century Gothic" w:hAnsi="Century Gothic" w:cs="Arial"/>
          <w:i/>
          <w:szCs w:val="24"/>
        </w:rPr>
        <w:t>Chinavita</w:t>
      </w:r>
      <w:proofErr w:type="spellEnd"/>
      <w:r w:rsidRPr="0034107F">
        <w:rPr>
          <w:rFonts w:ascii="Century Gothic" w:hAnsi="Century Gothic" w:cs="Arial"/>
          <w:i/>
          <w:szCs w:val="24"/>
        </w:rPr>
        <w:t>-Garagoa, éstas se presentaron posteriormente y en el tramo afectado (por cuanto es en la totalidad del mismo) fueron consecuencia de la falta de mantenimiento debida y presencia de fallas geológicas.</w:t>
      </w:r>
    </w:p>
    <w:p w14:paraId="0DF2D149" w14:textId="77777777" w:rsidR="0087769D" w:rsidRPr="0034107F" w:rsidRDefault="0087769D" w:rsidP="0087769D">
      <w:pPr>
        <w:ind w:left="567" w:right="567"/>
        <w:contextualSpacing/>
        <w:jc w:val="both"/>
        <w:rPr>
          <w:rFonts w:ascii="Century Gothic" w:hAnsi="Century Gothic" w:cs="Arial"/>
          <w:i/>
          <w:szCs w:val="24"/>
        </w:rPr>
      </w:pPr>
      <w:r>
        <w:rPr>
          <w:rFonts w:ascii="Century Gothic" w:hAnsi="Century Gothic" w:cs="Arial"/>
          <w:i/>
          <w:szCs w:val="24"/>
        </w:rPr>
        <w:t>(…)</w:t>
      </w:r>
    </w:p>
    <w:p w14:paraId="3753933E" w14:textId="77777777" w:rsidR="0087769D" w:rsidRPr="0034107F" w:rsidRDefault="0087769D" w:rsidP="0087769D">
      <w:pPr>
        <w:ind w:left="567" w:right="567"/>
        <w:contextualSpacing/>
        <w:jc w:val="both"/>
        <w:rPr>
          <w:rFonts w:ascii="Century Gothic" w:hAnsi="Century Gothic" w:cs="Arial"/>
          <w:i/>
          <w:szCs w:val="24"/>
        </w:rPr>
      </w:pPr>
      <w:r w:rsidRPr="0034107F">
        <w:rPr>
          <w:rFonts w:ascii="Century Gothic" w:hAnsi="Century Gothic" w:cs="Arial"/>
          <w:i/>
          <w:szCs w:val="24"/>
        </w:rPr>
        <w:t xml:space="preserve">Es de aclarar que los tres informes presentados respecto de la investigación por las fallas o deterioro que existen en el tramo </w:t>
      </w:r>
      <w:proofErr w:type="spellStart"/>
      <w:r w:rsidRPr="0034107F">
        <w:rPr>
          <w:rFonts w:ascii="Century Gothic" w:hAnsi="Century Gothic" w:cs="Arial"/>
          <w:i/>
          <w:szCs w:val="24"/>
        </w:rPr>
        <w:t>Chinavita</w:t>
      </w:r>
      <w:proofErr w:type="spellEnd"/>
      <w:r w:rsidRPr="0034107F">
        <w:rPr>
          <w:rFonts w:ascii="Century Gothic" w:hAnsi="Century Gothic" w:cs="Arial"/>
          <w:i/>
          <w:szCs w:val="24"/>
        </w:rPr>
        <w:t>-Garagoa, coinciden en indicar que efectivamente una de las causas determinantes para tal circunstancia, se debió precisamente a la falta de mantenimiento de la carpeta asfáltica, pues todo indica que desde el mismo momento en que fue entregada la obra totalmente terminada y de acuerdo a las especificaciones técnicas plasmadas en los diseños iniciales, se dejó al total abandono, lo que conllevó a que tal como lo indican los sindicados, las condiciones adversas del clima, sumadas a la falta de mantenimiento, contribuyeran a acelerar el proceso de deterioro natural de la vía, máxime cuando la mayoría de los daños se presentaron en los daños aquejados con falla geológica.</w:t>
      </w:r>
    </w:p>
    <w:p w14:paraId="1C44946E" w14:textId="77777777" w:rsidR="0087769D" w:rsidRPr="0034107F" w:rsidRDefault="0087769D" w:rsidP="0087769D">
      <w:pPr>
        <w:ind w:left="567" w:right="567"/>
        <w:contextualSpacing/>
        <w:jc w:val="both"/>
        <w:rPr>
          <w:rFonts w:ascii="Century Gothic" w:hAnsi="Century Gothic" w:cs="Arial"/>
          <w:i/>
          <w:szCs w:val="24"/>
        </w:rPr>
      </w:pPr>
    </w:p>
    <w:p w14:paraId="0DFF10D0" w14:textId="77777777" w:rsidR="0087769D" w:rsidRPr="0034107F" w:rsidRDefault="0087769D" w:rsidP="0087769D">
      <w:pPr>
        <w:ind w:left="567" w:right="567"/>
        <w:contextualSpacing/>
        <w:jc w:val="both"/>
        <w:rPr>
          <w:rFonts w:ascii="Century Gothic" w:hAnsi="Century Gothic" w:cs="Arial"/>
          <w:i/>
          <w:szCs w:val="24"/>
        </w:rPr>
      </w:pPr>
      <w:r>
        <w:rPr>
          <w:rFonts w:ascii="Century Gothic" w:hAnsi="Century Gothic" w:cs="Arial"/>
          <w:i/>
          <w:szCs w:val="24"/>
        </w:rPr>
        <w:t>(…)</w:t>
      </w:r>
    </w:p>
    <w:p w14:paraId="0D34AEAB" w14:textId="77777777" w:rsidR="0087769D" w:rsidRPr="0034107F" w:rsidRDefault="0087769D" w:rsidP="0087769D">
      <w:pPr>
        <w:ind w:left="567" w:right="567"/>
        <w:contextualSpacing/>
        <w:jc w:val="both"/>
        <w:rPr>
          <w:rFonts w:ascii="Century Gothic" w:hAnsi="Century Gothic" w:cs="Arial"/>
          <w:i/>
          <w:szCs w:val="24"/>
        </w:rPr>
      </w:pPr>
      <w:r w:rsidRPr="0034107F">
        <w:rPr>
          <w:rFonts w:ascii="Century Gothic" w:hAnsi="Century Gothic" w:cs="Arial"/>
          <w:i/>
          <w:szCs w:val="24"/>
        </w:rPr>
        <w:t xml:space="preserve">Ante estas circunstancias y teniendo en cuenta el materia probatorio obrante en estas diligencias hasta este momento procesal, encontramos entonces que las dudas que tenía el Despacho en relación con la presunta responsabilidad en cabeza de los sindicados dentro de esta investigación, en cuanto al incumplimiento a los términos del contrato y el deterioro presentado en la vía, se encuentran debidamente justificados, puesto que existen y fueron allegados a la investigación, los informes de consultoría e investigación de tales irregularidades, las declaraciones del ingeniero residente interventor y el supervisor del contrato 084 en las que indican y explican claramente en lenguaje técnico, la evolución en la construcción de la carretera vía </w:t>
      </w:r>
      <w:proofErr w:type="spellStart"/>
      <w:r w:rsidRPr="0034107F">
        <w:rPr>
          <w:rFonts w:ascii="Century Gothic" w:hAnsi="Century Gothic" w:cs="Arial"/>
          <w:i/>
          <w:szCs w:val="24"/>
        </w:rPr>
        <w:t>Chinavita</w:t>
      </w:r>
      <w:proofErr w:type="spellEnd"/>
      <w:r w:rsidRPr="0034107F">
        <w:rPr>
          <w:rFonts w:ascii="Century Gothic" w:hAnsi="Century Gothic" w:cs="Arial"/>
          <w:i/>
          <w:szCs w:val="24"/>
        </w:rPr>
        <w:t>-Garagoa, empezando por las falencias presentadas en los diseños preliminares que sirvieron de base para la construcción de la mencionada obra, las cuales como obvio es, presentaban una diferencia considerable del papel al terreno a trabajar, que no incluían acertadamente en que lugares del tramo vial, se encontraban las fallas geológicas que por su propia naturaleza, provocaron los cambios sustanciales en su estructura, al no haber sido objeto del mantenimiento adecuado por parte del contratante”.</w:t>
      </w:r>
    </w:p>
    <w:p w14:paraId="391D84F4" w14:textId="77777777" w:rsidR="0087769D" w:rsidRDefault="0087769D" w:rsidP="0087769D">
      <w:pPr>
        <w:spacing w:line="360" w:lineRule="auto"/>
        <w:ind w:right="-142"/>
        <w:contextualSpacing/>
        <w:jc w:val="both"/>
        <w:rPr>
          <w:rFonts w:ascii="Century Gothic" w:hAnsi="Century Gothic" w:cs="Arial"/>
          <w:sz w:val="24"/>
          <w:szCs w:val="24"/>
        </w:rPr>
      </w:pPr>
    </w:p>
    <w:p w14:paraId="3C824C46"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65. 7) Por último, la Contraloría General de Boyacá determinó que las causas del deterioro de la vía fueron: 1) inestabilidad geológica y; 2) falta de </w:t>
      </w:r>
      <w:r>
        <w:rPr>
          <w:rFonts w:ascii="Century Gothic" w:hAnsi="Century Gothic" w:cs="Arial"/>
          <w:sz w:val="24"/>
          <w:szCs w:val="24"/>
        </w:rPr>
        <w:lastRenderedPageBreak/>
        <w:t>mantenimiento de las obras por parte del Departamento de Boyacá (se trascribe):</w:t>
      </w:r>
    </w:p>
    <w:p w14:paraId="6DB4E5C7" w14:textId="77777777" w:rsidR="0087769D" w:rsidRDefault="0087769D" w:rsidP="0087769D">
      <w:pPr>
        <w:spacing w:line="360" w:lineRule="auto"/>
        <w:ind w:right="-142"/>
        <w:contextualSpacing/>
        <w:jc w:val="both"/>
        <w:rPr>
          <w:rFonts w:ascii="Century Gothic" w:hAnsi="Century Gothic" w:cs="Arial"/>
          <w:sz w:val="24"/>
          <w:szCs w:val="24"/>
        </w:rPr>
      </w:pPr>
    </w:p>
    <w:p w14:paraId="4FE00704" w14:textId="77777777" w:rsidR="0087769D" w:rsidRPr="00BD7267" w:rsidRDefault="0087769D" w:rsidP="0087769D">
      <w:pPr>
        <w:ind w:left="567" w:right="567"/>
        <w:contextualSpacing/>
        <w:jc w:val="both"/>
        <w:rPr>
          <w:rFonts w:ascii="Century Gothic" w:hAnsi="Century Gothic" w:cs="Arial"/>
          <w:i/>
          <w:szCs w:val="24"/>
        </w:rPr>
      </w:pPr>
      <w:r w:rsidRPr="00BD7267">
        <w:rPr>
          <w:rFonts w:ascii="Century Gothic" w:hAnsi="Century Gothic" w:cs="Arial"/>
          <w:szCs w:val="24"/>
        </w:rPr>
        <w:t>“</w:t>
      </w:r>
      <w:r w:rsidRPr="00BD7267">
        <w:rPr>
          <w:rFonts w:ascii="Century Gothic" w:hAnsi="Century Gothic" w:cs="Arial"/>
          <w:i/>
          <w:szCs w:val="24"/>
        </w:rPr>
        <w:t>CONSIDERACIONES DEL DESPACHO</w:t>
      </w:r>
    </w:p>
    <w:p w14:paraId="607A0AE1" w14:textId="77777777" w:rsidR="0087769D" w:rsidRPr="00BD7267" w:rsidRDefault="0087769D" w:rsidP="0087769D">
      <w:pPr>
        <w:ind w:left="567" w:right="567"/>
        <w:contextualSpacing/>
        <w:jc w:val="both"/>
        <w:rPr>
          <w:rFonts w:ascii="Century Gothic" w:hAnsi="Century Gothic" w:cs="Arial"/>
          <w:i/>
          <w:szCs w:val="24"/>
        </w:rPr>
      </w:pPr>
      <w:r>
        <w:rPr>
          <w:rFonts w:ascii="Century Gothic" w:hAnsi="Century Gothic" w:cs="Arial"/>
          <w:i/>
          <w:szCs w:val="24"/>
        </w:rPr>
        <w:t>(…)</w:t>
      </w:r>
    </w:p>
    <w:p w14:paraId="45003F31" w14:textId="77777777" w:rsidR="0087769D" w:rsidRPr="00BD7267" w:rsidRDefault="0087769D" w:rsidP="0087769D">
      <w:pPr>
        <w:ind w:left="567" w:right="567"/>
        <w:contextualSpacing/>
        <w:jc w:val="both"/>
        <w:rPr>
          <w:rFonts w:ascii="Century Gothic" w:hAnsi="Century Gothic" w:cs="Arial"/>
          <w:i/>
          <w:szCs w:val="24"/>
        </w:rPr>
      </w:pPr>
      <w:r w:rsidRPr="00BD7267">
        <w:rPr>
          <w:rFonts w:ascii="Century Gothic" w:hAnsi="Century Gothic" w:cs="Arial"/>
          <w:i/>
          <w:szCs w:val="24"/>
        </w:rPr>
        <w:t>2. Las irregularidades presentadas en el desarrollo de los anteriores contratos se debieron a circunstancias de daños de pavimento, daños ocasionados por deslizamientos, daños de obras complementarias y falta de mantenimiento de las obras.</w:t>
      </w:r>
    </w:p>
    <w:p w14:paraId="35851265" w14:textId="77777777" w:rsidR="0087769D" w:rsidRPr="00BD7267" w:rsidRDefault="0087769D" w:rsidP="0087769D">
      <w:pPr>
        <w:ind w:left="567" w:right="567"/>
        <w:contextualSpacing/>
        <w:jc w:val="both"/>
        <w:rPr>
          <w:rFonts w:ascii="Century Gothic" w:hAnsi="Century Gothic" w:cs="Arial"/>
          <w:i/>
          <w:szCs w:val="24"/>
        </w:rPr>
      </w:pPr>
      <w:r w:rsidRPr="00BD7267">
        <w:rPr>
          <w:rFonts w:ascii="Century Gothic" w:hAnsi="Century Gothic" w:cs="Arial"/>
          <w:i/>
          <w:szCs w:val="24"/>
        </w:rPr>
        <w:t>(…</w:t>
      </w:r>
      <w:r>
        <w:rPr>
          <w:rFonts w:ascii="Century Gothic" w:hAnsi="Century Gothic" w:cs="Arial"/>
          <w:i/>
          <w:szCs w:val="24"/>
        </w:rPr>
        <w:t>)</w:t>
      </w:r>
    </w:p>
    <w:p w14:paraId="4D1F6D21" w14:textId="77777777" w:rsidR="0087769D" w:rsidRPr="00BD7267" w:rsidRDefault="0087769D" w:rsidP="0087769D">
      <w:pPr>
        <w:ind w:left="567" w:right="567"/>
        <w:contextualSpacing/>
        <w:jc w:val="both"/>
        <w:rPr>
          <w:rFonts w:ascii="Century Gothic" w:hAnsi="Century Gothic" w:cs="Arial"/>
          <w:i/>
          <w:szCs w:val="24"/>
        </w:rPr>
      </w:pPr>
      <w:r w:rsidRPr="00BD7267">
        <w:rPr>
          <w:rFonts w:ascii="Century Gothic" w:hAnsi="Century Gothic" w:cs="Arial"/>
          <w:i/>
          <w:szCs w:val="24"/>
        </w:rPr>
        <w:t xml:space="preserve">Se colige de lo anterior, que en efecto el detrimento patrimonial detectado, no es atribuible a la actividad desplegada por el contratista en la ejecución del contrato tendiente al mantenimiento de la vía Garagoa – </w:t>
      </w:r>
      <w:proofErr w:type="spellStart"/>
      <w:r w:rsidRPr="00BD7267">
        <w:rPr>
          <w:rFonts w:ascii="Century Gothic" w:hAnsi="Century Gothic" w:cs="Arial"/>
          <w:i/>
          <w:szCs w:val="24"/>
        </w:rPr>
        <w:t>Chinavita</w:t>
      </w:r>
      <w:proofErr w:type="spellEnd"/>
      <w:r w:rsidRPr="00BD7267">
        <w:rPr>
          <w:rFonts w:ascii="Century Gothic" w:hAnsi="Century Gothic" w:cs="Arial"/>
          <w:i/>
          <w:szCs w:val="24"/>
        </w:rPr>
        <w:t>, sino a la gestión deficiente de la administración departamental en lo relacionado con la elaboración de los diseños y con la falta de programas de mantenimiento rutinario”.</w:t>
      </w:r>
    </w:p>
    <w:p w14:paraId="49AA6CEB" w14:textId="77777777" w:rsidR="0087769D" w:rsidRDefault="0087769D" w:rsidP="0087769D">
      <w:pPr>
        <w:spacing w:line="360" w:lineRule="auto"/>
        <w:ind w:right="-142"/>
        <w:contextualSpacing/>
        <w:jc w:val="both"/>
        <w:rPr>
          <w:rFonts w:ascii="Century Gothic" w:hAnsi="Century Gothic" w:cs="Arial"/>
          <w:sz w:val="24"/>
          <w:szCs w:val="24"/>
        </w:rPr>
      </w:pPr>
    </w:p>
    <w:p w14:paraId="2A215CB9"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66. A partir de las pruebas transcritas, la Sala puede establecer que, debido a las deficiencias en los diseños suministrados por el Departamento de Boyacá, la falta de construcción de obras de contención necesarias para la duración de la obra, la baja calidad de los materiales empleados</w:t>
      </w:r>
      <w:r>
        <w:rPr>
          <w:rStyle w:val="Refdenotaalpie"/>
          <w:rFonts w:ascii="Century Gothic" w:hAnsi="Century Gothic" w:cs="Arial"/>
          <w:sz w:val="24"/>
          <w:szCs w:val="24"/>
        </w:rPr>
        <w:footnoteReference w:id="45"/>
      </w:r>
      <w:r>
        <w:rPr>
          <w:rFonts w:ascii="Century Gothic" w:hAnsi="Century Gothic" w:cs="Arial"/>
          <w:sz w:val="24"/>
          <w:szCs w:val="24"/>
        </w:rPr>
        <w:t xml:space="preserve">, la inestabilidad geológica de varios tramos de la vía y la ausencia de mantenimiento a los sistemas de drenaje, era apenas natural que la vía Garagoa – </w:t>
      </w:r>
      <w:proofErr w:type="spellStart"/>
      <w:r>
        <w:rPr>
          <w:rFonts w:ascii="Century Gothic" w:hAnsi="Century Gothic" w:cs="Arial"/>
          <w:sz w:val="24"/>
          <w:szCs w:val="24"/>
        </w:rPr>
        <w:t>Chinavita</w:t>
      </w:r>
      <w:proofErr w:type="spellEnd"/>
      <w:r>
        <w:rPr>
          <w:rFonts w:ascii="Century Gothic" w:hAnsi="Century Gothic" w:cs="Arial"/>
          <w:sz w:val="24"/>
          <w:szCs w:val="24"/>
        </w:rPr>
        <w:t xml:space="preserve"> presentara problemas de estabilidad, problemas estos que, como se encuentra establecido, no eran imputables al Consorcio ICM Ingenieros Ltda. – Suárez y Silva Ltda. Ingenieros Contratistas.</w:t>
      </w:r>
    </w:p>
    <w:p w14:paraId="5CEEE784" w14:textId="77777777" w:rsidR="0087769D" w:rsidRDefault="0087769D" w:rsidP="0087769D">
      <w:pPr>
        <w:spacing w:line="360" w:lineRule="auto"/>
        <w:ind w:right="-142"/>
        <w:contextualSpacing/>
        <w:jc w:val="both"/>
        <w:rPr>
          <w:rFonts w:ascii="Century Gothic" w:hAnsi="Century Gothic" w:cs="Arial"/>
          <w:sz w:val="24"/>
          <w:szCs w:val="24"/>
        </w:rPr>
      </w:pPr>
    </w:p>
    <w:p w14:paraId="5434A9A3"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67. Por consiguiente, la Sala concluye que las Resoluciones No. 185 de 11 de mayo de 2004 y 291 de 22 de diciembre de 2006 están viciadas de nulidad por falsa motivación, y así lo declarará.</w:t>
      </w:r>
    </w:p>
    <w:p w14:paraId="035CC7A2" w14:textId="77777777" w:rsidR="0087769D" w:rsidRDefault="0087769D" w:rsidP="0087769D">
      <w:pPr>
        <w:spacing w:line="360" w:lineRule="auto"/>
        <w:ind w:right="-142"/>
        <w:contextualSpacing/>
        <w:jc w:val="both"/>
        <w:rPr>
          <w:rFonts w:ascii="Century Gothic" w:hAnsi="Century Gothic" w:cs="Arial"/>
          <w:sz w:val="24"/>
          <w:szCs w:val="24"/>
        </w:rPr>
      </w:pPr>
    </w:p>
    <w:p w14:paraId="1963372B"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lastRenderedPageBreak/>
        <w:t>68. En lo que tiene que ver con las pretensiones de restablecimiento del derecho, en la demanda se solicitó condenar al Departamento de Boyacá a pagar a la parte demandante $167.754.027,</w:t>
      </w:r>
      <w:r w:rsidRPr="00670200">
        <w:rPr>
          <w:rFonts w:ascii="Century Gothic" w:hAnsi="Century Gothic" w:cs="Arial"/>
          <w:sz w:val="24"/>
          <w:szCs w:val="24"/>
          <w:vertAlign w:val="subscript"/>
        </w:rPr>
        <w:t>82</w:t>
      </w:r>
      <w:r>
        <w:rPr>
          <w:rFonts w:ascii="Century Gothic" w:hAnsi="Century Gothic" w:cs="Arial"/>
          <w:sz w:val="24"/>
          <w:szCs w:val="24"/>
        </w:rPr>
        <w:t>, suma que coincide con la cuantía del siniestro establecida por la entidad demandada en la Resolución No. 185 de 11 de mayo de 2004.</w:t>
      </w:r>
    </w:p>
    <w:p w14:paraId="0E4831A2" w14:textId="77777777" w:rsidR="0087769D" w:rsidRDefault="0087769D" w:rsidP="0087769D">
      <w:pPr>
        <w:spacing w:line="360" w:lineRule="auto"/>
        <w:ind w:right="-142"/>
        <w:contextualSpacing/>
        <w:jc w:val="both"/>
        <w:rPr>
          <w:rFonts w:ascii="Century Gothic" w:hAnsi="Century Gothic" w:cs="Arial"/>
          <w:sz w:val="24"/>
          <w:szCs w:val="24"/>
        </w:rPr>
      </w:pPr>
    </w:p>
    <w:p w14:paraId="02A4D27F"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69. La Sala no accederá a estas pretensiones, en la medida en que no se encuentra acreditado que el Consorcio ICM Ingenieros Ltda. – Suárez y Silva Ltda. Ingenieros Contratistas haya pagado suma alguna al Departamento de Boyacá con ocasión de la declaratoria del siniestro de estabilidad de la obra, ni que el consorcio haya pagado algún valor a la aseguradora como consecuencia de la subrogación de esta en los derechos del Departamento de Boyacá, luego de haber pagado la correspondiente indemnización.</w:t>
      </w:r>
    </w:p>
    <w:p w14:paraId="082BFFEC" w14:textId="77777777" w:rsidR="0087769D" w:rsidRPr="004E132D" w:rsidRDefault="0087769D" w:rsidP="0087769D">
      <w:pPr>
        <w:spacing w:line="360" w:lineRule="auto"/>
        <w:ind w:right="-142"/>
        <w:contextualSpacing/>
        <w:jc w:val="both"/>
        <w:rPr>
          <w:rFonts w:ascii="Century Gothic" w:hAnsi="Century Gothic" w:cs="Arial"/>
          <w:sz w:val="24"/>
          <w:szCs w:val="24"/>
        </w:rPr>
      </w:pPr>
    </w:p>
    <w:p w14:paraId="1B05B38A" w14:textId="77777777" w:rsidR="0087769D" w:rsidRPr="00E8715E" w:rsidRDefault="0087769D" w:rsidP="0087769D">
      <w:pPr>
        <w:spacing w:line="360" w:lineRule="auto"/>
        <w:ind w:right="-142"/>
        <w:contextualSpacing/>
        <w:jc w:val="both"/>
        <w:rPr>
          <w:rFonts w:ascii="Century Gothic" w:hAnsi="Century Gothic" w:cs="Arial"/>
          <w:b/>
          <w:sz w:val="24"/>
          <w:szCs w:val="24"/>
        </w:rPr>
      </w:pPr>
      <w:r>
        <w:rPr>
          <w:rFonts w:ascii="Century Gothic" w:hAnsi="Century Gothic" w:cs="Arial"/>
          <w:b/>
          <w:sz w:val="24"/>
          <w:szCs w:val="24"/>
        </w:rPr>
        <w:t>2.5</w:t>
      </w:r>
      <w:r w:rsidRPr="00E8715E">
        <w:rPr>
          <w:rFonts w:ascii="Century Gothic" w:hAnsi="Century Gothic" w:cs="Arial"/>
          <w:b/>
          <w:sz w:val="24"/>
          <w:szCs w:val="24"/>
        </w:rPr>
        <w:t>. Sobre la condena en costas</w:t>
      </w:r>
    </w:p>
    <w:p w14:paraId="44C58572" w14:textId="77777777" w:rsidR="0087769D" w:rsidRPr="00E8715E" w:rsidRDefault="0087769D" w:rsidP="0087769D">
      <w:pPr>
        <w:spacing w:line="360" w:lineRule="auto"/>
        <w:ind w:right="-142"/>
        <w:contextualSpacing/>
        <w:jc w:val="both"/>
        <w:rPr>
          <w:rFonts w:ascii="Century Gothic" w:hAnsi="Century Gothic" w:cs="Arial"/>
          <w:sz w:val="24"/>
          <w:szCs w:val="24"/>
        </w:rPr>
      </w:pPr>
    </w:p>
    <w:p w14:paraId="689D4C94"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70</w:t>
      </w:r>
      <w:r w:rsidRPr="00E8715E">
        <w:rPr>
          <w:rFonts w:ascii="Century Gothic" w:hAnsi="Century Gothic" w:cs="Arial"/>
          <w:sz w:val="24"/>
          <w:szCs w:val="24"/>
        </w:rPr>
        <w:t>. La Sala se abstendrá de condenar en costas porque no se dan los supuestos del a</w:t>
      </w:r>
      <w:r>
        <w:rPr>
          <w:rFonts w:ascii="Century Gothic" w:hAnsi="Century Gothic" w:cs="Arial"/>
          <w:sz w:val="24"/>
          <w:szCs w:val="24"/>
        </w:rPr>
        <w:t>rtículo 171 del CCA requeridos.</w:t>
      </w:r>
    </w:p>
    <w:p w14:paraId="758FA9F8" w14:textId="77777777" w:rsidR="0087769D" w:rsidRDefault="0087769D" w:rsidP="0087769D">
      <w:pPr>
        <w:spacing w:line="360" w:lineRule="auto"/>
        <w:ind w:right="-142"/>
        <w:contextualSpacing/>
        <w:rPr>
          <w:rFonts w:ascii="Century Gothic" w:hAnsi="Century Gothic" w:cs="Arial"/>
          <w:b/>
          <w:sz w:val="24"/>
          <w:szCs w:val="24"/>
        </w:rPr>
      </w:pPr>
    </w:p>
    <w:p w14:paraId="237897FD" w14:textId="77777777" w:rsidR="0087769D" w:rsidRDefault="0087769D" w:rsidP="0087769D">
      <w:pPr>
        <w:spacing w:line="360" w:lineRule="auto"/>
        <w:ind w:right="-142"/>
        <w:contextualSpacing/>
        <w:rPr>
          <w:rFonts w:ascii="Century Gothic" w:hAnsi="Century Gothic" w:cs="Arial"/>
          <w:b/>
          <w:sz w:val="24"/>
          <w:szCs w:val="24"/>
        </w:rPr>
      </w:pPr>
    </w:p>
    <w:p w14:paraId="646B995A" w14:textId="77777777" w:rsidR="0087769D" w:rsidRPr="008A2884" w:rsidRDefault="0087769D" w:rsidP="0087769D">
      <w:pPr>
        <w:spacing w:line="360" w:lineRule="auto"/>
        <w:ind w:right="-142"/>
        <w:contextualSpacing/>
        <w:jc w:val="center"/>
        <w:rPr>
          <w:rFonts w:ascii="Century Gothic" w:hAnsi="Century Gothic" w:cs="Arial"/>
          <w:sz w:val="24"/>
          <w:szCs w:val="24"/>
        </w:rPr>
      </w:pPr>
      <w:r>
        <w:rPr>
          <w:rFonts w:ascii="Century Gothic" w:hAnsi="Century Gothic" w:cs="Arial"/>
          <w:b/>
          <w:sz w:val="24"/>
          <w:szCs w:val="24"/>
        </w:rPr>
        <w:t>3. DECISIÓN</w:t>
      </w:r>
    </w:p>
    <w:p w14:paraId="0EE706BD" w14:textId="77777777" w:rsidR="0087769D" w:rsidRDefault="0087769D" w:rsidP="0087769D">
      <w:pPr>
        <w:spacing w:line="360" w:lineRule="auto"/>
        <w:ind w:right="-142"/>
        <w:contextualSpacing/>
        <w:jc w:val="both"/>
        <w:rPr>
          <w:rFonts w:ascii="Century Gothic" w:hAnsi="Century Gothic" w:cs="Arial"/>
          <w:sz w:val="24"/>
          <w:szCs w:val="24"/>
        </w:rPr>
      </w:pPr>
    </w:p>
    <w:p w14:paraId="4FFA297F" w14:textId="77777777" w:rsidR="0087769D" w:rsidRDefault="0087769D" w:rsidP="0087769D">
      <w:pPr>
        <w:spacing w:line="360" w:lineRule="auto"/>
        <w:ind w:right="-142"/>
        <w:contextualSpacing/>
        <w:jc w:val="both"/>
        <w:rPr>
          <w:rFonts w:ascii="Century Gothic" w:hAnsi="Century Gothic" w:cs="Arial"/>
          <w:sz w:val="24"/>
          <w:szCs w:val="24"/>
        </w:rPr>
      </w:pPr>
      <w:r>
        <w:rPr>
          <w:rFonts w:ascii="Century Gothic" w:hAnsi="Century Gothic" w:cs="Arial"/>
          <w:sz w:val="24"/>
          <w:szCs w:val="24"/>
        </w:rPr>
        <w:t xml:space="preserve">71. </w:t>
      </w:r>
      <w:r w:rsidRPr="008C5249">
        <w:rPr>
          <w:rFonts w:ascii="Century Gothic" w:hAnsi="Century Gothic" w:cs="Arial"/>
          <w:sz w:val="24"/>
          <w:szCs w:val="24"/>
        </w:rPr>
        <w:t>En mérito de lo expuesto, el Consejo de Estado, Sala de lo Contencioso Administrativo, Sección Tercera, Subsección B, administrando justicia en nombre de la República y por autoridad de la ley,</w:t>
      </w:r>
    </w:p>
    <w:p w14:paraId="4B16C6C0" w14:textId="77777777" w:rsidR="0087769D" w:rsidRPr="00704C26" w:rsidRDefault="0087769D" w:rsidP="0087769D">
      <w:pPr>
        <w:spacing w:line="360" w:lineRule="auto"/>
        <w:ind w:right="-142"/>
        <w:contextualSpacing/>
        <w:jc w:val="both"/>
        <w:rPr>
          <w:rFonts w:ascii="Century Gothic" w:hAnsi="Century Gothic" w:cs="Arial"/>
          <w:sz w:val="24"/>
          <w:szCs w:val="24"/>
        </w:rPr>
      </w:pPr>
    </w:p>
    <w:p w14:paraId="43D396E1" w14:textId="77777777" w:rsidR="0087769D" w:rsidRPr="009457E9" w:rsidRDefault="0087769D" w:rsidP="0087769D">
      <w:pPr>
        <w:pStyle w:val="Ttulo1"/>
        <w:spacing w:line="360" w:lineRule="auto"/>
        <w:ind w:right="-142"/>
        <w:contextualSpacing/>
        <w:jc w:val="center"/>
        <w:rPr>
          <w:rFonts w:ascii="Century Gothic" w:eastAsia="Calibri" w:hAnsi="Century Gothic" w:cs="Arial"/>
          <w:b/>
          <w:color w:val="auto"/>
          <w:sz w:val="24"/>
          <w:szCs w:val="24"/>
        </w:rPr>
      </w:pPr>
      <w:r w:rsidRPr="009457E9">
        <w:rPr>
          <w:rFonts w:ascii="Century Gothic" w:eastAsia="Calibri" w:hAnsi="Century Gothic" w:cs="Arial"/>
          <w:b/>
          <w:color w:val="auto"/>
          <w:sz w:val="24"/>
          <w:szCs w:val="24"/>
        </w:rPr>
        <w:t>RESUELVE</w:t>
      </w:r>
    </w:p>
    <w:p w14:paraId="27501B7E" w14:textId="77777777" w:rsidR="0087769D" w:rsidRPr="008C5249" w:rsidRDefault="0087769D" w:rsidP="0087769D">
      <w:pPr>
        <w:widowControl w:val="0"/>
        <w:spacing w:line="360" w:lineRule="auto"/>
        <w:ind w:right="-142"/>
        <w:contextualSpacing/>
        <w:jc w:val="both"/>
        <w:rPr>
          <w:rFonts w:ascii="Century Gothic" w:hAnsi="Century Gothic" w:cs="Arial"/>
          <w:sz w:val="24"/>
          <w:szCs w:val="24"/>
        </w:rPr>
      </w:pPr>
    </w:p>
    <w:p w14:paraId="473B7DE0" w14:textId="77777777" w:rsidR="0087769D" w:rsidRDefault="0087769D" w:rsidP="0087769D">
      <w:pPr>
        <w:widowControl w:val="0"/>
        <w:spacing w:line="360" w:lineRule="auto"/>
        <w:ind w:right="-142"/>
        <w:jc w:val="both"/>
        <w:rPr>
          <w:rFonts w:ascii="Century Gothic" w:hAnsi="Century Gothic"/>
          <w:sz w:val="24"/>
          <w:szCs w:val="24"/>
        </w:rPr>
      </w:pPr>
      <w:r>
        <w:rPr>
          <w:rFonts w:ascii="Century Gothic" w:hAnsi="Century Gothic"/>
          <w:b/>
          <w:sz w:val="24"/>
          <w:szCs w:val="24"/>
        </w:rPr>
        <w:t>REVOCAR</w:t>
      </w:r>
      <w:r w:rsidRPr="00AC18E7">
        <w:rPr>
          <w:rFonts w:ascii="Century Gothic" w:hAnsi="Century Gothic"/>
          <w:sz w:val="24"/>
          <w:szCs w:val="24"/>
        </w:rPr>
        <w:t xml:space="preserve"> la </w:t>
      </w:r>
      <w:r>
        <w:rPr>
          <w:rFonts w:ascii="Century Gothic" w:hAnsi="Century Gothic"/>
          <w:sz w:val="24"/>
          <w:szCs w:val="24"/>
        </w:rPr>
        <w:t>Sentencia  de 15</w:t>
      </w:r>
      <w:r w:rsidRPr="00AC18E7">
        <w:rPr>
          <w:rFonts w:ascii="Century Gothic" w:hAnsi="Century Gothic"/>
          <w:sz w:val="24"/>
          <w:szCs w:val="24"/>
        </w:rPr>
        <w:t xml:space="preserve"> d</w:t>
      </w:r>
      <w:r>
        <w:rPr>
          <w:rFonts w:ascii="Century Gothic" w:hAnsi="Century Gothic"/>
          <w:sz w:val="24"/>
          <w:szCs w:val="24"/>
        </w:rPr>
        <w:t>e diciembre de 2011</w:t>
      </w:r>
      <w:r w:rsidRPr="00AC18E7">
        <w:rPr>
          <w:rFonts w:ascii="Century Gothic" w:hAnsi="Century Gothic"/>
          <w:sz w:val="24"/>
          <w:szCs w:val="24"/>
        </w:rPr>
        <w:t xml:space="preserve"> </w:t>
      </w:r>
      <w:r>
        <w:rPr>
          <w:rFonts w:ascii="Century Gothic" w:hAnsi="Century Gothic"/>
          <w:sz w:val="24"/>
          <w:szCs w:val="24"/>
        </w:rPr>
        <w:t xml:space="preserve">proferida </w:t>
      </w:r>
      <w:r w:rsidRPr="00AC18E7">
        <w:rPr>
          <w:rFonts w:ascii="Century Gothic" w:hAnsi="Century Gothic"/>
          <w:sz w:val="24"/>
          <w:szCs w:val="24"/>
        </w:rPr>
        <w:t>por el Tribuna</w:t>
      </w:r>
      <w:r>
        <w:rPr>
          <w:rFonts w:ascii="Century Gothic" w:hAnsi="Century Gothic"/>
          <w:sz w:val="24"/>
          <w:szCs w:val="24"/>
        </w:rPr>
        <w:t xml:space="preserve">l </w:t>
      </w:r>
      <w:r>
        <w:rPr>
          <w:rFonts w:ascii="Century Gothic" w:hAnsi="Century Gothic"/>
          <w:sz w:val="24"/>
          <w:szCs w:val="24"/>
        </w:rPr>
        <w:lastRenderedPageBreak/>
        <w:t>Administrativo de Casanare y, en su lugar, resolver lo siguiente</w:t>
      </w:r>
      <w:r w:rsidRPr="00AC18E7">
        <w:rPr>
          <w:rFonts w:ascii="Century Gothic" w:hAnsi="Century Gothic"/>
          <w:sz w:val="24"/>
          <w:szCs w:val="24"/>
        </w:rPr>
        <w:t>:</w:t>
      </w:r>
    </w:p>
    <w:p w14:paraId="5058D0B1" w14:textId="77777777" w:rsidR="0087769D" w:rsidRPr="00AC18E7" w:rsidRDefault="0087769D" w:rsidP="0087769D">
      <w:pPr>
        <w:widowControl w:val="0"/>
        <w:spacing w:line="360" w:lineRule="auto"/>
        <w:ind w:right="-142"/>
        <w:jc w:val="both"/>
        <w:rPr>
          <w:rFonts w:ascii="Century Gothic" w:hAnsi="Century Gothic"/>
          <w:sz w:val="24"/>
          <w:szCs w:val="24"/>
        </w:rPr>
      </w:pPr>
    </w:p>
    <w:p w14:paraId="7A4AF9BA" w14:textId="77777777" w:rsidR="0087769D" w:rsidRPr="00DF2378" w:rsidRDefault="0087769D" w:rsidP="0087769D">
      <w:pPr>
        <w:widowControl w:val="0"/>
        <w:spacing w:line="360" w:lineRule="auto"/>
        <w:ind w:left="708" w:right="-142"/>
        <w:jc w:val="both"/>
        <w:rPr>
          <w:rFonts w:ascii="Century Gothic" w:hAnsi="Century Gothic"/>
          <w:sz w:val="24"/>
          <w:szCs w:val="24"/>
        </w:rPr>
      </w:pPr>
      <w:r>
        <w:rPr>
          <w:rFonts w:ascii="Century Gothic" w:hAnsi="Century Gothic"/>
          <w:b/>
          <w:sz w:val="24"/>
          <w:szCs w:val="24"/>
        </w:rPr>
        <w:t xml:space="preserve">PRIMERO: DECLARAR </w:t>
      </w:r>
      <w:r>
        <w:rPr>
          <w:rFonts w:ascii="Century Gothic" w:hAnsi="Century Gothic"/>
          <w:sz w:val="24"/>
          <w:szCs w:val="24"/>
        </w:rPr>
        <w:t>la nulidad de las Resoluciones No. 185 de 11 de mayo de 2004 y No. 291 de 22 de diciembre de 2006, por las razones expuestas en la parte motiva de esta providencia.</w:t>
      </w:r>
    </w:p>
    <w:p w14:paraId="295B5633" w14:textId="77777777" w:rsidR="0087769D" w:rsidRDefault="0087769D" w:rsidP="0087769D">
      <w:pPr>
        <w:widowControl w:val="0"/>
        <w:spacing w:line="360" w:lineRule="auto"/>
        <w:ind w:left="708" w:right="-142"/>
        <w:jc w:val="both"/>
        <w:rPr>
          <w:rFonts w:ascii="Century Gothic" w:hAnsi="Century Gothic"/>
          <w:b/>
          <w:sz w:val="24"/>
          <w:szCs w:val="24"/>
        </w:rPr>
      </w:pPr>
    </w:p>
    <w:p w14:paraId="30069F4C" w14:textId="77777777" w:rsidR="0087769D" w:rsidRPr="00C537F0" w:rsidRDefault="0087769D" w:rsidP="0087769D">
      <w:pPr>
        <w:widowControl w:val="0"/>
        <w:spacing w:line="360" w:lineRule="auto"/>
        <w:ind w:left="708" w:right="-142"/>
        <w:jc w:val="both"/>
        <w:rPr>
          <w:rFonts w:ascii="Century Gothic" w:hAnsi="Century Gothic"/>
          <w:sz w:val="24"/>
          <w:szCs w:val="24"/>
        </w:rPr>
      </w:pPr>
      <w:r>
        <w:rPr>
          <w:rFonts w:ascii="Century Gothic" w:hAnsi="Century Gothic"/>
          <w:b/>
          <w:sz w:val="24"/>
          <w:szCs w:val="24"/>
        </w:rPr>
        <w:t xml:space="preserve">SEGUNDO: NEGAR </w:t>
      </w:r>
      <w:r>
        <w:rPr>
          <w:rFonts w:ascii="Century Gothic" w:hAnsi="Century Gothic"/>
          <w:sz w:val="24"/>
          <w:szCs w:val="24"/>
        </w:rPr>
        <w:t>las demás pretensiones de la demanda, por las razones expuestas en la parte motiva de esta providencia.</w:t>
      </w:r>
    </w:p>
    <w:p w14:paraId="0919E601" w14:textId="77777777" w:rsidR="0087769D" w:rsidRDefault="0087769D" w:rsidP="0087769D">
      <w:pPr>
        <w:widowControl w:val="0"/>
        <w:spacing w:line="360" w:lineRule="auto"/>
        <w:ind w:left="708" w:right="-142"/>
        <w:jc w:val="both"/>
        <w:rPr>
          <w:rFonts w:ascii="Century Gothic" w:hAnsi="Century Gothic" w:cs="Arial"/>
          <w:sz w:val="24"/>
          <w:szCs w:val="24"/>
        </w:rPr>
      </w:pPr>
    </w:p>
    <w:p w14:paraId="41995B1A" w14:textId="77777777" w:rsidR="0087769D" w:rsidRDefault="0087769D" w:rsidP="0087769D">
      <w:pPr>
        <w:widowControl w:val="0"/>
        <w:spacing w:line="360" w:lineRule="auto"/>
        <w:ind w:left="708" w:right="-142"/>
        <w:jc w:val="both"/>
        <w:rPr>
          <w:rFonts w:ascii="Century Gothic" w:hAnsi="Century Gothic"/>
          <w:sz w:val="24"/>
          <w:szCs w:val="24"/>
        </w:rPr>
      </w:pPr>
      <w:r>
        <w:rPr>
          <w:rFonts w:ascii="Century Gothic" w:hAnsi="Century Gothic"/>
          <w:b/>
          <w:sz w:val="24"/>
          <w:szCs w:val="24"/>
        </w:rPr>
        <w:t xml:space="preserve">TERCERO: </w:t>
      </w:r>
      <w:r w:rsidRPr="00AC18E7">
        <w:rPr>
          <w:rFonts w:ascii="Century Gothic" w:hAnsi="Century Gothic"/>
          <w:sz w:val="24"/>
          <w:szCs w:val="24"/>
        </w:rPr>
        <w:t>sin condena en costas.</w:t>
      </w:r>
    </w:p>
    <w:p w14:paraId="3348CAC4" w14:textId="77777777" w:rsidR="0087769D" w:rsidRDefault="0087769D" w:rsidP="0087769D">
      <w:pPr>
        <w:widowControl w:val="0"/>
        <w:spacing w:line="360" w:lineRule="auto"/>
        <w:ind w:right="-142"/>
        <w:jc w:val="both"/>
        <w:rPr>
          <w:rFonts w:ascii="Century Gothic" w:hAnsi="Century Gothic"/>
          <w:sz w:val="24"/>
          <w:szCs w:val="24"/>
        </w:rPr>
      </w:pPr>
    </w:p>
    <w:p w14:paraId="0A977E46" w14:textId="77777777" w:rsidR="0087769D" w:rsidRDefault="0087769D" w:rsidP="0087769D">
      <w:pPr>
        <w:widowControl w:val="0"/>
        <w:spacing w:line="360" w:lineRule="auto"/>
        <w:ind w:right="-142"/>
        <w:jc w:val="both"/>
        <w:rPr>
          <w:rFonts w:ascii="Century Gothic" w:hAnsi="Century Gothic"/>
          <w:bCs/>
          <w:sz w:val="24"/>
          <w:szCs w:val="24"/>
        </w:rPr>
      </w:pPr>
      <w:r w:rsidRPr="003A1032">
        <w:rPr>
          <w:rFonts w:ascii="Century Gothic" w:hAnsi="Century Gothic"/>
          <w:sz w:val="24"/>
          <w:szCs w:val="24"/>
        </w:rPr>
        <w:t>P</w:t>
      </w:r>
      <w:r w:rsidRPr="003A1032">
        <w:rPr>
          <w:rFonts w:ascii="Century Gothic" w:hAnsi="Century Gothic"/>
          <w:bCs/>
          <w:sz w:val="24"/>
          <w:szCs w:val="24"/>
        </w:rPr>
        <w:t xml:space="preserve">or Secretaría, una vez de ejecutoriado este proveído, </w:t>
      </w:r>
      <w:r w:rsidRPr="003A1032">
        <w:rPr>
          <w:rFonts w:ascii="Century Gothic" w:hAnsi="Century Gothic"/>
          <w:b/>
          <w:bCs/>
          <w:sz w:val="24"/>
          <w:szCs w:val="24"/>
        </w:rPr>
        <w:t xml:space="preserve">DEVUÉLVASE </w:t>
      </w:r>
      <w:r w:rsidRPr="003A1032">
        <w:rPr>
          <w:rFonts w:ascii="Century Gothic" w:hAnsi="Century Gothic"/>
          <w:bCs/>
          <w:sz w:val="24"/>
          <w:szCs w:val="24"/>
        </w:rPr>
        <w:t>el expediente al Tribunal de origen.</w:t>
      </w:r>
    </w:p>
    <w:p w14:paraId="70D3F854" w14:textId="77777777" w:rsidR="0087769D" w:rsidRPr="00D34179" w:rsidRDefault="0087769D" w:rsidP="0087769D">
      <w:pPr>
        <w:overflowPunct w:val="0"/>
        <w:autoSpaceDE w:val="0"/>
        <w:autoSpaceDN w:val="0"/>
        <w:adjustRightInd w:val="0"/>
        <w:spacing w:line="360" w:lineRule="auto"/>
        <w:ind w:right="-142"/>
        <w:contextualSpacing/>
        <w:textAlignment w:val="baseline"/>
        <w:rPr>
          <w:rFonts w:ascii="Century Gothic" w:hAnsi="Century Gothic" w:cs="Arial"/>
          <w:sz w:val="24"/>
          <w:szCs w:val="24"/>
        </w:rPr>
      </w:pPr>
    </w:p>
    <w:p w14:paraId="0EEA9180" w14:textId="77777777" w:rsidR="0087769D" w:rsidRPr="00D34179" w:rsidRDefault="0087769D" w:rsidP="0087769D">
      <w:pPr>
        <w:spacing w:line="360" w:lineRule="auto"/>
        <w:ind w:right="-142"/>
        <w:contextualSpacing/>
        <w:jc w:val="center"/>
        <w:rPr>
          <w:rFonts w:ascii="Century Gothic" w:hAnsi="Century Gothic" w:cs="Arial"/>
          <w:b/>
          <w:snapToGrid w:val="0"/>
          <w:sz w:val="24"/>
          <w:szCs w:val="24"/>
        </w:rPr>
      </w:pPr>
      <w:r w:rsidRPr="00D34179">
        <w:rPr>
          <w:rFonts w:ascii="Century Gothic" w:hAnsi="Century Gothic" w:cs="Arial"/>
          <w:b/>
          <w:snapToGrid w:val="0"/>
          <w:sz w:val="24"/>
          <w:szCs w:val="24"/>
        </w:rPr>
        <w:t>NOTIFÍQUESE Y CÚMPLASE</w:t>
      </w:r>
    </w:p>
    <w:p w14:paraId="57DC8D07" w14:textId="77777777" w:rsidR="0087769D" w:rsidRDefault="0087769D" w:rsidP="0087769D">
      <w:pPr>
        <w:spacing w:line="360" w:lineRule="auto"/>
        <w:ind w:right="-142"/>
        <w:contextualSpacing/>
        <w:rPr>
          <w:rFonts w:ascii="Century Gothic" w:hAnsi="Century Gothic" w:cs="Arial"/>
          <w:b/>
          <w:snapToGrid w:val="0"/>
          <w:sz w:val="24"/>
          <w:szCs w:val="24"/>
        </w:rPr>
      </w:pPr>
    </w:p>
    <w:p w14:paraId="431B21DB" w14:textId="77777777" w:rsidR="0087769D" w:rsidRDefault="0087769D" w:rsidP="0087769D">
      <w:pPr>
        <w:spacing w:line="360" w:lineRule="auto"/>
        <w:ind w:right="-142"/>
        <w:contextualSpacing/>
        <w:rPr>
          <w:rFonts w:ascii="Century Gothic" w:hAnsi="Century Gothic" w:cs="Arial"/>
          <w:b/>
          <w:snapToGrid w:val="0"/>
          <w:sz w:val="24"/>
          <w:szCs w:val="24"/>
        </w:rPr>
      </w:pPr>
    </w:p>
    <w:p w14:paraId="02EEA002" w14:textId="77777777" w:rsidR="0087769D" w:rsidRDefault="0087769D" w:rsidP="0087769D">
      <w:pPr>
        <w:spacing w:line="360" w:lineRule="auto"/>
        <w:ind w:right="-142"/>
        <w:contextualSpacing/>
        <w:rPr>
          <w:rFonts w:ascii="Century Gothic" w:hAnsi="Century Gothic" w:cs="Arial"/>
          <w:b/>
          <w:snapToGrid w:val="0"/>
          <w:sz w:val="24"/>
          <w:szCs w:val="24"/>
        </w:rPr>
      </w:pPr>
    </w:p>
    <w:p w14:paraId="177D3137" w14:textId="77777777" w:rsidR="0087769D" w:rsidRDefault="0087769D" w:rsidP="0087769D">
      <w:pPr>
        <w:spacing w:line="360" w:lineRule="auto"/>
        <w:ind w:right="-142"/>
        <w:contextualSpacing/>
        <w:rPr>
          <w:rFonts w:ascii="Century Gothic" w:hAnsi="Century Gothic" w:cs="Arial"/>
          <w:sz w:val="24"/>
          <w:szCs w:val="24"/>
        </w:rPr>
      </w:pPr>
      <w:r>
        <w:rPr>
          <w:rFonts w:ascii="Century Gothic" w:hAnsi="Century Gothic" w:cs="Arial"/>
          <w:b/>
          <w:sz w:val="24"/>
          <w:szCs w:val="24"/>
        </w:rPr>
        <w:t xml:space="preserve">RAMIRO PAZOS GUERRERO </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t xml:space="preserve">           MARTÍN BERMÚDEZ MUÑOZ  </w:t>
      </w:r>
      <w:r>
        <w:rPr>
          <w:rFonts w:ascii="Century Gothic" w:hAnsi="Century Gothic" w:cs="Arial"/>
          <w:sz w:val="24"/>
          <w:szCs w:val="24"/>
        </w:rPr>
        <w:t xml:space="preserve">    </w:t>
      </w:r>
      <w:r w:rsidRPr="00D34179">
        <w:rPr>
          <w:rFonts w:ascii="Century Gothic" w:hAnsi="Century Gothic" w:cs="Arial"/>
          <w:sz w:val="24"/>
          <w:szCs w:val="24"/>
        </w:rPr>
        <w:t xml:space="preserve">   </w:t>
      </w:r>
      <w:r>
        <w:rPr>
          <w:rFonts w:ascii="Century Gothic" w:hAnsi="Century Gothic" w:cs="Arial"/>
          <w:sz w:val="24"/>
          <w:szCs w:val="24"/>
        </w:rPr>
        <w:t xml:space="preserve">                             </w:t>
      </w:r>
    </w:p>
    <w:p w14:paraId="38D5BF35" w14:textId="77777777" w:rsidR="0087769D" w:rsidRDefault="0087769D" w:rsidP="0087769D">
      <w:pPr>
        <w:spacing w:line="360" w:lineRule="auto"/>
        <w:ind w:right="-142"/>
        <w:contextualSpacing/>
        <w:rPr>
          <w:rFonts w:ascii="Century Gothic" w:hAnsi="Century Gothic" w:cs="Arial"/>
          <w:sz w:val="24"/>
          <w:szCs w:val="24"/>
        </w:rPr>
      </w:pPr>
    </w:p>
    <w:p w14:paraId="7B1535E2" w14:textId="77777777" w:rsidR="0087769D" w:rsidRDefault="0087769D" w:rsidP="0087769D">
      <w:pPr>
        <w:spacing w:line="360" w:lineRule="auto"/>
        <w:ind w:right="-142"/>
        <w:contextualSpacing/>
        <w:rPr>
          <w:rFonts w:ascii="Century Gothic" w:hAnsi="Century Gothic" w:cs="Arial"/>
          <w:sz w:val="24"/>
          <w:szCs w:val="24"/>
        </w:rPr>
      </w:pPr>
    </w:p>
    <w:p w14:paraId="77C112F0" w14:textId="77777777" w:rsidR="0087769D" w:rsidRDefault="0087769D" w:rsidP="0087769D">
      <w:pPr>
        <w:spacing w:line="360" w:lineRule="auto"/>
        <w:ind w:right="-142"/>
        <w:contextualSpacing/>
        <w:rPr>
          <w:rFonts w:ascii="Century Gothic" w:hAnsi="Century Gothic" w:cs="Arial"/>
          <w:sz w:val="24"/>
          <w:szCs w:val="24"/>
        </w:rPr>
      </w:pPr>
    </w:p>
    <w:p w14:paraId="45007A7F" w14:textId="77777777" w:rsidR="0087769D" w:rsidRPr="00077BE4" w:rsidRDefault="0087769D" w:rsidP="0087769D">
      <w:pPr>
        <w:spacing w:line="360" w:lineRule="auto"/>
        <w:ind w:right="-142"/>
        <w:contextualSpacing/>
        <w:jc w:val="center"/>
        <w:rPr>
          <w:rFonts w:ascii="Century Gothic" w:hAnsi="Century Gothic" w:cs="Arial"/>
          <w:sz w:val="24"/>
          <w:szCs w:val="24"/>
        </w:rPr>
      </w:pPr>
      <w:r>
        <w:rPr>
          <w:rFonts w:ascii="Century Gothic" w:hAnsi="Century Gothic" w:cs="Arial"/>
          <w:b/>
          <w:snapToGrid w:val="0"/>
          <w:sz w:val="24"/>
          <w:szCs w:val="24"/>
        </w:rPr>
        <w:t>ALBERTO MONTAÑA PLATA</w:t>
      </w:r>
    </w:p>
    <w:p w14:paraId="3E6836F9" w14:textId="77777777" w:rsidR="008409D8" w:rsidRPr="0087769D" w:rsidRDefault="008409D8" w:rsidP="0087769D"/>
    <w:sectPr w:rsidR="008409D8" w:rsidRPr="0087769D" w:rsidSect="0087769D">
      <w:headerReference w:type="default" r:id="rId11"/>
      <w:footerReference w:type="default" r:id="rId12"/>
      <w:footerReference w:type="first" r:id="rId13"/>
      <w:pgSz w:w="12242" w:h="18722" w:code="120"/>
      <w:pgMar w:top="661" w:right="1894" w:bottom="1701" w:left="1701" w:header="62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5F4AA" w14:textId="77777777" w:rsidR="0084355C" w:rsidRDefault="0084355C" w:rsidP="0087769D">
      <w:pPr>
        <w:spacing w:after="0" w:line="240" w:lineRule="auto"/>
      </w:pPr>
      <w:r>
        <w:separator/>
      </w:r>
    </w:p>
  </w:endnote>
  <w:endnote w:type="continuationSeparator" w:id="0">
    <w:p w14:paraId="2DC40619" w14:textId="77777777" w:rsidR="0084355C" w:rsidRDefault="0084355C" w:rsidP="0087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E294F" w14:textId="77777777" w:rsidR="00656F32" w:rsidRDefault="00656F32">
    <w:pPr>
      <w:pStyle w:val="Piedepgina"/>
      <w:jc w:val="center"/>
      <w:rPr>
        <w:color w:val="5B9BD5"/>
      </w:rPr>
    </w:pPr>
  </w:p>
  <w:p w14:paraId="61639649" w14:textId="5DA8CA22" w:rsidR="00656F32" w:rsidRPr="00174EBC" w:rsidRDefault="00656F32">
    <w:pPr>
      <w:pStyle w:val="Piedepgina"/>
      <w:jc w:val="center"/>
      <w:rPr>
        <w:rFonts w:ascii="Century Gothic" w:hAnsi="Century Gothic"/>
        <w:sz w:val="22"/>
        <w:szCs w:val="22"/>
      </w:rPr>
    </w:pPr>
    <w:r w:rsidRPr="00174EBC">
      <w:rPr>
        <w:rFonts w:ascii="Century Gothic" w:hAnsi="Century Gothic"/>
        <w:sz w:val="22"/>
        <w:szCs w:val="22"/>
      </w:rPr>
      <w:fldChar w:fldCharType="begin"/>
    </w:r>
    <w:r w:rsidRPr="00174EBC">
      <w:rPr>
        <w:rFonts w:ascii="Century Gothic" w:hAnsi="Century Gothic"/>
        <w:sz w:val="22"/>
        <w:szCs w:val="22"/>
      </w:rPr>
      <w:instrText>PAGE  \* Arabic  \* MERGEFORMAT</w:instrText>
    </w:r>
    <w:r w:rsidRPr="00174EBC">
      <w:rPr>
        <w:rFonts w:ascii="Century Gothic" w:hAnsi="Century Gothic"/>
        <w:sz w:val="22"/>
        <w:szCs w:val="22"/>
      </w:rPr>
      <w:fldChar w:fldCharType="separate"/>
    </w:r>
    <w:r w:rsidR="004207D5">
      <w:rPr>
        <w:rFonts w:ascii="Century Gothic" w:hAnsi="Century Gothic"/>
        <w:noProof/>
        <w:sz w:val="22"/>
        <w:szCs w:val="22"/>
      </w:rPr>
      <w:t>2</w:t>
    </w:r>
    <w:r w:rsidRPr="00174EBC">
      <w:rPr>
        <w:rFonts w:ascii="Century Gothic" w:hAnsi="Century Gothic"/>
        <w:sz w:val="22"/>
        <w:szCs w:val="22"/>
      </w:rPr>
      <w:fldChar w:fldCharType="end"/>
    </w:r>
    <w:r w:rsidRPr="00174EBC">
      <w:rPr>
        <w:rFonts w:ascii="Century Gothic" w:hAnsi="Century Gothic"/>
        <w:sz w:val="22"/>
        <w:szCs w:val="22"/>
      </w:rPr>
      <w:t xml:space="preserve"> de </w:t>
    </w:r>
    <w:r w:rsidRPr="00174EBC">
      <w:rPr>
        <w:rFonts w:ascii="Century Gothic" w:hAnsi="Century Gothic"/>
        <w:sz w:val="22"/>
        <w:szCs w:val="22"/>
      </w:rPr>
      <w:fldChar w:fldCharType="begin"/>
    </w:r>
    <w:r w:rsidRPr="00174EBC">
      <w:rPr>
        <w:rFonts w:ascii="Century Gothic" w:hAnsi="Century Gothic"/>
        <w:sz w:val="22"/>
        <w:szCs w:val="22"/>
      </w:rPr>
      <w:instrText>NUMPAGES  \* Arabic  \* MERGEFORMAT</w:instrText>
    </w:r>
    <w:r w:rsidRPr="00174EBC">
      <w:rPr>
        <w:rFonts w:ascii="Century Gothic" w:hAnsi="Century Gothic"/>
        <w:sz w:val="22"/>
        <w:szCs w:val="22"/>
      </w:rPr>
      <w:fldChar w:fldCharType="separate"/>
    </w:r>
    <w:r w:rsidR="004207D5">
      <w:rPr>
        <w:rFonts w:ascii="Century Gothic" w:hAnsi="Century Gothic"/>
        <w:noProof/>
        <w:sz w:val="22"/>
        <w:szCs w:val="22"/>
      </w:rPr>
      <w:t>23</w:t>
    </w:r>
    <w:r w:rsidRPr="00174EBC">
      <w:rPr>
        <w:rFonts w:ascii="Century Gothic" w:hAnsi="Century Gothic"/>
        <w:sz w:val="22"/>
        <w:szCs w:val="22"/>
      </w:rPr>
      <w:fldChar w:fldCharType="end"/>
    </w:r>
  </w:p>
  <w:p w14:paraId="44895F83" w14:textId="77777777" w:rsidR="00656F32" w:rsidRDefault="00656F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95AD4" w14:textId="77777777" w:rsidR="00656F32" w:rsidRPr="009D2D9F" w:rsidRDefault="00656F32" w:rsidP="00656F32">
    <w:pPr>
      <w:pStyle w:val="Piedepgina"/>
      <w:jc w:val="center"/>
      <w:rPr>
        <w:rFonts w:ascii="Century Gothic" w:hAnsi="Century Gothic"/>
        <w:color w:val="767171"/>
        <w:sz w:val="20"/>
        <w:szCs w:val="20"/>
      </w:rPr>
    </w:pPr>
    <w:r w:rsidRPr="009D2D9F">
      <w:rPr>
        <w:rFonts w:ascii="Century Gothic" w:hAnsi="Century Gothic"/>
        <w:color w:val="767171"/>
        <w:sz w:val="20"/>
        <w:szCs w:val="20"/>
      </w:rPr>
      <w:t>Calle 12 No. 7-65 – Tel: (57-1) 350-6700 – Bogotá D.C. – Colombia</w:t>
    </w:r>
  </w:p>
  <w:p w14:paraId="0F8E4445" w14:textId="77777777" w:rsidR="00656F32" w:rsidRPr="00117091" w:rsidRDefault="00656F32" w:rsidP="00656F32">
    <w:pPr>
      <w:pStyle w:val="Piedepgina"/>
      <w:jc w:val="center"/>
      <w:rPr>
        <w:color w:val="767171"/>
        <w:sz w:val="20"/>
        <w:szCs w:val="20"/>
      </w:rPr>
    </w:pPr>
    <w:r w:rsidRPr="009D2D9F">
      <w:rPr>
        <w:rFonts w:ascii="Century Gothic" w:hAnsi="Century Gothic"/>
        <w:color w:val="767171"/>
        <w:sz w:val="20"/>
        <w:szCs w:val="20"/>
      </w:rPr>
      <w:t>www.consejodeestado.gov.co</w:t>
    </w:r>
  </w:p>
  <w:p w14:paraId="5FDDC8F5" w14:textId="77777777" w:rsidR="00656F32" w:rsidRDefault="00656F32">
    <w:pPr>
      <w:pStyle w:val="Piedepgina"/>
      <w:jc w:val="right"/>
      <w:rPr>
        <w:rFonts w:ascii="Arial" w:hAnsi="Arial" w:cs="Arial"/>
        <w:sz w:val="22"/>
        <w:szCs w:val="22"/>
      </w:rPr>
    </w:pPr>
  </w:p>
  <w:p w14:paraId="5A733A31" w14:textId="77777777" w:rsidR="00656F32" w:rsidRPr="00A42B1F" w:rsidRDefault="00656F32">
    <w:pPr>
      <w:pStyle w:val="Piedepgina"/>
      <w:jc w:val="right"/>
      <w:rPr>
        <w:rFonts w:ascii="Arial" w:hAnsi="Arial" w:cs="Arial"/>
        <w:sz w:val="22"/>
        <w:szCs w:val="22"/>
      </w:rPr>
    </w:pPr>
  </w:p>
  <w:p w14:paraId="118C45D1" w14:textId="77777777" w:rsidR="00656F32" w:rsidRDefault="00656F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AEBDB" w14:textId="77777777" w:rsidR="0084355C" w:rsidRDefault="0084355C" w:rsidP="0087769D">
      <w:pPr>
        <w:spacing w:after="0" w:line="240" w:lineRule="auto"/>
      </w:pPr>
      <w:r>
        <w:separator/>
      </w:r>
    </w:p>
  </w:footnote>
  <w:footnote w:type="continuationSeparator" w:id="0">
    <w:p w14:paraId="1B5E997F" w14:textId="77777777" w:rsidR="0084355C" w:rsidRDefault="0084355C" w:rsidP="0087769D">
      <w:pPr>
        <w:spacing w:after="0" w:line="240" w:lineRule="auto"/>
      </w:pPr>
      <w:r>
        <w:continuationSeparator/>
      </w:r>
    </w:p>
  </w:footnote>
  <w:footnote w:id="1">
    <w:p w14:paraId="49C6E94A" w14:textId="77777777" w:rsidR="0087769D" w:rsidRPr="0082751A" w:rsidRDefault="0087769D" w:rsidP="0087769D">
      <w:pPr>
        <w:pStyle w:val="Textonotapie"/>
        <w:jc w:val="both"/>
        <w:rPr>
          <w:rFonts w:ascii="Arial" w:hAnsi="Arial" w:cs="Arial"/>
          <w:i/>
        </w:rPr>
      </w:pPr>
      <w:r w:rsidRPr="0082751A">
        <w:rPr>
          <w:rStyle w:val="Refdenotaalpie"/>
          <w:rFonts w:ascii="Arial" w:eastAsia="Calibri" w:hAnsi="Arial" w:cs="Arial"/>
        </w:rPr>
        <w:footnoteRef/>
      </w:r>
      <w:r w:rsidRPr="0082751A">
        <w:rPr>
          <w:rFonts w:ascii="Arial" w:hAnsi="Arial" w:cs="Arial"/>
        </w:rPr>
        <w:t xml:space="preserve"> </w:t>
      </w:r>
      <w:r>
        <w:rPr>
          <w:rFonts w:ascii="Century Gothic" w:hAnsi="Century Gothic"/>
          <w:lang w:val="es-CO"/>
        </w:rPr>
        <w:t>Folios 4-15 del cuaderno 6.</w:t>
      </w:r>
    </w:p>
  </w:footnote>
  <w:footnote w:id="2">
    <w:p w14:paraId="6EF0981E" w14:textId="77777777" w:rsidR="0087769D" w:rsidRPr="00A838B6" w:rsidRDefault="0087769D" w:rsidP="0087769D">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57-58 del cuaderno 6.</w:t>
      </w:r>
    </w:p>
  </w:footnote>
  <w:footnote w:id="3">
    <w:p w14:paraId="1F08A7BE" w14:textId="77777777" w:rsidR="0087769D" w:rsidRPr="00721D83" w:rsidRDefault="0087769D" w:rsidP="0087769D">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74-82 del cuaderno 6.</w:t>
      </w:r>
    </w:p>
  </w:footnote>
  <w:footnote w:id="4">
    <w:p w14:paraId="2A17ECC8" w14:textId="77777777" w:rsidR="0087769D" w:rsidRPr="00D5090D" w:rsidRDefault="0087769D" w:rsidP="0087769D">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86-87 del cuaderno 6.</w:t>
      </w:r>
    </w:p>
  </w:footnote>
  <w:footnote w:id="5">
    <w:p w14:paraId="72E37671" w14:textId="77777777" w:rsidR="0087769D" w:rsidRPr="004F6430" w:rsidRDefault="0087769D" w:rsidP="0087769D">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138 del cuaderno 6.</w:t>
      </w:r>
    </w:p>
  </w:footnote>
  <w:footnote w:id="6">
    <w:p w14:paraId="1B43B953" w14:textId="77777777" w:rsidR="0087769D" w:rsidRPr="00945CCE" w:rsidRDefault="0087769D" w:rsidP="0087769D">
      <w:pPr>
        <w:pStyle w:val="Textonotapie"/>
        <w:rPr>
          <w:rFonts w:ascii="Century Gothic" w:hAnsi="Century Gothic"/>
          <w:lang w:val="es-CO"/>
        </w:rPr>
      </w:pPr>
      <w:r w:rsidRPr="00984B0E">
        <w:rPr>
          <w:rStyle w:val="Refdenotaalpie"/>
        </w:rPr>
        <w:footnoteRef/>
      </w:r>
      <w:r w:rsidRPr="00984B0E">
        <w:t xml:space="preserve"> </w:t>
      </w:r>
      <w:r>
        <w:rPr>
          <w:rFonts w:ascii="Century Gothic" w:hAnsi="Century Gothic"/>
          <w:lang w:val="es-CO"/>
        </w:rPr>
        <w:t>Folios 180-190 del cuaderno principal.</w:t>
      </w:r>
    </w:p>
  </w:footnote>
  <w:footnote w:id="7">
    <w:p w14:paraId="10296AC4" w14:textId="77777777" w:rsidR="0087769D" w:rsidRPr="00C5413D" w:rsidRDefault="0087769D" w:rsidP="0087769D">
      <w:pPr>
        <w:pStyle w:val="Textonotapie"/>
        <w:tabs>
          <w:tab w:val="left" w:pos="5560"/>
        </w:tabs>
        <w:rPr>
          <w:rFonts w:ascii="Century Gothic" w:hAnsi="Century Gothic"/>
          <w:lang w:val="es-CO"/>
        </w:rPr>
      </w:pPr>
      <w:r>
        <w:rPr>
          <w:rStyle w:val="Refdenotaalpie"/>
        </w:rPr>
        <w:footnoteRef/>
      </w:r>
      <w:r>
        <w:t xml:space="preserve"> </w:t>
      </w:r>
      <w:r>
        <w:rPr>
          <w:rFonts w:ascii="Century Gothic" w:hAnsi="Century Gothic"/>
          <w:lang w:val="es-CO"/>
        </w:rPr>
        <w:t>Folios 194-196 del cuaderno principal.</w:t>
      </w:r>
      <w:r>
        <w:rPr>
          <w:rFonts w:ascii="Century Gothic" w:hAnsi="Century Gothic"/>
          <w:lang w:val="es-CO"/>
        </w:rPr>
        <w:tab/>
      </w:r>
    </w:p>
  </w:footnote>
  <w:footnote w:id="8">
    <w:p w14:paraId="1FF18ADE" w14:textId="77777777" w:rsidR="0087769D" w:rsidRPr="001774CB" w:rsidRDefault="0087769D" w:rsidP="0087769D">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205 del cuaderno principal.</w:t>
      </w:r>
    </w:p>
  </w:footnote>
  <w:footnote w:id="9">
    <w:p w14:paraId="106919D4" w14:textId="77777777" w:rsidR="0087769D" w:rsidRPr="00712983" w:rsidRDefault="0087769D" w:rsidP="0087769D">
      <w:pPr>
        <w:pStyle w:val="Textonotapie"/>
        <w:jc w:val="both"/>
        <w:rPr>
          <w:lang w:val="es-CO"/>
        </w:rPr>
      </w:pPr>
      <w:r>
        <w:rPr>
          <w:rStyle w:val="Refdenotaalpie"/>
        </w:rPr>
        <w:footnoteRef/>
      </w:r>
      <w:r>
        <w:t xml:space="preserve"> </w:t>
      </w:r>
      <w:r w:rsidRPr="00712983">
        <w:rPr>
          <w:rFonts w:ascii="Century Gothic" w:hAnsi="Century Gothic" w:cs="Arial"/>
          <w:szCs w:val="24"/>
        </w:rPr>
        <w:t>“</w:t>
      </w:r>
      <w:r w:rsidRPr="0012071F">
        <w:rPr>
          <w:rFonts w:ascii="Century Gothic" w:hAnsi="Century Gothic" w:cs="Arial"/>
          <w:szCs w:val="24"/>
        </w:rPr>
        <w:t>Artículo 129</w:t>
      </w:r>
      <w:r w:rsidRPr="000734FD">
        <w:rPr>
          <w:rFonts w:ascii="Century Gothic" w:hAnsi="Century Gothic" w:cs="Arial"/>
          <w:szCs w:val="24"/>
        </w:rPr>
        <w:t>. El Consejo de Estado, en Sala de lo Contencioso Administrativo, conocerá en segunda instancia de las apelaciones de las sentencias dictadas en primera instancia por los Tribunales Administrativos”.</w:t>
      </w:r>
    </w:p>
  </w:footnote>
  <w:footnote w:id="10">
    <w:p w14:paraId="2B108FD1" w14:textId="77777777" w:rsidR="0087769D" w:rsidRPr="00520D40" w:rsidRDefault="0087769D" w:rsidP="0087769D">
      <w:pPr>
        <w:pStyle w:val="Textonotapie"/>
        <w:rPr>
          <w:lang w:val="es-CO"/>
        </w:rPr>
      </w:pPr>
      <w:r>
        <w:rPr>
          <w:rStyle w:val="Refdenotaalpie"/>
        </w:rPr>
        <w:footnoteRef/>
      </w:r>
      <w:r>
        <w:t xml:space="preserve"> </w:t>
      </w:r>
      <w:r>
        <w:rPr>
          <w:rFonts w:ascii="Century Gothic" w:hAnsi="Century Gothic"/>
          <w:lang w:val="es-CO"/>
        </w:rPr>
        <w:t>Folios 248-258 del cuaderno 2.</w:t>
      </w:r>
    </w:p>
  </w:footnote>
  <w:footnote w:id="11">
    <w:p w14:paraId="356A0870" w14:textId="77777777" w:rsidR="0087769D" w:rsidRPr="00041E4C" w:rsidRDefault="0087769D" w:rsidP="0087769D">
      <w:pPr>
        <w:pStyle w:val="Textonotapie"/>
        <w:rPr>
          <w:lang w:val="es-CO"/>
        </w:rPr>
      </w:pPr>
      <w:r>
        <w:rPr>
          <w:rStyle w:val="Refdenotaalpie"/>
        </w:rPr>
        <w:footnoteRef/>
      </w:r>
      <w:r>
        <w:t xml:space="preserve"> </w:t>
      </w:r>
      <w:r>
        <w:rPr>
          <w:rFonts w:ascii="Century Gothic" w:hAnsi="Century Gothic"/>
          <w:lang w:val="es-CO"/>
        </w:rPr>
        <w:t>Folios 19-20 del cuaderno 2.</w:t>
      </w:r>
    </w:p>
  </w:footnote>
  <w:footnote w:id="12">
    <w:p w14:paraId="3FD27D6A" w14:textId="77777777" w:rsidR="0087769D" w:rsidRPr="006A0781" w:rsidRDefault="0087769D" w:rsidP="0087769D">
      <w:pPr>
        <w:pStyle w:val="Textonotapie"/>
        <w:rPr>
          <w:lang w:val="es-CO"/>
        </w:rPr>
      </w:pPr>
      <w:r>
        <w:rPr>
          <w:rStyle w:val="Refdenotaalpie"/>
        </w:rPr>
        <w:footnoteRef/>
      </w:r>
      <w:r>
        <w:t xml:space="preserve"> </w:t>
      </w:r>
      <w:r>
        <w:rPr>
          <w:rFonts w:ascii="Century Gothic" w:hAnsi="Century Gothic"/>
          <w:lang w:val="es-CO"/>
        </w:rPr>
        <w:t>Folios 17-18 del cuaderno 2.</w:t>
      </w:r>
    </w:p>
  </w:footnote>
  <w:footnote w:id="13">
    <w:p w14:paraId="0922255A" w14:textId="77777777" w:rsidR="0087769D" w:rsidRPr="008327C5" w:rsidRDefault="0087769D" w:rsidP="0087769D">
      <w:pPr>
        <w:pStyle w:val="Textonotapie"/>
        <w:rPr>
          <w:lang w:val="es-CO"/>
        </w:rPr>
      </w:pPr>
      <w:r>
        <w:rPr>
          <w:rStyle w:val="Refdenotaalpie"/>
        </w:rPr>
        <w:footnoteRef/>
      </w:r>
      <w:r>
        <w:t xml:space="preserve"> </w:t>
      </w:r>
      <w:r>
        <w:rPr>
          <w:rFonts w:ascii="Century Gothic" w:hAnsi="Century Gothic"/>
          <w:lang w:val="es-CO"/>
        </w:rPr>
        <w:t>Folios 233-235 del cuaderno 2.</w:t>
      </w:r>
    </w:p>
  </w:footnote>
  <w:footnote w:id="14">
    <w:p w14:paraId="7DFF9900" w14:textId="77777777" w:rsidR="0087769D" w:rsidRPr="005E2FEA" w:rsidRDefault="0087769D" w:rsidP="0087769D">
      <w:pPr>
        <w:pStyle w:val="Textonotapie"/>
        <w:rPr>
          <w:rFonts w:ascii="Century Gothic" w:hAnsi="Century Gothic"/>
          <w:lang w:val="es-CO"/>
        </w:rPr>
      </w:pPr>
      <w:r>
        <w:rPr>
          <w:rStyle w:val="Refdenotaalpie"/>
        </w:rPr>
        <w:footnoteRef/>
      </w:r>
      <w:r>
        <w:t xml:space="preserve"> </w:t>
      </w:r>
      <w:r>
        <w:rPr>
          <w:rFonts w:ascii="Century Gothic" w:hAnsi="Century Gothic"/>
          <w:lang w:val="es-CO"/>
        </w:rPr>
        <w:t xml:space="preserve">Folio 75, Folio 37,  del cuaderno 2, </w:t>
      </w:r>
    </w:p>
  </w:footnote>
  <w:footnote w:id="15">
    <w:p w14:paraId="519D94C1" w14:textId="77777777" w:rsidR="0087769D" w:rsidRPr="00A51471" w:rsidRDefault="0087769D" w:rsidP="0087769D">
      <w:pPr>
        <w:pStyle w:val="Textonotapie"/>
        <w:rPr>
          <w:lang w:val="es-CO"/>
        </w:rPr>
      </w:pPr>
      <w:r>
        <w:rPr>
          <w:rStyle w:val="Refdenotaalpie"/>
        </w:rPr>
        <w:footnoteRef/>
      </w:r>
      <w:r>
        <w:t xml:space="preserve"> </w:t>
      </w:r>
      <w:r>
        <w:rPr>
          <w:rFonts w:ascii="Century Gothic" w:hAnsi="Century Gothic"/>
          <w:lang w:val="es-CO"/>
        </w:rPr>
        <w:t>Folio 13 del cuaderno 2.</w:t>
      </w:r>
    </w:p>
  </w:footnote>
  <w:footnote w:id="16">
    <w:p w14:paraId="25607E6A" w14:textId="77777777" w:rsidR="0087769D" w:rsidRPr="005A442F" w:rsidRDefault="0087769D" w:rsidP="0087769D">
      <w:pPr>
        <w:pStyle w:val="Textonotapie"/>
        <w:rPr>
          <w:lang w:val="es-CO"/>
        </w:rPr>
      </w:pPr>
      <w:r>
        <w:rPr>
          <w:rStyle w:val="Refdenotaalpie"/>
        </w:rPr>
        <w:footnoteRef/>
      </w:r>
      <w:r>
        <w:t xml:space="preserve"> </w:t>
      </w:r>
      <w:r>
        <w:rPr>
          <w:rFonts w:ascii="Century Gothic" w:hAnsi="Century Gothic"/>
          <w:lang w:val="es-CO"/>
        </w:rPr>
        <w:t>Folios 2-6 del cuaderno 3.</w:t>
      </w:r>
    </w:p>
  </w:footnote>
  <w:footnote w:id="17">
    <w:p w14:paraId="01DE7B3C" w14:textId="77777777" w:rsidR="0087769D" w:rsidRPr="00682511" w:rsidRDefault="0087769D" w:rsidP="0087769D">
      <w:pPr>
        <w:pStyle w:val="Textonotapie"/>
        <w:rPr>
          <w:lang w:val="es-CO"/>
        </w:rPr>
      </w:pPr>
      <w:r>
        <w:rPr>
          <w:rStyle w:val="Refdenotaalpie"/>
        </w:rPr>
        <w:footnoteRef/>
      </w:r>
      <w:r>
        <w:t xml:space="preserve"> </w:t>
      </w:r>
      <w:r>
        <w:rPr>
          <w:rFonts w:ascii="Century Gothic" w:hAnsi="Century Gothic"/>
          <w:lang w:val="es-CO"/>
        </w:rPr>
        <w:t>Folios 18-29 del cuaderno 3.</w:t>
      </w:r>
    </w:p>
  </w:footnote>
  <w:footnote w:id="18">
    <w:p w14:paraId="4F2A4E4A" w14:textId="77777777" w:rsidR="0087769D" w:rsidRPr="00034580" w:rsidRDefault="0087769D" w:rsidP="0087769D">
      <w:pPr>
        <w:pStyle w:val="Textonotapie"/>
        <w:rPr>
          <w:lang w:val="es-CO"/>
        </w:rPr>
      </w:pPr>
      <w:r>
        <w:rPr>
          <w:rStyle w:val="Refdenotaalpie"/>
        </w:rPr>
        <w:footnoteRef/>
      </w:r>
      <w:r>
        <w:t xml:space="preserve"> </w:t>
      </w:r>
      <w:r>
        <w:rPr>
          <w:rFonts w:ascii="Century Gothic" w:hAnsi="Century Gothic"/>
          <w:lang w:val="es-CO"/>
        </w:rPr>
        <w:t>Folios 100-111 del cuaderno 3.</w:t>
      </w:r>
    </w:p>
  </w:footnote>
  <w:footnote w:id="19">
    <w:p w14:paraId="250A4E25" w14:textId="77777777" w:rsidR="0087769D" w:rsidRPr="008868BA" w:rsidRDefault="0087769D" w:rsidP="0087769D">
      <w:pPr>
        <w:pStyle w:val="Textonotapie"/>
        <w:rPr>
          <w:lang w:val="es-CO"/>
        </w:rPr>
      </w:pPr>
      <w:r>
        <w:rPr>
          <w:rStyle w:val="Refdenotaalpie"/>
        </w:rPr>
        <w:footnoteRef/>
      </w:r>
      <w:r>
        <w:t xml:space="preserve"> </w:t>
      </w:r>
      <w:r>
        <w:rPr>
          <w:rFonts w:ascii="Century Gothic" w:hAnsi="Century Gothic"/>
          <w:lang w:val="es-CO"/>
        </w:rPr>
        <w:t>Folios 138-141 del cuaderno 3.</w:t>
      </w:r>
    </w:p>
  </w:footnote>
  <w:footnote w:id="20">
    <w:p w14:paraId="1764A315" w14:textId="77777777" w:rsidR="0087769D" w:rsidRPr="0016294D" w:rsidRDefault="0087769D" w:rsidP="0087769D">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159-161 del cuaderno 3.</w:t>
      </w:r>
    </w:p>
  </w:footnote>
  <w:footnote w:id="21">
    <w:p w14:paraId="0AD1149B" w14:textId="77777777" w:rsidR="0087769D" w:rsidRPr="00E002A4" w:rsidRDefault="0087769D" w:rsidP="0087769D">
      <w:pPr>
        <w:pStyle w:val="Textonotapie"/>
        <w:rPr>
          <w:lang w:val="es-CO"/>
        </w:rPr>
      </w:pPr>
      <w:r>
        <w:rPr>
          <w:rStyle w:val="Refdenotaalpie"/>
        </w:rPr>
        <w:footnoteRef/>
      </w:r>
      <w:r>
        <w:t xml:space="preserve"> </w:t>
      </w:r>
      <w:r>
        <w:rPr>
          <w:rFonts w:ascii="Century Gothic" w:hAnsi="Century Gothic"/>
          <w:lang w:val="es-CO"/>
        </w:rPr>
        <w:t>Folios 174-181 del cuaderno 3.</w:t>
      </w:r>
    </w:p>
  </w:footnote>
  <w:footnote w:id="22">
    <w:p w14:paraId="121025B9" w14:textId="77777777" w:rsidR="0087769D" w:rsidRPr="00944D4A" w:rsidRDefault="0087769D" w:rsidP="0087769D">
      <w:pPr>
        <w:pStyle w:val="Textonotapie"/>
        <w:rPr>
          <w:lang w:val="es-CO"/>
        </w:rPr>
      </w:pPr>
      <w:r>
        <w:rPr>
          <w:rStyle w:val="Refdenotaalpie"/>
        </w:rPr>
        <w:footnoteRef/>
      </w:r>
      <w:r>
        <w:t xml:space="preserve"> </w:t>
      </w:r>
      <w:r>
        <w:rPr>
          <w:rFonts w:ascii="Century Gothic" w:hAnsi="Century Gothic"/>
          <w:lang w:val="es-CO"/>
        </w:rPr>
        <w:t>Folios 207-210 del cuaderno 3.</w:t>
      </w:r>
    </w:p>
  </w:footnote>
  <w:footnote w:id="23">
    <w:p w14:paraId="1083F284" w14:textId="77777777" w:rsidR="0087769D" w:rsidRPr="00944D4A" w:rsidRDefault="0087769D" w:rsidP="0087769D">
      <w:pPr>
        <w:pStyle w:val="Textonotapie"/>
        <w:rPr>
          <w:lang w:val="es-CO"/>
        </w:rPr>
      </w:pPr>
      <w:r>
        <w:rPr>
          <w:rStyle w:val="Refdenotaalpie"/>
        </w:rPr>
        <w:footnoteRef/>
      </w:r>
      <w:r>
        <w:t xml:space="preserve"> </w:t>
      </w:r>
      <w:r>
        <w:rPr>
          <w:rFonts w:ascii="Century Gothic" w:hAnsi="Century Gothic"/>
          <w:lang w:val="es-CO"/>
        </w:rPr>
        <w:t>Folios 211-216 del cuaderno 3.</w:t>
      </w:r>
    </w:p>
  </w:footnote>
  <w:footnote w:id="24">
    <w:p w14:paraId="30FB704B" w14:textId="77777777" w:rsidR="0087769D" w:rsidRPr="00A176D0" w:rsidRDefault="0087769D" w:rsidP="0087769D">
      <w:pPr>
        <w:pStyle w:val="Textonotapie"/>
        <w:rPr>
          <w:lang w:val="es-CO"/>
        </w:rPr>
      </w:pPr>
      <w:r>
        <w:rPr>
          <w:rStyle w:val="Refdenotaalpie"/>
        </w:rPr>
        <w:footnoteRef/>
      </w:r>
      <w:r>
        <w:t xml:space="preserve"> </w:t>
      </w:r>
      <w:r>
        <w:rPr>
          <w:rFonts w:ascii="Century Gothic" w:hAnsi="Century Gothic"/>
          <w:lang w:val="es-CO"/>
        </w:rPr>
        <w:t>Folios 217-273 del cuaderno 3 y Folios 1-269 del cuaderno 5.</w:t>
      </w:r>
    </w:p>
  </w:footnote>
  <w:footnote w:id="25">
    <w:p w14:paraId="390FCBE2" w14:textId="77777777" w:rsidR="0087769D" w:rsidRPr="008F17ED" w:rsidRDefault="0087769D" w:rsidP="0087769D">
      <w:pPr>
        <w:pStyle w:val="Textonotapie"/>
        <w:rPr>
          <w:rFonts w:ascii="Century Gothic" w:hAnsi="Century Gothic"/>
          <w:lang w:val="es-CO"/>
        </w:rPr>
      </w:pPr>
      <w:r>
        <w:rPr>
          <w:rStyle w:val="Refdenotaalpie"/>
        </w:rPr>
        <w:footnoteRef/>
      </w:r>
      <w:r>
        <w:t xml:space="preserve"> </w:t>
      </w:r>
      <w:r>
        <w:rPr>
          <w:rFonts w:ascii="Century Gothic" w:hAnsi="Century Gothic"/>
        </w:rPr>
        <w:t xml:space="preserve">CD a </w:t>
      </w:r>
      <w:r>
        <w:rPr>
          <w:rFonts w:ascii="Century Gothic" w:hAnsi="Century Gothic"/>
          <w:lang w:val="es-CO"/>
        </w:rPr>
        <w:t>Folios 83-84 del cuaderno 6.</w:t>
      </w:r>
    </w:p>
  </w:footnote>
  <w:footnote w:id="26">
    <w:p w14:paraId="2E0D6063" w14:textId="77777777" w:rsidR="0087769D" w:rsidRPr="00E85931" w:rsidRDefault="0087769D" w:rsidP="0087769D">
      <w:pPr>
        <w:pStyle w:val="Textonotapie"/>
        <w:rPr>
          <w:lang w:val="es-CO"/>
        </w:rPr>
      </w:pPr>
      <w:r>
        <w:rPr>
          <w:rStyle w:val="Refdenotaalpie"/>
        </w:rPr>
        <w:footnoteRef/>
      </w:r>
      <w:r>
        <w:t xml:space="preserve"> </w:t>
      </w:r>
      <w:r>
        <w:rPr>
          <w:rFonts w:ascii="Century Gothic" w:hAnsi="Century Gothic"/>
        </w:rPr>
        <w:t>Folios 5-6 del cuaderno 1 de pruebas.</w:t>
      </w:r>
    </w:p>
  </w:footnote>
  <w:footnote w:id="27">
    <w:p w14:paraId="52379426" w14:textId="77777777" w:rsidR="0087769D" w:rsidRPr="005213CE" w:rsidRDefault="0087769D" w:rsidP="0087769D">
      <w:pPr>
        <w:pStyle w:val="Textonotapie"/>
        <w:rPr>
          <w:lang w:val="es-CO"/>
        </w:rPr>
      </w:pPr>
      <w:r>
        <w:rPr>
          <w:rStyle w:val="Refdenotaalpie"/>
        </w:rPr>
        <w:footnoteRef/>
      </w:r>
      <w:r>
        <w:t xml:space="preserve"> </w:t>
      </w:r>
      <w:r>
        <w:rPr>
          <w:rFonts w:ascii="Century Gothic" w:hAnsi="Century Gothic"/>
          <w:lang w:val="es-CO"/>
        </w:rPr>
        <w:t>Folios 22-74 del cuaderno 1 de pruebas.</w:t>
      </w:r>
    </w:p>
  </w:footnote>
  <w:footnote w:id="28">
    <w:p w14:paraId="393B5C02" w14:textId="77777777" w:rsidR="0087769D" w:rsidRPr="004536CB" w:rsidRDefault="0087769D" w:rsidP="0087769D">
      <w:pPr>
        <w:pStyle w:val="Textonotapie"/>
        <w:rPr>
          <w:lang w:val="es-CO"/>
        </w:rPr>
      </w:pPr>
      <w:r>
        <w:rPr>
          <w:rStyle w:val="Refdenotaalpie"/>
        </w:rPr>
        <w:footnoteRef/>
      </w:r>
      <w:r>
        <w:t xml:space="preserve"> </w:t>
      </w:r>
      <w:r>
        <w:rPr>
          <w:rFonts w:ascii="Century Gothic" w:hAnsi="Century Gothic"/>
          <w:lang w:val="es-CO"/>
        </w:rPr>
        <w:t>Folios 139-142 del cuaderno 1 de pruebas.</w:t>
      </w:r>
    </w:p>
  </w:footnote>
  <w:footnote w:id="29">
    <w:p w14:paraId="35458947" w14:textId="77777777" w:rsidR="0087769D" w:rsidRPr="000373E3" w:rsidRDefault="0087769D" w:rsidP="0087769D">
      <w:pPr>
        <w:pStyle w:val="Textonotapie"/>
        <w:rPr>
          <w:lang w:val="es-CO"/>
        </w:rPr>
      </w:pPr>
      <w:r>
        <w:rPr>
          <w:rStyle w:val="Refdenotaalpie"/>
        </w:rPr>
        <w:footnoteRef/>
      </w:r>
      <w:r>
        <w:t xml:space="preserve"> </w:t>
      </w:r>
      <w:r>
        <w:rPr>
          <w:rFonts w:ascii="Century Gothic" w:hAnsi="Century Gothic"/>
          <w:lang w:val="es-CO"/>
        </w:rPr>
        <w:t>Folios 144-179 del cuaderno 1 de pruebas.</w:t>
      </w:r>
    </w:p>
  </w:footnote>
  <w:footnote w:id="30">
    <w:p w14:paraId="47B02662" w14:textId="77777777" w:rsidR="0087769D" w:rsidRPr="000373E3" w:rsidRDefault="0087769D" w:rsidP="0087769D">
      <w:pPr>
        <w:pStyle w:val="Textonotapie"/>
        <w:rPr>
          <w:lang w:val="es-CO"/>
        </w:rPr>
      </w:pPr>
      <w:r>
        <w:rPr>
          <w:rStyle w:val="Refdenotaalpie"/>
        </w:rPr>
        <w:footnoteRef/>
      </w:r>
      <w:r>
        <w:t xml:space="preserve"> </w:t>
      </w:r>
      <w:r>
        <w:rPr>
          <w:rFonts w:ascii="Century Gothic" w:hAnsi="Century Gothic"/>
          <w:lang w:val="es-CO"/>
        </w:rPr>
        <w:t>Folios 180-186 y 200-204 del cuaderno 1 de pruebas.</w:t>
      </w:r>
    </w:p>
  </w:footnote>
  <w:footnote w:id="31">
    <w:p w14:paraId="4BBD6347" w14:textId="77777777" w:rsidR="0087769D" w:rsidRPr="00F249E8" w:rsidRDefault="0087769D" w:rsidP="0087769D">
      <w:pPr>
        <w:pStyle w:val="Textonotapie"/>
        <w:rPr>
          <w:lang w:val="es-CO"/>
        </w:rPr>
      </w:pPr>
      <w:r>
        <w:rPr>
          <w:rStyle w:val="Refdenotaalpie"/>
        </w:rPr>
        <w:footnoteRef/>
      </w:r>
      <w:r>
        <w:t xml:space="preserve"> </w:t>
      </w:r>
      <w:r>
        <w:rPr>
          <w:rFonts w:ascii="Century Gothic" w:hAnsi="Century Gothic"/>
          <w:lang w:val="es-CO"/>
        </w:rPr>
        <w:t>Folios 37-46 del cuaderno 4.</w:t>
      </w:r>
    </w:p>
  </w:footnote>
  <w:footnote w:id="32">
    <w:p w14:paraId="3B96874A" w14:textId="77777777" w:rsidR="0087769D" w:rsidRPr="003F32A0" w:rsidRDefault="0087769D" w:rsidP="0087769D">
      <w:pPr>
        <w:pStyle w:val="Textonotapie"/>
        <w:rPr>
          <w:lang w:val="es-CO"/>
        </w:rPr>
      </w:pPr>
      <w:r>
        <w:rPr>
          <w:rStyle w:val="Refdenotaalpie"/>
        </w:rPr>
        <w:footnoteRef/>
      </w:r>
      <w:r>
        <w:t xml:space="preserve"> </w:t>
      </w:r>
      <w:r>
        <w:rPr>
          <w:rFonts w:ascii="Century Gothic" w:hAnsi="Century Gothic"/>
          <w:lang w:val="es-CO"/>
        </w:rPr>
        <w:t>Folios 206-217 del cuaderno 1 de pruebas.</w:t>
      </w:r>
    </w:p>
  </w:footnote>
  <w:footnote w:id="33">
    <w:p w14:paraId="18D0FC53" w14:textId="77777777" w:rsidR="0087769D" w:rsidRPr="000F4021" w:rsidRDefault="0087769D" w:rsidP="0087769D">
      <w:pPr>
        <w:pStyle w:val="Textonotapie"/>
        <w:rPr>
          <w:lang w:val="es-CO"/>
        </w:rPr>
      </w:pPr>
      <w:r>
        <w:rPr>
          <w:rStyle w:val="Refdenotaalpie"/>
        </w:rPr>
        <w:footnoteRef/>
      </w:r>
      <w:r>
        <w:t xml:space="preserve"> </w:t>
      </w:r>
      <w:r>
        <w:rPr>
          <w:rFonts w:ascii="Century Gothic" w:hAnsi="Century Gothic"/>
          <w:lang w:val="es-CO"/>
        </w:rPr>
        <w:t>Folios 23-26 y 53 del cuaderno 4.</w:t>
      </w:r>
    </w:p>
  </w:footnote>
  <w:footnote w:id="34">
    <w:p w14:paraId="246CB8D9" w14:textId="77777777" w:rsidR="0087769D" w:rsidRPr="00531227" w:rsidRDefault="0087769D" w:rsidP="0087769D">
      <w:pPr>
        <w:pStyle w:val="Textonotapie"/>
        <w:rPr>
          <w:lang w:val="es-CO"/>
        </w:rPr>
      </w:pPr>
      <w:r>
        <w:rPr>
          <w:rStyle w:val="Refdenotaalpie"/>
        </w:rPr>
        <w:footnoteRef/>
      </w:r>
      <w:r>
        <w:t xml:space="preserve"> </w:t>
      </w:r>
      <w:r>
        <w:rPr>
          <w:rFonts w:ascii="Century Gothic" w:hAnsi="Century Gothic"/>
          <w:lang w:val="es-CO"/>
        </w:rPr>
        <w:t>Folios 107-120 del cuaderno 6.</w:t>
      </w:r>
    </w:p>
  </w:footnote>
  <w:footnote w:id="35">
    <w:p w14:paraId="79FC1540" w14:textId="77777777" w:rsidR="0087769D" w:rsidRPr="003013CA" w:rsidRDefault="0087769D" w:rsidP="0087769D">
      <w:pPr>
        <w:pStyle w:val="Textonotapie"/>
        <w:rPr>
          <w:lang w:val="es-CO"/>
        </w:rPr>
      </w:pPr>
      <w:r>
        <w:rPr>
          <w:rStyle w:val="Refdenotaalpie"/>
        </w:rPr>
        <w:footnoteRef/>
      </w:r>
      <w:r>
        <w:t xml:space="preserve"> </w:t>
      </w:r>
      <w:r>
        <w:rPr>
          <w:rFonts w:ascii="Century Gothic" w:hAnsi="Century Gothic"/>
          <w:lang w:val="es-CO"/>
        </w:rPr>
        <w:t>Folios 145-161 del cuaderno 6.</w:t>
      </w:r>
    </w:p>
  </w:footnote>
  <w:footnote w:id="36">
    <w:p w14:paraId="56C82FD6" w14:textId="77777777" w:rsidR="0087769D" w:rsidRPr="003D7A22" w:rsidRDefault="0087769D" w:rsidP="0087769D">
      <w:pPr>
        <w:pStyle w:val="Textonotapie"/>
        <w:rPr>
          <w:lang w:val="es-CO"/>
        </w:rPr>
      </w:pPr>
      <w:r>
        <w:rPr>
          <w:rStyle w:val="Refdenotaalpie"/>
        </w:rPr>
        <w:footnoteRef/>
      </w:r>
      <w:r>
        <w:t xml:space="preserve"> </w:t>
      </w:r>
      <w:r>
        <w:rPr>
          <w:rFonts w:ascii="Century Gothic" w:hAnsi="Century Gothic"/>
          <w:lang w:val="es-CO"/>
        </w:rPr>
        <w:t>Folios 162-178 del cuaderno 6.</w:t>
      </w:r>
    </w:p>
  </w:footnote>
  <w:footnote w:id="37">
    <w:p w14:paraId="58DFFAAF" w14:textId="77777777" w:rsidR="0087769D" w:rsidRPr="00231147" w:rsidRDefault="0087769D" w:rsidP="0087769D">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Consejo de Estado, Sala de lo Contencioso Administrativo, Sección Tercera, Subsección B, Sentencia de 23 de febrero de 2012, exp. 20.810 y Consejo de Estado, Sala de lo Contencioso Administrativo, Sección Tercera, Subsección B, Sentencia de 5 de diciembre de 2016, exp. 35.057.</w:t>
      </w:r>
    </w:p>
  </w:footnote>
  <w:footnote w:id="38">
    <w:p w14:paraId="23A0F287" w14:textId="77777777" w:rsidR="0087769D" w:rsidRPr="00EF03CA" w:rsidRDefault="0087769D" w:rsidP="0087769D">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Consejo de Estado, Sala de lo Contencioso Administrativo, Sección Tercera, Subsección B, Sentencia de 23 de febrero de 2012, exp. 20.810.</w:t>
      </w:r>
    </w:p>
  </w:footnote>
  <w:footnote w:id="39">
    <w:p w14:paraId="7084EE8C" w14:textId="77777777" w:rsidR="0087769D" w:rsidRPr="00FE4820" w:rsidRDefault="0087769D" w:rsidP="0087769D">
      <w:pPr>
        <w:pStyle w:val="Textonotapie"/>
        <w:jc w:val="both"/>
        <w:rPr>
          <w:rFonts w:ascii="Century Gothic" w:hAnsi="Century Gothic"/>
          <w:lang w:val="es-CO"/>
        </w:rPr>
      </w:pPr>
      <w:r>
        <w:rPr>
          <w:rStyle w:val="Refdenotaalpie"/>
        </w:rPr>
        <w:footnoteRef/>
      </w:r>
      <w:r>
        <w:t xml:space="preserve"> </w:t>
      </w:r>
      <w:r>
        <w:rPr>
          <w:rFonts w:ascii="Century Gothic" w:hAnsi="Century Gothic"/>
        </w:rPr>
        <w:t>Consejo de Estado, Sala de lo Contencioso Administrativo, Sección Tercera, Subsección A, Sentencia de 2 de agosto de 2018, exp. 37.317.</w:t>
      </w:r>
    </w:p>
  </w:footnote>
  <w:footnote w:id="40">
    <w:p w14:paraId="36C051F8" w14:textId="77777777" w:rsidR="0087769D" w:rsidRPr="00961FD8" w:rsidRDefault="0087769D" w:rsidP="0087769D">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20-32 del cuaderno 5.</w:t>
      </w:r>
    </w:p>
  </w:footnote>
  <w:footnote w:id="41">
    <w:p w14:paraId="0B155A28" w14:textId="77777777" w:rsidR="0087769D" w:rsidRPr="00FA3949" w:rsidRDefault="0087769D" w:rsidP="0087769D">
      <w:pPr>
        <w:pStyle w:val="Textonotapie"/>
        <w:rPr>
          <w:lang w:val="es-CO"/>
        </w:rPr>
      </w:pPr>
      <w:r>
        <w:rPr>
          <w:rStyle w:val="Refdenotaalpie"/>
        </w:rPr>
        <w:footnoteRef/>
      </w:r>
      <w:r>
        <w:t xml:space="preserve"> </w:t>
      </w:r>
      <w:r>
        <w:rPr>
          <w:rFonts w:ascii="Century Gothic" w:hAnsi="Century Gothic"/>
          <w:lang w:val="es-CO"/>
        </w:rPr>
        <w:t>Folios 207-210 del cuaderno 3.</w:t>
      </w:r>
    </w:p>
  </w:footnote>
  <w:footnote w:id="42">
    <w:p w14:paraId="4D3079D0" w14:textId="77777777" w:rsidR="0087769D" w:rsidRPr="00FA3949" w:rsidRDefault="0087769D" w:rsidP="0087769D">
      <w:pPr>
        <w:pStyle w:val="Textonotapie"/>
        <w:rPr>
          <w:lang w:val="es-CO"/>
        </w:rPr>
      </w:pPr>
      <w:r>
        <w:rPr>
          <w:rStyle w:val="Refdenotaalpie"/>
        </w:rPr>
        <w:footnoteRef/>
      </w:r>
      <w:r>
        <w:t xml:space="preserve"> </w:t>
      </w:r>
      <w:r>
        <w:rPr>
          <w:rFonts w:ascii="Century Gothic" w:hAnsi="Century Gothic"/>
          <w:lang w:val="es-CO"/>
        </w:rPr>
        <w:t>Folios 211-216 del cuaderno 3.</w:t>
      </w:r>
    </w:p>
  </w:footnote>
  <w:footnote w:id="43">
    <w:p w14:paraId="57BDECC3" w14:textId="77777777" w:rsidR="0087769D" w:rsidRPr="00B00D6D" w:rsidRDefault="0087769D" w:rsidP="0087769D">
      <w:pPr>
        <w:pStyle w:val="Textonotapie"/>
        <w:rPr>
          <w:lang w:val="es-CO"/>
        </w:rPr>
      </w:pPr>
      <w:r>
        <w:rPr>
          <w:rStyle w:val="Refdenotaalpie"/>
        </w:rPr>
        <w:footnoteRef/>
      </w:r>
      <w:r>
        <w:t xml:space="preserve"> </w:t>
      </w:r>
      <w:r>
        <w:rPr>
          <w:rFonts w:ascii="Century Gothic" w:hAnsi="Century Gothic"/>
          <w:lang w:val="es-CO"/>
        </w:rPr>
        <w:t>Folios 217-273 del cuaderno 3 y 1-269 del cuaderno 5.</w:t>
      </w:r>
    </w:p>
  </w:footnote>
  <w:footnote w:id="44">
    <w:p w14:paraId="2C30EAA1" w14:textId="77777777" w:rsidR="0087769D" w:rsidRPr="00B41B16" w:rsidRDefault="0087769D" w:rsidP="0087769D">
      <w:pPr>
        <w:pStyle w:val="Textonotapie"/>
        <w:rPr>
          <w:lang w:val="es-CO"/>
        </w:rPr>
      </w:pPr>
      <w:r>
        <w:rPr>
          <w:rStyle w:val="Refdenotaalpie"/>
        </w:rPr>
        <w:footnoteRef/>
      </w:r>
      <w:r>
        <w:t xml:space="preserve"> </w:t>
      </w:r>
      <w:r>
        <w:rPr>
          <w:rFonts w:ascii="Century Gothic" w:hAnsi="Century Gothic"/>
          <w:lang w:val="es-CO"/>
        </w:rPr>
        <w:t>Folios 22-74 del cuaderno 1 de pruebas.</w:t>
      </w:r>
    </w:p>
  </w:footnote>
  <w:footnote w:id="45">
    <w:p w14:paraId="6BA5EAA4" w14:textId="77777777" w:rsidR="0087769D" w:rsidRPr="008C127B" w:rsidRDefault="0087769D" w:rsidP="0087769D">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Conviene precisar que la calidad de los materiales utilizada por el contratista fue la que determinó el Departamento de Boyacá, de acuerdo con lo establecido en la cláusula primera del contrato de obra No. 84 de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E815D" w14:textId="77777777" w:rsidR="00656F32" w:rsidRPr="003B477D" w:rsidRDefault="00656F32" w:rsidP="0087769D">
    <w:pPr>
      <w:spacing w:after="0"/>
      <w:ind w:left="5664" w:hanging="1416"/>
      <w:jc w:val="both"/>
      <w:rPr>
        <w:rFonts w:ascii="Century Gothic" w:hAnsi="Century Gothic" w:cs="Arial"/>
        <w:i/>
        <w:sz w:val="16"/>
        <w:szCs w:val="16"/>
      </w:rPr>
    </w:pPr>
    <w:r w:rsidRPr="003B477D">
      <w:rPr>
        <w:rFonts w:ascii="Century Gothic" w:hAnsi="Century Gothic" w:cs="Arial"/>
        <w:i/>
        <w:sz w:val="16"/>
        <w:szCs w:val="16"/>
      </w:rPr>
      <w:t>Radicación:</w:t>
    </w:r>
    <w:r w:rsidRPr="003B477D">
      <w:rPr>
        <w:rFonts w:ascii="Century Gothic" w:hAnsi="Century Gothic" w:cs="Arial"/>
        <w:i/>
        <w:sz w:val="16"/>
        <w:szCs w:val="16"/>
      </w:rPr>
      <w:tab/>
    </w:r>
    <w:r w:rsidRPr="00F15712">
      <w:rPr>
        <w:rFonts w:ascii="Century Gothic" w:hAnsi="Century Gothic" w:cs="Arial"/>
        <w:i/>
        <w:sz w:val="16"/>
        <w:szCs w:val="16"/>
      </w:rPr>
      <w:t>15001-33-31-005-2007-00580-01 (44.170)</w:t>
    </w:r>
  </w:p>
  <w:p w14:paraId="10657EFE" w14:textId="77777777" w:rsidR="00656F32" w:rsidRPr="003B477D" w:rsidRDefault="00656F32" w:rsidP="0087769D">
    <w:pPr>
      <w:spacing w:after="0"/>
      <w:ind w:left="5663" w:hanging="1410"/>
      <w:jc w:val="both"/>
      <w:rPr>
        <w:rFonts w:ascii="Century Gothic" w:hAnsi="Century Gothic" w:cs="Arial"/>
        <w:i/>
        <w:sz w:val="16"/>
        <w:szCs w:val="16"/>
      </w:rPr>
    </w:pPr>
    <w:r w:rsidRPr="003B477D">
      <w:rPr>
        <w:rFonts w:ascii="Century Gothic" w:hAnsi="Century Gothic" w:cs="Arial"/>
        <w:i/>
        <w:sz w:val="16"/>
        <w:szCs w:val="16"/>
      </w:rPr>
      <w:t>Actor:</w:t>
    </w:r>
    <w:r w:rsidRPr="003B477D">
      <w:rPr>
        <w:rFonts w:ascii="Century Gothic" w:hAnsi="Century Gothic" w:cs="Arial"/>
        <w:i/>
        <w:sz w:val="16"/>
        <w:szCs w:val="16"/>
      </w:rPr>
      <w:tab/>
    </w:r>
    <w:r w:rsidRPr="003B477D">
      <w:rPr>
        <w:rFonts w:ascii="Century Gothic" w:hAnsi="Century Gothic" w:cs="Arial"/>
        <w:i/>
        <w:sz w:val="16"/>
        <w:szCs w:val="16"/>
      </w:rPr>
      <w:tab/>
    </w:r>
    <w:r>
      <w:rPr>
        <w:rFonts w:ascii="Century Gothic" w:hAnsi="Century Gothic" w:cs="Arial"/>
        <w:i/>
        <w:sz w:val="16"/>
        <w:szCs w:val="16"/>
      </w:rPr>
      <w:t>Consorcio ICM Ingenieros Ltda. – Suárez y Silva Ingenieros Contratistas</w:t>
    </w:r>
  </w:p>
  <w:p w14:paraId="20C57E36" w14:textId="77777777" w:rsidR="00656F32" w:rsidRPr="003B477D" w:rsidRDefault="00656F32" w:rsidP="0087769D">
    <w:pPr>
      <w:spacing w:after="0"/>
      <w:ind w:left="5664" w:hanging="1416"/>
      <w:jc w:val="both"/>
      <w:rPr>
        <w:rFonts w:ascii="Century Gothic" w:hAnsi="Century Gothic" w:cs="Arial"/>
        <w:b/>
        <w:i/>
        <w:sz w:val="16"/>
        <w:szCs w:val="16"/>
      </w:rPr>
    </w:pPr>
    <w:r w:rsidRPr="003B477D">
      <w:rPr>
        <w:rFonts w:ascii="Century Gothic" w:hAnsi="Century Gothic" w:cs="Arial"/>
        <w:i/>
        <w:sz w:val="16"/>
        <w:szCs w:val="16"/>
      </w:rPr>
      <w:t>Demandado:</w:t>
    </w:r>
    <w:r w:rsidRPr="003B477D">
      <w:rPr>
        <w:rFonts w:ascii="Century Gothic" w:hAnsi="Century Gothic" w:cs="Arial"/>
        <w:i/>
        <w:sz w:val="16"/>
        <w:szCs w:val="16"/>
      </w:rPr>
      <w:tab/>
    </w:r>
    <w:r>
      <w:rPr>
        <w:rFonts w:ascii="Century Gothic" w:hAnsi="Century Gothic" w:cs="Arial"/>
        <w:i/>
        <w:sz w:val="16"/>
        <w:szCs w:val="16"/>
      </w:rPr>
      <w:t>Departamento de Boyacá</w:t>
    </w:r>
  </w:p>
  <w:p w14:paraId="5387B056" w14:textId="77777777" w:rsidR="00656F32" w:rsidRDefault="00656F32" w:rsidP="0087769D">
    <w:pPr>
      <w:spacing w:after="0"/>
      <w:ind w:left="5664" w:hanging="1416"/>
      <w:jc w:val="both"/>
      <w:rPr>
        <w:rFonts w:ascii="Century Gothic" w:hAnsi="Century Gothic" w:cs="Arial"/>
        <w:i/>
        <w:sz w:val="16"/>
        <w:szCs w:val="16"/>
      </w:rPr>
    </w:pPr>
    <w:r>
      <w:rPr>
        <w:rFonts w:ascii="Century Gothic" w:hAnsi="Century Gothic" w:cs="Arial"/>
        <w:i/>
        <w:sz w:val="16"/>
        <w:szCs w:val="16"/>
      </w:rPr>
      <w:t>Referencia:</w:t>
    </w:r>
    <w:r>
      <w:rPr>
        <w:rFonts w:ascii="Century Gothic" w:hAnsi="Century Gothic" w:cs="Arial"/>
        <w:i/>
        <w:sz w:val="16"/>
        <w:szCs w:val="16"/>
      </w:rPr>
      <w:tab/>
    </w:r>
    <w:r w:rsidRPr="00901A95">
      <w:rPr>
        <w:rFonts w:ascii="Century Gothic" w:hAnsi="Century Gothic" w:cs="Arial"/>
        <w:i/>
        <w:sz w:val="16"/>
        <w:szCs w:val="16"/>
      </w:rPr>
      <w:t>Controversias contractuales</w:t>
    </w:r>
  </w:p>
  <w:p w14:paraId="1784C177" w14:textId="77777777" w:rsidR="00656F32" w:rsidRDefault="00656F32" w:rsidP="0087769D">
    <w:pPr>
      <w:spacing w:after="0"/>
      <w:ind w:left="5664" w:hanging="1416"/>
      <w:jc w:val="both"/>
      <w:rPr>
        <w:rFonts w:ascii="Century Gothic" w:hAnsi="Century Gothic" w:cs="Arial"/>
        <w:i/>
        <w:sz w:val="16"/>
        <w:szCs w:val="16"/>
      </w:rPr>
    </w:pPr>
    <w:r>
      <w:rPr>
        <w:rFonts w:ascii="Century Gothic" w:hAnsi="Century Gothic" w:cs="Arial"/>
        <w:i/>
        <w:sz w:val="16"/>
        <w:szCs w:val="16"/>
      </w:rPr>
      <w:t>Decisión:</w:t>
    </w:r>
    <w:r>
      <w:rPr>
        <w:rFonts w:ascii="Century Gothic" w:hAnsi="Century Gothic" w:cs="Arial"/>
        <w:i/>
        <w:sz w:val="16"/>
        <w:szCs w:val="16"/>
      </w:rPr>
      <w:tab/>
      <w:t>Revocar decisión de primera instancia</w:t>
    </w:r>
  </w:p>
  <w:p w14:paraId="5AFEAD1F" w14:textId="77777777" w:rsidR="00656F32" w:rsidRPr="003B477D" w:rsidRDefault="00656F32" w:rsidP="00656F32">
    <w:pPr>
      <w:pBdr>
        <w:bottom w:val="single" w:sz="4" w:space="1" w:color="auto"/>
      </w:pBdr>
      <w:ind w:left="-567" w:right="-992" w:firstLine="6"/>
      <w:jc w:val="both"/>
      <w:rPr>
        <w:rFonts w:ascii="Century Gothic" w:hAnsi="Century Gothic" w:cs="Arial"/>
        <w:i/>
        <w:sz w:val="16"/>
        <w:szCs w:val="16"/>
      </w:rPr>
    </w:pPr>
  </w:p>
  <w:p w14:paraId="7744759F" w14:textId="77777777" w:rsidR="00656F32" w:rsidRDefault="00656F32" w:rsidP="00656F32">
    <w:pPr>
      <w:ind w:left="4248"/>
      <w:jc w:val="both"/>
      <w:rPr>
        <w:rFonts w:ascii="Arial" w:hAnsi="Arial" w:cs="Arial"/>
        <w:sz w:val="16"/>
        <w:szCs w:val="16"/>
      </w:rPr>
    </w:pPr>
  </w:p>
  <w:p w14:paraId="18613C2A" w14:textId="77777777" w:rsidR="00656F32" w:rsidRDefault="00656F32" w:rsidP="00656F32">
    <w:pPr>
      <w:ind w:left="4248"/>
      <w:jc w:val="both"/>
      <w:rPr>
        <w:rFonts w:ascii="Arial" w:hAnsi="Arial" w:cs="Arial"/>
        <w:sz w:val="16"/>
        <w:szCs w:val="16"/>
      </w:rPr>
    </w:pPr>
  </w:p>
  <w:p w14:paraId="654DE435" w14:textId="77777777" w:rsidR="00656F32" w:rsidRPr="00831DB3" w:rsidRDefault="00656F32" w:rsidP="00656F32">
    <w:pPr>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329FE"/>
    <w:multiLevelType w:val="hybridMultilevel"/>
    <w:tmpl w:val="5986EC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FCA"/>
    <w:rsid w:val="000C3B84"/>
    <w:rsid w:val="000D2EAC"/>
    <w:rsid w:val="00144588"/>
    <w:rsid w:val="001F26B7"/>
    <w:rsid w:val="00286229"/>
    <w:rsid w:val="00353192"/>
    <w:rsid w:val="003B033B"/>
    <w:rsid w:val="004037E7"/>
    <w:rsid w:val="004207D5"/>
    <w:rsid w:val="004302DE"/>
    <w:rsid w:val="00432F7F"/>
    <w:rsid w:val="00494CD0"/>
    <w:rsid w:val="004A7566"/>
    <w:rsid w:val="004F2B1F"/>
    <w:rsid w:val="005850FE"/>
    <w:rsid w:val="005B126F"/>
    <w:rsid w:val="005B2190"/>
    <w:rsid w:val="005C0F74"/>
    <w:rsid w:val="005C16DA"/>
    <w:rsid w:val="005C6EAC"/>
    <w:rsid w:val="005F1DFE"/>
    <w:rsid w:val="00641AB4"/>
    <w:rsid w:val="00656F32"/>
    <w:rsid w:val="00664615"/>
    <w:rsid w:val="00722CDE"/>
    <w:rsid w:val="007811EC"/>
    <w:rsid w:val="007863C9"/>
    <w:rsid w:val="008409D8"/>
    <w:rsid w:val="0084355C"/>
    <w:rsid w:val="0087769D"/>
    <w:rsid w:val="00893C47"/>
    <w:rsid w:val="008D74AA"/>
    <w:rsid w:val="00912C83"/>
    <w:rsid w:val="00977AF4"/>
    <w:rsid w:val="00995FDB"/>
    <w:rsid w:val="009E4957"/>
    <w:rsid w:val="00A556A2"/>
    <w:rsid w:val="00A7379C"/>
    <w:rsid w:val="00B34FCA"/>
    <w:rsid w:val="00BA2E95"/>
    <w:rsid w:val="00BE27F2"/>
    <w:rsid w:val="00C45887"/>
    <w:rsid w:val="00C77719"/>
    <w:rsid w:val="00CB34C7"/>
    <w:rsid w:val="00CC13F0"/>
    <w:rsid w:val="00D574F9"/>
    <w:rsid w:val="00D64743"/>
    <w:rsid w:val="00D8103E"/>
    <w:rsid w:val="00D977EA"/>
    <w:rsid w:val="00DB1931"/>
    <w:rsid w:val="00DE1E46"/>
    <w:rsid w:val="00E97B95"/>
    <w:rsid w:val="00EA1B57"/>
    <w:rsid w:val="00EE5CE8"/>
    <w:rsid w:val="00FB3794"/>
    <w:rsid w:val="00FB446B"/>
    <w:rsid w:val="00FD69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49920"/>
  <w15:chartTrackingRefBased/>
  <w15:docId w15:val="{41610E49-7D14-43C8-9A9B-A695B185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794"/>
    <w:pPr>
      <w:spacing w:after="160" w:line="259" w:lineRule="auto"/>
    </w:pPr>
    <w:rPr>
      <w:sz w:val="22"/>
      <w:szCs w:val="22"/>
      <w:lang w:eastAsia="en-US"/>
    </w:rPr>
  </w:style>
  <w:style w:type="paragraph" w:styleId="Ttulo1">
    <w:name w:val="heading 1"/>
    <w:basedOn w:val="Normal"/>
    <w:next w:val="Normal"/>
    <w:link w:val="Ttulo1Car"/>
    <w:qFormat/>
    <w:rsid w:val="0087769D"/>
    <w:pPr>
      <w:keepNext/>
      <w:keepLines/>
      <w:spacing w:before="240" w:after="0" w:line="240" w:lineRule="auto"/>
      <w:outlineLvl w:val="0"/>
    </w:pPr>
    <w:rPr>
      <w:rFonts w:ascii="Calibri Light" w:eastAsia="Times New Roman" w:hAnsi="Calibri Light"/>
      <w:color w:val="2E74B5"/>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7769D"/>
    <w:rPr>
      <w:rFonts w:ascii="Calibri Light" w:eastAsia="Times New Roman" w:hAnsi="Calibri Light"/>
      <w:color w:val="2E74B5"/>
      <w:sz w:val="32"/>
      <w:szCs w:val="32"/>
      <w:lang w:val="es-ES" w:eastAsia="en-US"/>
    </w:rPr>
  </w:style>
  <w:style w:type="numbering" w:customStyle="1" w:styleId="Sinlista1">
    <w:name w:val="Sin lista1"/>
    <w:next w:val="Sinlista"/>
    <w:uiPriority w:val="99"/>
    <w:semiHidden/>
    <w:unhideWhenUsed/>
    <w:rsid w:val="0087769D"/>
  </w:style>
  <w:style w:type="paragraph" w:styleId="Piedepgina">
    <w:name w:val="footer"/>
    <w:basedOn w:val="Normal"/>
    <w:link w:val="PiedepginaCar"/>
    <w:uiPriority w:val="99"/>
    <w:rsid w:val="0087769D"/>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87769D"/>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87769D"/>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87769D"/>
    <w:rPr>
      <w:rFonts w:ascii="Times New Roman" w:eastAsia="Times New Roman" w:hAnsi="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link w:val="4GChar"/>
    <w:qFormat/>
    <w:rsid w:val="0087769D"/>
    <w:rPr>
      <w:vertAlign w:val="superscript"/>
    </w:rPr>
  </w:style>
  <w:style w:type="paragraph" w:styleId="Encabezado">
    <w:name w:val="header"/>
    <w:basedOn w:val="Normal"/>
    <w:link w:val="EncabezadoCar"/>
    <w:unhideWhenUsed/>
    <w:rsid w:val="0087769D"/>
    <w:pPr>
      <w:tabs>
        <w:tab w:val="center" w:pos="4252"/>
        <w:tab w:val="right" w:pos="8504"/>
      </w:tabs>
      <w:spacing w:after="0" w:line="240" w:lineRule="auto"/>
    </w:pPr>
    <w:rPr>
      <w:lang w:val="es-ES"/>
    </w:rPr>
  </w:style>
  <w:style w:type="character" w:customStyle="1" w:styleId="EncabezadoCar">
    <w:name w:val="Encabezado Car"/>
    <w:link w:val="Encabezado"/>
    <w:rsid w:val="0087769D"/>
    <w:rPr>
      <w:sz w:val="22"/>
      <w:szCs w:val="22"/>
      <w:lang w:val="es-ES" w:eastAsia="en-US"/>
    </w:rPr>
  </w:style>
  <w:style w:type="paragraph" w:customStyle="1" w:styleId="Textodebloque1">
    <w:name w:val="Texto de bloque1"/>
    <w:basedOn w:val="Normal"/>
    <w:qFormat/>
    <w:rsid w:val="0087769D"/>
    <w:pPr>
      <w:overflowPunct w:val="0"/>
      <w:autoSpaceDE w:val="0"/>
      <w:autoSpaceDN w:val="0"/>
      <w:adjustRightInd w:val="0"/>
      <w:spacing w:after="0" w:line="240" w:lineRule="auto"/>
      <w:ind w:left="720" w:firstLine="706"/>
      <w:jc w:val="both"/>
      <w:textAlignment w:val="baseline"/>
    </w:pPr>
    <w:rPr>
      <w:rFonts w:ascii="Times New Roman" w:eastAsia="Times New Roman" w:hAnsi="Times New Roman"/>
      <w:i/>
      <w:sz w:val="24"/>
      <w:szCs w:val="20"/>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87769D"/>
    <w:pPr>
      <w:spacing w:after="0" w:line="240" w:lineRule="auto"/>
      <w:jc w:val="both"/>
    </w:pPr>
    <w:rPr>
      <w:sz w:val="20"/>
      <w:szCs w:val="20"/>
      <w:vertAlign w:val="superscript"/>
      <w:lang w:eastAsia="es-CO"/>
    </w:rPr>
  </w:style>
  <w:style w:type="paragraph" w:customStyle="1" w:styleId="Ttulo2CdeE">
    <w:name w:val="Título 2 C de E"/>
    <w:basedOn w:val="Normal"/>
    <w:rsid w:val="0087769D"/>
    <w:pPr>
      <w:tabs>
        <w:tab w:val="left" w:pos="1843"/>
      </w:tabs>
      <w:overflowPunct w:val="0"/>
      <w:autoSpaceDE w:val="0"/>
      <w:autoSpaceDN w:val="0"/>
      <w:adjustRightInd w:val="0"/>
      <w:spacing w:after="0" w:line="360" w:lineRule="auto"/>
      <w:ind w:left="708" w:firstLine="708"/>
      <w:jc w:val="both"/>
      <w:textAlignment w:val="baseline"/>
    </w:pPr>
    <w:rPr>
      <w:rFonts w:ascii="Arial" w:eastAsia="Times New Roman" w:hAnsi="Arial"/>
      <w:b/>
      <w:sz w:val="24"/>
      <w:szCs w:val="20"/>
      <w:lang w:val="es-ES_tradnl" w:eastAsia="es-ES"/>
    </w:rPr>
  </w:style>
  <w:style w:type="paragraph" w:styleId="Textodeglobo">
    <w:name w:val="Balloon Text"/>
    <w:basedOn w:val="Normal"/>
    <w:link w:val="TextodegloboCar"/>
    <w:uiPriority w:val="99"/>
    <w:semiHidden/>
    <w:unhideWhenUsed/>
    <w:rsid w:val="0087769D"/>
    <w:pPr>
      <w:spacing w:after="0" w:line="240" w:lineRule="auto"/>
    </w:pPr>
    <w:rPr>
      <w:rFonts w:ascii="Segoe UI" w:hAnsi="Segoe UI" w:cs="Segoe UI"/>
      <w:sz w:val="18"/>
      <w:szCs w:val="18"/>
      <w:lang w:val="es-ES"/>
    </w:rPr>
  </w:style>
  <w:style w:type="character" w:customStyle="1" w:styleId="TextodegloboCar">
    <w:name w:val="Texto de globo Car"/>
    <w:link w:val="Textodeglobo"/>
    <w:uiPriority w:val="99"/>
    <w:semiHidden/>
    <w:rsid w:val="0087769D"/>
    <w:rPr>
      <w:rFonts w:ascii="Segoe UI" w:hAnsi="Segoe UI" w:cs="Segoe UI"/>
      <w:sz w:val="18"/>
      <w:szCs w:val="18"/>
      <w:lang w:val="es-ES" w:eastAsia="en-US"/>
    </w:rPr>
  </w:style>
  <w:style w:type="character" w:styleId="Refdecomentario">
    <w:name w:val="annotation reference"/>
    <w:uiPriority w:val="99"/>
    <w:semiHidden/>
    <w:unhideWhenUsed/>
    <w:rsid w:val="0087769D"/>
    <w:rPr>
      <w:sz w:val="16"/>
      <w:szCs w:val="16"/>
    </w:rPr>
  </w:style>
  <w:style w:type="paragraph" w:styleId="Textocomentario">
    <w:name w:val="annotation text"/>
    <w:basedOn w:val="Normal"/>
    <w:link w:val="TextocomentarioCar"/>
    <w:uiPriority w:val="99"/>
    <w:semiHidden/>
    <w:unhideWhenUsed/>
    <w:rsid w:val="0087769D"/>
    <w:pPr>
      <w:spacing w:after="0" w:line="240" w:lineRule="auto"/>
    </w:pPr>
    <w:rPr>
      <w:sz w:val="20"/>
      <w:szCs w:val="20"/>
      <w:lang w:val="es-ES"/>
    </w:rPr>
  </w:style>
  <w:style w:type="character" w:customStyle="1" w:styleId="TextocomentarioCar">
    <w:name w:val="Texto comentario Car"/>
    <w:link w:val="Textocomentario"/>
    <w:uiPriority w:val="99"/>
    <w:semiHidden/>
    <w:rsid w:val="0087769D"/>
    <w:rPr>
      <w:lang w:val="es-ES" w:eastAsia="en-US"/>
    </w:rPr>
  </w:style>
  <w:style w:type="paragraph" w:styleId="Asuntodelcomentario">
    <w:name w:val="annotation subject"/>
    <w:basedOn w:val="Textocomentario"/>
    <w:next w:val="Textocomentario"/>
    <w:link w:val="AsuntodelcomentarioCar"/>
    <w:uiPriority w:val="99"/>
    <w:semiHidden/>
    <w:unhideWhenUsed/>
    <w:rsid w:val="0087769D"/>
    <w:rPr>
      <w:b/>
      <w:bCs/>
    </w:rPr>
  </w:style>
  <w:style w:type="character" w:customStyle="1" w:styleId="AsuntodelcomentarioCar">
    <w:name w:val="Asunto del comentario Car"/>
    <w:link w:val="Asuntodelcomentario"/>
    <w:uiPriority w:val="99"/>
    <w:semiHidden/>
    <w:rsid w:val="0087769D"/>
    <w:rPr>
      <w:b/>
      <w:bCs/>
      <w:lang w:val="es-ES" w:eastAsia="en-US"/>
    </w:rPr>
  </w:style>
  <w:style w:type="table" w:styleId="Tablaconcuadrcula">
    <w:name w:val="Table Grid"/>
    <w:basedOn w:val="Tablanormal"/>
    <w:uiPriority w:val="39"/>
    <w:rsid w:val="0087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7769D"/>
    <w:rPr>
      <w:sz w:val="22"/>
      <w:szCs w:val="22"/>
      <w:lang w:val="es-ES" w:eastAsia="en-US"/>
    </w:rPr>
  </w:style>
  <w:style w:type="paragraph" w:styleId="Revisin">
    <w:name w:val="Revision"/>
    <w:hidden/>
    <w:uiPriority w:val="99"/>
    <w:semiHidden/>
    <w:rsid w:val="0087769D"/>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4CC6D1D-ADB4-40CA-82E0-B3604F47748A}">
  <ds:schemaRefs>
    <ds:schemaRef ds:uri="http://schemas.microsoft.com/sharepoint/v3/contenttype/forms"/>
  </ds:schemaRefs>
</ds:datastoreItem>
</file>

<file path=customXml/itemProps2.xml><?xml version="1.0" encoding="utf-8"?>
<ds:datastoreItem xmlns:ds="http://schemas.openxmlformats.org/officeDocument/2006/customXml" ds:itemID="{69535734-6243-4621-BE68-C0F3C476F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00973-65E3-4E88-8605-284906799A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8676</Words>
  <Characters>47719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Ximena Ríos López</cp:lastModifiedBy>
  <cp:revision>5</cp:revision>
  <dcterms:created xsi:type="dcterms:W3CDTF">2020-04-02T19:59:00Z</dcterms:created>
  <dcterms:modified xsi:type="dcterms:W3CDTF">2020-06-12T01:29:00Z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