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27F" w:rsidRDefault="008A427F" w:rsidP="008A427F">
      <w:pPr>
        <w:jc w:val="both"/>
        <w:rPr>
          <w:rFonts w:ascii="Arial" w:hAnsi="Arial" w:cs="Arial"/>
          <w:b/>
        </w:rPr>
      </w:pPr>
      <w:r w:rsidRPr="00275A55">
        <w:rPr>
          <w:rFonts w:ascii="Arial" w:hAnsi="Arial" w:cs="Arial"/>
          <w:b/>
        </w:rPr>
        <w:t>L</w:t>
      </w:r>
      <w:r w:rsidR="00EF4AC9">
        <w:rPr>
          <w:rFonts w:ascii="Arial" w:hAnsi="Arial" w:cs="Arial"/>
          <w:b/>
        </w:rPr>
        <w:t xml:space="preserve">IQUIDACIÓN DEL CONTRATO - </w:t>
      </w:r>
      <w:r w:rsidRPr="00275A55">
        <w:rPr>
          <w:rFonts w:ascii="Arial" w:hAnsi="Arial" w:cs="Arial"/>
          <w:b/>
        </w:rPr>
        <w:t>Concepto</w:t>
      </w:r>
      <w:r w:rsidR="00EF4AC9">
        <w:rPr>
          <w:rFonts w:ascii="Arial" w:hAnsi="Arial" w:cs="Arial"/>
          <w:b/>
        </w:rPr>
        <w:t xml:space="preserve"> - Noción </w:t>
      </w:r>
    </w:p>
    <w:p w:rsidR="00EF4AC9" w:rsidRPr="00275A55" w:rsidRDefault="00EF4AC9" w:rsidP="008A427F">
      <w:pPr>
        <w:jc w:val="both"/>
        <w:rPr>
          <w:rFonts w:ascii="Arial" w:hAnsi="Arial" w:cs="Arial"/>
          <w:b/>
        </w:rPr>
      </w:pPr>
    </w:p>
    <w:p w:rsidR="008A427F" w:rsidRDefault="008A427F" w:rsidP="008A427F">
      <w:pPr>
        <w:ind w:right="17"/>
        <w:jc w:val="both"/>
        <w:rPr>
          <w:rFonts w:ascii="Arial" w:eastAsia="Times New Roman" w:hAnsi="Arial" w:cs="Arial"/>
          <w:lang w:val="es-ES" w:eastAsia="es-ES"/>
        </w:rPr>
      </w:pPr>
      <w:r w:rsidRPr="00275A55">
        <w:rPr>
          <w:rFonts w:ascii="Arial" w:eastAsia="Times New Roman" w:hAnsi="Arial" w:cs="Arial"/>
          <w:lang w:val="es-ES" w:eastAsia="es-ES"/>
        </w:rPr>
        <w:t>En efecto, la liquidación del contrato se ha entendido como un corte de cuentas entre las partes contratantes, es la etapa final del negocio jurídico donde se hace el  balance económico, jurídico y técnico de lo ejecutado, y se define el estado en que queda el contrato después de su ejecución o terminación por cualquier otra causa.</w:t>
      </w:r>
    </w:p>
    <w:p w:rsidR="008A427F" w:rsidRPr="00275A55" w:rsidRDefault="008A427F" w:rsidP="008A427F">
      <w:pPr>
        <w:ind w:right="17"/>
        <w:jc w:val="both"/>
        <w:rPr>
          <w:rFonts w:ascii="Arial" w:eastAsia="Times New Roman" w:hAnsi="Arial" w:cs="Arial"/>
          <w:lang w:val="es-ES" w:eastAsia="es-ES"/>
        </w:rPr>
      </w:pPr>
    </w:p>
    <w:p w:rsidR="008A427F" w:rsidRDefault="008A427F" w:rsidP="008A427F">
      <w:pPr>
        <w:ind w:right="45"/>
        <w:jc w:val="both"/>
        <w:rPr>
          <w:rFonts w:ascii="Arial" w:eastAsia="Times New Roman" w:hAnsi="Arial" w:cs="Arial"/>
          <w:b/>
          <w:lang w:val="es-ES" w:eastAsia="es-ES"/>
        </w:rPr>
      </w:pPr>
      <w:r w:rsidRPr="00275A55">
        <w:rPr>
          <w:rFonts w:ascii="Arial" w:eastAsia="Times New Roman" w:hAnsi="Arial" w:cs="Arial"/>
          <w:b/>
          <w:lang w:val="es-ES" w:eastAsia="es-ES"/>
        </w:rPr>
        <w:t>L</w:t>
      </w:r>
      <w:r w:rsidR="00EF4AC9">
        <w:rPr>
          <w:rFonts w:ascii="Arial" w:eastAsia="Times New Roman" w:hAnsi="Arial" w:cs="Arial"/>
          <w:b/>
          <w:lang w:val="es-ES" w:eastAsia="es-ES"/>
        </w:rPr>
        <w:t xml:space="preserve">IQUIDACIÓN DEL CONTRATO </w:t>
      </w:r>
      <w:bookmarkStart w:id="0" w:name="_GoBack"/>
      <w:r w:rsidR="00EF4AC9">
        <w:rPr>
          <w:rFonts w:ascii="Arial" w:eastAsia="Times New Roman" w:hAnsi="Arial" w:cs="Arial"/>
          <w:b/>
          <w:lang w:val="es-ES" w:eastAsia="es-ES"/>
        </w:rPr>
        <w:t xml:space="preserve">- Unilateral - Bilateral - Definición </w:t>
      </w:r>
      <w:bookmarkEnd w:id="0"/>
    </w:p>
    <w:p w:rsidR="008A427F" w:rsidRPr="00275A55" w:rsidRDefault="008A427F" w:rsidP="008A427F">
      <w:pPr>
        <w:ind w:right="45"/>
        <w:jc w:val="both"/>
        <w:rPr>
          <w:rFonts w:ascii="Arial" w:eastAsia="Times New Roman" w:hAnsi="Arial" w:cs="Arial"/>
          <w:b/>
          <w:lang w:val="es-ES" w:eastAsia="es-ES"/>
        </w:rPr>
      </w:pPr>
    </w:p>
    <w:p w:rsidR="008A427F" w:rsidRDefault="008A427F" w:rsidP="008A427F">
      <w:pPr>
        <w:ind w:right="45"/>
        <w:jc w:val="both"/>
        <w:rPr>
          <w:rFonts w:ascii="Arial" w:eastAsia="Times New Roman" w:hAnsi="Arial" w:cs="Arial"/>
          <w:lang w:val="es-ES" w:eastAsia="es-ES"/>
        </w:rPr>
      </w:pPr>
      <w:r w:rsidRPr="00275A55">
        <w:rPr>
          <w:rFonts w:ascii="Arial" w:eastAsia="Times New Roman" w:hAnsi="Arial" w:cs="Arial"/>
          <w:lang w:val="es-ES" w:eastAsia="es-ES"/>
        </w:rPr>
        <w:t xml:space="preserve">La liquidación puede ser unilateral o bilateral. Esta última supone un acuerdo de voluntades de naturaleza contractual, porque son las mismas partes del negocio quienes establecen los términos en que finaliza la relación; ahora, si bien lo normal es que la liquidación se produzca tan pronto finaliza la ejecución del contrato, existen situaciones en las que ocurre antes, como cuando las partes llegan a ésta de común acuerdo, o lo hace el Estado en forma unilateral, ya sea porque se declara la caducidad o se presenta otra circunstancia imprevista que imposibilita continuar la ejecución. </w:t>
      </w:r>
    </w:p>
    <w:p w:rsidR="008A427F" w:rsidRPr="00275A55" w:rsidRDefault="008A427F" w:rsidP="008A427F">
      <w:pPr>
        <w:ind w:right="45"/>
        <w:jc w:val="both"/>
        <w:rPr>
          <w:rFonts w:ascii="Arial" w:eastAsia="Times New Roman" w:hAnsi="Arial" w:cs="Arial"/>
          <w:lang w:val="es-ES" w:eastAsia="es-ES"/>
        </w:rPr>
      </w:pPr>
    </w:p>
    <w:p w:rsidR="008A427F" w:rsidRDefault="008A427F" w:rsidP="008A427F">
      <w:pPr>
        <w:jc w:val="both"/>
        <w:rPr>
          <w:rFonts w:ascii="Arial" w:eastAsia="Times New Roman" w:hAnsi="Arial" w:cs="Arial"/>
          <w:b/>
          <w:lang w:val="es-ES" w:eastAsia="es-ES"/>
        </w:rPr>
      </w:pPr>
      <w:r w:rsidRPr="00275A55">
        <w:rPr>
          <w:rFonts w:ascii="Arial" w:eastAsia="Times New Roman" w:hAnsi="Arial" w:cs="Arial"/>
          <w:b/>
          <w:lang w:val="es-ES" w:eastAsia="es-ES"/>
        </w:rPr>
        <w:t>LIQUIDACIÓN DEL CONTRATO</w:t>
      </w:r>
      <w:r w:rsidR="00EF4AC9">
        <w:rPr>
          <w:rFonts w:ascii="Arial" w:eastAsia="Times New Roman" w:hAnsi="Arial" w:cs="Arial"/>
          <w:b/>
          <w:lang w:val="es-ES" w:eastAsia="es-ES"/>
        </w:rPr>
        <w:t xml:space="preserve"> -</w:t>
      </w:r>
      <w:r w:rsidRPr="00275A55">
        <w:rPr>
          <w:rFonts w:ascii="Arial" w:eastAsia="Times New Roman" w:hAnsi="Arial" w:cs="Arial"/>
          <w:b/>
          <w:lang w:val="es-ES" w:eastAsia="es-ES"/>
        </w:rPr>
        <w:t xml:space="preserve"> Bilateral</w:t>
      </w:r>
      <w:r w:rsidR="00EF4AC9">
        <w:rPr>
          <w:rFonts w:ascii="Arial" w:eastAsia="Times New Roman" w:hAnsi="Arial" w:cs="Arial"/>
          <w:b/>
          <w:lang w:val="es-ES" w:eastAsia="es-ES"/>
        </w:rPr>
        <w:t xml:space="preserve"> -</w:t>
      </w:r>
      <w:r w:rsidRPr="00275A55">
        <w:rPr>
          <w:rFonts w:ascii="Arial" w:eastAsia="Times New Roman" w:hAnsi="Arial" w:cs="Arial"/>
          <w:b/>
          <w:lang w:val="es-ES" w:eastAsia="es-ES"/>
        </w:rPr>
        <w:t xml:space="preserve"> </w:t>
      </w:r>
      <w:r w:rsidR="00EF4AC9">
        <w:rPr>
          <w:rFonts w:ascii="Arial" w:eastAsia="Times New Roman" w:hAnsi="Arial" w:cs="Arial"/>
          <w:b/>
          <w:lang w:val="es-ES" w:eastAsia="es-ES"/>
        </w:rPr>
        <w:t xml:space="preserve">Salvedades - Requisitos </w:t>
      </w:r>
    </w:p>
    <w:p w:rsidR="008A427F" w:rsidRPr="00EF4AC9" w:rsidRDefault="008A427F" w:rsidP="008A427F">
      <w:pPr>
        <w:jc w:val="both"/>
        <w:rPr>
          <w:b/>
          <w:lang w:val="es-ES"/>
        </w:rPr>
      </w:pPr>
    </w:p>
    <w:p w:rsidR="008A427F" w:rsidRPr="00275A55" w:rsidRDefault="008A427F" w:rsidP="008A427F">
      <w:pPr>
        <w:pStyle w:val="xmsonormal"/>
        <w:shd w:val="clear" w:color="auto" w:fill="FFFFFF"/>
        <w:spacing w:before="0" w:beforeAutospacing="0" w:after="0" w:afterAutospacing="0"/>
        <w:jc w:val="both"/>
        <w:rPr>
          <w:rFonts w:ascii="Arial" w:hAnsi="Arial" w:cs="Arial"/>
          <w:color w:val="0D0D0D"/>
          <w:sz w:val="22"/>
          <w:szCs w:val="22"/>
        </w:rPr>
      </w:pPr>
      <w:r w:rsidRPr="00275A55">
        <w:rPr>
          <w:rFonts w:ascii="Arial" w:hAnsi="Arial" w:cs="Arial"/>
          <w:sz w:val="22"/>
          <w:szCs w:val="22"/>
          <w:lang w:val="es-ES" w:eastAsia="es-ES"/>
        </w:rPr>
        <w:t xml:space="preserve">[C]ualquiera sea la causa o forma como se llegue a la liquidación bilateral, la jurisprudencia ha señalado, reiteradamente, que cuando esto acontece no es posible que las partes intenten una acción judicial, para reclamar por los daños e inconformidades, si la parte interesada no dejó constancias de insatisfacción en relación con el aspecto concreto que aspira a reclamar ante el juez. Esta tesis se ha aplicado con fundamento en un criterio jurisprudencial y legal, salvo que se trate de circunstancias que se presenten con posterioridad a la fecha en la que se suscriba el acta de liquidación. </w:t>
      </w:r>
      <w:r w:rsidRPr="00275A55">
        <w:rPr>
          <w:rFonts w:ascii="Arial" w:hAnsi="Arial" w:cs="Arial"/>
          <w:color w:val="0D0D0D"/>
          <w:sz w:val="22"/>
          <w:szCs w:val="22"/>
          <w:lang w:val="es-ES"/>
        </w:rPr>
        <w:t>De modo que los requisitos de las inconformidades que se deben incluir en el documento de liquidación bilateral, (sic) son las siguientes: i) es preciso que se identifiquen de manera adecuada y clara los problemas o circunstancia que le sirven de fundamento fáctico a la reclamación. Es decir, que se indiquen cuáles son los motivos en los que se estructura esa glosa. ii) La inconformidad debe ser señalada de manera expresa, clara, concreta y específica; por lo tanto, no son válidas salvedades genéricas que no especifiquen de forma puntual el tópico o la materia sobre la que recaen las mismas. iii) Es preciso que se incluya al menos una breve consideración sobre las razones que dan soporte a la reclamación, sin que ello suponga la necesidad de incluir argumentos de índole técnica o jurídica, pero sí al menos las razones o fundamentos por los que se considera que es viable la salvedad.</w:t>
      </w:r>
    </w:p>
    <w:p w:rsidR="008A427F" w:rsidRPr="00275A55" w:rsidRDefault="008A427F" w:rsidP="008A427F">
      <w:pPr>
        <w:pStyle w:val="xmsonormal"/>
        <w:shd w:val="clear" w:color="auto" w:fill="FFFFFF"/>
        <w:spacing w:before="0" w:beforeAutospacing="0" w:after="0" w:afterAutospacing="0"/>
        <w:ind w:right="851"/>
        <w:jc w:val="both"/>
        <w:rPr>
          <w:rFonts w:ascii="Segoe UI" w:hAnsi="Segoe UI" w:cs="Segoe UI"/>
          <w:color w:val="0D0D0D"/>
          <w:sz w:val="22"/>
          <w:szCs w:val="22"/>
        </w:rPr>
      </w:pPr>
    </w:p>
    <w:p w:rsidR="008A427F" w:rsidRPr="00275A55" w:rsidRDefault="008A427F" w:rsidP="008A427F">
      <w:pPr>
        <w:pStyle w:val="xmsonormal"/>
        <w:shd w:val="clear" w:color="auto" w:fill="FFFFFF"/>
        <w:spacing w:before="0" w:beforeAutospacing="0" w:after="0" w:afterAutospacing="0"/>
        <w:jc w:val="both"/>
        <w:rPr>
          <w:rFonts w:ascii="Arial" w:hAnsi="Arial" w:cs="Arial"/>
          <w:b/>
          <w:sz w:val="22"/>
          <w:szCs w:val="22"/>
          <w:lang w:val="es-ES"/>
        </w:rPr>
      </w:pPr>
      <w:r w:rsidRPr="00275A55">
        <w:rPr>
          <w:rFonts w:ascii="Arial" w:hAnsi="Arial" w:cs="Arial"/>
          <w:b/>
          <w:sz w:val="22"/>
          <w:szCs w:val="22"/>
          <w:lang w:val="es-ES"/>
        </w:rPr>
        <w:t xml:space="preserve">LIQUIDACIÓN DEL CONTRATO </w:t>
      </w:r>
      <w:r w:rsidR="00EF4AC9">
        <w:rPr>
          <w:rFonts w:ascii="Arial" w:hAnsi="Arial" w:cs="Arial"/>
          <w:b/>
          <w:sz w:val="22"/>
          <w:szCs w:val="22"/>
          <w:lang w:val="es-ES"/>
        </w:rPr>
        <w:t>- Ausencia de salvedades - Nulidad - Vicio de consentimiento</w:t>
      </w:r>
    </w:p>
    <w:p w:rsidR="008A427F" w:rsidRPr="00275A55" w:rsidRDefault="008A427F" w:rsidP="008A427F">
      <w:pPr>
        <w:pStyle w:val="xmsonormal"/>
        <w:shd w:val="clear" w:color="auto" w:fill="FFFFFF"/>
        <w:spacing w:before="0" w:beforeAutospacing="0" w:after="0" w:afterAutospacing="0"/>
        <w:ind w:right="851"/>
        <w:jc w:val="both"/>
        <w:rPr>
          <w:rFonts w:ascii="Arial" w:hAnsi="Arial" w:cs="Arial"/>
          <w:sz w:val="22"/>
          <w:szCs w:val="22"/>
          <w:lang w:val="es-ES"/>
        </w:rPr>
      </w:pPr>
    </w:p>
    <w:p w:rsidR="008A427F" w:rsidRPr="00275A55" w:rsidRDefault="008A427F" w:rsidP="008A427F">
      <w:pPr>
        <w:pStyle w:val="xmsonormal"/>
        <w:shd w:val="clear" w:color="auto" w:fill="FFFFFF"/>
        <w:spacing w:before="0" w:beforeAutospacing="0" w:after="0" w:afterAutospacing="0"/>
        <w:jc w:val="both"/>
        <w:rPr>
          <w:rFonts w:ascii="Arial" w:hAnsi="Arial" w:cs="Arial"/>
          <w:color w:val="0D0D0D"/>
          <w:sz w:val="22"/>
          <w:szCs w:val="22"/>
        </w:rPr>
      </w:pPr>
      <w:r w:rsidRPr="00275A55">
        <w:rPr>
          <w:rFonts w:ascii="Arial" w:hAnsi="Arial" w:cs="Arial"/>
          <w:sz w:val="22"/>
          <w:szCs w:val="22"/>
          <w:lang w:val="es-ES"/>
        </w:rPr>
        <w:t>[R]esulta necesario precisar que la jurisprudencia de esta Sección ha considerado que, cuando el contratista no ha formulado observaciones al acta de liquidación bilateral, puede pedir su nulidad alegando que en ella se incurrió un vicio del consentimiento (error, fuerza o dolo).</w:t>
      </w:r>
    </w:p>
    <w:p w:rsidR="00C96DB7" w:rsidRPr="00C96DB7" w:rsidRDefault="00C96DB7" w:rsidP="00C96DB7">
      <w:pPr>
        <w:rPr>
          <w:rFonts w:ascii="Arial" w:hAnsi="Arial" w:cs="Arial"/>
          <w:sz w:val="24"/>
          <w:szCs w:val="24"/>
        </w:rPr>
      </w:pPr>
    </w:p>
    <w:p w:rsidR="00701FB2" w:rsidRDefault="00701FB2" w:rsidP="007E716D">
      <w:pPr>
        <w:jc w:val="both"/>
        <w:rPr>
          <w:rFonts w:ascii="Arial" w:hAnsi="Arial" w:cs="Arial"/>
          <w:sz w:val="24"/>
          <w:szCs w:val="24"/>
          <w:lang w:val="es-ES_tradnl"/>
        </w:rPr>
      </w:pPr>
    </w:p>
    <w:p w:rsidR="00C96DB7" w:rsidRPr="007E716D" w:rsidRDefault="00C96DB7" w:rsidP="007E716D">
      <w:pPr>
        <w:jc w:val="both"/>
        <w:rPr>
          <w:rFonts w:ascii="Arial" w:hAnsi="Arial" w:cs="Arial"/>
          <w:sz w:val="24"/>
          <w:szCs w:val="24"/>
          <w:lang w:val="es-ES_tradnl"/>
        </w:rPr>
      </w:pPr>
    </w:p>
    <w:p w:rsidR="00816604" w:rsidRPr="00701FB2" w:rsidRDefault="00816604" w:rsidP="00701FB2">
      <w:pPr>
        <w:jc w:val="center"/>
        <w:rPr>
          <w:rFonts w:ascii="Arial" w:hAnsi="Arial" w:cs="Arial"/>
          <w:b/>
          <w:sz w:val="24"/>
          <w:szCs w:val="24"/>
          <w:lang w:val="es-ES_tradnl"/>
        </w:rPr>
      </w:pPr>
      <w:r w:rsidRPr="00701FB2">
        <w:rPr>
          <w:rFonts w:ascii="Arial" w:hAnsi="Arial" w:cs="Arial"/>
          <w:b/>
          <w:sz w:val="24"/>
          <w:szCs w:val="24"/>
          <w:lang w:val="es-ES_tradnl"/>
        </w:rPr>
        <w:t>CONSEJO DE ESTADO</w:t>
      </w:r>
    </w:p>
    <w:p w:rsidR="00701FB2" w:rsidRPr="00701FB2" w:rsidRDefault="00701FB2" w:rsidP="00701FB2">
      <w:pPr>
        <w:jc w:val="center"/>
        <w:rPr>
          <w:rFonts w:ascii="Arial" w:hAnsi="Arial" w:cs="Arial"/>
          <w:b/>
          <w:sz w:val="24"/>
          <w:szCs w:val="24"/>
          <w:lang w:val="es-ES"/>
        </w:rPr>
      </w:pPr>
    </w:p>
    <w:p w:rsidR="00816604" w:rsidRPr="00701FB2" w:rsidRDefault="00816604" w:rsidP="00701FB2">
      <w:pPr>
        <w:jc w:val="center"/>
        <w:rPr>
          <w:rFonts w:ascii="Arial" w:hAnsi="Arial" w:cs="Arial"/>
          <w:b/>
          <w:sz w:val="24"/>
          <w:szCs w:val="24"/>
          <w:lang w:val="es-ES"/>
        </w:rPr>
      </w:pPr>
      <w:r w:rsidRPr="00701FB2">
        <w:rPr>
          <w:rFonts w:ascii="Arial" w:hAnsi="Arial" w:cs="Arial"/>
          <w:b/>
          <w:sz w:val="24"/>
          <w:szCs w:val="24"/>
          <w:lang w:val="es-ES"/>
        </w:rPr>
        <w:t>SALA DE LO CONTENCIOSO ADMINISTRATIVO</w:t>
      </w:r>
    </w:p>
    <w:p w:rsidR="00701FB2" w:rsidRPr="00701FB2" w:rsidRDefault="00701FB2" w:rsidP="00701FB2">
      <w:pPr>
        <w:jc w:val="center"/>
        <w:rPr>
          <w:rFonts w:ascii="Arial" w:hAnsi="Arial" w:cs="Arial"/>
          <w:b/>
          <w:sz w:val="24"/>
          <w:szCs w:val="24"/>
          <w:lang w:val="es-ES"/>
        </w:rPr>
      </w:pPr>
    </w:p>
    <w:p w:rsidR="00701FB2" w:rsidRPr="00701FB2" w:rsidRDefault="00701FB2" w:rsidP="00701FB2">
      <w:pPr>
        <w:jc w:val="center"/>
        <w:rPr>
          <w:rFonts w:ascii="Arial" w:hAnsi="Arial" w:cs="Arial"/>
          <w:b/>
          <w:sz w:val="24"/>
          <w:szCs w:val="24"/>
          <w:lang w:val="es-ES"/>
        </w:rPr>
      </w:pPr>
      <w:r w:rsidRPr="00701FB2">
        <w:rPr>
          <w:rFonts w:ascii="Arial" w:hAnsi="Arial" w:cs="Arial"/>
          <w:b/>
          <w:sz w:val="24"/>
          <w:szCs w:val="24"/>
          <w:lang w:val="es-ES"/>
        </w:rPr>
        <w:t>SECCIÓN TERCERA</w:t>
      </w:r>
    </w:p>
    <w:p w:rsidR="00701FB2" w:rsidRPr="00701FB2" w:rsidRDefault="00701FB2" w:rsidP="00701FB2">
      <w:pPr>
        <w:jc w:val="center"/>
        <w:rPr>
          <w:rFonts w:ascii="Arial" w:hAnsi="Arial" w:cs="Arial"/>
          <w:b/>
          <w:sz w:val="24"/>
          <w:szCs w:val="24"/>
          <w:lang w:val="es-ES"/>
        </w:rPr>
      </w:pPr>
    </w:p>
    <w:p w:rsidR="00816604" w:rsidRPr="00701FB2" w:rsidRDefault="00701FB2" w:rsidP="00701FB2">
      <w:pPr>
        <w:jc w:val="center"/>
        <w:rPr>
          <w:rFonts w:ascii="Arial" w:hAnsi="Arial" w:cs="Arial"/>
          <w:b/>
          <w:sz w:val="24"/>
          <w:szCs w:val="24"/>
          <w:lang w:val="es-ES_tradnl"/>
        </w:rPr>
      </w:pPr>
      <w:r w:rsidRPr="00701FB2">
        <w:rPr>
          <w:rFonts w:ascii="Arial" w:hAnsi="Arial" w:cs="Arial"/>
          <w:b/>
          <w:sz w:val="24"/>
          <w:szCs w:val="24"/>
          <w:lang w:val="es-ES_tradnl"/>
        </w:rPr>
        <w:t>SUBSECCIÓN A</w:t>
      </w:r>
    </w:p>
    <w:p w:rsidR="00701FB2" w:rsidRPr="00701FB2" w:rsidRDefault="00701FB2" w:rsidP="00701FB2">
      <w:pPr>
        <w:jc w:val="center"/>
        <w:rPr>
          <w:rFonts w:ascii="Arial" w:hAnsi="Arial" w:cs="Arial"/>
          <w:b/>
          <w:sz w:val="24"/>
          <w:szCs w:val="24"/>
          <w:lang w:val="es-ES_tradnl"/>
        </w:rPr>
      </w:pPr>
    </w:p>
    <w:p w:rsidR="00816604" w:rsidRPr="00701FB2" w:rsidRDefault="00816604" w:rsidP="00701FB2">
      <w:pPr>
        <w:jc w:val="center"/>
        <w:rPr>
          <w:rFonts w:ascii="Arial" w:hAnsi="Arial" w:cs="Arial"/>
          <w:b/>
          <w:sz w:val="24"/>
          <w:szCs w:val="24"/>
          <w:lang w:val="es-ES_tradnl"/>
        </w:rPr>
      </w:pPr>
      <w:r w:rsidRPr="00701FB2">
        <w:rPr>
          <w:rFonts w:ascii="Arial" w:hAnsi="Arial" w:cs="Arial"/>
          <w:b/>
          <w:sz w:val="24"/>
          <w:szCs w:val="24"/>
          <w:lang w:val="es-ES_tradnl"/>
        </w:rPr>
        <w:t>Consejero Ponente: CARLOS ALBERTO ZAMBRANO BARRERA</w:t>
      </w:r>
    </w:p>
    <w:p w:rsidR="00816604" w:rsidRPr="00701FB2" w:rsidRDefault="00816604" w:rsidP="00701FB2">
      <w:pPr>
        <w:rPr>
          <w:rFonts w:ascii="Arial" w:hAnsi="Arial" w:cs="Arial"/>
          <w:sz w:val="24"/>
          <w:szCs w:val="24"/>
          <w:lang w:val="es-ES_tradnl"/>
        </w:rPr>
      </w:pPr>
    </w:p>
    <w:p w:rsidR="00816604" w:rsidRPr="00701FB2" w:rsidRDefault="00816604" w:rsidP="00701FB2">
      <w:pPr>
        <w:rPr>
          <w:rFonts w:ascii="Arial" w:hAnsi="Arial" w:cs="Arial"/>
          <w:sz w:val="24"/>
          <w:szCs w:val="24"/>
          <w:lang w:val="es-ES"/>
        </w:rPr>
      </w:pPr>
      <w:r w:rsidRPr="00701FB2">
        <w:rPr>
          <w:rFonts w:ascii="Arial" w:hAnsi="Arial" w:cs="Arial"/>
          <w:sz w:val="24"/>
          <w:szCs w:val="24"/>
          <w:lang w:val="es-ES"/>
        </w:rPr>
        <w:t xml:space="preserve">Bogotá, D.C., </w:t>
      </w:r>
      <w:r w:rsidRPr="00701FB2">
        <w:rPr>
          <w:rFonts w:ascii="Arial" w:hAnsi="Arial" w:cs="Arial"/>
          <w:sz w:val="24"/>
          <w:szCs w:val="24"/>
        </w:rPr>
        <w:t>veinticuatro (24) de octubre de dos mil dieciséis (2016)</w:t>
      </w:r>
    </w:p>
    <w:p w:rsidR="00816604" w:rsidRPr="00701FB2" w:rsidRDefault="00816604" w:rsidP="00701FB2">
      <w:pPr>
        <w:rPr>
          <w:rFonts w:ascii="Arial" w:hAnsi="Arial" w:cs="Arial"/>
          <w:sz w:val="24"/>
          <w:szCs w:val="24"/>
          <w:lang w:val="es-ES"/>
        </w:rPr>
      </w:pPr>
    </w:p>
    <w:p w:rsidR="00816604" w:rsidRPr="00701FB2" w:rsidRDefault="00816604" w:rsidP="00701FB2">
      <w:pPr>
        <w:rPr>
          <w:rFonts w:ascii="Arial" w:eastAsia="Times New Roman" w:hAnsi="Arial" w:cs="Arial"/>
          <w:b/>
          <w:sz w:val="24"/>
          <w:szCs w:val="24"/>
          <w:lang w:val="es-ES_tradnl" w:eastAsia="es-ES"/>
        </w:rPr>
      </w:pPr>
      <w:r w:rsidRPr="00701FB2">
        <w:rPr>
          <w:rFonts w:ascii="Arial" w:eastAsia="Times New Roman" w:hAnsi="Arial" w:cs="Arial"/>
          <w:b/>
          <w:sz w:val="24"/>
          <w:szCs w:val="24"/>
          <w:lang w:val="es-ES_tradnl" w:eastAsia="es-ES"/>
        </w:rPr>
        <w:t>Radicación</w:t>
      </w:r>
      <w:r w:rsidR="00701FB2" w:rsidRPr="00701FB2">
        <w:rPr>
          <w:rFonts w:ascii="Arial" w:eastAsia="Times New Roman" w:hAnsi="Arial" w:cs="Arial"/>
          <w:b/>
          <w:sz w:val="24"/>
          <w:szCs w:val="24"/>
          <w:lang w:val="es-ES_tradnl" w:eastAsia="es-ES"/>
        </w:rPr>
        <w:t xml:space="preserve"> número: </w:t>
      </w:r>
      <w:r w:rsidRPr="00701FB2">
        <w:rPr>
          <w:rFonts w:ascii="Arial" w:eastAsia="Times New Roman" w:hAnsi="Arial" w:cs="Arial"/>
          <w:b/>
          <w:sz w:val="24"/>
          <w:szCs w:val="24"/>
          <w:lang w:val="es-ES_tradnl" w:eastAsia="es-ES"/>
        </w:rPr>
        <w:t>76001-23-31-000-2001-00298-0</w:t>
      </w:r>
      <w:r w:rsidR="00701FB2" w:rsidRPr="00701FB2">
        <w:rPr>
          <w:rFonts w:ascii="Arial" w:eastAsia="Times New Roman" w:hAnsi="Arial" w:cs="Arial"/>
          <w:b/>
          <w:sz w:val="24"/>
          <w:szCs w:val="24"/>
          <w:lang w:val="es-ES_tradnl" w:eastAsia="es-ES"/>
        </w:rPr>
        <w:t>1(37</w:t>
      </w:r>
      <w:r w:rsidRPr="00701FB2">
        <w:rPr>
          <w:rFonts w:ascii="Arial" w:eastAsia="Times New Roman" w:hAnsi="Arial" w:cs="Arial"/>
          <w:b/>
          <w:sz w:val="24"/>
          <w:szCs w:val="24"/>
          <w:lang w:val="es-ES_tradnl" w:eastAsia="es-ES"/>
        </w:rPr>
        <w:t>617)</w:t>
      </w:r>
    </w:p>
    <w:p w:rsidR="00701FB2" w:rsidRPr="00701FB2" w:rsidRDefault="00701FB2" w:rsidP="00701FB2">
      <w:pPr>
        <w:rPr>
          <w:rFonts w:ascii="Arial" w:hAnsi="Arial" w:cs="Arial"/>
          <w:b/>
          <w:color w:val="000000"/>
          <w:sz w:val="24"/>
          <w:szCs w:val="24"/>
          <w:lang w:val="es-ES_tradnl" w:eastAsia="es-ES"/>
        </w:rPr>
      </w:pPr>
    </w:p>
    <w:p w:rsidR="00816604" w:rsidRPr="00701FB2" w:rsidRDefault="00701FB2" w:rsidP="00701FB2">
      <w:pPr>
        <w:rPr>
          <w:rFonts w:ascii="Arial" w:hAnsi="Arial" w:cs="Arial"/>
          <w:b/>
          <w:color w:val="000000"/>
          <w:sz w:val="24"/>
          <w:szCs w:val="24"/>
          <w:lang w:val="es-ES_tradnl" w:eastAsia="es-ES"/>
        </w:rPr>
      </w:pPr>
      <w:r w:rsidRPr="00701FB2">
        <w:rPr>
          <w:rFonts w:ascii="Arial" w:hAnsi="Arial" w:cs="Arial"/>
          <w:b/>
          <w:color w:val="000000"/>
          <w:sz w:val="24"/>
          <w:szCs w:val="24"/>
          <w:lang w:val="es-ES_tradnl" w:eastAsia="es-ES"/>
        </w:rPr>
        <w:t>Actor: CONSULTORES DE NEGOCIOS S.A.</w:t>
      </w:r>
    </w:p>
    <w:p w:rsidR="00701FB2" w:rsidRPr="00701FB2" w:rsidRDefault="00701FB2" w:rsidP="00701FB2">
      <w:pPr>
        <w:rPr>
          <w:rFonts w:ascii="Arial" w:hAnsi="Arial" w:cs="Arial"/>
          <w:b/>
          <w:color w:val="000000"/>
          <w:sz w:val="24"/>
          <w:szCs w:val="24"/>
          <w:lang w:val="es-ES_tradnl" w:eastAsia="es-ES"/>
        </w:rPr>
      </w:pPr>
    </w:p>
    <w:p w:rsidR="00816604" w:rsidRPr="00701FB2" w:rsidRDefault="00701FB2" w:rsidP="00701FB2">
      <w:pPr>
        <w:rPr>
          <w:rFonts w:ascii="Arial" w:hAnsi="Arial" w:cs="Arial"/>
          <w:b/>
          <w:color w:val="000000"/>
          <w:sz w:val="24"/>
          <w:szCs w:val="24"/>
          <w:lang w:val="es-ES_tradnl" w:eastAsia="es-ES"/>
        </w:rPr>
      </w:pPr>
      <w:r w:rsidRPr="00701FB2">
        <w:rPr>
          <w:rFonts w:ascii="Arial" w:hAnsi="Arial" w:cs="Arial"/>
          <w:b/>
          <w:color w:val="000000"/>
          <w:sz w:val="24"/>
          <w:szCs w:val="24"/>
          <w:lang w:val="es-ES_tradnl" w:eastAsia="es-ES"/>
        </w:rPr>
        <w:t>Demandado: EMPRESAS MUNICIPALES DE CALI  -EMCALI E.I.C.E-</w:t>
      </w:r>
    </w:p>
    <w:p w:rsidR="00701FB2" w:rsidRPr="00701FB2" w:rsidRDefault="00701FB2" w:rsidP="00701FB2">
      <w:pPr>
        <w:rPr>
          <w:rFonts w:ascii="Arial" w:eastAsia="Times New Roman" w:hAnsi="Arial" w:cs="Arial"/>
          <w:b/>
          <w:sz w:val="24"/>
          <w:szCs w:val="24"/>
          <w:lang w:val="es-ES_tradnl" w:eastAsia="es-ES"/>
        </w:rPr>
      </w:pPr>
    </w:p>
    <w:p w:rsidR="00701FB2" w:rsidRPr="00701FB2" w:rsidRDefault="00701FB2" w:rsidP="00701FB2">
      <w:pPr>
        <w:rPr>
          <w:rFonts w:ascii="Arial" w:eastAsia="Times New Roman" w:hAnsi="Arial" w:cs="Arial"/>
          <w:b/>
          <w:sz w:val="24"/>
          <w:szCs w:val="24"/>
          <w:lang w:val="es-ES_tradnl" w:eastAsia="es-ES"/>
        </w:rPr>
      </w:pPr>
    </w:p>
    <w:p w:rsidR="00816604" w:rsidRPr="00701FB2" w:rsidRDefault="00701FB2" w:rsidP="00701FB2">
      <w:pPr>
        <w:rPr>
          <w:rFonts w:ascii="Arial" w:eastAsia="Times New Roman" w:hAnsi="Arial" w:cs="Arial"/>
          <w:b/>
          <w:sz w:val="24"/>
          <w:szCs w:val="24"/>
          <w:lang w:val="es-ES_tradnl" w:eastAsia="es-ES"/>
        </w:rPr>
      </w:pPr>
      <w:r w:rsidRPr="00701FB2">
        <w:rPr>
          <w:rFonts w:ascii="Arial" w:eastAsia="Times New Roman" w:hAnsi="Arial" w:cs="Arial"/>
          <w:b/>
          <w:sz w:val="24"/>
          <w:szCs w:val="24"/>
          <w:lang w:val="es-ES_tradnl" w:eastAsia="es-ES"/>
        </w:rPr>
        <w:t xml:space="preserve">Referencia: ACCIÓN CONTRACTUAL </w:t>
      </w:r>
    </w:p>
    <w:p w:rsidR="00816604" w:rsidRPr="00701FB2" w:rsidRDefault="00816604" w:rsidP="00701FB2">
      <w:pPr>
        <w:rPr>
          <w:rFonts w:ascii="Arial" w:hAnsi="Arial" w:cs="Arial"/>
          <w:b/>
          <w:sz w:val="24"/>
          <w:szCs w:val="24"/>
        </w:rPr>
      </w:pPr>
    </w:p>
    <w:p w:rsidR="00701FB2" w:rsidRPr="00701FB2" w:rsidRDefault="00701FB2" w:rsidP="00701FB2">
      <w:pPr>
        <w:rPr>
          <w:rFonts w:ascii="Arial" w:hAnsi="Arial" w:cs="Arial"/>
          <w:b/>
          <w:sz w:val="24"/>
          <w:szCs w:val="24"/>
        </w:rPr>
      </w:pPr>
    </w:p>
    <w:p w:rsidR="00816604" w:rsidRPr="00701FB2" w:rsidRDefault="00816604" w:rsidP="00701FB2">
      <w:pPr>
        <w:rPr>
          <w:rFonts w:ascii="Arial" w:hAnsi="Arial" w:cs="Arial"/>
          <w:b/>
          <w:sz w:val="24"/>
          <w:szCs w:val="24"/>
          <w:lang w:val="es-ES_tradnl" w:eastAsia="es-ES"/>
        </w:rPr>
      </w:pPr>
    </w:p>
    <w:p w:rsidR="00816604" w:rsidRDefault="00816604" w:rsidP="00816604">
      <w:pPr>
        <w:spacing w:line="360" w:lineRule="auto"/>
        <w:ind w:right="-1"/>
        <w:jc w:val="both"/>
        <w:rPr>
          <w:rFonts w:ascii="Century Gothic" w:eastAsia="Times New Roman" w:hAnsi="Century Gothic" w:cs="Arial"/>
          <w:lang w:val="es-ES" w:eastAsia="es-ES"/>
        </w:rPr>
      </w:pPr>
      <w:r w:rsidRPr="009D617F">
        <w:rPr>
          <w:rFonts w:ascii="Century Gothic" w:eastAsia="Times New Roman" w:hAnsi="Century Gothic" w:cs="Arial"/>
          <w:lang w:val="es-ES" w:eastAsia="es-ES"/>
        </w:rPr>
        <w:t>Surtido el trámite de ley, sin que se observe causal de nulidad que invalide lo actuado, procede la Sala a resolver el recurso de apelación interpuesto por la parte</w:t>
      </w:r>
      <w:r>
        <w:rPr>
          <w:rFonts w:ascii="Century Gothic" w:eastAsia="Times New Roman" w:hAnsi="Century Gothic" w:cs="Arial"/>
          <w:lang w:val="es-ES" w:eastAsia="es-ES"/>
        </w:rPr>
        <w:t xml:space="preserve"> demandante</w:t>
      </w:r>
      <w:r w:rsidRPr="009D617F">
        <w:rPr>
          <w:rFonts w:ascii="Century Gothic" w:eastAsia="Times New Roman" w:hAnsi="Century Gothic" w:cs="Arial"/>
          <w:lang w:val="es-ES" w:eastAsia="es-ES"/>
        </w:rPr>
        <w:t xml:space="preserve"> contra la sentencia proferida</w:t>
      </w:r>
      <w:r w:rsidRPr="004A2F1B">
        <w:rPr>
          <w:rFonts w:ascii="Century Gothic" w:eastAsia="Times New Roman" w:hAnsi="Century Gothic" w:cs="Arial"/>
          <w:lang w:val="es-ES" w:eastAsia="es-ES"/>
        </w:rPr>
        <w:t xml:space="preserve"> </w:t>
      </w:r>
      <w:r w:rsidRPr="009D617F">
        <w:rPr>
          <w:rFonts w:ascii="Century Gothic" w:eastAsia="Times New Roman" w:hAnsi="Century Gothic" w:cs="Arial"/>
          <w:lang w:val="es-ES" w:eastAsia="es-ES"/>
        </w:rPr>
        <w:t xml:space="preserve">por el Tribunal Administrativo del Valle del Cauca el </w:t>
      </w:r>
      <w:r>
        <w:rPr>
          <w:rFonts w:ascii="Century Gothic" w:eastAsia="Times New Roman" w:hAnsi="Century Gothic" w:cs="Arial"/>
          <w:lang w:val="es-ES" w:eastAsia="es-ES"/>
        </w:rPr>
        <w:t>26</w:t>
      </w:r>
      <w:r w:rsidRPr="009D617F">
        <w:rPr>
          <w:rFonts w:ascii="Century Gothic" w:eastAsia="Times New Roman" w:hAnsi="Century Gothic" w:cs="Arial"/>
          <w:lang w:val="es-ES" w:eastAsia="es-ES"/>
        </w:rPr>
        <w:t xml:space="preserve"> de </w:t>
      </w:r>
      <w:r>
        <w:rPr>
          <w:rFonts w:ascii="Century Gothic" w:eastAsia="Times New Roman" w:hAnsi="Century Gothic" w:cs="Arial"/>
          <w:lang w:val="es-ES" w:eastAsia="es-ES"/>
        </w:rPr>
        <w:t xml:space="preserve">septiembre de 2008, </w:t>
      </w:r>
      <w:r w:rsidRPr="009D617F">
        <w:rPr>
          <w:rFonts w:ascii="Century Gothic" w:eastAsia="Times New Roman" w:hAnsi="Century Gothic" w:cs="Arial"/>
          <w:lang w:val="es-ES" w:eastAsia="es-ES"/>
        </w:rPr>
        <w:t xml:space="preserve">mediante la cual se </w:t>
      </w:r>
      <w:r>
        <w:rPr>
          <w:rFonts w:ascii="Century Gothic" w:eastAsia="Times New Roman" w:hAnsi="Century Gothic" w:cs="Arial"/>
          <w:lang w:val="es-ES" w:eastAsia="es-ES"/>
        </w:rPr>
        <w:t>declararon no probadas las excepciones propuestas por la parte demandada y se negaron las pretensiones de la demanda (fl. 401, c. ppal.).</w:t>
      </w:r>
    </w:p>
    <w:p w:rsidR="00816604" w:rsidRDefault="00816604" w:rsidP="00816604">
      <w:pPr>
        <w:pStyle w:val="Sinespaciado"/>
        <w:rPr>
          <w:lang w:val="es-ES" w:eastAsia="es-ES"/>
        </w:rPr>
      </w:pPr>
    </w:p>
    <w:p w:rsidR="00816604" w:rsidRDefault="00816604" w:rsidP="00816604">
      <w:pPr>
        <w:pStyle w:val="Sinespaciado"/>
        <w:rPr>
          <w:lang w:val="es-ES" w:eastAsia="es-ES"/>
        </w:rPr>
      </w:pPr>
    </w:p>
    <w:p w:rsidR="00816604" w:rsidRDefault="00816604" w:rsidP="00816604">
      <w:pPr>
        <w:keepNext/>
        <w:spacing w:line="360" w:lineRule="auto"/>
        <w:ind w:right="-1"/>
        <w:jc w:val="center"/>
        <w:outlineLvl w:val="2"/>
        <w:rPr>
          <w:rFonts w:ascii="Century Gothic" w:eastAsia="Times New Roman" w:hAnsi="Century Gothic" w:cs="Arial"/>
          <w:b/>
          <w:bCs/>
          <w:lang w:val="es-ES" w:eastAsia="es-ES"/>
        </w:rPr>
      </w:pPr>
      <w:r w:rsidRPr="003666C1">
        <w:rPr>
          <w:rFonts w:ascii="Century Gothic" w:eastAsia="Times New Roman" w:hAnsi="Century Gothic" w:cs="Arial"/>
          <w:b/>
          <w:bCs/>
          <w:lang w:val="es-ES" w:eastAsia="es-ES"/>
        </w:rPr>
        <w:t>I. ANTECEDENTES</w:t>
      </w:r>
    </w:p>
    <w:p w:rsidR="00816604" w:rsidRPr="003666C1" w:rsidRDefault="00816604" w:rsidP="00816604">
      <w:pPr>
        <w:pStyle w:val="Sinespaciado"/>
        <w:rPr>
          <w:lang w:val="es-ES" w:eastAsia="es-ES"/>
        </w:rPr>
      </w:pPr>
    </w:p>
    <w:p w:rsidR="00816604" w:rsidRPr="003666C1" w:rsidRDefault="00816604" w:rsidP="00816604">
      <w:pPr>
        <w:spacing w:line="360" w:lineRule="auto"/>
        <w:jc w:val="both"/>
        <w:rPr>
          <w:rFonts w:ascii="Century Gothic" w:eastAsia="Times New Roman" w:hAnsi="Century Gothic" w:cs="Arial"/>
          <w:bCs/>
          <w:lang w:val="es-ES" w:eastAsia="es-ES"/>
        </w:rPr>
      </w:pPr>
      <w:r w:rsidRPr="003666C1">
        <w:rPr>
          <w:rFonts w:ascii="Century Gothic" w:eastAsia="Times New Roman" w:hAnsi="Century Gothic" w:cs="Arial"/>
          <w:b/>
          <w:bCs/>
          <w:lang w:val="es-ES" w:eastAsia="es-ES"/>
        </w:rPr>
        <w:t xml:space="preserve">1.- La demanda.- </w:t>
      </w:r>
    </w:p>
    <w:p w:rsidR="00816604" w:rsidRPr="003666C1" w:rsidRDefault="00816604" w:rsidP="00816604">
      <w:pPr>
        <w:rPr>
          <w:lang w:val="es-ES" w:eastAsia="es-ES"/>
        </w:rPr>
      </w:pPr>
    </w:p>
    <w:p w:rsidR="00816604" w:rsidRDefault="00816604" w:rsidP="00816604">
      <w:pPr>
        <w:spacing w:line="360" w:lineRule="auto"/>
        <w:jc w:val="both"/>
        <w:rPr>
          <w:rFonts w:ascii="Century Gothic" w:eastAsia="Times New Roman" w:hAnsi="Century Gothic" w:cs="Arial"/>
          <w:bCs/>
          <w:lang w:val="es-ES" w:eastAsia="es-ES"/>
        </w:rPr>
      </w:pPr>
      <w:r w:rsidRPr="003666C1">
        <w:rPr>
          <w:rFonts w:ascii="Century Gothic" w:eastAsia="Times New Roman" w:hAnsi="Century Gothic" w:cs="Arial"/>
          <w:bCs/>
          <w:lang w:val="es-ES" w:eastAsia="es-ES"/>
        </w:rPr>
        <w:t xml:space="preserve">Mediante escrito radicado el </w:t>
      </w:r>
      <w:r>
        <w:rPr>
          <w:rFonts w:ascii="Century Gothic" w:eastAsia="Times New Roman" w:hAnsi="Century Gothic" w:cs="Arial"/>
          <w:bCs/>
          <w:lang w:val="es-ES" w:eastAsia="es-ES"/>
        </w:rPr>
        <w:t>15</w:t>
      </w:r>
      <w:r w:rsidRPr="003666C1">
        <w:rPr>
          <w:rFonts w:ascii="Century Gothic" w:eastAsia="Times New Roman" w:hAnsi="Century Gothic" w:cs="Arial"/>
          <w:bCs/>
          <w:lang w:val="es-ES" w:eastAsia="es-ES"/>
        </w:rPr>
        <w:t xml:space="preserve"> de </w:t>
      </w:r>
      <w:r>
        <w:rPr>
          <w:rFonts w:ascii="Century Gothic" w:eastAsia="Times New Roman" w:hAnsi="Century Gothic" w:cs="Arial"/>
          <w:bCs/>
          <w:lang w:val="es-ES" w:eastAsia="es-ES"/>
        </w:rPr>
        <w:t>enero</w:t>
      </w:r>
      <w:r w:rsidRPr="003666C1">
        <w:rPr>
          <w:rFonts w:ascii="Century Gothic" w:eastAsia="Times New Roman" w:hAnsi="Century Gothic" w:cs="Arial"/>
          <w:bCs/>
          <w:lang w:val="es-ES" w:eastAsia="es-ES"/>
        </w:rPr>
        <w:t xml:space="preserve"> de </w:t>
      </w:r>
      <w:r>
        <w:rPr>
          <w:rFonts w:ascii="Century Gothic" w:eastAsia="Times New Roman" w:hAnsi="Century Gothic" w:cs="Arial"/>
          <w:bCs/>
          <w:lang w:val="es-ES" w:eastAsia="es-ES"/>
        </w:rPr>
        <w:t>2001</w:t>
      </w:r>
      <w:r w:rsidRPr="003666C1">
        <w:rPr>
          <w:rFonts w:ascii="Century Gothic" w:eastAsia="Times New Roman" w:hAnsi="Century Gothic" w:cs="Arial"/>
          <w:bCs/>
          <w:lang w:val="es-ES" w:eastAsia="es-ES"/>
        </w:rPr>
        <w:t xml:space="preserve"> </w:t>
      </w:r>
      <w:r>
        <w:rPr>
          <w:rFonts w:ascii="Century Gothic" w:eastAsia="Times New Roman" w:hAnsi="Century Gothic" w:cs="Arial"/>
          <w:bCs/>
          <w:lang w:val="es-ES" w:eastAsia="es-ES"/>
        </w:rPr>
        <w:t xml:space="preserve">en </w:t>
      </w:r>
      <w:r w:rsidRPr="003666C1">
        <w:rPr>
          <w:rFonts w:ascii="Century Gothic" w:eastAsia="Times New Roman" w:hAnsi="Century Gothic" w:cs="Arial"/>
          <w:bCs/>
          <w:lang w:val="es-ES" w:eastAsia="es-ES"/>
        </w:rPr>
        <w:t>el Tribunal Administrativo de</w:t>
      </w:r>
      <w:r>
        <w:rPr>
          <w:rFonts w:ascii="Century Gothic" w:eastAsia="Times New Roman" w:hAnsi="Century Gothic" w:cs="Arial"/>
          <w:bCs/>
          <w:lang w:val="es-ES" w:eastAsia="es-ES"/>
        </w:rPr>
        <w:t>l Valle del Cauca</w:t>
      </w:r>
      <w:r w:rsidRPr="003666C1">
        <w:rPr>
          <w:rFonts w:ascii="Century Gothic" w:eastAsia="Times New Roman" w:hAnsi="Century Gothic" w:cs="Arial"/>
          <w:bCs/>
          <w:lang w:val="es-ES" w:eastAsia="es-ES"/>
        </w:rPr>
        <w:t xml:space="preserve">, </w:t>
      </w:r>
      <w:r>
        <w:rPr>
          <w:rFonts w:ascii="Century Gothic" w:eastAsia="Times New Roman" w:hAnsi="Century Gothic" w:cs="Arial"/>
          <w:bCs/>
          <w:lang w:val="es-ES" w:eastAsia="es-ES"/>
        </w:rPr>
        <w:t>la sociedad Consultores de Negocios S.A.</w:t>
      </w:r>
      <w:r w:rsidRPr="003666C1">
        <w:rPr>
          <w:rFonts w:ascii="Century Gothic" w:eastAsia="Times New Roman" w:hAnsi="Century Gothic" w:cs="Arial"/>
          <w:bCs/>
          <w:lang w:val="es-ES" w:eastAsia="es-ES"/>
        </w:rPr>
        <w:t xml:space="preserve"> formuló demanda, por conducto de apoderado judicial y en ejercicio de la acción contractual, contra </w:t>
      </w:r>
      <w:r>
        <w:rPr>
          <w:rFonts w:ascii="Century Gothic" w:eastAsia="Times New Roman" w:hAnsi="Century Gothic" w:cs="Arial"/>
          <w:bCs/>
          <w:lang w:val="es-ES" w:eastAsia="es-ES"/>
        </w:rPr>
        <w:t xml:space="preserve">las </w:t>
      </w:r>
      <w:r>
        <w:rPr>
          <w:rFonts w:ascii="Century Gothic" w:hAnsi="Century Gothic" w:cs="Tahoma"/>
          <w:color w:val="000000"/>
          <w:lang w:val="es-ES_tradnl" w:eastAsia="es-ES"/>
        </w:rPr>
        <w:t>Empresas Municipales de Cali -EMCALI E.I.C.E-</w:t>
      </w:r>
      <w:r w:rsidRPr="003666C1">
        <w:rPr>
          <w:rFonts w:ascii="Century Gothic" w:eastAsia="Times New Roman" w:hAnsi="Century Gothic" w:cs="Arial"/>
          <w:bCs/>
          <w:lang w:val="es-ES" w:eastAsia="es-ES"/>
        </w:rPr>
        <w:t>, con el fin de que se</w:t>
      </w:r>
      <w:r>
        <w:rPr>
          <w:rFonts w:ascii="Century Gothic" w:eastAsia="Times New Roman" w:hAnsi="Century Gothic" w:cs="Arial"/>
          <w:bCs/>
          <w:lang w:val="es-ES" w:eastAsia="es-ES"/>
        </w:rPr>
        <w:t xml:space="preserve"> </w:t>
      </w:r>
      <w:r w:rsidRPr="003666C1">
        <w:rPr>
          <w:rFonts w:ascii="Century Gothic" w:eastAsia="Times New Roman" w:hAnsi="Century Gothic" w:cs="Arial"/>
          <w:bCs/>
          <w:lang w:val="es-ES" w:eastAsia="es-ES"/>
        </w:rPr>
        <w:t xml:space="preserve">declarara </w:t>
      </w:r>
      <w:r>
        <w:rPr>
          <w:rFonts w:ascii="Century Gothic" w:eastAsia="Times New Roman" w:hAnsi="Century Gothic" w:cs="Arial"/>
          <w:bCs/>
          <w:lang w:val="es-ES" w:eastAsia="es-ES"/>
        </w:rPr>
        <w:t>la nulidad del acuerdo contenido en el acta de liquidación del contrato 2500-GCE-084-99, documento en el que la demandante dejó salvedad diciendo que “se reserva el derecho de reclamar”.</w:t>
      </w:r>
    </w:p>
    <w:p w:rsidR="00816604" w:rsidRDefault="00816604" w:rsidP="00816604">
      <w:pPr>
        <w:rPr>
          <w:lang w:val="es-ES" w:eastAsia="es-ES"/>
        </w:rPr>
      </w:pPr>
    </w:p>
    <w:p w:rsidR="00816604" w:rsidRDefault="00816604" w:rsidP="00816604">
      <w:pPr>
        <w:spacing w:line="360" w:lineRule="auto"/>
        <w:jc w:val="both"/>
        <w:rPr>
          <w:rFonts w:ascii="Century Gothic" w:eastAsia="Times New Roman" w:hAnsi="Century Gothic" w:cs="Arial"/>
          <w:bCs/>
          <w:lang w:val="es-ES" w:eastAsia="es-ES"/>
        </w:rPr>
      </w:pPr>
      <w:r>
        <w:rPr>
          <w:rFonts w:ascii="Century Gothic" w:eastAsia="Times New Roman" w:hAnsi="Century Gothic" w:cs="Arial"/>
          <w:bCs/>
          <w:lang w:val="es-ES" w:eastAsia="es-ES"/>
        </w:rPr>
        <w:t>Adicional a ello, solicitó que se declare a EMCALI patrimonial y contractualmente responsable “en razón de los hechos, las actuaciones, las abstenciones y las omisiones antijurídicas que desequilibraron financieramente e impidieron la ejecución y el cumplimiento” del mencionado contrato.</w:t>
      </w:r>
    </w:p>
    <w:p w:rsidR="00816604" w:rsidRDefault="00816604" w:rsidP="00816604">
      <w:pPr>
        <w:pStyle w:val="Sinespaciado"/>
        <w:rPr>
          <w:lang w:val="es-ES" w:eastAsia="es-ES"/>
        </w:rPr>
      </w:pPr>
    </w:p>
    <w:p w:rsidR="00816604" w:rsidRDefault="00816604" w:rsidP="00816604">
      <w:pPr>
        <w:spacing w:line="360" w:lineRule="auto"/>
        <w:jc w:val="both"/>
        <w:rPr>
          <w:rFonts w:ascii="Century Gothic" w:hAnsi="Century Gothic" w:cs="Arial"/>
        </w:rPr>
      </w:pPr>
      <w:r w:rsidRPr="00263960">
        <w:rPr>
          <w:rFonts w:ascii="Century Gothic" w:eastAsia="Times New Roman" w:hAnsi="Century Gothic" w:cs="Arial"/>
          <w:bCs/>
          <w:lang w:val="es-ES" w:eastAsia="es-ES"/>
        </w:rPr>
        <w:t xml:space="preserve">A </w:t>
      </w:r>
      <w:r w:rsidRPr="00263960">
        <w:rPr>
          <w:rFonts w:ascii="Century Gothic" w:hAnsi="Century Gothic" w:cs="Arial"/>
        </w:rPr>
        <w:t>título de restablecimiento del derecho, solicitó que se condenara al pago de $6.875’113.092.oo, por perjuicios materiales en la modalidad de daño emergente y lucro cesante.</w:t>
      </w:r>
    </w:p>
    <w:p w:rsidR="00816604" w:rsidRDefault="00816604" w:rsidP="00816604">
      <w:pPr>
        <w:spacing w:line="360" w:lineRule="auto"/>
        <w:jc w:val="both"/>
        <w:rPr>
          <w:rFonts w:ascii="Century Gothic" w:eastAsia="Times New Roman" w:hAnsi="Century Gothic" w:cs="Arial"/>
          <w:b/>
          <w:bCs/>
          <w:lang w:val="es-ES" w:eastAsia="es-ES"/>
        </w:rPr>
      </w:pPr>
    </w:p>
    <w:p w:rsidR="00816604" w:rsidRPr="003666C1" w:rsidRDefault="00816604" w:rsidP="00816604">
      <w:pPr>
        <w:spacing w:line="360" w:lineRule="auto"/>
        <w:jc w:val="both"/>
        <w:rPr>
          <w:rFonts w:ascii="Century Gothic" w:eastAsia="Times New Roman" w:hAnsi="Century Gothic" w:cs="Arial"/>
          <w:b/>
          <w:bCs/>
          <w:lang w:val="es-ES" w:eastAsia="es-ES"/>
        </w:rPr>
      </w:pPr>
      <w:r w:rsidRPr="003666C1">
        <w:rPr>
          <w:rFonts w:ascii="Century Gothic" w:eastAsia="Times New Roman" w:hAnsi="Century Gothic" w:cs="Arial"/>
          <w:b/>
          <w:bCs/>
          <w:lang w:val="es-ES" w:eastAsia="es-ES"/>
        </w:rPr>
        <w:t>2.- Hechos.-</w:t>
      </w:r>
    </w:p>
    <w:p w:rsidR="00816604" w:rsidRPr="003666C1" w:rsidRDefault="00816604" w:rsidP="00816604">
      <w:pPr>
        <w:rPr>
          <w:lang w:val="es-ES" w:eastAsia="es-ES"/>
        </w:rPr>
      </w:pPr>
    </w:p>
    <w:p w:rsidR="00816604" w:rsidRPr="003666C1" w:rsidRDefault="00816604" w:rsidP="00816604">
      <w:pPr>
        <w:spacing w:line="360" w:lineRule="auto"/>
        <w:jc w:val="both"/>
        <w:rPr>
          <w:rFonts w:ascii="Century Gothic" w:eastAsia="Times New Roman" w:hAnsi="Century Gothic" w:cs="Arial"/>
          <w:bCs/>
          <w:lang w:val="es-ES" w:eastAsia="es-ES"/>
        </w:rPr>
      </w:pPr>
      <w:r w:rsidRPr="003666C1">
        <w:rPr>
          <w:rFonts w:ascii="Century Gothic" w:eastAsia="Times New Roman" w:hAnsi="Century Gothic" w:cs="Arial"/>
          <w:bCs/>
          <w:lang w:val="es-ES" w:eastAsia="es-ES"/>
        </w:rPr>
        <w:t>Los fundamentos fácticos de las pretensiones son, en síntesis, los siguientes:</w:t>
      </w:r>
    </w:p>
    <w:p w:rsidR="00816604" w:rsidRPr="003666C1" w:rsidRDefault="00816604" w:rsidP="00816604">
      <w:pPr>
        <w:rPr>
          <w:lang w:val="es-ES" w:eastAsia="es-ES"/>
        </w:rPr>
      </w:pPr>
    </w:p>
    <w:p w:rsidR="00816604" w:rsidRPr="000C2575" w:rsidRDefault="00816604" w:rsidP="00816604">
      <w:pPr>
        <w:spacing w:line="360" w:lineRule="auto"/>
        <w:jc w:val="both"/>
        <w:rPr>
          <w:rFonts w:ascii="Century Gothic" w:eastAsia="Times New Roman" w:hAnsi="Century Gothic" w:cs="Arial"/>
          <w:bCs/>
          <w:lang w:val="es-ES" w:eastAsia="es-ES"/>
        </w:rPr>
      </w:pPr>
      <w:r w:rsidRPr="000C2575">
        <w:rPr>
          <w:rFonts w:ascii="Century Gothic" w:eastAsia="Times New Roman" w:hAnsi="Century Gothic" w:cs="Arial"/>
          <w:b/>
          <w:bCs/>
          <w:lang w:val="es-ES" w:eastAsia="es-ES"/>
        </w:rPr>
        <w:lastRenderedPageBreak/>
        <w:t>2.1.-</w:t>
      </w:r>
      <w:r w:rsidRPr="000C2575">
        <w:rPr>
          <w:rFonts w:ascii="Century Gothic" w:eastAsia="Times New Roman" w:hAnsi="Century Gothic" w:cs="Arial"/>
          <w:bCs/>
          <w:lang w:val="es-ES" w:eastAsia="es-ES"/>
        </w:rPr>
        <w:t xml:space="preserve"> En mayo de 1999 se celebró</w:t>
      </w:r>
      <w:r>
        <w:rPr>
          <w:rFonts w:ascii="Century Gothic" w:eastAsia="Times New Roman" w:hAnsi="Century Gothic" w:cs="Arial"/>
          <w:bCs/>
          <w:lang w:val="es-ES" w:eastAsia="es-ES"/>
        </w:rPr>
        <w:t>,</w:t>
      </w:r>
      <w:r w:rsidRPr="000C2575">
        <w:rPr>
          <w:rFonts w:ascii="Century Gothic" w:eastAsia="Times New Roman" w:hAnsi="Century Gothic" w:cs="Arial"/>
          <w:bCs/>
          <w:lang w:val="es-ES" w:eastAsia="es-ES"/>
        </w:rPr>
        <w:t xml:space="preserve"> entre Consultores de Negocios S.A. y </w:t>
      </w:r>
      <w:r w:rsidRPr="000C2575">
        <w:rPr>
          <w:rFonts w:ascii="Century Gothic" w:hAnsi="Century Gothic" w:cs="Tahoma"/>
          <w:color w:val="000000"/>
          <w:lang w:val="es-ES_tradnl" w:eastAsia="es-ES"/>
        </w:rPr>
        <w:t>Empresas Municipales de Cali -EMCALI E.I.C.E-</w:t>
      </w:r>
      <w:r>
        <w:rPr>
          <w:rFonts w:ascii="Century Gothic" w:hAnsi="Century Gothic" w:cs="Tahoma"/>
          <w:color w:val="000000"/>
          <w:lang w:val="es-ES_tradnl" w:eastAsia="es-ES"/>
        </w:rPr>
        <w:t>,</w:t>
      </w:r>
      <w:r w:rsidRPr="000C2575">
        <w:rPr>
          <w:rFonts w:ascii="Century Gothic" w:hAnsi="Century Gothic" w:cs="Tahoma"/>
          <w:color w:val="000000"/>
          <w:lang w:val="es-ES_tradnl" w:eastAsia="es-ES"/>
        </w:rPr>
        <w:t xml:space="preserve"> el contrato de prestación de servicios 2500-GCE-084-99</w:t>
      </w:r>
      <w:r w:rsidRPr="000C2575">
        <w:rPr>
          <w:rFonts w:ascii="Century Gothic" w:hAnsi="Century Gothic"/>
          <w:color w:val="000000"/>
          <w:vertAlign w:val="superscript"/>
          <w:lang w:val="es-ES_tradnl" w:eastAsia="es-ES"/>
        </w:rPr>
        <w:footnoteReference w:id="1"/>
      </w:r>
      <w:r w:rsidRPr="000C2575">
        <w:rPr>
          <w:rFonts w:ascii="Century Gothic" w:hAnsi="Century Gothic" w:cs="Tahoma"/>
          <w:color w:val="000000"/>
          <w:lang w:val="es-ES_tradnl" w:eastAsia="es-ES"/>
        </w:rPr>
        <w:t>, en el que la contratista se comprometió</w:t>
      </w:r>
      <w:r w:rsidRPr="001A4E75">
        <w:rPr>
          <w:rFonts w:ascii="Century Gothic" w:hAnsi="Century Gothic" w:cs="Tahoma"/>
          <w:color w:val="000000"/>
          <w:lang w:val="es-ES_tradnl" w:eastAsia="es-ES"/>
        </w:rPr>
        <w:t xml:space="preserve"> </w:t>
      </w:r>
      <w:r w:rsidRPr="000C2575">
        <w:rPr>
          <w:rFonts w:ascii="Century Gothic" w:hAnsi="Century Gothic" w:cs="Tahoma"/>
          <w:color w:val="000000"/>
          <w:lang w:val="es-ES_tradnl" w:eastAsia="es-ES"/>
        </w:rPr>
        <w:t>a suministrar a título gratuito</w:t>
      </w:r>
      <w:r>
        <w:rPr>
          <w:rFonts w:ascii="Century Gothic" w:hAnsi="Century Gothic" w:cs="Tahoma"/>
          <w:color w:val="000000"/>
          <w:lang w:val="es-ES_tradnl" w:eastAsia="es-ES"/>
        </w:rPr>
        <w:t>,  por el</w:t>
      </w:r>
      <w:r w:rsidRPr="000C2575">
        <w:rPr>
          <w:rFonts w:ascii="Century Gothic" w:hAnsi="Century Gothic" w:cs="Tahoma"/>
          <w:color w:val="000000"/>
          <w:lang w:val="es-ES_tradnl" w:eastAsia="es-ES"/>
        </w:rPr>
        <w:t xml:space="preserve"> término de 5 años</w:t>
      </w:r>
      <w:r>
        <w:rPr>
          <w:rFonts w:ascii="Century Gothic" w:hAnsi="Century Gothic" w:cs="Tahoma"/>
          <w:color w:val="000000"/>
          <w:lang w:val="es-ES_tradnl" w:eastAsia="es-ES"/>
        </w:rPr>
        <w:t>,</w:t>
      </w:r>
      <w:r w:rsidRPr="000C2575">
        <w:rPr>
          <w:rFonts w:ascii="Century Gothic" w:hAnsi="Century Gothic" w:cs="Tahoma"/>
          <w:color w:val="000000"/>
          <w:lang w:val="es-ES_tradnl" w:eastAsia="es-ES"/>
        </w:rPr>
        <w:t xml:space="preserve"> el papel en el que se imprimirían las facturas de los servicios públicos a cargo de la demandada y a asumir el 50% del costo de la</w:t>
      </w:r>
      <w:r>
        <w:rPr>
          <w:rFonts w:ascii="Century Gothic" w:hAnsi="Century Gothic" w:cs="Tahoma"/>
          <w:color w:val="000000"/>
          <w:lang w:val="es-ES_tradnl" w:eastAsia="es-ES"/>
        </w:rPr>
        <w:t xml:space="preserve"> distribución de la facturación. C</w:t>
      </w:r>
      <w:r w:rsidRPr="000C2575">
        <w:rPr>
          <w:rFonts w:ascii="Century Gothic" w:hAnsi="Century Gothic" w:cs="Tahoma"/>
          <w:color w:val="000000"/>
          <w:lang w:val="es-ES_tradnl" w:eastAsia="es-ES"/>
        </w:rPr>
        <w:t>omo contraprestación, la contratista podría vender espacios de publicidad al respaldo de las mencionadas facturas.</w:t>
      </w:r>
    </w:p>
    <w:p w:rsidR="00816604" w:rsidRPr="000C2575" w:rsidRDefault="00816604" w:rsidP="00816604">
      <w:pPr>
        <w:rPr>
          <w:lang w:val="es-ES" w:eastAsia="es-ES"/>
        </w:rPr>
      </w:pPr>
    </w:p>
    <w:p w:rsidR="00816604" w:rsidRPr="000C2575" w:rsidRDefault="00816604" w:rsidP="00816604">
      <w:pPr>
        <w:spacing w:line="360" w:lineRule="auto"/>
        <w:jc w:val="both"/>
        <w:rPr>
          <w:rFonts w:ascii="Century Gothic" w:eastAsia="Times New Roman" w:hAnsi="Century Gothic" w:cs="Arial"/>
          <w:bCs/>
          <w:lang w:val="es-ES" w:eastAsia="es-ES"/>
        </w:rPr>
      </w:pPr>
      <w:r w:rsidRPr="000C2575">
        <w:rPr>
          <w:rFonts w:ascii="Century Gothic" w:eastAsia="Times New Roman" w:hAnsi="Century Gothic" w:cs="Arial"/>
          <w:b/>
          <w:bCs/>
          <w:lang w:val="es-ES" w:eastAsia="es-ES"/>
        </w:rPr>
        <w:t>2.2.-</w:t>
      </w:r>
      <w:r w:rsidRPr="000C2575">
        <w:rPr>
          <w:rFonts w:ascii="Century Gothic" w:eastAsia="Times New Roman" w:hAnsi="Century Gothic" w:cs="Arial"/>
          <w:bCs/>
          <w:lang w:val="es-ES" w:eastAsia="es-ES"/>
        </w:rPr>
        <w:t xml:space="preserve"> Desde el inicio del contrato, EMCALI, con la falta de coordinación entre sus diferentes dependencias, entorpeció el cumplimiento del objeto contractual, por lo que </w:t>
      </w:r>
      <w:r>
        <w:rPr>
          <w:rFonts w:ascii="Century Gothic" w:eastAsia="Times New Roman" w:hAnsi="Century Gothic" w:cs="Arial"/>
          <w:bCs/>
          <w:lang w:val="es-ES" w:eastAsia="es-ES"/>
        </w:rPr>
        <w:t xml:space="preserve">éste </w:t>
      </w:r>
      <w:r w:rsidRPr="000C2575">
        <w:rPr>
          <w:rFonts w:ascii="Century Gothic" w:eastAsia="Times New Roman" w:hAnsi="Century Gothic" w:cs="Arial"/>
          <w:bCs/>
          <w:lang w:val="es-ES" w:eastAsia="es-ES"/>
        </w:rPr>
        <w:t>nunca pudo tener un desarrollo normal.</w:t>
      </w:r>
    </w:p>
    <w:p w:rsidR="00816604" w:rsidRPr="000C2575" w:rsidRDefault="00816604" w:rsidP="00816604">
      <w:pPr>
        <w:rPr>
          <w:lang w:val="es-ES" w:eastAsia="es-ES"/>
        </w:rPr>
      </w:pPr>
    </w:p>
    <w:p w:rsidR="00816604" w:rsidRPr="000C2575" w:rsidRDefault="00816604" w:rsidP="00816604">
      <w:pPr>
        <w:spacing w:line="360" w:lineRule="auto"/>
        <w:jc w:val="both"/>
        <w:rPr>
          <w:rFonts w:ascii="Century Gothic" w:eastAsia="Times New Roman" w:hAnsi="Century Gothic" w:cs="Arial"/>
          <w:bCs/>
          <w:lang w:val="es-ES" w:eastAsia="es-ES"/>
        </w:rPr>
      </w:pPr>
      <w:r w:rsidRPr="000C2575">
        <w:rPr>
          <w:rFonts w:ascii="Century Gothic" w:eastAsia="Times New Roman" w:hAnsi="Century Gothic" w:cs="Arial"/>
          <w:b/>
          <w:bCs/>
          <w:lang w:val="es-ES" w:eastAsia="es-ES"/>
        </w:rPr>
        <w:t>2.3.-</w:t>
      </w:r>
      <w:r w:rsidRPr="000C2575">
        <w:rPr>
          <w:rFonts w:ascii="Century Gothic" w:eastAsia="Times New Roman" w:hAnsi="Century Gothic" w:cs="Arial"/>
          <w:bCs/>
          <w:lang w:val="es-ES" w:eastAsia="es-ES"/>
        </w:rPr>
        <w:t xml:space="preserve"> Teniendo en cuenta esos inconveni</w:t>
      </w:r>
      <w:r>
        <w:rPr>
          <w:rFonts w:ascii="Century Gothic" w:eastAsia="Times New Roman" w:hAnsi="Century Gothic" w:cs="Arial"/>
          <w:bCs/>
          <w:lang w:val="es-ES" w:eastAsia="es-ES"/>
        </w:rPr>
        <w:t>entes, el 11 de octubre de 1999</w:t>
      </w:r>
      <w:r w:rsidRPr="000C2575">
        <w:rPr>
          <w:rFonts w:ascii="Century Gothic" w:eastAsia="Times New Roman" w:hAnsi="Century Gothic" w:cs="Arial"/>
          <w:bCs/>
          <w:lang w:val="es-ES" w:eastAsia="es-ES"/>
        </w:rPr>
        <w:t xml:space="preserve"> el contratista presentó una petición de reconocimiento e indemnización de costos</w:t>
      </w:r>
      <w:r>
        <w:rPr>
          <w:rFonts w:ascii="Century Gothic" w:eastAsia="Times New Roman" w:hAnsi="Century Gothic" w:cs="Arial"/>
          <w:bCs/>
          <w:lang w:val="es-ES" w:eastAsia="es-ES"/>
        </w:rPr>
        <w:t>, dirigida al Gerente G</w:t>
      </w:r>
      <w:r w:rsidRPr="000C2575">
        <w:rPr>
          <w:rFonts w:ascii="Century Gothic" w:eastAsia="Times New Roman" w:hAnsi="Century Gothic" w:cs="Arial"/>
          <w:bCs/>
          <w:lang w:val="es-ES" w:eastAsia="es-ES"/>
        </w:rPr>
        <w:t>eneral de EMCALI</w:t>
      </w:r>
      <w:r>
        <w:rPr>
          <w:rFonts w:ascii="Century Gothic" w:eastAsia="Times New Roman" w:hAnsi="Century Gothic" w:cs="Arial"/>
          <w:bCs/>
          <w:lang w:val="es-ES" w:eastAsia="es-ES"/>
        </w:rPr>
        <w:t>,</w:t>
      </w:r>
      <w:r w:rsidRPr="000C2575">
        <w:rPr>
          <w:rFonts w:ascii="Century Gothic" w:eastAsia="Times New Roman" w:hAnsi="Century Gothic" w:cs="Arial"/>
          <w:bCs/>
          <w:lang w:val="es-ES" w:eastAsia="es-ES"/>
        </w:rPr>
        <w:t xml:space="preserve"> con el fin de obtener un pronunciamiento por parte de la entidad sobre las situaciones que estaban afectando el contrato y obtener una reparación en los siguientes términos: i) que se declare la suspensión temporal del contrato, ii) que se reconozca y pague a favor de Consultores de Negocios S.A.</w:t>
      </w:r>
      <w:r>
        <w:rPr>
          <w:rFonts w:ascii="Century Gothic" w:eastAsia="Times New Roman" w:hAnsi="Century Gothic" w:cs="Arial"/>
          <w:bCs/>
          <w:lang w:val="es-ES" w:eastAsia="es-ES"/>
        </w:rPr>
        <w:t xml:space="preserve"> la suma de</w:t>
      </w:r>
      <w:r w:rsidRPr="000C2575">
        <w:rPr>
          <w:rFonts w:ascii="Century Gothic" w:eastAsia="Times New Roman" w:hAnsi="Century Gothic" w:cs="Arial"/>
          <w:bCs/>
          <w:lang w:val="es-ES" w:eastAsia="es-ES"/>
        </w:rPr>
        <w:t xml:space="preserve"> $720’708.930, a título de indemnización de perjuicios  y iii) una vez cancelada l</w:t>
      </w:r>
      <w:r>
        <w:rPr>
          <w:rFonts w:ascii="Century Gothic" w:eastAsia="Times New Roman" w:hAnsi="Century Gothic" w:cs="Arial"/>
          <w:bCs/>
          <w:lang w:val="es-ES" w:eastAsia="es-ES"/>
        </w:rPr>
        <w:t xml:space="preserve">a indemnización, que se continúe </w:t>
      </w:r>
      <w:r w:rsidRPr="000C2575">
        <w:rPr>
          <w:rFonts w:ascii="Century Gothic" w:eastAsia="Times New Roman" w:hAnsi="Century Gothic" w:cs="Arial"/>
          <w:bCs/>
          <w:lang w:val="es-ES" w:eastAsia="es-ES"/>
        </w:rPr>
        <w:t>con el contrato.</w:t>
      </w:r>
    </w:p>
    <w:p w:rsidR="00816604" w:rsidRPr="000C2575" w:rsidRDefault="00816604" w:rsidP="00816604">
      <w:pPr>
        <w:rPr>
          <w:lang w:val="es-ES" w:eastAsia="es-ES"/>
        </w:rPr>
      </w:pPr>
    </w:p>
    <w:p w:rsidR="00816604" w:rsidRPr="000C2575" w:rsidRDefault="00816604" w:rsidP="00816604">
      <w:pPr>
        <w:spacing w:line="360" w:lineRule="auto"/>
        <w:jc w:val="both"/>
        <w:rPr>
          <w:rFonts w:ascii="Century Gothic" w:eastAsia="Times New Roman" w:hAnsi="Century Gothic" w:cs="Arial"/>
          <w:bCs/>
          <w:lang w:val="es-ES" w:eastAsia="es-ES"/>
        </w:rPr>
      </w:pPr>
      <w:r w:rsidRPr="000C2575">
        <w:rPr>
          <w:rFonts w:ascii="Century Gothic" w:eastAsia="Times New Roman" w:hAnsi="Century Gothic" w:cs="Arial"/>
          <w:b/>
          <w:bCs/>
          <w:lang w:val="es-ES" w:eastAsia="es-ES"/>
        </w:rPr>
        <w:t xml:space="preserve">2.4.- </w:t>
      </w:r>
      <w:r w:rsidRPr="000C2575">
        <w:rPr>
          <w:rFonts w:ascii="Century Gothic" w:eastAsia="Times New Roman" w:hAnsi="Century Gothic" w:cs="Arial"/>
          <w:bCs/>
          <w:lang w:val="es-ES" w:eastAsia="es-ES"/>
        </w:rPr>
        <w:t>El 4 de enero de 2000, EMCALI contestó la petición manifestando que ésta no tenía ningún fundamento y</w:t>
      </w:r>
      <w:r>
        <w:rPr>
          <w:rFonts w:ascii="Century Gothic" w:eastAsia="Times New Roman" w:hAnsi="Century Gothic" w:cs="Arial"/>
          <w:bCs/>
          <w:lang w:val="es-ES" w:eastAsia="es-ES"/>
        </w:rPr>
        <w:t>,</w:t>
      </w:r>
      <w:r w:rsidRPr="000C2575">
        <w:rPr>
          <w:rFonts w:ascii="Century Gothic" w:eastAsia="Times New Roman" w:hAnsi="Century Gothic" w:cs="Arial"/>
          <w:bCs/>
          <w:lang w:val="es-ES" w:eastAsia="es-ES"/>
        </w:rPr>
        <w:t xml:space="preserve"> por lo tanto</w:t>
      </w:r>
      <w:r>
        <w:rPr>
          <w:rFonts w:ascii="Century Gothic" w:eastAsia="Times New Roman" w:hAnsi="Century Gothic" w:cs="Arial"/>
          <w:bCs/>
          <w:lang w:val="es-ES" w:eastAsia="es-ES"/>
        </w:rPr>
        <w:t>,</w:t>
      </w:r>
      <w:r w:rsidRPr="000C2575">
        <w:rPr>
          <w:rFonts w:ascii="Century Gothic" w:eastAsia="Times New Roman" w:hAnsi="Century Gothic" w:cs="Arial"/>
          <w:bCs/>
          <w:lang w:val="es-ES" w:eastAsia="es-ES"/>
        </w:rPr>
        <w:t xml:space="preserve"> fue rechazada.</w:t>
      </w:r>
    </w:p>
    <w:p w:rsidR="00816604" w:rsidRPr="000C2575" w:rsidRDefault="00816604" w:rsidP="00816604">
      <w:pPr>
        <w:spacing w:line="360" w:lineRule="auto"/>
        <w:jc w:val="both"/>
        <w:rPr>
          <w:rFonts w:ascii="Century Gothic" w:eastAsia="Times New Roman" w:hAnsi="Century Gothic" w:cs="Arial"/>
          <w:bCs/>
          <w:lang w:val="es-ES" w:eastAsia="es-ES"/>
        </w:rPr>
      </w:pPr>
    </w:p>
    <w:p w:rsidR="00816604" w:rsidRDefault="00816604" w:rsidP="00816604">
      <w:pPr>
        <w:spacing w:line="360" w:lineRule="auto"/>
        <w:jc w:val="both"/>
        <w:rPr>
          <w:rFonts w:ascii="Century Gothic" w:eastAsia="Times New Roman" w:hAnsi="Century Gothic" w:cs="Arial"/>
          <w:bCs/>
          <w:lang w:val="es-ES" w:eastAsia="es-ES"/>
        </w:rPr>
      </w:pPr>
      <w:r w:rsidRPr="000C2575">
        <w:rPr>
          <w:rFonts w:ascii="Century Gothic" w:eastAsia="Times New Roman" w:hAnsi="Century Gothic" w:cs="Arial"/>
          <w:b/>
          <w:bCs/>
          <w:lang w:val="es-ES" w:eastAsia="es-ES"/>
        </w:rPr>
        <w:t>2.5.-</w:t>
      </w:r>
      <w:r w:rsidRPr="000C2575">
        <w:rPr>
          <w:rFonts w:ascii="Century Gothic" w:eastAsia="Times New Roman" w:hAnsi="Century Gothic" w:cs="Arial"/>
          <w:bCs/>
          <w:lang w:val="es-ES" w:eastAsia="es-ES"/>
        </w:rPr>
        <w:t xml:space="preserve"> Frente a lo anterior, la contratista, a </w:t>
      </w:r>
      <w:r>
        <w:rPr>
          <w:rFonts w:ascii="Century Gothic" w:eastAsia="Times New Roman" w:hAnsi="Century Gothic" w:cs="Arial"/>
          <w:bCs/>
          <w:lang w:val="es-ES" w:eastAsia="es-ES"/>
        </w:rPr>
        <w:t>través de oficios dirigidos al Gerente G</w:t>
      </w:r>
      <w:r w:rsidRPr="000C2575">
        <w:rPr>
          <w:rFonts w:ascii="Century Gothic" w:eastAsia="Times New Roman" w:hAnsi="Century Gothic" w:cs="Arial"/>
          <w:bCs/>
          <w:lang w:val="es-ES" w:eastAsia="es-ES"/>
        </w:rPr>
        <w:t xml:space="preserve">eneral de EMCALI, </w:t>
      </w:r>
      <w:r>
        <w:rPr>
          <w:rFonts w:ascii="Century Gothic" w:eastAsia="Times New Roman" w:hAnsi="Century Gothic" w:cs="Arial"/>
          <w:bCs/>
          <w:lang w:val="es-ES" w:eastAsia="es-ES"/>
        </w:rPr>
        <w:t xml:space="preserve">solicitó la </w:t>
      </w:r>
      <w:r w:rsidRPr="000C2575">
        <w:rPr>
          <w:rFonts w:ascii="Century Gothic" w:eastAsia="Times New Roman" w:hAnsi="Century Gothic" w:cs="Arial"/>
          <w:bCs/>
          <w:lang w:val="es-ES" w:eastAsia="es-ES"/>
        </w:rPr>
        <w:t>declaratoria de terminación por mutuo acuerdo y liquidación definitiva del contrato, la cual se realizó el 31 de mayo de ese mismo año.</w:t>
      </w:r>
    </w:p>
    <w:p w:rsidR="00816604" w:rsidRDefault="00816604" w:rsidP="00816604">
      <w:pPr>
        <w:rPr>
          <w:lang w:val="es-ES" w:eastAsia="es-ES"/>
        </w:rPr>
      </w:pPr>
    </w:p>
    <w:p w:rsidR="00816604" w:rsidRPr="000C2575" w:rsidRDefault="00816604" w:rsidP="00816604">
      <w:pPr>
        <w:spacing w:line="360" w:lineRule="auto"/>
        <w:jc w:val="both"/>
        <w:rPr>
          <w:rFonts w:ascii="Century Gothic" w:eastAsia="Times New Roman" w:hAnsi="Century Gothic" w:cs="Arial"/>
          <w:bCs/>
          <w:lang w:val="es-ES" w:eastAsia="es-ES"/>
        </w:rPr>
      </w:pPr>
      <w:r w:rsidRPr="000C2575">
        <w:rPr>
          <w:rFonts w:ascii="Century Gothic" w:eastAsia="Times New Roman" w:hAnsi="Century Gothic" w:cs="Arial"/>
          <w:b/>
          <w:bCs/>
          <w:lang w:val="es-ES" w:eastAsia="es-ES"/>
        </w:rPr>
        <w:t xml:space="preserve">2.6.- </w:t>
      </w:r>
      <w:r w:rsidRPr="000C2575">
        <w:rPr>
          <w:rFonts w:ascii="Century Gothic" w:eastAsia="Times New Roman" w:hAnsi="Century Gothic" w:cs="Arial"/>
          <w:bCs/>
          <w:lang w:val="es-ES" w:eastAsia="es-ES"/>
        </w:rPr>
        <w:t>Las partes acordaron realizar una conciliación directa, la cual fracasó por no lograr consenso respecto de los valores a pagar por las mercancías que se alcanzaron a suministrar.</w:t>
      </w:r>
    </w:p>
    <w:p w:rsidR="00816604" w:rsidRPr="000C2575" w:rsidRDefault="00816604" w:rsidP="00816604">
      <w:pPr>
        <w:rPr>
          <w:lang w:val="es-ES" w:eastAsia="es-ES"/>
        </w:rPr>
      </w:pPr>
    </w:p>
    <w:p w:rsidR="00816604" w:rsidRPr="000C2575" w:rsidRDefault="00816604" w:rsidP="00816604">
      <w:pPr>
        <w:spacing w:line="360" w:lineRule="auto"/>
        <w:jc w:val="both"/>
        <w:rPr>
          <w:rFonts w:ascii="Century Gothic" w:eastAsia="Times New Roman" w:hAnsi="Century Gothic" w:cs="Arial"/>
          <w:bCs/>
          <w:lang w:val="es-ES" w:eastAsia="es-ES"/>
        </w:rPr>
      </w:pPr>
      <w:r w:rsidRPr="000C2575">
        <w:rPr>
          <w:rFonts w:ascii="Century Gothic" w:eastAsia="Times New Roman" w:hAnsi="Century Gothic" w:cs="Arial"/>
          <w:b/>
          <w:bCs/>
          <w:lang w:val="es-ES" w:eastAsia="es-ES"/>
        </w:rPr>
        <w:t xml:space="preserve">2.7.- </w:t>
      </w:r>
      <w:r w:rsidRPr="000C2575">
        <w:rPr>
          <w:rFonts w:ascii="Century Gothic" w:eastAsia="Times New Roman" w:hAnsi="Century Gothic" w:cs="Arial"/>
          <w:bCs/>
          <w:lang w:val="es-ES" w:eastAsia="es-ES"/>
        </w:rPr>
        <w:t xml:space="preserve"> Final</w:t>
      </w:r>
      <w:r>
        <w:rPr>
          <w:rFonts w:ascii="Century Gothic" w:eastAsia="Times New Roman" w:hAnsi="Century Gothic" w:cs="Arial"/>
          <w:bCs/>
          <w:lang w:val="es-ES" w:eastAsia="es-ES"/>
        </w:rPr>
        <w:t>mente, el 10 de octubre de 2000 se</w:t>
      </w:r>
      <w:r w:rsidRPr="000C2575">
        <w:rPr>
          <w:rFonts w:ascii="Century Gothic" w:eastAsia="Times New Roman" w:hAnsi="Century Gothic" w:cs="Arial"/>
          <w:bCs/>
          <w:lang w:val="es-ES" w:eastAsia="es-ES"/>
        </w:rPr>
        <w:t xml:space="preserve"> </w:t>
      </w:r>
      <w:r>
        <w:rPr>
          <w:rFonts w:ascii="Century Gothic" w:eastAsia="Times New Roman" w:hAnsi="Century Gothic" w:cs="Arial"/>
          <w:bCs/>
          <w:lang w:val="es-ES" w:eastAsia="es-ES"/>
        </w:rPr>
        <w:t xml:space="preserve">liquidó bilateralmente </w:t>
      </w:r>
      <w:r w:rsidRPr="000C2575">
        <w:rPr>
          <w:rFonts w:ascii="Century Gothic" w:eastAsia="Times New Roman" w:hAnsi="Century Gothic" w:cs="Arial"/>
          <w:bCs/>
          <w:lang w:val="es-ES" w:eastAsia="es-ES"/>
        </w:rPr>
        <w:t>el contrato y se pactó que EMCALI pagaría a favor de Consultores de Negocios S.A. $48.894.832, por concepto de las facturas que fueron suministradas dentro de la ejecución del contrato. En ese mismo escrito, la contratista expresó “que se reserva el derecho de reclamar sobre la presente liquidación”.</w:t>
      </w:r>
    </w:p>
    <w:p w:rsidR="00816604" w:rsidRPr="00C91171" w:rsidRDefault="00816604" w:rsidP="00816604">
      <w:pPr>
        <w:spacing w:line="360" w:lineRule="auto"/>
        <w:jc w:val="both"/>
        <w:rPr>
          <w:rFonts w:ascii="Century Gothic" w:eastAsia="Times New Roman" w:hAnsi="Century Gothic" w:cs="Arial"/>
          <w:bCs/>
          <w:lang w:val="es-ES" w:eastAsia="es-ES"/>
        </w:rPr>
      </w:pPr>
    </w:p>
    <w:p w:rsidR="00816604" w:rsidRPr="003666C1" w:rsidRDefault="00816604" w:rsidP="00816604">
      <w:pPr>
        <w:spacing w:line="360" w:lineRule="auto"/>
        <w:ind w:right="-1"/>
        <w:jc w:val="both"/>
        <w:rPr>
          <w:rFonts w:ascii="Century Gothic" w:eastAsia="Times New Roman" w:hAnsi="Century Gothic" w:cs="Arial"/>
          <w:b/>
          <w:bCs/>
          <w:lang w:val="es-ES" w:eastAsia="es-ES"/>
        </w:rPr>
      </w:pPr>
      <w:r w:rsidRPr="003666C1">
        <w:rPr>
          <w:rFonts w:ascii="Century Gothic" w:eastAsia="Times New Roman" w:hAnsi="Century Gothic" w:cs="Arial"/>
          <w:b/>
          <w:bCs/>
          <w:lang w:val="es-ES" w:eastAsia="es-ES"/>
        </w:rPr>
        <w:t xml:space="preserve">3. Normas violadas y concepto de violación.- </w:t>
      </w:r>
    </w:p>
    <w:p w:rsidR="00816604" w:rsidRPr="003666C1" w:rsidRDefault="00816604" w:rsidP="00816604">
      <w:pPr>
        <w:rPr>
          <w:lang w:val="es-ES" w:eastAsia="es-ES"/>
        </w:rPr>
      </w:pPr>
    </w:p>
    <w:p w:rsidR="00816604" w:rsidRPr="003666C1" w:rsidRDefault="00816604" w:rsidP="00816604">
      <w:pPr>
        <w:tabs>
          <w:tab w:val="left" w:pos="567"/>
        </w:tabs>
        <w:spacing w:line="360" w:lineRule="auto"/>
        <w:ind w:right="-4"/>
        <w:jc w:val="both"/>
        <w:rPr>
          <w:rFonts w:ascii="Century Gothic" w:eastAsia="Times New Roman" w:hAnsi="Century Gothic" w:cs="Tahoma"/>
          <w:b/>
          <w:lang w:val="es-ES" w:eastAsia="es-ES"/>
        </w:rPr>
      </w:pPr>
      <w:r w:rsidRPr="003666C1">
        <w:rPr>
          <w:rFonts w:ascii="Century Gothic" w:eastAsia="Times New Roman" w:hAnsi="Century Gothic" w:cs="Tahoma"/>
          <w:b/>
          <w:lang w:val="es-ES" w:eastAsia="es-ES"/>
        </w:rPr>
        <w:t xml:space="preserve">3.1.- </w:t>
      </w:r>
      <w:r>
        <w:rPr>
          <w:rFonts w:ascii="Century Gothic" w:eastAsia="Times New Roman" w:hAnsi="Century Gothic" w:cs="Tahoma"/>
          <w:b/>
          <w:lang w:val="es-ES" w:eastAsia="es-ES"/>
        </w:rPr>
        <w:t>Fundamento Jurídico.-</w:t>
      </w:r>
    </w:p>
    <w:p w:rsidR="00816604" w:rsidRDefault="00816604" w:rsidP="00816604">
      <w:pPr>
        <w:rPr>
          <w:lang w:val="es-ES" w:eastAsia="es-ES"/>
        </w:rPr>
      </w:pPr>
    </w:p>
    <w:p w:rsidR="00816604" w:rsidRDefault="00816604" w:rsidP="00816604">
      <w:pPr>
        <w:tabs>
          <w:tab w:val="left" w:pos="567"/>
        </w:tabs>
        <w:spacing w:line="360" w:lineRule="auto"/>
        <w:ind w:right="-4"/>
        <w:jc w:val="both"/>
        <w:rPr>
          <w:rFonts w:ascii="Century Gothic" w:eastAsia="Times New Roman" w:hAnsi="Century Gothic" w:cs="Tahoma"/>
          <w:lang w:val="es-ES" w:eastAsia="es-ES"/>
        </w:rPr>
      </w:pPr>
      <w:r>
        <w:rPr>
          <w:rFonts w:ascii="Century Gothic" w:eastAsia="Times New Roman" w:hAnsi="Century Gothic" w:cs="Tahoma"/>
          <w:lang w:val="es-ES" w:eastAsia="es-ES"/>
        </w:rPr>
        <w:t>Se habla, principalmente, de la transgresión del artículo 32 de la ley 142 de 1994, de los artículos 26, 50 y s.s. de la ley 80 de 1993 y del artículo 90 de la Constitución Política.</w:t>
      </w:r>
    </w:p>
    <w:p w:rsidR="00816604" w:rsidRPr="003666C1" w:rsidRDefault="00816604" w:rsidP="00816604">
      <w:pPr>
        <w:rPr>
          <w:lang w:val="es-ES" w:eastAsia="es-ES"/>
        </w:rPr>
      </w:pPr>
    </w:p>
    <w:p w:rsidR="00816604" w:rsidRPr="003666C1" w:rsidRDefault="00816604" w:rsidP="00816604">
      <w:pPr>
        <w:tabs>
          <w:tab w:val="left" w:pos="567"/>
        </w:tabs>
        <w:spacing w:line="360" w:lineRule="auto"/>
        <w:ind w:right="-4"/>
        <w:jc w:val="both"/>
        <w:rPr>
          <w:rFonts w:ascii="Century Gothic" w:eastAsia="Times New Roman" w:hAnsi="Century Gothic" w:cs="Tahoma"/>
          <w:b/>
          <w:lang w:val="es-ES" w:eastAsia="es-ES"/>
        </w:rPr>
      </w:pPr>
      <w:r w:rsidRPr="003666C1">
        <w:rPr>
          <w:rFonts w:ascii="Century Gothic" w:eastAsia="Times New Roman" w:hAnsi="Century Gothic" w:cs="Tahoma"/>
          <w:b/>
          <w:lang w:val="es-ES" w:eastAsia="es-ES"/>
        </w:rPr>
        <w:t xml:space="preserve">3.2.-  </w:t>
      </w:r>
      <w:r>
        <w:rPr>
          <w:rFonts w:ascii="Century Gothic" w:eastAsia="Times New Roman" w:hAnsi="Century Gothic" w:cs="Tahoma"/>
          <w:b/>
          <w:lang w:val="es-ES" w:eastAsia="es-ES"/>
        </w:rPr>
        <w:t>Concepto de la Violación.-</w:t>
      </w:r>
    </w:p>
    <w:p w:rsidR="00816604" w:rsidRDefault="00816604" w:rsidP="00816604">
      <w:pPr>
        <w:rPr>
          <w:lang w:val="es-ES" w:eastAsia="es-ES"/>
        </w:rPr>
      </w:pPr>
    </w:p>
    <w:p w:rsidR="00816604" w:rsidRPr="003666C1" w:rsidRDefault="00816604" w:rsidP="00816604">
      <w:pPr>
        <w:tabs>
          <w:tab w:val="left" w:pos="567"/>
        </w:tabs>
        <w:spacing w:line="360" w:lineRule="auto"/>
        <w:ind w:right="-4"/>
        <w:jc w:val="both"/>
        <w:rPr>
          <w:rFonts w:ascii="Century Gothic" w:eastAsia="Times New Roman" w:hAnsi="Century Gothic" w:cs="Tahoma"/>
          <w:lang w:val="es-ES" w:eastAsia="es-ES"/>
        </w:rPr>
      </w:pPr>
      <w:r w:rsidRPr="00CB5E7F">
        <w:rPr>
          <w:rFonts w:ascii="Century Gothic" w:eastAsia="Times New Roman" w:hAnsi="Century Gothic" w:cs="Tahoma"/>
          <w:lang w:val="es-ES" w:eastAsia="es-ES"/>
        </w:rPr>
        <w:t>La</w:t>
      </w:r>
      <w:r>
        <w:rPr>
          <w:rFonts w:ascii="Century Gothic" w:eastAsia="Times New Roman" w:hAnsi="Century Gothic" w:cs="Tahoma"/>
          <w:lang w:val="es-ES" w:eastAsia="es-ES"/>
        </w:rPr>
        <w:t xml:space="preserve"> demandante acude a las normas antes mencionadas y al principio de buena fe contenido en el artículo 1603 del Código Civil, argumentando que las actuaciones desplegadas por EMCALI fueron permanentemente contrarias al mismo, actuar que entorpeció desde el principio la correcta ejecución del contrato por parte de la contratista. </w:t>
      </w:r>
    </w:p>
    <w:p w:rsidR="00816604" w:rsidRDefault="00816604" w:rsidP="00816604">
      <w:pPr>
        <w:rPr>
          <w:lang w:val="es-ES" w:eastAsia="es-ES"/>
        </w:rPr>
      </w:pPr>
    </w:p>
    <w:p w:rsidR="00816604" w:rsidRPr="00AB628D" w:rsidRDefault="00816604" w:rsidP="00816604">
      <w:pPr>
        <w:tabs>
          <w:tab w:val="left" w:pos="567"/>
        </w:tabs>
        <w:spacing w:line="360" w:lineRule="auto"/>
        <w:ind w:right="-4"/>
        <w:jc w:val="both"/>
        <w:rPr>
          <w:rFonts w:ascii="Century Gothic" w:eastAsia="Times New Roman" w:hAnsi="Century Gothic" w:cs="Tahoma"/>
          <w:lang w:val="es-ES" w:eastAsia="es-ES"/>
        </w:rPr>
      </w:pPr>
      <w:r>
        <w:rPr>
          <w:rFonts w:ascii="Century Gothic" w:eastAsia="Times New Roman" w:hAnsi="Century Gothic" w:cs="Tahoma"/>
          <w:lang w:val="es-ES" w:eastAsia="es-ES"/>
        </w:rPr>
        <w:t xml:space="preserve">Adujo, además, que la suma de dinero que EMCALI pagaría y que fue fijada en el acta de liquidación no es suficiente para resarcir los perjuicios ocasionados con motivo de la terminación del contrato, pues no se indemnizaron los perjuicios materiales, el daño emergente, ni el lucro cesante. </w:t>
      </w:r>
    </w:p>
    <w:p w:rsidR="00816604" w:rsidRDefault="00816604" w:rsidP="00816604">
      <w:pPr>
        <w:rPr>
          <w:lang w:val="es-ES" w:eastAsia="es-ES"/>
        </w:rPr>
      </w:pPr>
    </w:p>
    <w:p w:rsidR="00816604" w:rsidRDefault="00816604" w:rsidP="00816604">
      <w:pPr>
        <w:rPr>
          <w:lang w:val="es-ES" w:eastAsia="es-ES"/>
        </w:rPr>
      </w:pPr>
    </w:p>
    <w:p w:rsidR="00816604" w:rsidRPr="003666C1" w:rsidRDefault="00816604" w:rsidP="00816604">
      <w:pPr>
        <w:rPr>
          <w:lang w:val="es-ES" w:eastAsia="es-ES"/>
        </w:rPr>
      </w:pPr>
    </w:p>
    <w:p w:rsidR="00816604" w:rsidRPr="003666C1" w:rsidRDefault="00816604" w:rsidP="00816604">
      <w:pPr>
        <w:tabs>
          <w:tab w:val="left" w:pos="567"/>
        </w:tabs>
        <w:spacing w:line="360" w:lineRule="auto"/>
        <w:ind w:right="-4"/>
        <w:jc w:val="both"/>
        <w:rPr>
          <w:rFonts w:ascii="Century Gothic" w:eastAsia="Times New Roman" w:hAnsi="Century Gothic" w:cs="Tahoma"/>
          <w:b/>
          <w:lang w:val="es-ES" w:eastAsia="es-ES"/>
        </w:rPr>
      </w:pPr>
      <w:r w:rsidRPr="003666C1">
        <w:rPr>
          <w:rFonts w:ascii="Century Gothic" w:eastAsia="Times New Roman" w:hAnsi="Century Gothic" w:cs="Tahoma"/>
          <w:b/>
          <w:lang w:val="es-ES" w:eastAsia="es-ES"/>
        </w:rPr>
        <w:t>4.- La actuación procesal.-</w:t>
      </w:r>
    </w:p>
    <w:p w:rsidR="00816604" w:rsidRPr="003666C1" w:rsidRDefault="00816604" w:rsidP="00816604">
      <w:pPr>
        <w:rPr>
          <w:lang w:val="es-ES" w:eastAsia="es-ES"/>
        </w:rPr>
      </w:pPr>
    </w:p>
    <w:p w:rsidR="00816604" w:rsidRPr="003666C1" w:rsidRDefault="00816604" w:rsidP="00816604">
      <w:pPr>
        <w:spacing w:line="360" w:lineRule="auto"/>
        <w:jc w:val="both"/>
        <w:rPr>
          <w:rFonts w:ascii="Century Gothic" w:eastAsia="Times New Roman" w:hAnsi="Century Gothic" w:cs="Tahoma"/>
          <w:lang w:val="es-ES" w:eastAsia="es-ES"/>
        </w:rPr>
      </w:pPr>
      <w:r>
        <w:rPr>
          <w:rFonts w:ascii="Century Gothic" w:eastAsia="Times New Roman" w:hAnsi="Century Gothic" w:cs="Tahoma"/>
          <w:lang w:val="es-ES" w:eastAsia="es-ES"/>
        </w:rPr>
        <w:t>Por auto del 26</w:t>
      </w:r>
      <w:r w:rsidRPr="003666C1">
        <w:rPr>
          <w:rFonts w:ascii="Century Gothic" w:eastAsia="Times New Roman" w:hAnsi="Century Gothic" w:cs="Tahoma"/>
          <w:lang w:val="es-ES" w:eastAsia="es-ES"/>
        </w:rPr>
        <w:t xml:space="preserve"> de </w:t>
      </w:r>
      <w:r>
        <w:rPr>
          <w:rFonts w:ascii="Century Gothic" w:eastAsia="Times New Roman" w:hAnsi="Century Gothic" w:cs="Tahoma"/>
          <w:lang w:val="es-ES" w:eastAsia="es-ES"/>
        </w:rPr>
        <w:t>junio de 2001</w:t>
      </w:r>
      <w:r w:rsidRPr="003666C1">
        <w:rPr>
          <w:rFonts w:ascii="Century Gothic" w:eastAsia="Times New Roman" w:hAnsi="Century Gothic" w:cs="Tahoma"/>
          <w:lang w:val="es-ES" w:eastAsia="es-ES"/>
        </w:rPr>
        <w:t>, se admitió la demanda, se ordenó la vinculación de</w:t>
      </w:r>
      <w:r>
        <w:rPr>
          <w:rFonts w:ascii="Century Gothic" w:eastAsia="Times New Roman" w:hAnsi="Century Gothic" w:cs="Tahoma"/>
          <w:lang w:val="es-ES" w:eastAsia="es-ES"/>
        </w:rPr>
        <w:t xml:space="preserve"> </w:t>
      </w:r>
      <w:r w:rsidRPr="003666C1">
        <w:rPr>
          <w:rFonts w:ascii="Century Gothic" w:eastAsia="Times New Roman" w:hAnsi="Century Gothic" w:cs="Tahoma"/>
          <w:lang w:val="es-ES" w:eastAsia="es-ES"/>
        </w:rPr>
        <w:t>l</w:t>
      </w:r>
      <w:r>
        <w:rPr>
          <w:rFonts w:ascii="Century Gothic" w:eastAsia="Times New Roman" w:hAnsi="Century Gothic" w:cs="Tahoma"/>
          <w:lang w:val="es-ES" w:eastAsia="es-ES"/>
        </w:rPr>
        <w:t>a demandada</w:t>
      </w:r>
      <w:r w:rsidRPr="003666C1">
        <w:rPr>
          <w:rFonts w:ascii="Century Gothic" w:eastAsia="Times New Roman" w:hAnsi="Century Gothic" w:cs="Tahoma"/>
          <w:lang w:val="es-ES" w:eastAsia="es-ES"/>
        </w:rPr>
        <w:t xml:space="preserve"> al proceso, a través de la notificación personal de la providencia al </w:t>
      </w:r>
      <w:r>
        <w:rPr>
          <w:rFonts w:ascii="Century Gothic" w:eastAsia="Times New Roman" w:hAnsi="Century Gothic" w:cs="Tahoma"/>
          <w:lang w:val="es-ES" w:eastAsia="es-ES"/>
        </w:rPr>
        <w:t xml:space="preserve">“Secretario General o al Director Jurídico </w:t>
      </w:r>
      <w:r w:rsidRPr="003666C1">
        <w:rPr>
          <w:rFonts w:ascii="Century Gothic" w:eastAsia="Times New Roman" w:hAnsi="Century Gothic" w:cs="Tahoma"/>
          <w:lang w:val="es-ES" w:eastAsia="es-ES"/>
        </w:rPr>
        <w:t>de</w:t>
      </w:r>
      <w:r>
        <w:rPr>
          <w:rFonts w:ascii="Century Gothic" w:eastAsia="Times New Roman" w:hAnsi="Century Gothic" w:cs="Tahoma"/>
          <w:lang w:val="es-ES" w:eastAsia="es-ES"/>
        </w:rPr>
        <w:t xml:space="preserve"> EMCALI”</w:t>
      </w:r>
      <w:r w:rsidRPr="003666C1">
        <w:rPr>
          <w:rFonts w:ascii="Century Gothic" w:eastAsia="Times New Roman" w:hAnsi="Century Gothic" w:cs="Tahoma"/>
          <w:lang w:val="es-ES" w:eastAsia="es-ES"/>
        </w:rPr>
        <w:t xml:space="preserve">, se ordenó la notificación personal al señor agente del Ministerio Público, se ordenó la fijación del negocio en lista y se reconoció personería al apoderado de </w:t>
      </w:r>
      <w:r>
        <w:rPr>
          <w:rFonts w:ascii="Century Gothic" w:eastAsia="Times New Roman" w:hAnsi="Century Gothic" w:cs="Tahoma"/>
          <w:lang w:val="es-ES" w:eastAsia="es-ES"/>
        </w:rPr>
        <w:t>la parte actora (fls. 302 y 301</w:t>
      </w:r>
      <w:r w:rsidRPr="003666C1">
        <w:rPr>
          <w:rFonts w:ascii="Century Gothic" w:eastAsia="Times New Roman" w:hAnsi="Century Gothic" w:cs="Tahoma"/>
          <w:lang w:val="es-ES" w:eastAsia="es-ES"/>
        </w:rPr>
        <w:t>, c. 1).</w:t>
      </w:r>
    </w:p>
    <w:p w:rsidR="00816604" w:rsidRDefault="00816604" w:rsidP="00816604">
      <w:pPr>
        <w:spacing w:line="360" w:lineRule="auto"/>
        <w:jc w:val="both"/>
        <w:rPr>
          <w:rFonts w:ascii="Century Gothic" w:eastAsia="Times New Roman" w:hAnsi="Century Gothic" w:cs="Tahoma"/>
          <w:lang w:val="es-ES" w:eastAsia="es-ES"/>
        </w:rPr>
      </w:pPr>
    </w:p>
    <w:p w:rsidR="00816604" w:rsidRDefault="00816604" w:rsidP="00816604">
      <w:pPr>
        <w:spacing w:line="360" w:lineRule="auto"/>
        <w:jc w:val="both"/>
        <w:rPr>
          <w:rFonts w:ascii="Century Gothic" w:eastAsia="Times New Roman" w:hAnsi="Century Gothic" w:cs="Tahoma"/>
          <w:lang w:val="es-ES" w:eastAsia="es-ES"/>
        </w:rPr>
      </w:pPr>
      <w:r>
        <w:rPr>
          <w:rFonts w:ascii="Century Gothic" w:eastAsia="Times New Roman" w:hAnsi="Century Gothic" w:cs="Tahoma"/>
          <w:lang w:val="es-ES" w:eastAsia="es-ES"/>
        </w:rPr>
        <w:t xml:space="preserve">EMCALI se opuso </w:t>
      </w:r>
      <w:r w:rsidRPr="003666C1">
        <w:rPr>
          <w:rFonts w:ascii="Century Gothic" w:eastAsia="Times New Roman" w:hAnsi="Century Gothic" w:cs="Tahoma"/>
          <w:lang w:val="es-ES" w:eastAsia="es-ES"/>
        </w:rPr>
        <w:t xml:space="preserve">a la prosperidad de </w:t>
      </w:r>
      <w:r>
        <w:rPr>
          <w:rFonts w:ascii="Century Gothic" w:eastAsia="Times New Roman" w:hAnsi="Century Gothic" w:cs="Tahoma"/>
          <w:lang w:val="es-ES" w:eastAsia="es-ES"/>
        </w:rPr>
        <w:t xml:space="preserve">las pretensiones de la demanda, pues consideró que no se puede demandar el acta de liquidación del contrato buscando que se indemnice la expectativa de ganancia que tenía el contratista. Señaló, además, que la salvedad que dejó la demandante en el acta de liquidación es etérea y no ofrece claridad frente a la inconformidad con la liquidación. </w:t>
      </w:r>
      <w:r w:rsidRPr="003666C1">
        <w:rPr>
          <w:rFonts w:ascii="Century Gothic" w:eastAsia="Times New Roman" w:hAnsi="Century Gothic" w:cs="Tahoma"/>
          <w:lang w:val="es-ES" w:eastAsia="es-ES"/>
        </w:rPr>
        <w:t xml:space="preserve">Propuso las excepciones de: i) </w:t>
      </w:r>
      <w:r>
        <w:rPr>
          <w:rFonts w:ascii="Century Gothic" w:eastAsia="Times New Roman" w:hAnsi="Century Gothic" w:cs="Tahoma"/>
          <w:lang w:val="es-ES" w:eastAsia="es-ES"/>
        </w:rPr>
        <w:t>Prevalencia del acuerdo de voluntades</w:t>
      </w:r>
      <w:r w:rsidRPr="003666C1">
        <w:rPr>
          <w:rFonts w:ascii="Century Gothic" w:eastAsia="Times New Roman" w:hAnsi="Century Gothic" w:cs="Tahoma"/>
          <w:lang w:val="es-ES" w:eastAsia="es-ES"/>
        </w:rPr>
        <w:t xml:space="preserve">, ii) </w:t>
      </w:r>
      <w:r>
        <w:rPr>
          <w:rFonts w:ascii="Century Gothic" w:eastAsia="Times New Roman" w:hAnsi="Century Gothic" w:cs="Tahoma"/>
          <w:lang w:val="es-ES" w:eastAsia="es-ES"/>
        </w:rPr>
        <w:t xml:space="preserve">cobro de lo no debido y </w:t>
      </w:r>
      <w:r w:rsidRPr="003666C1">
        <w:rPr>
          <w:rFonts w:ascii="Century Gothic" w:eastAsia="Times New Roman" w:hAnsi="Century Gothic" w:cs="Tahoma"/>
          <w:lang w:val="es-ES" w:eastAsia="es-ES"/>
        </w:rPr>
        <w:t xml:space="preserve">iii) </w:t>
      </w:r>
      <w:r>
        <w:rPr>
          <w:rFonts w:ascii="Century Gothic" w:eastAsia="Times New Roman" w:hAnsi="Century Gothic" w:cs="Tahoma"/>
          <w:lang w:val="es-ES" w:eastAsia="es-ES"/>
        </w:rPr>
        <w:t>inequívoca acción (sic) para demandar</w:t>
      </w:r>
      <w:r w:rsidRPr="003666C1">
        <w:rPr>
          <w:rFonts w:ascii="Century Gothic" w:eastAsia="Times New Roman" w:hAnsi="Century Gothic" w:cs="Tahoma"/>
          <w:lang w:val="es-ES" w:eastAsia="es-ES"/>
        </w:rPr>
        <w:t xml:space="preserve">. </w:t>
      </w:r>
    </w:p>
    <w:p w:rsidR="00816604" w:rsidRDefault="00816604" w:rsidP="00816604">
      <w:pPr>
        <w:rPr>
          <w:lang w:val="es-ES" w:eastAsia="es-ES"/>
        </w:rPr>
      </w:pPr>
    </w:p>
    <w:p w:rsidR="00816604" w:rsidRPr="003666C1" w:rsidRDefault="00816604" w:rsidP="00816604">
      <w:pPr>
        <w:widowControl w:val="0"/>
        <w:tabs>
          <w:tab w:val="num" w:pos="709"/>
        </w:tabs>
        <w:overflowPunct w:val="0"/>
        <w:autoSpaceDE w:val="0"/>
        <w:autoSpaceDN w:val="0"/>
        <w:adjustRightInd w:val="0"/>
        <w:spacing w:line="360" w:lineRule="auto"/>
        <w:jc w:val="both"/>
        <w:textAlignment w:val="baseline"/>
        <w:rPr>
          <w:rFonts w:ascii="Century Gothic" w:eastAsia="Times New Roman" w:hAnsi="Century Gothic" w:cs="Arial"/>
          <w:b/>
          <w:lang w:val="es-ES" w:eastAsia="es-ES"/>
        </w:rPr>
      </w:pPr>
      <w:r w:rsidRPr="003666C1">
        <w:rPr>
          <w:rFonts w:ascii="Century Gothic" w:eastAsia="Times New Roman" w:hAnsi="Century Gothic" w:cs="Arial"/>
          <w:b/>
          <w:lang w:val="es-ES" w:eastAsia="es-ES"/>
        </w:rPr>
        <w:t xml:space="preserve">5.- Los alegatos de primera instancia.- </w:t>
      </w:r>
    </w:p>
    <w:p w:rsidR="00816604" w:rsidRPr="003666C1" w:rsidRDefault="00816604" w:rsidP="00816604">
      <w:pPr>
        <w:rPr>
          <w:lang w:val="es-ES" w:eastAsia="es-ES"/>
        </w:rPr>
      </w:pPr>
    </w:p>
    <w:p w:rsidR="00816604" w:rsidRPr="003666C1" w:rsidRDefault="00816604" w:rsidP="00816604">
      <w:pPr>
        <w:widowControl w:val="0"/>
        <w:tabs>
          <w:tab w:val="num" w:pos="709"/>
        </w:tabs>
        <w:overflowPunct w:val="0"/>
        <w:autoSpaceDE w:val="0"/>
        <w:autoSpaceDN w:val="0"/>
        <w:adjustRightInd w:val="0"/>
        <w:spacing w:line="360" w:lineRule="auto"/>
        <w:jc w:val="both"/>
        <w:textAlignment w:val="baseline"/>
        <w:rPr>
          <w:rFonts w:ascii="Century Gothic" w:eastAsia="Times New Roman" w:hAnsi="Century Gothic" w:cs="Arial"/>
          <w:lang w:val="es-ES" w:eastAsia="es-ES"/>
        </w:rPr>
      </w:pPr>
      <w:r w:rsidRPr="003666C1">
        <w:rPr>
          <w:rFonts w:ascii="Century Gothic" w:eastAsia="Times New Roman" w:hAnsi="Century Gothic" w:cs="Arial"/>
          <w:lang w:val="es-ES" w:eastAsia="es-ES"/>
        </w:rPr>
        <w:lastRenderedPageBreak/>
        <w:t>La</w:t>
      </w:r>
      <w:r>
        <w:rPr>
          <w:rFonts w:ascii="Century Gothic" w:eastAsia="Times New Roman" w:hAnsi="Century Gothic" w:cs="Arial"/>
          <w:lang w:val="es-ES" w:eastAsia="es-ES"/>
        </w:rPr>
        <w:t>s</w:t>
      </w:r>
      <w:r w:rsidRPr="003666C1">
        <w:rPr>
          <w:rFonts w:ascii="Century Gothic" w:eastAsia="Times New Roman" w:hAnsi="Century Gothic" w:cs="Arial"/>
          <w:lang w:val="es-ES" w:eastAsia="es-ES"/>
        </w:rPr>
        <w:t xml:space="preserve"> parte</w:t>
      </w:r>
      <w:r>
        <w:rPr>
          <w:rFonts w:ascii="Century Gothic" w:eastAsia="Times New Roman" w:hAnsi="Century Gothic" w:cs="Arial"/>
          <w:lang w:val="es-ES" w:eastAsia="es-ES"/>
        </w:rPr>
        <w:t>s</w:t>
      </w:r>
      <w:r w:rsidRPr="003666C1">
        <w:rPr>
          <w:rFonts w:ascii="Century Gothic" w:eastAsia="Times New Roman" w:hAnsi="Century Gothic" w:cs="Arial"/>
          <w:lang w:val="es-ES" w:eastAsia="es-ES"/>
        </w:rPr>
        <w:t xml:space="preserve"> </w:t>
      </w:r>
      <w:r>
        <w:rPr>
          <w:rFonts w:ascii="Century Gothic" w:eastAsia="Times New Roman" w:hAnsi="Century Gothic" w:cs="Arial"/>
          <w:lang w:val="es-ES" w:eastAsia="es-ES"/>
        </w:rPr>
        <w:t>reiteraron</w:t>
      </w:r>
      <w:r w:rsidRPr="003666C1">
        <w:rPr>
          <w:rFonts w:ascii="Century Gothic" w:eastAsia="Times New Roman" w:hAnsi="Century Gothic" w:cs="Arial"/>
          <w:lang w:val="es-ES" w:eastAsia="es-ES"/>
        </w:rPr>
        <w:t xml:space="preserve"> lo expuesto en la demanda</w:t>
      </w:r>
      <w:r>
        <w:rPr>
          <w:rFonts w:ascii="Century Gothic" w:eastAsia="Times New Roman" w:hAnsi="Century Gothic" w:cs="Arial"/>
          <w:lang w:val="es-ES" w:eastAsia="es-ES"/>
        </w:rPr>
        <w:t xml:space="preserve"> y en la contestación. El Ministerio Público guardó</w:t>
      </w:r>
      <w:r w:rsidRPr="003666C1">
        <w:rPr>
          <w:rFonts w:ascii="Century Gothic" w:eastAsia="Times New Roman" w:hAnsi="Century Gothic" w:cs="Arial"/>
          <w:lang w:val="es-ES" w:eastAsia="es-ES"/>
        </w:rPr>
        <w:t xml:space="preserve"> silencio. </w:t>
      </w:r>
    </w:p>
    <w:p w:rsidR="00816604" w:rsidRPr="003666C1" w:rsidRDefault="00816604" w:rsidP="00816604">
      <w:pPr>
        <w:rPr>
          <w:lang w:val="es-ES" w:eastAsia="es-ES"/>
        </w:rPr>
      </w:pPr>
    </w:p>
    <w:p w:rsidR="00816604" w:rsidRPr="003666C1" w:rsidRDefault="00816604" w:rsidP="00816604">
      <w:pPr>
        <w:widowControl w:val="0"/>
        <w:tabs>
          <w:tab w:val="num" w:pos="709"/>
        </w:tabs>
        <w:overflowPunct w:val="0"/>
        <w:autoSpaceDE w:val="0"/>
        <w:autoSpaceDN w:val="0"/>
        <w:adjustRightInd w:val="0"/>
        <w:spacing w:line="360" w:lineRule="auto"/>
        <w:jc w:val="both"/>
        <w:textAlignment w:val="baseline"/>
        <w:rPr>
          <w:rFonts w:ascii="Century Gothic" w:eastAsia="Times New Roman" w:hAnsi="Century Gothic" w:cs="Arial"/>
          <w:b/>
          <w:lang w:val="es-ES" w:eastAsia="es-ES"/>
        </w:rPr>
      </w:pPr>
      <w:r w:rsidRPr="003666C1">
        <w:rPr>
          <w:rFonts w:ascii="Century Gothic" w:eastAsia="Times New Roman" w:hAnsi="Century Gothic" w:cs="Arial"/>
          <w:b/>
          <w:lang w:val="es-ES" w:eastAsia="es-ES"/>
        </w:rPr>
        <w:t xml:space="preserve">6.- La sentencia recurrida.- </w:t>
      </w:r>
    </w:p>
    <w:p w:rsidR="00816604" w:rsidRPr="003666C1" w:rsidRDefault="00816604" w:rsidP="00816604">
      <w:pPr>
        <w:rPr>
          <w:lang w:val="es-ES" w:eastAsia="es-ES"/>
        </w:rPr>
      </w:pPr>
    </w:p>
    <w:p w:rsidR="00816604" w:rsidRPr="003666C1" w:rsidRDefault="00816604" w:rsidP="00816604">
      <w:pPr>
        <w:spacing w:line="360" w:lineRule="auto"/>
        <w:jc w:val="both"/>
        <w:rPr>
          <w:rFonts w:ascii="Century Gothic" w:eastAsia="Times New Roman" w:hAnsi="Century Gothic" w:cs="Tahoma"/>
          <w:lang w:val="es-ES" w:eastAsia="es-ES"/>
        </w:rPr>
      </w:pPr>
      <w:r>
        <w:rPr>
          <w:rFonts w:ascii="Century Gothic" w:eastAsia="Times New Roman" w:hAnsi="Century Gothic" w:cs="Tahoma"/>
          <w:lang w:val="es-ES" w:eastAsia="es-ES"/>
        </w:rPr>
        <w:t>Es la proferida el 26</w:t>
      </w:r>
      <w:r w:rsidRPr="003666C1">
        <w:rPr>
          <w:rFonts w:ascii="Century Gothic" w:eastAsia="Times New Roman" w:hAnsi="Century Gothic" w:cs="Tahoma"/>
          <w:lang w:val="es-ES" w:eastAsia="es-ES"/>
        </w:rPr>
        <w:t xml:space="preserve"> de </w:t>
      </w:r>
      <w:r>
        <w:rPr>
          <w:rFonts w:ascii="Century Gothic" w:eastAsia="Times New Roman" w:hAnsi="Century Gothic" w:cs="Tahoma"/>
          <w:lang w:val="es-ES" w:eastAsia="es-ES"/>
        </w:rPr>
        <w:t>septiembre de 2008</w:t>
      </w:r>
      <w:r w:rsidRPr="003666C1">
        <w:rPr>
          <w:rFonts w:ascii="Century Gothic" w:eastAsia="Times New Roman" w:hAnsi="Century Gothic" w:cs="Tahoma"/>
          <w:lang w:val="es-ES" w:eastAsia="es-ES"/>
        </w:rPr>
        <w:t>, por el</w:t>
      </w:r>
      <w:r>
        <w:rPr>
          <w:rFonts w:ascii="Century Gothic" w:eastAsia="Times New Roman" w:hAnsi="Century Gothic" w:cs="Tahoma"/>
          <w:lang w:val="es-ES" w:eastAsia="es-ES"/>
        </w:rPr>
        <w:t xml:space="preserve"> Tribunal Administrativo del Valle del Cauca</w:t>
      </w:r>
      <w:r w:rsidRPr="003666C1">
        <w:rPr>
          <w:rFonts w:ascii="Century Gothic" w:eastAsia="Times New Roman" w:hAnsi="Century Gothic" w:cs="Tahoma"/>
          <w:lang w:val="es-ES" w:eastAsia="es-ES"/>
        </w:rPr>
        <w:t xml:space="preserve">, en la </w:t>
      </w:r>
      <w:r>
        <w:rPr>
          <w:rFonts w:ascii="Century Gothic" w:eastAsia="Times New Roman" w:hAnsi="Century Gothic" w:cs="Tahoma"/>
          <w:lang w:val="es-ES" w:eastAsia="es-ES"/>
        </w:rPr>
        <w:t>que se declararon no probadas las excepciones</w:t>
      </w:r>
      <w:r w:rsidRPr="003666C1">
        <w:rPr>
          <w:rFonts w:ascii="Century Gothic" w:eastAsia="Times New Roman" w:hAnsi="Century Gothic" w:cs="Tahoma"/>
          <w:lang w:val="es-ES" w:eastAsia="es-ES"/>
        </w:rPr>
        <w:t xml:space="preserve"> y </w:t>
      </w:r>
      <w:r>
        <w:rPr>
          <w:rFonts w:ascii="Century Gothic" w:eastAsia="Times New Roman" w:hAnsi="Century Gothic" w:cs="Tahoma"/>
          <w:lang w:val="es-ES" w:eastAsia="es-ES"/>
        </w:rPr>
        <w:t>se negaron</w:t>
      </w:r>
      <w:r w:rsidRPr="003666C1">
        <w:rPr>
          <w:rFonts w:ascii="Century Gothic" w:eastAsia="Times New Roman" w:hAnsi="Century Gothic" w:cs="Tahoma"/>
          <w:lang w:val="es-ES" w:eastAsia="es-ES"/>
        </w:rPr>
        <w:t xml:space="preserve"> las pretensiones de la demanda, </w:t>
      </w:r>
      <w:r>
        <w:rPr>
          <w:rFonts w:ascii="Century Gothic" w:eastAsia="Times New Roman" w:hAnsi="Century Gothic" w:cs="Tahoma"/>
          <w:lang w:val="es-ES" w:eastAsia="es-ES"/>
        </w:rPr>
        <w:t xml:space="preserve">pues el Tribunal consideró que el acta de liquidación del contrato fue un acuerdo de voluntades celebrado de mutuo acuerdo, en la que no se dejó constancia clara, expresa ni concreta de salvedad alguna, ni motivo de inconformidad que legitimen a la contratista a reclamar por vía jurisdiccional sobre lo allí acordado.   </w:t>
      </w:r>
    </w:p>
    <w:p w:rsidR="00816604" w:rsidRPr="003666C1" w:rsidRDefault="00816604" w:rsidP="00816604">
      <w:pPr>
        <w:rPr>
          <w:lang w:val="es-ES" w:eastAsia="es-ES"/>
        </w:rPr>
      </w:pPr>
    </w:p>
    <w:p w:rsidR="00816604" w:rsidRDefault="00816604" w:rsidP="00816604">
      <w:pPr>
        <w:spacing w:line="360" w:lineRule="auto"/>
        <w:ind w:right="-1"/>
        <w:jc w:val="both"/>
        <w:rPr>
          <w:rFonts w:ascii="Century Gothic" w:eastAsia="Times New Roman" w:hAnsi="Century Gothic" w:cs="Arial"/>
          <w:b/>
          <w:bCs/>
          <w:color w:val="000000"/>
          <w:lang w:val="es-ES" w:eastAsia="es-ES"/>
        </w:rPr>
      </w:pPr>
    </w:p>
    <w:p w:rsidR="00816604" w:rsidRDefault="00816604" w:rsidP="00816604">
      <w:pPr>
        <w:spacing w:line="360" w:lineRule="auto"/>
        <w:ind w:right="-1"/>
        <w:jc w:val="both"/>
        <w:rPr>
          <w:rFonts w:ascii="Century Gothic" w:eastAsia="Times New Roman" w:hAnsi="Century Gothic" w:cs="Arial"/>
          <w:b/>
          <w:bCs/>
          <w:color w:val="000000"/>
          <w:lang w:val="es-ES" w:eastAsia="es-ES"/>
        </w:rPr>
      </w:pPr>
    </w:p>
    <w:p w:rsidR="00816604" w:rsidRDefault="00816604" w:rsidP="00816604">
      <w:pPr>
        <w:spacing w:line="360" w:lineRule="auto"/>
        <w:ind w:right="-1"/>
        <w:jc w:val="both"/>
        <w:rPr>
          <w:rFonts w:ascii="Century Gothic" w:eastAsia="Times New Roman" w:hAnsi="Century Gothic" w:cs="Arial"/>
          <w:b/>
          <w:bCs/>
          <w:color w:val="000000"/>
          <w:lang w:val="es-ES" w:eastAsia="es-ES"/>
        </w:rPr>
      </w:pPr>
    </w:p>
    <w:p w:rsidR="00816604" w:rsidRPr="003666C1" w:rsidRDefault="00816604" w:rsidP="00816604">
      <w:pPr>
        <w:spacing w:line="360" w:lineRule="auto"/>
        <w:ind w:right="-1"/>
        <w:jc w:val="both"/>
        <w:rPr>
          <w:rFonts w:ascii="Century Gothic" w:eastAsia="Times New Roman" w:hAnsi="Century Gothic" w:cs="Arial"/>
          <w:b/>
          <w:bCs/>
          <w:color w:val="000000"/>
          <w:lang w:val="es-ES" w:eastAsia="es-ES"/>
        </w:rPr>
      </w:pPr>
      <w:r w:rsidRPr="003666C1">
        <w:rPr>
          <w:rFonts w:ascii="Century Gothic" w:eastAsia="Times New Roman" w:hAnsi="Century Gothic" w:cs="Arial"/>
          <w:b/>
          <w:bCs/>
          <w:color w:val="000000"/>
          <w:lang w:val="es-ES" w:eastAsia="es-ES"/>
        </w:rPr>
        <w:t xml:space="preserve">7.- El recurso de apelación.- </w:t>
      </w:r>
    </w:p>
    <w:p w:rsidR="00816604" w:rsidRPr="003666C1" w:rsidRDefault="00816604" w:rsidP="00816604">
      <w:pPr>
        <w:rPr>
          <w:lang w:val="es-ES" w:eastAsia="es-ES"/>
        </w:rPr>
      </w:pPr>
    </w:p>
    <w:p w:rsidR="00816604" w:rsidRDefault="00816604" w:rsidP="00816604">
      <w:pPr>
        <w:spacing w:line="360" w:lineRule="auto"/>
        <w:ind w:right="47"/>
        <w:jc w:val="both"/>
        <w:rPr>
          <w:rFonts w:ascii="Century Gothic" w:eastAsia="Times New Roman" w:hAnsi="Century Gothic" w:cs="Tahoma"/>
          <w:lang w:val="es-ES" w:eastAsia="es-ES"/>
        </w:rPr>
      </w:pPr>
      <w:r w:rsidRPr="003666C1">
        <w:rPr>
          <w:rFonts w:ascii="Century Gothic" w:eastAsia="Times New Roman" w:hAnsi="Century Gothic" w:cs="Tahoma"/>
          <w:lang w:val="es-ES" w:eastAsia="es-ES"/>
        </w:rPr>
        <w:t xml:space="preserve">Inconforme con la anterior decisión y dentro de la oportunidad prevista por el ordenamiento jurídico, la parte demandante interpuso recurso de apelación.  </w:t>
      </w:r>
    </w:p>
    <w:p w:rsidR="00816604" w:rsidRDefault="00816604" w:rsidP="00816604">
      <w:pPr>
        <w:spacing w:line="360" w:lineRule="auto"/>
        <w:ind w:right="47"/>
        <w:jc w:val="both"/>
        <w:rPr>
          <w:rFonts w:ascii="Century Gothic" w:eastAsia="Times New Roman" w:hAnsi="Century Gothic" w:cs="Tahoma"/>
          <w:lang w:val="es-ES" w:eastAsia="es-ES"/>
        </w:rPr>
      </w:pPr>
    </w:p>
    <w:p w:rsidR="00816604" w:rsidRDefault="00816604" w:rsidP="00816604">
      <w:pPr>
        <w:spacing w:line="360" w:lineRule="auto"/>
        <w:ind w:right="47"/>
        <w:jc w:val="both"/>
        <w:rPr>
          <w:rFonts w:ascii="Century Gothic" w:eastAsia="Times New Roman" w:hAnsi="Century Gothic" w:cs="Tahoma"/>
          <w:lang w:val="es-ES" w:eastAsia="es-ES"/>
        </w:rPr>
      </w:pPr>
      <w:r w:rsidRPr="003666C1">
        <w:rPr>
          <w:rFonts w:ascii="Century Gothic" w:eastAsia="Times New Roman" w:hAnsi="Century Gothic" w:cs="Tahoma"/>
          <w:lang w:val="es-ES" w:eastAsia="es-ES"/>
        </w:rPr>
        <w:t xml:space="preserve">Adujo </w:t>
      </w:r>
      <w:r>
        <w:rPr>
          <w:rFonts w:ascii="Century Gothic" w:eastAsia="Times New Roman" w:hAnsi="Century Gothic" w:cs="Tahoma"/>
          <w:lang w:val="es-ES" w:eastAsia="es-ES"/>
        </w:rPr>
        <w:t>que en el fallo de segunda instancia deberá tenerse en cuenta el peritazgo decretado por el Tribunal, en el que se determinó el valor del lucro cesante al que el actor tiene derecho.</w:t>
      </w:r>
    </w:p>
    <w:p w:rsidR="00816604" w:rsidRDefault="00816604" w:rsidP="00816604">
      <w:pPr>
        <w:rPr>
          <w:lang w:val="es-ES" w:eastAsia="es-ES"/>
        </w:rPr>
      </w:pPr>
    </w:p>
    <w:p w:rsidR="00816604" w:rsidRPr="00BF3B90" w:rsidRDefault="00816604" w:rsidP="00816604">
      <w:pPr>
        <w:spacing w:line="360" w:lineRule="auto"/>
        <w:ind w:right="47"/>
        <w:jc w:val="both"/>
        <w:rPr>
          <w:rFonts w:ascii="Century Gothic" w:eastAsia="Times New Roman" w:hAnsi="Century Gothic" w:cs="Tahoma"/>
          <w:lang w:val="es-ES" w:eastAsia="es-ES"/>
        </w:rPr>
      </w:pPr>
      <w:r>
        <w:rPr>
          <w:rFonts w:ascii="Century Gothic" w:eastAsia="Times New Roman" w:hAnsi="Century Gothic" w:cs="Tahoma"/>
          <w:lang w:val="es-ES" w:eastAsia="es-ES"/>
        </w:rPr>
        <w:t>Solicitó que, en caso de que la sentencia de primera instancia sea confirmada, se conmine a la entidad demandada a pagar, “al menos”, el valor actualizado al que se comprometió en el acta de liquidación, es decir, $48´894.832.</w:t>
      </w:r>
    </w:p>
    <w:p w:rsidR="00816604" w:rsidRDefault="00816604" w:rsidP="00816604">
      <w:pPr>
        <w:spacing w:line="360" w:lineRule="auto"/>
        <w:ind w:right="79"/>
        <w:jc w:val="both"/>
        <w:rPr>
          <w:rFonts w:ascii="Century Gothic" w:eastAsia="Times New Roman" w:hAnsi="Century Gothic" w:cs="Tahoma"/>
          <w:b/>
          <w:lang w:val="es-ES" w:eastAsia="es-ES"/>
        </w:rPr>
      </w:pPr>
    </w:p>
    <w:p w:rsidR="00816604" w:rsidRPr="003666C1" w:rsidRDefault="00816604" w:rsidP="00816604">
      <w:pPr>
        <w:spacing w:line="360" w:lineRule="auto"/>
        <w:ind w:right="79"/>
        <w:jc w:val="both"/>
        <w:rPr>
          <w:rFonts w:ascii="Century Gothic" w:eastAsia="Times New Roman" w:hAnsi="Century Gothic" w:cs="Tahoma"/>
          <w:b/>
          <w:lang w:val="es-ES" w:eastAsia="es-ES"/>
        </w:rPr>
      </w:pPr>
      <w:r w:rsidRPr="003666C1">
        <w:rPr>
          <w:rFonts w:ascii="Century Gothic" w:eastAsia="Times New Roman" w:hAnsi="Century Gothic" w:cs="Tahoma"/>
          <w:b/>
          <w:lang w:val="es-ES" w:eastAsia="es-ES"/>
        </w:rPr>
        <w:t xml:space="preserve">8.- Trámite de segunda instancia.- </w:t>
      </w:r>
    </w:p>
    <w:p w:rsidR="00816604" w:rsidRDefault="00816604" w:rsidP="00816604">
      <w:pPr>
        <w:rPr>
          <w:lang w:val="es-ES" w:eastAsia="es-ES"/>
        </w:rPr>
      </w:pPr>
    </w:p>
    <w:p w:rsidR="00816604" w:rsidRDefault="00816604" w:rsidP="00816604">
      <w:pPr>
        <w:spacing w:line="360" w:lineRule="auto"/>
        <w:ind w:right="79"/>
        <w:jc w:val="both"/>
        <w:rPr>
          <w:rFonts w:ascii="Century Gothic" w:eastAsia="Times New Roman" w:hAnsi="Century Gothic" w:cs="Tahoma"/>
          <w:lang w:val="es-ES" w:eastAsia="es-ES"/>
        </w:rPr>
      </w:pPr>
      <w:r>
        <w:rPr>
          <w:rFonts w:ascii="Century Gothic" w:eastAsia="Times New Roman" w:hAnsi="Century Gothic" w:cs="Tahoma"/>
          <w:lang w:val="es-ES" w:eastAsia="es-ES"/>
        </w:rPr>
        <w:t>El recurso se concedió el 4</w:t>
      </w:r>
      <w:r w:rsidRPr="003666C1">
        <w:rPr>
          <w:rFonts w:ascii="Century Gothic" w:eastAsia="Times New Roman" w:hAnsi="Century Gothic" w:cs="Tahoma"/>
          <w:lang w:val="es-ES" w:eastAsia="es-ES"/>
        </w:rPr>
        <w:t xml:space="preserve"> de </w:t>
      </w:r>
      <w:r>
        <w:rPr>
          <w:rFonts w:ascii="Century Gothic" w:eastAsia="Times New Roman" w:hAnsi="Century Gothic" w:cs="Tahoma"/>
          <w:lang w:val="es-ES" w:eastAsia="es-ES"/>
        </w:rPr>
        <w:t>septiembre de 2009</w:t>
      </w:r>
      <w:r w:rsidRPr="003666C1">
        <w:rPr>
          <w:rFonts w:ascii="Century Gothic" w:eastAsia="Times New Roman" w:hAnsi="Century Gothic" w:cs="Tahoma"/>
          <w:lang w:val="es-ES" w:eastAsia="es-ES"/>
        </w:rPr>
        <w:t>, se admitió el 2</w:t>
      </w:r>
      <w:r>
        <w:rPr>
          <w:rFonts w:ascii="Century Gothic" w:eastAsia="Times New Roman" w:hAnsi="Century Gothic" w:cs="Tahoma"/>
          <w:lang w:val="es-ES" w:eastAsia="es-ES"/>
        </w:rPr>
        <w:t>3</w:t>
      </w:r>
      <w:r w:rsidRPr="003666C1">
        <w:rPr>
          <w:rFonts w:ascii="Century Gothic" w:eastAsia="Times New Roman" w:hAnsi="Century Gothic" w:cs="Tahoma"/>
          <w:lang w:val="es-ES" w:eastAsia="es-ES"/>
        </w:rPr>
        <w:t xml:space="preserve"> de </w:t>
      </w:r>
      <w:r>
        <w:rPr>
          <w:rFonts w:ascii="Century Gothic" w:eastAsia="Times New Roman" w:hAnsi="Century Gothic" w:cs="Tahoma"/>
          <w:lang w:val="es-ES" w:eastAsia="es-ES"/>
        </w:rPr>
        <w:t>octubre</w:t>
      </w:r>
      <w:r w:rsidRPr="003666C1">
        <w:rPr>
          <w:rFonts w:ascii="Century Gothic" w:eastAsia="Times New Roman" w:hAnsi="Century Gothic" w:cs="Tahoma"/>
          <w:lang w:val="es-ES" w:eastAsia="es-ES"/>
        </w:rPr>
        <w:t xml:space="preserve"> de</w:t>
      </w:r>
      <w:r>
        <w:rPr>
          <w:rFonts w:ascii="Century Gothic" w:eastAsia="Times New Roman" w:hAnsi="Century Gothic" w:cs="Tahoma"/>
          <w:lang w:val="es-ES" w:eastAsia="es-ES"/>
        </w:rPr>
        <w:t xml:space="preserve">l mismo año </w:t>
      </w:r>
      <w:r w:rsidRPr="003666C1">
        <w:rPr>
          <w:rFonts w:ascii="Century Gothic" w:eastAsia="Times New Roman" w:hAnsi="Century Gothic" w:cs="Tahoma"/>
          <w:lang w:val="es-ES" w:eastAsia="es-ES"/>
        </w:rPr>
        <w:t>y, habiéndose dado traslado para alegar, el Mi</w:t>
      </w:r>
      <w:r>
        <w:rPr>
          <w:rFonts w:ascii="Century Gothic" w:eastAsia="Times New Roman" w:hAnsi="Century Gothic" w:cs="Tahoma"/>
          <w:lang w:val="es-ES" w:eastAsia="es-ES"/>
        </w:rPr>
        <w:t xml:space="preserve">nisterio Público solicitó confirmar la sentencia de primera instancia, para lo cual esgrimió similares argumentos a los expuestos por el Tribunal. </w:t>
      </w:r>
    </w:p>
    <w:p w:rsidR="00816604" w:rsidRDefault="00816604" w:rsidP="00816604">
      <w:pPr>
        <w:spacing w:line="360" w:lineRule="auto"/>
        <w:ind w:right="79"/>
        <w:jc w:val="both"/>
        <w:rPr>
          <w:rFonts w:ascii="Century Gothic" w:eastAsia="Times New Roman" w:hAnsi="Century Gothic" w:cs="Tahoma"/>
          <w:lang w:val="es-ES" w:eastAsia="es-ES"/>
        </w:rPr>
      </w:pPr>
    </w:p>
    <w:p w:rsidR="00816604" w:rsidRPr="003666C1" w:rsidRDefault="00816604" w:rsidP="00816604">
      <w:pPr>
        <w:spacing w:line="360" w:lineRule="auto"/>
        <w:ind w:right="79"/>
        <w:jc w:val="both"/>
        <w:rPr>
          <w:rFonts w:ascii="Century Gothic" w:eastAsia="Times New Roman" w:hAnsi="Century Gothic" w:cs="Tahoma"/>
          <w:lang w:val="es-ES" w:eastAsia="es-ES"/>
        </w:rPr>
      </w:pPr>
      <w:r>
        <w:rPr>
          <w:rFonts w:ascii="Century Gothic" w:eastAsia="Times New Roman" w:hAnsi="Century Gothic" w:cs="Tahoma"/>
          <w:lang w:val="es-ES" w:eastAsia="es-ES"/>
        </w:rPr>
        <w:t xml:space="preserve">Las partes guardaron silencio. </w:t>
      </w:r>
      <w:r w:rsidRPr="003666C1">
        <w:rPr>
          <w:rFonts w:ascii="Century Gothic" w:eastAsia="Times New Roman" w:hAnsi="Century Gothic" w:cs="Tahoma"/>
          <w:lang w:val="es-ES" w:eastAsia="es-ES"/>
        </w:rPr>
        <w:t xml:space="preserve"> </w:t>
      </w:r>
    </w:p>
    <w:p w:rsidR="00816604" w:rsidRPr="003666C1" w:rsidRDefault="00816604" w:rsidP="00816604">
      <w:pPr>
        <w:rPr>
          <w:lang w:val="es-ES" w:eastAsia="es-ES"/>
        </w:rPr>
      </w:pPr>
    </w:p>
    <w:p w:rsidR="00816604" w:rsidRDefault="00816604" w:rsidP="00816604">
      <w:pPr>
        <w:spacing w:line="360" w:lineRule="auto"/>
        <w:jc w:val="center"/>
        <w:rPr>
          <w:rFonts w:ascii="Century Gothic" w:eastAsia="Times New Roman" w:hAnsi="Century Gothic" w:cs="Arial"/>
          <w:b/>
          <w:bCs/>
          <w:color w:val="000000"/>
          <w:lang w:val="es-ES" w:eastAsia="es-ES"/>
        </w:rPr>
      </w:pPr>
    </w:p>
    <w:p w:rsidR="00816604" w:rsidRPr="003666C1" w:rsidRDefault="00816604" w:rsidP="00816604">
      <w:pPr>
        <w:spacing w:line="360" w:lineRule="auto"/>
        <w:jc w:val="center"/>
        <w:rPr>
          <w:rFonts w:ascii="Century Gothic" w:eastAsia="Times New Roman" w:hAnsi="Century Gothic" w:cs="Arial"/>
          <w:b/>
          <w:bCs/>
          <w:color w:val="000000"/>
          <w:lang w:val="es-ES" w:eastAsia="es-ES"/>
        </w:rPr>
      </w:pPr>
      <w:r w:rsidRPr="003666C1">
        <w:rPr>
          <w:rFonts w:ascii="Century Gothic" w:eastAsia="Times New Roman" w:hAnsi="Century Gothic" w:cs="Arial"/>
          <w:b/>
          <w:bCs/>
          <w:color w:val="000000"/>
          <w:lang w:val="es-ES" w:eastAsia="es-ES"/>
        </w:rPr>
        <w:t>II. CONSIDERACIONES</w:t>
      </w:r>
    </w:p>
    <w:p w:rsidR="00816604" w:rsidRPr="003666C1" w:rsidRDefault="00816604" w:rsidP="00816604">
      <w:pPr>
        <w:spacing w:line="360" w:lineRule="auto"/>
        <w:jc w:val="both"/>
        <w:rPr>
          <w:rFonts w:ascii="Century Gothic" w:eastAsia="Times New Roman" w:hAnsi="Century Gothic" w:cs="Arial"/>
          <w:bCs/>
          <w:color w:val="000000"/>
          <w:lang w:val="es-ES" w:eastAsia="es-ES"/>
        </w:rPr>
      </w:pPr>
    </w:p>
    <w:p w:rsidR="00816604" w:rsidRPr="003666C1" w:rsidRDefault="00816604" w:rsidP="00816604">
      <w:pPr>
        <w:widowControl w:val="0"/>
        <w:autoSpaceDE w:val="0"/>
        <w:autoSpaceDN w:val="0"/>
        <w:adjustRightInd w:val="0"/>
        <w:spacing w:line="360" w:lineRule="auto"/>
        <w:jc w:val="both"/>
        <w:rPr>
          <w:rFonts w:ascii="Century Gothic" w:eastAsia="Times New Roman" w:hAnsi="Century Gothic"/>
          <w:b/>
          <w:lang w:eastAsia="es-ES"/>
        </w:rPr>
      </w:pPr>
      <w:r w:rsidRPr="003666C1">
        <w:rPr>
          <w:rFonts w:ascii="Century Gothic" w:eastAsia="Times New Roman" w:hAnsi="Century Gothic"/>
          <w:b/>
          <w:lang w:eastAsia="es-ES"/>
        </w:rPr>
        <w:t>1.- La competencia.-</w:t>
      </w:r>
    </w:p>
    <w:p w:rsidR="00816604" w:rsidRPr="003666C1" w:rsidRDefault="00816604" w:rsidP="00816604">
      <w:pPr>
        <w:rPr>
          <w:lang w:eastAsia="es-ES"/>
        </w:rPr>
      </w:pPr>
    </w:p>
    <w:p w:rsidR="00816604" w:rsidRPr="003666C1" w:rsidRDefault="00816604" w:rsidP="00816604">
      <w:pPr>
        <w:widowControl w:val="0"/>
        <w:autoSpaceDE w:val="0"/>
        <w:autoSpaceDN w:val="0"/>
        <w:adjustRightInd w:val="0"/>
        <w:spacing w:line="360" w:lineRule="auto"/>
        <w:jc w:val="both"/>
        <w:rPr>
          <w:rFonts w:ascii="Century Gothic" w:eastAsia="Times New Roman" w:hAnsi="Century Gothic"/>
          <w:lang w:eastAsia="es-ES"/>
        </w:rPr>
      </w:pPr>
      <w:r w:rsidRPr="003666C1">
        <w:rPr>
          <w:rFonts w:ascii="Century Gothic" w:eastAsia="Times New Roman" w:hAnsi="Century Gothic"/>
          <w:lang w:eastAsia="es-ES"/>
        </w:rPr>
        <w:t>La Sala es competente para conocer del recurso de apelación interpuesto contra la sentencia proferida por el Tribuna</w:t>
      </w:r>
      <w:r>
        <w:rPr>
          <w:rFonts w:ascii="Century Gothic" w:eastAsia="Times New Roman" w:hAnsi="Century Gothic"/>
          <w:lang w:eastAsia="es-ES"/>
        </w:rPr>
        <w:t>l Administrativo del Valle del Cauca el 26 de septiembre de 2008</w:t>
      </w:r>
      <w:r w:rsidRPr="003666C1">
        <w:rPr>
          <w:rFonts w:ascii="Century Gothic" w:eastAsia="Times New Roman" w:hAnsi="Century Gothic"/>
          <w:lang w:eastAsia="es-ES"/>
        </w:rPr>
        <w:t xml:space="preserve">, por cuanto la </w:t>
      </w:r>
      <w:r>
        <w:rPr>
          <w:rFonts w:ascii="Century Gothic" w:eastAsia="Times New Roman" w:hAnsi="Century Gothic"/>
          <w:lang w:eastAsia="es-ES"/>
        </w:rPr>
        <w:t xml:space="preserve">pretensión mayor </w:t>
      </w:r>
      <w:r w:rsidRPr="003666C1">
        <w:rPr>
          <w:rFonts w:ascii="Century Gothic" w:eastAsia="Times New Roman" w:hAnsi="Century Gothic"/>
          <w:lang w:eastAsia="es-ES"/>
        </w:rPr>
        <w:t>fue estimada por el demandante en la suma de</w:t>
      </w:r>
      <w:r>
        <w:rPr>
          <w:rFonts w:ascii="Century Gothic" w:eastAsia="Times New Roman" w:hAnsi="Century Gothic"/>
          <w:lang w:eastAsia="es-ES"/>
        </w:rPr>
        <w:t xml:space="preserve"> </w:t>
      </w:r>
      <w:r w:rsidRPr="00263960">
        <w:rPr>
          <w:rFonts w:ascii="Century Gothic" w:hAnsi="Century Gothic" w:cs="Arial"/>
        </w:rPr>
        <w:t>$4.300’000.000.oo</w:t>
      </w:r>
      <w:r w:rsidRPr="00263960">
        <w:rPr>
          <w:rFonts w:ascii="Century Gothic" w:eastAsia="Times New Roman" w:hAnsi="Century Gothic"/>
          <w:lang w:eastAsia="es-ES"/>
        </w:rPr>
        <w:t xml:space="preserve"> </w:t>
      </w:r>
      <w:r w:rsidRPr="003666C1">
        <w:rPr>
          <w:rFonts w:ascii="Century Gothic" w:eastAsia="Times New Roman" w:hAnsi="Century Gothic"/>
          <w:lang w:eastAsia="es-ES"/>
        </w:rPr>
        <w:t>y, para la época de interposición del</w:t>
      </w:r>
      <w:r>
        <w:rPr>
          <w:rFonts w:ascii="Century Gothic" w:eastAsia="Times New Roman" w:hAnsi="Century Gothic"/>
          <w:lang w:eastAsia="es-ES"/>
        </w:rPr>
        <w:t xml:space="preserve"> recurso de apelación</w:t>
      </w:r>
      <w:r w:rsidRPr="003666C1">
        <w:rPr>
          <w:rFonts w:ascii="Century Gothic" w:eastAsia="Times New Roman" w:hAnsi="Century Gothic"/>
          <w:vertAlign w:val="superscript"/>
          <w:lang w:eastAsia="es-ES"/>
        </w:rPr>
        <w:footnoteReference w:id="2"/>
      </w:r>
      <w:r w:rsidRPr="003666C1">
        <w:rPr>
          <w:rFonts w:ascii="Century Gothic" w:eastAsia="Times New Roman" w:hAnsi="Century Gothic"/>
          <w:lang w:eastAsia="es-ES"/>
        </w:rPr>
        <w:t xml:space="preserve">, eran susceptibles de acceder a la segunda instancia los procesos promovidos en ejercicio de la acción contractual cuya cuantía excediera la suma de </w:t>
      </w:r>
      <w:r>
        <w:rPr>
          <w:rFonts w:ascii="Century Gothic" w:eastAsia="Times New Roman" w:hAnsi="Century Gothic"/>
          <w:lang w:eastAsia="es-ES"/>
        </w:rPr>
        <w:t>$143´000.000</w:t>
      </w:r>
      <w:r w:rsidRPr="003666C1">
        <w:rPr>
          <w:rFonts w:ascii="Century Gothic" w:eastAsia="Times New Roman" w:hAnsi="Century Gothic"/>
          <w:vertAlign w:val="superscript"/>
          <w:lang w:eastAsia="es-ES"/>
        </w:rPr>
        <w:footnoteReference w:id="3"/>
      </w:r>
      <w:r w:rsidRPr="003666C1">
        <w:rPr>
          <w:rFonts w:ascii="Century Gothic" w:eastAsia="Times New Roman" w:hAnsi="Century Gothic"/>
          <w:lang w:eastAsia="es-ES"/>
        </w:rPr>
        <w:t xml:space="preserve">, monto que se encuentra ampliamente superado, como se puede observar. 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rsidR="00816604" w:rsidRPr="003666C1" w:rsidRDefault="00816604" w:rsidP="00816604">
      <w:pPr>
        <w:spacing w:line="360" w:lineRule="auto"/>
        <w:ind w:right="17"/>
        <w:jc w:val="both"/>
        <w:rPr>
          <w:rFonts w:ascii="Century Gothic" w:eastAsia="Times New Roman" w:hAnsi="Century Gothic" w:cs="Tahoma"/>
          <w:b/>
          <w:lang w:val="es-ES" w:eastAsia="es-ES"/>
        </w:rPr>
      </w:pPr>
    </w:p>
    <w:p w:rsidR="00816604" w:rsidRPr="003666C1" w:rsidRDefault="00816604" w:rsidP="00816604">
      <w:pPr>
        <w:spacing w:line="360" w:lineRule="auto"/>
        <w:ind w:right="17"/>
        <w:jc w:val="both"/>
        <w:rPr>
          <w:rFonts w:ascii="Century Gothic" w:eastAsia="Times New Roman" w:hAnsi="Century Gothic" w:cs="Tahoma"/>
          <w:b/>
          <w:lang w:val="es-ES" w:eastAsia="es-ES"/>
        </w:rPr>
      </w:pPr>
      <w:r w:rsidRPr="003666C1">
        <w:rPr>
          <w:rFonts w:ascii="Century Gothic" w:eastAsia="Times New Roman" w:hAnsi="Century Gothic" w:cs="Tahoma"/>
          <w:b/>
          <w:lang w:val="es-ES" w:eastAsia="es-ES"/>
        </w:rPr>
        <w:t>2.- Análisis del caso.-</w:t>
      </w:r>
    </w:p>
    <w:p w:rsidR="00816604" w:rsidRPr="003666C1" w:rsidRDefault="00816604" w:rsidP="00816604">
      <w:pPr>
        <w:rPr>
          <w:lang w:val="es-ES" w:eastAsia="es-ES"/>
        </w:rPr>
      </w:pPr>
    </w:p>
    <w:p w:rsidR="00816604" w:rsidRDefault="00816604" w:rsidP="00816604">
      <w:pPr>
        <w:spacing w:line="360" w:lineRule="auto"/>
        <w:jc w:val="both"/>
        <w:rPr>
          <w:rFonts w:ascii="Century Gothic" w:eastAsia="Times New Roman" w:hAnsi="Century Gothic" w:cs="Arial"/>
          <w:bCs/>
          <w:lang w:val="es-ES" w:eastAsia="es-ES"/>
        </w:rPr>
      </w:pPr>
      <w:r>
        <w:rPr>
          <w:rFonts w:ascii="Century Gothic" w:eastAsia="Times New Roman" w:hAnsi="Century Gothic"/>
          <w:bCs/>
          <w:lang w:val="es-ES" w:eastAsia="es-ES"/>
        </w:rPr>
        <w:t xml:space="preserve">En el </w:t>
      </w:r>
      <w:r>
        <w:rPr>
          <w:rFonts w:ascii="Century Gothic" w:eastAsia="Times New Roman" w:hAnsi="Century Gothic"/>
          <w:bCs/>
          <w:i/>
          <w:lang w:val="es-ES" w:eastAsia="es-ES"/>
        </w:rPr>
        <w:t xml:space="preserve">sub </w:t>
      </w:r>
      <w:r w:rsidRPr="0033018F">
        <w:rPr>
          <w:rFonts w:ascii="Century Gothic" w:eastAsia="Times New Roman" w:hAnsi="Century Gothic"/>
          <w:bCs/>
          <w:i/>
          <w:lang w:val="es-ES" w:eastAsia="es-ES"/>
        </w:rPr>
        <w:t>júdice</w:t>
      </w:r>
      <w:r>
        <w:rPr>
          <w:rFonts w:ascii="Century Gothic" w:eastAsia="Times New Roman" w:hAnsi="Century Gothic"/>
          <w:bCs/>
          <w:lang w:val="es-ES" w:eastAsia="es-ES"/>
        </w:rPr>
        <w:t xml:space="preserve">, se pretende </w:t>
      </w:r>
      <w:r>
        <w:rPr>
          <w:rFonts w:ascii="Century Gothic" w:eastAsia="Times New Roman" w:hAnsi="Century Gothic" w:cs="Arial"/>
          <w:bCs/>
          <w:lang w:val="es-ES" w:eastAsia="es-ES"/>
        </w:rPr>
        <w:t>la nulidad del acuerdo contenido en el acta de liquidación del contrato 2500-GCE-084-99, en la cual la demandante dejó constancia de que “se reserva el derecho de reclamar”.</w:t>
      </w:r>
    </w:p>
    <w:p w:rsidR="00816604" w:rsidRDefault="00816604" w:rsidP="00816604">
      <w:pPr>
        <w:rPr>
          <w:lang w:val="es-ES" w:eastAsia="es-ES"/>
        </w:rPr>
      </w:pPr>
    </w:p>
    <w:p w:rsidR="00816604" w:rsidRDefault="00816604" w:rsidP="00816604">
      <w:pPr>
        <w:spacing w:line="360" w:lineRule="auto"/>
        <w:jc w:val="both"/>
        <w:rPr>
          <w:rFonts w:ascii="Century Gothic" w:eastAsia="Times New Roman" w:hAnsi="Century Gothic" w:cs="Arial"/>
          <w:bCs/>
          <w:lang w:val="es-ES" w:eastAsia="es-ES"/>
        </w:rPr>
      </w:pPr>
      <w:r>
        <w:rPr>
          <w:rFonts w:ascii="Century Gothic" w:eastAsia="Times New Roman" w:hAnsi="Century Gothic" w:cs="Arial"/>
          <w:bCs/>
          <w:lang w:val="es-ES" w:eastAsia="es-ES"/>
        </w:rPr>
        <w:t>Adicional a ello, solicitó que se declare a EMCALI patrimonial y contractualmente responsable “en razón de los hechos, las actuaciones, las abstenciones y las omisiones antijurídicas que desequilibraron financieramente e impidieron la ejecución y el cumplimiento” del mencionado contrato.</w:t>
      </w:r>
    </w:p>
    <w:p w:rsidR="00816604" w:rsidRDefault="00816604" w:rsidP="00816604">
      <w:pPr>
        <w:rPr>
          <w:lang w:val="es-ES" w:eastAsia="es-ES"/>
        </w:rPr>
      </w:pPr>
    </w:p>
    <w:p w:rsidR="00816604" w:rsidRPr="00263960" w:rsidRDefault="00816604" w:rsidP="00816604">
      <w:pPr>
        <w:spacing w:line="360" w:lineRule="auto"/>
        <w:jc w:val="both"/>
        <w:rPr>
          <w:rFonts w:ascii="Century Gothic" w:hAnsi="Century Gothic" w:cs="Arial"/>
        </w:rPr>
      </w:pPr>
      <w:r>
        <w:rPr>
          <w:rFonts w:ascii="Century Gothic" w:eastAsia="Times New Roman" w:hAnsi="Century Gothic" w:cs="Arial"/>
          <w:bCs/>
          <w:lang w:val="es-ES" w:eastAsia="es-ES"/>
        </w:rPr>
        <w:t>Como corolario de</w:t>
      </w:r>
      <w:r w:rsidRPr="00263960">
        <w:rPr>
          <w:rFonts w:ascii="Century Gothic" w:eastAsia="Times New Roman" w:hAnsi="Century Gothic" w:cs="Arial"/>
          <w:bCs/>
          <w:lang w:val="es-ES" w:eastAsia="es-ES"/>
        </w:rPr>
        <w:t xml:space="preserve"> lo anterior, solicitó, a </w:t>
      </w:r>
      <w:r w:rsidRPr="00263960">
        <w:rPr>
          <w:rFonts w:ascii="Century Gothic" w:hAnsi="Century Gothic" w:cs="Arial"/>
        </w:rPr>
        <w:t>título de restablecimiento del derecho, que se condenara al pago de $6.875’113.092.oo, por perjuicios materiales en la modalidad de daño emergente y lucro cesante.</w:t>
      </w:r>
    </w:p>
    <w:p w:rsidR="00816604" w:rsidRPr="003666C1" w:rsidRDefault="00816604" w:rsidP="00816604">
      <w:pPr>
        <w:rPr>
          <w:lang w:val="es-ES" w:eastAsia="es-ES"/>
        </w:rPr>
      </w:pPr>
    </w:p>
    <w:p w:rsidR="00816604" w:rsidRDefault="00816604" w:rsidP="00816604">
      <w:pPr>
        <w:spacing w:line="360" w:lineRule="auto"/>
        <w:ind w:right="17"/>
        <w:jc w:val="both"/>
        <w:rPr>
          <w:rFonts w:ascii="Century Gothic" w:eastAsia="Times New Roman" w:hAnsi="Century Gothic" w:cs="Tahoma"/>
          <w:lang w:val="es-ES" w:eastAsia="es-ES"/>
        </w:rPr>
      </w:pPr>
      <w:r w:rsidRPr="003666C1">
        <w:rPr>
          <w:rFonts w:ascii="Century Gothic" w:eastAsia="Times New Roman" w:hAnsi="Century Gothic"/>
          <w:lang w:eastAsia="es-ES"/>
        </w:rPr>
        <w:t xml:space="preserve">Para efectos de resolver el recurso de apelación, </w:t>
      </w:r>
      <w:r w:rsidRPr="009C08B7">
        <w:rPr>
          <w:rFonts w:ascii="Century Gothic" w:eastAsia="Times New Roman" w:hAnsi="Century Gothic"/>
          <w:lang w:eastAsia="es-ES"/>
        </w:rPr>
        <w:t>la Sala</w:t>
      </w:r>
      <w:r>
        <w:rPr>
          <w:rFonts w:ascii="Century Gothic" w:eastAsia="Times New Roman" w:hAnsi="Century Gothic"/>
          <w:b/>
          <w:lang w:eastAsia="es-ES"/>
        </w:rPr>
        <w:t xml:space="preserve"> </w:t>
      </w:r>
      <w:r w:rsidRPr="009C08B7">
        <w:rPr>
          <w:rFonts w:ascii="Century Gothic" w:eastAsia="Times New Roman" w:hAnsi="Century Gothic"/>
          <w:lang w:eastAsia="es-ES"/>
        </w:rPr>
        <w:t>considera</w:t>
      </w:r>
      <w:r w:rsidRPr="003666C1">
        <w:rPr>
          <w:rFonts w:ascii="Century Gothic" w:eastAsia="Times New Roman" w:hAnsi="Century Gothic"/>
          <w:lang w:eastAsia="es-ES"/>
        </w:rPr>
        <w:t xml:space="preserve"> </w:t>
      </w:r>
      <w:r w:rsidRPr="009C08B7">
        <w:rPr>
          <w:rFonts w:ascii="Century Gothic" w:eastAsia="Times New Roman" w:hAnsi="Century Gothic" w:cs="Tahoma"/>
          <w:lang w:val="es-ES" w:eastAsia="es-ES"/>
        </w:rPr>
        <w:t>necesario</w:t>
      </w:r>
      <w:r w:rsidRPr="003666C1">
        <w:rPr>
          <w:rFonts w:ascii="Century Gothic" w:eastAsia="Times New Roman" w:hAnsi="Century Gothic" w:cs="Tahoma"/>
          <w:lang w:val="es-ES" w:eastAsia="es-ES"/>
        </w:rPr>
        <w:t xml:space="preserve"> precisar que, cuando se trata de contratos que se han liquidado en forma bilateral, el estudio de las pretensiones se ve condicionado a que se hayan dejado las respectivas constancias o salvedades </w:t>
      </w:r>
      <w:r w:rsidRPr="0033018F">
        <w:rPr>
          <w:rFonts w:ascii="Century Gothic" w:eastAsia="Times New Roman" w:hAnsi="Century Gothic" w:cs="Tahoma"/>
          <w:lang w:val="es-ES" w:eastAsia="es-ES"/>
        </w:rPr>
        <w:t>en el momento de la suscripción del</w:t>
      </w:r>
      <w:r>
        <w:rPr>
          <w:rFonts w:ascii="Century Gothic" w:eastAsia="Times New Roman" w:hAnsi="Century Gothic" w:cs="Tahoma"/>
          <w:lang w:val="es-ES" w:eastAsia="es-ES"/>
        </w:rPr>
        <w:t xml:space="preserve"> acta de liquidación</w:t>
      </w:r>
      <w:r w:rsidRPr="0033018F">
        <w:rPr>
          <w:rFonts w:ascii="Century Gothic" w:eastAsia="Times New Roman" w:hAnsi="Century Gothic" w:cs="Tahoma"/>
          <w:lang w:val="es-ES" w:eastAsia="es-ES"/>
        </w:rPr>
        <w:t>.</w:t>
      </w:r>
      <w:r w:rsidRPr="003666C1">
        <w:rPr>
          <w:rFonts w:ascii="Century Gothic" w:eastAsia="Times New Roman" w:hAnsi="Century Gothic" w:cs="Tahoma"/>
          <w:lang w:val="es-ES" w:eastAsia="es-ES"/>
        </w:rPr>
        <w:t xml:space="preserve"> </w:t>
      </w:r>
    </w:p>
    <w:p w:rsidR="00816604" w:rsidRPr="009C08B7" w:rsidRDefault="00816604" w:rsidP="00816604">
      <w:pPr>
        <w:spacing w:line="360" w:lineRule="auto"/>
        <w:ind w:right="17"/>
        <w:jc w:val="both"/>
        <w:rPr>
          <w:rFonts w:ascii="Century Gothic" w:eastAsia="Times New Roman" w:hAnsi="Century Gothic" w:cs="Tahoma"/>
          <w:lang w:val="es-ES" w:eastAsia="es-ES"/>
        </w:rPr>
      </w:pPr>
    </w:p>
    <w:p w:rsidR="00816604" w:rsidRPr="003666C1" w:rsidRDefault="00816604" w:rsidP="00816604">
      <w:pPr>
        <w:spacing w:line="360" w:lineRule="auto"/>
        <w:ind w:right="46"/>
        <w:jc w:val="both"/>
        <w:rPr>
          <w:rFonts w:ascii="Century Gothic" w:eastAsia="Times New Roman" w:hAnsi="Century Gothic" w:cs="Tahoma"/>
          <w:lang w:val="es-ES" w:eastAsia="es-ES"/>
        </w:rPr>
      </w:pPr>
      <w:r w:rsidRPr="003666C1">
        <w:rPr>
          <w:rFonts w:ascii="Century Gothic" w:eastAsia="Times New Roman" w:hAnsi="Century Gothic" w:cs="Tahoma"/>
          <w:lang w:val="es-ES" w:eastAsia="es-ES"/>
        </w:rPr>
        <w:lastRenderedPageBreak/>
        <w:t xml:space="preserve">En efecto, la liquidación del contrato se ha entendido como un corte de cuentas entre las partes contratantes, es la etapa final del negocio jurídico donde se hace el  balance económico, jurídico y técnico de lo ejecutado, y se define el estado en que queda el contrato después de su ejecución o terminación por cualquier otra causa. En ese sentido se ha pronunciado esta Sección: </w:t>
      </w:r>
    </w:p>
    <w:p w:rsidR="00816604" w:rsidRPr="003666C1" w:rsidRDefault="00816604" w:rsidP="00816604">
      <w:pPr>
        <w:ind w:left="851" w:right="851"/>
        <w:jc w:val="both"/>
        <w:rPr>
          <w:rFonts w:ascii="Century Gothic" w:eastAsia="Times New Roman" w:hAnsi="Century Gothic" w:cs="Arial"/>
          <w:sz w:val="20"/>
          <w:szCs w:val="20"/>
          <w:lang w:val="es-ES" w:eastAsia="es-ES"/>
        </w:rPr>
      </w:pPr>
    </w:p>
    <w:p w:rsidR="00816604" w:rsidRPr="003666C1" w:rsidRDefault="00816604" w:rsidP="00816604">
      <w:pPr>
        <w:ind w:left="851" w:right="851"/>
        <w:jc w:val="both"/>
        <w:rPr>
          <w:rFonts w:ascii="Century Gothic" w:eastAsia="Times New Roman" w:hAnsi="Century Gothic" w:cs="Tahoma"/>
          <w:sz w:val="20"/>
          <w:szCs w:val="20"/>
          <w:lang w:val="es-ES" w:eastAsia="es-ES"/>
        </w:rPr>
      </w:pPr>
      <w:r w:rsidRPr="003666C1">
        <w:rPr>
          <w:rFonts w:ascii="Century Gothic" w:eastAsia="Times New Roman" w:hAnsi="Century Gothic" w:cs="Arial"/>
          <w:sz w:val="20"/>
          <w:szCs w:val="20"/>
          <w:lang w:val="es-ES" w:eastAsia="es-ES"/>
        </w:rPr>
        <w:t>“La Jurisprudencia</w:t>
      </w:r>
      <w:r>
        <w:rPr>
          <w:rFonts w:ascii="Century Gothic" w:eastAsia="Times New Roman" w:hAnsi="Century Gothic" w:cs="Arial"/>
          <w:sz w:val="20"/>
          <w:szCs w:val="20"/>
          <w:lang w:val="es-ES" w:eastAsia="es-ES"/>
        </w:rPr>
        <w:t xml:space="preserve"> (sic)</w:t>
      </w:r>
      <w:r w:rsidRPr="003666C1">
        <w:rPr>
          <w:rFonts w:ascii="Century Gothic" w:eastAsia="Times New Roman" w:hAnsi="Century Gothic" w:cs="Arial"/>
          <w:sz w:val="20"/>
          <w:szCs w:val="20"/>
          <w:lang w:val="es-ES" w:eastAsia="es-ES"/>
        </w:rPr>
        <w:t xml:space="preserve"> ha establecido que el alcance y sentido de la liquidación definitiva de un contrato es el de un verdadero balance o corte de cuentas, lo cual permite determinar si alguna de las partes de un contrato le debe algo a la otra u otras y</w:t>
      </w:r>
      <w:r>
        <w:rPr>
          <w:rFonts w:ascii="Century Gothic" w:eastAsia="Times New Roman" w:hAnsi="Century Gothic" w:cs="Arial"/>
          <w:sz w:val="20"/>
          <w:szCs w:val="20"/>
          <w:lang w:val="es-ES" w:eastAsia="es-ES"/>
        </w:rPr>
        <w:t xml:space="preserve"> (sic)</w:t>
      </w:r>
      <w:r w:rsidRPr="003666C1">
        <w:rPr>
          <w:rFonts w:ascii="Century Gothic" w:eastAsia="Times New Roman" w:hAnsi="Century Gothic" w:cs="Arial"/>
          <w:sz w:val="20"/>
          <w:szCs w:val="20"/>
          <w:lang w:val="es-ES" w:eastAsia="es-ES"/>
        </w:rPr>
        <w:t xml:space="preserve"> de ser así, cuánto es el monto del valor adeudado”</w:t>
      </w:r>
      <w:r w:rsidRPr="003666C1">
        <w:rPr>
          <w:rFonts w:ascii="Century Gothic" w:eastAsia="Times New Roman" w:hAnsi="Century Gothic" w:cs="Arial"/>
          <w:sz w:val="20"/>
          <w:szCs w:val="20"/>
          <w:vertAlign w:val="superscript"/>
          <w:lang w:val="es-ES" w:eastAsia="es-ES"/>
        </w:rPr>
        <w:footnoteReference w:id="4"/>
      </w:r>
      <w:r w:rsidRPr="003666C1">
        <w:rPr>
          <w:rFonts w:ascii="Century Gothic" w:eastAsia="Times New Roman" w:hAnsi="Century Gothic" w:cs="Arial"/>
          <w:sz w:val="20"/>
          <w:szCs w:val="20"/>
          <w:lang w:val="es-ES" w:eastAsia="es-ES"/>
        </w:rPr>
        <w:t>.</w:t>
      </w:r>
    </w:p>
    <w:p w:rsidR="00816604" w:rsidRDefault="00816604" w:rsidP="00816604">
      <w:pPr>
        <w:spacing w:line="360" w:lineRule="auto"/>
        <w:jc w:val="center"/>
        <w:rPr>
          <w:rFonts w:ascii="Tahoma" w:eastAsia="Times New Roman" w:hAnsi="Tahoma" w:cs="Tahoma"/>
          <w:sz w:val="24"/>
          <w:szCs w:val="24"/>
          <w:lang w:val="es-ES" w:eastAsia="es-ES"/>
        </w:rPr>
      </w:pPr>
    </w:p>
    <w:p w:rsidR="00816604" w:rsidRPr="003666C1" w:rsidRDefault="00816604" w:rsidP="00816604">
      <w:pPr>
        <w:pStyle w:val="Sinespaciado"/>
        <w:rPr>
          <w:lang w:val="es-ES" w:eastAsia="es-ES"/>
        </w:rPr>
      </w:pPr>
    </w:p>
    <w:p w:rsidR="00816604" w:rsidRPr="003666C1" w:rsidRDefault="00816604" w:rsidP="00816604">
      <w:pPr>
        <w:spacing w:line="360" w:lineRule="auto"/>
        <w:ind w:right="45"/>
        <w:jc w:val="both"/>
        <w:rPr>
          <w:rFonts w:ascii="Century Gothic" w:eastAsia="Times New Roman" w:hAnsi="Century Gothic" w:cs="Tahoma"/>
          <w:lang w:val="es-ES" w:eastAsia="es-ES"/>
        </w:rPr>
      </w:pPr>
      <w:r w:rsidRPr="003666C1">
        <w:rPr>
          <w:rFonts w:ascii="Century Gothic" w:eastAsia="Times New Roman" w:hAnsi="Century Gothic" w:cs="Tahoma"/>
          <w:lang w:val="es-ES" w:eastAsia="es-ES"/>
        </w:rPr>
        <w:t xml:space="preserve">La liquidación puede ser unilateral o bilateral. Esta última supone un acuerdo de voluntades de naturaleza contractual, porque son las mismas partes del negocio quienes establecen los términos </w:t>
      </w:r>
      <w:r>
        <w:rPr>
          <w:rFonts w:ascii="Century Gothic" w:eastAsia="Times New Roman" w:hAnsi="Century Gothic" w:cs="Tahoma"/>
          <w:lang w:val="es-ES" w:eastAsia="es-ES"/>
        </w:rPr>
        <w:t xml:space="preserve">en que </w:t>
      </w:r>
      <w:r w:rsidRPr="003666C1">
        <w:rPr>
          <w:rFonts w:ascii="Century Gothic" w:eastAsia="Times New Roman" w:hAnsi="Century Gothic" w:cs="Tahoma"/>
          <w:lang w:val="es-ES" w:eastAsia="es-ES"/>
        </w:rPr>
        <w:t xml:space="preserve">finaliza la relación; ahora, si bien lo normal es que la liquidación se produzca tan pronto finaliza la ejecución del contrato, existen situaciones en las que ocurre antes, como cuando las partes </w:t>
      </w:r>
      <w:r>
        <w:rPr>
          <w:rFonts w:ascii="Century Gothic" w:eastAsia="Times New Roman" w:hAnsi="Century Gothic" w:cs="Tahoma"/>
          <w:lang w:val="es-ES" w:eastAsia="es-ES"/>
        </w:rPr>
        <w:t xml:space="preserve">llegan a ésta </w:t>
      </w:r>
      <w:r w:rsidRPr="003666C1">
        <w:rPr>
          <w:rFonts w:ascii="Century Gothic" w:eastAsia="Times New Roman" w:hAnsi="Century Gothic" w:cs="Tahoma"/>
          <w:lang w:val="es-ES" w:eastAsia="es-ES"/>
        </w:rPr>
        <w:t>de común acuerdo, o lo hace el Estado en forma unilateral, ya sea porque se declara la caducidad o se presenta otra circunstancia imprevista que imposibilita continuar la ejecución.</w:t>
      </w:r>
    </w:p>
    <w:p w:rsidR="00816604" w:rsidRPr="003666C1" w:rsidRDefault="00816604" w:rsidP="00816604">
      <w:pPr>
        <w:rPr>
          <w:lang w:val="es-ES" w:eastAsia="es-ES"/>
        </w:rPr>
      </w:pPr>
    </w:p>
    <w:p w:rsidR="00816604" w:rsidRPr="003666C1" w:rsidRDefault="00816604" w:rsidP="00816604">
      <w:pPr>
        <w:spacing w:line="360" w:lineRule="auto"/>
        <w:ind w:right="45"/>
        <w:jc w:val="both"/>
        <w:rPr>
          <w:rFonts w:ascii="Century Gothic" w:eastAsia="Times New Roman" w:hAnsi="Century Gothic" w:cs="Tahoma"/>
          <w:lang w:val="es-ES" w:eastAsia="es-ES"/>
        </w:rPr>
      </w:pPr>
      <w:r w:rsidRPr="003666C1">
        <w:rPr>
          <w:rFonts w:ascii="Century Gothic" w:eastAsia="Times New Roman" w:hAnsi="Century Gothic" w:cs="Tahoma"/>
          <w:lang w:val="es-ES" w:eastAsia="es-ES"/>
        </w:rPr>
        <w:t>Pero, cualquiera sea la causa o forma como se llegue a la liquidación bilateral, la jurisprudencia ha señalado, reiteradamente, que cuando esto acontece no es posible que las partes intenten una acción judicial, para reclamar por los daños e inconformidades, si la parte interesada no dejó constancias de insatisfacción en relación con el aspecto concreto que aspira a reclamar ante el juez. Esta tesis se ha aplicado con fundamento en un criterio jurisprudencial</w:t>
      </w:r>
      <w:r w:rsidRPr="003666C1">
        <w:rPr>
          <w:rFonts w:ascii="Century Gothic" w:eastAsia="Times New Roman" w:hAnsi="Century Gothic" w:cs="Tahoma"/>
          <w:vertAlign w:val="superscript"/>
          <w:lang w:val="es-ES" w:eastAsia="es-ES"/>
        </w:rPr>
        <w:footnoteReference w:id="5"/>
      </w:r>
      <w:r w:rsidRPr="003666C1">
        <w:rPr>
          <w:rFonts w:ascii="Century Gothic" w:eastAsia="Times New Roman" w:hAnsi="Century Gothic" w:cs="Tahoma"/>
          <w:lang w:val="es-ES" w:eastAsia="es-ES"/>
        </w:rPr>
        <w:t xml:space="preserve"> y legal</w:t>
      </w:r>
      <w:r w:rsidRPr="003666C1">
        <w:rPr>
          <w:rFonts w:ascii="Century Gothic" w:eastAsia="Times New Roman" w:hAnsi="Century Gothic" w:cs="Tahoma"/>
          <w:vertAlign w:val="superscript"/>
          <w:lang w:val="es-ES" w:eastAsia="es-ES"/>
        </w:rPr>
        <w:footnoteReference w:id="6"/>
      </w:r>
      <w:r w:rsidRPr="003666C1">
        <w:rPr>
          <w:rFonts w:ascii="Century Gothic" w:eastAsia="Times New Roman" w:hAnsi="Century Gothic" w:cs="Tahoma"/>
          <w:lang w:val="es-ES" w:eastAsia="es-ES"/>
        </w:rPr>
        <w:t xml:space="preserve">, salvo que se trate de </w:t>
      </w:r>
      <w:r w:rsidRPr="003666C1">
        <w:rPr>
          <w:rFonts w:ascii="Century Gothic" w:eastAsia="Times New Roman" w:hAnsi="Century Gothic" w:cs="Tahoma"/>
          <w:lang w:val="es-ES" w:eastAsia="es-ES"/>
        </w:rPr>
        <w:lastRenderedPageBreak/>
        <w:t>circunstancias que se presenten con posterioridad a la fecha en la que se suscriba el acta de liquidación del contrato. En este orden de ideas</w:t>
      </w:r>
      <w:r>
        <w:rPr>
          <w:rFonts w:ascii="Century Gothic" w:eastAsia="Times New Roman" w:hAnsi="Century Gothic" w:cs="Tahoma"/>
          <w:lang w:val="es-ES" w:eastAsia="es-ES"/>
        </w:rPr>
        <w:t>, se dijo</w:t>
      </w:r>
      <w:r w:rsidRPr="003666C1">
        <w:rPr>
          <w:rFonts w:ascii="Century Gothic" w:eastAsia="Times New Roman" w:hAnsi="Century Gothic" w:cs="Tahoma"/>
          <w:lang w:val="es-ES" w:eastAsia="es-ES"/>
        </w:rPr>
        <w:t xml:space="preserve">: </w:t>
      </w:r>
    </w:p>
    <w:p w:rsidR="00816604" w:rsidRDefault="00816604" w:rsidP="00816604">
      <w:pPr>
        <w:ind w:left="851" w:right="851"/>
        <w:jc w:val="both"/>
        <w:rPr>
          <w:rFonts w:ascii="Century Gothic" w:eastAsia="Times New Roman" w:hAnsi="Century Gothic" w:cs="Tahoma"/>
          <w:sz w:val="20"/>
          <w:szCs w:val="20"/>
          <w:lang w:val="es-ES" w:eastAsia="es-ES"/>
        </w:rPr>
      </w:pPr>
    </w:p>
    <w:p w:rsidR="00816604" w:rsidRPr="00A33F2A" w:rsidRDefault="00816604" w:rsidP="00816604">
      <w:pPr>
        <w:pStyle w:val="Sinespaciado"/>
      </w:pPr>
    </w:p>
    <w:p w:rsidR="00816604" w:rsidRPr="003666C1" w:rsidRDefault="00816604" w:rsidP="00816604">
      <w:pPr>
        <w:ind w:left="851" w:right="851"/>
        <w:jc w:val="both"/>
        <w:rPr>
          <w:rFonts w:ascii="Century Gothic" w:eastAsia="Times New Roman" w:hAnsi="Century Gothic" w:cs="Tahoma"/>
          <w:sz w:val="20"/>
          <w:szCs w:val="20"/>
          <w:lang w:val="es-ES" w:eastAsia="es-ES"/>
        </w:rPr>
      </w:pPr>
      <w:r w:rsidRPr="003666C1">
        <w:rPr>
          <w:rFonts w:ascii="Century Gothic" w:eastAsia="Times New Roman" w:hAnsi="Century Gothic" w:cs="Tahoma"/>
          <w:sz w:val="20"/>
          <w:szCs w:val="20"/>
          <w:lang w:val="es-ES" w:eastAsia="es-ES"/>
        </w:rPr>
        <w:t>“En este sentido, constituye requisito de la acción contractual la existencia de la inconformidad, que debe quedar expresa y escrita en el acta de liquidación bilateral. Por eso ha considerado esta Sala –sentencia de julio 6 de 2.005. Exp. 14.113- que: ‘… la constancia que el contratista inconforme consigna en el acta no puede ser de cualquier tipo; es necesario que reúna las siguientes características: que identifique adecuadamente los problemas surgidos con ocasión de contrato, es decir, que sea clara, concreta y específica; no obstante no tiene que expresar técnicamente toda una reflexión y justificación jurídico-</w:t>
      </w:r>
      <w:r w:rsidRPr="00C46F93">
        <w:rPr>
          <w:rFonts w:ascii="Century Gothic" w:eastAsia="Times New Roman" w:hAnsi="Century Gothic" w:cs="Tahoma"/>
          <w:color w:val="000000"/>
          <w:sz w:val="20"/>
          <w:szCs w:val="20"/>
          <w:lang w:val="es-ES" w:eastAsia="es-ES"/>
        </w:rPr>
        <w:t>económica,</w:t>
      </w:r>
      <w:r w:rsidRPr="003666C1">
        <w:rPr>
          <w:rFonts w:ascii="Century Gothic" w:eastAsia="Times New Roman" w:hAnsi="Century Gothic" w:cs="Tahoma"/>
          <w:sz w:val="20"/>
          <w:szCs w:val="20"/>
          <w:lang w:val="es-ES" w:eastAsia="es-ES"/>
        </w:rPr>
        <w:t xml:space="preserve"> pero si</w:t>
      </w:r>
      <w:r>
        <w:rPr>
          <w:rFonts w:ascii="Century Gothic" w:eastAsia="Times New Roman" w:hAnsi="Century Gothic" w:cs="Tahoma"/>
          <w:sz w:val="20"/>
          <w:szCs w:val="20"/>
          <w:lang w:val="es-ES" w:eastAsia="es-ES"/>
        </w:rPr>
        <w:t xml:space="preserve"> (sic)</w:t>
      </w:r>
      <w:r w:rsidRPr="003666C1">
        <w:rPr>
          <w:rFonts w:ascii="Century Gothic" w:eastAsia="Times New Roman" w:hAnsi="Century Gothic" w:cs="Tahoma"/>
          <w:sz w:val="20"/>
          <w:szCs w:val="20"/>
          <w:lang w:val="es-ES" w:eastAsia="es-ES"/>
        </w:rPr>
        <w:t xml:space="preserve"> debe contener, así sea de modo elemental, la identificación del problema, es decir, los motivos concretos de inconformidad…’”</w:t>
      </w:r>
      <w:r w:rsidRPr="003666C1">
        <w:rPr>
          <w:rFonts w:ascii="Century Gothic" w:eastAsia="Times New Roman" w:hAnsi="Century Gothic" w:cs="Tahoma"/>
          <w:sz w:val="20"/>
          <w:szCs w:val="20"/>
          <w:vertAlign w:val="superscript"/>
          <w:lang w:val="es-ES" w:eastAsia="es-ES"/>
        </w:rPr>
        <w:footnoteReference w:id="7"/>
      </w:r>
      <w:r w:rsidRPr="003666C1">
        <w:rPr>
          <w:rFonts w:ascii="Century Gothic" w:eastAsia="Times New Roman" w:hAnsi="Century Gothic" w:cs="Tahoma"/>
          <w:sz w:val="20"/>
          <w:szCs w:val="20"/>
          <w:lang w:val="es-ES" w:eastAsia="es-ES"/>
        </w:rPr>
        <w:t>.</w:t>
      </w:r>
    </w:p>
    <w:p w:rsidR="00816604" w:rsidRPr="00C95082" w:rsidRDefault="00816604" w:rsidP="00816604">
      <w:pPr>
        <w:ind w:left="851" w:right="851"/>
        <w:jc w:val="both"/>
        <w:rPr>
          <w:rFonts w:ascii="Century Gothic" w:eastAsia="Times New Roman" w:hAnsi="Century Gothic" w:cs="Arial"/>
          <w:sz w:val="20"/>
          <w:szCs w:val="20"/>
          <w:lang w:val="es-ES" w:eastAsia="es-ES"/>
        </w:rPr>
      </w:pPr>
      <w:r w:rsidRPr="003666C1">
        <w:rPr>
          <w:rFonts w:ascii="Century Gothic" w:eastAsia="Times New Roman" w:hAnsi="Century Gothic" w:cs="Arial"/>
          <w:sz w:val="20"/>
          <w:szCs w:val="20"/>
          <w:lang w:val="es-ES" w:eastAsia="es-ES"/>
        </w:rPr>
        <w:t xml:space="preserve"> </w:t>
      </w:r>
    </w:p>
    <w:p w:rsidR="00816604" w:rsidRDefault="00816604" w:rsidP="00816604">
      <w:pPr>
        <w:pStyle w:val="xmsonormal"/>
        <w:shd w:val="clear" w:color="auto" w:fill="FFFFFF"/>
        <w:spacing w:line="338" w:lineRule="atLeast"/>
        <w:ind w:right="45"/>
        <w:jc w:val="both"/>
        <w:rPr>
          <w:rFonts w:ascii="Century Gothic" w:hAnsi="Century Gothic" w:cs="Segoe UI"/>
          <w:color w:val="212121"/>
          <w:sz w:val="22"/>
          <w:szCs w:val="22"/>
          <w:lang w:val="es-ES"/>
        </w:rPr>
      </w:pPr>
      <w:r>
        <w:rPr>
          <w:rFonts w:ascii="Century Gothic" w:hAnsi="Century Gothic" w:cs="Segoe UI"/>
          <w:color w:val="212121"/>
          <w:sz w:val="22"/>
          <w:szCs w:val="22"/>
          <w:lang w:val="es-ES"/>
        </w:rPr>
        <w:t>Sobre los requisitos que deben cumplir las observaciones que se dejen en el acta de liquidación bilateral del contrato se ha dicho:</w:t>
      </w:r>
    </w:p>
    <w:p w:rsidR="00816604" w:rsidRDefault="00816604" w:rsidP="00816604">
      <w:pPr>
        <w:pStyle w:val="Sinespaciado"/>
      </w:pPr>
    </w:p>
    <w:p w:rsidR="00816604" w:rsidRPr="00C46F93" w:rsidRDefault="00816604" w:rsidP="00816604">
      <w:pPr>
        <w:pStyle w:val="xmsonormal"/>
        <w:shd w:val="clear" w:color="auto" w:fill="FFFFFF"/>
        <w:spacing w:before="0" w:beforeAutospacing="0" w:after="0" w:afterAutospacing="0"/>
        <w:ind w:left="851" w:right="851"/>
        <w:jc w:val="both"/>
        <w:rPr>
          <w:rFonts w:ascii="Segoe UI" w:hAnsi="Segoe UI" w:cs="Segoe UI"/>
          <w:color w:val="0D0D0D"/>
          <w:sz w:val="23"/>
          <w:szCs w:val="23"/>
        </w:rPr>
      </w:pPr>
      <w:r w:rsidRPr="00C46F93">
        <w:rPr>
          <w:rFonts w:ascii="Century Gothic" w:hAnsi="Century Gothic" w:cs="Segoe UI"/>
          <w:color w:val="000000"/>
          <w:sz w:val="20"/>
          <w:szCs w:val="20"/>
          <w:lang w:val="es-ES"/>
        </w:rPr>
        <w:t>“</w:t>
      </w:r>
      <w:r w:rsidRPr="00C46F93">
        <w:rPr>
          <w:rFonts w:ascii="Century Gothic" w:hAnsi="Century Gothic" w:cs="Segoe UI"/>
          <w:color w:val="0D0D0D"/>
          <w:sz w:val="20"/>
          <w:szCs w:val="20"/>
          <w:lang w:val="es-ES"/>
        </w:rPr>
        <w:t>De modo que los requisitos de las inconformidades que se deben incluir en el documento de liquidación bilateral, (sic) son las siguientes:</w:t>
      </w:r>
    </w:p>
    <w:p w:rsidR="00816604" w:rsidRPr="00C46F93" w:rsidRDefault="00816604" w:rsidP="00816604">
      <w:pPr>
        <w:pStyle w:val="xmsonormal"/>
        <w:shd w:val="clear" w:color="auto" w:fill="FFFFFF"/>
        <w:spacing w:before="0" w:beforeAutospacing="0" w:after="0" w:afterAutospacing="0"/>
        <w:ind w:left="851" w:right="851"/>
        <w:jc w:val="both"/>
        <w:rPr>
          <w:rFonts w:ascii="Segoe UI" w:hAnsi="Segoe UI" w:cs="Segoe UI"/>
          <w:color w:val="0D0D0D"/>
          <w:sz w:val="23"/>
          <w:szCs w:val="23"/>
        </w:rPr>
      </w:pPr>
      <w:r w:rsidRPr="00C46F93">
        <w:rPr>
          <w:rFonts w:ascii="Century Gothic" w:hAnsi="Century Gothic" w:cs="Segoe UI"/>
          <w:color w:val="0D0D0D"/>
          <w:sz w:val="20"/>
          <w:szCs w:val="20"/>
          <w:lang w:val="es-ES"/>
        </w:rPr>
        <w:t> </w:t>
      </w:r>
    </w:p>
    <w:p w:rsidR="00816604" w:rsidRPr="00C46F93" w:rsidRDefault="00816604" w:rsidP="00816604">
      <w:pPr>
        <w:pStyle w:val="xmsonormal"/>
        <w:shd w:val="clear" w:color="auto" w:fill="FFFFFF"/>
        <w:spacing w:before="0" w:beforeAutospacing="0" w:after="0" w:afterAutospacing="0"/>
        <w:ind w:left="851" w:right="851"/>
        <w:jc w:val="both"/>
        <w:rPr>
          <w:rFonts w:ascii="Segoe UI" w:hAnsi="Segoe UI" w:cs="Segoe UI"/>
          <w:color w:val="0D0D0D"/>
          <w:sz w:val="23"/>
          <w:szCs w:val="23"/>
        </w:rPr>
      </w:pPr>
      <w:r w:rsidRPr="00C46F93">
        <w:rPr>
          <w:rFonts w:ascii="Century Gothic" w:hAnsi="Century Gothic" w:cs="Segoe UI"/>
          <w:color w:val="0D0D0D"/>
          <w:sz w:val="20"/>
          <w:szCs w:val="20"/>
          <w:lang w:val="es-ES"/>
        </w:rPr>
        <w:t>“i) es preciso que se identifiquen de manera adecuada y clara los problemas o circunstancia que le sirven de fundamento fáctico a la reclamación. Es decir, que se indiquen cuáles son los motivos en los que se estructura esa glosa.</w:t>
      </w:r>
    </w:p>
    <w:p w:rsidR="00816604" w:rsidRPr="00C46F93" w:rsidRDefault="00816604" w:rsidP="00816604">
      <w:pPr>
        <w:pStyle w:val="xmsonormal"/>
        <w:shd w:val="clear" w:color="auto" w:fill="FFFFFF"/>
        <w:spacing w:before="0" w:beforeAutospacing="0" w:after="0" w:afterAutospacing="0"/>
        <w:ind w:left="851" w:right="851"/>
        <w:jc w:val="both"/>
        <w:rPr>
          <w:rFonts w:ascii="Segoe UI" w:hAnsi="Segoe UI" w:cs="Segoe UI"/>
          <w:color w:val="0D0D0D"/>
          <w:sz w:val="23"/>
          <w:szCs w:val="23"/>
        </w:rPr>
      </w:pPr>
      <w:r w:rsidRPr="00C46F93">
        <w:rPr>
          <w:rFonts w:ascii="Century Gothic" w:hAnsi="Century Gothic" w:cs="Segoe UI"/>
          <w:color w:val="0D0D0D"/>
          <w:sz w:val="20"/>
          <w:szCs w:val="20"/>
          <w:lang w:val="es-ES"/>
        </w:rPr>
        <w:t> </w:t>
      </w:r>
    </w:p>
    <w:p w:rsidR="00816604" w:rsidRPr="00C46F93" w:rsidRDefault="00816604" w:rsidP="00816604">
      <w:pPr>
        <w:pStyle w:val="xmsonormal"/>
        <w:shd w:val="clear" w:color="auto" w:fill="FFFFFF"/>
        <w:spacing w:before="0" w:beforeAutospacing="0" w:after="0" w:afterAutospacing="0"/>
        <w:ind w:left="851" w:right="851"/>
        <w:jc w:val="both"/>
        <w:rPr>
          <w:rFonts w:ascii="Segoe UI" w:hAnsi="Segoe UI" w:cs="Segoe UI"/>
          <w:color w:val="0D0D0D"/>
          <w:sz w:val="23"/>
          <w:szCs w:val="23"/>
        </w:rPr>
      </w:pPr>
      <w:r w:rsidRPr="00C46F93">
        <w:rPr>
          <w:rFonts w:ascii="Century Gothic" w:hAnsi="Century Gothic" w:cs="Segoe UI"/>
          <w:color w:val="0D0D0D"/>
          <w:sz w:val="20"/>
          <w:szCs w:val="20"/>
          <w:lang w:val="es-ES"/>
        </w:rPr>
        <w:t>“ii) La inconformidad debe ser señalada de manera expresa, clara, concreta y específica; por lo tanto, no son válidas salvedades genéricas que no especifiquen de forma puntual el tópico o la materia sobre la que recaen las mismas.</w:t>
      </w:r>
    </w:p>
    <w:p w:rsidR="00816604" w:rsidRPr="00C46F93" w:rsidRDefault="00816604" w:rsidP="00816604">
      <w:pPr>
        <w:pStyle w:val="xmsonormal"/>
        <w:shd w:val="clear" w:color="auto" w:fill="FFFFFF"/>
        <w:spacing w:before="0" w:beforeAutospacing="0" w:after="0" w:afterAutospacing="0"/>
        <w:ind w:left="851" w:right="851"/>
        <w:jc w:val="both"/>
        <w:rPr>
          <w:rFonts w:ascii="Segoe UI" w:hAnsi="Segoe UI" w:cs="Segoe UI"/>
          <w:color w:val="0D0D0D"/>
          <w:sz w:val="23"/>
          <w:szCs w:val="23"/>
        </w:rPr>
      </w:pPr>
      <w:r w:rsidRPr="00C46F93">
        <w:rPr>
          <w:rFonts w:ascii="Century Gothic" w:hAnsi="Century Gothic" w:cs="Segoe UI"/>
          <w:color w:val="0D0D0D"/>
          <w:sz w:val="20"/>
          <w:szCs w:val="20"/>
          <w:lang w:val="es-ES"/>
        </w:rPr>
        <w:t> </w:t>
      </w:r>
    </w:p>
    <w:p w:rsidR="00816604" w:rsidRPr="00C46F93" w:rsidRDefault="00816604" w:rsidP="00816604">
      <w:pPr>
        <w:pStyle w:val="xmsonormal"/>
        <w:shd w:val="clear" w:color="auto" w:fill="FFFFFF"/>
        <w:spacing w:before="0" w:beforeAutospacing="0" w:after="0" w:afterAutospacing="0"/>
        <w:ind w:left="851" w:right="851"/>
        <w:jc w:val="both"/>
        <w:rPr>
          <w:rFonts w:ascii="Segoe UI" w:hAnsi="Segoe UI" w:cs="Segoe UI"/>
          <w:color w:val="0D0D0D"/>
          <w:sz w:val="23"/>
          <w:szCs w:val="23"/>
        </w:rPr>
      </w:pPr>
      <w:r w:rsidRPr="00C46F93">
        <w:rPr>
          <w:rFonts w:ascii="Century Gothic" w:hAnsi="Century Gothic" w:cs="Segoe UI"/>
          <w:color w:val="0D0D0D"/>
          <w:sz w:val="20"/>
          <w:szCs w:val="20"/>
          <w:lang w:val="es-ES"/>
        </w:rPr>
        <w:t>“iii) Es preciso que se incluya al menos una breve consideración sobre las razones que dan soporte a la reclamación, sin que ello suponga la necesidad de incluir argumentos de índole técnica o jurídica, pero sí al menos las razones o fundamentos por los que se considera que es viable la salvedad”</w:t>
      </w:r>
      <w:r w:rsidRPr="00C46F93">
        <w:rPr>
          <w:rStyle w:val="Refdenotaalpie"/>
          <w:rFonts w:ascii="Century Gothic" w:hAnsi="Century Gothic"/>
          <w:color w:val="0D0D0D"/>
          <w:sz w:val="20"/>
          <w:szCs w:val="20"/>
          <w:lang w:val="es-ES"/>
        </w:rPr>
        <w:footnoteReference w:id="8"/>
      </w:r>
      <w:r w:rsidRPr="00C46F93">
        <w:rPr>
          <w:rFonts w:ascii="Century Gothic" w:hAnsi="Century Gothic" w:cs="Segoe UI"/>
          <w:color w:val="0D0D0D"/>
          <w:sz w:val="20"/>
          <w:szCs w:val="20"/>
          <w:lang w:val="es-ES"/>
        </w:rPr>
        <w:t>.</w:t>
      </w:r>
    </w:p>
    <w:p w:rsidR="00816604" w:rsidRDefault="00816604" w:rsidP="00816604">
      <w:pPr>
        <w:spacing w:line="360" w:lineRule="auto"/>
        <w:ind w:right="17"/>
        <w:jc w:val="both"/>
        <w:rPr>
          <w:rFonts w:ascii="Century Gothic" w:eastAsia="Times New Roman" w:hAnsi="Century Gothic"/>
          <w:lang w:val="es-ES" w:eastAsia="es-ES"/>
        </w:rPr>
      </w:pPr>
    </w:p>
    <w:p w:rsidR="00816604" w:rsidRDefault="00816604" w:rsidP="00816604">
      <w:pPr>
        <w:pStyle w:val="Sinespaciado"/>
        <w:rPr>
          <w:lang w:val="es-ES" w:eastAsia="es-ES"/>
        </w:rPr>
      </w:pPr>
    </w:p>
    <w:p w:rsidR="00816604" w:rsidRPr="003666C1" w:rsidRDefault="00816604" w:rsidP="00816604">
      <w:pPr>
        <w:spacing w:line="360" w:lineRule="auto"/>
        <w:ind w:right="17"/>
        <w:jc w:val="both"/>
        <w:rPr>
          <w:rFonts w:ascii="Century Gothic" w:eastAsia="Times New Roman" w:hAnsi="Century Gothic"/>
          <w:lang w:val="es-ES" w:eastAsia="es-ES"/>
        </w:rPr>
      </w:pPr>
      <w:r w:rsidRPr="003666C1">
        <w:rPr>
          <w:rFonts w:ascii="Century Gothic" w:eastAsia="Times New Roman" w:hAnsi="Century Gothic"/>
          <w:lang w:val="es-ES" w:eastAsia="es-ES"/>
        </w:rPr>
        <w:lastRenderedPageBreak/>
        <w:t xml:space="preserve">En el presente caso, se encuentra </w:t>
      </w:r>
      <w:r>
        <w:rPr>
          <w:rFonts w:ascii="Century Gothic" w:eastAsia="Times New Roman" w:hAnsi="Century Gothic"/>
          <w:lang w:val="es-ES" w:eastAsia="es-ES"/>
        </w:rPr>
        <w:t>que el contrato de suministro</w:t>
      </w:r>
      <w:r w:rsidRPr="003666C1">
        <w:rPr>
          <w:rFonts w:ascii="Century Gothic" w:eastAsia="Times New Roman" w:hAnsi="Century Gothic"/>
          <w:lang w:val="es-ES" w:eastAsia="es-ES"/>
        </w:rPr>
        <w:t xml:space="preserve"> se </w:t>
      </w:r>
      <w:r>
        <w:rPr>
          <w:rFonts w:ascii="Century Gothic" w:eastAsia="Times New Roman" w:hAnsi="Century Gothic"/>
          <w:lang w:val="es-ES" w:eastAsia="es-ES"/>
        </w:rPr>
        <w:t>liquidó en forma bilateral el 10 de octubre de 2000, acta en la que se consignó solamente una nota en la que se dijo: “</w:t>
      </w:r>
      <w:r>
        <w:rPr>
          <w:rFonts w:ascii="Century Gothic" w:eastAsia="Times New Roman" w:hAnsi="Century Gothic"/>
          <w:i/>
          <w:lang w:val="es-ES" w:eastAsia="es-ES"/>
        </w:rPr>
        <w:t>el contratista expresa que se reserva el derecho a reclamar sobre la presente liquidación</w:t>
      </w:r>
      <w:r>
        <w:rPr>
          <w:rFonts w:ascii="Century Gothic" w:eastAsia="Times New Roman" w:hAnsi="Century Gothic"/>
          <w:lang w:val="es-ES" w:eastAsia="es-ES"/>
        </w:rPr>
        <w:t>” (fl. 244, c 1)</w:t>
      </w:r>
      <w:r w:rsidRPr="003666C1">
        <w:rPr>
          <w:rFonts w:ascii="Century Gothic" w:eastAsia="Times New Roman" w:hAnsi="Century Gothic"/>
          <w:lang w:val="es-ES" w:eastAsia="es-ES"/>
        </w:rPr>
        <w:t xml:space="preserve">. </w:t>
      </w:r>
    </w:p>
    <w:p w:rsidR="00816604" w:rsidRPr="003666C1" w:rsidRDefault="00816604" w:rsidP="00816604">
      <w:pPr>
        <w:rPr>
          <w:lang w:val="es-ES" w:eastAsia="es-ES"/>
        </w:rPr>
      </w:pPr>
    </w:p>
    <w:p w:rsidR="00816604" w:rsidRPr="00AE06DD" w:rsidRDefault="00816604" w:rsidP="00816604">
      <w:pPr>
        <w:spacing w:line="360" w:lineRule="auto"/>
        <w:ind w:right="17"/>
        <w:jc w:val="both"/>
        <w:rPr>
          <w:rFonts w:ascii="Century Gothic" w:eastAsia="Times New Roman" w:hAnsi="Century Gothic"/>
          <w:lang w:val="es-ES" w:eastAsia="es-ES"/>
        </w:rPr>
      </w:pPr>
      <w:r w:rsidRPr="00AE06DD">
        <w:rPr>
          <w:rFonts w:ascii="Century Gothic" w:eastAsia="Times New Roman" w:hAnsi="Century Gothic"/>
          <w:lang w:val="es-ES" w:eastAsia="es-ES"/>
        </w:rPr>
        <w:t>Así las cosas, se observa que</w:t>
      </w:r>
      <w:r>
        <w:rPr>
          <w:rFonts w:ascii="Century Gothic" w:eastAsia="Times New Roman" w:hAnsi="Century Gothic"/>
          <w:lang w:val="es-ES" w:eastAsia="es-ES"/>
        </w:rPr>
        <w:t>,</w:t>
      </w:r>
      <w:r w:rsidRPr="00AE06DD">
        <w:rPr>
          <w:rFonts w:ascii="Century Gothic" w:eastAsia="Times New Roman" w:hAnsi="Century Gothic"/>
          <w:lang w:val="es-ES" w:eastAsia="es-ES"/>
        </w:rPr>
        <w:t xml:space="preserve"> si bien el contratista dejó una anotación en la que </w:t>
      </w:r>
      <w:r>
        <w:rPr>
          <w:rFonts w:ascii="Century Gothic" w:eastAsia="Times New Roman" w:hAnsi="Century Gothic"/>
          <w:lang w:val="es-ES" w:eastAsia="es-ES"/>
        </w:rPr>
        <w:t>“</w:t>
      </w:r>
      <w:r w:rsidRPr="00AE06DD">
        <w:rPr>
          <w:rFonts w:ascii="Century Gothic" w:eastAsia="Times New Roman" w:hAnsi="Century Gothic"/>
          <w:lang w:val="es-ES" w:eastAsia="es-ES"/>
        </w:rPr>
        <w:t>se reserva el derecho a reclamar</w:t>
      </w:r>
      <w:r>
        <w:rPr>
          <w:rFonts w:ascii="Century Gothic" w:eastAsia="Times New Roman" w:hAnsi="Century Gothic"/>
          <w:lang w:val="es-ES" w:eastAsia="es-ES"/>
        </w:rPr>
        <w:t>”</w:t>
      </w:r>
      <w:r w:rsidRPr="00AE06DD">
        <w:rPr>
          <w:rFonts w:ascii="Century Gothic" w:eastAsia="Times New Roman" w:hAnsi="Century Gothic"/>
          <w:lang w:val="es-ES" w:eastAsia="es-ES"/>
        </w:rPr>
        <w:t xml:space="preserve"> sobre la liquidación, lo cierto es que de ésta no se pueden desprender, ni siquiera someramente, los fundamentos de inconformidad que dieron origen a la demanda bajo estudio, ya que, como se ha venido diciendo, no refleja una salvedad clara ni concreta respecto a lo que se consignó en el ac</w:t>
      </w:r>
      <w:r>
        <w:rPr>
          <w:rFonts w:ascii="Century Gothic" w:eastAsia="Times New Roman" w:hAnsi="Century Gothic"/>
          <w:lang w:val="es-ES" w:eastAsia="es-ES"/>
        </w:rPr>
        <w:t>ta;</w:t>
      </w:r>
      <w:r w:rsidRPr="00AE06DD">
        <w:rPr>
          <w:rFonts w:ascii="Century Gothic" w:eastAsia="Times New Roman" w:hAnsi="Century Gothic"/>
          <w:lang w:val="es-ES" w:eastAsia="es-ES"/>
        </w:rPr>
        <w:t xml:space="preserve"> </w:t>
      </w:r>
      <w:r>
        <w:rPr>
          <w:rFonts w:ascii="Century Gothic" w:eastAsia="Times New Roman" w:hAnsi="Century Gothic"/>
          <w:lang w:val="es-ES" w:eastAsia="es-ES"/>
        </w:rPr>
        <w:t>además,</w:t>
      </w:r>
      <w:r w:rsidRPr="00AE06DD">
        <w:rPr>
          <w:rFonts w:ascii="Century Gothic" w:eastAsia="Times New Roman" w:hAnsi="Century Gothic"/>
          <w:lang w:val="es-ES" w:eastAsia="es-ES"/>
        </w:rPr>
        <w:t xml:space="preserve"> tampoco se expresó una breve consideración sob</w:t>
      </w:r>
      <w:r>
        <w:rPr>
          <w:rFonts w:ascii="Century Gothic" w:eastAsia="Times New Roman" w:hAnsi="Century Gothic"/>
          <w:lang w:val="es-ES" w:eastAsia="es-ES"/>
        </w:rPr>
        <w:t>re los fundamentos de la</w:t>
      </w:r>
      <w:r w:rsidRPr="00AE06DD">
        <w:rPr>
          <w:rFonts w:ascii="Century Gothic" w:eastAsia="Times New Roman" w:hAnsi="Century Gothic"/>
          <w:lang w:val="es-ES" w:eastAsia="es-ES"/>
        </w:rPr>
        <w:t xml:space="preserve"> reclamación</w:t>
      </w:r>
    </w:p>
    <w:p w:rsidR="00816604" w:rsidRPr="00AE06DD" w:rsidRDefault="00816604" w:rsidP="00816604">
      <w:pPr>
        <w:rPr>
          <w:lang w:val="es-ES" w:eastAsia="es-ES"/>
        </w:rPr>
      </w:pPr>
    </w:p>
    <w:p w:rsidR="00816604" w:rsidRPr="00AE06DD" w:rsidRDefault="00816604" w:rsidP="00816604">
      <w:pPr>
        <w:spacing w:line="360" w:lineRule="auto"/>
        <w:ind w:right="17"/>
        <w:jc w:val="both"/>
        <w:rPr>
          <w:rFonts w:ascii="Century Gothic" w:eastAsia="Times New Roman" w:hAnsi="Century Gothic"/>
          <w:lang w:val="es-ES" w:eastAsia="es-ES"/>
        </w:rPr>
      </w:pPr>
      <w:r w:rsidRPr="00AE06DD">
        <w:rPr>
          <w:rFonts w:ascii="Century Gothic" w:eastAsia="Times New Roman" w:hAnsi="Century Gothic"/>
          <w:lang w:val="es-ES" w:eastAsia="es-ES"/>
        </w:rPr>
        <w:t>Ahora bien, obra en el plenario recurso de reposición interpuesto el 20 de octubre de 2000</w:t>
      </w:r>
      <w:r>
        <w:rPr>
          <w:rStyle w:val="Refdenotaalpie"/>
          <w:rFonts w:ascii="Century Gothic" w:eastAsia="Times New Roman" w:hAnsi="Century Gothic"/>
          <w:lang w:val="es-ES" w:eastAsia="es-ES"/>
        </w:rPr>
        <w:footnoteReference w:id="9"/>
      </w:r>
      <w:r w:rsidRPr="00AE06DD">
        <w:rPr>
          <w:rFonts w:ascii="Century Gothic" w:eastAsia="Times New Roman" w:hAnsi="Century Gothic"/>
          <w:lang w:val="es-ES" w:eastAsia="es-ES"/>
        </w:rPr>
        <w:t xml:space="preserve"> contra el acta de liquidación, en el que la parte demandante </w:t>
      </w:r>
      <w:r>
        <w:rPr>
          <w:rFonts w:ascii="Century Gothic" w:eastAsia="Times New Roman" w:hAnsi="Century Gothic"/>
          <w:lang w:val="es-ES" w:eastAsia="es-ES"/>
        </w:rPr>
        <w:t>hizo referencia a la pé</w:t>
      </w:r>
      <w:r w:rsidRPr="00AE06DD">
        <w:rPr>
          <w:rFonts w:ascii="Century Gothic" w:eastAsia="Times New Roman" w:hAnsi="Century Gothic"/>
          <w:lang w:val="es-ES" w:eastAsia="es-ES"/>
        </w:rPr>
        <w:t xml:space="preserve">rdida de oportunidad de los negocios que estaban en vía de celebrarse para utilizar los espacios de publicidad el dorso de los recibos. </w:t>
      </w:r>
    </w:p>
    <w:p w:rsidR="00816604" w:rsidRPr="00AE06DD" w:rsidRDefault="00816604" w:rsidP="00816604">
      <w:pPr>
        <w:rPr>
          <w:lang w:val="es-ES" w:eastAsia="es-ES"/>
        </w:rPr>
      </w:pPr>
    </w:p>
    <w:p w:rsidR="00816604" w:rsidRPr="00AE06DD" w:rsidRDefault="00816604" w:rsidP="00816604">
      <w:pPr>
        <w:spacing w:line="360" w:lineRule="auto"/>
        <w:ind w:right="17"/>
        <w:jc w:val="both"/>
        <w:rPr>
          <w:rFonts w:ascii="Century Gothic" w:eastAsia="Times New Roman" w:hAnsi="Century Gothic"/>
          <w:lang w:val="es-ES" w:eastAsia="es-ES"/>
        </w:rPr>
      </w:pPr>
      <w:r w:rsidRPr="00AE06DD">
        <w:rPr>
          <w:rFonts w:ascii="Century Gothic" w:eastAsia="Times New Roman" w:hAnsi="Century Gothic"/>
          <w:lang w:val="es-ES" w:eastAsia="es-ES"/>
        </w:rPr>
        <w:t>Al respecto, resulta claro que el recurso propuesto tuvo como finalidad expresar las observaciones que la contratista no plasmo en el acta de liquidación, las cuales, a juicio de la Sala, no pueden ser tenidas en cuenta</w:t>
      </w:r>
      <w:r>
        <w:rPr>
          <w:rFonts w:ascii="Century Gothic" w:eastAsia="Times New Roman" w:hAnsi="Century Gothic"/>
          <w:lang w:val="es-ES" w:eastAsia="es-ES"/>
        </w:rPr>
        <w:t>,</w:t>
      </w:r>
      <w:r w:rsidRPr="00AE06DD">
        <w:rPr>
          <w:rFonts w:ascii="Century Gothic" w:eastAsia="Times New Roman" w:hAnsi="Century Gothic"/>
          <w:lang w:val="es-ES" w:eastAsia="es-ES"/>
        </w:rPr>
        <w:t xml:space="preserve"> dado que, como bien lo ha expresado la jurisprudencia</w:t>
      </w:r>
      <w:r>
        <w:rPr>
          <w:rStyle w:val="Refdenotaalpie"/>
          <w:rFonts w:ascii="Century Gothic" w:eastAsia="Times New Roman" w:hAnsi="Century Gothic"/>
          <w:lang w:val="es-ES" w:eastAsia="es-ES"/>
        </w:rPr>
        <w:footnoteReference w:id="10"/>
      </w:r>
      <w:r w:rsidRPr="00AE06DD">
        <w:rPr>
          <w:rFonts w:ascii="Century Gothic" w:eastAsia="Times New Roman" w:hAnsi="Century Gothic"/>
          <w:lang w:val="es-ES" w:eastAsia="es-ES"/>
        </w:rPr>
        <w:t xml:space="preserve"> y ha quedado consignado en esta providencia, deben ser propuestas al momento de </w:t>
      </w:r>
      <w:r>
        <w:rPr>
          <w:rFonts w:ascii="Century Gothic" w:eastAsia="Times New Roman" w:hAnsi="Century Gothic"/>
          <w:lang w:val="es-ES" w:eastAsia="es-ES"/>
        </w:rPr>
        <w:t>celebrarse o firmarse el</w:t>
      </w:r>
      <w:r w:rsidRPr="00AE06DD">
        <w:rPr>
          <w:rFonts w:ascii="Century Gothic" w:eastAsia="Times New Roman" w:hAnsi="Century Gothic"/>
          <w:lang w:val="es-ES" w:eastAsia="es-ES"/>
        </w:rPr>
        <w:t xml:space="preserve"> acta de liquidación, no después.</w:t>
      </w:r>
    </w:p>
    <w:p w:rsidR="00816604" w:rsidRPr="00AE06DD" w:rsidRDefault="00816604" w:rsidP="00816604">
      <w:pPr>
        <w:rPr>
          <w:lang w:val="es-ES" w:eastAsia="es-ES"/>
        </w:rPr>
      </w:pPr>
    </w:p>
    <w:p w:rsidR="00816604" w:rsidRDefault="00816604" w:rsidP="00816604">
      <w:pPr>
        <w:spacing w:line="360" w:lineRule="auto"/>
        <w:ind w:right="17"/>
        <w:jc w:val="both"/>
        <w:rPr>
          <w:rFonts w:ascii="Century Gothic" w:eastAsia="Times New Roman" w:hAnsi="Century Gothic"/>
          <w:lang w:val="es-ES" w:eastAsia="es-ES"/>
        </w:rPr>
      </w:pPr>
      <w:r w:rsidRPr="00AE06DD">
        <w:rPr>
          <w:rFonts w:ascii="Century Gothic" w:eastAsia="Times New Roman" w:hAnsi="Century Gothic"/>
          <w:lang w:val="es-ES" w:eastAsia="es-ES"/>
        </w:rPr>
        <w:t xml:space="preserve">Así, a la luz de lo expuesto anteriormente, teniendo en cuenta que </w:t>
      </w:r>
      <w:r>
        <w:rPr>
          <w:rFonts w:ascii="Century Gothic" w:eastAsia="Times New Roman" w:hAnsi="Century Gothic"/>
          <w:lang w:val="es-ES" w:eastAsia="es-ES"/>
        </w:rPr>
        <w:t>la</w:t>
      </w:r>
      <w:r w:rsidRPr="00AE06DD">
        <w:rPr>
          <w:rFonts w:ascii="Century Gothic" w:eastAsia="Times New Roman" w:hAnsi="Century Gothic"/>
          <w:lang w:val="es-ES" w:eastAsia="es-ES"/>
        </w:rPr>
        <w:t xml:space="preserve"> contratista no objetó la liquidación del contrato en el momento oportuno, sino que la firmó  aceptando las constancias que en ella se consignaron</w:t>
      </w:r>
      <w:r>
        <w:rPr>
          <w:rFonts w:ascii="Century Gothic" w:eastAsia="Times New Roman" w:hAnsi="Century Gothic"/>
          <w:lang w:val="es-ES" w:eastAsia="es-ES"/>
        </w:rPr>
        <w:t>, dejando una única salvedad</w:t>
      </w:r>
      <w:r w:rsidRPr="00AE06DD">
        <w:rPr>
          <w:rFonts w:ascii="Century Gothic" w:eastAsia="Times New Roman" w:hAnsi="Century Gothic"/>
          <w:lang w:val="es-ES" w:eastAsia="es-ES"/>
        </w:rPr>
        <w:t xml:space="preserve"> que</w:t>
      </w:r>
      <w:r>
        <w:rPr>
          <w:rFonts w:ascii="Century Gothic" w:eastAsia="Times New Roman" w:hAnsi="Century Gothic"/>
          <w:lang w:val="es-ES" w:eastAsia="es-ES"/>
        </w:rPr>
        <w:t>,</w:t>
      </w:r>
      <w:r w:rsidRPr="00AE06DD">
        <w:rPr>
          <w:rFonts w:ascii="Century Gothic" w:eastAsia="Times New Roman" w:hAnsi="Century Gothic"/>
          <w:lang w:val="es-ES" w:eastAsia="es-ES"/>
        </w:rPr>
        <w:t xml:space="preserve"> como ya se vio, no dilucida de manera clara o contundente un inconformismo con lo allí pactado y</w:t>
      </w:r>
      <w:r>
        <w:rPr>
          <w:rFonts w:ascii="Century Gothic" w:eastAsia="Times New Roman" w:hAnsi="Century Gothic"/>
          <w:lang w:val="es-ES" w:eastAsia="es-ES"/>
        </w:rPr>
        <w:t>,</w:t>
      </w:r>
      <w:r w:rsidRPr="00AE06DD">
        <w:rPr>
          <w:rFonts w:ascii="Century Gothic" w:eastAsia="Times New Roman" w:hAnsi="Century Gothic"/>
          <w:lang w:val="es-ES" w:eastAsia="es-ES"/>
        </w:rPr>
        <w:t xml:space="preserve"> contrario a ello, las partes se declararon a paz y salvo, no puede ahora dirigir pretensiones contractuales contra </w:t>
      </w:r>
      <w:r>
        <w:rPr>
          <w:rFonts w:ascii="Century Gothic" w:eastAsia="Times New Roman" w:hAnsi="Century Gothic"/>
          <w:lang w:val="es-ES" w:eastAsia="es-ES"/>
        </w:rPr>
        <w:t xml:space="preserve">el acta de liquidación buscando no </w:t>
      </w:r>
      <w:r w:rsidRPr="00AE06DD">
        <w:rPr>
          <w:rFonts w:ascii="Century Gothic" w:eastAsia="Times New Roman" w:hAnsi="Century Gothic"/>
          <w:lang w:val="es-ES" w:eastAsia="es-ES"/>
        </w:rPr>
        <w:t>solo la nulidad de dicho acto sino también una indemnización de perjuicios, pues tal actuación vulnera la buena fe y la doctrina de los actos propios.</w:t>
      </w:r>
    </w:p>
    <w:p w:rsidR="00816604" w:rsidRDefault="00816604" w:rsidP="00816604">
      <w:pPr>
        <w:spacing w:line="360" w:lineRule="auto"/>
        <w:ind w:right="17"/>
        <w:jc w:val="both"/>
        <w:rPr>
          <w:rFonts w:ascii="Century Gothic" w:eastAsia="Times New Roman" w:hAnsi="Century Gothic"/>
          <w:lang w:val="es-ES" w:eastAsia="es-ES"/>
        </w:rPr>
      </w:pPr>
    </w:p>
    <w:p w:rsidR="00816604" w:rsidRPr="007B1210" w:rsidRDefault="00816604" w:rsidP="00816604">
      <w:pPr>
        <w:spacing w:line="360" w:lineRule="auto"/>
        <w:jc w:val="both"/>
        <w:rPr>
          <w:rFonts w:ascii="Century Gothic" w:hAnsi="Century Gothic"/>
          <w:lang w:val="es-ES"/>
        </w:rPr>
      </w:pPr>
      <w:r w:rsidRPr="009061DF">
        <w:rPr>
          <w:rFonts w:ascii="Century Gothic" w:hAnsi="Century Gothic"/>
          <w:lang w:val="es-ES"/>
        </w:rPr>
        <w:lastRenderedPageBreak/>
        <w:t>De otra parte, resulta necesario precisar que la jurisprudencia</w:t>
      </w:r>
      <w:r w:rsidRPr="009061DF">
        <w:rPr>
          <w:rStyle w:val="Refdenotaalpie"/>
          <w:rFonts w:ascii="Century Gothic" w:hAnsi="Century Gothic"/>
          <w:lang w:val="es-ES"/>
        </w:rPr>
        <w:footnoteReference w:id="11"/>
      </w:r>
      <w:r w:rsidRPr="009061DF">
        <w:rPr>
          <w:rFonts w:ascii="Century Gothic" w:hAnsi="Century Gothic"/>
          <w:lang w:val="es-ES"/>
        </w:rPr>
        <w:t xml:space="preserve"> de esta Sección ha considerado que, cuando el contratista no ha formulado observaciones al acta de liquidación bilateral, puede pedir su nulidad alegando que en ella se incurrió un vicio del consentimiento (error, fuerza o dolo)</w:t>
      </w:r>
      <w:r w:rsidRPr="009061DF">
        <w:rPr>
          <w:rStyle w:val="Refdenotaalpie"/>
          <w:rFonts w:ascii="Century Gothic" w:hAnsi="Century Gothic"/>
          <w:lang w:val="es-ES"/>
        </w:rPr>
        <w:footnoteReference w:id="12"/>
      </w:r>
      <w:r w:rsidRPr="009061DF">
        <w:rPr>
          <w:rFonts w:ascii="Century Gothic" w:hAnsi="Century Gothic"/>
          <w:lang w:val="es-ES"/>
        </w:rPr>
        <w:t>, cosa que el actor en ningún aparte de la demanda hizo, pues se limitó a atacar su nulidad con fundamento en lo acordado en la liquidación, pero no esgrimió argumento alguno que sustentara la ocurrencia de alguno de los vicios anotados.</w:t>
      </w:r>
    </w:p>
    <w:p w:rsidR="00816604" w:rsidRPr="00A175F5" w:rsidRDefault="00816604" w:rsidP="00816604">
      <w:pPr>
        <w:pStyle w:val="Sinespaciado"/>
        <w:rPr>
          <w:lang w:val="es-ES" w:eastAsia="es-ES"/>
        </w:rPr>
      </w:pPr>
    </w:p>
    <w:p w:rsidR="00816604" w:rsidRPr="00AE06DD" w:rsidRDefault="00816604" w:rsidP="00816604">
      <w:pPr>
        <w:spacing w:line="360" w:lineRule="auto"/>
        <w:ind w:right="17"/>
        <w:jc w:val="both"/>
        <w:rPr>
          <w:rFonts w:ascii="Century Gothic" w:eastAsia="Times New Roman" w:hAnsi="Century Gothic"/>
          <w:lang w:val="es-ES" w:eastAsia="es-ES"/>
        </w:rPr>
      </w:pPr>
      <w:r w:rsidRPr="00AE06DD">
        <w:rPr>
          <w:rFonts w:ascii="Century Gothic" w:eastAsia="Times New Roman" w:hAnsi="Century Gothic"/>
          <w:lang w:val="es-ES" w:eastAsia="es-ES"/>
        </w:rPr>
        <w:t>Por otro lado, la parte actora</w:t>
      </w:r>
      <w:r>
        <w:rPr>
          <w:rFonts w:ascii="Century Gothic" w:eastAsia="Times New Roman" w:hAnsi="Century Gothic"/>
          <w:lang w:val="es-ES" w:eastAsia="es-ES"/>
        </w:rPr>
        <w:t xml:space="preserve"> solicitó</w:t>
      </w:r>
      <w:r w:rsidRPr="00AE06DD">
        <w:rPr>
          <w:rFonts w:ascii="Century Gothic" w:eastAsia="Times New Roman" w:hAnsi="Century Gothic"/>
          <w:lang w:val="es-ES" w:eastAsia="es-ES"/>
        </w:rPr>
        <w:t xml:space="preserve"> en el recurso de apelación </w:t>
      </w:r>
      <w:r>
        <w:rPr>
          <w:rFonts w:ascii="Century Gothic" w:eastAsia="Times New Roman" w:hAnsi="Century Gothic"/>
          <w:lang w:val="es-ES" w:eastAsia="es-ES"/>
        </w:rPr>
        <w:t>que,</w:t>
      </w:r>
      <w:r w:rsidRPr="00AE06DD">
        <w:rPr>
          <w:rFonts w:ascii="Century Gothic" w:eastAsia="Times New Roman" w:hAnsi="Century Gothic"/>
          <w:lang w:val="es-ES" w:eastAsia="es-ES"/>
        </w:rPr>
        <w:t xml:space="preserve"> de confirmarse la sentencia apelada</w:t>
      </w:r>
      <w:r>
        <w:rPr>
          <w:rFonts w:ascii="Century Gothic" w:eastAsia="Times New Roman" w:hAnsi="Century Gothic"/>
          <w:lang w:val="es-ES" w:eastAsia="es-ES"/>
        </w:rPr>
        <w:t>,</w:t>
      </w:r>
      <w:r w:rsidRPr="00AE06DD">
        <w:rPr>
          <w:rFonts w:ascii="Century Gothic" w:eastAsia="Times New Roman" w:hAnsi="Century Gothic"/>
          <w:lang w:val="es-ES" w:eastAsia="es-ES"/>
        </w:rPr>
        <w:t xml:space="preserve"> se conminara a EMACALI a pagar “al menos” la suma de dinero a la que se comprometió en el acta de liquidación es decir $48´894.832.</w:t>
      </w:r>
    </w:p>
    <w:p w:rsidR="00816604" w:rsidRPr="00AE06DD" w:rsidRDefault="00816604" w:rsidP="00816604">
      <w:pPr>
        <w:rPr>
          <w:lang w:val="es-ES" w:eastAsia="es-ES"/>
        </w:rPr>
      </w:pPr>
    </w:p>
    <w:p w:rsidR="00816604" w:rsidRPr="00AE06DD" w:rsidRDefault="00816604" w:rsidP="00816604">
      <w:pPr>
        <w:spacing w:line="360" w:lineRule="auto"/>
        <w:ind w:right="17"/>
        <w:jc w:val="both"/>
        <w:rPr>
          <w:rFonts w:ascii="Century Gothic" w:eastAsia="Times New Roman" w:hAnsi="Century Gothic"/>
          <w:lang w:val="es-ES" w:eastAsia="es-ES"/>
        </w:rPr>
      </w:pPr>
      <w:r w:rsidRPr="00AE06DD">
        <w:rPr>
          <w:rFonts w:ascii="Century Gothic" w:eastAsia="Times New Roman" w:hAnsi="Century Gothic"/>
          <w:lang w:val="es-ES" w:eastAsia="es-ES"/>
        </w:rPr>
        <w:t>Al resp</w:t>
      </w:r>
      <w:r>
        <w:rPr>
          <w:rFonts w:ascii="Century Gothic" w:eastAsia="Times New Roman" w:hAnsi="Century Gothic"/>
          <w:lang w:val="es-ES" w:eastAsia="es-ES"/>
        </w:rPr>
        <w:t>ecto, la Sala no se pronunciará,</w:t>
      </w:r>
      <w:r w:rsidRPr="00AE06DD">
        <w:rPr>
          <w:rFonts w:ascii="Century Gothic" w:eastAsia="Times New Roman" w:hAnsi="Century Gothic"/>
          <w:lang w:val="es-ES" w:eastAsia="es-ES"/>
        </w:rPr>
        <w:t xml:space="preserve"> toda vez que esa pretensión no se encuentra dentro las contenidas en el libelo de la demanda, sino que fue propuesta como una pretensión subsidiaria en el recurso de apelación, </w:t>
      </w:r>
      <w:r>
        <w:rPr>
          <w:rFonts w:ascii="Century Gothic" w:eastAsia="Times New Roman" w:hAnsi="Century Gothic"/>
          <w:lang w:val="es-ES" w:eastAsia="es-ES"/>
        </w:rPr>
        <w:t>de modo que,</w:t>
      </w:r>
      <w:r w:rsidRPr="00AE06DD">
        <w:rPr>
          <w:rFonts w:ascii="Century Gothic" w:eastAsia="Times New Roman" w:hAnsi="Century Gothic"/>
          <w:lang w:val="es-ES" w:eastAsia="es-ES"/>
        </w:rPr>
        <w:t xml:space="preserve"> de estudiar dicha petición y acceder a ella, se estaría profiriendo un fallo </w:t>
      </w:r>
      <w:r>
        <w:rPr>
          <w:rFonts w:ascii="Century Gothic" w:eastAsia="Times New Roman" w:hAnsi="Century Gothic"/>
          <w:i/>
          <w:lang w:val="es-ES" w:eastAsia="es-ES"/>
        </w:rPr>
        <w:t>extrapetita;</w:t>
      </w:r>
      <w:r w:rsidRPr="00AE06DD">
        <w:rPr>
          <w:rFonts w:ascii="Century Gothic" w:eastAsia="Times New Roman" w:hAnsi="Century Gothic"/>
          <w:lang w:val="es-ES" w:eastAsia="es-ES"/>
        </w:rPr>
        <w:t xml:space="preserve"> además, recuerda la Sala que el pago que </w:t>
      </w:r>
      <w:r>
        <w:rPr>
          <w:rFonts w:ascii="Century Gothic" w:eastAsia="Times New Roman" w:hAnsi="Century Gothic"/>
          <w:lang w:val="es-ES" w:eastAsia="es-ES"/>
        </w:rPr>
        <w:t xml:space="preserve">pretende </w:t>
      </w:r>
      <w:r w:rsidRPr="00AE06DD">
        <w:rPr>
          <w:rFonts w:ascii="Century Gothic" w:eastAsia="Times New Roman" w:hAnsi="Century Gothic"/>
          <w:lang w:val="es-ES" w:eastAsia="es-ES"/>
        </w:rPr>
        <w:t xml:space="preserve">el actor pudo haber sido </w:t>
      </w:r>
      <w:r>
        <w:rPr>
          <w:rFonts w:ascii="Century Gothic" w:eastAsia="Times New Roman" w:hAnsi="Century Gothic"/>
          <w:lang w:val="es-ES" w:eastAsia="es-ES"/>
        </w:rPr>
        <w:t>cobrado</w:t>
      </w:r>
      <w:r w:rsidRPr="00AE06DD">
        <w:rPr>
          <w:rFonts w:ascii="Century Gothic" w:eastAsia="Times New Roman" w:hAnsi="Century Gothic"/>
          <w:lang w:val="es-ES" w:eastAsia="es-ES"/>
        </w:rPr>
        <w:t>, en su momento, a través de la acción ejecutiva.</w:t>
      </w:r>
    </w:p>
    <w:p w:rsidR="00816604" w:rsidRPr="003666C1" w:rsidRDefault="00816604" w:rsidP="00816604">
      <w:pPr>
        <w:spacing w:line="360" w:lineRule="auto"/>
        <w:ind w:right="17"/>
        <w:jc w:val="both"/>
        <w:rPr>
          <w:rFonts w:ascii="Century Gothic" w:eastAsia="Times New Roman" w:hAnsi="Century Gothic"/>
          <w:lang w:val="es-ES" w:eastAsia="es-ES"/>
        </w:rPr>
      </w:pPr>
    </w:p>
    <w:p w:rsidR="00816604" w:rsidRDefault="00816604" w:rsidP="00816604">
      <w:pPr>
        <w:spacing w:line="360" w:lineRule="auto"/>
        <w:ind w:right="17"/>
        <w:jc w:val="both"/>
        <w:rPr>
          <w:rFonts w:ascii="Century Gothic" w:eastAsia="Times New Roman" w:hAnsi="Century Gothic"/>
          <w:lang w:val="es-ES" w:eastAsia="es-ES"/>
        </w:rPr>
      </w:pPr>
      <w:r w:rsidRPr="003666C1">
        <w:rPr>
          <w:rFonts w:ascii="Century Gothic" w:eastAsia="Times New Roman" w:hAnsi="Century Gothic"/>
          <w:lang w:val="es-ES" w:eastAsia="es-ES"/>
        </w:rPr>
        <w:t xml:space="preserve">Así las cosas, se </w:t>
      </w:r>
      <w:r>
        <w:rPr>
          <w:rFonts w:ascii="Century Gothic" w:eastAsia="Times New Roman" w:hAnsi="Century Gothic"/>
          <w:lang w:val="es-ES" w:eastAsia="es-ES"/>
        </w:rPr>
        <w:t>confirmará la sentencia apelada.</w:t>
      </w:r>
    </w:p>
    <w:p w:rsidR="00816604" w:rsidRPr="003666C1" w:rsidRDefault="00816604" w:rsidP="00816604">
      <w:pPr>
        <w:spacing w:line="360" w:lineRule="auto"/>
        <w:ind w:right="17"/>
        <w:jc w:val="both"/>
        <w:rPr>
          <w:rFonts w:ascii="Century Gothic" w:eastAsia="Times New Roman" w:hAnsi="Century Gothic"/>
          <w:lang w:val="es-ES" w:eastAsia="es-ES"/>
        </w:rPr>
      </w:pPr>
      <w:r w:rsidRPr="003666C1">
        <w:rPr>
          <w:rFonts w:ascii="Century Gothic" w:eastAsia="Times New Roman" w:hAnsi="Century Gothic"/>
          <w:lang w:val="es-ES" w:eastAsia="es-ES"/>
        </w:rPr>
        <w:t xml:space="preserve"> </w:t>
      </w:r>
    </w:p>
    <w:p w:rsidR="00816604" w:rsidRPr="003666C1" w:rsidRDefault="00816604" w:rsidP="00816604">
      <w:pPr>
        <w:spacing w:line="360" w:lineRule="auto"/>
        <w:jc w:val="both"/>
        <w:rPr>
          <w:rFonts w:ascii="Century Gothic" w:eastAsia="Times New Roman" w:hAnsi="Century Gothic"/>
          <w:b/>
          <w:lang w:eastAsia="es-ES"/>
        </w:rPr>
      </w:pPr>
      <w:r w:rsidRPr="003666C1">
        <w:rPr>
          <w:rFonts w:ascii="Century Gothic" w:eastAsia="Times New Roman" w:hAnsi="Century Gothic"/>
          <w:b/>
          <w:lang w:val="es-ES" w:eastAsia="es-ES"/>
        </w:rPr>
        <w:t>3</w:t>
      </w:r>
      <w:r w:rsidRPr="003666C1">
        <w:rPr>
          <w:rFonts w:ascii="Century Gothic" w:eastAsia="Times New Roman" w:hAnsi="Century Gothic"/>
          <w:b/>
          <w:lang w:eastAsia="es-ES"/>
        </w:rPr>
        <w:t>.- Condena es costas</w:t>
      </w:r>
    </w:p>
    <w:p w:rsidR="00816604" w:rsidRPr="003666C1" w:rsidRDefault="00816604" w:rsidP="00816604">
      <w:pPr>
        <w:rPr>
          <w:lang w:eastAsia="es-ES"/>
        </w:rPr>
      </w:pPr>
    </w:p>
    <w:p w:rsidR="00816604" w:rsidRPr="003666C1" w:rsidRDefault="00816604" w:rsidP="00816604">
      <w:pPr>
        <w:spacing w:line="360" w:lineRule="auto"/>
        <w:jc w:val="both"/>
        <w:rPr>
          <w:rFonts w:ascii="Century Gothic" w:eastAsia="Times New Roman" w:hAnsi="Century Gothic"/>
          <w:bCs/>
          <w:lang w:eastAsia="es-ES"/>
        </w:rPr>
      </w:pPr>
      <w:r w:rsidRPr="003666C1">
        <w:rPr>
          <w:rFonts w:ascii="Century Gothic" w:eastAsia="Times New Roman" w:hAnsi="Century Gothic"/>
          <w:lang w:eastAsia="es-ES"/>
        </w:rPr>
        <w:t xml:space="preserve"> N</w:t>
      </w:r>
      <w:r w:rsidRPr="003666C1">
        <w:rPr>
          <w:rFonts w:ascii="Century Gothic" w:eastAsia="Times New Roman" w:hAnsi="Century Gothic"/>
          <w:bCs/>
          <w:lang w:eastAsia="es-ES"/>
        </w:rPr>
        <w:t>o se impondrá condena en costas, porque la conducta de las partes no se enmarca dentro de las previsiones contempladas por el artículo 55 de la Ley 446 de 1998.</w:t>
      </w:r>
    </w:p>
    <w:p w:rsidR="00816604" w:rsidRDefault="00816604" w:rsidP="00816604">
      <w:pPr>
        <w:rPr>
          <w:lang w:eastAsia="es-ES"/>
        </w:rPr>
      </w:pPr>
    </w:p>
    <w:p w:rsidR="00816604" w:rsidRPr="003666C1" w:rsidRDefault="00816604" w:rsidP="00816604">
      <w:pPr>
        <w:widowControl w:val="0"/>
        <w:autoSpaceDE w:val="0"/>
        <w:autoSpaceDN w:val="0"/>
        <w:adjustRightInd w:val="0"/>
        <w:spacing w:line="360" w:lineRule="auto"/>
        <w:jc w:val="both"/>
        <w:rPr>
          <w:rFonts w:ascii="Century Gothic" w:eastAsia="Times New Roman" w:hAnsi="Century Gothic"/>
          <w:lang w:eastAsia="es-ES"/>
        </w:rPr>
      </w:pPr>
      <w:r w:rsidRPr="003666C1">
        <w:rPr>
          <w:rFonts w:ascii="Century Gothic" w:eastAsia="Times New Roman" w:hAnsi="Century Gothic"/>
          <w:lang w:eastAsia="es-ES"/>
        </w:rPr>
        <w:t xml:space="preserve">En mérito de lo expuesto, el Consejo de Estado, Sala de lo Contencioso Administrativo, Sección Tercera, Subsección “A”, administrando justicia en nombre de la República y por autoridad de la ley, </w:t>
      </w:r>
    </w:p>
    <w:p w:rsidR="00816604" w:rsidRDefault="00816604" w:rsidP="00816604">
      <w:pPr>
        <w:widowControl w:val="0"/>
        <w:autoSpaceDE w:val="0"/>
        <w:autoSpaceDN w:val="0"/>
        <w:adjustRightInd w:val="0"/>
        <w:spacing w:line="360" w:lineRule="auto"/>
        <w:jc w:val="center"/>
        <w:rPr>
          <w:rFonts w:ascii="Century Gothic" w:eastAsia="Times New Roman" w:hAnsi="Century Gothic"/>
          <w:b/>
          <w:lang w:eastAsia="es-ES"/>
        </w:rPr>
      </w:pPr>
    </w:p>
    <w:p w:rsidR="00816604" w:rsidRDefault="00816604" w:rsidP="00816604">
      <w:pPr>
        <w:pStyle w:val="Sinespaciado"/>
        <w:rPr>
          <w:lang w:eastAsia="es-ES"/>
        </w:rPr>
      </w:pPr>
    </w:p>
    <w:p w:rsidR="00816604" w:rsidRPr="003666C1" w:rsidRDefault="00816604" w:rsidP="00816604">
      <w:pPr>
        <w:widowControl w:val="0"/>
        <w:autoSpaceDE w:val="0"/>
        <w:autoSpaceDN w:val="0"/>
        <w:adjustRightInd w:val="0"/>
        <w:spacing w:line="360" w:lineRule="auto"/>
        <w:jc w:val="center"/>
        <w:rPr>
          <w:rFonts w:ascii="Century Gothic" w:eastAsia="Times New Roman" w:hAnsi="Century Gothic"/>
          <w:b/>
          <w:lang w:eastAsia="es-ES"/>
        </w:rPr>
      </w:pPr>
      <w:r w:rsidRPr="003666C1">
        <w:rPr>
          <w:rFonts w:ascii="Century Gothic" w:eastAsia="Times New Roman" w:hAnsi="Century Gothic"/>
          <w:b/>
          <w:lang w:eastAsia="es-ES"/>
        </w:rPr>
        <w:t>F A L L A:</w:t>
      </w:r>
    </w:p>
    <w:p w:rsidR="00816604" w:rsidRPr="003666C1" w:rsidRDefault="00816604" w:rsidP="00816604">
      <w:pPr>
        <w:widowControl w:val="0"/>
        <w:autoSpaceDE w:val="0"/>
        <w:autoSpaceDN w:val="0"/>
        <w:adjustRightInd w:val="0"/>
        <w:spacing w:line="360" w:lineRule="auto"/>
        <w:rPr>
          <w:rFonts w:ascii="Century Gothic" w:eastAsia="Times New Roman" w:hAnsi="Century Gothic"/>
          <w:lang w:eastAsia="es-ES"/>
        </w:rPr>
      </w:pPr>
    </w:p>
    <w:p w:rsidR="00816604" w:rsidRPr="00EB73AC" w:rsidRDefault="00816604" w:rsidP="00816604">
      <w:pPr>
        <w:widowControl w:val="0"/>
        <w:autoSpaceDE w:val="0"/>
        <w:autoSpaceDN w:val="0"/>
        <w:adjustRightInd w:val="0"/>
        <w:spacing w:line="360" w:lineRule="auto"/>
        <w:jc w:val="both"/>
        <w:rPr>
          <w:rFonts w:ascii="Century Gothic" w:eastAsia="Times New Roman" w:hAnsi="Century Gothic"/>
          <w:lang w:eastAsia="es-ES"/>
        </w:rPr>
      </w:pPr>
      <w:r>
        <w:rPr>
          <w:rFonts w:ascii="Century Gothic" w:eastAsia="Times New Roman" w:hAnsi="Century Gothic"/>
          <w:b/>
          <w:lang w:eastAsia="es-ES"/>
        </w:rPr>
        <w:t>1.- CONFÍRMASE</w:t>
      </w:r>
      <w:r w:rsidRPr="003666C1">
        <w:rPr>
          <w:rFonts w:ascii="Century Gothic" w:eastAsia="Times New Roman" w:hAnsi="Century Gothic"/>
          <w:b/>
          <w:lang w:eastAsia="es-ES"/>
        </w:rPr>
        <w:t xml:space="preserve"> </w:t>
      </w:r>
      <w:r>
        <w:rPr>
          <w:rFonts w:ascii="Century Gothic" w:eastAsia="Times New Roman" w:hAnsi="Century Gothic"/>
          <w:lang w:eastAsia="es-ES"/>
        </w:rPr>
        <w:t>la sentencia proferida el 26 de septiembre de 2008</w:t>
      </w:r>
      <w:r w:rsidRPr="003666C1">
        <w:rPr>
          <w:rFonts w:ascii="Century Gothic" w:eastAsia="Times New Roman" w:hAnsi="Century Gothic"/>
          <w:lang w:eastAsia="es-ES"/>
        </w:rPr>
        <w:t xml:space="preserve"> por el Tribunal Administrativo de</w:t>
      </w:r>
      <w:r>
        <w:rPr>
          <w:rFonts w:ascii="Century Gothic" w:eastAsia="Times New Roman" w:hAnsi="Century Gothic"/>
          <w:lang w:eastAsia="es-ES"/>
        </w:rPr>
        <w:t>l Valle del Cauca</w:t>
      </w:r>
      <w:r w:rsidRPr="003666C1">
        <w:rPr>
          <w:rFonts w:ascii="Century Gothic" w:eastAsia="Times New Roman" w:hAnsi="Century Gothic"/>
          <w:lang w:eastAsia="es-ES"/>
        </w:rPr>
        <w:t xml:space="preserve">. </w:t>
      </w:r>
    </w:p>
    <w:p w:rsidR="00816604" w:rsidRPr="003666C1" w:rsidRDefault="00816604" w:rsidP="00816604">
      <w:pPr>
        <w:rPr>
          <w:lang w:val="es-ES" w:eastAsia="es-ES"/>
        </w:rPr>
      </w:pPr>
    </w:p>
    <w:p w:rsidR="00816604" w:rsidRPr="003666C1" w:rsidRDefault="00816604" w:rsidP="00816604">
      <w:pPr>
        <w:widowControl w:val="0"/>
        <w:autoSpaceDE w:val="0"/>
        <w:autoSpaceDN w:val="0"/>
        <w:adjustRightInd w:val="0"/>
        <w:spacing w:line="360" w:lineRule="auto"/>
        <w:ind w:right="130"/>
        <w:jc w:val="both"/>
        <w:rPr>
          <w:rFonts w:ascii="Century Gothic" w:eastAsia="Times New Roman" w:hAnsi="Century Gothic"/>
          <w:lang w:eastAsia="es-ES"/>
        </w:rPr>
      </w:pPr>
      <w:r w:rsidRPr="003666C1">
        <w:rPr>
          <w:rFonts w:ascii="Century Gothic" w:eastAsia="Times New Roman" w:hAnsi="Century Gothic"/>
          <w:b/>
          <w:lang w:eastAsia="es-ES"/>
        </w:rPr>
        <w:lastRenderedPageBreak/>
        <w:t>2.-</w:t>
      </w:r>
      <w:r w:rsidRPr="003666C1">
        <w:rPr>
          <w:rFonts w:ascii="Century Gothic" w:eastAsia="Times New Roman" w:hAnsi="Century Gothic"/>
          <w:lang w:eastAsia="es-ES"/>
        </w:rPr>
        <w:t xml:space="preserve"> Sin condena en costas.</w:t>
      </w:r>
    </w:p>
    <w:p w:rsidR="00816604" w:rsidRPr="003666C1" w:rsidRDefault="00816604" w:rsidP="00816604">
      <w:pPr>
        <w:widowControl w:val="0"/>
        <w:autoSpaceDE w:val="0"/>
        <w:autoSpaceDN w:val="0"/>
        <w:adjustRightInd w:val="0"/>
        <w:spacing w:line="360" w:lineRule="auto"/>
        <w:jc w:val="both"/>
        <w:rPr>
          <w:rFonts w:ascii="Century Gothic" w:eastAsia="Times New Roman" w:hAnsi="Century Gothic"/>
          <w:lang w:eastAsia="es-ES"/>
        </w:rPr>
      </w:pPr>
    </w:p>
    <w:p w:rsidR="00816604" w:rsidRPr="003666C1" w:rsidRDefault="00816604" w:rsidP="00816604">
      <w:pPr>
        <w:spacing w:line="360" w:lineRule="auto"/>
        <w:ind w:right="-1"/>
        <w:jc w:val="both"/>
        <w:rPr>
          <w:rFonts w:ascii="Century Gothic" w:eastAsia="Times New Roman" w:hAnsi="Century Gothic"/>
          <w:bCs/>
          <w:lang w:eastAsia="es-ES"/>
        </w:rPr>
      </w:pPr>
      <w:r w:rsidRPr="003666C1">
        <w:rPr>
          <w:rFonts w:ascii="Century Gothic" w:eastAsia="Times New Roman" w:hAnsi="Century Gothic"/>
          <w:b/>
          <w:bCs/>
          <w:lang w:eastAsia="es-ES"/>
        </w:rPr>
        <w:t xml:space="preserve">3.- </w:t>
      </w:r>
      <w:r w:rsidRPr="003666C1">
        <w:rPr>
          <w:rFonts w:ascii="Century Gothic" w:eastAsia="Times New Roman" w:hAnsi="Century Gothic"/>
          <w:bCs/>
          <w:lang w:eastAsia="es-ES"/>
        </w:rPr>
        <w:t xml:space="preserve">En firme esta providencia, </w:t>
      </w:r>
      <w:r w:rsidRPr="003666C1">
        <w:rPr>
          <w:rFonts w:ascii="Century Gothic" w:eastAsia="Times New Roman" w:hAnsi="Century Gothic"/>
          <w:b/>
          <w:bCs/>
          <w:lang w:eastAsia="es-ES"/>
        </w:rPr>
        <w:t>devuélvase</w:t>
      </w:r>
      <w:r w:rsidRPr="003666C1">
        <w:rPr>
          <w:rFonts w:ascii="Century Gothic" w:eastAsia="Times New Roman" w:hAnsi="Century Gothic"/>
          <w:bCs/>
          <w:lang w:eastAsia="es-ES"/>
        </w:rPr>
        <w:t xml:space="preserve"> el expediente al Tribunal de origen.</w:t>
      </w:r>
    </w:p>
    <w:p w:rsidR="00816604" w:rsidRDefault="00816604" w:rsidP="00816604">
      <w:pPr>
        <w:widowControl w:val="0"/>
        <w:autoSpaceDE w:val="0"/>
        <w:autoSpaceDN w:val="0"/>
        <w:adjustRightInd w:val="0"/>
        <w:ind w:firstLine="567"/>
        <w:rPr>
          <w:rFonts w:ascii="Century Gothic" w:eastAsia="Times New Roman" w:hAnsi="Century Gothic"/>
          <w:lang w:eastAsia="es-ES"/>
        </w:rPr>
      </w:pPr>
    </w:p>
    <w:p w:rsidR="00816604" w:rsidRDefault="00816604" w:rsidP="00816604">
      <w:pPr>
        <w:widowControl w:val="0"/>
        <w:autoSpaceDE w:val="0"/>
        <w:autoSpaceDN w:val="0"/>
        <w:adjustRightInd w:val="0"/>
        <w:ind w:firstLine="567"/>
        <w:rPr>
          <w:rFonts w:ascii="Century Gothic" w:eastAsia="Times New Roman" w:hAnsi="Century Gothic"/>
          <w:lang w:eastAsia="es-ES"/>
        </w:rPr>
      </w:pPr>
    </w:p>
    <w:p w:rsidR="00816604" w:rsidRDefault="00816604" w:rsidP="00816604">
      <w:pPr>
        <w:widowControl w:val="0"/>
        <w:autoSpaceDE w:val="0"/>
        <w:autoSpaceDN w:val="0"/>
        <w:adjustRightInd w:val="0"/>
        <w:ind w:firstLine="567"/>
        <w:rPr>
          <w:rFonts w:ascii="Century Gothic" w:eastAsia="Times New Roman" w:hAnsi="Century Gothic"/>
          <w:lang w:eastAsia="es-ES"/>
        </w:rPr>
      </w:pPr>
    </w:p>
    <w:p w:rsidR="00816604" w:rsidRPr="003666C1" w:rsidRDefault="00816604" w:rsidP="00816604">
      <w:pPr>
        <w:widowControl w:val="0"/>
        <w:autoSpaceDE w:val="0"/>
        <w:autoSpaceDN w:val="0"/>
        <w:adjustRightInd w:val="0"/>
        <w:ind w:firstLine="567"/>
        <w:rPr>
          <w:rFonts w:ascii="Century Gothic" w:eastAsia="Times New Roman" w:hAnsi="Century Gothic"/>
          <w:lang w:eastAsia="es-ES"/>
        </w:rPr>
      </w:pPr>
    </w:p>
    <w:p w:rsidR="00816604" w:rsidRPr="003666C1" w:rsidRDefault="00816604" w:rsidP="00816604">
      <w:pPr>
        <w:widowControl w:val="0"/>
        <w:autoSpaceDE w:val="0"/>
        <w:autoSpaceDN w:val="0"/>
        <w:adjustRightInd w:val="0"/>
        <w:ind w:firstLine="567"/>
        <w:jc w:val="center"/>
        <w:rPr>
          <w:rFonts w:ascii="Century Gothic" w:eastAsia="Times New Roman" w:hAnsi="Century Gothic"/>
          <w:b/>
          <w:lang w:eastAsia="es-ES"/>
        </w:rPr>
      </w:pPr>
      <w:r w:rsidRPr="003666C1">
        <w:rPr>
          <w:rFonts w:ascii="Century Gothic" w:eastAsia="Times New Roman" w:hAnsi="Century Gothic"/>
          <w:b/>
          <w:lang w:eastAsia="es-ES"/>
        </w:rPr>
        <w:t>CÓPIESE, NOTIFÍQUESE Y CÚMPLASE</w:t>
      </w:r>
    </w:p>
    <w:p w:rsidR="00816604" w:rsidRPr="003666C1" w:rsidRDefault="00816604" w:rsidP="00816604">
      <w:pPr>
        <w:widowControl w:val="0"/>
        <w:autoSpaceDE w:val="0"/>
        <w:autoSpaceDN w:val="0"/>
        <w:adjustRightInd w:val="0"/>
        <w:ind w:firstLine="567"/>
        <w:rPr>
          <w:rFonts w:ascii="Century Gothic" w:eastAsia="Times New Roman" w:hAnsi="Century Gothic"/>
          <w:b/>
          <w:lang w:eastAsia="es-ES"/>
        </w:rPr>
      </w:pPr>
    </w:p>
    <w:p w:rsidR="00816604" w:rsidRPr="003666C1" w:rsidRDefault="00816604" w:rsidP="00816604">
      <w:pPr>
        <w:widowControl w:val="0"/>
        <w:autoSpaceDE w:val="0"/>
        <w:autoSpaceDN w:val="0"/>
        <w:adjustRightInd w:val="0"/>
        <w:ind w:firstLine="567"/>
        <w:rPr>
          <w:rFonts w:ascii="Century Gothic" w:eastAsia="Times New Roman" w:hAnsi="Century Gothic"/>
          <w:b/>
          <w:lang w:eastAsia="es-ES"/>
        </w:rPr>
      </w:pPr>
    </w:p>
    <w:p w:rsidR="00816604" w:rsidRPr="003666C1" w:rsidRDefault="00816604" w:rsidP="00816604">
      <w:pPr>
        <w:widowControl w:val="0"/>
        <w:autoSpaceDE w:val="0"/>
        <w:autoSpaceDN w:val="0"/>
        <w:adjustRightInd w:val="0"/>
        <w:ind w:firstLine="567"/>
        <w:rPr>
          <w:rFonts w:ascii="Century Gothic" w:eastAsia="Times New Roman" w:hAnsi="Century Gothic"/>
          <w:b/>
          <w:lang w:eastAsia="es-ES"/>
        </w:rPr>
      </w:pPr>
    </w:p>
    <w:p w:rsidR="00816604" w:rsidRDefault="00816604" w:rsidP="00816604">
      <w:pPr>
        <w:widowControl w:val="0"/>
        <w:autoSpaceDE w:val="0"/>
        <w:autoSpaceDN w:val="0"/>
        <w:adjustRightInd w:val="0"/>
        <w:rPr>
          <w:rFonts w:ascii="Century Gothic" w:eastAsia="Times New Roman" w:hAnsi="Century Gothic"/>
          <w:b/>
          <w:lang w:eastAsia="es-ES"/>
        </w:rPr>
      </w:pPr>
    </w:p>
    <w:p w:rsidR="00816604" w:rsidRDefault="00816604" w:rsidP="00816604">
      <w:pPr>
        <w:widowControl w:val="0"/>
        <w:autoSpaceDE w:val="0"/>
        <w:autoSpaceDN w:val="0"/>
        <w:adjustRightInd w:val="0"/>
        <w:rPr>
          <w:rFonts w:ascii="Century Gothic" w:eastAsia="Times New Roman" w:hAnsi="Century Gothic"/>
          <w:b/>
          <w:lang w:eastAsia="es-ES"/>
        </w:rPr>
      </w:pPr>
    </w:p>
    <w:p w:rsidR="00816604" w:rsidRPr="003666C1" w:rsidRDefault="00816604" w:rsidP="00816604">
      <w:pPr>
        <w:widowControl w:val="0"/>
        <w:autoSpaceDE w:val="0"/>
        <w:autoSpaceDN w:val="0"/>
        <w:adjustRightInd w:val="0"/>
        <w:ind w:firstLine="567"/>
        <w:jc w:val="center"/>
        <w:rPr>
          <w:rFonts w:ascii="Century Gothic" w:eastAsia="Times New Roman" w:hAnsi="Century Gothic"/>
          <w:b/>
          <w:lang w:eastAsia="es-ES"/>
        </w:rPr>
      </w:pPr>
    </w:p>
    <w:p w:rsidR="00816604" w:rsidRPr="003666C1" w:rsidRDefault="00816604" w:rsidP="00816604">
      <w:pPr>
        <w:widowControl w:val="0"/>
        <w:autoSpaceDE w:val="0"/>
        <w:autoSpaceDN w:val="0"/>
        <w:adjustRightInd w:val="0"/>
        <w:rPr>
          <w:rFonts w:ascii="Century Gothic" w:eastAsia="Times New Roman" w:hAnsi="Century Gothic"/>
          <w:b/>
          <w:lang w:eastAsia="es-ES"/>
        </w:rPr>
      </w:pPr>
      <w:r>
        <w:rPr>
          <w:rFonts w:ascii="Century Gothic" w:eastAsia="Times New Roman" w:hAnsi="Century Gothic"/>
          <w:b/>
          <w:lang w:eastAsia="es-ES"/>
        </w:rPr>
        <w:t xml:space="preserve">     MARTA NUBIA VELÁSQUEZ RICO</w:t>
      </w:r>
      <w:r w:rsidRPr="003666C1">
        <w:rPr>
          <w:rFonts w:ascii="Century Gothic" w:eastAsia="Times New Roman" w:hAnsi="Century Gothic"/>
          <w:b/>
          <w:lang w:eastAsia="es-ES"/>
        </w:rPr>
        <w:tab/>
      </w:r>
      <w:r>
        <w:rPr>
          <w:rFonts w:ascii="Century Gothic" w:eastAsia="Times New Roman" w:hAnsi="Century Gothic"/>
          <w:b/>
          <w:lang w:eastAsia="es-ES"/>
        </w:rPr>
        <w:tab/>
      </w:r>
      <w:r>
        <w:rPr>
          <w:rFonts w:ascii="Century Gothic" w:eastAsia="Times New Roman" w:hAnsi="Century Gothic"/>
          <w:b/>
          <w:lang w:eastAsia="es-ES"/>
        </w:rPr>
        <w:tab/>
        <w:t xml:space="preserve">    </w:t>
      </w:r>
      <w:r w:rsidRPr="003666C1">
        <w:rPr>
          <w:rFonts w:ascii="Century Gothic" w:eastAsia="Times New Roman" w:hAnsi="Century Gothic"/>
          <w:b/>
          <w:lang w:eastAsia="es-ES"/>
        </w:rPr>
        <w:t xml:space="preserve">HERNÁN ANDRADE RINCÓN </w:t>
      </w:r>
    </w:p>
    <w:p w:rsidR="00816604" w:rsidRPr="003666C1" w:rsidRDefault="00816604" w:rsidP="00816604">
      <w:pPr>
        <w:widowControl w:val="0"/>
        <w:autoSpaceDE w:val="0"/>
        <w:autoSpaceDN w:val="0"/>
        <w:adjustRightInd w:val="0"/>
        <w:ind w:firstLine="567"/>
        <w:jc w:val="center"/>
        <w:rPr>
          <w:rFonts w:ascii="Century Gothic" w:eastAsia="Times New Roman" w:hAnsi="Century Gothic"/>
          <w:b/>
          <w:lang w:eastAsia="es-ES"/>
        </w:rPr>
      </w:pPr>
    </w:p>
    <w:p w:rsidR="00816604" w:rsidRDefault="00816604" w:rsidP="00816604">
      <w:pPr>
        <w:widowControl w:val="0"/>
        <w:autoSpaceDE w:val="0"/>
        <w:autoSpaceDN w:val="0"/>
        <w:adjustRightInd w:val="0"/>
        <w:ind w:firstLine="567"/>
        <w:jc w:val="center"/>
        <w:rPr>
          <w:rFonts w:ascii="Century Gothic" w:eastAsia="Times New Roman" w:hAnsi="Century Gothic"/>
          <w:b/>
          <w:lang w:eastAsia="es-ES"/>
        </w:rPr>
      </w:pPr>
    </w:p>
    <w:p w:rsidR="00816604" w:rsidRPr="003666C1" w:rsidRDefault="00816604" w:rsidP="00816604">
      <w:pPr>
        <w:widowControl w:val="0"/>
        <w:autoSpaceDE w:val="0"/>
        <w:autoSpaceDN w:val="0"/>
        <w:adjustRightInd w:val="0"/>
        <w:ind w:firstLine="567"/>
        <w:jc w:val="center"/>
        <w:rPr>
          <w:rFonts w:ascii="Century Gothic" w:eastAsia="Times New Roman" w:hAnsi="Century Gothic"/>
          <w:b/>
          <w:lang w:eastAsia="es-ES"/>
        </w:rPr>
      </w:pPr>
    </w:p>
    <w:p w:rsidR="00816604" w:rsidRDefault="00816604" w:rsidP="00816604">
      <w:pPr>
        <w:widowControl w:val="0"/>
        <w:autoSpaceDE w:val="0"/>
        <w:autoSpaceDN w:val="0"/>
        <w:adjustRightInd w:val="0"/>
        <w:ind w:firstLine="567"/>
        <w:jc w:val="center"/>
        <w:rPr>
          <w:rFonts w:ascii="Century Gothic" w:eastAsia="Times New Roman" w:hAnsi="Century Gothic"/>
          <w:b/>
          <w:lang w:eastAsia="es-ES"/>
        </w:rPr>
      </w:pPr>
    </w:p>
    <w:p w:rsidR="00816604" w:rsidRPr="003666C1" w:rsidRDefault="00816604" w:rsidP="00816604">
      <w:pPr>
        <w:widowControl w:val="0"/>
        <w:autoSpaceDE w:val="0"/>
        <w:autoSpaceDN w:val="0"/>
        <w:adjustRightInd w:val="0"/>
        <w:ind w:firstLine="567"/>
        <w:jc w:val="center"/>
        <w:rPr>
          <w:rFonts w:ascii="Century Gothic" w:eastAsia="Times New Roman" w:hAnsi="Century Gothic"/>
          <w:b/>
          <w:lang w:eastAsia="es-ES"/>
        </w:rPr>
      </w:pPr>
    </w:p>
    <w:p w:rsidR="00816604" w:rsidRPr="003666C1" w:rsidRDefault="00816604" w:rsidP="00816604">
      <w:pPr>
        <w:widowControl w:val="0"/>
        <w:autoSpaceDE w:val="0"/>
        <w:autoSpaceDN w:val="0"/>
        <w:adjustRightInd w:val="0"/>
        <w:ind w:firstLine="567"/>
        <w:jc w:val="center"/>
        <w:rPr>
          <w:rFonts w:ascii="Century Gothic" w:eastAsia="Times New Roman" w:hAnsi="Century Gothic"/>
          <w:b/>
          <w:lang w:eastAsia="es-ES"/>
        </w:rPr>
      </w:pPr>
    </w:p>
    <w:p w:rsidR="00816604" w:rsidRPr="00B61053" w:rsidRDefault="00816604" w:rsidP="00816604">
      <w:pPr>
        <w:widowControl w:val="0"/>
        <w:autoSpaceDE w:val="0"/>
        <w:autoSpaceDN w:val="0"/>
        <w:adjustRightInd w:val="0"/>
        <w:ind w:firstLine="567"/>
        <w:jc w:val="center"/>
        <w:rPr>
          <w:rFonts w:ascii="Century Gothic" w:eastAsia="Times New Roman" w:hAnsi="Century Gothic"/>
          <w:b/>
          <w:lang w:eastAsia="es-ES"/>
        </w:rPr>
      </w:pPr>
      <w:r w:rsidRPr="003666C1">
        <w:rPr>
          <w:rFonts w:ascii="Century Gothic" w:eastAsia="Times New Roman" w:hAnsi="Century Gothic"/>
          <w:b/>
          <w:lang w:eastAsia="es-ES"/>
        </w:rPr>
        <w:t xml:space="preserve">CARLOS ALBERTO ZAMBRANO BARRERA </w:t>
      </w:r>
    </w:p>
    <w:p w:rsidR="00EB5557" w:rsidRDefault="00EB5557" w:rsidP="00EB5557"/>
    <w:p w:rsidR="005C79DA" w:rsidRDefault="005C79DA"/>
    <w:sectPr w:rsidR="005C79DA" w:rsidSect="00A64E43">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3B" w:rsidRDefault="0086793B" w:rsidP="00816604">
      <w:r>
        <w:separator/>
      </w:r>
    </w:p>
  </w:endnote>
  <w:endnote w:type="continuationSeparator" w:id="0">
    <w:p w:rsidR="0086793B" w:rsidRDefault="0086793B" w:rsidP="0081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3B" w:rsidRDefault="0086793B" w:rsidP="00816604">
      <w:r>
        <w:separator/>
      </w:r>
    </w:p>
  </w:footnote>
  <w:footnote w:type="continuationSeparator" w:id="0">
    <w:p w:rsidR="0086793B" w:rsidRDefault="0086793B" w:rsidP="00816604">
      <w:r>
        <w:continuationSeparator/>
      </w:r>
    </w:p>
  </w:footnote>
  <w:footnote w:id="1">
    <w:p w:rsidR="00816604" w:rsidRDefault="00816604" w:rsidP="00816604">
      <w:pPr>
        <w:pStyle w:val="Textonotapie"/>
      </w:pPr>
      <w:r>
        <w:rPr>
          <w:rStyle w:val="Refdenotaalpie"/>
        </w:rPr>
        <w:footnoteRef/>
      </w:r>
      <w:r>
        <w:t xml:space="preserve"> </w:t>
      </w:r>
      <w:r w:rsidRPr="0037341A">
        <w:rPr>
          <w:sz w:val="18"/>
          <w:szCs w:val="18"/>
        </w:rPr>
        <w:t>FL. 15, cdno 1.</w:t>
      </w:r>
    </w:p>
  </w:footnote>
  <w:footnote w:id="2">
    <w:p w:rsidR="00816604" w:rsidRPr="00D47B3B" w:rsidRDefault="00816604" w:rsidP="00816604">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31 de agosto de 2009</w:t>
      </w:r>
      <w:r w:rsidRPr="00D47B3B">
        <w:rPr>
          <w:rFonts w:ascii="Century Gothic" w:hAnsi="Century Gothic" w:cs="Arial"/>
          <w:sz w:val="18"/>
          <w:szCs w:val="18"/>
          <w:lang w:val="es-MX"/>
        </w:rPr>
        <w:t>.</w:t>
      </w:r>
    </w:p>
  </w:footnote>
  <w:footnote w:id="3">
    <w:p w:rsidR="00816604" w:rsidRPr="00D47B3B" w:rsidRDefault="00816604" w:rsidP="00816604">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sidRPr="00263960">
        <w:rPr>
          <w:rFonts w:ascii="Century Gothic" w:hAnsi="Century Gothic" w:cs="Arial"/>
          <w:color w:val="000000"/>
          <w:sz w:val="18"/>
          <w:szCs w:val="18"/>
        </w:rPr>
        <w:t xml:space="preserve">Ley 954 de </w:t>
      </w:r>
      <w:r>
        <w:rPr>
          <w:rFonts w:ascii="Century Gothic" w:hAnsi="Century Gothic" w:cs="Arial"/>
          <w:color w:val="000000"/>
          <w:sz w:val="18"/>
          <w:szCs w:val="18"/>
        </w:rPr>
        <w:t>de 2005.</w:t>
      </w:r>
    </w:p>
  </w:footnote>
  <w:footnote w:id="4">
    <w:p w:rsidR="00816604" w:rsidRPr="00604D78" w:rsidRDefault="00816604" w:rsidP="00816604">
      <w:pPr>
        <w:pStyle w:val="Textonotapie"/>
        <w:jc w:val="both"/>
        <w:rPr>
          <w:rFonts w:ascii="Century Gothic" w:hAnsi="Century Gothic"/>
          <w:sz w:val="18"/>
          <w:szCs w:val="18"/>
        </w:rPr>
      </w:pPr>
      <w:r w:rsidRPr="00604D78">
        <w:rPr>
          <w:rStyle w:val="Refdenotaalpie"/>
          <w:rFonts w:ascii="Century Gothic" w:hAnsi="Century Gothic"/>
          <w:sz w:val="18"/>
          <w:szCs w:val="18"/>
        </w:rPr>
        <w:footnoteRef/>
      </w:r>
      <w:r w:rsidRPr="00604D78">
        <w:rPr>
          <w:rFonts w:ascii="Century Gothic" w:hAnsi="Century Gothic"/>
          <w:sz w:val="18"/>
          <w:szCs w:val="18"/>
        </w:rPr>
        <w:t xml:space="preserve"> Consejo de Estado, Sección Tercera, expediente 14.854, sentencia del 29 de agosto de</w:t>
      </w:r>
      <w:r>
        <w:rPr>
          <w:rFonts w:ascii="Century Gothic" w:hAnsi="Century Gothic"/>
          <w:sz w:val="18"/>
          <w:szCs w:val="18"/>
        </w:rPr>
        <w:t xml:space="preserve"> 2007.</w:t>
      </w:r>
    </w:p>
  </w:footnote>
  <w:footnote w:id="5">
    <w:p w:rsidR="00816604" w:rsidRPr="00A05100" w:rsidRDefault="00816604" w:rsidP="00816604">
      <w:pPr>
        <w:jc w:val="both"/>
        <w:rPr>
          <w:rFonts w:ascii="Century Gothic" w:hAnsi="Century Gothic"/>
          <w:sz w:val="18"/>
          <w:szCs w:val="18"/>
        </w:rPr>
      </w:pPr>
      <w:r w:rsidRPr="00A05100">
        <w:rPr>
          <w:rStyle w:val="Refdenotaalpie"/>
          <w:rFonts w:ascii="Century Gothic" w:hAnsi="Century Gothic"/>
          <w:sz w:val="18"/>
          <w:szCs w:val="18"/>
        </w:rPr>
        <w:footnoteRef/>
      </w:r>
      <w:r w:rsidRPr="00A05100">
        <w:rPr>
          <w:rFonts w:ascii="Century Gothic" w:hAnsi="Century Gothic"/>
          <w:sz w:val="18"/>
          <w:szCs w:val="18"/>
        </w:rPr>
        <w:t xml:space="preserve"> Debe tenerse en cuenta que</w:t>
      </w:r>
      <w:r>
        <w:rPr>
          <w:rFonts w:ascii="Century Gothic" w:hAnsi="Century Gothic"/>
          <w:sz w:val="18"/>
          <w:szCs w:val="18"/>
        </w:rPr>
        <w:t>,</w:t>
      </w:r>
      <w:r w:rsidRPr="00A05100">
        <w:rPr>
          <w:rFonts w:ascii="Century Gothic" w:hAnsi="Century Gothic"/>
          <w:sz w:val="18"/>
          <w:szCs w:val="18"/>
        </w:rPr>
        <w:t xml:space="preserve"> desde hace ya muchos años</w:t>
      </w:r>
      <w:r>
        <w:rPr>
          <w:rFonts w:ascii="Century Gothic" w:hAnsi="Century Gothic"/>
          <w:sz w:val="18"/>
          <w:szCs w:val="18"/>
        </w:rPr>
        <w:t>, esta Sala ha sostenido que</w:t>
      </w:r>
      <w:r w:rsidRPr="00A05100">
        <w:rPr>
          <w:rFonts w:ascii="Century Gothic" w:hAnsi="Century Gothic"/>
          <w:sz w:val="18"/>
          <w:szCs w:val="18"/>
        </w:rPr>
        <w:t xml:space="preserve"> “La liquidación suscrita sin reparos es un auténtico corte de cuentas entre los contratistas, en la cual se define quién debe a quien y cuánto. Como es lógico</w:t>
      </w:r>
      <w:r>
        <w:rPr>
          <w:rFonts w:ascii="Century Gothic" w:hAnsi="Century Gothic"/>
          <w:sz w:val="18"/>
          <w:szCs w:val="18"/>
        </w:rPr>
        <w:t xml:space="preserve"> (sic)</w:t>
      </w:r>
      <w:r w:rsidRPr="00A05100">
        <w:rPr>
          <w:rFonts w:ascii="Century Gothic" w:hAnsi="Century Gothic"/>
          <w:sz w:val="18"/>
          <w:szCs w:val="18"/>
        </w:rPr>
        <w:t xml:space="preserve"> es un acuerdo entre personas capaces de disponer y las reglas sobre el consentimiento sin vicios rigen en su integridad.</w:t>
      </w:r>
    </w:p>
    <w:p w:rsidR="00816604" w:rsidRPr="00A05100" w:rsidRDefault="00816604" w:rsidP="00816604">
      <w:pPr>
        <w:pStyle w:val="Textonotapie"/>
        <w:jc w:val="both"/>
        <w:rPr>
          <w:rFonts w:ascii="Century Gothic" w:hAnsi="Century Gothic"/>
          <w:sz w:val="18"/>
          <w:szCs w:val="18"/>
        </w:rPr>
      </w:pPr>
      <w:r w:rsidRPr="00A05100">
        <w:rPr>
          <w:rFonts w:ascii="Century Gothic" w:hAnsi="Century Gothic"/>
          <w:sz w:val="18"/>
          <w:szCs w:val="18"/>
        </w:rPr>
        <w:t>“Pero si el acta se suscribe con salvedades o la elabora unilateralmente la administración ante la negativa del contratista a suscribirla, le queda abierta a éste su posibilidad de impugnarla jurisdiccional</w:t>
      </w:r>
      <w:r>
        <w:rPr>
          <w:rFonts w:ascii="Century Gothic" w:hAnsi="Century Gothic"/>
          <w:sz w:val="18"/>
          <w:szCs w:val="18"/>
        </w:rPr>
        <w:t>mente ante el juez del contrato” (s</w:t>
      </w:r>
      <w:r w:rsidRPr="00A05100">
        <w:rPr>
          <w:rFonts w:ascii="Century Gothic" w:hAnsi="Century Gothic"/>
          <w:sz w:val="18"/>
          <w:szCs w:val="18"/>
        </w:rPr>
        <w:t>entencia de febrero 20 de 1987, exp</w:t>
      </w:r>
      <w:r>
        <w:rPr>
          <w:rFonts w:ascii="Century Gothic" w:hAnsi="Century Gothic"/>
          <w:sz w:val="18"/>
          <w:szCs w:val="18"/>
        </w:rPr>
        <w:t>ediente 4838,  a</w:t>
      </w:r>
      <w:r w:rsidRPr="00A05100">
        <w:rPr>
          <w:rFonts w:ascii="Century Gothic" w:hAnsi="Century Gothic"/>
          <w:sz w:val="18"/>
          <w:szCs w:val="18"/>
        </w:rPr>
        <w:t xml:space="preserve">ctor: Ingeniería Civil Ltda.) </w:t>
      </w:r>
    </w:p>
  </w:footnote>
  <w:footnote w:id="6">
    <w:p w:rsidR="00816604" w:rsidRPr="00F07EE8" w:rsidRDefault="00816604" w:rsidP="00816604">
      <w:pPr>
        <w:pStyle w:val="Textoindependiente"/>
        <w:spacing w:line="240" w:lineRule="auto"/>
        <w:ind w:right="-7"/>
        <w:jc w:val="both"/>
        <w:rPr>
          <w:rFonts w:ascii="Century Gothic" w:hAnsi="Century Gothic"/>
          <w:sz w:val="18"/>
          <w:szCs w:val="18"/>
        </w:rPr>
      </w:pPr>
      <w:r w:rsidRPr="00F07EE8">
        <w:rPr>
          <w:rStyle w:val="Refdenotaalpie"/>
          <w:rFonts w:ascii="Century Gothic" w:hAnsi="Century Gothic"/>
          <w:sz w:val="18"/>
          <w:szCs w:val="18"/>
        </w:rPr>
        <w:footnoteRef/>
      </w:r>
      <w:r w:rsidRPr="00F07EE8">
        <w:rPr>
          <w:rFonts w:ascii="Century Gothic" w:hAnsi="Century Gothic"/>
          <w:sz w:val="18"/>
          <w:szCs w:val="18"/>
        </w:rPr>
        <w:t xml:space="preserve"> En la sentencia de esta Sección </w:t>
      </w:r>
      <w:r w:rsidRPr="00F07EE8">
        <w:rPr>
          <w:rFonts w:ascii="Century Gothic" w:hAnsi="Century Gothic" w:cs="Tahoma"/>
          <w:sz w:val="18"/>
          <w:szCs w:val="18"/>
        </w:rPr>
        <w:t>de julio 6 de 2005 -Exp. 14.113-, se</w:t>
      </w:r>
      <w:r w:rsidRPr="00F07EE8">
        <w:rPr>
          <w:rFonts w:ascii="Century Gothic" w:hAnsi="Century Gothic"/>
          <w:sz w:val="18"/>
          <w:szCs w:val="18"/>
        </w:rPr>
        <w:t xml:space="preserve"> manifestó que existen dos razones que dan soporte normativo a esta exigencia: “A este respecto se debe precisar que, </w:t>
      </w:r>
      <w:r w:rsidRPr="00F07EE8">
        <w:rPr>
          <w:rFonts w:ascii="Century Gothic" w:hAnsi="Century Gothic"/>
          <w:b/>
          <w:sz w:val="18"/>
          <w:szCs w:val="18"/>
        </w:rPr>
        <w:t>el deber de dejar en el acta de liquidación, en forma clara y concreta, las constancias o reclamaciones, sí tiene fundamento normativo</w:t>
      </w:r>
      <w:r w:rsidRPr="00F07EE8">
        <w:rPr>
          <w:rFonts w:ascii="Century Gothic" w:hAnsi="Century Gothic"/>
          <w:sz w:val="18"/>
          <w:szCs w:val="18"/>
        </w:rPr>
        <w:t xml:space="preserve"> y por eso mismo es exigible en las relaciones contractuales.</w:t>
      </w:r>
    </w:p>
    <w:p w:rsidR="00816604" w:rsidRPr="00F07EE8" w:rsidRDefault="00816604" w:rsidP="00816604">
      <w:pPr>
        <w:pStyle w:val="Textoindependiente"/>
        <w:spacing w:line="240" w:lineRule="auto"/>
        <w:ind w:right="-7"/>
        <w:jc w:val="both"/>
        <w:rPr>
          <w:rFonts w:ascii="Century Gothic" w:hAnsi="Century Gothic"/>
          <w:sz w:val="18"/>
          <w:szCs w:val="18"/>
        </w:rPr>
      </w:pPr>
      <w:r w:rsidRPr="00F07EE8">
        <w:rPr>
          <w:rFonts w:ascii="Century Gothic" w:hAnsi="Century Gothic"/>
          <w:sz w:val="18"/>
          <w:szCs w:val="18"/>
        </w:rPr>
        <w:t>“En primer lugar, este hecho se funda en el artículo 1602 del Código Civil, aplicable por remisión al derecho de los contratos estatales, según el cual ‘Todo contrato legalmente celebrado es una ley para los contratantes, y no puede ser invalidado, sino por su consentimiento mutuo o por causas legales.’ No puede perderse de vista que el acta de liquidación bilateral comparte la misma naturaleza del contrato, tanto por su formación como por sus efectos, de modo que lo allí acordado produce las consecuencias a que se refiere el artículo citado.  Desde este punto de vista, cuando no se deja en el acta constancia concreta de reclamación, se entiende que no existe inconformidad.</w:t>
      </w:r>
    </w:p>
    <w:p w:rsidR="00816604" w:rsidRPr="00F07EE8" w:rsidRDefault="00816604" w:rsidP="00816604">
      <w:pPr>
        <w:pStyle w:val="Textoindependiente"/>
        <w:spacing w:line="240" w:lineRule="auto"/>
        <w:ind w:right="-7"/>
        <w:jc w:val="both"/>
        <w:rPr>
          <w:rFonts w:ascii="Century Gothic" w:hAnsi="Century Gothic"/>
          <w:sz w:val="18"/>
          <w:szCs w:val="18"/>
        </w:rPr>
      </w:pPr>
      <w:r w:rsidRPr="00F07EE8">
        <w:rPr>
          <w:rFonts w:ascii="Century Gothic" w:hAnsi="Century Gothic"/>
          <w:sz w:val="18"/>
          <w:szCs w:val="18"/>
        </w:rPr>
        <w:t>“En segundo lugar, este deber se funda en el ‘principio de la buena fe’, el cual inspira, a su vez, la denominada ‘teoría de los actos propios’, cuyo valor normativo no se pone en duda, pues se funda, en primer lugar, en el artículo 83 de la CP, según el cual ‘las actuaciones de los particulares y de las autoridades públicas deberán ceñirse a los postulados de la buena fe, la cual se presumirá en todas las gestiones que aquéllos adelanten ante estas’, y en forma específica, en materia contractual, en el artículo 1603, según el cual ‘los contratos deben ejecutarse de buena fe, y por consiguiente obligan no sólo a lo que en ellos se expresa, sino a todas las cosas que emanan precisamente de la naturaleza de la obligación, o que por la ley pertenecen a ella.’</w:t>
      </w:r>
    </w:p>
    <w:p w:rsidR="00816604" w:rsidRPr="00F07EE8" w:rsidRDefault="00816604" w:rsidP="00816604">
      <w:pPr>
        <w:pStyle w:val="Textoindependiente"/>
        <w:spacing w:line="240" w:lineRule="auto"/>
        <w:ind w:right="-7"/>
        <w:jc w:val="both"/>
        <w:rPr>
          <w:rFonts w:ascii="Century Gothic" w:hAnsi="Century Gothic"/>
          <w:sz w:val="18"/>
          <w:szCs w:val="18"/>
        </w:rPr>
      </w:pPr>
      <w:r w:rsidRPr="00F07EE8">
        <w:rPr>
          <w:rFonts w:ascii="Century Gothic" w:hAnsi="Century Gothic"/>
          <w:sz w:val="18"/>
          <w:szCs w:val="18"/>
        </w:rPr>
        <w:t xml:space="preserve">“Queda, entonces, claro que la posición del </w:t>
      </w:r>
      <w:r w:rsidRPr="00F07EE8">
        <w:rPr>
          <w:rFonts w:ascii="Century Gothic" w:hAnsi="Century Gothic"/>
          <w:i/>
          <w:sz w:val="18"/>
          <w:szCs w:val="18"/>
        </w:rPr>
        <w:t>a quo</w:t>
      </w:r>
      <w:r w:rsidRPr="00F07EE8">
        <w:rPr>
          <w:rFonts w:ascii="Century Gothic" w:hAnsi="Century Gothic"/>
          <w:sz w:val="18"/>
          <w:szCs w:val="18"/>
        </w:rPr>
        <w:t>, compartida por esta Sala, tiene fundamento normativo suficiente, razón por la cual esta jurisdicción ha exigido su cumplimiento en las actas de liquidación bilatera</w:t>
      </w:r>
      <w:r>
        <w:rPr>
          <w:rFonts w:ascii="Century Gothic" w:hAnsi="Century Gothic"/>
          <w:sz w:val="18"/>
          <w:szCs w:val="18"/>
        </w:rPr>
        <w:t>l de los contratos estatales” (n</w:t>
      </w:r>
      <w:r w:rsidRPr="00F07EE8">
        <w:rPr>
          <w:rFonts w:ascii="Century Gothic" w:hAnsi="Century Gothic"/>
          <w:sz w:val="18"/>
          <w:szCs w:val="18"/>
        </w:rPr>
        <w:t xml:space="preserve">egrillas fuera de texto). </w:t>
      </w:r>
    </w:p>
    <w:p w:rsidR="00816604" w:rsidRPr="00EB538D" w:rsidRDefault="00816604" w:rsidP="00816604">
      <w:pPr>
        <w:pStyle w:val="Textoindependiente"/>
        <w:spacing w:line="240" w:lineRule="auto"/>
        <w:ind w:right="-7"/>
        <w:jc w:val="both"/>
        <w:rPr>
          <w:rFonts w:ascii="Book Antiqua" w:hAnsi="Book Antiqua"/>
          <w:sz w:val="20"/>
          <w:szCs w:val="20"/>
        </w:rPr>
      </w:pPr>
      <w:r w:rsidRPr="00F07EE8">
        <w:rPr>
          <w:rFonts w:ascii="Century Gothic" w:hAnsi="Century Gothic"/>
          <w:sz w:val="18"/>
          <w:szCs w:val="18"/>
        </w:rPr>
        <w:t>Lo anterior fue reiterado por esta Subsección en sentencia del 31 de m</w:t>
      </w:r>
      <w:r>
        <w:rPr>
          <w:rFonts w:ascii="Century Gothic" w:hAnsi="Century Gothic"/>
          <w:sz w:val="18"/>
          <w:szCs w:val="18"/>
        </w:rPr>
        <w:t>arzo de 2011, expediente 16.246.</w:t>
      </w:r>
      <w:r w:rsidRPr="00F07EE8">
        <w:rPr>
          <w:rFonts w:ascii="Century Gothic" w:hAnsi="Century Gothic"/>
          <w:sz w:val="18"/>
          <w:szCs w:val="18"/>
        </w:rPr>
        <w:t xml:space="preserve"> </w:t>
      </w:r>
    </w:p>
  </w:footnote>
  <w:footnote w:id="7">
    <w:p w:rsidR="00816604" w:rsidRPr="00BD65BA" w:rsidRDefault="00816604" w:rsidP="00816604">
      <w:pPr>
        <w:pStyle w:val="Textonotapie"/>
        <w:jc w:val="both"/>
        <w:rPr>
          <w:rFonts w:ascii="Century Gothic" w:hAnsi="Century Gothic"/>
          <w:sz w:val="18"/>
          <w:szCs w:val="18"/>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w:t>
      </w:r>
      <w:r w:rsidRPr="00D966C1">
        <w:rPr>
          <w:rFonts w:ascii="Century Gothic" w:hAnsi="Century Gothic"/>
          <w:sz w:val="18"/>
          <w:szCs w:val="18"/>
        </w:rPr>
        <w:t>Consejo de Estado, Sección Tercera, Subsección C, expediente 21.843, sentencia del 18 de julio de 2012.</w:t>
      </w:r>
      <w:r w:rsidRPr="00BD65BA">
        <w:rPr>
          <w:rFonts w:ascii="Century Gothic" w:hAnsi="Century Gothic"/>
          <w:sz w:val="18"/>
          <w:szCs w:val="18"/>
        </w:rPr>
        <w:t xml:space="preserve"> </w:t>
      </w:r>
    </w:p>
  </w:footnote>
  <w:footnote w:id="8">
    <w:p w:rsidR="00816604" w:rsidRPr="009C08B7" w:rsidRDefault="00816604" w:rsidP="00816604">
      <w:pPr>
        <w:pStyle w:val="Textonotapie"/>
        <w:rPr>
          <w:rFonts w:ascii="Century Gothic" w:hAnsi="Century Gothic"/>
          <w:sz w:val="18"/>
          <w:szCs w:val="18"/>
        </w:rPr>
      </w:pPr>
      <w:r w:rsidRPr="009C08B7">
        <w:rPr>
          <w:rStyle w:val="Refdenotaalpie"/>
          <w:rFonts w:ascii="Century Gothic" w:hAnsi="Century Gothic"/>
          <w:sz w:val="18"/>
          <w:szCs w:val="18"/>
        </w:rPr>
        <w:footnoteRef/>
      </w:r>
      <w:r w:rsidRPr="009C08B7">
        <w:rPr>
          <w:rFonts w:ascii="Century Gothic" w:hAnsi="Century Gothic"/>
          <w:sz w:val="18"/>
          <w:szCs w:val="18"/>
        </w:rPr>
        <w:t xml:space="preserve"> </w:t>
      </w:r>
      <w:r w:rsidRPr="00C46F93">
        <w:rPr>
          <w:rFonts w:ascii="Century Gothic" w:hAnsi="Century Gothic"/>
          <w:color w:val="000000"/>
          <w:sz w:val="18"/>
          <w:szCs w:val="18"/>
        </w:rPr>
        <w:t xml:space="preserve">Consejo de Estado, Sección Tercera, sentencia del 6 de mayo de 2015, </w:t>
      </w:r>
      <w:r w:rsidRPr="00C46F93">
        <w:rPr>
          <w:rFonts w:ascii="Century Gothic" w:hAnsi="Century Gothic"/>
          <w:color w:val="000000"/>
          <w:sz w:val="18"/>
          <w:szCs w:val="18"/>
          <w:shd w:val="clear" w:color="auto" w:fill="FFFFFF"/>
        </w:rPr>
        <w:t>expediente 05001-23-31-000-1998-03276-01(31347).</w:t>
      </w:r>
    </w:p>
  </w:footnote>
  <w:footnote w:id="9">
    <w:p w:rsidR="00816604" w:rsidRDefault="00816604" w:rsidP="00816604">
      <w:pPr>
        <w:pStyle w:val="Textonotapie"/>
      </w:pPr>
      <w:r>
        <w:rPr>
          <w:rStyle w:val="Refdenotaalpie"/>
        </w:rPr>
        <w:footnoteRef/>
      </w:r>
      <w:r>
        <w:t xml:space="preserve"> </w:t>
      </w:r>
      <w:r w:rsidRPr="00AE06DD">
        <w:rPr>
          <w:rFonts w:ascii="Century Gothic" w:hAnsi="Century Gothic"/>
          <w:sz w:val="18"/>
          <w:szCs w:val="18"/>
        </w:rPr>
        <w:t xml:space="preserve">Folio 246, cuaderno </w:t>
      </w:r>
      <w:r>
        <w:rPr>
          <w:rFonts w:ascii="Century Gothic" w:hAnsi="Century Gothic"/>
          <w:sz w:val="18"/>
          <w:szCs w:val="18"/>
        </w:rPr>
        <w:t>1.</w:t>
      </w:r>
    </w:p>
  </w:footnote>
  <w:footnote w:id="10">
    <w:p w:rsidR="00816604" w:rsidRPr="00BC7386" w:rsidRDefault="00816604" w:rsidP="00816604">
      <w:pPr>
        <w:pStyle w:val="Textonotapie"/>
        <w:rPr>
          <w:rFonts w:ascii="Century Gothic" w:hAnsi="Century Gothic"/>
          <w:sz w:val="18"/>
          <w:szCs w:val="18"/>
        </w:rPr>
      </w:pPr>
      <w:r>
        <w:rPr>
          <w:rStyle w:val="Refdenotaalpie"/>
        </w:rPr>
        <w:footnoteRef/>
      </w:r>
      <w:r>
        <w:t xml:space="preserve"> </w:t>
      </w:r>
      <w:r w:rsidRPr="00BC7386">
        <w:rPr>
          <w:rFonts w:ascii="Century Gothic" w:hAnsi="Century Gothic"/>
          <w:sz w:val="18"/>
          <w:szCs w:val="18"/>
        </w:rPr>
        <w:t xml:space="preserve">Consejo de Estado, Sección Tercera, sentencia del 14 de agosto de 2013, expediente 25000-23-26-000-1998-02909-01 </w:t>
      </w:r>
    </w:p>
  </w:footnote>
  <w:footnote w:id="11">
    <w:p w:rsidR="00816604" w:rsidRPr="00407198" w:rsidRDefault="00816604" w:rsidP="00816604">
      <w:pPr>
        <w:pStyle w:val="Textonotapie"/>
        <w:rPr>
          <w:rFonts w:ascii="Century Gothic" w:hAnsi="Century Gothic"/>
          <w:sz w:val="18"/>
          <w:szCs w:val="18"/>
        </w:rPr>
      </w:pPr>
      <w:r>
        <w:rPr>
          <w:rStyle w:val="Refdenotaalpie"/>
        </w:rPr>
        <w:footnoteRef/>
      </w:r>
      <w:r>
        <w:t xml:space="preserve"> </w:t>
      </w:r>
      <w:r>
        <w:rPr>
          <w:rFonts w:ascii="Century Gothic" w:hAnsi="Century Gothic"/>
          <w:sz w:val="18"/>
          <w:szCs w:val="18"/>
        </w:rPr>
        <w:t>Consejo de Estado, Sección Tercera, sentencia del 29 de agosto de 2007, expediente 14.854.</w:t>
      </w:r>
    </w:p>
  </w:footnote>
  <w:footnote w:id="12">
    <w:p w:rsidR="00816604" w:rsidRPr="009061DF" w:rsidRDefault="00816604" w:rsidP="00816604">
      <w:pPr>
        <w:pStyle w:val="Textonotapie"/>
        <w:rPr>
          <w:rFonts w:ascii="Century Gothic" w:hAnsi="Century Gothic"/>
          <w:sz w:val="18"/>
          <w:szCs w:val="18"/>
        </w:rPr>
      </w:pPr>
      <w:r>
        <w:rPr>
          <w:rStyle w:val="Refdenotaalpie"/>
        </w:rPr>
        <w:footnoteRef/>
      </w:r>
      <w:r>
        <w:t xml:space="preserve"> </w:t>
      </w:r>
      <w:r w:rsidRPr="009061DF">
        <w:rPr>
          <w:rFonts w:ascii="Century Gothic" w:hAnsi="Century Gothic"/>
          <w:sz w:val="18"/>
          <w:szCs w:val="18"/>
        </w:rPr>
        <w:t>Al respecto, véase sentencias de la Sección Tercera del Consejo de Estado del 24 de febrero de 2016, expediente 46.185 y del 27 de mayo del 2015, expediente 38.695.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57"/>
    <w:rsid w:val="00004195"/>
    <w:rsid w:val="00004A7E"/>
    <w:rsid w:val="000053D5"/>
    <w:rsid w:val="000074E3"/>
    <w:rsid w:val="00091089"/>
    <w:rsid w:val="00097C95"/>
    <w:rsid w:val="00146383"/>
    <w:rsid w:val="00150788"/>
    <w:rsid w:val="0017525C"/>
    <w:rsid w:val="00183E3E"/>
    <w:rsid w:val="001F5612"/>
    <w:rsid w:val="002065E2"/>
    <w:rsid w:val="003301AF"/>
    <w:rsid w:val="00331131"/>
    <w:rsid w:val="00335DA3"/>
    <w:rsid w:val="00357E21"/>
    <w:rsid w:val="00370D84"/>
    <w:rsid w:val="0037132D"/>
    <w:rsid w:val="00391406"/>
    <w:rsid w:val="003928D0"/>
    <w:rsid w:val="0039788D"/>
    <w:rsid w:val="003D0292"/>
    <w:rsid w:val="003D11E1"/>
    <w:rsid w:val="003D6B58"/>
    <w:rsid w:val="003D73FB"/>
    <w:rsid w:val="003F408C"/>
    <w:rsid w:val="00422168"/>
    <w:rsid w:val="0043415D"/>
    <w:rsid w:val="00465D2C"/>
    <w:rsid w:val="004D2728"/>
    <w:rsid w:val="004D6BE7"/>
    <w:rsid w:val="0052309D"/>
    <w:rsid w:val="005620BD"/>
    <w:rsid w:val="00565234"/>
    <w:rsid w:val="005733EE"/>
    <w:rsid w:val="00590F55"/>
    <w:rsid w:val="005C229B"/>
    <w:rsid w:val="005C79DA"/>
    <w:rsid w:val="0066212B"/>
    <w:rsid w:val="006656CD"/>
    <w:rsid w:val="006C0D8A"/>
    <w:rsid w:val="006F1375"/>
    <w:rsid w:val="00701FB2"/>
    <w:rsid w:val="007949F8"/>
    <w:rsid w:val="00797A7C"/>
    <w:rsid w:val="007A0A80"/>
    <w:rsid w:val="007A423A"/>
    <w:rsid w:val="007C4D92"/>
    <w:rsid w:val="007D4EC7"/>
    <w:rsid w:val="007E716D"/>
    <w:rsid w:val="007F52B5"/>
    <w:rsid w:val="0081599D"/>
    <w:rsid w:val="00816604"/>
    <w:rsid w:val="00817A0D"/>
    <w:rsid w:val="0086793B"/>
    <w:rsid w:val="008728C8"/>
    <w:rsid w:val="008A427F"/>
    <w:rsid w:val="00956096"/>
    <w:rsid w:val="0098045E"/>
    <w:rsid w:val="009A07A3"/>
    <w:rsid w:val="009B0D9F"/>
    <w:rsid w:val="009E12A5"/>
    <w:rsid w:val="00A22C92"/>
    <w:rsid w:val="00A64E43"/>
    <w:rsid w:val="00A765AA"/>
    <w:rsid w:val="00A80E05"/>
    <w:rsid w:val="00A93400"/>
    <w:rsid w:val="00AE1623"/>
    <w:rsid w:val="00AF6E53"/>
    <w:rsid w:val="00B17C40"/>
    <w:rsid w:val="00B329B3"/>
    <w:rsid w:val="00B57DD7"/>
    <w:rsid w:val="00B76585"/>
    <w:rsid w:val="00BA48D4"/>
    <w:rsid w:val="00BA6C36"/>
    <w:rsid w:val="00BF247B"/>
    <w:rsid w:val="00BF49C5"/>
    <w:rsid w:val="00C96DB7"/>
    <w:rsid w:val="00C97409"/>
    <w:rsid w:val="00CE54A4"/>
    <w:rsid w:val="00D04DDE"/>
    <w:rsid w:val="00D3573C"/>
    <w:rsid w:val="00D65878"/>
    <w:rsid w:val="00D9576D"/>
    <w:rsid w:val="00DB0864"/>
    <w:rsid w:val="00E128EB"/>
    <w:rsid w:val="00E142DB"/>
    <w:rsid w:val="00E247F9"/>
    <w:rsid w:val="00E420D9"/>
    <w:rsid w:val="00EA58ED"/>
    <w:rsid w:val="00EB5557"/>
    <w:rsid w:val="00EC44A0"/>
    <w:rsid w:val="00EE419B"/>
    <w:rsid w:val="00EF4AC9"/>
    <w:rsid w:val="00F13A81"/>
    <w:rsid w:val="00F41809"/>
    <w:rsid w:val="00F55077"/>
    <w:rsid w:val="00F763D1"/>
    <w:rsid w:val="00FA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68299-4BCE-4344-9081-C3ACAEA4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16604"/>
    <w:pPr>
      <w:spacing w:after="160" w:line="259" w:lineRule="auto"/>
    </w:pPr>
    <w:rPr>
      <w:sz w:val="20"/>
      <w:szCs w:val="20"/>
    </w:rPr>
  </w:style>
  <w:style w:type="character" w:customStyle="1" w:styleId="TextonotapieCar">
    <w:name w:val="Texto nota pie Car"/>
    <w:link w:val="Textonotapie"/>
    <w:uiPriority w:val="99"/>
    <w:semiHidden/>
    <w:rsid w:val="00816604"/>
    <w:rPr>
      <w:lang w:eastAsia="en-U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rsid w:val="00816604"/>
    <w:rPr>
      <w:rFonts w:cs="Times New Roman"/>
      <w:vertAlign w:val="superscript"/>
    </w:rPr>
  </w:style>
  <w:style w:type="paragraph" w:styleId="Textoindependiente">
    <w:name w:val="Body Text"/>
    <w:basedOn w:val="Normal"/>
    <w:link w:val="TextoindependienteCar"/>
    <w:uiPriority w:val="99"/>
    <w:semiHidden/>
    <w:unhideWhenUsed/>
    <w:rsid w:val="00816604"/>
    <w:pPr>
      <w:spacing w:after="120" w:line="259" w:lineRule="auto"/>
    </w:pPr>
  </w:style>
  <w:style w:type="character" w:customStyle="1" w:styleId="TextoindependienteCar">
    <w:name w:val="Texto independiente Car"/>
    <w:link w:val="Textoindependiente"/>
    <w:uiPriority w:val="99"/>
    <w:semiHidden/>
    <w:rsid w:val="00816604"/>
    <w:rPr>
      <w:sz w:val="22"/>
      <w:szCs w:val="22"/>
      <w:lang w:eastAsia="en-US"/>
    </w:rPr>
  </w:style>
  <w:style w:type="paragraph" w:styleId="Sinespaciado">
    <w:name w:val="No Spacing"/>
    <w:uiPriority w:val="1"/>
    <w:qFormat/>
    <w:rsid w:val="00816604"/>
    <w:rPr>
      <w:sz w:val="22"/>
      <w:szCs w:val="22"/>
      <w:lang w:val="es-CO"/>
    </w:rPr>
  </w:style>
  <w:style w:type="paragraph" w:customStyle="1" w:styleId="xmsonormal">
    <w:name w:val="x_msonormal"/>
    <w:basedOn w:val="Normal"/>
    <w:rsid w:val="00816604"/>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48263-6DF3-4818-9F50-E30D4D6C6F6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DF25CB5-576F-4904-8C75-36848C460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A780D-353A-4570-A5FD-4725C3534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3201</Words>
  <Characters>17610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cp:lastModifiedBy>Andres Urrego</cp:lastModifiedBy>
  <cp:revision>2</cp:revision>
  <dcterms:created xsi:type="dcterms:W3CDTF">2020-06-12T20:30:00Z</dcterms:created>
  <dcterms:modified xsi:type="dcterms:W3CDTF">2020-06-12T20:30:00Z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