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01" w:rsidRPr="00F75747" w:rsidRDefault="00D46801" w:rsidP="00F75747">
      <w:pPr>
        <w:spacing w:line="240" w:lineRule="auto"/>
        <w:rPr>
          <w:rFonts w:cs="Arial"/>
          <w:b/>
        </w:rPr>
      </w:pPr>
    </w:p>
    <w:p w:rsidR="001C06CB" w:rsidRPr="00B94F7C" w:rsidRDefault="001C06CB" w:rsidP="001C06CB">
      <w:pPr>
        <w:spacing w:line="240" w:lineRule="auto"/>
        <w:rPr>
          <w:rFonts w:cs="Arial"/>
          <w:b/>
          <w:sz w:val="22"/>
          <w:szCs w:val="22"/>
          <w:lang w:eastAsia="es-CO"/>
        </w:rPr>
      </w:pPr>
    </w:p>
    <w:p w:rsidR="001C06CB" w:rsidRDefault="001C06CB" w:rsidP="001C06CB">
      <w:pPr>
        <w:spacing w:line="240" w:lineRule="auto"/>
        <w:rPr>
          <w:rFonts w:cs="Arial"/>
          <w:b/>
          <w:sz w:val="22"/>
          <w:szCs w:val="22"/>
          <w:lang w:eastAsia="es-CO"/>
        </w:rPr>
      </w:pPr>
      <w:r w:rsidRPr="00B94F7C">
        <w:rPr>
          <w:rFonts w:cs="Arial"/>
          <w:b/>
          <w:sz w:val="22"/>
          <w:szCs w:val="22"/>
          <w:lang w:eastAsia="es-CO"/>
        </w:rPr>
        <w:t xml:space="preserve">NULIDAD Y RESTABLECIMIENTO DEL DERECHO - </w:t>
      </w:r>
      <w:r w:rsidRPr="00C624E6">
        <w:rPr>
          <w:rFonts w:cs="Arial"/>
          <w:b/>
          <w:sz w:val="22"/>
          <w:szCs w:val="22"/>
          <w:lang w:eastAsia="es-CO"/>
        </w:rPr>
        <w:t xml:space="preserve">Naturaleza del acto precontractual </w:t>
      </w:r>
      <w:r w:rsidR="00CD5F77">
        <w:rPr>
          <w:rFonts w:cs="Arial"/>
          <w:b/>
          <w:sz w:val="22"/>
          <w:szCs w:val="22"/>
          <w:lang w:eastAsia="es-CO"/>
        </w:rPr>
        <w:t>- D</w:t>
      </w:r>
      <w:r w:rsidRPr="00C624E6">
        <w:rPr>
          <w:rFonts w:cs="Arial"/>
          <w:b/>
          <w:sz w:val="22"/>
          <w:szCs w:val="22"/>
          <w:lang w:eastAsia="es-CO"/>
        </w:rPr>
        <w:t xml:space="preserve">erecho privado </w:t>
      </w:r>
    </w:p>
    <w:p w:rsidR="00CD5F77" w:rsidRPr="00B94F7C" w:rsidRDefault="00CD5F77" w:rsidP="001C06CB">
      <w:pPr>
        <w:spacing w:line="240" w:lineRule="auto"/>
        <w:rPr>
          <w:rFonts w:cs="Arial"/>
          <w:sz w:val="22"/>
          <w:szCs w:val="22"/>
          <w:lang w:eastAsia="es-CO"/>
        </w:rPr>
      </w:pPr>
    </w:p>
    <w:p w:rsidR="001C06CB" w:rsidRPr="00B94F7C" w:rsidRDefault="001C06CB" w:rsidP="001C06CB">
      <w:pPr>
        <w:spacing w:line="240" w:lineRule="auto"/>
        <w:rPr>
          <w:rFonts w:cs="Arial"/>
          <w:sz w:val="22"/>
          <w:szCs w:val="22"/>
          <w:lang w:eastAsia="es-CO"/>
        </w:rPr>
      </w:pPr>
      <w:r w:rsidRPr="00B94F7C">
        <w:rPr>
          <w:rFonts w:cs="Arial"/>
          <w:sz w:val="22"/>
          <w:szCs w:val="22"/>
          <w:lang w:eastAsia="es-CO"/>
        </w:rPr>
        <w:t>La actividad pre-contractual de las entidades excluidas no se rige por la Ley 80 de 1993, sino por el derecho privado y los principios de la función administrativa, los actos tienen naturaleza civil o mercantil, y su juez es el de la justicia ordinaria. (…) que la actividad pre-contractual de las entidades excluidas se expresa en actos civiles o mercantiles, pero su juez es la jurisdicción de lo contencioso administrativo, porque son las partes del proceso y no el régimen del acto las que definen la jurisdicción. (…) la actividad pre-contractual de las entidades excluidas se expresa en actos administrativos y que la jurisdicción de lo contencioso administrativo es quien los controla. (…) En línea con lo expuesto, para la Sala, el hecho de que una actividad se rija por un ordenamiento jurídico u otro –público o privado- no afecta la naturaleza de los actos que se producen a su amparo, es decir, que una cosa es el régimen sustantivo aplicable a un acto y otra la naturaleza jurídica del acto producido. (…)Lo mismo sucede con los contratos estatales, cuya naturaleza se intentó diferenciar en años anteriores. En la década de los 90’ algunos sectores sostuvieron que si el negocio se regía por el derecho privado el contrato era civil o estatal –según el caso-, y si se regía por el derecho público el contrato era administrativo. Posteriormente, el Consejo de Estado concluyó que el régimen jurídico no determinaba su naturaleza en tanto la misma debía guardar identidad con la calidad de las partes que integraban la relación negocial. (…) Aplicadas estas ideas al tema general que se examina, la inquietud que emerge es si los actos del trámite pre-contractual de las entidades excluidas son administrativos o tienen naturaleza civil o mercantil, con la incidencia que esto representa sobre el control judicial de los mismos y sobre los medios de control que admiten. (…) Así pues, en atención a que el acto de adjudicación de una invitación pública expedido por la Empresa de Acueducto y Alcantarillado de Bogotá reviste la naturaleza de acto administrativo, es pasible de ser controvertido ante esta jurisdicción a través de la pretensión de nulidad y restablecimiento del derecho invocada en la demanda.</w:t>
      </w:r>
    </w:p>
    <w:p w:rsidR="001C06CB" w:rsidRPr="00B94F7C" w:rsidRDefault="001C06CB" w:rsidP="001C06CB">
      <w:pPr>
        <w:spacing w:line="240" w:lineRule="auto"/>
        <w:rPr>
          <w:rFonts w:cs="Arial"/>
          <w:sz w:val="22"/>
          <w:szCs w:val="22"/>
          <w:lang w:eastAsia="es-CO"/>
        </w:rPr>
      </w:pPr>
    </w:p>
    <w:p w:rsidR="001C06CB" w:rsidRPr="00C624E6" w:rsidRDefault="001C06CB" w:rsidP="001C06CB">
      <w:pPr>
        <w:spacing w:line="240" w:lineRule="auto"/>
        <w:rPr>
          <w:rFonts w:cs="Arial"/>
          <w:b/>
          <w:sz w:val="22"/>
          <w:szCs w:val="22"/>
          <w:lang w:eastAsia="es-CO"/>
        </w:rPr>
      </w:pPr>
      <w:r w:rsidRPr="00B94F7C">
        <w:rPr>
          <w:rFonts w:cs="Arial"/>
          <w:b/>
          <w:sz w:val="22"/>
          <w:szCs w:val="22"/>
          <w:lang w:eastAsia="es-CO"/>
        </w:rPr>
        <w:t xml:space="preserve">NULIDAD Y RESTABLECIMIENTO DEL DERECHO - </w:t>
      </w:r>
      <w:r w:rsidRPr="00C624E6">
        <w:rPr>
          <w:rFonts w:cs="Arial"/>
          <w:b/>
          <w:sz w:val="22"/>
          <w:szCs w:val="22"/>
          <w:lang w:eastAsia="es-CO"/>
        </w:rPr>
        <w:t xml:space="preserve">Caducidad de la acción </w:t>
      </w:r>
    </w:p>
    <w:p w:rsidR="001C06CB" w:rsidRPr="00B94F7C" w:rsidRDefault="001C06CB" w:rsidP="001C06CB">
      <w:pPr>
        <w:spacing w:line="240" w:lineRule="auto"/>
        <w:rPr>
          <w:rFonts w:cs="Arial"/>
          <w:sz w:val="22"/>
          <w:szCs w:val="22"/>
          <w:lang w:eastAsia="es-CO"/>
        </w:rPr>
      </w:pPr>
    </w:p>
    <w:p w:rsidR="001C06CB" w:rsidRPr="00B94F7C" w:rsidRDefault="001C06CB" w:rsidP="001C06CB">
      <w:pPr>
        <w:spacing w:line="240" w:lineRule="auto"/>
        <w:rPr>
          <w:rFonts w:cs="Arial"/>
          <w:sz w:val="22"/>
          <w:szCs w:val="22"/>
          <w:lang w:eastAsia="es-CO"/>
        </w:rPr>
      </w:pPr>
      <w:r w:rsidRPr="00B94F7C">
        <w:rPr>
          <w:rFonts w:cs="Arial"/>
          <w:sz w:val="22"/>
          <w:szCs w:val="22"/>
          <w:lang w:eastAsia="es-CO"/>
        </w:rPr>
        <w:t xml:space="preserve">En orden a abordar el análisis de este presupuesto procesal, se estima necesario precisar que la demanda fue presentada el 18 de diciembre de 2012, época en la cual se encontraba vigente la Ley 1437 de 2011 (CPACA), y por esa razón, en principio, las normas procesales que deben aplicarse al caso concreto son las contenidas en ese cuerpo normativo. (…) para demandar la nulidad y el restablecimiento del acto previo a la celebración del contrato, ciertamente, con sujeción a las aludidas reglas de aplicación normativa, la oportunidad de la interposición de la demanda debió examinarse a la luz de lo dispuesto en el inciso </w:t>
      </w:r>
      <w:r w:rsidRPr="00B94F7C">
        <w:rPr>
          <w:rFonts w:cs="Arial"/>
          <w:sz w:val="22"/>
          <w:szCs w:val="22"/>
          <w:lang w:eastAsia="es-CO"/>
        </w:rPr>
        <w:lastRenderedPageBreak/>
        <w:t>segundo del artículo 87 del C.C.A., a cuyo tenor se establecía que “Los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Así pues, se precisa que la fecha inicial del cómputo de caducidad corresponde al 13 de junio de 2012, día siguiente a aquel en que se notificó en audiencia el acto proferido el 12 de los mismos mes y año, por el cual la Empresa de Acueducto y Alcantarillado de Bogotá adjudicó la Invitación Pública No. ICSM -0673-2011 al consorcio Rehabilitación Tibitoc. De ahí que los 30 días de caducidad de la acción se cumplieron el 27 de julio de 2012, por manera que al haberse interpuesto la demanda el 18 de diciembre de 2012, la Sala concluye que la acción se ejerció por fuera del término legalmente establecido, sin que esta conclusión se altere por el hecho de que el 11 de octubre de ese mismo año se hubiera radicado la solicitud de conciliación prejudicial, puesto que para esa fecha ya la acción se encontraba caducada.</w:t>
      </w:r>
    </w:p>
    <w:p w:rsidR="001C06CB" w:rsidRPr="00B94F7C" w:rsidRDefault="001C06CB" w:rsidP="001C06CB">
      <w:pPr>
        <w:spacing w:line="240" w:lineRule="auto"/>
        <w:rPr>
          <w:rFonts w:cs="Arial"/>
          <w:b/>
          <w:sz w:val="22"/>
          <w:szCs w:val="22"/>
          <w:lang w:eastAsia="es-CO"/>
        </w:rPr>
      </w:pPr>
    </w:p>
    <w:p w:rsidR="001C06CB" w:rsidRPr="00C624E6" w:rsidRDefault="001C06CB" w:rsidP="001C06CB">
      <w:pPr>
        <w:spacing w:line="240" w:lineRule="auto"/>
        <w:rPr>
          <w:rFonts w:cs="Arial"/>
          <w:b/>
          <w:sz w:val="22"/>
          <w:szCs w:val="22"/>
          <w:lang w:eastAsia="es-CO"/>
        </w:rPr>
      </w:pPr>
      <w:r w:rsidRPr="00B94F7C">
        <w:rPr>
          <w:rFonts w:cs="Arial"/>
          <w:b/>
          <w:sz w:val="22"/>
          <w:szCs w:val="22"/>
          <w:lang w:eastAsia="es-CO"/>
        </w:rPr>
        <w:t xml:space="preserve">TERMINACIÓN DEL CONTRATO </w:t>
      </w:r>
      <w:bookmarkStart w:id="0" w:name="_GoBack"/>
      <w:r w:rsidRPr="00B94F7C">
        <w:rPr>
          <w:rFonts w:cs="Arial"/>
          <w:b/>
          <w:sz w:val="22"/>
          <w:szCs w:val="22"/>
          <w:lang w:eastAsia="es-CO"/>
        </w:rPr>
        <w:t xml:space="preserve">- </w:t>
      </w:r>
      <w:r w:rsidRPr="00C624E6">
        <w:rPr>
          <w:rFonts w:cs="Arial"/>
          <w:b/>
          <w:sz w:val="22"/>
          <w:szCs w:val="22"/>
          <w:lang w:eastAsia="es-CO"/>
        </w:rPr>
        <w:t xml:space="preserve">Falta de legitimación en la causa por pasiva </w:t>
      </w:r>
      <w:bookmarkEnd w:id="0"/>
    </w:p>
    <w:p w:rsidR="001C06CB" w:rsidRPr="00C624E6" w:rsidRDefault="001C06CB" w:rsidP="001C06CB">
      <w:pPr>
        <w:spacing w:line="240" w:lineRule="auto"/>
        <w:rPr>
          <w:rFonts w:cs="Arial"/>
          <w:b/>
          <w:sz w:val="22"/>
          <w:szCs w:val="22"/>
          <w:lang w:eastAsia="es-CO"/>
        </w:rPr>
      </w:pPr>
    </w:p>
    <w:p w:rsidR="001C06CB" w:rsidRPr="00B94F7C" w:rsidRDefault="001C06CB" w:rsidP="001C06CB">
      <w:pPr>
        <w:spacing w:line="240" w:lineRule="auto"/>
        <w:rPr>
          <w:rFonts w:cs="Arial"/>
          <w:sz w:val="22"/>
          <w:szCs w:val="22"/>
          <w:lang w:eastAsia="es-CO"/>
        </w:rPr>
      </w:pPr>
      <w:r w:rsidRPr="00B94F7C">
        <w:rPr>
          <w:rFonts w:cs="Arial"/>
          <w:sz w:val="22"/>
          <w:szCs w:val="22"/>
          <w:lang w:eastAsia="es-CO"/>
        </w:rPr>
        <w:t>Debe advertirse que el presupuesto de la legitimación en la causa por activa se vincula con la parte demandante y supone que la procedencia de la pretensión procesal que formula se soporte en el interés directo y sustancial que le asiste para debatir en el proceso aquello que reclama a través del ejercicio de la acción. (…) De contera, se impone concluir que si bien a la parte demandante le asistía interés directo para demandar la nulidad del acto de adjudicación, por las razones explicadas, en este caso no puede predicarse la misma legitimación en la causa por activa para formular la pretensión de terminación del contrato y así será declarado. (…)</w:t>
      </w:r>
      <w:r>
        <w:rPr>
          <w:rFonts w:cs="Arial"/>
          <w:sz w:val="22"/>
          <w:szCs w:val="22"/>
          <w:lang w:eastAsia="es-CO"/>
        </w:rPr>
        <w:t xml:space="preserve"> </w:t>
      </w:r>
      <w:r w:rsidRPr="00B94F7C">
        <w:rPr>
          <w:rFonts w:cs="Arial"/>
          <w:sz w:val="22"/>
          <w:szCs w:val="22"/>
          <w:lang w:eastAsia="es-CO"/>
        </w:rPr>
        <w:t>Con todo, sucede que en este evento la inviabilidad de examinar la pretensión de terminación del contrato no se concretó por cuenta de la relación de dependencia o de consecuencialidad asentada en la demanda respecto de la pretensión de nulidad del acto de adjudicación que se halló caducada, en tanto que, en realidad, ambas constituyen pretensiones autónomas que subsisten por si solas, sin necesidad de ligarlas la una de la otra, al punto que las dos se ejercen a través de medios de control distintos y cuentan con términos de caducidad diferentes. Lo que ocurre en este asunto es que la procedencia de analizar la pretensión de terminación del contrato se diluye por la ausencia de legitimación en la causa de quien la eleva y no como consecuencia de la declaratoria de caducidad de la pretensión a la cual se subordinó.</w:t>
      </w:r>
    </w:p>
    <w:p w:rsidR="001C06CB" w:rsidRDefault="001C06CB" w:rsidP="001C06CB">
      <w:pPr>
        <w:spacing w:line="240" w:lineRule="auto"/>
        <w:rPr>
          <w:rFonts w:cs="Arial"/>
          <w:sz w:val="22"/>
          <w:szCs w:val="22"/>
          <w:lang w:eastAsia="es-CO"/>
        </w:rPr>
      </w:pPr>
    </w:p>
    <w:p w:rsidR="00CD5F77" w:rsidRPr="00B94F7C" w:rsidRDefault="00CD5F77" w:rsidP="001C06CB">
      <w:pPr>
        <w:spacing w:line="240" w:lineRule="auto"/>
        <w:rPr>
          <w:rFonts w:cs="Arial"/>
          <w:sz w:val="22"/>
          <w:szCs w:val="22"/>
          <w:lang w:eastAsia="es-CO"/>
        </w:rPr>
      </w:pPr>
    </w:p>
    <w:p w:rsidR="00C85395" w:rsidRPr="001D0B64" w:rsidRDefault="00C85395" w:rsidP="001D0B64">
      <w:pPr>
        <w:spacing w:line="240" w:lineRule="auto"/>
        <w:ind w:right="-1"/>
        <w:jc w:val="center"/>
        <w:rPr>
          <w:rFonts w:cs="Arial"/>
          <w:b/>
        </w:rPr>
      </w:pPr>
      <w:r w:rsidRPr="001D0B64">
        <w:rPr>
          <w:rFonts w:cs="Arial"/>
          <w:b/>
        </w:rPr>
        <w:t>CONSEJO DE ESTADO</w:t>
      </w:r>
    </w:p>
    <w:p w:rsidR="001D0B64" w:rsidRPr="001D0B64" w:rsidRDefault="001D0B64" w:rsidP="001D0B64">
      <w:pPr>
        <w:spacing w:line="240" w:lineRule="auto"/>
        <w:ind w:right="-1"/>
        <w:jc w:val="center"/>
        <w:rPr>
          <w:rFonts w:cs="Arial"/>
          <w:b/>
        </w:rPr>
      </w:pPr>
    </w:p>
    <w:p w:rsidR="00C85395" w:rsidRPr="001D0B64" w:rsidRDefault="00C85395" w:rsidP="001D0B64">
      <w:pPr>
        <w:spacing w:line="240" w:lineRule="auto"/>
        <w:ind w:right="-1"/>
        <w:jc w:val="center"/>
        <w:rPr>
          <w:rFonts w:cs="Arial"/>
          <w:b/>
        </w:rPr>
      </w:pPr>
      <w:r w:rsidRPr="001D0B64">
        <w:rPr>
          <w:rFonts w:cs="Arial"/>
          <w:b/>
        </w:rPr>
        <w:t>SALA DE LO CONTENCIOSO ADMINISTRATIVO</w:t>
      </w:r>
    </w:p>
    <w:p w:rsidR="001D0B64" w:rsidRPr="001D0B64" w:rsidRDefault="001D0B64" w:rsidP="001D0B64">
      <w:pPr>
        <w:spacing w:line="240" w:lineRule="auto"/>
        <w:ind w:right="-1"/>
        <w:jc w:val="center"/>
        <w:rPr>
          <w:rFonts w:cs="Arial"/>
          <w:b/>
        </w:rPr>
      </w:pPr>
    </w:p>
    <w:p w:rsidR="001D0B64" w:rsidRPr="001D0B64" w:rsidRDefault="000E6697" w:rsidP="001D0B64">
      <w:pPr>
        <w:spacing w:line="240" w:lineRule="auto"/>
        <w:ind w:right="-1"/>
        <w:jc w:val="center"/>
        <w:rPr>
          <w:rFonts w:cs="Arial"/>
          <w:b/>
        </w:rPr>
      </w:pPr>
      <w:r w:rsidRPr="001D0B64">
        <w:rPr>
          <w:rFonts w:cs="Arial"/>
          <w:b/>
        </w:rPr>
        <w:t>SECCIÓ</w:t>
      </w:r>
      <w:r w:rsidR="00C85395" w:rsidRPr="001D0B64">
        <w:rPr>
          <w:rFonts w:cs="Arial"/>
          <w:b/>
        </w:rPr>
        <w:t>N TERCERA</w:t>
      </w:r>
    </w:p>
    <w:p w:rsidR="001D0B64" w:rsidRPr="001D0B64" w:rsidRDefault="001D0B64" w:rsidP="001D0B64">
      <w:pPr>
        <w:spacing w:line="240" w:lineRule="auto"/>
        <w:ind w:right="-1"/>
        <w:jc w:val="center"/>
        <w:rPr>
          <w:rFonts w:cs="Arial"/>
          <w:b/>
        </w:rPr>
      </w:pPr>
    </w:p>
    <w:p w:rsidR="00C85395" w:rsidRPr="001D0B64" w:rsidRDefault="000E6697" w:rsidP="001D0B64">
      <w:pPr>
        <w:spacing w:line="240" w:lineRule="auto"/>
        <w:ind w:right="-1"/>
        <w:jc w:val="center"/>
        <w:rPr>
          <w:rFonts w:cs="Arial"/>
          <w:b/>
        </w:rPr>
      </w:pPr>
      <w:r w:rsidRPr="001D0B64">
        <w:rPr>
          <w:rFonts w:cs="Arial"/>
          <w:b/>
        </w:rPr>
        <w:t>SUBSECCIÓ</w:t>
      </w:r>
      <w:r w:rsidR="009479F7" w:rsidRPr="001D0B64">
        <w:rPr>
          <w:rFonts w:cs="Arial"/>
          <w:b/>
        </w:rPr>
        <w:t>N A</w:t>
      </w:r>
    </w:p>
    <w:p w:rsidR="0009687C" w:rsidRPr="001D0B64" w:rsidRDefault="0009687C" w:rsidP="001D0B64">
      <w:pPr>
        <w:pStyle w:val="Encabezado"/>
        <w:spacing w:line="240" w:lineRule="auto"/>
        <w:ind w:right="-1"/>
        <w:jc w:val="center"/>
        <w:rPr>
          <w:rFonts w:cs="Arial"/>
          <w:b/>
          <w:szCs w:val="24"/>
          <w:lang w:val="es-CO"/>
        </w:rPr>
      </w:pPr>
    </w:p>
    <w:p w:rsidR="00C85395" w:rsidRPr="001D0B64" w:rsidRDefault="00C85395" w:rsidP="001D0B64">
      <w:pPr>
        <w:pStyle w:val="Encabezado"/>
        <w:spacing w:line="240" w:lineRule="auto"/>
        <w:ind w:right="-1"/>
        <w:jc w:val="center"/>
        <w:rPr>
          <w:rFonts w:cs="Arial"/>
          <w:spacing w:val="-3"/>
          <w:szCs w:val="24"/>
          <w:lang w:val="es-CO"/>
        </w:rPr>
      </w:pPr>
      <w:r w:rsidRPr="001D0B64">
        <w:rPr>
          <w:rFonts w:cs="Arial"/>
          <w:b/>
          <w:szCs w:val="24"/>
          <w:lang w:val="es-CO"/>
        </w:rPr>
        <w:t>Consej</w:t>
      </w:r>
      <w:r w:rsidR="00F556DB" w:rsidRPr="001D0B64">
        <w:rPr>
          <w:rFonts w:cs="Arial"/>
          <w:b/>
          <w:szCs w:val="24"/>
          <w:lang w:val="es-CO"/>
        </w:rPr>
        <w:t>er</w:t>
      </w:r>
      <w:r w:rsidR="007A5146" w:rsidRPr="001D0B64">
        <w:rPr>
          <w:rFonts w:cs="Arial"/>
          <w:b/>
          <w:szCs w:val="24"/>
          <w:lang w:val="es-CO"/>
        </w:rPr>
        <w:t>a</w:t>
      </w:r>
      <w:r w:rsidR="00F556DB" w:rsidRPr="001D0B64">
        <w:rPr>
          <w:rFonts w:cs="Arial"/>
          <w:b/>
          <w:szCs w:val="24"/>
          <w:lang w:val="es-CO"/>
        </w:rPr>
        <w:t xml:space="preserve"> ponente: </w:t>
      </w:r>
      <w:r w:rsidR="00CC29BA" w:rsidRPr="001D0B64">
        <w:rPr>
          <w:rFonts w:cs="Arial"/>
          <w:b/>
          <w:szCs w:val="24"/>
          <w:lang w:val="es-CO"/>
        </w:rPr>
        <w:t>MARTA NUBIA VELÁSQUEZ RICO</w:t>
      </w:r>
    </w:p>
    <w:p w:rsidR="0009687C" w:rsidRPr="001D0B64" w:rsidRDefault="0009687C" w:rsidP="001D0B64">
      <w:pPr>
        <w:spacing w:line="240" w:lineRule="auto"/>
        <w:ind w:right="-1"/>
        <w:rPr>
          <w:rFonts w:cs="Arial"/>
        </w:rPr>
      </w:pPr>
    </w:p>
    <w:p w:rsidR="00F21484" w:rsidRPr="001D0B64" w:rsidRDefault="00F21484" w:rsidP="001D0B64">
      <w:pPr>
        <w:spacing w:line="240" w:lineRule="auto"/>
        <w:ind w:right="-1"/>
        <w:jc w:val="left"/>
        <w:rPr>
          <w:rFonts w:cs="Arial"/>
        </w:rPr>
      </w:pPr>
      <w:r w:rsidRPr="001D0B64">
        <w:rPr>
          <w:rFonts w:cs="Arial"/>
        </w:rPr>
        <w:t>B</w:t>
      </w:r>
      <w:r w:rsidR="00025C7D" w:rsidRPr="001D0B64">
        <w:rPr>
          <w:rFonts w:cs="Arial"/>
        </w:rPr>
        <w:t>ogotá</w:t>
      </w:r>
      <w:r w:rsidR="001D0B64" w:rsidRPr="001D0B64">
        <w:rPr>
          <w:rFonts w:cs="Arial"/>
        </w:rPr>
        <w:t>,</w:t>
      </w:r>
      <w:r w:rsidR="00025C7D" w:rsidRPr="001D0B64">
        <w:rPr>
          <w:rFonts w:cs="Arial"/>
        </w:rPr>
        <w:t xml:space="preserve"> D.C.,</w:t>
      </w:r>
      <w:r w:rsidR="009702FA" w:rsidRPr="001D0B64">
        <w:rPr>
          <w:rFonts w:cs="Arial"/>
        </w:rPr>
        <w:t xml:space="preserve"> </w:t>
      </w:r>
      <w:r w:rsidR="009069CD" w:rsidRPr="001D0B64">
        <w:rPr>
          <w:rFonts w:cs="Arial"/>
        </w:rPr>
        <w:t xml:space="preserve">seis (06) de julio </w:t>
      </w:r>
      <w:r w:rsidR="00280B3A" w:rsidRPr="001D0B64">
        <w:rPr>
          <w:rFonts w:cs="Arial"/>
        </w:rPr>
        <w:t>d</w:t>
      </w:r>
      <w:r w:rsidR="00950831" w:rsidRPr="001D0B64">
        <w:rPr>
          <w:rFonts w:cs="Arial"/>
        </w:rPr>
        <w:t xml:space="preserve">e </w:t>
      </w:r>
      <w:r w:rsidR="006A6B29" w:rsidRPr="001D0B64">
        <w:rPr>
          <w:rFonts w:cs="Arial"/>
        </w:rPr>
        <w:t xml:space="preserve">dos mil </w:t>
      </w:r>
      <w:r w:rsidR="009069CD" w:rsidRPr="001D0B64">
        <w:rPr>
          <w:rFonts w:cs="Arial"/>
        </w:rPr>
        <w:t xml:space="preserve">diecisiete </w:t>
      </w:r>
      <w:r w:rsidR="006A6B29" w:rsidRPr="001D0B64">
        <w:rPr>
          <w:rFonts w:cs="Arial"/>
        </w:rPr>
        <w:t>(201</w:t>
      </w:r>
      <w:r w:rsidR="005E20E6" w:rsidRPr="001D0B64">
        <w:rPr>
          <w:rFonts w:cs="Arial"/>
        </w:rPr>
        <w:t>7</w:t>
      </w:r>
      <w:r w:rsidR="006A6B29" w:rsidRPr="001D0B64">
        <w:rPr>
          <w:rFonts w:cs="Arial"/>
        </w:rPr>
        <w:t>)</w:t>
      </w:r>
    </w:p>
    <w:p w:rsidR="00B0281D" w:rsidRPr="001D0B64" w:rsidRDefault="00B0281D" w:rsidP="001D0B64">
      <w:pPr>
        <w:spacing w:line="240" w:lineRule="auto"/>
        <w:ind w:right="-1"/>
        <w:rPr>
          <w:rFonts w:cs="Arial"/>
          <w:b/>
        </w:rPr>
      </w:pPr>
    </w:p>
    <w:p w:rsidR="00C95AFA" w:rsidRPr="001D0B64" w:rsidRDefault="005E20E6" w:rsidP="001D0B64">
      <w:pPr>
        <w:spacing w:line="240" w:lineRule="auto"/>
        <w:ind w:right="-1"/>
        <w:rPr>
          <w:rFonts w:cs="Arial"/>
          <w:b/>
        </w:rPr>
      </w:pPr>
      <w:r w:rsidRPr="001D0B64">
        <w:rPr>
          <w:rFonts w:cs="Arial"/>
          <w:b/>
        </w:rPr>
        <w:t>Ra</w:t>
      </w:r>
      <w:r w:rsidR="00280B3A" w:rsidRPr="001D0B64">
        <w:rPr>
          <w:rFonts w:cs="Arial"/>
          <w:b/>
        </w:rPr>
        <w:t>dicación</w:t>
      </w:r>
      <w:r w:rsidR="001D0B64" w:rsidRPr="001D0B64">
        <w:rPr>
          <w:rFonts w:cs="Arial"/>
          <w:b/>
        </w:rPr>
        <w:t xml:space="preserve"> número</w:t>
      </w:r>
      <w:r w:rsidR="00280B3A" w:rsidRPr="001D0B64">
        <w:rPr>
          <w:rFonts w:cs="Arial"/>
          <w:b/>
        </w:rPr>
        <w:t>: 25000</w:t>
      </w:r>
      <w:r w:rsidR="001D0B64" w:rsidRPr="001D0B64">
        <w:rPr>
          <w:rFonts w:cs="Arial"/>
          <w:b/>
        </w:rPr>
        <w:t>-</w:t>
      </w:r>
      <w:r w:rsidR="00280B3A" w:rsidRPr="001D0B64">
        <w:rPr>
          <w:rFonts w:cs="Arial"/>
          <w:b/>
        </w:rPr>
        <w:t>23</w:t>
      </w:r>
      <w:r w:rsidR="001D0B64" w:rsidRPr="001D0B64">
        <w:rPr>
          <w:rFonts w:cs="Arial"/>
          <w:b/>
        </w:rPr>
        <w:t>-</w:t>
      </w:r>
      <w:r w:rsidR="00280B3A" w:rsidRPr="001D0B64">
        <w:rPr>
          <w:rFonts w:cs="Arial"/>
          <w:b/>
        </w:rPr>
        <w:t>36</w:t>
      </w:r>
      <w:r w:rsidR="001D0B64" w:rsidRPr="001D0B64">
        <w:rPr>
          <w:rFonts w:cs="Arial"/>
          <w:b/>
        </w:rPr>
        <w:t>-</w:t>
      </w:r>
      <w:r w:rsidR="00280B3A" w:rsidRPr="001D0B64">
        <w:rPr>
          <w:rFonts w:cs="Arial"/>
          <w:b/>
        </w:rPr>
        <w:t>000</w:t>
      </w:r>
      <w:r w:rsidR="001D0B64" w:rsidRPr="001D0B64">
        <w:rPr>
          <w:rFonts w:cs="Arial"/>
          <w:b/>
        </w:rPr>
        <w:t>-</w:t>
      </w:r>
      <w:r w:rsidR="00280B3A" w:rsidRPr="001D0B64">
        <w:rPr>
          <w:rFonts w:cs="Arial"/>
          <w:b/>
        </w:rPr>
        <w:t>2012</w:t>
      </w:r>
      <w:r w:rsidR="001D0B64" w:rsidRPr="001D0B64">
        <w:rPr>
          <w:rFonts w:cs="Arial"/>
          <w:b/>
        </w:rPr>
        <w:t>-</w:t>
      </w:r>
      <w:r w:rsidR="00280B3A" w:rsidRPr="001D0B64">
        <w:rPr>
          <w:rFonts w:cs="Arial"/>
          <w:b/>
        </w:rPr>
        <w:t>00730</w:t>
      </w:r>
      <w:r w:rsidR="001D0B64" w:rsidRPr="001D0B64">
        <w:rPr>
          <w:rFonts w:cs="Arial"/>
          <w:b/>
        </w:rPr>
        <w:t>-</w:t>
      </w:r>
      <w:r w:rsidR="00280B3A" w:rsidRPr="001D0B64">
        <w:rPr>
          <w:rFonts w:cs="Arial"/>
          <w:b/>
        </w:rPr>
        <w:t>01(51920</w:t>
      </w:r>
      <w:r w:rsidR="00024662" w:rsidRPr="001D0B64">
        <w:rPr>
          <w:rFonts w:cs="Arial"/>
          <w:b/>
        </w:rPr>
        <w:t>)</w:t>
      </w:r>
    </w:p>
    <w:p w:rsidR="001D0B64" w:rsidRPr="001D0B64" w:rsidRDefault="001D0B64" w:rsidP="001D0B64">
      <w:pPr>
        <w:spacing w:line="240" w:lineRule="auto"/>
        <w:ind w:right="-1"/>
        <w:rPr>
          <w:rFonts w:cs="Arial"/>
          <w:b/>
        </w:rPr>
      </w:pPr>
    </w:p>
    <w:p w:rsidR="001D0B64" w:rsidRPr="001D0B64" w:rsidRDefault="00024662" w:rsidP="001D0B64">
      <w:pPr>
        <w:spacing w:line="240" w:lineRule="auto"/>
        <w:ind w:right="-1"/>
        <w:rPr>
          <w:rFonts w:cs="Arial"/>
          <w:b/>
        </w:rPr>
      </w:pPr>
      <w:r w:rsidRPr="001D0B64">
        <w:rPr>
          <w:rFonts w:cs="Arial"/>
          <w:b/>
        </w:rPr>
        <w:t xml:space="preserve">Actor: </w:t>
      </w:r>
      <w:r w:rsidR="00280B3A" w:rsidRPr="001D0B64">
        <w:rPr>
          <w:rFonts w:cs="Arial"/>
          <w:b/>
        </w:rPr>
        <w:t>CONSORCIO TIBITOC</w:t>
      </w:r>
    </w:p>
    <w:p w:rsidR="001D0B64" w:rsidRPr="001D0B64" w:rsidRDefault="001D0B64" w:rsidP="001D0B64">
      <w:pPr>
        <w:spacing w:line="240" w:lineRule="auto"/>
        <w:ind w:right="-1"/>
        <w:rPr>
          <w:rFonts w:cs="Arial"/>
          <w:b/>
        </w:rPr>
      </w:pPr>
    </w:p>
    <w:p w:rsidR="00024662" w:rsidRPr="001D0B64" w:rsidRDefault="001D0B64" w:rsidP="001D0B64">
      <w:pPr>
        <w:spacing w:line="240" w:lineRule="auto"/>
        <w:ind w:right="-1"/>
        <w:rPr>
          <w:rFonts w:cs="Arial"/>
          <w:b/>
        </w:rPr>
      </w:pPr>
      <w:r w:rsidRPr="001D0B64">
        <w:rPr>
          <w:rFonts w:cs="Arial"/>
          <w:b/>
        </w:rPr>
        <w:t xml:space="preserve">Demandado: </w:t>
      </w:r>
      <w:r w:rsidR="00280B3A" w:rsidRPr="001D0B64">
        <w:rPr>
          <w:rFonts w:cs="Arial"/>
          <w:b/>
        </w:rPr>
        <w:t>EMPRESA DE ACUEDUCTO Y ALCANTARILLADO DE BOGOTÁ</w:t>
      </w:r>
    </w:p>
    <w:p w:rsidR="001D0B64" w:rsidRPr="001D0B64" w:rsidRDefault="001D0B64" w:rsidP="001D0B64">
      <w:pPr>
        <w:spacing w:line="240" w:lineRule="auto"/>
        <w:ind w:right="-1"/>
        <w:rPr>
          <w:rFonts w:cs="Arial"/>
          <w:b/>
        </w:rPr>
      </w:pPr>
    </w:p>
    <w:p w:rsidR="001D0B64" w:rsidRPr="001D0B64" w:rsidRDefault="001D0B64" w:rsidP="001D0B64">
      <w:pPr>
        <w:spacing w:line="240" w:lineRule="auto"/>
        <w:ind w:right="-1"/>
        <w:rPr>
          <w:rFonts w:cs="Arial"/>
          <w:b/>
        </w:rPr>
      </w:pPr>
    </w:p>
    <w:p w:rsidR="001D0B64" w:rsidRPr="001D0B64" w:rsidRDefault="001D0B64" w:rsidP="001D0B64">
      <w:pPr>
        <w:spacing w:line="240" w:lineRule="auto"/>
        <w:ind w:right="-1"/>
        <w:rPr>
          <w:rFonts w:cs="Arial"/>
          <w:b/>
        </w:rPr>
      </w:pPr>
    </w:p>
    <w:p w:rsidR="00556C0C" w:rsidRPr="001D0B64" w:rsidRDefault="001D0B64" w:rsidP="001D0B64">
      <w:pPr>
        <w:spacing w:line="240" w:lineRule="auto"/>
        <w:ind w:right="-1"/>
        <w:rPr>
          <w:rFonts w:cs="Arial"/>
          <w:b/>
        </w:rPr>
      </w:pPr>
      <w:r w:rsidRPr="001D0B64">
        <w:rPr>
          <w:rFonts w:cs="Arial"/>
          <w:b/>
        </w:rPr>
        <w:t>Referencia: APELACIÓN SENTENCIA - MEDIO DE CONTROL DE CONTROVERSIAS CONTRACTUALES</w:t>
      </w:r>
      <w:r w:rsidR="00022841" w:rsidRPr="001D0B64">
        <w:rPr>
          <w:rFonts w:cs="Arial"/>
          <w:b/>
        </w:rPr>
        <w:t xml:space="preserve"> (Ley 1437 de 2011)</w:t>
      </w:r>
    </w:p>
    <w:p w:rsidR="00556C0C" w:rsidRPr="001D0B64" w:rsidRDefault="00556C0C" w:rsidP="001D0B64">
      <w:pPr>
        <w:spacing w:line="240" w:lineRule="auto"/>
        <w:ind w:right="-1"/>
        <w:rPr>
          <w:rFonts w:cs="Arial"/>
          <w:b/>
        </w:rPr>
      </w:pPr>
    </w:p>
    <w:p w:rsidR="00556C0C" w:rsidRPr="001D0B64" w:rsidRDefault="00556C0C" w:rsidP="001D0B64">
      <w:pPr>
        <w:spacing w:line="240" w:lineRule="auto"/>
        <w:ind w:right="-1"/>
        <w:rPr>
          <w:rFonts w:cs="Arial"/>
          <w:b/>
        </w:rPr>
      </w:pPr>
    </w:p>
    <w:p w:rsidR="00F21484" w:rsidRPr="001D0B64" w:rsidRDefault="00F21484" w:rsidP="001D0B64">
      <w:pPr>
        <w:widowControl w:val="0"/>
        <w:autoSpaceDE w:val="0"/>
        <w:autoSpaceDN w:val="0"/>
        <w:adjustRightInd w:val="0"/>
        <w:spacing w:line="240" w:lineRule="auto"/>
        <w:ind w:right="-1"/>
        <w:rPr>
          <w:rFonts w:cs="Arial"/>
        </w:rPr>
      </w:pPr>
    </w:p>
    <w:p w:rsidR="00C87C3A" w:rsidRPr="001D0B64" w:rsidRDefault="00C87C3A" w:rsidP="00C87C3A">
      <w:pPr>
        <w:widowControl w:val="0"/>
        <w:autoSpaceDE w:val="0"/>
        <w:autoSpaceDN w:val="0"/>
        <w:adjustRightInd w:val="0"/>
        <w:spacing w:line="240" w:lineRule="auto"/>
        <w:ind w:right="-1"/>
        <w:rPr>
          <w:rFonts w:cs="Arial"/>
        </w:rPr>
      </w:pPr>
      <w:r w:rsidRPr="001D0B64">
        <w:rPr>
          <w:rFonts w:cs="Arial"/>
        </w:rPr>
        <w:t xml:space="preserve">Temas: </w:t>
      </w:r>
      <w:r w:rsidR="00B402F6" w:rsidRPr="001D0B64">
        <w:rPr>
          <w:rFonts w:cs="Arial"/>
        </w:rPr>
        <w:t xml:space="preserve">NATURALEZA DE LOS </w:t>
      </w:r>
      <w:r w:rsidR="005F0800" w:rsidRPr="001D0B64">
        <w:rPr>
          <w:rFonts w:cs="Arial"/>
        </w:rPr>
        <w:t>ACTOS PRECONTRACTUALES PROFERIDO</w:t>
      </w:r>
      <w:r w:rsidR="00B402F6" w:rsidRPr="001D0B64">
        <w:rPr>
          <w:rFonts w:cs="Arial"/>
        </w:rPr>
        <w:t>S POR ENTIDAD P</w:t>
      </w:r>
      <w:r w:rsidR="005F0800" w:rsidRPr="001D0B64">
        <w:rPr>
          <w:rFonts w:cs="Arial"/>
        </w:rPr>
        <w:t>ÚBLICA EXCEPTUADA</w:t>
      </w:r>
      <w:r w:rsidR="00B402F6" w:rsidRPr="001D0B64">
        <w:rPr>
          <w:rFonts w:cs="Arial"/>
        </w:rPr>
        <w:t xml:space="preserve"> DE </w:t>
      </w:r>
      <w:r w:rsidR="005F0800" w:rsidRPr="001D0B64">
        <w:rPr>
          <w:rFonts w:cs="Arial"/>
        </w:rPr>
        <w:t xml:space="preserve">APLICACIÓN DE </w:t>
      </w:r>
      <w:r w:rsidR="00B402F6" w:rsidRPr="001D0B64">
        <w:rPr>
          <w:rFonts w:cs="Arial"/>
        </w:rPr>
        <w:t xml:space="preserve">LEY 80 </w:t>
      </w:r>
      <w:r w:rsidR="000712C0" w:rsidRPr="001D0B64">
        <w:rPr>
          <w:rFonts w:cs="Arial"/>
        </w:rPr>
        <w:t>–</w:t>
      </w:r>
      <w:r w:rsidR="00B402F6" w:rsidRPr="001D0B64">
        <w:rPr>
          <w:rFonts w:cs="Arial"/>
        </w:rPr>
        <w:t xml:space="preserve"> revisten la naturaleza de actos administrativos </w:t>
      </w:r>
      <w:r w:rsidR="000712C0" w:rsidRPr="001D0B64">
        <w:rPr>
          <w:rFonts w:cs="Arial"/>
        </w:rPr>
        <w:t xml:space="preserve">/ </w:t>
      </w:r>
      <w:r w:rsidR="00B402F6" w:rsidRPr="001D0B64">
        <w:rPr>
          <w:rFonts w:cs="Arial"/>
        </w:rPr>
        <w:t xml:space="preserve">CADUCIDAD DEL MEDIO DE CONTROL DE NULIDAD </w:t>
      </w:r>
      <w:r w:rsidR="0003360A" w:rsidRPr="001D0B64">
        <w:rPr>
          <w:rFonts w:cs="Arial"/>
        </w:rPr>
        <w:t xml:space="preserve">Y </w:t>
      </w:r>
      <w:r w:rsidR="00B402F6" w:rsidRPr="001D0B64">
        <w:rPr>
          <w:rFonts w:cs="Arial"/>
        </w:rPr>
        <w:t xml:space="preserve">RESTABLECIMIENTO DEL DERECHO </w:t>
      </w:r>
      <w:r w:rsidR="005F0800" w:rsidRPr="001D0B64">
        <w:rPr>
          <w:rFonts w:cs="Arial"/>
        </w:rPr>
        <w:t xml:space="preserve">CONTRA ACTOS PRECONTRACTUALES </w:t>
      </w:r>
      <w:r w:rsidR="00B402F6" w:rsidRPr="001D0B64">
        <w:rPr>
          <w:rFonts w:cs="Arial"/>
        </w:rPr>
        <w:t>– cómputo en los casos de tránsito de legislaci</w:t>
      </w:r>
      <w:r w:rsidR="005F0800" w:rsidRPr="001D0B64">
        <w:rPr>
          <w:rFonts w:cs="Arial"/>
        </w:rPr>
        <w:t>ón / PRETENSIÓN DE TERMINACIÓ</w:t>
      </w:r>
      <w:r w:rsidR="00B402F6" w:rsidRPr="001D0B64">
        <w:rPr>
          <w:rFonts w:cs="Arial"/>
        </w:rPr>
        <w:t>N DEL CONTRATO – están legitimados para incoarla las partes del contrato.</w:t>
      </w:r>
    </w:p>
    <w:p w:rsidR="00556C0C" w:rsidRPr="001D0B64" w:rsidRDefault="00556C0C" w:rsidP="00535699">
      <w:pPr>
        <w:widowControl w:val="0"/>
        <w:autoSpaceDE w:val="0"/>
        <w:autoSpaceDN w:val="0"/>
        <w:adjustRightInd w:val="0"/>
        <w:spacing w:line="240" w:lineRule="auto"/>
        <w:ind w:left="2124" w:right="-1" w:hanging="2124"/>
        <w:rPr>
          <w:rFonts w:cs="Arial"/>
        </w:rPr>
      </w:pPr>
    </w:p>
    <w:p w:rsidR="00556C0C" w:rsidRPr="001D0B64" w:rsidRDefault="00556C0C" w:rsidP="00535699">
      <w:pPr>
        <w:widowControl w:val="0"/>
        <w:autoSpaceDE w:val="0"/>
        <w:autoSpaceDN w:val="0"/>
        <w:adjustRightInd w:val="0"/>
        <w:spacing w:line="240" w:lineRule="auto"/>
        <w:ind w:left="2124" w:right="-1" w:hanging="2124"/>
        <w:rPr>
          <w:rFonts w:cs="Arial"/>
        </w:rPr>
      </w:pPr>
    </w:p>
    <w:p w:rsidR="005E20E6" w:rsidRPr="001D0B64" w:rsidRDefault="00662D01" w:rsidP="00B80517">
      <w:pPr>
        <w:widowControl w:val="0"/>
        <w:autoSpaceDE w:val="0"/>
        <w:autoSpaceDN w:val="0"/>
        <w:adjustRightInd w:val="0"/>
        <w:ind w:right="-1"/>
        <w:rPr>
          <w:rFonts w:cs="Arial"/>
        </w:rPr>
      </w:pPr>
      <w:r w:rsidRPr="001D0B64">
        <w:rPr>
          <w:rFonts w:cs="Arial"/>
        </w:rPr>
        <w:t>P</w:t>
      </w:r>
      <w:r w:rsidR="00367782" w:rsidRPr="001D0B64">
        <w:rPr>
          <w:rFonts w:cs="Arial"/>
        </w:rPr>
        <w:t>rocede la Sala a resolver el recurso de apelación interpuesto por la parte actora</w:t>
      </w:r>
      <w:r w:rsidR="008D63C8" w:rsidRPr="001D0B64">
        <w:rPr>
          <w:rFonts w:cs="Arial"/>
          <w:lang w:val="es-CO"/>
        </w:rPr>
        <w:t>, contra la sentencia proferida por el Tribunal Administrativo de</w:t>
      </w:r>
      <w:r w:rsidR="007E187D" w:rsidRPr="001D0B64">
        <w:rPr>
          <w:rFonts w:cs="Arial"/>
          <w:lang w:val="es-CO"/>
        </w:rPr>
        <w:t xml:space="preserve"> </w:t>
      </w:r>
      <w:r w:rsidR="005E20E6" w:rsidRPr="001D0B64">
        <w:rPr>
          <w:rFonts w:cs="Arial"/>
          <w:lang w:val="es-CO"/>
        </w:rPr>
        <w:t>Cundinamarca</w:t>
      </w:r>
      <w:r w:rsidR="007E187D" w:rsidRPr="001D0B64">
        <w:rPr>
          <w:rFonts w:cs="Arial"/>
          <w:lang w:val="es-CO"/>
        </w:rPr>
        <w:t xml:space="preserve"> </w:t>
      </w:r>
      <w:r w:rsidR="00280B3A" w:rsidRPr="001D0B64">
        <w:rPr>
          <w:rFonts w:cs="Arial"/>
          <w:lang w:val="es-CO"/>
        </w:rPr>
        <w:t xml:space="preserve">– Sección Tercera – Subsección A </w:t>
      </w:r>
      <w:r w:rsidR="008D63C8" w:rsidRPr="001D0B64">
        <w:rPr>
          <w:rFonts w:cs="Arial"/>
          <w:lang w:val="es-CO"/>
        </w:rPr>
        <w:t xml:space="preserve">el </w:t>
      </w:r>
      <w:r w:rsidR="005E20E6" w:rsidRPr="001D0B64">
        <w:rPr>
          <w:rFonts w:cs="Arial"/>
          <w:lang w:val="es-CO"/>
        </w:rPr>
        <w:t xml:space="preserve">doce </w:t>
      </w:r>
      <w:r w:rsidR="008D63C8" w:rsidRPr="001D0B64">
        <w:rPr>
          <w:rFonts w:cs="Arial"/>
          <w:lang w:val="es-CO"/>
        </w:rPr>
        <w:t>(</w:t>
      </w:r>
      <w:r w:rsidR="005E20E6" w:rsidRPr="001D0B64">
        <w:rPr>
          <w:rFonts w:cs="Arial"/>
          <w:lang w:val="es-CO"/>
        </w:rPr>
        <w:t>12</w:t>
      </w:r>
      <w:r w:rsidR="007E187D" w:rsidRPr="001D0B64">
        <w:rPr>
          <w:rFonts w:cs="Arial"/>
          <w:lang w:val="es-CO"/>
        </w:rPr>
        <w:t>)</w:t>
      </w:r>
      <w:r w:rsidR="008D63C8" w:rsidRPr="001D0B64">
        <w:rPr>
          <w:rFonts w:cs="Arial"/>
          <w:lang w:val="es-CO"/>
        </w:rPr>
        <w:t xml:space="preserve"> de </w:t>
      </w:r>
      <w:r w:rsidR="00280B3A" w:rsidRPr="001D0B64">
        <w:rPr>
          <w:rFonts w:cs="Arial"/>
          <w:lang w:val="es-CO"/>
        </w:rPr>
        <w:t>junio</w:t>
      </w:r>
      <w:r w:rsidR="008D63C8" w:rsidRPr="001D0B64">
        <w:rPr>
          <w:rFonts w:cs="Arial"/>
          <w:lang w:val="es-CO"/>
        </w:rPr>
        <w:t xml:space="preserve"> </w:t>
      </w:r>
      <w:r w:rsidR="007E187D" w:rsidRPr="001D0B64">
        <w:rPr>
          <w:rFonts w:cs="Arial"/>
          <w:lang w:val="es-CO"/>
        </w:rPr>
        <w:t xml:space="preserve">de </w:t>
      </w:r>
      <w:r w:rsidR="008D63C8" w:rsidRPr="001D0B64">
        <w:rPr>
          <w:rFonts w:cs="Arial"/>
          <w:lang w:val="es-CO"/>
        </w:rPr>
        <w:t xml:space="preserve">dos mil </w:t>
      </w:r>
      <w:r w:rsidR="005E20E6" w:rsidRPr="001D0B64">
        <w:rPr>
          <w:rFonts w:cs="Arial"/>
          <w:lang w:val="es-CO"/>
        </w:rPr>
        <w:t>catorce</w:t>
      </w:r>
      <w:r w:rsidR="008D63C8" w:rsidRPr="001D0B64">
        <w:rPr>
          <w:rFonts w:cs="Arial"/>
          <w:lang w:val="es-CO"/>
        </w:rPr>
        <w:t xml:space="preserve"> (20</w:t>
      </w:r>
      <w:r w:rsidR="005E20E6" w:rsidRPr="001D0B64">
        <w:rPr>
          <w:rFonts w:cs="Arial"/>
          <w:lang w:val="es-CO"/>
        </w:rPr>
        <w:t>14</w:t>
      </w:r>
      <w:r w:rsidR="008D63C8" w:rsidRPr="001D0B64">
        <w:rPr>
          <w:rFonts w:cs="Arial"/>
          <w:lang w:val="es-CO"/>
        </w:rPr>
        <w:t>)</w:t>
      </w:r>
      <w:r w:rsidR="008D63C8" w:rsidRPr="001D0B64">
        <w:rPr>
          <w:rFonts w:cs="Arial"/>
        </w:rPr>
        <w:t xml:space="preserve">, mediante la cual se </w:t>
      </w:r>
      <w:r w:rsidR="00131111" w:rsidRPr="001D0B64">
        <w:rPr>
          <w:rFonts w:cs="Arial"/>
        </w:rPr>
        <w:t>dispuso</w:t>
      </w:r>
      <w:r w:rsidR="00BA1432" w:rsidRPr="001D0B64">
        <w:rPr>
          <w:rFonts w:cs="Arial"/>
        </w:rPr>
        <w:t xml:space="preserve"> (se transcribe literal, incluso posibles errores)</w:t>
      </w:r>
      <w:r w:rsidR="005E20E6" w:rsidRPr="001D0B64">
        <w:rPr>
          <w:rFonts w:cs="Arial"/>
        </w:rPr>
        <w:t xml:space="preserve">: </w:t>
      </w:r>
    </w:p>
    <w:p w:rsidR="005E20E6" w:rsidRPr="001D0B64" w:rsidRDefault="005E20E6" w:rsidP="00B80517">
      <w:pPr>
        <w:widowControl w:val="0"/>
        <w:autoSpaceDE w:val="0"/>
        <w:autoSpaceDN w:val="0"/>
        <w:adjustRightInd w:val="0"/>
        <w:ind w:right="-1"/>
        <w:rPr>
          <w:rFonts w:cs="Arial"/>
        </w:rPr>
      </w:pPr>
    </w:p>
    <w:p w:rsidR="00E65343" w:rsidRPr="001D0B64" w:rsidRDefault="005E20E6" w:rsidP="00280B3A">
      <w:pPr>
        <w:widowControl w:val="0"/>
        <w:autoSpaceDE w:val="0"/>
        <w:autoSpaceDN w:val="0"/>
        <w:adjustRightInd w:val="0"/>
        <w:spacing w:line="276" w:lineRule="auto"/>
        <w:ind w:left="567" w:right="567"/>
        <w:rPr>
          <w:rFonts w:cs="Arial"/>
          <w:i/>
        </w:rPr>
      </w:pPr>
      <w:r w:rsidRPr="001D0B64">
        <w:rPr>
          <w:rFonts w:cs="Arial"/>
          <w:i/>
        </w:rPr>
        <w:t>“</w:t>
      </w:r>
      <w:r w:rsidR="00280B3A" w:rsidRPr="001D0B64">
        <w:rPr>
          <w:rFonts w:cs="Arial"/>
          <w:i/>
        </w:rPr>
        <w:t>PRIMERO.- Se niegan las pretensiones de la demanda conforme a la parte motiva de esta providencia.</w:t>
      </w:r>
    </w:p>
    <w:p w:rsidR="00280B3A" w:rsidRPr="001D0B64" w:rsidRDefault="00280B3A" w:rsidP="00280B3A">
      <w:pPr>
        <w:widowControl w:val="0"/>
        <w:autoSpaceDE w:val="0"/>
        <w:autoSpaceDN w:val="0"/>
        <w:adjustRightInd w:val="0"/>
        <w:spacing w:line="276" w:lineRule="auto"/>
        <w:ind w:left="567" w:right="567"/>
        <w:rPr>
          <w:rFonts w:cs="Arial"/>
          <w:i/>
        </w:rPr>
      </w:pPr>
    </w:p>
    <w:p w:rsidR="00280B3A" w:rsidRPr="001D0B64" w:rsidRDefault="00280B3A" w:rsidP="00280B3A">
      <w:pPr>
        <w:widowControl w:val="0"/>
        <w:autoSpaceDE w:val="0"/>
        <w:autoSpaceDN w:val="0"/>
        <w:adjustRightInd w:val="0"/>
        <w:spacing w:line="276" w:lineRule="auto"/>
        <w:ind w:left="567" w:right="567"/>
        <w:rPr>
          <w:rFonts w:cs="Arial"/>
          <w:i/>
        </w:rPr>
      </w:pPr>
      <w:r w:rsidRPr="001D0B64">
        <w:rPr>
          <w:rFonts w:cs="Arial"/>
          <w:i/>
        </w:rPr>
        <w:t xml:space="preserve">“SEGUNDO.- Se fija por agencias en derecho a favor de la entidad demandada – EMPRESA DE ACUEDUCTO Y ALCANTARILLADO DE BOGOTÁ, la suma de VEINTISÍES (SIC) MILLONES DE PESOS ($26’000.000). </w:t>
      </w:r>
    </w:p>
    <w:p w:rsidR="00280B3A" w:rsidRPr="001D0B64" w:rsidRDefault="00280B3A" w:rsidP="00280B3A">
      <w:pPr>
        <w:widowControl w:val="0"/>
        <w:autoSpaceDE w:val="0"/>
        <w:autoSpaceDN w:val="0"/>
        <w:adjustRightInd w:val="0"/>
        <w:spacing w:line="276" w:lineRule="auto"/>
        <w:ind w:left="567" w:right="567"/>
        <w:rPr>
          <w:rFonts w:cs="Arial"/>
          <w:i/>
        </w:rPr>
      </w:pPr>
    </w:p>
    <w:p w:rsidR="00280B3A" w:rsidRPr="001D0B64" w:rsidRDefault="00280B3A" w:rsidP="00280B3A">
      <w:pPr>
        <w:widowControl w:val="0"/>
        <w:autoSpaceDE w:val="0"/>
        <w:autoSpaceDN w:val="0"/>
        <w:adjustRightInd w:val="0"/>
        <w:spacing w:line="276" w:lineRule="auto"/>
        <w:ind w:left="567" w:right="567"/>
        <w:rPr>
          <w:rFonts w:cs="Arial"/>
          <w:i/>
        </w:rPr>
      </w:pPr>
      <w:r w:rsidRPr="001D0B64">
        <w:rPr>
          <w:rFonts w:cs="Arial"/>
          <w:i/>
        </w:rPr>
        <w:t>“TERCERO.- Ejecutoriada la presente provi</w:t>
      </w:r>
      <w:r w:rsidR="005F0800" w:rsidRPr="001D0B64">
        <w:rPr>
          <w:rFonts w:cs="Arial"/>
          <w:i/>
        </w:rPr>
        <w:t>dencia, liquídense por secretarí</w:t>
      </w:r>
      <w:r w:rsidRPr="001D0B64">
        <w:rPr>
          <w:rFonts w:cs="Arial"/>
          <w:i/>
        </w:rPr>
        <w:t xml:space="preserve">a de la sección los gastos ordinarios del proceso y en caso de remanentes </w:t>
      </w:r>
      <w:r w:rsidR="009A0B14" w:rsidRPr="001D0B64">
        <w:rPr>
          <w:rFonts w:cs="Arial"/>
          <w:i/>
        </w:rPr>
        <w:t>devuélvanse al interesado, lo anterior de conformidad a lo establecido por los artículos 7</w:t>
      </w:r>
      <w:r w:rsidR="005F0800" w:rsidRPr="001D0B64">
        <w:rPr>
          <w:rFonts w:cs="Arial"/>
          <w:i/>
        </w:rPr>
        <w:t xml:space="preserve"> </w:t>
      </w:r>
      <w:r w:rsidR="0003360A" w:rsidRPr="001D0B64">
        <w:rPr>
          <w:rFonts w:cs="Arial"/>
          <w:i/>
        </w:rPr>
        <w:t>y 9 del Acuerdo</w:t>
      </w:r>
      <w:r w:rsidR="009A0B14" w:rsidRPr="001D0B64">
        <w:rPr>
          <w:rFonts w:cs="Arial"/>
          <w:i/>
        </w:rPr>
        <w:t xml:space="preserve"> No. 2552 de 2004 de la Sala Administrativa del Consejo Superior de la Judicatura”. </w:t>
      </w:r>
    </w:p>
    <w:p w:rsidR="00E65343" w:rsidRPr="001D0B64" w:rsidRDefault="00E65343" w:rsidP="00E65343">
      <w:pPr>
        <w:widowControl w:val="0"/>
        <w:autoSpaceDE w:val="0"/>
        <w:autoSpaceDN w:val="0"/>
        <w:adjustRightInd w:val="0"/>
        <w:spacing w:line="276" w:lineRule="auto"/>
        <w:ind w:left="567" w:right="567"/>
        <w:rPr>
          <w:rFonts w:cs="Arial"/>
          <w:i/>
        </w:rPr>
      </w:pPr>
    </w:p>
    <w:p w:rsidR="00E65343" w:rsidRPr="001D0B64" w:rsidRDefault="00E65343" w:rsidP="00E65343">
      <w:pPr>
        <w:widowControl w:val="0"/>
        <w:autoSpaceDE w:val="0"/>
        <w:autoSpaceDN w:val="0"/>
        <w:adjustRightInd w:val="0"/>
        <w:spacing w:line="276" w:lineRule="auto"/>
        <w:ind w:left="567" w:right="567"/>
        <w:rPr>
          <w:rFonts w:cs="Arial"/>
          <w:i/>
        </w:rPr>
      </w:pPr>
      <w:r w:rsidRPr="001D0B64">
        <w:rPr>
          <w:rFonts w:cs="Arial"/>
          <w:i/>
        </w:rPr>
        <w:t>“(…)”.</w:t>
      </w:r>
    </w:p>
    <w:p w:rsidR="009A0B14" w:rsidRPr="001D0B64" w:rsidRDefault="009A0B14" w:rsidP="00E65343">
      <w:pPr>
        <w:widowControl w:val="0"/>
        <w:autoSpaceDE w:val="0"/>
        <w:autoSpaceDN w:val="0"/>
        <w:adjustRightInd w:val="0"/>
        <w:spacing w:line="276" w:lineRule="auto"/>
        <w:ind w:left="567" w:right="567"/>
        <w:rPr>
          <w:rFonts w:cs="Arial"/>
          <w:i/>
        </w:rPr>
      </w:pPr>
    </w:p>
    <w:p w:rsidR="009A0B14" w:rsidRPr="001D0B64" w:rsidRDefault="009A0B14" w:rsidP="00E65343">
      <w:pPr>
        <w:widowControl w:val="0"/>
        <w:autoSpaceDE w:val="0"/>
        <w:autoSpaceDN w:val="0"/>
        <w:adjustRightInd w:val="0"/>
        <w:spacing w:line="276" w:lineRule="auto"/>
        <w:ind w:left="567" w:right="567"/>
        <w:rPr>
          <w:rFonts w:cs="Arial"/>
          <w:i/>
        </w:rPr>
      </w:pPr>
    </w:p>
    <w:p w:rsidR="00B80517" w:rsidRPr="001D0B64" w:rsidRDefault="00B80517" w:rsidP="00E65343">
      <w:pPr>
        <w:widowControl w:val="0"/>
        <w:autoSpaceDE w:val="0"/>
        <w:autoSpaceDN w:val="0"/>
        <w:adjustRightInd w:val="0"/>
        <w:spacing w:line="276" w:lineRule="auto"/>
        <w:ind w:left="567" w:right="567"/>
        <w:rPr>
          <w:rFonts w:cs="Arial"/>
          <w:i/>
        </w:rPr>
      </w:pPr>
    </w:p>
    <w:p w:rsidR="00F21484" w:rsidRPr="001D0B64" w:rsidRDefault="00F21484" w:rsidP="00535699">
      <w:pPr>
        <w:widowControl w:val="0"/>
        <w:autoSpaceDE w:val="0"/>
        <w:autoSpaceDN w:val="0"/>
        <w:adjustRightInd w:val="0"/>
        <w:ind w:right="-1"/>
        <w:jc w:val="center"/>
        <w:rPr>
          <w:rFonts w:cs="Arial"/>
          <w:b/>
        </w:rPr>
      </w:pPr>
      <w:r w:rsidRPr="001D0B64">
        <w:rPr>
          <w:rFonts w:cs="Arial"/>
          <w:b/>
        </w:rPr>
        <w:t>I. A N T E C E D E N T E S</w:t>
      </w:r>
    </w:p>
    <w:p w:rsidR="00F00A7F" w:rsidRPr="001D0B64" w:rsidRDefault="00F00A7F" w:rsidP="00535699">
      <w:pPr>
        <w:ind w:right="-1"/>
        <w:rPr>
          <w:rFonts w:cs="Arial"/>
          <w:b/>
        </w:rPr>
      </w:pPr>
    </w:p>
    <w:p w:rsidR="00F21484" w:rsidRPr="001D0B64" w:rsidRDefault="00F21484" w:rsidP="00535699">
      <w:pPr>
        <w:ind w:right="-1"/>
        <w:rPr>
          <w:rFonts w:cs="Arial"/>
          <w:b/>
        </w:rPr>
      </w:pPr>
      <w:r w:rsidRPr="001D0B64">
        <w:rPr>
          <w:rFonts w:cs="Arial"/>
          <w:b/>
        </w:rPr>
        <w:t>1. La demanda</w:t>
      </w:r>
    </w:p>
    <w:p w:rsidR="00F21484" w:rsidRPr="001D0B64" w:rsidRDefault="00F21484" w:rsidP="00535699">
      <w:pPr>
        <w:widowControl w:val="0"/>
        <w:autoSpaceDE w:val="0"/>
        <w:autoSpaceDN w:val="0"/>
        <w:adjustRightInd w:val="0"/>
        <w:ind w:right="-1"/>
        <w:rPr>
          <w:rFonts w:cs="Arial"/>
        </w:rPr>
      </w:pPr>
    </w:p>
    <w:p w:rsidR="00ED0C70" w:rsidRPr="001D0B64" w:rsidRDefault="00022841" w:rsidP="007E2F97">
      <w:pPr>
        <w:ind w:right="-1"/>
        <w:contextualSpacing/>
        <w:rPr>
          <w:rFonts w:cs="Arial"/>
        </w:rPr>
      </w:pPr>
      <w:r w:rsidRPr="001D0B64">
        <w:rPr>
          <w:rFonts w:cs="Arial"/>
        </w:rPr>
        <w:t>La</w:t>
      </w:r>
      <w:r w:rsidR="00EA0EB1" w:rsidRPr="001D0B64">
        <w:rPr>
          <w:rFonts w:cs="Arial"/>
        </w:rPr>
        <w:t xml:space="preserve"> demanda </w:t>
      </w:r>
      <w:r w:rsidRPr="001D0B64">
        <w:rPr>
          <w:rFonts w:cs="Arial"/>
        </w:rPr>
        <w:t xml:space="preserve">con la que se inició este litigio fue </w:t>
      </w:r>
      <w:r w:rsidR="00EA0EB1" w:rsidRPr="001D0B64">
        <w:rPr>
          <w:rFonts w:cs="Arial"/>
        </w:rPr>
        <w:t>presentada</w:t>
      </w:r>
      <w:r w:rsidR="00AA67A0" w:rsidRPr="001D0B64">
        <w:rPr>
          <w:rFonts w:cs="Arial"/>
        </w:rPr>
        <w:t xml:space="preserve"> </w:t>
      </w:r>
      <w:r w:rsidR="00FD5088" w:rsidRPr="001D0B64">
        <w:rPr>
          <w:rFonts w:cs="Arial"/>
        </w:rPr>
        <w:t xml:space="preserve">el </w:t>
      </w:r>
      <w:r w:rsidR="009A0B14" w:rsidRPr="001D0B64">
        <w:rPr>
          <w:rFonts w:cs="Arial"/>
        </w:rPr>
        <w:t>dieciocho (1</w:t>
      </w:r>
      <w:r w:rsidR="002D208D" w:rsidRPr="001D0B64">
        <w:rPr>
          <w:rFonts w:cs="Arial"/>
        </w:rPr>
        <w:t>8</w:t>
      </w:r>
      <w:r w:rsidR="009745C9" w:rsidRPr="001D0B64">
        <w:rPr>
          <w:rFonts w:cs="Arial"/>
        </w:rPr>
        <w:t xml:space="preserve">) </w:t>
      </w:r>
      <w:r w:rsidR="00FD5088" w:rsidRPr="001D0B64">
        <w:rPr>
          <w:rFonts w:cs="Arial"/>
        </w:rPr>
        <w:t xml:space="preserve">de </w:t>
      </w:r>
      <w:r w:rsidR="009A0B14" w:rsidRPr="001D0B64">
        <w:rPr>
          <w:rFonts w:cs="Arial"/>
        </w:rPr>
        <w:t>diciembre</w:t>
      </w:r>
      <w:r w:rsidR="00E65343" w:rsidRPr="001D0B64">
        <w:rPr>
          <w:rFonts w:cs="Arial"/>
        </w:rPr>
        <w:t xml:space="preserve"> </w:t>
      </w:r>
      <w:r w:rsidR="00FD5088" w:rsidRPr="001D0B64">
        <w:rPr>
          <w:rFonts w:cs="Arial"/>
        </w:rPr>
        <w:t xml:space="preserve">de </w:t>
      </w:r>
      <w:r w:rsidR="009A0B14" w:rsidRPr="001D0B64">
        <w:rPr>
          <w:rFonts w:cs="Arial"/>
        </w:rPr>
        <w:t>dos mil doce</w:t>
      </w:r>
      <w:r w:rsidR="009745C9" w:rsidRPr="001D0B64">
        <w:rPr>
          <w:rFonts w:cs="Arial"/>
        </w:rPr>
        <w:t xml:space="preserve"> (20</w:t>
      </w:r>
      <w:r w:rsidR="000472B4" w:rsidRPr="001D0B64">
        <w:rPr>
          <w:rFonts w:cs="Arial"/>
        </w:rPr>
        <w:t>1</w:t>
      </w:r>
      <w:r w:rsidR="009A0B14" w:rsidRPr="001D0B64">
        <w:rPr>
          <w:rFonts w:cs="Arial"/>
        </w:rPr>
        <w:t>2</w:t>
      </w:r>
      <w:r w:rsidR="009745C9" w:rsidRPr="001D0B64">
        <w:rPr>
          <w:rFonts w:cs="Arial"/>
        </w:rPr>
        <w:t>)</w:t>
      </w:r>
      <w:r w:rsidR="004D2045" w:rsidRPr="001D0B64">
        <w:rPr>
          <w:rFonts w:cs="Arial"/>
        </w:rPr>
        <w:t xml:space="preserve">, </w:t>
      </w:r>
      <w:r w:rsidR="00427E61" w:rsidRPr="001D0B64">
        <w:rPr>
          <w:rFonts w:cs="Arial"/>
        </w:rPr>
        <w:t xml:space="preserve">por </w:t>
      </w:r>
      <w:r w:rsidR="00E65343" w:rsidRPr="001D0B64">
        <w:rPr>
          <w:rFonts w:cs="Arial"/>
        </w:rPr>
        <w:t>el consorcio</w:t>
      </w:r>
      <w:r w:rsidR="009A0B14" w:rsidRPr="001D0B64">
        <w:rPr>
          <w:rFonts w:cs="Arial"/>
        </w:rPr>
        <w:t xml:space="preserve"> Tibitoc 2012 integrado por las sociedades Metalúrgica Construcel Colombia S.A. Metacol, Nema Ingeniería Ltda., Ingeniería Construcciones y Equipos Conequipos Ing. Ltda. y Canoga Garden Construcciones S.A.S</w:t>
      </w:r>
      <w:r w:rsidR="005F404F" w:rsidRPr="001D0B64">
        <w:rPr>
          <w:rFonts w:cs="Arial"/>
        </w:rPr>
        <w:t>.,</w:t>
      </w:r>
      <w:r w:rsidR="009A0B14" w:rsidRPr="001D0B64">
        <w:rPr>
          <w:rFonts w:cs="Arial"/>
        </w:rPr>
        <w:t xml:space="preserve"> </w:t>
      </w:r>
      <w:r w:rsidR="00F5352D" w:rsidRPr="001D0B64">
        <w:rPr>
          <w:rFonts w:cs="Arial"/>
        </w:rPr>
        <w:t xml:space="preserve">en ejercicio </w:t>
      </w:r>
      <w:r w:rsidR="00FD5088" w:rsidRPr="001D0B64">
        <w:rPr>
          <w:rFonts w:cs="Arial"/>
        </w:rPr>
        <w:t>de</w:t>
      </w:r>
      <w:r w:rsidR="007C42FB" w:rsidRPr="001D0B64">
        <w:rPr>
          <w:rFonts w:cs="Arial"/>
        </w:rPr>
        <w:t xml:space="preserve">l medio de control </w:t>
      </w:r>
      <w:r w:rsidR="009A0B14" w:rsidRPr="001D0B64">
        <w:rPr>
          <w:rFonts w:cs="Arial"/>
        </w:rPr>
        <w:t xml:space="preserve">de controversias contractuales </w:t>
      </w:r>
      <w:r w:rsidR="00F5352D" w:rsidRPr="001D0B64">
        <w:rPr>
          <w:rFonts w:cs="Arial"/>
        </w:rPr>
        <w:t>consagrad</w:t>
      </w:r>
      <w:r w:rsidR="007C42FB" w:rsidRPr="001D0B64">
        <w:rPr>
          <w:rFonts w:cs="Arial"/>
        </w:rPr>
        <w:t>o</w:t>
      </w:r>
      <w:r w:rsidR="00F5352D" w:rsidRPr="001D0B64">
        <w:rPr>
          <w:rFonts w:cs="Arial"/>
        </w:rPr>
        <w:t xml:space="preserve"> en el artículo </w:t>
      </w:r>
      <w:r w:rsidR="007C42FB" w:rsidRPr="001D0B64">
        <w:rPr>
          <w:rFonts w:cs="Arial"/>
        </w:rPr>
        <w:t>141</w:t>
      </w:r>
      <w:r w:rsidR="00F5352D" w:rsidRPr="001D0B64">
        <w:rPr>
          <w:rFonts w:cs="Arial"/>
        </w:rPr>
        <w:t xml:space="preserve"> del Código </w:t>
      </w:r>
      <w:r w:rsidR="007D558B" w:rsidRPr="001D0B64">
        <w:rPr>
          <w:rFonts w:cs="Arial"/>
        </w:rPr>
        <w:t xml:space="preserve">de Procedimiento Administrativo y de lo </w:t>
      </w:r>
      <w:r w:rsidR="00F5352D" w:rsidRPr="001D0B64">
        <w:rPr>
          <w:rFonts w:cs="Arial"/>
        </w:rPr>
        <w:t>Contencioso Administrativo</w:t>
      </w:r>
      <w:r w:rsidR="007D558B" w:rsidRPr="001D0B64">
        <w:rPr>
          <w:rFonts w:cs="Arial"/>
        </w:rPr>
        <w:t xml:space="preserve"> </w:t>
      </w:r>
      <w:r w:rsidR="00B10F0A" w:rsidRPr="001D0B64">
        <w:rPr>
          <w:rFonts w:cs="Arial"/>
        </w:rPr>
        <w:t>(</w:t>
      </w:r>
      <w:r w:rsidR="00427E61" w:rsidRPr="001D0B64">
        <w:rPr>
          <w:rFonts w:cs="Arial"/>
        </w:rPr>
        <w:t>Ley 1437 de 2011)</w:t>
      </w:r>
      <w:r w:rsidR="00566442" w:rsidRPr="001D0B64">
        <w:rPr>
          <w:rFonts w:cs="Arial"/>
        </w:rPr>
        <w:t>,</w:t>
      </w:r>
      <w:r w:rsidR="00427E61" w:rsidRPr="001D0B64">
        <w:rPr>
          <w:rFonts w:cs="Arial"/>
        </w:rPr>
        <w:t xml:space="preserve"> </w:t>
      </w:r>
      <w:r w:rsidR="00A66E65" w:rsidRPr="001D0B64">
        <w:rPr>
          <w:rFonts w:cs="Arial"/>
        </w:rPr>
        <w:t xml:space="preserve">contra la </w:t>
      </w:r>
      <w:r w:rsidR="009A0B14" w:rsidRPr="001D0B64">
        <w:rPr>
          <w:rFonts w:cs="Arial"/>
        </w:rPr>
        <w:t xml:space="preserve">Empresa de Acueducto y Alcantarillado de Bogotá E.S.P. </w:t>
      </w:r>
      <w:r w:rsidR="003A17B8" w:rsidRPr="001D0B64">
        <w:rPr>
          <w:rFonts w:cs="Arial"/>
        </w:rPr>
        <w:t xml:space="preserve">con el fin de </w:t>
      </w:r>
      <w:r w:rsidR="008D5A3A" w:rsidRPr="001D0B64">
        <w:rPr>
          <w:rFonts w:cs="Arial"/>
        </w:rPr>
        <w:t>que</w:t>
      </w:r>
      <w:r w:rsidR="009A0B14" w:rsidRPr="001D0B64">
        <w:rPr>
          <w:rFonts w:cs="Arial"/>
        </w:rPr>
        <w:t xml:space="preserve">: i) se declarara la nulidad del acto de adjudicación </w:t>
      </w:r>
      <w:r w:rsidR="00ED0C70" w:rsidRPr="001D0B64">
        <w:rPr>
          <w:rFonts w:cs="Arial"/>
        </w:rPr>
        <w:t>o</w:t>
      </w:r>
      <w:r w:rsidR="00040639" w:rsidRPr="001D0B64">
        <w:rPr>
          <w:rFonts w:cs="Arial"/>
        </w:rPr>
        <w:t xml:space="preserve"> aceptación de la oferta contenido en el documento No. FL0203F01-02 del 12 de junio de 2012</w:t>
      </w:r>
      <w:r w:rsidR="008D5A3A" w:rsidRPr="001D0B64">
        <w:rPr>
          <w:rFonts w:cs="Arial"/>
        </w:rPr>
        <w:t>; ii)</w:t>
      </w:r>
      <w:r w:rsidR="00566442" w:rsidRPr="001D0B64">
        <w:rPr>
          <w:rFonts w:cs="Arial"/>
        </w:rPr>
        <w:t xml:space="preserve"> se </w:t>
      </w:r>
      <w:r w:rsidR="00040639" w:rsidRPr="001D0B64">
        <w:rPr>
          <w:rFonts w:cs="Arial"/>
        </w:rPr>
        <w:t xml:space="preserve">ordenara la terminación del contrato adjudicado, identificado con el número </w:t>
      </w:r>
      <w:r w:rsidR="00FB62FB" w:rsidRPr="001D0B64">
        <w:rPr>
          <w:rFonts w:cs="Arial"/>
        </w:rPr>
        <w:t>1-01-25400-02672012 del 15 de junio de 2012</w:t>
      </w:r>
      <w:r w:rsidR="008D5A3A" w:rsidRPr="001D0B64">
        <w:rPr>
          <w:rFonts w:cs="Arial"/>
        </w:rPr>
        <w:t>; iii)</w:t>
      </w:r>
      <w:r w:rsidR="00ED0C70" w:rsidRPr="001D0B64">
        <w:rPr>
          <w:rFonts w:cs="Arial"/>
        </w:rPr>
        <w:t xml:space="preserve"> se declarara que la propuesta del consorcio Tibitoc </w:t>
      </w:r>
      <w:r w:rsidR="0003360A" w:rsidRPr="001D0B64">
        <w:rPr>
          <w:rFonts w:cs="Arial"/>
        </w:rPr>
        <w:t xml:space="preserve">2012 </w:t>
      </w:r>
      <w:r w:rsidR="00ED0C70" w:rsidRPr="001D0B64">
        <w:rPr>
          <w:rFonts w:cs="Arial"/>
        </w:rPr>
        <w:t>era la única con vocación de adjudicación</w:t>
      </w:r>
      <w:r w:rsidR="008D5A3A" w:rsidRPr="001D0B64">
        <w:rPr>
          <w:rFonts w:cs="Arial"/>
        </w:rPr>
        <w:t xml:space="preserve"> </w:t>
      </w:r>
      <w:r w:rsidR="00ED0C70" w:rsidRPr="001D0B64">
        <w:rPr>
          <w:rFonts w:cs="Arial"/>
        </w:rPr>
        <w:t>y iv) se condenara a pagar en favor del demandante la suma de $2.637’115.735,00, por concepto de utilidad esperada como consecuencia de la ejecución del contrato que no le fue adjudicado</w:t>
      </w:r>
      <w:r w:rsidR="005F0800" w:rsidRPr="001D0B64">
        <w:rPr>
          <w:rFonts w:cs="Arial"/>
        </w:rPr>
        <w:t>,</w:t>
      </w:r>
      <w:r w:rsidR="00ED0C70" w:rsidRPr="001D0B64">
        <w:rPr>
          <w:rFonts w:cs="Arial"/>
        </w:rPr>
        <w:t xml:space="preserve"> más </w:t>
      </w:r>
      <w:r w:rsidR="005F404F" w:rsidRPr="001D0B64">
        <w:rPr>
          <w:rFonts w:cs="Arial"/>
        </w:rPr>
        <w:t xml:space="preserve">los </w:t>
      </w:r>
      <w:r w:rsidR="00ED0C70" w:rsidRPr="001D0B64">
        <w:rPr>
          <w:rFonts w:cs="Arial"/>
        </w:rPr>
        <w:t xml:space="preserve">costos de participación en el procedimiento de selección que le dio origen. </w:t>
      </w:r>
    </w:p>
    <w:p w:rsidR="007E2F97" w:rsidRPr="001D0B64" w:rsidRDefault="007E2F97" w:rsidP="007E2F97">
      <w:pPr>
        <w:ind w:right="-1"/>
        <w:contextualSpacing/>
        <w:rPr>
          <w:rFonts w:cs="Arial"/>
        </w:rPr>
      </w:pPr>
    </w:p>
    <w:p w:rsidR="0098581B" w:rsidRPr="001D0B64" w:rsidRDefault="0098581B" w:rsidP="00131111">
      <w:pPr>
        <w:ind w:right="-1"/>
        <w:contextualSpacing/>
        <w:rPr>
          <w:rFonts w:cs="Arial"/>
          <w:b/>
          <w:bCs/>
          <w:iCs/>
        </w:rPr>
      </w:pPr>
      <w:r w:rsidRPr="001D0B64">
        <w:rPr>
          <w:rFonts w:cs="Arial"/>
          <w:b/>
          <w:bCs/>
          <w:iCs/>
        </w:rPr>
        <w:t>2. Los hechos</w:t>
      </w:r>
    </w:p>
    <w:p w:rsidR="00F34AA3" w:rsidRPr="001D0B64" w:rsidRDefault="00F34AA3" w:rsidP="00F34AA3">
      <w:pPr>
        <w:widowControl w:val="0"/>
        <w:autoSpaceDE w:val="0"/>
        <w:autoSpaceDN w:val="0"/>
        <w:adjustRightInd w:val="0"/>
        <w:rPr>
          <w:rFonts w:cs="Arial"/>
          <w:lang w:val="es-CO"/>
        </w:rPr>
      </w:pPr>
    </w:p>
    <w:p w:rsidR="00F34AA3" w:rsidRPr="001D0B64" w:rsidRDefault="00F34AA3" w:rsidP="00F34AA3">
      <w:pPr>
        <w:widowControl w:val="0"/>
        <w:autoSpaceDE w:val="0"/>
        <w:autoSpaceDN w:val="0"/>
        <w:adjustRightInd w:val="0"/>
        <w:rPr>
          <w:rFonts w:cs="Arial"/>
        </w:rPr>
      </w:pPr>
      <w:r w:rsidRPr="001D0B64">
        <w:rPr>
          <w:rFonts w:cs="Arial"/>
          <w:lang w:val="es-CO"/>
        </w:rPr>
        <w:t>E</w:t>
      </w:r>
      <w:r w:rsidRPr="001D0B64">
        <w:rPr>
          <w:rFonts w:cs="Arial"/>
        </w:rPr>
        <w:t>n el escrito de demanda, en síntesis, la parte actora narró los siguientes hechos:</w:t>
      </w:r>
    </w:p>
    <w:p w:rsidR="00F34AA3" w:rsidRPr="001D0B64" w:rsidRDefault="00F34AA3" w:rsidP="00F34AA3">
      <w:pPr>
        <w:widowControl w:val="0"/>
        <w:autoSpaceDE w:val="0"/>
        <w:autoSpaceDN w:val="0"/>
        <w:adjustRightInd w:val="0"/>
        <w:rPr>
          <w:rFonts w:cs="Arial"/>
        </w:rPr>
      </w:pPr>
    </w:p>
    <w:p w:rsidR="00063E00" w:rsidRPr="001D0B64" w:rsidRDefault="00626510" w:rsidP="00626510">
      <w:pPr>
        <w:widowControl w:val="0"/>
        <w:autoSpaceDE w:val="0"/>
        <w:autoSpaceDN w:val="0"/>
        <w:adjustRightInd w:val="0"/>
        <w:rPr>
          <w:rFonts w:cs="Arial"/>
          <w:lang w:val="es-MX"/>
        </w:rPr>
      </w:pPr>
      <w:r w:rsidRPr="001D0B64">
        <w:rPr>
          <w:rFonts w:cs="Arial"/>
          <w:b/>
          <w:lang w:val="es-MX"/>
        </w:rPr>
        <w:t xml:space="preserve">2.1. </w:t>
      </w:r>
      <w:r w:rsidRPr="001D0B64">
        <w:rPr>
          <w:rFonts w:cs="Arial"/>
          <w:lang w:val="es-MX"/>
        </w:rPr>
        <w:t>El 10 de octubre de 2011, la Empresa de Acueducto y Alcantarillado de Bogot</w:t>
      </w:r>
      <w:r w:rsidR="005F0800" w:rsidRPr="001D0B64">
        <w:rPr>
          <w:rFonts w:cs="Arial"/>
          <w:lang w:val="es-MX"/>
        </w:rPr>
        <w:t>á dio apertura a la Invitación P</w:t>
      </w:r>
      <w:r w:rsidRPr="001D0B64">
        <w:rPr>
          <w:rFonts w:cs="Arial"/>
          <w:lang w:val="es-MX"/>
        </w:rPr>
        <w:t>ública No. ICSM-0673-2011</w:t>
      </w:r>
      <w:r w:rsidR="00063E00" w:rsidRPr="001D0B64">
        <w:rPr>
          <w:rFonts w:cs="Arial"/>
          <w:lang w:val="es-MX"/>
        </w:rPr>
        <w:t xml:space="preserve"> para que los interesados presentaran ofrecimientos orientados a ejecutar la “construcción de las obras de rehabilitación del tramo 1 de la tubería PCCP de 78” TIBITOC – CASABLANCA”, cuyo presupuesto </w:t>
      </w:r>
      <w:r w:rsidR="0062008E" w:rsidRPr="001D0B64">
        <w:rPr>
          <w:rFonts w:cs="Arial"/>
          <w:lang w:val="es-MX"/>
        </w:rPr>
        <w:t>oficial estimado ascendió a $27.086’</w:t>
      </w:r>
      <w:r w:rsidR="00063E00" w:rsidRPr="001D0B64">
        <w:rPr>
          <w:rFonts w:cs="Arial"/>
          <w:lang w:val="es-MX"/>
        </w:rPr>
        <w:t>805.451.</w:t>
      </w:r>
    </w:p>
    <w:p w:rsidR="00626510" w:rsidRPr="001D0B64" w:rsidRDefault="00626510" w:rsidP="00626510">
      <w:pPr>
        <w:widowControl w:val="0"/>
        <w:autoSpaceDE w:val="0"/>
        <w:autoSpaceDN w:val="0"/>
        <w:adjustRightInd w:val="0"/>
        <w:rPr>
          <w:rFonts w:cs="Arial"/>
          <w:lang w:val="es-MX"/>
        </w:rPr>
      </w:pPr>
    </w:p>
    <w:p w:rsidR="00626510" w:rsidRPr="001D0B64" w:rsidRDefault="00626510" w:rsidP="00626510">
      <w:pPr>
        <w:widowControl w:val="0"/>
        <w:autoSpaceDE w:val="0"/>
        <w:autoSpaceDN w:val="0"/>
        <w:adjustRightInd w:val="0"/>
        <w:rPr>
          <w:rFonts w:cs="Arial"/>
          <w:lang w:val="es-MX"/>
        </w:rPr>
      </w:pPr>
      <w:r w:rsidRPr="001D0B64">
        <w:rPr>
          <w:rFonts w:cs="Arial"/>
          <w:b/>
          <w:lang w:val="es-MX"/>
        </w:rPr>
        <w:t>2.2.</w:t>
      </w:r>
      <w:r w:rsidR="00213CC7" w:rsidRPr="001D0B64">
        <w:rPr>
          <w:rFonts w:cs="Arial"/>
          <w:lang w:val="es-MX"/>
        </w:rPr>
        <w:t xml:space="preserve"> Al procedimiento de selección se presentaron tres oferentes, </w:t>
      </w:r>
      <w:r w:rsidR="00595791" w:rsidRPr="001D0B64">
        <w:rPr>
          <w:rFonts w:cs="Arial"/>
          <w:lang w:val="es-MX"/>
        </w:rPr>
        <w:t xml:space="preserve">a </w:t>
      </w:r>
      <w:r w:rsidR="00213CC7" w:rsidRPr="001D0B64">
        <w:rPr>
          <w:rFonts w:cs="Arial"/>
          <w:lang w:val="es-MX"/>
        </w:rPr>
        <w:t>saber: 1) consorcio Tibitoc 2012; 2) consorcio Rehabilitación Tibitoc; 3) consorcio Acciona Fajardo</w:t>
      </w:r>
      <w:r w:rsidRPr="001D0B64">
        <w:rPr>
          <w:rFonts w:cs="Arial"/>
          <w:lang w:val="es-MX"/>
        </w:rPr>
        <w:t>.</w:t>
      </w:r>
    </w:p>
    <w:p w:rsidR="00674F28" w:rsidRPr="001D0B64" w:rsidRDefault="00674F28" w:rsidP="00626510">
      <w:pPr>
        <w:widowControl w:val="0"/>
        <w:autoSpaceDE w:val="0"/>
        <w:autoSpaceDN w:val="0"/>
        <w:adjustRightInd w:val="0"/>
        <w:rPr>
          <w:rFonts w:cs="Arial"/>
          <w:lang w:val="es-MX"/>
        </w:rPr>
      </w:pPr>
    </w:p>
    <w:p w:rsidR="00674F28" w:rsidRPr="001D0B64" w:rsidRDefault="00674F28" w:rsidP="00626510">
      <w:pPr>
        <w:widowControl w:val="0"/>
        <w:autoSpaceDE w:val="0"/>
        <w:autoSpaceDN w:val="0"/>
        <w:adjustRightInd w:val="0"/>
        <w:rPr>
          <w:rFonts w:cs="Arial"/>
          <w:lang w:val="es-MX"/>
        </w:rPr>
      </w:pPr>
      <w:r w:rsidRPr="001D0B64">
        <w:rPr>
          <w:rFonts w:cs="Arial"/>
          <w:b/>
          <w:lang w:val="es-MX"/>
        </w:rPr>
        <w:t>2.3.-</w:t>
      </w:r>
      <w:r w:rsidRPr="001D0B64">
        <w:rPr>
          <w:rFonts w:cs="Arial"/>
          <w:lang w:val="es-MX"/>
        </w:rPr>
        <w:t xml:space="preserve"> Luego de ser evaluadas las propuestas, la entidad demandada concluyó que </w:t>
      </w:r>
      <w:r w:rsidR="006C7DEB" w:rsidRPr="001D0B64">
        <w:rPr>
          <w:rFonts w:cs="Arial"/>
          <w:lang w:val="es-MX"/>
        </w:rPr>
        <w:t>la presentada por el consorcio Tibitoc 2012 no cumplía con los requisitos financieros</w:t>
      </w:r>
      <w:r w:rsidR="00DA27DE" w:rsidRPr="001D0B64">
        <w:rPr>
          <w:rFonts w:cs="Arial"/>
          <w:lang w:val="es-MX"/>
        </w:rPr>
        <w:t xml:space="preserve">, debido a que existía una diferencia en el valor </w:t>
      </w:r>
      <w:r w:rsidR="00C93DEF" w:rsidRPr="001D0B64">
        <w:rPr>
          <w:rFonts w:cs="Arial"/>
          <w:lang w:val="es-MX"/>
        </w:rPr>
        <w:t>reportado en el formulario No. 6 por el integrante Nema Ingeniería</w:t>
      </w:r>
      <w:r w:rsidR="005F0800" w:rsidRPr="001D0B64">
        <w:rPr>
          <w:rFonts w:cs="Arial"/>
          <w:lang w:val="es-MX"/>
        </w:rPr>
        <w:t xml:space="preserve"> Ltda.</w:t>
      </w:r>
      <w:r w:rsidR="00C93DEF" w:rsidRPr="001D0B64">
        <w:rPr>
          <w:rFonts w:cs="Arial"/>
          <w:lang w:val="es-MX"/>
        </w:rPr>
        <w:t xml:space="preserve"> en el rubro de gastos financieros frente a lo reflejado en los estados financieros</w:t>
      </w:r>
      <w:r w:rsidR="005F0800" w:rsidRPr="001D0B64">
        <w:rPr>
          <w:rFonts w:cs="Arial"/>
          <w:lang w:val="es-MX"/>
        </w:rPr>
        <w:t xml:space="preserve"> de esa misma sociedad</w:t>
      </w:r>
      <w:r w:rsidR="00C93DEF" w:rsidRPr="001D0B64">
        <w:rPr>
          <w:rFonts w:cs="Arial"/>
          <w:lang w:val="es-MX"/>
        </w:rPr>
        <w:t xml:space="preserve">. </w:t>
      </w:r>
    </w:p>
    <w:p w:rsidR="00DB0C5E" w:rsidRPr="001D0B64" w:rsidRDefault="00DB0C5E" w:rsidP="00626510">
      <w:pPr>
        <w:widowControl w:val="0"/>
        <w:autoSpaceDE w:val="0"/>
        <w:autoSpaceDN w:val="0"/>
        <w:adjustRightInd w:val="0"/>
        <w:rPr>
          <w:rFonts w:cs="Arial"/>
          <w:b/>
          <w:lang w:val="es-MX"/>
        </w:rPr>
      </w:pPr>
    </w:p>
    <w:p w:rsidR="00DB0C5E" w:rsidRPr="001D0B64" w:rsidRDefault="00DB0C5E" w:rsidP="00626510">
      <w:pPr>
        <w:widowControl w:val="0"/>
        <w:autoSpaceDE w:val="0"/>
        <w:autoSpaceDN w:val="0"/>
        <w:adjustRightInd w:val="0"/>
        <w:rPr>
          <w:rFonts w:cs="Arial"/>
          <w:lang w:val="es-MX"/>
        </w:rPr>
      </w:pPr>
      <w:r w:rsidRPr="001D0B64">
        <w:rPr>
          <w:rFonts w:cs="Arial"/>
          <w:b/>
          <w:lang w:val="es-MX"/>
        </w:rPr>
        <w:t xml:space="preserve">2.4.- </w:t>
      </w:r>
      <w:r w:rsidRPr="001D0B64">
        <w:rPr>
          <w:rFonts w:cs="Arial"/>
          <w:lang w:val="es-MX"/>
        </w:rPr>
        <w:t xml:space="preserve">Los proponentes presentaron sendas observaciones al informe </w:t>
      </w:r>
      <w:r w:rsidR="00D043D1" w:rsidRPr="001D0B64">
        <w:rPr>
          <w:rFonts w:cs="Arial"/>
          <w:lang w:val="es-MX"/>
        </w:rPr>
        <w:t xml:space="preserve">de </w:t>
      </w:r>
      <w:r w:rsidRPr="001D0B64">
        <w:rPr>
          <w:rFonts w:cs="Arial"/>
          <w:lang w:val="es-MX"/>
        </w:rPr>
        <w:t xml:space="preserve">evaluación, lo cual motivó que la entidad </w:t>
      </w:r>
      <w:r w:rsidR="00D043D1" w:rsidRPr="001D0B64">
        <w:rPr>
          <w:rFonts w:cs="Arial"/>
          <w:lang w:val="es-MX"/>
        </w:rPr>
        <w:t>produjera un nuevo cuadro de evaluación</w:t>
      </w:r>
      <w:r w:rsidR="00BA1432" w:rsidRPr="001D0B64">
        <w:rPr>
          <w:rFonts w:cs="Arial"/>
          <w:lang w:val="es-MX"/>
        </w:rPr>
        <w:t>,</w:t>
      </w:r>
      <w:r w:rsidR="00D043D1" w:rsidRPr="001D0B64">
        <w:rPr>
          <w:rFonts w:cs="Arial"/>
          <w:lang w:val="es-MX"/>
        </w:rPr>
        <w:t xml:space="preserve"> según</w:t>
      </w:r>
      <w:r w:rsidR="009265E8" w:rsidRPr="001D0B64">
        <w:rPr>
          <w:rFonts w:cs="Arial"/>
          <w:lang w:val="es-MX"/>
        </w:rPr>
        <w:t xml:space="preserve"> el cual ningún oferente cumplía con los requisitos financieros, técnicos y económicos.</w:t>
      </w:r>
    </w:p>
    <w:p w:rsidR="009265E8" w:rsidRPr="001D0B64" w:rsidRDefault="009265E8" w:rsidP="00626510">
      <w:pPr>
        <w:widowControl w:val="0"/>
        <w:autoSpaceDE w:val="0"/>
        <w:autoSpaceDN w:val="0"/>
        <w:adjustRightInd w:val="0"/>
        <w:rPr>
          <w:rFonts w:cs="Arial"/>
          <w:b/>
          <w:lang w:val="es-MX"/>
        </w:rPr>
      </w:pPr>
    </w:p>
    <w:p w:rsidR="009265E8" w:rsidRPr="001D0B64" w:rsidRDefault="009265E8" w:rsidP="00626510">
      <w:pPr>
        <w:widowControl w:val="0"/>
        <w:autoSpaceDE w:val="0"/>
        <w:autoSpaceDN w:val="0"/>
        <w:adjustRightInd w:val="0"/>
        <w:rPr>
          <w:rFonts w:cs="Arial"/>
          <w:lang w:val="es-MX"/>
        </w:rPr>
      </w:pPr>
      <w:r w:rsidRPr="001D0B64">
        <w:rPr>
          <w:rFonts w:cs="Arial"/>
          <w:b/>
          <w:lang w:val="es-MX"/>
        </w:rPr>
        <w:t>2.5.-</w:t>
      </w:r>
      <w:r w:rsidRPr="001D0B64">
        <w:rPr>
          <w:rFonts w:cs="Arial"/>
          <w:lang w:val="es-MX"/>
        </w:rPr>
        <w:t xml:space="preserve"> Se sostuvo que no obstante no encontrarse contemplado en los términos del procedimiento de selección</w:t>
      </w:r>
      <w:r w:rsidR="005E6C49" w:rsidRPr="001D0B64">
        <w:rPr>
          <w:rFonts w:cs="Arial"/>
          <w:lang w:val="es-MX"/>
        </w:rPr>
        <w:t>, el 29 de marzo de 2012 la entidad procedió a generar un nuevo traslado para presentar observaciones frente al último informe</w:t>
      </w:r>
      <w:r w:rsidR="0047680F" w:rsidRPr="001D0B64">
        <w:rPr>
          <w:rFonts w:cs="Arial"/>
          <w:lang w:val="es-MX"/>
        </w:rPr>
        <w:t>, término dentro del cual se present</w:t>
      </w:r>
      <w:r w:rsidR="0016119C" w:rsidRPr="001D0B64">
        <w:rPr>
          <w:rFonts w:cs="Arial"/>
          <w:lang w:val="es-MX"/>
        </w:rPr>
        <w:t xml:space="preserve">aron observaciones una vez más </w:t>
      </w:r>
      <w:r w:rsidR="0047680F" w:rsidRPr="001D0B64">
        <w:rPr>
          <w:rFonts w:cs="Arial"/>
          <w:lang w:val="es-MX"/>
        </w:rPr>
        <w:t>por parte del consorcio Rehabilitación Tibitoc</w:t>
      </w:r>
      <w:r w:rsidR="009277CC" w:rsidRPr="001D0B64">
        <w:rPr>
          <w:rFonts w:cs="Arial"/>
          <w:lang w:val="es-MX"/>
        </w:rPr>
        <w:t xml:space="preserve"> y del consorcio Acciona</w:t>
      </w:r>
      <w:r w:rsidR="00595791" w:rsidRPr="001D0B64">
        <w:rPr>
          <w:rFonts w:cs="Arial"/>
          <w:lang w:val="es-MX"/>
        </w:rPr>
        <w:t xml:space="preserve"> Fajardo. </w:t>
      </w:r>
    </w:p>
    <w:p w:rsidR="00595791" w:rsidRPr="001D0B64" w:rsidRDefault="00595791" w:rsidP="00626510">
      <w:pPr>
        <w:widowControl w:val="0"/>
        <w:autoSpaceDE w:val="0"/>
        <w:autoSpaceDN w:val="0"/>
        <w:adjustRightInd w:val="0"/>
        <w:rPr>
          <w:rFonts w:cs="Arial"/>
          <w:lang w:val="es-MX"/>
        </w:rPr>
      </w:pPr>
    </w:p>
    <w:p w:rsidR="00595791" w:rsidRPr="001D0B64" w:rsidRDefault="00595791" w:rsidP="00626510">
      <w:pPr>
        <w:widowControl w:val="0"/>
        <w:autoSpaceDE w:val="0"/>
        <w:autoSpaceDN w:val="0"/>
        <w:adjustRightInd w:val="0"/>
        <w:rPr>
          <w:rFonts w:cs="Arial"/>
          <w:lang w:val="es-MX"/>
        </w:rPr>
      </w:pPr>
      <w:r w:rsidRPr="001D0B64">
        <w:rPr>
          <w:rFonts w:cs="Arial"/>
          <w:b/>
          <w:lang w:val="es-MX"/>
        </w:rPr>
        <w:t>2.6.</w:t>
      </w:r>
      <w:r w:rsidRPr="001D0B64">
        <w:rPr>
          <w:rFonts w:cs="Arial"/>
          <w:lang w:val="es-MX"/>
        </w:rPr>
        <w:t xml:space="preserve"> Lo anterior trajo como resultado la publicación de un</w:t>
      </w:r>
      <w:r w:rsidR="002A2E33" w:rsidRPr="001D0B64">
        <w:rPr>
          <w:rFonts w:cs="Arial"/>
          <w:lang w:val="es-MX"/>
        </w:rPr>
        <w:t>a</w:t>
      </w:r>
      <w:r w:rsidRPr="001D0B64">
        <w:rPr>
          <w:rFonts w:cs="Arial"/>
          <w:lang w:val="es-MX"/>
        </w:rPr>
        <w:t xml:space="preserve"> nueva evaluación</w:t>
      </w:r>
      <w:r w:rsidR="00BA1432" w:rsidRPr="001D0B64">
        <w:rPr>
          <w:rFonts w:cs="Arial"/>
          <w:lang w:val="es-MX"/>
        </w:rPr>
        <w:t>,</w:t>
      </w:r>
      <w:r w:rsidRPr="001D0B64">
        <w:rPr>
          <w:rFonts w:cs="Arial"/>
          <w:lang w:val="es-MX"/>
        </w:rPr>
        <w:t xml:space="preserve"> de conformidad con la cual </w:t>
      </w:r>
      <w:r w:rsidR="0016119C" w:rsidRPr="001D0B64">
        <w:rPr>
          <w:rFonts w:cs="Arial"/>
          <w:lang w:val="es-MX"/>
        </w:rPr>
        <w:t xml:space="preserve">la propuesta del consorcio Acciona Fajardo habría de obtener el mayor puntaje. </w:t>
      </w:r>
    </w:p>
    <w:p w:rsidR="00CD5AFE" w:rsidRPr="001D0B64" w:rsidRDefault="00CD5AFE" w:rsidP="00626510">
      <w:pPr>
        <w:widowControl w:val="0"/>
        <w:autoSpaceDE w:val="0"/>
        <w:autoSpaceDN w:val="0"/>
        <w:adjustRightInd w:val="0"/>
        <w:rPr>
          <w:rFonts w:cs="Arial"/>
          <w:lang w:val="es-MX"/>
        </w:rPr>
      </w:pPr>
    </w:p>
    <w:p w:rsidR="00CD5AFE" w:rsidRPr="001D0B64" w:rsidRDefault="00CD5AFE" w:rsidP="00626510">
      <w:pPr>
        <w:widowControl w:val="0"/>
        <w:autoSpaceDE w:val="0"/>
        <w:autoSpaceDN w:val="0"/>
        <w:adjustRightInd w:val="0"/>
        <w:rPr>
          <w:rFonts w:cs="Arial"/>
          <w:lang w:val="es-MX"/>
        </w:rPr>
      </w:pPr>
      <w:r w:rsidRPr="001D0B64">
        <w:rPr>
          <w:rFonts w:cs="Arial"/>
          <w:b/>
          <w:lang w:val="es-MX"/>
        </w:rPr>
        <w:t>2.7.-</w:t>
      </w:r>
      <w:r w:rsidR="00BA1432" w:rsidRPr="001D0B64">
        <w:rPr>
          <w:rFonts w:cs="Arial"/>
          <w:lang w:val="es-MX"/>
        </w:rPr>
        <w:t xml:space="preserve"> Se advirtió que la propuesta presentada por el</w:t>
      </w:r>
      <w:r w:rsidRPr="001D0B64">
        <w:rPr>
          <w:rFonts w:cs="Arial"/>
          <w:lang w:val="es-MX"/>
        </w:rPr>
        <w:t xml:space="preserve"> co</w:t>
      </w:r>
      <w:r w:rsidR="00BA1432" w:rsidRPr="001D0B64">
        <w:rPr>
          <w:rFonts w:cs="Arial"/>
          <w:lang w:val="es-MX"/>
        </w:rPr>
        <w:t>nsorcio demandante fue rechazada</w:t>
      </w:r>
      <w:r w:rsidRPr="001D0B64">
        <w:rPr>
          <w:rFonts w:cs="Arial"/>
          <w:lang w:val="es-MX"/>
        </w:rPr>
        <w:t xml:space="preserve"> por no cumplir los requisitos financier</w:t>
      </w:r>
      <w:r w:rsidR="00312FC1" w:rsidRPr="001D0B64">
        <w:rPr>
          <w:rFonts w:cs="Arial"/>
          <w:lang w:val="es-MX"/>
        </w:rPr>
        <w:t>o</w:t>
      </w:r>
      <w:r w:rsidRPr="001D0B64">
        <w:rPr>
          <w:rFonts w:cs="Arial"/>
          <w:lang w:val="es-MX"/>
        </w:rPr>
        <w:t>s</w:t>
      </w:r>
      <w:r w:rsidR="00312FC1" w:rsidRPr="001D0B64">
        <w:rPr>
          <w:rFonts w:cs="Arial"/>
          <w:lang w:val="es-MX"/>
        </w:rPr>
        <w:t>,</w:t>
      </w:r>
      <w:r w:rsidRPr="001D0B64">
        <w:rPr>
          <w:rFonts w:cs="Arial"/>
          <w:lang w:val="es-MX"/>
        </w:rPr>
        <w:t xml:space="preserve"> supuestamente</w:t>
      </w:r>
      <w:r w:rsidR="00312FC1" w:rsidRPr="001D0B64">
        <w:rPr>
          <w:rFonts w:cs="Arial"/>
          <w:lang w:val="es-MX"/>
        </w:rPr>
        <w:t>,</w:t>
      </w:r>
      <w:r w:rsidRPr="001D0B64">
        <w:rPr>
          <w:rFonts w:cs="Arial"/>
          <w:lang w:val="es-MX"/>
        </w:rPr>
        <w:t xml:space="preserve"> </w:t>
      </w:r>
      <w:r w:rsidR="00312FC1" w:rsidRPr="001D0B64">
        <w:rPr>
          <w:rFonts w:cs="Arial"/>
          <w:lang w:val="es-MX"/>
        </w:rPr>
        <w:t>al no haber</w:t>
      </w:r>
      <w:r w:rsidRPr="001D0B64">
        <w:rPr>
          <w:rFonts w:cs="Arial"/>
          <w:lang w:val="es-MX"/>
        </w:rPr>
        <w:t xml:space="preserve"> diligencia</w:t>
      </w:r>
      <w:r w:rsidR="00312FC1" w:rsidRPr="001D0B64">
        <w:rPr>
          <w:rFonts w:cs="Arial"/>
          <w:lang w:val="es-MX"/>
        </w:rPr>
        <w:t xml:space="preserve">do </w:t>
      </w:r>
      <w:r w:rsidR="005F0800" w:rsidRPr="001D0B64">
        <w:rPr>
          <w:rFonts w:cs="Arial"/>
          <w:lang w:val="es-MX"/>
        </w:rPr>
        <w:t xml:space="preserve">debidamente </w:t>
      </w:r>
      <w:r w:rsidR="00312FC1" w:rsidRPr="001D0B64">
        <w:rPr>
          <w:rFonts w:cs="Arial"/>
          <w:lang w:val="es-MX"/>
        </w:rPr>
        <w:t>el formulario respectivo, d</w:t>
      </w:r>
      <w:r w:rsidR="00BA1432" w:rsidRPr="001D0B64">
        <w:rPr>
          <w:rFonts w:cs="Arial"/>
          <w:lang w:val="es-MX"/>
        </w:rPr>
        <w:t>ejando de lado el hecho de que con la oferta</w:t>
      </w:r>
      <w:r w:rsidR="00312FC1" w:rsidRPr="001D0B64">
        <w:rPr>
          <w:rFonts w:cs="Arial"/>
          <w:lang w:val="es-MX"/>
        </w:rPr>
        <w:t xml:space="preserve"> se acompañaron los documentos que soportaban la información que allí constaba</w:t>
      </w:r>
      <w:r w:rsidR="00047778" w:rsidRPr="001D0B64">
        <w:rPr>
          <w:rFonts w:cs="Arial"/>
          <w:lang w:val="es-MX"/>
        </w:rPr>
        <w:t>,</w:t>
      </w:r>
      <w:r w:rsidR="00312FC1" w:rsidRPr="001D0B64">
        <w:rPr>
          <w:rFonts w:cs="Arial"/>
          <w:lang w:val="es-MX"/>
        </w:rPr>
        <w:t xml:space="preserve"> de tal suerte que los datos eran verificables por la entidad.</w:t>
      </w:r>
    </w:p>
    <w:p w:rsidR="00E71A05" w:rsidRPr="001D0B64" w:rsidRDefault="00E71A05" w:rsidP="00626510">
      <w:pPr>
        <w:widowControl w:val="0"/>
        <w:autoSpaceDE w:val="0"/>
        <w:autoSpaceDN w:val="0"/>
        <w:adjustRightInd w:val="0"/>
        <w:rPr>
          <w:rFonts w:cs="Arial"/>
          <w:lang w:val="es-MX"/>
        </w:rPr>
      </w:pPr>
    </w:p>
    <w:p w:rsidR="00E71A05" w:rsidRPr="001D0B64" w:rsidRDefault="00E71A05" w:rsidP="00626510">
      <w:pPr>
        <w:widowControl w:val="0"/>
        <w:autoSpaceDE w:val="0"/>
        <w:autoSpaceDN w:val="0"/>
        <w:adjustRightInd w:val="0"/>
        <w:rPr>
          <w:rFonts w:cs="Arial"/>
          <w:lang w:val="es-MX"/>
        </w:rPr>
      </w:pPr>
      <w:r w:rsidRPr="001D0B64">
        <w:rPr>
          <w:rFonts w:cs="Arial"/>
          <w:b/>
          <w:lang w:val="es-MX"/>
        </w:rPr>
        <w:t xml:space="preserve">2.8. </w:t>
      </w:r>
      <w:r w:rsidR="00F506D2" w:rsidRPr="001D0B64">
        <w:rPr>
          <w:rFonts w:cs="Arial"/>
          <w:lang w:val="es-MX"/>
        </w:rPr>
        <w:t xml:space="preserve">El 12 de junio de 2012 </w:t>
      </w:r>
      <w:r w:rsidR="00EE10A1" w:rsidRPr="001D0B64">
        <w:rPr>
          <w:rFonts w:cs="Arial"/>
          <w:lang w:val="es-MX"/>
        </w:rPr>
        <w:t>se llevó a cabo la audiencia en la cual se adjudicó la invitación pública No. ICSM-0673-2011 al oferente consorcio Rehabilitación Tibitoc</w:t>
      </w:r>
      <w:r w:rsidR="00C838E7" w:rsidRPr="001D0B64">
        <w:rPr>
          <w:rFonts w:cs="Arial"/>
          <w:lang w:val="es-MX"/>
        </w:rPr>
        <w:t>.</w:t>
      </w:r>
      <w:r w:rsidR="00EE10A1" w:rsidRPr="001D0B64">
        <w:rPr>
          <w:rFonts w:cs="Arial"/>
          <w:lang w:val="es-MX"/>
        </w:rPr>
        <w:t xml:space="preserve"> </w:t>
      </w:r>
    </w:p>
    <w:p w:rsidR="00626510" w:rsidRPr="001D0B64" w:rsidRDefault="00626510" w:rsidP="00626510">
      <w:pPr>
        <w:widowControl w:val="0"/>
        <w:autoSpaceDE w:val="0"/>
        <w:autoSpaceDN w:val="0"/>
        <w:adjustRightInd w:val="0"/>
        <w:rPr>
          <w:rFonts w:cs="Arial"/>
          <w:lang w:val="es-MX"/>
        </w:rPr>
      </w:pPr>
    </w:p>
    <w:p w:rsidR="00A9192A" w:rsidRPr="001D0B64" w:rsidRDefault="00C838E7" w:rsidP="00131111">
      <w:pPr>
        <w:ind w:right="-1"/>
        <w:contextualSpacing/>
        <w:rPr>
          <w:rFonts w:cs="Arial"/>
        </w:rPr>
      </w:pPr>
      <w:r w:rsidRPr="001D0B64">
        <w:rPr>
          <w:rFonts w:cs="Arial"/>
          <w:b/>
        </w:rPr>
        <w:t>2.9</w:t>
      </w:r>
      <w:r w:rsidR="00E82FD9" w:rsidRPr="001D0B64">
        <w:rPr>
          <w:rFonts w:cs="Arial"/>
          <w:b/>
        </w:rPr>
        <w:t>.-</w:t>
      </w:r>
      <w:r w:rsidR="00E82FD9" w:rsidRPr="001D0B64">
        <w:rPr>
          <w:rFonts w:cs="Arial"/>
        </w:rPr>
        <w:t xml:space="preserve"> </w:t>
      </w:r>
      <w:r w:rsidR="00885276" w:rsidRPr="001D0B64">
        <w:rPr>
          <w:rFonts w:cs="Arial"/>
        </w:rPr>
        <w:t>Como consecuencia, e</w:t>
      </w:r>
      <w:r w:rsidR="00E82FD9" w:rsidRPr="001D0B64">
        <w:rPr>
          <w:rFonts w:cs="Arial"/>
        </w:rPr>
        <w:t xml:space="preserve">l 15 de junio de 2012, la Empresa de Acueducto y Alcantarillado de Bogotá y </w:t>
      </w:r>
      <w:r w:rsidR="00885276" w:rsidRPr="001D0B64">
        <w:rPr>
          <w:rFonts w:cs="Arial"/>
        </w:rPr>
        <w:t>el</w:t>
      </w:r>
      <w:r w:rsidR="00E82FD9" w:rsidRPr="001D0B64">
        <w:rPr>
          <w:rFonts w:cs="Arial"/>
        </w:rPr>
        <w:t xml:space="preserve"> consorcio Rehabilitación Tibitoc </w:t>
      </w:r>
      <w:r w:rsidR="00885276" w:rsidRPr="001D0B64">
        <w:rPr>
          <w:rFonts w:cs="Arial"/>
        </w:rPr>
        <w:t>celebraron el contrato 1-01-25400-02672.</w:t>
      </w:r>
    </w:p>
    <w:p w:rsidR="00E82FD9" w:rsidRPr="001D0B64" w:rsidRDefault="00E82FD9" w:rsidP="00131111">
      <w:pPr>
        <w:ind w:right="-1"/>
        <w:contextualSpacing/>
        <w:rPr>
          <w:rFonts w:cs="Arial"/>
          <w:b/>
          <w:bCs/>
          <w:iCs/>
        </w:rPr>
      </w:pPr>
    </w:p>
    <w:p w:rsidR="00131111" w:rsidRPr="001D0B64" w:rsidRDefault="00885C9B" w:rsidP="00131111">
      <w:pPr>
        <w:ind w:right="-1"/>
        <w:contextualSpacing/>
        <w:rPr>
          <w:rFonts w:cs="Arial"/>
          <w:b/>
          <w:bCs/>
          <w:iCs/>
        </w:rPr>
      </w:pPr>
      <w:r w:rsidRPr="001D0B64">
        <w:rPr>
          <w:rFonts w:cs="Arial"/>
          <w:b/>
          <w:bCs/>
          <w:iCs/>
        </w:rPr>
        <w:t>3</w:t>
      </w:r>
      <w:r w:rsidR="00131111" w:rsidRPr="001D0B64">
        <w:rPr>
          <w:rFonts w:cs="Arial"/>
          <w:b/>
          <w:bCs/>
          <w:iCs/>
        </w:rPr>
        <w:t>. Actuación procesal</w:t>
      </w:r>
    </w:p>
    <w:p w:rsidR="00131111" w:rsidRPr="001D0B64" w:rsidRDefault="00131111" w:rsidP="00131111">
      <w:pPr>
        <w:ind w:right="-1"/>
        <w:rPr>
          <w:rFonts w:cs="Arial"/>
          <w:bCs/>
          <w:iCs/>
        </w:rPr>
      </w:pPr>
    </w:p>
    <w:p w:rsidR="00131111" w:rsidRPr="001D0B64" w:rsidRDefault="00885C9B" w:rsidP="00131111">
      <w:pPr>
        <w:ind w:right="-1"/>
        <w:rPr>
          <w:rFonts w:cs="Arial"/>
          <w:bCs/>
          <w:iCs/>
        </w:rPr>
      </w:pPr>
      <w:r w:rsidRPr="001D0B64">
        <w:rPr>
          <w:rFonts w:cs="Arial"/>
          <w:b/>
          <w:bCs/>
          <w:iCs/>
        </w:rPr>
        <w:t>3</w:t>
      </w:r>
      <w:r w:rsidR="00131111" w:rsidRPr="001D0B64">
        <w:rPr>
          <w:rFonts w:cs="Arial"/>
          <w:b/>
          <w:bCs/>
          <w:iCs/>
        </w:rPr>
        <w:t>.1.</w:t>
      </w:r>
      <w:r w:rsidR="008B32FC" w:rsidRPr="001D0B64">
        <w:rPr>
          <w:rFonts w:cs="Arial"/>
          <w:b/>
          <w:bCs/>
          <w:iCs/>
        </w:rPr>
        <w:t xml:space="preserve"> </w:t>
      </w:r>
      <w:r w:rsidR="00682277" w:rsidRPr="001D0B64">
        <w:rPr>
          <w:rFonts w:cs="Arial"/>
          <w:bCs/>
          <w:iCs/>
        </w:rPr>
        <w:t>Por auto de 15 de abril</w:t>
      </w:r>
      <w:r w:rsidR="000A15AD" w:rsidRPr="001D0B64">
        <w:rPr>
          <w:rFonts w:cs="Arial"/>
          <w:bCs/>
          <w:iCs/>
        </w:rPr>
        <w:t xml:space="preserve"> de 2013, e</w:t>
      </w:r>
      <w:r w:rsidR="00131111" w:rsidRPr="001D0B64">
        <w:rPr>
          <w:rFonts w:cs="Arial"/>
          <w:bCs/>
          <w:iCs/>
        </w:rPr>
        <w:t xml:space="preserve">l Tribunal Administrativo de </w:t>
      </w:r>
      <w:r w:rsidR="00275C4D" w:rsidRPr="001D0B64">
        <w:rPr>
          <w:rFonts w:cs="Arial"/>
          <w:bCs/>
          <w:iCs/>
        </w:rPr>
        <w:t xml:space="preserve">Cundinamarca </w:t>
      </w:r>
      <w:r w:rsidR="00131111" w:rsidRPr="001D0B64">
        <w:rPr>
          <w:rFonts w:cs="Arial"/>
          <w:bCs/>
          <w:iCs/>
        </w:rPr>
        <w:t>admitió la demanda</w:t>
      </w:r>
      <w:r w:rsidR="00275C4D" w:rsidRPr="001D0B64">
        <w:rPr>
          <w:rFonts w:cs="Arial"/>
          <w:bCs/>
          <w:iCs/>
        </w:rPr>
        <w:t xml:space="preserve"> y ordenó la notificación </w:t>
      </w:r>
      <w:r w:rsidR="00BB31E5" w:rsidRPr="001D0B64">
        <w:rPr>
          <w:rFonts w:cs="Arial"/>
          <w:bCs/>
          <w:iCs/>
        </w:rPr>
        <w:t>de la</w:t>
      </w:r>
      <w:r w:rsidR="00826111" w:rsidRPr="001D0B64">
        <w:rPr>
          <w:rFonts w:cs="Arial"/>
          <w:bCs/>
          <w:iCs/>
        </w:rPr>
        <w:t xml:space="preserve"> misma </w:t>
      </w:r>
      <w:r w:rsidR="00275C4D" w:rsidRPr="001D0B64">
        <w:rPr>
          <w:rFonts w:cs="Arial"/>
          <w:bCs/>
          <w:iCs/>
        </w:rPr>
        <w:t>a la</w:t>
      </w:r>
      <w:r w:rsidR="00FC07FF" w:rsidRPr="001D0B64">
        <w:rPr>
          <w:rFonts w:cs="Arial"/>
          <w:bCs/>
          <w:iCs/>
        </w:rPr>
        <w:t xml:space="preserve"> Empresa de Acueducto y Alcantarillado de Bogotá y al consorcio Rehabilitación Tibitoc, por conducto de su representante</w:t>
      </w:r>
      <w:r w:rsidR="00131111" w:rsidRPr="001D0B64">
        <w:rPr>
          <w:rStyle w:val="Refdenotaalpie"/>
          <w:rFonts w:cs="Arial"/>
          <w:bCs/>
          <w:iCs/>
        </w:rPr>
        <w:footnoteReference w:id="1"/>
      </w:r>
      <w:r w:rsidR="00F23305" w:rsidRPr="001D0B64">
        <w:rPr>
          <w:rFonts w:cs="Arial"/>
          <w:bCs/>
          <w:iCs/>
        </w:rPr>
        <w:t>.</w:t>
      </w:r>
    </w:p>
    <w:p w:rsidR="00131111" w:rsidRPr="001D0B64" w:rsidRDefault="00131111" w:rsidP="00131111">
      <w:pPr>
        <w:ind w:right="-1"/>
        <w:rPr>
          <w:rFonts w:cs="Arial"/>
          <w:bCs/>
          <w:iCs/>
        </w:rPr>
      </w:pPr>
    </w:p>
    <w:p w:rsidR="00131111" w:rsidRPr="001D0B64" w:rsidRDefault="00885C9B" w:rsidP="00131111">
      <w:pPr>
        <w:ind w:right="-1"/>
        <w:rPr>
          <w:rFonts w:cs="Arial"/>
          <w:b/>
          <w:bCs/>
          <w:iCs/>
        </w:rPr>
      </w:pPr>
      <w:r w:rsidRPr="001D0B64">
        <w:rPr>
          <w:rFonts w:cs="Arial"/>
          <w:b/>
          <w:bCs/>
          <w:iCs/>
        </w:rPr>
        <w:t>3</w:t>
      </w:r>
      <w:r w:rsidR="00131111" w:rsidRPr="001D0B64">
        <w:rPr>
          <w:rFonts w:cs="Arial"/>
          <w:b/>
          <w:bCs/>
          <w:iCs/>
        </w:rPr>
        <w:t>.2.</w:t>
      </w:r>
      <w:r w:rsidR="008B32FC" w:rsidRPr="001D0B64">
        <w:rPr>
          <w:rFonts w:cs="Arial"/>
          <w:b/>
          <w:bCs/>
          <w:iCs/>
        </w:rPr>
        <w:t xml:space="preserve"> </w:t>
      </w:r>
      <w:r w:rsidR="00131111" w:rsidRPr="001D0B64">
        <w:rPr>
          <w:rFonts w:cs="Arial"/>
          <w:b/>
          <w:bCs/>
          <w:iCs/>
        </w:rPr>
        <w:t>Contestación de la demanda</w:t>
      </w:r>
    </w:p>
    <w:p w:rsidR="002A2E33" w:rsidRPr="001D0B64" w:rsidRDefault="002A2E33" w:rsidP="00131111">
      <w:pPr>
        <w:ind w:right="-1"/>
        <w:rPr>
          <w:rFonts w:cs="Arial"/>
          <w:b/>
          <w:bCs/>
          <w:iCs/>
        </w:rPr>
      </w:pPr>
    </w:p>
    <w:p w:rsidR="002A2E33" w:rsidRPr="001D0B64" w:rsidRDefault="002A2E33" w:rsidP="00131111">
      <w:pPr>
        <w:ind w:right="-1"/>
        <w:rPr>
          <w:rFonts w:cs="Arial"/>
          <w:bCs/>
          <w:iCs/>
        </w:rPr>
      </w:pPr>
      <w:r w:rsidRPr="001D0B64">
        <w:rPr>
          <w:rFonts w:cs="Arial"/>
          <w:b/>
          <w:bCs/>
          <w:iCs/>
        </w:rPr>
        <w:t>3.2.1.</w:t>
      </w:r>
      <w:r w:rsidRPr="001D0B64">
        <w:rPr>
          <w:rFonts w:cs="Arial"/>
          <w:bCs/>
          <w:iCs/>
        </w:rPr>
        <w:t xml:space="preserve"> </w:t>
      </w:r>
      <w:r w:rsidRPr="001D0B64">
        <w:rPr>
          <w:rFonts w:cs="Arial"/>
          <w:bCs/>
          <w:iCs/>
          <w:u w:val="single"/>
        </w:rPr>
        <w:t>Empresa de Acueducto y Alcantarillado de Bogotá E.S.P.</w:t>
      </w:r>
      <w:r w:rsidRPr="001D0B64">
        <w:rPr>
          <w:rFonts w:cs="Arial"/>
          <w:bCs/>
          <w:iCs/>
        </w:rPr>
        <w:t xml:space="preserve"> </w:t>
      </w:r>
    </w:p>
    <w:p w:rsidR="002A2E33" w:rsidRPr="001D0B64" w:rsidRDefault="002A2E33" w:rsidP="00131111">
      <w:pPr>
        <w:ind w:right="-1"/>
        <w:rPr>
          <w:rFonts w:cs="Arial"/>
          <w:bCs/>
          <w:iCs/>
        </w:rPr>
      </w:pPr>
    </w:p>
    <w:p w:rsidR="00B56CDF" w:rsidRPr="001D0B64" w:rsidRDefault="002A2E33" w:rsidP="00131111">
      <w:pPr>
        <w:ind w:right="-1"/>
        <w:rPr>
          <w:rFonts w:cs="Arial"/>
        </w:rPr>
      </w:pPr>
      <w:r w:rsidRPr="001D0B64">
        <w:rPr>
          <w:rFonts w:cs="Arial"/>
        </w:rPr>
        <w:t>La E.S.P.</w:t>
      </w:r>
      <w:r w:rsidR="00131111" w:rsidRPr="001D0B64">
        <w:rPr>
          <w:rFonts w:cs="Arial"/>
        </w:rPr>
        <w:t xml:space="preserve"> contestó la demanda, negó algunos hechos y aceptó otros como ciertos, con las aclaraciones respectivas. </w:t>
      </w:r>
    </w:p>
    <w:p w:rsidR="00B56CDF" w:rsidRPr="001D0B64" w:rsidRDefault="00B56CDF" w:rsidP="00131111">
      <w:pPr>
        <w:ind w:right="-1"/>
        <w:rPr>
          <w:rFonts w:cs="Arial"/>
        </w:rPr>
      </w:pPr>
    </w:p>
    <w:p w:rsidR="009E62B9" w:rsidRPr="001D0B64" w:rsidRDefault="0018556C" w:rsidP="00131111">
      <w:pPr>
        <w:ind w:right="-1"/>
        <w:rPr>
          <w:rFonts w:cs="Arial"/>
        </w:rPr>
      </w:pPr>
      <w:r w:rsidRPr="001D0B64">
        <w:rPr>
          <w:rFonts w:cs="Arial"/>
        </w:rPr>
        <w:t>Advirtió que los yerros en que incurrió el demandante al p</w:t>
      </w:r>
      <w:r w:rsidR="000C3325" w:rsidRPr="001D0B64">
        <w:rPr>
          <w:rFonts w:cs="Arial"/>
        </w:rPr>
        <w:t>resentar su propuesta</w:t>
      </w:r>
      <w:r w:rsidRPr="001D0B64">
        <w:rPr>
          <w:rFonts w:cs="Arial"/>
        </w:rPr>
        <w:t xml:space="preserve"> no podían ser asumidos por la </w:t>
      </w:r>
      <w:r w:rsidR="00F474D8" w:rsidRPr="001D0B64">
        <w:rPr>
          <w:rFonts w:cs="Arial"/>
        </w:rPr>
        <w:t>entidad, ni</w:t>
      </w:r>
      <w:r w:rsidRPr="001D0B64">
        <w:rPr>
          <w:rFonts w:cs="Arial"/>
        </w:rPr>
        <w:t xml:space="preserve"> corregidos </w:t>
      </w:r>
      <w:r w:rsidR="00F474D8" w:rsidRPr="001D0B64">
        <w:rPr>
          <w:rFonts w:cs="Arial"/>
        </w:rPr>
        <w:t xml:space="preserve">por esta </w:t>
      </w:r>
      <w:r w:rsidRPr="001D0B64">
        <w:rPr>
          <w:rFonts w:cs="Arial"/>
        </w:rPr>
        <w:t>a partir de la revisión de los documentos aportados</w:t>
      </w:r>
      <w:r w:rsidR="007E1EB0" w:rsidRPr="001D0B64">
        <w:rPr>
          <w:rFonts w:cs="Arial"/>
        </w:rPr>
        <w:t>, pues</w:t>
      </w:r>
      <w:r w:rsidR="00923407" w:rsidRPr="001D0B64">
        <w:rPr>
          <w:rFonts w:cs="Arial"/>
        </w:rPr>
        <w:t xml:space="preserve"> eso equivaldría a </w:t>
      </w:r>
      <w:r w:rsidR="00F474D8" w:rsidRPr="001D0B64">
        <w:rPr>
          <w:rFonts w:cs="Arial"/>
        </w:rPr>
        <w:t>atribuir</w:t>
      </w:r>
      <w:r w:rsidR="007E1EB0" w:rsidRPr="001D0B64">
        <w:rPr>
          <w:rFonts w:cs="Arial"/>
        </w:rPr>
        <w:t>le</w:t>
      </w:r>
      <w:r w:rsidR="00F474D8" w:rsidRPr="001D0B64">
        <w:rPr>
          <w:rFonts w:cs="Arial"/>
        </w:rPr>
        <w:t xml:space="preserve"> la responsabilidad de subsa</w:t>
      </w:r>
      <w:r w:rsidR="00CA3F5E" w:rsidRPr="001D0B64">
        <w:rPr>
          <w:rFonts w:cs="Arial"/>
        </w:rPr>
        <w:t>nar oficiosamente los defectos</w:t>
      </w:r>
      <w:r w:rsidR="00F474D8" w:rsidRPr="001D0B64">
        <w:rPr>
          <w:rFonts w:cs="Arial"/>
        </w:rPr>
        <w:t xml:space="preserve"> hallados. </w:t>
      </w:r>
    </w:p>
    <w:p w:rsidR="001829CA" w:rsidRPr="001D0B64" w:rsidRDefault="001829CA" w:rsidP="00131111">
      <w:pPr>
        <w:ind w:right="-1"/>
        <w:rPr>
          <w:rFonts w:cs="Arial"/>
        </w:rPr>
      </w:pPr>
    </w:p>
    <w:p w:rsidR="001829CA" w:rsidRPr="001D0B64" w:rsidRDefault="001829CA" w:rsidP="00131111">
      <w:pPr>
        <w:ind w:right="-1"/>
        <w:rPr>
          <w:rFonts w:cs="Arial"/>
        </w:rPr>
      </w:pPr>
      <w:r w:rsidRPr="001D0B64">
        <w:rPr>
          <w:rFonts w:cs="Arial"/>
        </w:rPr>
        <w:t>E</w:t>
      </w:r>
      <w:r w:rsidR="00D759C4" w:rsidRPr="001D0B64">
        <w:rPr>
          <w:rFonts w:cs="Arial"/>
        </w:rPr>
        <w:t>n cuanto a las pretensiones formuladas</w:t>
      </w:r>
      <w:r w:rsidR="00C838E7" w:rsidRPr="001D0B64">
        <w:rPr>
          <w:rFonts w:cs="Arial"/>
        </w:rPr>
        <w:t>,</w:t>
      </w:r>
      <w:r w:rsidR="00D759C4" w:rsidRPr="001D0B64">
        <w:rPr>
          <w:rFonts w:cs="Arial"/>
        </w:rPr>
        <w:t xml:space="preserve"> manifestó que no existía un daño susceptible de ser demostrado, dado que no era posible derivar perjuicios de una relación contractual que nunca surgió.</w:t>
      </w:r>
    </w:p>
    <w:p w:rsidR="00D759C4" w:rsidRPr="001D0B64" w:rsidRDefault="00D759C4" w:rsidP="00131111">
      <w:pPr>
        <w:ind w:right="-1"/>
        <w:rPr>
          <w:rFonts w:cs="Arial"/>
        </w:rPr>
      </w:pPr>
    </w:p>
    <w:p w:rsidR="00D759C4" w:rsidRPr="001D0B64" w:rsidRDefault="00131111" w:rsidP="00131111">
      <w:pPr>
        <w:ind w:right="-1"/>
        <w:rPr>
          <w:rFonts w:cs="Arial"/>
          <w:bCs/>
        </w:rPr>
      </w:pPr>
      <w:r w:rsidRPr="001D0B64">
        <w:rPr>
          <w:rFonts w:cs="Arial"/>
          <w:bCs/>
        </w:rPr>
        <w:t xml:space="preserve">Presentó como </w:t>
      </w:r>
      <w:r w:rsidRPr="001D0B64">
        <w:rPr>
          <w:rFonts w:cs="Arial"/>
          <w:b/>
          <w:bCs/>
        </w:rPr>
        <w:t>excepciones</w:t>
      </w:r>
      <w:r w:rsidR="00EC0414" w:rsidRPr="001D0B64">
        <w:rPr>
          <w:rFonts w:cs="Arial"/>
          <w:bCs/>
        </w:rPr>
        <w:t>,</w:t>
      </w:r>
      <w:r w:rsidR="00D759C4" w:rsidRPr="001D0B64">
        <w:rPr>
          <w:rFonts w:cs="Arial"/>
          <w:bCs/>
        </w:rPr>
        <w:t xml:space="preserve"> las siguientes: </w:t>
      </w:r>
    </w:p>
    <w:p w:rsidR="00D759C4" w:rsidRPr="001D0B64" w:rsidRDefault="00D759C4" w:rsidP="00131111">
      <w:pPr>
        <w:ind w:right="-1"/>
        <w:rPr>
          <w:rFonts w:cs="Arial"/>
          <w:bCs/>
        </w:rPr>
      </w:pPr>
    </w:p>
    <w:p w:rsidR="00EB24B5" w:rsidRPr="001D0B64" w:rsidRDefault="00D759C4" w:rsidP="00131111">
      <w:pPr>
        <w:ind w:right="-1"/>
        <w:rPr>
          <w:rFonts w:cs="Arial"/>
          <w:bCs/>
        </w:rPr>
      </w:pPr>
      <w:r w:rsidRPr="001D0B64">
        <w:rPr>
          <w:rFonts w:cs="Arial"/>
          <w:bCs/>
        </w:rPr>
        <w:t>Error en la nominación de la acción, bajo el a</w:t>
      </w:r>
      <w:r w:rsidR="00E46E70" w:rsidRPr="001D0B64">
        <w:rPr>
          <w:rFonts w:cs="Arial"/>
          <w:bCs/>
        </w:rPr>
        <w:t xml:space="preserve">rgumento de que el medio de control que correspondía era el </w:t>
      </w:r>
      <w:r w:rsidR="00F506D2" w:rsidRPr="001D0B64">
        <w:rPr>
          <w:rFonts w:cs="Arial"/>
          <w:bCs/>
        </w:rPr>
        <w:t>de nulidad y restablecimiento del derecho de los actos previos a la celebración del contrato.</w:t>
      </w:r>
    </w:p>
    <w:p w:rsidR="00F506D2" w:rsidRPr="001D0B64" w:rsidRDefault="00F506D2" w:rsidP="00131111">
      <w:pPr>
        <w:ind w:right="-1"/>
        <w:rPr>
          <w:rFonts w:cs="Arial"/>
          <w:bCs/>
        </w:rPr>
      </w:pPr>
    </w:p>
    <w:p w:rsidR="00F506D2" w:rsidRPr="001D0B64" w:rsidRDefault="00F506D2" w:rsidP="00131111">
      <w:pPr>
        <w:ind w:right="-1"/>
        <w:rPr>
          <w:rFonts w:cs="Arial"/>
          <w:bCs/>
        </w:rPr>
      </w:pPr>
      <w:r w:rsidRPr="001D0B64">
        <w:rPr>
          <w:rFonts w:cs="Arial"/>
          <w:bCs/>
        </w:rPr>
        <w:t xml:space="preserve">Caducidad de la acción. Sostuvo que la fecha en que se rechazó la oferta del proponente fue el 30 de diciembre de 2011, mientras que la demanda se interpuso el 18 de diciembre de 2012, término superior a los cuatros meses dispuestos por la ley. </w:t>
      </w:r>
    </w:p>
    <w:p w:rsidR="00F506D2" w:rsidRPr="001D0B64" w:rsidRDefault="00F506D2" w:rsidP="00131111">
      <w:pPr>
        <w:ind w:right="-1"/>
        <w:rPr>
          <w:rFonts w:cs="Arial"/>
          <w:bCs/>
        </w:rPr>
      </w:pPr>
    </w:p>
    <w:p w:rsidR="00F506D2" w:rsidRPr="001D0B64" w:rsidRDefault="00F506D2" w:rsidP="00131111">
      <w:pPr>
        <w:ind w:right="-1"/>
        <w:rPr>
          <w:rFonts w:cs="Arial"/>
          <w:bCs/>
        </w:rPr>
      </w:pPr>
      <w:r w:rsidRPr="001D0B64">
        <w:rPr>
          <w:rFonts w:cs="Arial"/>
          <w:bCs/>
        </w:rPr>
        <w:t xml:space="preserve">Inexistencia de nulidad e inexistencia de la obligación. </w:t>
      </w:r>
    </w:p>
    <w:p w:rsidR="00F506D2" w:rsidRPr="001D0B64" w:rsidRDefault="00F506D2" w:rsidP="00131111">
      <w:pPr>
        <w:ind w:right="-1"/>
        <w:rPr>
          <w:rFonts w:cs="Arial"/>
          <w:bCs/>
        </w:rPr>
      </w:pPr>
    </w:p>
    <w:p w:rsidR="007A6457" w:rsidRPr="001D0B64" w:rsidRDefault="007A6457" w:rsidP="00131111">
      <w:pPr>
        <w:ind w:right="-1"/>
        <w:rPr>
          <w:rFonts w:cs="Arial"/>
          <w:bCs/>
        </w:rPr>
      </w:pPr>
      <w:r w:rsidRPr="001D0B64">
        <w:rPr>
          <w:rFonts w:cs="Arial"/>
          <w:bCs/>
        </w:rPr>
        <w:t xml:space="preserve">3.2.2. </w:t>
      </w:r>
      <w:r w:rsidRPr="001D0B64">
        <w:rPr>
          <w:rFonts w:cs="Arial"/>
          <w:bCs/>
          <w:u w:val="single"/>
        </w:rPr>
        <w:t>Consorcio Rehabilitación Tibitoc</w:t>
      </w:r>
    </w:p>
    <w:p w:rsidR="00F506D2" w:rsidRPr="001D0B64" w:rsidRDefault="00F506D2" w:rsidP="00131111">
      <w:pPr>
        <w:ind w:right="-1"/>
        <w:rPr>
          <w:rFonts w:cs="Arial"/>
          <w:bCs/>
        </w:rPr>
      </w:pPr>
    </w:p>
    <w:p w:rsidR="007A6457" w:rsidRPr="001D0B64" w:rsidRDefault="00A975B2" w:rsidP="00131111">
      <w:pPr>
        <w:ind w:right="-1"/>
        <w:rPr>
          <w:rFonts w:cs="Arial"/>
          <w:bCs/>
        </w:rPr>
      </w:pPr>
      <w:r w:rsidRPr="001D0B64">
        <w:rPr>
          <w:rFonts w:cs="Arial"/>
          <w:bCs/>
        </w:rPr>
        <w:t>El consorcio vinculado a trav</w:t>
      </w:r>
      <w:r w:rsidR="007D04D3" w:rsidRPr="001D0B64">
        <w:rPr>
          <w:rFonts w:cs="Arial"/>
          <w:bCs/>
        </w:rPr>
        <w:t xml:space="preserve">és de representante contestó </w:t>
      </w:r>
      <w:r w:rsidR="00397896" w:rsidRPr="001D0B64">
        <w:rPr>
          <w:rFonts w:cs="Arial"/>
          <w:bCs/>
        </w:rPr>
        <w:t>oportunamente</w:t>
      </w:r>
      <w:r w:rsidR="007D04D3" w:rsidRPr="001D0B64">
        <w:rPr>
          <w:rFonts w:cs="Arial"/>
          <w:bCs/>
        </w:rPr>
        <w:t xml:space="preserve"> y se opuso a la</w:t>
      </w:r>
      <w:r w:rsidR="00397896" w:rsidRPr="001D0B64">
        <w:rPr>
          <w:rFonts w:cs="Arial"/>
          <w:bCs/>
        </w:rPr>
        <w:t>s</w:t>
      </w:r>
      <w:r w:rsidR="007D04D3" w:rsidRPr="001D0B64">
        <w:rPr>
          <w:rFonts w:cs="Arial"/>
          <w:bCs/>
        </w:rPr>
        <w:t xml:space="preserve"> pretensiones elevadas por carecer de fundamento f</w:t>
      </w:r>
      <w:r w:rsidR="00397896" w:rsidRPr="001D0B64">
        <w:rPr>
          <w:rFonts w:cs="Arial"/>
          <w:bCs/>
        </w:rPr>
        <w:t xml:space="preserve">áctico y legal. </w:t>
      </w:r>
    </w:p>
    <w:p w:rsidR="00397896" w:rsidRPr="001D0B64" w:rsidRDefault="00397896" w:rsidP="00131111">
      <w:pPr>
        <w:ind w:right="-1"/>
        <w:rPr>
          <w:rFonts w:cs="Arial"/>
          <w:bCs/>
        </w:rPr>
      </w:pPr>
    </w:p>
    <w:p w:rsidR="00E243AD" w:rsidRPr="001D0B64" w:rsidRDefault="00397896" w:rsidP="00131111">
      <w:pPr>
        <w:ind w:right="-1"/>
        <w:rPr>
          <w:rFonts w:cs="Arial"/>
          <w:bCs/>
        </w:rPr>
      </w:pPr>
      <w:r w:rsidRPr="001D0B64">
        <w:rPr>
          <w:rFonts w:cs="Arial"/>
          <w:bCs/>
        </w:rPr>
        <w:t>Sobre ese mismo aspecto, alegó que la aceptación de la oferta que se identificaba en la demanda como acto administrativo de adjudicación, en realidad no ostentaba tal naturaleza, de tal suerte que no se encontraba sometido al control de legalidad por vía de acción de nulidad. Agregó que la pretendida invalidez de esa decisión no podía conllevar a la terminación del co</w:t>
      </w:r>
      <w:r w:rsidR="00CA3F5E" w:rsidRPr="001D0B64">
        <w:rPr>
          <w:rFonts w:cs="Arial"/>
          <w:bCs/>
        </w:rPr>
        <w:t>ntrato celebrado, a lo cual sumó</w:t>
      </w:r>
      <w:r w:rsidRPr="001D0B64">
        <w:rPr>
          <w:rFonts w:cs="Arial"/>
          <w:bCs/>
        </w:rPr>
        <w:t xml:space="preserve"> que no se incluyó la pretensión de nulidad del negocio jurídico. </w:t>
      </w:r>
    </w:p>
    <w:p w:rsidR="00E243AD" w:rsidRPr="001D0B64" w:rsidRDefault="00E243AD" w:rsidP="00131111">
      <w:pPr>
        <w:ind w:right="-1"/>
        <w:rPr>
          <w:rFonts w:cs="Arial"/>
          <w:bCs/>
        </w:rPr>
      </w:pPr>
    </w:p>
    <w:p w:rsidR="00397896" w:rsidRPr="001D0B64" w:rsidRDefault="0067644C" w:rsidP="00131111">
      <w:pPr>
        <w:ind w:right="-1"/>
        <w:rPr>
          <w:rFonts w:cs="Arial"/>
          <w:bCs/>
        </w:rPr>
      </w:pPr>
      <w:r w:rsidRPr="001D0B64">
        <w:rPr>
          <w:rFonts w:cs="Arial"/>
          <w:bCs/>
        </w:rPr>
        <w:t>Frente a los hechos de la demanda adujo que el consorcio demandante no cumplió con los requerimientos financieros para que su propuesta fuera considerada h</w:t>
      </w:r>
      <w:r w:rsidR="00DC04F5" w:rsidRPr="001D0B64">
        <w:rPr>
          <w:rFonts w:cs="Arial"/>
          <w:bCs/>
        </w:rPr>
        <w:t xml:space="preserve">ábil y que resultaba violatorio del principio de igualdad aspirar a que la entidad subsanara oficiosamente el yerro en que incurrió. </w:t>
      </w:r>
    </w:p>
    <w:p w:rsidR="00032E77" w:rsidRPr="001D0B64" w:rsidRDefault="00032E77" w:rsidP="00131111">
      <w:pPr>
        <w:ind w:right="-1"/>
        <w:rPr>
          <w:rFonts w:cs="Arial"/>
          <w:bCs/>
        </w:rPr>
      </w:pPr>
    </w:p>
    <w:p w:rsidR="009F04F1" w:rsidRDefault="00900069" w:rsidP="00131111">
      <w:pPr>
        <w:ind w:right="-1"/>
        <w:rPr>
          <w:rFonts w:cs="Arial"/>
          <w:bCs/>
        </w:rPr>
      </w:pPr>
      <w:r w:rsidRPr="001D0B64">
        <w:rPr>
          <w:rFonts w:cs="Arial"/>
          <w:bCs/>
        </w:rPr>
        <w:t>Añadió que la propuesta del adjudicatario no presentó datos errados o tergiversados que pretend</w:t>
      </w:r>
      <w:r w:rsidR="0092655C" w:rsidRPr="001D0B64">
        <w:rPr>
          <w:rFonts w:cs="Arial"/>
          <w:bCs/>
        </w:rPr>
        <w:t xml:space="preserve">ieran inducir a error a la EAAB. </w:t>
      </w:r>
    </w:p>
    <w:p w:rsidR="007E2C50" w:rsidRPr="001D0B64" w:rsidRDefault="007E2C50" w:rsidP="00131111">
      <w:pPr>
        <w:ind w:right="-1"/>
        <w:rPr>
          <w:rFonts w:cs="Arial"/>
          <w:bCs/>
        </w:rPr>
      </w:pPr>
    </w:p>
    <w:p w:rsidR="009F04F1" w:rsidRPr="001D0B64" w:rsidRDefault="009F04F1" w:rsidP="00131111">
      <w:pPr>
        <w:ind w:right="-1"/>
        <w:rPr>
          <w:rFonts w:cs="Arial"/>
          <w:bCs/>
        </w:rPr>
      </w:pPr>
      <w:r w:rsidRPr="001D0B64">
        <w:rPr>
          <w:rFonts w:cs="Arial"/>
          <w:bCs/>
        </w:rPr>
        <w:t>Como medios exceptivos presentó los que denominó: i) ausenc</w:t>
      </w:r>
      <w:r w:rsidR="00CA3F5E" w:rsidRPr="001D0B64">
        <w:rPr>
          <w:rFonts w:cs="Arial"/>
          <w:bCs/>
        </w:rPr>
        <w:t>ia de acto administrativo; ii) i</w:t>
      </w:r>
      <w:r w:rsidRPr="001D0B64">
        <w:rPr>
          <w:rFonts w:cs="Arial"/>
          <w:bCs/>
        </w:rPr>
        <w:t xml:space="preserve">mprocedencia en el ejercicio de la acción de nulidad y restablecimiento del derecho; iii) </w:t>
      </w:r>
      <w:r w:rsidR="007C034C" w:rsidRPr="001D0B64">
        <w:rPr>
          <w:rFonts w:cs="Arial"/>
          <w:bCs/>
        </w:rPr>
        <w:t xml:space="preserve">ausencia de razones o motivos para declarar la terminación; iv) ausencia de razones o motivos para declarar la terminación del contrato de obra </w:t>
      </w:r>
      <w:r w:rsidR="00CC2541" w:rsidRPr="001D0B64">
        <w:rPr>
          <w:rFonts w:cs="Arial"/>
          <w:bCs/>
        </w:rPr>
        <w:t xml:space="preserve">No. </w:t>
      </w:r>
      <w:r w:rsidR="007C034C" w:rsidRPr="001D0B64">
        <w:rPr>
          <w:rFonts w:cs="Arial"/>
          <w:bCs/>
        </w:rPr>
        <w:t xml:space="preserve">1-01-25400-02672012 del 15 de junio de 2012; v) presunción de validez del contrato de obra </w:t>
      </w:r>
      <w:r w:rsidR="00CC2541" w:rsidRPr="001D0B64">
        <w:rPr>
          <w:rFonts w:cs="Arial"/>
          <w:bCs/>
        </w:rPr>
        <w:t xml:space="preserve">No. </w:t>
      </w:r>
      <w:r w:rsidR="007C034C" w:rsidRPr="001D0B64">
        <w:rPr>
          <w:rFonts w:cs="Arial"/>
          <w:bCs/>
        </w:rPr>
        <w:t xml:space="preserve">1-01-25400-02672012 del 15 de junio de 2012; vi) mejor derecho del consorcio Rehabilitación Tibitoc; vii) contradicción sustancial de los argumentos de la demanda; viii) ausencia de prueba sobre los elementos configurativos de la responsabilidad contractual alegada; ix) ausencia del daño; x) inobservancia de las reglas propias de la invitación a contratar y la presentación de ofertas; xi) incumplimiento del requisito de procedibilidad </w:t>
      </w:r>
      <w:r w:rsidR="00BD14A5" w:rsidRPr="001D0B64">
        <w:rPr>
          <w:rFonts w:cs="Arial"/>
          <w:bCs/>
        </w:rPr>
        <w:t xml:space="preserve">de conciliación prejudicial; xii) caducidad de la acción; xiii) buena fe del consorcio Rehabilitación Tibitoc – Régimen de restituciones; xiv) imposibilidad de declarar la terminación del contrato. </w:t>
      </w:r>
    </w:p>
    <w:p w:rsidR="0016643A" w:rsidRPr="001D0B64" w:rsidRDefault="0016643A" w:rsidP="00131111">
      <w:pPr>
        <w:ind w:right="-1"/>
        <w:rPr>
          <w:rFonts w:cs="Arial"/>
          <w:bCs/>
        </w:rPr>
      </w:pPr>
    </w:p>
    <w:p w:rsidR="00131111" w:rsidRPr="001D0B64" w:rsidRDefault="00885C9B" w:rsidP="00131111">
      <w:pPr>
        <w:ind w:right="-1"/>
        <w:rPr>
          <w:rFonts w:cs="Arial"/>
          <w:b/>
          <w:bCs/>
        </w:rPr>
      </w:pPr>
      <w:r w:rsidRPr="001D0B64">
        <w:rPr>
          <w:rFonts w:cs="Arial"/>
          <w:b/>
          <w:bCs/>
        </w:rPr>
        <w:t>3</w:t>
      </w:r>
      <w:r w:rsidR="00131111" w:rsidRPr="001D0B64">
        <w:rPr>
          <w:rFonts w:cs="Arial"/>
          <w:b/>
          <w:bCs/>
        </w:rPr>
        <w:t xml:space="preserve">.3. Audiencia </w:t>
      </w:r>
      <w:r w:rsidR="00826111" w:rsidRPr="001D0B64">
        <w:rPr>
          <w:rFonts w:cs="Arial"/>
          <w:b/>
          <w:bCs/>
        </w:rPr>
        <w:t>i</w:t>
      </w:r>
      <w:r w:rsidR="00131111" w:rsidRPr="001D0B64">
        <w:rPr>
          <w:rFonts w:cs="Arial"/>
          <w:b/>
          <w:bCs/>
        </w:rPr>
        <w:t>nicial</w:t>
      </w:r>
      <w:r w:rsidR="007A0E0C" w:rsidRPr="001D0B64">
        <w:rPr>
          <w:rFonts w:cs="Arial"/>
          <w:b/>
          <w:bCs/>
        </w:rPr>
        <w:t xml:space="preserve"> </w:t>
      </w:r>
    </w:p>
    <w:p w:rsidR="00131111" w:rsidRPr="001D0B64" w:rsidRDefault="00131111" w:rsidP="00131111">
      <w:pPr>
        <w:ind w:right="-1"/>
        <w:rPr>
          <w:rFonts w:cs="Arial"/>
          <w:bCs/>
        </w:rPr>
      </w:pPr>
    </w:p>
    <w:p w:rsidR="007A0E0C" w:rsidRPr="001D0B64" w:rsidRDefault="006B786D" w:rsidP="00131111">
      <w:pPr>
        <w:ind w:right="-1"/>
        <w:rPr>
          <w:rFonts w:cs="Arial"/>
          <w:bCs/>
        </w:rPr>
      </w:pPr>
      <w:r w:rsidRPr="001D0B64">
        <w:rPr>
          <w:rFonts w:cs="Arial"/>
          <w:bCs/>
        </w:rPr>
        <w:t xml:space="preserve">El 13 de noviembre de 2013 </w:t>
      </w:r>
      <w:r w:rsidR="00826111" w:rsidRPr="001D0B64">
        <w:rPr>
          <w:rFonts w:cs="Arial"/>
          <w:bCs/>
        </w:rPr>
        <w:t>se llevó a cabo la audiencia i</w:t>
      </w:r>
      <w:r w:rsidR="00131111" w:rsidRPr="001D0B64">
        <w:rPr>
          <w:rFonts w:cs="Arial"/>
          <w:bCs/>
        </w:rPr>
        <w:t xml:space="preserve">nicial de que trata el artículo 180 del </w:t>
      </w:r>
      <w:r w:rsidR="004933C2" w:rsidRPr="001D0B64">
        <w:rPr>
          <w:rFonts w:cs="Arial"/>
          <w:bCs/>
        </w:rPr>
        <w:t>Código de Procedimiento Administrativo y Contencioso Administrativo</w:t>
      </w:r>
      <w:r w:rsidR="008D2155" w:rsidRPr="001D0B64">
        <w:rPr>
          <w:rFonts w:cs="Arial"/>
          <w:bCs/>
        </w:rPr>
        <w:t xml:space="preserve">. En desarrollo de la misma </w:t>
      </w:r>
      <w:r w:rsidR="007A0E0C" w:rsidRPr="001D0B64">
        <w:rPr>
          <w:rFonts w:cs="Arial"/>
          <w:bCs/>
        </w:rPr>
        <w:t>tuvo lugar la etapa de saneamiento</w:t>
      </w:r>
      <w:r w:rsidR="00C838E7" w:rsidRPr="001D0B64">
        <w:rPr>
          <w:rFonts w:cs="Arial"/>
          <w:bCs/>
        </w:rPr>
        <w:t>,</w:t>
      </w:r>
      <w:r w:rsidR="007A0E0C" w:rsidRPr="001D0B64">
        <w:rPr>
          <w:rFonts w:cs="Arial"/>
          <w:bCs/>
        </w:rPr>
        <w:t xml:space="preserve"> </w:t>
      </w:r>
      <w:r w:rsidRPr="001D0B64">
        <w:rPr>
          <w:rFonts w:cs="Arial"/>
          <w:bCs/>
        </w:rPr>
        <w:t xml:space="preserve">en la que se dejó sentada la ausencia de irregularidades que afectaran el curso del </w:t>
      </w:r>
      <w:r w:rsidR="0033127F" w:rsidRPr="001D0B64">
        <w:rPr>
          <w:rFonts w:cs="Arial"/>
          <w:bCs/>
        </w:rPr>
        <w:t>proceso y se</w:t>
      </w:r>
      <w:r w:rsidR="00826111" w:rsidRPr="001D0B64">
        <w:rPr>
          <w:rFonts w:cs="Arial"/>
          <w:bCs/>
        </w:rPr>
        <w:t xml:space="preserve"> </w:t>
      </w:r>
      <w:r w:rsidR="007A0E0C" w:rsidRPr="001D0B64">
        <w:rPr>
          <w:rFonts w:cs="Arial"/>
          <w:bCs/>
        </w:rPr>
        <w:t xml:space="preserve">resolvieron las </w:t>
      </w:r>
      <w:r w:rsidR="005E7595" w:rsidRPr="001D0B64">
        <w:rPr>
          <w:rFonts w:cs="Arial"/>
          <w:bCs/>
        </w:rPr>
        <w:t>excepciones</w:t>
      </w:r>
      <w:r w:rsidR="00A87CAA" w:rsidRPr="001D0B64">
        <w:rPr>
          <w:rFonts w:cs="Arial"/>
          <w:bCs/>
        </w:rPr>
        <w:t xml:space="preserve"> de caducidad de la acción e ineptitud </w:t>
      </w:r>
      <w:r w:rsidR="00550F48" w:rsidRPr="001D0B64">
        <w:rPr>
          <w:rFonts w:cs="Arial"/>
          <w:bCs/>
        </w:rPr>
        <w:t>sustantiva de la demanda.</w:t>
      </w:r>
    </w:p>
    <w:p w:rsidR="00CE159F" w:rsidRPr="001D0B64" w:rsidRDefault="00CE159F" w:rsidP="00131111">
      <w:pPr>
        <w:ind w:right="-1"/>
        <w:rPr>
          <w:rFonts w:cs="Arial"/>
          <w:bCs/>
        </w:rPr>
      </w:pPr>
    </w:p>
    <w:p w:rsidR="00A30D91" w:rsidRPr="001D0B64" w:rsidRDefault="003D351F" w:rsidP="00131111">
      <w:pPr>
        <w:ind w:right="-1"/>
        <w:rPr>
          <w:rFonts w:cs="Arial"/>
          <w:bCs/>
        </w:rPr>
      </w:pPr>
      <w:r w:rsidRPr="001D0B64">
        <w:rPr>
          <w:rFonts w:cs="Arial"/>
          <w:bCs/>
        </w:rPr>
        <w:t>Al res</w:t>
      </w:r>
      <w:r w:rsidR="00A30D91" w:rsidRPr="001D0B64">
        <w:rPr>
          <w:rFonts w:cs="Arial"/>
          <w:bCs/>
        </w:rPr>
        <w:t>olver la excepción de “</w:t>
      </w:r>
      <w:r w:rsidR="00A30D91" w:rsidRPr="001D0B64">
        <w:rPr>
          <w:rFonts w:cs="Arial"/>
          <w:bCs/>
          <w:i/>
        </w:rPr>
        <w:t>error en la nominación de la acción</w:t>
      </w:r>
      <w:r w:rsidR="00A30D91" w:rsidRPr="001D0B64">
        <w:rPr>
          <w:rFonts w:cs="Arial"/>
          <w:bCs/>
        </w:rPr>
        <w:t>”, la cual, en entender de</w:t>
      </w:r>
      <w:r w:rsidR="00B62592" w:rsidRPr="001D0B64">
        <w:rPr>
          <w:rFonts w:cs="Arial"/>
          <w:bCs/>
        </w:rPr>
        <w:t>l fallador de primer grado</w:t>
      </w:r>
      <w:r w:rsidR="00A30D91" w:rsidRPr="001D0B64">
        <w:rPr>
          <w:rFonts w:cs="Arial"/>
          <w:bCs/>
        </w:rPr>
        <w:t>, se fundamentaba en “</w:t>
      </w:r>
      <w:r w:rsidR="00A30D91" w:rsidRPr="001D0B64">
        <w:rPr>
          <w:rFonts w:cs="Arial"/>
          <w:bCs/>
          <w:i/>
        </w:rPr>
        <w:t>habérsele dado a la demanda el trámite de un proceso diferente al que corresponde</w:t>
      </w:r>
      <w:r w:rsidR="00A30D91" w:rsidRPr="001D0B64">
        <w:rPr>
          <w:rFonts w:cs="Arial"/>
          <w:bCs/>
        </w:rPr>
        <w:t xml:space="preserve">”, advirtió que la demanda fue admitida en consideración a que </w:t>
      </w:r>
      <w:r w:rsidR="008D2155" w:rsidRPr="001D0B64">
        <w:rPr>
          <w:rFonts w:cs="Arial"/>
          <w:bCs/>
        </w:rPr>
        <w:t>el</w:t>
      </w:r>
      <w:r w:rsidR="00A11028" w:rsidRPr="001D0B64">
        <w:rPr>
          <w:rFonts w:cs="Arial"/>
          <w:bCs/>
        </w:rPr>
        <w:t xml:space="preserve"> medio de control que procedía era el de nulidad y restablecimiento del derecho de carácter contractual</w:t>
      </w:r>
      <w:r w:rsidR="00C838E7" w:rsidRPr="001D0B64">
        <w:rPr>
          <w:rFonts w:cs="Arial"/>
          <w:bCs/>
        </w:rPr>
        <w:t>,</w:t>
      </w:r>
      <w:r w:rsidR="00A11028" w:rsidRPr="001D0B64">
        <w:rPr>
          <w:rFonts w:cs="Arial"/>
          <w:bCs/>
        </w:rPr>
        <w:t xml:space="preserve"> por tratarse de un acto que fue proferido dentr</w:t>
      </w:r>
      <w:r w:rsidR="00787DFB" w:rsidRPr="001D0B64">
        <w:rPr>
          <w:rFonts w:cs="Arial"/>
          <w:bCs/>
        </w:rPr>
        <w:t>o de un procedimiento de invitación</w:t>
      </w:r>
      <w:r w:rsidR="00A11028" w:rsidRPr="001D0B64">
        <w:rPr>
          <w:rFonts w:cs="Arial"/>
          <w:bCs/>
        </w:rPr>
        <w:t xml:space="preserve"> pública adelantado para celebrar un contrato estatal, al punto </w:t>
      </w:r>
      <w:r w:rsidR="008D2155" w:rsidRPr="001D0B64">
        <w:rPr>
          <w:rFonts w:cs="Arial"/>
          <w:bCs/>
        </w:rPr>
        <w:t xml:space="preserve">que el término de </w:t>
      </w:r>
      <w:r w:rsidR="00A11028" w:rsidRPr="001D0B64">
        <w:rPr>
          <w:rFonts w:cs="Arial"/>
          <w:bCs/>
        </w:rPr>
        <w:t xml:space="preserve">caducidad que se tuvo en cuenta para analizar la oportunidad correspondió al </w:t>
      </w:r>
      <w:r w:rsidR="008D2155" w:rsidRPr="001D0B64">
        <w:rPr>
          <w:rFonts w:cs="Arial"/>
          <w:bCs/>
        </w:rPr>
        <w:t xml:space="preserve">de </w:t>
      </w:r>
      <w:r w:rsidR="00A11028" w:rsidRPr="001D0B64">
        <w:rPr>
          <w:rFonts w:cs="Arial"/>
          <w:bCs/>
        </w:rPr>
        <w:t>cuatro meses de confor</w:t>
      </w:r>
      <w:r w:rsidR="00400F51" w:rsidRPr="001D0B64">
        <w:rPr>
          <w:rFonts w:cs="Arial"/>
          <w:bCs/>
        </w:rPr>
        <w:t xml:space="preserve">midad con lo previsto en el literal c), numeral 2 del artículo 164 del CPACA. Con fundamento en lo anotado, negó el medio exceptivo. </w:t>
      </w:r>
    </w:p>
    <w:p w:rsidR="00297210" w:rsidRPr="001D0B64" w:rsidRDefault="00297210" w:rsidP="00131111">
      <w:pPr>
        <w:ind w:right="-1"/>
        <w:rPr>
          <w:rFonts w:cs="Arial"/>
          <w:bCs/>
        </w:rPr>
      </w:pPr>
    </w:p>
    <w:p w:rsidR="00A11028" w:rsidRPr="001D0B64" w:rsidRDefault="00297210" w:rsidP="00131111">
      <w:pPr>
        <w:ind w:right="-1"/>
        <w:rPr>
          <w:rFonts w:cs="Arial"/>
          <w:bCs/>
        </w:rPr>
      </w:pPr>
      <w:r w:rsidRPr="001D0B64">
        <w:rPr>
          <w:rFonts w:cs="Arial"/>
          <w:bCs/>
        </w:rPr>
        <w:t>Al resolver la excepción de caducidad</w:t>
      </w:r>
      <w:r w:rsidR="00C838E7" w:rsidRPr="001D0B64">
        <w:rPr>
          <w:rFonts w:cs="Arial"/>
          <w:bCs/>
        </w:rPr>
        <w:t>,</w:t>
      </w:r>
      <w:r w:rsidRPr="001D0B64">
        <w:rPr>
          <w:rFonts w:cs="Arial"/>
          <w:bCs/>
        </w:rPr>
        <w:t xml:space="preserve"> precisó que </w:t>
      </w:r>
      <w:r w:rsidR="00C9708A" w:rsidRPr="001D0B64">
        <w:rPr>
          <w:rFonts w:cs="Arial"/>
          <w:bCs/>
        </w:rPr>
        <w:t xml:space="preserve">el acto por el cual se adjudicó la invitación pública </w:t>
      </w:r>
      <w:r w:rsidR="00CC2541" w:rsidRPr="001D0B64">
        <w:rPr>
          <w:rFonts w:cs="Arial"/>
          <w:bCs/>
        </w:rPr>
        <w:t>No. ICSM-0673-2011 fue proferido</w:t>
      </w:r>
      <w:r w:rsidR="00C9708A" w:rsidRPr="001D0B64">
        <w:rPr>
          <w:rFonts w:cs="Arial"/>
          <w:bCs/>
        </w:rPr>
        <w:t xml:space="preserve"> el 12 de junio de 2012, por lo que a partir del día </w:t>
      </w:r>
      <w:r w:rsidR="00CB3FE1" w:rsidRPr="001D0B64">
        <w:rPr>
          <w:rFonts w:cs="Arial"/>
          <w:bCs/>
        </w:rPr>
        <w:t xml:space="preserve">siguiente </w:t>
      </w:r>
      <w:r w:rsidR="00C9708A" w:rsidRPr="001D0B64">
        <w:rPr>
          <w:rFonts w:cs="Arial"/>
          <w:bCs/>
        </w:rPr>
        <w:t>se iniciaba el c</w:t>
      </w:r>
      <w:r w:rsidR="00F60DF1" w:rsidRPr="001D0B64">
        <w:rPr>
          <w:rFonts w:cs="Arial"/>
          <w:bCs/>
        </w:rPr>
        <w:t>ómputo de los cuatro meses. Con todo</w:t>
      </w:r>
      <w:r w:rsidR="00CB3FE1" w:rsidRPr="001D0B64">
        <w:rPr>
          <w:rFonts w:cs="Arial"/>
          <w:bCs/>
        </w:rPr>
        <w:t>,</w:t>
      </w:r>
      <w:r w:rsidR="00F60DF1" w:rsidRPr="001D0B64">
        <w:rPr>
          <w:rFonts w:cs="Arial"/>
          <w:bCs/>
        </w:rPr>
        <w:t xml:space="preserve"> </w:t>
      </w:r>
      <w:r w:rsidR="00CB3FE1" w:rsidRPr="001D0B64">
        <w:rPr>
          <w:rFonts w:cs="Arial"/>
          <w:bCs/>
        </w:rPr>
        <w:t xml:space="preserve">indicó que </w:t>
      </w:r>
      <w:r w:rsidR="00F60DF1" w:rsidRPr="001D0B64">
        <w:rPr>
          <w:rFonts w:cs="Arial"/>
          <w:bCs/>
        </w:rPr>
        <w:t>el t</w:t>
      </w:r>
      <w:r w:rsidR="0057355D" w:rsidRPr="001D0B64">
        <w:rPr>
          <w:rFonts w:cs="Arial"/>
          <w:bCs/>
        </w:rPr>
        <w:t>érmino se vio suspendido con ocasión del trámite conciliatorio</w:t>
      </w:r>
      <w:r w:rsidR="00C838E7" w:rsidRPr="001D0B64">
        <w:rPr>
          <w:rFonts w:cs="Arial"/>
          <w:bCs/>
        </w:rPr>
        <w:t>,</w:t>
      </w:r>
      <w:r w:rsidR="0057355D" w:rsidRPr="001D0B64">
        <w:rPr>
          <w:rFonts w:cs="Arial"/>
          <w:bCs/>
        </w:rPr>
        <w:t xml:space="preserve"> por</w:t>
      </w:r>
      <w:r w:rsidR="00CB3FE1" w:rsidRPr="001D0B64">
        <w:rPr>
          <w:rFonts w:cs="Arial"/>
          <w:bCs/>
        </w:rPr>
        <w:t xml:space="preserve"> un lapso de</w:t>
      </w:r>
      <w:r w:rsidR="0057355D" w:rsidRPr="001D0B64">
        <w:rPr>
          <w:rFonts w:cs="Arial"/>
          <w:bCs/>
        </w:rPr>
        <w:t xml:space="preserve"> dos meses y tres días</w:t>
      </w:r>
      <w:r w:rsidR="00CB3FE1" w:rsidRPr="001D0B64">
        <w:rPr>
          <w:rFonts w:cs="Arial"/>
          <w:bCs/>
        </w:rPr>
        <w:t>,</w:t>
      </w:r>
      <w:r w:rsidR="006D57F1" w:rsidRPr="001D0B64">
        <w:rPr>
          <w:rFonts w:cs="Arial"/>
          <w:bCs/>
        </w:rPr>
        <w:t xml:space="preserve"> de manera que su vencimiento se extendió hasta el 18 de diciembre de 2012, día en que se radicó la demanda. </w:t>
      </w:r>
      <w:r w:rsidR="002B0A18" w:rsidRPr="001D0B64">
        <w:rPr>
          <w:rFonts w:cs="Arial"/>
          <w:bCs/>
        </w:rPr>
        <w:t xml:space="preserve">Como consecuencia, declaró impróspero el medio exceptivo. </w:t>
      </w:r>
    </w:p>
    <w:p w:rsidR="008D3490" w:rsidRPr="001D0B64" w:rsidRDefault="008D3490" w:rsidP="00131111">
      <w:pPr>
        <w:ind w:right="-1"/>
        <w:rPr>
          <w:rFonts w:cs="Arial"/>
          <w:bCs/>
        </w:rPr>
      </w:pPr>
    </w:p>
    <w:p w:rsidR="008D3490" w:rsidRPr="001D0B64" w:rsidRDefault="008D3490" w:rsidP="00131111">
      <w:pPr>
        <w:ind w:right="-1"/>
        <w:rPr>
          <w:rFonts w:cs="Arial"/>
          <w:bCs/>
        </w:rPr>
      </w:pPr>
      <w:r w:rsidRPr="001D0B64">
        <w:rPr>
          <w:rFonts w:cs="Arial"/>
          <w:bCs/>
        </w:rPr>
        <w:t>Seguida</w:t>
      </w:r>
      <w:r w:rsidR="00CC2541" w:rsidRPr="001D0B64">
        <w:rPr>
          <w:rFonts w:cs="Arial"/>
          <w:bCs/>
        </w:rPr>
        <w:t xml:space="preserve">mente se pronunció respecto de la excepción </w:t>
      </w:r>
      <w:r w:rsidRPr="001D0B64">
        <w:rPr>
          <w:rFonts w:cs="Arial"/>
          <w:bCs/>
        </w:rPr>
        <w:t xml:space="preserve">de </w:t>
      </w:r>
      <w:r w:rsidR="00781BDC" w:rsidRPr="001D0B64">
        <w:rPr>
          <w:rFonts w:cs="Arial"/>
          <w:bCs/>
        </w:rPr>
        <w:t>“</w:t>
      </w:r>
      <w:r w:rsidR="00781BDC" w:rsidRPr="001D0B64">
        <w:rPr>
          <w:rFonts w:cs="Arial"/>
          <w:bCs/>
          <w:i/>
        </w:rPr>
        <w:t>incumplimiento del requisito de procedibilidad</w:t>
      </w:r>
      <w:r w:rsidR="00781BDC" w:rsidRPr="001D0B64">
        <w:rPr>
          <w:rFonts w:cs="Arial"/>
          <w:bCs/>
        </w:rPr>
        <w:t xml:space="preserve">” propuesto por el consorcio Rehabilitación Tibitoc, asunto en torno al cual </w:t>
      </w:r>
      <w:r w:rsidR="00AB19A4" w:rsidRPr="001D0B64">
        <w:rPr>
          <w:rFonts w:cs="Arial"/>
          <w:bCs/>
        </w:rPr>
        <w:t>manifestó que el acto administrativo demandado comportó el ejercicio de un</w:t>
      </w:r>
      <w:r w:rsidR="00CB3FE1" w:rsidRPr="001D0B64">
        <w:rPr>
          <w:rFonts w:cs="Arial"/>
          <w:bCs/>
        </w:rPr>
        <w:t>a actividad unilateral</w:t>
      </w:r>
      <w:r w:rsidR="00F152C3" w:rsidRPr="001D0B64">
        <w:rPr>
          <w:rFonts w:cs="Arial"/>
          <w:bCs/>
        </w:rPr>
        <w:t>,</w:t>
      </w:r>
      <w:r w:rsidR="00CB3FE1" w:rsidRPr="001D0B64">
        <w:rPr>
          <w:rFonts w:cs="Arial"/>
          <w:bCs/>
        </w:rPr>
        <w:t xml:space="preserve"> de modo que era</w:t>
      </w:r>
      <w:r w:rsidR="00AB19A4" w:rsidRPr="001D0B64">
        <w:rPr>
          <w:rFonts w:cs="Arial"/>
          <w:bCs/>
        </w:rPr>
        <w:t xml:space="preserve"> la</w:t>
      </w:r>
      <w:r w:rsidR="00CB3FE1" w:rsidRPr="001D0B64">
        <w:rPr>
          <w:rFonts w:cs="Arial"/>
          <w:bCs/>
        </w:rPr>
        <w:t xml:space="preserve"> entidad de la cual hubiera emanado</w:t>
      </w:r>
      <w:r w:rsidR="00AB19A4" w:rsidRPr="001D0B64">
        <w:rPr>
          <w:rFonts w:cs="Arial"/>
          <w:bCs/>
        </w:rPr>
        <w:t xml:space="preserve"> la que estaría llamada a lograr un acuerdo co</w:t>
      </w:r>
      <w:r w:rsidR="00CB3FE1" w:rsidRPr="001D0B64">
        <w:rPr>
          <w:rFonts w:cs="Arial"/>
          <w:bCs/>
        </w:rPr>
        <w:t>nciliatorio y no así quien tuviera</w:t>
      </w:r>
      <w:r w:rsidR="00AB19A4" w:rsidRPr="001D0B64">
        <w:rPr>
          <w:rFonts w:cs="Arial"/>
          <w:bCs/>
        </w:rPr>
        <w:t xml:space="preserve"> un interés directo en el resultado del proceso</w:t>
      </w:r>
      <w:r w:rsidR="00651AE9" w:rsidRPr="001D0B64">
        <w:rPr>
          <w:rFonts w:cs="Arial"/>
          <w:bCs/>
        </w:rPr>
        <w:t>, condición en cuya virtud fue vinculado el consorcio adjudicatario a la presente causa</w:t>
      </w:r>
      <w:r w:rsidR="00AB19A4" w:rsidRPr="001D0B64">
        <w:rPr>
          <w:rFonts w:cs="Arial"/>
          <w:bCs/>
        </w:rPr>
        <w:t xml:space="preserve">. </w:t>
      </w:r>
    </w:p>
    <w:p w:rsidR="00573347" w:rsidRPr="001D0B64" w:rsidRDefault="00573347" w:rsidP="00131111">
      <w:pPr>
        <w:ind w:right="-1"/>
        <w:rPr>
          <w:rFonts w:cs="Arial"/>
          <w:bCs/>
        </w:rPr>
      </w:pPr>
    </w:p>
    <w:p w:rsidR="00A30D91" w:rsidRPr="001D0B64" w:rsidRDefault="00EC5143" w:rsidP="00131111">
      <w:pPr>
        <w:ind w:right="-1"/>
        <w:rPr>
          <w:rFonts w:cs="Arial"/>
          <w:bCs/>
        </w:rPr>
      </w:pPr>
      <w:r w:rsidRPr="001D0B64">
        <w:rPr>
          <w:rFonts w:cs="Arial"/>
          <w:bCs/>
        </w:rPr>
        <w:t>Señaló</w:t>
      </w:r>
      <w:r w:rsidR="00CB3FE1" w:rsidRPr="001D0B64">
        <w:rPr>
          <w:rFonts w:cs="Arial"/>
          <w:bCs/>
        </w:rPr>
        <w:t>,</w:t>
      </w:r>
      <w:r w:rsidRPr="001D0B64">
        <w:rPr>
          <w:rFonts w:cs="Arial"/>
          <w:bCs/>
        </w:rPr>
        <w:t xml:space="preserve"> además</w:t>
      </w:r>
      <w:r w:rsidR="00CB3FE1" w:rsidRPr="001D0B64">
        <w:rPr>
          <w:rFonts w:cs="Arial"/>
          <w:bCs/>
        </w:rPr>
        <w:t>,</w:t>
      </w:r>
      <w:r w:rsidRPr="001D0B64">
        <w:rPr>
          <w:rFonts w:cs="Arial"/>
          <w:bCs/>
        </w:rPr>
        <w:t xml:space="preserve"> que la nulidad del contrato </w:t>
      </w:r>
      <w:r w:rsidR="00CB3FE1" w:rsidRPr="001D0B64">
        <w:rPr>
          <w:rFonts w:cs="Arial"/>
          <w:bCs/>
        </w:rPr>
        <w:t>era</w:t>
      </w:r>
      <w:r w:rsidR="00573347" w:rsidRPr="001D0B64">
        <w:rPr>
          <w:rFonts w:cs="Arial"/>
          <w:bCs/>
        </w:rPr>
        <w:t xml:space="preserve"> un aspec</w:t>
      </w:r>
      <w:r w:rsidR="00CB3FE1" w:rsidRPr="001D0B64">
        <w:rPr>
          <w:rFonts w:cs="Arial"/>
          <w:bCs/>
        </w:rPr>
        <w:t>to legal que concernía</w:t>
      </w:r>
      <w:r w:rsidR="00573347" w:rsidRPr="001D0B64">
        <w:rPr>
          <w:rFonts w:cs="Arial"/>
          <w:bCs/>
        </w:rPr>
        <w:t xml:space="preserve"> analizar en caso de que </w:t>
      </w:r>
      <w:r w:rsidR="00CB3FE1" w:rsidRPr="001D0B64">
        <w:rPr>
          <w:rFonts w:cs="Arial"/>
          <w:bCs/>
        </w:rPr>
        <w:t>se anulara</w:t>
      </w:r>
      <w:r w:rsidR="00573347" w:rsidRPr="001D0B64">
        <w:rPr>
          <w:rFonts w:cs="Arial"/>
          <w:bCs/>
        </w:rPr>
        <w:t xml:space="preserve"> al acto de adjudicación, por lo que no resultaba necesario agotar el requisito de procedibilidad en relación con el adjudicatario. </w:t>
      </w:r>
    </w:p>
    <w:p w:rsidR="00A30D91" w:rsidRPr="001D0B64" w:rsidRDefault="00A30D91" w:rsidP="00131111">
      <w:pPr>
        <w:ind w:right="-1"/>
        <w:rPr>
          <w:rFonts w:cs="Arial"/>
          <w:bCs/>
        </w:rPr>
      </w:pPr>
    </w:p>
    <w:p w:rsidR="00A21CAD" w:rsidRPr="001D0B64" w:rsidRDefault="000B6E5B" w:rsidP="00131111">
      <w:pPr>
        <w:ind w:right="-1"/>
        <w:rPr>
          <w:rFonts w:cs="Arial"/>
          <w:bCs/>
        </w:rPr>
      </w:pPr>
      <w:r w:rsidRPr="001D0B64">
        <w:rPr>
          <w:rFonts w:cs="Arial"/>
          <w:bCs/>
        </w:rPr>
        <w:t xml:space="preserve">Consideró que las demás excepciones versaban sobre aspectos sustanciales atinentes al fondo del asunto que habrían de resolverse al decidir la controversia. </w:t>
      </w:r>
    </w:p>
    <w:p w:rsidR="000B6E5B" w:rsidRPr="001D0B64" w:rsidRDefault="000B6E5B" w:rsidP="00131111">
      <w:pPr>
        <w:ind w:right="-1"/>
        <w:rPr>
          <w:rFonts w:cs="Arial"/>
          <w:bCs/>
        </w:rPr>
      </w:pPr>
    </w:p>
    <w:p w:rsidR="00A21CAD" w:rsidRPr="001D0B64" w:rsidRDefault="00A21CAD" w:rsidP="00131111">
      <w:pPr>
        <w:ind w:right="-1"/>
        <w:rPr>
          <w:rFonts w:cs="Arial"/>
          <w:bCs/>
        </w:rPr>
      </w:pPr>
      <w:r w:rsidRPr="001D0B64">
        <w:rPr>
          <w:rFonts w:cs="Arial"/>
          <w:bCs/>
        </w:rPr>
        <w:t xml:space="preserve">Seguidamente, la primera instancia procedió a la fijación del litigio, para lo cual advirtió que la controversia se circunscribía a definir </w:t>
      </w:r>
      <w:r w:rsidR="00C96EEA" w:rsidRPr="001D0B64">
        <w:rPr>
          <w:rFonts w:cs="Arial"/>
          <w:bCs/>
        </w:rPr>
        <w:t xml:space="preserve">si fueron ajustados </w:t>
      </w:r>
      <w:r w:rsidR="00B461DC" w:rsidRPr="001D0B64">
        <w:rPr>
          <w:rFonts w:cs="Arial"/>
          <w:bCs/>
        </w:rPr>
        <w:t xml:space="preserve">a derecho la calificación de </w:t>
      </w:r>
      <w:r w:rsidR="00C838E7" w:rsidRPr="001D0B64">
        <w:rPr>
          <w:rFonts w:cs="Arial"/>
          <w:bCs/>
        </w:rPr>
        <w:t>“</w:t>
      </w:r>
      <w:r w:rsidR="00B461DC" w:rsidRPr="001D0B64">
        <w:rPr>
          <w:rFonts w:cs="Arial"/>
          <w:bCs/>
        </w:rPr>
        <w:t>no cumple</w:t>
      </w:r>
      <w:r w:rsidR="00C838E7" w:rsidRPr="001D0B64">
        <w:rPr>
          <w:rFonts w:cs="Arial"/>
          <w:bCs/>
        </w:rPr>
        <w:t>”</w:t>
      </w:r>
      <w:r w:rsidR="00B461DC" w:rsidRPr="001D0B64">
        <w:rPr>
          <w:rFonts w:cs="Arial"/>
          <w:bCs/>
        </w:rPr>
        <w:t xml:space="preserve"> asignada a la oferta del consorcio Tibitoc 2012</w:t>
      </w:r>
      <w:r w:rsidR="00A9000A" w:rsidRPr="001D0B64">
        <w:rPr>
          <w:rFonts w:cs="Arial"/>
          <w:bCs/>
        </w:rPr>
        <w:t xml:space="preserve"> por el erróneo diligenci</w:t>
      </w:r>
      <w:r w:rsidR="00C96EEA" w:rsidRPr="001D0B64">
        <w:rPr>
          <w:rFonts w:cs="Arial"/>
          <w:bCs/>
        </w:rPr>
        <w:t>amiento del formulario No.</w:t>
      </w:r>
      <w:r w:rsidR="00C838E7" w:rsidRPr="001D0B64">
        <w:rPr>
          <w:rFonts w:cs="Arial"/>
          <w:bCs/>
        </w:rPr>
        <w:t xml:space="preserve"> </w:t>
      </w:r>
      <w:r w:rsidR="00C96EEA" w:rsidRPr="001D0B64">
        <w:rPr>
          <w:rFonts w:cs="Arial"/>
          <w:bCs/>
        </w:rPr>
        <w:t xml:space="preserve">6, </w:t>
      </w:r>
      <w:r w:rsidR="00A9000A" w:rsidRPr="001D0B64">
        <w:rPr>
          <w:rFonts w:cs="Arial"/>
          <w:bCs/>
        </w:rPr>
        <w:t xml:space="preserve">el trámite impartido a las observaciones del </w:t>
      </w:r>
      <w:r w:rsidR="00CC2541" w:rsidRPr="001D0B64">
        <w:rPr>
          <w:rFonts w:cs="Arial"/>
          <w:bCs/>
        </w:rPr>
        <w:t>informe final de evaluación y</w:t>
      </w:r>
      <w:r w:rsidR="00A9000A" w:rsidRPr="001D0B64">
        <w:rPr>
          <w:rFonts w:cs="Arial"/>
          <w:bCs/>
        </w:rPr>
        <w:t xml:space="preserve"> la calificación y </w:t>
      </w:r>
      <w:r w:rsidR="00C96EEA" w:rsidRPr="001D0B64">
        <w:rPr>
          <w:rFonts w:cs="Arial"/>
          <w:bCs/>
        </w:rPr>
        <w:t xml:space="preserve">el </w:t>
      </w:r>
      <w:r w:rsidR="00A9000A" w:rsidRPr="001D0B64">
        <w:rPr>
          <w:rFonts w:cs="Arial"/>
          <w:bCs/>
        </w:rPr>
        <w:t xml:space="preserve">orden de elegibilidad </w:t>
      </w:r>
      <w:r w:rsidR="00F152C3" w:rsidRPr="001D0B64">
        <w:rPr>
          <w:rFonts w:cs="Arial"/>
          <w:bCs/>
        </w:rPr>
        <w:t>otorgado a</w:t>
      </w:r>
      <w:r w:rsidR="00A9000A" w:rsidRPr="001D0B64">
        <w:rPr>
          <w:rFonts w:cs="Arial"/>
          <w:bCs/>
        </w:rPr>
        <w:t xml:space="preserve"> la propuesta presentada por el demandante. </w:t>
      </w:r>
    </w:p>
    <w:p w:rsidR="000712C0" w:rsidRPr="001D0B64" w:rsidRDefault="00550F48" w:rsidP="00432721">
      <w:pPr>
        <w:ind w:right="-1"/>
        <w:rPr>
          <w:rFonts w:cs="Arial"/>
          <w:b/>
          <w:bCs/>
          <w:lang w:val="es-MX"/>
        </w:rPr>
      </w:pPr>
      <w:r w:rsidRPr="001D0B64">
        <w:rPr>
          <w:rFonts w:cs="Arial"/>
          <w:bCs/>
        </w:rPr>
        <w:t>A continuación, se reconocieron y tuvieron como pruebas todos los documentos aportados por las partes</w:t>
      </w:r>
      <w:r w:rsidR="00432721" w:rsidRPr="001D0B64">
        <w:rPr>
          <w:rFonts w:cs="Arial"/>
          <w:bCs/>
        </w:rPr>
        <w:t xml:space="preserve"> y se procedió a d</w:t>
      </w:r>
      <w:r w:rsidR="00CD71B5" w:rsidRPr="001D0B64">
        <w:rPr>
          <w:rFonts w:cs="Arial"/>
          <w:bCs/>
        </w:rPr>
        <w:t>ecretar las solicitadas.</w:t>
      </w:r>
    </w:p>
    <w:p w:rsidR="000712C0" w:rsidRPr="001D0B64" w:rsidRDefault="000712C0" w:rsidP="00131111">
      <w:pPr>
        <w:ind w:right="-1"/>
        <w:rPr>
          <w:rFonts w:cs="Arial"/>
          <w:b/>
          <w:bCs/>
          <w:lang w:val="es-MX"/>
        </w:rPr>
      </w:pPr>
    </w:p>
    <w:p w:rsidR="000712C0" w:rsidRPr="001D0B64" w:rsidRDefault="00F6054B" w:rsidP="00131111">
      <w:pPr>
        <w:ind w:right="-1"/>
        <w:rPr>
          <w:rFonts w:cs="Arial"/>
          <w:b/>
          <w:bCs/>
          <w:lang w:val="es-MX"/>
        </w:rPr>
      </w:pPr>
      <w:r w:rsidRPr="001D0B64">
        <w:rPr>
          <w:rFonts w:cs="Arial"/>
          <w:b/>
          <w:bCs/>
          <w:lang w:val="es-MX"/>
        </w:rPr>
        <w:t>4. Sentencia impugnada</w:t>
      </w:r>
    </w:p>
    <w:p w:rsidR="00F6054B" w:rsidRPr="001D0B64" w:rsidRDefault="00F6054B" w:rsidP="00131111">
      <w:pPr>
        <w:ind w:right="-1"/>
        <w:rPr>
          <w:rFonts w:cs="Arial"/>
          <w:b/>
          <w:bCs/>
          <w:lang w:val="es-MX"/>
        </w:rPr>
      </w:pPr>
    </w:p>
    <w:p w:rsidR="00DC66B7" w:rsidRPr="001D0B64" w:rsidRDefault="00DC66B7" w:rsidP="00DC66B7">
      <w:pPr>
        <w:numPr>
          <w:ilvl w:val="12"/>
          <w:numId w:val="0"/>
        </w:numPr>
        <w:rPr>
          <w:rFonts w:cs="Arial"/>
          <w:bCs/>
        </w:rPr>
      </w:pPr>
      <w:r w:rsidRPr="001D0B64">
        <w:rPr>
          <w:rFonts w:cs="Arial"/>
          <w:bCs/>
        </w:rPr>
        <w:t>El Tribuna</w:t>
      </w:r>
      <w:r w:rsidR="000C645A" w:rsidRPr="001D0B64">
        <w:rPr>
          <w:rFonts w:cs="Arial"/>
          <w:bCs/>
        </w:rPr>
        <w:t>l Administrativo del Cundinamarca</w:t>
      </w:r>
      <w:r w:rsidRPr="001D0B64">
        <w:rPr>
          <w:rFonts w:cs="Arial"/>
          <w:bCs/>
        </w:rPr>
        <w:t xml:space="preserve"> negó las pretensiones de la demanda, con fundamento, esencialmente, en las siguientes razones:</w:t>
      </w:r>
    </w:p>
    <w:p w:rsidR="00DC66B7" w:rsidRPr="001D0B64" w:rsidRDefault="00DC66B7" w:rsidP="00DC66B7">
      <w:pPr>
        <w:widowControl w:val="0"/>
        <w:autoSpaceDE w:val="0"/>
        <w:autoSpaceDN w:val="0"/>
        <w:adjustRightInd w:val="0"/>
        <w:rPr>
          <w:rFonts w:cs="Arial"/>
          <w:bCs/>
        </w:rPr>
      </w:pPr>
    </w:p>
    <w:p w:rsidR="00A8117C" w:rsidRPr="001D0B64" w:rsidRDefault="00DC66B7" w:rsidP="00DC66B7">
      <w:pPr>
        <w:widowControl w:val="0"/>
        <w:autoSpaceDE w:val="0"/>
        <w:autoSpaceDN w:val="0"/>
        <w:adjustRightInd w:val="0"/>
        <w:rPr>
          <w:rFonts w:cs="Arial"/>
          <w:bCs/>
        </w:rPr>
      </w:pPr>
      <w:r w:rsidRPr="001D0B64">
        <w:rPr>
          <w:rFonts w:cs="Arial"/>
          <w:bCs/>
        </w:rPr>
        <w:t xml:space="preserve">En primer lugar, el </w:t>
      </w:r>
      <w:r w:rsidRPr="001D0B64">
        <w:rPr>
          <w:rFonts w:cs="Arial"/>
          <w:bCs/>
          <w:i/>
        </w:rPr>
        <w:t>a quo</w:t>
      </w:r>
      <w:r w:rsidR="00F3623A" w:rsidRPr="001D0B64">
        <w:rPr>
          <w:rFonts w:cs="Arial"/>
          <w:bCs/>
        </w:rPr>
        <w:t xml:space="preserve"> al iniciar </w:t>
      </w:r>
      <w:r w:rsidR="00A8117C" w:rsidRPr="001D0B64">
        <w:rPr>
          <w:rFonts w:cs="Arial"/>
          <w:bCs/>
        </w:rPr>
        <w:t>su examen indicó que</w:t>
      </w:r>
      <w:r w:rsidR="00CD71B5" w:rsidRPr="001D0B64">
        <w:rPr>
          <w:rFonts w:cs="Arial"/>
          <w:bCs/>
        </w:rPr>
        <w:t>,</w:t>
      </w:r>
      <w:r w:rsidR="00A8117C" w:rsidRPr="001D0B64">
        <w:rPr>
          <w:rFonts w:cs="Arial"/>
          <w:bCs/>
        </w:rPr>
        <w:t xml:space="preserve"> de conformidad con el pliego de condiciones</w:t>
      </w:r>
      <w:r w:rsidR="00CD71B5" w:rsidRPr="001D0B64">
        <w:rPr>
          <w:rFonts w:cs="Arial"/>
          <w:bCs/>
        </w:rPr>
        <w:t>,</w:t>
      </w:r>
      <w:r w:rsidR="00A8117C" w:rsidRPr="001D0B64">
        <w:rPr>
          <w:rFonts w:cs="Arial"/>
          <w:bCs/>
        </w:rPr>
        <w:t xml:space="preserve"> cada una de </w:t>
      </w:r>
      <w:r w:rsidR="00F0677D" w:rsidRPr="001D0B64">
        <w:rPr>
          <w:rFonts w:cs="Arial"/>
          <w:bCs/>
        </w:rPr>
        <w:t>las sociedades que conformaran</w:t>
      </w:r>
      <w:r w:rsidR="00A8117C" w:rsidRPr="001D0B64">
        <w:rPr>
          <w:rFonts w:cs="Arial"/>
          <w:bCs/>
        </w:rPr>
        <w:t xml:space="preserve"> el consorcio o unión temporal oferente deb</w:t>
      </w:r>
      <w:r w:rsidR="00F0677D" w:rsidRPr="001D0B64">
        <w:rPr>
          <w:rFonts w:cs="Arial"/>
          <w:bCs/>
        </w:rPr>
        <w:t xml:space="preserve">ían diligenciar el formulario No. 6 </w:t>
      </w:r>
      <w:r w:rsidR="00355DDA" w:rsidRPr="001D0B64">
        <w:rPr>
          <w:rFonts w:cs="Arial"/>
          <w:bCs/>
        </w:rPr>
        <w:t>y que se concluiría que la oferta “</w:t>
      </w:r>
      <w:r w:rsidR="00CD71B5" w:rsidRPr="001D0B64">
        <w:rPr>
          <w:rFonts w:cs="Arial"/>
          <w:bCs/>
          <w:i/>
        </w:rPr>
        <w:t>no cumplía</w:t>
      </w:r>
      <w:r w:rsidR="00355DDA" w:rsidRPr="001D0B64">
        <w:rPr>
          <w:rFonts w:cs="Arial"/>
          <w:bCs/>
          <w:i/>
        </w:rPr>
        <w:t xml:space="preserve"> financieramente</w:t>
      </w:r>
      <w:r w:rsidR="00355DDA" w:rsidRPr="001D0B64">
        <w:rPr>
          <w:rFonts w:cs="Arial"/>
          <w:bCs/>
        </w:rPr>
        <w:t>” cua</w:t>
      </w:r>
      <w:r w:rsidR="005A5B9D" w:rsidRPr="001D0B64">
        <w:rPr>
          <w:rFonts w:cs="Arial"/>
          <w:bCs/>
        </w:rPr>
        <w:t xml:space="preserve">ndo quiera que el formulario </w:t>
      </w:r>
      <w:r w:rsidR="00355DDA" w:rsidRPr="001D0B64">
        <w:rPr>
          <w:rFonts w:cs="Arial"/>
          <w:bCs/>
        </w:rPr>
        <w:t xml:space="preserve">presentara inconsistencias en la ecuación contable. </w:t>
      </w:r>
    </w:p>
    <w:p w:rsidR="00A8117C" w:rsidRPr="001D0B64" w:rsidRDefault="00A8117C" w:rsidP="00DC66B7">
      <w:pPr>
        <w:widowControl w:val="0"/>
        <w:autoSpaceDE w:val="0"/>
        <w:autoSpaceDN w:val="0"/>
        <w:adjustRightInd w:val="0"/>
        <w:rPr>
          <w:rFonts w:cs="Arial"/>
          <w:bCs/>
        </w:rPr>
      </w:pPr>
    </w:p>
    <w:p w:rsidR="00DC66B7" w:rsidRPr="001D0B64" w:rsidRDefault="00F3623A" w:rsidP="00DC66B7">
      <w:pPr>
        <w:widowControl w:val="0"/>
        <w:autoSpaceDE w:val="0"/>
        <w:autoSpaceDN w:val="0"/>
        <w:adjustRightInd w:val="0"/>
        <w:rPr>
          <w:rFonts w:cs="Arial"/>
          <w:bCs/>
        </w:rPr>
      </w:pPr>
      <w:r w:rsidRPr="001D0B64">
        <w:rPr>
          <w:rFonts w:cs="Arial"/>
          <w:bCs/>
        </w:rPr>
        <w:t xml:space="preserve">Luego </w:t>
      </w:r>
      <w:r w:rsidR="00DC66B7" w:rsidRPr="001D0B64">
        <w:rPr>
          <w:rFonts w:cs="Arial"/>
          <w:bCs/>
        </w:rPr>
        <w:t xml:space="preserve">de enunciar las pruebas obrantes en el plenario, la primera instancia </w:t>
      </w:r>
      <w:r w:rsidRPr="001D0B64">
        <w:rPr>
          <w:rFonts w:cs="Arial"/>
          <w:bCs/>
        </w:rPr>
        <w:t>consideró que</w:t>
      </w:r>
      <w:r w:rsidR="00EB5D47" w:rsidRPr="001D0B64">
        <w:rPr>
          <w:rFonts w:cs="Arial"/>
          <w:bCs/>
        </w:rPr>
        <w:t>,</w:t>
      </w:r>
      <w:r w:rsidRPr="001D0B64">
        <w:rPr>
          <w:rFonts w:cs="Arial"/>
          <w:bCs/>
        </w:rPr>
        <w:t xml:space="preserve"> en efecto</w:t>
      </w:r>
      <w:r w:rsidR="00EB5D47" w:rsidRPr="001D0B64">
        <w:rPr>
          <w:rFonts w:cs="Arial"/>
          <w:bCs/>
        </w:rPr>
        <w:t>,</w:t>
      </w:r>
      <w:r w:rsidRPr="001D0B64">
        <w:rPr>
          <w:rFonts w:cs="Arial"/>
          <w:bCs/>
        </w:rPr>
        <w:t xml:space="preserve"> la parte actora incurrió en un error al diligenciar la casilla denominada gastos financieros del formulario No. 6 por parte de la sociedad Nema Ingeniería </w:t>
      </w:r>
      <w:r w:rsidR="00C838E7" w:rsidRPr="001D0B64">
        <w:rPr>
          <w:rFonts w:cs="Arial"/>
          <w:bCs/>
        </w:rPr>
        <w:t>Ltda.</w:t>
      </w:r>
      <w:r w:rsidR="00EB5D47" w:rsidRPr="001D0B64">
        <w:rPr>
          <w:rFonts w:cs="Arial"/>
          <w:bCs/>
        </w:rPr>
        <w:t xml:space="preserve">, </w:t>
      </w:r>
      <w:r w:rsidRPr="001D0B64">
        <w:rPr>
          <w:rFonts w:cs="Arial"/>
          <w:bCs/>
        </w:rPr>
        <w:t xml:space="preserve">habida consideración de que no incluyó el monto correspondiente al ítem solicitado. </w:t>
      </w:r>
    </w:p>
    <w:p w:rsidR="001A54A7" w:rsidRPr="001D0B64" w:rsidRDefault="001A54A7" w:rsidP="00DC66B7">
      <w:pPr>
        <w:widowControl w:val="0"/>
        <w:autoSpaceDE w:val="0"/>
        <w:autoSpaceDN w:val="0"/>
        <w:adjustRightInd w:val="0"/>
        <w:rPr>
          <w:rFonts w:cs="Arial"/>
          <w:bCs/>
        </w:rPr>
      </w:pPr>
    </w:p>
    <w:p w:rsidR="008F328B" w:rsidRPr="001D0B64" w:rsidRDefault="001A54A7" w:rsidP="00DC66B7">
      <w:pPr>
        <w:widowControl w:val="0"/>
        <w:autoSpaceDE w:val="0"/>
        <w:autoSpaceDN w:val="0"/>
        <w:adjustRightInd w:val="0"/>
        <w:rPr>
          <w:rFonts w:cs="Arial"/>
          <w:bCs/>
        </w:rPr>
      </w:pPr>
      <w:r w:rsidRPr="001D0B64">
        <w:rPr>
          <w:rFonts w:cs="Arial"/>
          <w:bCs/>
        </w:rPr>
        <w:t xml:space="preserve">Añadió que a pesar de que el informe de evaluación </w:t>
      </w:r>
      <w:r w:rsidR="00CD2031" w:rsidRPr="001D0B64">
        <w:rPr>
          <w:rFonts w:cs="Arial"/>
          <w:bCs/>
        </w:rPr>
        <w:t xml:space="preserve">financiera fue </w:t>
      </w:r>
      <w:r w:rsidR="00D87505" w:rsidRPr="001D0B64">
        <w:rPr>
          <w:rFonts w:cs="Arial"/>
          <w:bCs/>
        </w:rPr>
        <w:t>publicado</w:t>
      </w:r>
      <w:r w:rsidR="00CD2031" w:rsidRPr="001D0B64">
        <w:rPr>
          <w:rFonts w:cs="Arial"/>
          <w:bCs/>
        </w:rPr>
        <w:t xml:space="preserve"> por la E.A.A.B. y desde entonces los oferentes contaban con dos días</w:t>
      </w:r>
      <w:r w:rsidR="00EB5D47" w:rsidRPr="001D0B64">
        <w:rPr>
          <w:rFonts w:cs="Arial"/>
          <w:bCs/>
        </w:rPr>
        <w:t xml:space="preserve"> para presentar observaciones, </w:t>
      </w:r>
      <w:r w:rsidR="00CD2031" w:rsidRPr="001D0B64">
        <w:rPr>
          <w:rFonts w:cs="Arial"/>
          <w:bCs/>
        </w:rPr>
        <w:t xml:space="preserve">en el término concedido el demandante no </w:t>
      </w:r>
      <w:r w:rsidR="00EB5D47" w:rsidRPr="001D0B64">
        <w:rPr>
          <w:rFonts w:cs="Arial"/>
          <w:bCs/>
        </w:rPr>
        <w:t xml:space="preserve">se </w:t>
      </w:r>
      <w:r w:rsidR="00CD2031" w:rsidRPr="001D0B64">
        <w:rPr>
          <w:rFonts w:cs="Arial"/>
          <w:bCs/>
        </w:rPr>
        <w:t xml:space="preserve">pronunció en relación con el informe en el que </w:t>
      </w:r>
      <w:r w:rsidR="00EB5D47" w:rsidRPr="001D0B64">
        <w:rPr>
          <w:rFonts w:cs="Arial"/>
          <w:bCs/>
        </w:rPr>
        <w:t xml:space="preserve">se </w:t>
      </w:r>
      <w:r w:rsidR="00CD2031" w:rsidRPr="001D0B64">
        <w:rPr>
          <w:rFonts w:cs="Arial"/>
          <w:bCs/>
        </w:rPr>
        <w:t xml:space="preserve">consignó que no cumplía. </w:t>
      </w:r>
    </w:p>
    <w:p w:rsidR="00F3623A" w:rsidRPr="001D0B64" w:rsidRDefault="00F3623A" w:rsidP="00DC66B7">
      <w:pPr>
        <w:widowControl w:val="0"/>
        <w:autoSpaceDE w:val="0"/>
        <w:autoSpaceDN w:val="0"/>
        <w:adjustRightInd w:val="0"/>
        <w:rPr>
          <w:rFonts w:cs="Arial"/>
          <w:bCs/>
        </w:rPr>
      </w:pPr>
    </w:p>
    <w:p w:rsidR="002F4A92" w:rsidRPr="001D0B64" w:rsidRDefault="00F3623A" w:rsidP="00DC66B7">
      <w:pPr>
        <w:widowControl w:val="0"/>
        <w:autoSpaceDE w:val="0"/>
        <w:autoSpaceDN w:val="0"/>
        <w:adjustRightInd w:val="0"/>
        <w:rPr>
          <w:rFonts w:cs="Arial"/>
          <w:bCs/>
        </w:rPr>
      </w:pPr>
      <w:r w:rsidRPr="001D0B64">
        <w:rPr>
          <w:rFonts w:cs="Arial"/>
          <w:bCs/>
        </w:rPr>
        <w:t>Dicho lo anterior</w:t>
      </w:r>
      <w:r w:rsidR="00EB5D47" w:rsidRPr="001D0B64">
        <w:rPr>
          <w:rFonts w:cs="Arial"/>
          <w:bCs/>
        </w:rPr>
        <w:t>,</w:t>
      </w:r>
      <w:r w:rsidRPr="001D0B64">
        <w:rPr>
          <w:rFonts w:cs="Arial"/>
          <w:bCs/>
        </w:rPr>
        <w:t xml:space="preserve"> procedió a estudiar si el yerro evidenciado conllevaba a concluir que la propuesta no cumplía financieramente. Para ese propósito</w:t>
      </w:r>
      <w:r w:rsidR="00EB5D47" w:rsidRPr="001D0B64">
        <w:rPr>
          <w:rFonts w:cs="Arial"/>
          <w:bCs/>
        </w:rPr>
        <w:t>,</w:t>
      </w:r>
      <w:r w:rsidRPr="001D0B64">
        <w:rPr>
          <w:rFonts w:cs="Arial"/>
          <w:bCs/>
        </w:rPr>
        <w:t xml:space="preserve"> puso de manifiesto que </w:t>
      </w:r>
      <w:r w:rsidR="001465CD" w:rsidRPr="001D0B64">
        <w:rPr>
          <w:rFonts w:cs="Arial"/>
          <w:bCs/>
        </w:rPr>
        <w:t>la entidad, tras revisar el formulario No. 6, solicitó al consorcio Tibitoc</w:t>
      </w:r>
      <w:r w:rsidR="00C6770A" w:rsidRPr="001D0B64">
        <w:rPr>
          <w:rFonts w:cs="Arial"/>
          <w:bCs/>
        </w:rPr>
        <w:t xml:space="preserve"> 2012</w:t>
      </w:r>
      <w:r w:rsidR="001465CD" w:rsidRPr="001D0B64">
        <w:rPr>
          <w:rFonts w:cs="Arial"/>
          <w:bCs/>
        </w:rPr>
        <w:t xml:space="preserve"> que aclarar</w:t>
      </w:r>
      <w:r w:rsidR="00EB5D47" w:rsidRPr="001D0B64">
        <w:rPr>
          <w:rFonts w:cs="Arial"/>
          <w:bCs/>
        </w:rPr>
        <w:t>a</w:t>
      </w:r>
      <w:r w:rsidR="001465CD" w:rsidRPr="001D0B64">
        <w:rPr>
          <w:rFonts w:cs="Arial"/>
          <w:bCs/>
        </w:rPr>
        <w:t xml:space="preserve"> el monto que debía consignarse en la casilla de gastos financieros, no obstante lo cual</w:t>
      </w:r>
      <w:r w:rsidR="001D662C" w:rsidRPr="001D0B64">
        <w:rPr>
          <w:rFonts w:cs="Arial"/>
          <w:bCs/>
        </w:rPr>
        <w:t>,</w:t>
      </w:r>
      <w:r w:rsidR="001465CD" w:rsidRPr="001D0B64">
        <w:rPr>
          <w:rFonts w:cs="Arial"/>
          <w:bCs/>
        </w:rPr>
        <w:t xml:space="preserve"> el proponente no brindó la aclaración solicitada y se limitó a afirmar que en otras invitaciones no había sido descalificado</w:t>
      </w:r>
      <w:r w:rsidR="00327A76" w:rsidRPr="001D0B64">
        <w:rPr>
          <w:rFonts w:cs="Arial"/>
          <w:bCs/>
        </w:rPr>
        <w:t xml:space="preserve"> por diligenciarlo </w:t>
      </w:r>
      <w:r w:rsidR="001465CD" w:rsidRPr="001D0B64">
        <w:rPr>
          <w:rFonts w:cs="Arial"/>
          <w:bCs/>
        </w:rPr>
        <w:t xml:space="preserve">de esa forma. </w:t>
      </w:r>
    </w:p>
    <w:p w:rsidR="00C43C51" w:rsidRPr="001D0B64" w:rsidRDefault="00C43C51" w:rsidP="00DC66B7">
      <w:pPr>
        <w:widowControl w:val="0"/>
        <w:autoSpaceDE w:val="0"/>
        <w:autoSpaceDN w:val="0"/>
        <w:adjustRightInd w:val="0"/>
        <w:rPr>
          <w:rFonts w:cs="Arial"/>
          <w:bCs/>
        </w:rPr>
      </w:pPr>
    </w:p>
    <w:p w:rsidR="002F4A92" w:rsidRPr="001D0B64" w:rsidRDefault="002F4A92" w:rsidP="00DC66B7">
      <w:pPr>
        <w:widowControl w:val="0"/>
        <w:autoSpaceDE w:val="0"/>
        <w:autoSpaceDN w:val="0"/>
        <w:adjustRightInd w:val="0"/>
        <w:rPr>
          <w:rFonts w:cs="Arial"/>
          <w:bCs/>
        </w:rPr>
      </w:pPr>
      <w:r w:rsidRPr="001D0B64">
        <w:rPr>
          <w:rFonts w:cs="Arial"/>
          <w:bCs/>
        </w:rPr>
        <w:t>Estimó que no resultaba exigible a la entidad que una vez detectado el error presentado en la oferta del consorcio, procediera a estu</w:t>
      </w:r>
      <w:r w:rsidR="00EB5D47" w:rsidRPr="001D0B64">
        <w:rPr>
          <w:rFonts w:cs="Arial"/>
          <w:bCs/>
        </w:rPr>
        <w:t>diar la totalidad de los estados</w:t>
      </w:r>
      <w:r w:rsidRPr="001D0B64">
        <w:rPr>
          <w:rFonts w:cs="Arial"/>
          <w:bCs/>
        </w:rPr>
        <w:t xml:space="preserve"> financieros allegados en orden a determinar la causa del mismo y a corregirlo, ya que esta conducta iría en contravía del principio de selección objetiva. </w:t>
      </w:r>
    </w:p>
    <w:p w:rsidR="002F4A92" w:rsidRPr="001D0B64" w:rsidRDefault="002F4A92" w:rsidP="00DC66B7">
      <w:pPr>
        <w:widowControl w:val="0"/>
        <w:autoSpaceDE w:val="0"/>
        <w:autoSpaceDN w:val="0"/>
        <w:adjustRightInd w:val="0"/>
        <w:rPr>
          <w:rFonts w:cs="Arial"/>
          <w:bCs/>
        </w:rPr>
      </w:pPr>
    </w:p>
    <w:p w:rsidR="00F3623A" w:rsidRPr="001D0B64" w:rsidRDefault="002F4A92" w:rsidP="00DC66B7">
      <w:pPr>
        <w:widowControl w:val="0"/>
        <w:autoSpaceDE w:val="0"/>
        <w:autoSpaceDN w:val="0"/>
        <w:adjustRightInd w:val="0"/>
        <w:rPr>
          <w:rFonts w:cs="Arial"/>
          <w:bCs/>
        </w:rPr>
      </w:pPr>
      <w:r w:rsidRPr="001D0B64">
        <w:rPr>
          <w:rFonts w:cs="Arial"/>
          <w:bCs/>
        </w:rPr>
        <w:t>Explicó que a pesar de que, según el peritazgo rendido en el proceso por el perito contador</w:t>
      </w:r>
      <w:r w:rsidR="00EB5D47" w:rsidRPr="001D0B64">
        <w:rPr>
          <w:rFonts w:cs="Arial"/>
          <w:bCs/>
        </w:rPr>
        <w:t xml:space="preserve"> designado, la suma equivocadamente</w:t>
      </w:r>
      <w:r w:rsidRPr="001D0B64">
        <w:rPr>
          <w:rFonts w:cs="Arial"/>
          <w:bCs/>
        </w:rPr>
        <w:t xml:space="preserve"> reportada no afectaba la ecuación financiera de la sociedad, lo cierto era que sí existía una afectación contable a la luz de los datos consignados </w:t>
      </w:r>
      <w:r w:rsidR="00577D1A" w:rsidRPr="001D0B64">
        <w:rPr>
          <w:rFonts w:cs="Arial"/>
          <w:bCs/>
        </w:rPr>
        <w:t xml:space="preserve">en </w:t>
      </w:r>
      <w:r w:rsidRPr="001D0B64">
        <w:rPr>
          <w:rFonts w:cs="Arial"/>
          <w:bCs/>
        </w:rPr>
        <w:t>el formulario y</w:t>
      </w:r>
      <w:r w:rsidR="00BD715B" w:rsidRPr="001D0B64">
        <w:rPr>
          <w:rFonts w:cs="Arial"/>
          <w:bCs/>
        </w:rPr>
        <w:t>,</w:t>
      </w:r>
      <w:r w:rsidRPr="001D0B64">
        <w:rPr>
          <w:rFonts w:cs="Arial"/>
          <w:bCs/>
        </w:rPr>
        <w:t xml:space="preserve"> </w:t>
      </w:r>
      <w:r w:rsidR="00577D1A" w:rsidRPr="001D0B64">
        <w:rPr>
          <w:rFonts w:cs="Arial"/>
          <w:bCs/>
        </w:rPr>
        <w:t>en todo caso</w:t>
      </w:r>
      <w:r w:rsidR="00BD715B" w:rsidRPr="001D0B64">
        <w:rPr>
          <w:rFonts w:cs="Arial"/>
          <w:bCs/>
        </w:rPr>
        <w:t>,</w:t>
      </w:r>
      <w:r w:rsidR="00577D1A" w:rsidRPr="001D0B64">
        <w:rPr>
          <w:rFonts w:cs="Arial"/>
          <w:bCs/>
        </w:rPr>
        <w:t xml:space="preserve"> </w:t>
      </w:r>
      <w:r w:rsidRPr="001D0B64">
        <w:rPr>
          <w:rFonts w:cs="Arial"/>
          <w:bCs/>
        </w:rPr>
        <w:t>su subsanación no era carga de la entidad p</w:t>
      </w:r>
      <w:r w:rsidR="00BD715B" w:rsidRPr="001D0B64">
        <w:rPr>
          <w:rFonts w:cs="Arial"/>
          <w:bCs/>
        </w:rPr>
        <w:t>ública, en tanto</w:t>
      </w:r>
      <w:r w:rsidRPr="001D0B64">
        <w:rPr>
          <w:rFonts w:cs="Arial"/>
          <w:bCs/>
        </w:rPr>
        <w:t xml:space="preserve"> </w:t>
      </w:r>
      <w:r w:rsidR="00371E6C" w:rsidRPr="001D0B64">
        <w:rPr>
          <w:rFonts w:cs="Arial"/>
          <w:bCs/>
        </w:rPr>
        <w:t xml:space="preserve">que </w:t>
      </w:r>
      <w:r w:rsidRPr="001D0B64">
        <w:rPr>
          <w:rFonts w:cs="Arial"/>
          <w:bCs/>
        </w:rPr>
        <w:t>de ser así</w:t>
      </w:r>
      <w:r w:rsidR="00371E6C" w:rsidRPr="001D0B64">
        <w:rPr>
          <w:rFonts w:cs="Arial"/>
          <w:bCs/>
        </w:rPr>
        <w:t>,</w:t>
      </w:r>
      <w:r w:rsidRPr="001D0B64">
        <w:rPr>
          <w:rFonts w:cs="Arial"/>
          <w:bCs/>
        </w:rPr>
        <w:t xml:space="preserve"> no tendría sentido exigir que se diligenciara el formulario </w:t>
      </w:r>
      <w:r w:rsidR="00B73B12" w:rsidRPr="001D0B64">
        <w:rPr>
          <w:rFonts w:cs="Arial"/>
          <w:bCs/>
        </w:rPr>
        <w:t>de los indicadores financieros</w:t>
      </w:r>
      <w:r w:rsidR="00EB5D47" w:rsidRPr="001D0B64">
        <w:rPr>
          <w:rFonts w:cs="Arial"/>
          <w:bCs/>
        </w:rPr>
        <w:t>,</w:t>
      </w:r>
      <w:r w:rsidR="00B73B12" w:rsidRPr="001D0B64">
        <w:rPr>
          <w:rFonts w:cs="Arial"/>
          <w:bCs/>
        </w:rPr>
        <w:t xml:space="preserve"> </w:t>
      </w:r>
      <w:r w:rsidR="002C1AA9" w:rsidRPr="001D0B64">
        <w:rPr>
          <w:rFonts w:cs="Arial"/>
          <w:bCs/>
        </w:rPr>
        <w:t>sino que simplemente la contratante</w:t>
      </w:r>
      <w:r w:rsidRPr="001D0B64">
        <w:rPr>
          <w:rFonts w:cs="Arial"/>
          <w:bCs/>
        </w:rPr>
        <w:t xml:space="preserve"> tendría que establecer los datos a través de los documentos contables aportados. </w:t>
      </w:r>
    </w:p>
    <w:p w:rsidR="00DC66B7" w:rsidRPr="001D0B64" w:rsidRDefault="00DC66B7" w:rsidP="00DC66B7">
      <w:pPr>
        <w:widowControl w:val="0"/>
        <w:autoSpaceDE w:val="0"/>
        <w:autoSpaceDN w:val="0"/>
        <w:adjustRightInd w:val="0"/>
        <w:rPr>
          <w:rFonts w:cs="Arial"/>
          <w:bCs/>
        </w:rPr>
      </w:pPr>
    </w:p>
    <w:p w:rsidR="0019669A" w:rsidRPr="001D0B64" w:rsidRDefault="00DC66B7" w:rsidP="0019669A">
      <w:pPr>
        <w:widowControl w:val="0"/>
        <w:autoSpaceDE w:val="0"/>
        <w:autoSpaceDN w:val="0"/>
        <w:adjustRightInd w:val="0"/>
        <w:rPr>
          <w:rFonts w:cs="Arial"/>
          <w:bCs/>
        </w:rPr>
      </w:pPr>
      <w:r w:rsidRPr="001D0B64">
        <w:rPr>
          <w:rFonts w:cs="Arial"/>
          <w:bCs/>
        </w:rPr>
        <w:t xml:space="preserve">Puesto de presente el panorama, el operador de primer grado consideró que </w:t>
      </w:r>
      <w:r w:rsidR="0019669A" w:rsidRPr="001D0B64">
        <w:rPr>
          <w:rFonts w:cs="Arial"/>
          <w:bCs/>
        </w:rPr>
        <w:t>debían negarse las pretensiones</w:t>
      </w:r>
      <w:r w:rsidR="00104A44" w:rsidRPr="001D0B64">
        <w:rPr>
          <w:rFonts w:cs="Arial"/>
          <w:bCs/>
        </w:rPr>
        <w:t xml:space="preserve"> de</w:t>
      </w:r>
      <w:r w:rsidR="0019669A" w:rsidRPr="001D0B64">
        <w:rPr>
          <w:rFonts w:cs="Arial"/>
          <w:bCs/>
        </w:rPr>
        <w:t xml:space="preserve"> la demanda</w:t>
      </w:r>
      <w:r w:rsidR="00104A44" w:rsidRPr="001D0B64">
        <w:rPr>
          <w:rFonts w:cs="Arial"/>
          <w:bCs/>
        </w:rPr>
        <w:t>,</w:t>
      </w:r>
      <w:r w:rsidR="0019669A" w:rsidRPr="001D0B64">
        <w:rPr>
          <w:rFonts w:cs="Arial"/>
          <w:bCs/>
        </w:rPr>
        <w:t xml:space="preserve"> por cuanto no se demostró que la oferta del demanda</w:t>
      </w:r>
      <w:r w:rsidR="00104A44" w:rsidRPr="001D0B64">
        <w:rPr>
          <w:rFonts w:cs="Arial"/>
          <w:bCs/>
        </w:rPr>
        <w:t>nte cumplía con las exigencias financieras</w:t>
      </w:r>
      <w:r w:rsidR="0019669A" w:rsidRPr="001D0B64">
        <w:rPr>
          <w:rFonts w:cs="Arial"/>
          <w:bCs/>
        </w:rPr>
        <w:t xml:space="preserve"> previstas por la EAAB. </w:t>
      </w:r>
    </w:p>
    <w:p w:rsidR="0019669A" w:rsidRPr="001D0B64" w:rsidRDefault="0019669A" w:rsidP="0019669A">
      <w:pPr>
        <w:widowControl w:val="0"/>
        <w:autoSpaceDE w:val="0"/>
        <w:autoSpaceDN w:val="0"/>
        <w:adjustRightInd w:val="0"/>
        <w:rPr>
          <w:rFonts w:cs="Arial"/>
          <w:bCs/>
        </w:rPr>
      </w:pPr>
    </w:p>
    <w:p w:rsidR="0019669A" w:rsidRPr="001D0B64" w:rsidRDefault="0019669A" w:rsidP="0019669A">
      <w:pPr>
        <w:widowControl w:val="0"/>
        <w:autoSpaceDE w:val="0"/>
        <w:autoSpaceDN w:val="0"/>
        <w:adjustRightInd w:val="0"/>
        <w:rPr>
          <w:rFonts w:cs="Arial"/>
          <w:bCs/>
        </w:rPr>
      </w:pPr>
      <w:r w:rsidRPr="001D0B64">
        <w:rPr>
          <w:rFonts w:cs="Arial"/>
          <w:bCs/>
        </w:rPr>
        <w:t>Por último</w:t>
      </w:r>
      <w:r w:rsidR="0083513B" w:rsidRPr="001D0B64">
        <w:rPr>
          <w:rFonts w:cs="Arial"/>
          <w:bCs/>
        </w:rPr>
        <w:t>,</w:t>
      </w:r>
      <w:r w:rsidRPr="001D0B64">
        <w:rPr>
          <w:rFonts w:cs="Arial"/>
          <w:bCs/>
        </w:rPr>
        <w:t xml:space="preserve"> condenó en costas a la parte actora y fijó como agencias en derecho la suma de $26’000.000 en atención a que la parte demandada ejerció su defensa, se hizo presente en la audiencia inicial y en la audiencia de pruebas. </w:t>
      </w:r>
    </w:p>
    <w:p w:rsidR="0019669A" w:rsidRPr="001D0B64" w:rsidRDefault="0019669A" w:rsidP="0019669A">
      <w:pPr>
        <w:widowControl w:val="0"/>
        <w:autoSpaceDE w:val="0"/>
        <w:autoSpaceDN w:val="0"/>
        <w:adjustRightInd w:val="0"/>
        <w:rPr>
          <w:rFonts w:cs="Arial"/>
          <w:bCs/>
        </w:rPr>
      </w:pPr>
    </w:p>
    <w:p w:rsidR="00C43C51" w:rsidRPr="001D0B64" w:rsidRDefault="00C43C51" w:rsidP="00131111">
      <w:pPr>
        <w:ind w:right="-1"/>
        <w:rPr>
          <w:rFonts w:cs="Arial"/>
          <w:b/>
          <w:bCs/>
          <w:lang w:val="es-MX"/>
        </w:rPr>
      </w:pPr>
    </w:p>
    <w:p w:rsidR="00131111" w:rsidRPr="001D0B64" w:rsidRDefault="00885C9B" w:rsidP="00131111">
      <w:pPr>
        <w:ind w:right="-1"/>
        <w:rPr>
          <w:rFonts w:cs="Arial"/>
          <w:b/>
          <w:bCs/>
          <w:lang w:val="es-MX"/>
        </w:rPr>
      </w:pPr>
      <w:r w:rsidRPr="001D0B64">
        <w:rPr>
          <w:rFonts w:cs="Arial"/>
          <w:b/>
          <w:bCs/>
          <w:lang w:val="es-MX"/>
        </w:rPr>
        <w:t>5</w:t>
      </w:r>
      <w:r w:rsidR="00131111" w:rsidRPr="001D0B64">
        <w:rPr>
          <w:rFonts w:cs="Arial"/>
          <w:b/>
          <w:bCs/>
          <w:lang w:val="es-MX"/>
        </w:rPr>
        <w:t>.</w:t>
      </w:r>
      <w:r w:rsidR="00DC21AA" w:rsidRPr="001D0B64">
        <w:rPr>
          <w:rFonts w:cs="Arial"/>
          <w:b/>
          <w:bCs/>
          <w:lang w:val="es-MX"/>
        </w:rPr>
        <w:t xml:space="preserve"> </w:t>
      </w:r>
      <w:r w:rsidR="00131111" w:rsidRPr="001D0B64">
        <w:rPr>
          <w:rFonts w:cs="Arial"/>
          <w:b/>
          <w:bCs/>
          <w:lang w:val="es-MX"/>
        </w:rPr>
        <w:t xml:space="preserve">El recurso de apelación </w:t>
      </w:r>
    </w:p>
    <w:p w:rsidR="000712C0" w:rsidRPr="001D0B64" w:rsidRDefault="000712C0" w:rsidP="00131111">
      <w:pPr>
        <w:ind w:right="-1"/>
        <w:rPr>
          <w:rFonts w:cs="Arial"/>
          <w:b/>
          <w:bCs/>
          <w:lang w:val="es-MX"/>
        </w:rPr>
      </w:pPr>
    </w:p>
    <w:p w:rsidR="00F441A1" w:rsidRPr="001D0B64" w:rsidRDefault="007B2F40" w:rsidP="00131111">
      <w:pPr>
        <w:ind w:right="-1"/>
        <w:rPr>
          <w:rFonts w:cs="Arial"/>
          <w:bCs/>
          <w:lang w:val="es-MX"/>
        </w:rPr>
      </w:pPr>
      <w:r w:rsidRPr="001D0B64">
        <w:rPr>
          <w:rFonts w:cs="Arial"/>
          <w:bCs/>
          <w:lang w:val="es-MX"/>
        </w:rPr>
        <w:t>El consorcio demandante</w:t>
      </w:r>
      <w:r w:rsidR="00131111" w:rsidRPr="001D0B64">
        <w:rPr>
          <w:rFonts w:cs="Arial"/>
          <w:bCs/>
          <w:lang w:val="es-MX"/>
        </w:rPr>
        <w:t xml:space="preserve"> interpuso y sustentó el recurso de apelación contra la sentencia de primera instancia</w:t>
      </w:r>
      <w:r w:rsidR="00F441A1" w:rsidRPr="001D0B64">
        <w:rPr>
          <w:rFonts w:cs="Arial"/>
          <w:bCs/>
          <w:lang w:val="es-MX"/>
        </w:rPr>
        <w:t>.</w:t>
      </w:r>
    </w:p>
    <w:p w:rsidR="00F441A1" w:rsidRPr="001D0B64" w:rsidRDefault="00F441A1" w:rsidP="00131111">
      <w:pPr>
        <w:ind w:right="-1"/>
        <w:rPr>
          <w:rFonts w:cs="Arial"/>
          <w:bCs/>
          <w:lang w:val="es-MX"/>
        </w:rPr>
      </w:pPr>
    </w:p>
    <w:p w:rsidR="00170A51" w:rsidRPr="001D0B64" w:rsidRDefault="00CE159F" w:rsidP="00552BB6">
      <w:pPr>
        <w:ind w:right="-1"/>
        <w:rPr>
          <w:rFonts w:cs="Arial"/>
          <w:bCs/>
          <w:lang w:val="es-MX"/>
        </w:rPr>
      </w:pPr>
      <w:r w:rsidRPr="001D0B64">
        <w:rPr>
          <w:rFonts w:cs="Arial"/>
          <w:bCs/>
          <w:lang w:val="es-MX"/>
        </w:rPr>
        <w:t>Como fundamento de la alzada</w:t>
      </w:r>
      <w:r w:rsidR="00A96AF5" w:rsidRPr="001D0B64">
        <w:rPr>
          <w:rFonts w:cs="Arial"/>
          <w:bCs/>
          <w:lang w:val="es-MX"/>
        </w:rPr>
        <w:t>,</w:t>
      </w:r>
      <w:r w:rsidR="00552BB6" w:rsidRPr="001D0B64">
        <w:rPr>
          <w:rFonts w:cs="Arial"/>
          <w:bCs/>
          <w:lang w:val="es-MX"/>
        </w:rPr>
        <w:t xml:space="preserve"> expuso que la sentencia basó su decisi</w:t>
      </w:r>
      <w:r w:rsidR="00284831" w:rsidRPr="001D0B64">
        <w:rPr>
          <w:rFonts w:cs="Arial"/>
          <w:bCs/>
          <w:lang w:val="es-MX"/>
        </w:rPr>
        <w:t>ón en argumentos de</w:t>
      </w:r>
      <w:r w:rsidR="00552BB6" w:rsidRPr="001D0B64">
        <w:rPr>
          <w:rFonts w:cs="Arial"/>
          <w:bCs/>
          <w:lang w:val="es-MX"/>
        </w:rPr>
        <w:t xml:space="preserve"> </w:t>
      </w:r>
      <w:r w:rsidR="00284831" w:rsidRPr="001D0B64">
        <w:rPr>
          <w:rFonts w:cs="Arial"/>
          <w:bCs/>
          <w:lang w:val="es-MX"/>
        </w:rPr>
        <w:t xml:space="preserve">excesivo </w:t>
      </w:r>
      <w:r w:rsidR="00552BB6" w:rsidRPr="001D0B64">
        <w:rPr>
          <w:rFonts w:cs="Arial"/>
          <w:bCs/>
          <w:lang w:val="es-MX"/>
        </w:rPr>
        <w:t xml:space="preserve">rigorismo y </w:t>
      </w:r>
      <w:r w:rsidR="00284831" w:rsidRPr="001D0B64">
        <w:rPr>
          <w:rFonts w:cs="Arial"/>
          <w:bCs/>
          <w:lang w:val="es-MX"/>
        </w:rPr>
        <w:t xml:space="preserve">dejó de lado el hecho de que la entidad se apartó de la correcta aplicación </w:t>
      </w:r>
      <w:r w:rsidR="005F59FC" w:rsidRPr="001D0B64">
        <w:rPr>
          <w:rFonts w:cs="Arial"/>
          <w:bCs/>
          <w:lang w:val="es-MX"/>
        </w:rPr>
        <w:t xml:space="preserve">típica </w:t>
      </w:r>
      <w:r w:rsidR="00284831" w:rsidRPr="001D0B64">
        <w:rPr>
          <w:rFonts w:cs="Arial"/>
          <w:bCs/>
          <w:lang w:val="es-MX"/>
        </w:rPr>
        <w:t>de la causal invocada como soporte del calificativo “no cumple financieramente”</w:t>
      </w:r>
      <w:r w:rsidR="005F59FC" w:rsidRPr="001D0B64">
        <w:rPr>
          <w:rFonts w:cs="Arial"/>
          <w:bCs/>
          <w:lang w:val="es-MX"/>
        </w:rPr>
        <w:t>.</w:t>
      </w:r>
    </w:p>
    <w:p w:rsidR="005F59FC" w:rsidRPr="001D0B64" w:rsidRDefault="005F59FC" w:rsidP="00552BB6">
      <w:pPr>
        <w:ind w:right="-1"/>
        <w:rPr>
          <w:rFonts w:cs="Arial"/>
          <w:bCs/>
          <w:lang w:val="es-MX"/>
        </w:rPr>
      </w:pPr>
    </w:p>
    <w:p w:rsidR="005F59FC" w:rsidRPr="001D0B64" w:rsidRDefault="005F59FC" w:rsidP="00552BB6">
      <w:pPr>
        <w:ind w:right="-1"/>
        <w:rPr>
          <w:rFonts w:cs="Arial"/>
          <w:bCs/>
          <w:lang w:val="es-MX"/>
        </w:rPr>
      </w:pPr>
      <w:r w:rsidRPr="001D0B64">
        <w:rPr>
          <w:rFonts w:cs="Arial"/>
          <w:bCs/>
          <w:lang w:val="es-MX"/>
        </w:rPr>
        <w:t>Añadió que la propuesta del consorcio Tibitoc 2012 no incurrió en alguna de las causales previstas para derivar de allí la inha</w:t>
      </w:r>
      <w:r w:rsidR="002503AB" w:rsidRPr="001D0B64">
        <w:rPr>
          <w:rFonts w:cs="Arial"/>
          <w:bCs/>
          <w:lang w:val="es-MX"/>
        </w:rPr>
        <w:t>bilitación financiera, toda vez que</w:t>
      </w:r>
      <w:r w:rsidRPr="001D0B64">
        <w:rPr>
          <w:rFonts w:cs="Arial"/>
          <w:bCs/>
          <w:lang w:val="es-MX"/>
        </w:rPr>
        <w:t xml:space="preserve"> el diligenciamiento equivocado de un formulario no llevaba a sostener que por ese hecho se habría de configurar una </w:t>
      </w:r>
      <w:r w:rsidR="00020F51" w:rsidRPr="001D0B64">
        <w:rPr>
          <w:rFonts w:cs="Arial"/>
          <w:bCs/>
          <w:lang w:val="es-MX"/>
        </w:rPr>
        <w:t>inconsistencia contable</w:t>
      </w:r>
      <w:r w:rsidR="0069587B" w:rsidRPr="001D0B64">
        <w:rPr>
          <w:rFonts w:cs="Arial"/>
          <w:bCs/>
          <w:lang w:val="es-MX"/>
        </w:rPr>
        <w:t>.</w:t>
      </w:r>
    </w:p>
    <w:p w:rsidR="0069587B" w:rsidRPr="001D0B64" w:rsidRDefault="0069587B" w:rsidP="00552BB6">
      <w:pPr>
        <w:ind w:right="-1"/>
        <w:rPr>
          <w:rFonts w:cs="Arial"/>
          <w:bCs/>
          <w:lang w:val="es-MX"/>
        </w:rPr>
      </w:pPr>
    </w:p>
    <w:p w:rsidR="0069587B" w:rsidRPr="001D0B64" w:rsidRDefault="0069587B" w:rsidP="00552BB6">
      <w:pPr>
        <w:ind w:right="-1"/>
        <w:rPr>
          <w:rFonts w:cs="Arial"/>
          <w:bCs/>
          <w:lang w:val="es-MX"/>
        </w:rPr>
      </w:pPr>
      <w:r w:rsidRPr="001D0B64">
        <w:rPr>
          <w:rFonts w:cs="Arial"/>
          <w:bCs/>
          <w:lang w:val="es-MX"/>
        </w:rPr>
        <w:t xml:space="preserve">Agregó que </w:t>
      </w:r>
      <w:r w:rsidR="00E24C37" w:rsidRPr="001D0B64">
        <w:rPr>
          <w:rFonts w:cs="Arial"/>
          <w:bCs/>
          <w:lang w:val="es-MX"/>
        </w:rPr>
        <w:t>el fallador no tuvo en cuenta el hecho de que el consorcio precisó al Acueducto que los estados financieros reposaban en la oferta y</w:t>
      </w:r>
      <w:r w:rsidR="002503AB" w:rsidRPr="001D0B64">
        <w:rPr>
          <w:rFonts w:cs="Arial"/>
          <w:bCs/>
          <w:lang w:val="es-MX"/>
        </w:rPr>
        <w:t>,</w:t>
      </w:r>
      <w:r w:rsidR="00E24C37" w:rsidRPr="001D0B64">
        <w:rPr>
          <w:rFonts w:cs="Arial"/>
          <w:bCs/>
          <w:lang w:val="es-MX"/>
        </w:rPr>
        <w:t xml:space="preserve"> a pesar de ello</w:t>
      </w:r>
      <w:r w:rsidR="002503AB" w:rsidRPr="001D0B64">
        <w:rPr>
          <w:rFonts w:cs="Arial"/>
          <w:bCs/>
          <w:lang w:val="es-MX"/>
        </w:rPr>
        <w:t>,</w:t>
      </w:r>
      <w:r w:rsidR="00E24C37" w:rsidRPr="001D0B64">
        <w:rPr>
          <w:rFonts w:cs="Arial"/>
          <w:bCs/>
          <w:lang w:val="es-MX"/>
        </w:rPr>
        <w:t xml:space="preserve"> fueron aportados nuevamente. De ahí sostuvo que era labor del órgano evaluador identificar </w:t>
      </w:r>
      <w:r w:rsidR="0035466C" w:rsidRPr="001D0B64">
        <w:rPr>
          <w:rFonts w:cs="Arial"/>
          <w:bCs/>
          <w:lang w:val="es-MX"/>
        </w:rPr>
        <w:t xml:space="preserve">la suma </w:t>
      </w:r>
      <w:r w:rsidR="001A3BF2" w:rsidRPr="001D0B64">
        <w:rPr>
          <w:rFonts w:cs="Arial"/>
          <w:bCs/>
          <w:lang w:val="es-MX"/>
        </w:rPr>
        <w:t>incorporada</w:t>
      </w:r>
      <w:r w:rsidR="0035466C" w:rsidRPr="001D0B64">
        <w:rPr>
          <w:rFonts w:cs="Arial"/>
          <w:bCs/>
          <w:lang w:val="es-MX"/>
        </w:rPr>
        <w:t xml:space="preserve"> en el formulario No. 6</w:t>
      </w:r>
      <w:r w:rsidR="00416A57" w:rsidRPr="001D0B64">
        <w:rPr>
          <w:rFonts w:cs="Arial"/>
          <w:bCs/>
          <w:lang w:val="es-MX"/>
        </w:rPr>
        <w:t xml:space="preserve"> y</w:t>
      </w:r>
      <w:r w:rsidR="002503AB" w:rsidRPr="001D0B64">
        <w:rPr>
          <w:rFonts w:cs="Arial"/>
          <w:bCs/>
          <w:lang w:val="es-MX"/>
        </w:rPr>
        <w:t>,</w:t>
      </w:r>
      <w:r w:rsidR="00416A57" w:rsidRPr="001D0B64">
        <w:rPr>
          <w:rFonts w:cs="Arial"/>
          <w:bCs/>
          <w:lang w:val="es-MX"/>
        </w:rPr>
        <w:t xml:space="preserve"> de esta manera</w:t>
      </w:r>
      <w:r w:rsidR="002503AB" w:rsidRPr="001D0B64">
        <w:rPr>
          <w:rFonts w:cs="Arial"/>
          <w:bCs/>
          <w:lang w:val="es-MX"/>
        </w:rPr>
        <w:t>,</w:t>
      </w:r>
      <w:r w:rsidR="00416A57" w:rsidRPr="001D0B64">
        <w:rPr>
          <w:rFonts w:cs="Arial"/>
          <w:bCs/>
          <w:lang w:val="es-MX"/>
        </w:rPr>
        <w:t xml:space="preserve"> no se quebrantaría la ecuación financiera. Sobre este punto añadió que el formulario No. 6</w:t>
      </w:r>
      <w:r w:rsidR="002503AB" w:rsidRPr="001D0B64">
        <w:rPr>
          <w:rFonts w:cs="Arial"/>
          <w:bCs/>
          <w:lang w:val="es-MX"/>
        </w:rPr>
        <w:t>,</w:t>
      </w:r>
      <w:r w:rsidR="00416A57" w:rsidRPr="001D0B64">
        <w:rPr>
          <w:rFonts w:cs="Arial"/>
          <w:bCs/>
          <w:lang w:val="es-MX"/>
        </w:rPr>
        <w:t xml:space="preserve"> cuyo diligenciamiento exigía la entidad</w:t>
      </w:r>
      <w:r w:rsidR="00371E6C" w:rsidRPr="001D0B64">
        <w:rPr>
          <w:rFonts w:cs="Arial"/>
          <w:bCs/>
          <w:lang w:val="es-MX"/>
        </w:rPr>
        <w:t>,</w:t>
      </w:r>
      <w:r w:rsidR="00416A57" w:rsidRPr="001D0B64">
        <w:rPr>
          <w:rFonts w:cs="Arial"/>
          <w:bCs/>
          <w:lang w:val="es-MX"/>
        </w:rPr>
        <w:t xml:space="preserve"> se hallaba indebidamente estructurado y no resultaría idóneo para demostrar alguna inconsistencia de la ecuación contable. </w:t>
      </w:r>
    </w:p>
    <w:p w:rsidR="00B26679" w:rsidRPr="001D0B64" w:rsidRDefault="00B26679" w:rsidP="00552BB6">
      <w:pPr>
        <w:ind w:right="-1"/>
        <w:rPr>
          <w:rFonts w:cs="Arial"/>
          <w:bCs/>
          <w:lang w:val="es-MX"/>
        </w:rPr>
      </w:pPr>
    </w:p>
    <w:p w:rsidR="00B26679" w:rsidRPr="001D0B64" w:rsidRDefault="00B26679" w:rsidP="00552BB6">
      <w:pPr>
        <w:ind w:right="-1"/>
        <w:rPr>
          <w:rFonts w:cs="Arial"/>
          <w:bCs/>
          <w:lang w:val="es-MX"/>
        </w:rPr>
      </w:pPr>
      <w:r w:rsidRPr="001D0B64">
        <w:rPr>
          <w:rFonts w:cs="Arial"/>
          <w:bCs/>
          <w:lang w:val="es-MX"/>
        </w:rPr>
        <w:t>En relación con l</w:t>
      </w:r>
      <w:r w:rsidR="00A078BA" w:rsidRPr="001D0B64">
        <w:rPr>
          <w:rFonts w:cs="Arial"/>
          <w:bCs/>
          <w:lang w:val="es-MX"/>
        </w:rPr>
        <w:t>a</w:t>
      </w:r>
      <w:r w:rsidRPr="001D0B64">
        <w:rPr>
          <w:rFonts w:cs="Arial"/>
          <w:bCs/>
          <w:lang w:val="es-MX"/>
        </w:rPr>
        <w:t xml:space="preserve"> falta de</w:t>
      </w:r>
      <w:r w:rsidR="00A078BA" w:rsidRPr="001D0B64">
        <w:rPr>
          <w:rFonts w:cs="Arial"/>
          <w:bCs/>
          <w:lang w:val="es-MX"/>
        </w:rPr>
        <w:t xml:space="preserve"> subsanación aludida en la sentencia, indicó que dicho argumento rendía culto a la forma</w:t>
      </w:r>
      <w:r w:rsidR="00371E6C" w:rsidRPr="001D0B64">
        <w:rPr>
          <w:rFonts w:cs="Arial"/>
          <w:bCs/>
          <w:lang w:val="es-MX"/>
        </w:rPr>
        <w:t>,</w:t>
      </w:r>
      <w:r w:rsidR="00A078BA" w:rsidRPr="001D0B64">
        <w:rPr>
          <w:rFonts w:cs="Arial"/>
          <w:bCs/>
          <w:lang w:val="es-MX"/>
        </w:rPr>
        <w:t xml:space="preserve"> en cuanto ignoraba que el consorcio acompañó la oferta de los estados financieros de los cuales se extraía la información </w:t>
      </w:r>
      <w:r w:rsidR="00371E6C" w:rsidRPr="001D0B64">
        <w:rPr>
          <w:rFonts w:cs="Arial"/>
          <w:bCs/>
          <w:lang w:val="es-MX"/>
        </w:rPr>
        <w:t>necesaria para encontrar la</w:t>
      </w:r>
      <w:r w:rsidR="00645B80" w:rsidRPr="001D0B64">
        <w:rPr>
          <w:rFonts w:cs="Arial"/>
          <w:bCs/>
          <w:lang w:val="es-MX"/>
        </w:rPr>
        <w:t xml:space="preserve"> que en realidad correspondía, pues</w:t>
      </w:r>
      <w:r w:rsidR="002503AB" w:rsidRPr="001D0B64">
        <w:rPr>
          <w:rFonts w:cs="Arial"/>
          <w:bCs/>
          <w:lang w:val="es-MX"/>
        </w:rPr>
        <w:t>,</w:t>
      </w:r>
      <w:r w:rsidR="00645B80" w:rsidRPr="001D0B64">
        <w:rPr>
          <w:rFonts w:cs="Arial"/>
          <w:bCs/>
          <w:lang w:val="es-MX"/>
        </w:rPr>
        <w:t xml:space="preserve"> en efecto</w:t>
      </w:r>
      <w:r w:rsidR="002503AB" w:rsidRPr="001D0B64">
        <w:rPr>
          <w:rFonts w:cs="Arial"/>
          <w:bCs/>
          <w:lang w:val="es-MX"/>
        </w:rPr>
        <w:t>,</w:t>
      </w:r>
      <w:r w:rsidR="00645B80" w:rsidRPr="001D0B64">
        <w:rPr>
          <w:rFonts w:cs="Arial"/>
          <w:bCs/>
          <w:lang w:val="es-MX"/>
        </w:rPr>
        <w:t xml:space="preserve"> fue a partir de ese ejercicio que el evaluador identificó el yerro que bien podía corregir. </w:t>
      </w:r>
    </w:p>
    <w:p w:rsidR="009E361F" w:rsidRPr="001D0B64" w:rsidRDefault="009E361F" w:rsidP="00552BB6">
      <w:pPr>
        <w:ind w:right="-1"/>
        <w:rPr>
          <w:rFonts w:cs="Arial"/>
          <w:bCs/>
          <w:lang w:val="es-MX"/>
        </w:rPr>
      </w:pPr>
    </w:p>
    <w:p w:rsidR="009E361F" w:rsidRPr="001D0B64" w:rsidRDefault="009E361F" w:rsidP="00552BB6">
      <w:pPr>
        <w:ind w:right="-1"/>
        <w:rPr>
          <w:rFonts w:cs="Arial"/>
          <w:bCs/>
          <w:lang w:val="es-MX"/>
        </w:rPr>
      </w:pPr>
      <w:r w:rsidRPr="001D0B64">
        <w:rPr>
          <w:rFonts w:cs="Arial"/>
          <w:bCs/>
          <w:lang w:val="es-MX"/>
        </w:rPr>
        <w:t>Consideró demasiado formalista que se exigiera la presentación de un nuevo formula</w:t>
      </w:r>
      <w:r w:rsidR="00D91383" w:rsidRPr="001D0B64">
        <w:rPr>
          <w:rFonts w:cs="Arial"/>
          <w:bCs/>
          <w:lang w:val="es-MX"/>
        </w:rPr>
        <w:t xml:space="preserve">rio No. 6 para corregir el error, en cuanto </w:t>
      </w:r>
      <w:r w:rsidRPr="001D0B64">
        <w:rPr>
          <w:rFonts w:cs="Arial"/>
          <w:bCs/>
          <w:lang w:val="es-MX"/>
        </w:rPr>
        <w:t>la entidad tenía a su alcance la información necesaria para ese propósito y</w:t>
      </w:r>
      <w:r w:rsidR="00D91383" w:rsidRPr="001D0B64">
        <w:rPr>
          <w:rFonts w:cs="Arial"/>
          <w:bCs/>
          <w:lang w:val="es-MX"/>
        </w:rPr>
        <w:t>,</w:t>
      </w:r>
      <w:r w:rsidRPr="001D0B64">
        <w:rPr>
          <w:rFonts w:cs="Arial"/>
          <w:bCs/>
          <w:lang w:val="es-MX"/>
        </w:rPr>
        <w:t xml:space="preserve"> en tal virtud</w:t>
      </w:r>
      <w:r w:rsidR="00D91383" w:rsidRPr="001D0B64">
        <w:rPr>
          <w:rFonts w:cs="Arial"/>
          <w:bCs/>
          <w:lang w:val="es-MX"/>
        </w:rPr>
        <w:t>,</w:t>
      </w:r>
      <w:r w:rsidRPr="001D0B64">
        <w:rPr>
          <w:rFonts w:cs="Arial"/>
          <w:bCs/>
          <w:lang w:val="es-MX"/>
        </w:rPr>
        <w:t xml:space="preserve"> debía obrar de manera diligente y remover los obstáculos encontrados. </w:t>
      </w:r>
    </w:p>
    <w:p w:rsidR="00010FBE" w:rsidRPr="001D0B64" w:rsidRDefault="00010FBE" w:rsidP="00552BB6">
      <w:pPr>
        <w:ind w:right="-1"/>
        <w:rPr>
          <w:rFonts w:cs="Arial"/>
          <w:bCs/>
          <w:lang w:val="es-MX"/>
        </w:rPr>
      </w:pPr>
    </w:p>
    <w:p w:rsidR="00552BB6" w:rsidRPr="001D0B64" w:rsidRDefault="00010FBE" w:rsidP="00CE159F">
      <w:pPr>
        <w:ind w:right="-1"/>
        <w:rPr>
          <w:rFonts w:cs="Arial"/>
          <w:bCs/>
          <w:lang w:val="es-MX"/>
        </w:rPr>
      </w:pPr>
      <w:r w:rsidRPr="001D0B64">
        <w:rPr>
          <w:rFonts w:cs="Arial"/>
          <w:bCs/>
          <w:lang w:val="es-MX"/>
        </w:rPr>
        <w:t>Reiteró que el traslado surtido el 28 de marzo de 2012 al informe de evaluación financiera no estaba previsto dentro de los términos y condiciones de la invitación</w:t>
      </w:r>
      <w:r w:rsidR="00FB7165" w:rsidRPr="001D0B64">
        <w:rPr>
          <w:rFonts w:cs="Arial"/>
          <w:bCs/>
          <w:lang w:val="es-MX"/>
        </w:rPr>
        <w:t xml:space="preserve">, </w:t>
      </w:r>
      <w:r w:rsidR="00D91383" w:rsidRPr="001D0B64">
        <w:rPr>
          <w:rFonts w:cs="Arial"/>
          <w:bCs/>
          <w:lang w:val="es-MX"/>
        </w:rPr>
        <w:t xml:space="preserve">por manera </w:t>
      </w:r>
      <w:r w:rsidR="00FB7165" w:rsidRPr="001D0B64">
        <w:rPr>
          <w:rFonts w:cs="Arial"/>
          <w:bCs/>
          <w:lang w:val="es-MX"/>
        </w:rPr>
        <w:t xml:space="preserve">que no le era exigible al demandante pronunciarse frente al mismo. </w:t>
      </w:r>
    </w:p>
    <w:p w:rsidR="00B402F6" w:rsidRPr="001D0B64" w:rsidRDefault="00B402F6" w:rsidP="00CE159F">
      <w:pPr>
        <w:ind w:right="-1"/>
        <w:rPr>
          <w:rFonts w:cs="Arial"/>
          <w:bCs/>
          <w:lang w:val="es-MX"/>
        </w:rPr>
      </w:pPr>
    </w:p>
    <w:p w:rsidR="00E62EF5" w:rsidRPr="001D0B64" w:rsidRDefault="00E62EF5" w:rsidP="00E62EF5">
      <w:pPr>
        <w:rPr>
          <w:rFonts w:cs="Arial"/>
          <w:b/>
          <w:bCs/>
          <w:lang w:val="es-MX"/>
        </w:rPr>
      </w:pPr>
      <w:r w:rsidRPr="001D0B64">
        <w:rPr>
          <w:rFonts w:cs="Arial"/>
          <w:b/>
          <w:bCs/>
          <w:lang w:val="es-MX"/>
        </w:rPr>
        <w:t>6. Actuación en segunda instancia</w:t>
      </w:r>
    </w:p>
    <w:p w:rsidR="00E62EF5" w:rsidRPr="001D0B64" w:rsidRDefault="00E62EF5" w:rsidP="00E62EF5">
      <w:pPr>
        <w:rPr>
          <w:rFonts w:cs="Arial"/>
          <w:bCs/>
          <w:lang w:val="es-MX"/>
        </w:rPr>
      </w:pPr>
      <w:r w:rsidRPr="001D0B64">
        <w:rPr>
          <w:rFonts w:cs="Arial"/>
          <w:bCs/>
          <w:lang w:val="es-MX"/>
        </w:rPr>
        <w:t xml:space="preserve"> </w:t>
      </w:r>
    </w:p>
    <w:p w:rsidR="00E62EF5" w:rsidRPr="001D0B64" w:rsidRDefault="000712C0" w:rsidP="00416EC3">
      <w:pPr>
        <w:rPr>
          <w:rFonts w:cs="Arial"/>
        </w:rPr>
      </w:pPr>
      <w:r w:rsidRPr="001D0B64">
        <w:rPr>
          <w:rFonts w:cs="Arial"/>
          <w:b/>
        </w:rPr>
        <w:t>6</w:t>
      </w:r>
      <w:r w:rsidR="00E62EF5" w:rsidRPr="001D0B64">
        <w:rPr>
          <w:rFonts w:cs="Arial"/>
          <w:b/>
        </w:rPr>
        <w:t>.1.</w:t>
      </w:r>
      <w:r w:rsidR="00B669F3" w:rsidRPr="001D0B64">
        <w:rPr>
          <w:rFonts w:cs="Arial"/>
        </w:rPr>
        <w:t xml:space="preserve"> Mediante providencia del 12 de septiembre de 2014</w:t>
      </w:r>
      <w:r w:rsidR="00E62EF5" w:rsidRPr="001D0B64">
        <w:rPr>
          <w:rFonts w:cs="Arial"/>
        </w:rPr>
        <w:t xml:space="preserve">, la Sección Tercera de esta Corporación admitió el recurso de apelación interpuesto por la parte actora. </w:t>
      </w:r>
    </w:p>
    <w:p w:rsidR="00E62EF5" w:rsidRPr="001D0B64" w:rsidRDefault="000712C0" w:rsidP="00E62EF5">
      <w:pPr>
        <w:rPr>
          <w:rFonts w:cs="Arial"/>
          <w:lang w:val="es-MX"/>
        </w:rPr>
      </w:pPr>
      <w:r w:rsidRPr="001D0B64">
        <w:rPr>
          <w:rFonts w:cs="Arial"/>
          <w:b/>
          <w:lang w:val="es-CO"/>
        </w:rPr>
        <w:t>6</w:t>
      </w:r>
      <w:r w:rsidR="00E62EF5" w:rsidRPr="001D0B64">
        <w:rPr>
          <w:rFonts w:cs="Arial"/>
          <w:b/>
          <w:lang w:val="es-CO"/>
        </w:rPr>
        <w:t>.2.</w:t>
      </w:r>
      <w:r w:rsidR="00E62EF5" w:rsidRPr="001D0B64">
        <w:rPr>
          <w:rFonts w:cs="Arial"/>
          <w:lang w:val="es-CO"/>
        </w:rPr>
        <w:t xml:space="preserve"> </w:t>
      </w:r>
      <w:r w:rsidR="00FC096A" w:rsidRPr="001D0B64">
        <w:rPr>
          <w:rFonts w:cs="Arial"/>
          <w:lang w:val="es-MX"/>
        </w:rPr>
        <w:t>Por medio de</w:t>
      </w:r>
      <w:r w:rsidR="00B448D7" w:rsidRPr="001D0B64">
        <w:rPr>
          <w:rFonts w:cs="Arial"/>
          <w:lang w:val="es-MX"/>
        </w:rPr>
        <w:t>l</w:t>
      </w:r>
      <w:r w:rsidR="00FC096A" w:rsidRPr="001D0B64">
        <w:rPr>
          <w:rFonts w:cs="Arial"/>
          <w:lang w:val="es-MX"/>
        </w:rPr>
        <w:t xml:space="preserve"> auto</w:t>
      </w:r>
      <w:r w:rsidR="00B669F3" w:rsidRPr="001D0B64">
        <w:rPr>
          <w:rFonts w:cs="Arial"/>
          <w:lang w:val="es-MX"/>
        </w:rPr>
        <w:t xml:space="preserve"> del 24 de octubre </w:t>
      </w:r>
      <w:r w:rsidR="00E62EF5" w:rsidRPr="001D0B64">
        <w:rPr>
          <w:rFonts w:cs="Arial"/>
          <w:lang w:val="es-MX"/>
        </w:rPr>
        <w:t>de 2014, se corrió traslado a las partes para que presentaran sus alegaciones finales y al Ministerio Público para que rindiese su concepto. En el término otorgado, la parte demandada presentó su escrito de alegaciones</w:t>
      </w:r>
      <w:r w:rsidR="00120334" w:rsidRPr="001D0B64">
        <w:rPr>
          <w:rFonts w:cs="Arial"/>
          <w:lang w:val="es-MX"/>
        </w:rPr>
        <w:t>,</w:t>
      </w:r>
      <w:r w:rsidR="00E62EF5" w:rsidRPr="001D0B64">
        <w:rPr>
          <w:rFonts w:cs="Arial"/>
          <w:lang w:val="es-MX"/>
        </w:rPr>
        <w:t xml:space="preserve"> en el cual, en esencia, solicitó que se confirmara el fallo impugnado. La parte actora y el Ministerio Público guardaron silencio.</w:t>
      </w:r>
    </w:p>
    <w:p w:rsidR="00E62EF5" w:rsidRPr="001D0B64" w:rsidRDefault="00E62EF5" w:rsidP="0024565D">
      <w:pPr>
        <w:rPr>
          <w:rFonts w:cs="Arial"/>
          <w:lang w:val="es-MX"/>
        </w:rPr>
      </w:pPr>
      <w:r w:rsidRPr="001D0B64">
        <w:rPr>
          <w:rFonts w:cs="Arial"/>
          <w:lang w:val="es-MX"/>
        </w:rPr>
        <w:t xml:space="preserve"> </w:t>
      </w:r>
    </w:p>
    <w:p w:rsidR="00702565" w:rsidRPr="001D0B64" w:rsidRDefault="00702565" w:rsidP="00702565">
      <w:pPr>
        <w:jc w:val="center"/>
        <w:rPr>
          <w:rFonts w:cs="Arial"/>
          <w:b/>
        </w:rPr>
      </w:pPr>
      <w:r w:rsidRPr="001D0B64">
        <w:rPr>
          <w:rFonts w:cs="Arial"/>
          <w:b/>
        </w:rPr>
        <w:t>II. C O N S I D E R A C I O N E S</w:t>
      </w:r>
    </w:p>
    <w:p w:rsidR="00702565" w:rsidRPr="001D0B64" w:rsidRDefault="00702565" w:rsidP="00702565">
      <w:pPr>
        <w:ind w:right="-1"/>
        <w:jc w:val="center"/>
        <w:rPr>
          <w:rFonts w:cs="Arial"/>
          <w:b/>
        </w:rPr>
      </w:pPr>
    </w:p>
    <w:p w:rsidR="00702565" w:rsidRPr="001D0B64" w:rsidRDefault="00702565" w:rsidP="00B402F6">
      <w:pPr>
        <w:ind w:right="-1"/>
        <w:rPr>
          <w:rFonts w:cs="Arial"/>
        </w:rPr>
      </w:pPr>
      <w:r w:rsidRPr="001D0B64">
        <w:rPr>
          <w:rFonts w:cs="Arial"/>
        </w:rPr>
        <w:t xml:space="preserve">Para resolver la segunda instancia de la presente </w:t>
      </w:r>
      <w:r w:rsidRPr="001D0B64">
        <w:rPr>
          <w:rFonts w:cs="Arial"/>
          <w:i/>
        </w:rPr>
        <w:t>litis</w:t>
      </w:r>
      <w:r w:rsidRPr="001D0B64">
        <w:rPr>
          <w:rFonts w:cs="Arial"/>
        </w:rPr>
        <w:t xml:space="preserve">, se abordarán los siguientes temas: </w:t>
      </w:r>
      <w:r w:rsidRPr="001D0B64">
        <w:rPr>
          <w:rFonts w:cs="Arial"/>
          <w:b/>
        </w:rPr>
        <w:t>1)</w:t>
      </w:r>
      <w:r w:rsidRPr="001D0B64">
        <w:rPr>
          <w:rFonts w:cs="Arial"/>
        </w:rPr>
        <w:t xml:space="preserve"> competencia del Consejo de Estado; </w:t>
      </w:r>
      <w:r w:rsidRPr="001D0B64">
        <w:rPr>
          <w:rFonts w:cs="Arial"/>
          <w:b/>
        </w:rPr>
        <w:t>2)</w:t>
      </w:r>
      <w:r w:rsidRPr="001D0B64">
        <w:rPr>
          <w:rFonts w:cs="Arial"/>
        </w:rPr>
        <w:t xml:space="preserve"> </w:t>
      </w:r>
      <w:r w:rsidR="00FD329A" w:rsidRPr="001D0B64">
        <w:rPr>
          <w:rFonts w:cs="Arial"/>
        </w:rPr>
        <w:t xml:space="preserve">procedencia y </w:t>
      </w:r>
      <w:r w:rsidR="00B06E49" w:rsidRPr="001D0B64">
        <w:rPr>
          <w:rFonts w:cs="Arial"/>
        </w:rPr>
        <w:t>opo</w:t>
      </w:r>
      <w:r w:rsidR="00FD329A" w:rsidRPr="001D0B64">
        <w:rPr>
          <w:rFonts w:cs="Arial"/>
        </w:rPr>
        <w:t>rtunidad para el ejercicio</w:t>
      </w:r>
      <w:r w:rsidR="00B06E49" w:rsidRPr="001D0B64">
        <w:rPr>
          <w:rFonts w:cs="Arial"/>
        </w:rPr>
        <w:t xml:space="preserve"> </w:t>
      </w:r>
      <w:r w:rsidR="00FD329A" w:rsidRPr="001D0B64">
        <w:rPr>
          <w:rFonts w:cs="Arial"/>
        </w:rPr>
        <w:t xml:space="preserve">del medio de control de nulidad y restablecimiento del derecho de carácter contractual: </w:t>
      </w:r>
      <w:r w:rsidR="00FD329A" w:rsidRPr="001D0B64">
        <w:rPr>
          <w:rFonts w:cs="Arial"/>
          <w:b/>
        </w:rPr>
        <w:t xml:space="preserve">2.1) </w:t>
      </w:r>
      <w:r w:rsidR="00FD329A" w:rsidRPr="001D0B64">
        <w:rPr>
          <w:rFonts w:cs="Arial"/>
        </w:rPr>
        <w:t xml:space="preserve">de la naturaleza de la decisión demandada; </w:t>
      </w:r>
      <w:r w:rsidR="00FD329A" w:rsidRPr="001D0B64">
        <w:rPr>
          <w:rFonts w:cs="Arial"/>
          <w:b/>
        </w:rPr>
        <w:t>2.2.)</w:t>
      </w:r>
      <w:r w:rsidR="00FD329A" w:rsidRPr="001D0B64">
        <w:rPr>
          <w:rFonts w:cs="Arial"/>
        </w:rPr>
        <w:t xml:space="preserve"> </w:t>
      </w:r>
      <w:r w:rsidR="005F01C2" w:rsidRPr="001D0B64">
        <w:rPr>
          <w:rFonts w:cs="Arial"/>
        </w:rPr>
        <w:t>c</w:t>
      </w:r>
      <w:r w:rsidR="00FE1E24" w:rsidRPr="001D0B64">
        <w:rPr>
          <w:rFonts w:cs="Arial"/>
        </w:rPr>
        <w:t>aducidad del medio de control de nulidad y restablecimiento del derecho</w:t>
      </w:r>
      <w:r w:rsidR="005F01C2" w:rsidRPr="001D0B64">
        <w:rPr>
          <w:rFonts w:cs="Arial"/>
        </w:rPr>
        <w:t xml:space="preserve">; </w:t>
      </w:r>
      <w:r w:rsidR="005F01C2" w:rsidRPr="001D0B64">
        <w:rPr>
          <w:rFonts w:cs="Arial"/>
          <w:b/>
        </w:rPr>
        <w:t>3)</w:t>
      </w:r>
      <w:r w:rsidR="00B402F6" w:rsidRPr="001D0B64">
        <w:rPr>
          <w:rFonts w:cs="Arial"/>
          <w:b/>
        </w:rPr>
        <w:t xml:space="preserve"> </w:t>
      </w:r>
      <w:r w:rsidR="00B402F6" w:rsidRPr="001D0B64">
        <w:rPr>
          <w:rFonts w:cs="Arial"/>
        </w:rPr>
        <w:t xml:space="preserve">de la pretensión de terminación del Contrato No. 1-01-25400-02672012 del 15 de junio de 2012 </w:t>
      </w:r>
      <w:r w:rsidRPr="001D0B64">
        <w:rPr>
          <w:rFonts w:cs="Arial"/>
        </w:rPr>
        <w:t xml:space="preserve">y </w:t>
      </w:r>
      <w:r w:rsidR="000C6B91" w:rsidRPr="001D0B64">
        <w:rPr>
          <w:rFonts w:cs="Arial"/>
          <w:b/>
        </w:rPr>
        <w:t>4</w:t>
      </w:r>
      <w:r w:rsidRPr="001D0B64">
        <w:rPr>
          <w:rFonts w:cs="Arial"/>
          <w:b/>
        </w:rPr>
        <w:t xml:space="preserve">) </w:t>
      </w:r>
      <w:r w:rsidRPr="001D0B64">
        <w:rPr>
          <w:rFonts w:cs="Arial"/>
        </w:rPr>
        <w:t>costas.</w:t>
      </w:r>
    </w:p>
    <w:p w:rsidR="00B402F6" w:rsidRPr="001D0B64" w:rsidRDefault="00B402F6" w:rsidP="00702565">
      <w:pPr>
        <w:ind w:right="-1"/>
        <w:rPr>
          <w:rFonts w:cs="Arial"/>
        </w:rPr>
      </w:pPr>
    </w:p>
    <w:p w:rsidR="00702565" w:rsidRPr="001D0B64" w:rsidRDefault="0048155D" w:rsidP="0048155D">
      <w:pPr>
        <w:ind w:right="-1"/>
        <w:rPr>
          <w:rFonts w:cs="Arial"/>
          <w:b/>
        </w:rPr>
      </w:pPr>
      <w:r w:rsidRPr="001D0B64">
        <w:rPr>
          <w:rFonts w:cs="Arial"/>
          <w:b/>
        </w:rPr>
        <w:t>1</w:t>
      </w:r>
      <w:r w:rsidR="005B13FB" w:rsidRPr="001D0B64">
        <w:rPr>
          <w:rFonts w:cs="Arial"/>
          <w:b/>
        </w:rPr>
        <w:t>)</w:t>
      </w:r>
      <w:r w:rsidRPr="001D0B64">
        <w:rPr>
          <w:rFonts w:cs="Arial"/>
          <w:b/>
        </w:rPr>
        <w:t xml:space="preserve"> C</w:t>
      </w:r>
      <w:r w:rsidR="00702565" w:rsidRPr="001D0B64">
        <w:rPr>
          <w:rFonts w:cs="Arial"/>
          <w:b/>
        </w:rPr>
        <w:t>ompetencia del Consejo de Estado</w:t>
      </w:r>
    </w:p>
    <w:p w:rsidR="00F74DD2" w:rsidRPr="001D0B64" w:rsidRDefault="00F74DD2" w:rsidP="00F74DD2">
      <w:pPr>
        <w:pStyle w:val="Textoindependiente"/>
        <w:autoSpaceDE/>
        <w:autoSpaceDN/>
        <w:adjustRightInd/>
        <w:ind w:right="-1"/>
        <w:rPr>
          <w:rFonts w:cs="Arial"/>
          <w:szCs w:val="24"/>
          <w:lang w:val="es-ES"/>
        </w:rPr>
      </w:pPr>
    </w:p>
    <w:p w:rsidR="00F74DD2" w:rsidRPr="001D0B64" w:rsidRDefault="00B06E49" w:rsidP="00B06E49">
      <w:pPr>
        <w:pStyle w:val="Textoindependiente"/>
        <w:autoSpaceDE/>
        <w:autoSpaceDN/>
        <w:adjustRightInd/>
        <w:ind w:right="-1"/>
        <w:rPr>
          <w:rFonts w:cs="Arial"/>
          <w:szCs w:val="24"/>
        </w:rPr>
      </w:pPr>
      <w:r w:rsidRPr="001D0B64">
        <w:rPr>
          <w:rFonts w:cs="Arial"/>
          <w:szCs w:val="24"/>
          <w:lang w:val="es-ES"/>
        </w:rPr>
        <w:t xml:space="preserve">1.1.- </w:t>
      </w:r>
      <w:r w:rsidR="00F74DD2" w:rsidRPr="001D0B64">
        <w:rPr>
          <w:rFonts w:cs="Arial"/>
          <w:szCs w:val="24"/>
          <w:lang w:val="es-ES"/>
        </w:rPr>
        <w:t xml:space="preserve">Se tiene presente que </w:t>
      </w:r>
      <w:r w:rsidR="00F74DD2" w:rsidRPr="001D0B64">
        <w:rPr>
          <w:rFonts w:cs="Arial"/>
          <w:szCs w:val="24"/>
          <w:lang w:val="es-CO"/>
        </w:rPr>
        <w:t xml:space="preserve">el </w:t>
      </w:r>
      <w:r w:rsidR="00F74DD2" w:rsidRPr="001D0B64">
        <w:rPr>
          <w:rFonts w:cs="Arial"/>
          <w:szCs w:val="24"/>
          <w:lang w:val="es-ES"/>
        </w:rPr>
        <w:t>artículo 104</w:t>
      </w:r>
      <w:r w:rsidR="00F74DD2" w:rsidRPr="001D0B64">
        <w:rPr>
          <w:rStyle w:val="Refdenotaalpie"/>
          <w:rFonts w:cs="Arial"/>
          <w:szCs w:val="24"/>
          <w:lang w:val="es-ES"/>
        </w:rPr>
        <w:footnoteReference w:id="2"/>
      </w:r>
      <w:r w:rsidR="00F74DD2" w:rsidRPr="001D0B64">
        <w:rPr>
          <w:rFonts w:cs="Arial"/>
          <w:szCs w:val="24"/>
          <w:lang w:val="es-ES"/>
        </w:rPr>
        <w:t xml:space="preserve"> de la Ley 1437 expedida en 2011 (C.P.A.C.A.), vigente a partir de 2 de julio de 2012, prescribe que l</w:t>
      </w:r>
      <w:r w:rsidR="00F74DD2" w:rsidRPr="001D0B64">
        <w:rPr>
          <w:rFonts w:cs="Arial"/>
          <w:szCs w:val="24"/>
        </w:rPr>
        <w:t>a Jurisdicción de lo Contencioso Administrativo se encuentra instituida para juzgar las controversias y litigios originados en</w:t>
      </w:r>
      <w:r w:rsidR="00120334" w:rsidRPr="001D0B64">
        <w:rPr>
          <w:rFonts w:cs="Arial"/>
          <w:szCs w:val="24"/>
        </w:rPr>
        <w:t xml:space="preserve"> actos</w:t>
      </w:r>
      <w:r w:rsidR="006D0D7D" w:rsidRPr="001D0B64">
        <w:rPr>
          <w:rFonts w:cs="Arial"/>
          <w:szCs w:val="24"/>
        </w:rPr>
        <w:t xml:space="preserve"> y</w:t>
      </w:r>
      <w:r w:rsidR="00F74DD2" w:rsidRPr="001D0B64">
        <w:rPr>
          <w:rFonts w:cs="Arial"/>
          <w:szCs w:val="24"/>
        </w:rPr>
        <w:t xml:space="preserve"> los contratos “</w:t>
      </w:r>
      <w:r w:rsidR="00F74DD2" w:rsidRPr="001D0B64">
        <w:rPr>
          <w:rFonts w:cs="Arial"/>
          <w:i/>
          <w:szCs w:val="24"/>
        </w:rPr>
        <w:t>sujetos al derecho administrativo, en los que estén involucradas las entidades públicas”</w:t>
      </w:r>
      <w:r w:rsidR="00F74DD2" w:rsidRPr="001D0B64">
        <w:rPr>
          <w:rFonts w:cs="Arial"/>
          <w:szCs w:val="24"/>
        </w:rPr>
        <w:t xml:space="preserve"> e igualmente le corresponde conocer de los contratos “</w:t>
      </w:r>
      <w:r w:rsidR="00F74DD2" w:rsidRPr="001D0B64">
        <w:rPr>
          <w:rFonts w:cs="Arial"/>
          <w:i/>
          <w:szCs w:val="24"/>
        </w:rPr>
        <w:t xml:space="preserve">cualquiera que sea su régimen, en los que sea parte una entidad pública o un particular en ejercicio </w:t>
      </w:r>
      <w:r w:rsidR="00051B98" w:rsidRPr="001D0B64">
        <w:rPr>
          <w:rFonts w:cs="Arial"/>
          <w:i/>
          <w:szCs w:val="24"/>
        </w:rPr>
        <w:t>de funciones propias del Estado</w:t>
      </w:r>
      <w:r w:rsidR="00F74DD2" w:rsidRPr="001D0B64">
        <w:rPr>
          <w:rFonts w:cs="Arial"/>
          <w:i/>
          <w:szCs w:val="24"/>
        </w:rPr>
        <w:t>”</w:t>
      </w:r>
      <w:r w:rsidR="00051B98" w:rsidRPr="001D0B64">
        <w:rPr>
          <w:rFonts w:cs="Arial"/>
          <w:i/>
          <w:szCs w:val="24"/>
        </w:rPr>
        <w:t>.</w:t>
      </w:r>
      <w:r w:rsidR="00F74DD2" w:rsidRPr="001D0B64">
        <w:rPr>
          <w:rFonts w:cs="Arial"/>
          <w:szCs w:val="24"/>
        </w:rPr>
        <w:t xml:space="preserve"> </w:t>
      </w:r>
    </w:p>
    <w:p w:rsidR="00702565" w:rsidRPr="001D0B64" w:rsidRDefault="00702565" w:rsidP="00702565">
      <w:pPr>
        <w:ind w:right="-1"/>
        <w:rPr>
          <w:rFonts w:cs="Arial"/>
        </w:rPr>
      </w:pPr>
    </w:p>
    <w:p w:rsidR="006D0D7D" w:rsidRPr="001D0B64" w:rsidRDefault="006D0D7D" w:rsidP="00702565">
      <w:pPr>
        <w:ind w:right="-1"/>
        <w:rPr>
          <w:rFonts w:cs="Arial"/>
        </w:rPr>
      </w:pPr>
      <w:r w:rsidRPr="001D0B64">
        <w:rPr>
          <w:rFonts w:cs="Arial"/>
        </w:rPr>
        <w:t>En esta oportunidad se enjuicia la nulidad del acto proferido el 12 de junio de 2012 por la Empresa de Acueducto y Alcantarillado de Bogotá</w:t>
      </w:r>
      <w:r w:rsidR="00D45C54" w:rsidRPr="001D0B64">
        <w:rPr>
          <w:rFonts w:cs="Arial"/>
        </w:rPr>
        <w:t>,</w:t>
      </w:r>
      <w:r w:rsidRPr="001D0B64">
        <w:rPr>
          <w:rFonts w:cs="Arial"/>
        </w:rPr>
        <w:t xml:space="preserve"> mediante el cual se </w:t>
      </w:r>
      <w:r w:rsidR="00447556" w:rsidRPr="001D0B64">
        <w:rPr>
          <w:rFonts w:cs="Arial"/>
        </w:rPr>
        <w:t>adjudicó</w:t>
      </w:r>
      <w:r w:rsidRPr="001D0B64">
        <w:rPr>
          <w:rFonts w:cs="Arial"/>
        </w:rPr>
        <w:t xml:space="preserve"> la </w:t>
      </w:r>
      <w:r w:rsidR="0070480A" w:rsidRPr="001D0B64">
        <w:rPr>
          <w:rFonts w:cs="Arial"/>
        </w:rPr>
        <w:t>I</w:t>
      </w:r>
      <w:r w:rsidR="00447556" w:rsidRPr="001D0B64">
        <w:rPr>
          <w:rFonts w:cs="Arial"/>
        </w:rPr>
        <w:t>nvitación</w:t>
      </w:r>
      <w:r w:rsidR="0070480A" w:rsidRPr="001D0B64">
        <w:rPr>
          <w:rFonts w:cs="Arial"/>
        </w:rPr>
        <w:t xml:space="preserve"> P</w:t>
      </w:r>
      <w:r w:rsidR="00447556" w:rsidRPr="001D0B64">
        <w:rPr>
          <w:rFonts w:cs="Arial"/>
        </w:rPr>
        <w:t>ública No. ICSM-0673-201</w:t>
      </w:r>
      <w:r w:rsidR="00D45C54" w:rsidRPr="001D0B64">
        <w:rPr>
          <w:rFonts w:cs="Arial"/>
        </w:rPr>
        <w:t>,</w:t>
      </w:r>
      <w:r w:rsidR="00447556" w:rsidRPr="001D0B64">
        <w:rPr>
          <w:rFonts w:cs="Arial"/>
        </w:rPr>
        <w:t xml:space="preserve"> cuyo objeto consistió en </w:t>
      </w:r>
      <w:r w:rsidR="0070480A" w:rsidRPr="001D0B64">
        <w:rPr>
          <w:rFonts w:cs="Arial"/>
        </w:rPr>
        <w:t xml:space="preserve">contratar la construcción de las obras de rehabilitación del tramo 1 de la tubería PCCP de 78” Tibitoc – Casablanca, al consorcio Rehabilitación Tibitoc. </w:t>
      </w:r>
    </w:p>
    <w:p w:rsidR="0070480A" w:rsidRPr="001D0B64" w:rsidRDefault="0070480A" w:rsidP="00702565">
      <w:pPr>
        <w:ind w:right="-1"/>
        <w:rPr>
          <w:rFonts w:cs="Arial"/>
        </w:rPr>
      </w:pPr>
    </w:p>
    <w:p w:rsidR="0070480A" w:rsidRPr="001D0B64" w:rsidRDefault="0070480A" w:rsidP="00702565">
      <w:pPr>
        <w:ind w:right="-1"/>
        <w:rPr>
          <w:rFonts w:cs="Arial"/>
        </w:rPr>
      </w:pPr>
      <w:r w:rsidRPr="001D0B64">
        <w:rPr>
          <w:rFonts w:cs="Arial"/>
        </w:rPr>
        <w:t>De manera consecuencia</w:t>
      </w:r>
      <w:r w:rsidR="0088434F" w:rsidRPr="001D0B64">
        <w:rPr>
          <w:rFonts w:cs="Arial"/>
        </w:rPr>
        <w:t xml:space="preserve">l se </w:t>
      </w:r>
      <w:r w:rsidR="00120334" w:rsidRPr="001D0B64">
        <w:rPr>
          <w:rFonts w:cs="Arial"/>
        </w:rPr>
        <w:t>solicitó</w:t>
      </w:r>
      <w:r w:rsidR="00D45C54" w:rsidRPr="001D0B64">
        <w:rPr>
          <w:rFonts w:cs="Arial"/>
        </w:rPr>
        <w:t xml:space="preserve"> que se ordenara</w:t>
      </w:r>
      <w:r w:rsidRPr="001D0B64">
        <w:rPr>
          <w:rFonts w:cs="Arial"/>
        </w:rPr>
        <w:t xml:space="preserve"> la terminación del Contrato No. 1-01-235400-02672 012</w:t>
      </w:r>
      <w:r w:rsidR="00D45C54" w:rsidRPr="001D0B64">
        <w:rPr>
          <w:rFonts w:cs="Arial"/>
        </w:rPr>
        <w:t>,</w:t>
      </w:r>
      <w:r w:rsidRPr="001D0B64">
        <w:rPr>
          <w:rFonts w:cs="Arial"/>
        </w:rPr>
        <w:t xml:space="preserve"> celebrado el 15 de junio de 2012 entre la Empresa de Acueducto de Alcantarillado de Bogotá </w:t>
      </w:r>
      <w:r w:rsidR="00C10041" w:rsidRPr="001D0B64">
        <w:rPr>
          <w:rFonts w:cs="Arial"/>
        </w:rPr>
        <w:t xml:space="preserve">y el consorcio Rehabilitación Tibitoc como resultado del acto de adjudicación </w:t>
      </w:r>
      <w:r w:rsidR="0088434F" w:rsidRPr="001D0B64">
        <w:rPr>
          <w:rFonts w:cs="Arial"/>
        </w:rPr>
        <w:t>controvertido</w:t>
      </w:r>
      <w:r w:rsidR="00C10041" w:rsidRPr="001D0B64">
        <w:rPr>
          <w:rFonts w:cs="Arial"/>
        </w:rPr>
        <w:t xml:space="preserve">. </w:t>
      </w:r>
    </w:p>
    <w:p w:rsidR="0088231F" w:rsidRPr="001D0B64" w:rsidRDefault="0088231F" w:rsidP="0088231F">
      <w:pPr>
        <w:rPr>
          <w:rFonts w:cs="Arial"/>
          <w:lang w:val="es-CO"/>
        </w:rPr>
      </w:pPr>
    </w:p>
    <w:p w:rsidR="0088231F" w:rsidRPr="001D0B64" w:rsidRDefault="0088231F" w:rsidP="0088231F">
      <w:pPr>
        <w:rPr>
          <w:rFonts w:cs="Arial"/>
          <w:lang w:val="es-CO"/>
        </w:rPr>
      </w:pPr>
      <w:r w:rsidRPr="001D0B64">
        <w:rPr>
          <w:rFonts w:cs="Arial"/>
          <w:lang w:val="es-CO"/>
        </w:rPr>
        <w:t>Así las cosas, se precisa que la parte demandada,</w:t>
      </w:r>
      <w:r w:rsidR="0035230C" w:rsidRPr="001D0B64">
        <w:rPr>
          <w:rFonts w:cs="Arial"/>
        </w:rPr>
        <w:t xml:space="preserve"> </w:t>
      </w:r>
      <w:r w:rsidR="00A23526" w:rsidRPr="001D0B64">
        <w:rPr>
          <w:rFonts w:cs="Arial"/>
          <w:lang w:val="es-CO"/>
        </w:rPr>
        <w:t>E</w:t>
      </w:r>
      <w:r w:rsidR="00CB3FDF" w:rsidRPr="001D0B64">
        <w:rPr>
          <w:rFonts w:cs="Arial"/>
          <w:lang w:val="es-CO"/>
        </w:rPr>
        <w:t xml:space="preserve">mpresa de Acueducto y Alcantarillado de Bogotá E.S.P. es una Empresa Industrial y Comercial del Estado del orden Distrital </w:t>
      </w:r>
      <w:r w:rsidR="00120334" w:rsidRPr="001D0B64">
        <w:rPr>
          <w:rFonts w:cs="Arial"/>
          <w:lang w:val="es-CO"/>
        </w:rPr>
        <w:t>y, en esa medida</w:t>
      </w:r>
      <w:r w:rsidR="00542506" w:rsidRPr="001D0B64">
        <w:rPr>
          <w:rFonts w:cs="Arial"/>
          <w:lang w:val="es-CO"/>
        </w:rPr>
        <w:t xml:space="preserve">, con sujeción </w:t>
      </w:r>
      <w:r w:rsidRPr="001D0B64">
        <w:rPr>
          <w:rFonts w:cs="Arial"/>
          <w:lang w:val="es-CO"/>
        </w:rPr>
        <w:t>a lo dispuesto en la</w:t>
      </w:r>
      <w:r w:rsidR="005E0AC2" w:rsidRPr="001D0B64">
        <w:rPr>
          <w:rFonts w:cs="Arial"/>
          <w:lang w:val="es-CO"/>
        </w:rPr>
        <w:t xml:space="preserve"> Ley 489 de 1998</w:t>
      </w:r>
      <w:r w:rsidR="00A23526" w:rsidRPr="001D0B64">
        <w:rPr>
          <w:rStyle w:val="Refdenotaalpie"/>
          <w:rFonts w:cs="Arial"/>
          <w:lang w:val="es-CO"/>
        </w:rPr>
        <w:footnoteReference w:id="3"/>
      </w:r>
      <w:r w:rsidR="00D45C54" w:rsidRPr="001D0B64">
        <w:rPr>
          <w:rFonts w:cs="Arial"/>
          <w:lang w:val="es-CO"/>
        </w:rPr>
        <w:t>,</w:t>
      </w:r>
      <w:r w:rsidRPr="001D0B64">
        <w:rPr>
          <w:rFonts w:cs="Arial"/>
          <w:lang w:val="es-CO"/>
        </w:rPr>
        <w:t xml:space="preserve"> norma que acaba de referirse, ostenta la naturaleza de entidad pública. </w:t>
      </w:r>
      <w:r w:rsidR="00B06E49" w:rsidRPr="001D0B64">
        <w:rPr>
          <w:rFonts w:cs="Arial"/>
          <w:lang w:val="es-CO"/>
        </w:rPr>
        <w:t xml:space="preserve">Por la razón advertida, esta </w:t>
      </w:r>
      <w:r w:rsidR="00C7050C" w:rsidRPr="001D0B64">
        <w:rPr>
          <w:rFonts w:cs="Arial"/>
          <w:lang w:val="es-CO"/>
        </w:rPr>
        <w:t>jurisdicción</w:t>
      </w:r>
      <w:r w:rsidR="00B06E49" w:rsidRPr="001D0B64">
        <w:rPr>
          <w:rFonts w:cs="Arial"/>
          <w:lang w:val="es-CO"/>
        </w:rPr>
        <w:t xml:space="preserve"> es competente para conocer del presente asunto.</w:t>
      </w:r>
    </w:p>
    <w:p w:rsidR="00B06E49" w:rsidRPr="001D0B64" w:rsidRDefault="00B06E49" w:rsidP="00B06E49">
      <w:pPr>
        <w:ind w:right="-1"/>
        <w:rPr>
          <w:rFonts w:cs="Arial"/>
          <w:color w:val="000000"/>
        </w:rPr>
      </w:pPr>
    </w:p>
    <w:p w:rsidR="00B06E49" w:rsidRPr="001D0B64" w:rsidRDefault="00B06E49" w:rsidP="00C7050C">
      <w:pPr>
        <w:ind w:right="-1"/>
        <w:rPr>
          <w:rFonts w:cs="Arial"/>
          <w:color w:val="000000"/>
        </w:rPr>
      </w:pPr>
      <w:r w:rsidRPr="001D0B64">
        <w:rPr>
          <w:rFonts w:cs="Arial"/>
          <w:color w:val="000000"/>
        </w:rPr>
        <w:t>1.2.- Con fundamento en el numeral 5 del artículo 152 de la Ley 1437 de 2011 y teniendo en cuenta que el valor de la pretensión mayor</w:t>
      </w:r>
      <w:r w:rsidRPr="001D0B64">
        <w:rPr>
          <w:rStyle w:val="Refdenotaalpie"/>
          <w:rFonts w:cs="Arial"/>
          <w:color w:val="000000"/>
        </w:rPr>
        <w:footnoteReference w:id="4"/>
      </w:r>
      <w:r w:rsidRPr="001D0B64">
        <w:rPr>
          <w:rFonts w:cs="Arial"/>
          <w:color w:val="000000"/>
        </w:rPr>
        <w:t xml:space="preserve"> resulta superior al monto equivalente a 500 salarios mínimos legales vigentes</w:t>
      </w:r>
      <w:r w:rsidRPr="001D0B64">
        <w:rPr>
          <w:rStyle w:val="Refdenotaalpie"/>
          <w:rFonts w:cs="Arial"/>
          <w:color w:val="000000"/>
        </w:rPr>
        <w:footnoteReference w:id="5"/>
      </w:r>
      <w:r w:rsidRPr="001D0B64">
        <w:rPr>
          <w:rFonts w:cs="Arial"/>
          <w:color w:val="000000"/>
        </w:rPr>
        <w:t xml:space="preserve"> a la fecha de presentación de la demanda, se concluye que el proceso tiene vocación de doble instancia.</w:t>
      </w:r>
    </w:p>
    <w:p w:rsidR="0073638A" w:rsidRPr="001D0B64" w:rsidRDefault="0073638A" w:rsidP="00C7050C">
      <w:pPr>
        <w:ind w:right="-1"/>
        <w:rPr>
          <w:rFonts w:cs="Arial"/>
          <w:color w:val="000000"/>
        </w:rPr>
      </w:pPr>
    </w:p>
    <w:p w:rsidR="00702565" w:rsidRPr="001D0B64" w:rsidRDefault="003E0EFE" w:rsidP="00702565">
      <w:pPr>
        <w:ind w:right="-1"/>
        <w:rPr>
          <w:rFonts w:cs="Arial"/>
          <w:b/>
        </w:rPr>
      </w:pPr>
      <w:r w:rsidRPr="001D0B64">
        <w:rPr>
          <w:rFonts w:cs="Arial"/>
          <w:b/>
        </w:rPr>
        <w:t>2</w:t>
      </w:r>
      <w:r w:rsidR="0038242B" w:rsidRPr="001D0B64">
        <w:rPr>
          <w:rFonts w:cs="Arial"/>
          <w:b/>
        </w:rPr>
        <w:t>)</w:t>
      </w:r>
      <w:r w:rsidR="00702565" w:rsidRPr="001D0B64">
        <w:rPr>
          <w:rFonts w:cs="Arial"/>
          <w:b/>
        </w:rPr>
        <w:t xml:space="preserve"> </w:t>
      </w:r>
      <w:r w:rsidR="00542506" w:rsidRPr="001D0B64">
        <w:rPr>
          <w:rFonts w:cs="Arial"/>
          <w:b/>
        </w:rPr>
        <w:t>Procedencia y o</w:t>
      </w:r>
      <w:r w:rsidR="00702565" w:rsidRPr="001D0B64">
        <w:rPr>
          <w:rFonts w:cs="Arial"/>
          <w:b/>
        </w:rPr>
        <w:t>portunidad para el ej</w:t>
      </w:r>
      <w:r w:rsidR="003B518D" w:rsidRPr="001D0B64">
        <w:rPr>
          <w:rFonts w:cs="Arial"/>
          <w:b/>
        </w:rPr>
        <w:t>ercicio del medio de control de nulidad y restablecimiento del derecho de carácter contractual</w:t>
      </w:r>
    </w:p>
    <w:p w:rsidR="003B518D" w:rsidRPr="001D0B64" w:rsidRDefault="003B518D" w:rsidP="003B518D">
      <w:pPr>
        <w:ind w:right="-1"/>
        <w:rPr>
          <w:rFonts w:cs="Arial"/>
        </w:rPr>
      </w:pPr>
    </w:p>
    <w:p w:rsidR="003B518D" w:rsidRPr="001D0B64" w:rsidRDefault="003B518D" w:rsidP="00542506">
      <w:pPr>
        <w:rPr>
          <w:rFonts w:cs="Arial"/>
          <w:lang w:val="es-CO" w:eastAsia="es-CO"/>
        </w:rPr>
      </w:pPr>
      <w:r w:rsidRPr="001D0B64">
        <w:rPr>
          <w:rFonts w:cs="Arial"/>
        </w:rPr>
        <w:t xml:space="preserve">Previo a analizar lo concerniente </w:t>
      </w:r>
      <w:r w:rsidR="00542506" w:rsidRPr="001D0B64">
        <w:rPr>
          <w:rFonts w:cs="Arial"/>
          <w:lang w:val="es-CO" w:eastAsia="es-CO"/>
        </w:rPr>
        <w:t xml:space="preserve">a la procedencia de la pretensión que se formula, </w:t>
      </w:r>
      <w:r w:rsidR="00542506" w:rsidRPr="001D0B64">
        <w:rPr>
          <w:rFonts w:cs="Arial"/>
          <w:i/>
          <w:lang w:val="es-CO" w:eastAsia="es-CO"/>
        </w:rPr>
        <w:t>prima facie</w:t>
      </w:r>
      <w:r w:rsidR="00542506" w:rsidRPr="001D0B64">
        <w:rPr>
          <w:rFonts w:cs="Arial"/>
          <w:lang w:val="es-CO" w:eastAsia="es-CO"/>
        </w:rPr>
        <w:t xml:space="preserve"> resulta necesario examinar la naturaleza del acto que se enjuicia, expedido por la entidad demandada, esto es, si corresponde a un acto administrativo susceptible de ser demandado ante la jurisdicción de lo Contencioso Administrativo</w:t>
      </w:r>
      <w:r w:rsidR="00AA498E" w:rsidRPr="001D0B64">
        <w:rPr>
          <w:rFonts w:cs="Arial"/>
        </w:rPr>
        <w:t>, en</w:t>
      </w:r>
      <w:r w:rsidR="00C3365D" w:rsidRPr="001D0B64">
        <w:rPr>
          <w:rFonts w:cs="Arial"/>
        </w:rPr>
        <w:t xml:space="preserve"> atención</w:t>
      </w:r>
      <w:r w:rsidR="00C6770A" w:rsidRPr="001D0B64">
        <w:rPr>
          <w:rFonts w:cs="Arial"/>
        </w:rPr>
        <w:t xml:space="preserve"> a</w:t>
      </w:r>
      <w:r w:rsidRPr="001D0B64">
        <w:rPr>
          <w:rFonts w:cs="Arial"/>
        </w:rPr>
        <w:t xml:space="preserve"> que</w:t>
      </w:r>
      <w:r w:rsidR="003B7729" w:rsidRPr="001D0B64">
        <w:rPr>
          <w:rFonts w:cs="Arial"/>
        </w:rPr>
        <w:t>,</w:t>
      </w:r>
      <w:r w:rsidRPr="001D0B64">
        <w:rPr>
          <w:rFonts w:cs="Arial"/>
        </w:rPr>
        <w:t xml:space="preserve"> no obstante ser materia del debate planteado por la defensa en t</w:t>
      </w:r>
      <w:r w:rsidR="003B7729" w:rsidRPr="001D0B64">
        <w:rPr>
          <w:rFonts w:cs="Arial"/>
        </w:rPr>
        <w:t>orno a la viabilidad de debatir</w:t>
      </w:r>
      <w:r w:rsidRPr="001D0B64">
        <w:rPr>
          <w:rFonts w:cs="Arial"/>
        </w:rPr>
        <w:t xml:space="preserve"> su legalidad</w:t>
      </w:r>
      <w:r w:rsidR="00100F76" w:rsidRPr="001D0B64">
        <w:rPr>
          <w:rFonts w:cs="Arial"/>
        </w:rPr>
        <w:t>,</w:t>
      </w:r>
      <w:r w:rsidRPr="001D0B64">
        <w:rPr>
          <w:rFonts w:cs="Arial"/>
        </w:rPr>
        <w:t xml:space="preserve"> por ser expedido por una empresa de servicios públicos cuyo régimen contractual se encuentra gobernado por las normas del derecho privado y </w:t>
      </w:r>
      <w:r w:rsidR="003B7729" w:rsidRPr="001D0B64">
        <w:rPr>
          <w:rFonts w:cs="Arial"/>
        </w:rPr>
        <w:t xml:space="preserve">por </w:t>
      </w:r>
      <w:r w:rsidRPr="001D0B64">
        <w:rPr>
          <w:rFonts w:cs="Arial"/>
        </w:rPr>
        <w:t>guardar estrecha relación con la</w:t>
      </w:r>
      <w:r w:rsidR="00542506" w:rsidRPr="001D0B64">
        <w:rPr>
          <w:rFonts w:cs="Arial"/>
        </w:rPr>
        <w:t xml:space="preserve"> procedencia de la petición</w:t>
      </w:r>
      <w:r w:rsidRPr="001D0B64">
        <w:rPr>
          <w:rFonts w:cs="Arial"/>
        </w:rPr>
        <w:t xml:space="preserve"> anulatoria</w:t>
      </w:r>
      <w:r w:rsidR="00542506" w:rsidRPr="001D0B64">
        <w:rPr>
          <w:rFonts w:cs="Arial"/>
        </w:rPr>
        <w:t xml:space="preserve"> invocada</w:t>
      </w:r>
      <w:r w:rsidRPr="001D0B64">
        <w:rPr>
          <w:rFonts w:cs="Arial"/>
        </w:rPr>
        <w:t xml:space="preserve">, la primera instancia guardó silencio sobre el particular. </w:t>
      </w:r>
    </w:p>
    <w:p w:rsidR="003B518D" w:rsidRPr="001D0B64" w:rsidRDefault="003B518D" w:rsidP="003B518D">
      <w:pPr>
        <w:ind w:right="-1"/>
        <w:rPr>
          <w:rFonts w:cs="Arial"/>
          <w:u w:val="single"/>
        </w:rPr>
      </w:pPr>
    </w:p>
    <w:p w:rsidR="003B518D" w:rsidRPr="001D0B64" w:rsidRDefault="00FD329A" w:rsidP="003B518D">
      <w:pPr>
        <w:ind w:right="-1"/>
        <w:rPr>
          <w:rFonts w:cs="Arial"/>
        </w:rPr>
      </w:pPr>
      <w:r w:rsidRPr="001D0B64">
        <w:rPr>
          <w:rFonts w:cs="Arial"/>
        </w:rPr>
        <w:t>2.1</w:t>
      </w:r>
      <w:r w:rsidR="001D3453" w:rsidRPr="001D0B64">
        <w:rPr>
          <w:rFonts w:cs="Arial"/>
        </w:rPr>
        <w:t xml:space="preserve">.- </w:t>
      </w:r>
      <w:r w:rsidR="003B518D" w:rsidRPr="001D0B64">
        <w:rPr>
          <w:rFonts w:cs="Arial"/>
          <w:u w:val="single"/>
        </w:rPr>
        <w:t>De la naturaleza de la decisión demandada</w:t>
      </w:r>
      <w:r w:rsidR="003B518D" w:rsidRPr="001D0B64">
        <w:rPr>
          <w:rFonts w:cs="Arial"/>
        </w:rPr>
        <w:t xml:space="preserve"> </w:t>
      </w:r>
    </w:p>
    <w:p w:rsidR="003B518D" w:rsidRPr="001D0B64" w:rsidRDefault="003B518D" w:rsidP="003B518D">
      <w:pPr>
        <w:rPr>
          <w:rFonts w:cs="Arial"/>
          <w:b/>
          <w:lang w:eastAsia="es-CO"/>
        </w:rPr>
      </w:pPr>
    </w:p>
    <w:p w:rsidR="003B518D" w:rsidRPr="001D0B64" w:rsidRDefault="003B518D" w:rsidP="003B518D">
      <w:pPr>
        <w:rPr>
          <w:rFonts w:cs="Arial"/>
          <w:lang w:eastAsia="es-CO"/>
        </w:rPr>
      </w:pPr>
      <w:r w:rsidRPr="001D0B64">
        <w:rPr>
          <w:rFonts w:cs="Arial"/>
          <w:lang w:eastAsia="es-CO"/>
        </w:rPr>
        <w:t>Se recuerda que la pretensi</w:t>
      </w:r>
      <w:r w:rsidR="000E39FB" w:rsidRPr="001D0B64">
        <w:rPr>
          <w:rFonts w:cs="Arial"/>
          <w:lang w:eastAsia="es-CO"/>
        </w:rPr>
        <w:t>ón de nulidad recayó</w:t>
      </w:r>
      <w:r w:rsidRPr="001D0B64">
        <w:rPr>
          <w:rFonts w:cs="Arial"/>
          <w:lang w:eastAsia="es-CO"/>
        </w:rPr>
        <w:t xml:space="preserve"> sobre el acto expedido el 12 de junio de 2012</w:t>
      </w:r>
      <w:r w:rsidR="000E39FB" w:rsidRPr="001D0B64">
        <w:rPr>
          <w:rFonts w:cs="Arial"/>
          <w:lang w:eastAsia="es-CO"/>
        </w:rPr>
        <w:t>,</w:t>
      </w:r>
      <w:r w:rsidRPr="001D0B64">
        <w:rPr>
          <w:rFonts w:cs="Arial"/>
          <w:lang w:eastAsia="es-CO"/>
        </w:rPr>
        <w:t xml:space="preserve"> por medio del cual </w:t>
      </w:r>
      <w:r w:rsidR="0089474C" w:rsidRPr="001D0B64">
        <w:rPr>
          <w:rFonts w:cs="Arial"/>
          <w:lang w:eastAsia="es-CO"/>
        </w:rPr>
        <w:t xml:space="preserve">la Empresa de Acueducto </w:t>
      </w:r>
      <w:r w:rsidR="00146F0B" w:rsidRPr="001D0B64">
        <w:rPr>
          <w:rFonts w:cs="Arial"/>
          <w:lang w:eastAsia="es-CO"/>
        </w:rPr>
        <w:t xml:space="preserve">y Alcantarillado </w:t>
      </w:r>
      <w:r w:rsidR="0089474C" w:rsidRPr="001D0B64">
        <w:rPr>
          <w:rFonts w:cs="Arial"/>
          <w:lang w:eastAsia="es-CO"/>
        </w:rPr>
        <w:t>de Bogotá, entidad pública cuya actividad contractual se encuentra regida por las normas del derecho privado</w:t>
      </w:r>
      <w:r w:rsidR="000816C5" w:rsidRPr="001D0B64">
        <w:rPr>
          <w:rStyle w:val="Refdenotaalpie"/>
          <w:rFonts w:cs="Arial"/>
          <w:lang w:eastAsia="es-CO"/>
        </w:rPr>
        <w:footnoteReference w:id="6"/>
      </w:r>
      <w:r w:rsidR="0089474C" w:rsidRPr="001D0B64">
        <w:rPr>
          <w:rFonts w:cs="Arial"/>
          <w:lang w:eastAsia="es-CO"/>
        </w:rPr>
        <w:t>, adjudicó la Invitación Pública No. ICSM-0673-2011 con el objeto de contratar la construcción de las obras de rehabilitación</w:t>
      </w:r>
      <w:r w:rsidR="00146F0B" w:rsidRPr="001D0B64">
        <w:rPr>
          <w:rFonts w:cs="Arial"/>
          <w:lang w:eastAsia="es-CO"/>
        </w:rPr>
        <w:t xml:space="preserve"> </w:t>
      </w:r>
      <w:r w:rsidR="000816C5" w:rsidRPr="001D0B64">
        <w:rPr>
          <w:rFonts w:cs="Arial"/>
          <w:lang w:eastAsia="es-CO"/>
        </w:rPr>
        <w:t xml:space="preserve">del tramo </w:t>
      </w:r>
      <w:r w:rsidR="003B7729" w:rsidRPr="001D0B64">
        <w:rPr>
          <w:rFonts w:cs="Arial"/>
          <w:lang w:eastAsia="es-CO"/>
        </w:rPr>
        <w:t xml:space="preserve">1 </w:t>
      </w:r>
      <w:r w:rsidR="000816C5" w:rsidRPr="001D0B64">
        <w:rPr>
          <w:rFonts w:cs="Arial"/>
          <w:lang w:eastAsia="es-CO"/>
        </w:rPr>
        <w:t>de la tubería PCCP de 78” Tibitoc – Casablanca.</w:t>
      </w:r>
      <w:r w:rsidR="0089474C" w:rsidRPr="001D0B64">
        <w:rPr>
          <w:rFonts w:cs="Arial"/>
          <w:lang w:eastAsia="es-CO"/>
        </w:rPr>
        <w:t xml:space="preserve"> </w:t>
      </w:r>
    </w:p>
    <w:p w:rsidR="003B518D" w:rsidRPr="001D0B64" w:rsidRDefault="003B518D" w:rsidP="003B518D">
      <w:pPr>
        <w:rPr>
          <w:rFonts w:cs="Arial"/>
          <w:b/>
          <w:lang w:eastAsia="es-CO"/>
        </w:rPr>
      </w:pPr>
    </w:p>
    <w:p w:rsidR="003B518D" w:rsidRPr="001D0B64" w:rsidRDefault="000E39FB" w:rsidP="003B518D">
      <w:pPr>
        <w:rPr>
          <w:rFonts w:cs="Arial"/>
          <w:b/>
          <w:lang w:eastAsia="es-CO"/>
        </w:rPr>
      </w:pPr>
      <w:r w:rsidRPr="001D0B64">
        <w:rPr>
          <w:rFonts w:cs="Arial"/>
          <w:lang w:eastAsia="es-CO"/>
        </w:rPr>
        <w:t>Para el propósito enunciado e</w:t>
      </w:r>
      <w:r w:rsidR="00542506" w:rsidRPr="001D0B64">
        <w:rPr>
          <w:rFonts w:cs="Arial"/>
          <w:lang w:eastAsia="es-CO"/>
        </w:rPr>
        <w:t>n punto a la naturaleza de la</w:t>
      </w:r>
      <w:r w:rsidRPr="001D0B64">
        <w:rPr>
          <w:rFonts w:cs="Arial"/>
          <w:lang w:eastAsia="es-CO"/>
        </w:rPr>
        <w:t xml:space="preserve"> decisión demandada, la Sala</w:t>
      </w:r>
      <w:r w:rsidR="003B518D" w:rsidRPr="001D0B64">
        <w:rPr>
          <w:rFonts w:cs="Arial"/>
          <w:lang w:eastAsia="es-CO"/>
        </w:rPr>
        <w:t xml:space="preserve"> co</w:t>
      </w:r>
      <w:r w:rsidR="001D3453" w:rsidRPr="001D0B64">
        <w:rPr>
          <w:rFonts w:cs="Arial"/>
          <w:lang w:eastAsia="es-CO"/>
        </w:rPr>
        <w:t>nviene la necesidad de reiterar las consideraciones esbozadas en</w:t>
      </w:r>
      <w:r w:rsidR="003B518D" w:rsidRPr="001D0B64">
        <w:rPr>
          <w:rFonts w:cs="Arial"/>
          <w:lang w:eastAsia="es-CO"/>
        </w:rPr>
        <w:t xml:space="preserve"> un pronunciamiento</w:t>
      </w:r>
      <w:r w:rsidR="0019123C" w:rsidRPr="001D0B64">
        <w:rPr>
          <w:rStyle w:val="Refdenotaalpie"/>
          <w:rFonts w:cs="Arial"/>
          <w:lang w:eastAsia="es-CO"/>
        </w:rPr>
        <w:footnoteReference w:id="7"/>
      </w:r>
      <w:r w:rsidR="003B518D" w:rsidRPr="001D0B64">
        <w:rPr>
          <w:rFonts w:cs="Arial"/>
          <w:lang w:eastAsia="es-CO"/>
        </w:rPr>
        <w:t xml:space="preserve"> dictado por esta Subsección en la pasada anualidad</w:t>
      </w:r>
      <w:r w:rsidR="00100F76" w:rsidRPr="001D0B64">
        <w:rPr>
          <w:rFonts w:cs="Arial"/>
          <w:lang w:eastAsia="es-CO"/>
        </w:rPr>
        <w:t>,</w:t>
      </w:r>
      <w:r w:rsidR="003B518D" w:rsidRPr="001D0B64">
        <w:rPr>
          <w:rFonts w:cs="Arial"/>
          <w:lang w:eastAsia="es-CO"/>
        </w:rPr>
        <w:t xml:space="preserve"> en el cual se abordó el análisis concerniente a</w:t>
      </w:r>
      <w:r w:rsidR="003B518D" w:rsidRPr="001D0B64">
        <w:rPr>
          <w:rFonts w:cs="Arial"/>
          <w:b/>
          <w:lang w:eastAsia="es-CO"/>
        </w:rPr>
        <w:t xml:space="preserve"> </w:t>
      </w:r>
      <w:r w:rsidR="001808EF" w:rsidRPr="001D0B64">
        <w:rPr>
          <w:rFonts w:cs="Arial"/>
        </w:rPr>
        <w:t>la</w:t>
      </w:r>
      <w:r w:rsidR="003B518D" w:rsidRPr="001D0B64">
        <w:rPr>
          <w:rFonts w:cs="Arial"/>
        </w:rPr>
        <w:t xml:space="preserve"> posibilidad de controlar judicialmente las actuaciones propias del trámite precontractual que adelantan las entidades estatales excluidas de la Ley 80 de 1993.</w:t>
      </w:r>
    </w:p>
    <w:p w:rsidR="003B518D" w:rsidRPr="001D0B64" w:rsidRDefault="003B518D" w:rsidP="003B518D">
      <w:pPr>
        <w:rPr>
          <w:rFonts w:cs="Arial"/>
          <w:lang w:val="es-CO" w:eastAsia="es-CO"/>
        </w:rPr>
      </w:pPr>
    </w:p>
    <w:p w:rsidR="003B518D" w:rsidRPr="001D0B64" w:rsidRDefault="0019123C" w:rsidP="003B518D">
      <w:pPr>
        <w:rPr>
          <w:rFonts w:cs="Arial"/>
        </w:rPr>
      </w:pPr>
      <w:r w:rsidRPr="001D0B64">
        <w:rPr>
          <w:rFonts w:cs="Arial"/>
        </w:rPr>
        <w:t>En esa oportunidad, se inició por</w:t>
      </w:r>
      <w:r w:rsidR="003B518D" w:rsidRPr="001D0B64">
        <w:rPr>
          <w:rFonts w:cs="Arial"/>
        </w:rPr>
        <w:t xml:space="preserve"> reconocer que las entidades excluidas de la Ley 80 de 1993 tienen un régimen contractual que vincula dos ordenamientos: el </w:t>
      </w:r>
      <w:r w:rsidR="003B518D" w:rsidRPr="001D0B64">
        <w:rPr>
          <w:rFonts w:cs="Arial"/>
          <w:i/>
        </w:rPr>
        <w:t>privado</w:t>
      </w:r>
      <w:r w:rsidR="003B518D" w:rsidRPr="001D0B64">
        <w:rPr>
          <w:rFonts w:cs="Arial"/>
        </w:rPr>
        <w:t xml:space="preserve">, de manera preponderante, como ordenador y determinador del aspecto sustantivo del negocio jurídico; y los </w:t>
      </w:r>
      <w:r w:rsidR="003B518D" w:rsidRPr="001D0B64">
        <w:rPr>
          <w:rFonts w:cs="Arial"/>
          <w:i/>
        </w:rPr>
        <w:t>principios</w:t>
      </w:r>
      <w:r w:rsidR="003B518D" w:rsidRPr="001D0B64">
        <w:rPr>
          <w:rFonts w:cs="Arial"/>
        </w:rPr>
        <w:t xml:space="preserve"> de la función administrativa, los principios de la gestión fiscal y el régimen de inhabilidades e incompatibilidades, como organizadores supletorios del anterior régimen cuando aplica al Estado. </w:t>
      </w:r>
    </w:p>
    <w:p w:rsidR="003B518D" w:rsidRPr="001D0B64" w:rsidRDefault="003B518D" w:rsidP="003B518D">
      <w:pPr>
        <w:rPr>
          <w:rFonts w:cs="Arial"/>
        </w:rPr>
      </w:pPr>
    </w:p>
    <w:p w:rsidR="003B518D" w:rsidRPr="001D0B64" w:rsidRDefault="003B518D" w:rsidP="003B518D">
      <w:pPr>
        <w:rPr>
          <w:rFonts w:cs="Arial"/>
        </w:rPr>
      </w:pPr>
      <w:r w:rsidRPr="001D0B64">
        <w:rPr>
          <w:rFonts w:cs="Arial"/>
        </w:rPr>
        <w:t>Esta combinación de ordenamientos es clara en vigencia del artículo 13 de la Ley 1150</w:t>
      </w:r>
      <w:r w:rsidRPr="001D0B64">
        <w:rPr>
          <w:rStyle w:val="Refdenotaalpie"/>
          <w:rFonts w:cs="Arial"/>
        </w:rPr>
        <w:footnoteReference w:id="8"/>
      </w:r>
      <w:r w:rsidRPr="001D0B64">
        <w:rPr>
          <w:rFonts w:cs="Arial"/>
        </w:rPr>
        <w:t xml:space="preserve">, pero no lo fue antes de esta fecha, </w:t>
      </w:r>
      <w:r w:rsidR="009F71B2" w:rsidRPr="001D0B64">
        <w:rPr>
          <w:rFonts w:cs="Arial"/>
        </w:rPr>
        <w:t>aun cuando sí</w:t>
      </w:r>
      <w:r w:rsidR="001D3453" w:rsidRPr="001D0B64">
        <w:rPr>
          <w:rFonts w:cs="Arial"/>
        </w:rPr>
        <w:t xml:space="preserve"> </w:t>
      </w:r>
      <w:r w:rsidRPr="001D0B64">
        <w:rPr>
          <w:rFonts w:cs="Arial"/>
        </w:rPr>
        <w:t xml:space="preserve">fue ampliamente reconocida por la doctrina y la jurisprudencia, </w:t>
      </w:r>
      <w:r w:rsidR="001D3453" w:rsidRPr="001D0B64">
        <w:rPr>
          <w:rFonts w:cs="Arial"/>
        </w:rPr>
        <w:t xml:space="preserve">a tal punto </w:t>
      </w:r>
      <w:r w:rsidR="001808EF" w:rsidRPr="001D0B64">
        <w:rPr>
          <w:rFonts w:cs="Arial"/>
        </w:rPr>
        <w:t xml:space="preserve">que </w:t>
      </w:r>
      <w:r w:rsidRPr="001D0B64">
        <w:rPr>
          <w:rFonts w:cs="Arial"/>
        </w:rPr>
        <w:t xml:space="preserve">de allí </w:t>
      </w:r>
      <w:r w:rsidR="001D3453" w:rsidRPr="001D0B64">
        <w:rPr>
          <w:rFonts w:cs="Arial"/>
        </w:rPr>
        <w:t xml:space="preserve">se </w:t>
      </w:r>
      <w:r w:rsidR="001808EF" w:rsidRPr="001D0B64">
        <w:rPr>
          <w:rFonts w:cs="Arial"/>
        </w:rPr>
        <w:t>impulsó</w:t>
      </w:r>
      <w:r w:rsidRPr="001D0B64">
        <w:rPr>
          <w:rFonts w:cs="Arial"/>
        </w:rPr>
        <w:t xml:space="preserve"> al legislador para </w:t>
      </w:r>
      <w:r w:rsidR="001D3453" w:rsidRPr="001D0B64">
        <w:rPr>
          <w:rFonts w:cs="Arial"/>
        </w:rPr>
        <w:t>sentarlo positivamente.</w:t>
      </w:r>
    </w:p>
    <w:p w:rsidR="003B518D" w:rsidRPr="001D0B64" w:rsidRDefault="003B518D" w:rsidP="003B518D">
      <w:pPr>
        <w:rPr>
          <w:rFonts w:cs="Arial"/>
        </w:rPr>
      </w:pPr>
    </w:p>
    <w:p w:rsidR="003B518D" w:rsidRPr="001D0B64" w:rsidRDefault="0014341A" w:rsidP="003B518D">
      <w:pPr>
        <w:rPr>
          <w:rFonts w:cs="Arial"/>
        </w:rPr>
      </w:pPr>
      <w:r w:rsidRPr="001D0B64">
        <w:rPr>
          <w:rFonts w:cs="Arial"/>
        </w:rPr>
        <w:t>La</w:t>
      </w:r>
      <w:r w:rsidR="00D50960" w:rsidRPr="001D0B64">
        <w:rPr>
          <w:rFonts w:cs="Arial"/>
        </w:rPr>
        <w:t xml:space="preserve"> circunstancia </w:t>
      </w:r>
      <w:r w:rsidRPr="001D0B64">
        <w:rPr>
          <w:rFonts w:cs="Arial"/>
        </w:rPr>
        <w:t xml:space="preserve">anotada </w:t>
      </w:r>
      <w:r w:rsidR="00D50960" w:rsidRPr="001D0B64">
        <w:rPr>
          <w:rFonts w:cs="Arial"/>
        </w:rPr>
        <w:t>ha suscitado</w:t>
      </w:r>
      <w:r w:rsidR="003B518D" w:rsidRPr="001D0B64">
        <w:rPr>
          <w:rFonts w:cs="Arial"/>
        </w:rPr>
        <w:t xml:space="preserve"> en la actualidad </w:t>
      </w:r>
      <w:r w:rsidR="00D50960" w:rsidRPr="001D0B64">
        <w:rPr>
          <w:rFonts w:cs="Arial"/>
        </w:rPr>
        <w:t xml:space="preserve">interrogantes tales como </w:t>
      </w:r>
      <w:r w:rsidR="003B518D" w:rsidRPr="001D0B64">
        <w:rPr>
          <w:rFonts w:cs="Arial"/>
        </w:rPr>
        <w:t xml:space="preserve">¿qué naturaleza tienen los actos pre-contractuales, qué naturaleza tiene el contrato y qué naturaleza </w:t>
      </w:r>
      <w:r w:rsidR="00D50960" w:rsidRPr="001D0B64">
        <w:rPr>
          <w:rFonts w:cs="Arial"/>
        </w:rPr>
        <w:t>t</w:t>
      </w:r>
      <w:r w:rsidR="001808EF" w:rsidRPr="001D0B64">
        <w:rPr>
          <w:rFonts w:cs="Arial"/>
        </w:rPr>
        <w:t>ienen los actos contractuales e,</w:t>
      </w:r>
      <w:r w:rsidR="00D50960" w:rsidRPr="001D0B64">
        <w:rPr>
          <w:rFonts w:cs="Arial"/>
        </w:rPr>
        <w:t xml:space="preserve"> incluso,</w:t>
      </w:r>
      <w:r w:rsidR="003B518D" w:rsidRPr="001D0B64">
        <w:rPr>
          <w:rFonts w:cs="Arial"/>
        </w:rPr>
        <w:t xml:space="preserve"> los post-contra</w:t>
      </w:r>
      <w:r w:rsidR="00100F76" w:rsidRPr="001D0B64">
        <w:rPr>
          <w:rFonts w:cs="Arial"/>
        </w:rPr>
        <w:t>c</w:t>
      </w:r>
      <w:r w:rsidR="003B518D" w:rsidRPr="001D0B64">
        <w:rPr>
          <w:rFonts w:cs="Arial"/>
        </w:rPr>
        <w:t xml:space="preserve">tuales, cuando los expiden entidades excluidas de la Ley 80? </w:t>
      </w:r>
      <w:r w:rsidR="00D50960" w:rsidRPr="001D0B64">
        <w:rPr>
          <w:rFonts w:cs="Arial"/>
        </w:rPr>
        <w:t>Para despejar estas inquietudes</w:t>
      </w:r>
      <w:r w:rsidR="003B518D" w:rsidRPr="001D0B64">
        <w:rPr>
          <w:rFonts w:cs="Arial"/>
        </w:rPr>
        <w:t xml:space="preserve">, y por lo menos desde el punto de vista lógico, son admisibles tres respuestas: </w:t>
      </w:r>
    </w:p>
    <w:p w:rsidR="00C43C51" w:rsidRPr="001D0B64" w:rsidRDefault="00C43C51" w:rsidP="003B518D">
      <w:pPr>
        <w:rPr>
          <w:rFonts w:cs="Arial"/>
        </w:rPr>
      </w:pPr>
    </w:p>
    <w:p w:rsidR="003B518D" w:rsidRPr="001D0B64" w:rsidRDefault="003B518D" w:rsidP="003B518D">
      <w:pPr>
        <w:ind w:firstLine="708"/>
        <w:rPr>
          <w:rFonts w:cs="Arial"/>
        </w:rPr>
      </w:pPr>
      <w:r w:rsidRPr="001D0B64">
        <w:rPr>
          <w:rFonts w:cs="Arial"/>
          <w:i/>
        </w:rPr>
        <w:t>i)</w:t>
      </w:r>
      <w:r w:rsidRPr="001D0B64">
        <w:rPr>
          <w:rFonts w:cs="Arial"/>
        </w:rPr>
        <w:t xml:space="preserve"> Primera, que como la actividad pre-contractual de las entidades excluidas no se rige por la Ley 80 de 1993, sino por el derecho privado y los principios de la función administrativa, los actos tienen naturaleza </w:t>
      </w:r>
      <w:r w:rsidRPr="001D0B64">
        <w:rPr>
          <w:rFonts w:cs="Arial"/>
          <w:i/>
        </w:rPr>
        <w:t>civil o mercantil</w:t>
      </w:r>
      <w:r w:rsidRPr="001D0B64">
        <w:rPr>
          <w:rFonts w:cs="Arial"/>
        </w:rPr>
        <w:t xml:space="preserve">, y su juez es </w:t>
      </w:r>
      <w:r w:rsidR="00C3365D" w:rsidRPr="001D0B64">
        <w:rPr>
          <w:rFonts w:cs="Arial"/>
        </w:rPr>
        <w:t xml:space="preserve">el de </w:t>
      </w:r>
      <w:r w:rsidRPr="001D0B64">
        <w:rPr>
          <w:rFonts w:cs="Arial"/>
        </w:rPr>
        <w:t>la justicia ordinaria.</w:t>
      </w:r>
    </w:p>
    <w:p w:rsidR="003B518D" w:rsidRPr="001D0B64" w:rsidRDefault="003B518D" w:rsidP="003B518D">
      <w:pPr>
        <w:ind w:firstLine="708"/>
        <w:rPr>
          <w:rFonts w:cs="Arial"/>
        </w:rPr>
      </w:pPr>
    </w:p>
    <w:p w:rsidR="003B518D" w:rsidRPr="001D0B64" w:rsidRDefault="003B518D" w:rsidP="003B518D">
      <w:pPr>
        <w:ind w:firstLine="708"/>
        <w:rPr>
          <w:rFonts w:cs="Arial"/>
        </w:rPr>
      </w:pPr>
      <w:r w:rsidRPr="001D0B64">
        <w:rPr>
          <w:rFonts w:cs="Arial"/>
          <w:i/>
        </w:rPr>
        <w:t>ii)</w:t>
      </w:r>
      <w:r w:rsidRPr="001D0B64">
        <w:rPr>
          <w:rFonts w:cs="Arial"/>
        </w:rPr>
        <w:t xml:space="preserve"> Segunda, que la actividad pre-contractual de las entidades excluidas se expresa en </w:t>
      </w:r>
      <w:r w:rsidRPr="001D0B64">
        <w:rPr>
          <w:rFonts w:cs="Arial"/>
          <w:i/>
        </w:rPr>
        <w:t>actos civiles o mercantiles</w:t>
      </w:r>
      <w:r w:rsidRPr="001D0B64">
        <w:rPr>
          <w:rFonts w:cs="Arial"/>
        </w:rPr>
        <w:t xml:space="preserve">, pero su juez es la jurisdicción de lo contencioso administrativo, porque </w:t>
      </w:r>
      <w:r w:rsidR="00AA498E" w:rsidRPr="001D0B64">
        <w:rPr>
          <w:rFonts w:cs="Arial"/>
        </w:rPr>
        <w:t xml:space="preserve">son </w:t>
      </w:r>
      <w:r w:rsidRPr="001D0B64">
        <w:rPr>
          <w:rFonts w:cs="Arial"/>
        </w:rPr>
        <w:t xml:space="preserve">las partes del proceso y no el régimen del acto </w:t>
      </w:r>
      <w:r w:rsidR="00AA498E" w:rsidRPr="001D0B64">
        <w:rPr>
          <w:rFonts w:cs="Arial"/>
        </w:rPr>
        <w:t>la</w:t>
      </w:r>
      <w:r w:rsidRPr="001D0B64">
        <w:rPr>
          <w:rFonts w:cs="Arial"/>
        </w:rPr>
        <w:t>s que definen la jurisdicción.</w:t>
      </w:r>
    </w:p>
    <w:p w:rsidR="003B518D" w:rsidRPr="001D0B64" w:rsidRDefault="003B518D" w:rsidP="003B518D">
      <w:pPr>
        <w:ind w:firstLine="708"/>
        <w:rPr>
          <w:rFonts w:cs="Arial"/>
        </w:rPr>
      </w:pPr>
    </w:p>
    <w:p w:rsidR="003B518D" w:rsidRPr="001D0B64" w:rsidRDefault="003B518D" w:rsidP="003B518D">
      <w:pPr>
        <w:ind w:firstLine="708"/>
        <w:rPr>
          <w:rFonts w:cs="Arial"/>
        </w:rPr>
      </w:pPr>
      <w:r w:rsidRPr="001D0B64">
        <w:rPr>
          <w:rFonts w:cs="Arial"/>
          <w:i/>
        </w:rPr>
        <w:t>iii)</w:t>
      </w:r>
      <w:r w:rsidRPr="001D0B64">
        <w:rPr>
          <w:rFonts w:cs="Arial"/>
        </w:rPr>
        <w:t xml:space="preserve"> Tercera, que la actividad pre-contractual de las entidades excluidas se expresa en </w:t>
      </w:r>
      <w:r w:rsidRPr="001D0B64">
        <w:rPr>
          <w:rFonts w:cs="Arial"/>
          <w:i/>
        </w:rPr>
        <w:t>actos administrativos</w:t>
      </w:r>
      <w:r w:rsidRPr="001D0B64">
        <w:rPr>
          <w:rFonts w:cs="Arial"/>
        </w:rPr>
        <w:t xml:space="preserve"> y que la jurisdicción de lo contencioso administrativo es quien los controla.</w:t>
      </w:r>
    </w:p>
    <w:p w:rsidR="003B518D" w:rsidRPr="001D0B64" w:rsidRDefault="003B518D" w:rsidP="003B518D">
      <w:pPr>
        <w:rPr>
          <w:rFonts w:cs="Arial"/>
        </w:rPr>
      </w:pPr>
    </w:p>
    <w:p w:rsidR="003B518D" w:rsidRPr="001D0B64" w:rsidRDefault="003B518D" w:rsidP="003B518D">
      <w:pPr>
        <w:rPr>
          <w:rFonts w:cs="Arial"/>
        </w:rPr>
      </w:pPr>
      <w:r w:rsidRPr="001D0B64">
        <w:rPr>
          <w:rFonts w:cs="Arial"/>
        </w:rPr>
        <w:t>Las tres posturas tienen diferencias parciales, pero también semejanzas, y conviene precisar la posición del Consejo de Estado, de la cual procede la definición de la jurisdicción para conocer de estos asuntos.</w:t>
      </w:r>
    </w:p>
    <w:p w:rsidR="003B518D" w:rsidRPr="001D0B64" w:rsidRDefault="003B518D" w:rsidP="003B518D">
      <w:pPr>
        <w:rPr>
          <w:rFonts w:cs="Arial"/>
        </w:rPr>
      </w:pPr>
    </w:p>
    <w:p w:rsidR="003B518D" w:rsidRPr="001D0B64" w:rsidRDefault="003B518D" w:rsidP="003B518D">
      <w:pPr>
        <w:pStyle w:val="Textonotapie"/>
        <w:rPr>
          <w:rFonts w:cs="Arial"/>
          <w:sz w:val="24"/>
          <w:szCs w:val="24"/>
        </w:rPr>
      </w:pPr>
      <w:r w:rsidRPr="001D0B64">
        <w:rPr>
          <w:rFonts w:cs="Arial"/>
          <w:sz w:val="24"/>
          <w:szCs w:val="24"/>
        </w:rPr>
        <w:t xml:space="preserve">En una sentencia de la </w:t>
      </w:r>
      <w:r w:rsidRPr="001D0B64">
        <w:rPr>
          <w:rFonts w:cs="Arial"/>
          <w:sz w:val="24"/>
          <w:szCs w:val="24"/>
          <w:lang w:val="es-CO"/>
        </w:rPr>
        <w:t xml:space="preserve">Sección Tercera, Subsección C, del 13 de abril de 2011 –exp. 37.423, CP. Jaime Orlando Santofimio Gamboa-, la Sala juzgó la validez del reglamento interno de contratación de la Empresa de Teléfonos de Bogotá. La entidad pública </w:t>
      </w:r>
      <w:r w:rsidR="00FB3A94" w:rsidRPr="001D0B64">
        <w:rPr>
          <w:rFonts w:cs="Arial"/>
          <w:sz w:val="24"/>
          <w:szCs w:val="24"/>
          <w:lang w:val="es-CO"/>
        </w:rPr>
        <w:t>en ejercicio de su oposición negó</w:t>
      </w:r>
      <w:r w:rsidRPr="001D0B64">
        <w:rPr>
          <w:rFonts w:cs="Arial"/>
          <w:sz w:val="24"/>
          <w:szCs w:val="24"/>
          <w:lang w:val="es-CO"/>
        </w:rPr>
        <w:t xml:space="preserve"> la naturaleza administrativa del acto que contenía el procedimiento de contratación</w:t>
      </w:r>
      <w:r w:rsidR="00FB3A94" w:rsidRPr="001D0B64">
        <w:rPr>
          <w:rFonts w:cs="Arial"/>
          <w:sz w:val="24"/>
          <w:szCs w:val="24"/>
          <w:lang w:val="es-CO"/>
        </w:rPr>
        <w:t xml:space="preserve"> y</w:t>
      </w:r>
      <w:r w:rsidRPr="001D0B64">
        <w:rPr>
          <w:rFonts w:cs="Arial"/>
          <w:sz w:val="24"/>
          <w:szCs w:val="24"/>
          <w:lang w:val="es-CO"/>
        </w:rPr>
        <w:t>, por tanto,</w:t>
      </w:r>
      <w:r w:rsidR="00FB3A94" w:rsidRPr="001D0B64">
        <w:rPr>
          <w:rFonts w:cs="Arial"/>
          <w:sz w:val="24"/>
          <w:szCs w:val="24"/>
          <w:lang w:val="es-CO"/>
        </w:rPr>
        <w:t xml:space="preserve"> desconoció</w:t>
      </w:r>
      <w:r w:rsidRPr="001D0B64">
        <w:rPr>
          <w:rFonts w:cs="Arial"/>
          <w:sz w:val="24"/>
          <w:szCs w:val="24"/>
          <w:lang w:val="es-CO"/>
        </w:rPr>
        <w:t xml:space="preserve"> la posibilidad de que la jurisdicción de lo contencioso administrativo lo controlara a través de la acción de simple nulidad. </w:t>
      </w:r>
      <w:r w:rsidR="00FB3A94" w:rsidRPr="001D0B64">
        <w:rPr>
          <w:rFonts w:cs="Arial"/>
          <w:sz w:val="24"/>
          <w:szCs w:val="24"/>
          <w:lang w:val="es-CO"/>
        </w:rPr>
        <w:t>Al resolver, l</w:t>
      </w:r>
      <w:r w:rsidRPr="001D0B64">
        <w:rPr>
          <w:rFonts w:cs="Arial"/>
          <w:sz w:val="24"/>
          <w:szCs w:val="24"/>
          <w:lang w:val="es-CO"/>
        </w:rPr>
        <w:t>a Subsección C concluyó que se trata</w:t>
      </w:r>
      <w:r w:rsidR="00146884" w:rsidRPr="001D0B64">
        <w:rPr>
          <w:rFonts w:cs="Arial"/>
          <w:sz w:val="24"/>
          <w:szCs w:val="24"/>
          <w:lang w:val="es-CO"/>
        </w:rPr>
        <w:t>ba</w:t>
      </w:r>
      <w:r w:rsidRPr="001D0B64">
        <w:rPr>
          <w:rFonts w:cs="Arial"/>
          <w:sz w:val="24"/>
          <w:szCs w:val="24"/>
          <w:lang w:val="es-CO"/>
        </w:rPr>
        <w:t xml:space="preserve"> de un </w:t>
      </w:r>
      <w:r w:rsidRPr="001D0B64">
        <w:rPr>
          <w:rFonts w:cs="Arial"/>
          <w:i/>
          <w:sz w:val="24"/>
          <w:szCs w:val="24"/>
          <w:lang w:val="es-CO"/>
        </w:rPr>
        <w:t>acto administrativo</w:t>
      </w:r>
      <w:r w:rsidRPr="001D0B64">
        <w:rPr>
          <w:rFonts w:cs="Arial"/>
          <w:sz w:val="24"/>
          <w:szCs w:val="24"/>
          <w:lang w:val="es-CO"/>
        </w:rPr>
        <w:t xml:space="preserve">, concretamente de un </w:t>
      </w:r>
      <w:r w:rsidRPr="001D0B64">
        <w:rPr>
          <w:rFonts w:cs="Arial"/>
          <w:i/>
          <w:sz w:val="24"/>
          <w:szCs w:val="24"/>
          <w:lang w:val="es-CO"/>
        </w:rPr>
        <w:t>reglamento</w:t>
      </w:r>
      <w:r w:rsidRPr="001D0B64">
        <w:rPr>
          <w:rFonts w:cs="Arial"/>
          <w:sz w:val="24"/>
          <w:szCs w:val="24"/>
          <w:lang w:val="es-CO"/>
        </w:rPr>
        <w:t>, por las siguientes razones:</w:t>
      </w:r>
    </w:p>
    <w:p w:rsidR="003B518D" w:rsidRPr="001D0B64" w:rsidRDefault="003B518D" w:rsidP="003B518D">
      <w:pPr>
        <w:ind w:left="567"/>
        <w:rPr>
          <w:rFonts w:cs="Arial"/>
        </w:rPr>
      </w:pPr>
    </w:p>
    <w:p w:rsidR="003B518D" w:rsidRPr="001D0B64" w:rsidRDefault="003B518D" w:rsidP="003B518D">
      <w:pPr>
        <w:spacing w:line="276" w:lineRule="auto"/>
        <w:ind w:left="567" w:right="618"/>
        <w:rPr>
          <w:rFonts w:cs="Arial"/>
          <w:i/>
          <w:lang w:eastAsia="es-CO"/>
        </w:rPr>
      </w:pPr>
      <w:r w:rsidRPr="001D0B64">
        <w:rPr>
          <w:rFonts w:cs="Arial"/>
          <w:i/>
          <w:lang w:eastAsia="es-CO"/>
        </w:rPr>
        <w:t>“Para la Sala resulta indispensable pronunciarse sobre este punto por dos razones. En primer lugar, porque la entidad demandada, al interponer el recurso de apelación, alegó que los actos demandados habían sido expedidos por la Junta Directiva de la ETB en cumplimiento de una disposición estatutaria amparada por el derecho privado y, por tanto, no se habían expedido en ejercicio de función administrativa. (…).</w:t>
      </w:r>
    </w:p>
    <w:p w:rsidR="003B518D" w:rsidRPr="001D0B64" w:rsidRDefault="003B518D" w:rsidP="003B518D">
      <w:pPr>
        <w:spacing w:line="276" w:lineRule="auto"/>
        <w:ind w:left="567" w:right="618"/>
        <w:rPr>
          <w:rFonts w:cs="Arial"/>
          <w:i/>
          <w:lang w:eastAsia="es-CO"/>
        </w:rPr>
      </w:pPr>
    </w:p>
    <w:p w:rsidR="003B518D" w:rsidRPr="001D0B64" w:rsidRDefault="003B518D" w:rsidP="003B518D">
      <w:pPr>
        <w:spacing w:line="276" w:lineRule="auto"/>
        <w:ind w:left="567" w:right="618"/>
        <w:rPr>
          <w:rFonts w:cs="Arial"/>
          <w:i/>
          <w:lang w:eastAsia="es-CO"/>
        </w:rPr>
      </w:pPr>
      <w:r w:rsidRPr="001D0B64">
        <w:rPr>
          <w:rFonts w:cs="Arial"/>
          <w:i/>
          <w:lang w:eastAsia="es-CO"/>
        </w:rPr>
        <w:t>“Así las cosas, la intervención del Estado en materias ligadas con los fines sociales de este, hace que la normatividad aplicable no pueda ser en términos absolutos de derecho común, sino por el contrario, un régimen jurídico con un alto contenido de un derecho especial, esto es, el de derecho administrativo.</w:t>
      </w:r>
    </w:p>
    <w:p w:rsidR="003B518D" w:rsidRPr="001D0B64" w:rsidRDefault="003B518D" w:rsidP="003B518D">
      <w:pPr>
        <w:spacing w:line="276" w:lineRule="auto"/>
        <w:ind w:left="567" w:right="618"/>
        <w:rPr>
          <w:rFonts w:cs="Arial"/>
          <w:i/>
          <w:lang w:eastAsia="es-CO"/>
        </w:rPr>
      </w:pPr>
      <w:r w:rsidRPr="001D0B64">
        <w:rPr>
          <w:rFonts w:cs="Arial"/>
          <w:i/>
          <w:lang w:eastAsia="es-CO"/>
        </w:rPr>
        <w:t>(…)</w:t>
      </w:r>
    </w:p>
    <w:p w:rsidR="003B518D" w:rsidRPr="001D0B64" w:rsidRDefault="003B518D" w:rsidP="003B518D">
      <w:pPr>
        <w:spacing w:line="276" w:lineRule="auto"/>
        <w:ind w:left="567" w:right="618"/>
        <w:rPr>
          <w:rFonts w:cs="Arial"/>
          <w:i/>
          <w:lang w:eastAsia="es-CO"/>
        </w:rPr>
      </w:pPr>
    </w:p>
    <w:p w:rsidR="003B518D" w:rsidRPr="001D0B64" w:rsidRDefault="003B518D" w:rsidP="003B518D">
      <w:pPr>
        <w:widowControl w:val="0"/>
        <w:autoSpaceDE w:val="0"/>
        <w:autoSpaceDN w:val="0"/>
        <w:adjustRightInd w:val="0"/>
        <w:spacing w:line="276" w:lineRule="auto"/>
        <w:ind w:left="567" w:right="618"/>
        <w:rPr>
          <w:rFonts w:cs="Arial"/>
          <w:i/>
          <w:lang w:val="es-ES_tradnl" w:eastAsia="es-ES_tradnl" w:bidi="es-ES_tradnl"/>
        </w:rPr>
      </w:pPr>
      <w:r w:rsidRPr="001D0B64">
        <w:rPr>
          <w:rFonts w:cs="Arial"/>
          <w:i/>
          <w:lang w:val="es-ES_tradnl" w:eastAsia="es-ES_tradnl" w:bidi="es-ES_tradnl"/>
        </w:rPr>
        <w:t xml:space="preserve">“Así las cosas, la Sala encuentra que es la propia Ley 142 la que faculta a las empresas de servicios públicos domiciliarios a dictar todos los </w:t>
      </w:r>
      <w:r w:rsidRPr="001D0B64">
        <w:rPr>
          <w:rFonts w:cs="Arial"/>
          <w:b/>
          <w:i/>
          <w:lang w:val="es-ES_tradnl" w:eastAsia="es-ES_tradnl" w:bidi="es-ES_tradnl"/>
        </w:rPr>
        <w:t>actos necesarios para su administración,</w:t>
      </w:r>
      <w:r w:rsidRPr="001D0B64">
        <w:rPr>
          <w:rFonts w:cs="Arial"/>
          <w:i/>
          <w:lang w:val="es-ES_tradnl" w:eastAsia="es-ES_tradnl" w:bidi="es-ES_tradnl"/>
        </w:rPr>
        <w:t xml:space="preserve"> en consecuencia, los manuales de contratación no son nada distinto que una manifestación de dicha competencia atribuida directamente por la ley, que, en virtud de su contenido material y del capital 100% público de las empresas oficiales de servicios públicos domiciliarios, revisten la forma jurídica de actos administrativos de contenido general, sin que ello signifique que su régimen contractual sea el del derecho público pues, como se verá  este sólo se aplicará de manera excepcional.</w:t>
      </w:r>
    </w:p>
    <w:p w:rsidR="003B518D" w:rsidRPr="001D0B64" w:rsidRDefault="003B518D" w:rsidP="003B518D">
      <w:pPr>
        <w:spacing w:line="276" w:lineRule="auto"/>
        <w:ind w:left="567" w:right="618"/>
        <w:rPr>
          <w:rFonts w:cs="Arial"/>
          <w:i/>
          <w:lang w:eastAsia="es-CO"/>
        </w:rPr>
      </w:pPr>
      <w:r w:rsidRPr="001D0B64">
        <w:rPr>
          <w:rFonts w:cs="Arial"/>
          <w:i/>
          <w:lang w:eastAsia="es-CO"/>
        </w:rPr>
        <w:t>(…)</w:t>
      </w:r>
    </w:p>
    <w:p w:rsidR="003B518D" w:rsidRPr="001D0B64" w:rsidRDefault="003B518D" w:rsidP="003B518D">
      <w:pPr>
        <w:spacing w:line="276" w:lineRule="auto"/>
        <w:ind w:left="567" w:right="618"/>
        <w:rPr>
          <w:rFonts w:cs="Arial"/>
          <w:i/>
          <w:lang w:eastAsia="es-CO"/>
        </w:rPr>
      </w:pPr>
    </w:p>
    <w:p w:rsidR="003B518D" w:rsidRPr="001D0B64" w:rsidRDefault="003B518D" w:rsidP="003B518D">
      <w:pPr>
        <w:spacing w:line="276" w:lineRule="auto"/>
        <w:ind w:left="567" w:right="618"/>
        <w:rPr>
          <w:rFonts w:cs="Arial"/>
          <w:i/>
          <w:lang w:eastAsia="es-CO"/>
        </w:rPr>
      </w:pPr>
      <w:r w:rsidRPr="001D0B64">
        <w:rPr>
          <w:rFonts w:cs="Arial"/>
          <w:i/>
          <w:lang w:eastAsia="es-CO"/>
        </w:rPr>
        <w:t>“En conclusión, el régimen jurídico al que se encuentran sometidos los servicios públicos domiciliarios en Colombia es especial, porque aunque la regla general es la aplicación de las normas del derecho privado, las características antes señaladas justifican que en algunos casos y para determinadas actuaciones se aplique el derecho público. Así las cosas, no es extraño que en determinados aspectos se deban adelantar verdaderos procedimientos administrativos y a las decisiones tomadas dentro de los mismos se les de la naturaleza de actos administrativos.</w:t>
      </w:r>
    </w:p>
    <w:p w:rsidR="003B518D" w:rsidRPr="001D0B64" w:rsidRDefault="003B518D" w:rsidP="003B518D">
      <w:pPr>
        <w:spacing w:line="276" w:lineRule="auto"/>
        <w:ind w:left="567" w:right="618"/>
        <w:rPr>
          <w:rFonts w:cs="Arial"/>
          <w:i/>
          <w:lang w:eastAsia="es-CO"/>
        </w:rPr>
      </w:pPr>
    </w:p>
    <w:p w:rsidR="003B518D" w:rsidRPr="001D0B64" w:rsidRDefault="003B518D" w:rsidP="003B518D">
      <w:pPr>
        <w:spacing w:line="276" w:lineRule="auto"/>
        <w:ind w:left="567" w:right="618"/>
        <w:rPr>
          <w:rFonts w:cs="Arial"/>
        </w:rPr>
      </w:pPr>
      <w:r w:rsidRPr="001D0B64">
        <w:rPr>
          <w:rFonts w:cs="Arial"/>
          <w:i/>
        </w:rPr>
        <w:t>“Por todo lo expuesto, a juicio de la Sala, los actos demandados deben ser calificados como actos administrativos”.</w:t>
      </w:r>
    </w:p>
    <w:p w:rsidR="003B518D" w:rsidRPr="001D0B64" w:rsidRDefault="003B518D" w:rsidP="003B518D">
      <w:pPr>
        <w:rPr>
          <w:rFonts w:cs="Arial"/>
        </w:rPr>
      </w:pPr>
    </w:p>
    <w:p w:rsidR="003B518D" w:rsidRPr="001D0B64" w:rsidRDefault="005E69E6" w:rsidP="003B518D">
      <w:pPr>
        <w:rPr>
          <w:rFonts w:cs="Arial"/>
        </w:rPr>
      </w:pPr>
      <w:r w:rsidRPr="001D0B64">
        <w:rPr>
          <w:rFonts w:cs="Arial"/>
        </w:rPr>
        <w:t>En línea con lo expuesto</w:t>
      </w:r>
      <w:r w:rsidR="003B518D" w:rsidRPr="001D0B64">
        <w:rPr>
          <w:rFonts w:cs="Arial"/>
        </w:rPr>
        <w:t xml:space="preserve">, </w:t>
      </w:r>
      <w:r w:rsidRPr="001D0B64">
        <w:rPr>
          <w:rFonts w:cs="Arial"/>
        </w:rPr>
        <w:t>para la Sala</w:t>
      </w:r>
      <w:r w:rsidR="00316160" w:rsidRPr="001D0B64">
        <w:rPr>
          <w:rFonts w:cs="Arial"/>
        </w:rPr>
        <w:t>,</w:t>
      </w:r>
      <w:r w:rsidRPr="001D0B64">
        <w:rPr>
          <w:rFonts w:cs="Arial"/>
        </w:rPr>
        <w:t xml:space="preserve"> </w:t>
      </w:r>
      <w:r w:rsidR="003B518D" w:rsidRPr="001D0B64">
        <w:rPr>
          <w:rFonts w:cs="Arial"/>
        </w:rPr>
        <w:t>el hecho de que una actividad se rija por un ordenamiento jurídico u otro –público o privado- no afecta la naturaleza de los actos que se producen a su amparo, es decir, que una cosa es el régimen sustantivo aplicable a un acto y otra la naturaleza jurídica</w:t>
      </w:r>
      <w:r w:rsidR="00AE3AF5" w:rsidRPr="001D0B64">
        <w:rPr>
          <w:rFonts w:cs="Arial"/>
        </w:rPr>
        <w:t xml:space="preserve"> del acto producido. A título ilustrativo</w:t>
      </w:r>
      <w:r w:rsidR="003B518D" w:rsidRPr="001D0B64">
        <w:rPr>
          <w:rFonts w:cs="Arial"/>
        </w:rPr>
        <w:t xml:space="preserve">, </w:t>
      </w:r>
      <w:r w:rsidR="00AE3AF5" w:rsidRPr="001D0B64">
        <w:rPr>
          <w:rFonts w:cs="Arial"/>
        </w:rPr>
        <w:t xml:space="preserve">gran </w:t>
      </w:r>
      <w:r w:rsidR="003B518D" w:rsidRPr="001D0B64">
        <w:rPr>
          <w:rFonts w:cs="Arial"/>
        </w:rPr>
        <w:t>parte del régimen de la seguridad social –Ley 100 de 1993- rige en el sector privado y en el sector público</w:t>
      </w:r>
      <w:r w:rsidR="00AE3AF5" w:rsidRPr="001D0B64">
        <w:rPr>
          <w:rFonts w:cs="Arial"/>
        </w:rPr>
        <w:t>. Sin embargo</w:t>
      </w:r>
      <w:r w:rsidR="003B518D" w:rsidRPr="001D0B64">
        <w:rPr>
          <w:rFonts w:cs="Arial"/>
        </w:rPr>
        <w:t xml:space="preserve">, cuando la Administración lo aplica, para conceder o negar prestaciones sociales o de salud, el acto que lo contiene es </w:t>
      </w:r>
      <w:r w:rsidR="003B518D" w:rsidRPr="001D0B64">
        <w:rPr>
          <w:rFonts w:cs="Arial"/>
          <w:i/>
        </w:rPr>
        <w:t>administrativo</w:t>
      </w:r>
      <w:r w:rsidR="003B518D" w:rsidRPr="001D0B64">
        <w:rPr>
          <w:rFonts w:cs="Arial"/>
        </w:rPr>
        <w:t xml:space="preserve">. En este evento no importa si la norma laboral es privada o pública, porque en cualquier caso el acto que concreta una situación jurídica particular o subjetiva es </w:t>
      </w:r>
      <w:r w:rsidR="003B518D" w:rsidRPr="001D0B64">
        <w:rPr>
          <w:rFonts w:cs="Arial"/>
          <w:i/>
        </w:rPr>
        <w:t>administrativo</w:t>
      </w:r>
      <w:r w:rsidR="003B518D" w:rsidRPr="001D0B64">
        <w:rPr>
          <w:rFonts w:cs="Arial"/>
        </w:rPr>
        <w:t xml:space="preserve">. </w:t>
      </w:r>
    </w:p>
    <w:p w:rsidR="003B518D" w:rsidRPr="001D0B64" w:rsidRDefault="003B518D" w:rsidP="003B518D">
      <w:pPr>
        <w:rPr>
          <w:rFonts w:cs="Arial"/>
        </w:rPr>
      </w:pPr>
    </w:p>
    <w:p w:rsidR="003B518D" w:rsidRPr="001D0B64" w:rsidRDefault="003B518D" w:rsidP="003B518D">
      <w:pPr>
        <w:rPr>
          <w:rFonts w:cs="Arial"/>
        </w:rPr>
      </w:pPr>
      <w:r w:rsidRPr="001D0B64">
        <w:rPr>
          <w:rFonts w:cs="Arial"/>
        </w:rPr>
        <w:t xml:space="preserve">Lo mismo sucede con los </w:t>
      </w:r>
      <w:r w:rsidRPr="001D0B64">
        <w:rPr>
          <w:rFonts w:cs="Arial"/>
          <w:i/>
        </w:rPr>
        <w:t>contratos estatales</w:t>
      </w:r>
      <w:r w:rsidRPr="001D0B64">
        <w:rPr>
          <w:rFonts w:cs="Arial"/>
        </w:rPr>
        <w:t>, cuya natural</w:t>
      </w:r>
      <w:r w:rsidR="00AE3AF5" w:rsidRPr="001D0B64">
        <w:rPr>
          <w:rFonts w:cs="Arial"/>
        </w:rPr>
        <w:t xml:space="preserve">eza se intentó diferenciar en años anteriores. </w:t>
      </w:r>
      <w:r w:rsidRPr="001D0B64">
        <w:rPr>
          <w:rFonts w:cs="Arial"/>
        </w:rPr>
        <w:t xml:space="preserve">En la década de los 90’ algunos </w:t>
      </w:r>
      <w:r w:rsidR="005E69E6" w:rsidRPr="001D0B64">
        <w:rPr>
          <w:rFonts w:cs="Arial"/>
        </w:rPr>
        <w:t>sectores sostuvieron</w:t>
      </w:r>
      <w:r w:rsidRPr="001D0B64">
        <w:rPr>
          <w:rFonts w:cs="Arial"/>
        </w:rPr>
        <w:t xml:space="preserve"> que si el negocio se regía por el derecho privado el contrato era </w:t>
      </w:r>
      <w:r w:rsidR="009069CD" w:rsidRPr="001D0B64">
        <w:rPr>
          <w:rFonts w:cs="Arial"/>
        </w:rPr>
        <w:t>civil o estatal</w:t>
      </w:r>
      <w:r w:rsidRPr="001D0B64">
        <w:rPr>
          <w:rFonts w:cs="Arial"/>
        </w:rPr>
        <w:t xml:space="preserve"> –según el caso-, y si se regía por el derecho público el contrato era</w:t>
      </w:r>
      <w:r w:rsidR="005E69E6" w:rsidRPr="001D0B64">
        <w:rPr>
          <w:rFonts w:cs="Arial"/>
        </w:rPr>
        <w:t xml:space="preserve"> </w:t>
      </w:r>
      <w:r w:rsidR="00C43C51" w:rsidRPr="001D0B64">
        <w:rPr>
          <w:rFonts w:cs="Arial"/>
        </w:rPr>
        <w:t>administrativo</w:t>
      </w:r>
      <w:r w:rsidR="005E69E6" w:rsidRPr="001D0B64">
        <w:rPr>
          <w:rFonts w:cs="Arial"/>
        </w:rPr>
        <w:t>. Posteriormente,</w:t>
      </w:r>
      <w:r w:rsidRPr="001D0B64">
        <w:rPr>
          <w:rFonts w:cs="Arial"/>
        </w:rPr>
        <w:t xml:space="preserve"> el Consejo de Estado concluyó que el régimen jurídico no determina</w:t>
      </w:r>
      <w:r w:rsidR="005E69E6" w:rsidRPr="001D0B64">
        <w:rPr>
          <w:rFonts w:cs="Arial"/>
        </w:rPr>
        <w:t>ba</w:t>
      </w:r>
      <w:r w:rsidRPr="001D0B64">
        <w:rPr>
          <w:rFonts w:cs="Arial"/>
        </w:rPr>
        <w:t xml:space="preserve"> su naturaleza </w:t>
      </w:r>
      <w:r w:rsidR="005E69E6" w:rsidRPr="001D0B64">
        <w:rPr>
          <w:rFonts w:cs="Arial"/>
        </w:rPr>
        <w:t>en tanto la misma debía guardar identidad con la calidad de las partes que integraban la relación negocial.</w:t>
      </w:r>
    </w:p>
    <w:p w:rsidR="003B518D" w:rsidRPr="001D0B64" w:rsidRDefault="003B518D" w:rsidP="003B518D">
      <w:pPr>
        <w:rPr>
          <w:rFonts w:cs="Arial"/>
        </w:rPr>
      </w:pPr>
    </w:p>
    <w:p w:rsidR="003B518D" w:rsidRPr="001D0B64" w:rsidRDefault="003B518D" w:rsidP="003B518D">
      <w:pPr>
        <w:rPr>
          <w:rFonts w:cs="Arial"/>
        </w:rPr>
      </w:pPr>
      <w:r w:rsidRPr="001D0B64">
        <w:rPr>
          <w:rFonts w:cs="Arial"/>
        </w:rPr>
        <w:t>Como consecuencia, para precisar la naturaleza resulta intrascendente que el contrato se rija por la Ley 80 o por el derecho privado, lo determinante es que una de las partes del negocio tenga el carácter de entidad estatal.</w:t>
      </w:r>
    </w:p>
    <w:p w:rsidR="003B518D" w:rsidRPr="001D0B64" w:rsidRDefault="003B518D" w:rsidP="003B518D">
      <w:pPr>
        <w:rPr>
          <w:rFonts w:cs="Arial"/>
        </w:rPr>
      </w:pPr>
    </w:p>
    <w:p w:rsidR="003B518D" w:rsidRPr="001D0B64" w:rsidRDefault="003B518D" w:rsidP="003B518D">
      <w:pPr>
        <w:rPr>
          <w:rFonts w:cs="Arial"/>
        </w:rPr>
      </w:pPr>
      <w:r w:rsidRPr="001D0B64">
        <w:rPr>
          <w:rFonts w:cs="Arial"/>
        </w:rPr>
        <w:t>Aplicadas estas ideas al tema general que se examina, la inquietud que emerge es si los actos del trámite pre-contractual de las entidades excluidas son administrativos o tienen naturaleza civil o mercantil, con la incidencia que esto representa sobre el control judicial de los mismos y sobre los medios de control que admiten.</w:t>
      </w:r>
    </w:p>
    <w:p w:rsidR="003B518D" w:rsidRPr="001D0B64" w:rsidRDefault="003B518D" w:rsidP="003B518D">
      <w:pPr>
        <w:rPr>
          <w:rFonts w:cs="Arial"/>
        </w:rPr>
      </w:pPr>
    </w:p>
    <w:p w:rsidR="003B518D" w:rsidRPr="001D0B64" w:rsidRDefault="0061246A" w:rsidP="003B518D">
      <w:pPr>
        <w:rPr>
          <w:rFonts w:cs="Arial"/>
        </w:rPr>
      </w:pPr>
      <w:r w:rsidRPr="001D0B64">
        <w:rPr>
          <w:rFonts w:cs="Arial"/>
        </w:rPr>
        <w:t>En armonía con lo dicho y por las mismas razones expuestas</w:t>
      </w:r>
      <w:r w:rsidR="003B518D" w:rsidRPr="001D0B64">
        <w:rPr>
          <w:rFonts w:cs="Arial"/>
        </w:rPr>
        <w:t>,</w:t>
      </w:r>
      <w:r w:rsidRPr="001D0B64">
        <w:rPr>
          <w:rFonts w:cs="Arial"/>
        </w:rPr>
        <w:t xml:space="preserve"> la Sala considera que</w:t>
      </w:r>
      <w:r w:rsidR="003B518D" w:rsidRPr="001D0B64">
        <w:rPr>
          <w:rFonts w:cs="Arial"/>
        </w:rPr>
        <w:t xml:space="preserve"> se trata de </w:t>
      </w:r>
      <w:r w:rsidR="003B518D" w:rsidRPr="001D0B64">
        <w:rPr>
          <w:rFonts w:cs="Arial"/>
          <w:i/>
        </w:rPr>
        <w:t>actos administrativos</w:t>
      </w:r>
      <w:r w:rsidR="003B518D" w:rsidRPr="001D0B64">
        <w:rPr>
          <w:rFonts w:cs="Arial"/>
        </w:rPr>
        <w:t xml:space="preserve">, bien de </w:t>
      </w:r>
      <w:r w:rsidR="003B518D" w:rsidRPr="001D0B64">
        <w:rPr>
          <w:rFonts w:cs="Arial"/>
          <w:i/>
        </w:rPr>
        <w:t>trámite</w:t>
      </w:r>
      <w:r w:rsidR="003B518D" w:rsidRPr="001D0B64">
        <w:rPr>
          <w:rFonts w:cs="Arial"/>
        </w:rPr>
        <w:t xml:space="preserve"> o bien </w:t>
      </w:r>
      <w:r w:rsidR="003B518D" w:rsidRPr="001D0B64">
        <w:rPr>
          <w:rFonts w:cs="Arial"/>
          <w:i/>
        </w:rPr>
        <w:t>definitivos</w:t>
      </w:r>
      <w:r w:rsidRPr="001D0B64">
        <w:rPr>
          <w:rFonts w:cs="Arial"/>
        </w:rPr>
        <w:t>, dado que su</w:t>
      </w:r>
      <w:r w:rsidR="003B518D" w:rsidRPr="001D0B64">
        <w:rPr>
          <w:rFonts w:cs="Arial"/>
        </w:rPr>
        <w:t xml:space="preserve"> naturaleza no depende –se insiste- del régimen jurídico sustantivo que rija la cuestión </w:t>
      </w:r>
      <w:r w:rsidRPr="001D0B64">
        <w:rPr>
          <w:rFonts w:cs="Arial"/>
        </w:rPr>
        <w:t>decidida</w:t>
      </w:r>
      <w:r w:rsidR="003B518D" w:rsidRPr="001D0B64">
        <w:rPr>
          <w:rFonts w:cs="Arial"/>
        </w:rPr>
        <w:t xml:space="preserve"> en el acto, sino de otras variables, esencialmente de la presencia de una entidad estatal, en ejercicio de una función administrativa, que define una situación jurídica y produce efectos jurídicos. Si el acto cumple esta definición es </w:t>
      </w:r>
      <w:r w:rsidR="003B518D" w:rsidRPr="001D0B64">
        <w:rPr>
          <w:rFonts w:cs="Arial"/>
          <w:i/>
        </w:rPr>
        <w:t>administrativo</w:t>
      </w:r>
      <w:r w:rsidR="003B518D" w:rsidRPr="001D0B64">
        <w:rPr>
          <w:rFonts w:cs="Arial"/>
        </w:rPr>
        <w:t xml:space="preserve"> y</w:t>
      </w:r>
      <w:r w:rsidR="00AE3AF5" w:rsidRPr="001D0B64">
        <w:rPr>
          <w:rFonts w:cs="Arial"/>
        </w:rPr>
        <w:t>,</w:t>
      </w:r>
      <w:r w:rsidR="003B518D" w:rsidRPr="001D0B64">
        <w:rPr>
          <w:rFonts w:cs="Arial"/>
        </w:rPr>
        <w:t xml:space="preserve"> </w:t>
      </w:r>
      <w:r w:rsidR="00AE3AF5" w:rsidRPr="001D0B64">
        <w:rPr>
          <w:rFonts w:cs="Arial"/>
        </w:rPr>
        <w:t>como resultado,</w:t>
      </w:r>
      <w:r w:rsidRPr="001D0B64">
        <w:rPr>
          <w:rFonts w:cs="Arial"/>
        </w:rPr>
        <w:t xml:space="preserve"> </w:t>
      </w:r>
      <w:r w:rsidR="003B518D" w:rsidRPr="001D0B64">
        <w:rPr>
          <w:rFonts w:cs="Arial"/>
        </w:rPr>
        <w:t xml:space="preserve">es controlable por </w:t>
      </w:r>
      <w:r w:rsidRPr="001D0B64">
        <w:rPr>
          <w:rFonts w:cs="Arial"/>
        </w:rPr>
        <w:t>la jurisdicción</w:t>
      </w:r>
      <w:r w:rsidR="003B518D" w:rsidRPr="001D0B64">
        <w:rPr>
          <w:rFonts w:cs="Arial"/>
        </w:rPr>
        <w:t xml:space="preserve"> </w:t>
      </w:r>
      <w:r w:rsidR="00316160" w:rsidRPr="001D0B64">
        <w:rPr>
          <w:rFonts w:cs="Arial"/>
        </w:rPr>
        <w:t xml:space="preserve">contenciosa </w:t>
      </w:r>
      <w:r w:rsidR="003B518D" w:rsidRPr="001D0B64">
        <w:rPr>
          <w:rFonts w:cs="Arial"/>
        </w:rPr>
        <w:t>administrativa, si concurren las condiciones del artículo 82 del CCA -hoy artículos 103 a 105 del CPACA-.</w:t>
      </w:r>
    </w:p>
    <w:p w:rsidR="003B518D" w:rsidRPr="001D0B64" w:rsidRDefault="003B518D" w:rsidP="003B518D">
      <w:pPr>
        <w:rPr>
          <w:rFonts w:cs="Arial"/>
        </w:rPr>
      </w:pPr>
    </w:p>
    <w:p w:rsidR="003B518D" w:rsidRPr="001D0B64" w:rsidRDefault="009D2665" w:rsidP="003B518D">
      <w:pPr>
        <w:rPr>
          <w:rFonts w:cs="Arial"/>
          <w:lang w:eastAsia="es-CO"/>
        </w:rPr>
      </w:pPr>
      <w:r w:rsidRPr="001D0B64">
        <w:rPr>
          <w:rFonts w:cs="Arial"/>
        </w:rPr>
        <w:t>Para dotar de vigor</w:t>
      </w:r>
      <w:r w:rsidR="003B518D" w:rsidRPr="001D0B64">
        <w:rPr>
          <w:rFonts w:cs="Arial"/>
        </w:rPr>
        <w:t xml:space="preserve"> esta conclusión, </w:t>
      </w:r>
      <w:r w:rsidRPr="001D0B64">
        <w:rPr>
          <w:rFonts w:cs="Arial"/>
        </w:rPr>
        <w:t xml:space="preserve">se precisa que </w:t>
      </w:r>
      <w:r w:rsidR="003B518D" w:rsidRPr="001D0B64">
        <w:rPr>
          <w:rFonts w:cs="Arial"/>
        </w:rPr>
        <w:t xml:space="preserve">la </w:t>
      </w:r>
      <w:r w:rsidR="003B518D" w:rsidRPr="001D0B64">
        <w:rPr>
          <w:rFonts w:cs="Arial"/>
          <w:lang w:val="es-CO"/>
        </w:rPr>
        <w:t>Sección Tercera</w:t>
      </w:r>
      <w:r w:rsidR="003B518D" w:rsidRPr="001D0B64">
        <w:rPr>
          <w:rFonts w:cs="Arial"/>
        </w:rPr>
        <w:t xml:space="preserve">, en la sentencia del </w:t>
      </w:r>
      <w:r w:rsidR="003B518D" w:rsidRPr="001D0B64">
        <w:rPr>
          <w:rFonts w:cs="Arial"/>
          <w:lang w:val="es-CO"/>
        </w:rPr>
        <w:t>20 de abril de 2005</w:t>
      </w:r>
      <w:r w:rsidR="003B518D" w:rsidRPr="001D0B64">
        <w:rPr>
          <w:rFonts w:cs="Arial"/>
        </w:rPr>
        <w:t xml:space="preserve"> –</w:t>
      </w:r>
      <w:r w:rsidR="003B518D" w:rsidRPr="001D0B64">
        <w:rPr>
          <w:rFonts w:cs="Arial"/>
          <w:lang w:val="es-CO"/>
        </w:rPr>
        <w:t>exp</w:t>
      </w:r>
      <w:r w:rsidR="003B518D" w:rsidRPr="001D0B64">
        <w:rPr>
          <w:rFonts w:cs="Arial"/>
        </w:rPr>
        <w:t>.</w:t>
      </w:r>
      <w:r w:rsidR="003B518D" w:rsidRPr="001D0B64">
        <w:rPr>
          <w:rFonts w:cs="Arial"/>
          <w:lang w:val="es-CO"/>
        </w:rPr>
        <w:t xml:space="preserve"> 14.519</w:t>
      </w:r>
      <w:r w:rsidR="003B518D" w:rsidRPr="001D0B64">
        <w:rPr>
          <w:rFonts w:cs="Arial"/>
          <w:lang w:val="es-ES_tradnl" w:eastAsia="es-CO"/>
        </w:rPr>
        <w:t xml:space="preserve">, CP. Ramiro Saavedra Becerra-, ya había declarado que la adjudicación de un procedimiento de contratación de una entidad estatal regida por normas privadas es un </w:t>
      </w:r>
      <w:r w:rsidR="003B518D" w:rsidRPr="001D0B64">
        <w:rPr>
          <w:rFonts w:cs="Arial"/>
          <w:i/>
          <w:lang w:val="es-ES_tradnl" w:eastAsia="es-CO"/>
        </w:rPr>
        <w:t>acto</w:t>
      </w:r>
      <w:r w:rsidR="003B518D" w:rsidRPr="001D0B64">
        <w:rPr>
          <w:rFonts w:cs="Arial"/>
          <w:lang w:val="es-ES_tradnl" w:eastAsia="es-CO"/>
        </w:rPr>
        <w:t xml:space="preserve"> </w:t>
      </w:r>
      <w:r w:rsidR="003B518D" w:rsidRPr="001D0B64">
        <w:rPr>
          <w:rFonts w:cs="Arial"/>
          <w:i/>
          <w:lang w:val="es-ES_tradnl" w:eastAsia="es-CO"/>
        </w:rPr>
        <w:t>administrativo</w:t>
      </w:r>
      <w:r w:rsidR="003B518D" w:rsidRPr="001D0B64">
        <w:rPr>
          <w:rFonts w:cs="Arial"/>
          <w:lang w:val="es-ES_tradnl" w:eastAsia="es-CO"/>
        </w:rPr>
        <w:t>:</w:t>
      </w:r>
    </w:p>
    <w:p w:rsidR="003B518D" w:rsidRPr="001D0B64" w:rsidRDefault="003B518D" w:rsidP="003B518D">
      <w:pPr>
        <w:rPr>
          <w:rFonts w:cs="Arial"/>
          <w:lang w:eastAsia="es-CO"/>
        </w:rPr>
      </w:pPr>
    </w:p>
    <w:p w:rsidR="003B518D" w:rsidRPr="001D0B64" w:rsidRDefault="003B518D" w:rsidP="003B518D">
      <w:pPr>
        <w:spacing w:line="276" w:lineRule="auto"/>
        <w:ind w:left="567" w:right="567"/>
        <w:rPr>
          <w:rFonts w:cs="Arial"/>
          <w:i/>
          <w:lang w:eastAsia="es-CO"/>
        </w:rPr>
      </w:pPr>
      <w:r w:rsidRPr="001D0B64">
        <w:rPr>
          <w:rFonts w:cs="Arial"/>
          <w:i/>
          <w:lang w:val="es-ES_tradnl" w:eastAsia="es-CO"/>
        </w:rPr>
        <w:t>“Se observa, en efecto, que recibidas y calificadas las propuestas por parte de la Universidad del Tolima, ésta decidió contratar con el señor Sierra, lo que significa que le adjudicó el contrato a este cotizante; aunque tal decisión no esté contenida en una resolución que así lo declare de manera expresa, constituye un acto administrativo cuya existencia se deduce de varios documentos:</w:t>
      </w:r>
    </w:p>
    <w:p w:rsidR="003B518D" w:rsidRPr="001D0B64" w:rsidRDefault="003B518D" w:rsidP="003B518D">
      <w:pPr>
        <w:spacing w:line="276" w:lineRule="auto"/>
        <w:ind w:left="567" w:right="567"/>
        <w:rPr>
          <w:rFonts w:cs="Arial"/>
          <w:i/>
          <w:lang w:val="es-ES_tradnl" w:eastAsia="es-CO"/>
        </w:rPr>
      </w:pPr>
      <w:r w:rsidRPr="001D0B64">
        <w:rPr>
          <w:rFonts w:cs="Arial"/>
          <w:i/>
          <w:lang w:val="es-ES_tradnl" w:eastAsia="es-CO"/>
        </w:rPr>
        <w:t>“(…).</w:t>
      </w:r>
    </w:p>
    <w:p w:rsidR="003B518D" w:rsidRPr="001D0B64" w:rsidRDefault="003B518D" w:rsidP="003B518D">
      <w:pPr>
        <w:spacing w:line="276" w:lineRule="auto"/>
        <w:ind w:left="567" w:right="567"/>
        <w:rPr>
          <w:rFonts w:cs="Arial"/>
          <w:i/>
          <w:lang w:eastAsia="es-CO"/>
        </w:rPr>
      </w:pPr>
    </w:p>
    <w:p w:rsidR="003B518D" w:rsidRPr="001D0B64" w:rsidRDefault="003B518D" w:rsidP="003B518D">
      <w:pPr>
        <w:spacing w:line="276" w:lineRule="auto"/>
        <w:ind w:left="567" w:right="567"/>
        <w:rPr>
          <w:rFonts w:cs="Arial"/>
          <w:i/>
          <w:lang w:eastAsia="es-CO"/>
        </w:rPr>
      </w:pPr>
      <w:r w:rsidRPr="001D0B64">
        <w:rPr>
          <w:rFonts w:cs="Arial"/>
          <w:i/>
          <w:lang w:val="es-ES_tradnl" w:eastAsia="es-CO"/>
        </w:rPr>
        <w:t>“Ya la sala en un caso similar en el que se comunicó a uno de los proponentes mediante un oficio del representante legal de la entidad, la decisión que había adoptado con relación a su propuesta y le informaba a quién había adjudicado el contrato, consideró que ese oficio cumplía con los atributos propios del acto administrativo, como quiera que provenía del funcionario competente, definía las expectativas del proponente frente a la adjudicación y culminaba la etapa de selección, (sentencia del 6 de noviembre de 1998, Exp. 10.832). 12 Auto del 14 de agosto de 2003. Expediente 25000232600020012509 01 (22.848)”.</w:t>
      </w:r>
    </w:p>
    <w:p w:rsidR="003B518D" w:rsidRPr="001D0B64" w:rsidRDefault="003B518D" w:rsidP="003B518D">
      <w:pPr>
        <w:rPr>
          <w:rFonts w:cs="Arial"/>
        </w:rPr>
      </w:pPr>
    </w:p>
    <w:p w:rsidR="003B518D" w:rsidRPr="001D0B64" w:rsidRDefault="003B518D" w:rsidP="003B518D">
      <w:pPr>
        <w:rPr>
          <w:rFonts w:cs="Arial"/>
        </w:rPr>
      </w:pPr>
      <w:r w:rsidRPr="001D0B64">
        <w:rPr>
          <w:rFonts w:cs="Arial"/>
          <w:lang w:val="es-MX"/>
        </w:rPr>
        <w:t xml:space="preserve">En un supuesto idéntico al del caso </w:t>
      </w:r>
      <w:r w:rsidRPr="001D0B64">
        <w:rPr>
          <w:rFonts w:cs="Arial"/>
          <w:i/>
          <w:lang w:val="es-MX"/>
        </w:rPr>
        <w:t>sub iudice</w:t>
      </w:r>
      <w:r w:rsidRPr="001D0B64">
        <w:rPr>
          <w:rFonts w:cs="Arial"/>
          <w:lang w:val="es-MX"/>
        </w:rPr>
        <w:t xml:space="preserve"> -auto del 1 de febrero de 2011, Sección Tercera, Subsección C, exp. 42.109. CP. Olga Mélida Valle de De la Hoz- un consorcio demandó a la Empresa de Acueducto y Alcantarillado de Bogotá porque no le adjudicó un </w:t>
      </w:r>
      <w:r w:rsidR="00AE3AF5" w:rsidRPr="001D0B64">
        <w:rPr>
          <w:rFonts w:cs="Arial"/>
          <w:lang w:val="es-MX"/>
        </w:rPr>
        <w:t>contrato</w:t>
      </w:r>
      <w:r w:rsidRPr="001D0B64">
        <w:rPr>
          <w:rFonts w:cs="Arial"/>
          <w:lang w:val="es-MX"/>
        </w:rPr>
        <w:t xml:space="preserve">. La Sala calificó el acto demandado como </w:t>
      </w:r>
      <w:r w:rsidRPr="001D0B64">
        <w:rPr>
          <w:rFonts w:cs="Arial"/>
          <w:i/>
          <w:lang w:val="es-MX"/>
        </w:rPr>
        <w:t>administrativo</w:t>
      </w:r>
      <w:r w:rsidRPr="001D0B64">
        <w:rPr>
          <w:rFonts w:cs="Arial"/>
          <w:lang w:val="es-MX"/>
        </w:rPr>
        <w:t>, y expresó que: “</w:t>
      </w:r>
      <w:r w:rsidRPr="001D0B64">
        <w:rPr>
          <w:rFonts w:cs="Arial"/>
          <w:i/>
        </w:rPr>
        <w:t xml:space="preserve">En el sub lite, se demandó la nulidad del acto administrativo proferido por la </w:t>
      </w:r>
      <w:r w:rsidRPr="001D0B64">
        <w:rPr>
          <w:rFonts w:cs="Arial"/>
          <w:i/>
          <w:lang w:val="es-CO"/>
        </w:rPr>
        <w:t>Empresa de Acueducto y Alcantarillado de Bogotá</w:t>
      </w:r>
      <w:r w:rsidRPr="001D0B64">
        <w:rPr>
          <w:rFonts w:cs="Arial"/>
          <w:i/>
        </w:rPr>
        <w:t xml:space="preserve"> de fecha 08 de noviembre de 2010 que declaró desierta la licitación No. ICGH-0248-2010…”. </w:t>
      </w:r>
      <w:r w:rsidRPr="001D0B64">
        <w:rPr>
          <w:rFonts w:cs="Arial"/>
        </w:rPr>
        <w:t>Agregó que:</w:t>
      </w:r>
      <w:r w:rsidRPr="001D0B64">
        <w:rPr>
          <w:rFonts w:cs="Arial"/>
          <w:i/>
        </w:rPr>
        <w:t xml:space="preserve"> </w:t>
      </w:r>
      <w:r w:rsidRPr="001D0B64">
        <w:rPr>
          <w:rFonts w:cs="Arial"/>
          <w:i/>
          <w:lang w:val="es-MX"/>
        </w:rPr>
        <w:t xml:space="preserve">“… </w:t>
      </w:r>
      <w:r w:rsidRPr="001D0B64">
        <w:rPr>
          <w:rFonts w:cs="Arial"/>
          <w:i/>
        </w:rPr>
        <w:t>resulta claro el hecho de que el acto administrativo que declara desierta una licitación, como el que aquí se demanda, es un acto previo al contrato y que por tanto el término para intentar la acción es el de 30 días...”</w:t>
      </w:r>
      <w:r w:rsidRPr="001D0B64">
        <w:rPr>
          <w:rFonts w:cs="Arial"/>
        </w:rPr>
        <w:t>.</w:t>
      </w:r>
    </w:p>
    <w:p w:rsidR="003B518D" w:rsidRPr="001D0B64" w:rsidRDefault="003B518D" w:rsidP="003B518D">
      <w:pPr>
        <w:rPr>
          <w:rFonts w:cs="Arial"/>
        </w:rPr>
      </w:pPr>
    </w:p>
    <w:p w:rsidR="003B518D" w:rsidRPr="001D0B64" w:rsidRDefault="003B518D" w:rsidP="003B518D">
      <w:pPr>
        <w:ind w:right="-31"/>
        <w:rPr>
          <w:rFonts w:cs="Arial"/>
        </w:rPr>
      </w:pPr>
      <w:r w:rsidRPr="001D0B64">
        <w:rPr>
          <w:rFonts w:cs="Arial"/>
          <w:lang w:eastAsia="es-CO"/>
        </w:rPr>
        <w:t xml:space="preserve">Esta perspectiva </w:t>
      </w:r>
      <w:r w:rsidR="00C36F41" w:rsidRPr="001D0B64">
        <w:rPr>
          <w:rFonts w:cs="Arial"/>
          <w:lang w:eastAsia="es-CO"/>
        </w:rPr>
        <w:t xml:space="preserve">de pensamiento </w:t>
      </w:r>
      <w:r w:rsidRPr="001D0B64">
        <w:rPr>
          <w:rFonts w:cs="Arial"/>
          <w:lang w:eastAsia="es-CO"/>
        </w:rPr>
        <w:t xml:space="preserve">la reiteró la Subsección A en la </w:t>
      </w:r>
      <w:r w:rsidRPr="001D0B64">
        <w:rPr>
          <w:rFonts w:cs="Arial"/>
        </w:rPr>
        <w:t>sentencia del</w:t>
      </w:r>
      <w:r w:rsidRPr="001D0B64">
        <w:rPr>
          <w:rFonts w:cs="Arial"/>
          <w:lang w:val="es-CO"/>
        </w:rPr>
        <w:t xml:space="preserve"> 12 de febrero de 2014 –exp. 28.209, CP. Mauricio Fajardo Gómez</w:t>
      </w:r>
      <w:r w:rsidR="00AE3AF5" w:rsidRPr="001D0B64">
        <w:rPr>
          <w:rFonts w:cs="Arial"/>
          <w:lang w:val="es-CO"/>
        </w:rPr>
        <w:t>, de</w:t>
      </w:r>
      <w:r w:rsidR="00C36F41" w:rsidRPr="001D0B64">
        <w:rPr>
          <w:rFonts w:cs="Arial"/>
          <w:lang w:val="es-CO"/>
        </w:rPr>
        <w:t xml:space="preserve"> conformidad con la cual </w:t>
      </w:r>
      <w:r w:rsidR="00AE3AF5" w:rsidRPr="001D0B64">
        <w:rPr>
          <w:rFonts w:cs="Arial"/>
          <w:lang w:val="es-CO"/>
        </w:rPr>
        <w:t xml:space="preserve">la </w:t>
      </w:r>
      <w:r w:rsidRPr="001D0B64">
        <w:rPr>
          <w:rFonts w:cs="Arial"/>
          <w:lang w:eastAsia="es-CO"/>
        </w:rPr>
        <w:t>decisión de una entidad fin</w:t>
      </w:r>
      <w:r w:rsidR="00C36F41" w:rsidRPr="001D0B64">
        <w:rPr>
          <w:rFonts w:cs="Arial"/>
          <w:lang w:eastAsia="es-CO"/>
        </w:rPr>
        <w:t>anciera de naturaleza pública consistente en</w:t>
      </w:r>
      <w:r w:rsidRPr="001D0B64">
        <w:rPr>
          <w:rFonts w:cs="Arial"/>
          <w:lang w:eastAsia="es-CO"/>
        </w:rPr>
        <w:t xml:space="preserve"> no adjudicar un contrato, producto de una invitación privada formulada al amparo del derecho comercial, contenía una </w:t>
      </w:r>
      <w:r w:rsidRPr="001D0B64">
        <w:rPr>
          <w:rFonts w:cs="Arial"/>
        </w:rPr>
        <w:t>manifestación unilateral de la Administración que produjo efectos jurídicos, puesto que fue a partir de su conocimiento que el interesado vio frustrado su interés legítimo en la contratación:</w:t>
      </w:r>
    </w:p>
    <w:p w:rsidR="003B518D" w:rsidRPr="001D0B64" w:rsidRDefault="003B518D" w:rsidP="003B518D">
      <w:pPr>
        <w:ind w:right="-31"/>
        <w:rPr>
          <w:rFonts w:cs="Arial"/>
        </w:rPr>
      </w:pPr>
    </w:p>
    <w:p w:rsidR="003B518D" w:rsidRPr="001D0B64" w:rsidRDefault="003B518D" w:rsidP="003B518D">
      <w:pPr>
        <w:spacing w:line="276" w:lineRule="auto"/>
        <w:ind w:left="567" w:right="567"/>
        <w:rPr>
          <w:rFonts w:cs="Arial"/>
          <w:lang w:eastAsia="es-CO"/>
        </w:rPr>
      </w:pPr>
      <w:r w:rsidRPr="001D0B64">
        <w:rPr>
          <w:rFonts w:cs="Arial"/>
          <w:i/>
        </w:rPr>
        <w:t xml:space="preserve">“Todo lo anterior basta para concluir que el oficio No. 193 del 1 de febrero de 2000, en cuanto contuvo la decisión de no adjudicar el contrato a alguno de los proponentes y, por ende, produjo efectos jurídicos en la medida en que puso fin al procedimiento de selección e impidió al oferente que tenía el legítimo derecho a celebrar el contrato, constituyó un verdadero acto administrativo, por tanto susceptible de ser enjuiciado a través de la acción de nulidad y restablecimiento de derecho que ahora se decide en segunda instancia”. </w:t>
      </w:r>
      <w:r w:rsidRPr="001D0B64">
        <w:rPr>
          <w:rFonts w:cs="Arial"/>
          <w:lang w:eastAsia="es-CO"/>
        </w:rPr>
        <w:t xml:space="preserve"> </w:t>
      </w:r>
    </w:p>
    <w:p w:rsidR="003B518D" w:rsidRPr="001D0B64" w:rsidRDefault="003B518D" w:rsidP="003B518D">
      <w:pPr>
        <w:rPr>
          <w:rFonts w:cs="Arial"/>
        </w:rPr>
      </w:pPr>
    </w:p>
    <w:p w:rsidR="009B03DE" w:rsidRPr="001D0B64" w:rsidRDefault="009B03DE" w:rsidP="003B518D">
      <w:pPr>
        <w:rPr>
          <w:rFonts w:cs="Arial"/>
        </w:rPr>
      </w:pPr>
      <w:r w:rsidRPr="001D0B64">
        <w:rPr>
          <w:rFonts w:cs="Arial"/>
        </w:rPr>
        <w:t>Con apego a lo anotado</w:t>
      </w:r>
      <w:r w:rsidR="003B518D" w:rsidRPr="001D0B64">
        <w:rPr>
          <w:rFonts w:cs="Arial"/>
        </w:rPr>
        <w:t xml:space="preserve">, toda actuación administrativa, expresada o no bajo la forma de procedimiento, sin importar si el régimen sustantivo que la inspira es el derecho administrativo o el privado, forma parte de la actividad productora de </w:t>
      </w:r>
      <w:r w:rsidR="003B518D" w:rsidRPr="001D0B64">
        <w:rPr>
          <w:rFonts w:cs="Arial"/>
          <w:i/>
        </w:rPr>
        <w:t xml:space="preserve">actos administrativos </w:t>
      </w:r>
      <w:r w:rsidR="003B518D" w:rsidRPr="001D0B64">
        <w:rPr>
          <w:rFonts w:cs="Arial"/>
        </w:rPr>
        <w:t>-siempre que contengan una decisión que produzca efectos jurídicos-, por tanto</w:t>
      </w:r>
      <w:r w:rsidR="00ED3FA6" w:rsidRPr="001D0B64">
        <w:rPr>
          <w:rFonts w:cs="Arial"/>
        </w:rPr>
        <w:t>,</w:t>
      </w:r>
      <w:r w:rsidR="003B518D" w:rsidRPr="001D0B64">
        <w:rPr>
          <w:rFonts w:cs="Arial"/>
        </w:rPr>
        <w:t xml:space="preserve"> es susceptible de ser controlada por la jurisdicción de lo contencioso administrativo</w:t>
      </w:r>
      <w:r w:rsidR="003B518D" w:rsidRPr="001D0B64">
        <w:rPr>
          <w:rStyle w:val="Refdenotaalpie"/>
          <w:rFonts w:cs="Arial"/>
        </w:rPr>
        <w:footnoteReference w:id="9"/>
      </w:r>
      <w:r w:rsidR="003B518D" w:rsidRPr="001D0B64">
        <w:rPr>
          <w:rFonts w:cs="Arial"/>
        </w:rPr>
        <w:t xml:space="preserve">. </w:t>
      </w:r>
    </w:p>
    <w:p w:rsidR="00FE1E24" w:rsidRPr="001D0B64" w:rsidRDefault="00FE1E24" w:rsidP="003B518D">
      <w:pPr>
        <w:rPr>
          <w:rFonts w:cs="Arial"/>
        </w:rPr>
      </w:pPr>
    </w:p>
    <w:p w:rsidR="003B518D" w:rsidRPr="001D0B64" w:rsidRDefault="00AE3AF5" w:rsidP="003B518D">
      <w:pPr>
        <w:rPr>
          <w:rFonts w:cs="Arial"/>
        </w:rPr>
      </w:pPr>
      <w:r w:rsidRPr="001D0B64">
        <w:rPr>
          <w:rFonts w:cs="Arial"/>
        </w:rPr>
        <w:t>Esta conclusión, avalada</w:t>
      </w:r>
      <w:r w:rsidR="003B518D" w:rsidRPr="001D0B64">
        <w:rPr>
          <w:rFonts w:cs="Arial"/>
        </w:rPr>
        <w:t xml:space="preserve"> en múltiples providencias, asegura la racionalidad de la actuación del Estado, el principio de legalidad, el control al e</w:t>
      </w:r>
      <w:r w:rsidR="009B03DE" w:rsidRPr="001D0B64">
        <w:rPr>
          <w:rFonts w:cs="Arial"/>
        </w:rPr>
        <w:t>jercicio de la actividad administrativa</w:t>
      </w:r>
      <w:r w:rsidR="003B518D" w:rsidRPr="001D0B64">
        <w:rPr>
          <w:rFonts w:cs="Arial"/>
        </w:rPr>
        <w:t xml:space="preserve"> y los derechos fundamentales.</w:t>
      </w:r>
    </w:p>
    <w:p w:rsidR="003B518D" w:rsidRPr="001D0B64" w:rsidRDefault="003B518D" w:rsidP="003B518D">
      <w:pPr>
        <w:rPr>
          <w:rFonts w:cs="Arial"/>
        </w:rPr>
      </w:pPr>
    </w:p>
    <w:p w:rsidR="003B518D" w:rsidRPr="001D0B64" w:rsidRDefault="003B518D" w:rsidP="003B518D">
      <w:pPr>
        <w:rPr>
          <w:rFonts w:cs="Arial"/>
        </w:rPr>
      </w:pPr>
      <w:r w:rsidRPr="001D0B64">
        <w:rPr>
          <w:rFonts w:cs="Arial"/>
        </w:rPr>
        <w:t xml:space="preserve">La naturaleza del acto y su control se conecta con el primer principio, porque la existencia de un procedimiento no sólo resulta útil a quien lo realiza, para tomar una buena decisión, sino que sirve a la sociedad para garantizar que la entidad estatal que lo adelanta cumpla con las normas que lo regulan. </w:t>
      </w:r>
    </w:p>
    <w:p w:rsidR="003B518D" w:rsidRPr="001D0B64" w:rsidRDefault="003B518D" w:rsidP="003B518D">
      <w:pPr>
        <w:rPr>
          <w:rFonts w:cs="Arial"/>
        </w:rPr>
      </w:pPr>
    </w:p>
    <w:p w:rsidR="003B518D" w:rsidRPr="001D0B64" w:rsidRDefault="00316160" w:rsidP="003B518D">
      <w:pPr>
        <w:rPr>
          <w:rFonts w:cs="Arial"/>
        </w:rPr>
      </w:pPr>
      <w:r w:rsidRPr="001D0B64">
        <w:rPr>
          <w:rFonts w:cs="Arial"/>
        </w:rPr>
        <w:t>El principio de legalidad</w:t>
      </w:r>
      <w:r w:rsidR="003B518D" w:rsidRPr="001D0B64">
        <w:rPr>
          <w:rFonts w:cs="Arial"/>
        </w:rPr>
        <w:t xml:space="preserve"> no se desvanece porque la Ad</w:t>
      </w:r>
      <w:r w:rsidR="009B03DE" w:rsidRPr="001D0B64">
        <w:rPr>
          <w:rFonts w:cs="Arial"/>
        </w:rPr>
        <w:t>ministración se encuentre sometida a</w:t>
      </w:r>
      <w:r w:rsidR="003B518D" w:rsidRPr="001D0B64">
        <w:rPr>
          <w:rFonts w:cs="Arial"/>
        </w:rPr>
        <w:t xml:space="preserve">l derecho privado, </w:t>
      </w:r>
      <w:r w:rsidR="009B03DE" w:rsidRPr="001D0B64">
        <w:rPr>
          <w:rFonts w:cs="Arial"/>
        </w:rPr>
        <w:t xml:space="preserve">en cuanto </w:t>
      </w:r>
      <w:r w:rsidR="003B518D" w:rsidRPr="001D0B64">
        <w:rPr>
          <w:rFonts w:cs="Arial"/>
        </w:rPr>
        <w:t>los principios de la función administrativa siguen vinculados a la actuación contractual del Estado</w:t>
      </w:r>
      <w:r w:rsidRPr="001D0B64">
        <w:rPr>
          <w:rFonts w:cs="Arial"/>
        </w:rPr>
        <w:t>,</w:t>
      </w:r>
      <w:r w:rsidR="003B518D" w:rsidRPr="001D0B64">
        <w:rPr>
          <w:rFonts w:cs="Arial"/>
        </w:rPr>
        <w:t xml:space="preserve"> </w:t>
      </w:r>
      <w:r w:rsidR="00AE3AF5" w:rsidRPr="001D0B64">
        <w:rPr>
          <w:rFonts w:cs="Arial"/>
        </w:rPr>
        <w:t>al margen d</w:t>
      </w:r>
      <w:r w:rsidR="003B518D" w:rsidRPr="001D0B64">
        <w:rPr>
          <w:rFonts w:cs="Arial"/>
        </w:rPr>
        <w:t>el régimen sustantivo del negocio jurídico, cuestión que justifica, adicionalmente, que el principio de legalidad se incorpore a ese sistema y</w:t>
      </w:r>
      <w:r w:rsidR="009B03DE" w:rsidRPr="001D0B64">
        <w:rPr>
          <w:rFonts w:cs="Arial"/>
        </w:rPr>
        <w:t>,</w:t>
      </w:r>
      <w:r w:rsidR="003B518D" w:rsidRPr="001D0B64">
        <w:rPr>
          <w:rFonts w:cs="Arial"/>
        </w:rPr>
        <w:t xml:space="preserve"> por tanto</w:t>
      </w:r>
      <w:r w:rsidR="009B03DE" w:rsidRPr="001D0B64">
        <w:rPr>
          <w:rFonts w:cs="Arial"/>
        </w:rPr>
        <w:t>,</w:t>
      </w:r>
      <w:r w:rsidR="003B518D" w:rsidRPr="001D0B64">
        <w:rPr>
          <w:rFonts w:cs="Arial"/>
        </w:rPr>
        <w:t xml:space="preserve"> </w:t>
      </w:r>
      <w:r w:rsidR="009B03DE" w:rsidRPr="001D0B64">
        <w:rPr>
          <w:rFonts w:cs="Arial"/>
        </w:rPr>
        <w:t>se implemente</w:t>
      </w:r>
      <w:r w:rsidR="003B518D" w:rsidRPr="001D0B64">
        <w:rPr>
          <w:rFonts w:cs="Arial"/>
        </w:rPr>
        <w:t xml:space="preserve"> para que la jurisdicción controle a la Administración.</w:t>
      </w:r>
    </w:p>
    <w:p w:rsidR="003B518D" w:rsidRPr="001D0B64" w:rsidRDefault="003B518D" w:rsidP="003B518D">
      <w:pPr>
        <w:rPr>
          <w:rFonts w:cs="Arial"/>
        </w:rPr>
      </w:pPr>
    </w:p>
    <w:p w:rsidR="003B518D" w:rsidRPr="001D0B64" w:rsidRDefault="003B518D" w:rsidP="003B518D">
      <w:pPr>
        <w:rPr>
          <w:rFonts w:cs="Arial"/>
        </w:rPr>
      </w:pPr>
      <w:r w:rsidRPr="001D0B64">
        <w:rPr>
          <w:rFonts w:cs="Arial"/>
        </w:rPr>
        <w:t>Sobre el control al ejercicio de la actividad administrativa, los medios de control de nulidad o de nulidad y restablecimiento del derecho dependen de que el acto enjuiciado sea administrativo, así que otra clase de decisión no tiene control a través de estos medios procesales. El juez administrativo, consciente de la función de apertura y cierre que tiene la calidad de acto administrativo o de acto civil o mercantil de las decisiones de la Administración, no puede declinar ante el deber constitucional que tiene de controlar el poder público, para lo cual debe favorecer los instrumentos y los medios que aseguren la racionalidad y la libertad que garantiza el ejercicio del control sobre las decisiones de la Administración.</w:t>
      </w:r>
    </w:p>
    <w:p w:rsidR="003B518D" w:rsidRPr="001D0B64" w:rsidRDefault="003B518D" w:rsidP="003B518D">
      <w:pPr>
        <w:rPr>
          <w:rFonts w:cs="Arial"/>
        </w:rPr>
      </w:pPr>
    </w:p>
    <w:p w:rsidR="003B518D" w:rsidRPr="001D0B64" w:rsidRDefault="003B518D" w:rsidP="003B518D">
      <w:pPr>
        <w:rPr>
          <w:rFonts w:cs="Arial"/>
        </w:rPr>
      </w:pPr>
      <w:r w:rsidRPr="001D0B64">
        <w:rPr>
          <w:rFonts w:cs="Arial"/>
        </w:rPr>
        <w:t xml:space="preserve">Finalmente, los derechos fundamentales también se encuentran </w:t>
      </w:r>
      <w:r w:rsidR="00B3641A" w:rsidRPr="001D0B64">
        <w:rPr>
          <w:rFonts w:cs="Arial"/>
        </w:rPr>
        <w:t xml:space="preserve">comprometidos </w:t>
      </w:r>
      <w:r w:rsidRPr="001D0B64">
        <w:rPr>
          <w:rFonts w:cs="Arial"/>
        </w:rPr>
        <w:t xml:space="preserve">en la respuesta que el Consejo de Estado </w:t>
      </w:r>
      <w:r w:rsidR="00B3641A" w:rsidRPr="001D0B64">
        <w:rPr>
          <w:rFonts w:cs="Arial"/>
        </w:rPr>
        <w:t xml:space="preserve">ha brindado acerca de </w:t>
      </w:r>
      <w:r w:rsidRPr="001D0B64">
        <w:rPr>
          <w:rFonts w:cs="Arial"/>
        </w:rPr>
        <w:t>la naturaleza de los actos propios del procedimiento pre-contractual y contractual de las entidades excluidas de la Ley 80. En efecto, calificar un procedimiento de administrativo o dejar de hacerlo, y calificar un acto de administrativo o de mercantil tiene incidencia en la intensidad de la vigencia y protección de los derechos fundamentales: si la actuación y el acto so</w:t>
      </w:r>
      <w:r w:rsidR="00AE3AF5" w:rsidRPr="001D0B64">
        <w:rPr>
          <w:rFonts w:cs="Arial"/>
        </w:rPr>
        <w:t>n administrativos se incrementa</w:t>
      </w:r>
      <w:r w:rsidRPr="001D0B64">
        <w:rPr>
          <w:rFonts w:cs="Arial"/>
        </w:rPr>
        <w:t xml:space="preserve"> el grado de vinculación de la entidad excluida a los derechos fundamentales. </w:t>
      </w:r>
    </w:p>
    <w:p w:rsidR="003B518D" w:rsidRPr="001D0B64" w:rsidRDefault="003B518D" w:rsidP="003B518D">
      <w:pPr>
        <w:rPr>
          <w:rFonts w:cs="Arial"/>
        </w:rPr>
      </w:pPr>
    </w:p>
    <w:p w:rsidR="003B518D" w:rsidRPr="001D0B64" w:rsidRDefault="003B518D" w:rsidP="003B518D">
      <w:pPr>
        <w:rPr>
          <w:rFonts w:cs="Arial"/>
        </w:rPr>
      </w:pPr>
      <w:r w:rsidRPr="001D0B64">
        <w:rPr>
          <w:rFonts w:cs="Arial"/>
        </w:rPr>
        <w:t xml:space="preserve">La jurisdicción de lo contencioso administrativo reconoce conscientemente esa relación, y apoyada en un juicio de ponderación elige la calificación o naturaleza jurídica que más garantías ofrece al sistema constitucional completo: el procedimiento es administrativo porque lo realiza la administración para cumplir una función administrativa asignada por el ordenamiento; y el acto es administrativo porque contiene una decisión enjuiciable ante la jurisdicción. </w:t>
      </w:r>
    </w:p>
    <w:p w:rsidR="003B518D" w:rsidRPr="001D0B64" w:rsidRDefault="003B518D" w:rsidP="003B518D">
      <w:pPr>
        <w:rPr>
          <w:rFonts w:cs="Arial"/>
        </w:rPr>
      </w:pPr>
    </w:p>
    <w:p w:rsidR="003B518D" w:rsidRPr="001D0B64" w:rsidRDefault="003B518D" w:rsidP="003B518D">
      <w:pPr>
        <w:rPr>
          <w:rFonts w:cs="Arial"/>
        </w:rPr>
      </w:pPr>
      <w:r w:rsidRPr="001D0B64">
        <w:rPr>
          <w:rFonts w:cs="Arial"/>
        </w:rPr>
        <w:t xml:space="preserve">Esta elección, en todo caso, respeta el régimen sustantivo de derecho privado aplicable a las entidades excluidas -atenuado con la aplicación de los principios de la función administrativa y de la gestión fiscal, más la vigencia de los derechos fundamentales-. Por eso, se trata de una verdadera </w:t>
      </w:r>
      <w:r w:rsidRPr="001D0B64">
        <w:rPr>
          <w:rFonts w:cs="Arial"/>
          <w:i/>
        </w:rPr>
        <w:t>ponderación</w:t>
      </w:r>
      <w:r w:rsidRPr="001D0B64">
        <w:rPr>
          <w:rFonts w:cs="Arial"/>
        </w:rPr>
        <w:t xml:space="preserve"> de valores y principios, porque el sacrificio de unos y otros no afecta la esencia de cada institución, pero se armonizan para que cada uno aporte lo mejor de su contenido, para construir una alternativa de derecho aplicable a la Administración.</w:t>
      </w:r>
    </w:p>
    <w:p w:rsidR="004A3EA2" w:rsidRPr="001D0B64" w:rsidRDefault="004A3EA2" w:rsidP="003B518D">
      <w:pPr>
        <w:rPr>
          <w:rFonts w:cs="Arial"/>
        </w:rPr>
      </w:pPr>
    </w:p>
    <w:p w:rsidR="004A3EA2" w:rsidRPr="001D0B64" w:rsidRDefault="004A3EA2" w:rsidP="003B518D">
      <w:pPr>
        <w:rPr>
          <w:rFonts w:cs="Arial"/>
        </w:rPr>
      </w:pPr>
      <w:r w:rsidRPr="001D0B64">
        <w:rPr>
          <w:rFonts w:cs="Arial"/>
        </w:rPr>
        <w:t>Así pues, en atención a que el acto de adjudicación de una invitación pública expedido por la Empresa de Acueducto y Alcantarillado de Bogotá reviste la naturaleza de acto administrati</w:t>
      </w:r>
      <w:r w:rsidR="00AE3AF5" w:rsidRPr="001D0B64">
        <w:rPr>
          <w:rFonts w:cs="Arial"/>
        </w:rPr>
        <w:t>vo, es pasible de ser controvertido</w:t>
      </w:r>
      <w:r w:rsidRPr="001D0B64">
        <w:rPr>
          <w:rFonts w:cs="Arial"/>
        </w:rPr>
        <w:t xml:space="preserve"> ante esta jurisdicción a través de la pretensión de nulidad y restablecimiento del derecho invocada en la demanda. </w:t>
      </w:r>
    </w:p>
    <w:p w:rsidR="003B518D" w:rsidRPr="001D0B64" w:rsidRDefault="003B518D" w:rsidP="00313A10">
      <w:pPr>
        <w:rPr>
          <w:rFonts w:cs="Arial"/>
        </w:rPr>
      </w:pPr>
    </w:p>
    <w:p w:rsidR="00E47D0F" w:rsidRPr="001D0B64" w:rsidRDefault="00FD329A" w:rsidP="00313A10">
      <w:pPr>
        <w:rPr>
          <w:rFonts w:cs="Arial"/>
          <w:u w:val="single"/>
        </w:rPr>
      </w:pPr>
      <w:r w:rsidRPr="001D0B64">
        <w:rPr>
          <w:rFonts w:cs="Arial"/>
        </w:rPr>
        <w:t xml:space="preserve">2.2.) </w:t>
      </w:r>
      <w:r w:rsidR="00FE1E24" w:rsidRPr="001D0B64">
        <w:rPr>
          <w:rFonts w:cs="Arial"/>
          <w:u w:val="single"/>
        </w:rPr>
        <w:t>Caducidad del medio de control de nulidad y restablecimiento del derecho</w:t>
      </w:r>
    </w:p>
    <w:p w:rsidR="00FE1E24" w:rsidRPr="001D0B64" w:rsidRDefault="00FE1E24" w:rsidP="00313A10">
      <w:pPr>
        <w:rPr>
          <w:rFonts w:cs="Arial"/>
          <w:b/>
        </w:rPr>
      </w:pPr>
    </w:p>
    <w:p w:rsidR="00A7248B" w:rsidRPr="001D0B64" w:rsidRDefault="00E47D0F" w:rsidP="00A7248B">
      <w:pPr>
        <w:rPr>
          <w:rFonts w:cs="Arial"/>
          <w:lang w:val="es-CO"/>
        </w:rPr>
      </w:pPr>
      <w:r w:rsidRPr="001D0B64">
        <w:rPr>
          <w:rFonts w:cs="Arial"/>
        </w:rPr>
        <w:t>En orden a abordar el análisis de este presupuesto procesal, s</w:t>
      </w:r>
      <w:r w:rsidR="00961069" w:rsidRPr="001D0B64">
        <w:rPr>
          <w:rFonts w:cs="Arial"/>
        </w:rPr>
        <w:t>e estima necesario precisar que la deman</w:t>
      </w:r>
      <w:r w:rsidRPr="001D0B64">
        <w:rPr>
          <w:rFonts w:cs="Arial"/>
        </w:rPr>
        <w:t xml:space="preserve">da fue presentada el 18 de diciembre de 2012, época en la </w:t>
      </w:r>
      <w:r w:rsidR="00961069" w:rsidRPr="001D0B64">
        <w:rPr>
          <w:rFonts w:cs="Arial"/>
        </w:rPr>
        <w:t xml:space="preserve">cual se encontraba vigente la Ley 1437 de 2011 (CPACA), </w:t>
      </w:r>
      <w:r w:rsidR="00A7248B" w:rsidRPr="001D0B64">
        <w:rPr>
          <w:rFonts w:cs="Arial"/>
        </w:rPr>
        <w:t xml:space="preserve">y por esa razón, en principio, las normas procesales que deben aplicarse al caso concreto son las contenidas en ese cuerpo normativo. </w:t>
      </w:r>
    </w:p>
    <w:p w:rsidR="003B518D" w:rsidRPr="001D0B64" w:rsidRDefault="003B518D" w:rsidP="00313A10">
      <w:pPr>
        <w:rPr>
          <w:rFonts w:eastAsia="Calibri" w:cs="Arial"/>
          <w:b/>
          <w:lang w:val="es-CO" w:eastAsia="en-US"/>
        </w:rPr>
      </w:pPr>
    </w:p>
    <w:p w:rsidR="00D4696A" w:rsidRPr="001D0B64" w:rsidRDefault="00D4696A" w:rsidP="00D4696A">
      <w:pPr>
        <w:pStyle w:val="Textoindependiente"/>
        <w:rPr>
          <w:rFonts w:cs="Arial"/>
          <w:szCs w:val="24"/>
        </w:rPr>
      </w:pPr>
      <w:r w:rsidRPr="001D0B64">
        <w:rPr>
          <w:rFonts w:eastAsia="Calibri" w:cs="Arial"/>
          <w:szCs w:val="24"/>
          <w:lang w:val="es-CO" w:eastAsia="en-US"/>
        </w:rPr>
        <w:t xml:space="preserve">En secuencia </w:t>
      </w:r>
      <w:r w:rsidR="00140AE1" w:rsidRPr="001D0B64">
        <w:rPr>
          <w:rFonts w:eastAsia="Calibri" w:cs="Arial"/>
          <w:szCs w:val="24"/>
          <w:lang w:val="es-CO" w:eastAsia="en-US"/>
        </w:rPr>
        <w:t>con lo anterior</w:t>
      </w:r>
      <w:r w:rsidR="00B20C46" w:rsidRPr="001D0B64">
        <w:rPr>
          <w:rFonts w:eastAsia="Calibri" w:cs="Arial"/>
          <w:szCs w:val="24"/>
          <w:lang w:val="es-CO" w:eastAsia="en-US"/>
        </w:rPr>
        <w:t>,</w:t>
      </w:r>
      <w:r w:rsidR="00140AE1" w:rsidRPr="001D0B64">
        <w:rPr>
          <w:rFonts w:eastAsia="Calibri" w:cs="Arial"/>
          <w:szCs w:val="24"/>
          <w:lang w:val="es-CO" w:eastAsia="en-US"/>
        </w:rPr>
        <w:t xml:space="preserve"> es de capital impor</w:t>
      </w:r>
      <w:r w:rsidRPr="001D0B64">
        <w:rPr>
          <w:rFonts w:eastAsia="Calibri" w:cs="Arial"/>
          <w:szCs w:val="24"/>
          <w:lang w:val="es-CO" w:eastAsia="en-US"/>
        </w:rPr>
        <w:t xml:space="preserve">tancia realizar </w:t>
      </w:r>
      <w:r w:rsidR="00E47D0F" w:rsidRPr="001D0B64">
        <w:rPr>
          <w:rFonts w:cs="Arial"/>
          <w:szCs w:val="24"/>
        </w:rPr>
        <w:t>una</w:t>
      </w:r>
      <w:r w:rsidRPr="001D0B64">
        <w:rPr>
          <w:rFonts w:cs="Arial"/>
          <w:szCs w:val="24"/>
        </w:rPr>
        <w:t xml:space="preserve"> precisión sobre el tránsito de legislación, teniendo en cuenta que en el presente caso el término fijado para la caducidad de la acción</w:t>
      </w:r>
      <w:r w:rsidR="00A41D58" w:rsidRPr="001D0B64">
        <w:rPr>
          <w:rFonts w:cs="Arial"/>
          <w:szCs w:val="24"/>
        </w:rPr>
        <w:t>, según se obs</w:t>
      </w:r>
      <w:r w:rsidR="00CB5543" w:rsidRPr="001D0B64">
        <w:rPr>
          <w:rFonts w:cs="Arial"/>
          <w:szCs w:val="24"/>
        </w:rPr>
        <w:t>e</w:t>
      </w:r>
      <w:r w:rsidR="00A41D58" w:rsidRPr="001D0B64">
        <w:rPr>
          <w:rFonts w:cs="Arial"/>
          <w:szCs w:val="24"/>
        </w:rPr>
        <w:t>rva,</w:t>
      </w:r>
      <w:r w:rsidRPr="001D0B64">
        <w:rPr>
          <w:rFonts w:cs="Arial"/>
          <w:szCs w:val="24"/>
        </w:rPr>
        <w:t xml:space="preserve"> comenzó a correr en vigencia del Código Contencioso A</w:t>
      </w:r>
      <w:r w:rsidR="00C73DC0" w:rsidRPr="001D0B64">
        <w:rPr>
          <w:rFonts w:cs="Arial"/>
          <w:szCs w:val="24"/>
        </w:rPr>
        <w:t>dministrativo,</w:t>
      </w:r>
      <w:r w:rsidR="00D431F2" w:rsidRPr="001D0B64">
        <w:rPr>
          <w:rFonts w:cs="Arial"/>
          <w:szCs w:val="24"/>
        </w:rPr>
        <w:t xml:space="preserve"> 13 de junio de 2012, día siguiente a aquel en que se notificó en audiencia la decisión de adjudicación que se demanda</w:t>
      </w:r>
      <w:r w:rsidR="00C73DC0" w:rsidRPr="001D0B64">
        <w:rPr>
          <w:rFonts w:cs="Arial"/>
          <w:szCs w:val="24"/>
        </w:rPr>
        <w:t xml:space="preserve">, lo que de suyo conduce a concluir que ese presupuesto se ha de regir </w:t>
      </w:r>
      <w:r w:rsidRPr="001D0B64">
        <w:rPr>
          <w:rFonts w:cs="Arial"/>
          <w:szCs w:val="24"/>
        </w:rPr>
        <w:t>por las disposiciones que estaban vigentes a esa fecha en materia de caducidad de la acción, esto es</w:t>
      </w:r>
      <w:r w:rsidR="00B20C46" w:rsidRPr="001D0B64">
        <w:rPr>
          <w:rFonts w:cs="Arial"/>
          <w:szCs w:val="24"/>
        </w:rPr>
        <w:t>,</w:t>
      </w:r>
      <w:r w:rsidRPr="001D0B64">
        <w:rPr>
          <w:rFonts w:cs="Arial"/>
          <w:szCs w:val="24"/>
        </w:rPr>
        <w:t xml:space="preserve"> el </w:t>
      </w:r>
      <w:r w:rsidR="00020BB0" w:rsidRPr="001D0B64">
        <w:rPr>
          <w:rFonts w:cs="Arial"/>
          <w:szCs w:val="24"/>
        </w:rPr>
        <w:t>segundo inciso del artículo 87</w:t>
      </w:r>
      <w:r w:rsidR="00286539" w:rsidRPr="001D0B64">
        <w:rPr>
          <w:rFonts w:cs="Arial"/>
          <w:szCs w:val="24"/>
        </w:rPr>
        <w:t xml:space="preserve"> del referido estatuto</w:t>
      </w:r>
      <w:r w:rsidRPr="001D0B64">
        <w:rPr>
          <w:rFonts w:cs="Arial"/>
          <w:szCs w:val="24"/>
        </w:rPr>
        <w:t>.</w:t>
      </w:r>
    </w:p>
    <w:p w:rsidR="00070A55" w:rsidRPr="001D0B64" w:rsidRDefault="00070A55" w:rsidP="00D4696A">
      <w:pPr>
        <w:pStyle w:val="Textoindependiente"/>
        <w:rPr>
          <w:rFonts w:cs="Arial"/>
          <w:szCs w:val="24"/>
        </w:rPr>
      </w:pPr>
    </w:p>
    <w:p w:rsidR="00D4696A" w:rsidRPr="001D0B64" w:rsidRDefault="00A41D58" w:rsidP="00D4696A">
      <w:pPr>
        <w:pStyle w:val="Textoindependiente"/>
        <w:rPr>
          <w:rFonts w:cs="Arial"/>
          <w:szCs w:val="24"/>
        </w:rPr>
      </w:pPr>
      <w:r w:rsidRPr="001D0B64">
        <w:rPr>
          <w:rFonts w:cs="Arial"/>
          <w:szCs w:val="24"/>
        </w:rPr>
        <w:t>Lo dicho</w:t>
      </w:r>
      <w:r w:rsidR="00D4696A" w:rsidRPr="001D0B64">
        <w:rPr>
          <w:rFonts w:cs="Arial"/>
          <w:szCs w:val="24"/>
        </w:rPr>
        <w:t xml:space="preserve"> aplica aunque la demanda se </w:t>
      </w:r>
      <w:r w:rsidRPr="001D0B64">
        <w:rPr>
          <w:rFonts w:cs="Arial"/>
          <w:szCs w:val="24"/>
        </w:rPr>
        <w:t xml:space="preserve">hubiera presentado cuando ya se encontraba en vigor </w:t>
      </w:r>
      <w:r w:rsidR="00FD7263">
        <w:rPr>
          <w:rFonts w:cs="Arial"/>
          <w:szCs w:val="24"/>
        </w:rPr>
        <w:t>la Ley 1437 de 201</w:t>
      </w:r>
      <w:r w:rsidR="00D4696A" w:rsidRPr="001D0B64">
        <w:rPr>
          <w:rFonts w:cs="Arial"/>
          <w:szCs w:val="24"/>
        </w:rPr>
        <w:t>1</w:t>
      </w:r>
      <w:r w:rsidR="00B20C46" w:rsidRPr="001D0B64">
        <w:rPr>
          <w:rFonts w:cs="Arial"/>
          <w:szCs w:val="24"/>
        </w:rPr>
        <w:t>,</w:t>
      </w:r>
      <w:r w:rsidR="00D4696A" w:rsidRPr="001D0B64">
        <w:rPr>
          <w:rFonts w:cs="Arial"/>
          <w:szCs w:val="24"/>
        </w:rPr>
        <w:t xml:space="preserve"> contentiva del Código de Procedimiento Administrativo y de lo Contencioso Administrativo (C.P.A.C.A.)</w:t>
      </w:r>
      <w:r w:rsidRPr="001D0B64">
        <w:rPr>
          <w:rFonts w:cs="Arial"/>
          <w:szCs w:val="24"/>
        </w:rPr>
        <w:t xml:space="preserve"> y el proceso se rija </w:t>
      </w:r>
      <w:r w:rsidR="00D4696A" w:rsidRPr="001D0B64">
        <w:rPr>
          <w:rFonts w:cs="Arial"/>
          <w:szCs w:val="24"/>
        </w:rPr>
        <w:t xml:space="preserve">por </w:t>
      </w:r>
      <w:r w:rsidR="003B795B" w:rsidRPr="001D0B64">
        <w:rPr>
          <w:rFonts w:cs="Arial"/>
          <w:szCs w:val="24"/>
        </w:rPr>
        <w:t>las normas de este último código.</w:t>
      </w:r>
    </w:p>
    <w:p w:rsidR="00020BB0" w:rsidRPr="001D0B64" w:rsidRDefault="00020BB0" w:rsidP="00D4696A">
      <w:pPr>
        <w:pStyle w:val="Textoindependiente"/>
        <w:rPr>
          <w:rFonts w:cs="Arial"/>
          <w:szCs w:val="24"/>
        </w:rPr>
      </w:pPr>
    </w:p>
    <w:p w:rsidR="00020BB0" w:rsidRPr="001D0B64" w:rsidRDefault="00020BB0" w:rsidP="00020BB0">
      <w:pPr>
        <w:rPr>
          <w:rFonts w:cs="Arial"/>
        </w:rPr>
      </w:pPr>
      <w:r w:rsidRPr="001D0B64">
        <w:rPr>
          <w:rFonts w:cs="Arial"/>
        </w:rPr>
        <w:t>Sobre el particular, no puede perderse de vista que la aplicación inmediata de las normas sustanciales y procesales en atención a la fecha de presentación de la demanda, es un asunto distinto a la regla de aplicación de la ley en el tiempo cuando, previo al ejercicio del derecho de acción, se encontraba corriendo un término, como en este caso es el de caducidad, evento en el cual resulta imperioso remitirse a las normas que regulan la materia.</w:t>
      </w:r>
    </w:p>
    <w:p w:rsidR="00020BB0" w:rsidRPr="001D0B64" w:rsidRDefault="00020BB0" w:rsidP="00020BB0">
      <w:pPr>
        <w:rPr>
          <w:rFonts w:cs="Arial"/>
          <w:highlight w:val="yellow"/>
        </w:rPr>
      </w:pPr>
    </w:p>
    <w:p w:rsidR="00020BB0" w:rsidRPr="001D0B64" w:rsidRDefault="003B795B" w:rsidP="00020BB0">
      <w:pPr>
        <w:rPr>
          <w:rFonts w:cs="Arial"/>
        </w:rPr>
      </w:pPr>
      <w:r w:rsidRPr="001D0B64">
        <w:rPr>
          <w:rFonts w:cs="Arial"/>
        </w:rPr>
        <w:t>Así pues, el artículo 40 de la Ley 153 de 1887, consagraba</w:t>
      </w:r>
      <w:r w:rsidR="00020BB0" w:rsidRPr="001D0B64">
        <w:rPr>
          <w:rFonts w:cs="Arial"/>
        </w:rPr>
        <w:t xml:space="preserve"> lo siguiente:</w:t>
      </w:r>
    </w:p>
    <w:p w:rsidR="003B795B" w:rsidRPr="001D0B64" w:rsidRDefault="003B795B" w:rsidP="00020BB0">
      <w:pPr>
        <w:rPr>
          <w:rFonts w:cs="Arial"/>
          <w:highlight w:val="yellow"/>
        </w:rPr>
      </w:pPr>
    </w:p>
    <w:p w:rsidR="003B795B" w:rsidRPr="001D0B64" w:rsidRDefault="003B795B" w:rsidP="003B795B">
      <w:pPr>
        <w:pStyle w:val="Textonotapie"/>
        <w:spacing w:line="276" w:lineRule="auto"/>
        <w:ind w:left="567" w:right="567"/>
        <w:rPr>
          <w:rFonts w:cs="Arial"/>
          <w:i/>
          <w:color w:val="000000"/>
          <w:sz w:val="24"/>
          <w:szCs w:val="24"/>
          <w:shd w:val="clear" w:color="auto" w:fill="FFFFFF"/>
        </w:rPr>
      </w:pPr>
      <w:r w:rsidRPr="001D0B64">
        <w:rPr>
          <w:rFonts w:cs="Arial"/>
          <w:bCs/>
          <w:i/>
          <w:color w:val="000000"/>
          <w:sz w:val="24"/>
          <w:szCs w:val="24"/>
          <w:shd w:val="clear" w:color="auto" w:fill="FFFFFF"/>
        </w:rPr>
        <w:t>“</w:t>
      </w:r>
      <w:bookmarkStart w:id="3" w:name="40"/>
      <w:r w:rsidRPr="001D0B64">
        <w:rPr>
          <w:rFonts w:cs="Arial"/>
          <w:bCs/>
          <w:i/>
          <w:color w:val="000000"/>
          <w:sz w:val="24"/>
          <w:szCs w:val="24"/>
          <w:shd w:val="clear" w:color="auto" w:fill="FFFFFF"/>
        </w:rPr>
        <w:t>Artículo </w:t>
      </w:r>
      <w:bookmarkEnd w:id="3"/>
      <w:r w:rsidRPr="001D0B64">
        <w:rPr>
          <w:rFonts w:cs="Arial"/>
          <w:bCs/>
          <w:i/>
          <w:color w:val="000000"/>
          <w:sz w:val="24"/>
          <w:szCs w:val="24"/>
          <w:shd w:val="clear" w:color="auto" w:fill="FFFFFF"/>
        </w:rPr>
        <w:t>40.</w:t>
      </w:r>
      <w:r w:rsidRPr="001D0B64">
        <w:rPr>
          <w:rFonts w:cs="Arial"/>
          <w:i/>
          <w:color w:val="000000"/>
          <w:sz w:val="24"/>
          <w:szCs w:val="24"/>
          <w:shd w:val="clear" w:color="auto" w:fill="FFFFFF"/>
        </w:rPr>
        <w:t>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w:t>
      </w:r>
    </w:p>
    <w:p w:rsidR="00020BB0" w:rsidRPr="001D0B64" w:rsidRDefault="00020BB0" w:rsidP="00D4696A">
      <w:pPr>
        <w:pStyle w:val="Textoindependiente"/>
        <w:rPr>
          <w:rFonts w:cs="Arial"/>
          <w:szCs w:val="24"/>
        </w:rPr>
      </w:pPr>
    </w:p>
    <w:p w:rsidR="00830C6D" w:rsidRPr="001D0B64" w:rsidRDefault="00933FA4" w:rsidP="00830C6D">
      <w:pPr>
        <w:rPr>
          <w:rFonts w:cs="Arial"/>
        </w:rPr>
      </w:pPr>
      <w:r w:rsidRPr="001D0B64">
        <w:rPr>
          <w:rFonts w:cs="Arial"/>
        </w:rPr>
        <w:t>Sobre la concreta</w:t>
      </w:r>
      <w:r w:rsidR="00830C6D" w:rsidRPr="001D0B64">
        <w:rPr>
          <w:rFonts w:cs="Arial"/>
        </w:rPr>
        <w:t xml:space="preserve"> la aplicación del artículo 40 de la Ley 153 de 1887, para la determinación de la regla de caducidad cuando se presentan conflictos entre normas que, en principio, regulan la misma situación, esta Corporación puntualizó:</w:t>
      </w:r>
    </w:p>
    <w:p w:rsidR="00830C6D" w:rsidRPr="001D0B64" w:rsidRDefault="00830C6D" w:rsidP="00830C6D">
      <w:pPr>
        <w:rPr>
          <w:rFonts w:cs="Arial"/>
        </w:rPr>
      </w:pPr>
    </w:p>
    <w:p w:rsidR="00830C6D" w:rsidRPr="001D0B64" w:rsidRDefault="00830C6D" w:rsidP="00830C6D">
      <w:pPr>
        <w:spacing w:line="276" w:lineRule="auto"/>
        <w:ind w:left="567" w:right="567"/>
        <w:rPr>
          <w:rFonts w:cs="Arial"/>
          <w:i/>
        </w:rPr>
      </w:pPr>
      <w:r w:rsidRPr="001D0B64">
        <w:rPr>
          <w:rFonts w:cs="Arial"/>
          <w:i/>
        </w:rPr>
        <w:t xml:space="preserve">“(…) la Sala considera que el 40 -se refiere al artículo- de la Ley 153 de 1887 debe aplicarse para definir el conflicto en el tiempo respecto de la aplicación de normas sobre caducidad, </w:t>
      </w:r>
      <w:r w:rsidRPr="001D0B64">
        <w:rPr>
          <w:rFonts w:cs="Arial"/>
          <w:b/>
          <w:i/>
        </w:rPr>
        <w:t>en tanto se trate de términos que ya hubieren empezado a correr sin que haya iniciado el respectivo proceso</w:t>
      </w:r>
      <w:r w:rsidRPr="001D0B64">
        <w:rPr>
          <w:rFonts w:cs="Arial"/>
          <w:i/>
        </w:rPr>
        <w:t xml:space="preserve">. En efecto, cuando el artículo 40 ibídem se refiere a las leyes concernientes a la sustanciación y ritualidad de los juicios, está haciendo mención a las normas procesales, entre otras, a las normas de caducidad que, tal y como lo indica dicha norma, son de aplicación inmediata. </w:t>
      </w:r>
      <w:r w:rsidRPr="001D0B64">
        <w:rPr>
          <w:rFonts w:cs="Arial"/>
          <w:b/>
          <w:i/>
        </w:rPr>
        <w:t>T</w:t>
      </w:r>
      <w:r w:rsidRPr="001D0B64">
        <w:rPr>
          <w:rFonts w:cs="Arial"/>
          <w:b/>
          <w:i/>
          <w:lang w:val="es-CO"/>
        </w:rPr>
        <w:t>eniendo en cuenta lo anterior, se modifica lo dicho por la Sala en la providencia del 27 de mayo de 2005, en los términos de este proveído</w:t>
      </w:r>
      <w:r w:rsidRPr="001D0B64">
        <w:rPr>
          <w:rFonts w:cs="Arial"/>
          <w:i/>
          <w:lang w:val="es-CO"/>
        </w:rPr>
        <w:t>, de manera que, en todo contrato se entenderán incorporadas las leyes vigentes al tiempo de su celebración salvo cuando se trate de leyes concernientes al modo de reclamar en juicio los derechos que resultaren del mismo, entre las cuales se consideran incluidas las normas que establecen términos de caducidad para el ejercicio de las acciones, que por ser de carácter procesal, son de aplicación inmediata</w:t>
      </w:r>
      <w:r w:rsidRPr="001D0B64">
        <w:rPr>
          <w:rFonts w:cs="Arial"/>
          <w:b/>
          <w:i/>
          <w:lang w:val="es-CO"/>
        </w:rPr>
        <w:t>. En este orden de ideas, se tiene que la norma de caducidad aplicable deberá ser la vigente al momento en que ya hubieren empezado a correr los términos contemplados en normas legales anteriores, las cuales se aplicarán de manera preferente</w:t>
      </w:r>
      <w:r w:rsidRPr="001D0B64">
        <w:rPr>
          <w:rFonts w:cs="Arial"/>
          <w:i/>
          <w:lang w:val="es-CO"/>
        </w:rPr>
        <w:t>”</w:t>
      </w:r>
      <w:r w:rsidRPr="001D0B64">
        <w:rPr>
          <w:rStyle w:val="Refdenotaalpie"/>
          <w:rFonts w:cs="Arial"/>
          <w:i/>
          <w:lang w:val="es-CO"/>
        </w:rPr>
        <w:footnoteReference w:id="10"/>
      </w:r>
      <w:r w:rsidRPr="001D0B64">
        <w:rPr>
          <w:rFonts w:cs="Arial"/>
          <w:i/>
          <w:lang w:val="es-CO"/>
        </w:rPr>
        <w:t xml:space="preserve"> </w:t>
      </w:r>
      <w:r w:rsidRPr="001D0B64">
        <w:rPr>
          <w:rFonts w:cs="Arial"/>
          <w:lang w:val="es-CO"/>
        </w:rPr>
        <w:t xml:space="preserve">(se </w:t>
      </w:r>
      <w:r w:rsidR="004C4F29" w:rsidRPr="001D0B64">
        <w:rPr>
          <w:rFonts w:cs="Arial"/>
          <w:lang w:val="es-CO"/>
        </w:rPr>
        <w:t>subraya por la Sala</w:t>
      </w:r>
      <w:r w:rsidRPr="001D0B64">
        <w:rPr>
          <w:rFonts w:cs="Arial"/>
          <w:lang w:val="es-CO"/>
        </w:rPr>
        <w:t>).</w:t>
      </w:r>
    </w:p>
    <w:p w:rsidR="00830C6D" w:rsidRPr="001D0B64" w:rsidRDefault="00830C6D" w:rsidP="00830C6D">
      <w:pPr>
        <w:rPr>
          <w:rFonts w:cs="Arial"/>
          <w:highlight w:val="yellow"/>
        </w:rPr>
      </w:pPr>
    </w:p>
    <w:p w:rsidR="003E3DEC" w:rsidRPr="001D0B64" w:rsidRDefault="00E0537C" w:rsidP="003E3DEC">
      <w:pPr>
        <w:tabs>
          <w:tab w:val="left" w:pos="5387"/>
        </w:tabs>
        <w:ind w:right="51"/>
        <w:rPr>
          <w:rFonts w:cs="Arial"/>
          <w:shd w:val="clear" w:color="auto" w:fill="FFFFFF"/>
        </w:rPr>
      </w:pPr>
      <w:r w:rsidRPr="001D0B64">
        <w:rPr>
          <w:rFonts w:cs="Arial"/>
          <w:shd w:val="clear" w:color="auto" w:fill="FFFFFF"/>
        </w:rPr>
        <w:t>En relación con</w:t>
      </w:r>
      <w:r w:rsidR="003E3DEC" w:rsidRPr="001D0B64">
        <w:rPr>
          <w:rFonts w:cs="Arial"/>
          <w:shd w:val="clear" w:color="auto" w:fill="FFFFFF"/>
        </w:rPr>
        <w:t xml:space="preserve"> la interpretación sistemática de los artículos 38</w:t>
      </w:r>
      <w:r w:rsidR="003E3DEC" w:rsidRPr="001D0B64">
        <w:rPr>
          <w:rStyle w:val="Refdenotaalpie"/>
          <w:rFonts w:cs="Arial"/>
          <w:shd w:val="clear" w:color="auto" w:fill="FFFFFF"/>
        </w:rPr>
        <w:footnoteReference w:id="11"/>
      </w:r>
      <w:r w:rsidR="003E3DEC" w:rsidRPr="001D0B64">
        <w:rPr>
          <w:rFonts w:cs="Arial"/>
          <w:shd w:val="clear" w:color="auto" w:fill="FFFFFF"/>
        </w:rPr>
        <w:t xml:space="preserve"> y 40</w:t>
      </w:r>
      <w:r w:rsidR="003E3DEC" w:rsidRPr="001D0B64">
        <w:rPr>
          <w:rStyle w:val="Refdenotaalpie"/>
          <w:rFonts w:cs="Arial"/>
          <w:shd w:val="clear" w:color="auto" w:fill="FFFFFF"/>
        </w:rPr>
        <w:footnoteReference w:id="12"/>
      </w:r>
      <w:r w:rsidR="003E3DEC" w:rsidRPr="001D0B64">
        <w:rPr>
          <w:rFonts w:cs="Arial"/>
          <w:shd w:val="clear" w:color="auto" w:fill="FFFFFF"/>
        </w:rPr>
        <w:t xml:space="preserve"> de la Ley 153 de 1887, la Sala </w:t>
      </w:r>
      <w:r w:rsidRPr="001D0B64">
        <w:rPr>
          <w:rFonts w:cs="Arial"/>
          <w:shd w:val="clear" w:color="auto" w:fill="FFFFFF"/>
        </w:rPr>
        <w:t xml:space="preserve">conviene la necesidad de </w:t>
      </w:r>
      <w:r w:rsidR="003E3DEC" w:rsidRPr="001D0B64">
        <w:rPr>
          <w:rFonts w:cs="Arial"/>
          <w:shd w:val="clear" w:color="auto" w:fill="FFFFFF"/>
        </w:rPr>
        <w:t>reitera</w:t>
      </w:r>
      <w:r w:rsidRPr="001D0B64">
        <w:rPr>
          <w:rFonts w:cs="Arial"/>
          <w:shd w:val="clear" w:color="auto" w:fill="FFFFFF"/>
        </w:rPr>
        <w:t>r</w:t>
      </w:r>
      <w:r w:rsidR="003E3DEC" w:rsidRPr="001D0B64">
        <w:rPr>
          <w:rFonts w:cs="Arial"/>
          <w:shd w:val="clear" w:color="auto" w:fill="FFFFFF"/>
        </w:rPr>
        <w:t xml:space="preserve"> el pronunciamiento de la Subsección A en orden a distinguir la naturaleza procesal de las normas relativas a la caducidad de la acción contractual y el imperativo de aplicar, para efectos de establecer la oportunidad en el ejercicio de la acción, </w:t>
      </w:r>
      <w:r w:rsidR="00316160" w:rsidRPr="001D0B64">
        <w:rPr>
          <w:rFonts w:cs="Arial"/>
          <w:shd w:val="clear" w:color="auto" w:fill="FFFFFF"/>
        </w:rPr>
        <w:t>“</w:t>
      </w:r>
      <w:r w:rsidR="003E3DEC" w:rsidRPr="001D0B64">
        <w:rPr>
          <w:rFonts w:cs="Arial"/>
          <w:i/>
          <w:shd w:val="clear" w:color="auto" w:fill="FFFFFF"/>
        </w:rPr>
        <w:t>la normatividad vigente al momento que ocurre el supuesto que permite acudir a la jurisdicción</w:t>
      </w:r>
      <w:r w:rsidR="00316160" w:rsidRPr="001D0B64">
        <w:rPr>
          <w:rFonts w:cs="Arial"/>
          <w:i/>
          <w:shd w:val="clear" w:color="auto" w:fill="FFFFFF"/>
        </w:rPr>
        <w:t>”</w:t>
      </w:r>
      <w:r w:rsidR="003E3DEC" w:rsidRPr="001D0B64">
        <w:rPr>
          <w:rFonts w:cs="Arial"/>
          <w:shd w:val="clear" w:color="auto" w:fill="FFFFFF"/>
        </w:rPr>
        <w:t xml:space="preserve">, tal como se concluyó en la siguiente providencia: </w:t>
      </w:r>
    </w:p>
    <w:p w:rsidR="003E3DEC" w:rsidRPr="001D0B64" w:rsidRDefault="003E3DEC" w:rsidP="003E3DEC">
      <w:pPr>
        <w:spacing w:line="240" w:lineRule="auto"/>
        <w:rPr>
          <w:rFonts w:cs="Arial"/>
          <w:shd w:val="clear" w:color="auto" w:fill="FFFFFF"/>
        </w:rPr>
      </w:pPr>
    </w:p>
    <w:p w:rsidR="003E3DEC" w:rsidRPr="001D0B64" w:rsidRDefault="003E3DEC" w:rsidP="003E3DEC">
      <w:pPr>
        <w:spacing w:line="276" w:lineRule="auto"/>
        <w:ind w:left="567" w:right="618"/>
        <w:rPr>
          <w:rFonts w:cs="Arial"/>
          <w:bCs/>
          <w:i/>
        </w:rPr>
      </w:pPr>
      <w:r w:rsidRPr="001D0B64">
        <w:rPr>
          <w:rFonts w:cs="Arial"/>
        </w:rPr>
        <w:t>“</w:t>
      </w:r>
      <w:r w:rsidRPr="001D0B64">
        <w:rPr>
          <w:rFonts w:cs="Arial"/>
          <w:i/>
        </w:rPr>
        <w:t xml:space="preserve">Las normas relativas a la caducidad de la acción son de naturaleza procesal, pese a que tienen un trasfondo sustancial, porque limitan en el tiempo el ejercicio del derecho público de acción, por consiguiente, </w:t>
      </w:r>
      <w:r w:rsidRPr="001D0B64">
        <w:rPr>
          <w:rFonts w:cs="Arial"/>
          <w:bCs/>
          <w:i/>
        </w:rPr>
        <w:t xml:space="preserve">los límites objetivo - temporales que extinguen con el paso del tiempo la posibilidad de poner en funcionamiento el aparato jurisdiccional </w:t>
      </w:r>
      <w:r w:rsidRPr="001D0B64">
        <w:rPr>
          <w:rFonts w:cs="Arial"/>
          <w:bCs/>
          <w:i/>
          <w:u w:val="single"/>
        </w:rPr>
        <w:t xml:space="preserve">se encuentran supeditados a la normatividad imperante al momento en que acontece el supuesto que permite acudir a la jurisdicción, en procura de la </w:t>
      </w:r>
      <w:r w:rsidRPr="001D0B64">
        <w:rPr>
          <w:rFonts w:cs="Arial"/>
          <w:i/>
          <w:u w:val="single"/>
        </w:rPr>
        <w:t>protección o de la satisfacción del derecho subjetivo conculcado</w:t>
      </w:r>
      <w:r w:rsidRPr="001D0B64">
        <w:rPr>
          <w:rFonts w:cs="Arial"/>
          <w:bCs/>
          <w:i/>
        </w:rPr>
        <w:t>, de manera que la inactividad del administrado, por el período determinado en la ley, genera inexorablemente la caducidad de la acción. Tal planteamiento se acompasa con lo previsto por los artículos 38 y 40 de la Ley 153 de 1887.”</w:t>
      </w:r>
      <w:r w:rsidRPr="001D0B64">
        <w:rPr>
          <w:rStyle w:val="Refdenotaalpie"/>
          <w:rFonts w:cs="Arial"/>
          <w:bCs/>
          <w:i/>
        </w:rPr>
        <w:footnoteReference w:id="13"/>
      </w:r>
      <w:r w:rsidRPr="001D0B64">
        <w:rPr>
          <w:rFonts w:cs="Arial"/>
          <w:bCs/>
          <w:i/>
        </w:rPr>
        <w:t>.</w:t>
      </w:r>
    </w:p>
    <w:p w:rsidR="003E3DEC" w:rsidRPr="001D0B64" w:rsidRDefault="003E3DEC" w:rsidP="00830C6D">
      <w:pPr>
        <w:rPr>
          <w:rFonts w:cs="Arial"/>
        </w:rPr>
      </w:pPr>
    </w:p>
    <w:p w:rsidR="00830C6D" w:rsidRPr="001D0B64" w:rsidRDefault="00830C6D" w:rsidP="00830C6D">
      <w:pPr>
        <w:rPr>
          <w:rFonts w:cs="Arial"/>
        </w:rPr>
      </w:pPr>
      <w:r w:rsidRPr="001D0B64">
        <w:rPr>
          <w:rFonts w:cs="Arial"/>
        </w:rPr>
        <w:t>En pronunciamiento más reciente se reiteró esta posición y, en tal sentido, se expuso:</w:t>
      </w:r>
    </w:p>
    <w:p w:rsidR="00830C6D" w:rsidRPr="001D0B64" w:rsidRDefault="00830C6D" w:rsidP="00830C6D">
      <w:pPr>
        <w:rPr>
          <w:rFonts w:cs="Arial"/>
        </w:rPr>
      </w:pPr>
    </w:p>
    <w:p w:rsidR="00316160" w:rsidRPr="001D0B64" w:rsidRDefault="00830C6D" w:rsidP="00BF61EE">
      <w:pPr>
        <w:tabs>
          <w:tab w:val="left" w:pos="0"/>
        </w:tabs>
        <w:autoSpaceDN w:val="0"/>
        <w:spacing w:line="276" w:lineRule="auto"/>
        <w:ind w:left="567" w:right="567"/>
        <w:contextualSpacing/>
        <w:textAlignment w:val="baseline"/>
        <w:rPr>
          <w:rFonts w:cs="Arial"/>
          <w:lang w:val="es-ES_tradnl" w:eastAsia="ar-SA"/>
        </w:rPr>
      </w:pPr>
      <w:r w:rsidRPr="001D0B64">
        <w:rPr>
          <w:rFonts w:cs="Arial"/>
          <w:i/>
          <w:lang w:val="es-ES_tradnl" w:eastAsia="ar-SA"/>
        </w:rPr>
        <w:t xml:space="preserve">“Según lo planteado, comoquiera que para el momento en que fue adoptada la Ley 1437 de 2011, ya había iniciado a correr el término de caducidad, toda vez que el contrato n.º 175 y la resolución 1567 fueron proferidos antes de esa fecha -7 de junio de 2011 y 4 de mayo de 2011-, entonces </w:t>
      </w:r>
      <w:r w:rsidRPr="001D0B64">
        <w:rPr>
          <w:rFonts w:cs="Arial"/>
          <w:b/>
          <w:i/>
          <w:u w:val="single"/>
          <w:lang w:val="es-ES_tradnl" w:eastAsia="ar-SA"/>
        </w:rPr>
        <w:t>es preciso que dicho término continúe rigiéndose por lo señalado en el Código Contencioso Administrativo -Decreto 01 de 1984, sin perjuicio de que en los demás asuntos procesales le sea dispuesto lo establecido en el Código Contencioso de Procedimiento Administrativo y de lo Contencioso Administrativo</w:t>
      </w:r>
      <w:r w:rsidRPr="001D0B64">
        <w:rPr>
          <w:rFonts w:cs="Arial"/>
          <w:i/>
          <w:lang w:val="es-ES_tradnl" w:eastAsia="ar-SA"/>
        </w:rPr>
        <w:t>”</w:t>
      </w:r>
      <w:r w:rsidRPr="001D0B64">
        <w:rPr>
          <w:rStyle w:val="Refdenotaalpie"/>
          <w:rFonts w:cs="Arial"/>
          <w:i/>
          <w:lang w:val="es-ES_tradnl" w:eastAsia="ar-SA"/>
        </w:rPr>
        <w:footnoteReference w:id="14"/>
      </w:r>
      <w:r w:rsidRPr="001D0B64">
        <w:rPr>
          <w:rFonts w:cs="Arial"/>
          <w:i/>
          <w:lang w:val="es-ES_tradnl" w:eastAsia="ar-SA"/>
        </w:rPr>
        <w:t xml:space="preserve"> </w:t>
      </w:r>
      <w:r w:rsidRPr="001D0B64">
        <w:rPr>
          <w:rFonts w:cs="Arial"/>
          <w:lang w:val="es-ES_tradnl" w:eastAsia="ar-SA"/>
        </w:rPr>
        <w:t>(</w:t>
      </w:r>
      <w:r w:rsidR="004C4F29" w:rsidRPr="001D0B64">
        <w:rPr>
          <w:rFonts w:cs="Arial"/>
          <w:lang w:val="es-ES_tradnl" w:eastAsia="ar-SA"/>
        </w:rPr>
        <w:t>se destaca por la Sala</w:t>
      </w:r>
      <w:r w:rsidRPr="001D0B64">
        <w:rPr>
          <w:rFonts w:cs="Arial"/>
          <w:lang w:val="es-ES_tradnl" w:eastAsia="ar-SA"/>
        </w:rPr>
        <w:t>).</w:t>
      </w:r>
    </w:p>
    <w:p w:rsidR="00C43C51" w:rsidRPr="001D0B64" w:rsidRDefault="00C43C51" w:rsidP="00BF61EE">
      <w:pPr>
        <w:tabs>
          <w:tab w:val="left" w:pos="0"/>
        </w:tabs>
        <w:autoSpaceDN w:val="0"/>
        <w:spacing w:line="276" w:lineRule="auto"/>
        <w:ind w:left="567" w:right="567"/>
        <w:contextualSpacing/>
        <w:textAlignment w:val="baseline"/>
        <w:rPr>
          <w:rFonts w:cs="Arial"/>
          <w:i/>
          <w:lang w:val="es-ES_tradnl" w:eastAsia="ar-SA"/>
        </w:rPr>
      </w:pPr>
    </w:p>
    <w:p w:rsidR="000957FD" w:rsidRPr="001D0B64" w:rsidRDefault="00A41D58" w:rsidP="005E26D7">
      <w:pPr>
        <w:rPr>
          <w:rFonts w:eastAsia="Calibri" w:cs="Arial"/>
          <w:lang w:val="es-CO" w:eastAsia="en-US"/>
        </w:rPr>
      </w:pPr>
      <w:r w:rsidRPr="001D0B64">
        <w:rPr>
          <w:rFonts w:eastAsia="Calibri" w:cs="Arial"/>
          <w:lang w:val="es-CO" w:eastAsia="en-US"/>
        </w:rPr>
        <w:t>Aclarado lo anterior</w:t>
      </w:r>
      <w:r w:rsidR="003E1D0E" w:rsidRPr="001D0B64">
        <w:rPr>
          <w:rFonts w:eastAsia="Calibri" w:cs="Arial"/>
          <w:lang w:val="es-CO" w:eastAsia="en-US"/>
        </w:rPr>
        <w:t xml:space="preserve"> y a pesar</w:t>
      </w:r>
      <w:r w:rsidR="005C2FE1" w:rsidRPr="001D0B64">
        <w:rPr>
          <w:rFonts w:eastAsia="Calibri" w:cs="Arial"/>
          <w:lang w:val="es-CO" w:eastAsia="en-US"/>
        </w:rPr>
        <w:t xml:space="preserve"> de que el Tribunal de primera i</w:t>
      </w:r>
      <w:r w:rsidR="003E1D0E" w:rsidRPr="001D0B64">
        <w:rPr>
          <w:rFonts w:eastAsia="Calibri" w:cs="Arial"/>
          <w:lang w:val="es-CO" w:eastAsia="en-US"/>
        </w:rPr>
        <w:t xml:space="preserve">nstancia al resolver el medio exceptivo de caducidad propuesto por la demandada consideró que en este caso resultaba aplicable el término de caducidad de </w:t>
      </w:r>
      <w:r w:rsidR="004272B1" w:rsidRPr="001D0B64">
        <w:rPr>
          <w:rFonts w:eastAsia="Calibri" w:cs="Arial"/>
          <w:lang w:val="es-CO" w:eastAsia="en-US"/>
        </w:rPr>
        <w:t>cuatro</w:t>
      </w:r>
      <w:r w:rsidR="003E1D0E" w:rsidRPr="001D0B64">
        <w:rPr>
          <w:rFonts w:eastAsia="Calibri" w:cs="Arial"/>
          <w:lang w:val="es-CO" w:eastAsia="en-US"/>
        </w:rPr>
        <w:t xml:space="preserve"> meses dispuesto por el C.P.A.C.A. para demandar la nulidad </w:t>
      </w:r>
      <w:r w:rsidR="004272B1" w:rsidRPr="001D0B64">
        <w:rPr>
          <w:rFonts w:eastAsia="Calibri" w:cs="Arial"/>
          <w:lang w:val="es-CO" w:eastAsia="en-US"/>
        </w:rPr>
        <w:t>y el restablecimiento del acto previo a la celebración del contrato, ciertamente</w:t>
      </w:r>
      <w:r w:rsidR="00316160" w:rsidRPr="001D0B64">
        <w:rPr>
          <w:rFonts w:eastAsia="Calibri" w:cs="Arial"/>
          <w:lang w:val="es-CO" w:eastAsia="en-US"/>
        </w:rPr>
        <w:t>,</w:t>
      </w:r>
      <w:r w:rsidR="004272B1" w:rsidRPr="001D0B64">
        <w:rPr>
          <w:rFonts w:eastAsia="Calibri" w:cs="Arial"/>
          <w:lang w:val="es-CO" w:eastAsia="en-US"/>
        </w:rPr>
        <w:t xml:space="preserve"> </w:t>
      </w:r>
      <w:r w:rsidR="004C42C6" w:rsidRPr="001D0B64">
        <w:rPr>
          <w:rFonts w:eastAsia="Calibri" w:cs="Arial"/>
          <w:lang w:val="es-CO" w:eastAsia="en-US"/>
        </w:rPr>
        <w:t>con sujeción</w:t>
      </w:r>
      <w:r w:rsidR="004272B1" w:rsidRPr="001D0B64">
        <w:rPr>
          <w:rFonts w:eastAsia="Calibri" w:cs="Arial"/>
          <w:lang w:val="es-CO" w:eastAsia="en-US"/>
        </w:rPr>
        <w:t xml:space="preserve"> a las </w:t>
      </w:r>
      <w:r w:rsidR="000957FD" w:rsidRPr="001D0B64">
        <w:rPr>
          <w:rFonts w:eastAsia="Calibri" w:cs="Arial"/>
          <w:lang w:val="es-CO" w:eastAsia="en-US"/>
        </w:rPr>
        <w:t xml:space="preserve">aludidas </w:t>
      </w:r>
      <w:r w:rsidR="004272B1" w:rsidRPr="001D0B64">
        <w:rPr>
          <w:rFonts w:eastAsia="Calibri" w:cs="Arial"/>
          <w:lang w:val="es-CO" w:eastAsia="en-US"/>
        </w:rPr>
        <w:t>reglas de aplicaci</w:t>
      </w:r>
      <w:r w:rsidR="000957FD" w:rsidRPr="001D0B64">
        <w:rPr>
          <w:rFonts w:eastAsia="Calibri" w:cs="Arial"/>
          <w:lang w:val="es-CO" w:eastAsia="en-US"/>
        </w:rPr>
        <w:t xml:space="preserve">ón normativa, la oportunidad de la interposición de la </w:t>
      </w:r>
      <w:r w:rsidR="004978E9" w:rsidRPr="001D0B64">
        <w:rPr>
          <w:rFonts w:eastAsia="Calibri" w:cs="Arial"/>
          <w:lang w:val="es-CO" w:eastAsia="en-US"/>
        </w:rPr>
        <w:t>demanda</w:t>
      </w:r>
      <w:r w:rsidR="000957FD" w:rsidRPr="001D0B64">
        <w:rPr>
          <w:rFonts w:eastAsia="Calibri" w:cs="Arial"/>
          <w:lang w:val="es-CO" w:eastAsia="en-US"/>
        </w:rPr>
        <w:t xml:space="preserve"> debió examinarse a la luz de lo dispuesto en el inciso segundo del artículo 87 del C.C.A.</w:t>
      </w:r>
      <w:r w:rsidR="00316160" w:rsidRPr="001D0B64">
        <w:rPr>
          <w:rFonts w:eastAsia="Calibri" w:cs="Arial"/>
          <w:lang w:val="es-CO" w:eastAsia="en-US"/>
        </w:rPr>
        <w:t>,</w:t>
      </w:r>
      <w:r w:rsidR="000957FD" w:rsidRPr="001D0B64">
        <w:rPr>
          <w:rFonts w:eastAsia="Calibri" w:cs="Arial"/>
          <w:lang w:val="es-CO" w:eastAsia="en-US"/>
        </w:rPr>
        <w:t xml:space="preserve"> </w:t>
      </w:r>
      <w:r w:rsidR="00A17338" w:rsidRPr="001D0B64">
        <w:rPr>
          <w:rFonts w:eastAsia="Calibri" w:cs="Arial"/>
          <w:lang w:val="es-CO" w:eastAsia="en-US"/>
        </w:rPr>
        <w:t xml:space="preserve">a cuyo tenor se establecía </w:t>
      </w:r>
      <w:r w:rsidR="004978E9" w:rsidRPr="001D0B64">
        <w:rPr>
          <w:rFonts w:eastAsia="Calibri" w:cs="Arial"/>
          <w:lang w:val="es-CO" w:eastAsia="en-US"/>
        </w:rPr>
        <w:t>que “</w:t>
      </w:r>
      <w:r w:rsidR="004978E9" w:rsidRPr="001D0B64">
        <w:rPr>
          <w:rFonts w:cs="Arial"/>
          <w:i/>
        </w:rPr>
        <w:t>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w:t>
      </w:r>
      <w:r w:rsidR="004978E9" w:rsidRPr="001D0B64">
        <w:rPr>
          <w:rFonts w:cs="Arial"/>
        </w:rPr>
        <w:t>”.</w:t>
      </w:r>
    </w:p>
    <w:p w:rsidR="000957FD" w:rsidRPr="001D0B64" w:rsidRDefault="000957FD" w:rsidP="005E26D7">
      <w:pPr>
        <w:rPr>
          <w:rFonts w:eastAsia="Calibri" w:cs="Arial"/>
          <w:lang w:val="es-CO" w:eastAsia="en-US"/>
        </w:rPr>
      </w:pPr>
    </w:p>
    <w:p w:rsidR="00B72319" w:rsidRPr="001D0B64" w:rsidRDefault="004C3387" w:rsidP="005E26D7">
      <w:pPr>
        <w:rPr>
          <w:rFonts w:eastAsia="Calibri" w:cs="Arial"/>
          <w:lang w:val="es-CO" w:eastAsia="en-US"/>
        </w:rPr>
      </w:pPr>
      <w:r w:rsidRPr="001D0B64">
        <w:rPr>
          <w:rFonts w:eastAsia="Calibri" w:cs="Arial"/>
          <w:lang w:val="es-CO" w:eastAsia="en-US"/>
        </w:rPr>
        <w:t>Así</w:t>
      </w:r>
      <w:r w:rsidR="003B6BDC" w:rsidRPr="001D0B64">
        <w:rPr>
          <w:rFonts w:eastAsia="Calibri" w:cs="Arial"/>
          <w:lang w:val="es-CO" w:eastAsia="en-US"/>
        </w:rPr>
        <w:t xml:space="preserve"> pues, </w:t>
      </w:r>
      <w:r w:rsidR="00A25BA6" w:rsidRPr="001D0B64">
        <w:rPr>
          <w:rFonts w:eastAsia="Calibri" w:cs="Arial"/>
          <w:lang w:val="es-CO" w:eastAsia="en-US"/>
        </w:rPr>
        <w:t>s</w:t>
      </w:r>
      <w:r w:rsidR="008458DD" w:rsidRPr="001D0B64">
        <w:rPr>
          <w:rFonts w:eastAsia="Calibri" w:cs="Arial"/>
          <w:lang w:val="es-CO" w:eastAsia="en-US"/>
        </w:rPr>
        <w:t xml:space="preserve">e </w:t>
      </w:r>
      <w:r w:rsidR="005E26D7" w:rsidRPr="001D0B64">
        <w:rPr>
          <w:rFonts w:eastAsia="Calibri" w:cs="Arial"/>
          <w:lang w:val="es-CO" w:eastAsia="en-US"/>
        </w:rPr>
        <w:t xml:space="preserve">precisa que la fecha inicial del cómputo de caducidad </w:t>
      </w:r>
      <w:r w:rsidR="00B00ADD" w:rsidRPr="001D0B64">
        <w:rPr>
          <w:rFonts w:eastAsia="Calibri" w:cs="Arial"/>
          <w:lang w:val="es-CO" w:eastAsia="en-US"/>
        </w:rPr>
        <w:t>corresponde al 13 de junio de 2012</w:t>
      </w:r>
      <w:r w:rsidR="00286539" w:rsidRPr="001D0B64">
        <w:rPr>
          <w:rFonts w:eastAsia="Calibri" w:cs="Arial"/>
          <w:lang w:val="es-CO" w:eastAsia="en-US"/>
        </w:rPr>
        <w:t xml:space="preserve">, día </w:t>
      </w:r>
      <w:r w:rsidR="00B00ADD" w:rsidRPr="001D0B64">
        <w:rPr>
          <w:rFonts w:eastAsia="Calibri" w:cs="Arial"/>
          <w:lang w:val="es-CO" w:eastAsia="en-US"/>
        </w:rPr>
        <w:t xml:space="preserve">siguiente a aquel </w:t>
      </w:r>
      <w:r w:rsidR="00286539" w:rsidRPr="001D0B64">
        <w:rPr>
          <w:rFonts w:eastAsia="Calibri" w:cs="Arial"/>
          <w:lang w:val="es-CO" w:eastAsia="en-US"/>
        </w:rPr>
        <w:t xml:space="preserve">en que </w:t>
      </w:r>
      <w:r w:rsidR="00B00ADD" w:rsidRPr="001D0B64">
        <w:rPr>
          <w:rFonts w:eastAsia="Calibri" w:cs="Arial"/>
          <w:lang w:val="es-CO" w:eastAsia="en-US"/>
        </w:rPr>
        <w:t>se notific</w:t>
      </w:r>
      <w:r w:rsidRPr="001D0B64">
        <w:rPr>
          <w:rFonts w:eastAsia="Calibri" w:cs="Arial"/>
          <w:lang w:val="es-CO" w:eastAsia="en-US"/>
        </w:rPr>
        <w:t>ó en audiencia el acto</w:t>
      </w:r>
      <w:r w:rsidR="0059302D" w:rsidRPr="001D0B64">
        <w:rPr>
          <w:rFonts w:eastAsia="Calibri" w:cs="Arial"/>
          <w:lang w:val="es-CO" w:eastAsia="en-US"/>
        </w:rPr>
        <w:t xml:space="preserve"> proferido el</w:t>
      </w:r>
      <w:r w:rsidRPr="001D0B64">
        <w:rPr>
          <w:rFonts w:eastAsia="Calibri" w:cs="Arial"/>
          <w:lang w:val="es-CO" w:eastAsia="en-US"/>
        </w:rPr>
        <w:t xml:space="preserve"> 12 de los mismos mes y año</w:t>
      </w:r>
      <w:r w:rsidR="00A53466" w:rsidRPr="001D0B64">
        <w:rPr>
          <w:rFonts w:eastAsia="Calibri" w:cs="Arial"/>
          <w:lang w:val="es-CO" w:eastAsia="en-US"/>
        </w:rPr>
        <w:t>,</w:t>
      </w:r>
      <w:r w:rsidRPr="001D0B64">
        <w:rPr>
          <w:rFonts w:eastAsia="Calibri" w:cs="Arial"/>
          <w:lang w:val="es-CO" w:eastAsia="en-US"/>
        </w:rPr>
        <w:t xml:space="preserve"> por el cual la Empresa de Acueducto y Alcantarillado de Bogotá adjudicó la Invitación Pública No. ICSM -0673-2011</w:t>
      </w:r>
      <w:r w:rsidR="0059302D" w:rsidRPr="001D0B64">
        <w:rPr>
          <w:rFonts w:eastAsia="Calibri" w:cs="Arial"/>
          <w:lang w:val="es-CO" w:eastAsia="en-US"/>
        </w:rPr>
        <w:t xml:space="preserve"> al consorcio Rehabilitación Tibitoc.</w:t>
      </w:r>
      <w:r w:rsidR="004C42C6" w:rsidRPr="001D0B64">
        <w:rPr>
          <w:rFonts w:eastAsia="Calibri" w:cs="Arial"/>
          <w:lang w:val="es-CO" w:eastAsia="en-US"/>
        </w:rPr>
        <w:t xml:space="preserve"> </w:t>
      </w:r>
    </w:p>
    <w:p w:rsidR="00B72319" w:rsidRPr="001D0B64" w:rsidRDefault="00B72319" w:rsidP="005E26D7">
      <w:pPr>
        <w:rPr>
          <w:rFonts w:eastAsia="Calibri" w:cs="Arial"/>
          <w:lang w:val="es-CO" w:eastAsia="en-US"/>
        </w:rPr>
      </w:pPr>
    </w:p>
    <w:p w:rsidR="00B90F53" w:rsidRPr="001D0B64" w:rsidRDefault="004C42C6" w:rsidP="00B90F53">
      <w:pPr>
        <w:overflowPunct w:val="0"/>
        <w:autoSpaceDE w:val="0"/>
        <w:autoSpaceDN w:val="0"/>
        <w:adjustRightInd w:val="0"/>
        <w:ind w:right="17"/>
        <w:textAlignment w:val="baseline"/>
        <w:rPr>
          <w:rFonts w:cs="Arial"/>
          <w:lang w:val="es-ES_tradnl"/>
        </w:rPr>
      </w:pPr>
      <w:r w:rsidRPr="001D0B64">
        <w:rPr>
          <w:rFonts w:eastAsia="Calibri" w:cs="Arial"/>
          <w:lang w:val="es-CO" w:eastAsia="en-US"/>
        </w:rPr>
        <w:t xml:space="preserve">De ahí que </w:t>
      </w:r>
      <w:r w:rsidR="00221034" w:rsidRPr="001D0B64">
        <w:rPr>
          <w:rFonts w:eastAsia="Calibri" w:cs="Arial"/>
          <w:lang w:val="es-CO" w:eastAsia="en-US"/>
        </w:rPr>
        <w:t xml:space="preserve">los 30 días </w:t>
      </w:r>
      <w:r w:rsidRPr="001D0B64">
        <w:rPr>
          <w:rFonts w:eastAsia="Calibri" w:cs="Arial"/>
          <w:lang w:val="es-CO" w:eastAsia="en-US"/>
        </w:rPr>
        <w:t>de caducidad de la acción</w:t>
      </w:r>
      <w:r w:rsidR="00221034" w:rsidRPr="001D0B64">
        <w:rPr>
          <w:rFonts w:eastAsia="Calibri" w:cs="Arial"/>
          <w:lang w:val="es-CO" w:eastAsia="en-US"/>
        </w:rPr>
        <w:t xml:space="preserve"> </w:t>
      </w:r>
      <w:r w:rsidR="005C2FE1" w:rsidRPr="001D0B64">
        <w:rPr>
          <w:rFonts w:eastAsia="Calibri" w:cs="Arial"/>
          <w:lang w:val="es-CO" w:eastAsia="en-US"/>
        </w:rPr>
        <w:t xml:space="preserve">se cumplieron </w:t>
      </w:r>
      <w:r w:rsidR="005A0408" w:rsidRPr="001D0B64">
        <w:rPr>
          <w:rFonts w:eastAsia="Calibri" w:cs="Arial"/>
          <w:lang w:val="es-CO" w:eastAsia="en-US"/>
        </w:rPr>
        <w:t xml:space="preserve">el </w:t>
      </w:r>
      <w:r w:rsidR="00221034" w:rsidRPr="001D0B64">
        <w:rPr>
          <w:rFonts w:eastAsia="Calibri" w:cs="Arial"/>
          <w:lang w:val="es-CO" w:eastAsia="en-US"/>
        </w:rPr>
        <w:t>27 de julio de 2012</w:t>
      </w:r>
      <w:r w:rsidR="00B90F53" w:rsidRPr="001D0B64">
        <w:rPr>
          <w:rFonts w:eastAsia="Calibri" w:cs="Arial"/>
          <w:lang w:val="es-CO" w:eastAsia="en-US"/>
        </w:rPr>
        <w:t>,</w:t>
      </w:r>
      <w:r w:rsidR="00B90F53" w:rsidRPr="001D0B64">
        <w:rPr>
          <w:rFonts w:cs="Arial"/>
          <w:bCs/>
        </w:rPr>
        <w:t xml:space="preserve"> por manera que </w:t>
      </w:r>
      <w:r w:rsidR="00B90F53" w:rsidRPr="001D0B64">
        <w:rPr>
          <w:rFonts w:cs="Arial"/>
          <w:lang w:val="es-ES_tradnl"/>
        </w:rPr>
        <w:t xml:space="preserve">al haberse interpuesto la demanda el 18 de diciembre de 2012, la Sala concluye que la acción se ejerció </w:t>
      </w:r>
      <w:r w:rsidR="00672AB1" w:rsidRPr="001D0B64">
        <w:rPr>
          <w:rFonts w:cs="Arial"/>
          <w:lang w:val="es-ES_tradnl"/>
        </w:rPr>
        <w:t xml:space="preserve">por </w:t>
      </w:r>
      <w:r w:rsidR="00B90F53" w:rsidRPr="001D0B64">
        <w:rPr>
          <w:rFonts w:cs="Arial"/>
          <w:lang w:val="es-ES_tradnl"/>
        </w:rPr>
        <w:t xml:space="preserve">fuera del término legalmente establecido, sin que esta conclusión se altere por el hecho de que el 11 de octubre de ese mismo año se hubiera radicado la solicitud de conciliación prejudicial, puesto que para esa fecha ya la acción se encontraba caducada. </w:t>
      </w:r>
    </w:p>
    <w:p w:rsidR="00B90F53" w:rsidRPr="001D0B64" w:rsidRDefault="00B90F53" w:rsidP="00B90F53">
      <w:pPr>
        <w:overflowPunct w:val="0"/>
        <w:autoSpaceDE w:val="0"/>
        <w:autoSpaceDN w:val="0"/>
        <w:adjustRightInd w:val="0"/>
        <w:ind w:right="17"/>
        <w:textAlignment w:val="baseline"/>
        <w:rPr>
          <w:rFonts w:cs="Arial"/>
          <w:lang w:val="es-ES_tradnl"/>
        </w:rPr>
      </w:pPr>
    </w:p>
    <w:p w:rsidR="00B72319" w:rsidRPr="001D0B64" w:rsidRDefault="00B90F53" w:rsidP="004C758E">
      <w:pPr>
        <w:rPr>
          <w:rFonts w:eastAsia="Calibri" w:cs="Arial"/>
          <w:lang w:val="es-CO" w:eastAsia="en-US"/>
        </w:rPr>
      </w:pPr>
      <w:r w:rsidRPr="001D0B64">
        <w:rPr>
          <w:rFonts w:cs="Arial"/>
          <w:lang w:val="es-ES_tradnl"/>
        </w:rPr>
        <w:t>En mérito de las precisiones que anteceden, la Sala modificará la sentencia apelada</w:t>
      </w:r>
      <w:r w:rsidR="00672AB1" w:rsidRPr="001D0B64">
        <w:rPr>
          <w:rFonts w:cs="Arial"/>
          <w:lang w:val="es-ES_tradnl"/>
        </w:rPr>
        <w:t>,</w:t>
      </w:r>
      <w:r w:rsidRPr="001D0B64">
        <w:rPr>
          <w:rFonts w:cs="Arial"/>
          <w:lang w:val="es-ES_tradnl"/>
        </w:rPr>
        <w:t xml:space="preserve"> para</w:t>
      </w:r>
      <w:r w:rsidR="00672AB1" w:rsidRPr="001D0B64">
        <w:rPr>
          <w:rFonts w:cs="Arial"/>
          <w:lang w:val="es-ES_tradnl"/>
        </w:rPr>
        <w:t>,</w:t>
      </w:r>
      <w:r w:rsidRPr="001D0B64">
        <w:rPr>
          <w:rFonts w:cs="Arial"/>
          <w:lang w:val="es-ES_tradnl"/>
        </w:rPr>
        <w:t xml:space="preserve"> en su lugar</w:t>
      </w:r>
      <w:r w:rsidR="00672AB1" w:rsidRPr="001D0B64">
        <w:rPr>
          <w:rFonts w:cs="Arial"/>
          <w:lang w:val="es-ES_tradnl"/>
        </w:rPr>
        <w:t>,</w:t>
      </w:r>
      <w:r w:rsidRPr="001D0B64">
        <w:rPr>
          <w:rFonts w:cs="Arial"/>
          <w:lang w:val="es-ES_tradnl"/>
        </w:rPr>
        <w:t xml:space="preserve"> declarar que operó la caducidad de la acción frente a la pretensión de nulidad del acto de adjudicación dictado el 12 de </w:t>
      </w:r>
      <w:r w:rsidR="005D31D8" w:rsidRPr="001D0B64">
        <w:rPr>
          <w:rFonts w:cs="Arial"/>
          <w:lang w:val="es-ES_tradnl"/>
        </w:rPr>
        <w:t>junio de 2012</w:t>
      </w:r>
      <w:r w:rsidR="005D31D8" w:rsidRPr="001D0B64">
        <w:rPr>
          <w:rFonts w:eastAsia="Calibri" w:cs="Arial"/>
          <w:lang w:val="es-CO" w:eastAsia="en-US"/>
        </w:rPr>
        <w:t>, por el cual la Empresa de Acueducto y Alcantarillado de Bogotá adjudicó la Invitación Pública No. ICSM -0673-2011 al consorcio Rehabilitación Tibitoc y frente a su consecuencial restablecimiento del derecho</w:t>
      </w:r>
      <w:r w:rsidR="00520814" w:rsidRPr="001D0B64">
        <w:rPr>
          <w:rStyle w:val="Refdenotaalpie"/>
          <w:rFonts w:cs="Arial"/>
        </w:rPr>
        <w:footnoteReference w:id="15"/>
      </w:r>
      <w:r w:rsidR="00520814" w:rsidRPr="001D0B64">
        <w:rPr>
          <w:rFonts w:cs="Arial"/>
        </w:rPr>
        <w:t>.</w:t>
      </w:r>
    </w:p>
    <w:p w:rsidR="00520814" w:rsidRPr="001D0B64" w:rsidRDefault="00520814" w:rsidP="00F57296">
      <w:pPr>
        <w:ind w:right="-1"/>
        <w:rPr>
          <w:rFonts w:cs="Arial"/>
        </w:rPr>
      </w:pPr>
    </w:p>
    <w:p w:rsidR="004169E7" w:rsidRPr="001D0B64" w:rsidRDefault="005F01C2" w:rsidP="00F57296">
      <w:pPr>
        <w:ind w:right="-1"/>
        <w:rPr>
          <w:rFonts w:cs="Arial"/>
          <w:b/>
        </w:rPr>
      </w:pPr>
      <w:r w:rsidRPr="001D0B64">
        <w:rPr>
          <w:rFonts w:cs="Arial"/>
          <w:b/>
        </w:rPr>
        <w:t xml:space="preserve">3.- </w:t>
      </w:r>
      <w:r w:rsidR="002D48E9" w:rsidRPr="001D0B64">
        <w:rPr>
          <w:rFonts w:cs="Arial"/>
          <w:b/>
        </w:rPr>
        <w:t xml:space="preserve">De la pretensión de terminación </w:t>
      </w:r>
      <w:r w:rsidR="00037D4F" w:rsidRPr="001D0B64">
        <w:rPr>
          <w:rFonts w:cs="Arial"/>
          <w:b/>
        </w:rPr>
        <w:t xml:space="preserve">del Contrato No. </w:t>
      </w:r>
      <w:r w:rsidR="00F16816" w:rsidRPr="001D0B64">
        <w:rPr>
          <w:rFonts w:cs="Arial"/>
          <w:b/>
        </w:rPr>
        <w:t>1-01-25400-02672012 del 15 de junio de 2012</w:t>
      </w:r>
    </w:p>
    <w:p w:rsidR="00731656" w:rsidRPr="001D0B64" w:rsidRDefault="00731656" w:rsidP="00F57296">
      <w:pPr>
        <w:ind w:right="-1"/>
        <w:rPr>
          <w:rFonts w:cs="Arial"/>
          <w:b/>
        </w:rPr>
      </w:pPr>
    </w:p>
    <w:p w:rsidR="005544DE" w:rsidRPr="001D0B64" w:rsidRDefault="00731656" w:rsidP="00F57296">
      <w:pPr>
        <w:ind w:right="-1"/>
        <w:rPr>
          <w:rFonts w:cs="Arial"/>
        </w:rPr>
      </w:pPr>
      <w:r w:rsidRPr="001D0B64">
        <w:rPr>
          <w:rFonts w:cs="Arial"/>
        </w:rPr>
        <w:t>Además de pretender la nulidad del acto de adjudicación, el consorcio demandante</w:t>
      </w:r>
      <w:r w:rsidR="00672AB1" w:rsidRPr="001D0B64">
        <w:rPr>
          <w:rFonts w:cs="Arial"/>
        </w:rPr>
        <w:t>,</w:t>
      </w:r>
      <w:r w:rsidRPr="001D0B64">
        <w:rPr>
          <w:rFonts w:cs="Arial"/>
        </w:rPr>
        <w:t xml:space="preserve"> igualmente, de manera consecuencial, solicitó que </w:t>
      </w:r>
      <w:r w:rsidR="005544DE" w:rsidRPr="001D0B64">
        <w:rPr>
          <w:rFonts w:cs="Arial"/>
        </w:rPr>
        <w:t xml:space="preserve">se </w:t>
      </w:r>
      <w:r w:rsidRPr="001D0B64">
        <w:rPr>
          <w:rFonts w:cs="Arial"/>
        </w:rPr>
        <w:t>declarara la terminación del Contrato No. 1-01-24400-02672012 del 15 de junio de 2012</w:t>
      </w:r>
      <w:r w:rsidR="00A53466" w:rsidRPr="001D0B64">
        <w:rPr>
          <w:rFonts w:cs="Arial"/>
        </w:rPr>
        <w:t>,</w:t>
      </w:r>
      <w:r w:rsidR="005544DE" w:rsidRPr="001D0B64">
        <w:rPr>
          <w:rFonts w:cs="Arial"/>
        </w:rPr>
        <w:t xml:space="preserve"> celebrado entre la Empresa de Acueducto y Alcantarillado </w:t>
      </w:r>
      <w:r w:rsidR="00637D7E" w:rsidRPr="001D0B64">
        <w:rPr>
          <w:rFonts w:cs="Arial"/>
        </w:rPr>
        <w:t xml:space="preserve">y el consorcio Rehabilitación Tibitoc </w:t>
      </w:r>
      <w:r w:rsidR="005544DE" w:rsidRPr="001D0B64">
        <w:rPr>
          <w:rFonts w:cs="Arial"/>
        </w:rPr>
        <w:t xml:space="preserve">como resultado del procedimiento de selección. </w:t>
      </w:r>
    </w:p>
    <w:p w:rsidR="005544DE" w:rsidRPr="001D0B64" w:rsidRDefault="005544DE" w:rsidP="00F57296">
      <w:pPr>
        <w:ind w:right="-1"/>
        <w:rPr>
          <w:rFonts w:cs="Arial"/>
        </w:rPr>
      </w:pPr>
    </w:p>
    <w:p w:rsidR="008D616D" w:rsidRPr="001D0B64" w:rsidRDefault="005544DE" w:rsidP="00F57296">
      <w:pPr>
        <w:ind w:right="-1"/>
        <w:rPr>
          <w:rFonts w:cs="Arial"/>
        </w:rPr>
      </w:pPr>
      <w:r w:rsidRPr="001D0B64">
        <w:rPr>
          <w:rFonts w:cs="Arial"/>
        </w:rPr>
        <w:t>Con todo, de la revisión de las decisiones sustanciadas en la primera instancia</w:t>
      </w:r>
      <w:r w:rsidR="00672AB1" w:rsidRPr="001D0B64">
        <w:rPr>
          <w:rFonts w:cs="Arial"/>
        </w:rPr>
        <w:t>,</w:t>
      </w:r>
      <w:r w:rsidRPr="001D0B64">
        <w:rPr>
          <w:rFonts w:cs="Arial"/>
        </w:rPr>
        <w:t xml:space="preserve"> tales como la admisión</w:t>
      </w:r>
      <w:r w:rsidR="00CC4DB9" w:rsidRPr="001D0B64">
        <w:rPr>
          <w:rFonts w:cs="Arial"/>
        </w:rPr>
        <w:t xml:space="preserve"> de la demanda</w:t>
      </w:r>
      <w:r w:rsidRPr="001D0B64">
        <w:rPr>
          <w:rFonts w:cs="Arial"/>
        </w:rPr>
        <w:t>, la audiencia inicial con su respectiva fijación del litigio</w:t>
      </w:r>
      <w:r w:rsidR="00CC4DB9" w:rsidRPr="001D0B64">
        <w:rPr>
          <w:rFonts w:cs="Arial"/>
        </w:rPr>
        <w:t xml:space="preserve"> y la sentencia impugnada, se observa que </w:t>
      </w:r>
      <w:r w:rsidR="008D616D" w:rsidRPr="001D0B64">
        <w:rPr>
          <w:rFonts w:cs="Arial"/>
        </w:rPr>
        <w:t xml:space="preserve">el </w:t>
      </w:r>
      <w:r w:rsidR="008D616D" w:rsidRPr="001D0B64">
        <w:rPr>
          <w:rFonts w:cs="Arial"/>
          <w:i/>
        </w:rPr>
        <w:t>a quo</w:t>
      </w:r>
      <w:r w:rsidR="00A53466" w:rsidRPr="001D0B64">
        <w:rPr>
          <w:rFonts w:cs="Arial"/>
        </w:rPr>
        <w:t xml:space="preserve"> de forma</w:t>
      </w:r>
      <w:r w:rsidR="008D616D" w:rsidRPr="001D0B64">
        <w:rPr>
          <w:rFonts w:cs="Arial"/>
        </w:rPr>
        <w:t xml:space="preserve"> automática y sin mayor razonamiento sobre el particular convirtió la pretensión de terminación del contrato en la </w:t>
      </w:r>
      <w:r w:rsidR="00A53466" w:rsidRPr="001D0B64">
        <w:rPr>
          <w:rFonts w:cs="Arial"/>
        </w:rPr>
        <w:t xml:space="preserve">invocación </w:t>
      </w:r>
      <w:r w:rsidR="008D616D" w:rsidRPr="001D0B64">
        <w:rPr>
          <w:rFonts w:cs="Arial"/>
        </w:rPr>
        <w:t>de nulidad del mismo.</w:t>
      </w:r>
    </w:p>
    <w:p w:rsidR="008D616D" w:rsidRPr="001D0B64" w:rsidRDefault="008D616D" w:rsidP="00F57296">
      <w:pPr>
        <w:ind w:right="-1"/>
        <w:rPr>
          <w:rFonts w:cs="Arial"/>
        </w:rPr>
      </w:pPr>
    </w:p>
    <w:p w:rsidR="007D4834" w:rsidRPr="001D0B64" w:rsidRDefault="0038067A" w:rsidP="00F57296">
      <w:pPr>
        <w:ind w:right="-1"/>
        <w:rPr>
          <w:rFonts w:cs="Arial"/>
        </w:rPr>
      </w:pPr>
      <w:r w:rsidRPr="001D0B64">
        <w:rPr>
          <w:rFonts w:cs="Arial"/>
        </w:rPr>
        <w:t>Al respecto, la Sala considera que aun cuando la pretensión de nulidad del contrato está llamada a impetrarse a través</w:t>
      </w:r>
      <w:r w:rsidR="00494ADF" w:rsidRPr="001D0B64">
        <w:rPr>
          <w:rFonts w:cs="Arial"/>
        </w:rPr>
        <w:t xml:space="preserve"> del medio de control de controversias contractuales </w:t>
      </w:r>
      <w:r w:rsidR="001A1521" w:rsidRPr="001D0B64">
        <w:rPr>
          <w:rFonts w:cs="Arial"/>
        </w:rPr>
        <w:t xml:space="preserve">dentro de un </w:t>
      </w:r>
      <w:r w:rsidR="00494ADF" w:rsidRPr="001D0B64">
        <w:rPr>
          <w:rFonts w:cs="Arial"/>
        </w:rPr>
        <w:t>térmi</w:t>
      </w:r>
      <w:r w:rsidR="001A1521" w:rsidRPr="001D0B64">
        <w:rPr>
          <w:rFonts w:cs="Arial"/>
        </w:rPr>
        <w:t>no de caducidad</w:t>
      </w:r>
      <w:r w:rsidR="00494ADF" w:rsidRPr="001D0B64">
        <w:rPr>
          <w:rFonts w:cs="Arial"/>
        </w:rPr>
        <w:t xml:space="preserve"> de dos años</w:t>
      </w:r>
      <w:r w:rsidR="001A1521" w:rsidRPr="001D0B64">
        <w:rPr>
          <w:rFonts w:cs="Arial"/>
        </w:rPr>
        <w:t xml:space="preserve"> contados desde su perfeccionamiento</w:t>
      </w:r>
      <w:r w:rsidR="00F21C39" w:rsidRPr="001D0B64">
        <w:rPr>
          <w:rStyle w:val="Refdenotaalpie"/>
          <w:rFonts w:cs="Arial"/>
        </w:rPr>
        <w:footnoteReference w:id="16"/>
      </w:r>
      <w:r w:rsidR="008D616D" w:rsidRPr="001D0B64">
        <w:rPr>
          <w:rFonts w:cs="Arial"/>
        </w:rPr>
        <w:t xml:space="preserve">, </w:t>
      </w:r>
      <w:r w:rsidR="00494ADF" w:rsidRPr="001D0B64">
        <w:rPr>
          <w:rFonts w:cs="Arial"/>
        </w:rPr>
        <w:t xml:space="preserve">lo cierto es que </w:t>
      </w:r>
      <w:r w:rsidR="008D616D" w:rsidRPr="001D0B64">
        <w:rPr>
          <w:rFonts w:cs="Arial"/>
        </w:rPr>
        <w:t xml:space="preserve">en realidad esta </w:t>
      </w:r>
      <w:r w:rsidR="00494ADF" w:rsidRPr="001D0B64">
        <w:rPr>
          <w:rFonts w:cs="Arial"/>
        </w:rPr>
        <w:t xml:space="preserve">súplica </w:t>
      </w:r>
      <w:r w:rsidR="00A53466" w:rsidRPr="001D0B64">
        <w:rPr>
          <w:rFonts w:cs="Arial"/>
        </w:rPr>
        <w:t>en momento alguno fue impetrada</w:t>
      </w:r>
      <w:r w:rsidR="008D616D" w:rsidRPr="001D0B64">
        <w:rPr>
          <w:rFonts w:cs="Arial"/>
        </w:rPr>
        <w:t xml:space="preserve"> por la parte actora. </w:t>
      </w:r>
      <w:r w:rsidR="00C511DC" w:rsidRPr="001D0B64">
        <w:rPr>
          <w:rFonts w:cs="Arial"/>
        </w:rPr>
        <w:t>Se itera que lo pretendido</w:t>
      </w:r>
      <w:r w:rsidR="00494ADF" w:rsidRPr="001D0B64">
        <w:rPr>
          <w:rFonts w:cs="Arial"/>
        </w:rPr>
        <w:t xml:space="preserve"> </w:t>
      </w:r>
      <w:r w:rsidR="000C2F2C" w:rsidRPr="001D0B64">
        <w:rPr>
          <w:rFonts w:cs="Arial"/>
        </w:rPr>
        <w:t xml:space="preserve">consistió </w:t>
      </w:r>
      <w:r w:rsidR="00494ADF" w:rsidRPr="001D0B64">
        <w:rPr>
          <w:rFonts w:cs="Arial"/>
        </w:rPr>
        <w:t>en la declaratoria de terminación del negocio jurídico</w:t>
      </w:r>
      <w:r w:rsidR="00A53466" w:rsidRPr="001D0B64">
        <w:rPr>
          <w:rFonts w:cs="Arial"/>
        </w:rPr>
        <w:t xml:space="preserve">, de tal suerte que </w:t>
      </w:r>
      <w:r w:rsidR="008F2C40" w:rsidRPr="001D0B64">
        <w:rPr>
          <w:rFonts w:cs="Arial"/>
        </w:rPr>
        <w:t xml:space="preserve">al haberse transformado oficiosamente la pretensión </w:t>
      </w:r>
      <w:r w:rsidR="00C511DC" w:rsidRPr="001D0B64">
        <w:rPr>
          <w:rFonts w:cs="Arial"/>
        </w:rPr>
        <w:t xml:space="preserve">sin motivar el sustento de dicho proceder, </w:t>
      </w:r>
      <w:r w:rsidR="001F7EAA" w:rsidRPr="001D0B64">
        <w:rPr>
          <w:rFonts w:cs="Arial"/>
        </w:rPr>
        <w:t xml:space="preserve">resulta claro que </w:t>
      </w:r>
      <w:r w:rsidR="008F2C40" w:rsidRPr="001D0B64">
        <w:rPr>
          <w:rFonts w:cs="Arial"/>
        </w:rPr>
        <w:t>se alter</w:t>
      </w:r>
      <w:r w:rsidR="001F7EAA" w:rsidRPr="001D0B64">
        <w:rPr>
          <w:rFonts w:cs="Arial"/>
        </w:rPr>
        <w:t xml:space="preserve">ó </w:t>
      </w:r>
      <w:r w:rsidR="008F2C40" w:rsidRPr="001D0B64">
        <w:rPr>
          <w:rFonts w:cs="Arial"/>
        </w:rPr>
        <w:t>la causa petendi</w:t>
      </w:r>
      <w:r w:rsidR="00494ADF" w:rsidRPr="001D0B64">
        <w:rPr>
          <w:rFonts w:cs="Arial"/>
        </w:rPr>
        <w:t xml:space="preserve">. </w:t>
      </w:r>
    </w:p>
    <w:p w:rsidR="00E9277E" w:rsidRPr="001D0B64" w:rsidRDefault="00E9277E" w:rsidP="00F57296">
      <w:pPr>
        <w:ind w:right="-1"/>
        <w:rPr>
          <w:rFonts w:cs="Arial"/>
        </w:rPr>
      </w:pPr>
    </w:p>
    <w:p w:rsidR="000B4ABA" w:rsidRPr="001D0B64" w:rsidRDefault="00A53466" w:rsidP="000B4ABA">
      <w:pPr>
        <w:rPr>
          <w:rFonts w:cs="Arial"/>
        </w:rPr>
      </w:pPr>
      <w:r w:rsidRPr="001D0B64">
        <w:rPr>
          <w:rFonts w:cs="Arial"/>
        </w:rPr>
        <w:t>En consonancia con</w:t>
      </w:r>
      <w:r w:rsidR="000B4ABA" w:rsidRPr="001D0B64">
        <w:rPr>
          <w:rFonts w:cs="Arial"/>
        </w:rPr>
        <w:t xml:space="preserve"> lo anterior, debe advertirse que el presupuesto de la legitimación en la causa por activa se vincula con la parte demandante y supone que la procedencia de la pretensión procesal que formula se soporte en el interés </w:t>
      </w:r>
      <w:r w:rsidR="00D82B3C" w:rsidRPr="001D0B64">
        <w:rPr>
          <w:rFonts w:cs="Arial"/>
        </w:rPr>
        <w:t xml:space="preserve">directo y </w:t>
      </w:r>
      <w:r w:rsidR="000B4ABA" w:rsidRPr="001D0B64">
        <w:rPr>
          <w:rFonts w:cs="Arial"/>
        </w:rPr>
        <w:t xml:space="preserve">sustancial que le asiste para debatir en el proceso aquello que reclama </w:t>
      </w:r>
      <w:r w:rsidR="00AE0CB7" w:rsidRPr="001D0B64">
        <w:rPr>
          <w:rFonts w:cs="Arial"/>
        </w:rPr>
        <w:t xml:space="preserve">a </w:t>
      </w:r>
      <w:r w:rsidR="000B4ABA" w:rsidRPr="001D0B64">
        <w:rPr>
          <w:rFonts w:cs="Arial"/>
        </w:rPr>
        <w:t>través del ejercicio de la acción.</w:t>
      </w:r>
    </w:p>
    <w:p w:rsidR="000B4ABA" w:rsidRPr="001D0B64" w:rsidRDefault="000B4ABA" w:rsidP="000B4ABA">
      <w:pPr>
        <w:rPr>
          <w:rFonts w:cs="Arial"/>
        </w:rPr>
      </w:pPr>
    </w:p>
    <w:p w:rsidR="00AE0CB7" w:rsidRPr="001D0B64" w:rsidRDefault="00AE0CB7" w:rsidP="000B4ABA">
      <w:pPr>
        <w:rPr>
          <w:rFonts w:cs="Arial"/>
        </w:rPr>
      </w:pPr>
      <w:r w:rsidRPr="001D0B64">
        <w:rPr>
          <w:rFonts w:cs="Arial"/>
        </w:rPr>
        <w:t>En esos términos lo ha considerado la doctrina:</w:t>
      </w:r>
    </w:p>
    <w:p w:rsidR="00B402F6" w:rsidRPr="001D0B64" w:rsidRDefault="00B402F6" w:rsidP="000B4ABA">
      <w:pPr>
        <w:rPr>
          <w:rFonts w:cs="Arial"/>
        </w:rPr>
      </w:pPr>
    </w:p>
    <w:p w:rsidR="000B4ABA" w:rsidRPr="001D0B64" w:rsidRDefault="000B4ABA" w:rsidP="000B4ABA">
      <w:pPr>
        <w:spacing w:line="240" w:lineRule="auto"/>
        <w:ind w:left="851" w:right="567"/>
        <w:rPr>
          <w:rFonts w:cs="Arial"/>
          <w:i/>
        </w:rPr>
      </w:pPr>
      <w:r w:rsidRPr="001D0B64">
        <w:rPr>
          <w:rFonts w:cs="Arial"/>
          <w:i/>
        </w:rPr>
        <w:t>“En el proceso contencioso administrativo, que no difiere sustancialmente de los demás, la parte demandante viene a ser así la que instaura o formula una pretensión o, en otro</w:t>
      </w:r>
      <w:r w:rsidR="00D82B3C" w:rsidRPr="001D0B64">
        <w:rPr>
          <w:rFonts w:cs="Arial"/>
          <w:i/>
        </w:rPr>
        <w:t>s</w:t>
      </w:r>
      <w:r w:rsidRPr="001D0B64">
        <w:rPr>
          <w:rFonts w:cs="Arial"/>
          <w:i/>
        </w:rPr>
        <w:t xml:space="preserve"> términos, la que acciona (…).</w:t>
      </w:r>
    </w:p>
    <w:p w:rsidR="000B4ABA" w:rsidRPr="001D0B64" w:rsidRDefault="000B4ABA" w:rsidP="000B4ABA">
      <w:pPr>
        <w:spacing w:line="240" w:lineRule="auto"/>
        <w:ind w:left="851" w:right="567"/>
        <w:rPr>
          <w:rFonts w:cs="Arial"/>
          <w:i/>
        </w:rPr>
      </w:pPr>
    </w:p>
    <w:p w:rsidR="000B4ABA" w:rsidRPr="001D0B64" w:rsidRDefault="00AE0CB7" w:rsidP="000B4ABA">
      <w:pPr>
        <w:spacing w:line="240" w:lineRule="auto"/>
        <w:ind w:left="851" w:right="567"/>
        <w:rPr>
          <w:rFonts w:cs="Arial"/>
          <w:i/>
        </w:rPr>
      </w:pPr>
      <w:r w:rsidRPr="001D0B64">
        <w:rPr>
          <w:rFonts w:cs="Arial"/>
          <w:i/>
        </w:rPr>
        <w:t>“</w:t>
      </w:r>
      <w:r w:rsidR="000B4ABA" w:rsidRPr="001D0B64">
        <w:rPr>
          <w:rFonts w:cs="Arial"/>
          <w:i/>
        </w:rPr>
        <w:t>Ordinariamente la parte demandante será el particular que se cree titular de un derecho lesionado o de un interés sea legítimo a general (…)”</w:t>
      </w:r>
      <w:r w:rsidR="000B4ABA" w:rsidRPr="001D0B64">
        <w:rPr>
          <w:rStyle w:val="Refdenotaalpie"/>
          <w:rFonts w:cs="Arial"/>
          <w:i/>
        </w:rPr>
        <w:footnoteReference w:id="17"/>
      </w:r>
    </w:p>
    <w:p w:rsidR="00E9277E" w:rsidRPr="001D0B64" w:rsidRDefault="00E9277E" w:rsidP="00F57296">
      <w:pPr>
        <w:ind w:right="-1"/>
        <w:rPr>
          <w:rFonts w:cs="Arial"/>
        </w:rPr>
      </w:pPr>
    </w:p>
    <w:p w:rsidR="0097137B" w:rsidRPr="001D0B64" w:rsidRDefault="00C511DC" w:rsidP="00AE0CB7">
      <w:pPr>
        <w:ind w:right="-1"/>
        <w:rPr>
          <w:rFonts w:cs="Arial"/>
        </w:rPr>
      </w:pPr>
      <w:r w:rsidRPr="001D0B64">
        <w:rPr>
          <w:rFonts w:cs="Arial"/>
        </w:rPr>
        <w:t>En línea con lo advertido</w:t>
      </w:r>
      <w:r w:rsidR="00672AB1" w:rsidRPr="001D0B64">
        <w:rPr>
          <w:rFonts w:cs="Arial"/>
        </w:rPr>
        <w:t>,</w:t>
      </w:r>
      <w:r w:rsidRPr="001D0B64">
        <w:rPr>
          <w:rFonts w:cs="Arial"/>
        </w:rPr>
        <w:t xml:space="preserve"> o</w:t>
      </w:r>
      <w:r w:rsidR="002B399A" w:rsidRPr="001D0B64">
        <w:rPr>
          <w:rFonts w:cs="Arial"/>
        </w:rPr>
        <w:t>curre pues que</w:t>
      </w:r>
      <w:r w:rsidR="00D82B3C" w:rsidRPr="001D0B64">
        <w:rPr>
          <w:rFonts w:cs="Arial"/>
        </w:rPr>
        <w:t>,</w:t>
      </w:r>
      <w:r w:rsidR="002B399A" w:rsidRPr="001D0B64">
        <w:rPr>
          <w:rFonts w:cs="Arial"/>
        </w:rPr>
        <w:t xml:space="preserve"> a diferencia de la pretensión de nulidad del contrato cuya titularidad </w:t>
      </w:r>
      <w:r w:rsidR="00AE0CB7" w:rsidRPr="001D0B64">
        <w:rPr>
          <w:rFonts w:cs="Arial"/>
        </w:rPr>
        <w:t xml:space="preserve">recae sobre </w:t>
      </w:r>
      <w:r w:rsidR="002B399A" w:rsidRPr="001D0B64">
        <w:rPr>
          <w:rFonts w:cs="Arial"/>
        </w:rPr>
        <w:t>un tercero que acredite inter</w:t>
      </w:r>
      <w:r w:rsidR="001F7EAA" w:rsidRPr="001D0B64">
        <w:rPr>
          <w:rFonts w:cs="Arial"/>
        </w:rPr>
        <w:t>és directo</w:t>
      </w:r>
      <w:r w:rsidR="008A6998" w:rsidRPr="001D0B64">
        <w:rPr>
          <w:rFonts w:cs="Arial"/>
          <w:lang w:val="es-ES_tradnl"/>
        </w:rPr>
        <w:t xml:space="preserve"> -acepción que por regla general </w:t>
      </w:r>
      <w:r w:rsidR="00D82B3C" w:rsidRPr="001D0B64">
        <w:rPr>
          <w:rFonts w:cs="Arial"/>
          <w:lang w:val="es-ES_tradnl"/>
        </w:rPr>
        <w:t xml:space="preserve">al igual que la posibilidad de demandar los actos previos a la actividad contractual </w:t>
      </w:r>
      <w:r w:rsidR="008A6998" w:rsidRPr="001D0B64">
        <w:rPr>
          <w:rFonts w:cs="Arial"/>
          <w:lang w:val="es-ES_tradnl"/>
        </w:rPr>
        <w:t>se ha restringido</w:t>
      </w:r>
      <w:r w:rsidR="00AE0CB7" w:rsidRPr="001D0B64">
        <w:rPr>
          <w:rFonts w:cs="Arial"/>
          <w:lang w:val="es-ES_tradnl"/>
        </w:rPr>
        <w:t>,</w:t>
      </w:r>
      <w:r w:rsidR="008A6998" w:rsidRPr="001D0B64">
        <w:rPr>
          <w:rFonts w:cs="Arial"/>
          <w:lang w:val="es-ES_tradnl"/>
        </w:rPr>
        <w:t xml:space="preserve"> a</w:t>
      </w:r>
      <w:r w:rsidR="00AE0CB7" w:rsidRPr="001D0B64">
        <w:rPr>
          <w:rFonts w:cs="Arial"/>
          <w:lang w:val="es-ES_tradnl"/>
        </w:rPr>
        <w:t>demás del Ministerio Publico, a</w:t>
      </w:r>
      <w:r w:rsidR="008A6998" w:rsidRPr="001D0B64">
        <w:rPr>
          <w:rFonts w:cs="Arial"/>
          <w:lang w:val="es-ES_tradnl"/>
        </w:rPr>
        <w:t xml:space="preserve"> los proponentes u oferentes del respectivo procedimiento de contratación-</w:t>
      </w:r>
      <w:r w:rsidR="001F7EAA" w:rsidRPr="001D0B64">
        <w:rPr>
          <w:rFonts w:cs="Arial"/>
        </w:rPr>
        <w:t xml:space="preserve">, </w:t>
      </w:r>
      <w:r w:rsidR="00AE0CB7" w:rsidRPr="001D0B64">
        <w:rPr>
          <w:rFonts w:cs="Arial"/>
        </w:rPr>
        <w:t xml:space="preserve">el ejercicio de </w:t>
      </w:r>
      <w:r w:rsidR="001F7EAA" w:rsidRPr="001D0B64">
        <w:rPr>
          <w:rFonts w:cs="Arial"/>
        </w:rPr>
        <w:t>la pretensión de terminación d</w:t>
      </w:r>
      <w:r w:rsidR="00672AB1" w:rsidRPr="001D0B64">
        <w:rPr>
          <w:rFonts w:cs="Arial"/>
        </w:rPr>
        <w:t>el negocio jurídico, tanto en el</w:t>
      </w:r>
      <w:r w:rsidR="001F7EAA" w:rsidRPr="001D0B64">
        <w:rPr>
          <w:rFonts w:cs="Arial"/>
        </w:rPr>
        <w:t xml:space="preserve"> Código Contencioso Administrativo como en el estatuto que lo reformó</w:t>
      </w:r>
      <w:r w:rsidR="00B5485A" w:rsidRPr="001D0B64">
        <w:rPr>
          <w:rStyle w:val="Refdenotaalpie"/>
          <w:rFonts w:cs="Arial"/>
        </w:rPr>
        <w:footnoteReference w:id="18"/>
      </w:r>
      <w:r w:rsidR="00AE0CB7" w:rsidRPr="001D0B64">
        <w:rPr>
          <w:rFonts w:cs="Arial"/>
        </w:rPr>
        <w:t xml:space="preserve"> se reservó de mane</w:t>
      </w:r>
      <w:r w:rsidR="0097137B" w:rsidRPr="001D0B64">
        <w:rPr>
          <w:rFonts w:cs="Arial"/>
        </w:rPr>
        <w:t>ra exclusiva a las partes.</w:t>
      </w:r>
    </w:p>
    <w:p w:rsidR="00667FC6" w:rsidRDefault="00667FC6" w:rsidP="00A53216">
      <w:pPr>
        <w:rPr>
          <w:rFonts w:cs="Arial"/>
        </w:rPr>
      </w:pPr>
    </w:p>
    <w:p w:rsidR="00A53216" w:rsidRPr="001D0B64" w:rsidRDefault="00A53216" w:rsidP="00A53216">
      <w:pPr>
        <w:rPr>
          <w:rFonts w:cs="Arial"/>
        </w:rPr>
      </w:pPr>
      <w:r w:rsidRPr="001D0B64">
        <w:rPr>
          <w:rFonts w:cs="Arial"/>
        </w:rPr>
        <w:t xml:space="preserve">De contera, se impone concluir que si bien a la parte demandante le asistía interés directo para demandar la nulidad del acto de adjudicación, por las razones explicadas, en este caso no puede predicarse la misma legitimación en la causa por activa para formular la pretensión de terminación del contrato y así será declarado. </w:t>
      </w:r>
    </w:p>
    <w:p w:rsidR="00A53216" w:rsidRPr="001D0B64" w:rsidRDefault="00A53216" w:rsidP="00AE0CB7">
      <w:pPr>
        <w:ind w:right="-1"/>
        <w:rPr>
          <w:rFonts w:cs="Arial"/>
        </w:rPr>
      </w:pPr>
    </w:p>
    <w:p w:rsidR="005E6963" w:rsidRPr="001D0B64" w:rsidRDefault="00E43FFB" w:rsidP="00AE0CB7">
      <w:pPr>
        <w:ind w:right="-1"/>
        <w:rPr>
          <w:rFonts w:cs="Arial"/>
        </w:rPr>
      </w:pPr>
      <w:r w:rsidRPr="001D0B64">
        <w:rPr>
          <w:rFonts w:cs="Arial"/>
        </w:rPr>
        <w:t xml:space="preserve">Ahora bien, resulta de importancia para la Sala referirse al alcance de </w:t>
      </w:r>
      <w:r w:rsidR="00EC022C" w:rsidRPr="001D0B64">
        <w:rPr>
          <w:rFonts w:cs="Arial"/>
        </w:rPr>
        <w:t xml:space="preserve">la </w:t>
      </w:r>
      <w:r w:rsidRPr="001D0B64">
        <w:rPr>
          <w:rFonts w:cs="Arial"/>
        </w:rPr>
        <w:t xml:space="preserve">pretensión de carácter consecuencial como la </w:t>
      </w:r>
      <w:r w:rsidR="008B0CCA" w:rsidRPr="001D0B64">
        <w:rPr>
          <w:rFonts w:cs="Arial"/>
        </w:rPr>
        <w:t xml:space="preserve">aquí </w:t>
      </w:r>
      <w:r w:rsidRPr="001D0B64">
        <w:rPr>
          <w:rFonts w:cs="Arial"/>
        </w:rPr>
        <w:t>invocada declaratoria de terminaci</w:t>
      </w:r>
      <w:r w:rsidR="001537B5" w:rsidRPr="001D0B64">
        <w:rPr>
          <w:rFonts w:cs="Arial"/>
        </w:rPr>
        <w:t>ón</w:t>
      </w:r>
      <w:r w:rsidRPr="001D0B64">
        <w:rPr>
          <w:rFonts w:cs="Arial"/>
        </w:rPr>
        <w:t xml:space="preserve"> del contrato. </w:t>
      </w:r>
    </w:p>
    <w:p w:rsidR="005E6963" w:rsidRPr="001D0B64" w:rsidRDefault="005E6963" w:rsidP="00AE0CB7">
      <w:pPr>
        <w:ind w:right="-1"/>
        <w:rPr>
          <w:rFonts w:cs="Arial"/>
        </w:rPr>
      </w:pPr>
    </w:p>
    <w:p w:rsidR="00E43FFB" w:rsidRPr="001D0B64" w:rsidRDefault="0043441B" w:rsidP="00AE0CB7">
      <w:pPr>
        <w:ind w:right="-1"/>
        <w:rPr>
          <w:rFonts w:cs="Arial"/>
        </w:rPr>
      </w:pPr>
      <w:r w:rsidRPr="001D0B64">
        <w:rPr>
          <w:rFonts w:cs="Arial"/>
        </w:rPr>
        <w:t xml:space="preserve">En </w:t>
      </w:r>
      <w:r w:rsidR="00221FB3" w:rsidRPr="001D0B64">
        <w:rPr>
          <w:rFonts w:cs="Arial"/>
        </w:rPr>
        <w:t xml:space="preserve">el contexto planteado en la </w:t>
      </w:r>
      <w:r w:rsidR="00C228DA" w:rsidRPr="001D0B64">
        <w:rPr>
          <w:rFonts w:cs="Arial"/>
        </w:rPr>
        <w:t>Litis,</w:t>
      </w:r>
      <w:r w:rsidR="00221FB3" w:rsidRPr="001D0B64">
        <w:rPr>
          <w:rFonts w:cs="Arial"/>
        </w:rPr>
        <w:t xml:space="preserve"> </w:t>
      </w:r>
      <w:r w:rsidR="00E17C91" w:rsidRPr="001D0B64">
        <w:rPr>
          <w:rFonts w:cs="Arial"/>
        </w:rPr>
        <w:t xml:space="preserve">se tiene que </w:t>
      </w:r>
      <w:r w:rsidR="005E6963" w:rsidRPr="001D0B64">
        <w:rPr>
          <w:rFonts w:cs="Arial"/>
        </w:rPr>
        <w:t xml:space="preserve">el demandante pretendió que el efecto de la declaratoria de nulidad del acto de adjudicación acusado </w:t>
      </w:r>
      <w:r w:rsidR="00036969" w:rsidRPr="001D0B64">
        <w:rPr>
          <w:rFonts w:cs="Arial"/>
        </w:rPr>
        <w:t xml:space="preserve">desencadenara de manera directa </w:t>
      </w:r>
      <w:r w:rsidR="00C228DA" w:rsidRPr="001D0B64">
        <w:rPr>
          <w:rFonts w:cs="Arial"/>
        </w:rPr>
        <w:t xml:space="preserve">en </w:t>
      </w:r>
      <w:r w:rsidR="005E6963" w:rsidRPr="001D0B64">
        <w:rPr>
          <w:rFonts w:cs="Arial"/>
        </w:rPr>
        <w:t>la terminación del contrato</w:t>
      </w:r>
      <w:r w:rsidR="00A052BF" w:rsidRPr="001D0B64">
        <w:rPr>
          <w:rFonts w:cs="Arial"/>
        </w:rPr>
        <w:t xml:space="preserve"> adjudicado</w:t>
      </w:r>
      <w:r w:rsidR="00B06FFA" w:rsidRPr="001D0B64">
        <w:rPr>
          <w:rFonts w:cs="Arial"/>
        </w:rPr>
        <w:t>, del tal suerte que la secuencia plasmada sugería que sólo de ocurrir lo primero se abriría paso a lo segundo q</w:t>
      </w:r>
      <w:r w:rsidR="00D50EB7" w:rsidRPr="001D0B64">
        <w:rPr>
          <w:rFonts w:cs="Arial"/>
        </w:rPr>
        <w:t>ue es normalmente</w:t>
      </w:r>
      <w:r w:rsidR="00B05213" w:rsidRPr="001D0B64">
        <w:rPr>
          <w:rFonts w:cs="Arial"/>
        </w:rPr>
        <w:t xml:space="preserve"> el panorama </w:t>
      </w:r>
      <w:r w:rsidR="00D50EB7" w:rsidRPr="001D0B64">
        <w:rPr>
          <w:rFonts w:cs="Arial"/>
        </w:rPr>
        <w:t xml:space="preserve">que ofrece </w:t>
      </w:r>
      <w:r w:rsidR="00B05213" w:rsidRPr="001D0B64">
        <w:rPr>
          <w:rFonts w:cs="Arial"/>
        </w:rPr>
        <w:t>una súplica consecuencial</w:t>
      </w:r>
      <w:r w:rsidR="002F7214" w:rsidRPr="001D0B64">
        <w:rPr>
          <w:rFonts w:cs="Arial"/>
        </w:rPr>
        <w:t xml:space="preserve"> en tanto su prosperidad se condiciona </w:t>
      </w:r>
      <w:r w:rsidR="00A052BF" w:rsidRPr="001D0B64">
        <w:rPr>
          <w:rFonts w:cs="Arial"/>
        </w:rPr>
        <w:t xml:space="preserve">al </w:t>
      </w:r>
      <w:r w:rsidR="000D3928" w:rsidRPr="001D0B64">
        <w:rPr>
          <w:rFonts w:cs="Arial"/>
        </w:rPr>
        <w:t xml:space="preserve"> </w:t>
      </w:r>
      <w:r w:rsidR="00A052BF" w:rsidRPr="001D0B64">
        <w:rPr>
          <w:rFonts w:cs="Arial"/>
        </w:rPr>
        <w:t xml:space="preserve">éxito </w:t>
      </w:r>
      <w:r w:rsidR="000D3928" w:rsidRPr="001D0B64">
        <w:rPr>
          <w:rFonts w:cs="Arial"/>
        </w:rPr>
        <w:t xml:space="preserve">de la pretensión </w:t>
      </w:r>
      <w:r w:rsidR="00E16A05" w:rsidRPr="001D0B64">
        <w:rPr>
          <w:rFonts w:cs="Arial"/>
        </w:rPr>
        <w:t>de la cual pende</w:t>
      </w:r>
      <w:r w:rsidR="005F2D87" w:rsidRPr="001D0B64">
        <w:rPr>
          <w:rStyle w:val="Refdenotaalpie"/>
          <w:rFonts w:cs="Arial"/>
        </w:rPr>
        <w:footnoteReference w:id="19"/>
      </w:r>
      <w:r w:rsidR="00E16A05" w:rsidRPr="001D0B64">
        <w:rPr>
          <w:rFonts w:cs="Arial"/>
        </w:rPr>
        <w:t xml:space="preserve">, no obstante que en </w:t>
      </w:r>
      <w:r w:rsidR="00F6777E" w:rsidRPr="001D0B64">
        <w:rPr>
          <w:rFonts w:cs="Arial"/>
        </w:rPr>
        <w:t>algunos casos</w:t>
      </w:r>
      <w:r w:rsidR="00E16A05" w:rsidRPr="001D0B64">
        <w:rPr>
          <w:rFonts w:cs="Arial"/>
        </w:rPr>
        <w:t xml:space="preserve"> las dos sean de naturaleza declarativa</w:t>
      </w:r>
      <w:r w:rsidR="00C63027" w:rsidRPr="001D0B64">
        <w:rPr>
          <w:rFonts w:cs="Arial"/>
        </w:rPr>
        <w:t xml:space="preserve"> como acontece por ejemplo</w:t>
      </w:r>
      <w:r w:rsidR="00FD13E5" w:rsidRPr="001D0B64">
        <w:rPr>
          <w:rFonts w:cs="Arial"/>
        </w:rPr>
        <w:t xml:space="preserve"> cuando se solicita la declaratoria de nulidad del acto de adjudicación</w:t>
      </w:r>
      <w:r w:rsidR="00C63027" w:rsidRPr="001D0B64">
        <w:rPr>
          <w:rFonts w:cs="Arial"/>
        </w:rPr>
        <w:t xml:space="preserve"> del negocio jurídico</w:t>
      </w:r>
      <w:r w:rsidR="00FD13E5" w:rsidRPr="001D0B64">
        <w:rPr>
          <w:rFonts w:cs="Arial"/>
        </w:rPr>
        <w:t xml:space="preserve"> y</w:t>
      </w:r>
      <w:r w:rsidR="00C228DA" w:rsidRPr="001D0B64">
        <w:rPr>
          <w:rFonts w:cs="Arial"/>
        </w:rPr>
        <w:t>,</w:t>
      </w:r>
      <w:r w:rsidR="00FD13E5" w:rsidRPr="001D0B64">
        <w:rPr>
          <w:rFonts w:cs="Arial"/>
        </w:rPr>
        <w:t xml:space="preserve"> como consecuencia</w:t>
      </w:r>
      <w:r w:rsidR="00A052BF" w:rsidRPr="001D0B64">
        <w:rPr>
          <w:rFonts w:cs="Arial"/>
        </w:rPr>
        <w:t>,</w:t>
      </w:r>
      <w:r w:rsidR="00FD13E5" w:rsidRPr="001D0B64">
        <w:rPr>
          <w:rFonts w:cs="Arial"/>
        </w:rPr>
        <w:t xml:space="preserve"> la nulidad absoluta del contrato</w:t>
      </w:r>
      <w:r w:rsidR="00E16A05" w:rsidRPr="001D0B64">
        <w:rPr>
          <w:rFonts w:cs="Arial"/>
        </w:rPr>
        <w:t>.</w:t>
      </w:r>
    </w:p>
    <w:p w:rsidR="00F6777E" w:rsidRPr="001D0B64" w:rsidRDefault="00F6777E" w:rsidP="00AE0CB7">
      <w:pPr>
        <w:ind w:right="-1"/>
        <w:rPr>
          <w:rFonts w:cs="Arial"/>
        </w:rPr>
      </w:pPr>
    </w:p>
    <w:p w:rsidR="00F6777E" w:rsidRPr="001D0B64" w:rsidRDefault="00F6777E" w:rsidP="00AE0CB7">
      <w:pPr>
        <w:ind w:right="-1"/>
        <w:rPr>
          <w:rFonts w:cs="Arial"/>
        </w:rPr>
      </w:pPr>
      <w:r w:rsidRPr="001D0B64">
        <w:rPr>
          <w:rFonts w:cs="Arial"/>
        </w:rPr>
        <w:t>Así</w:t>
      </w:r>
      <w:r w:rsidR="00C63027" w:rsidRPr="001D0B64">
        <w:rPr>
          <w:rFonts w:cs="Arial"/>
        </w:rPr>
        <w:t xml:space="preserve">, de encontrar </w:t>
      </w:r>
      <w:r w:rsidRPr="001D0B64">
        <w:rPr>
          <w:rFonts w:cs="Arial"/>
        </w:rPr>
        <w:t xml:space="preserve">impróspera </w:t>
      </w:r>
      <w:r w:rsidR="00C63027" w:rsidRPr="001D0B64">
        <w:rPr>
          <w:rFonts w:cs="Arial"/>
        </w:rPr>
        <w:t xml:space="preserve">e incluso improcedente </w:t>
      </w:r>
      <w:r w:rsidRPr="001D0B64">
        <w:rPr>
          <w:rFonts w:cs="Arial"/>
        </w:rPr>
        <w:t>la primera, en principio, tendría que concluirse que la consecuencial estaría llamada a correr la misma suerte</w:t>
      </w:r>
      <w:r w:rsidR="00F75ACB" w:rsidRPr="001D0B64">
        <w:rPr>
          <w:rFonts w:cs="Arial"/>
        </w:rPr>
        <w:t>.</w:t>
      </w:r>
    </w:p>
    <w:p w:rsidR="00F75ACB" w:rsidRPr="001D0B64" w:rsidRDefault="00F75ACB" w:rsidP="00AE0CB7">
      <w:pPr>
        <w:ind w:right="-1"/>
        <w:rPr>
          <w:rFonts w:cs="Arial"/>
        </w:rPr>
      </w:pPr>
    </w:p>
    <w:p w:rsidR="00F75ACB" w:rsidRPr="001D0B64" w:rsidRDefault="00F75ACB" w:rsidP="00AE0CB7">
      <w:pPr>
        <w:ind w:right="-1"/>
        <w:rPr>
          <w:rFonts w:cs="Arial"/>
        </w:rPr>
      </w:pPr>
      <w:r w:rsidRPr="001D0B64">
        <w:rPr>
          <w:rFonts w:cs="Arial"/>
        </w:rPr>
        <w:t xml:space="preserve">Con todo, sucede que en este evento </w:t>
      </w:r>
      <w:r w:rsidR="00FD13E5" w:rsidRPr="001D0B64">
        <w:rPr>
          <w:rFonts w:cs="Arial"/>
        </w:rPr>
        <w:t xml:space="preserve">la inviabilidad de examinar </w:t>
      </w:r>
      <w:r w:rsidRPr="001D0B64">
        <w:rPr>
          <w:rFonts w:cs="Arial"/>
        </w:rPr>
        <w:t>la pretensión de terminación</w:t>
      </w:r>
      <w:r w:rsidR="00FD13E5" w:rsidRPr="001D0B64">
        <w:rPr>
          <w:rFonts w:cs="Arial"/>
        </w:rPr>
        <w:t xml:space="preserve"> del</w:t>
      </w:r>
      <w:r w:rsidR="00A052BF" w:rsidRPr="001D0B64">
        <w:rPr>
          <w:rFonts w:cs="Arial"/>
        </w:rPr>
        <w:t xml:space="preserve"> contrato no se concretó</w:t>
      </w:r>
      <w:r w:rsidRPr="001D0B64">
        <w:rPr>
          <w:rFonts w:cs="Arial"/>
        </w:rPr>
        <w:t xml:space="preserve"> por cuenta de la relación de dependencia o </w:t>
      </w:r>
      <w:r w:rsidR="00FD13E5" w:rsidRPr="001D0B64">
        <w:rPr>
          <w:rFonts w:cs="Arial"/>
        </w:rPr>
        <w:t>de con</w:t>
      </w:r>
      <w:r w:rsidRPr="001D0B64">
        <w:rPr>
          <w:rFonts w:cs="Arial"/>
        </w:rPr>
        <w:t xml:space="preserve">secuencialidad </w:t>
      </w:r>
      <w:r w:rsidR="00FD13E5" w:rsidRPr="001D0B64">
        <w:rPr>
          <w:rFonts w:cs="Arial"/>
        </w:rPr>
        <w:t>asentada</w:t>
      </w:r>
      <w:r w:rsidRPr="001D0B64">
        <w:rPr>
          <w:rFonts w:cs="Arial"/>
        </w:rPr>
        <w:t xml:space="preserve"> en la demanda respecto de la pretensión de nulidad del acto de adjudicación</w:t>
      </w:r>
      <w:r w:rsidR="00FD13E5" w:rsidRPr="001D0B64">
        <w:rPr>
          <w:rFonts w:cs="Arial"/>
        </w:rPr>
        <w:t xml:space="preserve"> que se hall</w:t>
      </w:r>
      <w:r w:rsidR="00C63027" w:rsidRPr="001D0B64">
        <w:rPr>
          <w:rFonts w:cs="Arial"/>
        </w:rPr>
        <w:t>ó caducada</w:t>
      </w:r>
      <w:r w:rsidR="00FD13E5" w:rsidRPr="001D0B64">
        <w:rPr>
          <w:rFonts w:cs="Arial"/>
        </w:rPr>
        <w:t xml:space="preserve">, en tanto </w:t>
      </w:r>
      <w:r w:rsidR="00C228DA" w:rsidRPr="001D0B64">
        <w:rPr>
          <w:rFonts w:cs="Arial"/>
        </w:rPr>
        <w:t xml:space="preserve">que, </w:t>
      </w:r>
      <w:r w:rsidR="00FD13E5" w:rsidRPr="001D0B64">
        <w:rPr>
          <w:rFonts w:cs="Arial"/>
        </w:rPr>
        <w:t>en realidad</w:t>
      </w:r>
      <w:r w:rsidR="00C228DA" w:rsidRPr="001D0B64">
        <w:rPr>
          <w:rFonts w:cs="Arial"/>
        </w:rPr>
        <w:t>,</w:t>
      </w:r>
      <w:r w:rsidR="00FD13E5" w:rsidRPr="001D0B64">
        <w:rPr>
          <w:rFonts w:cs="Arial"/>
        </w:rPr>
        <w:t xml:space="preserve"> ambas constituyen pretensiones autónomas que subsisten por si solas</w:t>
      </w:r>
      <w:r w:rsidR="00C228DA" w:rsidRPr="001D0B64">
        <w:rPr>
          <w:rFonts w:cs="Arial"/>
        </w:rPr>
        <w:t>,</w:t>
      </w:r>
      <w:r w:rsidR="00FD13E5" w:rsidRPr="001D0B64">
        <w:rPr>
          <w:rFonts w:cs="Arial"/>
        </w:rPr>
        <w:t xml:space="preserve"> sin necesidad de ligarlas</w:t>
      </w:r>
      <w:r w:rsidR="00C63027" w:rsidRPr="001D0B64">
        <w:rPr>
          <w:rFonts w:cs="Arial"/>
        </w:rPr>
        <w:t xml:space="preserve"> la una de la otra,</w:t>
      </w:r>
      <w:r w:rsidR="00FD13E5" w:rsidRPr="001D0B64">
        <w:rPr>
          <w:rFonts w:cs="Arial"/>
        </w:rPr>
        <w:t xml:space="preserve"> </w:t>
      </w:r>
      <w:r w:rsidR="00C471B3" w:rsidRPr="001D0B64">
        <w:rPr>
          <w:rFonts w:cs="Arial"/>
        </w:rPr>
        <w:t>al punto que las dos</w:t>
      </w:r>
      <w:r w:rsidR="00FD13E5" w:rsidRPr="001D0B64">
        <w:rPr>
          <w:rFonts w:cs="Arial"/>
        </w:rPr>
        <w:t xml:space="preserve"> se ejercen a través de medios de control distintos y cuentan con términos de caducidad diferentes. </w:t>
      </w:r>
    </w:p>
    <w:p w:rsidR="00C63027" w:rsidRPr="001D0B64" w:rsidRDefault="00C63027" w:rsidP="00AE0CB7">
      <w:pPr>
        <w:ind w:right="-1"/>
        <w:rPr>
          <w:rFonts w:cs="Arial"/>
        </w:rPr>
      </w:pPr>
    </w:p>
    <w:p w:rsidR="00C63027" w:rsidRPr="001D0B64" w:rsidRDefault="00C63027" w:rsidP="00AE0CB7">
      <w:pPr>
        <w:ind w:right="-1"/>
        <w:rPr>
          <w:rFonts w:cs="Arial"/>
        </w:rPr>
      </w:pPr>
      <w:r w:rsidRPr="001D0B64">
        <w:rPr>
          <w:rFonts w:cs="Arial"/>
        </w:rPr>
        <w:t xml:space="preserve">Lo que ocurre en este asunto </w:t>
      </w:r>
      <w:r w:rsidR="00C471B3" w:rsidRPr="001D0B64">
        <w:rPr>
          <w:rFonts w:cs="Arial"/>
        </w:rPr>
        <w:t xml:space="preserve">es </w:t>
      </w:r>
      <w:r w:rsidRPr="001D0B64">
        <w:rPr>
          <w:rFonts w:cs="Arial"/>
        </w:rPr>
        <w:t xml:space="preserve">que la procedencia de analizar </w:t>
      </w:r>
      <w:r w:rsidR="00C471B3" w:rsidRPr="001D0B64">
        <w:rPr>
          <w:rFonts w:cs="Arial"/>
        </w:rPr>
        <w:t xml:space="preserve">la </w:t>
      </w:r>
      <w:r w:rsidRPr="001D0B64">
        <w:rPr>
          <w:rFonts w:cs="Arial"/>
        </w:rPr>
        <w:t>pretensión de terminación del contrato se diluye por la ausencia de legitimación en l</w:t>
      </w:r>
      <w:r w:rsidR="00C228DA" w:rsidRPr="001D0B64">
        <w:rPr>
          <w:rFonts w:cs="Arial"/>
        </w:rPr>
        <w:t>a causa de quien la eleva y no como</w:t>
      </w:r>
      <w:r w:rsidR="00A300F1" w:rsidRPr="001D0B64">
        <w:rPr>
          <w:rFonts w:cs="Arial"/>
        </w:rPr>
        <w:t xml:space="preserve"> consecuencia de la declaratoria de caducidad de la pretensión a la cual se subordinó. </w:t>
      </w:r>
    </w:p>
    <w:p w:rsidR="00BD5F96" w:rsidRPr="001D0B64" w:rsidRDefault="00BD5F96" w:rsidP="00AE0CB7">
      <w:pPr>
        <w:ind w:right="-1"/>
        <w:rPr>
          <w:rFonts w:cs="Arial"/>
        </w:rPr>
      </w:pPr>
    </w:p>
    <w:p w:rsidR="00BD5F96" w:rsidRPr="001D0B64" w:rsidRDefault="00BD5F96" w:rsidP="00AE0CB7">
      <w:pPr>
        <w:ind w:right="-1"/>
        <w:rPr>
          <w:rFonts w:cs="Arial"/>
        </w:rPr>
      </w:pPr>
      <w:r w:rsidRPr="001D0B64">
        <w:rPr>
          <w:rFonts w:cs="Arial"/>
        </w:rPr>
        <w:t xml:space="preserve">Con sustento en lo anotado, la Sala declarará la falta de legitimación en la causa por </w:t>
      </w:r>
      <w:r w:rsidR="00080724" w:rsidRPr="001D0B64">
        <w:rPr>
          <w:rFonts w:cs="Arial"/>
        </w:rPr>
        <w:t>activa del consorcio demandante para formular la pretensión dirigida a obtener la declaratoria la terminación del Contrato No. 1-01-24400-02672012 del 15 de junio de 2012, celebrado entre la Empresa de Acueducto y Alcantarillado y el consorcio Rehabilitación Tibitoc</w:t>
      </w:r>
      <w:r w:rsidR="0038199E" w:rsidRPr="001D0B64">
        <w:rPr>
          <w:rFonts w:cs="Arial"/>
        </w:rPr>
        <w:t>.</w:t>
      </w:r>
    </w:p>
    <w:p w:rsidR="002D48E9" w:rsidRPr="001D0B64" w:rsidRDefault="002D48E9" w:rsidP="00F57296">
      <w:pPr>
        <w:ind w:right="-1"/>
        <w:rPr>
          <w:rFonts w:cs="Arial"/>
          <w:b/>
        </w:rPr>
      </w:pPr>
    </w:p>
    <w:p w:rsidR="00F57296" w:rsidRDefault="001B5D18" w:rsidP="00D46801">
      <w:pPr>
        <w:ind w:right="-1"/>
        <w:rPr>
          <w:rFonts w:cs="Arial"/>
          <w:b/>
        </w:rPr>
      </w:pPr>
      <w:r w:rsidRPr="001D0B64">
        <w:rPr>
          <w:rFonts w:cs="Arial"/>
          <w:b/>
        </w:rPr>
        <w:t>4</w:t>
      </w:r>
      <w:r w:rsidR="00207027" w:rsidRPr="001D0B64">
        <w:rPr>
          <w:rFonts w:cs="Arial"/>
          <w:b/>
        </w:rPr>
        <w:t>)</w:t>
      </w:r>
      <w:r w:rsidR="00F57296" w:rsidRPr="001D0B64">
        <w:rPr>
          <w:rFonts w:cs="Arial"/>
          <w:b/>
        </w:rPr>
        <w:t xml:space="preserve"> Costas</w:t>
      </w:r>
    </w:p>
    <w:p w:rsidR="00D46801" w:rsidRPr="001D0B64" w:rsidRDefault="00D46801" w:rsidP="00D46801">
      <w:pPr>
        <w:ind w:right="-1"/>
        <w:rPr>
          <w:rFonts w:cs="Arial"/>
          <w:b/>
        </w:rPr>
      </w:pPr>
    </w:p>
    <w:p w:rsidR="007865D6" w:rsidRDefault="007865D6" w:rsidP="00D46801">
      <w:pPr>
        <w:rPr>
          <w:rFonts w:cs="Arial"/>
          <w:i/>
          <w:color w:val="000000"/>
          <w:shd w:val="clear" w:color="auto" w:fill="FFFFFF"/>
        </w:rPr>
      </w:pPr>
      <w:r w:rsidRPr="001D0B64">
        <w:rPr>
          <w:rFonts w:cs="Arial"/>
        </w:rPr>
        <w:t>El aspecto de las costas se encuentra regulado por el artículo 267 del C.P.A.C.A., en cuyo contenido se establece que “</w:t>
      </w:r>
      <w:r w:rsidRPr="001D0B64">
        <w:rPr>
          <w:rFonts w:cs="Arial"/>
          <w:i/>
          <w:color w:val="000000"/>
          <w:shd w:val="clear" w:color="auto" w:fill="FFFFFF"/>
        </w:rPr>
        <w:t>Si prospera el recurso, total o parcialmente, la sala anulará, en lo pertinente, la providencia recurrida y dictará la que deba reemplazarla o adoptará las decisiones que correspondan. Si el recurso es desestimado, se condenará en costas al recurrente”.</w:t>
      </w:r>
    </w:p>
    <w:p w:rsidR="00D46801" w:rsidRPr="001D0B64" w:rsidRDefault="00D46801" w:rsidP="00D46801">
      <w:pPr>
        <w:rPr>
          <w:rFonts w:cs="Arial"/>
          <w:i/>
          <w:color w:val="000000"/>
          <w:shd w:val="clear" w:color="auto" w:fill="FFFFFF"/>
        </w:rPr>
      </w:pPr>
    </w:p>
    <w:p w:rsidR="007865D6" w:rsidRDefault="007865D6" w:rsidP="00D46801">
      <w:pPr>
        <w:rPr>
          <w:rFonts w:cs="Arial"/>
          <w:i/>
          <w:color w:val="000000"/>
          <w:shd w:val="clear" w:color="auto" w:fill="FFFFFF"/>
        </w:rPr>
      </w:pPr>
      <w:r w:rsidRPr="001D0B64">
        <w:rPr>
          <w:rFonts w:cs="Arial"/>
          <w:color w:val="000000"/>
          <w:shd w:val="clear" w:color="auto" w:fill="FFFFFF"/>
        </w:rPr>
        <w:t>Adicionalmente, el artículo 188 de ese mismo Estatuto consagra que “</w:t>
      </w:r>
      <w:r w:rsidRPr="001D0B64">
        <w:rPr>
          <w:rFonts w:cs="Arial"/>
          <w:i/>
          <w:color w:val="000000"/>
          <w:shd w:val="clear" w:color="auto" w:fill="FFFFFF"/>
        </w:rPr>
        <w:t>la sentencia dispondrá sobre la condena en costas, cuya liquidación y ejecución se regirán por las normas del Código de Procedimiento Civil”.</w:t>
      </w:r>
    </w:p>
    <w:p w:rsidR="00D46801" w:rsidRPr="001D0B64" w:rsidRDefault="00D46801" w:rsidP="00D46801">
      <w:pPr>
        <w:rPr>
          <w:rFonts w:cs="Arial"/>
          <w:i/>
          <w:color w:val="000000"/>
          <w:shd w:val="clear" w:color="auto" w:fill="FFFFFF"/>
        </w:rPr>
      </w:pPr>
    </w:p>
    <w:p w:rsidR="007865D6" w:rsidRPr="001D0B64" w:rsidRDefault="007865D6" w:rsidP="00D46801">
      <w:pPr>
        <w:pStyle w:val="Textoindependiente22"/>
        <w:numPr>
          <w:ilvl w:val="12"/>
          <w:numId w:val="0"/>
        </w:numPr>
        <w:overflowPunct/>
        <w:autoSpaceDE/>
        <w:autoSpaceDN/>
        <w:adjustRightInd/>
        <w:textAlignment w:val="auto"/>
        <w:rPr>
          <w:rFonts w:cs="Arial"/>
          <w:szCs w:val="24"/>
        </w:rPr>
      </w:pPr>
      <w:r w:rsidRPr="001D0B64">
        <w:rPr>
          <w:rFonts w:cs="Arial"/>
          <w:szCs w:val="24"/>
        </w:rPr>
        <w:t xml:space="preserve">De esta manera, con independencia de la buena fe con que las partes hubieran obrado en el presente recurso, el extremo demandante habrá de ser condenado en costas en favor del demandado por cuanto apoyó la alzada en argumentos que </w:t>
      </w:r>
      <w:r w:rsidR="00945574" w:rsidRPr="001D0B64">
        <w:rPr>
          <w:rFonts w:cs="Arial"/>
          <w:szCs w:val="24"/>
        </w:rPr>
        <w:t>no han de prosperar</w:t>
      </w:r>
      <w:r w:rsidRPr="001D0B64">
        <w:rPr>
          <w:rFonts w:cs="Arial"/>
          <w:szCs w:val="24"/>
        </w:rPr>
        <w:t>.</w:t>
      </w:r>
    </w:p>
    <w:p w:rsidR="00C43C51" w:rsidRPr="001D0B64" w:rsidRDefault="00C43C51" w:rsidP="00D46801">
      <w:pPr>
        <w:pStyle w:val="Textoindependiente22"/>
        <w:numPr>
          <w:ilvl w:val="12"/>
          <w:numId w:val="0"/>
        </w:numPr>
        <w:overflowPunct/>
        <w:autoSpaceDE/>
        <w:autoSpaceDN/>
        <w:adjustRightInd/>
        <w:textAlignment w:val="auto"/>
        <w:rPr>
          <w:rFonts w:cs="Arial"/>
          <w:szCs w:val="24"/>
        </w:rPr>
      </w:pPr>
    </w:p>
    <w:p w:rsidR="007865D6" w:rsidRPr="001D0B64" w:rsidRDefault="007865D6" w:rsidP="00D46801">
      <w:pPr>
        <w:pStyle w:val="Textoindependiente27"/>
        <w:spacing w:line="360" w:lineRule="auto"/>
        <w:ind w:firstLine="0"/>
        <w:rPr>
          <w:rFonts w:cs="Arial"/>
          <w:b/>
          <w:szCs w:val="24"/>
        </w:rPr>
      </w:pPr>
      <w:r w:rsidRPr="001D0B64">
        <w:rPr>
          <w:rFonts w:cs="Arial"/>
          <w:szCs w:val="24"/>
        </w:rPr>
        <w:t xml:space="preserve">Así las cosas, la Sala condenará en costas a la parte actora en los términos previstos por el artículo 366 del Código General del Proceso que impone su liquidación de manera concentrada por parte del Tribunal de origen.  Para el efecto señalado, el </w:t>
      </w:r>
      <w:r w:rsidRPr="001D0B64">
        <w:rPr>
          <w:rFonts w:cs="Arial"/>
          <w:i/>
          <w:szCs w:val="24"/>
        </w:rPr>
        <w:t>a quo</w:t>
      </w:r>
      <w:r w:rsidRPr="001D0B64">
        <w:rPr>
          <w:rFonts w:cs="Arial"/>
          <w:szCs w:val="24"/>
        </w:rPr>
        <w:t xml:space="preserve"> deberá atender las reglas previstas en dicho precepto</w:t>
      </w:r>
      <w:r w:rsidR="00672AB1" w:rsidRPr="001D0B64">
        <w:rPr>
          <w:rFonts w:cs="Arial"/>
          <w:szCs w:val="24"/>
        </w:rPr>
        <w:t>.</w:t>
      </w:r>
    </w:p>
    <w:p w:rsidR="00194F0E" w:rsidRPr="001D0B64" w:rsidRDefault="00194F0E" w:rsidP="00D46801">
      <w:pPr>
        <w:numPr>
          <w:ilvl w:val="12"/>
          <w:numId w:val="0"/>
        </w:numPr>
        <w:rPr>
          <w:rFonts w:cs="Arial"/>
        </w:rPr>
      </w:pPr>
    </w:p>
    <w:p w:rsidR="00194F0E" w:rsidRPr="001D0B64" w:rsidRDefault="00194F0E" w:rsidP="00194F0E">
      <w:pPr>
        <w:numPr>
          <w:ilvl w:val="12"/>
          <w:numId w:val="0"/>
        </w:numPr>
        <w:rPr>
          <w:rFonts w:cs="Arial"/>
        </w:rPr>
      </w:pPr>
      <w:r w:rsidRPr="001D0B64">
        <w:rPr>
          <w:rFonts w:cs="Arial"/>
        </w:rPr>
        <w:t xml:space="preserve">En mérito de lo expuesto, el Consejo de Estado, en Sala de lo Contencioso Administrativo, Sección Tercera, Subsección A, administrando justicia en nombre de la República de Colombia y por autoridad de la ley, </w:t>
      </w:r>
    </w:p>
    <w:p w:rsidR="00194F0E" w:rsidRPr="001D0B64" w:rsidRDefault="00194F0E" w:rsidP="00194F0E">
      <w:pPr>
        <w:rPr>
          <w:rFonts w:cs="Arial"/>
          <w:lang w:val="es-CO"/>
        </w:rPr>
      </w:pPr>
    </w:p>
    <w:p w:rsidR="007865D6" w:rsidRPr="001D0B64" w:rsidRDefault="00194F0E" w:rsidP="00D826DB">
      <w:pPr>
        <w:keepNext/>
        <w:ind w:right="946"/>
        <w:jc w:val="center"/>
        <w:outlineLvl w:val="4"/>
        <w:rPr>
          <w:rFonts w:cs="Arial"/>
          <w:b/>
          <w:bCs/>
          <w:lang w:val="x-none"/>
        </w:rPr>
      </w:pPr>
      <w:r w:rsidRPr="001D0B64">
        <w:rPr>
          <w:rFonts w:cs="Arial"/>
          <w:b/>
          <w:bCs/>
          <w:lang w:val="x-none"/>
        </w:rPr>
        <w:t>F A L L A</w:t>
      </w:r>
    </w:p>
    <w:p w:rsidR="00F57296" w:rsidRPr="001D0B64" w:rsidRDefault="00F57296" w:rsidP="00F57296">
      <w:pPr>
        <w:widowControl w:val="0"/>
        <w:autoSpaceDE w:val="0"/>
        <w:autoSpaceDN w:val="0"/>
        <w:adjustRightInd w:val="0"/>
        <w:ind w:right="-1"/>
        <w:rPr>
          <w:rFonts w:cs="Arial"/>
          <w:b/>
        </w:rPr>
      </w:pPr>
    </w:p>
    <w:p w:rsidR="00207027" w:rsidRPr="001D0B64" w:rsidRDefault="00094882" w:rsidP="00094882">
      <w:pPr>
        <w:widowControl w:val="0"/>
        <w:autoSpaceDE w:val="0"/>
        <w:autoSpaceDN w:val="0"/>
        <w:adjustRightInd w:val="0"/>
        <w:ind w:right="-1"/>
        <w:rPr>
          <w:rFonts w:cs="Arial"/>
          <w:lang w:val="es-CO"/>
        </w:rPr>
      </w:pPr>
      <w:r w:rsidRPr="001D0B64">
        <w:rPr>
          <w:rFonts w:cs="Arial"/>
          <w:b/>
        </w:rPr>
        <w:t>1.</w:t>
      </w:r>
      <w:r w:rsidR="004C1C2B" w:rsidRPr="001D0B64">
        <w:rPr>
          <w:rFonts w:cs="Arial"/>
          <w:b/>
        </w:rPr>
        <w:t>-</w:t>
      </w:r>
      <w:r w:rsidR="00194F0E" w:rsidRPr="001D0B64">
        <w:rPr>
          <w:rFonts w:cs="Arial"/>
          <w:b/>
        </w:rPr>
        <w:t xml:space="preserve"> MODIFICAR</w:t>
      </w:r>
      <w:r w:rsidR="00F57296" w:rsidRPr="001D0B64">
        <w:rPr>
          <w:rFonts w:cs="Arial"/>
          <w:b/>
        </w:rPr>
        <w:t xml:space="preserve"> </w:t>
      </w:r>
      <w:r w:rsidR="00F57296" w:rsidRPr="001D0B64">
        <w:rPr>
          <w:rFonts w:cs="Arial"/>
        </w:rPr>
        <w:t>la</w:t>
      </w:r>
      <w:r w:rsidR="00F57296" w:rsidRPr="001D0B64">
        <w:rPr>
          <w:rFonts w:cs="Arial"/>
          <w:b/>
        </w:rPr>
        <w:t xml:space="preserve"> </w:t>
      </w:r>
      <w:r w:rsidR="00F57296" w:rsidRPr="001D0B64">
        <w:rPr>
          <w:rFonts w:cs="Arial"/>
          <w:lang w:val="es-CO"/>
        </w:rPr>
        <w:t>sentencia proferida por el Tri</w:t>
      </w:r>
      <w:r w:rsidR="004C1C2B" w:rsidRPr="001D0B64">
        <w:rPr>
          <w:rFonts w:cs="Arial"/>
          <w:lang w:val="es-CO"/>
        </w:rPr>
        <w:t>bunal Administrativo de Cundinamarca – Sección Tercera- Subse</w:t>
      </w:r>
      <w:r w:rsidR="00194F0E" w:rsidRPr="001D0B64">
        <w:rPr>
          <w:rFonts w:cs="Arial"/>
          <w:lang w:val="es-CO"/>
        </w:rPr>
        <w:t>cción A, el doce (12) de junio</w:t>
      </w:r>
      <w:r w:rsidR="004C1C2B" w:rsidRPr="001D0B64">
        <w:rPr>
          <w:rFonts w:cs="Arial"/>
          <w:lang w:val="es-CO"/>
        </w:rPr>
        <w:t xml:space="preserve"> de dos mil catorce (2014</w:t>
      </w:r>
      <w:r w:rsidR="00F57296" w:rsidRPr="001D0B64">
        <w:rPr>
          <w:rFonts w:cs="Arial"/>
          <w:lang w:val="es-CO"/>
        </w:rPr>
        <w:t>) y, en su lugar</w:t>
      </w:r>
      <w:r w:rsidR="004C1C2B" w:rsidRPr="001D0B64">
        <w:rPr>
          <w:rFonts w:cs="Arial"/>
          <w:lang w:val="es-CO"/>
        </w:rPr>
        <w:t xml:space="preserve"> se dispone</w:t>
      </w:r>
      <w:r w:rsidR="00F57296" w:rsidRPr="001D0B64">
        <w:rPr>
          <w:rFonts w:cs="Arial"/>
          <w:lang w:val="es-CO"/>
        </w:rPr>
        <w:t xml:space="preserve"> lo siguiente: </w:t>
      </w:r>
    </w:p>
    <w:p w:rsidR="003E0EFE" w:rsidRPr="001D0B64" w:rsidRDefault="003E0EFE" w:rsidP="003E0EFE">
      <w:pPr>
        <w:widowControl w:val="0"/>
        <w:autoSpaceDE w:val="0"/>
        <w:autoSpaceDN w:val="0"/>
        <w:adjustRightInd w:val="0"/>
        <w:spacing w:line="276" w:lineRule="auto"/>
        <w:ind w:left="567" w:right="567"/>
        <w:rPr>
          <w:rFonts w:cs="Arial"/>
          <w:i/>
        </w:rPr>
      </w:pPr>
    </w:p>
    <w:p w:rsidR="003E0EFE" w:rsidRPr="001D0B64" w:rsidRDefault="00194F0E" w:rsidP="000C2CD9">
      <w:pPr>
        <w:widowControl w:val="0"/>
        <w:autoSpaceDE w:val="0"/>
        <w:autoSpaceDN w:val="0"/>
        <w:adjustRightInd w:val="0"/>
        <w:spacing w:line="276" w:lineRule="auto"/>
        <w:ind w:left="567" w:right="567"/>
        <w:rPr>
          <w:rFonts w:cs="Arial"/>
          <w:i/>
        </w:rPr>
      </w:pPr>
      <w:r w:rsidRPr="001D0B64">
        <w:rPr>
          <w:rFonts w:cs="Arial"/>
          <w:i/>
        </w:rPr>
        <w:t>“PRIMERO: DECLARAR probada la excepción</w:t>
      </w:r>
      <w:r w:rsidR="003E0EFE" w:rsidRPr="001D0B64">
        <w:rPr>
          <w:rFonts w:cs="Arial"/>
          <w:i/>
        </w:rPr>
        <w:t xml:space="preserve"> de caducidad </w:t>
      </w:r>
      <w:r w:rsidRPr="001D0B64">
        <w:rPr>
          <w:rFonts w:cs="Arial"/>
          <w:i/>
        </w:rPr>
        <w:t xml:space="preserve">de la acción a través de la </w:t>
      </w:r>
      <w:r w:rsidR="005E6CEA" w:rsidRPr="001D0B64">
        <w:rPr>
          <w:rFonts w:cs="Arial"/>
          <w:i/>
        </w:rPr>
        <w:t>cual se invocó la pretensión de</w:t>
      </w:r>
      <w:r w:rsidRPr="001D0B64">
        <w:rPr>
          <w:rFonts w:cs="Arial"/>
          <w:i/>
        </w:rPr>
        <w:t xml:space="preserve"> nulidad </w:t>
      </w:r>
      <w:r w:rsidR="00D826DB" w:rsidRPr="001D0B64">
        <w:rPr>
          <w:rFonts w:cs="Arial"/>
          <w:i/>
        </w:rPr>
        <w:t xml:space="preserve">y restablecimiento del derecho frente </w:t>
      </w:r>
      <w:r w:rsidRPr="001D0B64">
        <w:rPr>
          <w:rFonts w:cs="Arial"/>
          <w:i/>
        </w:rPr>
        <w:t xml:space="preserve">el </w:t>
      </w:r>
      <w:r w:rsidR="000C2CD9" w:rsidRPr="001D0B64">
        <w:rPr>
          <w:rFonts w:cs="Arial"/>
          <w:i/>
          <w:lang w:val="es-ES_tradnl"/>
        </w:rPr>
        <w:t>acto administrativo dictado el 12 de junio de 2012</w:t>
      </w:r>
      <w:r w:rsidR="000C2CD9" w:rsidRPr="001D0B64">
        <w:rPr>
          <w:rFonts w:eastAsia="Calibri" w:cs="Arial"/>
          <w:i/>
          <w:lang w:val="es-CO" w:eastAsia="en-US"/>
        </w:rPr>
        <w:t xml:space="preserve">, por el </w:t>
      </w:r>
      <w:r w:rsidR="005E6CEA" w:rsidRPr="001D0B64">
        <w:rPr>
          <w:rFonts w:eastAsia="Calibri" w:cs="Arial"/>
          <w:i/>
          <w:lang w:val="es-CO" w:eastAsia="en-US"/>
        </w:rPr>
        <w:t xml:space="preserve">que </w:t>
      </w:r>
      <w:r w:rsidR="000C2CD9" w:rsidRPr="001D0B64">
        <w:rPr>
          <w:rFonts w:eastAsia="Calibri" w:cs="Arial"/>
          <w:i/>
          <w:lang w:val="es-CO" w:eastAsia="en-US"/>
        </w:rPr>
        <w:t>la Empresa de Acueducto y Alcantarillado de Bogotá adjudicó la Invitación Pública No. ICSM -0673-2011 al con</w:t>
      </w:r>
      <w:r w:rsidR="00D826DB" w:rsidRPr="001D0B64">
        <w:rPr>
          <w:rFonts w:eastAsia="Calibri" w:cs="Arial"/>
          <w:i/>
          <w:lang w:val="es-CO" w:eastAsia="en-US"/>
        </w:rPr>
        <w:t xml:space="preserve">sorcio Rehabilitación </w:t>
      </w:r>
      <w:r w:rsidR="000C2CD9" w:rsidRPr="001D0B64">
        <w:rPr>
          <w:rFonts w:eastAsia="Calibri" w:cs="Arial"/>
          <w:i/>
          <w:lang w:val="es-CO" w:eastAsia="en-US"/>
        </w:rPr>
        <w:t xml:space="preserve">Tibitoc, </w:t>
      </w:r>
      <w:r w:rsidR="003E0EFE" w:rsidRPr="001D0B64">
        <w:rPr>
          <w:rFonts w:cs="Arial"/>
          <w:i/>
        </w:rPr>
        <w:t>por lo expuesto en precedencia.</w:t>
      </w:r>
    </w:p>
    <w:p w:rsidR="003E0EFE" w:rsidRPr="001D0B64" w:rsidRDefault="003E0EFE" w:rsidP="003E0EFE">
      <w:pPr>
        <w:widowControl w:val="0"/>
        <w:autoSpaceDE w:val="0"/>
        <w:autoSpaceDN w:val="0"/>
        <w:adjustRightInd w:val="0"/>
        <w:spacing w:line="276" w:lineRule="auto"/>
        <w:ind w:left="567" w:right="567"/>
        <w:rPr>
          <w:rFonts w:cs="Arial"/>
          <w:i/>
        </w:rPr>
      </w:pPr>
    </w:p>
    <w:p w:rsidR="000C2CD9" w:rsidRPr="001D0B64" w:rsidRDefault="000C2CD9" w:rsidP="000C2CD9">
      <w:pPr>
        <w:spacing w:line="276" w:lineRule="auto"/>
        <w:ind w:left="567" w:right="567"/>
        <w:rPr>
          <w:rFonts w:cs="Arial"/>
          <w:i/>
        </w:rPr>
      </w:pPr>
      <w:r w:rsidRPr="001D0B64">
        <w:rPr>
          <w:rFonts w:cs="Arial"/>
          <w:i/>
        </w:rPr>
        <w:t xml:space="preserve">“SEGUNDO: DECLARAR la falta de legitimación en la causa por activa del consorcio Tibitoc 2012 para formular la pretensión </w:t>
      </w:r>
      <w:r w:rsidR="0057294F" w:rsidRPr="001D0B64">
        <w:rPr>
          <w:rFonts w:cs="Arial"/>
          <w:i/>
        </w:rPr>
        <w:t xml:space="preserve">dirigida a obtener la declaratoria </w:t>
      </w:r>
      <w:r w:rsidR="005E6CEA" w:rsidRPr="001D0B64">
        <w:rPr>
          <w:rFonts w:cs="Arial"/>
          <w:i/>
        </w:rPr>
        <w:t xml:space="preserve">de </w:t>
      </w:r>
      <w:r w:rsidRPr="001D0B64">
        <w:rPr>
          <w:rFonts w:cs="Arial"/>
          <w:i/>
        </w:rPr>
        <w:t>terminación del Contrato No. 1-01-24400-02672012 del 15 de junio de 2012, celebrado entre la Empresa de Acueducto y Alcantarillado</w:t>
      </w:r>
      <w:r w:rsidR="00080724" w:rsidRPr="001D0B64">
        <w:rPr>
          <w:rFonts w:cs="Arial"/>
          <w:i/>
        </w:rPr>
        <w:t xml:space="preserve"> y el consorcio Rehabilitación Tibitoc</w:t>
      </w:r>
      <w:r w:rsidRPr="001D0B64">
        <w:rPr>
          <w:rFonts w:cs="Arial"/>
          <w:i/>
        </w:rPr>
        <w:t xml:space="preserve"> como resultado </w:t>
      </w:r>
      <w:r w:rsidR="0057294F" w:rsidRPr="001D0B64">
        <w:rPr>
          <w:rFonts w:cs="Arial"/>
          <w:i/>
        </w:rPr>
        <w:t xml:space="preserve">del procedimiento de selección, por los motivos expuestos anteriormente. </w:t>
      </w:r>
    </w:p>
    <w:p w:rsidR="00D826DB" w:rsidRPr="001D0B64" w:rsidRDefault="00D826DB" w:rsidP="000C2CD9">
      <w:pPr>
        <w:spacing w:line="276" w:lineRule="auto"/>
        <w:ind w:left="567" w:right="567"/>
        <w:rPr>
          <w:rFonts w:cs="Arial"/>
          <w:i/>
        </w:rPr>
      </w:pPr>
    </w:p>
    <w:p w:rsidR="00D826DB" w:rsidRPr="001D0B64" w:rsidRDefault="00D826DB" w:rsidP="000C2CD9">
      <w:pPr>
        <w:spacing w:line="276" w:lineRule="auto"/>
        <w:ind w:left="567" w:right="567"/>
        <w:rPr>
          <w:rFonts w:cs="Arial"/>
          <w:i/>
        </w:rPr>
      </w:pPr>
      <w:r w:rsidRPr="001D0B64">
        <w:rPr>
          <w:rFonts w:cs="Arial"/>
          <w:i/>
        </w:rPr>
        <w:t xml:space="preserve">“TERCERO: Se fija por agencias en derecho por la primera instancia a favor de la entidad demandada – Empresa de Acueducto y Alcantarillado de Bogotá, la suma de VEINTISEIS MILLONES DE PESOS ($26’000.000)”. </w:t>
      </w:r>
    </w:p>
    <w:p w:rsidR="006870D3" w:rsidRPr="001D0B64" w:rsidRDefault="006870D3" w:rsidP="000C2CD9">
      <w:pPr>
        <w:pStyle w:val="Sangra2detindependiente2"/>
        <w:spacing w:line="276" w:lineRule="auto"/>
        <w:ind w:left="567" w:right="567"/>
        <w:rPr>
          <w:rFonts w:eastAsia="Calibri" w:cs="Arial"/>
          <w:i/>
          <w:szCs w:val="24"/>
          <w:lang w:eastAsia="es-CO"/>
        </w:rPr>
      </w:pPr>
    </w:p>
    <w:p w:rsidR="003E0EFE" w:rsidRPr="001D0B64" w:rsidRDefault="003E0EFE" w:rsidP="003E0EFE">
      <w:pPr>
        <w:widowControl w:val="0"/>
        <w:autoSpaceDE w:val="0"/>
        <w:autoSpaceDN w:val="0"/>
        <w:adjustRightInd w:val="0"/>
        <w:spacing w:line="276" w:lineRule="auto"/>
        <w:ind w:right="567"/>
        <w:rPr>
          <w:rFonts w:cs="Arial"/>
          <w:i/>
        </w:rPr>
      </w:pPr>
    </w:p>
    <w:p w:rsidR="00C511DC" w:rsidRPr="001D0B64" w:rsidRDefault="0057294F" w:rsidP="00672AB1">
      <w:pPr>
        <w:widowControl w:val="0"/>
        <w:autoSpaceDE w:val="0"/>
        <w:autoSpaceDN w:val="0"/>
        <w:adjustRightInd w:val="0"/>
        <w:ind w:right="-1"/>
        <w:rPr>
          <w:rFonts w:cs="Arial"/>
        </w:rPr>
      </w:pPr>
      <w:r w:rsidRPr="001D0B64">
        <w:rPr>
          <w:rFonts w:cs="Arial"/>
          <w:b/>
        </w:rPr>
        <w:t>2.-</w:t>
      </w:r>
      <w:r w:rsidRPr="001D0B64">
        <w:rPr>
          <w:rFonts w:cs="Arial"/>
        </w:rPr>
        <w:t xml:space="preserve">  </w:t>
      </w:r>
      <w:r w:rsidRPr="001D0B64">
        <w:rPr>
          <w:rFonts w:cs="Arial"/>
          <w:b/>
        </w:rPr>
        <w:t>CONDENAR</w:t>
      </w:r>
      <w:r w:rsidRPr="001D0B64">
        <w:rPr>
          <w:rFonts w:cs="Arial"/>
        </w:rPr>
        <w:t xml:space="preserve"> a la parte actora a pagar las costas que se hubieren causado en esta instancia. Como consecuencia, el Tribunal de origen deberá dar cumplimiento a lo dispuesto por el artículo 366 del Código General del Proceso. </w:t>
      </w:r>
    </w:p>
    <w:p w:rsidR="00C511DC" w:rsidRPr="001D0B64" w:rsidRDefault="00C511DC" w:rsidP="0057294F">
      <w:pPr>
        <w:widowControl w:val="0"/>
        <w:autoSpaceDE w:val="0"/>
        <w:autoSpaceDN w:val="0"/>
        <w:adjustRightInd w:val="0"/>
        <w:rPr>
          <w:rFonts w:cs="Arial"/>
          <w:b/>
        </w:rPr>
      </w:pPr>
    </w:p>
    <w:p w:rsidR="0057294F" w:rsidRPr="001D0B64" w:rsidRDefault="0057294F" w:rsidP="0057294F">
      <w:pPr>
        <w:widowControl w:val="0"/>
        <w:autoSpaceDE w:val="0"/>
        <w:autoSpaceDN w:val="0"/>
        <w:adjustRightInd w:val="0"/>
        <w:rPr>
          <w:rFonts w:cs="Arial"/>
        </w:rPr>
      </w:pPr>
      <w:r w:rsidRPr="001D0B64">
        <w:rPr>
          <w:rFonts w:cs="Arial"/>
          <w:b/>
        </w:rPr>
        <w:t xml:space="preserve">3.- </w:t>
      </w:r>
      <w:r w:rsidRPr="001D0B64">
        <w:rPr>
          <w:rFonts w:cs="Arial"/>
        </w:rPr>
        <w:t>En firme esta providencia, devuélvase el expediente al Tribunal de origen.</w:t>
      </w:r>
    </w:p>
    <w:p w:rsidR="00F57296" w:rsidRPr="001D0B64" w:rsidRDefault="00F57296" w:rsidP="00672AB1">
      <w:pPr>
        <w:ind w:right="-1"/>
        <w:rPr>
          <w:rFonts w:cs="Arial"/>
          <w:b/>
          <w:bCs/>
          <w:noProof/>
        </w:rPr>
      </w:pPr>
    </w:p>
    <w:p w:rsidR="00F57296" w:rsidRPr="001D0B64" w:rsidRDefault="00F57296" w:rsidP="00F57296">
      <w:pPr>
        <w:ind w:right="-1"/>
        <w:jc w:val="center"/>
        <w:rPr>
          <w:rFonts w:cs="Arial"/>
          <w:b/>
          <w:bCs/>
          <w:noProof/>
        </w:rPr>
      </w:pPr>
      <w:r w:rsidRPr="001D0B64">
        <w:rPr>
          <w:rFonts w:cs="Arial"/>
          <w:b/>
          <w:bCs/>
          <w:noProof/>
        </w:rPr>
        <w:t>CÓPIESE, NOTIFÍQUESE Y CÚMPLASE</w:t>
      </w:r>
    </w:p>
    <w:p w:rsidR="00F57296" w:rsidRPr="001D0B64" w:rsidRDefault="00F57296" w:rsidP="00F57296">
      <w:pPr>
        <w:spacing w:line="240" w:lineRule="auto"/>
        <w:ind w:right="-1"/>
        <w:jc w:val="center"/>
        <w:rPr>
          <w:rFonts w:cs="Arial"/>
        </w:rPr>
      </w:pPr>
    </w:p>
    <w:p w:rsidR="00F57296" w:rsidRPr="001D0B64" w:rsidRDefault="00F57296" w:rsidP="00F57296">
      <w:pPr>
        <w:spacing w:line="240" w:lineRule="auto"/>
        <w:ind w:right="-1"/>
        <w:jc w:val="center"/>
        <w:rPr>
          <w:rFonts w:cs="Arial"/>
        </w:rPr>
      </w:pPr>
    </w:p>
    <w:p w:rsidR="00F57296" w:rsidRPr="001D0B64" w:rsidRDefault="00F57296" w:rsidP="00F57296">
      <w:pPr>
        <w:spacing w:line="240" w:lineRule="auto"/>
        <w:ind w:right="-1"/>
        <w:jc w:val="center"/>
        <w:rPr>
          <w:rFonts w:cs="Arial"/>
        </w:rPr>
      </w:pPr>
    </w:p>
    <w:p w:rsidR="00F57296" w:rsidRPr="001D0B64" w:rsidRDefault="00F57296" w:rsidP="00C43C51">
      <w:pPr>
        <w:widowControl w:val="0"/>
        <w:autoSpaceDE w:val="0"/>
        <w:autoSpaceDN w:val="0"/>
        <w:adjustRightInd w:val="0"/>
        <w:ind w:right="-1"/>
        <w:jc w:val="center"/>
        <w:rPr>
          <w:rFonts w:cs="Arial"/>
          <w:b/>
          <w:lang w:val="es-CO"/>
        </w:rPr>
      </w:pPr>
      <w:r w:rsidRPr="001D0B64">
        <w:rPr>
          <w:rFonts w:cs="Arial"/>
          <w:b/>
          <w:lang w:val="es-CO"/>
        </w:rPr>
        <w:t>MARTA NUBIA VELÁSQUEZ RICO</w:t>
      </w:r>
    </w:p>
    <w:p w:rsidR="00C43C51" w:rsidRDefault="00C43C51" w:rsidP="00C43C51">
      <w:pPr>
        <w:widowControl w:val="0"/>
        <w:autoSpaceDE w:val="0"/>
        <w:autoSpaceDN w:val="0"/>
        <w:adjustRightInd w:val="0"/>
        <w:ind w:right="-1"/>
        <w:jc w:val="center"/>
        <w:rPr>
          <w:rFonts w:cs="Arial"/>
          <w:b/>
          <w:lang w:val="es-CO"/>
        </w:rPr>
      </w:pPr>
    </w:p>
    <w:p w:rsidR="001D0B64" w:rsidRPr="001D0B64" w:rsidRDefault="001D0B64" w:rsidP="00C43C51">
      <w:pPr>
        <w:widowControl w:val="0"/>
        <w:autoSpaceDE w:val="0"/>
        <w:autoSpaceDN w:val="0"/>
        <w:adjustRightInd w:val="0"/>
        <w:ind w:right="-1"/>
        <w:jc w:val="center"/>
        <w:rPr>
          <w:rFonts w:cs="Arial"/>
          <w:b/>
          <w:lang w:val="es-CO"/>
        </w:rPr>
      </w:pPr>
    </w:p>
    <w:p w:rsidR="00C43C51" w:rsidRPr="001D0B64" w:rsidRDefault="00C43C51" w:rsidP="00C43C51">
      <w:pPr>
        <w:widowControl w:val="0"/>
        <w:autoSpaceDE w:val="0"/>
        <w:autoSpaceDN w:val="0"/>
        <w:adjustRightInd w:val="0"/>
        <w:ind w:right="-1"/>
        <w:jc w:val="center"/>
        <w:rPr>
          <w:rFonts w:cs="Arial"/>
          <w:b/>
          <w:lang w:val="es-CO"/>
        </w:rPr>
      </w:pPr>
    </w:p>
    <w:p w:rsidR="00606E9A" w:rsidRDefault="00F57296" w:rsidP="00C43C51">
      <w:pPr>
        <w:widowControl w:val="0"/>
        <w:autoSpaceDE w:val="0"/>
        <w:autoSpaceDN w:val="0"/>
        <w:adjustRightInd w:val="0"/>
        <w:ind w:right="-1"/>
        <w:jc w:val="center"/>
        <w:rPr>
          <w:rFonts w:cs="Arial"/>
          <w:b/>
        </w:rPr>
      </w:pPr>
      <w:r w:rsidRPr="001D0B64">
        <w:rPr>
          <w:rFonts w:cs="Arial"/>
          <w:b/>
        </w:rPr>
        <w:t>CARLOS ALBERTO ZAMBRANO BARRERA</w:t>
      </w:r>
    </w:p>
    <w:p w:rsidR="001D0B64" w:rsidRDefault="001D0B64" w:rsidP="00C43C51">
      <w:pPr>
        <w:widowControl w:val="0"/>
        <w:autoSpaceDE w:val="0"/>
        <w:autoSpaceDN w:val="0"/>
        <w:adjustRightInd w:val="0"/>
        <w:ind w:right="-1"/>
        <w:jc w:val="center"/>
        <w:rPr>
          <w:rFonts w:cs="Arial"/>
          <w:b/>
        </w:rPr>
      </w:pPr>
    </w:p>
    <w:p w:rsidR="001D0B64" w:rsidRPr="001D0B64" w:rsidRDefault="001D0B64" w:rsidP="00C43C51">
      <w:pPr>
        <w:widowControl w:val="0"/>
        <w:autoSpaceDE w:val="0"/>
        <w:autoSpaceDN w:val="0"/>
        <w:adjustRightInd w:val="0"/>
        <w:ind w:right="-1"/>
        <w:jc w:val="center"/>
        <w:rPr>
          <w:rFonts w:cs="Arial"/>
          <w:b/>
        </w:rPr>
      </w:pPr>
    </w:p>
    <w:sectPr w:rsidR="001D0B64" w:rsidRPr="001D0B64" w:rsidSect="001D0B64">
      <w:headerReference w:type="even" r:id="rId11"/>
      <w:footerReference w:type="even" r:id="rId12"/>
      <w:headerReference w:type="first" r:id="rId13"/>
      <w:pgSz w:w="12242" w:h="18722" w:code="120"/>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54E" w:rsidRDefault="00F1154E" w:rsidP="00C85395">
      <w:r>
        <w:separator/>
      </w:r>
    </w:p>
  </w:endnote>
  <w:endnote w:type="continuationSeparator" w:id="0">
    <w:p w:rsidR="00F1154E" w:rsidRDefault="00F1154E"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801" w:rsidRDefault="00D46801"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801" w:rsidRDefault="00D46801"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54E" w:rsidRDefault="00F1154E" w:rsidP="00C85395">
      <w:r>
        <w:separator/>
      </w:r>
    </w:p>
  </w:footnote>
  <w:footnote w:type="continuationSeparator" w:id="0">
    <w:p w:rsidR="00F1154E" w:rsidRDefault="00F1154E" w:rsidP="00C85395">
      <w:r>
        <w:continuationSeparator/>
      </w:r>
    </w:p>
  </w:footnote>
  <w:footnote w:id="1">
    <w:p w:rsidR="00D46801" w:rsidRPr="00016880" w:rsidRDefault="00D46801" w:rsidP="00131111">
      <w:pPr>
        <w:pStyle w:val="Textonotapie"/>
        <w:rPr>
          <w:lang w:val="es-CO"/>
        </w:rPr>
      </w:pPr>
      <w:r w:rsidRPr="00016880">
        <w:rPr>
          <w:rStyle w:val="Refdenotaalpie"/>
        </w:rPr>
        <w:footnoteRef/>
      </w:r>
      <w:r w:rsidRPr="00016880">
        <w:t xml:space="preserve"> </w:t>
      </w:r>
      <w:r>
        <w:rPr>
          <w:lang w:val="es-CO"/>
        </w:rPr>
        <w:t>Folio 83-85</w:t>
      </w:r>
      <w:r w:rsidRPr="00016880">
        <w:rPr>
          <w:lang w:val="es-CO"/>
        </w:rPr>
        <w:t>, cuaderno 1.</w:t>
      </w:r>
    </w:p>
  </w:footnote>
  <w:footnote w:id="2">
    <w:p w:rsidR="00D46801" w:rsidRPr="00016880" w:rsidRDefault="00D46801" w:rsidP="00AC1536">
      <w:pPr>
        <w:pStyle w:val="Citas"/>
      </w:pPr>
      <w:r w:rsidRPr="00016880">
        <w:rPr>
          <w:rStyle w:val="Refdenotaalpie"/>
        </w:rPr>
        <w:footnoteRef/>
      </w:r>
      <w:r w:rsidRPr="00016880">
        <w:t xml:space="preserve"> </w:t>
      </w:r>
      <w:r w:rsidRPr="00016880">
        <w:rPr>
          <w:b/>
          <w:bCs/>
        </w:rPr>
        <w:t>“</w:t>
      </w:r>
      <w:r w:rsidRPr="00016880">
        <w:rPr>
          <w:bCs/>
        </w:rPr>
        <w:t>Artículo 104. De la Jurisdicción de lo Contencioso Administrativo</w:t>
      </w:r>
      <w:r w:rsidRPr="00016880">
        <w:rPr>
          <w:b/>
          <w:bCs/>
        </w:rPr>
        <w:t xml:space="preserve">. </w:t>
      </w:r>
      <w:r w:rsidRPr="00016880">
        <w:t>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w:t>
      </w:r>
    </w:p>
    <w:p w:rsidR="00D46801" w:rsidRPr="00A23526" w:rsidRDefault="00D46801" w:rsidP="00F74DD2">
      <w:pPr>
        <w:pStyle w:val="NormalWeb"/>
        <w:spacing w:line="240" w:lineRule="auto"/>
        <w:ind w:right="-1"/>
        <w:rPr>
          <w:rFonts w:cs="Arial"/>
          <w:i/>
          <w:sz w:val="20"/>
          <w:szCs w:val="20"/>
        </w:rPr>
      </w:pPr>
      <w:r w:rsidRPr="00A23526">
        <w:rPr>
          <w:rFonts w:cs="Arial"/>
          <w:i/>
          <w:sz w:val="20"/>
          <w:szCs w:val="20"/>
        </w:rPr>
        <w:t>“Igualmente conocerá de los siguientes procesos:</w:t>
      </w:r>
    </w:p>
    <w:p w:rsidR="00D46801" w:rsidRPr="00A23526" w:rsidRDefault="00D46801" w:rsidP="00F74DD2">
      <w:pPr>
        <w:pStyle w:val="NormalWeb"/>
        <w:spacing w:line="240" w:lineRule="auto"/>
        <w:ind w:right="-1"/>
        <w:rPr>
          <w:rFonts w:cs="Arial"/>
          <w:i/>
          <w:sz w:val="20"/>
          <w:szCs w:val="20"/>
        </w:rPr>
      </w:pPr>
      <w:r w:rsidRPr="00A23526">
        <w:rPr>
          <w:rFonts w:cs="Arial"/>
          <w:i/>
          <w:sz w:val="20"/>
          <w:szCs w:val="20"/>
        </w:rPr>
        <w:t>“(…).</w:t>
      </w:r>
    </w:p>
    <w:p w:rsidR="00D46801" w:rsidRPr="00A23526" w:rsidRDefault="00D46801" w:rsidP="00F74DD2">
      <w:pPr>
        <w:pStyle w:val="NormalWeb"/>
        <w:spacing w:line="240" w:lineRule="auto"/>
        <w:ind w:right="-1"/>
        <w:rPr>
          <w:i/>
          <w:sz w:val="20"/>
          <w:szCs w:val="20"/>
          <w:lang w:val="es-MX"/>
        </w:rPr>
      </w:pPr>
      <w:r w:rsidRPr="00A23526">
        <w:rPr>
          <w:rFonts w:cs="Arial"/>
          <w:i/>
          <w:sz w:val="20"/>
          <w:szCs w:val="20"/>
        </w:rPr>
        <w:t>“2. Los relativos a los contratos, cualquiera que sea su régimen, en los que sea parte una entidad pública o un particular en ejercicio de funciones propias del Estado”.</w:t>
      </w:r>
    </w:p>
  </w:footnote>
  <w:footnote w:id="3">
    <w:p w:rsidR="00D46801" w:rsidRPr="00A23526" w:rsidRDefault="00D46801" w:rsidP="00A23526">
      <w:pPr>
        <w:pStyle w:val="Textonotapie"/>
        <w:spacing w:line="240" w:lineRule="auto"/>
        <w:rPr>
          <w:rFonts w:cs="Arial"/>
          <w:i/>
        </w:rPr>
      </w:pPr>
      <w:r w:rsidRPr="00A23526">
        <w:rPr>
          <w:rStyle w:val="Refdenotaalpie"/>
        </w:rPr>
        <w:footnoteRef/>
      </w:r>
      <w:r w:rsidRPr="00A23526">
        <w:t xml:space="preserve"> Ley 489 de 1998. </w:t>
      </w:r>
      <w:r w:rsidRPr="00A23526">
        <w:rPr>
          <w:i/>
        </w:rPr>
        <w:t>“</w:t>
      </w:r>
      <w:r w:rsidRPr="00A23526">
        <w:rPr>
          <w:rFonts w:cs="Arial"/>
          <w:b/>
          <w:bCs/>
          <w:i/>
        </w:rPr>
        <w:t>Artículo</w:t>
      </w:r>
      <w:bookmarkStart w:id="1" w:name="38"/>
      <w:r w:rsidRPr="00A23526">
        <w:rPr>
          <w:rFonts w:cs="Arial"/>
          <w:b/>
          <w:bCs/>
          <w:i/>
        </w:rPr>
        <w:t> </w:t>
      </w:r>
      <w:bookmarkEnd w:id="1"/>
      <w:r w:rsidRPr="00A23526">
        <w:rPr>
          <w:rFonts w:cs="Arial"/>
          <w:b/>
          <w:bCs/>
          <w:i/>
        </w:rPr>
        <w:t>38º.-</w:t>
      </w:r>
      <w:r w:rsidRPr="00A23526">
        <w:rPr>
          <w:rFonts w:cs="Arial"/>
          <w:i/>
        </w:rPr>
        <w:t xml:space="preserve"> </w:t>
      </w:r>
      <w:r w:rsidRPr="00A23526">
        <w:rPr>
          <w:rFonts w:cs="Arial"/>
          <w:i/>
          <w:iCs/>
        </w:rPr>
        <w:t xml:space="preserve">Integración de la Rama Ejecutiva del Poder Público en el orden nacional. </w:t>
      </w:r>
      <w:r w:rsidRPr="00A23526">
        <w:rPr>
          <w:rFonts w:cs="Arial"/>
          <w:i/>
        </w:rPr>
        <w:t>La Rama Ejecutiva del Poder Público en el orden nacional, está integrada por los siguientes organismos y entidades:</w:t>
      </w:r>
    </w:p>
    <w:p w:rsidR="00D46801" w:rsidRPr="00A23526" w:rsidRDefault="00D46801" w:rsidP="00A23526">
      <w:pPr>
        <w:spacing w:before="100" w:beforeAutospacing="1" w:after="100" w:afterAutospacing="1" w:line="240" w:lineRule="auto"/>
        <w:jc w:val="left"/>
        <w:rPr>
          <w:rFonts w:cs="Arial"/>
          <w:i/>
          <w:sz w:val="20"/>
          <w:szCs w:val="20"/>
        </w:rPr>
      </w:pPr>
      <w:r w:rsidRPr="00A23526">
        <w:rPr>
          <w:rFonts w:cs="Arial"/>
          <w:i/>
          <w:sz w:val="20"/>
          <w:szCs w:val="20"/>
        </w:rPr>
        <w:t>“(…).</w:t>
      </w:r>
    </w:p>
    <w:p w:rsidR="00D46801" w:rsidRPr="00A23526" w:rsidRDefault="00D46801" w:rsidP="00A23526">
      <w:pPr>
        <w:spacing w:before="100" w:beforeAutospacing="1" w:after="100" w:afterAutospacing="1" w:line="240" w:lineRule="auto"/>
        <w:jc w:val="left"/>
        <w:rPr>
          <w:rFonts w:cs="Arial"/>
          <w:i/>
          <w:sz w:val="20"/>
          <w:szCs w:val="20"/>
          <w:lang w:val="es-CO" w:eastAsia="es-CO"/>
        </w:rPr>
      </w:pPr>
      <w:r w:rsidRPr="00A23526">
        <w:rPr>
          <w:rFonts w:cs="Arial"/>
          <w:i/>
          <w:sz w:val="20"/>
          <w:szCs w:val="20"/>
        </w:rPr>
        <w:t>“</w:t>
      </w:r>
      <w:r w:rsidRPr="00A23526">
        <w:rPr>
          <w:rFonts w:cs="Arial"/>
          <w:i/>
          <w:sz w:val="20"/>
          <w:szCs w:val="20"/>
          <w:lang w:val="es-CO" w:eastAsia="es-CO"/>
        </w:rPr>
        <w:t>2. Del Sector descentralizado por servicios:</w:t>
      </w:r>
    </w:p>
    <w:p w:rsidR="00D46801" w:rsidRPr="00A23526" w:rsidRDefault="00D46801" w:rsidP="00A23526">
      <w:pPr>
        <w:spacing w:before="100" w:beforeAutospacing="1" w:after="100" w:afterAutospacing="1" w:line="240" w:lineRule="auto"/>
        <w:jc w:val="left"/>
        <w:rPr>
          <w:rFonts w:cs="Arial"/>
          <w:i/>
          <w:sz w:val="20"/>
          <w:szCs w:val="20"/>
          <w:lang w:val="es-CO" w:eastAsia="es-CO"/>
        </w:rPr>
      </w:pPr>
      <w:r w:rsidRPr="00A23526">
        <w:rPr>
          <w:rFonts w:cs="Arial"/>
          <w:i/>
          <w:sz w:val="20"/>
          <w:szCs w:val="20"/>
          <w:lang w:val="es-CO" w:eastAsia="es-CO"/>
        </w:rPr>
        <w:t>“(…).</w:t>
      </w:r>
    </w:p>
    <w:p w:rsidR="00D46801" w:rsidRPr="00A23526" w:rsidRDefault="00D46801" w:rsidP="00A23526">
      <w:pPr>
        <w:spacing w:before="100" w:beforeAutospacing="1" w:after="100" w:afterAutospacing="1" w:line="240" w:lineRule="auto"/>
        <w:jc w:val="left"/>
        <w:rPr>
          <w:rFonts w:cs="Arial"/>
          <w:i/>
          <w:sz w:val="20"/>
          <w:szCs w:val="20"/>
          <w:lang w:val="es-CO" w:eastAsia="es-CO"/>
        </w:rPr>
      </w:pPr>
      <w:r w:rsidRPr="00A23526">
        <w:rPr>
          <w:rFonts w:cs="Arial"/>
          <w:i/>
          <w:sz w:val="20"/>
          <w:szCs w:val="20"/>
          <w:lang w:val="es-CO" w:eastAsia="es-CO"/>
        </w:rPr>
        <w:t>“</w:t>
      </w:r>
      <w:r w:rsidRPr="00A23526">
        <w:rPr>
          <w:rFonts w:cs="Arial"/>
          <w:i/>
          <w:sz w:val="20"/>
          <w:szCs w:val="20"/>
        </w:rPr>
        <w:t>b. Las empresas industriales y comerciales del Estado”.</w:t>
      </w:r>
    </w:p>
  </w:footnote>
  <w:footnote w:id="4">
    <w:p w:rsidR="00D46801" w:rsidRPr="00016880" w:rsidRDefault="00D46801" w:rsidP="00B06E49">
      <w:pPr>
        <w:pStyle w:val="Textonotapie"/>
        <w:spacing w:line="240" w:lineRule="auto"/>
        <w:rPr>
          <w:lang w:val="es-CO"/>
        </w:rPr>
      </w:pPr>
      <w:r w:rsidRPr="00016880">
        <w:rPr>
          <w:rStyle w:val="Refdenotaalpie"/>
        </w:rPr>
        <w:footnoteRef/>
      </w:r>
      <w:r w:rsidRPr="00016880">
        <w:t xml:space="preserve"> </w:t>
      </w:r>
      <w:r>
        <w:rPr>
          <w:lang w:val="es-CO"/>
        </w:rPr>
        <w:t>$2.637’115.735, folio 34</w:t>
      </w:r>
      <w:r w:rsidRPr="00016880">
        <w:rPr>
          <w:lang w:val="es-CO"/>
        </w:rPr>
        <w:t xml:space="preserve"> del cuaderno 1.</w:t>
      </w:r>
    </w:p>
    <w:p w:rsidR="00D46801" w:rsidRPr="00016880" w:rsidRDefault="00D46801" w:rsidP="00B06E49">
      <w:pPr>
        <w:pStyle w:val="Textonotapie"/>
        <w:spacing w:line="240" w:lineRule="auto"/>
        <w:rPr>
          <w:lang w:val="es-CO"/>
        </w:rPr>
      </w:pPr>
    </w:p>
  </w:footnote>
  <w:footnote w:id="5">
    <w:p w:rsidR="00D46801" w:rsidRPr="00016880" w:rsidRDefault="00D46801" w:rsidP="00B06E49">
      <w:pPr>
        <w:pStyle w:val="Textonotapie"/>
        <w:spacing w:line="240" w:lineRule="auto"/>
        <w:rPr>
          <w:lang w:val="es-CO"/>
        </w:rPr>
      </w:pPr>
      <w:r w:rsidRPr="00016880">
        <w:rPr>
          <w:rStyle w:val="Refdenotaalpie"/>
        </w:rPr>
        <w:footnoteRef/>
      </w:r>
      <w:r w:rsidRPr="00016880">
        <w:t xml:space="preserve"> </w:t>
      </w:r>
      <w:r>
        <w:rPr>
          <w:lang w:val="es-CO"/>
        </w:rPr>
        <w:t>$283’350.000</w:t>
      </w:r>
      <w:r w:rsidRPr="00016880">
        <w:rPr>
          <w:lang w:val="es-CO"/>
        </w:rPr>
        <w:t>, con fundamento en el sala</w:t>
      </w:r>
      <w:r>
        <w:rPr>
          <w:lang w:val="es-CO"/>
        </w:rPr>
        <w:t>rio mínimo legal vigente de 2012 ($566.0</w:t>
      </w:r>
      <w:r w:rsidRPr="00016880">
        <w:rPr>
          <w:lang w:val="es-CO"/>
        </w:rPr>
        <w:t xml:space="preserve">00 X 500). </w:t>
      </w:r>
    </w:p>
    <w:p w:rsidR="00D46801" w:rsidRPr="00016880" w:rsidRDefault="00D46801" w:rsidP="00B06E49">
      <w:pPr>
        <w:pStyle w:val="Textonotapie"/>
        <w:spacing w:line="240" w:lineRule="auto"/>
        <w:rPr>
          <w:lang w:val="es-CO"/>
        </w:rPr>
      </w:pPr>
    </w:p>
  </w:footnote>
  <w:footnote w:id="6">
    <w:p w:rsidR="00D46801" w:rsidRPr="003B58E9" w:rsidRDefault="00D46801" w:rsidP="00EA617B">
      <w:pPr>
        <w:pStyle w:val="Textonotapie"/>
        <w:spacing w:line="240" w:lineRule="auto"/>
        <w:rPr>
          <w:lang w:val="es-CO"/>
        </w:rPr>
      </w:pPr>
      <w:r w:rsidRPr="003B58E9">
        <w:rPr>
          <w:rStyle w:val="Refdenotaalpie"/>
        </w:rPr>
        <w:footnoteRef/>
      </w:r>
      <w:r w:rsidRPr="003B58E9">
        <w:t xml:space="preserve"> </w:t>
      </w:r>
      <w:r w:rsidRPr="003B58E9">
        <w:rPr>
          <w:lang w:val="es-CO"/>
        </w:rPr>
        <w:t xml:space="preserve">Así lo consagra el artículo 3 de la Ley 689 de 2001, por la cual se modificó parcialmente la Ley 142 de 1994. </w:t>
      </w:r>
    </w:p>
    <w:p w:rsidR="00D46801" w:rsidRPr="003B58E9" w:rsidRDefault="00D46801" w:rsidP="00EA617B">
      <w:pPr>
        <w:pStyle w:val="Textonotapie"/>
        <w:spacing w:line="240" w:lineRule="auto"/>
        <w:rPr>
          <w:lang w:val="es-CO"/>
        </w:rPr>
      </w:pPr>
    </w:p>
  </w:footnote>
  <w:footnote w:id="7">
    <w:p w:rsidR="00D46801" w:rsidRPr="003B58E9" w:rsidRDefault="00D46801" w:rsidP="003B58E9">
      <w:pPr>
        <w:pStyle w:val="Textonotapie"/>
        <w:spacing w:line="240" w:lineRule="auto"/>
      </w:pPr>
      <w:r w:rsidRPr="003B58E9">
        <w:rPr>
          <w:rStyle w:val="Refdenotaalpie"/>
        </w:rPr>
        <w:footnoteRef/>
      </w:r>
      <w:r w:rsidRPr="003B58E9">
        <w:t xml:space="preserve"> Consejo de Estado, Sala de lo Contencioso Administrativo, Sección Tercera, Subsección A, 24 de octubre de 2016, </w:t>
      </w:r>
      <w:r>
        <w:t xml:space="preserve">Exp. 45607, Actor: Sociedad Aguas de los Andes, Demandado: Empresas Públicas de Neiva. </w:t>
      </w:r>
    </w:p>
    <w:p w:rsidR="00D46801" w:rsidRPr="003B58E9" w:rsidRDefault="00D46801">
      <w:pPr>
        <w:pStyle w:val="Textonotapie"/>
        <w:rPr>
          <w:lang w:val="es-CO"/>
        </w:rPr>
      </w:pPr>
    </w:p>
  </w:footnote>
  <w:footnote w:id="8">
    <w:p w:rsidR="00D46801" w:rsidRPr="003B58E9" w:rsidRDefault="00D46801" w:rsidP="003B518D">
      <w:pPr>
        <w:pStyle w:val="NormalWeb"/>
        <w:spacing w:before="0" w:beforeAutospacing="0" w:after="0" w:afterAutospacing="0" w:line="240" w:lineRule="auto"/>
        <w:rPr>
          <w:rFonts w:cs="Arial"/>
          <w:i/>
          <w:sz w:val="20"/>
          <w:szCs w:val="20"/>
          <w:lang w:val="es-CO"/>
        </w:rPr>
      </w:pPr>
      <w:r w:rsidRPr="003B58E9">
        <w:rPr>
          <w:rStyle w:val="Refdenotaalpie"/>
          <w:rFonts w:cs="Arial"/>
          <w:i/>
          <w:sz w:val="20"/>
          <w:szCs w:val="20"/>
        </w:rPr>
        <w:footnoteRef/>
      </w:r>
      <w:r w:rsidRPr="003B58E9">
        <w:rPr>
          <w:rFonts w:cs="Arial"/>
          <w:i/>
          <w:sz w:val="20"/>
          <w:szCs w:val="20"/>
        </w:rPr>
        <w:t xml:space="preserve"> </w:t>
      </w:r>
      <w:bookmarkStart w:id="2" w:name="13"/>
      <w:r w:rsidRPr="003B58E9">
        <w:rPr>
          <w:rFonts w:cs="Arial"/>
          <w:i/>
          <w:sz w:val="20"/>
          <w:szCs w:val="20"/>
        </w:rPr>
        <w:t>“</w:t>
      </w:r>
      <w:r w:rsidRPr="003B58E9">
        <w:rPr>
          <w:rFonts w:cs="Arial"/>
          <w:bCs/>
          <w:i/>
          <w:sz w:val="20"/>
          <w:szCs w:val="20"/>
        </w:rPr>
        <w:t>Artículo 13. Principios generales de la actividad contractual para entidades no sometidas al estatuto general de contratación de la administración pública.</w:t>
      </w:r>
      <w:bookmarkEnd w:id="2"/>
      <w:r w:rsidRPr="003B58E9">
        <w:rPr>
          <w:rStyle w:val="apple-converted-space"/>
          <w:rFonts w:cs="Arial"/>
          <w:i/>
          <w:sz w:val="20"/>
          <w:szCs w:val="20"/>
        </w:rPr>
        <w:t> </w:t>
      </w:r>
      <w:r w:rsidRPr="003B58E9">
        <w:rPr>
          <w:rFonts w:cs="Arial"/>
          <w:i/>
          <w:sz w:val="20"/>
          <w:szCs w:val="20"/>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w:t>
      </w:r>
      <w:r w:rsidRPr="003B58E9">
        <w:rPr>
          <w:rStyle w:val="apple-converted-space"/>
          <w:rFonts w:cs="Arial"/>
          <w:i/>
          <w:sz w:val="20"/>
          <w:szCs w:val="20"/>
        </w:rPr>
        <w:t> </w:t>
      </w:r>
      <w:hyperlink r:id="rId1" w:anchor="209" w:history="1">
        <w:r w:rsidRPr="003B58E9">
          <w:rPr>
            <w:rStyle w:val="Hipervnculo"/>
            <w:rFonts w:cs="Arial"/>
            <w:i/>
            <w:sz w:val="20"/>
            <w:szCs w:val="20"/>
          </w:rPr>
          <w:t>209</w:t>
        </w:r>
      </w:hyperlink>
      <w:r w:rsidRPr="003B58E9">
        <w:rPr>
          <w:rStyle w:val="apple-converted-space"/>
          <w:rFonts w:cs="Arial"/>
          <w:i/>
          <w:sz w:val="20"/>
          <w:szCs w:val="20"/>
        </w:rPr>
        <w:t> </w:t>
      </w:r>
      <w:r w:rsidRPr="003B58E9">
        <w:rPr>
          <w:rFonts w:cs="Arial"/>
          <w:i/>
          <w:sz w:val="20"/>
          <w:szCs w:val="20"/>
        </w:rPr>
        <w:t>y</w:t>
      </w:r>
      <w:r w:rsidRPr="003B58E9">
        <w:rPr>
          <w:rStyle w:val="apple-converted-space"/>
          <w:rFonts w:cs="Arial"/>
          <w:i/>
          <w:sz w:val="20"/>
          <w:szCs w:val="20"/>
        </w:rPr>
        <w:t> </w:t>
      </w:r>
      <w:hyperlink r:id="rId2" w:anchor="267" w:history="1">
        <w:r w:rsidRPr="003B58E9">
          <w:rPr>
            <w:rStyle w:val="Hipervnculo"/>
            <w:rFonts w:cs="Arial"/>
            <w:i/>
            <w:sz w:val="20"/>
            <w:szCs w:val="20"/>
          </w:rPr>
          <w:t>267</w:t>
        </w:r>
      </w:hyperlink>
      <w:r w:rsidRPr="003B58E9">
        <w:rPr>
          <w:rStyle w:val="apple-converted-space"/>
          <w:rFonts w:cs="Arial"/>
          <w:i/>
          <w:sz w:val="20"/>
          <w:szCs w:val="20"/>
        </w:rPr>
        <w:t> </w:t>
      </w:r>
      <w:r w:rsidRPr="003B58E9">
        <w:rPr>
          <w:rFonts w:cs="Arial"/>
          <w:i/>
          <w:sz w:val="20"/>
          <w:szCs w:val="20"/>
        </w:rPr>
        <w:t>de la Constitución Política, respectivamente según sea el caso y estarán sometidas al régimen de inhabilidades e incompatibilidades previsto legalmente para la contratación estatal”.</w:t>
      </w:r>
    </w:p>
  </w:footnote>
  <w:footnote w:id="9">
    <w:p w:rsidR="00D46801" w:rsidRDefault="00D46801" w:rsidP="003B518D">
      <w:pPr>
        <w:spacing w:line="240" w:lineRule="auto"/>
        <w:rPr>
          <w:rFonts w:cs="Arial"/>
          <w:sz w:val="20"/>
          <w:szCs w:val="20"/>
          <w:lang w:eastAsia="es-CO"/>
        </w:rPr>
      </w:pPr>
      <w:r w:rsidRPr="00270E7B">
        <w:rPr>
          <w:rStyle w:val="Refdenotaalpie"/>
          <w:rFonts w:cs="Arial"/>
          <w:sz w:val="20"/>
          <w:szCs w:val="20"/>
        </w:rPr>
        <w:footnoteRef/>
      </w:r>
      <w:r w:rsidRPr="00270E7B">
        <w:rPr>
          <w:rFonts w:cs="Arial"/>
          <w:sz w:val="20"/>
          <w:szCs w:val="20"/>
        </w:rPr>
        <w:t xml:space="preserve"> </w:t>
      </w:r>
      <w:r w:rsidRPr="00270E7B">
        <w:rPr>
          <w:rFonts w:cs="Arial"/>
          <w:sz w:val="20"/>
          <w:szCs w:val="20"/>
          <w:lang w:eastAsia="es-CO"/>
        </w:rPr>
        <w:t xml:space="preserve">Del mismo modo, Luis Cosculluela Montaner, en Manual de Derecho Administrativo </w:t>
      </w:r>
      <w:r w:rsidRPr="00270E7B">
        <w:rPr>
          <w:rFonts w:cs="Arial"/>
          <w:sz w:val="20"/>
          <w:szCs w:val="20"/>
        </w:rPr>
        <w:t>– Vigésima sexta edición. Editorial Aranzadi S.A. 2015. Pamplona. Páginas 424 y 425-</w:t>
      </w:r>
      <w:r w:rsidRPr="00270E7B">
        <w:rPr>
          <w:rFonts w:cs="Arial"/>
          <w:sz w:val="20"/>
          <w:szCs w:val="20"/>
          <w:lang w:eastAsia="es-CO"/>
        </w:rPr>
        <w:t>, al definir los contratos privados en los sig</w:t>
      </w:r>
      <w:r>
        <w:rPr>
          <w:rFonts w:cs="Arial"/>
          <w:sz w:val="20"/>
          <w:szCs w:val="20"/>
          <w:lang w:eastAsia="es-CO"/>
        </w:rPr>
        <w:t>uientes términos considera que:</w:t>
      </w:r>
    </w:p>
    <w:p w:rsidR="00D46801" w:rsidRPr="00270E7B" w:rsidRDefault="00D46801" w:rsidP="003B518D">
      <w:pPr>
        <w:spacing w:line="240" w:lineRule="auto"/>
        <w:rPr>
          <w:rFonts w:cs="Arial"/>
          <w:i/>
          <w:sz w:val="20"/>
          <w:szCs w:val="20"/>
          <w:lang w:eastAsia="es-CO"/>
        </w:rPr>
      </w:pPr>
    </w:p>
    <w:p w:rsidR="00D46801" w:rsidRPr="00270E7B" w:rsidRDefault="00D46801" w:rsidP="003B518D">
      <w:pPr>
        <w:spacing w:line="240" w:lineRule="auto"/>
        <w:ind w:left="567" w:right="567"/>
        <w:rPr>
          <w:rFonts w:cs="Arial"/>
          <w:i/>
          <w:sz w:val="20"/>
          <w:szCs w:val="20"/>
          <w:lang w:eastAsia="es-CO"/>
        </w:rPr>
      </w:pPr>
      <w:r w:rsidRPr="00270E7B">
        <w:rPr>
          <w:rFonts w:cs="Arial"/>
          <w:i/>
          <w:sz w:val="20"/>
          <w:szCs w:val="20"/>
          <w:lang w:eastAsia="es-CO"/>
        </w:rPr>
        <w:t>“Estos contratos se rigen, en cuanto a su preparación y adjudicación, por el TRLCS y sus normas de desarrollo; supletoriamente por las restantes normas del derecho administrativo que le sean de aplicación o en su defecto por las normas de derecho privado que correspondan en virtud de la forma organizativa de la entidad contratante. Y en cuanto a sus efectos y extinción por el derecho privado.</w:t>
      </w:r>
    </w:p>
    <w:p w:rsidR="00D46801" w:rsidRPr="00270E7B" w:rsidRDefault="00D46801" w:rsidP="003B518D">
      <w:pPr>
        <w:spacing w:line="240" w:lineRule="auto"/>
        <w:ind w:left="567" w:right="567"/>
        <w:rPr>
          <w:rFonts w:cs="Arial"/>
          <w:i/>
          <w:sz w:val="20"/>
          <w:szCs w:val="20"/>
          <w:lang w:eastAsia="es-CO"/>
        </w:rPr>
      </w:pPr>
      <w:r w:rsidRPr="00270E7B">
        <w:rPr>
          <w:rFonts w:cs="Arial"/>
          <w:i/>
          <w:sz w:val="20"/>
          <w:szCs w:val="20"/>
          <w:lang w:eastAsia="es-CO"/>
        </w:rPr>
        <w:t>“(…).</w:t>
      </w:r>
    </w:p>
    <w:p w:rsidR="00D46801" w:rsidRPr="00270E7B" w:rsidRDefault="00D46801" w:rsidP="003B518D">
      <w:pPr>
        <w:spacing w:line="240" w:lineRule="auto"/>
        <w:ind w:left="567" w:right="567"/>
        <w:rPr>
          <w:rFonts w:cs="Arial"/>
          <w:i/>
          <w:sz w:val="20"/>
          <w:szCs w:val="20"/>
          <w:lang w:eastAsia="es-CO"/>
        </w:rPr>
      </w:pPr>
      <w:r w:rsidRPr="00270E7B">
        <w:rPr>
          <w:rFonts w:cs="Arial"/>
          <w:i/>
          <w:sz w:val="20"/>
          <w:szCs w:val="20"/>
          <w:lang w:eastAsia="es-CO"/>
        </w:rPr>
        <w:t xml:space="preserve">“También se atribuyen a esta Jurisdicción las cuestiones referentes a la preparación y adjudicación de los contratos sujetos a regulación armonizada; en particular, de las derivadas de la resolución de los recursos especiales para estos contratos armonizados. Mientras que las demás cuestiones que se susciten con relación a sus efectos, cumplimiento y extinción de estos contratos privados compete a la jurisdicción ordinaria. Esta atribución de competencia a la jurisdicción contencioso-administrativa, aunque el contrato tuviera la naturaleza de contrato privado de las cuestiones que se susciten en cuanto a la preparación y adjudicación de los contratos privados se realiza en virtud de la teoría de los actos separables.  </w:t>
      </w:r>
    </w:p>
    <w:p w:rsidR="00D46801" w:rsidRPr="00270E7B" w:rsidRDefault="00D46801" w:rsidP="003B518D">
      <w:pPr>
        <w:spacing w:line="240" w:lineRule="auto"/>
        <w:ind w:left="567" w:right="567"/>
        <w:rPr>
          <w:rFonts w:cs="Arial"/>
          <w:i/>
          <w:sz w:val="20"/>
          <w:szCs w:val="20"/>
          <w:lang w:eastAsia="es-CO"/>
        </w:rPr>
      </w:pPr>
    </w:p>
    <w:p w:rsidR="00D46801" w:rsidRPr="00270E7B" w:rsidRDefault="00D46801" w:rsidP="003B518D">
      <w:pPr>
        <w:spacing w:line="240" w:lineRule="auto"/>
        <w:ind w:left="567" w:right="567"/>
        <w:rPr>
          <w:rFonts w:cs="Arial"/>
          <w:sz w:val="20"/>
          <w:szCs w:val="20"/>
          <w:lang w:val="es-CO"/>
        </w:rPr>
      </w:pPr>
      <w:r w:rsidRPr="00270E7B">
        <w:rPr>
          <w:rFonts w:cs="Arial"/>
          <w:i/>
          <w:sz w:val="20"/>
          <w:szCs w:val="20"/>
          <w:lang w:eastAsia="es-CO"/>
        </w:rPr>
        <w:t>“Esta teoría fue elaborada por el Consejo de Estado francés y defiende en esencia que las reglas administrativas, sobre la competencia, preparación del contrato, selección de contratistas y adjudicación del contrato son actes detachables del régimen de fondo de los contratos privados que celebre la Administración, que se rigen siempre por el derecho administrativo y se enjuician por la jurisdicción contencioso-administrativa”.</w:t>
      </w:r>
    </w:p>
  </w:footnote>
  <w:footnote w:id="10">
    <w:p w:rsidR="00D46801" w:rsidRDefault="00D46801" w:rsidP="003E1D0E">
      <w:pPr>
        <w:pStyle w:val="Textonotapie"/>
        <w:spacing w:line="240" w:lineRule="auto"/>
        <w:rPr>
          <w:rFonts w:cs="Arial"/>
        </w:rPr>
      </w:pPr>
      <w:r w:rsidRPr="00096543">
        <w:rPr>
          <w:rStyle w:val="Refdenotaalpie"/>
          <w:rFonts w:cs="Arial"/>
        </w:rPr>
        <w:footnoteRef/>
      </w:r>
      <w:r w:rsidRPr="00096543">
        <w:rPr>
          <w:rFonts w:cs="Arial"/>
        </w:rPr>
        <w:t xml:space="preserve"> Consejo de Estado, Sala de lo Contencioso Administrativo, Sección Tercera, Consejero Ponente, Mauricio Fajardo Gómez, providencia del </w:t>
      </w:r>
      <w:r>
        <w:rPr>
          <w:rFonts w:cs="Arial"/>
        </w:rPr>
        <w:t>11 de octubre de 2006, E</w:t>
      </w:r>
      <w:r w:rsidRPr="00096543">
        <w:rPr>
          <w:rFonts w:cs="Arial"/>
        </w:rPr>
        <w:t>xp</w:t>
      </w:r>
      <w:r>
        <w:rPr>
          <w:rFonts w:cs="Arial"/>
        </w:rPr>
        <w:t>:</w:t>
      </w:r>
      <w:r w:rsidRPr="00096543">
        <w:rPr>
          <w:rFonts w:cs="Arial"/>
        </w:rPr>
        <w:t xml:space="preserve"> 30.566</w:t>
      </w:r>
      <w:r>
        <w:rPr>
          <w:rFonts w:cs="Arial"/>
        </w:rPr>
        <w:t>.</w:t>
      </w:r>
    </w:p>
    <w:p w:rsidR="00D46801" w:rsidRPr="00096543" w:rsidRDefault="00D46801" w:rsidP="003E1D0E">
      <w:pPr>
        <w:pStyle w:val="Textonotapie"/>
        <w:spacing w:line="240" w:lineRule="auto"/>
        <w:rPr>
          <w:rFonts w:cs="Arial"/>
          <w:lang w:val="es-CO"/>
        </w:rPr>
      </w:pPr>
    </w:p>
  </w:footnote>
  <w:footnote w:id="11">
    <w:p w:rsidR="00D46801" w:rsidRDefault="00D46801" w:rsidP="003E3DEC">
      <w:pPr>
        <w:shd w:val="clear" w:color="auto" w:fill="FFFFFF"/>
        <w:spacing w:line="240" w:lineRule="auto"/>
        <w:rPr>
          <w:rFonts w:cs="Arial"/>
          <w:i/>
          <w:color w:val="000000"/>
          <w:sz w:val="20"/>
          <w:szCs w:val="20"/>
        </w:rPr>
      </w:pPr>
      <w:r w:rsidRPr="003E20F2">
        <w:rPr>
          <w:rStyle w:val="Refdenotaalpie"/>
          <w:b/>
          <w:i/>
          <w:sz w:val="20"/>
          <w:szCs w:val="20"/>
        </w:rPr>
        <w:footnoteRef/>
      </w:r>
      <w:r w:rsidRPr="003E20F2">
        <w:rPr>
          <w:b/>
          <w:i/>
          <w:sz w:val="20"/>
          <w:szCs w:val="20"/>
        </w:rPr>
        <w:t xml:space="preserve"> </w:t>
      </w:r>
      <w:r w:rsidRPr="003E20F2">
        <w:rPr>
          <w:i/>
          <w:sz w:val="20"/>
          <w:szCs w:val="20"/>
        </w:rPr>
        <w:t xml:space="preserve">Ley 153 de 1887. </w:t>
      </w:r>
      <w:r>
        <w:rPr>
          <w:i/>
          <w:sz w:val="20"/>
          <w:szCs w:val="20"/>
        </w:rPr>
        <w:t>“</w:t>
      </w:r>
      <w:r w:rsidRPr="003E20F2">
        <w:rPr>
          <w:rFonts w:cs="Arial"/>
          <w:bCs/>
          <w:i/>
          <w:color w:val="000000"/>
          <w:sz w:val="20"/>
          <w:szCs w:val="20"/>
        </w:rPr>
        <w:t>Artículo 38</w:t>
      </w:r>
      <w:r w:rsidRPr="003E20F2">
        <w:rPr>
          <w:rFonts w:cs="Arial"/>
          <w:b/>
          <w:i/>
          <w:color w:val="000000"/>
          <w:sz w:val="20"/>
          <w:szCs w:val="20"/>
        </w:rPr>
        <w:t>.</w:t>
      </w:r>
      <w:r w:rsidRPr="009241A3">
        <w:rPr>
          <w:rFonts w:cs="Arial"/>
          <w:i/>
          <w:color w:val="000000"/>
          <w:sz w:val="20"/>
          <w:szCs w:val="20"/>
        </w:rPr>
        <w:t xml:space="preserve"> En todo contrato se entenderán incorporadas las leyes vigentes al tiempo de su celebración.</w:t>
      </w:r>
      <w:r>
        <w:rPr>
          <w:rFonts w:cs="Arial"/>
          <w:i/>
          <w:color w:val="000000"/>
          <w:sz w:val="20"/>
          <w:szCs w:val="20"/>
        </w:rPr>
        <w:t xml:space="preserve"> </w:t>
      </w:r>
      <w:r w:rsidRPr="009241A3">
        <w:rPr>
          <w:rFonts w:cs="Arial"/>
          <w:i/>
          <w:color w:val="000000"/>
          <w:sz w:val="20"/>
          <w:szCs w:val="20"/>
        </w:rPr>
        <w:t>Exceptúanse de esta disposición:</w:t>
      </w:r>
    </w:p>
    <w:p w:rsidR="00D46801" w:rsidRPr="009241A3" w:rsidRDefault="00D46801" w:rsidP="003E3DEC">
      <w:pPr>
        <w:shd w:val="clear" w:color="auto" w:fill="FFFFFF"/>
        <w:spacing w:line="240" w:lineRule="auto"/>
        <w:rPr>
          <w:rFonts w:cs="Arial"/>
          <w:i/>
          <w:color w:val="000000"/>
          <w:sz w:val="20"/>
          <w:szCs w:val="20"/>
        </w:rPr>
      </w:pPr>
    </w:p>
    <w:p w:rsidR="00D46801" w:rsidRPr="009241A3" w:rsidRDefault="00D46801" w:rsidP="003E3DEC">
      <w:pPr>
        <w:shd w:val="clear" w:color="auto" w:fill="FFFFFF"/>
        <w:spacing w:line="240" w:lineRule="auto"/>
        <w:rPr>
          <w:rFonts w:cs="Arial"/>
          <w:i/>
          <w:color w:val="000000"/>
          <w:sz w:val="20"/>
          <w:szCs w:val="20"/>
        </w:rPr>
      </w:pPr>
      <w:r>
        <w:rPr>
          <w:rFonts w:cs="Arial"/>
          <w:i/>
          <w:color w:val="000000"/>
          <w:sz w:val="20"/>
          <w:szCs w:val="20"/>
        </w:rPr>
        <w:t>“</w:t>
      </w:r>
      <w:r w:rsidRPr="009241A3">
        <w:rPr>
          <w:rFonts w:cs="Arial"/>
          <w:i/>
          <w:color w:val="000000"/>
          <w:sz w:val="20"/>
          <w:szCs w:val="20"/>
        </w:rPr>
        <w:t>1. Las leyes concernientes al modo de reclamar en juicio los derechos que resultaren del contrato, y</w:t>
      </w:r>
      <w:r>
        <w:rPr>
          <w:rFonts w:cs="Arial"/>
          <w:i/>
          <w:color w:val="000000"/>
          <w:sz w:val="20"/>
          <w:szCs w:val="20"/>
        </w:rPr>
        <w:t xml:space="preserve">, </w:t>
      </w:r>
      <w:r w:rsidRPr="009241A3">
        <w:rPr>
          <w:rFonts w:cs="Arial"/>
          <w:i/>
          <w:color w:val="000000"/>
          <w:sz w:val="20"/>
          <w:szCs w:val="20"/>
        </w:rPr>
        <w:t>2. Las que señalan penas para el caso de infracción de lo estipulado; la cual infracción será castigada con arreglo á la ley bajo la cual se hubiere cometido</w:t>
      </w:r>
      <w:r>
        <w:rPr>
          <w:rFonts w:cs="Arial"/>
          <w:i/>
          <w:color w:val="000000"/>
          <w:sz w:val="20"/>
          <w:szCs w:val="20"/>
        </w:rPr>
        <w:t>”</w:t>
      </w:r>
      <w:r w:rsidRPr="009241A3">
        <w:rPr>
          <w:rFonts w:cs="Arial"/>
          <w:i/>
          <w:color w:val="000000"/>
          <w:sz w:val="20"/>
          <w:szCs w:val="20"/>
        </w:rPr>
        <w:t>.</w:t>
      </w:r>
    </w:p>
    <w:p w:rsidR="00D46801" w:rsidRPr="009F75D4" w:rsidRDefault="00D46801" w:rsidP="003E3DEC">
      <w:pPr>
        <w:pStyle w:val="Textonotapie"/>
        <w:rPr>
          <w:lang w:val="es-CO"/>
        </w:rPr>
      </w:pPr>
    </w:p>
  </w:footnote>
  <w:footnote w:id="12">
    <w:p w:rsidR="00D46801" w:rsidRDefault="00D46801" w:rsidP="003E3DEC">
      <w:pPr>
        <w:pStyle w:val="Textonotapie"/>
        <w:spacing w:line="240" w:lineRule="auto"/>
        <w:rPr>
          <w:rFonts w:cs="Arial"/>
          <w:i/>
          <w:color w:val="000000"/>
          <w:shd w:val="clear" w:color="auto" w:fill="FFFFFF"/>
        </w:rPr>
      </w:pPr>
      <w:r w:rsidRPr="00F57059">
        <w:rPr>
          <w:rStyle w:val="Refdenotaalpie"/>
          <w:i/>
        </w:rPr>
        <w:footnoteRef/>
      </w:r>
      <w:r w:rsidRPr="00F57059">
        <w:rPr>
          <w:i/>
        </w:rPr>
        <w:t xml:space="preserve"> Ley 153 de 1887. </w:t>
      </w:r>
      <w:r>
        <w:rPr>
          <w:i/>
        </w:rPr>
        <w:t>“</w:t>
      </w:r>
      <w:r w:rsidRPr="00F57059">
        <w:rPr>
          <w:rFonts w:cs="Arial"/>
          <w:bCs/>
          <w:i/>
          <w:color w:val="000000"/>
          <w:shd w:val="clear" w:color="auto" w:fill="FFFFFF"/>
        </w:rPr>
        <w:t>Artículo 40</w:t>
      </w:r>
      <w:r>
        <w:rPr>
          <w:rFonts w:cs="Arial"/>
          <w:bCs/>
          <w:i/>
          <w:color w:val="000000"/>
          <w:shd w:val="clear" w:color="auto" w:fill="FFFFFF"/>
        </w:rPr>
        <w:t xml:space="preserve"> </w:t>
      </w:r>
      <w:r w:rsidRPr="00F57059">
        <w:rPr>
          <w:rFonts w:cs="Arial"/>
          <w:i/>
          <w:color w:val="000000"/>
          <w:shd w:val="clear" w:color="auto" w:fill="FFFFFF"/>
        </w:rPr>
        <w:t>(modificado por el artículo 624 del Código General del Proceso</w:t>
      </w:r>
      <w:r>
        <w:rPr>
          <w:rFonts w:cs="Arial"/>
          <w:i/>
          <w:color w:val="000000"/>
          <w:shd w:val="clear" w:color="auto" w:fill="FFFFFF"/>
        </w:rPr>
        <w:t>).</w:t>
      </w:r>
      <w:r w:rsidRPr="00F57059">
        <w:rPr>
          <w:rFonts w:cs="Arial"/>
          <w:i/>
          <w:color w:val="000000"/>
          <w:shd w:val="clear" w:color="auto" w:fill="FFFFFF"/>
        </w:rPr>
        <w:t xml:space="preserve"> </w:t>
      </w:r>
      <w:r>
        <w:rPr>
          <w:rFonts w:cs="Arial"/>
          <w:i/>
          <w:color w:val="000000"/>
          <w:shd w:val="clear" w:color="auto" w:fill="FFFFFF"/>
        </w:rPr>
        <w:t>“</w:t>
      </w:r>
      <w:r w:rsidRPr="00F57059">
        <w:rPr>
          <w:rFonts w:cs="Arial"/>
          <w:i/>
          <w:color w:val="000000"/>
          <w:shd w:val="clear" w:color="auto" w:fill="FFFFFF"/>
        </w:rPr>
        <w:t xml:space="preserve">Las leyes concernientes a la sustanciación y ritualidad de los juicios prevalecen sobre las anteriores desde el momento en que deben empezar a regir. </w:t>
      </w:r>
    </w:p>
    <w:p w:rsidR="00D46801" w:rsidRDefault="00D46801" w:rsidP="003E3DEC">
      <w:pPr>
        <w:pStyle w:val="Textonotapie"/>
        <w:spacing w:line="240" w:lineRule="auto"/>
        <w:rPr>
          <w:rFonts w:cs="Arial"/>
          <w:i/>
          <w:color w:val="000000"/>
        </w:rPr>
      </w:pPr>
    </w:p>
    <w:p w:rsidR="00D46801" w:rsidRDefault="00D46801" w:rsidP="003E3DEC">
      <w:pPr>
        <w:pStyle w:val="Textonotapie"/>
        <w:spacing w:line="240" w:lineRule="auto"/>
        <w:rPr>
          <w:rFonts w:cs="Arial"/>
          <w:i/>
          <w:color w:val="000000"/>
        </w:rPr>
      </w:pPr>
      <w:r>
        <w:rPr>
          <w:rFonts w:cs="Arial"/>
          <w:i/>
          <w:color w:val="000000"/>
        </w:rPr>
        <w:t>“</w:t>
      </w:r>
      <w:r w:rsidRPr="00DA3C85">
        <w:rPr>
          <w:rFonts w:cs="Arial"/>
          <w:i/>
          <w:color w:val="000000"/>
        </w:rPr>
        <w:t xml:space="preserve">Sin embargo, los recursos interpuestos, la práctica de pruebas decretadas, las audiencias convocadas, las diligencias iniciadas, </w:t>
      </w:r>
      <w:r w:rsidRPr="00DA3C85">
        <w:rPr>
          <w:rFonts w:cs="Arial"/>
          <w:b/>
          <w:i/>
          <w:color w:val="000000"/>
        </w:rPr>
        <w:t>los términos que hubieren comenzado a correr</w:t>
      </w:r>
      <w:r w:rsidRPr="00DA3C85">
        <w:rPr>
          <w:rFonts w:cs="Arial"/>
          <w:i/>
          <w:color w:val="000000"/>
        </w:rPr>
        <w:t xml:space="preserve">, los incidentes en curso y las notificaciones que se estén surtiendo, </w:t>
      </w:r>
      <w:r w:rsidRPr="00292885">
        <w:rPr>
          <w:rFonts w:cs="Arial"/>
          <w:b/>
          <w:i/>
          <w:color w:val="000000"/>
        </w:rPr>
        <w:t>se regirán por las leyes vigentes cuando</w:t>
      </w:r>
      <w:r w:rsidRPr="00DA3C85">
        <w:rPr>
          <w:rFonts w:cs="Arial"/>
          <w:i/>
          <w:color w:val="000000"/>
        </w:rPr>
        <w:t xml:space="preserve"> se interpusieron los recursos, se decretaron las pruebas, se iniciaron las audiencias o diligencias, </w:t>
      </w:r>
      <w:r w:rsidRPr="00DA3C85">
        <w:rPr>
          <w:rFonts w:cs="Arial"/>
          <w:b/>
          <w:i/>
          <w:color w:val="000000"/>
        </w:rPr>
        <w:t>empezaron a correr los términos</w:t>
      </w:r>
      <w:r w:rsidRPr="00DA3C85">
        <w:rPr>
          <w:rFonts w:cs="Arial"/>
          <w:i/>
          <w:color w:val="000000"/>
        </w:rPr>
        <w:t>, se promovieron los incidentes o comenzaron a surtirse las notificaciones.</w:t>
      </w:r>
    </w:p>
    <w:p w:rsidR="00D46801" w:rsidRDefault="00D46801" w:rsidP="003E3DEC">
      <w:pPr>
        <w:pStyle w:val="Textonotapie"/>
        <w:spacing w:line="240" w:lineRule="auto"/>
        <w:rPr>
          <w:rFonts w:cs="Arial"/>
          <w:i/>
          <w:color w:val="000000"/>
        </w:rPr>
      </w:pPr>
    </w:p>
    <w:p w:rsidR="00D46801" w:rsidRPr="006A2947" w:rsidRDefault="00D46801" w:rsidP="003E3DEC">
      <w:pPr>
        <w:pStyle w:val="Textonotapie"/>
        <w:spacing w:line="240" w:lineRule="auto"/>
        <w:rPr>
          <w:rFonts w:cs="Arial"/>
          <w:color w:val="000000"/>
          <w:shd w:val="clear" w:color="auto" w:fill="FFFFFF"/>
        </w:rPr>
      </w:pPr>
      <w:r>
        <w:rPr>
          <w:rFonts w:cs="Arial"/>
          <w:i/>
          <w:color w:val="000000"/>
        </w:rPr>
        <w:t>“</w:t>
      </w:r>
      <w:r w:rsidRPr="00DA3C85">
        <w:rPr>
          <w:rFonts w:cs="Arial"/>
          <w:i/>
          <w:color w:val="000000"/>
        </w:rPr>
        <w:t>La competencia para tramitar el proceso se regirá por la legislación vigente en el momento de formulación de la demanda con que se promueva, salvo que la ley elimine dicha autoridad".</w:t>
      </w:r>
      <w:r>
        <w:rPr>
          <w:rFonts w:cs="Arial"/>
          <w:i/>
          <w:color w:val="000000"/>
        </w:rPr>
        <w:t xml:space="preserve"> </w:t>
      </w:r>
      <w:r w:rsidRPr="006A2947">
        <w:rPr>
          <w:rFonts w:cs="Arial"/>
          <w:color w:val="000000"/>
        </w:rPr>
        <w:t>(La negrilla no es del texto)</w:t>
      </w:r>
      <w:r w:rsidRPr="006A2947">
        <w:rPr>
          <w:rFonts w:cs="Arial"/>
          <w:color w:val="000000"/>
          <w:shd w:val="clear" w:color="auto" w:fill="FFFFFF"/>
        </w:rPr>
        <w:t>.</w:t>
      </w:r>
    </w:p>
    <w:p w:rsidR="00D46801" w:rsidRPr="000413D0" w:rsidRDefault="00D46801" w:rsidP="003E3DEC">
      <w:pPr>
        <w:pStyle w:val="Textonotapie"/>
        <w:spacing w:line="240" w:lineRule="auto"/>
        <w:rPr>
          <w:i/>
          <w:lang w:val="es-CO"/>
        </w:rPr>
      </w:pPr>
    </w:p>
  </w:footnote>
  <w:footnote w:id="13">
    <w:p w:rsidR="00D46801" w:rsidRPr="00442A53" w:rsidRDefault="00D46801" w:rsidP="003E3DEC">
      <w:pPr>
        <w:spacing w:line="240" w:lineRule="auto"/>
        <w:rPr>
          <w:rFonts w:cs="Arial"/>
          <w:sz w:val="20"/>
          <w:szCs w:val="20"/>
        </w:rPr>
      </w:pPr>
      <w:r w:rsidRPr="00E76ACE">
        <w:rPr>
          <w:rStyle w:val="Refdenotaalpie"/>
          <w:rFonts w:cs="Arial"/>
          <w:sz w:val="20"/>
          <w:szCs w:val="20"/>
        </w:rPr>
        <w:footnoteRef/>
      </w:r>
      <w:r w:rsidRPr="00E76ACE">
        <w:rPr>
          <w:rFonts w:cs="Arial"/>
          <w:sz w:val="20"/>
          <w:szCs w:val="20"/>
        </w:rPr>
        <w:t xml:space="preserve"> Consejo </w:t>
      </w:r>
      <w:r>
        <w:rPr>
          <w:rFonts w:cs="Arial"/>
          <w:sz w:val="20"/>
          <w:szCs w:val="20"/>
        </w:rPr>
        <w:t>d</w:t>
      </w:r>
      <w:r w:rsidRPr="00E76ACE">
        <w:rPr>
          <w:rFonts w:cs="Arial"/>
          <w:sz w:val="20"/>
          <w:szCs w:val="20"/>
        </w:rPr>
        <w:t xml:space="preserve">e Estado, Sala </w:t>
      </w:r>
      <w:r>
        <w:rPr>
          <w:rFonts w:cs="Arial"/>
          <w:sz w:val="20"/>
          <w:szCs w:val="20"/>
        </w:rPr>
        <w:t>d</w:t>
      </w:r>
      <w:r w:rsidRPr="00E76ACE">
        <w:rPr>
          <w:rFonts w:cs="Arial"/>
          <w:sz w:val="20"/>
          <w:szCs w:val="20"/>
        </w:rPr>
        <w:t xml:space="preserve">e </w:t>
      </w:r>
      <w:r>
        <w:rPr>
          <w:rFonts w:cs="Arial"/>
          <w:sz w:val="20"/>
          <w:szCs w:val="20"/>
        </w:rPr>
        <w:t>l</w:t>
      </w:r>
      <w:r w:rsidRPr="00E76ACE">
        <w:rPr>
          <w:rFonts w:cs="Arial"/>
          <w:sz w:val="20"/>
          <w:szCs w:val="20"/>
        </w:rPr>
        <w:t>o Contencioso Administrativo, Sección Tercera, Subsecci</w:t>
      </w:r>
      <w:r>
        <w:rPr>
          <w:rFonts w:cs="Arial"/>
          <w:sz w:val="20"/>
          <w:szCs w:val="20"/>
        </w:rPr>
        <w:t>ó</w:t>
      </w:r>
      <w:r w:rsidRPr="00E76ACE">
        <w:rPr>
          <w:rFonts w:cs="Arial"/>
          <w:sz w:val="20"/>
          <w:szCs w:val="20"/>
        </w:rPr>
        <w:t xml:space="preserve">n A, Consejero Ponente: Carlos Alberto Zambrano Barrera, </w:t>
      </w:r>
      <w:r>
        <w:rPr>
          <w:rFonts w:cs="Arial"/>
          <w:sz w:val="20"/>
          <w:szCs w:val="20"/>
        </w:rPr>
        <w:t>s</w:t>
      </w:r>
      <w:r w:rsidRPr="00E76ACE">
        <w:rPr>
          <w:rFonts w:cs="Arial"/>
          <w:sz w:val="20"/>
          <w:szCs w:val="20"/>
        </w:rPr>
        <w:t xml:space="preserve">entencia </w:t>
      </w:r>
      <w:r>
        <w:rPr>
          <w:rFonts w:cs="Arial"/>
          <w:sz w:val="20"/>
          <w:szCs w:val="20"/>
        </w:rPr>
        <w:t>d</w:t>
      </w:r>
      <w:r w:rsidRPr="00E76ACE">
        <w:rPr>
          <w:rFonts w:cs="Arial"/>
          <w:sz w:val="20"/>
          <w:szCs w:val="20"/>
        </w:rPr>
        <w:t xml:space="preserve">e 9 </w:t>
      </w:r>
      <w:r>
        <w:rPr>
          <w:rFonts w:cs="Arial"/>
          <w:sz w:val="20"/>
          <w:szCs w:val="20"/>
        </w:rPr>
        <w:t>d</w:t>
      </w:r>
      <w:r w:rsidRPr="00E76ACE">
        <w:rPr>
          <w:rFonts w:cs="Arial"/>
          <w:sz w:val="20"/>
          <w:szCs w:val="20"/>
        </w:rPr>
        <w:t xml:space="preserve">e </w:t>
      </w:r>
      <w:r>
        <w:rPr>
          <w:rFonts w:cs="Arial"/>
          <w:sz w:val="20"/>
          <w:szCs w:val="20"/>
        </w:rPr>
        <w:t>o</w:t>
      </w:r>
      <w:r w:rsidRPr="00E76ACE">
        <w:rPr>
          <w:rFonts w:cs="Arial"/>
          <w:sz w:val="20"/>
          <w:szCs w:val="20"/>
        </w:rPr>
        <w:t xml:space="preserve">ctubre </w:t>
      </w:r>
      <w:r>
        <w:rPr>
          <w:rFonts w:cs="Arial"/>
          <w:sz w:val="20"/>
          <w:szCs w:val="20"/>
        </w:rPr>
        <w:t>d</w:t>
      </w:r>
      <w:r w:rsidRPr="00E76ACE">
        <w:rPr>
          <w:rFonts w:cs="Arial"/>
          <w:sz w:val="20"/>
          <w:szCs w:val="20"/>
        </w:rPr>
        <w:t xml:space="preserve">e 2013, </w:t>
      </w:r>
      <w:r>
        <w:rPr>
          <w:rFonts w:cs="Arial"/>
          <w:sz w:val="20"/>
          <w:szCs w:val="20"/>
        </w:rPr>
        <w:t>r</w:t>
      </w:r>
      <w:r w:rsidRPr="00E76ACE">
        <w:rPr>
          <w:rFonts w:cs="Arial"/>
          <w:bCs/>
          <w:sz w:val="20"/>
          <w:szCs w:val="20"/>
        </w:rPr>
        <w:t xml:space="preserve">adicación </w:t>
      </w:r>
      <w:r>
        <w:rPr>
          <w:rFonts w:cs="Arial"/>
          <w:bCs/>
          <w:sz w:val="20"/>
          <w:szCs w:val="20"/>
        </w:rPr>
        <w:t>n</w:t>
      </w:r>
      <w:r w:rsidRPr="00E76ACE">
        <w:rPr>
          <w:rFonts w:cs="Arial"/>
          <w:bCs/>
          <w:sz w:val="20"/>
          <w:szCs w:val="20"/>
        </w:rPr>
        <w:t>úmero: 85001-23-31-000-2002-00289</w:t>
      </w:r>
      <w:r w:rsidRPr="00E76ACE">
        <w:rPr>
          <w:rFonts w:cs="Arial"/>
          <w:sz w:val="20"/>
          <w:szCs w:val="20"/>
        </w:rPr>
        <w:t xml:space="preserve">-01(25440), </w:t>
      </w:r>
      <w:r>
        <w:rPr>
          <w:rFonts w:cs="Arial"/>
          <w:sz w:val="20"/>
          <w:szCs w:val="20"/>
        </w:rPr>
        <w:t>a</w:t>
      </w:r>
      <w:r w:rsidRPr="00E76ACE">
        <w:rPr>
          <w:rFonts w:cs="Arial"/>
          <w:sz w:val="20"/>
          <w:szCs w:val="20"/>
        </w:rPr>
        <w:t xml:space="preserve">ctor: Cooperativa </w:t>
      </w:r>
      <w:r>
        <w:rPr>
          <w:rFonts w:cs="Arial"/>
          <w:sz w:val="20"/>
          <w:szCs w:val="20"/>
        </w:rPr>
        <w:t>d</w:t>
      </w:r>
      <w:r w:rsidRPr="00E76ACE">
        <w:rPr>
          <w:rFonts w:cs="Arial"/>
          <w:sz w:val="20"/>
          <w:szCs w:val="20"/>
        </w:rPr>
        <w:t xml:space="preserve">e Desarrollo Territorial – Codeter, </w:t>
      </w:r>
      <w:r>
        <w:rPr>
          <w:rFonts w:cs="Arial"/>
          <w:sz w:val="20"/>
          <w:szCs w:val="20"/>
        </w:rPr>
        <w:t>d</w:t>
      </w:r>
      <w:r w:rsidRPr="00E76ACE">
        <w:rPr>
          <w:rFonts w:cs="Arial"/>
          <w:sz w:val="20"/>
          <w:szCs w:val="20"/>
        </w:rPr>
        <w:t>emandado: Corporaci</w:t>
      </w:r>
      <w:r>
        <w:rPr>
          <w:rFonts w:cs="Arial"/>
          <w:sz w:val="20"/>
          <w:szCs w:val="20"/>
        </w:rPr>
        <w:t>ó</w:t>
      </w:r>
      <w:r w:rsidRPr="00E76ACE">
        <w:rPr>
          <w:rFonts w:cs="Arial"/>
          <w:sz w:val="20"/>
          <w:szCs w:val="20"/>
        </w:rPr>
        <w:t>n Aut</w:t>
      </w:r>
      <w:r>
        <w:rPr>
          <w:rFonts w:cs="Arial"/>
          <w:sz w:val="20"/>
          <w:szCs w:val="20"/>
        </w:rPr>
        <w:t>ó</w:t>
      </w:r>
      <w:r w:rsidRPr="00E76ACE">
        <w:rPr>
          <w:rFonts w:cs="Arial"/>
          <w:sz w:val="20"/>
          <w:szCs w:val="20"/>
        </w:rPr>
        <w:t xml:space="preserve">noma Regional </w:t>
      </w:r>
      <w:r>
        <w:rPr>
          <w:rFonts w:cs="Arial"/>
          <w:sz w:val="20"/>
          <w:szCs w:val="20"/>
        </w:rPr>
        <w:t>d</w:t>
      </w:r>
      <w:r w:rsidRPr="00E76ACE">
        <w:rPr>
          <w:rFonts w:cs="Arial"/>
          <w:sz w:val="20"/>
          <w:szCs w:val="20"/>
        </w:rPr>
        <w:t xml:space="preserve">e </w:t>
      </w:r>
      <w:r>
        <w:rPr>
          <w:rFonts w:cs="Arial"/>
          <w:sz w:val="20"/>
          <w:szCs w:val="20"/>
        </w:rPr>
        <w:t>l</w:t>
      </w:r>
      <w:r w:rsidRPr="00E76ACE">
        <w:rPr>
          <w:rFonts w:cs="Arial"/>
          <w:sz w:val="20"/>
          <w:szCs w:val="20"/>
        </w:rPr>
        <w:t>a Orinoquia</w:t>
      </w:r>
      <w:r>
        <w:rPr>
          <w:rFonts w:cs="Arial"/>
          <w:sz w:val="20"/>
          <w:szCs w:val="20"/>
        </w:rPr>
        <w:t>.</w:t>
      </w:r>
      <w:r w:rsidRPr="00E76ACE">
        <w:rPr>
          <w:rFonts w:cs="Arial"/>
          <w:sz w:val="20"/>
          <w:szCs w:val="20"/>
        </w:rPr>
        <w:t>-</w:t>
      </w:r>
      <w:r>
        <w:rPr>
          <w:rFonts w:cs="Arial"/>
          <w:sz w:val="20"/>
          <w:szCs w:val="20"/>
        </w:rPr>
        <w:t xml:space="preserve"> </w:t>
      </w:r>
      <w:r w:rsidRPr="00E76ACE">
        <w:rPr>
          <w:rFonts w:cs="Arial"/>
          <w:sz w:val="20"/>
          <w:szCs w:val="20"/>
        </w:rPr>
        <w:t>Corporinoqu</w:t>
      </w:r>
      <w:r>
        <w:rPr>
          <w:rFonts w:cs="Arial"/>
          <w:sz w:val="20"/>
          <w:szCs w:val="20"/>
        </w:rPr>
        <w:t>í</w:t>
      </w:r>
      <w:r w:rsidRPr="00E76ACE">
        <w:rPr>
          <w:rFonts w:cs="Arial"/>
          <w:sz w:val="20"/>
          <w:szCs w:val="20"/>
        </w:rPr>
        <w:t>a</w:t>
      </w:r>
      <w:r>
        <w:rPr>
          <w:rFonts w:cs="Arial"/>
          <w:sz w:val="20"/>
          <w:szCs w:val="20"/>
        </w:rPr>
        <w:t xml:space="preserve">; reiterada en la siguiente providencia: </w:t>
      </w:r>
      <w:r w:rsidRPr="00E76ACE">
        <w:rPr>
          <w:rFonts w:cs="Arial"/>
          <w:sz w:val="20"/>
          <w:szCs w:val="20"/>
        </w:rPr>
        <w:t xml:space="preserve">Consejo </w:t>
      </w:r>
      <w:r>
        <w:rPr>
          <w:rFonts w:cs="Arial"/>
          <w:sz w:val="20"/>
          <w:szCs w:val="20"/>
        </w:rPr>
        <w:t>d</w:t>
      </w:r>
      <w:r w:rsidRPr="00E76ACE">
        <w:rPr>
          <w:rFonts w:cs="Arial"/>
          <w:sz w:val="20"/>
          <w:szCs w:val="20"/>
        </w:rPr>
        <w:t xml:space="preserve">e Estado, Sala </w:t>
      </w:r>
      <w:r>
        <w:rPr>
          <w:rFonts w:cs="Arial"/>
          <w:sz w:val="20"/>
          <w:szCs w:val="20"/>
        </w:rPr>
        <w:t>d</w:t>
      </w:r>
      <w:r w:rsidRPr="00E76ACE">
        <w:rPr>
          <w:rFonts w:cs="Arial"/>
          <w:sz w:val="20"/>
          <w:szCs w:val="20"/>
        </w:rPr>
        <w:t xml:space="preserve">e </w:t>
      </w:r>
      <w:r>
        <w:rPr>
          <w:rFonts w:cs="Arial"/>
          <w:sz w:val="20"/>
          <w:szCs w:val="20"/>
        </w:rPr>
        <w:t>l</w:t>
      </w:r>
      <w:r w:rsidRPr="00E76ACE">
        <w:rPr>
          <w:rFonts w:cs="Arial"/>
          <w:sz w:val="20"/>
          <w:szCs w:val="20"/>
        </w:rPr>
        <w:t>o Contencioso Administrativo, Sección Tercera, Subsecci</w:t>
      </w:r>
      <w:r>
        <w:rPr>
          <w:rFonts w:cs="Arial"/>
          <w:sz w:val="20"/>
          <w:szCs w:val="20"/>
        </w:rPr>
        <w:t>ó</w:t>
      </w:r>
      <w:r w:rsidRPr="00E76ACE">
        <w:rPr>
          <w:rFonts w:cs="Arial"/>
          <w:sz w:val="20"/>
          <w:szCs w:val="20"/>
        </w:rPr>
        <w:t>n A, Consejero Ponente</w:t>
      </w:r>
      <w:r>
        <w:rPr>
          <w:rFonts w:cs="Arial"/>
          <w:sz w:val="20"/>
          <w:szCs w:val="20"/>
        </w:rPr>
        <w:t xml:space="preserve">: Hernán Andrade Rincón (e), </w:t>
      </w:r>
      <w:r w:rsidRPr="00442A53">
        <w:rPr>
          <w:rFonts w:cs="Arial"/>
          <w:sz w:val="20"/>
          <w:szCs w:val="20"/>
        </w:rPr>
        <w:t>sentencia de 16 de julio de 2015</w:t>
      </w:r>
      <w:r>
        <w:rPr>
          <w:rFonts w:cs="Arial"/>
          <w:sz w:val="20"/>
          <w:szCs w:val="20"/>
        </w:rPr>
        <w:t>, radicación</w:t>
      </w:r>
      <w:r w:rsidRPr="00442A53">
        <w:rPr>
          <w:rFonts w:cs="Arial"/>
          <w:sz w:val="20"/>
          <w:szCs w:val="20"/>
        </w:rPr>
        <w:t xml:space="preserve"> 25000232600020050017601 (40325), </w:t>
      </w:r>
      <w:r>
        <w:rPr>
          <w:rFonts w:cs="Arial"/>
          <w:sz w:val="20"/>
          <w:szCs w:val="20"/>
        </w:rPr>
        <w:t>d</w:t>
      </w:r>
      <w:r w:rsidRPr="00442A53">
        <w:rPr>
          <w:rFonts w:cs="Arial"/>
          <w:sz w:val="20"/>
          <w:szCs w:val="20"/>
        </w:rPr>
        <w:t>emandante: Ministerio de Agricultura y Desarrollo Rural, demandado: Agropecuaria El Palmarito Limitada y Seguros del Estado S.A.</w:t>
      </w:r>
    </w:p>
    <w:p w:rsidR="00D46801" w:rsidRPr="00E76ACE" w:rsidRDefault="00D46801" w:rsidP="003E3DEC">
      <w:pPr>
        <w:pStyle w:val="Textonotapie"/>
        <w:rPr>
          <w:lang w:val="es-CO"/>
        </w:rPr>
      </w:pPr>
    </w:p>
  </w:footnote>
  <w:footnote w:id="14">
    <w:p w:rsidR="00D46801" w:rsidRPr="00096543" w:rsidRDefault="00D46801" w:rsidP="003E1D0E">
      <w:pPr>
        <w:pStyle w:val="Textonotapie"/>
        <w:spacing w:line="240" w:lineRule="auto"/>
        <w:rPr>
          <w:rFonts w:cs="Arial"/>
          <w:lang w:val="es-CO"/>
        </w:rPr>
      </w:pPr>
      <w:r w:rsidRPr="00096543">
        <w:rPr>
          <w:rStyle w:val="Refdenotaalpie"/>
          <w:rFonts w:cs="Arial"/>
        </w:rPr>
        <w:footnoteRef/>
      </w:r>
      <w:r w:rsidRPr="00096543">
        <w:rPr>
          <w:rFonts w:cs="Arial"/>
        </w:rPr>
        <w:t xml:space="preserve"> Consejo de Estado, Sala de lo Contencioso Administrativo, Sección Tercera, Subsección B, Auto de fecha 5 de marzo de 2015, M.P. Danilo Rojas Betancourth, Exp: 49</w:t>
      </w:r>
      <w:r>
        <w:rPr>
          <w:rFonts w:cs="Arial"/>
        </w:rPr>
        <w:t>.</w:t>
      </w:r>
      <w:r w:rsidRPr="00096543">
        <w:rPr>
          <w:rFonts w:cs="Arial"/>
        </w:rPr>
        <w:t>307.</w:t>
      </w:r>
    </w:p>
  </w:footnote>
  <w:footnote w:id="15">
    <w:p w:rsidR="00D46801" w:rsidRPr="00520814" w:rsidRDefault="00D46801">
      <w:pPr>
        <w:pStyle w:val="Textonotapie"/>
        <w:rPr>
          <w:lang w:val="es-CO"/>
        </w:rPr>
      </w:pPr>
      <w:r>
        <w:rPr>
          <w:rStyle w:val="Refdenotaalpie"/>
        </w:rPr>
        <w:footnoteRef/>
      </w:r>
      <w:r>
        <w:t xml:space="preserve"> </w:t>
      </w:r>
      <w:r>
        <w:rPr>
          <w:lang w:val="es-CO"/>
        </w:rPr>
        <w:t xml:space="preserve">Fls. 20-24 C5. </w:t>
      </w:r>
    </w:p>
  </w:footnote>
  <w:footnote w:id="16">
    <w:p w:rsidR="00D46801" w:rsidRPr="00F21C39" w:rsidRDefault="00D46801" w:rsidP="003A7B98">
      <w:pPr>
        <w:pStyle w:val="Textonotapie"/>
        <w:spacing w:line="240" w:lineRule="auto"/>
        <w:rPr>
          <w:lang w:val="es-CO"/>
        </w:rPr>
      </w:pPr>
      <w:r>
        <w:rPr>
          <w:rStyle w:val="Refdenotaalpie"/>
        </w:rPr>
        <w:footnoteRef/>
      </w:r>
      <w:r>
        <w:t xml:space="preserve"> </w:t>
      </w:r>
      <w:r>
        <w:rPr>
          <w:lang w:val="es-CO"/>
        </w:rPr>
        <w:t xml:space="preserve">Esta regla se mantuvo con la expedición de la Ley 1437 de 2011, con la variación alusiva a que el cómputo de los dos años iniciaría a partir del día siguiente a su perfeccionamiento. </w:t>
      </w:r>
    </w:p>
  </w:footnote>
  <w:footnote w:id="17">
    <w:p w:rsidR="00D46801" w:rsidRDefault="00D46801" w:rsidP="000B4ABA">
      <w:pPr>
        <w:pStyle w:val="Textonotapie"/>
        <w:spacing w:line="240" w:lineRule="auto"/>
        <w:rPr>
          <w:lang w:val="es-CO"/>
        </w:rPr>
      </w:pPr>
      <w:r>
        <w:rPr>
          <w:rStyle w:val="Refdenotaalpie"/>
        </w:rPr>
        <w:footnoteRef/>
      </w:r>
      <w:r>
        <w:t xml:space="preserve"> </w:t>
      </w:r>
      <w:r>
        <w:rPr>
          <w:lang w:val="es-CO"/>
        </w:rPr>
        <w:t>Betancur Jaramillo Carlos, Derecho Procesal Administrativo, Señal Editora, Medellín, Octava Edición, 2013, página 208.</w:t>
      </w:r>
    </w:p>
    <w:p w:rsidR="00D46801" w:rsidRPr="002372D4" w:rsidRDefault="00D46801" w:rsidP="000B4ABA">
      <w:pPr>
        <w:pStyle w:val="Textonotapie"/>
        <w:spacing w:line="240" w:lineRule="auto"/>
        <w:rPr>
          <w:lang w:val="es-CO"/>
        </w:rPr>
      </w:pPr>
    </w:p>
  </w:footnote>
  <w:footnote w:id="18">
    <w:p w:rsidR="00D46801" w:rsidRDefault="00D46801" w:rsidP="00B5485A">
      <w:pPr>
        <w:pStyle w:val="Textonotapie"/>
        <w:spacing w:line="240" w:lineRule="auto"/>
      </w:pPr>
      <w:r>
        <w:rPr>
          <w:rStyle w:val="Refdenotaalpie"/>
        </w:rPr>
        <w:footnoteRef/>
      </w:r>
      <w:r>
        <w:t xml:space="preserve"> C.C.A.</w:t>
      </w:r>
      <w:r w:rsidRPr="00672AB1">
        <w:t xml:space="preserve"> “</w:t>
      </w:r>
      <w:r w:rsidRPr="00EB50EA">
        <w:rPr>
          <w:b/>
          <w:i/>
        </w:rPr>
        <w:t>Artículo 87. De las controversias contractuales</w:t>
      </w:r>
      <w:r w:rsidRPr="00EB50EA">
        <w:rPr>
          <w:i/>
        </w:rPr>
        <w:t xml:space="preserve">. </w:t>
      </w:r>
      <w:r w:rsidRPr="00EB50EA">
        <w:rPr>
          <w:rFonts w:cs="Arial"/>
          <w:i/>
        </w:rPr>
        <w:t>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r>
        <w:rPr>
          <w:rFonts w:cs="Arial"/>
        </w:rPr>
        <w:t>”.</w:t>
      </w:r>
    </w:p>
    <w:p w:rsidR="00D46801" w:rsidRDefault="00D46801" w:rsidP="00B5485A">
      <w:pPr>
        <w:pStyle w:val="Textonotapie"/>
        <w:spacing w:line="240" w:lineRule="auto"/>
      </w:pPr>
    </w:p>
    <w:p w:rsidR="00D46801" w:rsidRDefault="00D46801" w:rsidP="00B5485A">
      <w:pPr>
        <w:pStyle w:val="Textonotapie"/>
        <w:spacing w:line="240" w:lineRule="auto"/>
      </w:pPr>
    </w:p>
    <w:p w:rsidR="00D46801" w:rsidRPr="00B5485A" w:rsidRDefault="00D46801" w:rsidP="00B5485A">
      <w:pPr>
        <w:pStyle w:val="Textonotapie"/>
        <w:spacing w:line="240" w:lineRule="auto"/>
        <w:rPr>
          <w:i/>
          <w:lang w:val="es-CO"/>
        </w:rPr>
      </w:pPr>
      <w:r>
        <w:rPr>
          <w:lang w:val="es-CO"/>
        </w:rPr>
        <w:t>C.P.A.C.A</w:t>
      </w:r>
      <w:r w:rsidRPr="00672AB1">
        <w:rPr>
          <w:i/>
          <w:lang w:val="es-CO"/>
        </w:rPr>
        <w:t>.</w:t>
      </w:r>
      <w:r w:rsidRPr="00672AB1">
        <w:rPr>
          <w:rFonts w:cs="Arial"/>
          <w:bCs/>
          <w:i/>
        </w:rPr>
        <w:t xml:space="preserve"> “</w:t>
      </w:r>
      <w:r w:rsidRPr="00B5485A">
        <w:rPr>
          <w:rFonts w:cs="Arial"/>
          <w:b/>
          <w:bCs/>
          <w:i/>
        </w:rPr>
        <w:t xml:space="preserve">Artículo 141. </w:t>
      </w:r>
      <w:r w:rsidRPr="00B5485A">
        <w:rPr>
          <w:rFonts w:cs="Arial"/>
          <w:b/>
          <w:bCs/>
          <w:i/>
          <w:iCs/>
        </w:rPr>
        <w:t>Controversias contractuales.</w:t>
      </w:r>
      <w:r w:rsidRPr="00B5485A">
        <w:rPr>
          <w:rFonts w:cs="Arial"/>
          <w:i/>
          <w:iCs/>
        </w:rPr>
        <w:t xml:space="preserve"> </w:t>
      </w:r>
      <w:r w:rsidRPr="00B5485A">
        <w:rPr>
          <w:rFonts w:cs="Arial"/>
          <w:i/>
        </w:rPr>
        <w:t>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footnote>
  <w:footnote w:id="19">
    <w:p w:rsidR="00D46801" w:rsidRPr="00651990" w:rsidRDefault="00D46801" w:rsidP="00821F2D">
      <w:pPr>
        <w:pStyle w:val="Textonotapie"/>
        <w:spacing w:line="240" w:lineRule="auto"/>
        <w:rPr>
          <w:rFonts w:cs="Arial"/>
          <w:lang w:val="es-CO"/>
        </w:rPr>
      </w:pPr>
      <w:r w:rsidRPr="0003360A">
        <w:rPr>
          <w:rStyle w:val="Refdenotaalpie"/>
          <w:rFonts w:cs="Arial"/>
        </w:rPr>
        <w:footnoteRef/>
      </w:r>
      <w:r w:rsidRPr="0003360A">
        <w:rPr>
          <w:rFonts w:cs="Arial"/>
        </w:rPr>
        <w:t xml:space="preserve"> </w:t>
      </w:r>
      <w:r w:rsidRPr="0003360A">
        <w:rPr>
          <w:rFonts w:cs="Arial"/>
          <w:lang w:val="es-CO"/>
        </w:rPr>
        <w:t>Corte Suprema de Justicia, Sala de Casación Civil, 19 de septiembre de 2009, Exp. 2003-00318, M.P. William Namén Vargas. “</w:t>
      </w:r>
      <w:r w:rsidRPr="0003360A">
        <w:rPr>
          <w:rFonts w:cs="Arial"/>
          <w:bCs/>
          <w:i/>
          <w:lang w:val="es-ES_tradnl"/>
        </w:rPr>
        <w:t>Tal hermenéutica edifica la errónea interpretación de la demanda imputada al tribunal por desconocer que la súplica subsidiaria no era una ‘pretensión autónoma, sino una pretensión accesoria o sucesiva o consecuencial”, necesariamente ligada al pedimento principal y a su prosperidad, ya que “la demanda plantea ‘varias súplicas fincadas en la misma ‘causa petendi’</w:t>
      </w:r>
      <w:r w:rsidRPr="0003360A">
        <w:rPr>
          <w:rFonts w:cs="Arial"/>
          <w:bCs/>
          <w:lang w:val="es-ES_tradnl"/>
        </w:rPr>
        <w:t>”.</w:t>
      </w:r>
      <w:r w:rsidRPr="00651990">
        <w:rPr>
          <w:rFonts w:cs="Arial"/>
          <w:lang w:val="es-CO"/>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801" w:rsidRDefault="00D46801"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801" w:rsidRDefault="00D46801" w:rsidP="00643457">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801" w:rsidRDefault="00C624E6">
    <w:pPr>
      <w:pStyle w:val="Encabezado"/>
    </w:pPr>
    <w:r w:rsidRPr="00170ABD">
      <w:rPr>
        <w:noProof/>
        <w:lang w:val="en-US" w:eastAsia="en-US"/>
      </w:rPr>
      <w:drawing>
        <wp:inline distT="0" distB="0" distL="0" distR="0">
          <wp:extent cx="895350" cy="8191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FCED8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763F6D"/>
    <w:multiLevelType w:val="hybridMultilevel"/>
    <w:tmpl w:val="2F58B8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C6A51"/>
    <w:multiLevelType w:val="hybridMultilevel"/>
    <w:tmpl w:val="CBCAB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E12B6E"/>
    <w:multiLevelType w:val="hybridMultilevel"/>
    <w:tmpl w:val="EE8E43B2"/>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0E4A"/>
    <w:multiLevelType w:val="hybridMultilevel"/>
    <w:tmpl w:val="BFF00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E96252"/>
    <w:multiLevelType w:val="hybridMultilevel"/>
    <w:tmpl w:val="78524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2E1D56"/>
    <w:multiLevelType w:val="hybridMultilevel"/>
    <w:tmpl w:val="5F2A3B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9B5613"/>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0415E2"/>
    <w:multiLevelType w:val="hybridMultilevel"/>
    <w:tmpl w:val="9DB22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143E6E"/>
    <w:multiLevelType w:val="hybridMultilevel"/>
    <w:tmpl w:val="879E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5FD0278"/>
    <w:multiLevelType w:val="hybridMultilevel"/>
    <w:tmpl w:val="92261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3"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4"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DB6EC4"/>
    <w:multiLevelType w:val="hybridMultilevel"/>
    <w:tmpl w:val="2B6E74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B91CE1"/>
    <w:multiLevelType w:val="hybridMultilevel"/>
    <w:tmpl w:val="C972BC04"/>
    <w:lvl w:ilvl="0" w:tplc="DF067BCC">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DA805A8"/>
    <w:multiLevelType w:val="multilevel"/>
    <w:tmpl w:val="D8469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39D103A"/>
    <w:multiLevelType w:val="hybridMultilevel"/>
    <w:tmpl w:val="D5A84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7BD5CFD"/>
    <w:multiLevelType w:val="hybridMultilevel"/>
    <w:tmpl w:val="60ECAD86"/>
    <w:lvl w:ilvl="0" w:tplc="3E6C31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237F04"/>
    <w:multiLevelType w:val="multilevel"/>
    <w:tmpl w:val="032035D4"/>
    <w:lvl w:ilvl="0">
      <w:start w:val="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7B70DC"/>
    <w:multiLevelType w:val="hybridMultilevel"/>
    <w:tmpl w:val="95068F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D6B14AA"/>
    <w:multiLevelType w:val="hybridMultilevel"/>
    <w:tmpl w:val="DF8EF766"/>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B2113DF"/>
    <w:multiLevelType w:val="hybridMultilevel"/>
    <w:tmpl w:val="F27405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B7C4BDF"/>
    <w:multiLevelType w:val="hybridMultilevel"/>
    <w:tmpl w:val="55B0A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276A01"/>
    <w:multiLevelType w:val="hybridMultilevel"/>
    <w:tmpl w:val="24765050"/>
    <w:lvl w:ilvl="0" w:tplc="3B64E950">
      <w:start w:val="1"/>
      <w:numFmt w:val="decimal"/>
      <w:lvlText w:val="%1."/>
      <w:lvlJc w:val="left"/>
      <w:pPr>
        <w:ind w:left="765" w:hanging="40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37090B"/>
    <w:multiLevelType w:val="multilevel"/>
    <w:tmpl w:val="4B86AA2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8390761"/>
    <w:multiLevelType w:val="hybridMultilevel"/>
    <w:tmpl w:val="8A181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21"/>
  </w:num>
  <w:num w:numId="4">
    <w:abstractNumId w:val="12"/>
  </w:num>
  <w:num w:numId="5">
    <w:abstractNumId w:val="13"/>
  </w:num>
  <w:num w:numId="6">
    <w:abstractNumId w:val="4"/>
  </w:num>
  <w:num w:numId="7">
    <w:abstractNumId w:val="23"/>
  </w:num>
  <w:num w:numId="8">
    <w:abstractNumId w:val="20"/>
  </w:num>
  <w:num w:numId="9">
    <w:abstractNumId w:val="3"/>
  </w:num>
  <w:num w:numId="10">
    <w:abstractNumId w:val="17"/>
  </w:num>
  <w:num w:numId="11">
    <w:abstractNumId w:val="0"/>
  </w:num>
  <w:num w:numId="12">
    <w:abstractNumId w:val="26"/>
  </w:num>
  <w:num w:numId="13">
    <w:abstractNumId w:val="16"/>
  </w:num>
  <w:num w:numId="14">
    <w:abstractNumId w:val="11"/>
  </w:num>
  <w:num w:numId="15">
    <w:abstractNumId w:val="15"/>
  </w:num>
  <w:num w:numId="16">
    <w:abstractNumId w:val="8"/>
  </w:num>
  <w:num w:numId="17">
    <w:abstractNumId w:val="1"/>
  </w:num>
  <w:num w:numId="18">
    <w:abstractNumId w:val="24"/>
  </w:num>
  <w:num w:numId="19">
    <w:abstractNumId w:val="7"/>
  </w:num>
  <w:num w:numId="20">
    <w:abstractNumId w:val="22"/>
  </w:num>
  <w:num w:numId="21">
    <w:abstractNumId w:val="19"/>
  </w:num>
  <w:num w:numId="22">
    <w:abstractNumId w:val="6"/>
  </w:num>
  <w:num w:numId="23">
    <w:abstractNumId w:val="9"/>
  </w:num>
  <w:num w:numId="24">
    <w:abstractNumId w:val="18"/>
  </w:num>
  <w:num w:numId="25">
    <w:abstractNumId w:val="5"/>
  </w:num>
  <w:num w:numId="26">
    <w:abstractNumId w:val="27"/>
  </w:num>
  <w:num w:numId="27">
    <w:abstractNumId w:val="2"/>
  </w:num>
  <w:num w:numId="28">
    <w:abstractNumId w:val="10"/>
  </w:num>
  <w:num w:numId="29">
    <w:abstractNumId w:val="28"/>
  </w:num>
  <w:num w:numId="30">
    <w:abstractNumId w:val="29"/>
  </w:num>
  <w:num w:numId="31">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4FE"/>
    <w:rsid w:val="0000071A"/>
    <w:rsid w:val="0000092F"/>
    <w:rsid w:val="00000AF9"/>
    <w:rsid w:val="00000F07"/>
    <w:rsid w:val="00001637"/>
    <w:rsid w:val="00001679"/>
    <w:rsid w:val="0000180C"/>
    <w:rsid w:val="00001F90"/>
    <w:rsid w:val="000022AF"/>
    <w:rsid w:val="0000284A"/>
    <w:rsid w:val="00002C1D"/>
    <w:rsid w:val="00002E38"/>
    <w:rsid w:val="00003317"/>
    <w:rsid w:val="00003330"/>
    <w:rsid w:val="0000356C"/>
    <w:rsid w:val="00003649"/>
    <w:rsid w:val="000036B8"/>
    <w:rsid w:val="000039FF"/>
    <w:rsid w:val="000041F0"/>
    <w:rsid w:val="00004597"/>
    <w:rsid w:val="00004616"/>
    <w:rsid w:val="000049E1"/>
    <w:rsid w:val="00004C66"/>
    <w:rsid w:val="00004D4F"/>
    <w:rsid w:val="00005E16"/>
    <w:rsid w:val="0000645D"/>
    <w:rsid w:val="00006BE4"/>
    <w:rsid w:val="000072F1"/>
    <w:rsid w:val="00010098"/>
    <w:rsid w:val="00010345"/>
    <w:rsid w:val="000104E1"/>
    <w:rsid w:val="000107A5"/>
    <w:rsid w:val="00010DB5"/>
    <w:rsid w:val="00010FBE"/>
    <w:rsid w:val="00011931"/>
    <w:rsid w:val="00011C10"/>
    <w:rsid w:val="00011C9F"/>
    <w:rsid w:val="00011D33"/>
    <w:rsid w:val="000123DA"/>
    <w:rsid w:val="00013063"/>
    <w:rsid w:val="00013406"/>
    <w:rsid w:val="00013E02"/>
    <w:rsid w:val="00013EC4"/>
    <w:rsid w:val="00013F02"/>
    <w:rsid w:val="000142B2"/>
    <w:rsid w:val="000143F4"/>
    <w:rsid w:val="00014595"/>
    <w:rsid w:val="000148A2"/>
    <w:rsid w:val="0001495C"/>
    <w:rsid w:val="00014BED"/>
    <w:rsid w:val="000150BD"/>
    <w:rsid w:val="000151C6"/>
    <w:rsid w:val="000152A8"/>
    <w:rsid w:val="00015C11"/>
    <w:rsid w:val="00015C4E"/>
    <w:rsid w:val="00016088"/>
    <w:rsid w:val="000162E7"/>
    <w:rsid w:val="0001656D"/>
    <w:rsid w:val="0001657D"/>
    <w:rsid w:val="00016873"/>
    <w:rsid w:val="00016880"/>
    <w:rsid w:val="00016A5C"/>
    <w:rsid w:val="00016B27"/>
    <w:rsid w:val="00016B62"/>
    <w:rsid w:val="0001706A"/>
    <w:rsid w:val="00017F4B"/>
    <w:rsid w:val="000203FE"/>
    <w:rsid w:val="00020AE9"/>
    <w:rsid w:val="00020BB0"/>
    <w:rsid w:val="00020E94"/>
    <w:rsid w:val="00020F51"/>
    <w:rsid w:val="00021148"/>
    <w:rsid w:val="00021209"/>
    <w:rsid w:val="00021342"/>
    <w:rsid w:val="00021769"/>
    <w:rsid w:val="000217FD"/>
    <w:rsid w:val="00021A58"/>
    <w:rsid w:val="00022076"/>
    <w:rsid w:val="00022841"/>
    <w:rsid w:val="0002287B"/>
    <w:rsid w:val="00022F79"/>
    <w:rsid w:val="00022FF3"/>
    <w:rsid w:val="00023005"/>
    <w:rsid w:val="0002326F"/>
    <w:rsid w:val="000232F7"/>
    <w:rsid w:val="0002353C"/>
    <w:rsid w:val="00023675"/>
    <w:rsid w:val="000239D7"/>
    <w:rsid w:val="00023EB5"/>
    <w:rsid w:val="00024457"/>
    <w:rsid w:val="00024662"/>
    <w:rsid w:val="00024A86"/>
    <w:rsid w:val="00024D4D"/>
    <w:rsid w:val="0002571A"/>
    <w:rsid w:val="00025A21"/>
    <w:rsid w:val="00025C0C"/>
    <w:rsid w:val="00025C65"/>
    <w:rsid w:val="00025C7D"/>
    <w:rsid w:val="00025FB8"/>
    <w:rsid w:val="000260FB"/>
    <w:rsid w:val="000262BF"/>
    <w:rsid w:val="000263A9"/>
    <w:rsid w:val="00026A64"/>
    <w:rsid w:val="00027837"/>
    <w:rsid w:val="00027A49"/>
    <w:rsid w:val="0003004D"/>
    <w:rsid w:val="00030283"/>
    <w:rsid w:val="00030C59"/>
    <w:rsid w:val="000314FF"/>
    <w:rsid w:val="00031536"/>
    <w:rsid w:val="00031561"/>
    <w:rsid w:val="000315AA"/>
    <w:rsid w:val="00031B5F"/>
    <w:rsid w:val="00031F50"/>
    <w:rsid w:val="000320EB"/>
    <w:rsid w:val="000321D5"/>
    <w:rsid w:val="000323EA"/>
    <w:rsid w:val="000324F3"/>
    <w:rsid w:val="0003274F"/>
    <w:rsid w:val="00032C85"/>
    <w:rsid w:val="00032CC9"/>
    <w:rsid w:val="00032E77"/>
    <w:rsid w:val="00032F97"/>
    <w:rsid w:val="0003316F"/>
    <w:rsid w:val="00033185"/>
    <w:rsid w:val="0003360A"/>
    <w:rsid w:val="00033707"/>
    <w:rsid w:val="00033A87"/>
    <w:rsid w:val="00033E47"/>
    <w:rsid w:val="00033EB5"/>
    <w:rsid w:val="0003415B"/>
    <w:rsid w:val="00034270"/>
    <w:rsid w:val="000342B6"/>
    <w:rsid w:val="00034796"/>
    <w:rsid w:val="00035DEC"/>
    <w:rsid w:val="00035DF0"/>
    <w:rsid w:val="0003603A"/>
    <w:rsid w:val="0003632B"/>
    <w:rsid w:val="0003635B"/>
    <w:rsid w:val="00036854"/>
    <w:rsid w:val="00036969"/>
    <w:rsid w:val="00036F1E"/>
    <w:rsid w:val="00037440"/>
    <w:rsid w:val="000374A0"/>
    <w:rsid w:val="00037D4F"/>
    <w:rsid w:val="00037EE8"/>
    <w:rsid w:val="000404A5"/>
    <w:rsid w:val="000404C9"/>
    <w:rsid w:val="00040639"/>
    <w:rsid w:val="00040A0A"/>
    <w:rsid w:val="00040B33"/>
    <w:rsid w:val="00040E57"/>
    <w:rsid w:val="00041167"/>
    <w:rsid w:val="00041502"/>
    <w:rsid w:val="00041689"/>
    <w:rsid w:val="00041B9B"/>
    <w:rsid w:val="00041D8F"/>
    <w:rsid w:val="00042364"/>
    <w:rsid w:val="0004298E"/>
    <w:rsid w:val="00042AFC"/>
    <w:rsid w:val="00043644"/>
    <w:rsid w:val="000439A7"/>
    <w:rsid w:val="00043C28"/>
    <w:rsid w:val="000442CE"/>
    <w:rsid w:val="00044A46"/>
    <w:rsid w:val="00044ABB"/>
    <w:rsid w:val="00044E26"/>
    <w:rsid w:val="00044F75"/>
    <w:rsid w:val="00045157"/>
    <w:rsid w:val="00045251"/>
    <w:rsid w:val="0004539B"/>
    <w:rsid w:val="00045754"/>
    <w:rsid w:val="00045C62"/>
    <w:rsid w:val="00045C63"/>
    <w:rsid w:val="00045E7D"/>
    <w:rsid w:val="00045FA8"/>
    <w:rsid w:val="000460C4"/>
    <w:rsid w:val="0004636C"/>
    <w:rsid w:val="00046959"/>
    <w:rsid w:val="00046CF7"/>
    <w:rsid w:val="00046F79"/>
    <w:rsid w:val="00046F8F"/>
    <w:rsid w:val="000472B4"/>
    <w:rsid w:val="00047778"/>
    <w:rsid w:val="00047AFA"/>
    <w:rsid w:val="000502E8"/>
    <w:rsid w:val="00050440"/>
    <w:rsid w:val="0005076D"/>
    <w:rsid w:val="00050CA0"/>
    <w:rsid w:val="00050E71"/>
    <w:rsid w:val="00051050"/>
    <w:rsid w:val="000511A4"/>
    <w:rsid w:val="0005135E"/>
    <w:rsid w:val="00051B98"/>
    <w:rsid w:val="00051C3C"/>
    <w:rsid w:val="00052126"/>
    <w:rsid w:val="00052621"/>
    <w:rsid w:val="000527C6"/>
    <w:rsid w:val="00052814"/>
    <w:rsid w:val="0005282F"/>
    <w:rsid w:val="00052B55"/>
    <w:rsid w:val="00052E2B"/>
    <w:rsid w:val="00052E7C"/>
    <w:rsid w:val="00052EC9"/>
    <w:rsid w:val="00053041"/>
    <w:rsid w:val="00053234"/>
    <w:rsid w:val="00053524"/>
    <w:rsid w:val="00053778"/>
    <w:rsid w:val="00053C58"/>
    <w:rsid w:val="00053C87"/>
    <w:rsid w:val="0005420C"/>
    <w:rsid w:val="0005429D"/>
    <w:rsid w:val="00054863"/>
    <w:rsid w:val="00054E45"/>
    <w:rsid w:val="00054E8C"/>
    <w:rsid w:val="00055411"/>
    <w:rsid w:val="00055A2C"/>
    <w:rsid w:val="00055E1B"/>
    <w:rsid w:val="00056023"/>
    <w:rsid w:val="00056867"/>
    <w:rsid w:val="00056F8F"/>
    <w:rsid w:val="000570EE"/>
    <w:rsid w:val="0005739B"/>
    <w:rsid w:val="0006047E"/>
    <w:rsid w:val="000605CC"/>
    <w:rsid w:val="0006071E"/>
    <w:rsid w:val="00060962"/>
    <w:rsid w:val="00060A10"/>
    <w:rsid w:val="00060D51"/>
    <w:rsid w:val="00061169"/>
    <w:rsid w:val="00061758"/>
    <w:rsid w:val="000619AB"/>
    <w:rsid w:val="00062704"/>
    <w:rsid w:val="00062A8C"/>
    <w:rsid w:val="00062D91"/>
    <w:rsid w:val="00062EC8"/>
    <w:rsid w:val="00062F25"/>
    <w:rsid w:val="0006314A"/>
    <w:rsid w:val="00063833"/>
    <w:rsid w:val="00063D99"/>
    <w:rsid w:val="00063E00"/>
    <w:rsid w:val="00063FDB"/>
    <w:rsid w:val="000641E1"/>
    <w:rsid w:val="00064582"/>
    <w:rsid w:val="000649ED"/>
    <w:rsid w:val="00064D83"/>
    <w:rsid w:val="00064FE5"/>
    <w:rsid w:val="00064FF3"/>
    <w:rsid w:val="000652B3"/>
    <w:rsid w:val="00066448"/>
    <w:rsid w:val="00066EDF"/>
    <w:rsid w:val="0006725B"/>
    <w:rsid w:val="00067455"/>
    <w:rsid w:val="000678CE"/>
    <w:rsid w:val="000701BA"/>
    <w:rsid w:val="00070271"/>
    <w:rsid w:val="000705E6"/>
    <w:rsid w:val="000706AC"/>
    <w:rsid w:val="000708AE"/>
    <w:rsid w:val="00070A55"/>
    <w:rsid w:val="00070DFD"/>
    <w:rsid w:val="000712C0"/>
    <w:rsid w:val="00071767"/>
    <w:rsid w:val="000718A3"/>
    <w:rsid w:val="00071BC7"/>
    <w:rsid w:val="00071DAB"/>
    <w:rsid w:val="00071F28"/>
    <w:rsid w:val="000722F8"/>
    <w:rsid w:val="000723FC"/>
    <w:rsid w:val="000725C1"/>
    <w:rsid w:val="00072CB1"/>
    <w:rsid w:val="00072DD3"/>
    <w:rsid w:val="000739F5"/>
    <w:rsid w:val="00073B78"/>
    <w:rsid w:val="00073CB3"/>
    <w:rsid w:val="00073DB3"/>
    <w:rsid w:val="00074439"/>
    <w:rsid w:val="00074452"/>
    <w:rsid w:val="00074C0F"/>
    <w:rsid w:val="00074C56"/>
    <w:rsid w:val="00074EAA"/>
    <w:rsid w:val="00075779"/>
    <w:rsid w:val="00075FD8"/>
    <w:rsid w:val="000764D5"/>
    <w:rsid w:val="00076631"/>
    <w:rsid w:val="000768CD"/>
    <w:rsid w:val="00076AFF"/>
    <w:rsid w:val="000775AE"/>
    <w:rsid w:val="000778AA"/>
    <w:rsid w:val="00077B7D"/>
    <w:rsid w:val="00077BE9"/>
    <w:rsid w:val="00077E42"/>
    <w:rsid w:val="00077F0F"/>
    <w:rsid w:val="00080157"/>
    <w:rsid w:val="000805DC"/>
    <w:rsid w:val="00080724"/>
    <w:rsid w:val="00080B3A"/>
    <w:rsid w:val="00080B97"/>
    <w:rsid w:val="00080F0B"/>
    <w:rsid w:val="0008136A"/>
    <w:rsid w:val="00081572"/>
    <w:rsid w:val="000816C5"/>
    <w:rsid w:val="0008171B"/>
    <w:rsid w:val="00081F74"/>
    <w:rsid w:val="00082157"/>
    <w:rsid w:val="00082852"/>
    <w:rsid w:val="00082E1A"/>
    <w:rsid w:val="00082FB7"/>
    <w:rsid w:val="0008343C"/>
    <w:rsid w:val="00083AEA"/>
    <w:rsid w:val="00083BEE"/>
    <w:rsid w:val="000841F0"/>
    <w:rsid w:val="000843C9"/>
    <w:rsid w:val="00084419"/>
    <w:rsid w:val="0008441D"/>
    <w:rsid w:val="00084A32"/>
    <w:rsid w:val="0008509A"/>
    <w:rsid w:val="00085110"/>
    <w:rsid w:val="00085283"/>
    <w:rsid w:val="00085297"/>
    <w:rsid w:val="00085443"/>
    <w:rsid w:val="00086D58"/>
    <w:rsid w:val="0008798C"/>
    <w:rsid w:val="00087B20"/>
    <w:rsid w:val="00087C29"/>
    <w:rsid w:val="00087DEA"/>
    <w:rsid w:val="00087FBA"/>
    <w:rsid w:val="000902CC"/>
    <w:rsid w:val="000903DB"/>
    <w:rsid w:val="0009054D"/>
    <w:rsid w:val="000907DF"/>
    <w:rsid w:val="00090865"/>
    <w:rsid w:val="00090A63"/>
    <w:rsid w:val="00090C49"/>
    <w:rsid w:val="00091462"/>
    <w:rsid w:val="0009221A"/>
    <w:rsid w:val="000923E9"/>
    <w:rsid w:val="00092E1F"/>
    <w:rsid w:val="00092FCB"/>
    <w:rsid w:val="000935A8"/>
    <w:rsid w:val="0009383B"/>
    <w:rsid w:val="0009385C"/>
    <w:rsid w:val="00093953"/>
    <w:rsid w:val="00093CE2"/>
    <w:rsid w:val="00093F6C"/>
    <w:rsid w:val="00093FAE"/>
    <w:rsid w:val="00094264"/>
    <w:rsid w:val="0009429B"/>
    <w:rsid w:val="000946D8"/>
    <w:rsid w:val="00094882"/>
    <w:rsid w:val="00094941"/>
    <w:rsid w:val="00094CF5"/>
    <w:rsid w:val="00094EC6"/>
    <w:rsid w:val="000950A0"/>
    <w:rsid w:val="000954D9"/>
    <w:rsid w:val="000957FD"/>
    <w:rsid w:val="000958F8"/>
    <w:rsid w:val="00095A9A"/>
    <w:rsid w:val="00095DC4"/>
    <w:rsid w:val="00095DE2"/>
    <w:rsid w:val="000964A2"/>
    <w:rsid w:val="0009687C"/>
    <w:rsid w:val="00097392"/>
    <w:rsid w:val="00097454"/>
    <w:rsid w:val="00097E28"/>
    <w:rsid w:val="00097FFE"/>
    <w:rsid w:val="000A0632"/>
    <w:rsid w:val="000A0A57"/>
    <w:rsid w:val="000A10EB"/>
    <w:rsid w:val="000A15AD"/>
    <w:rsid w:val="000A223B"/>
    <w:rsid w:val="000A2287"/>
    <w:rsid w:val="000A2365"/>
    <w:rsid w:val="000A254D"/>
    <w:rsid w:val="000A25DB"/>
    <w:rsid w:val="000A2796"/>
    <w:rsid w:val="000A2883"/>
    <w:rsid w:val="000A2BF3"/>
    <w:rsid w:val="000A2F71"/>
    <w:rsid w:val="000A32FC"/>
    <w:rsid w:val="000A3380"/>
    <w:rsid w:val="000A342E"/>
    <w:rsid w:val="000A344C"/>
    <w:rsid w:val="000A3F4D"/>
    <w:rsid w:val="000A40B4"/>
    <w:rsid w:val="000A40C1"/>
    <w:rsid w:val="000A438E"/>
    <w:rsid w:val="000A43A4"/>
    <w:rsid w:val="000A46B2"/>
    <w:rsid w:val="000A59FB"/>
    <w:rsid w:val="000A5AB6"/>
    <w:rsid w:val="000A5CC8"/>
    <w:rsid w:val="000A5EB1"/>
    <w:rsid w:val="000A5F64"/>
    <w:rsid w:val="000A6106"/>
    <w:rsid w:val="000A6C47"/>
    <w:rsid w:val="000A6E70"/>
    <w:rsid w:val="000A700C"/>
    <w:rsid w:val="000A7358"/>
    <w:rsid w:val="000A7800"/>
    <w:rsid w:val="000A79D1"/>
    <w:rsid w:val="000A7D91"/>
    <w:rsid w:val="000A7F66"/>
    <w:rsid w:val="000B00D9"/>
    <w:rsid w:val="000B07B5"/>
    <w:rsid w:val="000B0BFA"/>
    <w:rsid w:val="000B0DF8"/>
    <w:rsid w:val="000B1254"/>
    <w:rsid w:val="000B1513"/>
    <w:rsid w:val="000B194A"/>
    <w:rsid w:val="000B1BC1"/>
    <w:rsid w:val="000B1F68"/>
    <w:rsid w:val="000B2B5A"/>
    <w:rsid w:val="000B2C03"/>
    <w:rsid w:val="000B2C68"/>
    <w:rsid w:val="000B2FD6"/>
    <w:rsid w:val="000B3002"/>
    <w:rsid w:val="000B3247"/>
    <w:rsid w:val="000B35F0"/>
    <w:rsid w:val="000B393A"/>
    <w:rsid w:val="000B3DED"/>
    <w:rsid w:val="000B4594"/>
    <w:rsid w:val="000B45E5"/>
    <w:rsid w:val="000B4705"/>
    <w:rsid w:val="000B48A9"/>
    <w:rsid w:val="000B4ABA"/>
    <w:rsid w:val="000B4DDE"/>
    <w:rsid w:val="000B4E3B"/>
    <w:rsid w:val="000B572D"/>
    <w:rsid w:val="000B59A5"/>
    <w:rsid w:val="000B5AC9"/>
    <w:rsid w:val="000B5B53"/>
    <w:rsid w:val="000B5BD6"/>
    <w:rsid w:val="000B5D70"/>
    <w:rsid w:val="000B5DB0"/>
    <w:rsid w:val="000B60AF"/>
    <w:rsid w:val="000B60B3"/>
    <w:rsid w:val="000B6230"/>
    <w:rsid w:val="000B642A"/>
    <w:rsid w:val="000B697D"/>
    <w:rsid w:val="000B6E5B"/>
    <w:rsid w:val="000B6E9C"/>
    <w:rsid w:val="000B7050"/>
    <w:rsid w:val="000B7709"/>
    <w:rsid w:val="000B771B"/>
    <w:rsid w:val="000B781A"/>
    <w:rsid w:val="000B7C52"/>
    <w:rsid w:val="000C0124"/>
    <w:rsid w:val="000C0670"/>
    <w:rsid w:val="000C0E50"/>
    <w:rsid w:val="000C0E6F"/>
    <w:rsid w:val="000C15FA"/>
    <w:rsid w:val="000C160D"/>
    <w:rsid w:val="000C1CDB"/>
    <w:rsid w:val="000C1EB8"/>
    <w:rsid w:val="000C216C"/>
    <w:rsid w:val="000C2328"/>
    <w:rsid w:val="000C23D5"/>
    <w:rsid w:val="000C24A1"/>
    <w:rsid w:val="000C26D8"/>
    <w:rsid w:val="000C2AF4"/>
    <w:rsid w:val="000C2CD9"/>
    <w:rsid w:val="000C2E36"/>
    <w:rsid w:val="000C2E79"/>
    <w:rsid w:val="000C2F2C"/>
    <w:rsid w:val="000C3325"/>
    <w:rsid w:val="000C344C"/>
    <w:rsid w:val="000C3490"/>
    <w:rsid w:val="000C397E"/>
    <w:rsid w:val="000C3A80"/>
    <w:rsid w:val="000C3C31"/>
    <w:rsid w:val="000C3FC8"/>
    <w:rsid w:val="000C40B3"/>
    <w:rsid w:val="000C4728"/>
    <w:rsid w:val="000C4D3F"/>
    <w:rsid w:val="000C4EC2"/>
    <w:rsid w:val="000C5315"/>
    <w:rsid w:val="000C54B0"/>
    <w:rsid w:val="000C55C9"/>
    <w:rsid w:val="000C56C2"/>
    <w:rsid w:val="000C5B22"/>
    <w:rsid w:val="000C5B2C"/>
    <w:rsid w:val="000C61D9"/>
    <w:rsid w:val="000C645A"/>
    <w:rsid w:val="000C6608"/>
    <w:rsid w:val="000C67A0"/>
    <w:rsid w:val="000C695F"/>
    <w:rsid w:val="000C698B"/>
    <w:rsid w:val="000C6B91"/>
    <w:rsid w:val="000C7086"/>
    <w:rsid w:val="000C74FA"/>
    <w:rsid w:val="000C7A5D"/>
    <w:rsid w:val="000C7AAF"/>
    <w:rsid w:val="000C7D37"/>
    <w:rsid w:val="000C7F7D"/>
    <w:rsid w:val="000C7FA2"/>
    <w:rsid w:val="000D094E"/>
    <w:rsid w:val="000D0A01"/>
    <w:rsid w:val="000D0BCC"/>
    <w:rsid w:val="000D12CC"/>
    <w:rsid w:val="000D1CC8"/>
    <w:rsid w:val="000D1FD5"/>
    <w:rsid w:val="000D2073"/>
    <w:rsid w:val="000D208E"/>
    <w:rsid w:val="000D2389"/>
    <w:rsid w:val="000D24AB"/>
    <w:rsid w:val="000D25BF"/>
    <w:rsid w:val="000D26FD"/>
    <w:rsid w:val="000D27BB"/>
    <w:rsid w:val="000D2AA5"/>
    <w:rsid w:val="000D2D7B"/>
    <w:rsid w:val="000D32C3"/>
    <w:rsid w:val="000D33B8"/>
    <w:rsid w:val="000D342F"/>
    <w:rsid w:val="000D3769"/>
    <w:rsid w:val="000D3852"/>
    <w:rsid w:val="000D3928"/>
    <w:rsid w:val="000D44D5"/>
    <w:rsid w:val="000D47FA"/>
    <w:rsid w:val="000D4C53"/>
    <w:rsid w:val="000D4DED"/>
    <w:rsid w:val="000D501B"/>
    <w:rsid w:val="000D5064"/>
    <w:rsid w:val="000D51F6"/>
    <w:rsid w:val="000D589C"/>
    <w:rsid w:val="000D59CB"/>
    <w:rsid w:val="000D601A"/>
    <w:rsid w:val="000D64BF"/>
    <w:rsid w:val="000D6865"/>
    <w:rsid w:val="000D69A6"/>
    <w:rsid w:val="000D6A66"/>
    <w:rsid w:val="000D6A86"/>
    <w:rsid w:val="000D6BB8"/>
    <w:rsid w:val="000D6CBF"/>
    <w:rsid w:val="000D715A"/>
    <w:rsid w:val="000D715B"/>
    <w:rsid w:val="000D71A3"/>
    <w:rsid w:val="000D7488"/>
    <w:rsid w:val="000D7773"/>
    <w:rsid w:val="000D7C59"/>
    <w:rsid w:val="000E0B89"/>
    <w:rsid w:val="000E0C18"/>
    <w:rsid w:val="000E0C3C"/>
    <w:rsid w:val="000E0D85"/>
    <w:rsid w:val="000E0E01"/>
    <w:rsid w:val="000E12A5"/>
    <w:rsid w:val="000E17DE"/>
    <w:rsid w:val="000E20DD"/>
    <w:rsid w:val="000E278E"/>
    <w:rsid w:val="000E28EB"/>
    <w:rsid w:val="000E2CB1"/>
    <w:rsid w:val="000E325E"/>
    <w:rsid w:val="000E353A"/>
    <w:rsid w:val="000E363C"/>
    <w:rsid w:val="000E391B"/>
    <w:rsid w:val="000E39FB"/>
    <w:rsid w:val="000E3B41"/>
    <w:rsid w:val="000E3BA3"/>
    <w:rsid w:val="000E41A9"/>
    <w:rsid w:val="000E45B9"/>
    <w:rsid w:val="000E4683"/>
    <w:rsid w:val="000E4DCC"/>
    <w:rsid w:val="000E4E92"/>
    <w:rsid w:val="000E52CC"/>
    <w:rsid w:val="000E571B"/>
    <w:rsid w:val="000E5890"/>
    <w:rsid w:val="000E6697"/>
    <w:rsid w:val="000E6C2F"/>
    <w:rsid w:val="000E76A0"/>
    <w:rsid w:val="000E7E25"/>
    <w:rsid w:val="000F05E1"/>
    <w:rsid w:val="000F06B4"/>
    <w:rsid w:val="000F0B36"/>
    <w:rsid w:val="000F0C2F"/>
    <w:rsid w:val="000F0C94"/>
    <w:rsid w:val="000F180A"/>
    <w:rsid w:val="000F1D87"/>
    <w:rsid w:val="000F22FF"/>
    <w:rsid w:val="000F2440"/>
    <w:rsid w:val="000F2592"/>
    <w:rsid w:val="000F265A"/>
    <w:rsid w:val="000F26E1"/>
    <w:rsid w:val="000F286A"/>
    <w:rsid w:val="000F2F49"/>
    <w:rsid w:val="000F3037"/>
    <w:rsid w:val="000F31C3"/>
    <w:rsid w:val="000F34A9"/>
    <w:rsid w:val="000F3593"/>
    <w:rsid w:val="000F3716"/>
    <w:rsid w:val="000F3DB6"/>
    <w:rsid w:val="000F3DF5"/>
    <w:rsid w:val="000F3F79"/>
    <w:rsid w:val="000F40F7"/>
    <w:rsid w:val="000F4116"/>
    <w:rsid w:val="000F4144"/>
    <w:rsid w:val="000F48E0"/>
    <w:rsid w:val="000F4CAC"/>
    <w:rsid w:val="000F55D2"/>
    <w:rsid w:val="000F59B3"/>
    <w:rsid w:val="000F5B4E"/>
    <w:rsid w:val="000F6186"/>
    <w:rsid w:val="000F61E7"/>
    <w:rsid w:val="000F65E7"/>
    <w:rsid w:val="000F6614"/>
    <w:rsid w:val="000F69B6"/>
    <w:rsid w:val="000F6B83"/>
    <w:rsid w:val="000F7158"/>
    <w:rsid w:val="000F7BB7"/>
    <w:rsid w:val="000F7F26"/>
    <w:rsid w:val="001002CF"/>
    <w:rsid w:val="00100AD0"/>
    <w:rsid w:val="00100AD9"/>
    <w:rsid w:val="00100B2F"/>
    <w:rsid w:val="00100BE6"/>
    <w:rsid w:val="00100C07"/>
    <w:rsid w:val="00100E68"/>
    <w:rsid w:val="00100F56"/>
    <w:rsid w:val="00100F76"/>
    <w:rsid w:val="00100FD7"/>
    <w:rsid w:val="001011E7"/>
    <w:rsid w:val="0010130B"/>
    <w:rsid w:val="00101534"/>
    <w:rsid w:val="00101FD2"/>
    <w:rsid w:val="00102223"/>
    <w:rsid w:val="00102224"/>
    <w:rsid w:val="00102685"/>
    <w:rsid w:val="001028EE"/>
    <w:rsid w:val="00102A50"/>
    <w:rsid w:val="0010300A"/>
    <w:rsid w:val="001031B3"/>
    <w:rsid w:val="001031B7"/>
    <w:rsid w:val="0010323C"/>
    <w:rsid w:val="00103676"/>
    <w:rsid w:val="001036A6"/>
    <w:rsid w:val="00103A87"/>
    <w:rsid w:val="00103DD6"/>
    <w:rsid w:val="001040E1"/>
    <w:rsid w:val="0010497F"/>
    <w:rsid w:val="00104A44"/>
    <w:rsid w:val="00104C98"/>
    <w:rsid w:val="00104D7F"/>
    <w:rsid w:val="00104DB4"/>
    <w:rsid w:val="00104DE5"/>
    <w:rsid w:val="00104E10"/>
    <w:rsid w:val="0010526A"/>
    <w:rsid w:val="00105388"/>
    <w:rsid w:val="0010587D"/>
    <w:rsid w:val="00105C2B"/>
    <w:rsid w:val="0010616D"/>
    <w:rsid w:val="0010627B"/>
    <w:rsid w:val="00106B23"/>
    <w:rsid w:val="0010721D"/>
    <w:rsid w:val="001072BE"/>
    <w:rsid w:val="0010760F"/>
    <w:rsid w:val="00107F25"/>
    <w:rsid w:val="0011024D"/>
    <w:rsid w:val="0011056D"/>
    <w:rsid w:val="00110674"/>
    <w:rsid w:val="00110957"/>
    <w:rsid w:val="00110BD9"/>
    <w:rsid w:val="00110C75"/>
    <w:rsid w:val="0011113C"/>
    <w:rsid w:val="00111357"/>
    <w:rsid w:val="00111438"/>
    <w:rsid w:val="0011158E"/>
    <w:rsid w:val="001116E5"/>
    <w:rsid w:val="001118A8"/>
    <w:rsid w:val="0011227D"/>
    <w:rsid w:val="001125D6"/>
    <w:rsid w:val="001126A8"/>
    <w:rsid w:val="001128FC"/>
    <w:rsid w:val="0011291F"/>
    <w:rsid w:val="00112948"/>
    <w:rsid w:val="0011390B"/>
    <w:rsid w:val="00113EBD"/>
    <w:rsid w:val="00113F61"/>
    <w:rsid w:val="001143E9"/>
    <w:rsid w:val="0011467E"/>
    <w:rsid w:val="001146C5"/>
    <w:rsid w:val="001146DB"/>
    <w:rsid w:val="00114CA2"/>
    <w:rsid w:val="00114EF3"/>
    <w:rsid w:val="00114F81"/>
    <w:rsid w:val="00115037"/>
    <w:rsid w:val="0011518B"/>
    <w:rsid w:val="0011526B"/>
    <w:rsid w:val="00115940"/>
    <w:rsid w:val="001160A0"/>
    <w:rsid w:val="00116277"/>
    <w:rsid w:val="0011628F"/>
    <w:rsid w:val="00116306"/>
    <w:rsid w:val="001163C3"/>
    <w:rsid w:val="00116AC4"/>
    <w:rsid w:val="00116C60"/>
    <w:rsid w:val="00116E1D"/>
    <w:rsid w:val="00117245"/>
    <w:rsid w:val="00117B6F"/>
    <w:rsid w:val="00117F62"/>
    <w:rsid w:val="0012001C"/>
    <w:rsid w:val="00120334"/>
    <w:rsid w:val="0012045C"/>
    <w:rsid w:val="001204EE"/>
    <w:rsid w:val="00120A14"/>
    <w:rsid w:val="00120E8F"/>
    <w:rsid w:val="00120EA7"/>
    <w:rsid w:val="00120F4B"/>
    <w:rsid w:val="001211E7"/>
    <w:rsid w:val="00121C8E"/>
    <w:rsid w:val="001223D1"/>
    <w:rsid w:val="0012299F"/>
    <w:rsid w:val="00122FBE"/>
    <w:rsid w:val="001235E1"/>
    <w:rsid w:val="001239CC"/>
    <w:rsid w:val="00123C45"/>
    <w:rsid w:val="00123D2C"/>
    <w:rsid w:val="00123F2C"/>
    <w:rsid w:val="00124346"/>
    <w:rsid w:val="00124B07"/>
    <w:rsid w:val="00124FAC"/>
    <w:rsid w:val="001250F1"/>
    <w:rsid w:val="001250FD"/>
    <w:rsid w:val="00125331"/>
    <w:rsid w:val="00125551"/>
    <w:rsid w:val="0012558D"/>
    <w:rsid w:val="00125670"/>
    <w:rsid w:val="0012569B"/>
    <w:rsid w:val="00125C69"/>
    <w:rsid w:val="00126005"/>
    <w:rsid w:val="0012651D"/>
    <w:rsid w:val="0012681B"/>
    <w:rsid w:val="0012696A"/>
    <w:rsid w:val="00126EFE"/>
    <w:rsid w:val="001273CB"/>
    <w:rsid w:val="001276EB"/>
    <w:rsid w:val="00127748"/>
    <w:rsid w:val="00127A83"/>
    <w:rsid w:val="00127C06"/>
    <w:rsid w:val="00127E59"/>
    <w:rsid w:val="001302AE"/>
    <w:rsid w:val="00130391"/>
    <w:rsid w:val="001303D4"/>
    <w:rsid w:val="001306FC"/>
    <w:rsid w:val="0013075B"/>
    <w:rsid w:val="00130FC6"/>
    <w:rsid w:val="00131111"/>
    <w:rsid w:val="00131311"/>
    <w:rsid w:val="0013154C"/>
    <w:rsid w:val="001316F1"/>
    <w:rsid w:val="00131801"/>
    <w:rsid w:val="0013204A"/>
    <w:rsid w:val="00132263"/>
    <w:rsid w:val="00132460"/>
    <w:rsid w:val="001329D5"/>
    <w:rsid w:val="00132BAD"/>
    <w:rsid w:val="00132F76"/>
    <w:rsid w:val="0013334F"/>
    <w:rsid w:val="00133490"/>
    <w:rsid w:val="00133669"/>
    <w:rsid w:val="001337C5"/>
    <w:rsid w:val="001337CE"/>
    <w:rsid w:val="00133E89"/>
    <w:rsid w:val="00134B7A"/>
    <w:rsid w:val="00134F71"/>
    <w:rsid w:val="00135B30"/>
    <w:rsid w:val="00135CC1"/>
    <w:rsid w:val="00136487"/>
    <w:rsid w:val="00136665"/>
    <w:rsid w:val="0013679B"/>
    <w:rsid w:val="00136A61"/>
    <w:rsid w:val="001371BA"/>
    <w:rsid w:val="001373DB"/>
    <w:rsid w:val="00137C26"/>
    <w:rsid w:val="0014010E"/>
    <w:rsid w:val="00140297"/>
    <w:rsid w:val="00140307"/>
    <w:rsid w:val="0014059F"/>
    <w:rsid w:val="00140A82"/>
    <w:rsid w:val="00140AE1"/>
    <w:rsid w:val="00140C3E"/>
    <w:rsid w:val="00141037"/>
    <w:rsid w:val="001414A3"/>
    <w:rsid w:val="001414E2"/>
    <w:rsid w:val="001415A6"/>
    <w:rsid w:val="001416DF"/>
    <w:rsid w:val="00142043"/>
    <w:rsid w:val="00142212"/>
    <w:rsid w:val="00142C98"/>
    <w:rsid w:val="00143396"/>
    <w:rsid w:val="0014341A"/>
    <w:rsid w:val="001437C1"/>
    <w:rsid w:val="00143CB4"/>
    <w:rsid w:val="00144423"/>
    <w:rsid w:val="001446D3"/>
    <w:rsid w:val="00144721"/>
    <w:rsid w:val="001449DF"/>
    <w:rsid w:val="00144B97"/>
    <w:rsid w:val="001452AD"/>
    <w:rsid w:val="00145AB1"/>
    <w:rsid w:val="00146135"/>
    <w:rsid w:val="001465CD"/>
    <w:rsid w:val="00146777"/>
    <w:rsid w:val="00146884"/>
    <w:rsid w:val="00146AFC"/>
    <w:rsid w:val="00146B49"/>
    <w:rsid w:val="00146C5F"/>
    <w:rsid w:val="00146F0B"/>
    <w:rsid w:val="00147228"/>
    <w:rsid w:val="00147F23"/>
    <w:rsid w:val="00147F6D"/>
    <w:rsid w:val="00147F79"/>
    <w:rsid w:val="0015002B"/>
    <w:rsid w:val="00150215"/>
    <w:rsid w:val="001502AE"/>
    <w:rsid w:val="00150946"/>
    <w:rsid w:val="00150D05"/>
    <w:rsid w:val="00150D74"/>
    <w:rsid w:val="00150E1F"/>
    <w:rsid w:val="00150F73"/>
    <w:rsid w:val="00150FB5"/>
    <w:rsid w:val="00151ABE"/>
    <w:rsid w:val="00151B5A"/>
    <w:rsid w:val="00151B88"/>
    <w:rsid w:val="00151C47"/>
    <w:rsid w:val="00151DDE"/>
    <w:rsid w:val="001520DE"/>
    <w:rsid w:val="001524DF"/>
    <w:rsid w:val="00152DDD"/>
    <w:rsid w:val="00152F97"/>
    <w:rsid w:val="00153240"/>
    <w:rsid w:val="00153358"/>
    <w:rsid w:val="001535AA"/>
    <w:rsid w:val="001537B5"/>
    <w:rsid w:val="001539DF"/>
    <w:rsid w:val="00153A2E"/>
    <w:rsid w:val="00153A89"/>
    <w:rsid w:val="00153CED"/>
    <w:rsid w:val="00154E9D"/>
    <w:rsid w:val="00155271"/>
    <w:rsid w:val="0015550B"/>
    <w:rsid w:val="00155770"/>
    <w:rsid w:val="00155D82"/>
    <w:rsid w:val="0015683C"/>
    <w:rsid w:val="00156B9D"/>
    <w:rsid w:val="00156D10"/>
    <w:rsid w:val="00156E16"/>
    <w:rsid w:val="00156F9F"/>
    <w:rsid w:val="001570B3"/>
    <w:rsid w:val="0015721D"/>
    <w:rsid w:val="00157224"/>
    <w:rsid w:val="0015741E"/>
    <w:rsid w:val="001579E6"/>
    <w:rsid w:val="00157AEB"/>
    <w:rsid w:val="00157F93"/>
    <w:rsid w:val="001604BF"/>
    <w:rsid w:val="0016119C"/>
    <w:rsid w:val="00161891"/>
    <w:rsid w:val="00161AF9"/>
    <w:rsid w:val="001621B3"/>
    <w:rsid w:val="00162248"/>
    <w:rsid w:val="001625D8"/>
    <w:rsid w:val="00162706"/>
    <w:rsid w:val="001629CA"/>
    <w:rsid w:val="00162B64"/>
    <w:rsid w:val="00162DD8"/>
    <w:rsid w:val="0016305C"/>
    <w:rsid w:val="00163E82"/>
    <w:rsid w:val="00163FD6"/>
    <w:rsid w:val="001642D5"/>
    <w:rsid w:val="001646D1"/>
    <w:rsid w:val="00164922"/>
    <w:rsid w:val="00164C0A"/>
    <w:rsid w:val="00164F12"/>
    <w:rsid w:val="001653BB"/>
    <w:rsid w:val="0016559C"/>
    <w:rsid w:val="001655B0"/>
    <w:rsid w:val="00165A48"/>
    <w:rsid w:val="00165B4B"/>
    <w:rsid w:val="00165E9F"/>
    <w:rsid w:val="001660B3"/>
    <w:rsid w:val="00166260"/>
    <w:rsid w:val="0016643A"/>
    <w:rsid w:val="00166741"/>
    <w:rsid w:val="00167243"/>
    <w:rsid w:val="0016757D"/>
    <w:rsid w:val="00167667"/>
    <w:rsid w:val="00167F39"/>
    <w:rsid w:val="001701DC"/>
    <w:rsid w:val="001703DD"/>
    <w:rsid w:val="0017044D"/>
    <w:rsid w:val="00170494"/>
    <w:rsid w:val="00170638"/>
    <w:rsid w:val="00170952"/>
    <w:rsid w:val="00170A51"/>
    <w:rsid w:val="00170ABD"/>
    <w:rsid w:val="001710FA"/>
    <w:rsid w:val="001711CC"/>
    <w:rsid w:val="0017137C"/>
    <w:rsid w:val="00171503"/>
    <w:rsid w:val="001715C0"/>
    <w:rsid w:val="00171953"/>
    <w:rsid w:val="00171E82"/>
    <w:rsid w:val="00171F50"/>
    <w:rsid w:val="001727EA"/>
    <w:rsid w:val="00172F16"/>
    <w:rsid w:val="00174312"/>
    <w:rsid w:val="00174AB4"/>
    <w:rsid w:val="00175220"/>
    <w:rsid w:val="0017535F"/>
    <w:rsid w:val="00175795"/>
    <w:rsid w:val="001758E1"/>
    <w:rsid w:val="00175933"/>
    <w:rsid w:val="00175A7E"/>
    <w:rsid w:val="00175E8E"/>
    <w:rsid w:val="00176100"/>
    <w:rsid w:val="001761DA"/>
    <w:rsid w:val="0017625E"/>
    <w:rsid w:val="00176402"/>
    <w:rsid w:val="00176B30"/>
    <w:rsid w:val="00177780"/>
    <w:rsid w:val="00177DB2"/>
    <w:rsid w:val="0018002C"/>
    <w:rsid w:val="00180087"/>
    <w:rsid w:val="001808B4"/>
    <w:rsid w:val="001808EF"/>
    <w:rsid w:val="001813BB"/>
    <w:rsid w:val="00181F73"/>
    <w:rsid w:val="00181F94"/>
    <w:rsid w:val="0018204D"/>
    <w:rsid w:val="00182253"/>
    <w:rsid w:val="0018255D"/>
    <w:rsid w:val="001826B1"/>
    <w:rsid w:val="001827CC"/>
    <w:rsid w:val="00182860"/>
    <w:rsid w:val="00182875"/>
    <w:rsid w:val="001829CA"/>
    <w:rsid w:val="00183325"/>
    <w:rsid w:val="00183383"/>
    <w:rsid w:val="00183754"/>
    <w:rsid w:val="00183B36"/>
    <w:rsid w:val="00183B89"/>
    <w:rsid w:val="00184072"/>
    <w:rsid w:val="00184384"/>
    <w:rsid w:val="00184F7D"/>
    <w:rsid w:val="001852A9"/>
    <w:rsid w:val="00185455"/>
    <w:rsid w:val="0018556C"/>
    <w:rsid w:val="0018556D"/>
    <w:rsid w:val="00185B27"/>
    <w:rsid w:val="00185BA9"/>
    <w:rsid w:val="00185DF1"/>
    <w:rsid w:val="00185DF2"/>
    <w:rsid w:val="00186A86"/>
    <w:rsid w:val="00186AC5"/>
    <w:rsid w:val="00186B8D"/>
    <w:rsid w:val="00186F53"/>
    <w:rsid w:val="00186FCD"/>
    <w:rsid w:val="00187081"/>
    <w:rsid w:val="00187254"/>
    <w:rsid w:val="00187564"/>
    <w:rsid w:val="0019007B"/>
    <w:rsid w:val="001900B1"/>
    <w:rsid w:val="001905C0"/>
    <w:rsid w:val="00190B67"/>
    <w:rsid w:val="00190BDA"/>
    <w:rsid w:val="0019122B"/>
    <w:rsid w:val="0019123C"/>
    <w:rsid w:val="00191284"/>
    <w:rsid w:val="00191445"/>
    <w:rsid w:val="00191C4E"/>
    <w:rsid w:val="00191F99"/>
    <w:rsid w:val="00192133"/>
    <w:rsid w:val="00192619"/>
    <w:rsid w:val="0019261E"/>
    <w:rsid w:val="00192934"/>
    <w:rsid w:val="00193652"/>
    <w:rsid w:val="001937A3"/>
    <w:rsid w:val="00194CE7"/>
    <w:rsid w:val="00194D2A"/>
    <w:rsid w:val="00194F0E"/>
    <w:rsid w:val="00194F32"/>
    <w:rsid w:val="00195144"/>
    <w:rsid w:val="001957C6"/>
    <w:rsid w:val="00195920"/>
    <w:rsid w:val="001959D7"/>
    <w:rsid w:val="0019632D"/>
    <w:rsid w:val="0019669A"/>
    <w:rsid w:val="00196AF5"/>
    <w:rsid w:val="00196B97"/>
    <w:rsid w:val="00196D5B"/>
    <w:rsid w:val="00196EE5"/>
    <w:rsid w:val="00197412"/>
    <w:rsid w:val="00197FE9"/>
    <w:rsid w:val="001A0DD9"/>
    <w:rsid w:val="001A1229"/>
    <w:rsid w:val="001A1521"/>
    <w:rsid w:val="001A1538"/>
    <w:rsid w:val="001A2149"/>
    <w:rsid w:val="001A2665"/>
    <w:rsid w:val="001A3250"/>
    <w:rsid w:val="001A3498"/>
    <w:rsid w:val="001A3504"/>
    <w:rsid w:val="001A35A5"/>
    <w:rsid w:val="001A38FC"/>
    <w:rsid w:val="001A3936"/>
    <w:rsid w:val="001A3BF2"/>
    <w:rsid w:val="001A3F9A"/>
    <w:rsid w:val="001A4082"/>
    <w:rsid w:val="001A41AC"/>
    <w:rsid w:val="001A4543"/>
    <w:rsid w:val="001A54A7"/>
    <w:rsid w:val="001A57EC"/>
    <w:rsid w:val="001A5C2C"/>
    <w:rsid w:val="001A604A"/>
    <w:rsid w:val="001A60B8"/>
    <w:rsid w:val="001A60E6"/>
    <w:rsid w:val="001A6131"/>
    <w:rsid w:val="001A78AB"/>
    <w:rsid w:val="001A79E0"/>
    <w:rsid w:val="001B039C"/>
    <w:rsid w:val="001B09CA"/>
    <w:rsid w:val="001B0F84"/>
    <w:rsid w:val="001B1497"/>
    <w:rsid w:val="001B15F6"/>
    <w:rsid w:val="001B177E"/>
    <w:rsid w:val="001B17F9"/>
    <w:rsid w:val="001B1C4A"/>
    <w:rsid w:val="001B1D26"/>
    <w:rsid w:val="001B22E6"/>
    <w:rsid w:val="001B2305"/>
    <w:rsid w:val="001B2CD6"/>
    <w:rsid w:val="001B2F11"/>
    <w:rsid w:val="001B3038"/>
    <w:rsid w:val="001B332A"/>
    <w:rsid w:val="001B348C"/>
    <w:rsid w:val="001B36E3"/>
    <w:rsid w:val="001B3A87"/>
    <w:rsid w:val="001B3BF2"/>
    <w:rsid w:val="001B4C5E"/>
    <w:rsid w:val="001B5156"/>
    <w:rsid w:val="001B54C5"/>
    <w:rsid w:val="001B597E"/>
    <w:rsid w:val="001B5D18"/>
    <w:rsid w:val="001B60FB"/>
    <w:rsid w:val="001B6109"/>
    <w:rsid w:val="001B62F4"/>
    <w:rsid w:val="001B673B"/>
    <w:rsid w:val="001B6A1E"/>
    <w:rsid w:val="001B7012"/>
    <w:rsid w:val="001B730A"/>
    <w:rsid w:val="001B7AEB"/>
    <w:rsid w:val="001C04E4"/>
    <w:rsid w:val="001C04F6"/>
    <w:rsid w:val="001C06CB"/>
    <w:rsid w:val="001C09A7"/>
    <w:rsid w:val="001C0F3C"/>
    <w:rsid w:val="001C11DD"/>
    <w:rsid w:val="001C1657"/>
    <w:rsid w:val="001C1747"/>
    <w:rsid w:val="001C1BD5"/>
    <w:rsid w:val="001C2B6E"/>
    <w:rsid w:val="001C2C4F"/>
    <w:rsid w:val="001C2C99"/>
    <w:rsid w:val="001C3001"/>
    <w:rsid w:val="001C3642"/>
    <w:rsid w:val="001C47A1"/>
    <w:rsid w:val="001C4954"/>
    <w:rsid w:val="001C5066"/>
    <w:rsid w:val="001C5963"/>
    <w:rsid w:val="001C5971"/>
    <w:rsid w:val="001C5B82"/>
    <w:rsid w:val="001C5B9F"/>
    <w:rsid w:val="001C5E87"/>
    <w:rsid w:val="001C6080"/>
    <w:rsid w:val="001C6D0F"/>
    <w:rsid w:val="001C6E28"/>
    <w:rsid w:val="001C7217"/>
    <w:rsid w:val="001C72BF"/>
    <w:rsid w:val="001C747A"/>
    <w:rsid w:val="001C78BF"/>
    <w:rsid w:val="001D01F2"/>
    <w:rsid w:val="001D07EF"/>
    <w:rsid w:val="001D0B64"/>
    <w:rsid w:val="001D0B7D"/>
    <w:rsid w:val="001D10FB"/>
    <w:rsid w:val="001D122A"/>
    <w:rsid w:val="001D176C"/>
    <w:rsid w:val="001D18E6"/>
    <w:rsid w:val="001D1BA1"/>
    <w:rsid w:val="001D1D8A"/>
    <w:rsid w:val="001D1E1B"/>
    <w:rsid w:val="001D22F7"/>
    <w:rsid w:val="001D281F"/>
    <w:rsid w:val="001D29F0"/>
    <w:rsid w:val="001D3453"/>
    <w:rsid w:val="001D370C"/>
    <w:rsid w:val="001D3841"/>
    <w:rsid w:val="001D3927"/>
    <w:rsid w:val="001D3DEB"/>
    <w:rsid w:val="001D4140"/>
    <w:rsid w:val="001D45B7"/>
    <w:rsid w:val="001D469F"/>
    <w:rsid w:val="001D4767"/>
    <w:rsid w:val="001D4F2A"/>
    <w:rsid w:val="001D4F44"/>
    <w:rsid w:val="001D52E5"/>
    <w:rsid w:val="001D5BBA"/>
    <w:rsid w:val="001D60EE"/>
    <w:rsid w:val="001D6366"/>
    <w:rsid w:val="001D662C"/>
    <w:rsid w:val="001D66D6"/>
    <w:rsid w:val="001D6A0B"/>
    <w:rsid w:val="001D6B91"/>
    <w:rsid w:val="001D6F5A"/>
    <w:rsid w:val="001D6FE4"/>
    <w:rsid w:val="001D735C"/>
    <w:rsid w:val="001D7A4E"/>
    <w:rsid w:val="001D7B51"/>
    <w:rsid w:val="001E0457"/>
    <w:rsid w:val="001E0757"/>
    <w:rsid w:val="001E11B9"/>
    <w:rsid w:val="001E124F"/>
    <w:rsid w:val="001E13E8"/>
    <w:rsid w:val="001E169E"/>
    <w:rsid w:val="001E1B5F"/>
    <w:rsid w:val="001E1BDB"/>
    <w:rsid w:val="001E1E9F"/>
    <w:rsid w:val="001E1FB0"/>
    <w:rsid w:val="001E22EA"/>
    <w:rsid w:val="001E26A9"/>
    <w:rsid w:val="001E2CD5"/>
    <w:rsid w:val="001E32C6"/>
    <w:rsid w:val="001E4055"/>
    <w:rsid w:val="001E4547"/>
    <w:rsid w:val="001E45BC"/>
    <w:rsid w:val="001E477C"/>
    <w:rsid w:val="001E4A9A"/>
    <w:rsid w:val="001E4B97"/>
    <w:rsid w:val="001E4FCD"/>
    <w:rsid w:val="001E5091"/>
    <w:rsid w:val="001E513A"/>
    <w:rsid w:val="001E5708"/>
    <w:rsid w:val="001E57FC"/>
    <w:rsid w:val="001E605A"/>
    <w:rsid w:val="001E62B4"/>
    <w:rsid w:val="001E67A5"/>
    <w:rsid w:val="001E6A84"/>
    <w:rsid w:val="001E6CBA"/>
    <w:rsid w:val="001E7059"/>
    <w:rsid w:val="001E7166"/>
    <w:rsid w:val="001E71EC"/>
    <w:rsid w:val="001E7632"/>
    <w:rsid w:val="001E78C1"/>
    <w:rsid w:val="001E7AB2"/>
    <w:rsid w:val="001E7B75"/>
    <w:rsid w:val="001E7C63"/>
    <w:rsid w:val="001E7E8B"/>
    <w:rsid w:val="001E7EC7"/>
    <w:rsid w:val="001E7F63"/>
    <w:rsid w:val="001F05AB"/>
    <w:rsid w:val="001F0996"/>
    <w:rsid w:val="001F0D0F"/>
    <w:rsid w:val="001F0F10"/>
    <w:rsid w:val="001F1737"/>
    <w:rsid w:val="001F17DB"/>
    <w:rsid w:val="001F1D8F"/>
    <w:rsid w:val="001F2120"/>
    <w:rsid w:val="001F278D"/>
    <w:rsid w:val="001F2C8B"/>
    <w:rsid w:val="001F2F82"/>
    <w:rsid w:val="001F495C"/>
    <w:rsid w:val="001F4A51"/>
    <w:rsid w:val="001F4BD7"/>
    <w:rsid w:val="001F59C6"/>
    <w:rsid w:val="001F6B09"/>
    <w:rsid w:val="001F6E34"/>
    <w:rsid w:val="001F7320"/>
    <w:rsid w:val="001F74EF"/>
    <w:rsid w:val="001F75A8"/>
    <w:rsid w:val="001F7DDA"/>
    <w:rsid w:val="001F7DE3"/>
    <w:rsid w:val="001F7EAA"/>
    <w:rsid w:val="002003D5"/>
    <w:rsid w:val="0020045A"/>
    <w:rsid w:val="00200630"/>
    <w:rsid w:val="00200792"/>
    <w:rsid w:val="00200C9E"/>
    <w:rsid w:val="00200D1D"/>
    <w:rsid w:val="00200DF5"/>
    <w:rsid w:val="0020130B"/>
    <w:rsid w:val="00201352"/>
    <w:rsid w:val="0020160A"/>
    <w:rsid w:val="00201AF5"/>
    <w:rsid w:val="00202244"/>
    <w:rsid w:val="00202466"/>
    <w:rsid w:val="0020267C"/>
    <w:rsid w:val="00202E63"/>
    <w:rsid w:val="00202E7C"/>
    <w:rsid w:val="002031E2"/>
    <w:rsid w:val="00203279"/>
    <w:rsid w:val="0020346C"/>
    <w:rsid w:val="002034FF"/>
    <w:rsid w:val="002037DD"/>
    <w:rsid w:val="00203877"/>
    <w:rsid w:val="0020397D"/>
    <w:rsid w:val="00203982"/>
    <w:rsid w:val="00204316"/>
    <w:rsid w:val="00204534"/>
    <w:rsid w:val="002046A3"/>
    <w:rsid w:val="002046F4"/>
    <w:rsid w:val="002048FD"/>
    <w:rsid w:val="00204EA2"/>
    <w:rsid w:val="00205B0C"/>
    <w:rsid w:val="00205D5C"/>
    <w:rsid w:val="00206632"/>
    <w:rsid w:val="00206AB2"/>
    <w:rsid w:val="00206CF6"/>
    <w:rsid w:val="00206FA6"/>
    <w:rsid w:val="00206FF4"/>
    <w:rsid w:val="00207027"/>
    <w:rsid w:val="00207076"/>
    <w:rsid w:val="0020743B"/>
    <w:rsid w:val="002075A7"/>
    <w:rsid w:val="002076E3"/>
    <w:rsid w:val="00210255"/>
    <w:rsid w:val="002108A3"/>
    <w:rsid w:val="0021125D"/>
    <w:rsid w:val="002112D8"/>
    <w:rsid w:val="002116A2"/>
    <w:rsid w:val="00211DAB"/>
    <w:rsid w:val="002123B0"/>
    <w:rsid w:val="00212A33"/>
    <w:rsid w:val="00213204"/>
    <w:rsid w:val="00213686"/>
    <w:rsid w:val="00213C39"/>
    <w:rsid w:val="00213CC7"/>
    <w:rsid w:val="00213F54"/>
    <w:rsid w:val="00214077"/>
    <w:rsid w:val="002142EF"/>
    <w:rsid w:val="002144E6"/>
    <w:rsid w:val="00214B0C"/>
    <w:rsid w:val="00214C55"/>
    <w:rsid w:val="00215250"/>
    <w:rsid w:val="002152B4"/>
    <w:rsid w:val="0021540C"/>
    <w:rsid w:val="0021593F"/>
    <w:rsid w:val="0021600D"/>
    <w:rsid w:val="002168EA"/>
    <w:rsid w:val="0021793E"/>
    <w:rsid w:val="00217BA1"/>
    <w:rsid w:val="00217F98"/>
    <w:rsid w:val="0022009C"/>
    <w:rsid w:val="002200AD"/>
    <w:rsid w:val="002203AE"/>
    <w:rsid w:val="00220660"/>
    <w:rsid w:val="00220998"/>
    <w:rsid w:val="00220BA7"/>
    <w:rsid w:val="00220E5D"/>
    <w:rsid w:val="00220EA0"/>
    <w:rsid w:val="00221034"/>
    <w:rsid w:val="002211E7"/>
    <w:rsid w:val="00221351"/>
    <w:rsid w:val="00221732"/>
    <w:rsid w:val="00221AFD"/>
    <w:rsid w:val="00221DCA"/>
    <w:rsid w:val="00221E02"/>
    <w:rsid w:val="00221FB3"/>
    <w:rsid w:val="0022231A"/>
    <w:rsid w:val="00222916"/>
    <w:rsid w:val="00222944"/>
    <w:rsid w:val="00222FCD"/>
    <w:rsid w:val="00223036"/>
    <w:rsid w:val="0022391F"/>
    <w:rsid w:val="00223AB3"/>
    <w:rsid w:val="00223C48"/>
    <w:rsid w:val="00223F06"/>
    <w:rsid w:val="00223F9C"/>
    <w:rsid w:val="00224546"/>
    <w:rsid w:val="00225574"/>
    <w:rsid w:val="002255C7"/>
    <w:rsid w:val="002256F7"/>
    <w:rsid w:val="00225D6E"/>
    <w:rsid w:val="002261AE"/>
    <w:rsid w:val="002265BE"/>
    <w:rsid w:val="002266BC"/>
    <w:rsid w:val="00226776"/>
    <w:rsid w:val="002270CD"/>
    <w:rsid w:val="00227C2C"/>
    <w:rsid w:val="00227CA6"/>
    <w:rsid w:val="00227DAF"/>
    <w:rsid w:val="0023010E"/>
    <w:rsid w:val="002301F6"/>
    <w:rsid w:val="0023051E"/>
    <w:rsid w:val="00230654"/>
    <w:rsid w:val="002307B9"/>
    <w:rsid w:val="00231315"/>
    <w:rsid w:val="002315FE"/>
    <w:rsid w:val="002316A6"/>
    <w:rsid w:val="0023172B"/>
    <w:rsid w:val="00231CB7"/>
    <w:rsid w:val="0023220D"/>
    <w:rsid w:val="0023287D"/>
    <w:rsid w:val="002329C2"/>
    <w:rsid w:val="00232EF8"/>
    <w:rsid w:val="00232FF1"/>
    <w:rsid w:val="002339D2"/>
    <w:rsid w:val="00233A07"/>
    <w:rsid w:val="00233E54"/>
    <w:rsid w:val="00234059"/>
    <w:rsid w:val="0023410F"/>
    <w:rsid w:val="002342B7"/>
    <w:rsid w:val="00234476"/>
    <w:rsid w:val="00234489"/>
    <w:rsid w:val="002348DC"/>
    <w:rsid w:val="00234D53"/>
    <w:rsid w:val="00235279"/>
    <w:rsid w:val="0023538B"/>
    <w:rsid w:val="0023539B"/>
    <w:rsid w:val="0023555B"/>
    <w:rsid w:val="002362A3"/>
    <w:rsid w:val="00236353"/>
    <w:rsid w:val="0023653D"/>
    <w:rsid w:val="00236684"/>
    <w:rsid w:val="002369BE"/>
    <w:rsid w:val="00236B7D"/>
    <w:rsid w:val="00236D50"/>
    <w:rsid w:val="0023706C"/>
    <w:rsid w:val="00237308"/>
    <w:rsid w:val="002373D5"/>
    <w:rsid w:val="00237896"/>
    <w:rsid w:val="002402BD"/>
    <w:rsid w:val="0024050D"/>
    <w:rsid w:val="00240752"/>
    <w:rsid w:val="00240DAF"/>
    <w:rsid w:val="002410A7"/>
    <w:rsid w:val="0024164C"/>
    <w:rsid w:val="0024190F"/>
    <w:rsid w:val="002420FF"/>
    <w:rsid w:val="002423FD"/>
    <w:rsid w:val="002424CE"/>
    <w:rsid w:val="002430C7"/>
    <w:rsid w:val="002432E8"/>
    <w:rsid w:val="00243ED6"/>
    <w:rsid w:val="00243F2B"/>
    <w:rsid w:val="002440CF"/>
    <w:rsid w:val="00244128"/>
    <w:rsid w:val="002446B5"/>
    <w:rsid w:val="0024526D"/>
    <w:rsid w:val="0024565D"/>
    <w:rsid w:val="00245EBB"/>
    <w:rsid w:val="002460C0"/>
    <w:rsid w:val="00246749"/>
    <w:rsid w:val="00246BC2"/>
    <w:rsid w:val="00246BDB"/>
    <w:rsid w:val="00246DCC"/>
    <w:rsid w:val="00246F73"/>
    <w:rsid w:val="00247384"/>
    <w:rsid w:val="00247ACE"/>
    <w:rsid w:val="00250035"/>
    <w:rsid w:val="002503AB"/>
    <w:rsid w:val="002504A7"/>
    <w:rsid w:val="0025072E"/>
    <w:rsid w:val="002507D5"/>
    <w:rsid w:val="00250ADB"/>
    <w:rsid w:val="00251132"/>
    <w:rsid w:val="00251351"/>
    <w:rsid w:val="0025149B"/>
    <w:rsid w:val="0025173D"/>
    <w:rsid w:val="00251DAB"/>
    <w:rsid w:val="002522C2"/>
    <w:rsid w:val="00252730"/>
    <w:rsid w:val="002528F4"/>
    <w:rsid w:val="00252B5E"/>
    <w:rsid w:val="00252BC4"/>
    <w:rsid w:val="0025303C"/>
    <w:rsid w:val="002531D9"/>
    <w:rsid w:val="002532CD"/>
    <w:rsid w:val="002535BF"/>
    <w:rsid w:val="00253A56"/>
    <w:rsid w:val="00253AB7"/>
    <w:rsid w:val="00254050"/>
    <w:rsid w:val="00254286"/>
    <w:rsid w:val="002542C4"/>
    <w:rsid w:val="00254A92"/>
    <w:rsid w:val="00254BB6"/>
    <w:rsid w:val="00254BCB"/>
    <w:rsid w:val="002551BA"/>
    <w:rsid w:val="002552CF"/>
    <w:rsid w:val="0025532D"/>
    <w:rsid w:val="00255769"/>
    <w:rsid w:val="002558C1"/>
    <w:rsid w:val="00255C86"/>
    <w:rsid w:val="00255E89"/>
    <w:rsid w:val="002562E2"/>
    <w:rsid w:val="00256583"/>
    <w:rsid w:val="002567A1"/>
    <w:rsid w:val="0025686C"/>
    <w:rsid w:val="00256BC5"/>
    <w:rsid w:val="00256EEB"/>
    <w:rsid w:val="002571B8"/>
    <w:rsid w:val="0025730C"/>
    <w:rsid w:val="00257361"/>
    <w:rsid w:val="00257805"/>
    <w:rsid w:val="00257B4D"/>
    <w:rsid w:val="00257CDE"/>
    <w:rsid w:val="00257E22"/>
    <w:rsid w:val="00260426"/>
    <w:rsid w:val="002608A8"/>
    <w:rsid w:val="002625B1"/>
    <w:rsid w:val="0026267C"/>
    <w:rsid w:val="00262FB9"/>
    <w:rsid w:val="0026308B"/>
    <w:rsid w:val="00263445"/>
    <w:rsid w:val="002639F9"/>
    <w:rsid w:val="00263CB9"/>
    <w:rsid w:val="00263CBC"/>
    <w:rsid w:val="00263D38"/>
    <w:rsid w:val="00263F56"/>
    <w:rsid w:val="00263F5E"/>
    <w:rsid w:val="00263FA2"/>
    <w:rsid w:val="002643F7"/>
    <w:rsid w:val="00264714"/>
    <w:rsid w:val="002647C3"/>
    <w:rsid w:val="002648DF"/>
    <w:rsid w:val="00264C44"/>
    <w:rsid w:val="002652D6"/>
    <w:rsid w:val="0026563D"/>
    <w:rsid w:val="00265D85"/>
    <w:rsid w:val="0026602B"/>
    <w:rsid w:val="00266100"/>
    <w:rsid w:val="00266217"/>
    <w:rsid w:val="00266218"/>
    <w:rsid w:val="0026623F"/>
    <w:rsid w:val="00266472"/>
    <w:rsid w:val="00266581"/>
    <w:rsid w:val="00266953"/>
    <w:rsid w:val="00266A3D"/>
    <w:rsid w:val="00266B6D"/>
    <w:rsid w:val="00266C0C"/>
    <w:rsid w:val="00267924"/>
    <w:rsid w:val="00267D2F"/>
    <w:rsid w:val="0027012B"/>
    <w:rsid w:val="0027040D"/>
    <w:rsid w:val="00270B95"/>
    <w:rsid w:val="00270CB2"/>
    <w:rsid w:val="00270CDE"/>
    <w:rsid w:val="00271675"/>
    <w:rsid w:val="0027192B"/>
    <w:rsid w:val="00271AC8"/>
    <w:rsid w:val="00271B4C"/>
    <w:rsid w:val="00271F5D"/>
    <w:rsid w:val="0027215F"/>
    <w:rsid w:val="00272594"/>
    <w:rsid w:val="002728AF"/>
    <w:rsid w:val="0027296B"/>
    <w:rsid w:val="00273A64"/>
    <w:rsid w:val="00273B95"/>
    <w:rsid w:val="00273D7E"/>
    <w:rsid w:val="00273EDE"/>
    <w:rsid w:val="00274A86"/>
    <w:rsid w:val="00274BD0"/>
    <w:rsid w:val="00274D89"/>
    <w:rsid w:val="002752EE"/>
    <w:rsid w:val="002753DC"/>
    <w:rsid w:val="002756BE"/>
    <w:rsid w:val="002756DB"/>
    <w:rsid w:val="00275A26"/>
    <w:rsid w:val="00275A73"/>
    <w:rsid w:val="00275C4D"/>
    <w:rsid w:val="002767A2"/>
    <w:rsid w:val="00276B49"/>
    <w:rsid w:val="00276E23"/>
    <w:rsid w:val="00277145"/>
    <w:rsid w:val="00277CF3"/>
    <w:rsid w:val="002800AE"/>
    <w:rsid w:val="00280124"/>
    <w:rsid w:val="002801A0"/>
    <w:rsid w:val="0028033C"/>
    <w:rsid w:val="002804FA"/>
    <w:rsid w:val="0028057B"/>
    <w:rsid w:val="002806D4"/>
    <w:rsid w:val="00280B3A"/>
    <w:rsid w:val="00280BBE"/>
    <w:rsid w:val="00280C95"/>
    <w:rsid w:val="00280F23"/>
    <w:rsid w:val="00281262"/>
    <w:rsid w:val="002812AE"/>
    <w:rsid w:val="0028134B"/>
    <w:rsid w:val="00281460"/>
    <w:rsid w:val="002819AF"/>
    <w:rsid w:val="00281FA5"/>
    <w:rsid w:val="00281FE6"/>
    <w:rsid w:val="00282726"/>
    <w:rsid w:val="00283160"/>
    <w:rsid w:val="00283254"/>
    <w:rsid w:val="00283A2B"/>
    <w:rsid w:val="00283F17"/>
    <w:rsid w:val="00284571"/>
    <w:rsid w:val="00284831"/>
    <w:rsid w:val="00284AA1"/>
    <w:rsid w:val="00284B77"/>
    <w:rsid w:val="00284E7D"/>
    <w:rsid w:val="00285144"/>
    <w:rsid w:val="00285331"/>
    <w:rsid w:val="00285427"/>
    <w:rsid w:val="0028558E"/>
    <w:rsid w:val="002856D0"/>
    <w:rsid w:val="0028580D"/>
    <w:rsid w:val="00285E5B"/>
    <w:rsid w:val="00286151"/>
    <w:rsid w:val="00286539"/>
    <w:rsid w:val="002865CA"/>
    <w:rsid w:val="00286BA7"/>
    <w:rsid w:val="00286C6A"/>
    <w:rsid w:val="00286DC0"/>
    <w:rsid w:val="002873D8"/>
    <w:rsid w:val="002878B7"/>
    <w:rsid w:val="00290084"/>
    <w:rsid w:val="002900AB"/>
    <w:rsid w:val="00290419"/>
    <w:rsid w:val="002906ED"/>
    <w:rsid w:val="0029123F"/>
    <w:rsid w:val="00291245"/>
    <w:rsid w:val="002916DD"/>
    <w:rsid w:val="002918F4"/>
    <w:rsid w:val="00291C94"/>
    <w:rsid w:val="00292500"/>
    <w:rsid w:val="002926C2"/>
    <w:rsid w:val="00292C17"/>
    <w:rsid w:val="00292E39"/>
    <w:rsid w:val="00293449"/>
    <w:rsid w:val="00293488"/>
    <w:rsid w:val="002934BC"/>
    <w:rsid w:val="00293548"/>
    <w:rsid w:val="00293554"/>
    <w:rsid w:val="00293661"/>
    <w:rsid w:val="00293CD7"/>
    <w:rsid w:val="00293D00"/>
    <w:rsid w:val="00293D15"/>
    <w:rsid w:val="00293EA2"/>
    <w:rsid w:val="00294062"/>
    <w:rsid w:val="0029411C"/>
    <w:rsid w:val="00294788"/>
    <w:rsid w:val="002949F2"/>
    <w:rsid w:val="00294B97"/>
    <w:rsid w:val="002953E4"/>
    <w:rsid w:val="00295DBC"/>
    <w:rsid w:val="00295FFC"/>
    <w:rsid w:val="00297210"/>
    <w:rsid w:val="0029732D"/>
    <w:rsid w:val="0029772C"/>
    <w:rsid w:val="00297BCE"/>
    <w:rsid w:val="00297F59"/>
    <w:rsid w:val="00297FF0"/>
    <w:rsid w:val="002A043E"/>
    <w:rsid w:val="002A0D0B"/>
    <w:rsid w:val="002A0F75"/>
    <w:rsid w:val="002A0FCB"/>
    <w:rsid w:val="002A1020"/>
    <w:rsid w:val="002A10CB"/>
    <w:rsid w:val="002A1626"/>
    <w:rsid w:val="002A1748"/>
    <w:rsid w:val="002A1A21"/>
    <w:rsid w:val="002A1C02"/>
    <w:rsid w:val="002A1C47"/>
    <w:rsid w:val="002A20E0"/>
    <w:rsid w:val="002A2123"/>
    <w:rsid w:val="002A216E"/>
    <w:rsid w:val="002A249C"/>
    <w:rsid w:val="002A2E33"/>
    <w:rsid w:val="002A349A"/>
    <w:rsid w:val="002A351A"/>
    <w:rsid w:val="002A39E7"/>
    <w:rsid w:val="002A40F4"/>
    <w:rsid w:val="002A43B2"/>
    <w:rsid w:val="002A452D"/>
    <w:rsid w:val="002A477D"/>
    <w:rsid w:val="002A496D"/>
    <w:rsid w:val="002A5AFB"/>
    <w:rsid w:val="002A5DA1"/>
    <w:rsid w:val="002A5E0D"/>
    <w:rsid w:val="002A5F66"/>
    <w:rsid w:val="002A5FB0"/>
    <w:rsid w:val="002A6236"/>
    <w:rsid w:val="002A63F6"/>
    <w:rsid w:val="002A66C4"/>
    <w:rsid w:val="002A6841"/>
    <w:rsid w:val="002A69BD"/>
    <w:rsid w:val="002A6D09"/>
    <w:rsid w:val="002A7168"/>
    <w:rsid w:val="002A747D"/>
    <w:rsid w:val="002A7662"/>
    <w:rsid w:val="002A78D6"/>
    <w:rsid w:val="002A7AB1"/>
    <w:rsid w:val="002A7E8A"/>
    <w:rsid w:val="002B042F"/>
    <w:rsid w:val="002B09DF"/>
    <w:rsid w:val="002B0A18"/>
    <w:rsid w:val="002B0CBE"/>
    <w:rsid w:val="002B0D30"/>
    <w:rsid w:val="002B1232"/>
    <w:rsid w:val="002B1330"/>
    <w:rsid w:val="002B13A9"/>
    <w:rsid w:val="002B142B"/>
    <w:rsid w:val="002B1792"/>
    <w:rsid w:val="002B17EC"/>
    <w:rsid w:val="002B18FC"/>
    <w:rsid w:val="002B1993"/>
    <w:rsid w:val="002B212D"/>
    <w:rsid w:val="002B21C4"/>
    <w:rsid w:val="002B32EC"/>
    <w:rsid w:val="002B33A6"/>
    <w:rsid w:val="002B399A"/>
    <w:rsid w:val="002B3FC6"/>
    <w:rsid w:val="002B42E0"/>
    <w:rsid w:val="002B5548"/>
    <w:rsid w:val="002B55A4"/>
    <w:rsid w:val="002B5767"/>
    <w:rsid w:val="002B5892"/>
    <w:rsid w:val="002B58EC"/>
    <w:rsid w:val="002B5979"/>
    <w:rsid w:val="002B5AF6"/>
    <w:rsid w:val="002B5B51"/>
    <w:rsid w:val="002B5F3D"/>
    <w:rsid w:val="002B6320"/>
    <w:rsid w:val="002B6536"/>
    <w:rsid w:val="002B6579"/>
    <w:rsid w:val="002B6A76"/>
    <w:rsid w:val="002B6BEA"/>
    <w:rsid w:val="002B6E9E"/>
    <w:rsid w:val="002B7E65"/>
    <w:rsid w:val="002C0041"/>
    <w:rsid w:val="002C0374"/>
    <w:rsid w:val="002C0B40"/>
    <w:rsid w:val="002C0B7A"/>
    <w:rsid w:val="002C0CA0"/>
    <w:rsid w:val="002C109F"/>
    <w:rsid w:val="002C1AA9"/>
    <w:rsid w:val="002C1DCF"/>
    <w:rsid w:val="002C24E6"/>
    <w:rsid w:val="002C254E"/>
    <w:rsid w:val="002C2A3A"/>
    <w:rsid w:val="002C2AFE"/>
    <w:rsid w:val="002C329E"/>
    <w:rsid w:val="002C336C"/>
    <w:rsid w:val="002C3439"/>
    <w:rsid w:val="002C37C1"/>
    <w:rsid w:val="002C3C15"/>
    <w:rsid w:val="002C3C8F"/>
    <w:rsid w:val="002C4108"/>
    <w:rsid w:val="002C428D"/>
    <w:rsid w:val="002C43F2"/>
    <w:rsid w:val="002C45D0"/>
    <w:rsid w:val="002C4749"/>
    <w:rsid w:val="002C4844"/>
    <w:rsid w:val="002C492B"/>
    <w:rsid w:val="002C4B26"/>
    <w:rsid w:val="002C4E93"/>
    <w:rsid w:val="002C4FD7"/>
    <w:rsid w:val="002C4FE8"/>
    <w:rsid w:val="002C520F"/>
    <w:rsid w:val="002C544D"/>
    <w:rsid w:val="002C550E"/>
    <w:rsid w:val="002C5B59"/>
    <w:rsid w:val="002C5DA3"/>
    <w:rsid w:val="002C646B"/>
    <w:rsid w:val="002C66F5"/>
    <w:rsid w:val="002C6EA1"/>
    <w:rsid w:val="002C717B"/>
    <w:rsid w:val="002C75F0"/>
    <w:rsid w:val="002C77FC"/>
    <w:rsid w:val="002C798C"/>
    <w:rsid w:val="002C7C95"/>
    <w:rsid w:val="002C7E38"/>
    <w:rsid w:val="002C7F3F"/>
    <w:rsid w:val="002D0DB5"/>
    <w:rsid w:val="002D118E"/>
    <w:rsid w:val="002D193E"/>
    <w:rsid w:val="002D1A5B"/>
    <w:rsid w:val="002D1D9B"/>
    <w:rsid w:val="002D208D"/>
    <w:rsid w:val="002D21C5"/>
    <w:rsid w:val="002D2369"/>
    <w:rsid w:val="002D239D"/>
    <w:rsid w:val="002D240F"/>
    <w:rsid w:val="002D2416"/>
    <w:rsid w:val="002D2614"/>
    <w:rsid w:val="002D2A78"/>
    <w:rsid w:val="002D2E27"/>
    <w:rsid w:val="002D31E4"/>
    <w:rsid w:val="002D339F"/>
    <w:rsid w:val="002D3795"/>
    <w:rsid w:val="002D3BDF"/>
    <w:rsid w:val="002D3CA8"/>
    <w:rsid w:val="002D4001"/>
    <w:rsid w:val="002D405B"/>
    <w:rsid w:val="002D41DE"/>
    <w:rsid w:val="002D4371"/>
    <w:rsid w:val="002D48E9"/>
    <w:rsid w:val="002D494C"/>
    <w:rsid w:val="002D537C"/>
    <w:rsid w:val="002D539C"/>
    <w:rsid w:val="002D5E88"/>
    <w:rsid w:val="002D6129"/>
    <w:rsid w:val="002D693F"/>
    <w:rsid w:val="002D6D54"/>
    <w:rsid w:val="002D6EAA"/>
    <w:rsid w:val="002D728E"/>
    <w:rsid w:val="002E012E"/>
    <w:rsid w:val="002E0228"/>
    <w:rsid w:val="002E02C6"/>
    <w:rsid w:val="002E0E48"/>
    <w:rsid w:val="002E104B"/>
    <w:rsid w:val="002E1D37"/>
    <w:rsid w:val="002E20A4"/>
    <w:rsid w:val="002E2418"/>
    <w:rsid w:val="002E2676"/>
    <w:rsid w:val="002E2CAB"/>
    <w:rsid w:val="002E3228"/>
    <w:rsid w:val="002E37B1"/>
    <w:rsid w:val="002E38A8"/>
    <w:rsid w:val="002E3B47"/>
    <w:rsid w:val="002E42FB"/>
    <w:rsid w:val="002E43E0"/>
    <w:rsid w:val="002E454F"/>
    <w:rsid w:val="002E4586"/>
    <w:rsid w:val="002E4D59"/>
    <w:rsid w:val="002E4EF0"/>
    <w:rsid w:val="002E50D4"/>
    <w:rsid w:val="002E5283"/>
    <w:rsid w:val="002E5C68"/>
    <w:rsid w:val="002E6392"/>
    <w:rsid w:val="002E67FE"/>
    <w:rsid w:val="002E6B6B"/>
    <w:rsid w:val="002E6DFF"/>
    <w:rsid w:val="002E6F6B"/>
    <w:rsid w:val="002E7086"/>
    <w:rsid w:val="002E784C"/>
    <w:rsid w:val="002E798D"/>
    <w:rsid w:val="002E7B51"/>
    <w:rsid w:val="002F0242"/>
    <w:rsid w:val="002F0274"/>
    <w:rsid w:val="002F04F2"/>
    <w:rsid w:val="002F07A8"/>
    <w:rsid w:val="002F07B2"/>
    <w:rsid w:val="002F0AFA"/>
    <w:rsid w:val="002F0DA3"/>
    <w:rsid w:val="002F0F27"/>
    <w:rsid w:val="002F0FA8"/>
    <w:rsid w:val="002F10B7"/>
    <w:rsid w:val="002F1184"/>
    <w:rsid w:val="002F146F"/>
    <w:rsid w:val="002F1B68"/>
    <w:rsid w:val="002F2165"/>
    <w:rsid w:val="002F26F3"/>
    <w:rsid w:val="002F2ACC"/>
    <w:rsid w:val="002F2F89"/>
    <w:rsid w:val="002F34A7"/>
    <w:rsid w:val="002F359E"/>
    <w:rsid w:val="002F3D1B"/>
    <w:rsid w:val="002F42B5"/>
    <w:rsid w:val="002F4789"/>
    <w:rsid w:val="002F4A73"/>
    <w:rsid w:val="002F4A92"/>
    <w:rsid w:val="002F4EC9"/>
    <w:rsid w:val="002F513A"/>
    <w:rsid w:val="002F5A66"/>
    <w:rsid w:val="002F6165"/>
    <w:rsid w:val="002F65C7"/>
    <w:rsid w:val="002F6FA4"/>
    <w:rsid w:val="002F7214"/>
    <w:rsid w:val="002F7320"/>
    <w:rsid w:val="002F765C"/>
    <w:rsid w:val="002F7714"/>
    <w:rsid w:val="002F79B0"/>
    <w:rsid w:val="002F7A71"/>
    <w:rsid w:val="002F7B88"/>
    <w:rsid w:val="002F7D0C"/>
    <w:rsid w:val="003006D5"/>
    <w:rsid w:val="00300761"/>
    <w:rsid w:val="00300893"/>
    <w:rsid w:val="00300D15"/>
    <w:rsid w:val="0030109A"/>
    <w:rsid w:val="00301A21"/>
    <w:rsid w:val="00301AD6"/>
    <w:rsid w:val="00302139"/>
    <w:rsid w:val="003021A9"/>
    <w:rsid w:val="003021D8"/>
    <w:rsid w:val="003024C7"/>
    <w:rsid w:val="00302582"/>
    <w:rsid w:val="0030260E"/>
    <w:rsid w:val="00302BC7"/>
    <w:rsid w:val="00302CA8"/>
    <w:rsid w:val="00302E4A"/>
    <w:rsid w:val="00302E6C"/>
    <w:rsid w:val="00303092"/>
    <w:rsid w:val="0030347E"/>
    <w:rsid w:val="003034A0"/>
    <w:rsid w:val="00303592"/>
    <w:rsid w:val="003036CF"/>
    <w:rsid w:val="003036E6"/>
    <w:rsid w:val="003038BC"/>
    <w:rsid w:val="00303965"/>
    <w:rsid w:val="00303AD2"/>
    <w:rsid w:val="00303C1A"/>
    <w:rsid w:val="00303E1A"/>
    <w:rsid w:val="0030400B"/>
    <w:rsid w:val="0030402D"/>
    <w:rsid w:val="00304CE9"/>
    <w:rsid w:val="00304F03"/>
    <w:rsid w:val="00304FB2"/>
    <w:rsid w:val="00305567"/>
    <w:rsid w:val="00305689"/>
    <w:rsid w:val="003057D3"/>
    <w:rsid w:val="00306051"/>
    <w:rsid w:val="00306485"/>
    <w:rsid w:val="003067FF"/>
    <w:rsid w:val="00306829"/>
    <w:rsid w:val="00306835"/>
    <w:rsid w:val="0030684A"/>
    <w:rsid w:val="0030685B"/>
    <w:rsid w:val="003068D8"/>
    <w:rsid w:val="003073E8"/>
    <w:rsid w:val="003076F9"/>
    <w:rsid w:val="003079F9"/>
    <w:rsid w:val="00307C49"/>
    <w:rsid w:val="00307DC8"/>
    <w:rsid w:val="00307FCC"/>
    <w:rsid w:val="00310108"/>
    <w:rsid w:val="00310690"/>
    <w:rsid w:val="003108E3"/>
    <w:rsid w:val="003117AC"/>
    <w:rsid w:val="003117BE"/>
    <w:rsid w:val="00311F2E"/>
    <w:rsid w:val="003124FB"/>
    <w:rsid w:val="00312791"/>
    <w:rsid w:val="0031298C"/>
    <w:rsid w:val="00312FC1"/>
    <w:rsid w:val="00313735"/>
    <w:rsid w:val="00313A10"/>
    <w:rsid w:val="00314C04"/>
    <w:rsid w:val="00314C3A"/>
    <w:rsid w:val="00314F91"/>
    <w:rsid w:val="00315316"/>
    <w:rsid w:val="00315599"/>
    <w:rsid w:val="003155F2"/>
    <w:rsid w:val="00315645"/>
    <w:rsid w:val="00315DB7"/>
    <w:rsid w:val="00316160"/>
    <w:rsid w:val="00316713"/>
    <w:rsid w:val="00316F7C"/>
    <w:rsid w:val="003171F1"/>
    <w:rsid w:val="00317346"/>
    <w:rsid w:val="00317ECA"/>
    <w:rsid w:val="003200BE"/>
    <w:rsid w:val="003204D8"/>
    <w:rsid w:val="00320862"/>
    <w:rsid w:val="0032094C"/>
    <w:rsid w:val="00320974"/>
    <w:rsid w:val="00320998"/>
    <w:rsid w:val="00320A42"/>
    <w:rsid w:val="003211B0"/>
    <w:rsid w:val="00321341"/>
    <w:rsid w:val="00321DB8"/>
    <w:rsid w:val="00322001"/>
    <w:rsid w:val="00322199"/>
    <w:rsid w:val="00322DAC"/>
    <w:rsid w:val="00322F6B"/>
    <w:rsid w:val="00323032"/>
    <w:rsid w:val="003231D6"/>
    <w:rsid w:val="00323369"/>
    <w:rsid w:val="00323492"/>
    <w:rsid w:val="003244CA"/>
    <w:rsid w:val="0032461A"/>
    <w:rsid w:val="00324961"/>
    <w:rsid w:val="0032511B"/>
    <w:rsid w:val="003252E4"/>
    <w:rsid w:val="003255C6"/>
    <w:rsid w:val="003256DB"/>
    <w:rsid w:val="00325D38"/>
    <w:rsid w:val="00325EE5"/>
    <w:rsid w:val="00325F17"/>
    <w:rsid w:val="00326080"/>
    <w:rsid w:val="003263A9"/>
    <w:rsid w:val="0032671C"/>
    <w:rsid w:val="0032691D"/>
    <w:rsid w:val="003269EA"/>
    <w:rsid w:val="00326B68"/>
    <w:rsid w:val="00326D2E"/>
    <w:rsid w:val="00327181"/>
    <w:rsid w:val="003274AC"/>
    <w:rsid w:val="00327A76"/>
    <w:rsid w:val="00327CDD"/>
    <w:rsid w:val="00327F4A"/>
    <w:rsid w:val="00327F7F"/>
    <w:rsid w:val="003300B2"/>
    <w:rsid w:val="003300B4"/>
    <w:rsid w:val="003301C9"/>
    <w:rsid w:val="003301CF"/>
    <w:rsid w:val="003301D9"/>
    <w:rsid w:val="003306B0"/>
    <w:rsid w:val="00330C10"/>
    <w:rsid w:val="0033127F"/>
    <w:rsid w:val="0033132A"/>
    <w:rsid w:val="003315DC"/>
    <w:rsid w:val="003320FA"/>
    <w:rsid w:val="00332D87"/>
    <w:rsid w:val="00332DCC"/>
    <w:rsid w:val="0033319E"/>
    <w:rsid w:val="00333536"/>
    <w:rsid w:val="0033354E"/>
    <w:rsid w:val="003335B9"/>
    <w:rsid w:val="00334202"/>
    <w:rsid w:val="00334207"/>
    <w:rsid w:val="003347E8"/>
    <w:rsid w:val="00334A3A"/>
    <w:rsid w:val="00334E06"/>
    <w:rsid w:val="00334E6C"/>
    <w:rsid w:val="00334F5C"/>
    <w:rsid w:val="0033510A"/>
    <w:rsid w:val="003353E9"/>
    <w:rsid w:val="003354FE"/>
    <w:rsid w:val="00335885"/>
    <w:rsid w:val="00335897"/>
    <w:rsid w:val="00335A54"/>
    <w:rsid w:val="00335B9F"/>
    <w:rsid w:val="00335FED"/>
    <w:rsid w:val="0033603F"/>
    <w:rsid w:val="003360F4"/>
    <w:rsid w:val="00336152"/>
    <w:rsid w:val="00336919"/>
    <w:rsid w:val="00336A59"/>
    <w:rsid w:val="00336C78"/>
    <w:rsid w:val="00336F21"/>
    <w:rsid w:val="00336F89"/>
    <w:rsid w:val="003373A5"/>
    <w:rsid w:val="00337526"/>
    <w:rsid w:val="0033755D"/>
    <w:rsid w:val="00337B19"/>
    <w:rsid w:val="00340286"/>
    <w:rsid w:val="0034041E"/>
    <w:rsid w:val="00340754"/>
    <w:rsid w:val="00341411"/>
    <w:rsid w:val="0034161F"/>
    <w:rsid w:val="00341BC4"/>
    <w:rsid w:val="00341BEB"/>
    <w:rsid w:val="00341DA2"/>
    <w:rsid w:val="00341DAA"/>
    <w:rsid w:val="003422E4"/>
    <w:rsid w:val="00342519"/>
    <w:rsid w:val="00342840"/>
    <w:rsid w:val="00342C5E"/>
    <w:rsid w:val="00342D98"/>
    <w:rsid w:val="00342DA9"/>
    <w:rsid w:val="003435CF"/>
    <w:rsid w:val="00343824"/>
    <w:rsid w:val="003441BC"/>
    <w:rsid w:val="003446FE"/>
    <w:rsid w:val="00344797"/>
    <w:rsid w:val="00344ADB"/>
    <w:rsid w:val="00344B6F"/>
    <w:rsid w:val="00344BA0"/>
    <w:rsid w:val="00344FFC"/>
    <w:rsid w:val="0034598C"/>
    <w:rsid w:val="00345F3A"/>
    <w:rsid w:val="003460F6"/>
    <w:rsid w:val="003462E7"/>
    <w:rsid w:val="00346423"/>
    <w:rsid w:val="00346464"/>
    <w:rsid w:val="0034695C"/>
    <w:rsid w:val="00346FF5"/>
    <w:rsid w:val="0034765D"/>
    <w:rsid w:val="003501D4"/>
    <w:rsid w:val="00350314"/>
    <w:rsid w:val="00350430"/>
    <w:rsid w:val="003504BE"/>
    <w:rsid w:val="0035060B"/>
    <w:rsid w:val="0035084D"/>
    <w:rsid w:val="003509F2"/>
    <w:rsid w:val="00350AD0"/>
    <w:rsid w:val="00350CBC"/>
    <w:rsid w:val="00350D2D"/>
    <w:rsid w:val="00350E83"/>
    <w:rsid w:val="00350F49"/>
    <w:rsid w:val="00350F7B"/>
    <w:rsid w:val="00350FAB"/>
    <w:rsid w:val="003512BE"/>
    <w:rsid w:val="00351BD1"/>
    <w:rsid w:val="00351EF5"/>
    <w:rsid w:val="0035212A"/>
    <w:rsid w:val="0035230C"/>
    <w:rsid w:val="00352389"/>
    <w:rsid w:val="003524F2"/>
    <w:rsid w:val="0035255F"/>
    <w:rsid w:val="003526AF"/>
    <w:rsid w:val="003527CF"/>
    <w:rsid w:val="00352C28"/>
    <w:rsid w:val="00352D88"/>
    <w:rsid w:val="00353278"/>
    <w:rsid w:val="00353572"/>
    <w:rsid w:val="00353E99"/>
    <w:rsid w:val="00353F9C"/>
    <w:rsid w:val="003540F3"/>
    <w:rsid w:val="00354548"/>
    <w:rsid w:val="0035466C"/>
    <w:rsid w:val="00354769"/>
    <w:rsid w:val="00354DAA"/>
    <w:rsid w:val="00354EE3"/>
    <w:rsid w:val="00355126"/>
    <w:rsid w:val="003551B1"/>
    <w:rsid w:val="003555DE"/>
    <w:rsid w:val="00355664"/>
    <w:rsid w:val="0035574F"/>
    <w:rsid w:val="003557A8"/>
    <w:rsid w:val="003557AC"/>
    <w:rsid w:val="00355DDA"/>
    <w:rsid w:val="003562AB"/>
    <w:rsid w:val="003568A8"/>
    <w:rsid w:val="0035706D"/>
    <w:rsid w:val="00357662"/>
    <w:rsid w:val="00357777"/>
    <w:rsid w:val="003578A6"/>
    <w:rsid w:val="0036024B"/>
    <w:rsid w:val="00360DDE"/>
    <w:rsid w:val="00361519"/>
    <w:rsid w:val="003615E5"/>
    <w:rsid w:val="00361658"/>
    <w:rsid w:val="003617AA"/>
    <w:rsid w:val="00361982"/>
    <w:rsid w:val="003621E5"/>
    <w:rsid w:val="0036246C"/>
    <w:rsid w:val="00362925"/>
    <w:rsid w:val="00362A7E"/>
    <w:rsid w:val="003633AA"/>
    <w:rsid w:val="00363611"/>
    <w:rsid w:val="003636F5"/>
    <w:rsid w:val="00363E88"/>
    <w:rsid w:val="0036442C"/>
    <w:rsid w:val="00364520"/>
    <w:rsid w:val="00364D87"/>
    <w:rsid w:val="0036502C"/>
    <w:rsid w:val="00366259"/>
    <w:rsid w:val="003666F2"/>
    <w:rsid w:val="00366AB8"/>
    <w:rsid w:val="00366AE7"/>
    <w:rsid w:val="00366DEC"/>
    <w:rsid w:val="0036705C"/>
    <w:rsid w:val="003670EC"/>
    <w:rsid w:val="003675C7"/>
    <w:rsid w:val="00367782"/>
    <w:rsid w:val="003679E1"/>
    <w:rsid w:val="00367B03"/>
    <w:rsid w:val="00367C87"/>
    <w:rsid w:val="00370065"/>
    <w:rsid w:val="0037010C"/>
    <w:rsid w:val="003708C7"/>
    <w:rsid w:val="00370C14"/>
    <w:rsid w:val="00371089"/>
    <w:rsid w:val="003710AE"/>
    <w:rsid w:val="003711B0"/>
    <w:rsid w:val="003711FB"/>
    <w:rsid w:val="0037159A"/>
    <w:rsid w:val="00371E6C"/>
    <w:rsid w:val="00371EA2"/>
    <w:rsid w:val="00371F4D"/>
    <w:rsid w:val="003728AB"/>
    <w:rsid w:val="00372D1F"/>
    <w:rsid w:val="00372DD9"/>
    <w:rsid w:val="0037370A"/>
    <w:rsid w:val="00373820"/>
    <w:rsid w:val="00373E6A"/>
    <w:rsid w:val="00373F22"/>
    <w:rsid w:val="00374161"/>
    <w:rsid w:val="0037467B"/>
    <w:rsid w:val="003749C4"/>
    <w:rsid w:val="003756FA"/>
    <w:rsid w:val="0037583D"/>
    <w:rsid w:val="00375BCB"/>
    <w:rsid w:val="00375D71"/>
    <w:rsid w:val="0037607B"/>
    <w:rsid w:val="00376B13"/>
    <w:rsid w:val="00376F4A"/>
    <w:rsid w:val="0037735C"/>
    <w:rsid w:val="003773AC"/>
    <w:rsid w:val="003773C4"/>
    <w:rsid w:val="00377514"/>
    <w:rsid w:val="00377656"/>
    <w:rsid w:val="00377690"/>
    <w:rsid w:val="00377A55"/>
    <w:rsid w:val="0038043A"/>
    <w:rsid w:val="0038067A"/>
    <w:rsid w:val="0038069C"/>
    <w:rsid w:val="00380755"/>
    <w:rsid w:val="0038145A"/>
    <w:rsid w:val="00381878"/>
    <w:rsid w:val="0038199E"/>
    <w:rsid w:val="00381AD6"/>
    <w:rsid w:val="00381B23"/>
    <w:rsid w:val="00381B35"/>
    <w:rsid w:val="00382240"/>
    <w:rsid w:val="0038242B"/>
    <w:rsid w:val="00382545"/>
    <w:rsid w:val="003829B7"/>
    <w:rsid w:val="00383080"/>
    <w:rsid w:val="003839B2"/>
    <w:rsid w:val="00383C34"/>
    <w:rsid w:val="00383C7F"/>
    <w:rsid w:val="00384468"/>
    <w:rsid w:val="003845CB"/>
    <w:rsid w:val="003846CB"/>
    <w:rsid w:val="00384B85"/>
    <w:rsid w:val="00384C70"/>
    <w:rsid w:val="00384C72"/>
    <w:rsid w:val="00384F0B"/>
    <w:rsid w:val="00385066"/>
    <w:rsid w:val="003854BD"/>
    <w:rsid w:val="00385624"/>
    <w:rsid w:val="00385741"/>
    <w:rsid w:val="0038585C"/>
    <w:rsid w:val="003858FC"/>
    <w:rsid w:val="00385A60"/>
    <w:rsid w:val="00385A78"/>
    <w:rsid w:val="00385C00"/>
    <w:rsid w:val="00385E41"/>
    <w:rsid w:val="00385E4A"/>
    <w:rsid w:val="00385EF5"/>
    <w:rsid w:val="00385F63"/>
    <w:rsid w:val="00386006"/>
    <w:rsid w:val="003862CB"/>
    <w:rsid w:val="003864EA"/>
    <w:rsid w:val="003865B6"/>
    <w:rsid w:val="003865BE"/>
    <w:rsid w:val="00386790"/>
    <w:rsid w:val="00386980"/>
    <w:rsid w:val="00386991"/>
    <w:rsid w:val="00386CDF"/>
    <w:rsid w:val="00386CE1"/>
    <w:rsid w:val="003872D0"/>
    <w:rsid w:val="00387367"/>
    <w:rsid w:val="0038736D"/>
    <w:rsid w:val="003879A5"/>
    <w:rsid w:val="003903C8"/>
    <w:rsid w:val="003915D5"/>
    <w:rsid w:val="00391B76"/>
    <w:rsid w:val="00391EDE"/>
    <w:rsid w:val="0039201C"/>
    <w:rsid w:val="00393040"/>
    <w:rsid w:val="00393203"/>
    <w:rsid w:val="003939D6"/>
    <w:rsid w:val="00393B17"/>
    <w:rsid w:val="00393FEE"/>
    <w:rsid w:val="00394284"/>
    <w:rsid w:val="00394839"/>
    <w:rsid w:val="0039520C"/>
    <w:rsid w:val="00395A5D"/>
    <w:rsid w:val="00395F0D"/>
    <w:rsid w:val="00396226"/>
    <w:rsid w:val="00396532"/>
    <w:rsid w:val="00396C4D"/>
    <w:rsid w:val="00396CFF"/>
    <w:rsid w:val="00396D6A"/>
    <w:rsid w:val="00396E27"/>
    <w:rsid w:val="00396F5E"/>
    <w:rsid w:val="0039774A"/>
    <w:rsid w:val="00397896"/>
    <w:rsid w:val="00397D10"/>
    <w:rsid w:val="003A061B"/>
    <w:rsid w:val="003A06A2"/>
    <w:rsid w:val="003A0767"/>
    <w:rsid w:val="003A0C0C"/>
    <w:rsid w:val="003A0E8B"/>
    <w:rsid w:val="003A14CA"/>
    <w:rsid w:val="003A17B8"/>
    <w:rsid w:val="003A1A76"/>
    <w:rsid w:val="003A1DBE"/>
    <w:rsid w:val="003A1EA2"/>
    <w:rsid w:val="003A21FC"/>
    <w:rsid w:val="003A24F6"/>
    <w:rsid w:val="003A2D52"/>
    <w:rsid w:val="003A3003"/>
    <w:rsid w:val="003A3104"/>
    <w:rsid w:val="003A3111"/>
    <w:rsid w:val="003A3408"/>
    <w:rsid w:val="003A36EB"/>
    <w:rsid w:val="003A3955"/>
    <w:rsid w:val="003A3AED"/>
    <w:rsid w:val="003A419A"/>
    <w:rsid w:val="003A4362"/>
    <w:rsid w:val="003A4752"/>
    <w:rsid w:val="003A4774"/>
    <w:rsid w:val="003A4791"/>
    <w:rsid w:val="003A4817"/>
    <w:rsid w:val="003A495E"/>
    <w:rsid w:val="003A4979"/>
    <w:rsid w:val="003A54A2"/>
    <w:rsid w:val="003A553A"/>
    <w:rsid w:val="003A559E"/>
    <w:rsid w:val="003A564F"/>
    <w:rsid w:val="003A5843"/>
    <w:rsid w:val="003A6C61"/>
    <w:rsid w:val="003A7311"/>
    <w:rsid w:val="003A7338"/>
    <w:rsid w:val="003A745F"/>
    <w:rsid w:val="003A746B"/>
    <w:rsid w:val="003A75E0"/>
    <w:rsid w:val="003A7B98"/>
    <w:rsid w:val="003B00EE"/>
    <w:rsid w:val="003B0D79"/>
    <w:rsid w:val="003B1291"/>
    <w:rsid w:val="003B148D"/>
    <w:rsid w:val="003B1C58"/>
    <w:rsid w:val="003B2738"/>
    <w:rsid w:val="003B2A11"/>
    <w:rsid w:val="003B2A8F"/>
    <w:rsid w:val="003B302E"/>
    <w:rsid w:val="003B34A9"/>
    <w:rsid w:val="003B36CD"/>
    <w:rsid w:val="003B3931"/>
    <w:rsid w:val="003B3962"/>
    <w:rsid w:val="003B397B"/>
    <w:rsid w:val="003B3AC6"/>
    <w:rsid w:val="003B40CC"/>
    <w:rsid w:val="003B42B5"/>
    <w:rsid w:val="003B4642"/>
    <w:rsid w:val="003B4B46"/>
    <w:rsid w:val="003B518D"/>
    <w:rsid w:val="003B58E9"/>
    <w:rsid w:val="003B5ADA"/>
    <w:rsid w:val="003B6069"/>
    <w:rsid w:val="003B60A8"/>
    <w:rsid w:val="003B61E5"/>
    <w:rsid w:val="003B6BDC"/>
    <w:rsid w:val="003B6CD2"/>
    <w:rsid w:val="003B7729"/>
    <w:rsid w:val="003B795B"/>
    <w:rsid w:val="003B7984"/>
    <w:rsid w:val="003B7AC4"/>
    <w:rsid w:val="003B7E90"/>
    <w:rsid w:val="003C00AD"/>
    <w:rsid w:val="003C02F8"/>
    <w:rsid w:val="003C13A4"/>
    <w:rsid w:val="003C1696"/>
    <w:rsid w:val="003C1861"/>
    <w:rsid w:val="003C1975"/>
    <w:rsid w:val="003C1C06"/>
    <w:rsid w:val="003C23C5"/>
    <w:rsid w:val="003C2652"/>
    <w:rsid w:val="003C2783"/>
    <w:rsid w:val="003C2B03"/>
    <w:rsid w:val="003C2DEA"/>
    <w:rsid w:val="003C2E5E"/>
    <w:rsid w:val="003C31C5"/>
    <w:rsid w:val="003C32EF"/>
    <w:rsid w:val="003C33AE"/>
    <w:rsid w:val="003C38E8"/>
    <w:rsid w:val="003C3C76"/>
    <w:rsid w:val="003C400E"/>
    <w:rsid w:val="003C40F2"/>
    <w:rsid w:val="003C4224"/>
    <w:rsid w:val="003C43B7"/>
    <w:rsid w:val="003C4435"/>
    <w:rsid w:val="003C4581"/>
    <w:rsid w:val="003C49BF"/>
    <w:rsid w:val="003C4ABB"/>
    <w:rsid w:val="003C519C"/>
    <w:rsid w:val="003C53D8"/>
    <w:rsid w:val="003C55FA"/>
    <w:rsid w:val="003C584C"/>
    <w:rsid w:val="003C5961"/>
    <w:rsid w:val="003C5A32"/>
    <w:rsid w:val="003C5EF4"/>
    <w:rsid w:val="003C6048"/>
    <w:rsid w:val="003C63FD"/>
    <w:rsid w:val="003C65F3"/>
    <w:rsid w:val="003C69EF"/>
    <w:rsid w:val="003C6F0A"/>
    <w:rsid w:val="003C7B34"/>
    <w:rsid w:val="003C7CCD"/>
    <w:rsid w:val="003D07F9"/>
    <w:rsid w:val="003D0878"/>
    <w:rsid w:val="003D0890"/>
    <w:rsid w:val="003D08D1"/>
    <w:rsid w:val="003D092F"/>
    <w:rsid w:val="003D0E63"/>
    <w:rsid w:val="003D15F7"/>
    <w:rsid w:val="003D1863"/>
    <w:rsid w:val="003D1CAD"/>
    <w:rsid w:val="003D1D7A"/>
    <w:rsid w:val="003D1DF6"/>
    <w:rsid w:val="003D1E78"/>
    <w:rsid w:val="003D249C"/>
    <w:rsid w:val="003D25D0"/>
    <w:rsid w:val="003D279C"/>
    <w:rsid w:val="003D28BE"/>
    <w:rsid w:val="003D2D4D"/>
    <w:rsid w:val="003D2FD5"/>
    <w:rsid w:val="003D3385"/>
    <w:rsid w:val="003D351F"/>
    <w:rsid w:val="003D3945"/>
    <w:rsid w:val="003D3AB4"/>
    <w:rsid w:val="003D3B07"/>
    <w:rsid w:val="003D4403"/>
    <w:rsid w:val="003D47DB"/>
    <w:rsid w:val="003D4A56"/>
    <w:rsid w:val="003D4BF7"/>
    <w:rsid w:val="003D4E09"/>
    <w:rsid w:val="003D517C"/>
    <w:rsid w:val="003D5599"/>
    <w:rsid w:val="003D5E0E"/>
    <w:rsid w:val="003D5F05"/>
    <w:rsid w:val="003D61BE"/>
    <w:rsid w:val="003D6258"/>
    <w:rsid w:val="003D6383"/>
    <w:rsid w:val="003D6477"/>
    <w:rsid w:val="003D6552"/>
    <w:rsid w:val="003D655F"/>
    <w:rsid w:val="003D6625"/>
    <w:rsid w:val="003D682A"/>
    <w:rsid w:val="003D69A1"/>
    <w:rsid w:val="003D69C9"/>
    <w:rsid w:val="003D6DEC"/>
    <w:rsid w:val="003D6DFE"/>
    <w:rsid w:val="003D6F5B"/>
    <w:rsid w:val="003D7156"/>
    <w:rsid w:val="003D7978"/>
    <w:rsid w:val="003D7B46"/>
    <w:rsid w:val="003D7C66"/>
    <w:rsid w:val="003D7F77"/>
    <w:rsid w:val="003E027E"/>
    <w:rsid w:val="003E02DC"/>
    <w:rsid w:val="003E05AF"/>
    <w:rsid w:val="003E0824"/>
    <w:rsid w:val="003E0CD2"/>
    <w:rsid w:val="003E0DF6"/>
    <w:rsid w:val="003E0EFE"/>
    <w:rsid w:val="003E1D0E"/>
    <w:rsid w:val="003E1E71"/>
    <w:rsid w:val="003E209B"/>
    <w:rsid w:val="003E21D5"/>
    <w:rsid w:val="003E24CB"/>
    <w:rsid w:val="003E2ADF"/>
    <w:rsid w:val="003E31D4"/>
    <w:rsid w:val="003E36A6"/>
    <w:rsid w:val="003E37A2"/>
    <w:rsid w:val="003E38F6"/>
    <w:rsid w:val="003E3CFC"/>
    <w:rsid w:val="003E3D5C"/>
    <w:rsid w:val="003E3DEC"/>
    <w:rsid w:val="003E3E6B"/>
    <w:rsid w:val="003E44B8"/>
    <w:rsid w:val="003E4910"/>
    <w:rsid w:val="003E51BD"/>
    <w:rsid w:val="003E5398"/>
    <w:rsid w:val="003E55F2"/>
    <w:rsid w:val="003E598A"/>
    <w:rsid w:val="003E635B"/>
    <w:rsid w:val="003E637A"/>
    <w:rsid w:val="003E661E"/>
    <w:rsid w:val="003E663B"/>
    <w:rsid w:val="003E6A64"/>
    <w:rsid w:val="003E7261"/>
    <w:rsid w:val="003E762D"/>
    <w:rsid w:val="003E7C5E"/>
    <w:rsid w:val="003F0457"/>
    <w:rsid w:val="003F0608"/>
    <w:rsid w:val="003F0E64"/>
    <w:rsid w:val="003F1035"/>
    <w:rsid w:val="003F104A"/>
    <w:rsid w:val="003F12DA"/>
    <w:rsid w:val="003F14BC"/>
    <w:rsid w:val="003F1B54"/>
    <w:rsid w:val="003F2168"/>
    <w:rsid w:val="003F2208"/>
    <w:rsid w:val="003F22D9"/>
    <w:rsid w:val="003F2426"/>
    <w:rsid w:val="003F2643"/>
    <w:rsid w:val="003F36F1"/>
    <w:rsid w:val="003F3BD5"/>
    <w:rsid w:val="003F3BE5"/>
    <w:rsid w:val="003F3DA9"/>
    <w:rsid w:val="003F44FF"/>
    <w:rsid w:val="003F505D"/>
    <w:rsid w:val="003F5D88"/>
    <w:rsid w:val="003F5DA9"/>
    <w:rsid w:val="003F5E91"/>
    <w:rsid w:val="003F6130"/>
    <w:rsid w:val="003F63C9"/>
    <w:rsid w:val="003F6CCB"/>
    <w:rsid w:val="003F6DC8"/>
    <w:rsid w:val="003F73EE"/>
    <w:rsid w:val="003F78B7"/>
    <w:rsid w:val="003F79B9"/>
    <w:rsid w:val="003F7A8E"/>
    <w:rsid w:val="00400626"/>
    <w:rsid w:val="0040085E"/>
    <w:rsid w:val="00400967"/>
    <w:rsid w:val="00400B67"/>
    <w:rsid w:val="00400E13"/>
    <w:rsid w:val="00400F51"/>
    <w:rsid w:val="00401C35"/>
    <w:rsid w:val="00401D6B"/>
    <w:rsid w:val="00401E3C"/>
    <w:rsid w:val="004028FC"/>
    <w:rsid w:val="00402DE6"/>
    <w:rsid w:val="00403294"/>
    <w:rsid w:val="0040329A"/>
    <w:rsid w:val="004039DF"/>
    <w:rsid w:val="00403C0F"/>
    <w:rsid w:val="00403E0A"/>
    <w:rsid w:val="0040433E"/>
    <w:rsid w:val="00404542"/>
    <w:rsid w:val="0040459D"/>
    <w:rsid w:val="00404B3E"/>
    <w:rsid w:val="004052A3"/>
    <w:rsid w:val="0040564C"/>
    <w:rsid w:val="00405C53"/>
    <w:rsid w:val="00405F6A"/>
    <w:rsid w:val="00406056"/>
    <w:rsid w:val="004064F7"/>
    <w:rsid w:val="00406883"/>
    <w:rsid w:val="00406B37"/>
    <w:rsid w:val="004073A5"/>
    <w:rsid w:val="00407934"/>
    <w:rsid w:val="00407E75"/>
    <w:rsid w:val="00407EA2"/>
    <w:rsid w:val="00407F62"/>
    <w:rsid w:val="004105D1"/>
    <w:rsid w:val="00410A50"/>
    <w:rsid w:val="00410E82"/>
    <w:rsid w:val="00411354"/>
    <w:rsid w:val="00411BD1"/>
    <w:rsid w:val="00411D06"/>
    <w:rsid w:val="0041204A"/>
    <w:rsid w:val="004128E3"/>
    <w:rsid w:val="00412D3B"/>
    <w:rsid w:val="00413BB9"/>
    <w:rsid w:val="004142F8"/>
    <w:rsid w:val="00414521"/>
    <w:rsid w:val="004145B2"/>
    <w:rsid w:val="00414640"/>
    <w:rsid w:val="00414B0A"/>
    <w:rsid w:val="00414DAB"/>
    <w:rsid w:val="00414F32"/>
    <w:rsid w:val="00415FE3"/>
    <w:rsid w:val="004164D9"/>
    <w:rsid w:val="00416729"/>
    <w:rsid w:val="004169E7"/>
    <w:rsid w:val="00416A57"/>
    <w:rsid w:val="00416B59"/>
    <w:rsid w:val="00416BC1"/>
    <w:rsid w:val="00416C39"/>
    <w:rsid w:val="00416EC3"/>
    <w:rsid w:val="00416FA1"/>
    <w:rsid w:val="00416FBB"/>
    <w:rsid w:val="00417396"/>
    <w:rsid w:val="004173E7"/>
    <w:rsid w:val="00417792"/>
    <w:rsid w:val="004177F3"/>
    <w:rsid w:val="004202FB"/>
    <w:rsid w:val="004203B1"/>
    <w:rsid w:val="00420581"/>
    <w:rsid w:val="00420888"/>
    <w:rsid w:val="00420A36"/>
    <w:rsid w:val="00421089"/>
    <w:rsid w:val="004210D7"/>
    <w:rsid w:val="00421134"/>
    <w:rsid w:val="0042116F"/>
    <w:rsid w:val="004221E0"/>
    <w:rsid w:val="004226E0"/>
    <w:rsid w:val="00422B0C"/>
    <w:rsid w:val="00422D28"/>
    <w:rsid w:val="004236A8"/>
    <w:rsid w:val="004239F6"/>
    <w:rsid w:val="00423CDB"/>
    <w:rsid w:val="00424634"/>
    <w:rsid w:val="00424E10"/>
    <w:rsid w:val="004250D8"/>
    <w:rsid w:val="004254CB"/>
    <w:rsid w:val="004259E2"/>
    <w:rsid w:val="004260D1"/>
    <w:rsid w:val="0042654B"/>
    <w:rsid w:val="004269CA"/>
    <w:rsid w:val="00426AC4"/>
    <w:rsid w:val="00426D1C"/>
    <w:rsid w:val="00426E70"/>
    <w:rsid w:val="004272B1"/>
    <w:rsid w:val="00427509"/>
    <w:rsid w:val="00427754"/>
    <w:rsid w:val="00427E24"/>
    <w:rsid w:val="00427E61"/>
    <w:rsid w:val="004301ED"/>
    <w:rsid w:val="00430A90"/>
    <w:rsid w:val="00430EC0"/>
    <w:rsid w:val="00431540"/>
    <w:rsid w:val="004318E7"/>
    <w:rsid w:val="00431DC9"/>
    <w:rsid w:val="00431E6D"/>
    <w:rsid w:val="00432143"/>
    <w:rsid w:val="00432214"/>
    <w:rsid w:val="004323C6"/>
    <w:rsid w:val="0043258F"/>
    <w:rsid w:val="004325A7"/>
    <w:rsid w:val="00432602"/>
    <w:rsid w:val="00432721"/>
    <w:rsid w:val="004327B0"/>
    <w:rsid w:val="00432D8D"/>
    <w:rsid w:val="00432DEA"/>
    <w:rsid w:val="00432E2E"/>
    <w:rsid w:val="004333F8"/>
    <w:rsid w:val="004337F0"/>
    <w:rsid w:val="0043399D"/>
    <w:rsid w:val="00433FD9"/>
    <w:rsid w:val="0043419B"/>
    <w:rsid w:val="0043441B"/>
    <w:rsid w:val="004345D5"/>
    <w:rsid w:val="00434FB7"/>
    <w:rsid w:val="00435553"/>
    <w:rsid w:val="00435B0C"/>
    <w:rsid w:val="00435C78"/>
    <w:rsid w:val="00436400"/>
    <w:rsid w:val="00436BFE"/>
    <w:rsid w:val="004370F0"/>
    <w:rsid w:val="00437599"/>
    <w:rsid w:val="004378B3"/>
    <w:rsid w:val="00437958"/>
    <w:rsid w:val="00437BA4"/>
    <w:rsid w:val="0044060E"/>
    <w:rsid w:val="00440786"/>
    <w:rsid w:val="004407B2"/>
    <w:rsid w:val="004408BD"/>
    <w:rsid w:val="00440A46"/>
    <w:rsid w:val="00440D04"/>
    <w:rsid w:val="00440F38"/>
    <w:rsid w:val="00441125"/>
    <w:rsid w:val="0044131B"/>
    <w:rsid w:val="00441400"/>
    <w:rsid w:val="004414B7"/>
    <w:rsid w:val="00442344"/>
    <w:rsid w:val="00442483"/>
    <w:rsid w:val="004425FA"/>
    <w:rsid w:val="00442FB7"/>
    <w:rsid w:val="004433F8"/>
    <w:rsid w:val="00443966"/>
    <w:rsid w:val="00443978"/>
    <w:rsid w:val="00443B39"/>
    <w:rsid w:val="00443B71"/>
    <w:rsid w:val="00444096"/>
    <w:rsid w:val="004447EA"/>
    <w:rsid w:val="004449A2"/>
    <w:rsid w:val="00445271"/>
    <w:rsid w:val="00445852"/>
    <w:rsid w:val="00445973"/>
    <w:rsid w:val="00445A76"/>
    <w:rsid w:val="00445B52"/>
    <w:rsid w:val="00445DF3"/>
    <w:rsid w:val="00445E0C"/>
    <w:rsid w:val="004462F0"/>
    <w:rsid w:val="004463CB"/>
    <w:rsid w:val="0044654D"/>
    <w:rsid w:val="0044672C"/>
    <w:rsid w:val="00446780"/>
    <w:rsid w:val="00446834"/>
    <w:rsid w:val="00446DD5"/>
    <w:rsid w:val="00446F74"/>
    <w:rsid w:val="004474F8"/>
    <w:rsid w:val="00447556"/>
    <w:rsid w:val="00447922"/>
    <w:rsid w:val="004479AF"/>
    <w:rsid w:val="00447B4E"/>
    <w:rsid w:val="004502E7"/>
    <w:rsid w:val="0045050A"/>
    <w:rsid w:val="00450C25"/>
    <w:rsid w:val="0045101C"/>
    <w:rsid w:val="00451469"/>
    <w:rsid w:val="00452085"/>
    <w:rsid w:val="00452461"/>
    <w:rsid w:val="00452770"/>
    <w:rsid w:val="0045296E"/>
    <w:rsid w:val="00452CCF"/>
    <w:rsid w:val="004532D7"/>
    <w:rsid w:val="004533EA"/>
    <w:rsid w:val="0045365B"/>
    <w:rsid w:val="004537FA"/>
    <w:rsid w:val="00453BEE"/>
    <w:rsid w:val="004540CA"/>
    <w:rsid w:val="0045419C"/>
    <w:rsid w:val="00454498"/>
    <w:rsid w:val="004546E1"/>
    <w:rsid w:val="00454E06"/>
    <w:rsid w:val="0045582B"/>
    <w:rsid w:val="004560D1"/>
    <w:rsid w:val="0045627A"/>
    <w:rsid w:val="00456344"/>
    <w:rsid w:val="00456969"/>
    <w:rsid w:val="00457725"/>
    <w:rsid w:val="00457F4D"/>
    <w:rsid w:val="00460860"/>
    <w:rsid w:val="00460A20"/>
    <w:rsid w:val="00460D69"/>
    <w:rsid w:val="00460FCE"/>
    <w:rsid w:val="004610E9"/>
    <w:rsid w:val="004612FF"/>
    <w:rsid w:val="00461326"/>
    <w:rsid w:val="0046147F"/>
    <w:rsid w:val="00461A41"/>
    <w:rsid w:val="00461F2A"/>
    <w:rsid w:val="00461F2E"/>
    <w:rsid w:val="00461F8B"/>
    <w:rsid w:val="0046266B"/>
    <w:rsid w:val="00462B0A"/>
    <w:rsid w:val="00462CC3"/>
    <w:rsid w:val="004632DE"/>
    <w:rsid w:val="004638D2"/>
    <w:rsid w:val="004641F3"/>
    <w:rsid w:val="0046451B"/>
    <w:rsid w:val="00464C91"/>
    <w:rsid w:val="00464E7A"/>
    <w:rsid w:val="00464FFC"/>
    <w:rsid w:val="0046527B"/>
    <w:rsid w:val="00465597"/>
    <w:rsid w:val="00465C1F"/>
    <w:rsid w:val="0046630C"/>
    <w:rsid w:val="004666FC"/>
    <w:rsid w:val="00466B86"/>
    <w:rsid w:val="00466C21"/>
    <w:rsid w:val="00467292"/>
    <w:rsid w:val="00467BCD"/>
    <w:rsid w:val="00467D4D"/>
    <w:rsid w:val="00467E1D"/>
    <w:rsid w:val="00471353"/>
    <w:rsid w:val="00471515"/>
    <w:rsid w:val="0047153F"/>
    <w:rsid w:val="0047180E"/>
    <w:rsid w:val="004718F8"/>
    <w:rsid w:val="00471959"/>
    <w:rsid w:val="00471AD5"/>
    <w:rsid w:val="00471D30"/>
    <w:rsid w:val="00471DC3"/>
    <w:rsid w:val="00471FF3"/>
    <w:rsid w:val="00472492"/>
    <w:rsid w:val="00472852"/>
    <w:rsid w:val="00472EB7"/>
    <w:rsid w:val="00472FB1"/>
    <w:rsid w:val="004731B8"/>
    <w:rsid w:val="00473440"/>
    <w:rsid w:val="00473617"/>
    <w:rsid w:val="00473CC9"/>
    <w:rsid w:val="00473F85"/>
    <w:rsid w:val="00473FC0"/>
    <w:rsid w:val="0047401E"/>
    <w:rsid w:val="00474086"/>
    <w:rsid w:val="0047431E"/>
    <w:rsid w:val="0047438B"/>
    <w:rsid w:val="00474545"/>
    <w:rsid w:val="00474CBA"/>
    <w:rsid w:val="00474E1B"/>
    <w:rsid w:val="004755CF"/>
    <w:rsid w:val="00475823"/>
    <w:rsid w:val="004760A7"/>
    <w:rsid w:val="004760FF"/>
    <w:rsid w:val="0047612A"/>
    <w:rsid w:val="0047617F"/>
    <w:rsid w:val="00476386"/>
    <w:rsid w:val="0047680F"/>
    <w:rsid w:val="004773A2"/>
    <w:rsid w:val="00477472"/>
    <w:rsid w:val="00477595"/>
    <w:rsid w:val="00477623"/>
    <w:rsid w:val="00477656"/>
    <w:rsid w:val="00477B2E"/>
    <w:rsid w:val="00477EEB"/>
    <w:rsid w:val="004800C2"/>
    <w:rsid w:val="0048023E"/>
    <w:rsid w:val="0048034E"/>
    <w:rsid w:val="0048042B"/>
    <w:rsid w:val="00480828"/>
    <w:rsid w:val="0048082C"/>
    <w:rsid w:val="004808DE"/>
    <w:rsid w:val="004809BC"/>
    <w:rsid w:val="0048155D"/>
    <w:rsid w:val="004821C2"/>
    <w:rsid w:val="00482642"/>
    <w:rsid w:val="00482652"/>
    <w:rsid w:val="004830FE"/>
    <w:rsid w:val="004832D9"/>
    <w:rsid w:val="00483AEB"/>
    <w:rsid w:val="00483E29"/>
    <w:rsid w:val="00484746"/>
    <w:rsid w:val="0048477B"/>
    <w:rsid w:val="00485139"/>
    <w:rsid w:val="004852EB"/>
    <w:rsid w:val="00485533"/>
    <w:rsid w:val="004857EA"/>
    <w:rsid w:val="0048581E"/>
    <w:rsid w:val="00485832"/>
    <w:rsid w:val="004858D1"/>
    <w:rsid w:val="0048662D"/>
    <w:rsid w:val="00486729"/>
    <w:rsid w:val="0048692D"/>
    <w:rsid w:val="00486ED1"/>
    <w:rsid w:val="00487101"/>
    <w:rsid w:val="0048726E"/>
    <w:rsid w:val="00487382"/>
    <w:rsid w:val="0048739B"/>
    <w:rsid w:val="00490242"/>
    <w:rsid w:val="004904A7"/>
    <w:rsid w:val="00490589"/>
    <w:rsid w:val="004909A1"/>
    <w:rsid w:val="00490CFD"/>
    <w:rsid w:val="0049176E"/>
    <w:rsid w:val="00491925"/>
    <w:rsid w:val="00492185"/>
    <w:rsid w:val="004921C4"/>
    <w:rsid w:val="0049225D"/>
    <w:rsid w:val="004922EB"/>
    <w:rsid w:val="004926E1"/>
    <w:rsid w:val="00492928"/>
    <w:rsid w:val="00492BD3"/>
    <w:rsid w:val="004933C2"/>
    <w:rsid w:val="00493739"/>
    <w:rsid w:val="00493C80"/>
    <w:rsid w:val="00494029"/>
    <w:rsid w:val="00494ADF"/>
    <w:rsid w:val="00495370"/>
    <w:rsid w:val="00495722"/>
    <w:rsid w:val="00495B34"/>
    <w:rsid w:val="00495BAC"/>
    <w:rsid w:val="00495D53"/>
    <w:rsid w:val="004960F5"/>
    <w:rsid w:val="004960FA"/>
    <w:rsid w:val="004962E2"/>
    <w:rsid w:val="0049653B"/>
    <w:rsid w:val="004969C0"/>
    <w:rsid w:val="00496BB0"/>
    <w:rsid w:val="00496BC1"/>
    <w:rsid w:val="004970DC"/>
    <w:rsid w:val="004978E9"/>
    <w:rsid w:val="004979B8"/>
    <w:rsid w:val="00497B50"/>
    <w:rsid w:val="00497F62"/>
    <w:rsid w:val="004A00FE"/>
    <w:rsid w:val="004A03C5"/>
    <w:rsid w:val="004A060B"/>
    <w:rsid w:val="004A0683"/>
    <w:rsid w:val="004A0A67"/>
    <w:rsid w:val="004A15D3"/>
    <w:rsid w:val="004A189E"/>
    <w:rsid w:val="004A2133"/>
    <w:rsid w:val="004A22B3"/>
    <w:rsid w:val="004A22F5"/>
    <w:rsid w:val="004A258B"/>
    <w:rsid w:val="004A27F9"/>
    <w:rsid w:val="004A2853"/>
    <w:rsid w:val="004A2E67"/>
    <w:rsid w:val="004A3189"/>
    <w:rsid w:val="004A3226"/>
    <w:rsid w:val="004A3E8A"/>
    <w:rsid w:val="004A3EA2"/>
    <w:rsid w:val="004A43F5"/>
    <w:rsid w:val="004A446A"/>
    <w:rsid w:val="004A4896"/>
    <w:rsid w:val="004A48D7"/>
    <w:rsid w:val="004A4973"/>
    <w:rsid w:val="004A6099"/>
    <w:rsid w:val="004A6623"/>
    <w:rsid w:val="004A670D"/>
    <w:rsid w:val="004A6802"/>
    <w:rsid w:val="004A6993"/>
    <w:rsid w:val="004A6BAE"/>
    <w:rsid w:val="004A71EC"/>
    <w:rsid w:val="004A74A7"/>
    <w:rsid w:val="004A7E65"/>
    <w:rsid w:val="004B0002"/>
    <w:rsid w:val="004B008D"/>
    <w:rsid w:val="004B05FC"/>
    <w:rsid w:val="004B09C7"/>
    <w:rsid w:val="004B0AC0"/>
    <w:rsid w:val="004B0CD5"/>
    <w:rsid w:val="004B0CDF"/>
    <w:rsid w:val="004B10D9"/>
    <w:rsid w:val="004B1364"/>
    <w:rsid w:val="004B18E2"/>
    <w:rsid w:val="004B195F"/>
    <w:rsid w:val="004B19FB"/>
    <w:rsid w:val="004B1C4D"/>
    <w:rsid w:val="004B1FD3"/>
    <w:rsid w:val="004B2058"/>
    <w:rsid w:val="004B25F6"/>
    <w:rsid w:val="004B287C"/>
    <w:rsid w:val="004B2F14"/>
    <w:rsid w:val="004B38BB"/>
    <w:rsid w:val="004B3A1F"/>
    <w:rsid w:val="004B3A33"/>
    <w:rsid w:val="004B3F63"/>
    <w:rsid w:val="004B41DF"/>
    <w:rsid w:val="004B41FD"/>
    <w:rsid w:val="004B4519"/>
    <w:rsid w:val="004B47B4"/>
    <w:rsid w:val="004B4926"/>
    <w:rsid w:val="004B493A"/>
    <w:rsid w:val="004B4B2D"/>
    <w:rsid w:val="004B4ED7"/>
    <w:rsid w:val="004B4F10"/>
    <w:rsid w:val="004B5048"/>
    <w:rsid w:val="004B5834"/>
    <w:rsid w:val="004B5BD1"/>
    <w:rsid w:val="004B5C0F"/>
    <w:rsid w:val="004B6191"/>
    <w:rsid w:val="004B6461"/>
    <w:rsid w:val="004B7546"/>
    <w:rsid w:val="004B78C6"/>
    <w:rsid w:val="004B78FF"/>
    <w:rsid w:val="004B7B14"/>
    <w:rsid w:val="004B7C5F"/>
    <w:rsid w:val="004B7C89"/>
    <w:rsid w:val="004C0673"/>
    <w:rsid w:val="004C06E9"/>
    <w:rsid w:val="004C0766"/>
    <w:rsid w:val="004C098C"/>
    <w:rsid w:val="004C0EF0"/>
    <w:rsid w:val="004C0F2F"/>
    <w:rsid w:val="004C13F7"/>
    <w:rsid w:val="004C15FF"/>
    <w:rsid w:val="004C1713"/>
    <w:rsid w:val="004C18A4"/>
    <w:rsid w:val="004C1C2B"/>
    <w:rsid w:val="004C1F31"/>
    <w:rsid w:val="004C2272"/>
    <w:rsid w:val="004C2504"/>
    <w:rsid w:val="004C2758"/>
    <w:rsid w:val="004C2A1D"/>
    <w:rsid w:val="004C2E8C"/>
    <w:rsid w:val="004C3028"/>
    <w:rsid w:val="004C3387"/>
    <w:rsid w:val="004C3B49"/>
    <w:rsid w:val="004C3D65"/>
    <w:rsid w:val="004C42C6"/>
    <w:rsid w:val="004C4AD6"/>
    <w:rsid w:val="004C4F29"/>
    <w:rsid w:val="004C5447"/>
    <w:rsid w:val="004C5816"/>
    <w:rsid w:val="004C5B5D"/>
    <w:rsid w:val="004C5FF5"/>
    <w:rsid w:val="004C61C6"/>
    <w:rsid w:val="004C64BB"/>
    <w:rsid w:val="004C683D"/>
    <w:rsid w:val="004C69BC"/>
    <w:rsid w:val="004C6EED"/>
    <w:rsid w:val="004C704B"/>
    <w:rsid w:val="004C7089"/>
    <w:rsid w:val="004C71B7"/>
    <w:rsid w:val="004C73B2"/>
    <w:rsid w:val="004C758E"/>
    <w:rsid w:val="004C762D"/>
    <w:rsid w:val="004C7A03"/>
    <w:rsid w:val="004C7E06"/>
    <w:rsid w:val="004D0D2C"/>
    <w:rsid w:val="004D0D4E"/>
    <w:rsid w:val="004D101F"/>
    <w:rsid w:val="004D13EE"/>
    <w:rsid w:val="004D1774"/>
    <w:rsid w:val="004D1831"/>
    <w:rsid w:val="004D1AD5"/>
    <w:rsid w:val="004D1ADA"/>
    <w:rsid w:val="004D1B24"/>
    <w:rsid w:val="004D1BF8"/>
    <w:rsid w:val="004D1E96"/>
    <w:rsid w:val="004D1F0C"/>
    <w:rsid w:val="004D2045"/>
    <w:rsid w:val="004D2793"/>
    <w:rsid w:val="004D2855"/>
    <w:rsid w:val="004D3300"/>
    <w:rsid w:val="004D36D2"/>
    <w:rsid w:val="004D3965"/>
    <w:rsid w:val="004D3BA5"/>
    <w:rsid w:val="004D3D4B"/>
    <w:rsid w:val="004D3F1C"/>
    <w:rsid w:val="004D4023"/>
    <w:rsid w:val="004D4255"/>
    <w:rsid w:val="004D4D8B"/>
    <w:rsid w:val="004D4F8B"/>
    <w:rsid w:val="004D5238"/>
    <w:rsid w:val="004D54F8"/>
    <w:rsid w:val="004D5652"/>
    <w:rsid w:val="004D566B"/>
    <w:rsid w:val="004D56AA"/>
    <w:rsid w:val="004D5AA2"/>
    <w:rsid w:val="004D5D2C"/>
    <w:rsid w:val="004D5FDD"/>
    <w:rsid w:val="004D6118"/>
    <w:rsid w:val="004D62E7"/>
    <w:rsid w:val="004D6498"/>
    <w:rsid w:val="004D6A5B"/>
    <w:rsid w:val="004D6D70"/>
    <w:rsid w:val="004D7244"/>
    <w:rsid w:val="004D7705"/>
    <w:rsid w:val="004D7779"/>
    <w:rsid w:val="004D7BE9"/>
    <w:rsid w:val="004D7FA9"/>
    <w:rsid w:val="004E03F9"/>
    <w:rsid w:val="004E07B3"/>
    <w:rsid w:val="004E0AF9"/>
    <w:rsid w:val="004E0FC2"/>
    <w:rsid w:val="004E0FE7"/>
    <w:rsid w:val="004E103E"/>
    <w:rsid w:val="004E135B"/>
    <w:rsid w:val="004E138D"/>
    <w:rsid w:val="004E1694"/>
    <w:rsid w:val="004E1728"/>
    <w:rsid w:val="004E1B56"/>
    <w:rsid w:val="004E1C1F"/>
    <w:rsid w:val="004E20E1"/>
    <w:rsid w:val="004E227D"/>
    <w:rsid w:val="004E23B8"/>
    <w:rsid w:val="004E2853"/>
    <w:rsid w:val="004E318A"/>
    <w:rsid w:val="004E3C01"/>
    <w:rsid w:val="004E3C71"/>
    <w:rsid w:val="004E3D35"/>
    <w:rsid w:val="004E43BE"/>
    <w:rsid w:val="004E4416"/>
    <w:rsid w:val="004E449E"/>
    <w:rsid w:val="004E487D"/>
    <w:rsid w:val="004E4A38"/>
    <w:rsid w:val="004E4DCB"/>
    <w:rsid w:val="004E57F6"/>
    <w:rsid w:val="004E5838"/>
    <w:rsid w:val="004E5AE7"/>
    <w:rsid w:val="004E5BC2"/>
    <w:rsid w:val="004E5C0A"/>
    <w:rsid w:val="004E5D24"/>
    <w:rsid w:val="004E5E98"/>
    <w:rsid w:val="004E64F3"/>
    <w:rsid w:val="004E64F6"/>
    <w:rsid w:val="004E67D1"/>
    <w:rsid w:val="004E6C4A"/>
    <w:rsid w:val="004E6E35"/>
    <w:rsid w:val="004E6FE1"/>
    <w:rsid w:val="004E703B"/>
    <w:rsid w:val="004E73A8"/>
    <w:rsid w:val="004E76A4"/>
    <w:rsid w:val="004E77D3"/>
    <w:rsid w:val="004E7A78"/>
    <w:rsid w:val="004E7C85"/>
    <w:rsid w:val="004E7E19"/>
    <w:rsid w:val="004F0657"/>
    <w:rsid w:val="004F0974"/>
    <w:rsid w:val="004F0976"/>
    <w:rsid w:val="004F11ED"/>
    <w:rsid w:val="004F1469"/>
    <w:rsid w:val="004F157F"/>
    <w:rsid w:val="004F1C9A"/>
    <w:rsid w:val="004F1DD8"/>
    <w:rsid w:val="004F1E20"/>
    <w:rsid w:val="004F2059"/>
    <w:rsid w:val="004F247B"/>
    <w:rsid w:val="004F24C0"/>
    <w:rsid w:val="004F3065"/>
    <w:rsid w:val="004F30EB"/>
    <w:rsid w:val="004F3227"/>
    <w:rsid w:val="004F3296"/>
    <w:rsid w:val="004F3C9F"/>
    <w:rsid w:val="004F4EDB"/>
    <w:rsid w:val="004F585B"/>
    <w:rsid w:val="004F5BD8"/>
    <w:rsid w:val="004F5FC7"/>
    <w:rsid w:val="004F64C2"/>
    <w:rsid w:val="004F64ED"/>
    <w:rsid w:val="004F6644"/>
    <w:rsid w:val="004F6C7A"/>
    <w:rsid w:val="004F703F"/>
    <w:rsid w:val="004F7174"/>
    <w:rsid w:val="004F7BA8"/>
    <w:rsid w:val="005009FA"/>
    <w:rsid w:val="00500E57"/>
    <w:rsid w:val="00500F07"/>
    <w:rsid w:val="005017E2"/>
    <w:rsid w:val="00501A55"/>
    <w:rsid w:val="00501E0D"/>
    <w:rsid w:val="00501F46"/>
    <w:rsid w:val="0050260D"/>
    <w:rsid w:val="0050266A"/>
    <w:rsid w:val="005026E3"/>
    <w:rsid w:val="005026F0"/>
    <w:rsid w:val="00502CE5"/>
    <w:rsid w:val="00503512"/>
    <w:rsid w:val="0050351D"/>
    <w:rsid w:val="00503B1A"/>
    <w:rsid w:val="00503BB8"/>
    <w:rsid w:val="00503E4D"/>
    <w:rsid w:val="00504021"/>
    <w:rsid w:val="0050480C"/>
    <w:rsid w:val="00504B3C"/>
    <w:rsid w:val="0050561A"/>
    <w:rsid w:val="00505E80"/>
    <w:rsid w:val="00506254"/>
    <w:rsid w:val="0050635E"/>
    <w:rsid w:val="00506C39"/>
    <w:rsid w:val="0051080A"/>
    <w:rsid w:val="0051097A"/>
    <w:rsid w:val="00510B48"/>
    <w:rsid w:val="00510B76"/>
    <w:rsid w:val="00510C80"/>
    <w:rsid w:val="0051105D"/>
    <w:rsid w:val="0051108C"/>
    <w:rsid w:val="005110F0"/>
    <w:rsid w:val="00511329"/>
    <w:rsid w:val="00511CA4"/>
    <w:rsid w:val="00511DAE"/>
    <w:rsid w:val="00511E39"/>
    <w:rsid w:val="005121E3"/>
    <w:rsid w:val="0051229D"/>
    <w:rsid w:val="00512B04"/>
    <w:rsid w:val="0051303E"/>
    <w:rsid w:val="00513A11"/>
    <w:rsid w:val="005141E9"/>
    <w:rsid w:val="00514488"/>
    <w:rsid w:val="0051462E"/>
    <w:rsid w:val="0051470D"/>
    <w:rsid w:val="0051490C"/>
    <w:rsid w:val="00514A98"/>
    <w:rsid w:val="00514ABC"/>
    <w:rsid w:val="00514D5D"/>
    <w:rsid w:val="00514E96"/>
    <w:rsid w:val="00514FD4"/>
    <w:rsid w:val="0051505B"/>
    <w:rsid w:val="0051535D"/>
    <w:rsid w:val="00515E62"/>
    <w:rsid w:val="00516799"/>
    <w:rsid w:val="00516C75"/>
    <w:rsid w:val="00516F1B"/>
    <w:rsid w:val="00517116"/>
    <w:rsid w:val="005173D2"/>
    <w:rsid w:val="005174D1"/>
    <w:rsid w:val="005179C9"/>
    <w:rsid w:val="00517C9A"/>
    <w:rsid w:val="00520076"/>
    <w:rsid w:val="005201F5"/>
    <w:rsid w:val="005205C2"/>
    <w:rsid w:val="005206D4"/>
    <w:rsid w:val="005207E5"/>
    <w:rsid w:val="00520814"/>
    <w:rsid w:val="00520B31"/>
    <w:rsid w:val="00520DF0"/>
    <w:rsid w:val="00521265"/>
    <w:rsid w:val="005216C8"/>
    <w:rsid w:val="00521AAB"/>
    <w:rsid w:val="005220B2"/>
    <w:rsid w:val="005221BC"/>
    <w:rsid w:val="0052220F"/>
    <w:rsid w:val="005222F1"/>
    <w:rsid w:val="005228E8"/>
    <w:rsid w:val="005229F9"/>
    <w:rsid w:val="00522D29"/>
    <w:rsid w:val="00522E81"/>
    <w:rsid w:val="00522ED9"/>
    <w:rsid w:val="005233CE"/>
    <w:rsid w:val="0052386F"/>
    <w:rsid w:val="00523B2D"/>
    <w:rsid w:val="005243F4"/>
    <w:rsid w:val="00524545"/>
    <w:rsid w:val="00524928"/>
    <w:rsid w:val="005249F9"/>
    <w:rsid w:val="00524A73"/>
    <w:rsid w:val="00524B24"/>
    <w:rsid w:val="00524B4E"/>
    <w:rsid w:val="00524DAF"/>
    <w:rsid w:val="0052500E"/>
    <w:rsid w:val="0052529B"/>
    <w:rsid w:val="0052591F"/>
    <w:rsid w:val="00525A5F"/>
    <w:rsid w:val="0052622A"/>
    <w:rsid w:val="00526286"/>
    <w:rsid w:val="0052692F"/>
    <w:rsid w:val="00526BB8"/>
    <w:rsid w:val="00526CD1"/>
    <w:rsid w:val="00526E68"/>
    <w:rsid w:val="0052717D"/>
    <w:rsid w:val="00527382"/>
    <w:rsid w:val="00527B79"/>
    <w:rsid w:val="00527BF9"/>
    <w:rsid w:val="00527D66"/>
    <w:rsid w:val="00527EE6"/>
    <w:rsid w:val="00527F03"/>
    <w:rsid w:val="00527F13"/>
    <w:rsid w:val="00527F5A"/>
    <w:rsid w:val="00530250"/>
    <w:rsid w:val="00530285"/>
    <w:rsid w:val="005303B2"/>
    <w:rsid w:val="005306ED"/>
    <w:rsid w:val="005307F6"/>
    <w:rsid w:val="005309AD"/>
    <w:rsid w:val="00530C41"/>
    <w:rsid w:val="00530CA5"/>
    <w:rsid w:val="00530E37"/>
    <w:rsid w:val="00530E44"/>
    <w:rsid w:val="00530EAE"/>
    <w:rsid w:val="00530F47"/>
    <w:rsid w:val="0053176B"/>
    <w:rsid w:val="0053197E"/>
    <w:rsid w:val="00531B91"/>
    <w:rsid w:val="0053257C"/>
    <w:rsid w:val="00532768"/>
    <w:rsid w:val="00532936"/>
    <w:rsid w:val="00532B4A"/>
    <w:rsid w:val="00532C14"/>
    <w:rsid w:val="00532CBC"/>
    <w:rsid w:val="00532E79"/>
    <w:rsid w:val="00532F10"/>
    <w:rsid w:val="005333F2"/>
    <w:rsid w:val="0053409D"/>
    <w:rsid w:val="00534658"/>
    <w:rsid w:val="005349B2"/>
    <w:rsid w:val="00534A88"/>
    <w:rsid w:val="00534A95"/>
    <w:rsid w:val="0053515F"/>
    <w:rsid w:val="0053534C"/>
    <w:rsid w:val="00535699"/>
    <w:rsid w:val="005357BA"/>
    <w:rsid w:val="0053632F"/>
    <w:rsid w:val="0053659D"/>
    <w:rsid w:val="005369BF"/>
    <w:rsid w:val="00536CFF"/>
    <w:rsid w:val="00536E00"/>
    <w:rsid w:val="005371F7"/>
    <w:rsid w:val="00537395"/>
    <w:rsid w:val="0053771D"/>
    <w:rsid w:val="005377F2"/>
    <w:rsid w:val="00537E80"/>
    <w:rsid w:val="0054082A"/>
    <w:rsid w:val="00540A06"/>
    <w:rsid w:val="00540B98"/>
    <w:rsid w:val="00540E9D"/>
    <w:rsid w:val="0054136E"/>
    <w:rsid w:val="00541B1F"/>
    <w:rsid w:val="0054244D"/>
    <w:rsid w:val="00542506"/>
    <w:rsid w:val="00542950"/>
    <w:rsid w:val="00542A89"/>
    <w:rsid w:val="00542C91"/>
    <w:rsid w:val="00542E0B"/>
    <w:rsid w:val="0054354F"/>
    <w:rsid w:val="00543619"/>
    <w:rsid w:val="00543624"/>
    <w:rsid w:val="00543770"/>
    <w:rsid w:val="0054380A"/>
    <w:rsid w:val="00543D78"/>
    <w:rsid w:val="0054504A"/>
    <w:rsid w:val="005451DF"/>
    <w:rsid w:val="00545CC1"/>
    <w:rsid w:val="0054678C"/>
    <w:rsid w:val="00546E31"/>
    <w:rsid w:val="005472AF"/>
    <w:rsid w:val="005472FC"/>
    <w:rsid w:val="005478C9"/>
    <w:rsid w:val="005478D9"/>
    <w:rsid w:val="00547A0D"/>
    <w:rsid w:val="0055034E"/>
    <w:rsid w:val="0055058B"/>
    <w:rsid w:val="00550935"/>
    <w:rsid w:val="00550CED"/>
    <w:rsid w:val="00550D5A"/>
    <w:rsid w:val="00550D9A"/>
    <w:rsid w:val="00550F48"/>
    <w:rsid w:val="00551099"/>
    <w:rsid w:val="005514B5"/>
    <w:rsid w:val="00551580"/>
    <w:rsid w:val="00551649"/>
    <w:rsid w:val="00551C24"/>
    <w:rsid w:val="00552016"/>
    <w:rsid w:val="005521A3"/>
    <w:rsid w:val="0055276D"/>
    <w:rsid w:val="00552BB6"/>
    <w:rsid w:val="00552C81"/>
    <w:rsid w:val="00552D0E"/>
    <w:rsid w:val="00552E3D"/>
    <w:rsid w:val="00552EDD"/>
    <w:rsid w:val="00553151"/>
    <w:rsid w:val="005533D8"/>
    <w:rsid w:val="00554026"/>
    <w:rsid w:val="0055403D"/>
    <w:rsid w:val="005543C0"/>
    <w:rsid w:val="005544DE"/>
    <w:rsid w:val="005548A9"/>
    <w:rsid w:val="00554998"/>
    <w:rsid w:val="00554A38"/>
    <w:rsid w:val="00554DB6"/>
    <w:rsid w:val="00555A1F"/>
    <w:rsid w:val="00556047"/>
    <w:rsid w:val="005561C4"/>
    <w:rsid w:val="005561EB"/>
    <w:rsid w:val="00556858"/>
    <w:rsid w:val="00556B37"/>
    <w:rsid w:val="00556C08"/>
    <w:rsid w:val="00556C0C"/>
    <w:rsid w:val="00556E36"/>
    <w:rsid w:val="00557202"/>
    <w:rsid w:val="00557499"/>
    <w:rsid w:val="00557D12"/>
    <w:rsid w:val="00557D18"/>
    <w:rsid w:val="00560568"/>
    <w:rsid w:val="005605F8"/>
    <w:rsid w:val="00560606"/>
    <w:rsid w:val="00560701"/>
    <w:rsid w:val="00560AF6"/>
    <w:rsid w:val="0056102E"/>
    <w:rsid w:val="0056110A"/>
    <w:rsid w:val="00561E71"/>
    <w:rsid w:val="00561E93"/>
    <w:rsid w:val="00562528"/>
    <w:rsid w:val="005628D2"/>
    <w:rsid w:val="00563446"/>
    <w:rsid w:val="0056352B"/>
    <w:rsid w:val="005635A1"/>
    <w:rsid w:val="00563F31"/>
    <w:rsid w:val="00564275"/>
    <w:rsid w:val="00564ACF"/>
    <w:rsid w:val="00564CCF"/>
    <w:rsid w:val="00564DB8"/>
    <w:rsid w:val="00564E11"/>
    <w:rsid w:val="00564E67"/>
    <w:rsid w:val="00565175"/>
    <w:rsid w:val="00565312"/>
    <w:rsid w:val="00566293"/>
    <w:rsid w:val="00566442"/>
    <w:rsid w:val="00566BE4"/>
    <w:rsid w:val="00566FCB"/>
    <w:rsid w:val="0056721C"/>
    <w:rsid w:val="00567342"/>
    <w:rsid w:val="00567871"/>
    <w:rsid w:val="00567C87"/>
    <w:rsid w:val="005702FF"/>
    <w:rsid w:val="0057045F"/>
    <w:rsid w:val="005706C2"/>
    <w:rsid w:val="005707F3"/>
    <w:rsid w:val="00570A59"/>
    <w:rsid w:val="00570DCC"/>
    <w:rsid w:val="005711FA"/>
    <w:rsid w:val="005715D5"/>
    <w:rsid w:val="00571B96"/>
    <w:rsid w:val="00571E3C"/>
    <w:rsid w:val="00571FD6"/>
    <w:rsid w:val="00572153"/>
    <w:rsid w:val="005723F1"/>
    <w:rsid w:val="005728DC"/>
    <w:rsid w:val="0057294F"/>
    <w:rsid w:val="00572AE3"/>
    <w:rsid w:val="00572C0C"/>
    <w:rsid w:val="00572CA4"/>
    <w:rsid w:val="00572E28"/>
    <w:rsid w:val="00572FF3"/>
    <w:rsid w:val="0057326B"/>
    <w:rsid w:val="00573347"/>
    <w:rsid w:val="0057355D"/>
    <w:rsid w:val="005740EE"/>
    <w:rsid w:val="005741E4"/>
    <w:rsid w:val="00574271"/>
    <w:rsid w:val="0057439C"/>
    <w:rsid w:val="0057449A"/>
    <w:rsid w:val="00574990"/>
    <w:rsid w:val="00574995"/>
    <w:rsid w:val="00574B82"/>
    <w:rsid w:val="00574EA9"/>
    <w:rsid w:val="00575EF1"/>
    <w:rsid w:val="00575F2F"/>
    <w:rsid w:val="0057611F"/>
    <w:rsid w:val="00576175"/>
    <w:rsid w:val="005767AA"/>
    <w:rsid w:val="0057694D"/>
    <w:rsid w:val="00576CB9"/>
    <w:rsid w:val="005771D9"/>
    <w:rsid w:val="00577651"/>
    <w:rsid w:val="005777E9"/>
    <w:rsid w:val="00577942"/>
    <w:rsid w:val="00577AB1"/>
    <w:rsid w:val="00577D1A"/>
    <w:rsid w:val="005807EC"/>
    <w:rsid w:val="00580D0D"/>
    <w:rsid w:val="00580D73"/>
    <w:rsid w:val="0058108F"/>
    <w:rsid w:val="00581139"/>
    <w:rsid w:val="00581454"/>
    <w:rsid w:val="00581A27"/>
    <w:rsid w:val="00581DEC"/>
    <w:rsid w:val="00581F99"/>
    <w:rsid w:val="0058216F"/>
    <w:rsid w:val="005821CB"/>
    <w:rsid w:val="0058259D"/>
    <w:rsid w:val="00583231"/>
    <w:rsid w:val="00583705"/>
    <w:rsid w:val="00583744"/>
    <w:rsid w:val="00583921"/>
    <w:rsid w:val="00583DE0"/>
    <w:rsid w:val="00584089"/>
    <w:rsid w:val="00584341"/>
    <w:rsid w:val="005851AD"/>
    <w:rsid w:val="005855C0"/>
    <w:rsid w:val="005859F0"/>
    <w:rsid w:val="00585B61"/>
    <w:rsid w:val="00586296"/>
    <w:rsid w:val="00586358"/>
    <w:rsid w:val="005863F5"/>
    <w:rsid w:val="00586514"/>
    <w:rsid w:val="0058671C"/>
    <w:rsid w:val="00586FC2"/>
    <w:rsid w:val="005870BD"/>
    <w:rsid w:val="005870E7"/>
    <w:rsid w:val="0058758F"/>
    <w:rsid w:val="00587EAB"/>
    <w:rsid w:val="00587EAC"/>
    <w:rsid w:val="005900FF"/>
    <w:rsid w:val="00590223"/>
    <w:rsid w:val="00590294"/>
    <w:rsid w:val="005906DD"/>
    <w:rsid w:val="0059083E"/>
    <w:rsid w:val="00590BB9"/>
    <w:rsid w:val="00590C87"/>
    <w:rsid w:val="00590DF3"/>
    <w:rsid w:val="00590FB6"/>
    <w:rsid w:val="0059140A"/>
    <w:rsid w:val="00591908"/>
    <w:rsid w:val="00591F55"/>
    <w:rsid w:val="00592028"/>
    <w:rsid w:val="00592490"/>
    <w:rsid w:val="0059261F"/>
    <w:rsid w:val="00592885"/>
    <w:rsid w:val="005929BF"/>
    <w:rsid w:val="00592BAD"/>
    <w:rsid w:val="0059302D"/>
    <w:rsid w:val="00593096"/>
    <w:rsid w:val="0059365F"/>
    <w:rsid w:val="0059380F"/>
    <w:rsid w:val="00593C8F"/>
    <w:rsid w:val="00593EA3"/>
    <w:rsid w:val="00594A0E"/>
    <w:rsid w:val="00594FD6"/>
    <w:rsid w:val="00594FF8"/>
    <w:rsid w:val="00595791"/>
    <w:rsid w:val="005963F7"/>
    <w:rsid w:val="005969DB"/>
    <w:rsid w:val="00596E02"/>
    <w:rsid w:val="00596E7A"/>
    <w:rsid w:val="0059716F"/>
    <w:rsid w:val="00597628"/>
    <w:rsid w:val="005977CF"/>
    <w:rsid w:val="005978C1"/>
    <w:rsid w:val="00597C6B"/>
    <w:rsid w:val="00597DB8"/>
    <w:rsid w:val="005A0408"/>
    <w:rsid w:val="005A074A"/>
    <w:rsid w:val="005A0A64"/>
    <w:rsid w:val="005A0AA4"/>
    <w:rsid w:val="005A1159"/>
    <w:rsid w:val="005A11EF"/>
    <w:rsid w:val="005A1302"/>
    <w:rsid w:val="005A147A"/>
    <w:rsid w:val="005A179D"/>
    <w:rsid w:val="005A1CD6"/>
    <w:rsid w:val="005A24DE"/>
    <w:rsid w:val="005A25E7"/>
    <w:rsid w:val="005A290F"/>
    <w:rsid w:val="005A29A0"/>
    <w:rsid w:val="005A2A77"/>
    <w:rsid w:val="005A2BFC"/>
    <w:rsid w:val="005A3E3C"/>
    <w:rsid w:val="005A41F6"/>
    <w:rsid w:val="005A440D"/>
    <w:rsid w:val="005A44D1"/>
    <w:rsid w:val="005A4E96"/>
    <w:rsid w:val="005A5197"/>
    <w:rsid w:val="005A5238"/>
    <w:rsid w:val="005A55B4"/>
    <w:rsid w:val="005A5B9D"/>
    <w:rsid w:val="005A5C5C"/>
    <w:rsid w:val="005A5FBD"/>
    <w:rsid w:val="005A6508"/>
    <w:rsid w:val="005A6597"/>
    <w:rsid w:val="005A6612"/>
    <w:rsid w:val="005A670B"/>
    <w:rsid w:val="005A6895"/>
    <w:rsid w:val="005A6C56"/>
    <w:rsid w:val="005A7481"/>
    <w:rsid w:val="005A75E6"/>
    <w:rsid w:val="005A7732"/>
    <w:rsid w:val="005A7798"/>
    <w:rsid w:val="005A7A7A"/>
    <w:rsid w:val="005A7B70"/>
    <w:rsid w:val="005A7C8A"/>
    <w:rsid w:val="005B04CF"/>
    <w:rsid w:val="005B071D"/>
    <w:rsid w:val="005B07DC"/>
    <w:rsid w:val="005B0831"/>
    <w:rsid w:val="005B0B34"/>
    <w:rsid w:val="005B0C6C"/>
    <w:rsid w:val="005B0D46"/>
    <w:rsid w:val="005B0D6B"/>
    <w:rsid w:val="005B11F6"/>
    <w:rsid w:val="005B1204"/>
    <w:rsid w:val="005B124F"/>
    <w:rsid w:val="005B131B"/>
    <w:rsid w:val="005B13FB"/>
    <w:rsid w:val="005B1636"/>
    <w:rsid w:val="005B1AE1"/>
    <w:rsid w:val="005B1E8C"/>
    <w:rsid w:val="005B1EAD"/>
    <w:rsid w:val="005B1F6E"/>
    <w:rsid w:val="005B2046"/>
    <w:rsid w:val="005B2077"/>
    <w:rsid w:val="005B217E"/>
    <w:rsid w:val="005B21DF"/>
    <w:rsid w:val="005B2597"/>
    <w:rsid w:val="005B2892"/>
    <w:rsid w:val="005B2B9F"/>
    <w:rsid w:val="005B2C72"/>
    <w:rsid w:val="005B2D23"/>
    <w:rsid w:val="005B328B"/>
    <w:rsid w:val="005B35BA"/>
    <w:rsid w:val="005B35F8"/>
    <w:rsid w:val="005B3838"/>
    <w:rsid w:val="005B3A03"/>
    <w:rsid w:val="005B3A10"/>
    <w:rsid w:val="005B3B75"/>
    <w:rsid w:val="005B3D81"/>
    <w:rsid w:val="005B3D95"/>
    <w:rsid w:val="005B4403"/>
    <w:rsid w:val="005B4474"/>
    <w:rsid w:val="005B495D"/>
    <w:rsid w:val="005B5013"/>
    <w:rsid w:val="005B5132"/>
    <w:rsid w:val="005B532B"/>
    <w:rsid w:val="005B5750"/>
    <w:rsid w:val="005B5A37"/>
    <w:rsid w:val="005B5A71"/>
    <w:rsid w:val="005B5F01"/>
    <w:rsid w:val="005B6291"/>
    <w:rsid w:val="005B6425"/>
    <w:rsid w:val="005B65F0"/>
    <w:rsid w:val="005B6AB5"/>
    <w:rsid w:val="005B76F2"/>
    <w:rsid w:val="005B7A0E"/>
    <w:rsid w:val="005B7B3B"/>
    <w:rsid w:val="005B7C93"/>
    <w:rsid w:val="005B7DCE"/>
    <w:rsid w:val="005C03E7"/>
    <w:rsid w:val="005C0881"/>
    <w:rsid w:val="005C0974"/>
    <w:rsid w:val="005C109F"/>
    <w:rsid w:val="005C11E3"/>
    <w:rsid w:val="005C14D2"/>
    <w:rsid w:val="005C1602"/>
    <w:rsid w:val="005C197B"/>
    <w:rsid w:val="005C1A6D"/>
    <w:rsid w:val="005C1AC2"/>
    <w:rsid w:val="005C1C12"/>
    <w:rsid w:val="005C2173"/>
    <w:rsid w:val="005C2B7F"/>
    <w:rsid w:val="005C2CDA"/>
    <w:rsid w:val="005C2EC1"/>
    <w:rsid w:val="005C2F86"/>
    <w:rsid w:val="005C2FE1"/>
    <w:rsid w:val="005C306B"/>
    <w:rsid w:val="005C328B"/>
    <w:rsid w:val="005C32C4"/>
    <w:rsid w:val="005C3640"/>
    <w:rsid w:val="005C3887"/>
    <w:rsid w:val="005C38AE"/>
    <w:rsid w:val="005C4729"/>
    <w:rsid w:val="005C4D4C"/>
    <w:rsid w:val="005C4E32"/>
    <w:rsid w:val="005C535C"/>
    <w:rsid w:val="005C55BE"/>
    <w:rsid w:val="005C5750"/>
    <w:rsid w:val="005C5979"/>
    <w:rsid w:val="005C5B55"/>
    <w:rsid w:val="005C5F45"/>
    <w:rsid w:val="005C66E5"/>
    <w:rsid w:val="005C673D"/>
    <w:rsid w:val="005C6C9C"/>
    <w:rsid w:val="005C6CB3"/>
    <w:rsid w:val="005C704D"/>
    <w:rsid w:val="005C70F2"/>
    <w:rsid w:val="005C73BF"/>
    <w:rsid w:val="005C79DD"/>
    <w:rsid w:val="005C7BCA"/>
    <w:rsid w:val="005C7C9E"/>
    <w:rsid w:val="005C7FE5"/>
    <w:rsid w:val="005D0118"/>
    <w:rsid w:val="005D0DBD"/>
    <w:rsid w:val="005D0E4F"/>
    <w:rsid w:val="005D1F62"/>
    <w:rsid w:val="005D2211"/>
    <w:rsid w:val="005D2567"/>
    <w:rsid w:val="005D31D8"/>
    <w:rsid w:val="005D34E3"/>
    <w:rsid w:val="005D38EA"/>
    <w:rsid w:val="005D4085"/>
    <w:rsid w:val="005D4252"/>
    <w:rsid w:val="005D4305"/>
    <w:rsid w:val="005D48AF"/>
    <w:rsid w:val="005D4B0D"/>
    <w:rsid w:val="005D4CBA"/>
    <w:rsid w:val="005D4F00"/>
    <w:rsid w:val="005D5D8C"/>
    <w:rsid w:val="005D6AB3"/>
    <w:rsid w:val="005D6C55"/>
    <w:rsid w:val="005D6F26"/>
    <w:rsid w:val="005D6F4C"/>
    <w:rsid w:val="005D729A"/>
    <w:rsid w:val="005D7350"/>
    <w:rsid w:val="005D791C"/>
    <w:rsid w:val="005D7C76"/>
    <w:rsid w:val="005D7CD4"/>
    <w:rsid w:val="005D7EE9"/>
    <w:rsid w:val="005E0015"/>
    <w:rsid w:val="005E0058"/>
    <w:rsid w:val="005E0108"/>
    <w:rsid w:val="005E0264"/>
    <w:rsid w:val="005E04D2"/>
    <w:rsid w:val="005E09F5"/>
    <w:rsid w:val="005E0AC2"/>
    <w:rsid w:val="005E1168"/>
    <w:rsid w:val="005E15F5"/>
    <w:rsid w:val="005E20E6"/>
    <w:rsid w:val="005E249F"/>
    <w:rsid w:val="005E26D7"/>
    <w:rsid w:val="005E299B"/>
    <w:rsid w:val="005E2A1C"/>
    <w:rsid w:val="005E33C9"/>
    <w:rsid w:val="005E34B5"/>
    <w:rsid w:val="005E3769"/>
    <w:rsid w:val="005E39B4"/>
    <w:rsid w:val="005E3BB9"/>
    <w:rsid w:val="005E3EE9"/>
    <w:rsid w:val="005E4599"/>
    <w:rsid w:val="005E4C5F"/>
    <w:rsid w:val="005E5199"/>
    <w:rsid w:val="005E53F0"/>
    <w:rsid w:val="005E559D"/>
    <w:rsid w:val="005E5647"/>
    <w:rsid w:val="005E565D"/>
    <w:rsid w:val="005E5BDE"/>
    <w:rsid w:val="005E5D8E"/>
    <w:rsid w:val="005E612E"/>
    <w:rsid w:val="005E634C"/>
    <w:rsid w:val="005E65FE"/>
    <w:rsid w:val="005E6963"/>
    <w:rsid w:val="005E69E6"/>
    <w:rsid w:val="005E69F5"/>
    <w:rsid w:val="005E6C38"/>
    <w:rsid w:val="005E6C49"/>
    <w:rsid w:val="005E6CEA"/>
    <w:rsid w:val="005E6EA6"/>
    <w:rsid w:val="005E6FD2"/>
    <w:rsid w:val="005E7595"/>
    <w:rsid w:val="005E7803"/>
    <w:rsid w:val="005E7CB8"/>
    <w:rsid w:val="005E7DFC"/>
    <w:rsid w:val="005E7EDF"/>
    <w:rsid w:val="005F0023"/>
    <w:rsid w:val="005F00DF"/>
    <w:rsid w:val="005F01C2"/>
    <w:rsid w:val="005F0386"/>
    <w:rsid w:val="005F04D4"/>
    <w:rsid w:val="005F0800"/>
    <w:rsid w:val="005F099D"/>
    <w:rsid w:val="005F0B48"/>
    <w:rsid w:val="005F1025"/>
    <w:rsid w:val="005F14B0"/>
    <w:rsid w:val="005F14F1"/>
    <w:rsid w:val="005F1773"/>
    <w:rsid w:val="005F1E5F"/>
    <w:rsid w:val="005F20C7"/>
    <w:rsid w:val="005F21CE"/>
    <w:rsid w:val="005F24ED"/>
    <w:rsid w:val="005F2524"/>
    <w:rsid w:val="005F2B2F"/>
    <w:rsid w:val="005F2C0A"/>
    <w:rsid w:val="005F2D87"/>
    <w:rsid w:val="005F2DB8"/>
    <w:rsid w:val="005F30DA"/>
    <w:rsid w:val="005F3562"/>
    <w:rsid w:val="005F36CB"/>
    <w:rsid w:val="005F37E5"/>
    <w:rsid w:val="005F3BF3"/>
    <w:rsid w:val="005F404F"/>
    <w:rsid w:val="005F407D"/>
    <w:rsid w:val="005F411D"/>
    <w:rsid w:val="005F4648"/>
    <w:rsid w:val="005F4BD5"/>
    <w:rsid w:val="005F4C89"/>
    <w:rsid w:val="005F5350"/>
    <w:rsid w:val="005F563A"/>
    <w:rsid w:val="005F5651"/>
    <w:rsid w:val="005F5811"/>
    <w:rsid w:val="005F59FC"/>
    <w:rsid w:val="005F5DE5"/>
    <w:rsid w:val="005F5F32"/>
    <w:rsid w:val="005F6058"/>
    <w:rsid w:val="005F64B0"/>
    <w:rsid w:val="005F69EA"/>
    <w:rsid w:val="005F6CDC"/>
    <w:rsid w:val="005F729F"/>
    <w:rsid w:val="005F7D19"/>
    <w:rsid w:val="005F7DBA"/>
    <w:rsid w:val="006001C2"/>
    <w:rsid w:val="006001CA"/>
    <w:rsid w:val="006001EB"/>
    <w:rsid w:val="00600201"/>
    <w:rsid w:val="00600CB5"/>
    <w:rsid w:val="00600D4B"/>
    <w:rsid w:val="00601718"/>
    <w:rsid w:val="0060173C"/>
    <w:rsid w:val="0060188E"/>
    <w:rsid w:val="00601BB2"/>
    <w:rsid w:val="00601D07"/>
    <w:rsid w:val="00601F58"/>
    <w:rsid w:val="00602070"/>
    <w:rsid w:val="006022A8"/>
    <w:rsid w:val="006023A5"/>
    <w:rsid w:val="006023AA"/>
    <w:rsid w:val="006024E3"/>
    <w:rsid w:val="0060290F"/>
    <w:rsid w:val="006029B2"/>
    <w:rsid w:val="00602C06"/>
    <w:rsid w:val="00602D01"/>
    <w:rsid w:val="00602F73"/>
    <w:rsid w:val="0060326B"/>
    <w:rsid w:val="00603688"/>
    <w:rsid w:val="006037CA"/>
    <w:rsid w:val="00603934"/>
    <w:rsid w:val="006039AB"/>
    <w:rsid w:val="00603ADD"/>
    <w:rsid w:val="00604478"/>
    <w:rsid w:val="00604568"/>
    <w:rsid w:val="00604A77"/>
    <w:rsid w:val="00604BC9"/>
    <w:rsid w:val="00604CC1"/>
    <w:rsid w:val="00605085"/>
    <w:rsid w:val="006051DF"/>
    <w:rsid w:val="006052B9"/>
    <w:rsid w:val="00605319"/>
    <w:rsid w:val="006054E1"/>
    <w:rsid w:val="00605550"/>
    <w:rsid w:val="00605564"/>
    <w:rsid w:val="0060558C"/>
    <w:rsid w:val="0060566B"/>
    <w:rsid w:val="00606A4E"/>
    <w:rsid w:val="00606E77"/>
    <w:rsid w:val="00606E9A"/>
    <w:rsid w:val="006073D0"/>
    <w:rsid w:val="00607E59"/>
    <w:rsid w:val="00607E85"/>
    <w:rsid w:val="00610094"/>
    <w:rsid w:val="00610487"/>
    <w:rsid w:val="0061051E"/>
    <w:rsid w:val="006111ED"/>
    <w:rsid w:val="006117E0"/>
    <w:rsid w:val="006118CE"/>
    <w:rsid w:val="00611AA3"/>
    <w:rsid w:val="0061226C"/>
    <w:rsid w:val="0061246A"/>
    <w:rsid w:val="00612A69"/>
    <w:rsid w:val="00613C19"/>
    <w:rsid w:val="00613F79"/>
    <w:rsid w:val="006145CA"/>
    <w:rsid w:val="0061480D"/>
    <w:rsid w:val="006149DF"/>
    <w:rsid w:val="00614FD5"/>
    <w:rsid w:val="00616542"/>
    <w:rsid w:val="00616A1C"/>
    <w:rsid w:val="00616C3C"/>
    <w:rsid w:val="00616D1E"/>
    <w:rsid w:val="006175FB"/>
    <w:rsid w:val="00617DD0"/>
    <w:rsid w:val="00620038"/>
    <w:rsid w:val="0062008E"/>
    <w:rsid w:val="00620092"/>
    <w:rsid w:val="00620150"/>
    <w:rsid w:val="006201B6"/>
    <w:rsid w:val="0062037B"/>
    <w:rsid w:val="0062046F"/>
    <w:rsid w:val="00620893"/>
    <w:rsid w:val="006208BD"/>
    <w:rsid w:val="00620933"/>
    <w:rsid w:val="00620AA4"/>
    <w:rsid w:val="00620C8F"/>
    <w:rsid w:val="00620CE4"/>
    <w:rsid w:val="006213A7"/>
    <w:rsid w:val="006213BC"/>
    <w:rsid w:val="0062143C"/>
    <w:rsid w:val="006215DA"/>
    <w:rsid w:val="00621ABB"/>
    <w:rsid w:val="00621BC4"/>
    <w:rsid w:val="00622866"/>
    <w:rsid w:val="00622891"/>
    <w:rsid w:val="00623182"/>
    <w:rsid w:val="006232F9"/>
    <w:rsid w:val="006236B3"/>
    <w:rsid w:val="006238BB"/>
    <w:rsid w:val="00624359"/>
    <w:rsid w:val="00624606"/>
    <w:rsid w:val="00624751"/>
    <w:rsid w:val="00624830"/>
    <w:rsid w:val="006248E0"/>
    <w:rsid w:val="00624B00"/>
    <w:rsid w:val="00624D3B"/>
    <w:rsid w:val="00624E1F"/>
    <w:rsid w:val="006257F0"/>
    <w:rsid w:val="00625ED9"/>
    <w:rsid w:val="00625EF9"/>
    <w:rsid w:val="00625FF7"/>
    <w:rsid w:val="00626059"/>
    <w:rsid w:val="0062610C"/>
    <w:rsid w:val="00626510"/>
    <w:rsid w:val="0062673B"/>
    <w:rsid w:val="006270DA"/>
    <w:rsid w:val="00627279"/>
    <w:rsid w:val="00627D80"/>
    <w:rsid w:val="00627FA8"/>
    <w:rsid w:val="0063027D"/>
    <w:rsid w:val="00630438"/>
    <w:rsid w:val="0063059B"/>
    <w:rsid w:val="00631609"/>
    <w:rsid w:val="0063190E"/>
    <w:rsid w:val="00632260"/>
    <w:rsid w:val="00632418"/>
    <w:rsid w:val="00632580"/>
    <w:rsid w:val="00632F00"/>
    <w:rsid w:val="0063301E"/>
    <w:rsid w:val="00633799"/>
    <w:rsid w:val="00633813"/>
    <w:rsid w:val="006338C3"/>
    <w:rsid w:val="00634157"/>
    <w:rsid w:val="006344E5"/>
    <w:rsid w:val="0063490B"/>
    <w:rsid w:val="0063497A"/>
    <w:rsid w:val="00634C6E"/>
    <w:rsid w:val="00635217"/>
    <w:rsid w:val="006353F2"/>
    <w:rsid w:val="00635748"/>
    <w:rsid w:val="00635AA9"/>
    <w:rsid w:val="006364B2"/>
    <w:rsid w:val="00636A40"/>
    <w:rsid w:val="00636ABD"/>
    <w:rsid w:val="00637D7E"/>
    <w:rsid w:val="006404A2"/>
    <w:rsid w:val="00640C02"/>
    <w:rsid w:val="006413E7"/>
    <w:rsid w:val="00641421"/>
    <w:rsid w:val="00641545"/>
    <w:rsid w:val="00641A19"/>
    <w:rsid w:val="00642114"/>
    <w:rsid w:val="0064263D"/>
    <w:rsid w:val="00642A6A"/>
    <w:rsid w:val="00642F12"/>
    <w:rsid w:val="00642F71"/>
    <w:rsid w:val="00642FB6"/>
    <w:rsid w:val="0064307B"/>
    <w:rsid w:val="0064315B"/>
    <w:rsid w:val="006432A5"/>
    <w:rsid w:val="00643457"/>
    <w:rsid w:val="00643971"/>
    <w:rsid w:val="00643F75"/>
    <w:rsid w:val="0064403C"/>
    <w:rsid w:val="00644092"/>
    <w:rsid w:val="00644550"/>
    <w:rsid w:val="00644A66"/>
    <w:rsid w:val="00644D3A"/>
    <w:rsid w:val="00644D8C"/>
    <w:rsid w:val="006453E7"/>
    <w:rsid w:val="0064591E"/>
    <w:rsid w:val="00645B80"/>
    <w:rsid w:val="00645BD5"/>
    <w:rsid w:val="00645CD9"/>
    <w:rsid w:val="00645FB6"/>
    <w:rsid w:val="00646187"/>
    <w:rsid w:val="006467DB"/>
    <w:rsid w:val="00646954"/>
    <w:rsid w:val="006469EB"/>
    <w:rsid w:val="006474B2"/>
    <w:rsid w:val="006477F8"/>
    <w:rsid w:val="00647B34"/>
    <w:rsid w:val="00647CF0"/>
    <w:rsid w:val="00647D8B"/>
    <w:rsid w:val="00647FFE"/>
    <w:rsid w:val="00650754"/>
    <w:rsid w:val="0065107D"/>
    <w:rsid w:val="006510EC"/>
    <w:rsid w:val="00651317"/>
    <w:rsid w:val="006513B2"/>
    <w:rsid w:val="006513D7"/>
    <w:rsid w:val="00651815"/>
    <w:rsid w:val="00651990"/>
    <w:rsid w:val="00651AE9"/>
    <w:rsid w:val="00651D72"/>
    <w:rsid w:val="006520F6"/>
    <w:rsid w:val="006523E9"/>
    <w:rsid w:val="00652615"/>
    <w:rsid w:val="00652676"/>
    <w:rsid w:val="00652D85"/>
    <w:rsid w:val="00652E25"/>
    <w:rsid w:val="006531EA"/>
    <w:rsid w:val="0065353D"/>
    <w:rsid w:val="00653664"/>
    <w:rsid w:val="006538E5"/>
    <w:rsid w:val="00653E55"/>
    <w:rsid w:val="0065418A"/>
    <w:rsid w:val="00654256"/>
    <w:rsid w:val="0065433E"/>
    <w:rsid w:val="006547DA"/>
    <w:rsid w:val="00654EC4"/>
    <w:rsid w:val="0065559D"/>
    <w:rsid w:val="00655A3A"/>
    <w:rsid w:val="00655B8C"/>
    <w:rsid w:val="00655F45"/>
    <w:rsid w:val="00656724"/>
    <w:rsid w:val="00656E06"/>
    <w:rsid w:val="00656FFD"/>
    <w:rsid w:val="0065709D"/>
    <w:rsid w:val="006572DC"/>
    <w:rsid w:val="006574B8"/>
    <w:rsid w:val="00657650"/>
    <w:rsid w:val="006578EE"/>
    <w:rsid w:val="00657A30"/>
    <w:rsid w:val="00657C5E"/>
    <w:rsid w:val="00657EDC"/>
    <w:rsid w:val="00657FA9"/>
    <w:rsid w:val="006600F6"/>
    <w:rsid w:val="006606E5"/>
    <w:rsid w:val="00660701"/>
    <w:rsid w:val="00660B62"/>
    <w:rsid w:val="006610DE"/>
    <w:rsid w:val="00661349"/>
    <w:rsid w:val="00661E9B"/>
    <w:rsid w:val="0066224C"/>
    <w:rsid w:val="006627A9"/>
    <w:rsid w:val="006627CC"/>
    <w:rsid w:val="00662D01"/>
    <w:rsid w:val="0066395B"/>
    <w:rsid w:val="00663A5A"/>
    <w:rsid w:val="00663ECF"/>
    <w:rsid w:val="00663F07"/>
    <w:rsid w:val="00663FAD"/>
    <w:rsid w:val="00664075"/>
    <w:rsid w:val="006655CA"/>
    <w:rsid w:val="00665ADB"/>
    <w:rsid w:val="00666182"/>
    <w:rsid w:val="00666521"/>
    <w:rsid w:val="006667D8"/>
    <w:rsid w:val="00666AC5"/>
    <w:rsid w:val="00667994"/>
    <w:rsid w:val="00667E72"/>
    <w:rsid w:val="00667FC6"/>
    <w:rsid w:val="00670171"/>
    <w:rsid w:val="0067017A"/>
    <w:rsid w:val="00670500"/>
    <w:rsid w:val="006710F9"/>
    <w:rsid w:val="006711DE"/>
    <w:rsid w:val="00671202"/>
    <w:rsid w:val="00672282"/>
    <w:rsid w:val="0067260F"/>
    <w:rsid w:val="00672829"/>
    <w:rsid w:val="00672AB1"/>
    <w:rsid w:val="00673BC7"/>
    <w:rsid w:val="00674359"/>
    <w:rsid w:val="006743C0"/>
    <w:rsid w:val="006743E7"/>
    <w:rsid w:val="00674694"/>
    <w:rsid w:val="006746FD"/>
    <w:rsid w:val="00674826"/>
    <w:rsid w:val="00674A9D"/>
    <w:rsid w:val="00674F28"/>
    <w:rsid w:val="00675B44"/>
    <w:rsid w:val="00675C10"/>
    <w:rsid w:val="00675C90"/>
    <w:rsid w:val="00675D8B"/>
    <w:rsid w:val="0067644C"/>
    <w:rsid w:val="006767A8"/>
    <w:rsid w:val="00676950"/>
    <w:rsid w:val="00676AFC"/>
    <w:rsid w:val="00676D0F"/>
    <w:rsid w:val="006776D6"/>
    <w:rsid w:val="00677D61"/>
    <w:rsid w:val="006802F8"/>
    <w:rsid w:val="00680380"/>
    <w:rsid w:val="0068060E"/>
    <w:rsid w:val="00680831"/>
    <w:rsid w:val="00680951"/>
    <w:rsid w:val="00681511"/>
    <w:rsid w:val="00681758"/>
    <w:rsid w:val="0068178A"/>
    <w:rsid w:val="006818CA"/>
    <w:rsid w:val="00681BF3"/>
    <w:rsid w:val="00681D34"/>
    <w:rsid w:val="00681DEA"/>
    <w:rsid w:val="00682115"/>
    <w:rsid w:val="00682277"/>
    <w:rsid w:val="00682333"/>
    <w:rsid w:val="006823D2"/>
    <w:rsid w:val="006823F8"/>
    <w:rsid w:val="006827AB"/>
    <w:rsid w:val="00682CCB"/>
    <w:rsid w:val="00682E54"/>
    <w:rsid w:val="006830F7"/>
    <w:rsid w:val="00683108"/>
    <w:rsid w:val="00683158"/>
    <w:rsid w:val="006832DE"/>
    <w:rsid w:val="00683B49"/>
    <w:rsid w:val="00683FF0"/>
    <w:rsid w:val="00684135"/>
    <w:rsid w:val="00684E62"/>
    <w:rsid w:val="006851D6"/>
    <w:rsid w:val="00685978"/>
    <w:rsid w:val="00685AD0"/>
    <w:rsid w:val="00685BA8"/>
    <w:rsid w:val="00685F1C"/>
    <w:rsid w:val="006865BD"/>
    <w:rsid w:val="006867DA"/>
    <w:rsid w:val="00686D97"/>
    <w:rsid w:val="0068700C"/>
    <w:rsid w:val="006870D3"/>
    <w:rsid w:val="00687806"/>
    <w:rsid w:val="00687EEB"/>
    <w:rsid w:val="00690057"/>
    <w:rsid w:val="006901EB"/>
    <w:rsid w:val="006903F6"/>
    <w:rsid w:val="00690532"/>
    <w:rsid w:val="0069071B"/>
    <w:rsid w:val="00690A5C"/>
    <w:rsid w:val="00690A75"/>
    <w:rsid w:val="00690B0F"/>
    <w:rsid w:val="00690EC9"/>
    <w:rsid w:val="00691568"/>
    <w:rsid w:val="00691682"/>
    <w:rsid w:val="00691816"/>
    <w:rsid w:val="00693F03"/>
    <w:rsid w:val="0069453B"/>
    <w:rsid w:val="006949D3"/>
    <w:rsid w:val="00694F08"/>
    <w:rsid w:val="00694F89"/>
    <w:rsid w:val="0069504C"/>
    <w:rsid w:val="00695838"/>
    <w:rsid w:val="0069587B"/>
    <w:rsid w:val="00695F0E"/>
    <w:rsid w:val="00695F1C"/>
    <w:rsid w:val="00696651"/>
    <w:rsid w:val="00696703"/>
    <w:rsid w:val="006969CD"/>
    <w:rsid w:val="00696D73"/>
    <w:rsid w:val="00696EFE"/>
    <w:rsid w:val="006A0112"/>
    <w:rsid w:val="006A087D"/>
    <w:rsid w:val="006A153D"/>
    <w:rsid w:val="006A16C1"/>
    <w:rsid w:val="006A17E4"/>
    <w:rsid w:val="006A189C"/>
    <w:rsid w:val="006A18B8"/>
    <w:rsid w:val="006A1A9C"/>
    <w:rsid w:val="006A24A2"/>
    <w:rsid w:val="006A32AC"/>
    <w:rsid w:val="006A32F8"/>
    <w:rsid w:val="006A3823"/>
    <w:rsid w:val="006A3A49"/>
    <w:rsid w:val="006A3B18"/>
    <w:rsid w:val="006A3FAF"/>
    <w:rsid w:val="006A4B3F"/>
    <w:rsid w:val="006A4D70"/>
    <w:rsid w:val="006A526C"/>
    <w:rsid w:val="006A551E"/>
    <w:rsid w:val="006A5712"/>
    <w:rsid w:val="006A5AF6"/>
    <w:rsid w:val="006A5B9E"/>
    <w:rsid w:val="006A5DFF"/>
    <w:rsid w:val="006A6B29"/>
    <w:rsid w:val="006A6B66"/>
    <w:rsid w:val="006A6CAD"/>
    <w:rsid w:val="006A7E42"/>
    <w:rsid w:val="006B0A2A"/>
    <w:rsid w:val="006B0BA6"/>
    <w:rsid w:val="006B0CAA"/>
    <w:rsid w:val="006B0E07"/>
    <w:rsid w:val="006B153B"/>
    <w:rsid w:val="006B1F55"/>
    <w:rsid w:val="006B2004"/>
    <w:rsid w:val="006B289F"/>
    <w:rsid w:val="006B29B3"/>
    <w:rsid w:val="006B2B7E"/>
    <w:rsid w:val="006B2C66"/>
    <w:rsid w:val="006B325D"/>
    <w:rsid w:val="006B33AA"/>
    <w:rsid w:val="006B3552"/>
    <w:rsid w:val="006B391C"/>
    <w:rsid w:val="006B3AFC"/>
    <w:rsid w:val="006B3DCC"/>
    <w:rsid w:val="006B40F4"/>
    <w:rsid w:val="006B4258"/>
    <w:rsid w:val="006B4607"/>
    <w:rsid w:val="006B4D53"/>
    <w:rsid w:val="006B4D89"/>
    <w:rsid w:val="006B4F09"/>
    <w:rsid w:val="006B4FD9"/>
    <w:rsid w:val="006B53E3"/>
    <w:rsid w:val="006B54A1"/>
    <w:rsid w:val="006B5B10"/>
    <w:rsid w:val="006B5B35"/>
    <w:rsid w:val="006B5D4C"/>
    <w:rsid w:val="006B5E66"/>
    <w:rsid w:val="006B6234"/>
    <w:rsid w:val="006B65D2"/>
    <w:rsid w:val="006B6738"/>
    <w:rsid w:val="006B7025"/>
    <w:rsid w:val="006B7179"/>
    <w:rsid w:val="006B786D"/>
    <w:rsid w:val="006B791E"/>
    <w:rsid w:val="006B7ADE"/>
    <w:rsid w:val="006B7E50"/>
    <w:rsid w:val="006C04E3"/>
    <w:rsid w:val="006C0521"/>
    <w:rsid w:val="006C055D"/>
    <w:rsid w:val="006C0746"/>
    <w:rsid w:val="006C090D"/>
    <w:rsid w:val="006C0CCC"/>
    <w:rsid w:val="006C1380"/>
    <w:rsid w:val="006C14D5"/>
    <w:rsid w:val="006C1D94"/>
    <w:rsid w:val="006C1F59"/>
    <w:rsid w:val="006C236F"/>
    <w:rsid w:val="006C2515"/>
    <w:rsid w:val="006C2CFB"/>
    <w:rsid w:val="006C2F9A"/>
    <w:rsid w:val="006C3426"/>
    <w:rsid w:val="006C4508"/>
    <w:rsid w:val="006C45F6"/>
    <w:rsid w:val="006C4B55"/>
    <w:rsid w:val="006C4B97"/>
    <w:rsid w:val="006C4D2E"/>
    <w:rsid w:val="006C5039"/>
    <w:rsid w:val="006C567E"/>
    <w:rsid w:val="006C59A7"/>
    <w:rsid w:val="006C59F8"/>
    <w:rsid w:val="006C5B24"/>
    <w:rsid w:val="006C5C74"/>
    <w:rsid w:val="006C643A"/>
    <w:rsid w:val="006C6E1C"/>
    <w:rsid w:val="006C6F09"/>
    <w:rsid w:val="006C7102"/>
    <w:rsid w:val="006C71F5"/>
    <w:rsid w:val="006C73BC"/>
    <w:rsid w:val="006C7407"/>
    <w:rsid w:val="006C74F9"/>
    <w:rsid w:val="006C7652"/>
    <w:rsid w:val="006C780F"/>
    <w:rsid w:val="006C7904"/>
    <w:rsid w:val="006C7B61"/>
    <w:rsid w:val="006C7DEB"/>
    <w:rsid w:val="006C7EDE"/>
    <w:rsid w:val="006D02DC"/>
    <w:rsid w:val="006D0D7D"/>
    <w:rsid w:val="006D0ED5"/>
    <w:rsid w:val="006D2492"/>
    <w:rsid w:val="006D2A89"/>
    <w:rsid w:val="006D30CE"/>
    <w:rsid w:val="006D328F"/>
    <w:rsid w:val="006D34C9"/>
    <w:rsid w:val="006D38E6"/>
    <w:rsid w:val="006D3DBF"/>
    <w:rsid w:val="006D3F6C"/>
    <w:rsid w:val="006D460F"/>
    <w:rsid w:val="006D47CB"/>
    <w:rsid w:val="006D4A81"/>
    <w:rsid w:val="006D4F82"/>
    <w:rsid w:val="006D5136"/>
    <w:rsid w:val="006D5724"/>
    <w:rsid w:val="006D57F1"/>
    <w:rsid w:val="006D5810"/>
    <w:rsid w:val="006D5C45"/>
    <w:rsid w:val="006D60E6"/>
    <w:rsid w:val="006D60F0"/>
    <w:rsid w:val="006D6399"/>
    <w:rsid w:val="006D6578"/>
    <w:rsid w:val="006D664D"/>
    <w:rsid w:val="006D6665"/>
    <w:rsid w:val="006D68B9"/>
    <w:rsid w:val="006D69DF"/>
    <w:rsid w:val="006D765F"/>
    <w:rsid w:val="006D7845"/>
    <w:rsid w:val="006D78F5"/>
    <w:rsid w:val="006D7DC2"/>
    <w:rsid w:val="006E051B"/>
    <w:rsid w:val="006E0671"/>
    <w:rsid w:val="006E0786"/>
    <w:rsid w:val="006E07DA"/>
    <w:rsid w:val="006E09D6"/>
    <w:rsid w:val="006E0C88"/>
    <w:rsid w:val="006E143E"/>
    <w:rsid w:val="006E1484"/>
    <w:rsid w:val="006E1781"/>
    <w:rsid w:val="006E1DB3"/>
    <w:rsid w:val="006E1EFF"/>
    <w:rsid w:val="006E1F2D"/>
    <w:rsid w:val="006E2650"/>
    <w:rsid w:val="006E3110"/>
    <w:rsid w:val="006E3350"/>
    <w:rsid w:val="006E344F"/>
    <w:rsid w:val="006E36DB"/>
    <w:rsid w:val="006E3BC0"/>
    <w:rsid w:val="006E3D11"/>
    <w:rsid w:val="006E403B"/>
    <w:rsid w:val="006E405D"/>
    <w:rsid w:val="006E4369"/>
    <w:rsid w:val="006E4440"/>
    <w:rsid w:val="006E4951"/>
    <w:rsid w:val="006E4A72"/>
    <w:rsid w:val="006E4A7A"/>
    <w:rsid w:val="006E4C15"/>
    <w:rsid w:val="006E565E"/>
    <w:rsid w:val="006E5912"/>
    <w:rsid w:val="006E5C01"/>
    <w:rsid w:val="006E5ED4"/>
    <w:rsid w:val="006E607D"/>
    <w:rsid w:val="006E6102"/>
    <w:rsid w:val="006E6195"/>
    <w:rsid w:val="006E632C"/>
    <w:rsid w:val="006E6580"/>
    <w:rsid w:val="006E66F0"/>
    <w:rsid w:val="006E6A31"/>
    <w:rsid w:val="006F014E"/>
    <w:rsid w:val="006F0203"/>
    <w:rsid w:val="006F0268"/>
    <w:rsid w:val="006F03D8"/>
    <w:rsid w:val="006F137F"/>
    <w:rsid w:val="006F16CD"/>
    <w:rsid w:val="006F1B87"/>
    <w:rsid w:val="006F1E5F"/>
    <w:rsid w:val="006F20C1"/>
    <w:rsid w:val="006F2229"/>
    <w:rsid w:val="006F2810"/>
    <w:rsid w:val="006F2F73"/>
    <w:rsid w:val="006F3698"/>
    <w:rsid w:val="006F3753"/>
    <w:rsid w:val="006F37A1"/>
    <w:rsid w:val="006F3EC8"/>
    <w:rsid w:val="006F40A8"/>
    <w:rsid w:val="006F42B3"/>
    <w:rsid w:val="006F4820"/>
    <w:rsid w:val="006F50B5"/>
    <w:rsid w:val="006F522F"/>
    <w:rsid w:val="006F5321"/>
    <w:rsid w:val="006F54C6"/>
    <w:rsid w:val="006F58F6"/>
    <w:rsid w:val="006F5977"/>
    <w:rsid w:val="006F5DD1"/>
    <w:rsid w:val="006F62FC"/>
    <w:rsid w:val="006F6DAB"/>
    <w:rsid w:val="006F74C6"/>
    <w:rsid w:val="006F74CA"/>
    <w:rsid w:val="006F7502"/>
    <w:rsid w:val="006F77AD"/>
    <w:rsid w:val="006F795F"/>
    <w:rsid w:val="006F7A3A"/>
    <w:rsid w:val="006F7C9B"/>
    <w:rsid w:val="006F7E0B"/>
    <w:rsid w:val="006F7FB9"/>
    <w:rsid w:val="006F7FC1"/>
    <w:rsid w:val="007001D5"/>
    <w:rsid w:val="00700530"/>
    <w:rsid w:val="007006F1"/>
    <w:rsid w:val="00700DD4"/>
    <w:rsid w:val="00700FF3"/>
    <w:rsid w:val="0070148B"/>
    <w:rsid w:val="007017E4"/>
    <w:rsid w:val="00701859"/>
    <w:rsid w:val="00701F18"/>
    <w:rsid w:val="0070229F"/>
    <w:rsid w:val="007023E7"/>
    <w:rsid w:val="00702565"/>
    <w:rsid w:val="00702A93"/>
    <w:rsid w:val="00702C12"/>
    <w:rsid w:val="00702C88"/>
    <w:rsid w:val="007037AC"/>
    <w:rsid w:val="0070398D"/>
    <w:rsid w:val="00703A8B"/>
    <w:rsid w:val="0070454C"/>
    <w:rsid w:val="0070474A"/>
    <w:rsid w:val="0070480A"/>
    <w:rsid w:val="0070527E"/>
    <w:rsid w:val="00705999"/>
    <w:rsid w:val="00705C19"/>
    <w:rsid w:val="00705F1D"/>
    <w:rsid w:val="00706032"/>
    <w:rsid w:val="00706366"/>
    <w:rsid w:val="00706368"/>
    <w:rsid w:val="00706491"/>
    <w:rsid w:val="00706767"/>
    <w:rsid w:val="00706DCB"/>
    <w:rsid w:val="00707340"/>
    <w:rsid w:val="0071022E"/>
    <w:rsid w:val="00710B15"/>
    <w:rsid w:val="00711019"/>
    <w:rsid w:val="0071123B"/>
    <w:rsid w:val="0071145C"/>
    <w:rsid w:val="00711FFC"/>
    <w:rsid w:val="0071284C"/>
    <w:rsid w:val="0071297A"/>
    <w:rsid w:val="0071297B"/>
    <w:rsid w:val="00714332"/>
    <w:rsid w:val="0071465F"/>
    <w:rsid w:val="00714706"/>
    <w:rsid w:val="0071472C"/>
    <w:rsid w:val="00714813"/>
    <w:rsid w:val="00714EC6"/>
    <w:rsid w:val="007152F4"/>
    <w:rsid w:val="0071585A"/>
    <w:rsid w:val="007159AB"/>
    <w:rsid w:val="007159CB"/>
    <w:rsid w:val="00715DD7"/>
    <w:rsid w:val="00716A0F"/>
    <w:rsid w:val="00716EA1"/>
    <w:rsid w:val="00716F1D"/>
    <w:rsid w:val="00717730"/>
    <w:rsid w:val="00717B6E"/>
    <w:rsid w:val="00717C78"/>
    <w:rsid w:val="00717FC2"/>
    <w:rsid w:val="00721196"/>
    <w:rsid w:val="00721633"/>
    <w:rsid w:val="00721762"/>
    <w:rsid w:val="00721868"/>
    <w:rsid w:val="007219EE"/>
    <w:rsid w:val="00721A74"/>
    <w:rsid w:val="007222BC"/>
    <w:rsid w:val="00722676"/>
    <w:rsid w:val="00723389"/>
    <w:rsid w:val="00723AF6"/>
    <w:rsid w:val="007240AF"/>
    <w:rsid w:val="00724A7D"/>
    <w:rsid w:val="007250C9"/>
    <w:rsid w:val="007255DF"/>
    <w:rsid w:val="0072567B"/>
    <w:rsid w:val="0072570E"/>
    <w:rsid w:val="00725E22"/>
    <w:rsid w:val="00726753"/>
    <w:rsid w:val="00726F87"/>
    <w:rsid w:val="00727710"/>
    <w:rsid w:val="0072777D"/>
    <w:rsid w:val="00727934"/>
    <w:rsid w:val="00727CD1"/>
    <w:rsid w:val="00727D4D"/>
    <w:rsid w:val="00727D54"/>
    <w:rsid w:val="00727E29"/>
    <w:rsid w:val="0073012B"/>
    <w:rsid w:val="00730301"/>
    <w:rsid w:val="00730702"/>
    <w:rsid w:val="00730AAC"/>
    <w:rsid w:val="00730B36"/>
    <w:rsid w:val="00730B55"/>
    <w:rsid w:val="00730B7E"/>
    <w:rsid w:val="00730C38"/>
    <w:rsid w:val="00730C5B"/>
    <w:rsid w:val="00730CA3"/>
    <w:rsid w:val="007315ED"/>
    <w:rsid w:val="00731653"/>
    <w:rsid w:val="00731656"/>
    <w:rsid w:val="00731AB5"/>
    <w:rsid w:val="00731B4D"/>
    <w:rsid w:val="00731C21"/>
    <w:rsid w:val="00731F3D"/>
    <w:rsid w:val="007324CB"/>
    <w:rsid w:val="0073288C"/>
    <w:rsid w:val="00732FC2"/>
    <w:rsid w:val="007337C5"/>
    <w:rsid w:val="00733A59"/>
    <w:rsid w:val="00733A8A"/>
    <w:rsid w:val="00733AB7"/>
    <w:rsid w:val="00733EA0"/>
    <w:rsid w:val="0073400F"/>
    <w:rsid w:val="00734265"/>
    <w:rsid w:val="00734330"/>
    <w:rsid w:val="007343D8"/>
    <w:rsid w:val="00735103"/>
    <w:rsid w:val="0073556E"/>
    <w:rsid w:val="0073558C"/>
    <w:rsid w:val="0073584C"/>
    <w:rsid w:val="007358DD"/>
    <w:rsid w:val="0073638A"/>
    <w:rsid w:val="00736498"/>
    <w:rsid w:val="00736587"/>
    <w:rsid w:val="007366F1"/>
    <w:rsid w:val="0073677A"/>
    <w:rsid w:val="00736AC2"/>
    <w:rsid w:val="00736BD3"/>
    <w:rsid w:val="00736DA1"/>
    <w:rsid w:val="007377A4"/>
    <w:rsid w:val="00737ED0"/>
    <w:rsid w:val="00737F84"/>
    <w:rsid w:val="00740D0A"/>
    <w:rsid w:val="00740D86"/>
    <w:rsid w:val="00740F58"/>
    <w:rsid w:val="00741489"/>
    <w:rsid w:val="00741648"/>
    <w:rsid w:val="007416D9"/>
    <w:rsid w:val="00741755"/>
    <w:rsid w:val="00741D9F"/>
    <w:rsid w:val="00741FFD"/>
    <w:rsid w:val="00742E08"/>
    <w:rsid w:val="00742EC2"/>
    <w:rsid w:val="0074337C"/>
    <w:rsid w:val="00744011"/>
    <w:rsid w:val="007441D6"/>
    <w:rsid w:val="00744400"/>
    <w:rsid w:val="007448FB"/>
    <w:rsid w:val="0074490E"/>
    <w:rsid w:val="00744B6B"/>
    <w:rsid w:val="00744BA6"/>
    <w:rsid w:val="00744C8A"/>
    <w:rsid w:val="00744E0E"/>
    <w:rsid w:val="00745108"/>
    <w:rsid w:val="00745352"/>
    <w:rsid w:val="007454FE"/>
    <w:rsid w:val="00745E7A"/>
    <w:rsid w:val="0074631E"/>
    <w:rsid w:val="007463CA"/>
    <w:rsid w:val="007468C0"/>
    <w:rsid w:val="0074692B"/>
    <w:rsid w:val="00747761"/>
    <w:rsid w:val="00747CB1"/>
    <w:rsid w:val="00750679"/>
    <w:rsid w:val="0075073C"/>
    <w:rsid w:val="00750828"/>
    <w:rsid w:val="0075089A"/>
    <w:rsid w:val="00750DF9"/>
    <w:rsid w:val="00750E67"/>
    <w:rsid w:val="00750EDC"/>
    <w:rsid w:val="0075113E"/>
    <w:rsid w:val="00751B7F"/>
    <w:rsid w:val="00751D35"/>
    <w:rsid w:val="007523C7"/>
    <w:rsid w:val="007528A2"/>
    <w:rsid w:val="007528AF"/>
    <w:rsid w:val="00752D2C"/>
    <w:rsid w:val="00752DAB"/>
    <w:rsid w:val="00753428"/>
    <w:rsid w:val="00753BD4"/>
    <w:rsid w:val="007544F4"/>
    <w:rsid w:val="00754B7E"/>
    <w:rsid w:val="00755424"/>
    <w:rsid w:val="00755B2D"/>
    <w:rsid w:val="007560CC"/>
    <w:rsid w:val="007562A9"/>
    <w:rsid w:val="007562E9"/>
    <w:rsid w:val="00756491"/>
    <w:rsid w:val="0075652C"/>
    <w:rsid w:val="00756ABC"/>
    <w:rsid w:val="007578E0"/>
    <w:rsid w:val="00757A5E"/>
    <w:rsid w:val="00757CBE"/>
    <w:rsid w:val="0076011B"/>
    <w:rsid w:val="00760373"/>
    <w:rsid w:val="007604B3"/>
    <w:rsid w:val="00760698"/>
    <w:rsid w:val="00760D2F"/>
    <w:rsid w:val="007612F4"/>
    <w:rsid w:val="007618FF"/>
    <w:rsid w:val="00761999"/>
    <w:rsid w:val="00761CCC"/>
    <w:rsid w:val="00761D13"/>
    <w:rsid w:val="00761D7A"/>
    <w:rsid w:val="00762220"/>
    <w:rsid w:val="007629A8"/>
    <w:rsid w:val="00762B2D"/>
    <w:rsid w:val="00763163"/>
    <w:rsid w:val="00763170"/>
    <w:rsid w:val="00763951"/>
    <w:rsid w:val="007648D0"/>
    <w:rsid w:val="00764B5B"/>
    <w:rsid w:val="00765236"/>
    <w:rsid w:val="007652ED"/>
    <w:rsid w:val="0076533F"/>
    <w:rsid w:val="0076567A"/>
    <w:rsid w:val="00765689"/>
    <w:rsid w:val="00765CF4"/>
    <w:rsid w:val="00765F6E"/>
    <w:rsid w:val="007662A6"/>
    <w:rsid w:val="00767925"/>
    <w:rsid w:val="00767BD1"/>
    <w:rsid w:val="00767E67"/>
    <w:rsid w:val="0077018A"/>
    <w:rsid w:val="007707C5"/>
    <w:rsid w:val="00770A92"/>
    <w:rsid w:val="00770F0B"/>
    <w:rsid w:val="00771331"/>
    <w:rsid w:val="00771CB7"/>
    <w:rsid w:val="00771F2A"/>
    <w:rsid w:val="007720C5"/>
    <w:rsid w:val="007722F4"/>
    <w:rsid w:val="007730D2"/>
    <w:rsid w:val="007731EB"/>
    <w:rsid w:val="00773817"/>
    <w:rsid w:val="00773856"/>
    <w:rsid w:val="00773B5D"/>
    <w:rsid w:val="00773F66"/>
    <w:rsid w:val="00773FFD"/>
    <w:rsid w:val="0077447A"/>
    <w:rsid w:val="00774802"/>
    <w:rsid w:val="00775379"/>
    <w:rsid w:val="00775A4F"/>
    <w:rsid w:val="00775B45"/>
    <w:rsid w:val="00775E12"/>
    <w:rsid w:val="00776099"/>
    <w:rsid w:val="00776120"/>
    <w:rsid w:val="007762A6"/>
    <w:rsid w:val="007767A1"/>
    <w:rsid w:val="00776989"/>
    <w:rsid w:val="00776AED"/>
    <w:rsid w:val="00777040"/>
    <w:rsid w:val="007772AA"/>
    <w:rsid w:val="00777A76"/>
    <w:rsid w:val="00777C51"/>
    <w:rsid w:val="00777C6E"/>
    <w:rsid w:val="00777DC3"/>
    <w:rsid w:val="0078002A"/>
    <w:rsid w:val="0078021A"/>
    <w:rsid w:val="0078049E"/>
    <w:rsid w:val="007805BA"/>
    <w:rsid w:val="00780E56"/>
    <w:rsid w:val="00781015"/>
    <w:rsid w:val="00781987"/>
    <w:rsid w:val="00781A94"/>
    <w:rsid w:val="00781BDC"/>
    <w:rsid w:val="00781E16"/>
    <w:rsid w:val="00781E83"/>
    <w:rsid w:val="00781E9A"/>
    <w:rsid w:val="007820DD"/>
    <w:rsid w:val="007821BB"/>
    <w:rsid w:val="00782245"/>
    <w:rsid w:val="0078251C"/>
    <w:rsid w:val="00782D13"/>
    <w:rsid w:val="00782F6C"/>
    <w:rsid w:val="00783065"/>
    <w:rsid w:val="007830C8"/>
    <w:rsid w:val="00783446"/>
    <w:rsid w:val="00783488"/>
    <w:rsid w:val="00783522"/>
    <w:rsid w:val="00783A58"/>
    <w:rsid w:val="00783D0B"/>
    <w:rsid w:val="0078400A"/>
    <w:rsid w:val="0078427A"/>
    <w:rsid w:val="007842C3"/>
    <w:rsid w:val="0078441A"/>
    <w:rsid w:val="00784CEE"/>
    <w:rsid w:val="00784D65"/>
    <w:rsid w:val="00784EB4"/>
    <w:rsid w:val="00784EDF"/>
    <w:rsid w:val="00784F6E"/>
    <w:rsid w:val="0078518E"/>
    <w:rsid w:val="0078542B"/>
    <w:rsid w:val="007854B9"/>
    <w:rsid w:val="00785567"/>
    <w:rsid w:val="00785717"/>
    <w:rsid w:val="00785736"/>
    <w:rsid w:val="007857A3"/>
    <w:rsid w:val="00785874"/>
    <w:rsid w:val="00785909"/>
    <w:rsid w:val="00785CCB"/>
    <w:rsid w:val="00785F06"/>
    <w:rsid w:val="007861E1"/>
    <w:rsid w:val="0078629A"/>
    <w:rsid w:val="007862DD"/>
    <w:rsid w:val="007865D6"/>
    <w:rsid w:val="007868E9"/>
    <w:rsid w:val="007869D9"/>
    <w:rsid w:val="00786F9B"/>
    <w:rsid w:val="007871AB"/>
    <w:rsid w:val="00787431"/>
    <w:rsid w:val="00787DFB"/>
    <w:rsid w:val="0079020B"/>
    <w:rsid w:val="00790634"/>
    <w:rsid w:val="007908A3"/>
    <w:rsid w:val="00790999"/>
    <w:rsid w:val="00790BFA"/>
    <w:rsid w:val="00790EA6"/>
    <w:rsid w:val="0079115D"/>
    <w:rsid w:val="00791461"/>
    <w:rsid w:val="00791549"/>
    <w:rsid w:val="0079165E"/>
    <w:rsid w:val="00791729"/>
    <w:rsid w:val="007922C7"/>
    <w:rsid w:val="007928B4"/>
    <w:rsid w:val="00792B5B"/>
    <w:rsid w:val="00792CC3"/>
    <w:rsid w:val="00792E5B"/>
    <w:rsid w:val="00792FB8"/>
    <w:rsid w:val="007930FC"/>
    <w:rsid w:val="00793183"/>
    <w:rsid w:val="007939DB"/>
    <w:rsid w:val="00793E33"/>
    <w:rsid w:val="007940C0"/>
    <w:rsid w:val="007940F3"/>
    <w:rsid w:val="007940F7"/>
    <w:rsid w:val="007941A9"/>
    <w:rsid w:val="00794806"/>
    <w:rsid w:val="00794A9E"/>
    <w:rsid w:val="00794AED"/>
    <w:rsid w:val="00794D4E"/>
    <w:rsid w:val="007950DE"/>
    <w:rsid w:val="00795348"/>
    <w:rsid w:val="00795C34"/>
    <w:rsid w:val="00795CC2"/>
    <w:rsid w:val="0079614D"/>
    <w:rsid w:val="007962B6"/>
    <w:rsid w:val="007965A2"/>
    <w:rsid w:val="007969A2"/>
    <w:rsid w:val="00796A11"/>
    <w:rsid w:val="00796A75"/>
    <w:rsid w:val="0079739C"/>
    <w:rsid w:val="007975D2"/>
    <w:rsid w:val="00797C17"/>
    <w:rsid w:val="00797C49"/>
    <w:rsid w:val="00797C84"/>
    <w:rsid w:val="007A00BC"/>
    <w:rsid w:val="007A0224"/>
    <w:rsid w:val="007A030C"/>
    <w:rsid w:val="007A05B9"/>
    <w:rsid w:val="007A0E0C"/>
    <w:rsid w:val="007A0F0E"/>
    <w:rsid w:val="007A126D"/>
    <w:rsid w:val="007A16C4"/>
    <w:rsid w:val="007A1B12"/>
    <w:rsid w:val="007A1E1B"/>
    <w:rsid w:val="007A1F63"/>
    <w:rsid w:val="007A2358"/>
    <w:rsid w:val="007A23BF"/>
    <w:rsid w:val="007A2462"/>
    <w:rsid w:val="007A25B2"/>
    <w:rsid w:val="007A274B"/>
    <w:rsid w:val="007A2D1A"/>
    <w:rsid w:val="007A332C"/>
    <w:rsid w:val="007A3CEA"/>
    <w:rsid w:val="007A3D46"/>
    <w:rsid w:val="007A3F48"/>
    <w:rsid w:val="007A45A5"/>
    <w:rsid w:val="007A4E2F"/>
    <w:rsid w:val="007A5126"/>
    <w:rsid w:val="007A5146"/>
    <w:rsid w:val="007A518C"/>
    <w:rsid w:val="007A523D"/>
    <w:rsid w:val="007A52C2"/>
    <w:rsid w:val="007A53D8"/>
    <w:rsid w:val="007A5E1A"/>
    <w:rsid w:val="007A62C9"/>
    <w:rsid w:val="007A6457"/>
    <w:rsid w:val="007A6CB2"/>
    <w:rsid w:val="007A6D45"/>
    <w:rsid w:val="007A7BBA"/>
    <w:rsid w:val="007A7C17"/>
    <w:rsid w:val="007A7C98"/>
    <w:rsid w:val="007A7EDE"/>
    <w:rsid w:val="007A7FCD"/>
    <w:rsid w:val="007B080B"/>
    <w:rsid w:val="007B0B28"/>
    <w:rsid w:val="007B0D07"/>
    <w:rsid w:val="007B0FB0"/>
    <w:rsid w:val="007B0FEB"/>
    <w:rsid w:val="007B188F"/>
    <w:rsid w:val="007B1EE6"/>
    <w:rsid w:val="007B2008"/>
    <w:rsid w:val="007B25B2"/>
    <w:rsid w:val="007B2F40"/>
    <w:rsid w:val="007B306A"/>
    <w:rsid w:val="007B3311"/>
    <w:rsid w:val="007B338C"/>
    <w:rsid w:val="007B37BA"/>
    <w:rsid w:val="007B37C5"/>
    <w:rsid w:val="007B39DB"/>
    <w:rsid w:val="007B3B39"/>
    <w:rsid w:val="007B3E04"/>
    <w:rsid w:val="007B3EBC"/>
    <w:rsid w:val="007B3FF5"/>
    <w:rsid w:val="007B413E"/>
    <w:rsid w:val="007B525E"/>
    <w:rsid w:val="007B53A0"/>
    <w:rsid w:val="007B53E7"/>
    <w:rsid w:val="007B57A5"/>
    <w:rsid w:val="007B5B2D"/>
    <w:rsid w:val="007B5B56"/>
    <w:rsid w:val="007B5E7A"/>
    <w:rsid w:val="007B5F41"/>
    <w:rsid w:val="007B61EE"/>
    <w:rsid w:val="007B6331"/>
    <w:rsid w:val="007B6A6D"/>
    <w:rsid w:val="007B6F65"/>
    <w:rsid w:val="007B7097"/>
    <w:rsid w:val="007B7145"/>
    <w:rsid w:val="007B7614"/>
    <w:rsid w:val="007B77F8"/>
    <w:rsid w:val="007B7A9C"/>
    <w:rsid w:val="007C034C"/>
    <w:rsid w:val="007C03DB"/>
    <w:rsid w:val="007C0A00"/>
    <w:rsid w:val="007C0C3F"/>
    <w:rsid w:val="007C0D5A"/>
    <w:rsid w:val="007C100E"/>
    <w:rsid w:val="007C11A3"/>
    <w:rsid w:val="007C1332"/>
    <w:rsid w:val="007C1398"/>
    <w:rsid w:val="007C1550"/>
    <w:rsid w:val="007C161F"/>
    <w:rsid w:val="007C166F"/>
    <w:rsid w:val="007C1D79"/>
    <w:rsid w:val="007C2207"/>
    <w:rsid w:val="007C2A3E"/>
    <w:rsid w:val="007C2AB4"/>
    <w:rsid w:val="007C3241"/>
    <w:rsid w:val="007C3395"/>
    <w:rsid w:val="007C3402"/>
    <w:rsid w:val="007C40F8"/>
    <w:rsid w:val="007C42FB"/>
    <w:rsid w:val="007C45A5"/>
    <w:rsid w:val="007C4C0C"/>
    <w:rsid w:val="007C4F44"/>
    <w:rsid w:val="007C5BC6"/>
    <w:rsid w:val="007C5DA2"/>
    <w:rsid w:val="007C5E9C"/>
    <w:rsid w:val="007C613B"/>
    <w:rsid w:val="007C63E0"/>
    <w:rsid w:val="007C67D4"/>
    <w:rsid w:val="007C6828"/>
    <w:rsid w:val="007C6A5C"/>
    <w:rsid w:val="007C6AA7"/>
    <w:rsid w:val="007C6BBD"/>
    <w:rsid w:val="007C77E1"/>
    <w:rsid w:val="007C79CF"/>
    <w:rsid w:val="007D0330"/>
    <w:rsid w:val="007D039D"/>
    <w:rsid w:val="007D049C"/>
    <w:rsid w:val="007D04D3"/>
    <w:rsid w:val="007D051A"/>
    <w:rsid w:val="007D0B01"/>
    <w:rsid w:val="007D0B04"/>
    <w:rsid w:val="007D0CDF"/>
    <w:rsid w:val="007D1005"/>
    <w:rsid w:val="007D152F"/>
    <w:rsid w:val="007D1531"/>
    <w:rsid w:val="007D1D04"/>
    <w:rsid w:val="007D2044"/>
    <w:rsid w:val="007D2186"/>
    <w:rsid w:val="007D2271"/>
    <w:rsid w:val="007D2366"/>
    <w:rsid w:val="007D2863"/>
    <w:rsid w:val="007D2D33"/>
    <w:rsid w:val="007D2F34"/>
    <w:rsid w:val="007D382F"/>
    <w:rsid w:val="007D38AE"/>
    <w:rsid w:val="007D39D3"/>
    <w:rsid w:val="007D3DD4"/>
    <w:rsid w:val="007D42C9"/>
    <w:rsid w:val="007D42FF"/>
    <w:rsid w:val="007D4834"/>
    <w:rsid w:val="007D4A43"/>
    <w:rsid w:val="007D4EDB"/>
    <w:rsid w:val="007D5184"/>
    <w:rsid w:val="007D5364"/>
    <w:rsid w:val="007D558B"/>
    <w:rsid w:val="007D56CB"/>
    <w:rsid w:val="007D5C60"/>
    <w:rsid w:val="007D5DBC"/>
    <w:rsid w:val="007D6113"/>
    <w:rsid w:val="007D62B4"/>
    <w:rsid w:val="007D6939"/>
    <w:rsid w:val="007D6D4D"/>
    <w:rsid w:val="007D6E10"/>
    <w:rsid w:val="007D75C0"/>
    <w:rsid w:val="007D7B7F"/>
    <w:rsid w:val="007D7CD6"/>
    <w:rsid w:val="007D7F83"/>
    <w:rsid w:val="007E008B"/>
    <w:rsid w:val="007E00AA"/>
    <w:rsid w:val="007E025C"/>
    <w:rsid w:val="007E06D5"/>
    <w:rsid w:val="007E0B27"/>
    <w:rsid w:val="007E0B49"/>
    <w:rsid w:val="007E1719"/>
    <w:rsid w:val="007E184C"/>
    <w:rsid w:val="007E187D"/>
    <w:rsid w:val="007E1A71"/>
    <w:rsid w:val="007E1D38"/>
    <w:rsid w:val="007E1E5F"/>
    <w:rsid w:val="007E1EB0"/>
    <w:rsid w:val="007E2136"/>
    <w:rsid w:val="007E2762"/>
    <w:rsid w:val="007E2879"/>
    <w:rsid w:val="007E2C50"/>
    <w:rsid w:val="007E2CB6"/>
    <w:rsid w:val="007E2F97"/>
    <w:rsid w:val="007E2FA5"/>
    <w:rsid w:val="007E319A"/>
    <w:rsid w:val="007E3929"/>
    <w:rsid w:val="007E3ABB"/>
    <w:rsid w:val="007E4317"/>
    <w:rsid w:val="007E4C3E"/>
    <w:rsid w:val="007E4C3F"/>
    <w:rsid w:val="007E604B"/>
    <w:rsid w:val="007E6394"/>
    <w:rsid w:val="007E64EB"/>
    <w:rsid w:val="007E6516"/>
    <w:rsid w:val="007E6851"/>
    <w:rsid w:val="007E6BA8"/>
    <w:rsid w:val="007E7249"/>
    <w:rsid w:val="007E7366"/>
    <w:rsid w:val="007E73F6"/>
    <w:rsid w:val="007E7783"/>
    <w:rsid w:val="007F06A8"/>
    <w:rsid w:val="007F0702"/>
    <w:rsid w:val="007F0AF2"/>
    <w:rsid w:val="007F1128"/>
    <w:rsid w:val="007F1365"/>
    <w:rsid w:val="007F1B06"/>
    <w:rsid w:val="007F25A5"/>
    <w:rsid w:val="007F2A4A"/>
    <w:rsid w:val="007F2A7C"/>
    <w:rsid w:val="007F30F0"/>
    <w:rsid w:val="007F3124"/>
    <w:rsid w:val="007F337F"/>
    <w:rsid w:val="007F349E"/>
    <w:rsid w:val="007F365E"/>
    <w:rsid w:val="007F3BFE"/>
    <w:rsid w:val="007F3E31"/>
    <w:rsid w:val="007F4038"/>
    <w:rsid w:val="007F4119"/>
    <w:rsid w:val="007F4473"/>
    <w:rsid w:val="007F48D6"/>
    <w:rsid w:val="007F4A03"/>
    <w:rsid w:val="007F4A0D"/>
    <w:rsid w:val="007F4ADC"/>
    <w:rsid w:val="007F4B78"/>
    <w:rsid w:val="007F55BB"/>
    <w:rsid w:val="007F569A"/>
    <w:rsid w:val="007F585B"/>
    <w:rsid w:val="007F5B91"/>
    <w:rsid w:val="007F6107"/>
    <w:rsid w:val="007F62C3"/>
    <w:rsid w:val="007F65FB"/>
    <w:rsid w:val="007F673E"/>
    <w:rsid w:val="007F680B"/>
    <w:rsid w:val="007F6B50"/>
    <w:rsid w:val="007F6D4B"/>
    <w:rsid w:val="007F6E81"/>
    <w:rsid w:val="007F7A58"/>
    <w:rsid w:val="007F7B1F"/>
    <w:rsid w:val="008006F9"/>
    <w:rsid w:val="00800903"/>
    <w:rsid w:val="00800A70"/>
    <w:rsid w:val="00801103"/>
    <w:rsid w:val="00801762"/>
    <w:rsid w:val="008017C1"/>
    <w:rsid w:val="00801B70"/>
    <w:rsid w:val="00801E41"/>
    <w:rsid w:val="00801F8B"/>
    <w:rsid w:val="00802DAC"/>
    <w:rsid w:val="00803683"/>
    <w:rsid w:val="00803B98"/>
    <w:rsid w:val="00803D36"/>
    <w:rsid w:val="00803FFA"/>
    <w:rsid w:val="00804184"/>
    <w:rsid w:val="0080469C"/>
    <w:rsid w:val="0080489D"/>
    <w:rsid w:val="00804CA2"/>
    <w:rsid w:val="00804D16"/>
    <w:rsid w:val="008050D6"/>
    <w:rsid w:val="00805203"/>
    <w:rsid w:val="0080540F"/>
    <w:rsid w:val="00805448"/>
    <w:rsid w:val="00805481"/>
    <w:rsid w:val="00805893"/>
    <w:rsid w:val="00805D43"/>
    <w:rsid w:val="00805F26"/>
    <w:rsid w:val="008060DD"/>
    <w:rsid w:val="008066BD"/>
    <w:rsid w:val="0080676E"/>
    <w:rsid w:val="00806A1F"/>
    <w:rsid w:val="00806A6C"/>
    <w:rsid w:val="00806C74"/>
    <w:rsid w:val="008073FF"/>
    <w:rsid w:val="00807646"/>
    <w:rsid w:val="00807AD2"/>
    <w:rsid w:val="0081002A"/>
    <w:rsid w:val="00810424"/>
    <w:rsid w:val="00810624"/>
    <w:rsid w:val="008107F3"/>
    <w:rsid w:val="00810B04"/>
    <w:rsid w:val="00810B32"/>
    <w:rsid w:val="00811305"/>
    <w:rsid w:val="00811580"/>
    <w:rsid w:val="008115B7"/>
    <w:rsid w:val="00811715"/>
    <w:rsid w:val="008117D3"/>
    <w:rsid w:val="0081188A"/>
    <w:rsid w:val="00811ECF"/>
    <w:rsid w:val="0081205A"/>
    <w:rsid w:val="00812B35"/>
    <w:rsid w:val="00812BCB"/>
    <w:rsid w:val="00812C33"/>
    <w:rsid w:val="00812E53"/>
    <w:rsid w:val="008130F6"/>
    <w:rsid w:val="00813406"/>
    <w:rsid w:val="00813484"/>
    <w:rsid w:val="00813619"/>
    <w:rsid w:val="00813BFC"/>
    <w:rsid w:val="00813CBF"/>
    <w:rsid w:val="008145BA"/>
    <w:rsid w:val="008148AB"/>
    <w:rsid w:val="0081498C"/>
    <w:rsid w:val="00814B6F"/>
    <w:rsid w:val="00814D65"/>
    <w:rsid w:val="00814DCA"/>
    <w:rsid w:val="008158B3"/>
    <w:rsid w:val="008159BA"/>
    <w:rsid w:val="00815E22"/>
    <w:rsid w:val="0081633F"/>
    <w:rsid w:val="00816702"/>
    <w:rsid w:val="00816EE6"/>
    <w:rsid w:val="00816FE8"/>
    <w:rsid w:val="0081729C"/>
    <w:rsid w:val="008172B7"/>
    <w:rsid w:val="00817A11"/>
    <w:rsid w:val="00817C73"/>
    <w:rsid w:val="00817F11"/>
    <w:rsid w:val="008206E1"/>
    <w:rsid w:val="008208DB"/>
    <w:rsid w:val="00820D8C"/>
    <w:rsid w:val="00821ADD"/>
    <w:rsid w:val="00821C07"/>
    <w:rsid w:val="00821CC7"/>
    <w:rsid w:val="00821F2D"/>
    <w:rsid w:val="00821F60"/>
    <w:rsid w:val="00822168"/>
    <w:rsid w:val="00822589"/>
    <w:rsid w:val="00822635"/>
    <w:rsid w:val="00822BC4"/>
    <w:rsid w:val="00823270"/>
    <w:rsid w:val="008236E5"/>
    <w:rsid w:val="0082382C"/>
    <w:rsid w:val="00823DD8"/>
    <w:rsid w:val="0082410B"/>
    <w:rsid w:val="0082419C"/>
    <w:rsid w:val="00824493"/>
    <w:rsid w:val="008248B0"/>
    <w:rsid w:val="00824A74"/>
    <w:rsid w:val="00824B3B"/>
    <w:rsid w:val="00824BB8"/>
    <w:rsid w:val="00825475"/>
    <w:rsid w:val="0082579F"/>
    <w:rsid w:val="00825A26"/>
    <w:rsid w:val="00825E83"/>
    <w:rsid w:val="00826111"/>
    <w:rsid w:val="00826E13"/>
    <w:rsid w:val="0082732F"/>
    <w:rsid w:val="0082738D"/>
    <w:rsid w:val="00827512"/>
    <w:rsid w:val="0082788A"/>
    <w:rsid w:val="00827899"/>
    <w:rsid w:val="008278D4"/>
    <w:rsid w:val="00827A08"/>
    <w:rsid w:val="00827D03"/>
    <w:rsid w:val="00827F28"/>
    <w:rsid w:val="008301DB"/>
    <w:rsid w:val="0083024A"/>
    <w:rsid w:val="0083067C"/>
    <w:rsid w:val="00830C6D"/>
    <w:rsid w:val="00830D3E"/>
    <w:rsid w:val="008310F6"/>
    <w:rsid w:val="008311E3"/>
    <w:rsid w:val="0083126C"/>
    <w:rsid w:val="0083158B"/>
    <w:rsid w:val="008316A8"/>
    <w:rsid w:val="00831FD5"/>
    <w:rsid w:val="008321AA"/>
    <w:rsid w:val="008325B6"/>
    <w:rsid w:val="00833220"/>
    <w:rsid w:val="008334C3"/>
    <w:rsid w:val="00833809"/>
    <w:rsid w:val="00833BE6"/>
    <w:rsid w:val="008341D9"/>
    <w:rsid w:val="00834890"/>
    <w:rsid w:val="00834AF2"/>
    <w:rsid w:val="00834BF3"/>
    <w:rsid w:val="0083513B"/>
    <w:rsid w:val="00835481"/>
    <w:rsid w:val="00835586"/>
    <w:rsid w:val="0083566A"/>
    <w:rsid w:val="00835921"/>
    <w:rsid w:val="00835BF2"/>
    <w:rsid w:val="00835C93"/>
    <w:rsid w:val="00836019"/>
    <w:rsid w:val="008361FD"/>
    <w:rsid w:val="00836578"/>
    <w:rsid w:val="008369CE"/>
    <w:rsid w:val="00836C1B"/>
    <w:rsid w:val="00836CC1"/>
    <w:rsid w:val="00836D04"/>
    <w:rsid w:val="00836F8C"/>
    <w:rsid w:val="00837A87"/>
    <w:rsid w:val="00837B25"/>
    <w:rsid w:val="00840160"/>
    <w:rsid w:val="008405BB"/>
    <w:rsid w:val="00840AAD"/>
    <w:rsid w:val="00840E3E"/>
    <w:rsid w:val="00841482"/>
    <w:rsid w:val="0084152F"/>
    <w:rsid w:val="008417EC"/>
    <w:rsid w:val="00841C3D"/>
    <w:rsid w:val="008420A7"/>
    <w:rsid w:val="00842339"/>
    <w:rsid w:val="00842365"/>
    <w:rsid w:val="00842DDF"/>
    <w:rsid w:val="00843058"/>
    <w:rsid w:val="00844FAA"/>
    <w:rsid w:val="0084523B"/>
    <w:rsid w:val="00845518"/>
    <w:rsid w:val="008458DD"/>
    <w:rsid w:val="00845CB5"/>
    <w:rsid w:val="00845EC5"/>
    <w:rsid w:val="008462BA"/>
    <w:rsid w:val="0084646F"/>
    <w:rsid w:val="00846709"/>
    <w:rsid w:val="00847056"/>
    <w:rsid w:val="0084720E"/>
    <w:rsid w:val="00847853"/>
    <w:rsid w:val="00847A3F"/>
    <w:rsid w:val="00847D60"/>
    <w:rsid w:val="00850232"/>
    <w:rsid w:val="00850264"/>
    <w:rsid w:val="008502C2"/>
    <w:rsid w:val="00850648"/>
    <w:rsid w:val="00850A8B"/>
    <w:rsid w:val="00850BF4"/>
    <w:rsid w:val="008517EA"/>
    <w:rsid w:val="008518B0"/>
    <w:rsid w:val="008519C5"/>
    <w:rsid w:val="00851D0D"/>
    <w:rsid w:val="00851E28"/>
    <w:rsid w:val="00852782"/>
    <w:rsid w:val="00852DE9"/>
    <w:rsid w:val="00853565"/>
    <w:rsid w:val="008536C9"/>
    <w:rsid w:val="00853716"/>
    <w:rsid w:val="00853961"/>
    <w:rsid w:val="008539F4"/>
    <w:rsid w:val="00853CCA"/>
    <w:rsid w:val="00853D66"/>
    <w:rsid w:val="008543E8"/>
    <w:rsid w:val="008547E8"/>
    <w:rsid w:val="00854DBC"/>
    <w:rsid w:val="00854F7B"/>
    <w:rsid w:val="00855254"/>
    <w:rsid w:val="00856441"/>
    <w:rsid w:val="00856478"/>
    <w:rsid w:val="00856570"/>
    <w:rsid w:val="00856CB6"/>
    <w:rsid w:val="00856E95"/>
    <w:rsid w:val="00856F57"/>
    <w:rsid w:val="00857427"/>
    <w:rsid w:val="00857616"/>
    <w:rsid w:val="0085766D"/>
    <w:rsid w:val="00857758"/>
    <w:rsid w:val="0085796E"/>
    <w:rsid w:val="008602F3"/>
    <w:rsid w:val="008603E0"/>
    <w:rsid w:val="00860927"/>
    <w:rsid w:val="00860A6E"/>
    <w:rsid w:val="00860D5A"/>
    <w:rsid w:val="00860E0B"/>
    <w:rsid w:val="00860E30"/>
    <w:rsid w:val="00860FF7"/>
    <w:rsid w:val="0086182C"/>
    <w:rsid w:val="008620D8"/>
    <w:rsid w:val="008620DB"/>
    <w:rsid w:val="008621BE"/>
    <w:rsid w:val="00862208"/>
    <w:rsid w:val="008627CD"/>
    <w:rsid w:val="008633E6"/>
    <w:rsid w:val="008633F6"/>
    <w:rsid w:val="00863552"/>
    <w:rsid w:val="008638CF"/>
    <w:rsid w:val="00863C73"/>
    <w:rsid w:val="00864155"/>
    <w:rsid w:val="00864467"/>
    <w:rsid w:val="00865A1E"/>
    <w:rsid w:val="00865F57"/>
    <w:rsid w:val="008663BD"/>
    <w:rsid w:val="00866491"/>
    <w:rsid w:val="0086649B"/>
    <w:rsid w:val="0086660B"/>
    <w:rsid w:val="00866680"/>
    <w:rsid w:val="00866807"/>
    <w:rsid w:val="008669EA"/>
    <w:rsid w:val="00866BA7"/>
    <w:rsid w:val="00866DC2"/>
    <w:rsid w:val="0086738E"/>
    <w:rsid w:val="0086752B"/>
    <w:rsid w:val="00867C00"/>
    <w:rsid w:val="0087045C"/>
    <w:rsid w:val="008704AE"/>
    <w:rsid w:val="00870516"/>
    <w:rsid w:val="00870ED8"/>
    <w:rsid w:val="00870FFF"/>
    <w:rsid w:val="00871539"/>
    <w:rsid w:val="00871F2E"/>
    <w:rsid w:val="00872095"/>
    <w:rsid w:val="008720D3"/>
    <w:rsid w:val="00872347"/>
    <w:rsid w:val="00872B05"/>
    <w:rsid w:val="00872C1B"/>
    <w:rsid w:val="00872EC5"/>
    <w:rsid w:val="00873151"/>
    <w:rsid w:val="008741C3"/>
    <w:rsid w:val="0087471D"/>
    <w:rsid w:val="00874796"/>
    <w:rsid w:val="00874824"/>
    <w:rsid w:val="0087525F"/>
    <w:rsid w:val="00875E5D"/>
    <w:rsid w:val="00875F93"/>
    <w:rsid w:val="008763AF"/>
    <w:rsid w:val="00876917"/>
    <w:rsid w:val="00876C7F"/>
    <w:rsid w:val="00876D65"/>
    <w:rsid w:val="00876D8C"/>
    <w:rsid w:val="00876F7E"/>
    <w:rsid w:val="0087708A"/>
    <w:rsid w:val="00877443"/>
    <w:rsid w:val="008779FC"/>
    <w:rsid w:val="00877BE6"/>
    <w:rsid w:val="0088008C"/>
    <w:rsid w:val="00881DED"/>
    <w:rsid w:val="00882012"/>
    <w:rsid w:val="0088212C"/>
    <w:rsid w:val="0088231F"/>
    <w:rsid w:val="008828BD"/>
    <w:rsid w:val="00882D03"/>
    <w:rsid w:val="00882D51"/>
    <w:rsid w:val="00882DA6"/>
    <w:rsid w:val="00882F4B"/>
    <w:rsid w:val="008833C9"/>
    <w:rsid w:val="00883990"/>
    <w:rsid w:val="00883CE1"/>
    <w:rsid w:val="00883DB9"/>
    <w:rsid w:val="00883DE9"/>
    <w:rsid w:val="008841FC"/>
    <w:rsid w:val="0088424B"/>
    <w:rsid w:val="0088434F"/>
    <w:rsid w:val="008847BA"/>
    <w:rsid w:val="00884A23"/>
    <w:rsid w:val="00884E1B"/>
    <w:rsid w:val="00885085"/>
    <w:rsid w:val="00885276"/>
    <w:rsid w:val="00885781"/>
    <w:rsid w:val="00885A4A"/>
    <w:rsid w:val="00885B39"/>
    <w:rsid w:val="00885C9B"/>
    <w:rsid w:val="00885D27"/>
    <w:rsid w:val="00885FCF"/>
    <w:rsid w:val="00886064"/>
    <w:rsid w:val="00886100"/>
    <w:rsid w:val="008862A5"/>
    <w:rsid w:val="0088648E"/>
    <w:rsid w:val="008867DF"/>
    <w:rsid w:val="00886867"/>
    <w:rsid w:val="008869FA"/>
    <w:rsid w:val="008870AC"/>
    <w:rsid w:val="00887229"/>
    <w:rsid w:val="0088761C"/>
    <w:rsid w:val="00887623"/>
    <w:rsid w:val="00887FEB"/>
    <w:rsid w:val="008901DA"/>
    <w:rsid w:val="0089036D"/>
    <w:rsid w:val="00890625"/>
    <w:rsid w:val="0089065F"/>
    <w:rsid w:val="008906ED"/>
    <w:rsid w:val="00890C99"/>
    <w:rsid w:val="0089123E"/>
    <w:rsid w:val="0089127C"/>
    <w:rsid w:val="008917EA"/>
    <w:rsid w:val="008919D2"/>
    <w:rsid w:val="00891D37"/>
    <w:rsid w:val="00892A84"/>
    <w:rsid w:val="00892B73"/>
    <w:rsid w:val="00892C9A"/>
    <w:rsid w:val="0089340A"/>
    <w:rsid w:val="00893914"/>
    <w:rsid w:val="00893920"/>
    <w:rsid w:val="00893C0B"/>
    <w:rsid w:val="00894091"/>
    <w:rsid w:val="0089424A"/>
    <w:rsid w:val="0089474C"/>
    <w:rsid w:val="008948DE"/>
    <w:rsid w:val="00894B32"/>
    <w:rsid w:val="00894B95"/>
    <w:rsid w:val="00894BFE"/>
    <w:rsid w:val="00894CF0"/>
    <w:rsid w:val="00894E5B"/>
    <w:rsid w:val="008951E1"/>
    <w:rsid w:val="00895977"/>
    <w:rsid w:val="00895A06"/>
    <w:rsid w:val="00895B24"/>
    <w:rsid w:val="00895F3B"/>
    <w:rsid w:val="0089648F"/>
    <w:rsid w:val="0089671B"/>
    <w:rsid w:val="00896F95"/>
    <w:rsid w:val="008973C7"/>
    <w:rsid w:val="008976A2"/>
    <w:rsid w:val="008A0171"/>
    <w:rsid w:val="008A0301"/>
    <w:rsid w:val="008A09AE"/>
    <w:rsid w:val="008A0B0A"/>
    <w:rsid w:val="008A0B63"/>
    <w:rsid w:val="008A0B6E"/>
    <w:rsid w:val="008A0EAA"/>
    <w:rsid w:val="008A1213"/>
    <w:rsid w:val="008A12D8"/>
    <w:rsid w:val="008A1628"/>
    <w:rsid w:val="008A1C70"/>
    <w:rsid w:val="008A229A"/>
    <w:rsid w:val="008A23F4"/>
    <w:rsid w:val="008A2C14"/>
    <w:rsid w:val="008A31B0"/>
    <w:rsid w:val="008A32B3"/>
    <w:rsid w:val="008A3C56"/>
    <w:rsid w:val="008A3E08"/>
    <w:rsid w:val="008A4461"/>
    <w:rsid w:val="008A4AD4"/>
    <w:rsid w:val="008A4D34"/>
    <w:rsid w:val="008A4DFC"/>
    <w:rsid w:val="008A4FFE"/>
    <w:rsid w:val="008A51E8"/>
    <w:rsid w:val="008A528A"/>
    <w:rsid w:val="008A5647"/>
    <w:rsid w:val="008A5808"/>
    <w:rsid w:val="008A5A9E"/>
    <w:rsid w:val="008A5EA8"/>
    <w:rsid w:val="008A68B0"/>
    <w:rsid w:val="008A6998"/>
    <w:rsid w:val="008A6AA0"/>
    <w:rsid w:val="008A6EC1"/>
    <w:rsid w:val="008A6F75"/>
    <w:rsid w:val="008A7852"/>
    <w:rsid w:val="008A7BAE"/>
    <w:rsid w:val="008A7D2A"/>
    <w:rsid w:val="008B0331"/>
    <w:rsid w:val="008B0560"/>
    <w:rsid w:val="008B05A7"/>
    <w:rsid w:val="008B0B7D"/>
    <w:rsid w:val="008B0CCA"/>
    <w:rsid w:val="008B0D86"/>
    <w:rsid w:val="008B0E4F"/>
    <w:rsid w:val="008B12AE"/>
    <w:rsid w:val="008B1599"/>
    <w:rsid w:val="008B185A"/>
    <w:rsid w:val="008B1953"/>
    <w:rsid w:val="008B1989"/>
    <w:rsid w:val="008B22C7"/>
    <w:rsid w:val="008B269F"/>
    <w:rsid w:val="008B277D"/>
    <w:rsid w:val="008B2827"/>
    <w:rsid w:val="008B2964"/>
    <w:rsid w:val="008B2AEC"/>
    <w:rsid w:val="008B2D27"/>
    <w:rsid w:val="008B2DC1"/>
    <w:rsid w:val="008B32FC"/>
    <w:rsid w:val="008B33A5"/>
    <w:rsid w:val="008B35EC"/>
    <w:rsid w:val="008B3C30"/>
    <w:rsid w:val="008B4051"/>
    <w:rsid w:val="008B412F"/>
    <w:rsid w:val="008B42D3"/>
    <w:rsid w:val="008B45B3"/>
    <w:rsid w:val="008B4888"/>
    <w:rsid w:val="008B48B5"/>
    <w:rsid w:val="008B48EF"/>
    <w:rsid w:val="008B5D43"/>
    <w:rsid w:val="008B5F0A"/>
    <w:rsid w:val="008B5FF9"/>
    <w:rsid w:val="008B60AF"/>
    <w:rsid w:val="008B6838"/>
    <w:rsid w:val="008B692B"/>
    <w:rsid w:val="008B6A19"/>
    <w:rsid w:val="008B6F04"/>
    <w:rsid w:val="008B6F34"/>
    <w:rsid w:val="008B743E"/>
    <w:rsid w:val="008B75B2"/>
    <w:rsid w:val="008B7687"/>
    <w:rsid w:val="008B7E4C"/>
    <w:rsid w:val="008C05B1"/>
    <w:rsid w:val="008C07A4"/>
    <w:rsid w:val="008C09A2"/>
    <w:rsid w:val="008C1182"/>
    <w:rsid w:val="008C1B95"/>
    <w:rsid w:val="008C2107"/>
    <w:rsid w:val="008C254A"/>
    <w:rsid w:val="008C2718"/>
    <w:rsid w:val="008C2B22"/>
    <w:rsid w:val="008C3A9C"/>
    <w:rsid w:val="008C4430"/>
    <w:rsid w:val="008C463C"/>
    <w:rsid w:val="008C466B"/>
    <w:rsid w:val="008C4844"/>
    <w:rsid w:val="008C4988"/>
    <w:rsid w:val="008C4ABA"/>
    <w:rsid w:val="008C4D1C"/>
    <w:rsid w:val="008C4DB9"/>
    <w:rsid w:val="008C4F9A"/>
    <w:rsid w:val="008C5473"/>
    <w:rsid w:val="008C567A"/>
    <w:rsid w:val="008C5A2F"/>
    <w:rsid w:val="008C5C1F"/>
    <w:rsid w:val="008C5F24"/>
    <w:rsid w:val="008C6011"/>
    <w:rsid w:val="008C699A"/>
    <w:rsid w:val="008C6B82"/>
    <w:rsid w:val="008C6F2F"/>
    <w:rsid w:val="008C6F3D"/>
    <w:rsid w:val="008C70F4"/>
    <w:rsid w:val="008C76DB"/>
    <w:rsid w:val="008C77C2"/>
    <w:rsid w:val="008C7909"/>
    <w:rsid w:val="008C7968"/>
    <w:rsid w:val="008C7AE6"/>
    <w:rsid w:val="008D11B7"/>
    <w:rsid w:val="008D192C"/>
    <w:rsid w:val="008D19E3"/>
    <w:rsid w:val="008D1A5C"/>
    <w:rsid w:val="008D1D9A"/>
    <w:rsid w:val="008D1E1D"/>
    <w:rsid w:val="008D2155"/>
    <w:rsid w:val="008D2212"/>
    <w:rsid w:val="008D25A6"/>
    <w:rsid w:val="008D26F7"/>
    <w:rsid w:val="008D2AD4"/>
    <w:rsid w:val="008D2C95"/>
    <w:rsid w:val="008D32BE"/>
    <w:rsid w:val="008D32EA"/>
    <w:rsid w:val="008D3490"/>
    <w:rsid w:val="008D3C0E"/>
    <w:rsid w:val="008D3E15"/>
    <w:rsid w:val="008D3E7B"/>
    <w:rsid w:val="008D450A"/>
    <w:rsid w:val="008D487E"/>
    <w:rsid w:val="008D48AC"/>
    <w:rsid w:val="008D4A87"/>
    <w:rsid w:val="008D4AE7"/>
    <w:rsid w:val="008D4F01"/>
    <w:rsid w:val="008D5203"/>
    <w:rsid w:val="008D5343"/>
    <w:rsid w:val="008D53B8"/>
    <w:rsid w:val="008D54BE"/>
    <w:rsid w:val="008D58C8"/>
    <w:rsid w:val="008D5A3A"/>
    <w:rsid w:val="008D5CD6"/>
    <w:rsid w:val="008D5EE5"/>
    <w:rsid w:val="008D60C7"/>
    <w:rsid w:val="008D6126"/>
    <w:rsid w:val="008D616D"/>
    <w:rsid w:val="008D63C8"/>
    <w:rsid w:val="008D6485"/>
    <w:rsid w:val="008D6DB4"/>
    <w:rsid w:val="008D6F2C"/>
    <w:rsid w:val="008D7721"/>
    <w:rsid w:val="008D7B69"/>
    <w:rsid w:val="008D7ED7"/>
    <w:rsid w:val="008E0388"/>
    <w:rsid w:val="008E0598"/>
    <w:rsid w:val="008E063F"/>
    <w:rsid w:val="008E0995"/>
    <w:rsid w:val="008E0BAF"/>
    <w:rsid w:val="008E0BB5"/>
    <w:rsid w:val="008E0CFD"/>
    <w:rsid w:val="008E0E35"/>
    <w:rsid w:val="008E1415"/>
    <w:rsid w:val="008E1754"/>
    <w:rsid w:val="008E1B41"/>
    <w:rsid w:val="008E1BA8"/>
    <w:rsid w:val="008E1BD8"/>
    <w:rsid w:val="008E2387"/>
    <w:rsid w:val="008E2A20"/>
    <w:rsid w:val="008E2DA8"/>
    <w:rsid w:val="008E3204"/>
    <w:rsid w:val="008E34C8"/>
    <w:rsid w:val="008E35C6"/>
    <w:rsid w:val="008E3BC5"/>
    <w:rsid w:val="008E4153"/>
    <w:rsid w:val="008E44CC"/>
    <w:rsid w:val="008E49B5"/>
    <w:rsid w:val="008E521E"/>
    <w:rsid w:val="008E5331"/>
    <w:rsid w:val="008E54BD"/>
    <w:rsid w:val="008E55E9"/>
    <w:rsid w:val="008E56F2"/>
    <w:rsid w:val="008E5757"/>
    <w:rsid w:val="008E57E9"/>
    <w:rsid w:val="008E595B"/>
    <w:rsid w:val="008E5D59"/>
    <w:rsid w:val="008E5E1F"/>
    <w:rsid w:val="008E619B"/>
    <w:rsid w:val="008E6253"/>
    <w:rsid w:val="008E64CA"/>
    <w:rsid w:val="008E66E5"/>
    <w:rsid w:val="008E6ED1"/>
    <w:rsid w:val="008E70F9"/>
    <w:rsid w:val="008E7547"/>
    <w:rsid w:val="008E7B84"/>
    <w:rsid w:val="008E7D7B"/>
    <w:rsid w:val="008F0B68"/>
    <w:rsid w:val="008F0FD4"/>
    <w:rsid w:val="008F12D8"/>
    <w:rsid w:val="008F136A"/>
    <w:rsid w:val="008F1487"/>
    <w:rsid w:val="008F164B"/>
    <w:rsid w:val="008F16E9"/>
    <w:rsid w:val="008F1F64"/>
    <w:rsid w:val="008F2176"/>
    <w:rsid w:val="008F2333"/>
    <w:rsid w:val="008F234F"/>
    <w:rsid w:val="008F2457"/>
    <w:rsid w:val="008F2837"/>
    <w:rsid w:val="008F2935"/>
    <w:rsid w:val="008F2C40"/>
    <w:rsid w:val="008F2E5B"/>
    <w:rsid w:val="008F310F"/>
    <w:rsid w:val="008F328B"/>
    <w:rsid w:val="008F3904"/>
    <w:rsid w:val="008F3AB8"/>
    <w:rsid w:val="008F4099"/>
    <w:rsid w:val="008F4485"/>
    <w:rsid w:val="008F47A3"/>
    <w:rsid w:val="008F4CE6"/>
    <w:rsid w:val="008F4D08"/>
    <w:rsid w:val="008F5638"/>
    <w:rsid w:val="008F56CB"/>
    <w:rsid w:val="008F5844"/>
    <w:rsid w:val="008F5E45"/>
    <w:rsid w:val="008F60AA"/>
    <w:rsid w:val="008F60E4"/>
    <w:rsid w:val="008F635E"/>
    <w:rsid w:val="008F66BD"/>
    <w:rsid w:val="008F6A1B"/>
    <w:rsid w:val="008F6A39"/>
    <w:rsid w:val="00900069"/>
    <w:rsid w:val="00900087"/>
    <w:rsid w:val="009000DC"/>
    <w:rsid w:val="009006DC"/>
    <w:rsid w:val="009008A7"/>
    <w:rsid w:val="009008AE"/>
    <w:rsid w:val="00900913"/>
    <w:rsid w:val="00900957"/>
    <w:rsid w:val="00900A8E"/>
    <w:rsid w:val="00900C39"/>
    <w:rsid w:val="0090105C"/>
    <w:rsid w:val="0090155D"/>
    <w:rsid w:val="00901945"/>
    <w:rsid w:val="00901BE7"/>
    <w:rsid w:val="00901D16"/>
    <w:rsid w:val="00901F1F"/>
    <w:rsid w:val="009020DF"/>
    <w:rsid w:val="0090258A"/>
    <w:rsid w:val="00902696"/>
    <w:rsid w:val="009034F0"/>
    <w:rsid w:val="00903827"/>
    <w:rsid w:val="00903A0B"/>
    <w:rsid w:val="00904101"/>
    <w:rsid w:val="00904151"/>
    <w:rsid w:val="00904910"/>
    <w:rsid w:val="00904BBC"/>
    <w:rsid w:val="00904BBD"/>
    <w:rsid w:val="00904CF0"/>
    <w:rsid w:val="00904DCD"/>
    <w:rsid w:val="0090556B"/>
    <w:rsid w:val="00905C28"/>
    <w:rsid w:val="009060C9"/>
    <w:rsid w:val="009069CD"/>
    <w:rsid w:val="009074EC"/>
    <w:rsid w:val="00907588"/>
    <w:rsid w:val="0090782C"/>
    <w:rsid w:val="00907EAC"/>
    <w:rsid w:val="00910107"/>
    <w:rsid w:val="0091034A"/>
    <w:rsid w:val="0091089B"/>
    <w:rsid w:val="00911129"/>
    <w:rsid w:val="009113CE"/>
    <w:rsid w:val="009113FC"/>
    <w:rsid w:val="0091143C"/>
    <w:rsid w:val="009115C4"/>
    <w:rsid w:val="0091197C"/>
    <w:rsid w:val="00911F82"/>
    <w:rsid w:val="00911FF1"/>
    <w:rsid w:val="009121AF"/>
    <w:rsid w:val="009121DE"/>
    <w:rsid w:val="00912803"/>
    <w:rsid w:val="00912812"/>
    <w:rsid w:val="00912B35"/>
    <w:rsid w:val="00912DAE"/>
    <w:rsid w:val="009130E5"/>
    <w:rsid w:val="00913126"/>
    <w:rsid w:val="00913500"/>
    <w:rsid w:val="009138AB"/>
    <w:rsid w:val="00913D93"/>
    <w:rsid w:val="00914197"/>
    <w:rsid w:val="00914347"/>
    <w:rsid w:val="009144E1"/>
    <w:rsid w:val="009146B5"/>
    <w:rsid w:val="009150E1"/>
    <w:rsid w:val="009151D3"/>
    <w:rsid w:val="009155CE"/>
    <w:rsid w:val="0091597B"/>
    <w:rsid w:val="00915AC0"/>
    <w:rsid w:val="00916031"/>
    <w:rsid w:val="009169FB"/>
    <w:rsid w:val="00916DA1"/>
    <w:rsid w:val="00917351"/>
    <w:rsid w:val="00917F35"/>
    <w:rsid w:val="0092007C"/>
    <w:rsid w:val="00920163"/>
    <w:rsid w:val="00920284"/>
    <w:rsid w:val="009202DD"/>
    <w:rsid w:val="00920727"/>
    <w:rsid w:val="00920C00"/>
    <w:rsid w:val="00920ED7"/>
    <w:rsid w:val="00921432"/>
    <w:rsid w:val="00921762"/>
    <w:rsid w:val="00921A9E"/>
    <w:rsid w:val="00921B8F"/>
    <w:rsid w:val="00921CED"/>
    <w:rsid w:val="00921E2B"/>
    <w:rsid w:val="0092225E"/>
    <w:rsid w:val="0092293A"/>
    <w:rsid w:val="00922ADD"/>
    <w:rsid w:val="00922BB7"/>
    <w:rsid w:val="00922C6B"/>
    <w:rsid w:val="00923407"/>
    <w:rsid w:val="00923B3B"/>
    <w:rsid w:val="00923C08"/>
    <w:rsid w:val="00923DFA"/>
    <w:rsid w:val="00923E80"/>
    <w:rsid w:val="00923F72"/>
    <w:rsid w:val="00924233"/>
    <w:rsid w:val="009242F9"/>
    <w:rsid w:val="00924384"/>
    <w:rsid w:val="00924504"/>
    <w:rsid w:val="0092488B"/>
    <w:rsid w:val="00924A16"/>
    <w:rsid w:val="00924B50"/>
    <w:rsid w:val="00924E02"/>
    <w:rsid w:val="009255A4"/>
    <w:rsid w:val="00925A44"/>
    <w:rsid w:val="00925CF3"/>
    <w:rsid w:val="00925D8E"/>
    <w:rsid w:val="009260F9"/>
    <w:rsid w:val="009262C6"/>
    <w:rsid w:val="0092655C"/>
    <w:rsid w:val="009265E8"/>
    <w:rsid w:val="00926887"/>
    <w:rsid w:val="00926E65"/>
    <w:rsid w:val="00926F25"/>
    <w:rsid w:val="00926F4F"/>
    <w:rsid w:val="0092719F"/>
    <w:rsid w:val="0092758D"/>
    <w:rsid w:val="009276E4"/>
    <w:rsid w:val="009277CC"/>
    <w:rsid w:val="00927BE0"/>
    <w:rsid w:val="00927C3D"/>
    <w:rsid w:val="00927FD1"/>
    <w:rsid w:val="00930497"/>
    <w:rsid w:val="00930629"/>
    <w:rsid w:val="00930E3E"/>
    <w:rsid w:val="009312C3"/>
    <w:rsid w:val="009313E3"/>
    <w:rsid w:val="0093184D"/>
    <w:rsid w:val="00931AF9"/>
    <w:rsid w:val="009320D7"/>
    <w:rsid w:val="00932864"/>
    <w:rsid w:val="009328A7"/>
    <w:rsid w:val="00932B04"/>
    <w:rsid w:val="00932BA8"/>
    <w:rsid w:val="00933915"/>
    <w:rsid w:val="00933ABE"/>
    <w:rsid w:val="00933DFA"/>
    <w:rsid w:val="00933F29"/>
    <w:rsid w:val="00933FA4"/>
    <w:rsid w:val="0093445E"/>
    <w:rsid w:val="0093460D"/>
    <w:rsid w:val="0093471F"/>
    <w:rsid w:val="009347F4"/>
    <w:rsid w:val="0093486B"/>
    <w:rsid w:val="009349B9"/>
    <w:rsid w:val="00934C7B"/>
    <w:rsid w:val="00935247"/>
    <w:rsid w:val="0093535C"/>
    <w:rsid w:val="009356DD"/>
    <w:rsid w:val="00935C32"/>
    <w:rsid w:val="00935F0B"/>
    <w:rsid w:val="00935F34"/>
    <w:rsid w:val="0093624E"/>
    <w:rsid w:val="009364EB"/>
    <w:rsid w:val="00936702"/>
    <w:rsid w:val="00937136"/>
    <w:rsid w:val="00937571"/>
    <w:rsid w:val="0093786C"/>
    <w:rsid w:val="00940022"/>
    <w:rsid w:val="009406C7"/>
    <w:rsid w:val="00940786"/>
    <w:rsid w:val="009407FD"/>
    <w:rsid w:val="00941962"/>
    <w:rsid w:val="00941B33"/>
    <w:rsid w:val="00941C10"/>
    <w:rsid w:val="00941C3F"/>
    <w:rsid w:val="00941EF0"/>
    <w:rsid w:val="0094243C"/>
    <w:rsid w:val="00942482"/>
    <w:rsid w:val="009424FB"/>
    <w:rsid w:val="009426F3"/>
    <w:rsid w:val="00942FDF"/>
    <w:rsid w:val="0094374F"/>
    <w:rsid w:val="00943DB2"/>
    <w:rsid w:val="00943EDA"/>
    <w:rsid w:val="00944019"/>
    <w:rsid w:val="009441B5"/>
    <w:rsid w:val="00944472"/>
    <w:rsid w:val="00944AB1"/>
    <w:rsid w:val="00944F2E"/>
    <w:rsid w:val="00944F30"/>
    <w:rsid w:val="0094504C"/>
    <w:rsid w:val="009451E6"/>
    <w:rsid w:val="00945574"/>
    <w:rsid w:val="009465C9"/>
    <w:rsid w:val="00946A3B"/>
    <w:rsid w:val="00946CCB"/>
    <w:rsid w:val="00946EBA"/>
    <w:rsid w:val="00947571"/>
    <w:rsid w:val="009477AC"/>
    <w:rsid w:val="009479F7"/>
    <w:rsid w:val="00947A9D"/>
    <w:rsid w:val="00947B2F"/>
    <w:rsid w:val="00947B82"/>
    <w:rsid w:val="009503BD"/>
    <w:rsid w:val="00950831"/>
    <w:rsid w:val="00950CD5"/>
    <w:rsid w:val="00951388"/>
    <w:rsid w:val="0095208A"/>
    <w:rsid w:val="0095216D"/>
    <w:rsid w:val="00952443"/>
    <w:rsid w:val="00952551"/>
    <w:rsid w:val="00952896"/>
    <w:rsid w:val="009529AE"/>
    <w:rsid w:val="00952A71"/>
    <w:rsid w:val="00952D31"/>
    <w:rsid w:val="00954603"/>
    <w:rsid w:val="00954957"/>
    <w:rsid w:val="00954A4F"/>
    <w:rsid w:val="009552CC"/>
    <w:rsid w:val="00955C3B"/>
    <w:rsid w:val="00955FB4"/>
    <w:rsid w:val="009565FA"/>
    <w:rsid w:val="00956967"/>
    <w:rsid w:val="00956A0B"/>
    <w:rsid w:val="00956CB2"/>
    <w:rsid w:val="009572B0"/>
    <w:rsid w:val="009573A1"/>
    <w:rsid w:val="00957475"/>
    <w:rsid w:val="009574C8"/>
    <w:rsid w:val="00957AE8"/>
    <w:rsid w:val="00957F3C"/>
    <w:rsid w:val="0096023D"/>
    <w:rsid w:val="009607CB"/>
    <w:rsid w:val="00960A76"/>
    <w:rsid w:val="00960C6A"/>
    <w:rsid w:val="00960D4A"/>
    <w:rsid w:val="00960F3F"/>
    <w:rsid w:val="00961069"/>
    <w:rsid w:val="009611CD"/>
    <w:rsid w:val="009612E9"/>
    <w:rsid w:val="009613A4"/>
    <w:rsid w:val="009615E3"/>
    <w:rsid w:val="00961DAD"/>
    <w:rsid w:val="009623EF"/>
    <w:rsid w:val="00962520"/>
    <w:rsid w:val="0096260C"/>
    <w:rsid w:val="00962A9C"/>
    <w:rsid w:val="00962C0D"/>
    <w:rsid w:val="00962CA5"/>
    <w:rsid w:val="00962E12"/>
    <w:rsid w:val="00962F92"/>
    <w:rsid w:val="00963207"/>
    <w:rsid w:val="009634B1"/>
    <w:rsid w:val="00963860"/>
    <w:rsid w:val="00963AF0"/>
    <w:rsid w:val="00963BE6"/>
    <w:rsid w:val="00963C7C"/>
    <w:rsid w:val="00964C51"/>
    <w:rsid w:val="00964D70"/>
    <w:rsid w:val="009657C2"/>
    <w:rsid w:val="009667FE"/>
    <w:rsid w:val="0096699A"/>
    <w:rsid w:val="009669C2"/>
    <w:rsid w:val="00967992"/>
    <w:rsid w:val="00967BE7"/>
    <w:rsid w:val="00967D70"/>
    <w:rsid w:val="00967F91"/>
    <w:rsid w:val="00967FD2"/>
    <w:rsid w:val="0097018E"/>
    <w:rsid w:val="009701A3"/>
    <w:rsid w:val="009702FA"/>
    <w:rsid w:val="00970719"/>
    <w:rsid w:val="00970766"/>
    <w:rsid w:val="0097111B"/>
    <w:rsid w:val="0097137B"/>
    <w:rsid w:val="00971435"/>
    <w:rsid w:val="009716F3"/>
    <w:rsid w:val="0097179D"/>
    <w:rsid w:val="009717FB"/>
    <w:rsid w:val="009720C0"/>
    <w:rsid w:val="00972109"/>
    <w:rsid w:val="0097218F"/>
    <w:rsid w:val="00972368"/>
    <w:rsid w:val="00972644"/>
    <w:rsid w:val="00972CD9"/>
    <w:rsid w:val="0097306F"/>
    <w:rsid w:val="0097312A"/>
    <w:rsid w:val="00973219"/>
    <w:rsid w:val="0097355E"/>
    <w:rsid w:val="0097390C"/>
    <w:rsid w:val="00973992"/>
    <w:rsid w:val="00973AE0"/>
    <w:rsid w:val="00973D06"/>
    <w:rsid w:val="00973DE9"/>
    <w:rsid w:val="0097409A"/>
    <w:rsid w:val="00974190"/>
    <w:rsid w:val="00974359"/>
    <w:rsid w:val="009745C9"/>
    <w:rsid w:val="0097492B"/>
    <w:rsid w:val="00974DF7"/>
    <w:rsid w:val="0097532A"/>
    <w:rsid w:val="009755B2"/>
    <w:rsid w:val="009757B8"/>
    <w:rsid w:val="00975976"/>
    <w:rsid w:val="00975A07"/>
    <w:rsid w:val="0097630E"/>
    <w:rsid w:val="00976331"/>
    <w:rsid w:val="00976BF6"/>
    <w:rsid w:val="00976F05"/>
    <w:rsid w:val="00976F90"/>
    <w:rsid w:val="0097710E"/>
    <w:rsid w:val="00977710"/>
    <w:rsid w:val="00977BF2"/>
    <w:rsid w:val="0098001D"/>
    <w:rsid w:val="00980D7C"/>
    <w:rsid w:val="00980D83"/>
    <w:rsid w:val="009812F7"/>
    <w:rsid w:val="009813F8"/>
    <w:rsid w:val="00981637"/>
    <w:rsid w:val="009818C5"/>
    <w:rsid w:val="0098196E"/>
    <w:rsid w:val="00981F0A"/>
    <w:rsid w:val="009821AF"/>
    <w:rsid w:val="009821F1"/>
    <w:rsid w:val="009823E2"/>
    <w:rsid w:val="0098245F"/>
    <w:rsid w:val="00982615"/>
    <w:rsid w:val="00983C4D"/>
    <w:rsid w:val="009847F3"/>
    <w:rsid w:val="009848AA"/>
    <w:rsid w:val="00984C54"/>
    <w:rsid w:val="00984F29"/>
    <w:rsid w:val="0098581B"/>
    <w:rsid w:val="009858FF"/>
    <w:rsid w:val="0098592E"/>
    <w:rsid w:val="00985A33"/>
    <w:rsid w:val="0098623F"/>
    <w:rsid w:val="00986326"/>
    <w:rsid w:val="009866CB"/>
    <w:rsid w:val="00986A03"/>
    <w:rsid w:val="00986B73"/>
    <w:rsid w:val="00986C82"/>
    <w:rsid w:val="00986DF7"/>
    <w:rsid w:val="00986FF0"/>
    <w:rsid w:val="009870F2"/>
    <w:rsid w:val="00987492"/>
    <w:rsid w:val="009874E5"/>
    <w:rsid w:val="0098786B"/>
    <w:rsid w:val="00987881"/>
    <w:rsid w:val="0099063B"/>
    <w:rsid w:val="00990686"/>
    <w:rsid w:val="00990FAA"/>
    <w:rsid w:val="00991108"/>
    <w:rsid w:val="00991235"/>
    <w:rsid w:val="0099126E"/>
    <w:rsid w:val="0099188D"/>
    <w:rsid w:val="00991E25"/>
    <w:rsid w:val="00991E55"/>
    <w:rsid w:val="00992665"/>
    <w:rsid w:val="0099271A"/>
    <w:rsid w:val="009929BF"/>
    <w:rsid w:val="00992E24"/>
    <w:rsid w:val="00992F4A"/>
    <w:rsid w:val="009934C7"/>
    <w:rsid w:val="009936F4"/>
    <w:rsid w:val="0099371E"/>
    <w:rsid w:val="00993A09"/>
    <w:rsid w:val="009941BB"/>
    <w:rsid w:val="00994761"/>
    <w:rsid w:val="00994A15"/>
    <w:rsid w:val="00994EB3"/>
    <w:rsid w:val="009952E5"/>
    <w:rsid w:val="009954FD"/>
    <w:rsid w:val="00995D4B"/>
    <w:rsid w:val="0099682D"/>
    <w:rsid w:val="00996D0D"/>
    <w:rsid w:val="0099727B"/>
    <w:rsid w:val="0099750A"/>
    <w:rsid w:val="00997BF7"/>
    <w:rsid w:val="00997C6B"/>
    <w:rsid w:val="00997C8B"/>
    <w:rsid w:val="00997C92"/>
    <w:rsid w:val="00997E58"/>
    <w:rsid w:val="00997FE1"/>
    <w:rsid w:val="009A02B4"/>
    <w:rsid w:val="009A05CD"/>
    <w:rsid w:val="009A05E8"/>
    <w:rsid w:val="009A090D"/>
    <w:rsid w:val="009A0ADB"/>
    <w:rsid w:val="009A0B14"/>
    <w:rsid w:val="009A1CF9"/>
    <w:rsid w:val="009A22E5"/>
    <w:rsid w:val="009A25E1"/>
    <w:rsid w:val="009A26E2"/>
    <w:rsid w:val="009A274F"/>
    <w:rsid w:val="009A280B"/>
    <w:rsid w:val="009A30FA"/>
    <w:rsid w:val="009A3250"/>
    <w:rsid w:val="009A367E"/>
    <w:rsid w:val="009A38B3"/>
    <w:rsid w:val="009A3A92"/>
    <w:rsid w:val="009A3FFD"/>
    <w:rsid w:val="009A49F1"/>
    <w:rsid w:val="009A4A2F"/>
    <w:rsid w:val="009A4A45"/>
    <w:rsid w:val="009A4E28"/>
    <w:rsid w:val="009A5AD2"/>
    <w:rsid w:val="009A60E5"/>
    <w:rsid w:val="009A6177"/>
    <w:rsid w:val="009A63DD"/>
    <w:rsid w:val="009A6550"/>
    <w:rsid w:val="009A677E"/>
    <w:rsid w:val="009A6A46"/>
    <w:rsid w:val="009A6B54"/>
    <w:rsid w:val="009A6D72"/>
    <w:rsid w:val="009A6E83"/>
    <w:rsid w:val="009A709A"/>
    <w:rsid w:val="009A7138"/>
    <w:rsid w:val="009A7257"/>
    <w:rsid w:val="009A756A"/>
    <w:rsid w:val="009A7A0C"/>
    <w:rsid w:val="009B0186"/>
    <w:rsid w:val="009B03DE"/>
    <w:rsid w:val="009B0743"/>
    <w:rsid w:val="009B0814"/>
    <w:rsid w:val="009B0D88"/>
    <w:rsid w:val="009B106F"/>
    <w:rsid w:val="009B1B3F"/>
    <w:rsid w:val="009B230D"/>
    <w:rsid w:val="009B234E"/>
    <w:rsid w:val="009B23F8"/>
    <w:rsid w:val="009B3AC7"/>
    <w:rsid w:val="009B539A"/>
    <w:rsid w:val="009B576F"/>
    <w:rsid w:val="009B5E21"/>
    <w:rsid w:val="009B62E3"/>
    <w:rsid w:val="009B67D1"/>
    <w:rsid w:val="009B6A03"/>
    <w:rsid w:val="009B6A54"/>
    <w:rsid w:val="009B70C0"/>
    <w:rsid w:val="009B7A7D"/>
    <w:rsid w:val="009B7B83"/>
    <w:rsid w:val="009C0040"/>
    <w:rsid w:val="009C0180"/>
    <w:rsid w:val="009C026B"/>
    <w:rsid w:val="009C02E8"/>
    <w:rsid w:val="009C0915"/>
    <w:rsid w:val="009C0AA3"/>
    <w:rsid w:val="009C0D5C"/>
    <w:rsid w:val="009C1377"/>
    <w:rsid w:val="009C1581"/>
    <w:rsid w:val="009C17AB"/>
    <w:rsid w:val="009C18B9"/>
    <w:rsid w:val="009C1995"/>
    <w:rsid w:val="009C1AEC"/>
    <w:rsid w:val="009C34C8"/>
    <w:rsid w:val="009C36D7"/>
    <w:rsid w:val="009C3722"/>
    <w:rsid w:val="009C4506"/>
    <w:rsid w:val="009C4550"/>
    <w:rsid w:val="009C4EC5"/>
    <w:rsid w:val="009C4EF5"/>
    <w:rsid w:val="009C5B27"/>
    <w:rsid w:val="009C5EFF"/>
    <w:rsid w:val="009C60D6"/>
    <w:rsid w:val="009C60F6"/>
    <w:rsid w:val="009C611F"/>
    <w:rsid w:val="009C640F"/>
    <w:rsid w:val="009C6703"/>
    <w:rsid w:val="009C672F"/>
    <w:rsid w:val="009C7477"/>
    <w:rsid w:val="009C7E76"/>
    <w:rsid w:val="009D03E3"/>
    <w:rsid w:val="009D05EB"/>
    <w:rsid w:val="009D06B4"/>
    <w:rsid w:val="009D0D70"/>
    <w:rsid w:val="009D0F31"/>
    <w:rsid w:val="009D1633"/>
    <w:rsid w:val="009D16D1"/>
    <w:rsid w:val="009D1715"/>
    <w:rsid w:val="009D1976"/>
    <w:rsid w:val="009D19F8"/>
    <w:rsid w:val="009D1A98"/>
    <w:rsid w:val="009D21B8"/>
    <w:rsid w:val="009D2452"/>
    <w:rsid w:val="009D2665"/>
    <w:rsid w:val="009D2947"/>
    <w:rsid w:val="009D2A60"/>
    <w:rsid w:val="009D2B6A"/>
    <w:rsid w:val="009D2EBA"/>
    <w:rsid w:val="009D3124"/>
    <w:rsid w:val="009D35D3"/>
    <w:rsid w:val="009D3B1E"/>
    <w:rsid w:val="009D40D2"/>
    <w:rsid w:val="009D4495"/>
    <w:rsid w:val="009D44EB"/>
    <w:rsid w:val="009D4524"/>
    <w:rsid w:val="009D4782"/>
    <w:rsid w:val="009D48E9"/>
    <w:rsid w:val="009D4FE0"/>
    <w:rsid w:val="009D55C6"/>
    <w:rsid w:val="009D5817"/>
    <w:rsid w:val="009D5839"/>
    <w:rsid w:val="009D5B98"/>
    <w:rsid w:val="009D5BFD"/>
    <w:rsid w:val="009D63CA"/>
    <w:rsid w:val="009D66A1"/>
    <w:rsid w:val="009D6830"/>
    <w:rsid w:val="009D6B05"/>
    <w:rsid w:val="009D7739"/>
    <w:rsid w:val="009D7835"/>
    <w:rsid w:val="009D7836"/>
    <w:rsid w:val="009D7E34"/>
    <w:rsid w:val="009E0288"/>
    <w:rsid w:val="009E0502"/>
    <w:rsid w:val="009E1B0A"/>
    <w:rsid w:val="009E1E3C"/>
    <w:rsid w:val="009E252F"/>
    <w:rsid w:val="009E2CF8"/>
    <w:rsid w:val="009E2FD2"/>
    <w:rsid w:val="009E32C2"/>
    <w:rsid w:val="009E358C"/>
    <w:rsid w:val="009E361F"/>
    <w:rsid w:val="009E3700"/>
    <w:rsid w:val="009E3795"/>
    <w:rsid w:val="009E3B49"/>
    <w:rsid w:val="009E3C37"/>
    <w:rsid w:val="009E4AE3"/>
    <w:rsid w:val="009E4B5C"/>
    <w:rsid w:val="009E52C5"/>
    <w:rsid w:val="009E57B9"/>
    <w:rsid w:val="009E5891"/>
    <w:rsid w:val="009E5B2F"/>
    <w:rsid w:val="009E5B7E"/>
    <w:rsid w:val="009E5C74"/>
    <w:rsid w:val="009E5EFA"/>
    <w:rsid w:val="009E6222"/>
    <w:rsid w:val="009E62B9"/>
    <w:rsid w:val="009E6442"/>
    <w:rsid w:val="009E6482"/>
    <w:rsid w:val="009E64E6"/>
    <w:rsid w:val="009E6653"/>
    <w:rsid w:val="009E69FC"/>
    <w:rsid w:val="009E6BD5"/>
    <w:rsid w:val="009E6E0A"/>
    <w:rsid w:val="009E6EEE"/>
    <w:rsid w:val="009E6F18"/>
    <w:rsid w:val="009E72A8"/>
    <w:rsid w:val="009E7480"/>
    <w:rsid w:val="009E7A62"/>
    <w:rsid w:val="009E7F7F"/>
    <w:rsid w:val="009F04F1"/>
    <w:rsid w:val="009F0786"/>
    <w:rsid w:val="009F1C70"/>
    <w:rsid w:val="009F1CBA"/>
    <w:rsid w:val="009F28C3"/>
    <w:rsid w:val="009F28D6"/>
    <w:rsid w:val="009F2A8F"/>
    <w:rsid w:val="009F2BFE"/>
    <w:rsid w:val="009F2C0B"/>
    <w:rsid w:val="009F2CDD"/>
    <w:rsid w:val="009F2E3F"/>
    <w:rsid w:val="009F2E8D"/>
    <w:rsid w:val="009F324D"/>
    <w:rsid w:val="009F351F"/>
    <w:rsid w:val="009F36BD"/>
    <w:rsid w:val="009F3D3D"/>
    <w:rsid w:val="009F3DC7"/>
    <w:rsid w:val="009F427B"/>
    <w:rsid w:val="009F4506"/>
    <w:rsid w:val="009F4549"/>
    <w:rsid w:val="009F4FB9"/>
    <w:rsid w:val="009F5085"/>
    <w:rsid w:val="009F555E"/>
    <w:rsid w:val="009F5A4E"/>
    <w:rsid w:val="009F5AC5"/>
    <w:rsid w:val="009F5F89"/>
    <w:rsid w:val="009F61A5"/>
    <w:rsid w:val="009F6209"/>
    <w:rsid w:val="009F69C9"/>
    <w:rsid w:val="009F6E19"/>
    <w:rsid w:val="009F71B2"/>
    <w:rsid w:val="009F73AA"/>
    <w:rsid w:val="009F7898"/>
    <w:rsid w:val="009F7E65"/>
    <w:rsid w:val="00A0044B"/>
    <w:rsid w:val="00A0094F"/>
    <w:rsid w:val="00A00A3E"/>
    <w:rsid w:val="00A00B72"/>
    <w:rsid w:val="00A010DD"/>
    <w:rsid w:val="00A0153B"/>
    <w:rsid w:val="00A02C85"/>
    <w:rsid w:val="00A02D0F"/>
    <w:rsid w:val="00A02DDD"/>
    <w:rsid w:val="00A030EF"/>
    <w:rsid w:val="00A03260"/>
    <w:rsid w:val="00A033DF"/>
    <w:rsid w:val="00A035B6"/>
    <w:rsid w:val="00A03A90"/>
    <w:rsid w:val="00A03D78"/>
    <w:rsid w:val="00A041D8"/>
    <w:rsid w:val="00A0486E"/>
    <w:rsid w:val="00A051CF"/>
    <w:rsid w:val="00A05239"/>
    <w:rsid w:val="00A052BF"/>
    <w:rsid w:val="00A055DD"/>
    <w:rsid w:val="00A05B43"/>
    <w:rsid w:val="00A06350"/>
    <w:rsid w:val="00A06475"/>
    <w:rsid w:val="00A064AC"/>
    <w:rsid w:val="00A06D06"/>
    <w:rsid w:val="00A077CA"/>
    <w:rsid w:val="00A078BA"/>
    <w:rsid w:val="00A07E5A"/>
    <w:rsid w:val="00A10418"/>
    <w:rsid w:val="00A106E3"/>
    <w:rsid w:val="00A107FF"/>
    <w:rsid w:val="00A10877"/>
    <w:rsid w:val="00A10ACC"/>
    <w:rsid w:val="00A10CCB"/>
    <w:rsid w:val="00A11028"/>
    <w:rsid w:val="00A11170"/>
    <w:rsid w:val="00A1166E"/>
    <w:rsid w:val="00A11693"/>
    <w:rsid w:val="00A1170B"/>
    <w:rsid w:val="00A1176E"/>
    <w:rsid w:val="00A11A69"/>
    <w:rsid w:val="00A11D15"/>
    <w:rsid w:val="00A122EA"/>
    <w:rsid w:val="00A122EC"/>
    <w:rsid w:val="00A123F8"/>
    <w:rsid w:val="00A12B9C"/>
    <w:rsid w:val="00A12DA4"/>
    <w:rsid w:val="00A12E02"/>
    <w:rsid w:val="00A12E7E"/>
    <w:rsid w:val="00A12EE5"/>
    <w:rsid w:val="00A13124"/>
    <w:rsid w:val="00A13148"/>
    <w:rsid w:val="00A13193"/>
    <w:rsid w:val="00A131E7"/>
    <w:rsid w:val="00A13381"/>
    <w:rsid w:val="00A1338F"/>
    <w:rsid w:val="00A13566"/>
    <w:rsid w:val="00A13E15"/>
    <w:rsid w:val="00A13FC8"/>
    <w:rsid w:val="00A140E1"/>
    <w:rsid w:val="00A14173"/>
    <w:rsid w:val="00A14748"/>
    <w:rsid w:val="00A15D4C"/>
    <w:rsid w:val="00A15E12"/>
    <w:rsid w:val="00A15F2E"/>
    <w:rsid w:val="00A16119"/>
    <w:rsid w:val="00A163EE"/>
    <w:rsid w:val="00A163FF"/>
    <w:rsid w:val="00A16855"/>
    <w:rsid w:val="00A17099"/>
    <w:rsid w:val="00A171BD"/>
    <w:rsid w:val="00A17229"/>
    <w:rsid w:val="00A17338"/>
    <w:rsid w:val="00A17401"/>
    <w:rsid w:val="00A174C2"/>
    <w:rsid w:val="00A17572"/>
    <w:rsid w:val="00A1799F"/>
    <w:rsid w:val="00A179CD"/>
    <w:rsid w:val="00A17F33"/>
    <w:rsid w:val="00A200D4"/>
    <w:rsid w:val="00A204FE"/>
    <w:rsid w:val="00A2053E"/>
    <w:rsid w:val="00A208CA"/>
    <w:rsid w:val="00A20CD1"/>
    <w:rsid w:val="00A21C4E"/>
    <w:rsid w:val="00A21CAD"/>
    <w:rsid w:val="00A21F07"/>
    <w:rsid w:val="00A220B2"/>
    <w:rsid w:val="00A221BE"/>
    <w:rsid w:val="00A225D4"/>
    <w:rsid w:val="00A23060"/>
    <w:rsid w:val="00A230B2"/>
    <w:rsid w:val="00A23526"/>
    <w:rsid w:val="00A23E13"/>
    <w:rsid w:val="00A23F79"/>
    <w:rsid w:val="00A24165"/>
    <w:rsid w:val="00A2423A"/>
    <w:rsid w:val="00A24732"/>
    <w:rsid w:val="00A24972"/>
    <w:rsid w:val="00A24A1E"/>
    <w:rsid w:val="00A24FA4"/>
    <w:rsid w:val="00A250C2"/>
    <w:rsid w:val="00A2539D"/>
    <w:rsid w:val="00A254E9"/>
    <w:rsid w:val="00A258C2"/>
    <w:rsid w:val="00A25B5A"/>
    <w:rsid w:val="00A25BA6"/>
    <w:rsid w:val="00A25D2C"/>
    <w:rsid w:val="00A269EB"/>
    <w:rsid w:val="00A26CA2"/>
    <w:rsid w:val="00A26FF2"/>
    <w:rsid w:val="00A274FA"/>
    <w:rsid w:val="00A300F1"/>
    <w:rsid w:val="00A3018E"/>
    <w:rsid w:val="00A301A5"/>
    <w:rsid w:val="00A30302"/>
    <w:rsid w:val="00A30444"/>
    <w:rsid w:val="00A30627"/>
    <w:rsid w:val="00A3091A"/>
    <w:rsid w:val="00A30CE5"/>
    <w:rsid w:val="00A30D83"/>
    <w:rsid w:val="00A30D91"/>
    <w:rsid w:val="00A30E64"/>
    <w:rsid w:val="00A31522"/>
    <w:rsid w:val="00A3159F"/>
    <w:rsid w:val="00A31E85"/>
    <w:rsid w:val="00A3204A"/>
    <w:rsid w:val="00A32199"/>
    <w:rsid w:val="00A323E8"/>
    <w:rsid w:val="00A324BD"/>
    <w:rsid w:val="00A32E09"/>
    <w:rsid w:val="00A3352B"/>
    <w:rsid w:val="00A3376E"/>
    <w:rsid w:val="00A33878"/>
    <w:rsid w:val="00A33AF0"/>
    <w:rsid w:val="00A341BD"/>
    <w:rsid w:val="00A3475A"/>
    <w:rsid w:val="00A348FE"/>
    <w:rsid w:val="00A34A3A"/>
    <w:rsid w:val="00A34B46"/>
    <w:rsid w:val="00A34E6D"/>
    <w:rsid w:val="00A34EE8"/>
    <w:rsid w:val="00A34F18"/>
    <w:rsid w:val="00A3557E"/>
    <w:rsid w:val="00A355EF"/>
    <w:rsid w:val="00A358B3"/>
    <w:rsid w:val="00A35A8B"/>
    <w:rsid w:val="00A35D3F"/>
    <w:rsid w:val="00A35FEC"/>
    <w:rsid w:val="00A36078"/>
    <w:rsid w:val="00A3609B"/>
    <w:rsid w:val="00A36288"/>
    <w:rsid w:val="00A36349"/>
    <w:rsid w:val="00A36486"/>
    <w:rsid w:val="00A364B8"/>
    <w:rsid w:val="00A366AC"/>
    <w:rsid w:val="00A36875"/>
    <w:rsid w:val="00A36A38"/>
    <w:rsid w:val="00A36C9D"/>
    <w:rsid w:val="00A36D2E"/>
    <w:rsid w:val="00A37132"/>
    <w:rsid w:val="00A376E3"/>
    <w:rsid w:val="00A377EA"/>
    <w:rsid w:val="00A37B80"/>
    <w:rsid w:val="00A37C14"/>
    <w:rsid w:val="00A37F6F"/>
    <w:rsid w:val="00A40346"/>
    <w:rsid w:val="00A405CF"/>
    <w:rsid w:val="00A406A3"/>
    <w:rsid w:val="00A40A9B"/>
    <w:rsid w:val="00A40C92"/>
    <w:rsid w:val="00A40D65"/>
    <w:rsid w:val="00A41AE7"/>
    <w:rsid w:val="00A41C82"/>
    <w:rsid w:val="00A41CA7"/>
    <w:rsid w:val="00A41D58"/>
    <w:rsid w:val="00A420D8"/>
    <w:rsid w:val="00A427A2"/>
    <w:rsid w:val="00A428F8"/>
    <w:rsid w:val="00A429FC"/>
    <w:rsid w:val="00A42A42"/>
    <w:rsid w:val="00A42BD7"/>
    <w:rsid w:val="00A4346C"/>
    <w:rsid w:val="00A4361E"/>
    <w:rsid w:val="00A43895"/>
    <w:rsid w:val="00A43898"/>
    <w:rsid w:val="00A43B63"/>
    <w:rsid w:val="00A43BAA"/>
    <w:rsid w:val="00A449A4"/>
    <w:rsid w:val="00A44AAE"/>
    <w:rsid w:val="00A44AD2"/>
    <w:rsid w:val="00A45AD1"/>
    <w:rsid w:val="00A46C4C"/>
    <w:rsid w:val="00A47866"/>
    <w:rsid w:val="00A479E3"/>
    <w:rsid w:val="00A47B6D"/>
    <w:rsid w:val="00A47F8D"/>
    <w:rsid w:val="00A506E6"/>
    <w:rsid w:val="00A50722"/>
    <w:rsid w:val="00A50912"/>
    <w:rsid w:val="00A50BE3"/>
    <w:rsid w:val="00A50DE1"/>
    <w:rsid w:val="00A5146E"/>
    <w:rsid w:val="00A515AA"/>
    <w:rsid w:val="00A516F5"/>
    <w:rsid w:val="00A51FF4"/>
    <w:rsid w:val="00A522BC"/>
    <w:rsid w:val="00A5298C"/>
    <w:rsid w:val="00A52B20"/>
    <w:rsid w:val="00A52BEA"/>
    <w:rsid w:val="00A5308B"/>
    <w:rsid w:val="00A53212"/>
    <w:rsid w:val="00A53216"/>
    <w:rsid w:val="00A53288"/>
    <w:rsid w:val="00A5328C"/>
    <w:rsid w:val="00A53466"/>
    <w:rsid w:val="00A538C9"/>
    <w:rsid w:val="00A5393F"/>
    <w:rsid w:val="00A54317"/>
    <w:rsid w:val="00A5450C"/>
    <w:rsid w:val="00A54CAE"/>
    <w:rsid w:val="00A54E58"/>
    <w:rsid w:val="00A55127"/>
    <w:rsid w:val="00A5582A"/>
    <w:rsid w:val="00A5586C"/>
    <w:rsid w:val="00A558F0"/>
    <w:rsid w:val="00A55A6A"/>
    <w:rsid w:val="00A55C9F"/>
    <w:rsid w:val="00A560A5"/>
    <w:rsid w:val="00A560F7"/>
    <w:rsid w:val="00A569FA"/>
    <w:rsid w:val="00A56EDB"/>
    <w:rsid w:val="00A57515"/>
    <w:rsid w:val="00A57608"/>
    <w:rsid w:val="00A5794C"/>
    <w:rsid w:val="00A57AFB"/>
    <w:rsid w:val="00A57CE4"/>
    <w:rsid w:val="00A57D86"/>
    <w:rsid w:val="00A57FD1"/>
    <w:rsid w:val="00A6017B"/>
    <w:rsid w:val="00A601F4"/>
    <w:rsid w:val="00A6036B"/>
    <w:rsid w:val="00A60BDE"/>
    <w:rsid w:val="00A61006"/>
    <w:rsid w:val="00A6139A"/>
    <w:rsid w:val="00A6140E"/>
    <w:rsid w:val="00A61449"/>
    <w:rsid w:val="00A6196E"/>
    <w:rsid w:val="00A61BD7"/>
    <w:rsid w:val="00A61CD5"/>
    <w:rsid w:val="00A621F0"/>
    <w:rsid w:val="00A6239D"/>
    <w:rsid w:val="00A6255C"/>
    <w:rsid w:val="00A625EB"/>
    <w:rsid w:val="00A628BF"/>
    <w:rsid w:val="00A62AD4"/>
    <w:rsid w:val="00A62FAC"/>
    <w:rsid w:val="00A63096"/>
    <w:rsid w:val="00A633B8"/>
    <w:rsid w:val="00A63529"/>
    <w:rsid w:val="00A64256"/>
    <w:rsid w:val="00A64343"/>
    <w:rsid w:val="00A6464B"/>
    <w:rsid w:val="00A6470E"/>
    <w:rsid w:val="00A649DB"/>
    <w:rsid w:val="00A64ADC"/>
    <w:rsid w:val="00A651AB"/>
    <w:rsid w:val="00A6529A"/>
    <w:rsid w:val="00A65B40"/>
    <w:rsid w:val="00A65BC9"/>
    <w:rsid w:val="00A6616D"/>
    <w:rsid w:val="00A6629F"/>
    <w:rsid w:val="00A66353"/>
    <w:rsid w:val="00A66577"/>
    <w:rsid w:val="00A665D8"/>
    <w:rsid w:val="00A665F2"/>
    <w:rsid w:val="00A667D7"/>
    <w:rsid w:val="00A6683A"/>
    <w:rsid w:val="00A6688B"/>
    <w:rsid w:val="00A668A2"/>
    <w:rsid w:val="00A66A69"/>
    <w:rsid w:val="00A66DC5"/>
    <w:rsid w:val="00A66E65"/>
    <w:rsid w:val="00A66FCD"/>
    <w:rsid w:val="00A6742E"/>
    <w:rsid w:val="00A678B6"/>
    <w:rsid w:val="00A67C08"/>
    <w:rsid w:val="00A67C23"/>
    <w:rsid w:val="00A67CC1"/>
    <w:rsid w:val="00A7007F"/>
    <w:rsid w:val="00A704D2"/>
    <w:rsid w:val="00A70A6E"/>
    <w:rsid w:val="00A70DD2"/>
    <w:rsid w:val="00A70F77"/>
    <w:rsid w:val="00A71602"/>
    <w:rsid w:val="00A71A04"/>
    <w:rsid w:val="00A71D26"/>
    <w:rsid w:val="00A71E5F"/>
    <w:rsid w:val="00A722F9"/>
    <w:rsid w:val="00A72430"/>
    <w:rsid w:val="00A7248B"/>
    <w:rsid w:val="00A72516"/>
    <w:rsid w:val="00A72AE0"/>
    <w:rsid w:val="00A734E9"/>
    <w:rsid w:val="00A73EB1"/>
    <w:rsid w:val="00A74653"/>
    <w:rsid w:val="00A747A5"/>
    <w:rsid w:val="00A748D8"/>
    <w:rsid w:val="00A750BA"/>
    <w:rsid w:val="00A752CE"/>
    <w:rsid w:val="00A75404"/>
    <w:rsid w:val="00A757C5"/>
    <w:rsid w:val="00A75A8B"/>
    <w:rsid w:val="00A7636D"/>
    <w:rsid w:val="00A7690B"/>
    <w:rsid w:val="00A76B4C"/>
    <w:rsid w:val="00A76D29"/>
    <w:rsid w:val="00A76FCB"/>
    <w:rsid w:val="00A77274"/>
    <w:rsid w:val="00A77481"/>
    <w:rsid w:val="00A778F2"/>
    <w:rsid w:val="00A779D0"/>
    <w:rsid w:val="00A77B19"/>
    <w:rsid w:val="00A803CC"/>
    <w:rsid w:val="00A8050F"/>
    <w:rsid w:val="00A80747"/>
    <w:rsid w:val="00A807F2"/>
    <w:rsid w:val="00A80990"/>
    <w:rsid w:val="00A8117C"/>
    <w:rsid w:val="00A814D3"/>
    <w:rsid w:val="00A81EF6"/>
    <w:rsid w:val="00A8299E"/>
    <w:rsid w:val="00A82A0C"/>
    <w:rsid w:val="00A83421"/>
    <w:rsid w:val="00A838FB"/>
    <w:rsid w:val="00A83A98"/>
    <w:rsid w:val="00A83C01"/>
    <w:rsid w:val="00A83C1F"/>
    <w:rsid w:val="00A84013"/>
    <w:rsid w:val="00A840E1"/>
    <w:rsid w:val="00A84290"/>
    <w:rsid w:val="00A84681"/>
    <w:rsid w:val="00A84721"/>
    <w:rsid w:val="00A84C0F"/>
    <w:rsid w:val="00A854D3"/>
    <w:rsid w:val="00A85598"/>
    <w:rsid w:val="00A855D4"/>
    <w:rsid w:val="00A856DB"/>
    <w:rsid w:val="00A85719"/>
    <w:rsid w:val="00A85DBD"/>
    <w:rsid w:val="00A85FA0"/>
    <w:rsid w:val="00A85FB8"/>
    <w:rsid w:val="00A8646E"/>
    <w:rsid w:val="00A866B9"/>
    <w:rsid w:val="00A86EC0"/>
    <w:rsid w:val="00A86FD5"/>
    <w:rsid w:val="00A87BB6"/>
    <w:rsid w:val="00A87CAA"/>
    <w:rsid w:val="00A87E2B"/>
    <w:rsid w:val="00A9000A"/>
    <w:rsid w:val="00A90431"/>
    <w:rsid w:val="00A90436"/>
    <w:rsid w:val="00A9096C"/>
    <w:rsid w:val="00A90998"/>
    <w:rsid w:val="00A90AF3"/>
    <w:rsid w:val="00A91046"/>
    <w:rsid w:val="00A91136"/>
    <w:rsid w:val="00A912B5"/>
    <w:rsid w:val="00A914F8"/>
    <w:rsid w:val="00A91826"/>
    <w:rsid w:val="00A918AE"/>
    <w:rsid w:val="00A918CD"/>
    <w:rsid w:val="00A9192A"/>
    <w:rsid w:val="00A919D8"/>
    <w:rsid w:val="00A91A0D"/>
    <w:rsid w:val="00A91F17"/>
    <w:rsid w:val="00A92499"/>
    <w:rsid w:val="00A925E9"/>
    <w:rsid w:val="00A92948"/>
    <w:rsid w:val="00A92EF0"/>
    <w:rsid w:val="00A931D6"/>
    <w:rsid w:val="00A935E8"/>
    <w:rsid w:val="00A9440E"/>
    <w:rsid w:val="00A947C9"/>
    <w:rsid w:val="00A94834"/>
    <w:rsid w:val="00A94B57"/>
    <w:rsid w:val="00A94D84"/>
    <w:rsid w:val="00A9523A"/>
    <w:rsid w:val="00A95C9C"/>
    <w:rsid w:val="00A96685"/>
    <w:rsid w:val="00A969FB"/>
    <w:rsid w:val="00A96AF5"/>
    <w:rsid w:val="00A96E0E"/>
    <w:rsid w:val="00A9752A"/>
    <w:rsid w:val="00A975B2"/>
    <w:rsid w:val="00A97615"/>
    <w:rsid w:val="00A9780A"/>
    <w:rsid w:val="00A979E2"/>
    <w:rsid w:val="00A97BEB"/>
    <w:rsid w:val="00A97C6D"/>
    <w:rsid w:val="00A97CCD"/>
    <w:rsid w:val="00A97E3D"/>
    <w:rsid w:val="00A97FBD"/>
    <w:rsid w:val="00AA0198"/>
    <w:rsid w:val="00AA0964"/>
    <w:rsid w:val="00AA0F1C"/>
    <w:rsid w:val="00AA1149"/>
    <w:rsid w:val="00AA14D3"/>
    <w:rsid w:val="00AA187B"/>
    <w:rsid w:val="00AA1DD7"/>
    <w:rsid w:val="00AA1E3A"/>
    <w:rsid w:val="00AA1F14"/>
    <w:rsid w:val="00AA1F7B"/>
    <w:rsid w:val="00AA2041"/>
    <w:rsid w:val="00AA228E"/>
    <w:rsid w:val="00AA2407"/>
    <w:rsid w:val="00AA2E27"/>
    <w:rsid w:val="00AA2EC8"/>
    <w:rsid w:val="00AA3B8F"/>
    <w:rsid w:val="00AA3D05"/>
    <w:rsid w:val="00AA3EBA"/>
    <w:rsid w:val="00AA3F85"/>
    <w:rsid w:val="00AA45BF"/>
    <w:rsid w:val="00AA4748"/>
    <w:rsid w:val="00AA498E"/>
    <w:rsid w:val="00AA4ACC"/>
    <w:rsid w:val="00AA5074"/>
    <w:rsid w:val="00AA5342"/>
    <w:rsid w:val="00AA54F5"/>
    <w:rsid w:val="00AA5972"/>
    <w:rsid w:val="00AA5C99"/>
    <w:rsid w:val="00AA5D97"/>
    <w:rsid w:val="00AA65E3"/>
    <w:rsid w:val="00AA66F1"/>
    <w:rsid w:val="00AA67A0"/>
    <w:rsid w:val="00AA6803"/>
    <w:rsid w:val="00AA6CC3"/>
    <w:rsid w:val="00AA6E2D"/>
    <w:rsid w:val="00AA6E65"/>
    <w:rsid w:val="00AA79E6"/>
    <w:rsid w:val="00AA7A75"/>
    <w:rsid w:val="00AA7BB0"/>
    <w:rsid w:val="00AA7C6D"/>
    <w:rsid w:val="00AA7ECA"/>
    <w:rsid w:val="00AB00B4"/>
    <w:rsid w:val="00AB0384"/>
    <w:rsid w:val="00AB0A45"/>
    <w:rsid w:val="00AB0CB0"/>
    <w:rsid w:val="00AB0E1C"/>
    <w:rsid w:val="00AB1027"/>
    <w:rsid w:val="00AB132C"/>
    <w:rsid w:val="00AB19A4"/>
    <w:rsid w:val="00AB1C78"/>
    <w:rsid w:val="00AB247C"/>
    <w:rsid w:val="00AB250E"/>
    <w:rsid w:val="00AB2C4D"/>
    <w:rsid w:val="00AB2F1E"/>
    <w:rsid w:val="00AB30B1"/>
    <w:rsid w:val="00AB31F6"/>
    <w:rsid w:val="00AB35D0"/>
    <w:rsid w:val="00AB36AE"/>
    <w:rsid w:val="00AB399E"/>
    <w:rsid w:val="00AB3BF4"/>
    <w:rsid w:val="00AB5614"/>
    <w:rsid w:val="00AB57BD"/>
    <w:rsid w:val="00AB5A67"/>
    <w:rsid w:val="00AB5F21"/>
    <w:rsid w:val="00AB65AD"/>
    <w:rsid w:val="00AB6720"/>
    <w:rsid w:val="00AB6829"/>
    <w:rsid w:val="00AB6A8B"/>
    <w:rsid w:val="00AB6C31"/>
    <w:rsid w:val="00AB6CFE"/>
    <w:rsid w:val="00AB6D47"/>
    <w:rsid w:val="00AB6FB7"/>
    <w:rsid w:val="00AB7089"/>
    <w:rsid w:val="00AB70EE"/>
    <w:rsid w:val="00AB75F7"/>
    <w:rsid w:val="00AB7942"/>
    <w:rsid w:val="00AB7E4C"/>
    <w:rsid w:val="00AC00F6"/>
    <w:rsid w:val="00AC061A"/>
    <w:rsid w:val="00AC06D1"/>
    <w:rsid w:val="00AC0866"/>
    <w:rsid w:val="00AC0D50"/>
    <w:rsid w:val="00AC1298"/>
    <w:rsid w:val="00AC13BB"/>
    <w:rsid w:val="00AC1498"/>
    <w:rsid w:val="00AC1536"/>
    <w:rsid w:val="00AC17EA"/>
    <w:rsid w:val="00AC1EC3"/>
    <w:rsid w:val="00AC1FB0"/>
    <w:rsid w:val="00AC257E"/>
    <w:rsid w:val="00AC29E3"/>
    <w:rsid w:val="00AC2BE3"/>
    <w:rsid w:val="00AC2D68"/>
    <w:rsid w:val="00AC308A"/>
    <w:rsid w:val="00AC314C"/>
    <w:rsid w:val="00AC317C"/>
    <w:rsid w:val="00AC3891"/>
    <w:rsid w:val="00AC3AAE"/>
    <w:rsid w:val="00AC3C21"/>
    <w:rsid w:val="00AC4209"/>
    <w:rsid w:val="00AC4545"/>
    <w:rsid w:val="00AC4628"/>
    <w:rsid w:val="00AC4837"/>
    <w:rsid w:val="00AC4903"/>
    <w:rsid w:val="00AC4A9F"/>
    <w:rsid w:val="00AC4DBF"/>
    <w:rsid w:val="00AC5025"/>
    <w:rsid w:val="00AC52BC"/>
    <w:rsid w:val="00AC52DA"/>
    <w:rsid w:val="00AC54BF"/>
    <w:rsid w:val="00AC572E"/>
    <w:rsid w:val="00AC596F"/>
    <w:rsid w:val="00AC5ADC"/>
    <w:rsid w:val="00AC5F8D"/>
    <w:rsid w:val="00AC669B"/>
    <w:rsid w:val="00AC6AD1"/>
    <w:rsid w:val="00AC6D0A"/>
    <w:rsid w:val="00AC6F9A"/>
    <w:rsid w:val="00AC6FB3"/>
    <w:rsid w:val="00AC733D"/>
    <w:rsid w:val="00AC7809"/>
    <w:rsid w:val="00AC7F82"/>
    <w:rsid w:val="00AD027A"/>
    <w:rsid w:val="00AD090A"/>
    <w:rsid w:val="00AD102F"/>
    <w:rsid w:val="00AD10A9"/>
    <w:rsid w:val="00AD12FE"/>
    <w:rsid w:val="00AD151B"/>
    <w:rsid w:val="00AD17B7"/>
    <w:rsid w:val="00AD193B"/>
    <w:rsid w:val="00AD1B13"/>
    <w:rsid w:val="00AD1EFF"/>
    <w:rsid w:val="00AD20DF"/>
    <w:rsid w:val="00AD2296"/>
    <w:rsid w:val="00AD2B5A"/>
    <w:rsid w:val="00AD3228"/>
    <w:rsid w:val="00AD3836"/>
    <w:rsid w:val="00AD3D58"/>
    <w:rsid w:val="00AD49F9"/>
    <w:rsid w:val="00AD4DBE"/>
    <w:rsid w:val="00AD4F72"/>
    <w:rsid w:val="00AD519B"/>
    <w:rsid w:val="00AD56E2"/>
    <w:rsid w:val="00AD5890"/>
    <w:rsid w:val="00AD59BE"/>
    <w:rsid w:val="00AD5E40"/>
    <w:rsid w:val="00AD6196"/>
    <w:rsid w:val="00AD63CB"/>
    <w:rsid w:val="00AD63D0"/>
    <w:rsid w:val="00AD6702"/>
    <w:rsid w:val="00AD69F4"/>
    <w:rsid w:val="00AD6E13"/>
    <w:rsid w:val="00AD76CA"/>
    <w:rsid w:val="00AD7C61"/>
    <w:rsid w:val="00AD7E95"/>
    <w:rsid w:val="00AD7EEC"/>
    <w:rsid w:val="00AE0087"/>
    <w:rsid w:val="00AE01EC"/>
    <w:rsid w:val="00AE0CB7"/>
    <w:rsid w:val="00AE0CC9"/>
    <w:rsid w:val="00AE1985"/>
    <w:rsid w:val="00AE1B40"/>
    <w:rsid w:val="00AE1B8D"/>
    <w:rsid w:val="00AE1C9F"/>
    <w:rsid w:val="00AE2327"/>
    <w:rsid w:val="00AE2348"/>
    <w:rsid w:val="00AE2760"/>
    <w:rsid w:val="00AE27E3"/>
    <w:rsid w:val="00AE2DBC"/>
    <w:rsid w:val="00AE2E18"/>
    <w:rsid w:val="00AE2ED0"/>
    <w:rsid w:val="00AE30C2"/>
    <w:rsid w:val="00AE3873"/>
    <w:rsid w:val="00AE3AF5"/>
    <w:rsid w:val="00AE3D94"/>
    <w:rsid w:val="00AE3E30"/>
    <w:rsid w:val="00AE3F2A"/>
    <w:rsid w:val="00AE4417"/>
    <w:rsid w:val="00AE4421"/>
    <w:rsid w:val="00AE4787"/>
    <w:rsid w:val="00AE4B13"/>
    <w:rsid w:val="00AE5573"/>
    <w:rsid w:val="00AE572F"/>
    <w:rsid w:val="00AE5C4E"/>
    <w:rsid w:val="00AE6B4A"/>
    <w:rsid w:val="00AE6BD2"/>
    <w:rsid w:val="00AE7212"/>
    <w:rsid w:val="00AE782D"/>
    <w:rsid w:val="00AE7DDA"/>
    <w:rsid w:val="00AF02AA"/>
    <w:rsid w:val="00AF034F"/>
    <w:rsid w:val="00AF056E"/>
    <w:rsid w:val="00AF0658"/>
    <w:rsid w:val="00AF0CE7"/>
    <w:rsid w:val="00AF0D95"/>
    <w:rsid w:val="00AF0F34"/>
    <w:rsid w:val="00AF10FA"/>
    <w:rsid w:val="00AF13F9"/>
    <w:rsid w:val="00AF1530"/>
    <w:rsid w:val="00AF1889"/>
    <w:rsid w:val="00AF1CD2"/>
    <w:rsid w:val="00AF1F2B"/>
    <w:rsid w:val="00AF2437"/>
    <w:rsid w:val="00AF29E1"/>
    <w:rsid w:val="00AF2A92"/>
    <w:rsid w:val="00AF3116"/>
    <w:rsid w:val="00AF322F"/>
    <w:rsid w:val="00AF3724"/>
    <w:rsid w:val="00AF3999"/>
    <w:rsid w:val="00AF3CA2"/>
    <w:rsid w:val="00AF3D0E"/>
    <w:rsid w:val="00AF3EFE"/>
    <w:rsid w:val="00AF4007"/>
    <w:rsid w:val="00AF401D"/>
    <w:rsid w:val="00AF406E"/>
    <w:rsid w:val="00AF4115"/>
    <w:rsid w:val="00AF4551"/>
    <w:rsid w:val="00AF4EF6"/>
    <w:rsid w:val="00AF5550"/>
    <w:rsid w:val="00AF5901"/>
    <w:rsid w:val="00AF5B68"/>
    <w:rsid w:val="00AF5BBC"/>
    <w:rsid w:val="00AF62F6"/>
    <w:rsid w:val="00AF632B"/>
    <w:rsid w:val="00AF71A2"/>
    <w:rsid w:val="00AF7329"/>
    <w:rsid w:val="00AF788F"/>
    <w:rsid w:val="00AF795C"/>
    <w:rsid w:val="00AF7C36"/>
    <w:rsid w:val="00B00119"/>
    <w:rsid w:val="00B00134"/>
    <w:rsid w:val="00B004AF"/>
    <w:rsid w:val="00B005B1"/>
    <w:rsid w:val="00B00645"/>
    <w:rsid w:val="00B00ADD"/>
    <w:rsid w:val="00B01B31"/>
    <w:rsid w:val="00B01C3E"/>
    <w:rsid w:val="00B01D31"/>
    <w:rsid w:val="00B022B3"/>
    <w:rsid w:val="00B02311"/>
    <w:rsid w:val="00B0281D"/>
    <w:rsid w:val="00B02E35"/>
    <w:rsid w:val="00B02F5B"/>
    <w:rsid w:val="00B03280"/>
    <w:rsid w:val="00B03362"/>
    <w:rsid w:val="00B03B8C"/>
    <w:rsid w:val="00B03DC6"/>
    <w:rsid w:val="00B04302"/>
    <w:rsid w:val="00B04421"/>
    <w:rsid w:val="00B045B4"/>
    <w:rsid w:val="00B046B4"/>
    <w:rsid w:val="00B04A7A"/>
    <w:rsid w:val="00B04EFB"/>
    <w:rsid w:val="00B04FF9"/>
    <w:rsid w:val="00B05213"/>
    <w:rsid w:val="00B0539B"/>
    <w:rsid w:val="00B05577"/>
    <w:rsid w:val="00B05760"/>
    <w:rsid w:val="00B059F7"/>
    <w:rsid w:val="00B05C9D"/>
    <w:rsid w:val="00B0608D"/>
    <w:rsid w:val="00B065AF"/>
    <w:rsid w:val="00B06E49"/>
    <w:rsid w:val="00B06E4A"/>
    <w:rsid w:val="00B06F4A"/>
    <w:rsid w:val="00B06FFA"/>
    <w:rsid w:val="00B07203"/>
    <w:rsid w:val="00B07261"/>
    <w:rsid w:val="00B07B2C"/>
    <w:rsid w:val="00B07DB0"/>
    <w:rsid w:val="00B10427"/>
    <w:rsid w:val="00B1053C"/>
    <w:rsid w:val="00B10CB2"/>
    <w:rsid w:val="00B10F0A"/>
    <w:rsid w:val="00B110C8"/>
    <w:rsid w:val="00B11248"/>
    <w:rsid w:val="00B11349"/>
    <w:rsid w:val="00B11479"/>
    <w:rsid w:val="00B11D3F"/>
    <w:rsid w:val="00B11EA5"/>
    <w:rsid w:val="00B1248A"/>
    <w:rsid w:val="00B126F7"/>
    <w:rsid w:val="00B1345E"/>
    <w:rsid w:val="00B13898"/>
    <w:rsid w:val="00B138B6"/>
    <w:rsid w:val="00B140EE"/>
    <w:rsid w:val="00B143A4"/>
    <w:rsid w:val="00B143A8"/>
    <w:rsid w:val="00B143F8"/>
    <w:rsid w:val="00B14550"/>
    <w:rsid w:val="00B147C3"/>
    <w:rsid w:val="00B149FD"/>
    <w:rsid w:val="00B14A48"/>
    <w:rsid w:val="00B15609"/>
    <w:rsid w:val="00B15876"/>
    <w:rsid w:val="00B160A1"/>
    <w:rsid w:val="00B1616D"/>
    <w:rsid w:val="00B1659A"/>
    <w:rsid w:val="00B16996"/>
    <w:rsid w:val="00B16A9B"/>
    <w:rsid w:val="00B1738A"/>
    <w:rsid w:val="00B1759E"/>
    <w:rsid w:val="00B176B8"/>
    <w:rsid w:val="00B1784C"/>
    <w:rsid w:val="00B17E7F"/>
    <w:rsid w:val="00B2029A"/>
    <w:rsid w:val="00B20BE0"/>
    <w:rsid w:val="00B20C46"/>
    <w:rsid w:val="00B20C90"/>
    <w:rsid w:val="00B20C96"/>
    <w:rsid w:val="00B20F76"/>
    <w:rsid w:val="00B21067"/>
    <w:rsid w:val="00B21262"/>
    <w:rsid w:val="00B215D4"/>
    <w:rsid w:val="00B21DA9"/>
    <w:rsid w:val="00B21FAE"/>
    <w:rsid w:val="00B2248C"/>
    <w:rsid w:val="00B2270A"/>
    <w:rsid w:val="00B22D26"/>
    <w:rsid w:val="00B2320E"/>
    <w:rsid w:val="00B2323B"/>
    <w:rsid w:val="00B23361"/>
    <w:rsid w:val="00B233BE"/>
    <w:rsid w:val="00B233E6"/>
    <w:rsid w:val="00B23617"/>
    <w:rsid w:val="00B2391A"/>
    <w:rsid w:val="00B23DB5"/>
    <w:rsid w:val="00B24345"/>
    <w:rsid w:val="00B246A4"/>
    <w:rsid w:val="00B2488F"/>
    <w:rsid w:val="00B24A07"/>
    <w:rsid w:val="00B25162"/>
    <w:rsid w:val="00B25AA2"/>
    <w:rsid w:val="00B25C9D"/>
    <w:rsid w:val="00B25F51"/>
    <w:rsid w:val="00B2612E"/>
    <w:rsid w:val="00B26679"/>
    <w:rsid w:val="00B26B19"/>
    <w:rsid w:val="00B26BE8"/>
    <w:rsid w:val="00B27308"/>
    <w:rsid w:val="00B2768F"/>
    <w:rsid w:val="00B2787A"/>
    <w:rsid w:val="00B27923"/>
    <w:rsid w:val="00B27DD6"/>
    <w:rsid w:val="00B30208"/>
    <w:rsid w:val="00B3038F"/>
    <w:rsid w:val="00B304E2"/>
    <w:rsid w:val="00B3061C"/>
    <w:rsid w:val="00B30861"/>
    <w:rsid w:val="00B30AF3"/>
    <w:rsid w:val="00B30F7B"/>
    <w:rsid w:val="00B31754"/>
    <w:rsid w:val="00B319C9"/>
    <w:rsid w:val="00B320A9"/>
    <w:rsid w:val="00B322A8"/>
    <w:rsid w:val="00B3260B"/>
    <w:rsid w:val="00B3268D"/>
    <w:rsid w:val="00B32AEA"/>
    <w:rsid w:val="00B33005"/>
    <w:rsid w:val="00B33387"/>
    <w:rsid w:val="00B3387E"/>
    <w:rsid w:val="00B3415C"/>
    <w:rsid w:val="00B347B3"/>
    <w:rsid w:val="00B34845"/>
    <w:rsid w:val="00B34AF1"/>
    <w:rsid w:val="00B34EF4"/>
    <w:rsid w:val="00B35933"/>
    <w:rsid w:val="00B359AD"/>
    <w:rsid w:val="00B3641A"/>
    <w:rsid w:val="00B364D4"/>
    <w:rsid w:val="00B36710"/>
    <w:rsid w:val="00B36BF2"/>
    <w:rsid w:val="00B37619"/>
    <w:rsid w:val="00B3790F"/>
    <w:rsid w:val="00B37B58"/>
    <w:rsid w:val="00B37E14"/>
    <w:rsid w:val="00B37F29"/>
    <w:rsid w:val="00B400DF"/>
    <w:rsid w:val="00B4013E"/>
    <w:rsid w:val="00B4026E"/>
    <w:rsid w:val="00B402F6"/>
    <w:rsid w:val="00B4066C"/>
    <w:rsid w:val="00B40674"/>
    <w:rsid w:val="00B40CC8"/>
    <w:rsid w:val="00B40F37"/>
    <w:rsid w:val="00B41326"/>
    <w:rsid w:val="00B415F9"/>
    <w:rsid w:val="00B41948"/>
    <w:rsid w:val="00B419B7"/>
    <w:rsid w:val="00B41B04"/>
    <w:rsid w:val="00B41BD2"/>
    <w:rsid w:val="00B41C3B"/>
    <w:rsid w:val="00B41CCA"/>
    <w:rsid w:val="00B41D4E"/>
    <w:rsid w:val="00B41DFB"/>
    <w:rsid w:val="00B41EC6"/>
    <w:rsid w:val="00B4203C"/>
    <w:rsid w:val="00B423C0"/>
    <w:rsid w:val="00B424A0"/>
    <w:rsid w:val="00B42B76"/>
    <w:rsid w:val="00B42BAD"/>
    <w:rsid w:val="00B4306F"/>
    <w:rsid w:val="00B435DC"/>
    <w:rsid w:val="00B4362D"/>
    <w:rsid w:val="00B43686"/>
    <w:rsid w:val="00B43B54"/>
    <w:rsid w:val="00B442CF"/>
    <w:rsid w:val="00B448D7"/>
    <w:rsid w:val="00B448E8"/>
    <w:rsid w:val="00B44C79"/>
    <w:rsid w:val="00B44DCD"/>
    <w:rsid w:val="00B44F4A"/>
    <w:rsid w:val="00B45353"/>
    <w:rsid w:val="00B455E1"/>
    <w:rsid w:val="00B45A7C"/>
    <w:rsid w:val="00B45E14"/>
    <w:rsid w:val="00B461DC"/>
    <w:rsid w:val="00B46415"/>
    <w:rsid w:val="00B464AF"/>
    <w:rsid w:val="00B465B8"/>
    <w:rsid w:val="00B46A48"/>
    <w:rsid w:val="00B46BCE"/>
    <w:rsid w:val="00B47045"/>
    <w:rsid w:val="00B472D6"/>
    <w:rsid w:val="00B473BC"/>
    <w:rsid w:val="00B47448"/>
    <w:rsid w:val="00B47BD8"/>
    <w:rsid w:val="00B47D7A"/>
    <w:rsid w:val="00B500CE"/>
    <w:rsid w:val="00B5026B"/>
    <w:rsid w:val="00B50380"/>
    <w:rsid w:val="00B50A38"/>
    <w:rsid w:val="00B514D2"/>
    <w:rsid w:val="00B515A2"/>
    <w:rsid w:val="00B51882"/>
    <w:rsid w:val="00B519FB"/>
    <w:rsid w:val="00B51BE5"/>
    <w:rsid w:val="00B51DE9"/>
    <w:rsid w:val="00B51E5E"/>
    <w:rsid w:val="00B524B6"/>
    <w:rsid w:val="00B52726"/>
    <w:rsid w:val="00B5287C"/>
    <w:rsid w:val="00B529A3"/>
    <w:rsid w:val="00B52A45"/>
    <w:rsid w:val="00B52C18"/>
    <w:rsid w:val="00B52F08"/>
    <w:rsid w:val="00B531B2"/>
    <w:rsid w:val="00B53C69"/>
    <w:rsid w:val="00B53E70"/>
    <w:rsid w:val="00B53EBD"/>
    <w:rsid w:val="00B54024"/>
    <w:rsid w:val="00B54151"/>
    <w:rsid w:val="00B545F7"/>
    <w:rsid w:val="00B547B3"/>
    <w:rsid w:val="00B5485A"/>
    <w:rsid w:val="00B54943"/>
    <w:rsid w:val="00B54B15"/>
    <w:rsid w:val="00B54C28"/>
    <w:rsid w:val="00B54CAB"/>
    <w:rsid w:val="00B54E6E"/>
    <w:rsid w:val="00B5512E"/>
    <w:rsid w:val="00B555D4"/>
    <w:rsid w:val="00B55BB9"/>
    <w:rsid w:val="00B55D75"/>
    <w:rsid w:val="00B55DBF"/>
    <w:rsid w:val="00B56CDF"/>
    <w:rsid w:val="00B56EC8"/>
    <w:rsid w:val="00B57069"/>
    <w:rsid w:val="00B5719A"/>
    <w:rsid w:val="00B57479"/>
    <w:rsid w:val="00B57CF0"/>
    <w:rsid w:val="00B57D3F"/>
    <w:rsid w:val="00B57E79"/>
    <w:rsid w:val="00B57FEA"/>
    <w:rsid w:val="00B60070"/>
    <w:rsid w:val="00B6058D"/>
    <w:rsid w:val="00B6061D"/>
    <w:rsid w:val="00B60F31"/>
    <w:rsid w:val="00B60F3E"/>
    <w:rsid w:val="00B61842"/>
    <w:rsid w:val="00B61C29"/>
    <w:rsid w:val="00B62153"/>
    <w:rsid w:val="00B62592"/>
    <w:rsid w:val="00B62654"/>
    <w:rsid w:val="00B6286A"/>
    <w:rsid w:val="00B62A8B"/>
    <w:rsid w:val="00B63A4A"/>
    <w:rsid w:val="00B63ED8"/>
    <w:rsid w:val="00B641EB"/>
    <w:rsid w:val="00B645D5"/>
    <w:rsid w:val="00B64A51"/>
    <w:rsid w:val="00B64B92"/>
    <w:rsid w:val="00B653D9"/>
    <w:rsid w:val="00B654C1"/>
    <w:rsid w:val="00B655B4"/>
    <w:rsid w:val="00B657F1"/>
    <w:rsid w:val="00B65EEF"/>
    <w:rsid w:val="00B66073"/>
    <w:rsid w:val="00B66333"/>
    <w:rsid w:val="00B6640B"/>
    <w:rsid w:val="00B6644D"/>
    <w:rsid w:val="00B665CF"/>
    <w:rsid w:val="00B66643"/>
    <w:rsid w:val="00B669F3"/>
    <w:rsid w:val="00B66C39"/>
    <w:rsid w:val="00B6797E"/>
    <w:rsid w:val="00B67BA1"/>
    <w:rsid w:val="00B67E7D"/>
    <w:rsid w:val="00B7045F"/>
    <w:rsid w:val="00B70585"/>
    <w:rsid w:val="00B70BC8"/>
    <w:rsid w:val="00B70BE8"/>
    <w:rsid w:val="00B70D13"/>
    <w:rsid w:val="00B70EF5"/>
    <w:rsid w:val="00B71782"/>
    <w:rsid w:val="00B71BBC"/>
    <w:rsid w:val="00B71DE5"/>
    <w:rsid w:val="00B71FD7"/>
    <w:rsid w:val="00B72305"/>
    <w:rsid w:val="00B72319"/>
    <w:rsid w:val="00B726B9"/>
    <w:rsid w:val="00B7296F"/>
    <w:rsid w:val="00B72994"/>
    <w:rsid w:val="00B72E37"/>
    <w:rsid w:val="00B72F3B"/>
    <w:rsid w:val="00B73002"/>
    <w:rsid w:val="00B73262"/>
    <w:rsid w:val="00B7326B"/>
    <w:rsid w:val="00B73A31"/>
    <w:rsid w:val="00B73B12"/>
    <w:rsid w:val="00B750D9"/>
    <w:rsid w:val="00B7529B"/>
    <w:rsid w:val="00B75816"/>
    <w:rsid w:val="00B7591D"/>
    <w:rsid w:val="00B75959"/>
    <w:rsid w:val="00B75ACC"/>
    <w:rsid w:val="00B75DE1"/>
    <w:rsid w:val="00B7607C"/>
    <w:rsid w:val="00B765D2"/>
    <w:rsid w:val="00B77076"/>
    <w:rsid w:val="00B771CC"/>
    <w:rsid w:val="00B774A4"/>
    <w:rsid w:val="00B77ADF"/>
    <w:rsid w:val="00B77B8C"/>
    <w:rsid w:val="00B803C0"/>
    <w:rsid w:val="00B80502"/>
    <w:rsid w:val="00B80517"/>
    <w:rsid w:val="00B80C34"/>
    <w:rsid w:val="00B80C36"/>
    <w:rsid w:val="00B80C45"/>
    <w:rsid w:val="00B80F77"/>
    <w:rsid w:val="00B81580"/>
    <w:rsid w:val="00B817BF"/>
    <w:rsid w:val="00B817EE"/>
    <w:rsid w:val="00B81D4B"/>
    <w:rsid w:val="00B820EB"/>
    <w:rsid w:val="00B82202"/>
    <w:rsid w:val="00B82429"/>
    <w:rsid w:val="00B825EC"/>
    <w:rsid w:val="00B8272C"/>
    <w:rsid w:val="00B82A0F"/>
    <w:rsid w:val="00B82C4C"/>
    <w:rsid w:val="00B82E18"/>
    <w:rsid w:val="00B8310B"/>
    <w:rsid w:val="00B831C4"/>
    <w:rsid w:val="00B8384A"/>
    <w:rsid w:val="00B83C4E"/>
    <w:rsid w:val="00B83D14"/>
    <w:rsid w:val="00B83D69"/>
    <w:rsid w:val="00B84057"/>
    <w:rsid w:val="00B84360"/>
    <w:rsid w:val="00B84583"/>
    <w:rsid w:val="00B845B8"/>
    <w:rsid w:val="00B84659"/>
    <w:rsid w:val="00B8484F"/>
    <w:rsid w:val="00B84946"/>
    <w:rsid w:val="00B84B45"/>
    <w:rsid w:val="00B850E1"/>
    <w:rsid w:val="00B85AA4"/>
    <w:rsid w:val="00B85E43"/>
    <w:rsid w:val="00B85E58"/>
    <w:rsid w:val="00B85EB3"/>
    <w:rsid w:val="00B863EE"/>
    <w:rsid w:val="00B86861"/>
    <w:rsid w:val="00B868B1"/>
    <w:rsid w:val="00B86B46"/>
    <w:rsid w:val="00B86BAC"/>
    <w:rsid w:val="00B86E4C"/>
    <w:rsid w:val="00B87333"/>
    <w:rsid w:val="00B874CF"/>
    <w:rsid w:val="00B87B12"/>
    <w:rsid w:val="00B87F7D"/>
    <w:rsid w:val="00B90C87"/>
    <w:rsid w:val="00B90E2E"/>
    <w:rsid w:val="00B90F53"/>
    <w:rsid w:val="00B9133C"/>
    <w:rsid w:val="00B913F9"/>
    <w:rsid w:val="00B9143B"/>
    <w:rsid w:val="00B91D32"/>
    <w:rsid w:val="00B91D63"/>
    <w:rsid w:val="00B91F3E"/>
    <w:rsid w:val="00B920A3"/>
    <w:rsid w:val="00B922D1"/>
    <w:rsid w:val="00B92648"/>
    <w:rsid w:val="00B927E8"/>
    <w:rsid w:val="00B92C44"/>
    <w:rsid w:val="00B92F3A"/>
    <w:rsid w:val="00B930ED"/>
    <w:rsid w:val="00B931E1"/>
    <w:rsid w:val="00B93D56"/>
    <w:rsid w:val="00B93E2B"/>
    <w:rsid w:val="00B93E44"/>
    <w:rsid w:val="00B93F41"/>
    <w:rsid w:val="00B94739"/>
    <w:rsid w:val="00B9473C"/>
    <w:rsid w:val="00B947B7"/>
    <w:rsid w:val="00B94800"/>
    <w:rsid w:val="00B9511A"/>
    <w:rsid w:val="00B954C1"/>
    <w:rsid w:val="00B963DF"/>
    <w:rsid w:val="00B96845"/>
    <w:rsid w:val="00B96A12"/>
    <w:rsid w:val="00B96E5E"/>
    <w:rsid w:val="00B96F19"/>
    <w:rsid w:val="00B96F3A"/>
    <w:rsid w:val="00B9707F"/>
    <w:rsid w:val="00B971BF"/>
    <w:rsid w:val="00B972D2"/>
    <w:rsid w:val="00B97448"/>
    <w:rsid w:val="00B9747C"/>
    <w:rsid w:val="00B97A4C"/>
    <w:rsid w:val="00B97AB8"/>
    <w:rsid w:val="00B97E90"/>
    <w:rsid w:val="00BA0296"/>
    <w:rsid w:val="00BA0518"/>
    <w:rsid w:val="00BA0AB0"/>
    <w:rsid w:val="00BA0E2A"/>
    <w:rsid w:val="00BA118D"/>
    <w:rsid w:val="00BA1432"/>
    <w:rsid w:val="00BA1FFF"/>
    <w:rsid w:val="00BA208A"/>
    <w:rsid w:val="00BA218C"/>
    <w:rsid w:val="00BA21A5"/>
    <w:rsid w:val="00BA21F1"/>
    <w:rsid w:val="00BA249D"/>
    <w:rsid w:val="00BA2914"/>
    <w:rsid w:val="00BA2BAD"/>
    <w:rsid w:val="00BA3898"/>
    <w:rsid w:val="00BA3AA6"/>
    <w:rsid w:val="00BA3B30"/>
    <w:rsid w:val="00BA3B3F"/>
    <w:rsid w:val="00BA3C1A"/>
    <w:rsid w:val="00BA3F93"/>
    <w:rsid w:val="00BA4598"/>
    <w:rsid w:val="00BA46A2"/>
    <w:rsid w:val="00BA4BFF"/>
    <w:rsid w:val="00BA4C89"/>
    <w:rsid w:val="00BA5444"/>
    <w:rsid w:val="00BA54B5"/>
    <w:rsid w:val="00BA57D9"/>
    <w:rsid w:val="00BA5C56"/>
    <w:rsid w:val="00BA5CF6"/>
    <w:rsid w:val="00BA5F35"/>
    <w:rsid w:val="00BA60F1"/>
    <w:rsid w:val="00BA6887"/>
    <w:rsid w:val="00BA6D32"/>
    <w:rsid w:val="00BA6F01"/>
    <w:rsid w:val="00BA720E"/>
    <w:rsid w:val="00BA7A72"/>
    <w:rsid w:val="00BA7B2A"/>
    <w:rsid w:val="00BA7CAB"/>
    <w:rsid w:val="00BA7F57"/>
    <w:rsid w:val="00BB0674"/>
    <w:rsid w:val="00BB077B"/>
    <w:rsid w:val="00BB092C"/>
    <w:rsid w:val="00BB0995"/>
    <w:rsid w:val="00BB0AF0"/>
    <w:rsid w:val="00BB0DF2"/>
    <w:rsid w:val="00BB0FF0"/>
    <w:rsid w:val="00BB1947"/>
    <w:rsid w:val="00BB1A54"/>
    <w:rsid w:val="00BB1DA5"/>
    <w:rsid w:val="00BB1E6B"/>
    <w:rsid w:val="00BB1EAB"/>
    <w:rsid w:val="00BB2FB9"/>
    <w:rsid w:val="00BB3075"/>
    <w:rsid w:val="00BB30B5"/>
    <w:rsid w:val="00BB3146"/>
    <w:rsid w:val="00BB31E5"/>
    <w:rsid w:val="00BB34E9"/>
    <w:rsid w:val="00BB37A1"/>
    <w:rsid w:val="00BB37AB"/>
    <w:rsid w:val="00BB3E9F"/>
    <w:rsid w:val="00BB4567"/>
    <w:rsid w:val="00BB4639"/>
    <w:rsid w:val="00BB4DB9"/>
    <w:rsid w:val="00BB4ED1"/>
    <w:rsid w:val="00BB505A"/>
    <w:rsid w:val="00BB5AE3"/>
    <w:rsid w:val="00BB5C1E"/>
    <w:rsid w:val="00BB5D66"/>
    <w:rsid w:val="00BB5DE0"/>
    <w:rsid w:val="00BB64AD"/>
    <w:rsid w:val="00BB659C"/>
    <w:rsid w:val="00BB67FF"/>
    <w:rsid w:val="00BB71B4"/>
    <w:rsid w:val="00BB793E"/>
    <w:rsid w:val="00BC0091"/>
    <w:rsid w:val="00BC0866"/>
    <w:rsid w:val="00BC0B50"/>
    <w:rsid w:val="00BC0E4E"/>
    <w:rsid w:val="00BC1110"/>
    <w:rsid w:val="00BC1845"/>
    <w:rsid w:val="00BC1C3E"/>
    <w:rsid w:val="00BC1F26"/>
    <w:rsid w:val="00BC2930"/>
    <w:rsid w:val="00BC29A0"/>
    <w:rsid w:val="00BC2B8B"/>
    <w:rsid w:val="00BC2BC7"/>
    <w:rsid w:val="00BC300F"/>
    <w:rsid w:val="00BC3BD3"/>
    <w:rsid w:val="00BC3D91"/>
    <w:rsid w:val="00BC4149"/>
    <w:rsid w:val="00BC44A5"/>
    <w:rsid w:val="00BC4576"/>
    <w:rsid w:val="00BC46B5"/>
    <w:rsid w:val="00BC4EF6"/>
    <w:rsid w:val="00BC5092"/>
    <w:rsid w:val="00BC597A"/>
    <w:rsid w:val="00BC5C4B"/>
    <w:rsid w:val="00BC5D1C"/>
    <w:rsid w:val="00BC6D07"/>
    <w:rsid w:val="00BC72BA"/>
    <w:rsid w:val="00BC72E5"/>
    <w:rsid w:val="00BC737E"/>
    <w:rsid w:val="00BC7584"/>
    <w:rsid w:val="00BC759A"/>
    <w:rsid w:val="00BD005F"/>
    <w:rsid w:val="00BD0060"/>
    <w:rsid w:val="00BD024A"/>
    <w:rsid w:val="00BD0FE7"/>
    <w:rsid w:val="00BD1216"/>
    <w:rsid w:val="00BD12A3"/>
    <w:rsid w:val="00BD14A5"/>
    <w:rsid w:val="00BD1570"/>
    <w:rsid w:val="00BD191B"/>
    <w:rsid w:val="00BD1E53"/>
    <w:rsid w:val="00BD2142"/>
    <w:rsid w:val="00BD23F5"/>
    <w:rsid w:val="00BD27E1"/>
    <w:rsid w:val="00BD2873"/>
    <w:rsid w:val="00BD2892"/>
    <w:rsid w:val="00BD2C79"/>
    <w:rsid w:val="00BD2C9D"/>
    <w:rsid w:val="00BD3675"/>
    <w:rsid w:val="00BD3A1C"/>
    <w:rsid w:val="00BD46D0"/>
    <w:rsid w:val="00BD4730"/>
    <w:rsid w:val="00BD485E"/>
    <w:rsid w:val="00BD4C06"/>
    <w:rsid w:val="00BD4D92"/>
    <w:rsid w:val="00BD5011"/>
    <w:rsid w:val="00BD534F"/>
    <w:rsid w:val="00BD5491"/>
    <w:rsid w:val="00BD562C"/>
    <w:rsid w:val="00BD56C8"/>
    <w:rsid w:val="00BD56D1"/>
    <w:rsid w:val="00BD57D3"/>
    <w:rsid w:val="00BD5ACF"/>
    <w:rsid w:val="00BD5F6F"/>
    <w:rsid w:val="00BD5F96"/>
    <w:rsid w:val="00BD68DD"/>
    <w:rsid w:val="00BD6F70"/>
    <w:rsid w:val="00BD715B"/>
    <w:rsid w:val="00BD75A8"/>
    <w:rsid w:val="00BD782D"/>
    <w:rsid w:val="00BD7876"/>
    <w:rsid w:val="00BD7995"/>
    <w:rsid w:val="00BE04D3"/>
    <w:rsid w:val="00BE0B5E"/>
    <w:rsid w:val="00BE0C4B"/>
    <w:rsid w:val="00BE0E48"/>
    <w:rsid w:val="00BE103E"/>
    <w:rsid w:val="00BE1058"/>
    <w:rsid w:val="00BE171D"/>
    <w:rsid w:val="00BE19A1"/>
    <w:rsid w:val="00BE1D6E"/>
    <w:rsid w:val="00BE1F63"/>
    <w:rsid w:val="00BE21B6"/>
    <w:rsid w:val="00BE2204"/>
    <w:rsid w:val="00BE26A5"/>
    <w:rsid w:val="00BE2759"/>
    <w:rsid w:val="00BE330A"/>
    <w:rsid w:val="00BE33C6"/>
    <w:rsid w:val="00BE364C"/>
    <w:rsid w:val="00BE38AA"/>
    <w:rsid w:val="00BE3F1E"/>
    <w:rsid w:val="00BE4114"/>
    <w:rsid w:val="00BE45C8"/>
    <w:rsid w:val="00BE4740"/>
    <w:rsid w:val="00BE4BF9"/>
    <w:rsid w:val="00BE4E64"/>
    <w:rsid w:val="00BE5AA2"/>
    <w:rsid w:val="00BE5AF0"/>
    <w:rsid w:val="00BE5DFE"/>
    <w:rsid w:val="00BE6E8B"/>
    <w:rsid w:val="00BE73D1"/>
    <w:rsid w:val="00BE7A3B"/>
    <w:rsid w:val="00BE7AA6"/>
    <w:rsid w:val="00BE7CE1"/>
    <w:rsid w:val="00BE7FA3"/>
    <w:rsid w:val="00BF0435"/>
    <w:rsid w:val="00BF04C5"/>
    <w:rsid w:val="00BF0B5E"/>
    <w:rsid w:val="00BF0F57"/>
    <w:rsid w:val="00BF0FA6"/>
    <w:rsid w:val="00BF0FF8"/>
    <w:rsid w:val="00BF1458"/>
    <w:rsid w:val="00BF16AF"/>
    <w:rsid w:val="00BF1F1C"/>
    <w:rsid w:val="00BF2133"/>
    <w:rsid w:val="00BF2197"/>
    <w:rsid w:val="00BF21D7"/>
    <w:rsid w:val="00BF270A"/>
    <w:rsid w:val="00BF2842"/>
    <w:rsid w:val="00BF2925"/>
    <w:rsid w:val="00BF349C"/>
    <w:rsid w:val="00BF3D10"/>
    <w:rsid w:val="00BF3D41"/>
    <w:rsid w:val="00BF3E21"/>
    <w:rsid w:val="00BF3EEF"/>
    <w:rsid w:val="00BF44AE"/>
    <w:rsid w:val="00BF44E8"/>
    <w:rsid w:val="00BF45D7"/>
    <w:rsid w:val="00BF464C"/>
    <w:rsid w:val="00BF4AA1"/>
    <w:rsid w:val="00BF4B68"/>
    <w:rsid w:val="00BF61EE"/>
    <w:rsid w:val="00BF6316"/>
    <w:rsid w:val="00BF6910"/>
    <w:rsid w:val="00BF6A77"/>
    <w:rsid w:val="00BF6C04"/>
    <w:rsid w:val="00BF6E64"/>
    <w:rsid w:val="00BF70C1"/>
    <w:rsid w:val="00BF70C8"/>
    <w:rsid w:val="00BF7197"/>
    <w:rsid w:val="00BF7297"/>
    <w:rsid w:val="00BF72A8"/>
    <w:rsid w:val="00BF72CB"/>
    <w:rsid w:val="00BF73CB"/>
    <w:rsid w:val="00BF7503"/>
    <w:rsid w:val="00BF7C44"/>
    <w:rsid w:val="00C00087"/>
    <w:rsid w:val="00C0086A"/>
    <w:rsid w:val="00C00FEE"/>
    <w:rsid w:val="00C01090"/>
    <w:rsid w:val="00C017AE"/>
    <w:rsid w:val="00C019B1"/>
    <w:rsid w:val="00C02379"/>
    <w:rsid w:val="00C0290E"/>
    <w:rsid w:val="00C02C88"/>
    <w:rsid w:val="00C02DA8"/>
    <w:rsid w:val="00C02FC8"/>
    <w:rsid w:val="00C032D2"/>
    <w:rsid w:val="00C034BA"/>
    <w:rsid w:val="00C03502"/>
    <w:rsid w:val="00C03661"/>
    <w:rsid w:val="00C03973"/>
    <w:rsid w:val="00C03F49"/>
    <w:rsid w:val="00C04A89"/>
    <w:rsid w:val="00C04C22"/>
    <w:rsid w:val="00C04C98"/>
    <w:rsid w:val="00C04EAB"/>
    <w:rsid w:val="00C04F02"/>
    <w:rsid w:val="00C0520F"/>
    <w:rsid w:val="00C0538B"/>
    <w:rsid w:val="00C05477"/>
    <w:rsid w:val="00C05E0B"/>
    <w:rsid w:val="00C05EA0"/>
    <w:rsid w:val="00C06160"/>
    <w:rsid w:val="00C0642B"/>
    <w:rsid w:val="00C06B28"/>
    <w:rsid w:val="00C06BCF"/>
    <w:rsid w:val="00C06D84"/>
    <w:rsid w:val="00C06E43"/>
    <w:rsid w:val="00C070D6"/>
    <w:rsid w:val="00C07133"/>
    <w:rsid w:val="00C073AE"/>
    <w:rsid w:val="00C07D73"/>
    <w:rsid w:val="00C07FC1"/>
    <w:rsid w:val="00C10041"/>
    <w:rsid w:val="00C1031A"/>
    <w:rsid w:val="00C105B8"/>
    <w:rsid w:val="00C105CE"/>
    <w:rsid w:val="00C109CA"/>
    <w:rsid w:val="00C10C2D"/>
    <w:rsid w:val="00C10D45"/>
    <w:rsid w:val="00C1127E"/>
    <w:rsid w:val="00C11444"/>
    <w:rsid w:val="00C11A54"/>
    <w:rsid w:val="00C11C72"/>
    <w:rsid w:val="00C11E83"/>
    <w:rsid w:val="00C12F6C"/>
    <w:rsid w:val="00C13016"/>
    <w:rsid w:val="00C139F1"/>
    <w:rsid w:val="00C13E76"/>
    <w:rsid w:val="00C13F37"/>
    <w:rsid w:val="00C14A44"/>
    <w:rsid w:val="00C15596"/>
    <w:rsid w:val="00C1583F"/>
    <w:rsid w:val="00C15AB6"/>
    <w:rsid w:val="00C15F9D"/>
    <w:rsid w:val="00C1613A"/>
    <w:rsid w:val="00C16260"/>
    <w:rsid w:val="00C162F4"/>
    <w:rsid w:val="00C1630E"/>
    <w:rsid w:val="00C16BE9"/>
    <w:rsid w:val="00C170B1"/>
    <w:rsid w:val="00C170D6"/>
    <w:rsid w:val="00C171E0"/>
    <w:rsid w:val="00C172D3"/>
    <w:rsid w:val="00C172E5"/>
    <w:rsid w:val="00C17345"/>
    <w:rsid w:val="00C17412"/>
    <w:rsid w:val="00C174F0"/>
    <w:rsid w:val="00C176ED"/>
    <w:rsid w:val="00C17DB5"/>
    <w:rsid w:val="00C17DF5"/>
    <w:rsid w:val="00C17E0A"/>
    <w:rsid w:val="00C200BD"/>
    <w:rsid w:val="00C20128"/>
    <w:rsid w:val="00C2034B"/>
    <w:rsid w:val="00C2148E"/>
    <w:rsid w:val="00C21A06"/>
    <w:rsid w:val="00C21AAC"/>
    <w:rsid w:val="00C2255B"/>
    <w:rsid w:val="00C228DA"/>
    <w:rsid w:val="00C2297D"/>
    <w:rsid w:val="00C23021"/>
    <w:rsid w:val="00C233A9"/>
    <w:rsid w:val="00C234D4"/>
    <w:rsid w:val="00C24050"/>
    <w:rsid w:val="00C24243"/>
    <w:rsid w:val="00C24356"/>
    <w:rsid w:val="00C24B43"/>
    <w:rsid w:val="00C24B97"/>
    <w:rsid w:val="00C251F6"/>
    <w:rsid w:val="00C255E7"/>
    <w:rsid w:val="00C258A1"/>
    <w:rsid w:val="00C25AAF"/>
    <w:rsid w:val="00C25CA1"/>
    <w:rsid w:val="00C25F19"/>
    <w:rsid w:val="00C26927"/>
    <w:rsid w:val="00C27311"/>
    <w:rsid w:val="00C27542"/>
    <w:rsid w:val="00C27BA4"/>
    <w:rsid w:val="00C27BBA"/>
    <w:rsid w:val="00C27E39"/>
    <w:rsid w:val="00C27FA9"/>
    <w:rsid w:val="00C27FE7"/>
    <w:rsid w:val="00C30211"/>
    <w:rsid w:val="00C30F98"/>
    <w:rsid w:val="00C3135C"/>
    <w:rsid w:val="00C32B00"/>
    <w:rsid w:val="00C332A3"/>
    <w:rsid w:val="00C33354"/>
    <w:rsid w:val="00C3365D"/>
    <w:rsid w:val="00C33699"/>
    <w:rsid w:val="00C3377B"/>
    <w:rsid w:val="00C339D0"/>
    <w:rsid w:val="00C33C55"/>
    <w:rsid w:val="00C33DD7"/>
    <w:rsid w:val="00C33EA3"/>
    <w:rsid w:val="00C342C3"/>
    <w:rsid w:val="00C3468B"/>
    <w:rsid w:val="00C34AE2"/>
    <w:rsid w:val="00C356AA"/>
    <w:rsid w:val="00C36356"/>
    <w:rsid w:val="00C369B5"/>
    <w:rsid w:val="00C36DC0"/>
    <w:rsid w:val="00C36F41"/>
    <w:rsid w:val="00C370F4"/>
    <w:rsid w:val="00C3763B"/>
    <w:rsid w:val="00C376BD"/>
    <w:rsid w:val="00C37AFE"/>
    <w:rsid w:val="00C37D8D"/>
    <w:rsid w:val="00C37F5A"/>
    <w:rsid w:val="00C37FC4"/>
    <w:rsid w:val="00C40100"/>
    <w:rsid w:val="00C40389"/>
    <w:rsid w:val="00C406F3"/>
    <w:rsid w:val="00C40708"/>
    <w:rsid w:val="00C407D1"/>
    <w:rsid w:val="00C40F98"/>
    <w:rsid w:val="00C410B6"/>
    <w:rsid w:val="00C4119D"/>
    <w:rsid w:val="00C417D5"/>
    <w:rsid w:val="00C4201E"/>
    <w:rsid w:val="00C424D9"/>
    <w:rsid w:val="00C42A9F"/>
    <w:rsid w:val="00C42B8C"/>
    <w:rsid w:val="00C43135"/>
    <w:rsid w:val="00C432A4"/>
    <w:rsid w:val="00C433A1"/>
    <w:rsid w:val="00C43620"/>
    <w:rsid w:val="00C43C51"/>
    <w:rsid w:val="00C43CE6"/>
    <w:rsid w:val="00C441D7"/>
    <w:rsid w:val="00C44CEC"/>
    <w:rsid w:val="00C44DEC"/>
    <w:rsid w:val="00C44E96"/>
    <w:rsid w:val="00C45201"/>
    <w:rsid w:val="00C45896"/>
    <w:rsid w:val="00C459A8"/>
    <w:rsid w:val="00C45B1A"/>
    <w:rsid w:val="00C461A2"/>
    <w:rsid w:val="00C46289"/>
    <w:rsid w:val="00C46879"/>
    <w:rsid w:val="00C469D5"/>
    <w:rsid w:val="00C46CF4"/>
    <w:rsid w:val="00C46F8D"/>
    <w:rsid w:val="00C471B1"/>
    <w:rsid w:val="00C471B3"/>
    <w:rsid w:val="00C476D8"/>
    <w:rsid w:val="00C50092"/>
    <w:rsid w:val="00C50236"/>
    <w:rsid w:val="00C5084E"/>
    <w:rsid w:val="00C508FC"/>
    <w:rsid w:val="00C51124"/>
    <w:rsid w:val="00C511DC"/>
    <w:rsid w:val="00C51354"/>
    <w:rsid w:val="00C519DF"/>
    <w:rsid w:val="00C51AF1"/>
    <w:rsid w:val="00C51C3E"/>
    <w:rsid w:val="00C52422"/>
    <w:rsid w:val="00C52600"/>
    <w:rsid w:val="00C52776"/>
    <w:rsid w:val="00C52B3C"/>
    <w:rsid w:val="00C52BFC"/>
    <w:rsid w:val="00C52DC4"/>
    <w:rsid w:val="00C53418"/>
    <w:rsid w:val="00C5350A"/>
    <w:rsid w:val="00C53791"/>
    <w:rsid w:val="00C537B5"/>
    <w:rsid w:val="00C5382C"/>
    <w:rsid w:val="00C53C60"/>
    <w:rsid w:val="00C54127"/>
    <w:rsid w:val="00C543BD"/>
    <w:rsid w:val="00C543C7"/>
    <w:rsid w:val="00C543E6"/>
    <w:rsid w:val="00C54A56"/>
    <w:rsid w:val="00C54D39"/>
    <w:rsid w:val="00C550C9"/>
    <w:rsid w:val="00C550FC"/>
    <w:rsid w:val="00C551DA"/>
    <w:rsid w:val="00C552FF"/>
    <w:rsid w:val="00C5544C"/>
    <w:rsid w:val="00C56935"/>
    <w:rsid w:val="00C56CEC"/>
    <w:rsid w:val="00C56E5E"/>
    <w:rsid w:val="00C579D2"/>
    <w:rsid w:val="00C57CF3"/>
    <w:rsid w:val="00C6043A"/>
    <w:rsid w:val="00C60DFD"/>
    <w:rsid w:val="00C6113E"/>
    <w:rsid w:val="00C61251"/>
    <w:rsid w:val="00C61390"/>
    <w:rsid w:val="00C616E7"/>
    <w:rsid w:val="00C61876"/>
    <w:rsid w:val="00C61936"/>
    <w:rsid w:val="00C61B71"/>
    <w:rsid w:val="00C61E82"/>
    <w:rsid w:val="00C6209C"/>
    <w:rsid w:val="00C622D5"/>
    <w:rsid w:val="00C6249C"/>
    <w:rsid w:val="00C624E6"/>
    <w:rsid w:val="00C62536"/>
    <w:rsid w:val="00C6282E"/>
    <w:rsid w:val="00C62A62"/>
    <w:rsid w:val="00C62D6E"/>
    <w:rsid w:val="00C62DA4"/>
    <w:rsid w:val="00C62DAC"/>
    <w:rsid w:val="00C62E57"/>
    <w:rsid w:val="00C62EE4"/>
    <w:rsid w:val="00C63027"/>
    <w:rsid w:val="00C6382C"/>
    <w:rsid w:val="00C63945"/>
    <w:rsid w:val="00C643E1"/>
    <w:rsid w:val="00C6440A"/>
    <w:rsid w:val="00C647DC"/>
    <w:rsid w:val="00C64B59"/>
    <w:rsid w:val="00C651FF"/>
    <w:rsid w:val="00C653A6"/>
    <w:rsid w:val="00C65408"/>
    <w:rsid w:val="00C656AF"/>
    <w:rsid w:val="00C65B91"/>
    <w:rsid w:val="00C65F0E"/>
    <w:rsid w:val="00C65F4B"/>
    <w:rsid w:val="00C66104"/>
    <w:rsid w:val="00C66202"/>
    <w:rsid w:val="00C6668E"/>
    <w:rsid w:val="00C667BC"/>
    <w:rsid w:val="00C66849"/>
    <w:rsid w:val="00C674D9"/>
    <w:rsid w:val="00C675FB"/>
    <w:rsid w:val="00C67648"/>
    <w:rsid w:val="00C6770A"/>
    <w:rsid w:val="00C67C03"/>
    <w:rsid w:val="00C7050C"/>
    <w:rsid w:val="00C709A4"/>
    <w:rsid w:val="00C70F53"/>
    <w:rsid w:val="00C715F0"/>
    <w:rsid w:val="00C717A1"/>
    <w:rsid w:val="00C71A66"/>
    <w:rsid w:val="00C723C4"/>
    <w:rsid w:val="00C723E6"/>
    <w:rsid w:val="00C72423"/>
    <w:rsid w:val="00C7256E"/>
    <w:rsid w:val="00C72872"/>
    <w:rsid w:val="00C72BAE"/>
    <w:rsid w:val="00C732F6"/>
    <w:rsid w:val="00C73353"/>
    <w:rsid w:val="00C73597"/>
    <w:rsid w:val="00C739B9"/>
    <w:rsid w:val="00C73A33"/>
    <w:rsid w:val="00C73BE1"/>
    <w:rsid w:val="00C73DC0"/>
    <w:rsid w:val="00C7495A"/>
    <w:rsid w:val="00C74E34"/>
    <w:rsid w:val="00C75319"/>
    <w:rsid w:val="00C75A7A"/>
    <w:rsid w:val="00C75AF2"/>
    <w:rsid w:val="00C75E90"/>
    <w:rsid w:val="00C7611A"/>
    <w:rsid w:val="00C762DE"/>
    <w:rsid w:val="00C7651D"/>
    <w:rsid w:val="00C76702"/>
    <w:rsid w:val="00C76709"/>
    <w:rsid w:val="00C770BE"/>
    <w:rsid w:val="00C770C9"/>
    <w:rsid w:val="00C778E7"/>
    <w:rsid w:val="00C77C04"/>
    <w:rsid w:val="00C77D6D"/>
    <w:rsid w:val="00C807DD"/>
    <w:rsid w:val="00C80B9E"/>
    <w:rsid w:val="00C80C3F"/>
    <w:rsid w:val="00C80FF8"/>
    <w:rsid w:val="00C818DA"/>
    <w:rsid w:val="00C8199A"/>
    <w:rsid w:val="00C81C86"/>
    <w:rsid w:val="00C81F08"/>
    <w:rsid w:val="00C82988"/>
    <w:rsid w:val="00C82D76"/>
    <w:rsid w:val="00C8342C"/>
    <w:rsid w:val="00C8374B"/>
    <w:rsid w:val="00C838E7"/>
    <w:rsid w:val="00C83A71"/>
    <w:rsid w:val="00C840A2"/>
    <w:rsid w:val="00C8432B"/>
    <w:rsid w:val="00C845ED"/>
    <w:rsid w:val="00C84687"/>
    <w:rsid w:val="00C8472E"/>
    <w:rsid w:val="00C84D90"/>
    <w:rsid w:val="00C84EE8"/>
    <w:rsid w:val="00C850E1"/>
    <w:rsid w:val="00C8524F"/>
    <w:rsid w:val="00C85395"/>
    <w:rsid w:val="00C854AB"/>
    <w:rsid w:val="00C85A64"/>
    <w:rsid w:val="00C8608C"/>
    <w:rsid w:val="00C86543"/>
    <w:rsid w:val="00C86BAC"/>
    <w:rsid w:val="00C86E48"/>
    <w:rsid w:val="00C87228"/>
    <w:rsid w:val="00C8781B"/>
    <w:rsid w:val="00C87C3A"/>
    <w:rsid w:val="00C87E5D"/>
    <w:rsid w:val="00C902A2"/>
    <w:rsid w:val="00C90332"/>
    <w:rsid w:val="00C9083D"/>
    <w:rsid w:val="00C90AF3"/>
    <w:rsid w:val="00C90CB0"/>
    <w:rsid w:val="00C90CC3"/>
    <w:rsid w:val="00C917CD"/>
    <w:rsid w:val="00C91B1D"/>
    <w:rsid w:val="00C91C0F"/>
    <w:rsid w:val="00C922EF"/>
    <w:rsid w:val="00C92356"/>
    <w:rsid w:val="00C92379"/>
    <w:rsid w:val="00C924F0"/>
    <w:rsid w:val="00C9336F"/>
    <w:rsid w:val="00C9393D"/>
    <w:rsid w:val="00C93DEF"/>
    <w:rsid w:val="00C940F8"/>
    <w:rsid w:val="00C94248"/>
    <w:rsid w:val="00C944DC"/>
    <w:rsid w:val="00C945C7"/>
    <w:rsid w:val="00C94648"/>
    <w:rsid w:val="00C946B4"/>
    <w:rsid w:val="00C95577"/>
    <w:rsid w:val="00C955FA"/>
    <w:rsid w:val="00C9568F"/>
    <w:rsid w:val="00C95AFA"/>
    <w:rsid w:val="00C95D34"/>
    <w:rsid w:val="00C95E70"/>
    <w:rsid w:val="00C95F1E"/>
    <w:rsid w:val="00C95F45"/>
    <w:rsid w:val="00C96836"/>
    <w:rsid w:val="00C969E0"/>
    <w:rsid w:val="00C96B5E"/>
    <w:rsid w:val="00C96C6A"/>
    <w:rsid w:val="00C96EEA"/>
    <w:rsid w:val="00C9708A"/>
    <w:rsid w:val="00C970C5"/>
    <w:rsid w:val="00C9713D"/>
    <w:rsid w:val="00C971B9"/>
    <w:rsid w:val="00C9721A"/>
    <w:rsid w:val="00C9765D"/>
    <w:rsid w:val="00C97AE8"/>
    <w:rsid w:val="00C97E61"/>
    <w:rsid w:val="00CA00D2"/>
    <w:rsid w:val="00CA071C"/>
    <w:rsid w:val="00CA09CD"/>
    <w:rsid w:val="00CA0BB8"/>
    <w:rsid w:val="00CA0FAD"/>
    <w:rsid w:val="00CA1CAD"/>
    <w:rsid w:val="00CA2196"/>
    <w:rsid w:val="00CA2227"/>
    <w:rsid w:val="00CA22ED"/>
    <w:rsid w:val="00CA2D29"/>
    <w:rsid w:val="00CA2F00"/>
    <w:rsid w:val="00CA3381"/>
    <w:rsid w:val="00CA3469"/>
    <w:rsid w:val="00CA380B"/>
    <w:rsid w:val="00CA3E4C"/>
    <w:rsid w:val="00CA3F5E"/>
    <w:rsid w:val="00CA462B"/>
    <w:rsid w:val="00CA491E"/>
    <w:rsid w:val="00CA4DFF"/>
    <w:rsid w:val="00CA505D"/>
    <w:rsid w:val="00CA531F"/>
    <w:rsid w:val="00CA5487"/>
    <w:rsid w:val="00CA57B4"/>
    <w:rsid w:val="00CA58AC"/>
    <w:rsid w:val="00CA720D"/>
    <w:rsid w:val="00CA7535"/>
    <w:rsid w:val="00CA7654"/>
    <w:rsid w:val="00CA77F7"/>
    <w:rsid w:val="00CA7A16"/>
    <w:rsid w:val="00CA7A52"/>
    <w:rsid w:val="00CB0ED6"/>
    <w:rsid w:val="00CB1066"/>
    <w:rsid w:val="00CB11C7"/>
    <w:rsid w:val="00CB1B9E"/>
    <w:rsid w:val="00CB2251"/>
    <w:rsid w:val="00CB2794"/>
    <w:rsid w:val="00CB2C7B"/>
    <w:rsid w:val="00CB331A"/>
    <w:rsid w:val="00CB3478"/>
    <w:rsid w:val="00CB3776"/>
    <w:rsid w:val="00CB3FDF"/>
    <w:rsid w:val="00CB3FE1"/>
    <w:rsid w:val="00CB43CC"/>
    <w:rsid w:val="00CB4F0E"/>
    <w:rsid w:val="00CB4F9F"/>
    <w:rsid w:val="00CB522B"/>
    <w:rsid w:val="00CB5543"/>
    <w:rsid w:val="00CB5E7A"/>
    <w:rsid w:val="00CB6523"/>
    <w:rsid w:val="00CB6638"/>
    <w:rsid w:val="00CB6CED"/>
    <w:rsid w:val="00CB6E1D"/>
    <w:rsid w:val="00CB7169"/>
    <w:rsid w:val="00CB764D"/>
    <w:rsid w:val="00CC013C"/>
    <w:rsid w:val="00CC0855"/>
    <w:rsid w:val="00CC0D8A"/>
    <w:rsid w:val="00CC1067"/>
    <w:rsid w:val="00CC19FA"/>
    <w:rsid w:val="00CC1EFA"/>
    <w:rsid w:val="00CC250A"/>
    <w:rsid w:val="00CC2541"/>
    <w:rsid w:val="00CC29BA"/>
    <w:rsid w:val="00CC30FC"/>
    <w:rsid w:val="00CC36D2"/>
    <w:rsid w:val="00CC3A93"/>
    <w:rsid w:val="00CC3AE2"/>
    <w:rsid w:val="00CC3D6E"/>
    <w:rsid w:val="00CC3FEB"/>
    <w:rsid w:val="00CC46A7"/>
    <w:rsid w:val="00CC4874"/>
    <w:rsid w:val="00CC4910"/>
    <w:rsid w:val="00CC4CCF"/>
    <w:rsid w:val="00CC4DB9"/>
    <w:rsid w:val="00CC510B"/>
    <w:rsid w:val="00CC5486"/>
    <w:rsid w:val="00CC5ECA"/>
    <w:rsid w:val="00CC5F0E"/>
    <w:rsid w:val="00CC5FDB"/>
    <w:rsid w:val="00CC627A"/>
    <w:rsid w:val="00CC64E7"/>
    <w:rsid w:val="00CC676D"/>
    <w:rsid w:val="00CC6901"/>
    <w:rsid w:val="00CC69DF"/>
    <w:rsid w:val="00CC6C05"/>
    <w:rsid w:val="00CC6FE3"/>
    <w:rsid w:val="00CC7053"/>
    <w:rsid w:val="00CC72CE"/>
    <w:rsid w:val="00CC753E"/>
    <w:rsid w:val="00CC7824"/>
    <w:rsid w:val="00CC7A01"/>
    <w:rsid w:val="00CC7B4A"/>
    <w:rsid w:val="00CC7D3B"/>
    <w:rsid w:val="00CD00C0"/>
    <w:rsid w:val="00CD016E"/>
    <w:rsid w:val="00CD07B8"/>
    <w:rsid w:val="00CD0932"/>
    <w:rsid w:val="00CD0DFF"/>
    <w:rsid w:val="00CD1359"/>
    <w:rsid w:val="00CD1708"/>
    <w:rsid w:val="00CD1F03"/>
    <w:rsid w:val="00CD200A"/>
    <w:rsid w:val="00CD2031"/>
    <w:rsid w:val="00CD2432"/>
    <w:rsid w:val="00CD2562"/>
    <w:rsid w:val="00CD256B"/>
    <w:rsid w:val="00CD27CC"/>
    <w:rsid w:val="00CD29A3"/>
    <w:rsid w:val="00CD29DC"/>
    <w:rsid w:val="00CD2D78"/>
    <w:rsid w:val="00CD2FE9"/>
    <w:rsid w:val="00CD336C"/>
    <w:rsid w:val="00CD3512"/>
    <w:rsid w:val="00CD3A8D"/>
    <w:rsid w:val="00CD4030"/>
    <w:rsid w:val="00CD419C"/>
    <w:rsid w:val="00CD4680"/>
    <w:rsid w:val="00CD4798"/>
    <w:rsid w:val="00CD49AC"/>
    <w:rsid w:val="00CD4ABF"/>
    <w:rsid w:val="00CD4B41"/>
    <w:rsid w:val="00CD4DE2"/>
    <w:rsid w:val="00CD4F4C"/>
    <w:rsid w:val="00CD517D"/>
    <w:rsid w:val="00CD55F3"/>
    <w:rsid w:val="00CD5693"/>
    <w:rsid w:val="00CD58C6"/>
    <w:rsid w:val="00CD5AFE"/>
    <w:rsid w:val="00CD5B28"/>
    <w:rsid w:val="00CD5F77"/>
    <w:rsid w:val="00CD6135"/>
    <w:rsid w:val="00CD620F"/>
    <w:rsid w:val="00CD62E6"/>
    <w:rsid w:val="00CD644A"/>
    <w:rsid w:val="00CD69C8"/>
    <w:rsid w:val="00CD6ABC"/>
    <w:rsid w:val="00CD6AEC"/>
    <w:rsid w:val="00CD6CFD"/>
    <w:rsid w:val="00CD71B5"/>
    <w:rsid w:val="00CD78EA"/>
    <w:rsid w:val="00CD7EAB"/>
    <w:rsid w:val="00CE0286"/>
    <w:rsid w:val="00CE06D5"/>
    <w:rsid w:val="00CE1077"/>
    <w:rsid w:val="00CE159F"/>
    <w:rsid w:val="00CE1711"/>
    <w:rsid w:val="00CE1F6C"/>
    <w:rsid w:val="00CE24C3"/>
    <w:rsid w:val="00CE28D6"/>
    <w:rsid w:val="00CE393F"/>
    <w:rsid w:val="00CE3D31"/>
    <w:rsid w:val="00CE3DA5"/>
    <w:rsid w:val="00CE403B"/>
    <w:rsid w:val="00CE45BA"/>
    <w:rsid w:val="00CE482B"/>
    <w:rsid w:val="00CE53C4"/>
    <w:rsid w:val="00CE58FA"/>
    <w:rsid w:val="00CE595B"/>
    <w:rsid w:val="00CE59CD"/>
    <w:rsid w:val="00CE5A3D"/>
    <w:rsid w:val="00CE5B4C"/>
    <w:rsid w:val="00CE5BBA"/>
    <w:rsid w:val="00CE5FDA"/>
    <w:rsid w:val="00CE6293"/>
    <w:rsid w:val="00CE63AE"/>
    <w:rsid w:val="00CE6C34"/>
    <w:rsid w:val="00CE74E3"/>
    <w:rsid w:val="00CE76FA"/>
    <w:rsid w:val="00CE7847"/>
    <w:rsid w:val="00CE7EAC"/>
    <w:rsid w:val="00CF0033"/>
    <w:rsid w:val="00CF0303"/>
    <w:rsid w:val="00CF046D"/>
    <w:rsid w:val="00CF0644"/>
    <w:rsid w:val="00CF06B3"/>
    <w:rsid w:val="00CF0716"/>
    <w:rsid w:val="00CF0AB2"/>
    <w:rsid w:val="00CF101F"/>
    <w:rsid w:val="00CF11BE"/>
    <w:rsid w:val="00CF1310"/>
    <w:rsid w:val="00CF16F5"/>
    <w:rsid w:val="00CF1B46"/>
    <w:rsid w:val="00CF1EF0"/>
    <w:rsid w:val="00CF2B2B"/>
    <w:rsid w:val="00CF2D07"/>
    <w:rsid w:val="00CF2DA9"/>
    <w:rsid w:val="00CF31DA"/>
    <w:rsid w:val="00CF32B9"/>
    <w:rsid w:val="00CF34E3"/>
    <w:rsid w:val="00CF3C2B"/>
    <w:rsid w:val="00CF3C8F"/>
    <w:rsid w:val="00CF3DA9"/>
    <w:rsid w:val="00CF4028"/>
    <w:rsid w:val="00CF43BA"/>
    <w:rsid w:val="00CF4478"/>
    <w:rsid w:val="00CF47C4"/>
    <w:rsid w:val="00CF4BD5"/>
    <w:rsid w:val="00CF5008"/>
    <w:rsid w:val="00CF56BC"/>
    <w:rsid w:val="00CF57C4"/>
    <w:rsid w:val="00CF6B59"/>
    <w:rsid w:val="00CF7125"/>
    <w:rsid w:val="00CF76FD"/>
    <w:rsid w:val="00CF7742"/>
    <w:rsid w:val="00D00149"/>
    <w:rsid w:val="00D001C4"/>
    <w:rsid w:val="00D003A1"/>
    <w:rsid w:val="00D003F5"/>
    <w:rsid w:val="00D0045E"/>
    <w:rsid w:val="00D00478"/>
    <w:rsid w:val="00D00653"/>
    <w:rsid w:val="00D00911"/>
    <w:rsid w:val="00D00D24"/>
    <w:rsid w:val="00D01151"/>
    <w:rsid w:val="00D012B4"/>
    <w:rsid w:val="00D01476"/>
    <w:rsid w:val="00D01627"/>
    <w:rsid w:val="00D01AEC"/>
    <w:rsid w:val="00D01C27"/>
    <w:rsid w:val="00D01E4E"/>
    <w:rsid w:val="00D03950"/>
    <w:rsid w:val="00D03C09"/>
    <w:rsid w:val="00D03D3D"/>
    <w:rsid w:val="00D03D53"/>
    <w:rsid w:val="00D0413E"/>
    <w:rsid w:val="00D043D1"/>
    <w:rsid w:val="00D0465F"/>
    <w:rsid w:val="00D046C3"/>
    <w:rsid w:val="00D04FCB"/>
    <w:rsid w:val="00D0505A"/>
    <w:rsid w:val="00D0543F"/>
    <w:rsid w:val="00D056A1"/>
    <w:rsid w:val="00D05A53"/>
    <w:rsid w:val="00D063AC"/>
    <w:rsid w:val="00D06447"/>
    <w:rsid w:val="00D06A78"/>
    <w:rsid w:val="00D06A91"/>
    <w:rsid w:val="00D06FC3"/>
    <w:rsid w:val="00D071B2"/>
    <w:rsid w:val="00D07347"/>
    <w:rsid w:val="00D078F9"/>
    <w:rsid w:val="00D07DB4"/>
    <w:rsid w:val="00D07E2E"/>
    <w:rsid w:val="00D07ED3"/>
    <w:rsid w:val="00D1003E"/>
    <w:rsid w:val="00D10258"/>
    <w:rsid w:val="00D104E0"/>
    <w:rsid w:val="00D10530"/>
    <w:rsid w:val="00D10A24"/>
    <w:rsid w:val="00D119CF"/>
    <w:rsid w:val="00D11C4E"/>
    <w:rsid w:val="00D11E55"/>
    <w:rsid w:val="00D12059"/>
    <w:rsid w:val="00D1209D"/>
    <w:rsid w:val="00D125E5"/>
    <w:rsid w:val="00D129DE"/>
    <w:rsid w:val="00D1308D"/>
    <w:rsid w:val="00D1327F"/>
    <w:rsid w:val="00D1402E"/>
    <w:rsid w:val="00D1429C"/>
    <w:rsid w:val="00D1436E"/>
    <w:rsid w:val="00D148D4"/>
    <w:rsid w:val="00D14ABB"/>
    <w:rsid w:val="00D14E0D"/>
    <w:rsid w:val="00D152B5"/>
    <w:rsid w:val="00D156AD"/>
    <w:rsid w:val="00D15E70"/>
    <w:rsid w:val="00D15F59"/>
    <w:rsid w:val="00D15FCB"/>
    <w:rsid w:val="00D16296"/>
    <w:rsid w:val="00D165F4"/>
    <w:rsid w:val="00D16940"/>
    <w:rsid w:val="00D16C6E"/>
    <w:rsid w:val="00D17618"/>
    <w:rsid w:val="00D1769C"/>
    <w:rsid w:val="00D178D3"/>
    <w:rsid w:val="00D17FC3"/>
    <w:rsid w:val="00D202A8"/>
    <w:rsid w:val="00D204BF"/>
    <w:rsid w:val="00D205A5"/>
    <w:rsid w:val="00D20802"/>
    <w:rsid w:val="00D2092D"/>
    <w:rsid w:val="00D20DE3"/>
    <w:rsid w:val="00D20FD3"/>
    <w:rsid w:val="00D210C6"/>
    <w:rsid w:val="00D2125C"/>
    <w:rsid w:val="00D2248D"/>
    <w:rsid w:val="00D22C31"/>
    <w:rsid w:val="00D22F0C"/>
    <w:rsid w:val="00D23163"/>
    <w:rsid w:val="00D231A7"/>
    <w:rsid w:val="00D235D3"/>
    <w:rsid w:val="00D247B7"/>
    <w:rsid w:val="00D24A76"/>
    <w:rsid w:val="00D24ADA"/>
    <w:rsid w:val="00D2506C"/>
    <w:rsid w:val="00D25427"/>
    <w:rsid w:val="00D255DE"/>
    <w:rsid w:val="00D257C8"/>
    <w:rsid w:val="00D25B08"/>
    <w:rsid w:val="00D25E00"/>
    <w:rsid w:val="00D25F60"/>
    <w:rsid w:val="00D26AFB"/>
    <w:rsid w:val="00D26C56"/>
    <w:rsid w:val="00D26EB7"/>
    <w:rsid w:val="00D27001"/>
    <w:rsid w:val="00D2707D"/>
    <w:rsid w:val="00D27578"/>
    <w:rsid w:val="00D2787E"/>
    <w:rsid w:val="00D27BB0"/>
    <w:rsid w:val="00D302C2"/>
    <w:rsid w:val="00D30407"/>
    <w:rsid w:val="00D30777"/>
    <w:rsid w:val="00D30C38"/>
    <w:rsid w:val="00D311D5"/>
    <w:rsid w:val="00D3186C"/>
    <w:rsid w:val="00D319D2"/>
    <w:rsid w:val="00D31AAC"/>
    <w:rsid w:val="00D31AF5"/>
    <w:rsid w:val="00D31DA6"/>
    <w:rsid w:val="00D325C6"/>
    <w:rsid w:val="00D32693"/>
    <w:rsid w:val="00D327E7"/>
    <w:rsid w:val="00D3288A"/>
    <w:rsid w:val="00D3299A"/>
    <w:rsid w:val="00D329D7"/>
    <w:rsid w:val="00D32DB7"/>
    <w:rsid w:val="00D336DB"/>
    <w:rsid w:val="00D33C37"/>
    <w:rsid w:val="00D33E6C"/>
    <w:rsid w:val="00D33EE1"/>
    <w:rsid w:val="00D34301"/>
    <w:rsid w:val="00D35476"/>
    <w:rsid w:val="00D355E3"/>
    <w:rsid w:val="00D35BB7"/>
    <w:rsid w:val="00D35BC6"/>
    <w:rsid w:val="00D360A8"/>
    <w:rsid w:val="00D36141"/>
    <w:rsid w:val="00D3614A"/>
    <w:rsid w:val="00D3620E"/>
    <w:rsid w:val="00D3622A"/>
    <w:rsid w:val="00D36383"/>
    <w:rsid w:val="00D3653D"/>
    <w:rsid w:val="00D37741"/>
    <w:rsid w:val="00D4011A"/>
    <w:rsid w:val="00D40CF9"/>
    <w:rsid w:val="00D4101C"/>
    <w:rsid w:val="00D41218"/>
    <w:rsid w:val="00D41439"/>
    <w:rsid w:val="00D414E8"/>
    <w:rsid w:val="00D41F92"/>
    <w:rsid w:val="00D42378"/>
    <w:rsid w:val="00D425B4"/>
    <w:rsid w:val="00D4284E"/>
    <w:rsid w:val="00D430B8"/>
    <w:rsid w:val="00D43162"/>
    <w:rsid w:val="00D431F2"/>
    <w:rsid w:val="00D43617"/>
    <w:rsid w:val="00D43652"/>
    <w:rsid w:val="00D43AE4"/>
    <w:rsid w:val="00D43B35"/>
    <w:rsid w:val="00D43CAC"/>
    <w:rsid w:val="00D44056"/>
    <w:rsid w:val="00D440B4"/>
    <w:rsid w:val="00D44147"/>
    <w:rsid w:val="00D44207"/>
    <w:rsid w:val="00D44948"/>
    <w:rsid w:val="00D44B22"/>
    <w:rsid w:val="00D44B87"/>
    <w:rsid w:val="00D44C2B"/>
    <w:rsid w:val="00D44E5B"/>
    <w:rsid w:val="00D45019"/>
    <w:rsid w:val="00D450A3"/>
    <w:rsid w:val="00D4522C"/>
    <w:rsid w:val="00D4562D"/>
    <w:rsid w:val="00D456B1"/>
    <w:rsid w:val="00D45945"/>
    <w:rsid w:val="00D45A33"/>
    <w:rsid w:val="00D45ABC"/>
    <w:rsid w:val="00D45B65"/>
    <w:rsid w:val="00D45C54"/>
    <w:rsid w:val="00D46289"/>
    <w:rsid w:val="00D46743"/>
    <w:rsid w:val="00D46801"/>
    <w:rsid w:val="00D4680F"/>
    <w:rsid w:val="00D4696A"/>
    <w:rsid w:val="00D46AA4"/>
    <w:rsid w:val="00D4726B"/>
    <w:rsid w:val="00D472C7"/>
    <w:rsid w:val="00D4761B"/>
    <w:rsid w:val="00D47B31"/>
    <w:rsid w:val="00D47BC4"/>
    <w:rsid w:val="00D47CEA"/>
    <w:rsid w:val="00D50960"/>
    <w:rsid w:val="00D50A49"/>
    <w:rsid w:val="00D50A78"/>
    <w:rsid w:val="00D50EB7"/>
    <w:rsid w:val="00D50F0D"/>
    <w:rsid w:val="00D51ABC"/>
    <w:rsid w:val="00D51C75"/>
    <w:rsid w:val="00D51E0B"/>
    <w:rsid w:val="00D522A8"/>
    <w:rsid w:val="00D52632"/>
    <w:rsid w:val="00D528F0"/>
    <w:rsid w:val="00D52936"/>
    <w:rsid w:val="00D52987"/>
    <w:rsid w:val="00D5313D"/>
    <w:rsid w:val="00D5366D"/>
    <w:rsid w:val="00D5368F"/>
    <w:rsid w:val="00D53AB7"/>
    <w:rsid w:val="00D53B80"/>
    <w:rsid w:val="00D53CDB"/>
    <w:rsid w:val="00D53E9F"/>
    <w:rsid w:val="00D53F1B"/>
    <w:rsid w:val="00D53FCC"/>
    <w:rsid w:val="00D54721"/>
    <w:rsid w:val="00D549A5"/>
    <w:rsid w:val="00D54A0C"/>
    <w:rsid w:val="00D54BD4"/>
    <w:rsid w:val="00D54C55"/>
    <w:rsid w:val="00D550F9"/>
    <w:rsid w:val="00D55303"/>
    <w:rsid w:val="00D55578"/>
    <w:rsid w:val="00D55D06"/>
    <w:rsid w:val="00D56298"/>
    <w:rsid w:val="00D563A2"/>
    <w:rsid w:val="00D56892"/>
    <w:rsid w:val="00D56A25"/>
    <w:rsid w:val="00D577DF"/>
    <w:rsid w:val="00D57AD1"/>
    <w:rsid w:val="00D57D66"/>
    <w:rsid w:val="00D607B7"/>
    <w:rsid w:val="00D60AA7"/>
    <w:rsid w:val="00D60B38"/>
    <w:rsid w:val="00D60B8C"/>
    <w:rsid w:val="00D61385"/>
    <w:rsid w:val="00D61640"/>
    <w:rsid w:val="00D61788"/>
    <w:rsid w:val="00D61A0E"/>
    <w:rsid w:val="00D61C7E"/>
    <w:rsid w:val="00D61CBC"/>
    <w:rsid w:val="00D623A4"/>
    <w:rsid w:val="00D63B31"/>
    <w:rsid w:val="00D63FD6"/>
    <w:rsid w:val="00D64093"/>
    <w:rsid w:val="00D6417B"/>
    <w:rsid w:val="00D6465C"/>
    <w:rsid w:val="00D64D84"/>
    <w:rsid w:val="00D651A9"/>
    <w:rsid w:val="00D65406"/>
    <w:rsid w:val="00D6596A"/>
    <w:rsid w:val="00D65A6E"/>
    <w:rsid w:val="00D65D23"/>
    <w:rsid w:val="00D65DBD"/>
    <w:rsid w:val="00D65E0A"/>
    <w:rsid w:val="00D6606D"/>
    <w:rsid w:val="00D667AD"/>
    <w:rsid w:val="00D66BE9"/>
    <w:rsid w:val="00D6723F"/>
    <w:rsid w:val="00D672F0"/>
    <w:rsid w:val="00D67590"/>
    <w:rsid w:val="00D67756"/>
    <w:rsid w:val="00D6786E"/>
    <w:rsid w:val="00D7035E"/>
    <w:rsid w:val="00D704CB"/>
    <w:rsid w:val="00D708D0"/>
    <w:rsid w:val="00D712B7"/>
    <w:rsid w:val="00D71401"/>
    <w:rsid w:val="00D716C7"/>
    <w:rsid w:val="00D71957"/>
    <w:rsid w:val="00D71990"/>
    <w:rsid w:val="00D71AE5"/>
    <w:rsid w:val="00D71CBC"/>
    <w:rsid w:val="00D71DCE"/>
    <w:rsid w:val="00D71E8D"/>
    <w:rsid w:val="00D72008"/>
    <w:rsid w:val="00D72ABD"/>
    <w:rsid w:val="00D72BED"/>
    <w:rsid w:val="00D72C2C"/>
    <w:rsid w:val="00D72FFC"/>
    <w:rsid w:val="00D73ED6"/>
    <w:rsid w:val="00D7418D"/>
    <w:rsid w:val="00D7442C"/>
    <w:rsid w:val="00D7446E"/>
    <w:rsid w:val="00D745E1"/>
    <w:rsid w:val="00D7589B"/>
    <w:rsid w:val="00D759C4"/>
    <w:rsid w:val="00D75AC2"/>
    <w:rsid w:val="00D76116"/>
    <w:rsid w:val="00D770EB"/>
    <w:rsid w:val="00D77608"/>
    <w:rsid w:val="00D77D6B"/>
    <w:rsid w:val="00D804A5"/>
    <w:rsid w:val="00D8115A"/>
    <w:rsid w:val="00D811FB"/>
    <w:rsid w:val="00D81807"/>
    <w:rsid w:val="00D81D62"/>
    <w:rsid w:val="00D81D81"/>
    <w:rsid w:val="00D8240D"/>
    <w:rsid w:val="00D82486"/>
    <w:rsid w:val="00D82630"/>
    <w:rsid w:val="00D8265F"/>
    <w:rsid w:val="00D826DB"/>
    <w:rsid w:val="00D82818"/>
    <w:rsid w:val="00D82B3C"/>
    <w:rsid w:val="00D82F5B"/>
    <w:rsid w:val="00D83148"/>
    <w:rsid w:val="00D834F4"/>
    <w:rsid w:val="00D83725"/>
    <w:rsid w:val="00D8398F"/>
    <w:rsid w:val="00D83E1A"/>
    <w:rsid w:val="00D83FF9"/>
    <w:rsid w:val="00D846E2"/>
    <w:rsid w:val="00D84CD4"/>
    <w:rsid w:val="00D84D60"/>
    <w:rsid w:val="00D850EF"/>
    <w:rsid w:val="00D853ED"/>
    <w:rsid w:val="00D85985"/>
    <w:rsid w:val="00D85CC1"/>
    <w:rsid w:val="00D85E16"/>
    <w:rsid w:val="00D85EC5"/>
    <w:rsid w:val="00D86386"/>
    <w:rsid w:val="00D86654"/>
    <w:rsid w:val="00D86838"/>
    <w:rsid w:val="00D86AC9"/>
    <w:rsid w:val="00D86B09"/>
    <w:rsid w:val="00D87078"/>
    <w:rsid w:val="00D87088"/>
    <w:rsid w:val="00D87459"/>
    <w:rsid w:val="00D87505"/>
    <w:rsid w:val="00D87581"/>
    <w:rsid w:val="00D8769A"/>
    <w:rsid w:val="00D87934"/>
    <w:rsid w:val="00D87AE7"/>
    <w:rsid w:val="00D90567"/>
    <w:rsid w:val="00D90577"/>
    <w:rsid w:val="00D907EF"/>
    <w:rsid w:val="00D90E57"/>
    <w:rsid w:val="00D90EAA"/>
    <w:rsid w:val="00D91189"/>
    <w:rsid w:val="00D91383"/>
    <w:rsid w:val="00D925AA"/>
    <w:rsid w:val="00D92741"/>
    <w:rsid w:val="00D9277D"/>
    <w:rsid w:val="00D92813"/>
    <w:rsid w:val="00D929E4"/>
    <w:rsid w:val="00D92DB9"/>
    <w:rsid w:val="00D92F40"/>
    <w:rsid w:val="00D93325"/>
    <w:rsid w:val="00D9381C"/>
    <w:rsid w:val="00D93EC8"/>
    <w:rsid w:val="00D941F0"/>
    <w:rsid w:val="00D94C0B"/>
    <w:rsid w:val="00D95034"/>
    <w:rsid w:val="00D953F3"/>
    <w:rsid w:val="00D9568F"/>
    <w:rsid w:val="00D95ADE"/>
    <w:rsid w:val="00D95B78"/>
    <w:rsid w:val="00D96936"/>
    <w:rsid w:val="00D96A72"/>
    <w:rsid w:val="00D96B9A"/>
    <w:rsid w:val="00D96BF5"/>
    <w:rsid w:val="00D9723A"/>
    <w:rsid w:val="00D97394"/>
    <w:rsid w:val="00D9739D"/>
    <w:rsid w:val="00D973ED"/>
    <w:rsid w:val="00DA0016"/>
    <w:rsid w:val="00DA0707"/>
    <w:rsid w:val="00DA0938"/>
    <w:rsid w:val="00DA0BCF"/>
    <w:rsid w:val="00DA0CC8"/>
    <w:rsid w:val="00DA1F03"/>
    <w:rsid w:val="00DA1F7D"/>
    <w:rsid w:val="00DA2488"/>
    <w:rsid w:val="00DA25D3"/>
    <w:rsid w:val="00DA27DE"/>
    <w:rsid w:val="00DA2C85"/>
    <w:rsid w:val="00DA2CCF"/>
    <w:rsid w:val="00DA2F84"/>
    <w:rsid w:val="00DA32FC"/>
    <w:rsid w:val="00DA3495"/>
    <w:rsid w:val="00DA3D5F"/>
    <w:rsid w:val="00DA3D63"/>
    <w:rsid w:val="00DA3E53"/>
    <w:rsid w:val="00DA437F"/>
    <w:rsid w:val="00DA4490"/>
    <w:rsid w:val="00DA4A34"/>
    <w:rsid w:val="00DA4E94"/>
    <w:rsid w:val="00DA4F55"/>
    <w:rsid w:val="00DA519A"/>
    <w:rsid w:val="00DA543E"/>
    <w:rsid w:val="00DA568E"/>
    <w:rsid w:val="00DA5699"/>
    <w:rsid w:val="00DA59F8"/>
    <w:rsid w:val="00DA5A9D"/>
    <w:rsid w:val="00DA5AB6"/>
    <w:rsid w:val="00DA5B39"/>
    <w:rsid w:val="00DA5CDE"/>
    <w:rsid w:val="00DA5DD4"/>
    <w:rsid w:val="00DA624F"/>
    <w:rsid w:val="00DA653E"/>
    <w:rsid w:val="00DA6564"/>
    <w:rsid w:val="00DA6659"/>
    <w:rsid w:val="00DA6732"/>
    <w:rsid w:val="00DA69B3"/>
    <w:rsid w:val="00DA6A7F"/>
    <w:rsid w:val="00DA6C13"/>
    <w:rsid w:val="00DA6F9D"/>
    <w:rsid w:val="00DA7530"/>
    <w:rsid w:val="00DA7979"/>
    <w:rsid w:val="00DA7B8B"/>
    <w:rsid w:val="00DB015D"/>
    <w:rsid w:val="00DB0374"/>
    <w:rsid w:val="00DB0603"/>
    <w:rsid w:val="00DB0636"/>
    <w:rsid w:val="00DB065D"/>
    <w:rsid w:val="00DB0A6B"/>
    <w:rsid w:val="00DB0B04"/>
    <w:rsid w:val="00DB0C5E"/>
    <w:rsid w:val="00DB0C87"/>
    <w:rsid w:val="00DB141E"/>
    <w:rsid w:val="00DB1430"/>
    <w:rsid w:val="00DB150C"/>
    <w:rsid w:val="00DB1A3C"/>
    <w:rsid w:val="00DB1A74"/>
    <w:rsid w:val="00DB1AE7"/>
    <w:rsid w:val="00DB1E3C"/>
    <w:rsid w:val="00DB1EFA"/>
    <w:rsid w:val="00DB2098"/>
    <w:rsid w:val="00DB27AE"/>
    <w:rsid w:val="00DB28D2"/>
    <w:rsid w:val="00DB2A5F"/>
    <w:rsid w:val="00DB2E06"/>
    <w:rsid w:val="00DB2F36"/>
    <w:rsid w:val="00DB2F95"/>
    <w:rsid w:val="00DB2FF0"/>
    <w:rsid w:val="00DB3608"/>
    <w:rsid w:val="00DB36AD"/>
    <w:rsid w:val="00DB3D89"/>
    <w:rsid w:val="00DB40D0"/>
    <w:rsid w:val="00DB4585"/>
    <w:rsid w:val="00DB4D94"/>
    <w:rsid w:val="00DB4FA9"/>
    <w:rsid w:val="00DB52A4"/>
    <w:rsid w:val="00DB5379"/>
    <w:rsid w:val="00DB560F"/>
    <w:rsid w:val="00DB56D6"/>
    <w:rsid w:val="00DB5D72"/>
    <w:rsid w:val="00DB5F3B"/>
    <w:rsid w:val="00DB6019"/>
    <w:rsid w:val="00DB6E14"/>
    <w:rsid w:val="00DB7333"/>
    <w:rsid w:val="00DB7375"/>
    <w:rsid w:val="00DB78BD"/>
    <w:rsid w:val="00DC049D"/>
    <w:rsid w:val="00DC04F5"/>
    <w:rsid w:val="00DC05E7"/>
    <w:rsid w:val="00DC062B"/>
    <w:rsid w:val="00DC06F2"/>
    <w:rsid w:val="00DC0933"/>
    <w:rsid w:val="00DC0B3E"/>
    <w:rsid w:val="00DC0B94"/>
    <w:rsid w:val="00DC0BF1"/>
    <w:rsid w:val="00DC0BFE"/>
    <w:rsid w:val="00DC0E36"/>
    <w:rsid w:val="00DC1726"/>
    <w:rsid w:val="00DC19AF"/>
    <w:rsid w:val="00DC21AA"/>
    <w:rsid w:val="00DC24BD"/>
    <w:rsid w:val="00DC2515"/>
    <w:rsid w:val="00DC2528"/>
    <w:rsid w:val="00DC26B4"/>
    <w:rsid w:val="00DC2B99"/>
    <w:rsid w:val="00DC2C01"/>
    <w:rsid w:val="00DC2EB9"/>
    <w:rsid w:val="00DC3235"/>
    <w:rsid w:val="00DC3519"/>
    <w:rsid w:val="00DC3571"/>
    <w:rsid w:val="00DC3A4C"/>
    <w:rsid w:val="00DC3A6B"/>
    <w:rsid w:val="00DC3E25"/>
    <w:rsid w:val="00DC403D"/>
    <w:rsid w:val="00DC42E9"/>
    <w:rsid w:val="00DC4882"/>
    <w:rsid w:val="00DC4968"/>
    <w:rsid w:val="00DC4C28"/>
    <w:rsid w:val="00DC5248"/>
    <w:rsid w:val="00DC575B"/>
    <w:rsid w:val="00DC5AC6"/>
    <w:rsid w:val="00DC5CFA"/>
    <w:rsid w:val="00DC61A4"/>
    <w:rsid w:val="00DC641E"/>
    <w:rsid w:val="00DC66B7"/>
    <w:rsid w:val="00DC6E95"/>
    <w:rsid w:val="00DC7B2D"/>
    <w:rsid w:val="00DD070A"/>
    <w:rsid w:val="00DD13F7"/>
    <w:rsid w:val="00DD156E"/>
    <w:rsid w:val="00DD1860"/>
    <w:rsid w:val="00DD1D6C"/>
    <w:rsid w:val="00DD1DD5"/>
    <w:rsid w:val="00DD2012"/>
    <w:rsid w:val="00DD20C1"/>
    <w:rsid w:val="00DD214C"/>
    <w:rsid w:val="00DD2340"/>
    <w:rsid w:val="00DD2A87"/>
    <w:rsid w:val="00DD31B4"/>
    <w:rsid w:val="00DD3D85"/>
    <w:rsid w:val="00DD3E54"/>
    <w:rsid w:val="00DD40DE"/>
    <w:rsid w:val="00DD42B7"/>
    <w:rsid w:val="00DD4792"/>
    <w:rsid w:val="00DD4923"/>
    <w:rsid w:val="00DD4F20"/>
    <w:rsid w:val="00DD4FF2"/>
    <w:rsid w:val="00DD550A"/>
    <w:rsid w:val="00DD559B"/>
    <w:rsid w:val="00DD5809"/>
    <w:rsid w:val="00DD5E3C"/>
    <w:rsid w:val="00DD5FF5"/>
    <w:rsid w:val="00DD60ED"/>
    <w:rsid w:val="00DD68C6"/>
    <w:rsid w:val="00DD68D3"/>
    <w:rsid w:val="00DD693C"/>
    <w:rsid w:val="00DD6B36"/>
    <w:rsid w:val="00DD6C5D"/>
    <w:rsid w:val="00DD719C"/>
    <w:rsid w:val="00DD723B"/>
    <w:rsid w:val="00DD74EF"/>
    <w:rsid w:val="00DD7905"/>
    <w:rsid w:val="00DD79CD"/>
    <w:rsid w:val="00DD7E7E"/>
    <w:rsid w:val="00DD7EFA"/>
    <w:rsid w:val="00DE0309"/>
    <w:rsid w:val="00DE06B9"/>
    <w:rsid w:val="00DE0B15"/>
    <w:rsid w:val="00DE0BE8"/>
    <w:rsid w:val="00DE0CAD"/>
    <w:rsid w:val="00DE119E"/>
    <w:rsid w:val="00DE181C"/>
    <w:rsid w:val="00DE1AB4"/>
    <w:rsid w:val="00DE1BF2"/>
    <w:rsid w:val="00DE1C53"/>
    <w:rsid w:val="00DE1E29"/>
    <w:rsid w:val="00DE1EA2"/>
    <w:rsid w:val="00DE25FC"/>
    <w:rsid w:val="00DE27C1"/>
    <w:rsid w:val="00DE2CAE"/>
    <w:rsid w:val="00DE318B"/>
    <w:rsid w:val="00DE31B4"/>
    <w:rsid w:val="00DE3502"/>
    <w:rsid w:val="00DE3631"/>
    <w:rsid w:val="00DE3878"/>
    <w:rsid w:val="00DE3A62"/>
    <w:rsid w:val="00DE3F88"/>
    <w:rsid w:val="00DE3FE7"/>
    <w:rsid w:val="00DE42B2"/>
    <w:rsid w:val="00DE4951"/>
    <w:rsid w:val="00DE507D"/>
    <w:rsid w:val="00DE55DC"/>
    <w:rsid w:val="00DE59CF"/>
    <w:rsid w:val="00DE5F1C"/>
    <w:rsid w:val="00DE61BF"/>
    <w:rsid w:val="00DE61CD"/>
    <w:rsid w:val="00DE6278"/>
    <w:rsid w:val="00DE63F7"/>
    <w:rsid w:val="00DE77C9"/>
    <w:rsid w:val="00DE7A7B"/>
    <w:rsid w:val="00DF005E"/>
    <w:rsid w:val="00DF08E4"/>
    <w:rsid w:val="00DF09F9"/>
    <w:rsid w:val="00DF0CB1"/>
    <w:rsid w:val="00DF0CDD"/>
    <w:rsid w:val="00DF0D46"/>
    <w:rsid w:val="00DF1276"/>
    <w:rsid w:val="00DF1365"/>
    <w:rsid w:val="00DF16E7"/>
    <w:rsid w:val="00DF1DAB"/>
    <w:rsid w:val="00DF238A"/>
    <w:rsid w:val="00DF2492"/>
    <w:rsid w:val="00DF2B16"/>
    <w:rsid w:val="00DF2B9E"/>
    <w:rsid w:val="00DF2D10"/>
    <w:rsid w:val="00DF2E47"/>
    <w:rsid w:val="00DF4031"/>
    <w:rsid w:val="00DF4663"/>
    <w:rsid w:val="00DF48FB"/>
    <w:rsid w:val="00DF4B0E"/>
    <w:rsid w:val="00DF4CCD"/>
    <w:rsid w:val="00DF4F51"/>
    <w:rsid w:val="00DF623B"/>
    <w:rsid w:val="00DF64FD"/>
    <w:rsid w:val="00DF66D0"/>
    <w:rsid w:val="00DF6891"/>
    <w:rsid w:val="00DF6AE8"/>
    <w:rsid w:val="00DF6BD5"/>
    <w:rsid w:val="00DF6CE0"/>
    <w:rsid w:val="00DF6D3E"/>
    <w:rsid w:val="00DF7F13"/>
    <w:rsid w:val="00E00CEF"/>
    <w:rsid w:val="00E00E90"/>
    <w:rsid w:val="00E01743"/>
    <w:rsid w:val="00E02440"/>
    <w:rsid w:val="00E024F1"/>
    <w:rsid w:val="00E02546"/>
    <w:rsid w:val="00E0298A"/>
    <w:rsid w:val="00E02BC7"/>
    <w:rsid w:val="00E02D7E"/>
    <w:rsid w:val="00E036A7"/>
    <w:rsid w:val="00E039CD"/>
    <w:rsid w:val="00E04144"/>
    <w:rsid w:val="00E04B43"/>
    <w:rsid w:val="00E04B65"/>
    <w:rsid w:val="00E04BE8"/>
    <w:rsid w:val="00E04D00"/>
    <w:rsid w:val="00E05181"/>
    <w:rsid w:val="00E051C2"/>
    <w:rsid w:val="00E0537C"/>
    <w:rsid w:val="00E057C8"/>
    <w:rsid w:val="00E059CF"/>
    <w:rsid w:val="00E05B05"/>
    <w:rsid w:val="00E05CC8"/>
    <w:rsid w:val="00E06381"/>
    <w:rsid w:val="00E06C03"/>
    <w:rsid w:val="00E06C1E"/>
    <w:rsid w:val="00E06F19"/>
    <w:rsid w:val="00E06FF5"/>
    <w:rsid w:val="00E0782E"/>
    <w:rsid w:val="00E07A4A"/>
    <w:rsid w:val="00E07D1C"/>
    <w:rsid w:val="00E07EA3"/>
    <w:rsid w:val="00E100E3"/>
    <w:rsid w:val="00E10167"/>
    <w:rsid w:val="00E10275"/>
    <w:rsid w:val="00E10378"/>
    <w:rsid w:val="00E10767"/>
    <w:rsid w:val="00E10A07"/>
    <w:rsid w:val="00E10B40"/>
    <w:rsid w:val="00E10F44"/>
    <w:rsid w:val="00E11007"/>
    <w:rsid w:val="00E11055"/>
    <w:rsid w:val="00E112CB"/>
    <w:rsid w:val="00E112F7"/>
    <w:rsid w:val="00E11493"/>
    <w:rsid w:val="00E11985"/>
    <w:rsid w:val="00E11A33"/>
    <w:rsid w:val="00E12693"/>
    <w:rsid w:val="00E1271F"/>
    <w:rsid w:val="00E12805"/>
    <w:rsid w:val="00E1284A"/>
    <w:rsid w:val="00E12D38"/>
    <w:rsid w:val="00E1367C"/>
    <w:rsid w:val="00E13B2F"/>
    <w:rsid w:val="00E13E5F"/>
    <w:rsid w:val="00E14129"/>
    <w:rsid w:val="00E14276"/>
    <w:rsid w:val="00E14476"/>
    <w:rsid w:val="00E14794"/>
    <w:rsid w:val="00E150EE"/>
    <w:rsid w:val="00E1548C"/>
    <w:rsid w:val="00E15D1E"/>
    <w:rsid w:val="00E162F7"/>
    <w:rsid w:val="00E16378"/>
    <w:rsid w:val="00E165DE"/>
    <w:rsid w:val="00E16834"/>
    <w:rsid w:val="00E16A05"/>
    <w:rsid w:val="00E16CB1"/>
    <w:rsid w:val="00E16E79"/>
    <w:rsid w:val="00E16F0C"/>
    <w:rsid w:val="00E177C8"/>
    <w:rsid w:val="00E17B2C"/>
    <w:rsid w:val="00E17C91"/>
    <w:rsid w:val="00E17D49"/>
    <w:rsid w:val="00E2028F"/>
    <w:rsid w:val="00E203E6"/>
    <w:rsid w:val="00E20C82"/>
    <w:rsid w:val="00E20D8A"/>
    <w:rsid w:val="00E20DB9"/>
    <w:rsid w:val="00E20F69"/>
    <w:rsid w:val="00E20F86"/>
    <w:rsid w:val="00E21075"/>
    <w:rsid w:val="00E21587"/>
    <w:rsid w:val="00E218CA"/>
    <w:rsid w:val="00E21C18"/>
    <w:rsid w:val="00E21D34"/>
    <w:rsid w:val="00E21EF0"/>
    <w:rsid w:val="00E2201B"/>
    <w:rsid w:val="00E220FF"/>
    <w:rsid w:val="00E22747"/>
    <w:rsid w:val="00E22900"/>
    <w:rsid w:val="00E23508"/>
    <w:rsid w:val="00E236C4"/>
    <w:rsid w:val="00E23B48"/>
    <w:rsid w:val="00E23CE9"/>
    <w:rsid w:val="00E243AD"/>
    <w:rsid w:val="00E244CE"/>
    <w:rsid w:val="00E24914"/>
    <w:rsid w:val="00E24C37"/>
    <w:rsid w:val="00E251CE"/>
    <w:rsid w:val="00E2537B"/>
    <w:rsid w:val="00E25382"/>
    <w:rsid w:val="00E2577C"/>
    <w:rsid w:val="00E25B48"/>
    <w:rsid w:val="00E25FAA"/>
    <w:rsid w:val="00E262C7"/>
    <w:rsid w:val="00E26540"/>
    <w:rsid w:val="00E26846"/>
    <w:rsid w:val="00E26ACE"/>
    <w:rsid w:val="00E26C7A"/>
    <w:rsid w:val="00E274CD"/>
    <w:rsid w:val="00E274E7"/>
    <w:rsid w:val="00E27753"/>
    <w:rsid w:val="00E27898"/>
    <w:rsid w:val="00E27A87"/>
    <w:rsid w:val="00E27BEB"/>
    <w:rsid w:val="00E3006A"/>
    <w:rsid w:val="00E302BB"/>
    <w:rsid w:val="00E30A98"/>
    <w:rsid w:val="00E30D7D"/>
    <w:rsid w:val="00E30E09"/>
    <w:rsid w:val="00E31330"/>
    <w:rsid w:val="00E31340"/>
    <w:rsid w:val="00E31A21"/>
    <w:rsid w:val="00E3287D"/>
    <w:rsid w:val="00E32D3D"/>
    <w:rsid w:val="00E3349F"/>
    <w:rsid w:val="00E334FB"/>
    <w:rsid w:val="00E335BB"/>
    <w:rsid w:val="00E336F7"/>
    <w:rsid w:val="00E339AA"/>
    <w:rsid w:val="00E33E42"/>
    <w:rsid w:val="00E3413B"/>
    <w:rsid w:val="00E34515"/>
    <w:rsid w:val="00E3471B"/>
    <w:rsid w:val="00E34758"/>
    <w:rsid w:val="00E34C5B"/>
    <w:rsid w:val="00E34D0B"/>
    <w:rsid w:val="00E35D94"/>
    <w:rsid w:val="00E35F46"/>
    <w:rsid w:val="00E36446"/>
    <w:rsid w:val="00E36512"/>
    <w:rsid w:val="00E36967"/>
    <w:rsid w:val="00E371BB"/>
    <w:rsid w:val="00E37440"/>
    <w:rsid w:val="00E37594"/>
    <w:rsid w:val="00E37867"/>
    <w:rsid w:val="00E37F26"/>
    <w:rsid w:val="00E37F9A"/>
    <w:rsid w:val="00E4093D"/>
    <w:rsid w:val="00E40B44"/>
    <w:rsid w:val="00E40EFC"/>
    <w:rsid w:val="00E419ED"/>
    <w:rsid w:val="00E41B9C"/>
    <w:rsid w:val="00E41DE5"/>
    <w:rsid w:val="00E4299E"/>
    <w:rsid w:val="00E42B57"/>
    <w:rsid w:val="00E42D84"/>
    <w:rsid w:val="00E430D1"/>
    <w:rsid w:val="00E43FFB"/>
    <w:rsid w:val="00E4411A"/>
    <w:rsid w:val="00E44544"/>
    <w:rsid w:val="00E44B83"/>
    <w:rsid w:val="00E44C27"/>
    <w:rsid w:val="00E44F0C"/>
    <w:rsid w:val="00E457E1"/>
    <w:rsid w:val="00E4592D"/>
    <w:rsid w:val="00E4595D"/>
    <w:rsid w:val="00E45C67"/>
    <w:rsid w:val="00E45C87"/>
    <w:rsid w:val="00E465EB"/>
    <w:rsid w:val="00E46687"/>
    <w:rsid w:val="00E4688F"/>
    <w:rsid w:val="00E468FC"/>
    <w:rsid w:val="00E46E70"/>
    <w:rsid w:val="00E472A9"/>
    <w:rsid w:val="00E477FD"/>
    <w:rsid w:val="00E47D0F"/>
    <w:rsid w:val="00E47FDA"/>
    <w:rsid w:val="00E50557"/>
    <w:rsid w:val="00E50D12"/>
    <w:rsid w:val="00E513C9"/>
    <w:rsid w:val="00E51FB3"/>
    <w:rsid w:val="00E522AC"/>
    <w:rsid w:val="00E5232E"/>
    <w:rsid w:val="00E53DA7"/>
    <w:rsid w:val="00E53FB1"/>
    <w:rsid w:val="00E5414A"/>
    <w:rsid w:val="00E5437F"/>
    <w:rsid w:val="00E54450"/>
    <w:rsid w:val="00E54658"/>
    <w:rsid w:val="00E548E2"/>
    <w:rsid w:val="00E54EB1"/>
    <w:rsid w:val="00E54FE9"/>
    <w:rsid w:val="00E550ED"/>
    <w:rsid w:val="00E5521E"/>
    <w:rsid w:val="00E55444"/>
    <w:rsid w:val="00E556F7"/>
    <w:rsid w:val="00E55C00"/>
    <w:rsid w:val="00E55D2D"/>
    <w:rsid w:val="00E56269"/>
    <w:rsid w:val="00E562B6"/>
    <w:rsid w:val="00E562D5"/>
    <w:rsid w:val="00E566F4"/>
    <w:rsid w:val="00E566FD"/>
    <w:rsid w:val="00E569C8"/>
    <w:rsid w:val="00E571E2"/>
    <w:rsid w:val="00E57389"/>
    <w:rsid w:val="00E576C6"/>
    <w:rsid w:val="00E57A7A"/>
    <w:rsid w:val="00E57E64"/>
    <w:rsid w:val="00E60461"/>
    <w:rsid w:val="00E60858"/>
    <w:rsid w:val="00E608E5"/>
    <w:rsid w:val="00E60A2D"/>
    <w:rsid w:val="00E60E79"/>
    <w:rsid w:val="00E615AB"/>
    <w:rsid w:val="00E618F4"/>
    <w:rsid w:val="00E6222F"/>
    <w:rsid w:val="00E624F0"/>
    <w:rsid w:val="00E62690"/>
    <w:rsid w:val="00E6297F"/>
    <w:rsid w:val="00E62EF5"/>
    <w:rsid w:val="00E632C0"/>
    <w:rsid w:val="00E635C6"/>
    <w:rsid w:val="00E640F3"/>
    <w:rsid w:val="00E64387"/>
    <w:rsid w:val="00E643E0"/>
    <w:rsid w:val="00E643ED"/>
    <w:rsid w:val="00E64588"/>
    <w:rsid w:val="00E64B33"/>
    <w:rsid w:val="00E64E3D"/>
    <w:rsid w:val="00E651A8"/>
    <w:rsid w:val="00E65343"/>
    <w:rsid w:val="00E655C5"/>
    <w:rsid w:val="00E6575C"/>
    <w:rsid w:val="00E65B5B"/>
    <w:rsid w:val="00E65D30"/>
    <w:rsid w:val="00E65DB0"/>
    <w:rsid w:val="00E66270"/>
    <w:rsid w:val="00E66299"/>
    <w:rsid w:val="00E66673"/>
    <w:rsid w:val="00E66C6A"/>
    <w:rsid w:val="00E66F26"/>
    <w:rsid w:val="00E6711F"/>
    <w:rsid w:val="00E67570"/>
    <w:rsid w:val="00E67779"/>
    <w:rsid w:val="00E678C9"/>
    <w:rsid w:val="00E67B35"/>
    <w:rsid w:val="00E70484"/>
    <w:rsid w:val="00E7091E"/>
    <w:rsid w:val="00E70D64"/>
    <w:rsid w:val="00E70F24"/>
    <w:rsid w:val="00E710F5"/>
    <w:rsid w:val="00E71131"/>
    <w:rsid w:val="00E713BD"/>
    <w:rsid w:val="00E714FD"/>
    <w:rsid w:val="00E718E0"/>
    <w:rsid w:val="00E71A05"/>
    <w:rsid w:val="00E71EAA"/>
    <w:rsid w:val="00E71F35"/>
    <w:rsid w:val="00E7206B"/>
    <w:rsid w:val="00E722AD"/>
    <w:rsid w:val="00E728C4"/>
    <w:rsid w:val="00E730A9"/>
    <w:rsid w:val="00E7398E"/>
    <w:rsid w:val="00E73DEA"/>
    <w:rsid w:val="00E75042"/>
    <w:rsid w:val="00E75283"/>
    <w:rsid w:val="00E7531A"/>
    <w:rsid w:val="00E75909"/>
    <w:rsid w:val="00E75E82"/>
    <w:rsid w:val="00E7631F"/>
    <w:rsid w:val="00E76555"/>
    <w:rsid w:val="00E8039D"/>
    <w:rsid w:val="00E8061F"/>
    <w:rsid w:val="00E8149C"/>
    <w:rsid w:val="00E8161D"/>
    <w:rsid w:val="00E819AA"/>
    <w:rsid w:val="00E8227B"/>
    <w:rsid w:val="00E82AC0"/>
    <w:rsid w:val="00E82D70"/>
    <w:rsid w:val="00E82FD9"/>
    <w:rsid w:val="00E838B4"/>
    <w:rsid w:val="00E83B39"/>
    <w:rsid w:val="00E83EB0"/>
    <w:rsid w:val="00E83EB7"/>
    <w:rsid w:val="00E8408B"/>
    <w:rsid w:val="00E84544"/>
    <w:rsid w:val="00E84F68"/>
    <w:rsid w:val="00E850F6"/>
    <w:rsid w:val="00E85290"/>
    <w:rsid w:val="00E852BF"/>
    <w:rsid w:val="00E857BF"/>
    <w:rsid w:val="00E863A9"/>
    <w:rsid w:val="00E86C32"/>
    <w:rsid w:val="00E86E9C"/>
    <w:rsid w:val="00E87078"/>
    <w:rsid w:val="00E87356"/>
    <w:rsid w:val="00E8751A"/>
    <w:rsid w:val="00E875E6"/>
    <w:rsid w:val="00E87794"/>
    <w:rsid w:val="00E8782F"/>
    <w:rsid w:val="00E8790F"/>
    <w:rsid w:val="00E87D4D"/>
    <w:rsid w:val="00E87E38"/>
    <w:rsid w:val="00E87F5A"/>
    <w:rsid w:val="00E87FAE"/>
    <w:rsid w:val="00E90115"/>
    <w:rsid w:val="00E90234"/>
    <w:rsid w:val="00E903D2"/>
    <w:rsid w:val="00E90730"/>
    <w:rsid w:val="00E9079B"/>
    <w:rsid w:val="00E90F11"/>
    <w:rsid w:val="00E91D83"/>
    <w:rsid w:val="00E91F1F"/>
    <w:rsid w:val="00E92409"/>
    <w:rsid w:val="00E9260B"/>
    <w:rsid w:val="00E9277E"/>
    <w:rsid w:val="00E928A7"/>
    <w:rsid w:val="00E92933"/>
    <w:rsid w:val="00E92FB4"/>
    <w:rsid w:val="00E93114"/>
    <w:rsid w:val="00E93483"/>
    <w:rsid w:val="00E9353C"/>
    <w:rsid w:val="00E93604"/>
    <w:rsid w:val="00E936F5"/>
    <w:rsid w:val="00E93B79"/>
    <w:rsid w:val="00E93D8F"/>
    <w:rsid w:val="00E93FA0"/>
    <w:rsid w:val="00E9418D"/>
    <w:rsid w:val="00E941DB"/>
    <w:rsid w:val="00E946C3"/>
    <w:rsid w:val="00E948A9"/>
    <w:rsid w:val="00E9492F"/>
    <w:rsid w:val="00E94CD3"/>
    <w:rsid w:val="00E95317"/>
    <w:rsid w:val="00E956A1"/>
    <w:rsid w:val="00E95A5F"/>
    <w:rsid w:val="00E96569"/>
    <w:rsid w:val="00E96925"/>
    <w:rsid w:val="00E9722C"/>
    <w:rsid w:val="00E974B9"/>
    <w:rsid w:val="00E97D54"/>
    <w:rsid w:val="00E97D7B"/>
    <w:rsid w:val="00EA0208"/>
    <w:rsid w:val="00EA038B"/>
    <w:rsid w:val="00EA0A6D"/>
    <w:rsid w:val="00EA0E22"/>
    <w:rsid w:val="00EA0EB1"/>
    <w:rsid w:val="00EA1973"/>
    <w:rsid w:val="00EA19C4"/>
    <w:rsid w:val="00EA1F23"/>
    <w:rsid w:val="00EA1FEA"/>
    <w:rsid w:val="00EA285A"/>
    <w:rsid w:val="00EA29FD"/>
    <w:rsid w:val="00EA2A08"/>
    <w:rsid w:val="00EA3113"/>
    <w:rsid w:val="00EA32F2"/>
    <w:rsid w:val="00EA33E0"/>
    <w:rsid w:val="00EA378B"/>
    <w:rsid w:val="00EA37F3"/>
    <w:rsid w:val="00EA3960"/>
    <w:rsid w:val="00EA3A5A"/>
    <w:rsid w:val="00EA4147"/>
    <w:rsid w:val="00EA4226"/>
    <w:rsid w:val="00EA4456"/>
    <w:rsid w:val="00EA4ADC"/>
    <w:rsid w:val="00EA4B61"/>
    <w:rsid w:val="00EA4C34"/>
    <w:rsid w:val="00EA4C4B"/>
    <w:rsid w:val="00EA501B"/>
    <w:rsid w:val="00EA52C7"/>
    <w:rsid w:val="00EA5953"/>
    <w:rsid w:val="00EA617B"/>
    <w:rsid w:val="00EA6A98"/>
    <w:rsid w:val="00EA7299"/>
    <w:rsid w:val="00EA7679"/>
    <w:rsid w:val="00EA7A14"/>
    <w:rsid w:val="00EA7C3E"/>
    <w:rsid w:val="00EB0334"/>
    <w:rsid w:val="00EB09B7"/>
    <w:rsid w:val="00EB0DD6"/>
    <w:rsid w:val="00EB11A6"/>
    <w:rsid w:val="00EB17B6"/>
    <w:rsid w:val="00EB1912"/>
    <w:rsid w:val="00EB19ED"/>
    <w:rsid w:val="00EB1ACE"/>
    <w:rsid w:val="00EB1EED"/>
    <w:rsid w:val="00EB20F5"/>
    <w:rsid w:val="00EB24B5"/>
    <w:rsid w:val="00EB24C5"/>
    <w:rsid w:val="00EB2710"/>
    <w:rsid w:val="00EB28EE"/>
    <w:rsid w:val="00EB2C46"/>
    <w:rsid w:val="00EB3523"/>
    <w:rsid w:val="00EB3DC9"/>
    <w:rsid w:val="00EB3E5B"/>
    <w:rsid w:val="00EB40A6"/>
    <w:rsid w:val="00EB4139"/>
    <w:rsid w:val="00EB448B"/>
    <w:rsid w:val="00EB4510"/>
    <w:rsid w:val="00EB4CBE"/>
    <w:rsid w:val="00EB50EA"/>
    <w:rsid w:val="00EB5536"/>
    <w:rsid w:val="00EB5752"/>
    <w:rsid w:val="00EB5972"/>
    <w:rsid w:val="00EB5D47"/>
    <w:rsid w:val="00EB5D4C"/>
    <w:rsid w:val="00EB716F"/>
    <w:rsid w:val="00EB7440"/>
    <w:rsid w:val="00EC013C"/>
    <w:rsid w:val="00EC022C"/>
    <w:rsid w:val="00EC0414"/>
    <w:rsid w:val="00EC07CA"/>
    <w:rsid w:val="00EC08D3"/>
    <w:rsid w:val="00EC0D8A"/>
    <w:rsid w:val="00EC128D"/>
    <w:rsid w:val="00EC187C"/>
    <w:rsid w:val="00EC1F2F"/>
    <w:rsid w:val="00EC206D"/>
    <w:rsid w:val="00EC226E"/>
    <w:rsid w:val="00EC22D6"/>
    <w:rsid w:val="00EC294E"/>
    <w:rsid w:val="00EC29EB"/>
    <w:rsid w:val="00EC2E8C"/>
    <w:rsid w:val="00EC3069"/>
    <w:rsid w:val="00EC3479"/>
    <w:rsid w:val="00EC36AC"/>
    <w:rsid w:val="00EC37E2"/>
    <w:rsid w:val="00EC3E6E"/>
    <w:rsid w:val="00EC4168"/>
    <w:rsid w:val="00EC4212"/>
    <w:rsid w:val="00EC43C5"/>
    <w:rsid w:val="00EC4986"/>
    <w:rsid w:val="00EC4DEB"/>
    <w:rsid w:val="00EC4F0E"/>
    <w:rsid w:val="00EC4F17"/>
    <w:rsid w:val="00EC5143"/>
    <w:rsid w:val="00EC6AEA"/>
    <w:rsid w:val="00EC6C54"/>
    <w:rsid w:val="00EC6D84"/>
    <w:rsid w:val="00EC729E"/>
    <w:rsid w:val="00EC72E4"/>
    <w:rsid w:val="00EC7BCA"/>
    <w:rsid w:val="00ED0128"/>
    <w:rsid w:val="00ED0160"/>
    <w:rsid w:val="00ED03AF"/>
    <w:rsid w:val="00ED03BB"/>
    <w:rsid w:val="00ED03C2"/>
    <w:rsid w:val="00ED05B8"/>
    <w:rsid w:val="00ED06D7"/>
    <w:rsid w:val="00ED0C70"/>
    <w:rsid w:val="00ED13A5"/>
    <w:rsid w:val="00ED13AC"/>
    <w:rsid w:val="00ED1571"/>
    <w:rsid w:val="00ED189A"/>
    <w:rsid w:val="00ED1C06"/>
    <w:rsid w:val="00ED1D82"/>
    <w:rsid w:val="00ED1D86"/>
    <w:rsid w:val="00ED1F40"/>
    <w:rsid w:val="00ED21F8"/>
    <w:rsid w:val="00ED22FB"/>
    <w:rsid w:val="00ED2BFA"/>
    <w:rsid w:val="00ED2CE9"/>
    <w:rsid w:val="00ED2EDD"/>
    <w:rsid w:val="00ED2FDA"/>
    <w:rsid w:val="00ED3AD9"/>
    <w:rsid w:val="00ED3C21"/>
    <w:rsid w:val="00ED3EDA"/>
    <w:rsid w:val="00ED3F30"/>
    <w:rsid w:val="00ED3FA6"/>
    <w:rsid w:val="00ED4051"/>
    <w:rsid w:val="00ED4206"/>
    <w:rsid w:val="00ED447C"/>
    <w:rsid w:val="00ED47C8"/>
    <w:rsid w:val="00ED5540"/>
    <w:rsid w:val="00ED5C2C"/>
    <w:rsid w:val="00ED5CFC"/>
    <w:rsid w:val="00ED5FB4"/>
    <w:rsid w:val="00ED62A9"/>
    <w:rsid w:val="00ED68FD"/>
    <w:rsid w:val="00ED6957"/>
    <w:rsid w:val="00ED69E3"/>
    <w:rsid w:val="00ED6BEF"/>
    <w:rsid w:val="00ED70AD"/>
    <w:rsid w:val="00ED7518"/>
    <w:rsid w:val="00ED7552"/>
    <w:rsid w:val="00ED7562"/>
    <w:rsid w:val="00EE0173"/>
    <w:rsid w:val="00EE02C7"/>
    <w:rsid w:val="00EE04F9"/>
    <w:rsid w:val="00EE051F"/>
    <w:rsid w:val="00EE0C88"/>
    <w:rsid w:val="00EE0CAA"/>
    <w:rsid w:val="00EE1096"/>
    <w:rsid w:val="00EE10A1"/>
    <w:rsid w:val="00EE147B"/>
    <w:rsid w:val="00EE14D8"/>
    <w:rsid w:val="00EE193D"/>
    <w:rsid w:val="00EE1995"/>
    <w:rsid w:val="00EE19DE"/>
    <w:rsid w:val="00EE1CCD"/>
    <w:rsid w:val="00EE20F3"/>
    <w:rsid w:val="00EE21E5"/>
    <w:rsid w:val="00EE2597"/>
    <w:rsid w:val="00EE26FC"/>
    <w:rsid w:val="00EE2A92"/>
    <w:rsid w:val="00EE2C4F"/>
    <w:rsid w:val="00EE36C1"/>
    <w:rsid w:val="00EE38A0"/>
    <w:rsid w:val="00EE4344"/>
    <w:rsid w:val="00EE4405"/>
    <w:rsid w:val="00EE493E"/>
    <w:rsid w:val="00EE4CFF"/>
    <w:rsid w:val="00EE4F79"/>
    <w:rsid w:val="00EE509E"/>
    <w:rsid w:val="00EE5424"/>
    <w:rsid w:val="00EE5652"/>
    <w:rsid w:val="00EE5A01"/>
    <w:rsid w:val="00EE5FBB"/>
    <w:rsid w:val="00EE6122"/>
    <w:rsid w:val="00EE63FD"/>
    <w:rsid w:val="00EE6461"/>
    <w:rsid w:val="00EE66BA"/>
    <w:rsid w:val="00EE6CCA"/>
    <w:rsid w:val="00EE6DC1"/>
    <w:rsid w:val="00EE78AC"/>
    <w:rsid w:val="00EE7F14"/>
    <w:rsid w:val="00EF0138"/>
    <w:rsid w:val="00EF0198"/>
    <w:rsid w:val="00EF06F4"/>
    <w:rsid w:val="00EF0DAF"/>
    <w:rsid w:val="00EF0E69"/>
    <w:rsid w:val="00EF0F7B"/>
    <w:rsid w:val="00EF10F4"/>
    <w:rsid w:val="00EF1227"/>
    <w:rsid w:val="00EF14BD"/>
    <w:rsid w:val="00EF150F"/>
    <w:rsid w:val="00EF1B22"/>
    <w:rsid w:val="00EF1F43"/>
    <w:rsid w:val="00EF2180"/>
    <w:rsid w:val="00EF23C1"/>
    <w:rsid w:val="00EF2822"/>
    <w:rsid w:val="00EF2CDE"/>
    <w:rsid w:val="00EF30A8"/>
    <w:rsid w:val="00EF31B0"/>
    <w:rsid w:val="00EF35AA"/>
    <w:rsid w:val="00EF3974"/>
    <w:rsid w:val="00EF39AB"/>
    <w:rsid w:val="00EF3D8B"/>
    <w:rsid w:val="00EF425B"/>
    <w:rsid w:val="00EF4427"/>
    <w:rsid w:val="00EF47F3"/>
    <w:rsid w:val="00EF4AE3"/>
    <w:rsid w:val="00EF4C02"/>
    <w:rsid w:val="00EF5281"/>
    <w:rsid w:val="00EF538E"/>
    <w:rsid w:val="00EF5640"/>
    <w:rsid w:val="00EF6B09"/>
    <w:rsid w:val="00EF6F96"/>
    <w:rsid w:val="00EF7318"/>
    <w:rsid w:val="00EF7344"/>
    <w:rsid w:val="00EF7472"/>
    <w:rsid w:val="00EF74FB"/>
    <w:rsid w:val="00EF7642"/>
    <w:rsid w:val="00EF7691"/>
    <w:rsid w:val="00EF7F59"/>
    <w:rsid w:val="00F0028F"/>
    <w:rsid w:val="00F00A7F"/>
    <w:rsid w:val="00F00AEE"/>
    <w:rsid w:val="00F00B55"/>
    <w:rsid w:val="00F00D63"/>
    <w:rsid w:val="00F00FFE"/>
    <w:rsid w:val="00F0119E"/>
    <w:rsid w:val="00F0181F"/>
    <w:rsid w:val="00F0183B"/>
    <w:rsid w:val="00F019AD"/>
    <w:rsid w:val="00F019E6"/>
    <w:rsid w:val="00F01C9D"/>
    <w:rsid w:val="00F01D8C"/>
    <w:rsid w:val="00F01E12"/>
    <w:rsid w:val="00F01E81"/>
    <w:rsid w:val="00F01FA3"/>
    <w:rsid w:val="00F01FB5"/>
    <w:rsid w:val="00F020AB"/>
    <w:rsid w:val="00F023AC"/>
    <w:rsid w:val="00F0264D"/>
    <w:rsid w:val="00F027C1"/>
    <w:rsid w:val="00F02841"/>
    <w:rsid w:val="00F02D08"/>
    <w:rsid w:val="00F030F9"/>
    <w:rsid w:val="00F03153"/>
    <w:rsid w:val="00F03C93"/>
    <w:rsid w:val="00F03CC3"/>
    <w:rsid w:val="00F03DC2"/>
    <w:rsid w:val="00F0414F"/>
    <w:rsid w:val="00F042D3"/>
    <w:rsid w:val="00F04BDF"/>
    <w:rsid w:val="00F04D1E"/>
    <w:rsid w:val="00F04E57"/>
    <w:rsid w:val="00F0537E"/>
    <w:rsid w:val="00F05D54"/>
    <w:rsid w:val="00F063E6"/>
    <w:rsid w:val="00F064D2"/>
    <w:rsid w:val="00F0677D"/>
    <w:rsid w:val="00F06BDE"/>
    <w:rsid w:val="00F06CAB"/>
    <w:rsid w:val="00F06E54"/>
    <w:rsid w:val="00F0748C"/>
    <w:rsid w:val="00F07524"/>
    <w:rsid w:val="00F075C0"/>
    <w:rsid w:val="00F07C9D"/>
    <w:rsid w:val="00F07D2B"/>
    <w:rsid w:val="00F07E68"/>
    <w:rsid w:val="00F100BC"/>
    <w:rsid w:val="00F106A9"/>
    <w:rsid w:val="00F106C8"/>
    <w:rsid w:val="00F10920"/>
    <w:rsid w:val="00F10E82"/>
    <w:rsid w:val="00F11149"/>
    <w:rsid w:val="00F112C3"/>
    <w:rsid w:val="00F1154E"/>
    <w:rsid w:val="00F1163A"/>
    <w:rsid w:val="00F11AE3"/>
    <w:rsid w:val="00F12140"/>
    <w:rsid w:val="00F12230"/>
    <w:rsid w:val="00F1230E"/>
    <w:rsid w:val="00F125A4"/>
    <w:rsid w:val="00F1276E"/>
    <w:rsid w:val="00F12BB5"/>
    <w:rsid w:val="00F130A4"/>
    <w:rsid w:val="00F13892"/>
    <w:rsid w:val="00F1391E"/>
    <w:rsid w:val="00F13974"/>
    <w:rsid w:val="00F13C84"/>
    <w:rsid w:val="00F1409C"/>
    <w:rsid w:val="00F14B8E"/>
    <w:rsid w:val="00F14EA5"/>
    <w:rsid w:val="00F1524D"/>
    <w:rsid w:val="00F152C3"/>
    <w:rsid w:val="00F1536A"/>
    <w:rsid w:val="00F157A1"/>
    <w:rsid w:val="00F157A8"/>
    <w:rsid w:val="00F15D91"/>
    <w:rsid w:val="00F15DBF"/>
    <w:rsid w:val="00F15FE0"/>
    <w:rsid w:val="00F16231"/>
    <w:rsid w:val="00F1657E"/>
    <w:rsid w:val="00F16740"/>
    <w:rsid w:val="00F16816"/>
    <w:rsid w:val="00F16CBC"/>
    <w:rsid w:val="00F16D77"/>
    <w:rsid w:val="00F16DE5"/>
    <w:rsid w:val="00F17792"/>
    <w:rsid w:val="00F17A93"/>
    <w:rsid w:val="00F17CD8"/>
    <w:rsid w:val="00F17D87"/>
    <w:rsid w:val="00F17F85"/>
    <w:rsid w:val="00F202D1"/>
    <w:rsid w:val="00F206CC"/>
    <w:rsid w:val="00F20760"/>
    <w:rsid w:val="00F20860"/>
    <w:rsid w:val="00F20C1B"/>
    <w:rsid w:val="00F210EB"/>
    <w:rsid w:val="00F21177"/>
    <w:rsid w:val="00F212BB"/>
    <w:rsid w:val="00F21484"/>
    <w:rsid w:val="00F21667"/>
    <w:rsid w:val="00F216BA"/>
    <w:rsid w:val="00F217A6"/>
    <w:rsid w:val="00F217AF"/>
    <w:rsid w:val="00F21ABB"/>
    <w:rsid w:val="00F21C39"/>
    <w:rsid w:val="00F21E70"/>
    <w:rsid w:val="00F2220C"/>
    <w:rsid w:val="00F22620"/>
    <w:rsid w:val="00F22B3F"/>
    <w:rsid w:val="00F22CE2"/>
    <w:rsid w:val="00F22E91"/>
    <w:rsid w:val="00F22FF3"/>
    <w:rsid w:val="00F23305"/>
    <w:rsid w:val="00F233F5"/>
    <w:rsid w:val="00F2376B"/>
    <w:rsid w:val="00F23CC0"/>
    <w:rsid w:val="00F23EA2"/>
    <w:rsid w:val="00F24388"/>
    <w:rsid w:val="00F247A1"/>
    <w:rsid w:val="00F2482F"/>
    <w:rsid w:val="00F24A0B"/>
    <w:rsid w:val="00F2541D"/>
    <w:rsid w:val="00F256F0"/>
    <w:rsid w:val="00F258AF"/>
    <w:rsid w:val="00F25AAA"/>
    <w:rsid w:val="00F25C04"/>
    <w:rsid w:val="00F25EFD"/>
    <w:rsid w:val="00F26DE6"/>
    <w:rsid w:val="00F27562"/>
    <w:rsid w:val="00F27760"/>
    <w:rsid w:val="00F278AD"/>
    <w:rsid w:val="00F27936"/>
    <w:rsid w:val="00F27AAA"/>
    <w:rsid w:val="00F27F36"/>
    <w:rsid w:val="00F30339"/>
    <w:rsid w:val="00F316E4"/>
    <w:rsid w:val="00F31925"/>
    <w:rsid w:val="00F319A1"/>
    <w:rsid w:val="00F319F1"/>
    <w:rsid w:val="00F31D39"/>
    <w:rsid w:val="00F31E1D"/>
    <w:rsid w:val="00F3214C"/>
    <w:rsid w:val="00F32C88"/>
    <w:rsid w:val="00F32DBB"/>
    <w:rsid w:val="00F32DDE"/>
    <w:rsid w:val="00F32ED0"/>
    <w:rsid w:val="00F33631"/>
    <w:rsid w:val="00F336CC"/>
    <w:rsid w:val="00F337F6"/>
    <w:rsid w:val="00F3380E"/>
    <w:rsid w:val="00F3388E"/>
    <w:rsid w:val="00F3489D"/>
    <w:rsid w:val="00F34A74"/>
    <w:rsid w:val="00F34A97"/>
    <w:rsid w:val="00F34AA3"/>
    <w:rsid w:val="00F34AE7"/>
    <w:rsid w:val="00F34DCB"/>
    <w:rsid w:val="00F356E9"/>
    <w:rsid w:val="00F35810"/>
    <w:rsid w:val="00F3623A"/>
    <w:rsid w:val="00F365AE"/>
    <w:rsid w:val="00F367C4"/>
    <w:rsid w:val="00F368BE"/>
    <w:rsid w:val="00F36A64"/>
    <w:rsid w:val="00F36AC1"/>
    <w:rsid w:val="00F36CF8"/>
    <w:rsid w:val="00F3739B"/>
    <w:rsid w:val="00F3751E"/>
    <w:rsid w:val="00F3764A"/>
    <w:rsid w:val="00F37F59"/>
    <w:rsid w:val="00F40615"/>
    <w:rsid w:val="00F4086A"/>
    <w:rsid w:val="00F40A02"/>
    <w:rsid w:val="00F40C9E"/>
    <w:rsid w:val="00F40EEA"/>
    <w:rsid w:val="00F40F57"/>
    <w:rsid w:val="00F410D0"/>
    <w:rsid w:val="00F41780"/>
    <w:rsid w:val="00F42111"/>
    <w:rsid w:val="00F4278D"/>
    <w:rsid w:val="00F437B5"/>
    <w:rsid w:val="00F43902"/>
    <w:rsid w:val="00F43A2F"/>
    <w:rsid w:val="00F43EA2"/>
    <w:rsid w:val="00F43EF0"/>
    <w:rsid w:val="00F44032"/>
    <w:rsid w:val="00F440A9"/>
    <w:rsid w:val="00F441A1"/>
    <w:rsid w:val="00F445AE"/>
    <w:rsid w:val="00F44A3F"/>
    <w:rsid w:val="00F44A6F"/>
    <w:rsid w:val="00F44CD8"/>
    <w:rsid w:val="00F44EF0"/>
    <w:rsid w:val="00F452CC"/>
    <w:rsid w:val="00F453E6"/>
    <w:rsid w:val="00F455B6"/>
    <w:rsid w:val="00F45B67"/>
    <w:rsid w:val="00F45E63"/>
    <w:rsid w:val="00F45F6F"/>
    <w:rsid w:val="00F465C4"/>
    <w:rsid w:val="00F46752"/>
    <w:rsid w:val="00F46FC5"/>
    <w:rsid w:val="00F474D8"/>
    <w:rsid w:val="00F477D3"/>
    <w:rsid w:val="00F47971"/>
    <w:rsid w:val="00F47C1E"/>
    <w:rsid w:val="00F47EA4"/>
    <w:rsid w:val="00F50042"/>
    <w:rsid w:val="00F50461"/>
    <w:rsid w:val="00F506D2"/>
    <w:rsid w:val="00F50D0C"/>
    <w:rsid w:val="00F51372"/>
    <w:rsid w:val="00F51B41"/>
    <w:rsid w:val="00F51C77"/>
    <w:rsid w:val="00F51D8E"/>
    <w:rsid w:val="00F52E41"/>
    <w:rsid w:val="00F5300D"/>
    <w:rsid w:val="00F53042"/>
    <w:rsid w:val="00F53188"/>
    <w:rsid w:val="00F532DA"/>
    <w:rsid w:val="00F533BE"/>
    <w:rsid w:val="00F53424"/>
    <w:rsid w:val="00F5352D"/>
    <w:rsid w:val="00F53CD4"/>
    <w:rsid w:val="00F53D8C"/>
    <w:rsid w:val="00F53E65"/>
    <w:rsid w:val="00F53FED"/>
    <w:rsid w:val="00F54136"/>
    <w:rsid w:val="00F545D5"/>
    <w:rsid w:val="00F5477F"/>
    <w:rsid w:val="00F54BD8"/>
    <w:rsid w:val="00F55513"/>
    <w:rsid w:val="00F556DB"/>
    <w:rsid w:val="00F55D12"/>
    <w:rsid w:val="00F560FD"/>
    <w:rsid w:val="00F5645B"/>
    <w:rsid w:val="00F564E7"/>
    <w:rsid w:val="00F5672A"/>
    <w:rsid w:val="00F568A1"/>
    <w:rsid w:val="00F56946"/>
    <w:rsid w:val="00F56BF1"/>
    <w:rsid w:val="00F56F38"/>
    <w:rsid w:val="00F57296"/>
    <w:rsid w:val="00F5792B"/>
    <w:rsid w:val="00F579B4"/>
    <w:rsid w:val="00F57FCC"/>
    <w:rsid w:val="00F6054B"/>
    <w:rsid w:val="00F60CD6"/>
    <w:rsid w:val="00F60DF1"/>
    <w:rsid w:val="00F60F21"/>
    <w:rsid w:val="00F61411"/>
    <w:rsid w:val="00F616C1"/>
    <w:rsid w:val="00F61928"/>
    <w:rsid w:val="00F622A1"/>
    <w:rsid w:val="00F622DF"/>
    <w:rsid w:val="00F62432"/>
    <w:rsid w:val="00F6275A"/>
    <w:rsid w:val="00F6299C"/>
    <w:rsid w:val="00F62CED"/>
    <w:rsid w:val="00F6324B"/>
    <w:rsid w:val="00F63BC6"/>
    <w:rsid w:val="00F64138"/>
    <w:rsid w:val="00F6478D"/>
    <w:rsid w:val="00F64D5E"/>
    <w:rsid w:val="00F64DDC"/>
    <w:rsid w:val="00F6503F"/>
    <w:rsid w:val="00F652C7"/>
    <w:rsid w:val="00F65597"/>
    <w:rsid w:val="00F657AC"/>
    <w:rsid w:val="00F65BAF"/>
    <w:rsid w:val="00F65C9B"/>
    <w:rsid w:val="00F6619E"/>
    <w:rsid w:val="00F665CB"/>
    <w:rsid w:val="00F66979"/>
    <w:rsid w:val="00F66A85"/>
    <w:rsid w:val="00F66B64"/>
    <w:rsid w:val="00F66F21"/>
    <w:rsid w:val="00F6777E"/>
    <w:rsid w:val="00F67997"/>
    <w:rsid w:val="00F67A4F"/>
    <w:rsid w:val="00F7007F"/>
    <w:rsid w:val="00F70155"/>
    <w:rsid w:val="00F70AB5"/>
    <w:rsid w:val="00F70CCC"/>
    <w:rsid w:val="00F70DE2"/>
    <w:rsid w:val="00F713FC"/>
    <w:rsid w:val="00F71487"/>
    <w:rsid w:val="00F718C5"/>
    <w:rsid w:val="00F71A60"/>
    <w:rsid w:val="00F71AEF"/>
    <w:rsid w:val="00F71D61"/>
    <w:rsid w:val="00F71F44"/>
    <w:rsid w:val="00F72021"/>
    <w:rsid w:val="00F72534"/>
    <w:rsid w:val="00F72CF3"/>
    <w:rsid w:val="00F72D2D"/>
    <w:rsid w:val="00F73355"/>
    <w:rsid w:val="00F73669"/>
    <w:rsid w:val="00F737C4"/>
    <w:rsid w:val="00F73E3D"/>
    <w:rsid w:val="00F73EFB"/>
    <w:rsid w:val="00F7404D"/>
    <w:rsid w:val="00F7406C"/>
    <w:rsid w:val="00F740D2"/>
    <w:rsid w:val="00F7425C"/>
    <w:rsid w:val="00F74305"/>
    <w:rsid w:val="00F74577"/>
    <w:rsid w:val="00F74BED"/>
    <w:rsid w:val="00F74DD2"/>
    <w:rsid w:val="00F75052"/>
    <w:rsid w:val="00F7544E"/>
    <w:rsid w:val="00F7558B"/>
    <w:rsid w:val="00F75747"/>
    <w:rsid w:val="00F75ACB"/>
    <w:rsid w:val="00F75BD8"/>
    <w:rsid w:val="00F76319"/>
    <w:rsid w:val="00F764DE"/>
    <w:rsid w:val="00F7684E"/>
    <w:rsid w:val="00F77188"/>
    <w:rsid w:val="00F774B1"/>
    <w:rsid w:val="00F779C8"/>
    <w:rsid w:val="00F77A8A"/>
    <w:rsid w:val="00F77F60"/>
    <w:rsid w:val="00F80074"/>
    <w:rsid w:val="00F801AB"/>
    <w:rsid w:val="00F803FF"/>
    <w:rsid w:val="00F80D7F"/>
    <w:rsid w:val="00F810DD"/>
    <w:rsid w:val="00F813EB"/>
    <w:rsid w:val="00F814C4"/>
    <w:rsid w:val="00F814D8"/>
    <w:rsid w:val="00F8153A"/>
    <w:rsid w:val="00F81556"/>
    <w:rsid w:val="00F8198C"/>
    <w:rsid w:val="00F81D68"/>
    <w:rsid w:val="00F81DAC"/>
    <w:rsid w:val="00F828C3"/>
    <w:rsid w:val="00F82CCD"/>
    <w:rsid w:val="00F82F8C"/>
    <w:rsid w:val="00F83C8D"/>
    <w:rsid w:val="00F84077"/>
    <w:rsid w:val="00F84109"/>
    <w:rsid w:val="00F84576"/>
    <w:rsid w:val="00F8484A"/>
    <w:rsid w:val="00F84FA4"/>
    <w:rsid w:val="00F851BD"/>
    <w:rsid w:val="00F8538A"/>
    <w:rsid w:val="00F855A8"/>
    <w:rsid w:val="00F85D97"/>
    <w:rsid w:val="00F8684A"/>
    <w:rsid w:val="00F868AF"/>
    <w:rsid w:val="00F86C23"/>
    <w:rsid w:val="00F86D82"/>
    <w:rsid w:val="00F86EBE"/>
    <w:rsid w:val="00F87022"/>
    <w:rsid w:val="00F87032"/>
    <w:rsid w:val="00F879FB"/>
    <w:rsid w:val="00F87B04"/>
    <w:rsid w:val="00F9009B"/>
    <w:rsid w:val="00F901AB"/>
    <w:rsid w:val="00F90790"/>
    <w:rsid w:val="00F90BA5"/>
    <w:rsid w:val="00F90D99"/>
    <w:rsid w:val="00F90F19"/>
    <w:rsid w:val="00F91B00"/>
    <w:rsid w:val="00F91B82"/>
    <w:rsid w:val="00F91E45"/>
    <w:rsid w:val="00F92490"/>
    <w:rsid w:val="00F9256F"/>
    <w:rsid w:val="00F93C8E"/>
    <w:rsid w:val="00F94605"/>
    <w:rsid w:val="00F949E7"/>
    <w:rsid w:val="00F94F23"/>
    <w:rsid w:val="00F95131"/>
    <w:rsid w:val="00F95615"/>
    <w:rsid w:val="00F95753"/>
    <w:rsid w:val="00F95B9D"/>
    <w:rsid w:val="00F95CD8"/>
    <w:rsid w:val="00F961D3"/>
    <w:rsid w:val="00F96559"/>
    <w:rsid w:val="00F967C7"/>
    <w:rsid w:val="00F968C8"/>
    <w:rsid w:val="00F96959"/>
    <w:rsid w:val="00F96DDF"/>
    <w:rsid w:val="00F96EBA"/>
    <w:rsid w:val="00F9702E"/>
    <w:rsid w:val="00F971E0"/>
    <w:rsid w:val="00F9723E"/>
    <w:rsid w:val="00F97D91"/>
    <w:rsid w:val="00F97E23"/>
    <w:rsid w:val="00FA0870"/>
    <w:rsid w:val="00FA0B13"/>
    <w:rsid w:val="00FA0E75"/>
    <w:rsid w:val="00FA1925"/>
    <w:rsid w:val="00FA1C42"/>
    <w:rsid w:val="00FA1CE9"/>
    <w:rsid w:val="00FA1D03"/>
    <w:rsid w:val="00FA21CC"/>
    <w:rsid w:val="00FA2233"/>
    <w:rsid w:val="00FA24CE"/>
    <w:rsid w:val="00FA2A08"/>
    <w:rsid w:val="00FA2B88"/>
    <w:rsid w:val="00FA2C5F"/>
    <w:rsid w:val="00FA2EC7"/>
    <w:rsid w:val="00FA303C"/>
    <w:rsid w:val="00FA3077"/>
    <w:rsid w:val="00FA3445"/>
    <w:rsid w:val="00FA391D"/>
    <w:rsid w:val="00FA3967"/>
    <w:rsid w:val="00FA3FB6"/>
    <w:rsid w:val="00FA4048"/>
    <w:rsid w:val="00FA5011"/>
    <w:rsid w:val="00FA56A2"/>
    <w:rsid w:val="00FA587B"/>
    <w:rsid w:val="00FA5A5D"/>
    <w:rsid w:val="00FA5B5A"/>
    <w:rsid w:val="00FA5CE6"/>
    <w:rsid w:val="00FA5F69"/>
    <w:rsid w:val="00FA6456"/>
    <w:rsid w:val="00FA66BD"/>
    <w:rsid w:val="00FA66F1"/>
    <w:rsid w:val="00FA6975"/>
    <w:rsid w:val="00FA6EC9"/>
    <w:rsid w:val="00FA6EE8"/>
    <w:rsid w:val="00FA6FA5"/>
    <w:rsid w:val="00FA727B"/>
    <w:rsid w:val="00FA7682"/>
    <w:rsid w:val="00FA778D"/>
    <w:rsid w:val="00FA7C43"/>
    <w:rsid w:val="00FB001D"/>
    <w:rsid w:val="00FB0145"/>
    <w:rsid w:val="00FB0169"/>
    <w:rsid w:val="00FB040D"/>
    <w:rsid w:val="00FB05AE"/>
    <w:rsid w:val="00FB08F3"/>
    <w:rsid w:val="00FB0D60"/>
    <w:rsid w:val="00FB127E"/>
    <w:rsid w:val="00FB18CA"/>
    <w:rsid w:val="00FB1A9B"/>
    <w:rsid w:val="00FB1D17"/>
    <w:rsid w:val="00FB20DC"/>
    <w:rsid w:val="00FB23AE"/>
    <w:rsid w:val="00FB2D00"/>
    <w:rsid w:val="00FB31B3"/>
    <w:rsid w:val="00FB3347"/>
    <w:rsid w:val="00FB336A"/>
    <w:rsid w:val="00FB3A94"/>
    <w:rsid w:val="00FB3F3B"/>
    <w:rsid w:val="00FB432F"/>
    <w:rsid w:val="00FB4597"/>
    <w:rsid w:val="00FB48FC"/>
    <w:rsid w:val="00FB4B10"/>
    <w:rsid w:val="00FB4C52"/>
    <w:rsid w:val="00FB4C64"/>
    <w:rsid w:val="00FB4DC5"/>
    <w:rsid w:val="00FB4E50"/>
    <w:rsid w:val="00FB5003"/>
    <w:rsid w:val="00FB520B"/>
    <w:rsid w:val="00FB54E7"/>
    <w:rsid w:val="00FB5841"/>
    <w:rsid w:val="00FB62FB"/>
    <w:rsid w:val="00FB6359"/>
    <w:rsid w:val="00FB63F1"/>
    <w:rsid w:val="00FB699F"/>
    <w:rsid w:val="00FB6AD8"/>
    <w:rsid w:val="00FB70DB"/>
    <w:rsid w:val="00FB7165"/>
    <w:rsid w:val="00FB73E5"/>
    <w:rsid w:val="00FB7447"/>
    <w:rsid w:val="00FB75BC"/>
    <w:rsid w:val="00FB78DB"/>
    <w:rsid w:val="00FB7AAF"/>
    <w:rsid w:val="00FB7CD0"/>
    <w:rsid w:val="00FB7E21"/>
    <w:rsid w:val="00FB7EDC"/>
    <w:rsid w:val="00FC033A"/>
    <w:rsid w:val="00FC0599"/>
    <w:rsid w:val="00FC07FF"/>
    <w:rsid w:val="00FC096A"/>
    <w:rsid w:val="00FC1205"/>
    <w:rsid w:val="00FC175B"/>
    <w:rsid w:val="00FC1B19"/>
    <w:rsid w:val="00FC1CCA"/>
    <w:rsid w:val="00FC205A"/>
    <w:rsid w:val="00FC2817"/>
    <w:rsid w:val="00FC31AB"/>
    <w:rsid w:val="00FC33CF"/>
    <w:rsid w:val="00FC3574"/>
    <w:rsid w:val="00FC3ADF"/>
    <w:rsid w:val="00FC3B85"/>
    <w:rsid w:val="00FC3E97"/>
    <w:rsid w:val="00FC3F76"/>
    <w:rsid w:val="00FC3F82"/>
    <w:rsid w:val="00FC3FBF"/>
    <w:rsid w:val="00FC43DB"/>
    <w:rsid w:val="00FC45EB"/>
    <w:rsid w:val="00FC4D3E"/>
    <w:rsid w:val="00FC4DDA"/>
    <w:rsid w:val="00FC534C"/>
    <w:rsid w:val="00FC5B14"/>
    <w:rsid w:val="00FC603D"/>
    <w:rsid w:val="00FC649E"/>
    <w:rsid w:val="00FC6A44"/>
    <w:rsid w:val="00FC6FEB"/>
    <w:rsid w:val="00FC7178"/>
    <w:rsid w:val="00FC7321"/>
    <w:rsid w:val="00FC7419"/>
    <w:rsid w:val="00FC7555"/>
    <w:rsid w:val="00FC7AC2"/>
    <w:rsid w:val="00FD0148"/>
    <w:rsid w:val="00FD02E8"/>
    <w:rsid w:val="00FD0598"/>
    <w:rsid w:val="00FD062D"/>
    <w:rsid w:val="00FD0744"/>
    <w:rsid w:val="00FD0A3A"/>
    <w:rsid w:val="00FD0B27"/>
    <w:rsid w:val="00FD0E85"/>
    <w:rsid w:val="00FD1032"/>
    <w:rsid w:val="00FD11D5"/>
    <w:rsid w:val="00FD11E5"/>
    <w:rsid w:val="00FD13E5"/>
    <w:rsid w:val="00FD14B4"/>
    <w:rsid w:val="00FD1E8D"/>
    <w:rsid w:val="00FD249A"/>
    <w:rsid w:val="00FD260D"/>
    <w:rsid w:val="00FD284C"/>
    <w:rsid w:val="00FD28B2"/>
    <w:rsid w:val="00FD2CC7"/>
    <w:rsid w:val="00FD329A"/>
    <w:rsid w:val="00FD35F2"/>
    <w:rsid w:val="00FD3A95"/>
    <w:rsid w:val="00FD4223"/>
    <w:rsid w:val="00FD44FB"/>
    <w:rsid w:val="00FD478D"/>
    <w:rsid w:val="00FD47A4"/>
    <w:rsid w:val="00FD4B04"/>
    <w:rsid w:val="00FD4F9E"/>
    <w:rsid w:val="00FD5088"/>
    <w:rsid w:val="00FD50B8"/>
    <w:rsid w:val="00FD55B7"/>
    <w:rsid w:val="00FD58C9"/>
    <w:rsid w:val="00FD5B49"/>
    <w:rsid w:val="00FD62B7"/>
    <w:rsid w:val="00FD663A"/>
    <w:rsid w:val="00FD6AD4"/>
    <w:rsid w:val="00FD6D41"/>
    <w:rsid w:val="00FD6E92"/>
    <w:rsid w:val="00FD6F4F"/>
    <w:rsid w:val="00FD7189"/>
    <w:rsid w:val="00FD7263"/>
    <w:rsid w:val="00FD72EE"/>
    <w:rsid w:val="00FD74A2"/>
    <w:rsid w:val="00FD76C4"/>
    <w:rsid w:val="00FD7B90"/>
    <w:rsid w:val="00FD7D48"/>
    <w:rsid w:val="00FE0457"/>
    <w:rsid w:val="00FE06B7"/>
    <w:rsid w:val="00FE0ABF"/>
    <w:rsid w:val="00FE0C8A"/>
    <w:rsid w:val="00FE1017"/>
    <w:rsid w:val="00FE17B7"/>
    <w:rsid w:val="00FE17EF"/>
    <w:rsid w:val="00FE1E24"/>
    <w:rsid w:val="00FE1EB0"/>
    <w:rsid w:val="00FE2230"/>
    <w:rsid w:val="00FE22E6"/>
    <w:rsid w:val="00FE2DFE"/>
    <w:rsid w:val="00FE3128"/>
    <w:rsid w:val="00FE3434"/>
    <w:rsid w:val="00FE355D"/>
    <w:rsid w:val="00FE39FD"/>
    <w:rsid w:val="00FE3AB5"/>
    <w:rsid w:val="00FE3C33"/>
    <w:rsid w:val="00FE3EC2"/>
    <w:rsid w:val="00FE41D3"/>
    <w:rsid w:val="00FE4422"/>
    <w:rsid w:val="00FE4A07"/>
    <w:rsid w:val="00FE4E0D"/>
    <w:rsid w:val="00FE50AE"/>
    <w:rsid w:val="00FE50CC"/>
    <w:rsid w:val="00FE5224"/>
    <w:rsid w:val="00FE5564"/>
    <w:rsid w:val="00FE5A0D"/>
    <w:rsid w:val="00FE5B92"/>
    <w:rsid w:val="00FE5EA8"/>
    <w:rsid w:val="00FE618D"/>
    <w:rsid w:val="00FE6424"/>
    <w:rsid w:val="00FE648A"/>
    <w:rsid w:val="00FE6757"/>
    <w:rsid w:val="00FE67D7"/>
    <w:rsid w:val="00FE67F1"/>
    <w:rsid w:val="00FE6A44"/>
    <w:rsid w:val="00FE6B0A"/>
    <w:rsid w:val="00FE6EA3"/>
    <w:rsid w:val="00FE70E6"/>
    <w:rsid w:val="00FE737F"/>
    <w:rsid w:val="00FE7B49"/>
    <w:rsid w:val="00FE7B80"/>
    <w:rsid w:val="00FE7B9C"/>
    <w:rsid w:val="00FE7EEF"/>
    <w:rsid w:val="00FF068E"/>
    <w:rsid w:val="00FF0BE2"/>
    <w:rsid w:val="00FF0C0B"/>
    <w:rsid w:val="00FF0F68"/>
    <w:rsid w:val="00FF0F98"/>
    <w:rsid w:val="00FF117B"/>
    <w:rsid w:val="00FF131E"/>
    <w:rsid w:val="00FF16D9"/>
    <w:rsid w:val="00FF1985"/>
    <w:rsid w:val="00FF1E67"/>
    <w:rsid w:val="00FF2698"/>
    <w:rsid w:val="00FF27A5"/>
    <w:rsid w:val="00FF27E1"/>
    <w:rsid w:val="00FF27F9"/>
    <w:rsid w:val="00FF2986"/>
    <w:rsid w:val="00FF2A51"/>
    <w:rsid w:val="00FF2BFD"/>
    <w:rsid w:val="00FF2EFB"/>
    <w:rsid w:val="00FF3250"/>
    <w:rsid w:val="00FF3328"/>
    <w:rsid w:val="00FF3426"/>
    <w:rsid w:val="00FF3AA9"/>
    <w:rsid w:val="00FF3F99"/>
    <w:rsid w:val="00FF40ED"/>
    <w:rsid w:val="00FF482A"/>
    <w:rsid w:val="00FF49F4"/>
    <w:rsid w:val="00FF4AAF"/>
    <w:rsid w:val="00FF550D"/>
    <w:rsid w:val="00FF56FB"/>
    <w:rsid w:val="00FF573E"/>
    <w:rsid w:val="00FF58D1"/>
    <w:rsid w:val="00FF5922"/>
    <w:rsid w:val="00FF5AD7"/>
    <w:rsid w:val="00FF652A"/>
    <w:rsid w:val="00FF659D"/>
    <w:rsid w:val="00FF66F1"/>
    <w:rsid w:val="00FF6990"/>
    <w:rsid w:val="00FF6ABB"/>
    <w:rsid w:val="00FF6B04"/>
    <w:rsid w:val="00FF6EF8"/>
    <w:rsid w:val="00FF7960"/>
    <w:rsid w:val="00FF7979"/>
    <w:rsid w:val="00FF7AD8"/>
    <w:rsid w:val="00FF7C88"/>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0CE8B32B"/>
  <w15:docId w15:val="{3BAD5460-D635-45FB-A849-33AD7AC9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442"/>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2">
    <w:name w:val="heading 2"/>
    <w:basedOn w:val="Normal"/>
    <w:next w:val="Normal"/>
    <w:link w:val="Ttulo2Car"/>
    <w:qFormat/>
    <w:rsid w:val="009130E5"/>
    <w:pPr>
      <w:keepNext/>
      <w:spacing w:before="240" w:after="60" w:line="240" w:lineRule="auto"/>
      <w:jc w:val="left"/>
      <w:outlineLvl w:val="1"/>
    </w:pPr>
    <w:rPr>
      <w:rFonts w:cs="Arial"/>
      <w:b/>
      <w:bCs/>
      <w:i/>
      <w:iCs/>
      <w:sz w:val="28"/>
      <w:szCs w:val="28"/>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4">
    <w:name w:val="heading 4"/>
    <w:basedOn w:val="Normal"/>
    <w:next w:val="Normal"/>
    <w:link w:val="Ttulo4Car"/>
    <w:uiPriority w:val="9"/>
    <w:unhideWhenUsed/>
    <w:qFormat/>
    <w:rsid w:val="0080676E"/>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qFormat/>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FA Fu Car Car1"/>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uiPriority w:val="99"/>
    <w:rsid w:val="00C85395"/>
    <w:pPr>
      <w:tabs>
        <w:tab w:val="center" w:pos="4252"/>
        <w:tab w:val="right" w:pos="8504"/>
      </w:tabs>
    </w:pPr>
    <w:rPr>
      <w:szCs w:val="20"/>
    </w:rPr>
  </w:style>
  <w:style w:type="character" w:customStyle="1" w:styleId="PiedepginaCar">
    <w:name w:val="Pie de página Car"/>
    <w:link w:val="Piedepgina"/>
    <w:uiPriority w:val="99"/>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customStyle="1" w:styleId="centrado">
    <w:name w:val="centrado"/>
    <w:basedOn w:val="Normal"/>
    <w:uiPriority w:val="99"/>
    <w:rsid w:val="0083126C"/>
    <w:pPr>
      <w:spacing w:before="100" w:beforeAutospacing="1" w:after="100" w:afterAutospacing="1" w:line="240" w:lineRule="auto"/>
      <w:jc w:val="left"/>
    </w:pPr>
    <w:rPr>
      <w:rFonts w:ascii="Times New Roman" w:hAnsi="Times New Roman"/>
    </w:rPr>
  </w:style>
  <w:style w:type="character" w:customStyle="1" w:styleId="baj">
    <w:name w:val="b_aj"/>
    <w:basedOn w:val="Fuentedeprrafopredeter"/>
    <w:rsid w:val="0083126C"/>
  </w:style>
  <w:style w:type="paragraph" w:customStyle="1" w:styleId="indentfl1punto5">
    <w:name w:val="indent_fl_1punto5"/>
    <w:basedOn w:val="Normal"/>
    <w:rsid w:val="007D5184"/>
    <w:pPr>
      <w:spacing w:before="100" w:beforeAutospacing="1" w:after="100" w:afterAutospacing="1" w:line="240" w:lineRule="auto"/>
      <w:jc w:val="left"/>
    </w:pPr>
    <w:rPr>
      <w:rFonts w:ascii="Times New Roman" w:hAnsi="Times New Roman"/>
    </w:rPr>
  </w:style>
  <w:style w:type="paragraph" w:customStyle="1" w:styleId="margenizq2punto0margender1punto0">
    <w:name w:val="margen_izq_2punto0_margen_der_1punto0"/>
    <w:basedOn w:val="Normal"/>
    <w:rsid w:val="007D5184"/>
    <w:pPr>
      <w:spacing w:before="100" w:beforeAutospacing="1" w:after="100" w:afterAutospacing="1" w:line="240" w:lineRule="auto"/>
      <w:jc w:val="left"/>
    </w:pPr>
    <w:rPr>
      <w:rFonts w:ascii="Times New Roman" w:hAnsi="Times New Roman"/>
    </w:rPr>
  </w:style>
  <w:style w:type="character" w:customStyle="1" w:styleId="iaj">
    <w:name w:val="i_aj"/>
    <w:basedOn w:val="Fuentedeprrafopredeter"/>
    <w:rsid w:val="007D5184"/>
  </w:style>
  <w:style w:type="character" w:styleId="nfasis">
    <w:name w:val="Emphasis"/>
    <w:uiPriority w:val="20"/>
    <w:qFormat/>
    <w:rsid w:val="009A709A"/>
    <w:rPr>
      <w:i/>
      <w:iCs/>
    </w:rPr>
  </w:style>
  <w:style w:type="paragraph" w:customStyle="1" w:styleId="western">
    <w:name w:val="western"/>
    <w:basedOn w:val="Normal"/>
    <w:rsid w:val="004560D1"/>
    <w:pPr>
      <w:spacing w:before="100" w:beforeAutospacing="1" w:after="100" w:afterAutospacing="1" w:line="240" w:lineRule="auto"/>
      <w:jc w:val="left"/>
    </w:pPr>
    <w:rPr>
      <w:rFonts w:ascii="Times New Roman" w:hAnsi="Times New Roman"/>
    </w:rPr>
  </w:style>
  <w:style w:type="paragraph" w:customStyle="1" w:styleId="Textosinformato1">
    <w:name w:val="Texto sin formato1"/>
    <w:basedOn w:val="Normal"/>
    <w:rsid w:val="00C6282E"/>
    <w:pPr>
      <w:spacing w:line="240" w:lineRule="auto"/>
      <w:jc w:val="left"/>
    </w:pPr>
    <w:rPr>
      <w:rFonts w:ascii="Courier New" w:hAnsi="Courier New"/>
      <w:sz w:val="20"/>
      <w:szCs w:val="20"/>
    </w:rPr>
  </w:style>
  <w:style w:type="paragraph" w:styleId="Listaconvietas">
    <w:name w:val="List Bullet"/>
    <w:basedOn w:val="Normal"/>
    <w:uiPriority w:val="99"/>
    <w:unhideWhenUsed/>
    <w:rsid w:val="00730CA3"/>
    <w:pPr>
      <w:numPr>
        <w:numId w:val="11"/>
      </w:numPr>
      <w:contextualSpacing/>
    </w:pPr>
  </w:style>
  <w:style w:type="paragraph" w:customStyle="1" w:styleId="Citas">
    <w:name w:val="Citas"/>
    <w:basedOn w:val="Normal"/>
    <w:qFormat/>
    <w:rsid w:val="007C40F8"/>
    <w:pPr>
      <w:overflowPunct w:val="0"/>
      <w:autoSpaceDE w:val="0"/>
      <w:autoSpaceDN w:val="0"/>
      <w:adjustRightInd w:val="0"/>
      <w:spacing w:line="240" w:lineRule="auto"/>
      <w:textAlignment w:val="baseline"/>
    </w:pPr>
    <w:rPr>
      <w:sz w:val="20"/>
      <w:szCs w:val="20"/>
      <w:lang w:val="es-ES_tradnl"/>
    </w:rPr>
  </w:style>
  <w:style w:type="character" w:customStyle="1" w:styleId="Ttulo4Car">
    <w:name w:val="Título 4 Car"/>
    <w:link w:val="Ttulo4"/>
    <w:uiPriority w:val="9"/>
    <w:rsid w:val="0080676E"/>
    <w:rPr>
      <w:rFonts w:ascii="Cambria" w:eastAsia="Times New Roman" w:hAnsi="Cambria" w:cs="Times New Roman"/>
      <w:b/>
      <w:bCs/>
      <w:i/>
      <w:iCs/>
      <w:color w:val="4F81BD"/>
      <w:sz w:val="24"/>
      <w:szCs w:val="24"/>
    </w:rPr>
  </w:style>
  <w:style w:type="paragraph" w:customStyle="1" w:styleId="Sangra3detindependiente2">
    <w:name w:val="Sangría 3 de t. independiente2"/>
    <w:basedOn w:val="Normal"/>
    <w:rsid w:val="00ED447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480" w:lineRule="atLeast"/>
      <w:ind w:firstLine="1296"/>
      <w:jc w:val="left"/>
      <w:textAlignment w:val="baseline"/>
    </w:pPr>
    <w:rPr>
      <w:szCs w:val="20"/>
      <w:lang w:val="es-ES_tradnl"/>
    </w:rPr>
  </w:style>
  <w:style w:type="character" w:customStyle="1" w:styleId="Ttulo2Car">
    <w:name w:val="Título 2 Car"/>
    <w:link w:val="Ttulo2"/>
    <w:rsid w:val="009130E5"/>
    <w:rPr>
      <w:rFonts w:ascii="Arial" w:hAnsi="Arial" w:cs="Arial"/>
      <w:b/>
      <w:bCs/>
      <w:i/>
      <w:iCs/>
      <w:sz w:val="28"/>
      <w:szCs w:val="28"/>
    </w:rPr>
  </w:style>
  <w:style w:type="paragraph" w:customStyle="1" w:styleId="Textodecuerpo21">
    <w:name w:val="Texto de cuerpo 21"/>
    <w:basedOn w:val="Normal"/>
    <w:rsid w:val="003F5E91"/>
    <w:pPr>
      <w:overflowPunct w:val="0"/>
      <w:autoSpaceDE w:val="0"/>
      <w:autoSpaceDN w:val="0"/>
      <w:adjustRightInd w:val="0"/>
      <w:textAlignment w:val="baseline"/>
    </w:pPr>
    <w:rPr>
      <w:rFonts w:cs="Arial"/>
      <w:color w:val="008000"/>
      <w:szCs w:val="20"/>
    </w:rPr>
  </w:style>
  <w:style w:type="paragraph" w:customStyle="1" w:styleId="Acuerda-Considerando">
    <w:name w:val="Acuerda-Considerando"/>
    <w:rsid w:val="003F5E91"/>
    <w:pPr>
      <w:jc w:val="center"/>
    </w:pPr>
    <w:rPr>
      <w:rFonts w:ascii="Arial" w:eastAsia="MS Mincho" w:hAnsi="Arial" w:cs="Times New Roman"/>
      <w:b/>
      <w:lang w:val="es-ES" w:eastAsia="es-ES"/>
    </w:rPr>
  </w:style>
  <w:style w:type="character" w:styleId="Refdecomentario">
    <w:name w:val="annotation reference"/>
    <w:uiPriority w:val="99"/>
    <w:semiHidden/>
    <w:unhideWhenUsed/>
    <w:rsid w:val="00A558F0"/>
    <w:rPr>
      <w:sz w:val="16"/>
      <w:szCs w:val="16"/>
    </w:rPr>
  </w:style>
  <w:style w:type="paragraph" w:customStyle="1" w:styleId="nueve">
    <w:name w:val="nueve"/>
    <w:basedOn w:val="Normal"/>
    <w:rsid w:val="00D07E2E"/>
    <w:pPr>
      <w:spacing w:before="100" w:beforeAutospacing="1" w:after="100" w:afterAutospacing="1" w:line="240" w:lineRule="auto"/>
      <w:jc w:val="left"/>
    </w:pPr>
    <w:rPr>
      <w:rFonts w:ascii="Times New Roman" w:hAnsi="Times New Roman"/>
      <w:lang w:val="es-CO" w:eastAsia="es-CO"/>
    </w:rPr>
  </w:style>
  <w:style w:type="paragraph" w:styleId="Sinespaciado">
    <w:name w:val="No Spacing"/>
    <w:uiPriority w:val="1"/>
    <w:qFormat/>
    <w:rsid w:val="00837B25"/>
    <w:rPr>
      <w:rFonts w:eastAsia="Calibri" w:cs="Times New Roman"/>
      <w:sz w:val="22"/>
      <w:szCs w:val="22"/>
      <w:lang w:val="es-CO"/>
    </w:rPr>
  </w:style>
  <w:style w:type="paragraph" w:customStyle="1" w:styleId="Textoindependiente27">
    <w:name w:val="Texto independiente 27"/>
    <w:basedOn w:val="Normal"/>
    <w:rsid w:val="007865D6"/>
    <w:pPr>
      <w:overflowPunct w:val="0"/>
      <w:autoSpaceDE w:val="0"/>
      <w:autoSpaceDN w:val="0"/>
      <w:adjustRightInd w:val="0"/>
      <w:spacing w:line="480" w:lineRule="auto"/>
      <w:ind w:firstLine="708"/>
    </w:pPr>
    <w:rPr>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5351">
      <w:bodyDiv w:val="1"/>
      <w:marLeft w:val="0"/>
      <w:marRight w:val="0"/>
      <w:marTop w:val="0"/>
      <w:marBottom w:val="0"/>
      <w:divBdr>
        <w:top w:val="none" w:sz="0" w:space="0" w:color="auto"/>
        <w:left w:val="none" w:sz="0" w:space="0" w:color="auto"/>
        <w:bottom w:val="none" w:sz="0" w:space="0" w:color="auto"/>
        <w:right w:val="none" w:sz="0" w:space="0" w:color="auto"/>
      </w:divBdr>
    </w:div>
    <w:div w:id="42100820">
      <w:bodyDiv w:val="1"/>
      <w:marLeft w:val="0"/>
      <w:marRight w:val="0"/>
      <w:marTop w:val="0"/>
      <w:marBottom w:val="0"/>
      <w:divBdr>
        <w:top w:val="none" w:sz="0" w:space="0" w:color="auto"/>
        <w:left w:val="none" w:sz="0" w:space="0" w:color="auto"/>
        <w:bottom w:val="none" w:sz="0" w:space="0" w:color="auto"/>
        <w:right w:val="none" w:sz="0" w:space="0" w:color="auto"/>
      </w:divBdr>
    </w:div>
    <w:div w:id="45417231">
      <w:bodyDiv w:val="1"/>
      <w:marLeft w:val="0"/>
      <w:marRight w:val="0"/>
      <w:marTop w:val="0"/>
      <w:marBottom w:val="0"/>
      <w:divBdr>
        <w:top w:val="none" w:sz="0" w:space="0" w:color="auto"/>
        <w:left w:val="none" w:sz="0" w:space="0" w:color="auto"/>
        <w:bottom w:val="none" w:sz="0" w:space="0" w:color="auto"/>
        <w:right w:val="none" w:sz="0" w:space="0" w:color="auto"/>
      </w:divBdr>
    </w:div>
    <w:div w:id="115560772">
      <w:bodyDiv w:val="1"/>
      <w:marLeft w:val="0"/>
      <w:marRight w:val="0"/>
      <w:marTop w:val="0"/>
      <w:marBottom w:val="0"/>
      <w:divBdr>
        <w:top w:val="none" w:sz="0" w:space="0" w:color="auto"/>
        <w:left w:val="none" w:sz="0" w:space="0" w:color="auto"/>
        <w:bottom w:val="none" w:sz="0" w:space="0" w:color="auto"/>
        <w:right w:val="none" w:sz="0" w:space="0" w:color="auto"/>
      </w:divBdr>
    </w:div>
    <w:div w:id="195580790">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4435111">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20542678">
      <w:bodyDiv w:val="1"/>
      <w:marLeft w:val="0"/>
      <w:marRight w:val="0"/>
      <w:marTop w:val="0"/>
      <w:marBottom w:val="0"/>
      <w:divBdr>
        <w:top w:val="none" w:sz="0" w:space="0" w:color="auto"/>
        <w:left w:val="none" w:sz="0" w:space="0" w:color="auto"/>
        <w:bottom w:val="none" w:sz="0" w:space="0" w:color="auto"/>
        <w:right w:val="none" w:sz="0" w:space="0" w:color="auto"/>
      </w:divBdr>
      <w:divsChild>
        <w:div w:id="150606247">
          <w:marLeft w:val="0"/>
          <w:marRight w:val="0"/>
          <w:marTop w:val="0"/>
          <w:marBottom w:val="0"/>
          <w:divBdr>
            <w:top w:val="none" w:sz="0" w:space="0" w:color="auto"/>
            <w:left w:val="none" w:sz="0" w:space="0" w:color="auto"/>
            <w:bottom w:val="none" w:sz="0" w:space="0" w:color="auto"/>
            <w:right w:val="none" w:sz="0" w:space="0" w:color="auto"/>
          </w:divBdr>
        </w:div>
        <w:div w:id="327639701">
          <w:marLeft w:val="0"/>
          <w:marRight w:val="0"/>
          <w:marTop w:val="0"/>
          <w:marBottom w:val="0"/>
          <w:divBdr>
            <w:top w:val="none" w:sz="0" w:space="0" w:color="auto"/>
            <w:left w:val="none" w:sz="0" w:space="0" w:color="auto"/>
            <w:bottom w:val="none" w:sz="0" w:space="0" w:color="auto"/>
            <w:right w:val="none" w:sz="0" w:space="0" w:color="auto"/>
          </w:divBdr>
        </w:div>
        <w:div w:id="362824472">
          <w:marLeft w:val="0"/>
          <w:marRight w:val="0"/>
          <w:marTop w:val="0"/>
          <w:marBottom w:val="0"/>
          <w:divBdr>
            <w:top w:val="none" w:sz="0" w:space="0" w:color="auto"/>
            <w:left w:val="none" w:sz="0" w:space="0" w:color="auto"/>
            <w:bottom w:val="none" w:sz="0" w:space="0" w:color="auto"/>
            <w:right w:val="none" w:sz="0" w:space="0" w:color="auto"/>
          </w:divBdr>
        </w:div>
        <w:div w:id="1188524146">
          <w:marLeft w:val="0"/>
          <w:marRight w:val="0"/>
          <w:marTop w:val="0"/>
          <w:marBottom w:val="0"/>
          <w:divBdr>
            <w:top w:val="none" w:sz="0" w:space="0" w:color="auto"/>
            <w:left w:val="none" w:sz="0" w:space="0" w:color="auto"/>
            <w:bottom w:val="none" w:sz="0" w:space="0" w:color="auto"/>
            <w:right w:val="none" w:sz="0" w:space="0" w:color="auto"/>
          </w:divBdr>
        </w:div>
        <w:div w:id="1412461409">
          <w:marLeft w:val="0"/>
          <w:marRight w:val="0"/>
          <w:marTop w:val="0"/>
          <w:marBottom w:val="0"/>
          <w:divBdr>
            <w:top w:val="none" w:sz="0" w:space="0" w:color="auto"/>
            <w:left w:val="none" w:sz="0" w:space="0" w:color="auto"/>
            <w:bottom w:val="none" w:sz="0" w:space="0" w:color="auto"/>
            <w:right w:val="none" w:sz="0" w:space="0" w:color="auto"/>
          </w:divBdr>
        </w:div>
        <w:div w:id="1662005328">
          <w:marLeft w:val="0"/>
          <w:marRight w:val="0"/>
          <w:marTop w:val="0"/>
          <w:marBottom w:val="0"/>
          <w:divBdr>
            <w:top w:val="none" w:sz="0" w:space="0" w:color="auto"/>
            <w:left w:val="none" w:sz="0" w:space="0" w:color="auto"/>
            <w:bottom w:val="none" w:sz="0" w:space="0" w:color="auto"/>
            <w:right w:val="none" w:sz="0" w:space="0" w:color="auto"/>
          </w:divBdr>
        </w:div>
        <w:div w:id="1945069556">
          <w:marLeft w:val="0"/>
          <w:marRight w:val="0"/>
          <w:marTop w:val="0"/>
          <w:marBottom w:val="0"/>
          <w:divBdr>
            <w:top w:val="none" w:sz="0" w:space="0" w:color="auto"/>
            <w:left w:val="none" w:sz="0" w:space="0" w:color="auto"/>
            <w:bottom w:val="none" w:sz="0" w:space="0" w:color="auto"/>
            <w:right w:val="none" w:sz="0" w:space="0" w:color="auto"/>
          </w:divBdr>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12241403">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21556374">
      <w:bodyDiv w:val="1"/>
      <w:marLeft w:val="0"/>
      <w:marRight w:val="0"/>
      <w:marTop w:val="0"/>
      <w:marBottom w:val="0"/>
      <w:divBdr>
        <w:top w:val="none" w:sz="0" w:space="0" w:color="auto"/>
        <w:left w:val="none" w:sz="0" w:space="0" w:color="auto"/>
        <w:bottom w:val="none" w:sz="0" w:space="0" w:color="auto"/>
        <w:right w:val="none" w:sz="0" w:space="0" w:color="auto"/>
      </w:divBdr>
    </w:div>
    <w:div w:id="526724579">
      <w:bodyDiv w:val="1"/>
      <w:marLeft w:val="0"/>
      <w:marRight w:val="0"/>
      <w:marTop w:val="0"/>
      <w:marBottom w:val="0"/>
      <w:divBdr>
        <w:top w:val="none" w:sz="0" w:space="0" w:color="auto"/>
        <w:left w:val="none" w:sz="0" w:space="0" w:color="auto"/>
        <w:bottom w:val="none" w:sz="0" w:space="0" w:color="auto"/>
        <w:right w:val="none" w:sz="0" w:space="0" w:color="auto"/>
      </w:divBdr>
    </w:div>
    <w:div w:id="538737476">
      <w:bodyDiv w:val="1"/>
      <w:marLeft w:val="0"/>
      <w:marRight w:val="0"/>
      <w:marTop w:val="0"/>
      <w:marBottom w:val="0"/>
      <w:divBdr>
        <w:top w:val="none" w:sz="0" w:space="0" w:color="auto"/>
        <w:left w:val="none" w:sz="0" w:space="0" w:color="auto"/>
        <w:bottom w:val="none" w:sz="0" w:space="0" w:color="auto"/>
        <w:right w:val="none" w:sz="0" w:space="0" w:color="auto"/>
      </w:divBdr>
    </w:div>
    <w:div w:id="540166829">
      <w:bodyDiv w:val="1"/>
      <w:marLeft w:val="0"/>
      <w:marRight w:val="0"/>
      <w:marTop w:val="0"/>
      <w:marBottom w:val="0"/>
      <w:divBdr>
        <w:top w:val="none" w:sz="0" w:space="0" w:color="auto"/>
        <w:left w:val="none" w:sz="0" w:space="0" w:color="auto"/>
        <w:bottom w:val="none" w:sz="0" w:space="0" w:color="auto"/>
        <w:right w:val="none" w:sz="0" w:space="0" w:color="auto"/>
      </w:divBdr>
    </w:div>
    <w:div w:id="629434434">
      <w:bodyDiv w:val="1"/>
      <w:marLeft w:val="0"/>
      <w:marRight w:val="0"/>
      <w:marTop w:val="0"/>
      <w:marBottom w:val="0"/>
      <w:divBdr>
        <w:top w:val="none" w:sz="0" w:space="0" w:color="auto"/>
        <w:left w:val="none" w:sz="0" w:space="0" w:color="auto"/>
        <w:bottom w:val="none" w:sz="0" w:space="0" w:color="auto"/>
        <w:right w:val="none" w:sz="0" w:space="0" w:color="auto"/>
      </w:divBdr>
    </w:div>
    <w:div w:id="720858930">
      <w:bodyDiv w:val="1"/>
      <w:marLeft w:val="0"/>
      <w:marRight w:val="0"/>
      <w:marTop w:val="0"/>
      <w:marBottom w:val="0"/>
      <w:divBdr>
        <w:top w:val="none" w:sz="0" w:space="0" w:color="auto"/>
        <w:left w:val="none" w:sz="0" w:space="0" w:color="auto"/>
        <w:bottom w:val="none" w:sz="0" w:space="0" w:color="auto"/>
        <w:right w:val="none" w:sz="0" w:space="0" w:color="auto"/>
      </w:divBdr>
    </w:div>
    <w:div w:id="733351500">
      <w:bodyDiv w:val="1"/>
      <w:marLeft w:val="0"/>
      <w:marRight w:val="0"/>
      <w:marTop w:val="0"/>
      <w:marBottom w:val="0"/>
      <w:divBdr>
        <w:top w:val="none" w:sz="0" w:space="0" w:color="auto"/>
        <w:left w:val="none" w:sz="0" w:space="0" w:color="auto"/>
        <w:bottom w:val="none" w:sz="0" w:space="0" w:color="auto"/>
        <w:right w:val="none" w:sz="0" w:space="0" w:color="auto"/>
      </w:divBdr>
    </w:div>
    <w:div w:id="746539736">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45822922">
      <w:bodyDiv w:val="1"/>
      <w:marLeft w:val="0"/>
      <w:marRight w:val="0"/>
      <w:marTop w:val="0"/>
      <w:marBottom w:val="0"/>
      <w:divBdr>
        <w:top w:val="none" w:sz="0" w:space="0" w:color="auto"/>
        <w:left w:val="none" w:sz="0" w:space="0" w:color="auto"/>
        <w:bottom w:val="none" w:sz="0" w:space="0" w:color="auto"/>
        <w:right w:val="none" w:sz="0" w:space="0" w:color="auto"/>
      </w:divBdr>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07960586">
      <w:bodyDiv w:val="1"/>
      <w:marLeft w:val="0"/>
      <w:marRight w:val="0"/>
      <w:marTop w:val="0"/>
      <w:marBottom w:val="0"/>
      <w:divBdr>
        <w:top w:val="none" w:sz="0" w:space="0" w:color="auto"/>
        <w:left w:val="none" w:sz="0" w:space="0" w:color="auto"/>
        <w:bottom w:val="none" w:sz="0" w:space="0" w:color="auto"/>
        <w:right w:val="none" w:sz="0" w:space="0" w:color="auto"/>
      </w:divBdr>
    </w:div>
    <w:div w:id="91219963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32599">
      <w:bodyDiv w:val="1"/>
      <w:marLeft w:val="0"/>
      <w:marRight w:val="0"/>
      <w:marTop w:val="0"/>
      <w:marBottom w:val="0"/>
      <w:divBdr>
        <w:top w:val="none" w:sz="0" w:space="0" w:color="auto"/>
        <w:left w:val="none" w:sz="0" w:space="0" w:color="auto"/>
        <w:bottom w:val="none" w:sz="0" w:space="0" w:color="auto"/>
        <w:right w:val="none" w:sz="0" w:space="0" w:color="auto"/>
      </w:divBdr>
    </w:div>
    <w:div w:id="1030496601">
      <w:bodyDiv w:val="1"/>
      <w:marLeft w:val="0"/>
      <w:marRight w:val="0"/>
      <w:marTop w:val="0"/>
      <w:marBottom w:val="0"/>
      <w:divBdr>
        <w:top w:val="none" w:sz="0" w:space="0" w:color="auto"/>
        <w:left w:val="none" w:sz="0" w:space="0" w:color="auto"/>
        <w:bottom w:val="none" w:sz="0" w:space="0" w:color="auto"/>
        <w:right w:val="none" w:sz="0" w:space="0" w:color="auto"/>
      </w:divBdr>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46832685">
      <w:bodyDiv w:val="1"/>
      <w:marLeft w:val="0"/>
      <w:marRight w:val="0"/>
      <w:marTop w:val="0"/>
      <w:marBottom w:val="0"/>
      <w:divBdr>
        <w:top w:val="none" w:sz="0" w:space="0" w:color="auto"/>
        <w:left w:val="none" w:sz="0" w:space="0" w:color="auto"/>
        <w:bottom w:val="none" w:sz="0" w:space="0" w:color="auto"/>
        <w:right w:val="none" w:sz="0" w:space="0" w:color="auto"/>
      </w:divBdr>
      <w:divsChild>
        <w:div w:id="615672604">
          <w:marLeft w:val="0"/>
          <w:marRight w:val="0"/>
          <w:marTop w:val="0"/>
          <w:marBottom w:val="0"/>
          <w:divBdr>
            <w:top w:val="none" w:sz="0" w:space="0" w:color="auto"/>
            <w:left w:val="none" w:sz="0" w:space="0" w:color="auto"/>
            <w:bottom w:val="none" w:sz="0" w:space="0" w:color="auto"/>
            <w:right w:val="none" w:sz="0" w:space="0" w:color="auto"/>
          </w:divBdr>
        </w:div>
        <w:div w:id="954826548">
          <w:marLeft w:val="0"/>
          <w:marRight w:val="0"/>
          <w:marTop w:val="0"/>
          <w:marBottom w:val="0"/>
          <w:divBdr>
            <w:top w:val="none" w:sz="0" w:space="0" w:color="auto"/>
            <w:left w:val="none" w:sz="0" w:space="0" w:color="auto"/>
            <w:bottom w:val="none" w:sz="0" w:space="0" w:color="auto"/>
            <w:right w:val="none" w:sz="0" w:space="0" w:color="auto"/>
          </w:divBdr>
        </w:div>
      </w:divsChild>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077703477">
      <w:bodyDiv w:val="1"/>
      <w:marLeft w:val="0"/>
      <w:marRight w:val="0"/>
      <w:marTop w:val="0"/>
      <w:marBottom w:val="0"/>
      <w:divBdr>
        <w:top w:val="none" w:sz="0" w:space="0" w:color="auto"/>
        <w:left w:val="none" w:sz="0" w:space="0" w:color="auto"/>
        <w:bottom w:val="none" w:sz="0" w:space="0" w:color="auto"/>
        <w:right w:val="none" w:sz="0" w:space="0" w:color="auto"/>
      </w:divBdr>
    </w:div>
    <w:div w:id="1085414218">
      <w:bodyDiv w:val="1"/>
      <w:marLeft w:val="0"/>
      <w:marRight w:val="0"/>
      <w:marTop w:val="0"/>
      <w:marBottom w:val="0"/>
      <w:divBdr>
        <w:top w:val="none" w:sz="0" w:space="0" w:color="auto"/>
        <w:left w:val="none" w:sz="0" w:space="0" w:color="auto"/>
        <w:bottom w:val="none" w:sz="0" w:space="0" w:color="auto"/>
        <w:right w:val="none" w:sz="0" w:space="0" w:color="auto"/>
      </w:divBdr>
    </w:div>
    <w:div w:id="1109394608">
      <w:bodyDiv w:val="1"/>
      <w:marLeft w:val="0"/>
      <w:marRight w:val="0"/>
      <w:marTop w:val="0"/>
      <w:marBottom w:val="0"/>
      <w:divBdr>
        <w:top w:val="none" w:sz="0" w:space="0" w:color="auto"/>
        <w:left w:val="none" w:sz="0" w:space="0" w:color="auto"/>
        <w:bottom w:val="none" w:sz="0" w:space="0" w:color="auto"/>
        <w:right w:val="none" w:sz="0" w:space="0" w:color="auto"/>
      </w:divBdr>
      <w:divsChild>
        <w:div w:id="1858426067">
          <w:marLeft w:val="0"/>
          <w:marRight w:val="0"/>
          <w:marTop w:val="0"/>
          <w:marBottom w:val="0"/>
          <w:divBdr>
            <w:top w:val="none" w:sz="0" w:space="0" w:color="auto"/>
            <w:left w:val="none" w:sz="0" w:space="0" w:color="auto"/>
            <w:bottom w:val="none" w:sz="0" w:space="0" w:color="auto"/>
            <w:right w:val="none" w:sz="0" w:space="0" w:color="auto"/>
          </w:divBdr>
          <w:divsChild>
            <w:div w:id="109129595">
              <w:marLeft w:val="0"/>
              <w:marRight w:val="0"/>
              <w:marTop w:val="0"/>
              <w:marBottom w:val="0"/>
              <w:divBdr>
                <w:top w:val="none" w:sz="0" w:space="0" w:color="auto"/>
                <w:left w:val="none" w:sz="0" w:space="0" w:color="auto"/>
                <w:bottom w:val="none" w:sz="0" w:space="0" w:color="auto"/>
                <w:right w:val="none" w:sz="0" w:space="0" w:color="auto"/>
              </w:divBdr>
            </w:div>
            <w:div w:id="119809022">
              <w:marLeft w:val="0"/>
              <w:marRight w:val="0"/>
              <w:marTop w:val="0"/>
              <w:marBottom w:val="0"/>
              <w:divBdr>
                <w:top w:val="none" w:sz="0" w:space="0" w:color="auto"/>
                <w:left w:val="none" w:sz="0" w:space="0" w:color="auto"/>
                <w:bottom w:val="none" w:sz="0" w:space="0" w:color="auto"/>
                <w:right w:val="none" w:sz="0" w:space="0" w:color="auto"/>
              </w:divBdr>
            </w:div>
            <w:div w:id="135953811">
              <w:marLeft w:val="0"/>
              <w:marRight w:val="0"/>
              <w:marTop w:val="0"/>
              <w:marBottom w:val="0"/>
              <w:divBdr>
                <w:top w:val="none" w:sz="0" w:space="0" w:color="auto"/>
                <w:left w:val="none" w:sz="0" w:space="0" w:color="auto"/>
                <w:bottom w:val="none" w:sz="0" w:space="0" w:color="auto"/>
                <w:right w:val="none" w:sz="0" w:space="0" w:color="auto"/>
              </w:divBdr>
            </w:div>
            <w:div w:id="182133118">
              <w:marLeft w:val="0"/>
              <w:marRight w:val="0"/>
              <w:marTop w:val="0"/>
              <w:marBottom w:val="0"/>
              <w:divBdr>
                <w:top w:val="none" w:sz="0" w:space="0" w:color="auto"/>
                <w:left w:val="none" w:sz="0" w:space="0" w:color="auto"/>
                <w:bottom w:val="none" w:sz="0" w:space="0" w:color="auto"/>
                <w:right w:val="none" w:sz="0" w:space="0" w:color="auto"/>
              </w:divBdr>
            </w:div>
            <w:div w:id="209459031">
              <w:marLeft w:val="0"/>
              <w:marRight w:val="0"/>
              <w:marTop w:val="0"/>
              <w:marBottom w:val="0"/>
              <w:divBdr>
                <w:top w:val="none" w:sz="0" w:space="0" w:color="auto"/>
                <w:left w:val="none" w:sz="0" w:space="0" w:color="auto"/>
                <w:bottom w:val="none" w:sz="0" w:space="0" w:color="auto"/>
                <w:right w:val="none" w:sz="0" w:space="0" w:color="auto"/>
              </w:divBdr>
            </w:div>
            <w:div w:id="219826222">
              <w:marLeft w:val="0"/>
              <w:marRight w:val="0"/>
              <w:marTop w:val="0"/>
              <w:marBottom w:val="0"/>
              <w:divBdr>
                <w:top w:val="none" w:sz="0" w:space="0" w:color="auto"/>
                <w:left w:val="none" w:sz="0" w:space="0" w:color="auto"/>
                <w:bottom w:val="none" w:sz="0" w:space="0" w:color="auto"/>
                <w:right w:val="none" w:sz="0" w:space="0" w:color="auto"/>
              </w:divBdr>
            </w:div>
            <w:div w:id="220409161">
              <w:marLeft w:val="0"/>
              <w:marRight w:val="0"/>
              <w:marTop w:val="0"/>
              <w:marBottom w:val="0"/>
              <w:divBdr>
                <w:top w:val="none" w:sz="0" w:space="0" w:color="auto"/>
                <w:left w:val="none" w:sz="0" w:space="0" w:color="auto"/>
                <w:bottom w:val="none" w:sz="0" w:space="0" w:color="auto"/>
                <w:right w:val="none" w:sz="0" w:space="0" w:color="auto"/>
              </w:divBdr>
            </w:div>
            <w:div w:id="238490260">
              <w:marLeft w:val="0"/>
              <w:marRight w:val="0"/>
              <w:marTop w:val="0"/>
              <w:marBottom w:val="0"/>
              <w:divBdr>
                <w:top w:val="none" w:sz="0" w:space="0" w:color="auto"/>
                <w:left w:val="none" w:sz="0" w:space="0" w:color="auto"/>
                <w:bottom w:val="none" w:sz="0" w:space="0" w:color="auto"/>
                <w:right w:val="none" w:sz="0" w:space="0" w:color="auto"/>
              </w:divBdr>
            </w:div>
            <w:div w:id="341204982">
              <w:marLeft w:val="0"/>
              <w:marRight w:val="0"/>
              <w:marTop w:val="0"/>
              <w:marBottom w:val="0"/>
              <w:divBdr>
                <w:top w:val="none" w:sz="0" w:space="0" w:color="auto"/>
                <w:left w:val="none" w:sz="0" w:space="0" w:color="auto"/>
                <w:bottom w:val="none" w:sz="0" w:space="0" w:color="auto"/>
                <w:right w:val="none" w:sz="0" w:space="0" w:color="auto"/>
              </w:divBdr>
            </w:div>
            <w:div w:id="356123203">
              <w:marLeft w:val="0"/>
              <w:marRight w:val="0"/>
              <w:marTop w:val="0"/>
              <w:marBottom w:val="0"/>
              <w:divBdr>
                <w:top w:val="none" w:sz="0" w:space="0" w:color="auto"/>
                <w:left w:val="none" w:sz="0" w:space="0" w:color="auto"/>
                <w:bottom w:val="none" w:sz="0" w:space="0" w:color="auto"/>
                <w:right w:val="none" w:sz="0" w:space="0" w:color="auto"/>
              </w:divBdr>
            </w:div>
            <w:div w:id="381253844">
              <w:marLeft w:val="0"/>
              <w:marRight w:val="0"/>
              <w:marTop w:val="0"/>
              <w:marBottom w:val="0"/>
              <w:divBdr>
                <w:top w:val="none" w:sz="0" w:space="0" w:color="auto"/>
                <w:left w:val="none" w:sz="0" w:space="0" w:color="auto"/>
                <w:bottom w:val="none" w:sz="0" w:space="0" w:color="auto"/>
                <w:right w:val="none" w:sz="0" w:space="0" w:color="auto"/>
              </w:divBdr>
            </w:div>
            <w:div w:id="400910119">
              <w:marLeft w:val="0"/>
              <w:marRight w:val="0"/>
              <w:marTop w:val="0"/>
              <w:marBottom w:val="0"/>
              <w:divBdr>
                <w:top w:val="none" w:sz="0" w:space="0" w:color="auto"/>
                <w:left w:val="none" w:sz="0" w:space="0" w:color="auto"/>
                <w:bottom w:val="none" w:sz="0" w:space="0" w:color="auto"/>
                <w:right w:val="none" w:sz="0" w:space="0" w:color="auto"/>
              </w:divBdr>
            </w:div>
            <w:div w:id="973827595">
              <w:marLeft w:val="0"/>
              <w:marRight w:val="0"/>
              <w:marTop w:val="0"/>
              <w:marBottom w:val="0"/>
              <w:divBdr>
                <w:top w:val="none" w:sz="0" w:space="0" w:color="auto"/>
                <w:left w:val="none" w:sz="0" w:space="0" w:color="auto"/>
                <w:bottom w:val="none" w:sz="0" w:space="0" w:color="auto"/>
                <w:right w:val="none" w:sz="0" w:space="0" w:color="auto"/>
              </w:divBdr>
            </w:div>
            <w:div w:id="986516351">
              <w:marLeft w:val="0"/>
              <w:marRight w:val="0"/>
              <w:marTop w:val="0"/>
              <w:marBottom w:val="0"/>
              <w:divBdr>
                <w:top w:val="none" w:sz="0" w:space="0" w:color="auto"/>
                <w:left w:val="none" w:sz="0" w:space="0" w:color="auto"/>
                <w:bottom w:val="none" w:sz="0" w:space="0" w:color="auto"/>
                <w:right w:val="none" w:sz="0" w:space="0" w:color="auto"/>
              </w:divBdr>
            </w:div>
            <w:div w:id="1035501268">
              <w:marLeft w:val="0"/>
              <w:marRight w:val="0"/>
              <w:marTop w:val="0"/>
              <w:marBottom w:val="0"/>
              <w:divBdr>
                <w:top w:val="none" w:sz="0" w:space="0" w:color="auto"/>
                <w:left w:val="none" w:sz="0" w:space="0" w:color="auto"/>
                <w:bottom w:val="none" w:sz="0" w:space="0" w:color="auto"/>
                <w:right w:val="none" w:sz="0" w:space="0" w:color="auto"/>
              </w:divBdr>
            </w:div>
            <w:div w:id="1054474343">
              <w:marLeft w:val="0"/>
              <w:marRight w:val="0"/>
              <w:marTop w:val="0"/>
              <w:marBottom w:val="0"/>
              <w:divBdr>
                <w:top w:val="none" w:sz="0" w:space="0" w:color="auto"/>
                <w:left w:val="none" w:sz="0" w:space="0" w:color="auto"/>
                <w:bottom w:val="none" w:sz="0" w:space="0" w:color="auto"/>
                <w:right w:val="none" w:sz="0" w:space="0" w:color="auto"/>
              </w:divBdr>
            </w:div>
            <w:div w:id="1086875540">
              <w:marLeft w:val="0"/>
              <w:marRight w:val="0"/>
              <w:marTop w:val="0"/>
              <w:marBottom w:val="0"/>
              <w:divBdr>
                <w:top w:val="none" w:sz="0" w:space="0" w:color="auto"/>
                <w:left w:val="none" w:sz="0" w:space="0" w:color="auto"/>
                <w:bottom w:val="none" w:sz="0" w:space="0" w:color="auto"/>
                <w:right w:val="none" w:sz="0" w:space="0" w:color="auto"/>
              </w:divBdr>
            </w:div>
            <w:div w:id="1316228000">
              <w:marLeft w:val="0"/>
              <w:marRight w:val="0"/>
              <w:marTop w:val="0"/>
              <w:marBottom w:val="0"/>
              <w:divBdr>
                <w:top w:val="none" w:sz="0" w:space="0" w:color="auto"/>
                <w:left w:val="none" w:sz="0" w:space="0" w:color="auto"/>
                <w:bottom w:val="none" w:sz="0" w:space="0" w:color="auto"/>
                <w:right w:val="none" w:sz="0" w:space="0" w:color="auto"/>
              </w:divBdr>
            </w:div>
            <w:div w:id="1347253063">
              <w:marLeft w:val="0"/>
              <w:marRight w:val="0"/>
              <w:marTop w:val="0"/>
              <w:marBottom w:val="0"/>
              <w:divBdr>
                <w:top w:val="none" w:sz="0" w:space="0" w:color="auto"/>
                <w:left w:val="none" w:sz="0" w:space="0" w:color="auto"/>
                <w:bottom w:val="none" w:sz="0" w:space="0" w:color="auto"/>
                <w:right w:val="none" w:sz="0" w:space="0" w:color="auto"/>
              </w:divBdr>
            </w:div>
            <w:div w:id="1354965551">
              <w:marLeft w:val="0"/>
              <w:marRight w:val="0"/>
              <w:marTop w:val="0"/>
              <w:marBottom w:val="0"/>
              <w:divBdr>
                <w:top w:val="none" w:sz="0" w:space="0" w:color="auto"/>
                <w:left w:val="none" w:sz="0" w:space="0" w:color="auto"/>
                <w:bottom w:val="none" w:sz="0" w:space="0" w:color="auto"/>
                <w:right w:val="none" w:sz="0" w:space="0" w:color="auto"/>
              </w:divBdr>
            </w:div>
            <w:div w:id="1380861053">
              <w:marLeft w:val="0"/>
              <w:marRight w:val="0"/>
              <w:marTop w:val="0"/>
              <w:marBottom w:val="0"/>
              <w:divBdr>
                <w:top w:val="none" w:sz="0" w:space="0" w:color="auto"/>
                <w:left w:val="none" w:sz="0" w:space="0" w:color="auto"/>
                <w:bottom w:val="none" w:sz="0" w:space="0" w:color="auto"/>
                <w:right w:val="none" w:sz="0" w:space="0" w:color="auto"/>
              </w:divBdr>
            </w:div>
            <w:div w:id="1394160313">
              <w:marLeft w:val="0"/>
              <w:marRight w:val="0"/>
              <w:marTop w:val="0"/>
              <w:marBottom w:val="0"/>
              <w:divBdr>
                <w:top w:val="none" w:sz="0" w:space="0" w:color="auto"/>
                <w:left w:val="none" w:sz="0" w:space="0" w:color="auto"/>
                <w:bottom w:val="none" w:sz="0" w:space="0" w:color="auto"/>
                <w:right w:val="none" w:sz="0" w:space="0" w:color="auto"/>
              </w:divBdr>
            </w:div>
            <w:div w:id="1527980118">
              <w:marLeft w:val="0"/>
              <w:marRight w:val="0"/>
              <w:marTop w:val="0"/>
              <w:marBottom w:val="0"/>
              <w:divBdr>
                <w:top w:val="none" w:sz="0" w:space="0" w:color="auto"/>
                <w:left w:val="none" w:sz="0" w:space="0" w:color="auto"/>
                <w:bottom w:val="none" w:sz="0" w:space="0" w:color="auto"/>
                <w:right w:val="none" w:sz="0" w:space="0" w:color="auto"/>
              </w:divBdr>
            </w:div>
            <w:div w:id="1803648211">
              <w:marLeft w:val="0"/>
              <w:marRight w:val="0"/>
              <w:marTop w:val="0"/>
              <w:marBottom w:val="0"/>
              <w:divBdr>
                <w:top w:val="none" w:sz="0" w:space="0" w:color="auto"/>
                <w:left w:val="none" w:sz="0" w:space="0" w:color="auto"/>
                <w:bottom w:val="none" w:sz="0" w:space="0" w:color="auto"/>
                <w:right w:val="none" w:sz="0" w:space="0" w:color="auto"/>
              </w:divBdr>
            </w:div>
            <w:div w:id="1889106933">
              <w:marLeft w:val="0"/>
              <w:marRight w:val="0"/>
              <w:marTop w:val="0"/>
              <w:marBottom w:val="0"/>
              <w:divBdr>
                <w:top w:val="none" w:sz="0" w:space="0" w:color="auto"/>
                <w:left w:val="none" w:sz="0" w:space="0" w:color="auto"/>
                <w:bottom w:val="none" w:sz="0" w:space="0" w:color="auto"/>
                <w:right w:val="none" w:sz="0" w:space="0" w:color="auto"/>
              </w:divBdr>
            </w:div>
            <w:div w:id="1898781229">
              <w:marLeft w:val="0"/>
              <w:marRight w:val="0"/>
              <w:marTop w:val="0"/>
              <w:marBottom w:val="0"/>
              <w:divBdr>
                <w:top w:val="none" w:sz="0" w:space="0" w:color="auto"/>
                <w:left w:val="none" w:sz="0" w:space="0" w:color="auto"/>
                <w:bottom w:val="none" w:sz="0" w:space="0" w:color="auto"/>
                <w:right w:val="none" w:sz="0" w:space="0" w:color="auto"/>
              </w:divBdr>
            </w:div>
            <w:div w:id="1978487853">
              <w:marLeft w:val="0"/>
              <w:marRight w:val="0"/>
              <w:marTop w:val="0"/>
              <w:marBottom w:val="0"/>
              <w:divBdr>
                <w:top w:val="none" w:sz="0" w:space="0" w:color="auto"/>
                <w:left w:val="none" w:sz="0" w:space="0" w:color="auto"/>
                <w:bottom w:val="none" w:sz="0" w:space="0" w:color="auto"/>
                <w:right w:val="none" w:sz="0" w:space="0" w:color="auto"/>
              </w:divBdr>
            </w:div>
            <w:div w:id="2005278489">
              <w:marLeft w:val="0"/>
              <w:marRight w:val="0"/>
              <w:marTop w:val="0"/>
              <w:marBottom w:val="0"/>
              <w:divBdr>
                <w:top w:val="none" w:sz="0" w:space="0" w:color="auto"/>
                <w:left w:val="none" w:sz="0" w:space="0" w:color="auto"/>
                <w:bottom w:val="none" w:sz="0" w:space="0" w:color="auto"/>
                <w:right w:val="none" w:sz="0" w:space="0" w:color="auto"/>
              </w:divBdr>
            </w:div>
            <w:div w:id="2008703133">
              <w:marLeft w:val="0"/>
              <w:marRight w:val="0"/>
              <w:marTop w:val="0"/>
              <w:marBottom w:val="0"/>
              <w:divBdr>
                <w:top w:val="none" w:sz="0" w:space="0" w:color="auto"/>
                <w:left w:val="none" w:sz="0" w:space="0" w:color="auto"/>
                <w:bottom w:val="none" w:sz="0" w:space="0" w:color="auto"/>
                <w:right w:val="none" w:sz="0" w:space="0" w:color="auto"/>
              </w:divBdr>
            </w:div>
            <w:div w:id="2056737346">
              <w:marLeft w:val="0"/>
              <w:marRight w:val="0"/>
              <w:marTop w:val="0"/>
              <w:marBottom w:val="0"/>
              <w:divBdr>
                <w:top w:val="none" w:sz="0" w:space="0" w:color="auto"/>
                <w:left w:val="none" w:sz="0" w:space="0" w:color="auto"/>
                <w:bottom w:val="none" w:sz="0" w:space="0" w:color="auto"/>
                <w:right w:val="none" w:sz="0" w:space="0" w:color="auto"/>
              </w:divBdr>
            </w:div>
            <w:div w:id="21086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41073985">
      <w:bodyDiv w:val="1"/>
      <w:marLeft w:val="0"/>
      <w:marRight w:val="0"/>
      <w:marTop w:val="0"/>
      <w:marBottom w:val="0"/>
      <w:divBdr>
        <w:top w:val="none" w:sz="0" w:space="0" w:color="auto"/>
        <w:left w:val="none" w:sz="0" w:space="0" w:color="auto"/>
        <w:bottom w:val="none" w:sz="0" w:space="0" w:color="auto"/>
        <w:right w:val="none" w:sz="0" w:space="0" w:color="auto"/>
      </w:divBdr>
    </w:div>
    <w:div w:id="1234437615">
      <w:bodyDiv w:val="1"/>
      <w:marLeft w:val="0"/>
      <w:marRight w:val="0"/>
      <w:marTop w:val="0"/>
      <w:marBottom w:val="0"/>
      <w:divBdr>
        <w:top w:val="none" w:sz="0" w:space="0" w:color="auto"/>
        <w:left w:val="none" w:sz="0" w:space="0" w:color="auto"/>
        <w:bottom w:val="none" w:sz="0" w:space="0" w:color="auto"/>
        <w:right w:val="none" w:sz="0" w:space="0" w:color="auto"/>
      </w:divBdr>
    </w:div>
    <w:div w:id="1263951904">
      <w:bodyDiv w:val="1"/>
      <w:marLeft w:val="0"/>
      <w:marRight w:val="0"/>
      <w:marTop w:val="0"/>
      <w:marBottom w:val="0"/>
      <w:divBdr>
        <w:top w:val="none" w:sz="0" w:space="0" w:color="auto"/>
        <w:left w:val="none" w:sz="0" w:space="0" w:color="auto"/>
        <w:bottom w:val="none" w:sz="0" w:space="0" w:color="auto"/>
        <w:right w:val="none" w:sz="0" w:space="0" w:color="auto"/>
      </w:divBdr>
    </w:div>
    <w:div w:id="1268198925">
      <w:bodyDiv w:val="1"/>
      <w:marLeft w:val="0"/>
      <w:marRight w:val="0"/>
      <w:marTop w:val="0"/>
      <w:marBottom w:val="0"/>
      <w:divBdr>
        <w:top w:val="none" w:sz="0" w:space="0" w:color="auto"/>
        <w:left w:val="none" w:sz="0" w:space="0" w:color="auto"/>
        <w:bottom w:val="none" w:sz="0" w:space="0" w:color="auto"/>
        <w:right w:val="none" w:sz="0" w:space="0" w:color="auto"/>
      </w:divBdr>
    </w:div>
    <w:div w:id="1273829407">
      <w:bodyDiv w:val="1"/>
      <w:marLeft w:val="0"/>
      <w:marRight w:val="0"/>
      <w:marTop w:val="0"/>
      <w:marBottom w:val="0"/>
      <w:divBdr>
        <w:top w:val="none" w:sz="0" w:space="0" w:color="auto"/>
        <w:left w:val="none" w:sz="0" w:space="0" w:color="auto"/>
        <w:bottom w:val="none" w:sz="0" w:space="0" w:color="auto"/>
        <w:right w:val="none" w:sz="0" w:space="0" w:color="auto"/>
      </w:divBdr>
      <w:divsChild>
        <w:div w:id="373316401">
          <w:marLeft w:val="0"/>
          <w:marRight w:val="0"/>
          <w:marTop w:val="0"/>
          <w:marBottom w:val="0"/>
          <w:divBdr>
            <w:top w:val="none" w:sz="0" w:space="0" w:color="auto"/>
            <w:left w:val="none" w:sz="0" w:space="0" w:color="auto"/>
            <w:bottom w:val="none" w:sz="0" w:space="0" w:color="auto"/>
            <w:right w:val="none" w:sz="0" w:space="0" w:color="auto"/>
          </w:divBdr>
        </w:div>
        <w:div w:id="813985699">
          <w:marLeft w:val="0"/>
          <w:marRight w:val="0"/>
          <w:marTop w:val="0"/>
          <w:marBottom w:val="0"/>
          <w:divBdr>
            <w:top w:val="none" w:sz="0" w:space="0" w:color="auto"/>
            <w:left w:val="none" w:sz="0" w:space="0" w:color="auto"/>
            <w:bottom w:val="none" w:sz="0" w:space="0" w:color="auto"/>
            <w:right w:val="none" w:sz="0" w:space="0" w:color="auto"/>
          </w:divBdr>
        </w:div>
        <w:div w:id="968824572">
          <w:marLeft w:val="0"/>
          <w:marRight w:val="0"/>
          <w:marTop w:val="0"/>
          <w:marBottom w:val="0"/>
          <w:divBdr>
            <w:top w:val="none" w:sz="0" w:space="0" w:color="auto"/>
            <w:left w:val="none" w:sz="0" w:space="0" w:color="auto"/>
            <w:bottom w:val="none" w:sz="0" w:space="0" w:color="auto"/>
            <w:right w:val="none" w:sz="0" w:space="0" w:color="auto"/>
          </w:divBdr>
        </w:div>
        <w:div w:id="1291470182">
          <w:marLeft w:val="0"/>
          <w:marRight w:val="0"/>
          <w:marTop w:val="0"/>
          <w:marBottom w:val="0"/>
          <w:divBdr>
            <w:top w:val="none" w:sz="0" w:space="0" w:color="auto"/>
            <w:left w:val="none" w:sz="0" w:space="0" w:color="auto"/>
            <w:bottom w:val="none" w:sz="0" w:space="0" w:color="auto"/>
            <w:right w:val="none" w:sz="0" w:space="0" w:color="auto"/>
          </w:divBdr>
        </w:div>
        <w:div w:id="1546790848">
          <w:marLeft w:val="0"/>
          <w:marRight w:val="0"/>
          <w:marTop w:val="0"/>
          <w:marBottom w:val="0"/>
          <w:divBdr>
            <w:top w:val="none" w:sz="0" w:space="0" w:color="auto"/>
            <w:left w:val="none" w:sz="0" w:space="0" w:color="auto"/>
            <w:bottom w:val="none" w:sz="0" w:space="0" w:color="auto"/>
            <w:right w:val="none" w:sz="0" w:space="0" w:color="auto"/>
          </w:divBdr>
        </w:div>
        <w:div w:id="1918436433">
          <w:marLeft w:val="0"/>
          <w:marRight w:val="0"/>
          <w:marTop w:val="0"/>
          <w:marBottom w:val="0"/>
          <w:divBdr>
            <w:top w:val="none" w:sz="0" w:space="0" w:color="auto"/>
            <w:left w:val="none" w:sz="0" w:space="0" w:color="auto"/>
            <w:bottom w:val="none" w:sz="0" w:space="0" w:color="auto"/>
            <w:right w:val="none" w:sz="0" w:space="0" w:color="auto"/>
          </w:divBdr>
        </w:div>
        <w:div w:id="2030913786">
          <w:marLeft w:val="0"/>
          <w:marRight w:val="0"/>
          <w:marTop w:val="0"/>
          <w:marBottom w:val="0"/>
          <w:divBdr>
            <w:top w:val="none" w:sz="0" w:space="0" w:color="auto"/>
            <w:left w:val="none" w:sz="0" w:space="0" w:color="auto"/>
            <w:bottom w:val="none" w:sz="0" w:space="0" w:color="auto"/>
            <w:right w:val="none" w:sz="0" w:space="0" w:color="auto"/>
          </w:divBdr>
        </w:div>
      </w:divsChild>
    </w:div>
    <w:div w:id="1282031595">
      <w:bodyDiv w:val="1"/>
      <w:marLeft w:val="0"/>
      <w:marRight w:val="0"/>
      <w:marTop w:val="0"/>
      <w:marBottom w:val="0"/>
      <w:divBdr>
        <w:top w:val="none" w:sz="0" w:space="0" w:color="auto"/>
        <w:left w:val="none" w:sz="0" w:space="0" w:color="auto"/>
        <w:bottom w:val="none" w:sz="0" w:space="0" w:color="auto"/>
        <w:right w:val="none" w:sz="0" w:space="0" w:color="auto"/>
      </w:divBdr>
    </w:div>
    <w:div w:id="1360738884">
      <w:bodyDiv w:val="1"/>
      <w:marLeft w:val="0"/>
      <w:marRight w:val="0"/>
      <w:marTop w:val="0"/>
      <w:marBottom w:val="0"/>
      <w:divBdr>
        <w:top w:val="none" w:sz="0" w:space="0" w:color="auto"/>
        <w:left w:val="none" w:sz="0" w:space="0" w:color="auto"/>
        <w:bottom w:val="none" w:sz="0" w:space="0" w:color="auto"/>
        <w:right w:val="none" w:sz="0" w:space="0" w:color="auto"/>
      </w:divBdr>
    </w:div>
    <w:div w:id="1361393135">
      <w:bodyDiv w:val="1"/>
      <w:marLeft w:val="0"/>
      <w:marRight w:val="0"/>
      <w:marTop w:val="0"/>
      <w:marBottom w:val="0"/>
      <w:divBdr>
        <w:top w:val="none" w:sz="0" w:space="0" w:color="auto"/>
        <w:left w:val="none" w:sz="0" w:space="0" w:color="auto"/>
        <w:bottom w:val="none" w:sz="0" w:space="0" w:color="auto"/>
        <w:right w:val="none" w:sz="0" w:space="0" w:color="auto"/>
      </w:divBdr>
    </w:div>
    <w:div w:id="1371568900">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07343107">
      <w:bodyDiv w:val="1"/>
      <w:marLeft w:val="0"/>
      <w:marRight w:val="0"/>
      <w:marTop w:val="0"/>
      <w:marBottom w:val="0"/>
      <w:divBdr>
        <w:top w:val="none" w:sz="0" w:space="0" w:color="auto"/>
        <w:left w:val="none" w:sz="0" w:space="0" w:color="auto"/>
        <w:bottom w:val="none" w:sz="0" w:space="0" w:color="auto"/>
        <w:right w:val="none" w:sz="0" w:space="0" w:color="auto"/>
      </w:divBdr>
    </w:div>
    <w:div w:id="1409502596">
      <w:bodyDiv w:val="1"/>
      <w:marLeft w:val="0"/>
      <w:marRight w:val="0"/>
      <w:marTop w:val="0"/>
      <w:marBottom w:val="0"/>
      <w:divBdr>
        <w:top w:val="none" w:sz="0" w:space="0" w:color="auto"/>
        <w:left w:val="none" w:sz="0" w:space="0" w:color="auto"/>
        <w:bottom w:val="none" w:sz="0" w:space="0" w:color="auto"/>
        <w:right w:val="none" w:sz="0" w:space="0" w:color="auto"/>
      </w:divBdr>
      <w:divsChild>
        <w:div w:id="23095689">
          <w:marLeft w:val="0"/>
          <w:marRight w:val="0"/>
          <w:marTop w:val="0"/>
          <w:marBottom w:val="0"/>
          <w:divBdr>
            <w:top w:val="none" w:sz="0" w:space="0" w:color="auto"/>
            <w:left w:val="none" w:sz="0" w:space="0" w:color="auto"/>
            <w:bottom w:val="none" w:sz="0" w:space="0" w:color="auto"/>
            <w:right w:val="none" w:sz="0" w:space="0" w:color="auto"/>
          </w:divBdr>
        </w:div>
        <w:div w:id="862401485">
          <w:marLeft w:val="0"/>
          <w:marRight w:val="0"/>
          <w:marTop w:val="0"/>
          <w:marBottom w:val="0"/>
          <w:divBdr>
            <w:top w:val="none" w:sz="0" w:space="0" w:color="auto"/>
            <w:left w:val="none" w:sz="0" w:space="0" w:color="auto"/>
            <w:bottom w:val="none" w:sz="0" w:space="0" w:color="auto"/>
            <w:right w:val="none" w:sz="0" w:space="0" w:color="auto"/>
          </w:divBdr>
        </w:div>
        <w:div w:id="1223298437">
          <w:marLeft w:val="0"/>
          <w:marRight w:val="0"/>
          <w:marTop w:val="0"/>
          <w:marBottom w:val="0"/>
          <w:divBdr>
            <w:top w:val="none" w:sz="0" w:space="0" w:color="auto"/>
            <w:left w:val="none" w:sz="0" w:space="0" w:color="auto"/>
            <w:bottom w:val="none" w:sz="0" w:space="0" w:color="auto"/>
            <w:right w:val="none" w:sz="0" w:space="0" w:color="auto"/>
          </w:divBdr>
        </w:div>
        <w:div w:id="1303537646">
          <w:marLeft w:val="0"/>
          <w:marRight w:val="0"/>
          <w:marTop w:val="0"/>
          <w:marBottom w:val="0"/>
          <w:divBdr>
            <w:top w:val="none" w:sz="0" w:space="0" w:color="auto"/>
            <w:left w:val="none" w:sz="0" w:space="0" w:color="auto"/>
            <w:bottom w:val="none" w:sz="0" w:space="0" w:color="auto"/>
            <w:right w:val="none" w:sz="0" w:space="0" w:color="auto"/>
          </w:divBdr>
        </w:div>
        <w:div w:id="1318530221">
          <w:marLeft w:val="0"/>
          <w:marRight w:val="0"/>
          <w:marTop w:val="0"/>
          <w:marBottom w:val="0"/>
          <w:divBdr>
            <w:top w:val="none" w:sz="0" w:space="0" w:color="auto"/>
            <w:left w:val="none" w:sz="0" w:space="0" w:color="auto"/>
            <w:bottom w:val="none" w:sz="0" w:space="0" w:color="auto"/>
            <w:right w:val="none" w:sz="0" w:space="0" w:color="auto"/>
          </w:divBdr>
        </w:div>
        <w:div w:id="1415662333">
          <w:marLeft w:val="0"/>
          <w:marRight w:val="0"/>
          <w:marTop w:val="0"/>
          <w:marBottom w:val="0"/>
          <w:divBdr>
            <w:top w:val="none" w:sz="0" w:space="0" w:color="auto"/>
            <w:left w:val="none" w:sz="0" w:space="0" w:color="auto"/>
            <w:bottom w:val="none" w:sz="0" w:space="0" w:color="auto"/>
            <w:right w:val="none" w:sz="0" w:space="0" w:color="auto"/>
          </w:divBdr>
        </w:div>
        <w:div w:id="1506633410">
          <w:marLeft w:val="0"/>
          <w:marRight w:val="0"/>
          <w:marTop w:val="0"/>
          <w:marBottom w:val="0"/>
          <w:divBdr>
            <w:top w:val="none" w:sz="0" w:space="0" w:color="auto"/>
            <w:left w:val="none" w:sz="0" w:space="0" w:color="auto"/>
            <w:bottom w:val="none" w:sz="0" w:space="0" w:color="auto"/>
            <w:right w:val="none" w:sz="0" w:space="0" w:color="auto"/>
          </w:divBdr>
        </w:div>
        <w:div w:id="1582833932">
          <w:marLeft w:val="0"/>
          <w:marRight w:val="0"/>
          <w:marTop w:val="0"/>
          <w:marBottom w:val="0"/>
          <w:divBdr>
            <w:top w:val="none" w:sz="0" w:space="0" w:color="auto"/>
            <w:left w:val="none" w:sz="0" w:space="0" w:color="auto"/>
            <w:bottom w:val="none" w:sz="0" w:space="0" w:color="auto"/>
            <w:right w:val="none" w:sz="0" w:space="0" w:color="auto"/>
          </w:divBdr>
        </w:div>
        <w:div w:id="1805387149">
          <w:marLeft w:val="0"/>
          <w:marRight w:val="0"/>
          <w:marTop w:val="0"/>
          <w:marBottom w:val="0"/>
          <w:divBdr>
            <w:top w:val="none" w:sz="0" w:space="0" w:color="auto"/>
            <w:left w:val="none" w:sz="0" w:space="0" w:color="auto"/>
            <w:bottom w:val="none" w:sz="0" w:space="0" w:color="auto"/>
            <w:right w:val="none" w:sz="0" w:space="0" w:color="auto"/>
          </w:divBdr>
        </w:div>
        <w:div w:id="2004578772">
          <w:marLeft w:val="0"/>
          <w:marRight w:val="0"/>
          <w:marTop w:val="0"/>
          <w:marBottom w:val="0"/>
          <w:divBdr>
            <w:top w:val="none" w:sz="0" w:space="0" w:color="auto"/>
            <w:left w:val="none" w:sz="0" w:space="0" w:color="auto"/>
            <w:bottom w:val="none" w:sz="0" w:space="0" w:color="auto"/>
            <w:right w:val="none" w:sz="0" w:space="0" w:color="auto"/>
          </w:divBdr>
        </w:div>
        <w:div w:id="2050689951">
          <w:marLeft w:val="0"/>
          <w:marRight w:val="0"/>
          <w:marTop w:val="0"/>
          <w:marBottom w:val="0"/>
          <w:divBdr>
            <w:top w:val="none" w:sz="0" w:space="0" w:color="auto"/>
            <w:left w:val="none" w:sz="0" w:space="0" w:color="auto"/>
            <w:bottom w:val="none" w:sz="0" w:space="0" w:color="auto"/>
            <w:right w:val="none" w:sz="0" w:space="0" w:color="auto"/>
          </w:divBdr>
        </w:div>
        <w:div w:id="2086023691">
          <w:marLeft w:val="0"/>
          <w:marRight w:val="0"/>
          <w:marTop w:val="0"/>
          <w:marBottom w:val="0"/>
          <w:divBdr>
            <w:top w:val="none" w:sz="0" w:space="0" w:color="auto"/>
            <w:left w:val="none" w:sz="0" w:space="0" w:color="auto"/>
            <w:bottom w:val="none" w:sz="0" w:space="0" w:color="auto"/>
            <w:right w:val="none" w:sz="0" w:space="0" w:color="auto"/>
          </w:divBdr>
        </w:div>
      </w:divsChild>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4522947">
      <w:bodyDiv w:val="1"/>
      <w:marLeft w:val="0"/>
      <w:marRight w:val="0"/>
      <w:marTop w:val="0"/>
      <w:marBottom w:val="0"/>
      <w:divBdr>
        <w:top w:val="none" w:sz="0" w:space="0" w:color="auto"/>
        <w:left w:val="none" w:sz="0" w:space="0" w:color="auto"/>
        <w:bottom w:val="none" w:sz="0" w:space="0" w:color="auto"/>
        <w:right w:val="none" w:sz="0" w:space="0" w:color="auto"/>
      </w:divBdr>
    </w:div>
    <w:div w:id="1432162613">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10681961">
      <w:bodyDiv w:val="1"/>
      <w:marLeft w:val="0"/>
      <w:marRight w:val="0"/>
      <w:marTop w:val="0"/>
      <w:marBottom w:val="0"/>
      <w:divBdr>
        <w:top w:val="none" w:sz="0" w:space="0" w:color="auto"/>
        <w:left w:val="none" w:sz="0" w:space="0" w:color="auto"/>
        <w:bottom w:val="none" w:sz="0" w:space="0" w:color="auto"/>
        <w:right w:val="none" w:sz="0" w:space="0" w:color="auto"/>
      </w:divBdr>
    </w:div>
    <w:div w:id="1511407061">
      <w:bodyDiv w:val="1"/>
      <w:marLeft w:val="0"/>
      <w:marRight w:val="0"/>
      <w:marTop w:val="0"/>
      <w:marBottom w:val="0"/>
      <w:divBdr>
        <w:top w:val="none" w:sz="0" w:space="0" w:color="auto"/>
        <w:left w:val="none" w:sz="0" w:space="0" w:color="auto"/>
        <w:bottom w:val="none" w:sz="0" w:space="0" w:color="auto"/>
        <w:right w:val="none" w:sz="0" w:space="0" w:color="auto"/>
      </w:divBdr>
    </w:div>
    <w:div w:id="1559824118">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9789278">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33968810">
      <w:bodyDiv w:val="1"/>
      <w:marLeft w:val="0"/>
      <w:marRight w:val="0"/>
      <w:marTop w:val="0"/>
      <w:marBottom w:val="0"/>
      <w:divBdr>
        <w:top w:val="none" w:sz="0" w:space="0" w:color="auto"/>
        <w:left w:val="none" w:sz="0" w:space="0" w:color="auto"/>
        <w:bottom w:val="none" w:sz="0" w:space="0" w:color="auto"/>
        <w:right w:val="none" w:sz="0" w:space="0" w:color="auto"/>
      </w:divBdr>
    </w:div>
    <w:div w:id="1745182286">
      <w:bodyDiv w:val="1"/>
      <w:marLeft w:val="0"/>
      <w:marRight w:val="0"/>
      <w:marTop w:val="0"/>
      <w:marBottom w:val="0"/>
      <w:divBdr>
        <w:top w:val="none" w:sz="0" w:space="0" w:color="auto"/>
        <w:left w:val="none" w:sz="0" w:space="0" w:color="auto"/>
        <w:bottom w:val="none" w:sz="0" w:space="0" w:color="auto"/>
        <w:right w:val="none" w:sz="0" w:space="0" w:color="auto"/>
      </w:divBdr>
    </w:div>
    <w:div w:id="1812094146">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62627866">
      <w:bodyDiv w:val="1"/>
      <w:marLeft w:val="0"/>
      <w:marRight w:val="0"/>
      <w:marTop w:val="0"/>
      <w:marBottom w:val="0"/>
      <w:divBdr>
        <w:top w:val="none" w:sz="0" w:space="0" w:color="auto"/>
        <w:left w:val="none" w:sz="0" w:space="0" w:color="auto"/>
        <w:bottom w:val="none" w:sz="0" w:space="0" w:color="auto"/>
        <w:right w:val="none" w:sz="0" w:space="0" w:color="auto"/>
      </w:divBdr>
    </w:div>
    <w:div w:id="1877694650">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36591861">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79408212">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1997104986">
      <w:bodyDiv w:val="1"/>
      <w:marLeft w:val="0"/>
      <w:marRight w:val="0"/>
      <w:marTop w:val="0"/>
      <w:marBottom w:val="0"/>
      <w:divBdr>
        <w:top w:val="none" w:sz="0" w:space="0" w:color="auto"/>
        <w:left w:val="none" w:sz="0" w:space="0" w:color="auto"/>
        <w:bottom w:val="none" w:sz="0" w:space="0" w:color="auto"/>
        <w:right w:val="none" w:sz="0" w:space="0" w:color="auto"/>
      </w:divBdr>
    </w:div>
    <w:div w:id="2001423098">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054840184">
      <w:bodyDiv w:val="1"/>
      <w:marLeft w:val="0"/>
      <w:marRight w:val="0"/>
      <w:marTop w:val="0"/>
      <w:marBottom w:val="0"/>
      <w:divBdr>
        <w:top w:val="none" w:sz="0" w:space="0" w:color="auto"/>
        <w:left w:val="none" w:sz="0" w:space="0" w:color="auto"/>
        <w:bottom w:val="none" w:sz="0" w:space="0" w:color="auto"/>
        <w:right w:val="none" w:sz="0" w:space="0" w:color="auto"/>
      </w:divBdr>
    </w:div>
    <w:div w:id="2081900471">
      <w:bodyDiv w:val="1"/>
      <w:marLeft w:val="0"/>
      <w:marRight w:val="0"/>
      <w:marTop w:val="0"/>
      <w:marBottom w:val="0"/>
      <w:divBdr>
        <w:top w:val="none" w:sz="0" w:space="0" w:color="auto"/>
        <w:left w:val="none" w:sz="0" w:space="0" w:color="auto"/>
        <w:bottom w:val="none" w:sz="0" w:space="0" w:color="auto"/>
        <w:right w:val="none" w:sz="0" w:space="0" w:color="auto"/>
      </w:divBdr>
    </w:div>
    <w:div w:id="2092964444">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constitucion_politica_1991_pr009.html" TargetMode="External"/><Relationship Id="rId1" Type="http://schemas.openxmlformats.org/officeDocument/2006/relationships/hyperlink" Target="http://www.secretariasenado.gov.co/senado/basedoc/constitucion_politica_1991_pr00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6D4C-6DA4-4F46-AA5F-E787C6A08B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cb9e4b-f1d1-4245-83ec-6cad768d538a"/>
    <ds:schemaRef ds:uri="http://purl.org/dc/elements/1.1/"/>
    <ds:schemaRef ds:uri="http://schemas.microsoft.com/office/2006/metadata/propertie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EF3C47AA-B2FF-49A9-9615-ED02A594637A}">
  <ds:schemaRefs>
    <ds:schemaRef ds:uri="http://schemas.microsoft.com/sharepoint/v3/contenttype/forms"/>
  </ds:schemaRefs>
</ds:datastoreItem>
</file>

<file path=customXml/itemProps3.xml><?xml version="1.0" encoding="utf-8"?>
<ds:datastoreItem xmlns:ds="http://schemas.openxmlformats.org/officeDocument/2006/customXml" ds:itemID="{C6B6E550-F8C3-45B3-85BB-8D1C84368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309CA-84DD-4D1B-BC96-38C0DAC1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9638</Words>
  <Characters>50486</Characters>
  <Application>Microsoft Office Word</Application>
  <DocSecurity>0</DocSecurity>
  <Lines>420</Lines>
  <Paragraphs>120</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60004</CharactersWithSpaces>
  <SharedDoc>false</SharedDoc>
  <HLinks>
    <vt:vector size="12" baseType="variant">
      <vt:variant>
        <vt:i4>2883654</vt:i4>
      </vt:variant>
      <vt:variant>
        <vt:i4>3</vt:i4>
      </vt:variant>
      <vt:variant>
        <vt:i4>0</vt:i4>
      </vt:variant>
      <vt:variant>
        <vt:i4>5</vt:i4>
      </vt:variant>
      <vt:variant>
        <vt:lpwstr>http://www.secretariasenado.gov.co/senado/basedoc/constitucion_politica_1991_pr009.html</vt:lpwstr>
      </vt:variant>
      <vt:variant>
        <vt:lpwstr>267</vt:lpwstr>
      </vt:variant>
      <vt:variant>
        <vt:i4>2424902</vt:i4>
      </vt:variant>
      <vt:variant>
        <vt:i4>0</vt:i4>
      </vt:variant>
      <vt:variant>
        <vt:i4>0</vt:i4>
      </vt:variant>
      <vt:variant>
        <vt:i4>5</vt:i4>
      </vt:variant>
      <vt:variant>
        <vt:lpwstr>http://www.secretariasenado.gov.co/senado/basedoc/constitucion_politica_1991_pr006.html</vt:lpwstr>
      </vt:variant>
      <vt:variant>
        <vt:lpwstr>209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 Juliana Saavedra Arguello</cp:lastModifiedBy>
  <cp:revision>2</cp:revision>
  <cp:lastPrinted>2017-07-06T22:55:00Z</cp:lastPrinted>
  <dcterms:created xsi:type="dcterms:W3CDTF">2020-06-12T20:52:00Z</dcterms:created>
  <dcterms:modified xsi:type="dcterms:W3CDTF">2020-06-12T20:52:00Z</dcterms:modified>
</cp:coreProperties>
</file>