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13356" w14:textId="3ECBDB67" w:rsidR="00CD71DB" w:rsidRPr="00D442D6" w:rsidRDefault="00D442D6" w:rsidP="00D442D6">
      <w:pPr>
        <w:jc w:val="both"/>
        <w:rPr>
          <w:rFonts w:ascii="Arial" w:eastAsia="Calibri" w:hAnsi="Arial" w:cs="Arial"/>
          <w:b/>
          <w:sz w:val="22"/>
          <w:szCs w:val="22"/>
          <w:lang w:val="es-419" w:eastAsia="en-US"/>
        </w:rPr>
      </w:pPr>
      <w:r>
        <w:rPr>
          <w:rFonts w:ascii="Arial" w:eastAsia="Calibri" w:hAnsi="Arial" w:cs="Arial"/>
          <w:b/>
          <w:sz w:val="22"/>
          <w:szCs w:val="22"/>
          <w:lang w:val="es-419" w:eastAsia="en-US"/>
        </w:rPr>
        <w:t>COPIAS SIMPLES – Valor probatorio</w:t>
      </w:r>
      <w:r w:rsidR="000F4C70" w:rsidRPr="00D442D6">
        <w:rPr>
          <w:rFonts w:ascii="Arial" w:eastAsia="Calibri" w:hAnsi="Arial" w:cs="Arial"/>
          <w:b/>
          <w:sz w:val="22"/>
          <w:szCs w:val="22"/>
          <w:lang w:val="es-419" w:eastAsia="en-US"/>
        </w:rPr>
        <w:t xml:space="preserve"> </w:t>
      </w:r>
    </w:p>
    <w:p w14:paraId="5DB56859" w14:textId="77777777" w:rsidR="00D442D6" w:rsidRDefault="00D442D6" w:rsidP="00D442D6">
      <w:pPr>
        <w:jc w:val="both"/>
        <w:rPr>
          <w:rFonts w:ascii="Arial" w:eastAsia="Calibri" w:hAnsi="Arial" w:cs="Arial"/>
          <w:sz w:val="22"/>
          <w:szCs w:val="22"/>
          <w:lang w:val="es-419" w:eastAsia="en-US"/>
        </w:rPr>
      </w:pPr>
    </w:p>
    <w:p w14:paraId="2E9B3F70" w14:textId="76380219"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Asimismo, señalaba el artículo 253 ibídem que los documentos podían ser aportados en original o en copia, pero estas últimas solo tendrían valor probatorio en los casos señalados por el artículo 254 ibídem , esto es: (i) cuando hayan sido autorizados por notario, director de oficina administrativa o de policía, o secretario de oficina judicial, previa orden del juez, donde se encuentre el original o una copia autenticada, (ii) cuando sean autenticadas por notario, previo cotejo con el original o la copia autenticada que se le presente y (iii) cuando sean compulsadas del original o de copia autenticada en el curso de inspección judicial, salvo que la ley disponga otra cosa.</w:t>
      </w:r>
      <w:r w:rsidR="000F4C70" w:rsidRPr="00D442D6">
        <w:rPr>
          <w:rFonts w:ascii="Arial" w:eastAsia="Calibri" w:hAnsi="Arial" w:cs="Arial"/>
          <w:sz w:val="22"/>
          <w:szCs w:val="22"/>
          <w:lang w:val="es-419" w:eastAsia="en-US"/>
        </w:rPr>
        <w:t xml:space="preserve"> (…) </w:t>
      </w:r>
      <w:r w:rsidRPr="00D442D6">
        <w:rPr>
          <w:rFonts w:ascii="Arial" w:eastAsia="Calibri" w:hAnsi="Arial" w:cs="Arial"/>
          <w:sz w:val="22"/>
          <w:szCs w:val="22"/>
          <w:lang w:val="es-419" w:eastAsia="en-US"/>
        </w:rPr>
        <w:t>Acogiendo el criterio de la Corte Constitucional, la jurisprudencia de esta Sala consideró que los únicos documentos que tenían valor probatorio eran los aportados en original o en copia auténtica en los supuestos contemplados por el artículo 254 del C. de P.C., citado en precedencia; no obstante, años más tarde, la jurisprudencia de la Sala admitió que las copias simples podían ser valoradas por el juez en los procesos declarativos cuando la prueba aportada en copia simple hubiera sido coadyuvada por la contraparte o cuando ambas partes aceptaran que el documento fuera apreciado o hubieran coincidido en la valoración del mismo en forma recíproca, no solo al momento de su aportación, sino durante el debate procesal .</w:t>
      </w:r>
    </w:p>
    <w:p w14:paraId="45ED8509" w14:textId="77777777" w:rsidR="00603911" w:rsidRDefault="00603911" w:rsidP="00D442D6">
      <w:pPr>
        <w:jc w:val="both"/>
        <w:rPr>
          <w:rFonts w:ascii="Arial" w:eastAsia="Calibri" w:hAnsi="Arial" w:cs="Arial"/>
          <w:b/>
          <w:sz w:val="22"/>
          <w:szCs w:val="22"/>
          <w:lang w:val="es-419" w:eastAsia="en-US"/>
        </w:rPr>
      </w:pPr>
    </w:p>
    <w:p w14:paraId="14DD7352" w14:textId="189FCC9B"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TÍTULO DE RECAUDO EJECUTIVO</w:t>
      </w:r>
      <w:r w:rsidR="00603911">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xml:space="preserve"> </w:t>
      </w:r>
      <w:r w:rsidR="00603911">
        <w:rPr>
          <w:rFonts w:ascii="Arial" w:eastAsia="Calibri" w:hAnsi="Arial" w:cs="Arial"/>
          <w:b/>
          <w:sz w:val="22"/>
          <w:szCs w:val="22"/>
          <w:lang w:val="es-419" w:eastAsia="en-US"/>
        </w:rPr>
        <w:t>Documentos originales – Presunción de autenticidad</w:t>
      </w:r>
    </w:p>
    <w:p w14:paraId="07D05F7A" w14:textId="77777777" w:rsidR="00603911" w:rsidRDefault="00603911" w:rsidP="00D442D6">
      <w:pPr>
        <w:jc w:val="both"/>
        <w:rPr>
          <w:rFonts w:ascii="Arial" w:eastAsia="Calibri" w:hAnsi="Arial" w:cs="Arial"/>
          <w:sz w:val="22"/>
          <w:szCs w:val="22"/>
          <w:lang w:val="es-419" w:eastAsia="en-US"/>
        </w:rPr>
      </w:pPr>
    </w:p>
    <w:p w14:paraId="0E9DDD25" w14:textId="44157FB0"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Lo anterior implica que cuando se pretenda estructurar un título de recaudo ejecutivo, los únicos documentos que se hallan revestidos con la presunción de autenticidad son, en principio, los originales, lo cual excluye las copias, incluso, las auténticas; sin embargo, en la jurisdicción de lo contencioso administrativo se ha entendido satisfecho, desde el punto de vista estrictamente formal, la integración del título ejecutivo con las copias auténticas, cuando se trata de documentos públicos o pólizas de seguros de cumplimiento (que amparan varios riesgos), pues, en el caso de los documentos públicos, los originales, como fuente primaria de información, deben reposar en los archivos públicos para los fines que contempla la Ley 594 de 2000 (artículo 4º), entre ellos, institucionalizar las decisiones administrativas, servir como antecedente para la adopción de futuras medidas, garantizar el adecuado control de las decisiones administrativas (de tutela, fiscal, judicial, político, etc.) y contribuir de manera eficiente a la gestión administrativa, económica, política y social del Estado, todo lo cual está encaminado a la realización de sus fines (artículo 2 de la Constitución Política) y, en el caso de las pólizas de seguros de cumplimiento que amparan las obligaciones emanadas de los contratos del Estado, se permite que, cuando ellas sirvan de fundamento a la ejecución, puedan ser aportadas al proceso en copia auténtica, porque, tal como lo dispone el artículo 25 (numeral 19) de la ley 80 de 1993, en una póliza se amparan varios riesgos (póliza única) y la ejecución puede darse por la exigibilidad de uno sólo de los amparos garantizados y, en esa medida, el original del título debe reposar en manos del asegurado, para que, en caso de hacerse exigible otro de los riesgos amparados, pueda servir de base para la nueva ejecución.</w:t>
      </w:r>
    </w:p>
    <w:p w14:paraId="785797CE" w14:textId="77777777" w:rsidR="00603911" w:rsidRDefault="00603911" w:rsidP="00D442D6">
      <w:pPr>
        <w:jc w:val="both"/>
        <w:rPr>
          <w:rFonts w:ascii="Arial" w:eastAsia="Calibri" w:hAnsi="Arial" w:cs="Arial"/>
          <w:b/>
          <w:sz w:val="22"/>
          <w:szCs w:val="22"/>
          <w:lang w:val="es-419" w:eastAsia="en-US"/>
        </w:rPr>
      </w:pPr>
    </w:p>
    <w:p w14:paraId="0FA72DF8" w14:textId="1733C3BF"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TÍTULO DE RECAUDO EJECUTIVO</w:t>
      </w:r>
      <w:r w:rsidR="00603911">
        <w:rPr>
          <w:rFonts w:ascii="Arial" w:eastAsia="Calibri" w:hAnsi="Arial" w:cs="Arial"/>
          <w:b/>
          <w:sz w:val="22"/>
          <w:szCs w:val="22"/>
          <w:lang w:val="es-419" w:eastAsia="en-US"/>
        </w:rPr>
        <w:t xml:space="preserve"> </w:t>
      </w:r>
      <w:r w:rsidR="00873022">
        <w:rPr>
          <w:rFonts w:ascii="Arial" w:eastAsia="Calibri" w:hAnsi="Arial" w:cs="Arial"/>
          <w:b/>
          <w:sz w:val="22"/>
          <w:szCs w:val="22"/>
          <w:lang w:val="es-419" w:eastAsia="en-US"/>
        </w:rPr>
        <w:t>–</w:t>
      </w:r>
      <w:r w:rsidRPr="00D442D6">
        <w:rPr>
          <w:rFonts w:ascii="Arial" w:eastAsia="Calibri" w:hAnsi="Arial" w:cs="Arial"/>
          <w:b/>
          <w:sz w:val="22"/>
          <w:szCs w:val="22"/>
          <w:lang w:val="es-419" w:eastAsia="en-US"/>
        </w:rPr>
        <w:t xml:space="preserve"> </w:t>
      </w:r>
      <w:r w:rsidR="00603911">
        <w:rPr>
          <w:rFonts w:ascii="Arial" w:eastAsia="Calibri" w:hAnsi="Arial" w:cs="Arial"/>
          <w:b/>
          <w:sz w:val="22"/>
          <w:szCs w:val="22"/>
          <w:lang w:val="es-419" w:eastAsia="en-US"/>
        </w:rPr>
        <w:t>C</w:t>
      </w:r>
      <w:r w:rsidRPr="00D442D6">
        <w:rPr>
          <w:rFonts w:ascii="Arial" w:eastAsia="Calibri" w:hAnsi="Arial" w:cs="Arial"/>
          <w:b/>
          <w:sz w:val="22"/>
          <w:szCs w:val="22"/>
          <w:lang w:val="es-419" w:eastAsia="en-US"/>
        </w:rPr>
        <w:t xml:space="preserve">opias simples </w:t>
      </w:r>
      <w:r w:rsidR="00603911">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Valor probatorio</w:t>
      </w:r>
    </w:p>
    <w:p w14:paraId="4B451B61" w14:textId="77777777" w:rsidR="00603911" w:rsidRDefault="00603911" w:rsidP="00D442D6">
      <w:pPr>
        <w:jc w:val="both"/>
        <w:rPr>
          <w:rFonts w:ascii="Arial" w:eastAsia="Calibri" w:hAnsi="Arial" w:cs="Arial"/>
          <w:sz w:val="22"/>
          <w:szCs w:val="22"/>
          <w:lang w:val="es-419" w:eastAsia="en-US"/>
        </w:rPr>
      </w:pPr>
    </w:p>
    <w:p w14:paraId="1B9B3440" w14:textId="5367AC2D"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 xml:space="preserve">Precisamente, la Sala Plena de la Sección Tercera de esta Corporación, en sentencia del 28 de agosto de 2013 , unificó su jurisprudencia en cuanto al valor probatorio de las copias simples en los procesos declarativos contencioso administrativos, a la luz de los preceptos contenidos del artículo 215  del Código de Procedimiento Administrativo y de lo Contencioso Administrativo  y de los artículos 244 a 246  del Código General del Proceso, los cuales otorgaron mérito legal a las copias simples y, al respecto, sentó las siguientes bases: i) los documentos públicos o privados, emanados de las partes o de terceros, en original o en copia, se presumen auténticos, ii) es posible que las partes los tachen de falsos o los desconozcan, lo que originará que se surta el respectivo trámite de la tacha, iii) los documentos se pueden aportar al proceso en original o en copia, iv) las copias, por regla general, tendrán el mismo valor probatorio que el documento original, salvo disposición especial en contrario, v) cuando se aporta un documento en copia, corresponde a la parte que lo allega indicar –si lo conoce– el lugar donde reposa el original para efectos de realizar </w:t>
      </w:r>
      <w:r w:rsidRPr="00D442D6">
        <w:rPr>
          <w:rFonts w:ascii="Arial" w:eastAsia="Calibri" w:hAnsi="Arial" w:cs="Arial"/>
          <w:sz w:val="22"/>
          <w:szCs w:val="22"/>
          <w:lang w:val="es-419" w:eastAsia="en-US"/>
        </w:rPr>
        <w:lastRenderedPageBreak/>
        <w:t>el respectivo cotejo, de ser necesario y vi) las partes pueden solicitar el cotejo de los documentos aportados en copias.</w:t>
      </w:r>
    </w:p>
    <w:p w14:paraId="22B448EA" w14:textId="77777777" w:rsidR="007F3101" w:rsidRDefault="007F3101" w:rsidP="00D442D6">
      <w:pPr>
        <w:jc w:val="both"/>
        <w:rPr>
          <w:rFonts w:ascii="Arial" w:eastAsia="Calibri" w:hAnsi="Arial" w:cs="Arial"/>
          <w:b/>
          <w:sz w:val="22"/>
          <w:szCs w:val="22"/>
          <w:lang w:val="es-419" w:eastAsia="en-US"/>
        </w:rPr>
      </w:pPr>
    </w:p>
    <w:p w14:paraId="2C3034B9" w14:textId="71016692"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COPIAS SIMPLES</w:t>
      </w:r>
      <w:r w:rsidR="00F22931">
        <w:rPr>
          <w:rFonts w:ascii="Arial" w:eastAsia="Calibri" w:hAnsi="Arial" w:cs="Arial"/>
          <w:b/>
          <w:sz w:val="22"/>
          <w:szCs w:val="22"/>
          <w:lang w:val="es-419" w:eastAsia="en-US"/>
        </w:rPr>
        <w:t xml:space="preserve"> </w:t>
      </w:r>
      <w:r w:rsidR="00873022">
        <w:rPr>
          <w:rFonts w:ascii="Arial" w:eastAsia="Calibri" w:hAnsi="Arial" w:cs="Arial"/>
          <w:b/>
          <w:sz w:val="22"/>
          <w:szCs w:val="22"/>
          <w:lang w:val="es-419" w:eastAsia="en-US"/>
        </w:rPr>
        <w:t>–</w:t>
      </w:r>
      <w:r w:rsidRPr="00D442D6">
        <w:rPr>
          <w:rFonts w:ascii="Arial" w:eastAsia="Calibri" w:hAnsi="Arial" w:cs="Arial"/>
          <w:b/>
          <w:sz w:val="22"/>
          <w:szCs w:val="22"/>
          <w:lang w:val="es-419" w:eastAsia="en-US"/>
        </w:rPr>
        <w:t xml:space="preserve"> Mérito probatorio </w:t>
      </w:r>
      <w:r w:rsidR="00873022">
        <w:rPr>
          <w:rFonts w:ascii="Arial" w:eastAsia="Calibri" w:hAnsi="Arial" w:cs="Arial"/>
          <w:b/>
          <w:sz w:val="22"/>
          <w:szCs w:val="22"/>
          <w:lang w:val="es-419" w:eastAsia="en-US"/>
        </w:rPr>
        <w:t>–</w:t>
      </w:r>
      <w:r w:rsidRPr="00D442D6">
        <w:rPr>
          <w:rFonts w:ascii="Arial" w:eastAsia="Calibri" w:hAnsi="Arial" w:cs="Arial"/>
          <w:b/>
          <w:sz w:val="22"/>
          <w:szCs w:val="22"/>
          <w:lang w:val="es-419" w:eastAsia="en-US"/>
        </w:rPr>
        <w:t xml:space="preserve"> procesos declarativ</w:t>
      </w:r>
      <w:r w:rsidR="007F3101">
        <w:rPr>
          <w:rFonts w:ascii="Arial" w:eastAsia="Calibri" w:hAnsi="Arial" w:cs="Arial"/>
          <w:b/>
          <w:sz w:val="22"/>
          <w:szCs w:val="22"/>
          <w:lang w:val="es-419" w:eastAsia="en-US"/>
        </w:rPr>
        <w:t>os</w:t>
      </w:r>
      <w:r w:rsidR="00F22931">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Procesos especiales</w:t>
      </w:r>
    </w:p>
    <w:p w14:paraId="0FE4FD90" w14:textId="77777777" w:rsidR="007F3101" w:rsidRDefault="007F3101" w:rsidP="00D442D6">
      <w:pPr>
        <w:jc w:val="both"/>
        <w:rPr>
          <w:rFonts w:ascii="Arial" w:eastAsia="Calibri" w:hAnsi="Arial" w:cs="Arial"/>
          <w:sz w:val="22"/>
          <w:szCs w:val="22"/>
          <w:lang w:val="es-419" w:eastAsia="en-US"/>
        </w:rPr>
      </w:pPr>
    </w:p>
    <w:p w14:paraId="50635CE5" w14:textId="1D5CE5B4"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En suma, la jurisprudencia ha reconocido mérito probatorio a las copias simples solo cuando se trata de probar supuestos de hecho en los procesos ordinarios contencioso administrativos de naturaleza declarativa; pero, cuando se trata de procesos especiales, donde la ley exija el cumplimiento de requisitos específicos, deben hallarse satisfechos dichas exigencias para que se pueda establecer su autenticidad.</w:t>
      </w:r>
    </w:p>
    <w:p w14:paraId="245CF62D" w14:textId="77777777" w:rsidR="007F3101" w:rsidRDefault="007F3101" w:rsidP="00D442D6">
      <w:pPr>
        <w:jc w:val="both"/>
        <w:rPr>
          <w:rFonts w:ascii="Arial" w:eastAsia="Calibri" w:hAnsi="Arial" w:cs="Arial"/>
          <w:b/>
          <w:sz w:val="22"/>
          <w:szCs w:val="22"/>
          <w:lang w:val="es-419" w:eastAsia="en-US"/>
        </w:rPr>
      </w:pPr>
    </w:p>
    <w:p w14:paraId="0EEFA62B" w14:textId="1DC717AC"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TÍTULO</w:t>
      </w:r>
      <w:r w:rsidR="00F975C5">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DE RECAUDO EJECUTIVO</w:t>
      </w:r>
      <w:r w:rsidR="00873022">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xml:space="preserve"> </w:t>
      </w:r>
      <w:r w:rsidR="007F3101">
        <w:rPr>
          <w:rFonts w:ascii="Arial" w:eastAsia="Calibri" w:hAnsi="Arial" w:cs="Arial"/>
          <w:b/>
          <w:sz w:val="22"/>
          <w:szCs w:val="22"/>
          <w:lang w:val="es-419" w:eastAsia="en-US"/>
        </w:rPr>
        <w:t>Integración de títulos – Documentos originales</w:t>
      </w:r>
    </w:p>
    <w:p w14:paraId="1A22C171" w14:textId="77777777" w:rsidR="007F3101" w:rsidRDefault="007F3101" w:rsidP="00D442D6">
      <w:pPr>
        <w:jc w:val="both"/>
        <w:rPr>
          <w:rFonts w:ascii="Arial" w:eastAsia="Calibri" w:hAnsi="Arial" w:cs="Arial"/>
          <w:sz w:val="22"/>
          <w:szCs w:val="22"/>
          <w:lang w:val="es-419" w:eastAsia="en-US"/>
        </w:rPr>
      </w:pPr>
    </w:p>
    <w:p w14:paraId="1AC68575" w14:textId="249F9BA5"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Particularmente, cuando se trata de integrar títulos de recaudo ejecutivo ha señalado la jurisprudencia que, desde el punto de vista formal, los documentos deben ser aportados al proceso en original, tal como lo señala el artículo 252 del C. de P., norma que se hallaba vigente para la fecha en que se profirió la sentencia de primera instancia o en copia auténtica, pues el proceso ejecutivo no tiene como finalidad obtener la declaración judicial de un derecho con base en la prueba que aporten las partes, sino que parte de la existencia de un derecho de crédito a favor del ejecutante, consistente en una obligación clara, expresa y exigible, respecto del cual no debe existir “prima facie” duda sobre su contenido.</w:t>
      </w:r>
    </w:p>
    <w:p w14:paraId="07783290" w14:textId="77777777" w:rsidR="007F3101" w:rsidRDefault="007F3101" w:rsidP="00D442D6">
      <w:pPr>
        <w:jc w:val="both"/>
        <w:rPr>
          <w:rFonts w:ascii="Arial" w:eastAsia="Calibri" w:hAnsi="Arial" w:cs="Arial"/>
          <w:b/>
          <w:sz w:val="22"/>
          <w:szCs w:val="22"/>
          <w:lang w:val="es-419" w:eastAsia="en-US"/>
        </w:rPr>
      </w:pPr>
    </w:p>
    <w:p w14:paraId="179CC4C5" w14:textId="32C8FF3C" w:rsidR="00CD71DB" w:rsidRPr="00D442D6" w:rsidRDefault="00714BB5" w:rsidP="00D442D6">
      <w:pPr>
        <w:jc w:val="both"/>
        <w:rPr>
          <w:rFonts w:ascii="Arial" w:eastAsia="Calibri" w:hAnsi="Arial" w:cs="Arial"/>
          <w:b/>
          <w:sz w:val="22"/>
          <w:szCs w:val="22"/>
          <w:lang w:val="es-419" w:eastAsia="en-US"/>
        </w:rPr>
      </w:pPr>
      <w:r>
        <w:rPr>
          <w:rFonts w:ascii="Arial" w:eastAsia="Calibri" w:hAnsi="Arial" w:cs="Arial"/>
          <w:b/>
          <w:sz w:val="22"/>
          <w:szCs w:val="22"/>
          <w:lang w:val="es-419" w:eastAsia="en-US"/>
        </w:rPr>
        <w:t xml:space="preserve">FALLOS INHIBITORIOS </w:t>
      </w:r>
      <w:r w:rsidR="00873022">
        <w:rPr>
          <w:rFonts w:ascii="Arial" w:eastAsia="Calibri" w:hAnsi="Arial" w:cs="Arial"/>
          <w:b/>
          <w:sz w:val="22"/>
          <w:szCs w:val="22"/>
          <w:lang w:val="es-419" w:eastAsia="en-US"/>
        </w:rPr>
        <w:t>–</w:t>
      </w:r>
      <w:r w:rsidR="00CD71DB" w:rsidRPr="00D442D6">
        <w:rPr>
          <w:rFonts w:ascii="Arial" w:eastAsia="Calibri" w:hAnsi="Arial" w:cs="Arial"/>
          <w:b/>
          <w:sz w:val="22"/>
          <w:szCs w:val="22"/>
          <w:lang w:val="es-419" w:eastAsia="en-US"/>
        </w:rPr>
        <w:t xml:space="preserve"> Definición</w:t>
      </w:r>
    </w:p>
    <w:p w14:paraId="669EA1B0" w14:textId="77777777" w:rsidR="001F09A8" w:rsidRDefault="001F09A8" w:rsidP="00D442D6">
      <w:pPr>
        <w:jc w:val="both"/>
        <w:rPr>
          <w:rFonts w:ascii="Arial" w:eastAsia="Calibri" w:hAnsi="Arial" w:cs="Arial"/>
          <w:sz w:val="22"/>
          <w:szCs w:val="22"/>
          <w:lang w:val="es-419" w:eastAsia="en-US"/>
        </w:rPr>
      </w:pPr>
    </w:p>
    <w:p w14:paraId="74357282" w14:textId="1612B461"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Las decisiones judiciales inhibitorias son aquellas que, “… por diversas causas, ponen fin a una etapa procesal sin decidir de fondo el asunto que se le plantea al juez, es decir, sin adoptar resolución de mérito; por tanto, el problema que ha sido llevado a la justicia queda sin resolver, lo que implica que puede presentarse nuevamente ante la jurisdicción del Estado para su solución, salvo eventos especiales de caducidad o prescripción …”.</w:t>
      </w:r>
    </w:p>
    <w:p w14:paraId="38E6F151" w14:textId="77777777" w:rsidR="00714BB5" w:rsidRDefault="00714BB5" w:rsidP="00D442D6">
      <w:pPr>
        <w:jc w:val="both"/>
        <w:rPr>
          <w:rFonts w:ascii="Arial" w:eastAsia="Calibri" w:hAnsi="Arial" w:cs="Arial"/>
          <w:b/>
          <w:sz w:val="22"/>
          <w:szCs w:val="22"/>
          <w:lang w:val="es-419" w:eastAsia="en-US"/>
        </w:rPr>
      </w:pPr>
    </w:p>
    <w:p w14:paraId="4176E73A" w14:textId="539888DB"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PROCESOS EJECUTIVOS</w:t>
      </w:r>
      <w:r w:rsidR="00873022">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xml:space="preserve"> Trámite </w:t>
      </w:r>
      <w:r w:rsidR="00714BB5">
        <w:rPr>
          <w:rFonts w:ascii="Arial" w:eastAsia="Calibri" w:hAnsi="Arial" w:cs="Arial"/>
          <w:b/>
          <w:sz w:val="22"/>
          <w:szCs w:val="22"/>
          <w:lang w:val="es-419" w:eastAsia="en-US"/>
        </w:rPr>
        <w:t>–</w:t>
      </w:r>
      <w:r w:rsidRPr="00D442D6">
        <w:rPr>
          <w:rFonts w:ascii="Arial" w:eastAsia="Calibri" w:hAnsi="Arial" w:cs="Arial"/>
          <w:b/>
          <w:sz w:val="22"/>
          <w:szCs w:val="22"/>
          <w:lang w:val="es-419" w:eastAsia="en-US"/>
        </w:rPr>
        <w:t xml:space="preserve"> </w:t>
      </w:r>
      <w:r w:rsidR="00F975C5">
        <w:rPr>
          <w:rFonts w:ascii="Arial" w:eastAsia="Calibri" w:hAnsi="Arial" w:cs="Arial"/>
          <w:b/>
          <w:sz w:val="22"/>
          <w:szCs w:val="22"/>
          <w:lang w:val="es-419" w:eastAsia="en-US"/>
        </w:rPr>
        <w:t>CPC</w:t>
      </w:r>
      <w:r w:rsidR="00714BB5">
        <w:rPr>
          <w:rFonts w:ascii="Arial" w:eastAsia="Calibri" w:hAnsi="Arial" w:cs="Arial"/>
          <w:b/>
          <w:sz w:val="22"/>
          <w:szCs w:val="22"/>
          <w:lang w:val="es-419" w:eastAsia="en-US"/>
        </w:rPr>
        <w:t xml:space="preserve"> – CCA</w:t>
      </w:r>
    </w:p>
    <w:p w14:paraId="4D869833" w14:textId="77777777" w:rsidR="00714BB5" w:rsidRDefault="00714BB5" w:rsidP="00D442D6">
      <w:pPr>
        <w:jc w:val="both"/>
        <w:rPr>
          <w:rFonts w:ascii="Arial" w:eastAsia="Calibri" w:hAnsi="Arial" w:cs="Arial"/>
          <w:sz w:val="22"/>
          <w:szCs w:val="22"/>
          <w:lang w:val="es-419" w:eastAsia="en-US"/>
        </w:rPr>
      </w:pPr>
    </w:p>
    <w:p w14:paraId="09917B9C" w14:textId="4E741D6F"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 xml:space="preserve">Para resolver el punto, lo primero que advierte la Sala es que en el trámite de los procesos ejecutivos ante esta jurisdicción se aplica el Código de Procedimiento Civil, por remisión del artículo 267 del C.C.A., ante la falta de normatividad sobre el tema en este último; además, la ley 446 de 1998, al modificar el artículo 87 del C.C.A., expresamente dispuso que el trámite a seguir en los procesos ejecutivos sería el de mayor cuantía regulado por el Código de Procedimiento Civil. La interpretación sistemática de esta disposición, ubicada en la acción relativa a controversias contractuales, con el artículo 75 de la ley 80 de 1993, que asignó a la jurisdicción </w:t>
      </w:r>
      <w:r w:rsidR="00745CE7" w:rsidRPr="00D442D6">
        <w:rPr>
          <w:rFonts w:ascii="Arial" w:eastAsia="Calibri" w:hAnsi="Arial" w:cs="Arial"/>
          <w:sz w:val="22"/>
          <w:szCs w:val="22"/>
          <w:lang w:val="es-419" w:eastAsia="en-US"/>
        </w:rPr>
        <w:t>contencioso</w:t>
      </w:r>
      <w:r w:rsidR="00873022">
        <w:rPr>
          <w:rFonts w:ascii="Arial" w:eastAsia="Calibri" w:hAnsi="Arial" w:cs="Arial"/>
          <w:sz w:val="22"/>
          <w:szCs w:val="22"/>
          <w:lang w:val="es-419" w:eastAsia="en-US"/>
        </w:rPr>
        <w:t>–</w:t>
      </w:r>
      <w:r w:rsidR="00745CE7" w:rsidRPr="00D442D6">
        <w:rPr>
          <w:rFonts w:ascii="Arial" w:eastAsia="Calibri" w:hAnsi="Arial" w:cs="Arial"/>
          <w:sz w:val="22"/>
          <w:szCs w:val="22"/>
          <w:lang w:val="es-419" w:eastAsia="en-US"/>
        </w:rPr>
        <w:t>administrativa</w:t>
      </w:r>
      <w:r w:rsidRPr="00D442D6">
        <w:rPr>
          <w:rFonts w:ascii="Arial" w:eastAsia="Calibri" w:hAnsi="Arial" w:cs="Arial"/>
          <w:sz w:val="22"/>
          <w:szCs w:val="22"/>
          <w:lang w:val="es-419" w:eastAsia="en-US"/>
        </w:rPr>
        <w:t xml:space="preserve"> la competencia para conocer de los procesos de ejecución derivados de los contratos estatales, permite concluir que ese también es el trámite a seguir cuando el ejecutivo proviene directamente de una relación contractual, aunque no medie condena.</w:t>
      </w:r>
    </w:p>
    <w:p w14:paraId="2FBDD7AC" w14:textId="77777777" w:rsidR="00F975C5" w:rsidRDefault="00F975C5" w:rsidP="00D442D6">
      <w:pPr>
        <w:jc w:val="both"/>
        <w:rPr>
          <w:rFonts w:ascii="Arial" w:eastAsia="Calibri" w:hAnsi="Arial" w:cs="Arial"/>
          <w:b/>
          <w:sz w:val="22"/>
          <w:szCs w:val="22"/>
          <w:lang w:val="es-419" w:eastAsia="en-US"/>
        </w:rPr>
      </w:pPr>
    </w:p>
    <w:p w14:paraId="2D3FB37D" w14:textId="39DCF7F5"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COSTAS PROCESALES</w:t>
      </w:r>
      <w:r w:rsidR="00873022">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xml:space="preserve"> Concepción por el legislador – Sanción</w:t>
      </w:r>
    </w:p>
    <w:p w14:paraId="0B57A39D" w14:textId="77777777" w:rsidR="00F975C5" w:rsidRDefault="00F975C5" w:rsidP="00D442D6">
      <w:pPr>
        <w:jc w:val="both"/>
        <w:rPr>
          <w:rFonts w:ascii="Arial" w:eastAsia="Calibri" w:hAnsi="Arial" w:cs="Arial"/>
          <w:sz w:val="22"/>
          <w:szCs w:val="22"/>
          <w:lang w:val="es-419" w:eastAsia="en-US"/>
        </w:rPr>
      </w:pPr>
    </w:p>
    <w:p w14:paraId="7FD59581" w14:textId="69BCCED5"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La institución de las costas procesales fue consagrada por el legislador con el fin de sancionar a la parte que resulta vencida en el litigio, sanción que consiste en el reconocimiento a favor de la parte vencedora de aquellos gastos en que incurrió para impulsar el proceso y lo que debió sufragar en honorarios de abogado (agencias en derecho), indispensables para su actuación dentro del mismo.</w:t>
      </w:r>
    </w:p>
    <w:p w14:paraId="3FBB9B8F" w14:textId="77777777" w:rsidR="00F975C5" w:rsidRDefault="00F975C5" w:rsidP="00D442D6">
      <w:pPr>
        <w:jc w:val="both"/>
        <w:rPr>
          <w:rFonts w:ascii="Arial" w:eastAsia="Calibri" w:hAnsi="Arial" w:cs="Arial"/>
          <w:b/>
          <w:sz w:val="22"/>
          <w:szCs w:val="22"/>
          <w:lang w:val="es-419" w:eastAsia="en-US"/>
        </w:rPr>
      </w:pPr>
    </w:p>
    <w:p w14:paraId="3FD56090" w14:textId="739BB574" w:rsidR="00CD71DB" w:rsidRPr="00D442D6" w:rsidRDefault="00CD71DB" w:rsidP="00D442D6">
      <w:pPr>
        <w:jc w:val="both"/>
        <w:rPr>
          <w:rFonts w:ascii="Arial" w:eastAsia="Calibri" w:hAnsi="Arial" w:cs="Arial"/>
          <w:b/>
          <w:sz w:val="22"/>
          <w:szCs w:val="22"/>
          <w:lang w:val="es-419" w:eastAsia="en-US"/>
        </w:rPr>
      </w:pPr>
      <w:r w:rsidRPr="00D442D6">
        <w:rPr>
          <w:rFonts w:ascii="Arial" w:eastAsia="Calibri" w:hAnsi="Arial" w:cs="Arial"/>
          <w:b/>
          <w:sz w:val="22"/>
          <w:szCs w:val="22"/>
          <w:lang w:val="es-419" w:eastAsia="en-US"/>
        </w:rPr>
        <w:t>COSTAS JUDICIALES</w:t>
      </w:r>
      <w:r w:rsidR="00873022">
        <w:rPr>
          <w:rFonts w:ascii="Arial" w:eastAsia="Calibri" w:hAnsi="Arial" w:cs="Arial"/>
          <w:b/>
          <w:sz w:val="22"/>
          <w:szCs w:val="22"/>
          <w:lang w:val="es-419" w:eastAsia="en-US"/>
        </w:rPr>
        <w:t xml:space="preserve"> –</w:t>
      </w:r>
      <w:r w:rsidRPr="00D442D6">
        <w:rPr>
          <w:rFonts w:ascii="Arial" w:eastAsia="Calibri" w:hAnsi="Arial" w:cs="Arial"/>
          <w:b/>
          <w:sz w:val="22"/>
          <w:szCs w:val="22"/>
          <w:lang w:val="es-419" w:eastAsia="en-US"/>
        </w:rPr>
        <w:t xml:space="preserve"> Definición</w:t>
      </w:r>
    </w:p>
    <w:p w14:paraId="3D57BB64" w14:textId="77777777" w:rsidR="00F975C5" w:rsidRDefault="00F975C5" w:rsidP="00D442D6">
      <w:pPr>
        <w:jc w:val="both"/>
        <w:rPr>
          <w:rFonts w:ascii="Arial" w:eastAsia="Calibri" w:hAnsi="Arial" w:cs="Arial"/>
          <w:sz w:val="22"/>
          <w:szCs w:val="22"/>
          <w:lang w:val="es-419" w:eastAsia="en-US"/>
        </w:rPr>
      </w:pPr>
    </w:p>
    <w:p w14:paraId="77E640F6" w14:textId="1B4B931F" w:rsidR="00CD71DB" w:rsidRPr="00D442D6" w:rsidRDefault="00CD71DB" w:rsidP="00D442D6">
      <w:pPr>
        <w:jc w:val="both"/>
        <w:rPr>
          <w:rFonts w:ascii="Arial" w:eastAsia="Calibri" w:hAnsi="Arial" w:cs="Arial"/>
          <w:sz w:val="22"/>
          <w:szCs w:val="22"/>
          <w:lang w:val="es-419" w:eastAsia="en-US"/>
        </w:rPr>
      </w:pPr>
      <w:r w:rsidRPr="00D442D6">
        <w:rPr>
          <w:rFonts w:ascii="Arial" w:eastAsia="Calibri" w:hAnsi="Arial" w:cs="Arial"/>
          <w:sz w:val="22"/>
          <w:szCs w:val="22"/>
          <w:lang w:val="es-419" w:eastAsia="en-US"/>
        </w:rPr>
        <w:t xml:space="preserve">Las costas judiciales pueden ser definidas como 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 en diligencias realizadas fuera de la sede del despacho judicial, etc.) y, de otro lado, las agencias en derecho, que </w:t>
      </w:r>
      <w:r w:rsidRPr="00D442D6">
        <w:rPr>
          <w:rFonts w:ascii="Arial" w:eastAsia="Calibri" w:hAnsi="Arial" w:cs="Arial"/>
          <w:sz w:val="22"/>
          <w:szCs w:val="22"/>
          <w:lang w:val="es-419" w:eastAsia="en-US"/>
        </w:rPr>
        <w:lastRenderedPageBreak/>
        <w:t xml:space="preserve">corresponden a los gastos efectuados por concepto de apoderamiento, las cuales –valga precisarlo - se decretan en favor de la parte y no de su representante judicial. Aunque las agencias en derecho representan una contraprestación por los gastos en que incurrió la parte vencedora para ejercer la defensa judicial de sus intereses, es el juez quien con base en los acuerdos expedidos por el Consejo Superior de la Judicatura, fija la condena por este concepto, con base, claro ésta, en los criterios establecidos en el artículo 393-3 del Código de Procedimiento Civil (atendiendo a la naturaleza, la calidad de la actuación y la duración de la gestión realizada por el representante judicial o la parte que litigó personalmente). </w:t>
      </w:r>
    </w:p>
    <w:p w14:paraId="5757169A" w14:textId="3C2C7688" w:rsidR="002E52B1" w:rsidRDefault="002E52B1" w:rsidP="002E52B1">
      <w:pPr>
        <w:jc w:val="center"/>
        <w:rPr>
          <w:rFonts w:ascii="Arial" w:hAnsi="Arial" w:cs="Arial"/>
          <w:b/>
        </w:rPr>
      </w:pPr>
    </w:p>
    <w:p w14:paraId="10CC179A" w14:textId="00B21A68" w:rsidR="00F975C5" w:rsidRDefault="00F975C5" w:rsidP="002E52B1">
      <w:pPr>
        <w:jc w:val="center"/>
        <w:rPr>
          <w:rFonts w:ascii="Arial" w:hAnsi="Arial" w:cs="Arial"/>
          <w:b/>
        </w:rPr>
      </w:pPr>
    </w:p>
    <w:p w14:paraId="4BABC8BE" w14:textId="77777777" w:rsidR="00F975C5" w:rsidRPr="002E52B1" w:rsidRDefault="00F975C5" w:rsidP="002E52B1">
      <w:pPr>
        <w:jc w:val="center"/>
        <w:rPr>
          <w:rFonts w:ascii="Arial" w:hAnsi="Arial" w:cs="Arial"/>
          <w:b/>
        </w:rPr>
      </w:pPr>
    </w:p>
    <w:p w14:paraId="430AE7E3" w14:textId="77777777" w:rsidR="00161E42" w:rsidRPr="002E52B1" w:rsidRDefault="00161E42" w:rsidP="002E52B1">
      <w:pPr>
        <w:jc w:val="center"/>
        <w:rPr>
          <w:rFonts w:ascii="Arial" w:hAnsi="Arial" w:cs="Arial"/>
          <w:b/>
        </w:rPr>
      </w:pPr>
      <w:r w:rsidRPr="002E52B1">
        <w:rPr>
          <w:rFonts w:ascii="Arial" w:hAnsi="Arial" w:cs="Arial"/>
          <w:b/>
        </w:rPr>
        <w:t>CONSEJO DE ESTADO</w:t>
      </w:r>
    </w:p>
    <w:p w14:paraId="146ED66B" w14:textId="77777777" w:rsidR="00161E42" w:rsidRPr="002E52B1" w:rsidRDefault="00161E42" w:rsidP="002E52B1">
      <w:pPr>
        <w:jc w:val="center"/>
        <w:rPr>
          <w:rFonts w:ascii="Arial" w:hAnsi="Arial" w:cs="Arial"/>
          <w:b/>
        </w:rPr>
      </w:pPr>
    </w:p>
    <w:p w14:paraId="7B24905F" w14:textId="77777777" w:rsidR="00161E42" w:rsidRPr="002E52B1" w:rsidRDefault="00161E42" w:rsidP="002E52B1">
      <w:pPr>
        <w:jc w:val="center"/>
        <w:rPr>
          <w:rFonts w:ascii="Arial" w:hAnsi="Arial" w:cs="Arial"/>
          <w:b/>
        </w:rPr>
      </w:pPr>
      <w:r w:rsidRPr="002E52B1">
        <w:rPr>
          <w:rFonts w:ascii="Arial" w:hAnsi="Arial" w:cs="Arial"/>
          <w:b/>
        </w:rPr>
        <w:t>SALA DE LO CONTENCIOSO ADMINISTRATIVO</w:t>
      </w:r>
    </w:p>
    <w:p w14:paraId="44C393FB" w14:textId="77777777" w:rsidR="00161E42" w:rsidRPr="002E52B1" w:rsidRDefault="00161E42" w:rsidP="002E52B1">
      <w:pPr>
        <w:jc w:val="center"/>
        <w:rPr>
          <w:rFonts w:ascii="Arial" w:hAnsi="Arial" w:cs="Arial"/>
          <w:b/>
        </w:rPr>
      </w:pPr>
    </w:p>
    <w:p w14:paraId="1E10ED9C" w14:textId="77777777" w:rsidR="00161E42" w:rsidRPr="002E52B1" w:rsidRDefault="00161E42" w:rsidP="002E52B1">
      <w:pPr>
        <w:jc w:val="center"/>
        <w:rPr>
          <w:rFonts w:ascii="Arial" w:hAnsi="Arial" w:cs="Arial"/>
          <w:b/>
        </w:rPr>
      </w:pPr>
      <w:r w:rsidRPr="002E52B1">
        <w:rPr>
          <w:rFonts w:ascii="Arial" w:hAnsi="Arial" w:cs="Arial"/>
          <w:b/>
        </w:rPr>
        <w:t>SECCIÓN TERCERA</w:t>
      </w:r>
    </w:p>
    <w:p w14:paraId="0A7842F5" w14:textId="77777777" w:rsidR="00161E42" w:rsidRPr="002E52B1" w:rsidRDefault="00161E42" w:rsidP="002E52B1">
      <w:pPr>
        <w:jc w:val="center"/>
        <w:rPr>
          <w:rFonts w:ascii="Arial" w:hAnsi="Arial" w:cs="Arial"/>
          <w:b/>
        </w:rPr>
      </w:pPr>
    </w:p>
    <w:p w14:paraId="42AD56D8" w14:textId="77777777" w:rsidR="00161E42" w:rsidRPr="002E52B1" w:rsidRDefault="002E52B1" w:rsidP="002E52B1">
      <w:pPr>
        <w:jc w:val="center"/>
        <w:rPr>
          <w:rFonts w:ascii="Arial" w:hAnsi="Arial" w:cs="Arial"/>
          <w:b/>
        </w:rPr>
      </w:pPr>
      <w:r w:rsidRPr="002E52B1">
        <w:rPr>
          <w:rFonts w:ascii="Arial" w:hAnsi="Arial" w:cs="Arial"/>
          <w:b/>
        </w:rPr>
        <w:t>SUBSECCIÓN A</w:t>
      </w:r>
    </w:p>
    <w:p w14:paraId="0EE96BE5" w14:textId="77777777" w:rsidR="00161E42" w:rsidRPr="002E52B1" w:rsidRDefault="00161E42" w:rsidP="002E52B1">
      <w:pPr>
        <w:jc w:val="center"/>
        <w:rPr>
          <w:rFonts w:ascii="Arial" w:hAnsi="Arial" w:cs="Arial"/>
          <w:b/>
        </w:rPr>
      </w:pPr>
    </w:p>
    <w:p w14:paraId="2BDCF859" w14:textId="77777777" w:rsidR="00161E42" w:rsidRPr="002E52B1" w:rsidRDefault="00161E42" w:rsidP="002E52B1">
      <w:pPr>
        <w:jc w:val="center"/>
        <w:rPr>
          <w:rFonts w:ascii="Arial" w:hAnsi="Arial" w:cs="Arial"/>
          <w:b/>
        </w:rPr>
      </w:pPr>
      <w:r w:rsidRPr="002E52B1">
        <w:rPr>
          <w:rFonts w:ascii="Arial" w:hAnsi="Arial" w:cs="Arial"/>
          <w:b/>
        </w:rPr>
        <w:t xml:space="preserve">Consejero Ponente: </w:t>
      </w:r>
      <w:r w:rsidR="002E52B1" w:rsidRPr="002E52B1">
        <w:rPr>
          <w:rFonts w:ascii="Arial" w:hAnsi="Arial" w:cs="Arial"/>
          <w:b/>
        </w:rPr>
        <w:t>CARLOS ALBERTO ZAMBRANO BARRERA</w:t>
      </w:r>
    </w:p>
    <w:p w14:paraId="57304519" w14:textId="77777777" w:rsidR="00161E42" w:rsidRPr="002E52B1" w:rsidRDefault="00161E42" w:rsidP="002E52B1">
      <w:pPr>
        <w:rPr>
          <w:rFonts w:ascii="Arial" w:hAnsi="Arial" w:cs="Arial"/>
          <w:b/>
        </w:rPr>
      </w:pPr>
    </w:p>
    <w:p w14:paraId="71D7B6F5" w14:textId="77777777" w:rsidR="00161E42" w:rsidRPr="002E52B1" w:rsidRDefault="00161E42" w:rsidP="002E52B1">
      <w:pPr>
        <w:rPr>
          <w:rFonts w:ascii="Arial" w:hAnsi="Arial" w:cs="Arial"/>
        </w:rPr>
      </w:pPr>
      <w:r w:rsidRPr="002E52B1">
        <w:rPr>
          <w:rFonts w:ascii="Arial" w:hAnsi="Arial" w:cs="Arial"/>
        </w:rPr>
        <w:t>Bogotá, D.C.,</w:t>
      </w:r>
      <w:r w:rsidR="00CD5819" w:rsidRPr="002E52B1">
        <w:rPr>
          <w:rFonts w:ascii="Arial" w:hAnsi="Arial" w:cs="Arial"/>
        </w:rPr>
        <w:t xml:space="preserve"> </w:t>
      </w:r>
      <w:r w:rsidR="0067076D" w:rsidRPr="002E52B1">
        <w:rPr>
          <w:rFonts w:ascii="Arial" w:hAnsi="Arial" w:cs="Arial"/>
        </w:rPr>
        <w:t xml:space="preserve">diecinueve (19) de abril </w:t>
      </w:r>
      <w:r w:rsidRPr="002E52B1">
        <w:rPr>
          <w:rFonts w:ascii="Arial" w:hAnsi="Arial" w:cs="Arial"/>
        </w:rPr>
        <w:t xml:space="preserve">de dos mil </w:t>
      </w:r>
      <w:r w:rsidR="002A0873" w:rsidRPr="002E52B1">
        <w:rPr>
          <w:rFonts w:ascii="Arial" w:hAnsi="Arial" w:cs="Arial"/>
        </w:rPr>
        <w:t>dieciocho (2018</w:t>
      </w:r>
      <w:r w:rsidRPr="002E52B1">
        <w:rPr>
          <w:rFonts w:ascii="Arial" w:hAnsi="Arial" w:cs="Arial"/>
        </w:rPr>
        <w:t>).</w:t>
      </w:r>
    </w:p>
    <w:p w14:paraId="7B92BDE6" w14:textId="77777777" w:rsidR="00161E42" w:rsidRPr="002E52B1" w:rsidRDefault="00161E42" w:rsidP="002E52B1">
      <w:pPr>
        <w:rPr>
          <w:rFonts w:ascii="Arial" w:hAnsi="Arial" w:cs="Arial"/>
          <w:b/>
        </w:rPr>
      </w:pPr>
    </w:p>
    <w:p w14:paraId="478C2C25" w14:textId="77777777" w:rsidR="00161E42" w:rsidRPr="002E52B1" w:rsidRDefault="00C92B7C" w:rsidP="002E52B1">
      <w:pPr>
        <w:rPr>
          <w:rFonts w:ascii="Arial" w:hAnsi="Arial" w:cs="Arial"/>
          <w:b/>
          <w:bCs/>
        </w:rPr>
      </w:pPr>
      <w:r w:rsidRPr="002E52B1">
        <w:rPr>
          <w:rFonts w:ascii="Arial" w:hAnsi="Arial" w:cs="Arial"/>
          <w:b/>
          <w:bCs/>
        </w:rPr>
        <w:t>Radicación número</w:t>
      </w:r>
      <w:r w:rsidR="00161E42" w:rsidRPr="002E52B1">
        <w:rPr>
          <w:rFonts w:ascii="Arial" w:hAnsi="Arial" w:cs="Arial"/>
          <w:b/>
          <w:bCs/>
        </w:rPr>
        <w:t>:</w:t>
      </w:r>
      <w:r w:rsidRPr="002E52B1">
        <w:rPr>
          <w:rFonts w:ascii="Arial" w:hAnsi="Arial" w:cs="Arial"/>
          <w:b/>
          <w:bCs/>
        </w:rPr>
        <w:t xml:space="preserve"> </w:t>
      </w:r>
      <w:r w:rsidR="00C17083" w:rsidRPr="002E52B1">
        <w:rPr>
          <w:rFonts w:ascii="Arial" w:hAnsi="Arial" w:cs="Arial"/>
          <w:b/>
          <w:bCs/>
        </w:rPr>
        <w:t>25000-23-26-000-2002-</w:t>
      </w:r>
      <w:r w:rsidRPr="002E52B1">
        <w:rPr>
          <w:rFonts w:ascii="Arial" w:hAnsi="Arial" w:cs="Arial"/>
          <w:b/>
          <w:bCs/>
        </w:rPr>
        <w:t>01421-</w:t>
      </w:r>
      <w:r w:rsidR="002A0873" w:rsidRPr="002E52B1">
        <w:rPr>
          <w:rFonts w:ascii="Arial" w:hAnsi="Arial" w:cs="Arial"/>
          <w:b/>
          <w:bCs/>
        </w:rPr>
        <w:t>02</w:t>
      </w:r>
      <w:r w:rsidR="00C17083" w:rsidRPr="002E52B1">
        <w:rPr>
          <w:rFonts w:ascii="Arial" w:hAnsi="Arial" w:cs="Arial"/>
          <w:b/>
        </w:rPr>
        <w:t>(</w:t>
      </w:r>
      <w:r w:rsidR="00C17083" w:rsidRPr="002E52B1">
        <w:rPr>
          <w:rFonts w:ascii="Arial" w:hAnsi="Arial" w:cs="Arial"/>
          <w:b/>
          <w:bCs/>
        </w:rPr>
        <w:t>45</w:t>
      </w:r>
      <w:r w:rsidR="002A0873" w:rsidRPr="002E52B1">
        <w:rPr>
          <w:rFonts w:ascii="Arial" w:hAnsi="Arial" w:cs="Arial"/>
          <w:b/>
          <w:bCs/>
        </w:rPr>
        <w:t>036</w:t>
      </w:r>
      <w:r w:rsidR="00C17083" w:rsidRPr="002E52B1">
        <w:rPr>
          <w:rFonts w:ascii="Arial" w:hAnsi="Arial" w:cs="Arial"/>
          <w:b/>
          <w:bCs/>
        </w:rPr>
        <w:t>)</w:t>
      </w:r>
    </w:p>
    <w:p w14:paraId="67867090" w14:textId="77777777" w:rsidR="002E52B1" w:rsidRPr="002E52B1" w:rsidRDefault="002E52B1" w:rsidP="002E52B1">
      <w:pPr>
        <w:rPr>
          <w:rFonts w:ascii="Arial" w:hAnsi="Arial" w:cs="Arial"/>
          <w:b/>
        </w:rPr>
      </w:pPr>
    </w:p>
    <w:p w14:paraId="2B993E72" w14:textId="77777777" w:rsidR="00161E42" w:rsidRPr="002E52B1" w:rsidRDefault="002E52B1" w:rsidP="002E52B1">
      <w:pPr>
        <w:jc w:val="both"/>
        <w:rPr>
          <w:rFonts w:ascii="Arial" w:hAnsi="Arial" w:cs="Arial"/>
          <w:b/>
        </w:rPr>
      </w:pPr>
      <w:r w:rsidRPr="002E52B1">
        <w:rPr>
          <w:rFonts w:ascii="Arial" w:hAnsi="Arial" w:cs="Arial"/>
          <w:b/>
        </w:rPr>
        <w:t>Actor: UNIDAD ADMINISTRATIVA ESPECIAL LIQUIDADORA DE ASUNTOS DEL INSTITUTO DE CRÉDITO TERRITORIAL</w:t>
      </w:r>
    </w:p>
    <w:p w14:paraId="30FD781A" w14:textId="77777777" w:rsidR="002E52B1" w:rsidRPr="002E52B1" w:rsidRDefault="002E52B1" w:rsidP="002E52B1">
      <w:pPr>
        <w:rPr>
          <w:rFonts w:ascii="Arial" w:hAnsi="Arial" w:cs="Arial"/>
          <w:b/>
        </w:rPr>
      </w:pPr>
    </w:p>
    <w:p w14:paraId="06F54B60" w14:textId="77777777" w:rsidR="00A0553E" w:rsidRPr="002E52B1" w:rsidRDefault="00161E42" w:rsidP="002E52B1">
      <w:pPr>
        <w:jc w:val="both"/>
        <w:rPr>
          <w:rFonts w:ascii="Arial" w:hAnsi="Arial" w:cs="Arial"/>
          <w:b/>
        </w:rPr>
      </w:pPr>
      <w:r w:rsidRPr="002E52B1">
        <w:rPr>
          <w:rFonts w:ascii="Arial" w:hAnsi="Arial" w:cs="Arial"/>
          <w:b/>
        </w:rPr>
        <w:t>Demandado:</w:t>
      </w:r>
      <w:r w:rsidR="002E52B1" w:rsidRPr="002E52B1">
        <w:rPr>
          <w:rFonts w:ascii="Arial" w:hAnsi="Arial" w:cs="Arial"/>
          <w:b/>
        </w:rPr>
        <w:t xml:space="preserve"> CAJA PROMOTORA DE VIVIENDA MILITAR</w:t>
      </w:r>
    </w:p>
    <w:p w14:paraId="0B5951C2" w14:textId="77777777" w:rsidR="002E52B1" w:rsidRPr="002E52B1" w:rsidRDefault="002E52B1" w:rsidP="002E52B1">
      <w:pPr>
        <w:rPr>
          <w:rFonts w:ascii="Arial" w:hAnsi="Arial" w:cs="Arial"/>
          <w:b/>
          <w:bCs/>
        </w:rPr>
      </w:pPr>
    </w:p>
    <w:p w14:paraId="7CA23592" w14:textId="77777777" w:rsidR="002E52B1" w:rsidRPr="002E52B1" w:rsidRDefault="002E52B1" w:rsidP="002E52B1">
      <w:pPr>
        <w:rPr>
          <w:rFonts w:ascii="Arial" w:hAnsi="Arial" w:cs="Arial"/>
          <w:b/>
          <w:bCs/>
        </w:rPr>
      </w:pPr>
    </w:p>
    <w:p w14:paraId="75EE27C8" w14:textId="77777777" w:rsidR="00161E42" w:rsidRPr="002E52B1" w:rsidRDefault="002E52B1" w:rsidP="002E52B1">
      <w:pPr>
        <w:jc w:val="both"/>
        <w:rPr>
          <w:rFonts w:ascii="Arial" w:hAnsi="Arial" w:cs="Arial"/>
          <w:b/>
          <w:bCs/>
        </w:rPr>
      </w:pPr>
      <w:r w:rsidRPr="002E52B1">
        <w:rPr>
          <w:rFonts w:ascii="Arial" w:hAnsi="Arial" w:cs="Arial"/>
          <w:b/>
          <w:bCs/>
        </w:rPr>
        <w:t>Referencia: EJECUTIVO</w:t>
      </w:r>
    </w:p>
    <w:p w14:paraId="4C792CB3" w14:textId="77777777" w:rsidR="002E52B1" w:rsidRPr="002E52B1" w:rsidRDefault="002E52B1" w:rsidP="002E52B1">
      <w:pPr>
        <w:jc w:val="both"/>
        <w:rPr>
          <w:rFonts w:ascii="Arial" w:hAnsi="Arial" w:cs="Arial"/>
          <w:b/>
          <w:bCs/>
        </w:rPr>
      </w:pPr>
    </w:p>
    <w:p w14:paraId="5FB4B168" w14:textId="77777777" w:rsidR="002E52B1" w:rsidRPr="002E52B1" w:rsidRDefault="002E52B1" w:rsidP="002E52B1">
      <w:pPr>
        <w:rPr>
          <w:rFonts w:ascii="Arial" w:hAnsi="Arial" w:cs="Arial"/>
          <w:bCs/>
        </w:rPr>
      </w:pPr>
    </w:p>
    <w:p w14:paraId="3206CF94" w14:textId="77777777" w:rsidR="002E52B1" w:rsidRPr="002E52B1" w:rsidRDefault="002E52B1" w:rsidP="002E52B1">
      <w:pPr>
        <w:rPr>
          <w:rFonts w:ascii="Arial" w:hAnsi="Arial" w:cs="Arial"/>
          <w:bCs/>
        </w:rPr>
      </w:pPr>
    </w:p>
    <w:p w14:paraId="4A5630B7" w14:textId="77777777" w:rsidR="00161E42" w:rsidRPr="0042691D" w:rsidRDefault="00161E42" w:rsidP="002A0873">
      <w:pPr>
        <w:widowControl w:val="0"/>
        <w:spacing w:line="360" w:lineRule="auto"/>
        <w:ind w:right="20"/>
        <w:jc w:val="both"/>
        <w:rPr>
          <w:rFonts w:ascii="Century Gothic" w:hAnsi="Century Gothic" w:cs="Arial"/>
          <w:sz w:val="22"/>
          <w:szCs w:val="22"/>
        </w:rPr>
      </w:pPr>
      <w:r w:rsidRPr="0042691D">
        <w:rPr>
          <w:rFonts w:ascii="Century Gothic" w:hAnsi="Century Gothic" w:cs="Arial"/>
          <w:sz w:val="22"/>
          <w:szCs w:val="22"/>
        </w:rPr>
        <w:t xml:space="preserve">Surtido el trámite de ley, sin que se observe causal de nulidad que invalide lo actuado, se procede a resolver el recurso de apelación interpuesto por la parte </w:t>
      </w:r>
      <w:r w:rsidR="002A0873" w:rsidRPr="0042691D">
        <w:rPr>
          <w:rFonts w:ascii="Century Gothic" w:hAnsi="Century Gothic" w:cs="Arial"/>
          <w:sz w:val="22"/>
          <w:szCs w:val="22"/>
        </w:rPr>
        <w:t xml:space="preserve">ejecutante </w:t>
      </w:r>
      <w:r w:rsidRPr="0042691D">
        <w:rPr>
          <w:rFonts w:ascii="Century Gothic" w:hAnsi="Century Gothic" w:cs="Arial"/>
          <w:sz w:val="22"/>
          <w:szCs w:val="22"/>
        </w:rPr>
        <w:t xml:space="preserve">contra la sentencia proferida el </w:t>
      </w:r>
      <w:r w:rsidR="002A0873" w:rsidRPr="0042691D">
        <w:rPr>
          <w:rFonts w:ascii="Century Gothic" w:hAnsi="Century Gothic" w:cs="Arial"/>
          <w:sz w:val="22"/>
          <w:szCs w:val="22"/>
        </w:rPr>
        <w:t>1º de febrero de 2012</w:t>
      </w:r>
      <w:r w:rsidRPr="0042691D">
        <w:rPr>
          <w:rFonts w:ascii="Century Gothic" w:hAnsi="Century Gothic" w:cs="Arial"/>
          <w:sz w:val="22"/>
          <w:szCs w:val="22"/>
        </w:rPr>
        <w:t xml:space="preserve"> po</w:t>
      </w:r>
      <w:r w:rsidR="002A0873" w:rsidRPr="0042691D">
        <w:rPr>
          <w:rFonts w:ascii="Century Gothic" w:hAnsi="Century Gothic" w:cs="Arial"/>
          <w:sz w:val="22"/>
          <w:szCs w:val="22"/>
        </w:rPr>
        <w:t>r el Tribunal Administrativo de Cundinamarca</w:t>
      </w:r>
      <w:r w:rsidRPr="0042691D">
        <w:rPr>
          <w:rFonts w:ascii="Century Gothic" w:hAnsi="Century Gothic" w:cs="Arial"/>
          <w:sz w:val="22"/>
          <w:szCs w:val="22"/>
        </w:rPr>
        <w:t xml:space="preserve">, </w:t>
      </w:r>
      <w:r w:rsidR="002A0873" w:rsidRPr="0042691D">
        <w:rPr>
          <w:rFonts w:ascii="Century Gothic" w:hAnsi="Century Gothic" w:cs="Arial"/>
          <w:sz w:val="22"/>
          <w:szCs w:val="22"/>
        </w:rPr>
        <w:t xml:space="preserve">la cual declaró probada, de oficio, la excepción que denominó </w:t>
      </w:r>
      <w:r w:rsidR="002A0873" w:rsidRPr="00A0553E">
        <w:rPr>
          <w:rFonts w:ascii="Century Gothic" w:hAnsi="Century Gothic" w:cs="Arial"/>
          <w:i/>
          <w:sz w:val="22"/>
          <w:szCs w:val="22"/>
        </w:rPr>
        <w:t>“inexistencia de la obligación”</w:t>
      </w:r>
      <w:r w:rsidR="002A0873" w:rsidRPr="0042691D">
        <w:rPr>
          <w:rFonts w:ascii="Century Gothic" w:hAnsi="Century Gothic" w:cs="Arial"/>
          <w:sz w:val="22"/>
          <w:szCs w:val="22"/>
        </w:rPr>
        <w:t xml:space="preserve">, </w:t>
      </w:r>
      <w:r w:rsidR="00A0553E">
        <w:rPr>
          <w:rFonts w:ascii="Century Gothic" w:hAnsi="Century Gothic" w:cs="Arial"/>
          <w:sz w:val="22"/>
          <w:szCs w:val="22"/>
        </w:rPr>
        <w:t xml:space="preserve">dispuso la terminación del </w:t>
      </w:r>
      <w:r w:rsidR="002A0873" w:rsidRPr="0042691D">
        <w:rPr>
          <w:rFonts w:ascii="Century Gothic" w:hAnsi="Century Gothic" w:cs="Arial"/>
          <w:sz w:val="22"/>
          <w:szCs w:val="22"/>
        </w:rPr>
        <w:t xml:space="preserve">proceso y condenó en costas a la parte ejecutante </w:t>
      </w:r>
      <w:r w:rsidR="00E37EB9" w:rsidRPr="0042691D">
        <w:rPr>
          <w:rFonts w:ascii="Century Gothic" w:hAnsi="Century Gothic" w:cs="Arial"/>
          <w:sz w:val="22"/>
          <w:szCs w:val="22"/>
        </w:rPr>
        <w:t>(</w:t>
      </w:r>
      <w:r w:rsidR="002A0873" w:rsidRPr="0042691D">
        <w:rPr>
          <w:rFonts w:ascii="Century Gothic" w:hAnsi="Century Gothic" w:cs="Arial"/>
          <w:sz w:val="22"/>
          <w:szCs w:val="22"/>
        </w:rPr>
        <w:t>folio</w:t>
      </w:r>
      <w:r w:rsidR="00E37EB9" w:rsidRPr="0042691D">
        <w:rPr>
          <w:rFonts w:ascii="Century Gothic" w:hAnsi="Century Gothic" w:cs="Arial"/>
          <w:sz w:val="22"/>
          <w:szCs w:val="22"/>
        </w:rPr>
        <w:t xml:space="preserve"> 2</w:t>
      </w:r>
      <w:r w:rsidR="002A0873" w:rsidRPr="0042691D">
        <w:rPr>
          <w:rFonts w:ascii="Century Gothic" w:hAnsi="Century Gothic" w:cs="Arial"/>
          <w:sz w:val="22"/>
          <w:szCs w:val="22"/>
        </w:rPr>
        <w:t>20</w:t>
      </w:r>
      <w:r w:rsidR="00E37EB9" w:rsidRPr="0042691D">
        <w:rPr>
          <w:rFonts w:ascii="Century Gothic" w:hAnsi="Century Gothic" w:cs="Arial"/>
          <w:sz w:val="22"/>
          <w:szCs w:val="22"/>
        </w:rPr>
        <w:t>, C. Consejo)</w:t>
      </w:r>
      <w:r w:rsidR="0047408E" w:rsidRPr="0042691D">
        <w:rPr>
          <w:rFonts w:ascii="Century Gothic" w:hAnsi="Century Gothic" w:cs="Arial"/>
          <w:sz w:val="22"/>
          <w:szCs w:val="22"/>
        </w:rPr>
        <w:t>:</w:t>
      </w:r>
    </w:p>
    <w:p w14:paraId="6797AF0D" w14:textId="77777777" w:rsidR="00D67300" w:rsidRPr="0042691D" w:rsidRDefault="00D67300" w:rsidP="00D67300">
      <w:pPr>
        <w:pStyle w:val="Ttulo1"/>
        <w:keepNext w:val="0"/>
        <w:ind w:right="20"/>
        <w:rPr>
          <w:rFonts w:ascii="Century Gothic" w:hAnsi="Century Gothic"/>
          <w:sz w:val="22"/>
          <w:szCs w:val="22"/>
        </w:rPr>
      </w:pPr>
    </w:p>
    <w:p w14:paraId="41236601" w14:textId="77777777" w:rsidR="00D67300" w:rsidRPr="0042691D" w:rsidRDefault="00E37EB9" w:rsidP="00D67300">
      <w:pPr>
        <w:pStyle w:val="Ttulo1"/>
        <w:keepNext w:val="0"/>
        <w:ind w:right="20"/>
        <w:rPr>
          <w:rFonts w:ascii="Century Gothic" w:hAnsi="Century Gothic"/>
          <w:sz w:val="22"/>
          <w:szCs w:val="22"/>
        </w:rPr>
      </w:pPr>
      <w:r w:rsidRPr="0042691D">
        <w:rPr>
          <w:rFonts w:ascii="Century Gothic" w:hAnsi="Century Gothic"/>
          <w:sz w:val="22"/>
          <w:szCs w:val="22"/>
        </w:rPr>
        <w:t>ANTECEDENTES.-</w:t>
      </w:r>
    </w:p>
    <w:p w14:paraId="060D1DDE" w14:textId="77777777" w:rsidR="00D67300" w:rsidRPr="0042691D" w:rsidRDefault="00D67300" w:rsidP="00D67300">
      <w:pPr>
        <w:ind w:right="20"/>
        <w:rPr>
          <w:rFonts w:ascii="Century Gothic" w:hAnsi="Century Gothic"/>
        </w:rPr>
      </w:pPr>
    </w:p>
    <w:p w14:paraId="403F7789" w14:textId="77777777" w:rsidR="00D67300" w:rsidRPr="0042691D" w:rsidRDefault="002E7FD2" w:rsidP="00D67300">
      <w:pPr>
        <w:widowControl w:val="0"/>
        <w:spacing w:line="360" w:lineRule="auto"/>
        <w:ind w:right="20"/>
        <w:jc w:val="both"/>
        <w:rPr>
          <w:rFonts w:ascii="Century Gothic" w:hAnsi="Century Gothic" w:cs="Arial"/>
          <w:b/>
          <w:bCs/>
          <w:sz w:val="22"/>
          <w:szCs w:val="22"/>
        </w:rPr>
      </w:pPr>
      <w:r w:rsidRPr="0042691D">
        <w:rPr>
          <w:rFonts w:ascii="Century Gothic" w:hAnsi="Century Gothic" w:cs="Arial"/>
          <w:b/>
          <w:bCs/>
          <w:sz w:val="22"/>
          <w:szCs w:val="22"/>
        </w:rPr>
        <w:t>1</w:t>
      </w:r>
      <w:r w:rsidR="00E37EB9" w:rsidRPr="0042691D">
        <w:rPr>
          <w:rFonts w:ascii="Century Gothic" w:hAnsi="Century Gothic" w:cs="Arial"/>
          <w:b/>
          <w:bCs/>
          <w:sz w:val="22"/>
          <w:szCs w:val="22"/>
        </w:rPr>
        <w:t>.- La de</w:t>
      </w:r>
      <w:r w:rsidR="00D67300" w:rsidRPr="0042691D">
        <w:rPr>
          <w:rFonts w:ascii="Century Gothic" w:hAnsi="Century Gothic" w:cs="Arial"/>
          <w:b/>
          <w:bCs/>
          <w:sz w:val="22"/>
          <w:szCs w:val="22"/>
        </w:rPr>
        <w:t>manda</w:t>
      </w:r>
      <w:r w:rsidR="00327975" w:rsidRPr="0042691D">
        <w:rPr>
          <w:rFonts w:ascii="Century Gothic" w:hAnsi="Century Gothic" w:cs="Arial"/>
          <w:b/>
          <w:bCs/>
          <w:sz w:val="22"/>
          <w:szCs w:val="22"/>
        </w:rPr>
        <w:t>.-</w:t>
      </w:r>
    </w:p>
    <w:p w14:paraId="5DD98AD9" w14:textId="77777777" w:rsidR="00D67300" w:rsidRPr="0042691D" w:rsidRDefault="00D67300" w:rsidP="00D67300">
      <w:pPr>
        <w:widowControl w:val="0"/>
        <w:spacing w:line="360" w:lineRule="auto"/>
        <w:ind w:right="20"/>
        <w:jc w:val="both"/>
        <w:rPr>
          <w:rFonts w:ascii="Century Gothic" w:hAnsi="Century Gothic" w:cs="Arial"/>
          <w:sz w:val="22"/>
          <w:szCs w:val="22"/>
        </w:rPr>
      </w:pPr>
    </w:p>
    <w:p w14:paraId="7DB09CFE" w14:textId="77777777" w:rsidR="00E9021D" w:rsidRPr="0042691D" w:rsidRDefault="002A0873" w:rsidP="00E37EB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zCs w:val="22"/>
        </w:rPr>
        <w:t>Mediante escrit</w:t>
      </w:r>
      <w:r w:rsidR="0067076D">
        <w:rPr>
          <w:rFonts w:ascii="Century Gothic" w:hAnsi="Century Gothic" w:cs="Arial"/>
          <w:szCs w:val="22"/>
        </w:rPr>
        <w:t>o radicado el 4 de julio de 2002</w:t>
      </w:r>
      <w:r w:rsidRPr="0042691D">
        <w:rPr>
          <w:rFonts w:ascii="Century Gothic" w:hAnsi="Century Gothic" w:cs="Arial"/>
          <w:szCs w:val="22"/>
        </w:rPr>
        <w:t xml:space="preserve"> </w:t>
      </w:r>
      <w:r w:rsidR="00E37EB9" w:rsidRPr="0042691D">
        <w:rPr>
          <w:rFonts w:ascii="Century Gothic" w:hAnsi="Century Gothic" w:cs="Arial"/>
          <w:szCs w:val="22"/>
        </w:rPr>
        <w:t xml:space="preserve">en el Tribunal Administrativo de Cundinamarca, </w:t>
      </w:r>
      <w:r w:rsidR="003869DD" w:rsidRPr="0042691D">
        <w:rPr>
          <w:rFonts w:ascii="Century Gothic" w:hAnsi="Century Gothic" w:cs="Arial"/>
          <w:szCs w:val="22"/>
        </w:rPr>
        <w:t>l</w:t>
      </w:r>
      <w:r w:rsidR="00E37EB9" w:rsidRPr="0042691D">
        <w:rPr>
          <w:rFonts w:ascii="Century Gothic" w:hAnsi="Century Gothic" w:cs="Arial"/>
          <w:szCs w:val="22"/>
        </w:rPr>
        <w:t xml:space="preserve">a </w:t>
      </w:r>
      <w:r w:rsidRPr="0042691D">
        <w:rPr>
          <w:rFonts w:ascii="Century Gothic" w:hAnsi="Century Gothic" w:cs="Arial"/>
          <w:szCs w:val="22"/>
        </w:rPr>
        <w:t>Unidad Administrativa Especial Liquidadora de los Asuntos del Instituto de Crédito Territorial</w:t>
      </w:r>
      <w:r w:rsidR="00E37EB9" w:rsidRPr="0042691D">
        <w:rPr>
          <w:rFonts w:ascii="Century Gothic" w:hAnsi="Century Gothic" w:cs="Arial"/>
          <w:szCs w:val="22"/>
        </w:rPr>
        <w:t>, actuando por conducto de apoderado, formuló demanda</w:t>
      </w:r>
      <w:r w:rsidR="00A81789" w:rsidRPr="0042691D">
        <w:rPr>
          <w:rFonts w:ascii="Century Gothic" w:hAnsi="Century Gothic" w:cs="Arial"/>
          <w:spacing w:val="0"/>
          <w:szCs w:val="22"/>
        </w:rPr>
        <w:t xml:space="preserve"> </w:t>
      </w:r>
      <w:r w:rsidR="00191655" w:rsidRPr="0042691D">
        <w:rPr>
          <w:rFonts w:ascii="Century Gothic" w:hAnsi="Century Gothic" w:cs="Arial"/>
          <w:spacing w:val="0"/>
          <w:szCs w:val="22"/>
        </w:rPr>
        <w:t xml:space="preserve">contra </w:t>
      </w:r>
      <w:r w:rsidRPr="0042691D">
        <w:rPr>
          <w:rFonts w:ascii="Century Gothic" w:hAnsi="Century Gothic" w:cs="Arial"/>
          <w:spacing w:val="0"/>
          <w:szCs w:val="22"/>
        </w:rPr>
        <w:t>la Caja Promotora de Vivienda Militar</w:t>
      </w:r>
      <w:r w:rsidR="009D62D3" w:rsidRPr="0042691D">
        <w:rPr>
          <w:rFonts w:ascii="Century Gothic" w:hAnsi="Century Gothic" w:cs="Arial"/>
          <w:spacing w:val="0"/>
          <w:szCs w:val="22"/>
        </w:rPr>
        <w:t xml:space="preserve">, para </w:t>
      </w:r>
      <w:r w:rsidR="00A81789" w:rsidRPr="0042691D">
        <w:rPr>
          <w:rFonts w:ascii="Century Gothic" w:hAnsi="Century Gothic" w:cs="Arial"/>
          <w:spacing w:val="0"/>
          <w:szCs w:val="22"/>
        </w:rPr>
        <w:t xml:space="preserve">que </w:t>
      </w:r>
      <w:r w:rsidR="00975303" w:rsidRPr="0042691D">
        <w:rPr>
          <w:rFonts w:ascii="Century Gothic" w:hAnsi="Century Gothic" w:cs="Arial"/>
          <w:spacing w:val="0"/>
          <w:szCs w:val="22"/>
        </w:rPr>
        <w:t>f</w:t>
      </w:r>
      <w:r w:rsidR="009D62D3" w:rsidRPr="0042691D">
        <w:rPr>
          <w:rFonts w:ascii="Century Gothic" w:hAnsi="Century Gothic" w:cs="Arial"/>
          <w:spacing w:val="0"/>
          <w:szCs w:val="22"/>
        </w:rPr>
        <w:t>uera librado</w:t>
      </w:r>
      <w:r w:rsidR="000F6F7D" w:rsidRPr="0042691D">
        <w:rPr>
          <w:rFonts w:ascii="Century Gothic" w:hAnsi="Century Gothic" w:cs="Arial"/>
          <w:spacing w:val="0"/>
          <w:szCs w:val="22"/>
        </w:rPr>
        <w:t xml:space="preserve"> </w:t>
      </w:r>
      <w:r w:rsidR="00975303" w:rsidRPr="0042691D">
        <w:rPr>
          <w:rFonts w:ascii="Century Gothic" w:hAnsi="Century Gothic" w:cs="Arial"/>
          <w:spacing w:val="0"/>
          <w:szCs w:val="22"/>
        </w:rPr>
        <w:lastRenderedPageBreak/>
        <w:t xml:space="preserve">mandamiento de pago </w:t>
      </w:r>
      <w:r w:rsidR="000F6F7D" w:rsidRPr="0042691D">
        <w:rPr>
          <w:rFonts w:ascii="Century Gothic" w:hAnsi="Century Gothic" w:cs="Arial"/>
          <w:spacing w:val="0"/>
          <w:szCs w:val="22"/>
        </w:rPr>
        <w:t xml:space="preserve">a su favor </w:t>
      </w:r>
      <w:r w:rsidR="0087113C" w:rsidRPr="0042691D">
        <w:rPr>
          <w:rFonts w:ascii="Century Gothic" w:hAnsi="Century Gothic" w:cs="Arial"/>
          <w:spacing w:val="0"/>
          <w:szCs w:val="22"/>
        </w:rPr>
        <w:t>y en contra de la ejecutada</w:t>
      </w:r>
      <w:r w:rsidR="00327975" w:rsidRPr="0042691D">
        <w:rPr>
          <w:rFonts w:ascii="Century Gothic" w:hAnsi="Century Gothic" w:cs="Arial"/>
          <w:spacing w:val="0"/>
          <w:szCs w:val="22"/>
        </w:rPr>
        <w:t>, por las siguientes sumas</w:t>
      </w:r>
      <w:r w:rsidR="00E9021D" w:rsidRPr="0042691D">
        <w:rPr>
          <w:rFonts w:ascii="Century Gothic" w:hAnsi="Century Gothic" w:cs="Arial"/>
          <w:spacing w:val="0"/>
          <w:szCs w:val="22"/>
        </w:rPr>
        <w:t xml:space="preserve"> (se transcribe c</w:t>
      </w:r>
      <w:r w:rsidRPr="0042691D">
        <w:rPr>
          <w:rFonts w:ascii="Century Gothic" w:hAnsi="Century Gothic" w:cs="Arial"/>
          <w:spacing w:val="0"/>
          <w:szCs w:val="22"/>
        </w:rPr>
        <w:t>omo aparece en la demanda, fl. 2</w:t>
      </w:r>
      <w:r w:rsidR="00E9021D" w:rsidRPr="0042691D">
        <w:rPr>
          <w:rFonts w:ascii="Century Gothic" w:hAnsi="Century Gothic" w:cs="Arial"/>
          <w:spacing w:val="0"/>
          <w:szCs w:val="22"/>
        </w:rPr>
        <w:t xml:space="preserve">, C. 1) </w:t>
      </w:r>
      <w:r w:rsidR="00327975" w:rsidRPr="0042691D">
        <w:rPr>
          <w:rFonts w:ascii="Century Gothic" w:hAnsi="Century Gothic" w:cs="Arial"/>
          <w:spacing w:val="0"/>
          <w:szCs w:val="22"/>
        </w:rPr>
        <w:t xml:space="preserve">: </w:t>
      </w:r>
    </w:p>
    <w:p w14:paraId="7B83A745" w14:textId="77777777" w:rsidR="00E9021D" w:rsidRPr="0042691D" w:rsidRDefault="00E9021D" w:rsidP="00E37EB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4B4EA98" w14:textId="77777777" w:rsidR="002A0873" w:rsidRPr="0042691D" w:rsidRDefault="00E9021D"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r w:rsidRPr="0042691D">
        <w:rPr>
          <w:rFonts w:ascii="Century Gothic" w:hAnsi="Century Gothic" w:cs="Arial"/>
          <w:spacing w:val="0"/>
          <w:sz w:val="20"/>
        </w:rPr>
        <w:t>“</w:t>
      </w:r>
      <w:r w:rsidR="002A0873" w:rsidRPr="0042691D">
        <w:rPr>
          <w:rFonts w:ascii="Century Gothic" w:hAnsi="Century Gothic" w:cs="Arial"/>
          <w:spacing w:val="0"/>
          <w:sz w:val="20"/>
        </w:rPr>
        <w:t>PRIMERO: Se libre mandamiento ejecutivo a favor de la UNIDAD ADMIN</w:t>
      </w:r>
      <w:r w:rsidR="00A0553E">
        <w:rPr>
          <w:rFonts w:ascii="Century Gothic" w:hAnsi="Century Gothic" w:cs="Arial"/>
          <w:spacing w:val="0"/>
          <w:sz w:val="20"/>
        </w:rPr>
        <w:t>I</w:t>
      </w:r>
      <w:r w:rsidR="002A0873" w:rsidRPr="0042691D">
        <w:rPr>
          <w:rFonts w:ascii="Century Gothic" w:hAnsi="Century Gothic" w:cs="Arial"/>
          <w:spacing w:val="0"/>
          <w:sz w:val="20"/>
        </w:rPr>
        <w:t>STRATIVA ESPECIAL LIQUIDADORA DE LOS ASUNTOS DEL INSTITUTO DE CRÉDITO TERRITORIAL (UAE-ICT) y en contra DE LA CAJA PROMOTORA DE LA VIVIENDA POPULAR, por las siguientes cantidades de dinero:</w:t>
      </w:r>
    </w:p>
    <w:p w14:paraId="2B988BAF" w14:textId="77777777" w:rsidR="002A0873" w:rsidRPr="0042691D" w:rsidRDefault="002A0873"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p>
    <w:p w14:paraId="16337079" w14:textId="77777777" w:rsidR="002A0873" w:rsidRPr="0042691D" w:rsidRDefault="002A0873"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r w:rsidRPr="0042691D">
        <w:rPr>
          <w:rFonts w:ascii="Century Gothic" w:hAnsi="Century Gothic" w:cs="Arial"/>
          <w:spacing w:val="0"/>
          <w:sz w:val="20"/>
        </w:rPr>
        <w:t>“A).- Por la suma de CUATRO MIL QUINIENTOS SESENTA Y DOS MILLONES, QUINIENTOS TREINTA Y COHO MIL PESOS ($4.572’538.000.oo), por concepto de la obligación por capital, correspondiente al 5% sobre el valor de la venta de 2.446 viviendas, conforme a la Resolución Administrativa de Liquidación Unilateral del Contrato de Compra–venta, No.211 del 11 de Marzo del 2002 y confirmada por la Resolución No.372 del 24 de Mayo de 2002, que presento como Título ejecutivo.</w:t>
      </w:r>
    </w:p>
    <w:p w14:paraId="4E6E98C4" w14:textId="77777777" w:rsidR="002A0873" w:rsidRPr="0042691D" w:rsidRDefault="002A0873"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p>
    <w:p w14:paraId="03E763A2" w14:textId="77777777" w:rsidR="00B37B5E" w:rsidRPr="0042691D" w:rsidRDefault="002A0873"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r w:rsidRPr="0042691D">
        <w:rPr>
          <w:rFonts w:ascii="Century Gothic" w:hAnsi="Century Gothic" w:cs="Arial"/>
          <w:spacing w:val="0"/>
          <w:sz w:val="20"/>
        </w:rPr>
        <w:t xml:space="preserve">“B).- Por la suma de TRES MIL SEISCIENTOS TRES MILLONES, SETECIENTOS VEINTIUN MIL, CUATROCIENTOS VEINTIDOS PESOS($3.603’721.422,oo) por concepto de intereses sobre la anterior suma de dinero desde el momento que se constituyó en mora, esto es desde el mes de Enero de 1.989, hasta el 30 de septiembre de 2001, según liquidación </w:t>
      </w:r>
      <w:r w:rsidR="00B37B5E" w:rsidRPr="0042691D">
        <w:rPr>
          <w:rFonts w:ascii="Century Gothic" w:hAnsi="Century Gothic" w:cs="Arial"/>
          <w:spacing w:val="0"/>
          <w:sz w:val="20"/>
        </w:rPr>
        <w:t>a la tasa de 13.1% anual, contenida en el Título Ejecutivo.</w:t>
      </w:r>
    </w:p>
    <w:p w14:paraId="5EE5FBD1" w14:textId="77777777" w:rsidR="00B37B5E" w:rsidRPr="0042691D" w:rsidRDefault="00B37B5E"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p>
    <w:p w14:paraId="37FA6315" w14:textId="77777777" w:rsidR="00B37B5E" w:rsidRPr="0042691D" w:rsidRDefault="00B37B5E"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r w:rsidRPr="0042691D">
        <w:rPr>
          <w:rFonts w:ascii="Century Gothic" w:hAnsi="Century Gothic" w:cs="Arial"/>
          <w:spacing w:val="0"/>
          <w:sz w:val="20"/>
        </w:rPr>
        <w:t>“C).- Por el valor de los intereses moratorios sobre el capital debido, desde el día 1º de Octubre del 2001, hasta e momento en que se efectúe el pago total de la obligación a la tasa del 13.1% anual.</w:t>
      </w:r>
    </w:p>
    <w:p w14:paraId="1BB7F486" w14:textId="77777777" w:rsidR="00B37B5E" w:rsidRPr="0042691D" w:rsidRDefault="00B37B5E"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p>
    <w:p w14:paraId="7B2C6EA0" w14:textId="77777777" w:rsidR="00B37B5E" w:rsidRPr="0042691D" w:rsidRDefault="00B37B5E" w:rsidP="00E902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249"/>
        <w:textAlignment w:val="auto"/>
        <w:rPr>
          <w:rFonts w:ascii="Century Gothic" w:hAnsi="Century Gothic" w:cs="Arial"/>
          <w:spacing w:val="0"/>
          <w:sz w:val="20"/>
        </w:rPr>
      </w:pPr>
      <w:r w:rsidRPr="0042691D">
        <w:rPr>
          <w:rFonts w:ascii="Century Gothic" w:hAnsi="Century Gothic" w:cs="Arial"/>
          <w:spacing w:val="0"/>
          <w:sz w:val="20"/>
        </w:rPr>
        <w:t>“SEGUNDO: Se condene a la entidad demandada al pago de las costas y gastos del proceso, así como al pago de las Agencias en derecho”.</w:t>
      </w:r>
    </w:p>
    <w:p w14:paraId="729CE7EF" w14:textId="77777777" w:rsidR="00327975" w:rsidRPr="0042691D" w:rsidRDefault="00327975" w:rsidP="00E37EB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87AA6C0" w14:textId="77777777" w:rsidR="00D67300" w:rsidRPr="0042691D" w:rsidRDefault="004643AE" w:rsidP="0032797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bCs/>
          <w:spacing w:val="0"/>
          <w:szCs w:val="22"/>
        </w:rPr>
      </w:pPr>
      <w:r w:rsidRPr="0042691D">
        <w:rPr>
          <w:rFonts w:ascii="Century Gothic" w:hAnsi="Century Gothic" w:cs="Arial"/>
          <w:b/>
          <w:bCs/>
          <w:spacing w:val="0"/>
          <w:szCs w:val="22"/>
        </w:rPr>
        <w:t>2.- Los h</w:t>
      </w:r>
      <w:r w:rsidR="00D67300" w:rsidRPr="0042691D">
        <w:rPr>
          <w:rFonts w:ascii="Century Gothic" w:hAnsi="Century Gothic" w:cs="Arial"/>
          <w:b/>
          <w:bCs/>
          <w:spacing w:val="0"/>
          <w:szCs w:val="22"/>
        </w:rPr>
        <w:t>echos.-</w:t>
      </w:r>
    </w:p>
    <w:p w14:paraId="645BCF04" w14:textId="77777777" w:rsidR="00D67300" w:rsidRPr="0042691D" w:rsidRDefault="00D67300" w:rsidP="00D6730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bCs/>
          <w:spacing w:val="0"/>
          <w:szCs w:val="22"/>
        </w:rPr>
      </w:pPr>
    </w:p>
    <w:p w14:paraId="3121C04B" w14:textId="77777777" w:rsidR="004643AE" w:rsidRPr="0042691D" w:rsidRDefault="004643AE" w:rsidP="004643AE">
      <w:pPr>
        <w:pStyle w:val="Textoindependiente3"/>
        <w:rPr>
          <w:rFonts w:ascii="Century Gothic" w:hAnsi="Century Gothic"/>
          <w:sz w:val="22"/>
        </w:rPr>
      </w:pPr>
      <w:r w:rsidRPr="0042691D">
        <w:rPr>
          <w:rFonts w:ascii="Century Gothic" w:hAnsi="Century Gothic"/>
          <w:sz w:val="22"/>
        </w:rPr>
        <w:t>Los fundamentos fácticos de las pretensiones se pueden compendiar así:</w:t>
      </w:r>
    </w:p>
    <w:p w14:paraId="76DAD00A" w14:textId="77777777" w:rsidR="00C02915" w:rsidRPr="0042691D" w:rsidRDefault="00C02915" w:rsidP="00C02915">
      <w:pPr>
        <w:spacing w:line="360" w:lineRule="auto"/>
        <w:jc w:val="both"/>
        <w:rPr>
          <w:rFonts w:ascii="Century Gothic" w:hAnsi="Century Gothic" w:cs="Tahoma"/>
          <w:sz w:val="22"/>
          <w:szCs w:val="22"/>
        </w:rPr>
      </w:pPr>
    </w:p>
    <w:p w14:paraId="436C04D2" w14:textId="77777777" w:rsidR="006A2894" w:rsidRPr="0042691D" w:rsidRDefault="005229FF" w:rsidP="00C02915">
      <w:pPr>
        <w:spacing w:line="360" w:lineRule="auto"/>
        <w:jc w:val="both"/>
        <w:rPr>
          <w:rFonts w:ascii="Century Gothic" w:hAnsi="Century Gothic" w:cs="Tahoma"/>
          <w:sz w:val="22"/>
          <w:szCs w:val="22"/>
        </w:rPr>
      </w:pPr>
      <w:r w:rsidRPr="0042691D">
        <w:rPr>
          <w:rFonts w:ascii="Century Gothic" w:hAnsi="Century Gothic" w:cs="Tahoma"/>
          <w:b/>
          <w:sz w:val="22"/>
          <w:szCs w:val="22"/>
        </w:rPr>
        <w:t>2.1.-</w:t>
      </w:r>
      <w:r w:rsidRPr="0042691D">
        <w:rPr>
          <w:rFonts w:ascii="Century Gothic" w:hAnsi="Century Gothic" w:cs="Tahoma"/>
          <w:sz w:val="22"/>
          <w:szCs w:val="22"/>
        </w:rPr>
        <w:t xml:space="preserve"> </w:t>
      </w:r>
      <w:r w:rsidR="00B22401" w:rsidRPr="0042691D">
        <w:rPr>
          <w:rFonts w:ascii="Century Gothic" w:hAnsi="Century Gothic" w:cs="Tahoma"/>
          <w:sz w:val="22"/>
          <w:szCs w:val="22"/>
        </w:rPr>
        <w:t>Mediante escritura pública 5602 del 26 de diciembre de 1983, el Instituto de Crédito Territorial transfirió</w:t>
      </w:r>
      <w:r w:rsidR="00630A93" w:rsidRPr="0042691D">
        <w:rPr>
          <w:rFonts w:ascii="Century Gothic" w:hAnsi="Century Gothic" w:cs="Tahoma"/>
          <w:sz w:val="22"/>
          <w:szCs w:val="22"/>
        </w:rPr>
        <w:t xml:space="preserve">, a título de venta, el pleno dominio y posesión </w:t>
      </w:r>
      <w:r w:rsidR="001E5C82" w:rsidRPr="0042691D">
        <w:rPr>
          <w:rFonts w:ascii="Century Gothic" w:hAnsi="Century Gothic" w:cs="Tahoma"/>
          <w:sz w:val="22"/>
          <w:szCs w:val="22"/>
        </w:rPr>
        <w:t>de</w:t>
      </w:r>
      <w:r w:rsidR="00630A93" w:rsidRPr="0042691D">
        <w:rPr>
          <w:rFonts w:ascii="Century Gothic" w:hAnsi="Century Gothic" w:cs="Tahoma"/>
          <w:sz w:val="22"/>
          <w:szCs w:val="22"/>
        </w:rPr>
        <w:t xml:space="preserve"> los terrenos</w:t>
      </w:r>
      <w:r w:rsidR="001E5C82" w:rsidRPr="0042691D">
        <w:rPr>
          <w:rFonts w:ascii="Century Gothic" w:hAnsi="Century Gothic" w:cs="Tahoma"/>
          <w:sz w:val="22"/>
          <w:szCs w:val="22"/>
        </w:rPr>
        <w:t xml:space="preserve"> denominados </w:t>
      </w:r>
      <w:r w:rsidR="001E5C82" w:rsidRPr="0042691D">
        <w:rPr>
          <w:rFonts w:ascii="Century Gothic" w:hAnsi="Century Gothic" w:cs="Tahoma"/>
          <w:i/>
          <w:sz w:val="22"/>
          <w:szCs w:val="22"/>
        </w:rPr>
        <w:t>“Rafael Núñez”</w:t>
      </w:r>
      <w:r w:rsidR="001E5C82" w:rsidRPr="0042691D">
        <w:rPr>
          <w:rFonts w:ascii="Century Gothic" w:hAnsi="Century Gothic" w:cs="Tahoma"/>
          <w:sz w:val="22"/>
          <w:szCs w:val="22"/>
        </w:rPr>
        <w:t xml:space="preserve">, descritos en los literales A y B de la </w:t>
      </w:r>
      <w:r w:rsidR="00630A93" w:rsidRPr="0042691D">
        <w:rPr>
          <w:rFonts w:ascii="Century Gothic" w:hAnsi="Century Gothic" w:cs="Tahoma"/>
          <w:sz w:val="22"/>
          <w:szCs w:val="22"/>
        </w:rPr>
        <w:t>cláusula primera de los mencionados instrumentos</w:t>
      </w:r>
      <w:r w:rsidR="001E5C82" w:rsidRPr="0042691D">
        <w:rPr>
          <w:rFonts w:ascii="Century Gothic" w:hAnsi="Century Gothic" w:cs="Tahoma"/>
          <w:sz w:val="22"/>
          <w:szCs w:val="22"/>
        </w:rPr>
        <w:t>,</w:t>
      </w:r>
      <w:r w:rsidR="00630A93" w:rsidRPr="0042691D">
        <w:rPr>
          <w:rFonts w:ascii="Century Gothic" w:hAnsi="Century Gothic" w:cs="Tahoma"/>
          <w:sz w:val="22"/>
          <w:szCs w:val="22"/>
        </w:rPr>
        <w:t xml:space="preserve"> </w:t>
      </w:r>
      <w:r w:rsidR="00B22401" w:rsidRPr="0042691D">
        <w:rPr>
          <w:rFonts w:ascii="Century Gothic" w:hAnsi="Century Gothic" w:cs="Tahoma"/>
          <w:sz w:val="22"/>
          <w:szCs w:val="22"/>
        </w:rPr>
        <w:t>a la Caja Promotora de Vivienda Militar,</w:t>
      </w:r>
      <w:r w:rsidR="006A2894" w:rsidRPr="0042691D">
        <w:rPr>
          <w:rFonts w:ascii="Century Gothic" w:hAnsi="Century Gothic" w:cs="Tahoma"/>
          <w:sz w:val="22"/>
          <w:szCs w:val="22"/>
        </w:rPr>
        <w:t xml:space="preserve"> por un valor de $591’693.000.oo.</w:t>
      </w:r>
    </w:p>
    <w:p w14:paraId="2201C96D" w14:textId="77777777" w:rsidR="005229FF" w:rsidRPr="0042691D" w:rsidRDefault="005229FF" w:rsidP="00C02915">
      <w:pPr>
        <w:spacing w:line="360" w:lineRule="auto"/>
        <w:jc w:val="both"/>
        <w:rPr>
          <w:rFonts w:ascii="Century Gothic" w:hAnsi="Century Gothic" w:cs="Tahoma"/>
          <w:sz w:val="22"/>
          <w:szCs w:val="22"/>
        </w:rPr>
      </w:pPr>
    </w:p>
    <w:p w14:paraId="39992BF8" w14:textId="77777777" w:rsidR="00686768" w:rsidRPr="0042691D" w:rsidRDefault="005229FF" w:rsidP="00C02915">
      <w:pPr>
        <w:spacing w:line="360" w:lineRule="auto"/>
        <w:jc w:val="both"/>
        <w:rPr>
          <w:rFonts w:ascii="Century Gothic" w:hAnsi="Century Gothic" w:cs="Tahoma"/>
          <w:sz w:val="22"/>
          <w:szCs w:val="22"/>
        </w:rPr>
      </w:pPr>
      <w:r w:rsidRPr="0042691D">
        <w:rPr>
          <w:rFonts w:ascii="Century Gothic" w:hAnsi="Century Gothic" w:cs="Tahoma"/>
          <w:b/>
          <w:sz w:val="22"/>
          <w:szCs w:val="22"/>
        </w:rPr>
        <w:t>2.2.-</w:t>
      </w:r>
      <w:r w:rsidRPr="0042691D">
        <w:rPr>
          <w:rFonts w:ascii="Century Gothic" w:hAnsi="Century Gothic" w:cs="Tahoma"/>
          <w:sz w:val="22"/>
          <w:szCs w:val="22"/>
        </w:rPr>
        <w:t xml:space="preserve"> </w:t>
      </w:r>
      <w:r w:rsidR="005E191B" w:rsidRPr="0042691D">
        <w:rPr>
          <w:rFonts w:ascii="Century Gothic" w:hAnsi="Century Gothic" w:cs="Tahoma"/>
          <w:sz w:val="22"/>
          <w:szCs w:val="22"/>
        </w:rPr>
        <w:t>E</w:t>
      </w:r>
      <w:r w:rsidR="006A2894" w:rsidRPr="0042691D">
        <w:rPr>
          <w:rFonts w:ascii="Century Gothic" w:hAnsi="Century Gothic" w:cs="Tahoma"/>
          <w:sz w:val="22"/>
          <w:szCs w:val="22"/>
        </w:rPr>
        <w:t>n la cláusula séptima de la citada escritura</w:t>
      </w:r>
      <w:r w:rsidR="0057318D" w:rsidRPr="0042691D">
        <w:rPr>
          <w:rFonts w:ascii="Century Gothic" w:hAnsi="Century Gothic" w:cs="Tahoma"/>
          <w:sz w:val="22"/>
          <w:szCs w:val="22"/>
        </w:rPr>
        <w:t xml:space="preserve">, las partes pactaron que </w:t>
      </w:r>
      <w:r w:rsidR="00050588" w:rsidRPr="0042691D">
        <w:rPr>
          <w:rFonts w:ascii="Century Gothic" w:hAnsi="Century Gothic" w:cs="Tahoma"/>
          <w:sz w:val="22"/>
          <w:szCs w:val="22"/>
        </w:rPr>
        <w:t>la Caja Promotora de Vivienda Militar reconocería</w:t>
      </w:r>
      <w:r w:rsidR="0057318D" w:rsidRPr="0042691D">
        <w:rPr>
          <w:rFonts w:ascii="Century Gothic" w:hAnsi="Century Gothic" w:cs="Tahoma"/>
          <w:sz w:val="22"/>
          <w:szCs w:val="22"/>
        </w:rPr>
        <w:t xml:space="preserve"> al Instituto de Crédito Territorial el 5% </w:t>
      </w:r>
      <w:r w:rsidR="00522ACA" w:rsidRPr="0042691D">
        <w:rPr>
          <w:rFonts w:ascii="Century Gothic" w:hAnsi="Century Gothic" w:cs="Tahoma"/>
          <w:sz w:val="22"/>
          <w:szCs w:val="22"/>
        </w:rPr>
        <w:t>del precio de cada casa vendida</w:t>
      </w:r>
      <w:r w:rsidR="00686768" w:rsidRPr="0042691D">
        <w:rPr>
          <w:rFonts w:ascii="Century Gothic" w:hAnsi="Century Gothic" w:cs="Tahoma"/>
          <w:sz w:val="22"/>
          <w:szCs w:val="22"/>
        </w:rPr>
        <w:t>; en desarrollo del programa se vendieron 2.446 viviendas en los años y a los precios señalados en el título de recaudo ejecutivo, por un valor total de $91.450’760.000,oo, de los cuales la Caja Promotora de Vivienda Militar debió pagar el señalado porcentaje.</w:t>
      </w:r>
    </w:p>
    <w:p w14:paraId="4438ACF9" w14:textId="77777777" w:rsidR="00686768" w:rsidRPr="0042691D" w:rsidRDefault="00686768" w:rsidP="00C02915">
      <w:pPr>
        <w:spacing w:line="360" w:lineRule="auto"/>
        <w:jc w:val="both"/>
        <w:rPr>
          <w:rFonts w:ascii="Century Gothic" w:hAnsi="Century Gothic" w:cs="Tahoma"/>
          <w:sz w:val="22"/>
          <w:szCs w:val="22"/>
        </w:rPr>
      </w:pPr>
    </w:p>
    <w:p w14:paraId="4D50AB2A" w14:textId="77777777" w:rsidR="005229FF" w:rsidRPr="0042691D" w:rsidRDefault="00686768" w:rsidP="00C02915">
      <w:pPr>
        <w:spacing w:line="360" w:lineRule="auto"/>
        <w:jc w:val="both"/>
        <w:rPr>
          <w:rFonts w:ascii="Century Gothic" w:hAnsi="Century Gothic" w:cs="Tahoma"/>
          <w:sz w:val="22"/>
          <w:szCs w:val="22"/>
        </w:rPr>
      </w:pPr>
      <w:r w:rsidRPr="0042691D">
        <w:rPr>
          <w:rFonts w:ascii="Century Gothic" w:hAnsi="Century Gothic" w:cs="Tahoma"/>
          <w:sz w:val="22"/>
          <w:szCs w:val="22"/>
        </w:rPr>
        <w:lastRenderedPageBreak/>
        <w:t>La obligación contenida en la cláusula séptima no fue cumplida por la Caja Promotora de Vivienda Militar, pese a que estaba</w:t>
      </w:r>
      <w:r w:rsidR="00A0553E">
        <w:rPr>
          <w:rFonts w:ascii="Century Gothic" w:hAnsi="Century Gothic" w:cs="Tahoma"/>
          <w:sz w:val="22"/>
          <w:szCs w:val="22"/>
        </w:rPr>
        <w:t xml:space="preserve"> satisfecha</w:t>
      </w:r>
      <w:r w:rsidRPr="0042691D">
        <w:rPr>
          <w:rFonts w:ascii="Century Gothic" w:hAnsi="Century Gothic" w:cs="Tahoma"/>
          <w:sz w:val="22"/>
          <w:szCs w:val="22"/>
        </w:rPr>
        <w:t xml:space="preserve"> la condición estipulada. </w:t>
      </w:r>
    </w:p>
    <w:p w14:paraId="2AC35AE0" w14:textId="77777777" w:rsidR="00686768" w:rsidRPr="0042691D" w:rsidRDefault="00686768" w:rsidP="00C02915">
      <w:pPr>
        <w:spacing w:line="360" w:lineRule="auto"/>
        <w:jc w:val="both"/>
        <w:rPr>
          <w:rFonts w:ascii="Century Gothic" w:hAnsi="Century Gothic" w:cs="Tahoma"/>
          <w:sz w:val="22"/>
          <w:szCs w:val="22"/>
        </w:rPr>
      </w:pPr>
    </w:p>
    <w:p w14:paraId="23821D71" w14:textId="77777777" w:rsidR="00B23E66" w:rsidRPr="0042691D" w:rsidRDefault="005229FF" w:rsidP="00C02915">
      <w:pPr>
        <w:spacing w:line="360" w:lineRule="auto"/>
        <w:jc w:val="both"/>
        <w:rPr>
          <w:rFonts w:ascii="Century Gothic" w:hAnsi="Century Gothic" w:cs="Tahoma"/>
          <w:sz w:val="22"/>
          <w:szCs w:val="22"/>
        </w:rPr>
      </w:pPr>
      <w:r w:rsidRPr="0042691D">
        <w:rPr>
          <w:rFonts w:ascii="Century Gothic" w:hAnsi="Century Gothic" w:cs="Tahoma"/>
          <w:b/>
          <w:sz w:val="22"/>
          <w:szCs w:val="22"/>
        </w:rPr>
        <w:t xml:space="preserve">2.3.- </w:t>
      </w:r>
      <w:r w:rsidR="00686768" w:rsidRPr="0042691D">
        <w:rPr>
          <w:rFonts w:ascii="Century Gothic" w:hAnsi="Century Gothic" w:cs="Tahoma"/>
          <w:sz w:val="22"/>
          <w:szCs w:val="22"/>
        </w:rPr>
        <w:t>La Unidad Administrativa Especial Liquidadora de Asuntos del Instituto de Crédito Territorial, en ejercicio de las facultades legales y estatutarias, y en especial la potestad prevista en el artículo 61 de la ley 80 de 1993</w:t>
      </w:r>
      <w:r w:rsidR="00BA7401" w:rsidRPr="0042691D">
        <w:rPr>
          <w:rFonts w:ascii="Century Gothic" w:hAnsi="Century Gothic" w:cs="Tahoma"/>
          <w:sz w:val="22"/>
          <w:szCs w:val="22"/>
        </w:rPr>
        <w:t>,</w:t>
      </w:r>
      <w:r w:rsidR="00686768" w:rsidRPr="0042691D">
        <w:rPr>
          <w:rFonts w:ascii="Century Gothic" w:hAnsi="Century Gothic" w:cs="Tahoma"/>
          <w:sz w:val="22"/>
          <w:szCs w:val="22"/>
        </w:rPr>
        <w:t xml:space="preserve"> </w:t>
      </w:r>
      <w:r w:rsidR="00BA7401" w:rsidRPr="0042691D">
        <w:rPr>
          <w:rFonts w:ascii="Century Gothic" w:hAnsi="Century Gothic" w:cs="Tahoma"/>
          <w:sz w:val="22"/>
          <w:szCs w:val="22"/>
        </w:rPr>
        <w:t>liquidó unilateralmente el contrato de compraventa contenido en la precitada escritura 5602 de 1983</w:t>
      </w:r>
      <w:r w:rsidR="00A0553E">
        <w:rPr>
          <w:rFonts w:ascii="Century Gothic" w:hAnsi="Century Gothic" w:cs="Tahoma"/>
          <w:sz w:val="22"/>
          <w:szCs w:val="22"/>
        </w:rPr>
        <w:t>,</w:t>
      </w:r>
      <w:r w:rsidR="00BA7401" w:rsidRPr="0042691D">
        <w:rPr>
          <w:rFonts w:ascii="Century Gothic" w:hAnsi="Century Gothic" w:cs="Tahoma"/>
          <w:sz w:val="22"/>
          <w:szCs w:val="22"/>
        </w:rPr>
        <w:t xml:space="preserve"> mediante resolución 211 del 11 de marzo de</w:t>
      </w:r>
      <w:r w:rsidR="00B23E66" w:rsidRPr="0042691D">
        <w:rPr>
          <w:rFonts w:ascii="Century Gothic" w:hAnsi="Century Gothic" w:cs="Tahoma"/>
          <w:sz w:val="22"/>
          <w:szCs w:val="22"/>
        </w:rPr>
        <w:t xml:space="preserve"> 2002. </w:t>
      </w:r>
    </w:p>
    <w:p w14:paraId="51B03843" w14:textId="77777777" w:rsidR="00B23E66" w:rsidRPr="0042691D" w:rsidRDefault="00B23E66" w:rsidP="00C02915">
      <w:pPr>
        <w:spacing w:line="360" w:lineRule="auto"/>
        <w:jc w:val="both"/>
        <w:rPr>
          <w:rFonts w:ascii="Century Gothic" w:hAnsi="Century Gothic" w:cs="Tahoma"/>
          <w:sz w:val="22"/>
          <w:szCs w:val="22"/>
        </w:rPr>
      </w:pPr>
    </w:p>
    <w:p w14:paraId="706B55BA" w14:textId="77777777" w:rsidR="00C34A48" w:rsidRPr="0042691D" w:rsidRDefault="00B23E66" w:rsidP="00C02915">
      <w:pPr>
        <w:spacing w:line="360" w:lineRule="auto"/>
        <w:jc w:val="both"/>
        <w:rPr>
          <w:rFonts w:ascii="Century Gothic" w:hAnsi="Century Gothic" w:cs="Tahoma"/>
          <w:sz w:val="22"/>
          <w:szCs w:val="22"/>
        </w:rPr>
      </w:pPr>
      <w:r w:rsidRPr="0042691D">
        <w:rPr>
          <w:rFonts w:ascii="Century Gothic" w:hAnsi="Century Gothic" w:cs="Tahoma"/>
          <w:sz w:val="22"/>
          <w:szCs w:val="22"/>
        </w:rPr>
        <w:t>El acto de liquidación unilateral fue recurrido por la Caja Promotora de Vivienda Militar, pero la UAE-ICT confirmó la decisión.</w:t>
      </w:r>
    </w:p>
    <w:p w14:paraId="60C4B648" w14:textId="77777777" w:rsidR="00C34A48" w:rsidRPr="0042691D" w:rsidRDefault="00C34A48" w:rsidP="00C02915">
      <w:pPr>
        <w:spacing w:line="360" w:lineRule="auto"/>
        <w:jc w:val="both"/>
        <w:rPr>
          <w:rFonts w:ascii="Century Gothic" w:hAnsi="Century Gothic" w:cs="Tahoma"/>
          <w:sz w:val="22"/>
          <w:szCs w:val="22"/>
        </w:rPr>
      </w:pPr>
    </w:p>
    <w:p w14:paraId="7591CFC7" w14:textId="77777777" w:rsidR="00C34A48" w:rsidRPr="0042691D" w:rsidRDefault="00C34A48" w:rsidP="00C02915">
      <w:pPr>
        <w:spacing w:line="360" w:lineRule="auto"/>
        <w:jc w:val="both"/>
        <w:rPr>
          <w:rFonts w:ascii="Century Gothic" w:hAnsi="Century Gothic" w:cs="Tahoma"/>
          <w:sz w:val="22"/>
          <w:szCs w:val="22"/>
        </w:rPr>
      </w:pPr>
      <w:r w:rsidRPr="0042691D">
        <w:rPr>
          <w:rFonts w:ascii="Century Gothic" w:hAnsi="Century Gothic" w:cs="Tahoma"/>
          <w:sz w:val="22"/>
          <w:szCs w:val="22"/>
        </w:rPr>
        <w:t>Afirmó el ejecutante que la resolución de liquidación unilateral contiene una obligación clara, expresa y exigible a favor de la Unidad Admin</w:t>
      </w:r>
      <w:r w:rsidR="00E42D1C" w:rsidRPr="0042691D">
        <w:rPr>
          <w:rFonts w:ascii="Century Gothic" w:hAnsi="Century Gothic" w:cs="Tahoma"/>
          <w:sz w:val="22"/>
          <w:szCs w:val="22"/>
        </w:rPr>
        <w:t>i</w:t>
      </w:r>
      <w:r w:rsidRPr="0042691D">
        <w:rPr>
          <w:rFonts w:ascii="Century Gothic" w:hAnsi="Century Gothic" w:cs="Tahoma"/>
          <w:sz w:val="22"/>
          <w:szCs w:val="22"/>
        </w:rPr>
        <w:t>s</w:t>
      </w:r>
      <w:r w:rsidR="00E42D1C" w:rsidRPr="0042691D">
        <w:rPr>
          <w:rFonts w:ascii="Century Gothic" w:hAnsi="Century Gothic" w:cs="Tahoma"/>
          <w:sz w:val="22"/>
          <w:szCs w:val="22"/>
        </w:rPr>
        <w:t>trativa Es</w:t>
      </w:r>
      <w:r w:rsidRPr="0042691D">
        <w:rPr>
          <w:rFonts w:ascii="Century Gothic" w:hAnsi="Century Gothic" w:cs="Tahoma"/>
          <w:sz w:val="22"/>
          <w:szCs w:val="22"/>
        </w:rPr>
        <w:t>p</w:t>
      </w:r>
      <w:r w:rsidR="00E42D1C" w:rsidRPr="0042691D">
        <w:rPr>
          <w:rFonts w:ascii="Century Gothic" w:hAnsi="Century Gothic" w:cs="Tahoma"/>
          <w:sz w:val="22"/>
          <w:szCs w:val="22"/>
        </w:rPr>
        <w:t>e</w:t>
      </w:r>
      <w:r w:rsidRPr="0042691D">
        <w:rPr>
          <w:rFonts w:ascii="Century Gothic" w:hAnsi="Century Gothic" w:cs="Tahoma"/>
          <w:sz w:val="22"/>
          <w:szCs w:val="22"/>
        </w:rPr>
        <w:t>cial Liquidadora</w:t>
      </w:r>
      <w:r w:rsidR="00E42D1C" w:rsidRPr="0042691D">
        <w:rPr>
          <w:rFonts w:ascii="Century Gothic" w:hAnsi="Century Gothic" w:cs="Tahoma"/>
          <w:sz w:val="22"/>
          <w:szCs w:val="22"/>
        </w:rPr>
        <w:t xml:space="preserve"> de los Asuntos</w:t>
      </w:r>
      <w:r w:rsidRPr="0042691D">
        <w:rPr>
          <w:rFonts w:ascii="Century Gothic" w:hAnsi="Century Gothic" w:cs="Tahoma"/>
          <w:sz w:val="22"/>
          <w:szCs w:val="22"/>
        </w:rPr>
        <w:t xml:space="preserve"> del Instituto de Cré</w:t>
      </w:r>
      <w:r w:rsidR="00E42D1C" w:rsidRPr="0042691D">
        <w:rPr>
          <w:rFonts w:ascii="Century Gothic" w:hAnsi="Century Gothic" w:cs="Tahoma"/>
          <w:sz w:val="22"/>
          <w:szCs w:val="22"/>
        </w:rPr>
        <w:t>dito Territorial y en contra de la Caja Promotora de Vivienda Militar</w:t>
      </w:r>
      <w:r w:rsidR="00142F2D" w:rsidRPr="0042691D">
        <w:rPr>
          <w:rFonts w:ascii="Century Gothic" w:hAnsi="Century Gothic" w:cs="Tahoma"/>
          <w:sz w:val="22"/>
          <w:szCs w:val="22"/>
        </w:rPr>
        <w:t xml:space="preserve"> (fls. 2 a 4, C. 1)</w:t>
      </w:r>
      <w:r w:rsidR="00E42D1C" w:rsidRPr="0042691D">
        <w:rPr>
          <w:rFonts w:ascii="Century Gothic" w:hAnsi="Century Gothic" w:cs="Tahoma"/>
          <w:sz w:val="22"/>
          <w:szCs w:val="22"/>
        </w:rPr>
        <w:t>.</w:t>
      </w:r>
      <w:r w:rsidRPr="0042691D">
        <w:rPr>
          <w:rFonts w:ascii="Century Gothic" w:hAnsi="Century Gothic" w:cs="Tahoma"/>
          <w:sz w:val="22"/>
          <w:szCs w:val="22"/>
        </w:rPr>
        <w:t xml:space="preserve"> </w:t>
      </w:r>
    </w:p>
    <w:p w14:paraId="75DD0D82" w14:textId="77777777" w:rsidR="00915962" w:rsidRPr="0042691D" w:rsidRDefault="00915962" w:rsidP="00915962">
      <w:pPr>
        <w:jc w:val="both"/>
        <w:rPr>
          <w:rFonts w:ascii="Century Gothic" w:hAnsi="Century Gothic" w:cs="Arial"/>
          <w:sz w:val="22"/>
          <w:szCs w:val="22"/>
        </w:rPr>
      </w:pPr>
    </w:p>
    <w:p w14:paraId="3C5C3D1F" w14:textId="77777777" w:rsidR="00D67300" w:rsidRPr="0042691D" w:rsidRDefault="001D262A" w:rsidP="001D262A">
      <w:pPr>
        <w:widowControl w:val="0"/>
        <w:spacing w:line="360" w:lineRule="auto"/>
        <w:ind w:right="20"/>
        <w:jc w:val="both"/>
        <w:rPr>
          <w:rFonts w:ascii="Century Gothic" w:hAnsi="Century Gothic" w:cs="Arial"/>
          <w:sz w:val="22"/>
          <w:szCs w:val="22"/>
        </w:rPr>
      </w:pPr>
      <w:r w:rsidRPr="0042691D">
        <w:rPr>
          <w:rFonts w:ascii="Century Gothic" w:hAnsi="Century Gothic" w:cs="Arial"/>
          <w:b/>
          <w:bCs/>
          <w:sz w:val="22"/>
          <w:szCs w:val="22"/>
        </w:rPr>
        <w:t xml:space="preserve">3.- </w:t>
      </w:r>
      <w:r w:rsidR="00D0429B" w:rsidRPr="0042691D">
        <w:rPr>
          <w:rFonts w:ascii="Century Gothic" w:hAnsi="Century Gothic" w:cs="Arial"/>
          <w:b/>
          <w:bCs/>
          <w:sz w:val="22"/>
          <w:szCs w:val="22"/>
        </w:rPr>
        <w:t>El trámite de</w:t>
      </w:r>
      <w:r w:rsidR="00066822" w:rsidRPr="0042691D">
        <w:rPr>
          <w:rFonts w:ascii="Century Gothic" w:hAnsi="Century Gothic" w:cs="Arial"/>
          <w:b/>
          <w:bCs/>
          <w:sz w:val="22"/>
          <w:szCs w:val="22"/>
        </w:rPr>
        <w:t xml:space="preserve"> primera instancia.</w:t>
      </w:r>
      <w:r w:rsidR="00725D3D" w:rsidRPr="0042691D">
        <w:rPr>
          <w:rFonts w:ascii="Century Gothic" w:hAnsi="Century Gothic" w:cs="Arial"/>
          <w:b/>
          <w:bCs/>
          <w:sz w:val="22"/>
          <w:szCs w:val="22"/>
        </w:rPr>
        <w:t>-</w:t>
      </w:r>
    </w:p>
    <w:p w14:paraId="39A1A2B5" w14:textId="77777777" w:rsidR="003F001D" w:rsidRPr="0042691D" w:rsidRDefault="003F001D"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8EBC86F" w14:textId="77777777" w:rsidR="00B35F6E" w:rsidRPr="0042691D" w:rsidRDefault="00D801BE" w:rsidP="001D262A">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Mediante auto del </w:t>
      </w:r>
      <w:r w:rsidR="00142F2D" w:rsidRPr="0042691D">
        <w:rPr>
          <w:rFonts w:ascii="Century Gothic" w:hAnsi="Century Gothic" w:cs="Arial"/>
          <w:spacing w:val="0"/>
          <w:szCs w:val="22"/>
        </w:rPr>
        <w:t xml:space="preserve">13 de agosto de </w:t>
      </w:r>
      <w:r w:rsidRPr="0042691D">
        <w:rPr>
          <w:rFonts w:ascii="Century Gothic" w:hAnsi="Century Gothic" w:cs="Arial"/>
          <w:spacing w:val="0"/>
          <w:szCs w:val="22"/>
        </w:rPr>
        <w:t>2002</w:t>
      </w:r>
      <w:r w:rsidR="00BA5D20" w:rsidRPr="0042691D">
        <w:rPr>
          <w:rFonts w:ascii="Century Gothic" w:hAnsi="Century Gothic" w:cs="Arial"/>
          <w:spacing w:val="0"/>
          <w:szCs w:val="22"/>
        </w:rPr>
        <w:t>, el Tribunal Administrativo de</w:t>
      </w:r>
      <w:r w:rsidRPr="0042691D">
        <w:rPr>
          <w:rFonts w:ascii="Century Gothic" w:hAnsi="Century Gothic" w:cs="Arial"/>
          <w:spacing w:val="0"/>
          <w:szCs w:val="22"/>
        </w:rPr>
        <w:t xml:space="preserve"> Cundinamarca </w:t>
      </w:r>
      <w:r w:rsidR="00632682" w:rsidRPr="0042691D">
        <w:rPr>
          <w:rFonts w:ascii="Century Gothic" w:hAnsi="Century Gothic" w:cs="Arial"/>
          <w:spacing w:val="0"/>
          <w:szCs w:val="22"/>
        </w:rPr>
        <w:t xml:space="preserve">libró mandamiento de pago </w:t>
      </w:r>
      <w:r w:rsidR="00B35F6E" w:rsidRPr="0042691D">
        <w:rPr>
          <w:rFonts w:ascii="Century Gothic" w:hAnsi="Century Gothic" w:cs="Arial"/>
          <w:spacing w:val="0"/>
          <w:szCs w:val="22"/>
        </w:rPr>
        <w:t>a favor de</w:t>
      </w:r>
      <w:r w:rsidR="00142F2D" w:rsidRPr="0042691D">
        <w:rPr>
          <w:rFonts w:ascii="Century Gothic" w:hAnsi="Century Gothic" w:cs="Arial"/>
          <w:spacing w:val="0"/>
          <w:szCs w:val="22"/>
        </w:rPr>
        <w:t xml:space="preserve"> la Unidad Administrativa Especia</w:t>
      </w:r>
      <w:r w:rsidR="00A0553E">
        <w:rPr>
          <w:rFonts w:ascii="Century Gothic" w:hAnsi="Century Gothic" w:cs="Arial"/>
          <w:spacing w:val="0"/>
          <w:szCs w:val="22"/>
        </w:rPr>
        <w:t>l</w:t>
      </w:r>
      <w:r w:rsidR="00142F2D" w:rsidRPr="0042691D">
        <w:rPr>
          <w:rFonts w:ascii="Century Gothic" w:hAnsi="Century Gothic" w:cs="Arial"/>
          <w:spacing w:val="0"/>
          <w:szCs w:val="22"/>
        </w:rPr>
        <w:t xml:space="preserve"> Liquidadora de Asuntos del Instituto de Crédito Territorial y en contra de la Caja Promotora de Vivienda Militar</w:t>
      </w:r>
      <w:r w:rsidR="00B35F6E" w:rsidRPr="0042691D">
        <w:rPr>
          <w:rFonts w:ascii="Century Gothic" w:hAnsi="Century Gothic" w:cs="Arial"/>
          <w:spacing w:val="0"/>
          <w:szCs w:val="22"/>
        </w:rPr>
        <w:t xml:space="preserve">, </w:t>
      </w:r>
      <w:r w:rsidR="00142F2D" w:rsidRPr="0042691D">
        <w:rPr>
          <w:rFonts w:ascii="Century Gothic" w:hAnsi="Century Gothic" w:cs="Arial"/>
          <w:spacing w:val="0"/>
          <w:szCs w:val="22"/>
        </w:rPr>
        <w:t>así</w:t>
      </w:r>
      <w:r w:rsidR="00B35F6E" w:rsidRPr="0042691D">
        <w:rPr>
          <w:rFonts w:ascii="Century Gothic" w:hAnsi="Century Gothic" w:cs="Arial"/>
          <w:spacing w:val="0"/>
          <w:szCs w:val="22"/>
        </w:rPr>
        <w:t xml:space="preserve"> (se transcribe como aparece a folio</w:t>
      </w:r>
      <w:r w:rsidR="00142F2D" w:rsidRPr="0042691D">
        <w:rPr>
          <w:rFonts w:ascii="Century Gothic" w:hAnsi="Century Gothic" w:cs="Arial"/>
          <w:spacing w:val="0"/>
          <w:szCs w:val="22"/>
        </w:rPr>
        <w:t>s 11 y 12</w:t>
      </w:r>
      <w:r w:rsidR="00B35F6E" w:rsidRPr="0042691D">
        <w:rPr>
          <w:rFonts w:ascii="Century Gothic" w:hAnsi="Century Gothic" w:cs="Arial"/>
          <w:spacing w:val="0"/>
          <w:szCs w:val="22"/>
        </w:rPr>
        <w:t>, C. 1):</w:t>
      </w:r>
    </w:p>
    <w:p w14:paraId="5874F329" w14:textId="77777777" w:rsidR="00B35F6E" w:rsidRPr="0042691D" w:rsidRDefault="00B35F6E" w:rsidP="001D262A">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19A14583" w14:textId="77777777" w:rsidR="00D95A4A" w:rsidRPr="0042691D" w:rsidRDefault="00B35F6E"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391"/>
        <w:textAlignment w:val="auto"/>
        <w:rPr>
          <w:rFonts w:ascii="Century Gothic" w:hAnsi="Century Gothic" w:cs="Arial"/>
          <w:spacing w:val="0"/>
          <w:sz w:val="20"/>
        </w:rPr>
      </w:pPr>
      <w:r w:rsidRPr="0042691D">
        <w:rPr>
          <w:rFonts w:ascii="Century Gothic" w:hAnsi="Century Gothic" w:cs="Arial"/>
          <w:spacing w:val="0"/>
          <w:sz w:val="20"/>
        </w:rPr>
        <w:t>“</w:t>
      </w:r>
      <w:r w:rsidR="00142F2D" w:rsidRPr="0042691D">
        <w:rPr>
          <w:rFonts w:ascii="Century Gothic" w:hAnsi="Century Gothic" w:cs="Arial"/>
          <w:spacing w:val="0"/>
          <w:sz w:val="20"/>
        </w:rPr>
        <w:t xml:space="preserve">PRIMERO: Ordénase a la </w:t>
      </w:r>
      <w:r w:rsidR="00D95A4A" w:rsidRPr="0042691D">
        <w:rPr>
          <w:rFonts w:ascii="Century Gothic" w:hAnsi="Century Gothic" w:cs="Arial"/>
          <w:spacing w:val="0"/>
          <w:sz w:val="20"/>
        </w:rPr>
        <w:t>CAJA PROMOTORA DE VIVIENDA MILITAR, que en el término de cinco días contados a partir del día siguiente a la notificación de este proveído, paguen a la UNIDAD ADMNISTRATIVA ESPECIAL LIQUIDADORA DE ASUNTOS DEL INSTITUTO DE CRÉDITO TERRI</w:t>
      </w:r>
      <w:r w:rsidR="00A0553E">
        <w:rPr>
          <w:rFonts w:ascii="Century Gothic" w:hAnsi="Century Gothic" w:cs="Arial"/>
          <w:spacing w:val="0"/>
          <w:sz w:val="20"/>
        </w:rPr>
        <w:t>TORIAL, la suma de $4.572.538.0</w:t>
      </w:r>
      <w:r w:rsidR="00D95A4A" w:rsidRPr="0042691D">
        <w:rPr>
          <w:rFonts w:ascii="Century Gothic" w:hAnsi="Century Gothic" w:cs="Arial"/>
          <w:spacing w:val="0"/>
          <w:sz w:val="20"/>
        </w:rPr>
        <w:t>00.oo junto con los intereses moratorios a la tasa establecida por el numeral 8º del artículo 4 de la Ley 80 de 1993 y el artículo 1º del Decreto 679 de 1994, a partir del mes de enero de 1989.</w:t>
      </w:r>
    </w:p>
    <w:p w14:paraId="5AF46F5B" w14:textId="77777777" w:rsidR="00D95A4A" w:rsidRPr="0042691D" w:rsidRDefault="00D95A4A"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391"/>
        <w:textAlignment w:val="auto"/>
        <w:rPr>
          <w:rFonts w:ascii="Century Gothic" w:hAnsi="Century Gothic" w:cs="Arial"/>
          <w:spacing w:val="0"/>
          <w:sz w:val="20"/>
        </w:rPr>
      </w:pPr>
    </w:p>
    <w:p w14:paraId="6E60DBCF" w14:textId="77777777" w:rsidR="00D95A4A" w:rsidRPr="0042691D" w:rsidRDefault="00D95A4A"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391"/>
        <w:textAlignment w:val="auto"/>
        <w:rPr>
          <w:rFonts w:ascii="Century Gothic" w:hAnsi="Century Gothic" w:cs="Arial"/>
          <w:spacing w:val="0"/>
          <w:sz w:val="20"/>
        </w:rPr>
      </w:pPr>
      <w:r w:rsidRPr="0042691D">
        <w:rPr>
          <w:rFonts w:ascii="Century Gothic" w:hAnsi="Century Gothic" w:cs="Arial"/>
          <w:spacing w:val="0"/>
          <w:sz w:val="20"/>
        </w:rPr>
        <w:t>“SEGUNDO: Notifíquese al representante legal de la ejecutada en la forma dispuesta por el artículo 505 del C. de P.C. …”.</w:t>
      </w:r>
    </w:p>
    <w:p w14:paraId="14DD87AB" w14:textId="77777777" w:rsidR="00D95A4A" w:rsidRPr="0042691D" w:rsidRDefault="00D95A4A"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567" w:right="391"/>
        <w:textAlignment w:val="auto"/>
        <w:rPr>
          <w:rFonts w:ascii="Century Gothic" w:hAnsi="Century Gothic" w:cs="Arial"/>
          <w:spacing w:val="0"/>
          <w:sz w:val="20"/>
        </w:rPr>
      </w:pPr>
    </w:p>
    <w:p w14:paraId="11AA5B27" w14:textId="77777777" w:rsidR="00B35F6E" w:rsidRPr="0042691D" w:rsidRDefault="00B35F6E" w:rsidP="001D262A">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4F77AB34" w14:textId="77777777" w:rsidR="003E6F8E" w:rsidRPr="0042691D" w:rsidRDefault="00EC4DC7" w:rsidP="006F1D2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El mandamiento de pago fue notificado al </w:t>
      </w:r>
      <w:r w:rsidR="00D95A4A" w:rsidRPr="0042691D">
        <w:rPr>
          <w:rFonts w:ascii="Century Gothic" w:hAnsi="Century Gothic" w:cs="Arial"/>
          <w:spacing w:val="0"/>
          <w:szCs w:val="22"/>
        </w:rPr>
        <w:t>representante legal de la Caja Promotora de Vivienda Militar</w:t>
      </w:r>
      <w:r w:rsidRPr="0042691D">
        <w:rPr>
          <w:rFonts w:ascii="Century Gothic" w:hAnsi="Century Gothic" w:cs="Arial"/>
          <w:spacing w:val="0"/>
          <w:szCs w:val="22"/>
        </w:rPr>
        <w:t xml:space="preserve">, según consta en </w:t>
      </w:r>
      <w:r w:rsidR="00D95A4A" w:rsidRPr="0042691D">
        <w:rPr>
          <w:rFonts w:ascii="Century Gothic" w:hAnsi="Century Gothic" w:cs="Arial"/>
          <w:spacing w:val="0"/>
          <w:szCs w:val="22"/>
        </w:rPr>
        <w:t>el aviso visible a folio 19</w:t>
      </w:r>
      <w:r w:rsidRPr="0042691D">
        <w:rPr>
          <w:rFonts w:ascii="Century Gothic" w:hAnsi="Century Gothic" w:cs="Arial"/>
          <w:spacing w:val="0"/>
          <w:szCs w:val="22"/>
        </w:rPr>
        <w:t xml:space="preserve"> del cuaderno 1. </w:t>
      </w:r>
      <w:r w:rsidR="00B67E66" w:rsidRPr="0042691D">
        <w:rPr>
          <w:rFonts w:ascii="Century Gothic" w:hAnsi="Century Gothic" w:cs="Arial"/>
          <w:spacing w:val="0"/>
          <w:szCs w:val="22"/>
        </w:rPr>
        <w:t xml:space="preserve"> </w:t>
      </w:r>
    </w:p>
    <w:p w14:paraId="3CEFC108" w14:textId="77777777" w:rsidR="009B0472" w:rsidRPr="0042691D" w:rsidRDefault="009B0472" w:rsidP="001D262A">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54CD3343" w14:textId="77777777" w:rsidR="00EC4DC7" w:rsidRPr="0042691D" w:rsidRDefault="00EC4DC7"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42691D">
        <w:rPr>
          <w:rFonts w:ascii="Century Gothic" w:hAnsi="Century Gothic" w:cs="Arial"/>
          <w:b/>
          <w:spacing w:val="0"/>
          <w:szCs w:val="22"/>
        </w:rPr>
        <w:lastRenderedPageBreak/>
        <w:t xml:space="preserve">4.- Las excepciones propuestas </w:t>
      </w:r>
      <w:r w:rsidR="00D95A4A" w:rsidRPr="0042691D">
        <w:rPr>
          <w:rFonts w:ascii="Century Gothic" w:hAnsi="Century Gothic" w:cs="Arial"/>
          <w:b/>
          <w:spacing w:val="0"/>
          <w:szCs w:val="22"/>
        </w:rPr>
        <w:t>por la ejecutada</w:t>
      </w:r>
      <w:r w:rsidRPr="0042691D">
        <w:rPr>
          <w:rFonts w:ascii="Century Gothic" w:hAnsi="Century Gothic" w:cs="Arial"/>
          <w:b/>
          <w:spacing w:val="0"/>
          <w:szCs w:val="22"/>
        </w:rPr>
        <w:t>.-</w:t>
      </w:r>
    </w:p>
    <w:p w14:paraId="5F3465A2" w14:textId="77777777" w:rsidR="00451F1D" w:rsidRPr="0042691D" w:rsidRDefault="00451F1D"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p>
    <w:p w14:paraId="782BDEF3" w14:textId="77777777" w:rsidR="00EA6005" w:rsidRPr="0042691D" w:rsidRDefault="00D95A4A"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La Caja Promotora de Vivienda Militar, por conducto de apoderado,</w:t>
      </w:r>
      <w:r w:rsidR="00C35D31" w:rsidRPr="0042691D">
        <w:rPr>
          <w:rFonts w:ascii="Century Gothic" w:hAnsi="Century Gothic" w:cs="Arial"/>
          <w:spacing w:val="0"/>
          <w:szCs w:val="22"/>
        </w:rPr>
        <w:t xml:space="preserve"> formuló la</w:t>
      </w:r>
      <w:r w:rsidR="00EA6005" w:rsidRPr="0042691D">
        <w:rPr>
          <w:rFonts w:ascii="Century Gothic" w:hAnsi="Century Gothic" w:cs="Arial"/>
          <w:spacing w:val="0"/>
          <w:szCs w:val="22"/>
        </w:rPr>
        <w:t xml:space="preserve"> excepción</w:t>
      </w:r>
      <w:r w:rsidR="00C35D31" w:rsidRPr="0042691D">
        <w:rPr>
          <w:rFonts w:ascii="Century Gothic" w:hAnsi="Century Gothic" w:cs="Arial"/>
          <w:spacing w:val="0"/>
          <w:szCs w:val="22"/>
        </w:rPr>
        <w:t xml:space="preserve"> que denominó </w:t>
      </w:r>
      <w:r w:rsidR="00C35D31" w:rsidRPr="0042691D">
        <w:rPr>
          <w:rFonts w:ascii="Century Gothic" w:hAnsi="Century Gothic" w:cs="Arial"/>
          <w:b/>
          <w:i/>
          <w:spacing w:val="0"/>
          <w:szCs w:val="22"/>
        </w:rPr>
        <w:t>“</w:t>
      </w:r>
      <w:r w:rsidR="00EA6005" w:rsidRPr="0042691D">
        <w:rPr>
          <w:rFonts w:ascii="Century Gothic" w:hAnsi="Century Gothic" w:cs="Arial"/>
          <w:b/>
          <w:i/>
          <w:spacing w:val="0"/>
          <w:szCs w:val="22"/>
        </w:rPr>
        <w:t>Inexistencia del Título Ejecutivo</w:t>
      </w:r>
      <w:r w:rsidRPr="0042691D">
        <w:rPr>
          <w:rFonts w:ascii="Century Gothic" w:hAnsi="Century Gothic" w:cs="Arial"/>
          <w:b/>
          <w:i/>
          <w:spacing w:val="0"/>
          <w:szCs w:val="22"/>
        </w:rPr>
        <w:t xml:space="preserve"> por Pérdi</w:t>
      </w:r>
      <w:r w:rsidR="00EA6005" w:rsidRPr="0042691D">
        <w:rPr>
          <w:rFonts w:ascii="Century Gothic" w:hAnsi="Century Gothic" w:cs="Arial"/>
          <w:b/>
          <w:i/>
          <w:spacing w:val="0"/>
          <w:szCs w:val="22"/>
        </w:rPr>
        <w:t xml:space="preserve">da de Fuerza Ejecutoria de los Actos Administrativos en los que consta” </w:t>
      </w:r>
      <w:r w:rsidR="00EA6005" w:rsidRPr="0042691D">
        <w:rPr>
          <w:rFonts w:ascii="Century Gothic" w:hAnsi="Century Gothic" w:cs="Arial"/>
          <w:spacing w:val="0"/>
          <w:szCs w:val="22"/>
        </w:rPr>
        <w:t xml:space="preserve">(fl. 48, C. 1), </w:t>
      </w:r>
      <w:r w:rsidR="00785EF2" w:rsidRPr="0042691D">
        <w:rPr>
          <w:rFonts w:ascii="Century Gothic" w:hAnsi="Century Gothic" w:cs="Arial"/>
          <w:spacing w:val="0"/>
          <w:szCs w:val="22"/>
        </w:rPr>
        <w:t xml:space="preserve">para lo cual señaló que </w:t>
      </w:r>
      <w:r w:rsidR="00EA6005" w:rsidRPr="0042691D">
        <w:rPr>
          <w:rFonts w:ascii="Century Gothic" w:hAnsi="Century Gothic" w:cs="Arial"/>
          <w:spacing w:val="0"/>
          <w:szCs w:val="22"/>
        </w:rPr>
        <w:t>la resolución 211 del 11 de marzo de 2002</w:t>
      </w:r>
      <w:r w:rsidR="00394C4B" w:rsidRPr="0042691D">
        <w:rPr>
          <w:rFonts w:ascii="Century Gothic" w:hAnsi="Century Gothic" w:cs="Arial"/>
          <w:spacing w:val="0"/>
          <w:szCs w:val="22"/>
        </w:rPr>
        <w:t>, mediante la cual la UAE-ICT liquidó unilateralmente el contrato de compraventa,</w:t>
      </w:r>
      <w:r w:rsidR="00EA6005" w:rsidRPr="0042691D">
        <w:rPr>
          <w:rFonts w:ascii="Century Gothic" w:hAnsi="Century Gothic" w:cs="Arial"/>
          <w:spacing w:val="0"/>
          <w:szCs w:val="22"/>
        </w:rPr>
        <w:t xml:space="preserve"> fue motivada en el incumplimiento</w:t>
      </w:r>
      <w:r w:rsidR="00394C4B" w:rsidRPr="0042691D">
        <w:rPr>
          <w:rFonts w:ascii="Century Gothic" w:hAnsi="Century Gothic" w:cs="Arial"/>
          <w:spacing w:val="0"/>
          <w:szCs w:val="22"/>
        </w:rPr>
        <w:t xml:space="preserve"> de la Caja Promotora de Vivienda Militar </w:t>
      </w:r>
      <w:r w:rsidR="00A056CA" w:rsidRPr="0042691D">
        <w:rPr>
          <w:rFonts w:ascii="Century Gothic" w:hAnsi="Century Gothic" w:cs="Arial"/>
          <w:spacing w:val="0"/>
          <w:szCs w:val="22"/>
        </w:rPr>
        <w:t xml:space="preserve">de pagar el porcentaje pactado en la cláusula séptima del contrato de compraventa, en relación con las ventas de las viviendas; </w:t>
      </w:r>
      <w:r w:rsidR="00153295" w:rsidRPr="0042691D">
        <w:rPr>
          <w:rFonts w:ascii="Century Gothic" w:hAnsi="Century Gothic" w:cs="Arial"/>
          <w:spacing w:val="0"/>
          <w:szCs w:val="22"/>
        </w:rPr>
        <w:t>no obstante, la liquidación fue proferida con falta de competencia, porque fue rea</w:t>
      </w:r>
      <w:r w:rsidR="00291A4C" w:rsidRPr="0042691D">
        <w:rPr>
          <w:rFonts w:ascii="Century Gothic" w:hAnsi="Century Gothic" w:cs="Arial"/>
          <w:spacing w:val="0"/>
          <w:szCs w:val="22"/>
        </w:rPr>
        <w:t>lizada después del plazo pre</w:t>
      </w:r>
      <w:r w:rsidR="00593602" w:rsidRPr="0042691D">
        <w:rPr>
          <w:rFonts w:ascii="Century Gothic" w:hAnsi="Century Gothic" w:cs="Arial"/>
          <w:spacing w:val="0"/>
          <w:szCs w:val="22"/>
        </w:rPr>
        <w:t>visto por la ley para el efecto. De hecho, tal situación motivó a que la Caja Promotora de Vivienda Militar demandar</w:t>
      </w:r>
      <w:r w:rsidR="00A0553E">
        <w:rPr>
          <w:rFonts w:ascii="Century Gothic" w:hAnsi="Century Gothic" w:cs="Arial"/>
          <w:spacing w:val="0"/>
          <w:szCs w:val="22"/>
        </w:rPr>
        <w:t>a</w:t>
      </w:r>
      <w:r w:rsidR="00593602" w:rsidRPr="0042691D">
        <w:rPr>
          <w:rFonts w:ascii="Century Gothic" w:hAnsi="Century Gothic" w:cs="Arial"/>
          <w:spacing w:val="0"/>
          <w:szCs w:val="22"/>
        </w:rPr>
        <w:t xml:space="preserve"> la nulidad de los actos administrativos que liquidaron unilateralmente el contrato y a que solicitara la suspensión provisional de sus efectos jurídicos, medida provisional que fue decretada mediante auto del 10 de octubre de 2002</w:t>
      </w:r>
      <w:r w:rsidR="00A90942" w:rsidRPr="0042691D">
        <w:rPr>
          <w:rFonts w:ascii="Century Gothic" w:hAnsi="Century Gothic" w:cs="Arial"/>
          <w:spacing w:val="0"/>
          <w:szCs w:val="22"/>
        </w:rPr>
        <w:t xml:space="preserve"> (fl. 48 y 49, C. 1).</w:t>
      </w:r>
    </w:p>
    <w:p w14:paraId="46150E15" w14:textId="77777777" w:rsidR="00A90942" w:rsidRPr="0042691D" w:rsidRDefault="00A90942" w:rsidP="00EC4DC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30CA1492" w14:textId="77777777" w:rsidR="009650D9" w:rsidRPr="0042691D" w:rsidRDefault="008F7979" w:rsidP="008F797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42691D">
        <w:rPr>
          <w:rFonts w:ascii="Century Gothic" w:hAnsi="Century Gothic" w:cs="Arial"/>
          <w:b/>
          <w:spacing w:val="0"/>
          <w:szCs w:val="22"/>
        </w:rPr>
        <w:t>5</w:t>
      </w:r>
      <w:r w:rsidR="00800630" w:rsidRPr="0042691D">
        <w:rPr>
          <w:rFonts w:ascii="Century Gothic" w:hAnsi="Century Gothic" w:cs="Arial"/>
          <w:b/>
          <w:spacing w:val="0"/>
          <w:szCs w:val="22"/>
        </w:rPr>
        <w:t xml:space="preserve">.- </w:t>
      </w:r>
      <w:r w:rsidR="009502C0" w:rsidRPr="0042691D">
        <w:rPr>
          <w:rFonts w:ascii="Century Gothic" w:hAnsi="Century Gothic" w:cs="Arial"/>
          <w:b/>
          <w:spacing w:val="0"/>
          <w:szCs w:val="22"/>
        </w:rPr>
        <w:t>Los alegatos de primera instancia.</w:t>
      </w:r>
      <w:r w:rsidR="00562A78" w:rsidRPr="0042691D">
        <w:rPr>
          <w:rFonts w:ascii="Century Gothic" w:hAnsi="Century Gothic" w:cs="Arial"/>
          <w:b/>
          <w:spacing w:val="0"/>
          <w:szCs w:val="22"/>
        </w:rPr>
        <w:t>-</w:t>
      </w:r>
      <w:r w:rsidR="009502C0" w:rsidRPr="0042691D">
        <w:rPr>
          <w:rFonts w:ascii="Century Gothic" w:hAnsi="Century Gothic" w:cs="Arial"/>
          <w:b/>
          <w:spacing w:val="0"/>
          <w:szCs w:val="22"/>
        </w:rPr>
        <w:t xml:space="preserve">  </w:t>
      </w:r>
    </w:p>
    <w:p w14:paraId="5383EFD1" w14:textId="77777777" w:rsidR="006D371C" w:rsidRPr="0042691D" w:rsidRDefault="006D371C"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07940969" w14:textId="77777777" w:rsidR="00EC34F9" w:rsidRPr="0042691D" w:rsidRDefault="00A90942" w:rsidP="008F797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La Caja Promotora de Vivienda Militar reiteró que los actos administrativos aportados como título de recaudo ejecut</w:t>
      </w:r>
      <w:r w:rsidR="00F64EFD" w:rsidRPr="0042691D">
        <w:rPr>
          <w:rFonts w:ascii="Century Gothic" w:hAnsi="Century Gothic" w:cs="Arial"/>
          <w:spacing w:val="0"/>
          <w:szCs w:val="22"/>
        </w:rPr>
        <w:t>ivo perdieron fuerza ejecutoria</w:t>
      </w:r>
      <w:r w:rsidR="00A0553E">
        <w:rPr>
          <w:rFonts w:ascii="Century Gothic" w:hAnsi="Century Gothic" w:cs="Arial"/>
          <w:spacing w:val="0"/>
          <w:szCs w:val="22"/>
        </w:rPr>
        <w:t>,</w:t>
      </w:r>
      <w:r w:rsidR="00F64EFD" w:rsidRPr="0042691D">
        <w:rPr>
          <w:rFonts w:ascii="Century Gothic" w:hAnsi="Century Gothic" w:cs="Arial"/>
          <w:spacing w:val="0"/>
          <w:szCs w:val="22"/>
        </w:rPr>
        <w:t xml:space="preserve"> por cuenta de la suspensión provisional decretada </w:t>
      </w:r>
      <w:r w:rsidR="00284C5D" w:rsidRPr="0042691D">
        <w:rPr>
          <w:rFonts w:ascii="Century Gothic" w:hAnsi="Century Gothic" w:cs="Arial"/>
          <w:spacing w:val="0"/>
          <w:szCs w:val="22"/>
        </w:rPr>
        <w:t>por esta jurisdicció</w:t>
      </w:r>
      <w:r w:rsidR="00A3378D" w:rsidRPr="0042691D">
        <w:rPr>
          <w:rFonts w:ascii="Century Gothic" w:hAnsi="Century Gothic" w:cs="Arial"/>
          <w:spacing w:val="0"/>
          <w:szCs w:val="22"/>
        </w:rPr>
        <w:t>n; por consiguiente, no reúnen las condiciones previstas en el artículo 68 del C.C.A., para que presten mérito ejecutivo, es decir, no contienen una obligación clara, expresa y exigible.</w:t>
      </w:r>
      <w:r w:rsidR="00EC34F9" w:rsidRPr="0042691D">
        <w:rPr>
          <w:rFonts w:ascii="Century Gothic" w:hAnsi="Century Gothic" w:cs="Arial"/>
          <w:spacing w:val="0"/>
          <w:szCs w:val="22"/>
        </w:rPr>
        <w:t xml:space="preserve"> </w:t>
      </w:r>
    </w:p>
    <w:p w14:paraId="5539A482" w14:textId="77777777" w:rsidR="00800630" w:rsidRPr="0042691D" w:rsidRDefault="00800630"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1F69053E" w14:textId="77777777" w:rsidR="0003363D" w:rsidRPr="0042691D" w:rsidRDefault="00EC34F9" w:rsidP="00EC34F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b/>
          <w:spacing w:val="0"/>
          <w:szCs w:val="22"/>
        </w:rPr>
        <w:t xml:space="preserve">5.3.- </w:t>
      </w:r>
      <w:r w:rsidR="00A83E27" w:rsidRPr="0042691D">
        <w:rPr>
          <w:rFonts w:ascii="Century Gothic" w:hAnsi="Century Gothic" w:cs="Arial"/>
          <w:spacing w:val="0"/>
          <w:szCs w:val="22"/>
        </w:rPr>
        <w:t xml:space="preserve">La parte ejecutante y el </w:t>
      </w:r>
      <w:r w:rsidR="0003363D" w:rsidRPr="0042691D">
        <w:rPr>
          <w:rFonts w:ascii="Century Gothic" w:hAnsi="Century Gothic" w:cs="Arial"/>
          <w:spacing w:val="0"/>
          <w:szCs w:val="22"/>
        </w:rPr>
        <w:t>Agente del Ministerio Púb</w:t>
      </w:r>
      <w:r w:rsidR="00A83E27" w:rsidRPr="0042691D">
        <w:rPr>
          <w:rFonts w:ascii="Century Gothic" w:hAnsi="Century Gothic" w:cs="Arial"/>
          <w:spacing w:val="0"/>
          <w:szCs w:val="22"/>
        </w:rPr>
        <w:t>lico guardaron</w:t>
      </w:r>
      <w:r w:rsidR="0003363D" w:rsidRPr="0042691D">
        <w:rPr>
          <w:rFonts w:ascii="Century Gothic" w:hAnsi="Century Gothic" w:cs="Arial"/>
          <w:spacing w:val="0"/>
          <w:szCs w:val="22"/>
        </w:rPr>
        <w:t xml:space="preserve"> silencio.</w:t>
      </w:r>
    </w:p>
    <w:p w14:paraId="1AFAD239" w14:textId="77777777" w:rsidR="0003363D" w:rsidRPr="0042691D" w:rsidRDefault="0003363D"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235F9F1D" w14:textId="77777777" w:rsidR="00F379E4" w:rsidRPr="0042691D" w:rsidRDefault="00EC34F9" w:rsidP="00EC34F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42691D">
        <w:rPr>
          <w:rFonts w:ascii="Century Gothic" w:hAnsi="Century Gothic" w:cs="Arial"/>
          <w:b/>
          <w:spacing w:val="0"/>
          <w:szCs w:val="22"/>
        </w:rPr>
        <w:t>6</w:t>
      </w:r>
      <w:r w:rsidR="00800630" w:rsidRPr="0042691D">
        <w:rPr>
          <w:rFonts w:ascii="Century Gothic" w:hAnsi="Century Gothic" w:cs="Arial"/>
          <w:b/>
          <w:spacing w:val="0"/>
          <w:szCs w:val="22"/>
        </w:rPr>
        <w:t xml:space="preserve">.- La sentencia recurrida.- </w:t>
      </w:r>
    </w:p>
    <w:p w14:paraId="2667DD2D" w14:textId="77777777" w:rsidR="00F379E4" w:rsidRPr="0042691D" w:rsidRDefault="00F379E4"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b/>
          <w:spacing w:val="0"/>
          <w:szCs w:val="22"/>
        </w:rPr>
      </w:pPr>
    </w:p>
    <w:p w14:paraId="799CBF51" w14:textId="77777777" w:rsidR="00A242D1" w:rsidRPr="0042691D" w:rsidRDefault="00575DD9" w:rsidP="00705242">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Mediante sentencia de</w:t>
      </w:r>
      <w:r w:rsidR="00EC34F9" w:rsidRPr="0042691D">
        <w:rPr>
          <w:rFonts w:ascii="Century Gothic" w:hAnsi="Century Gothic" w:cs="Arial"/>
          <w:spacing w:val="0"/>
          <w:szCs w:val="22"/>
        </w:rPr>
        <w:t xml:space="preserve">l </w:t>
      </w:r>
      <w:r w:rsidR="00766749" w:rsidRPr="0042691D">
        <w:rPr>
          <w:rFonts w:ascii="Century Gothic" w:hAnsi="Century Gothic" w:cs="Arial"/>
          <w:spacing w:val="0"/>
          <w:szCs w:val="22"/>
        </w:rPr>
        <w:t xml:space="preserve">1º de febrero de 2012, </w:t>
      </w:r>
      <w:r w:rsidR="008046D3" w:rsidRPr="0042691D">
        <w:rPr>
          <w:rFonts w:ascii="Century Gothic" w:hAnsi="Century Gothic" w:cs="Arial"/>
          <w:spacing w:val="0"/>
          <w:szCs w:val="22"/>
        </w:rPr>
        <w:t xml:space="preserve">el </w:t>
      </w:r>
      <w:r w:rsidR="00FC720D" w:rsidRPr="0042691D">
        <w:rPr>
          <w:rFonts w:ascii="Century Gothic" w:hAnsi="Century Gothic" w:cs="Arial"/>
          <w:spacing w:val="0"/>
          <w:szCs w:val="22"/>
        </w:rPr>
        <w:t>Tribunal Administ</w:t>
      </w:r>
      <w:r w:rsidR="008046D3" w:rsidRPr="0042691D">
        <w:rPr>
          <w:rFonts w:ascii="Century Gothic" w:hAnsi="Century Gothic" w:cs="Arial"/>
          <w:spacing w:val="0"/>
          <w:szCs w:val="22"/>
        </w:rPr>
        <w:t>r</w:t>
      </w:r>
      <w:r w:rsidR="00FC720D" w:rsidRPr="0042691D">
        <w:rPr>
          <w:rFonts w:ascii="Century Gothic" w:hAnsi="Century Gothic" w:cs="Arial"/>
          <w:spacing w:val="0"/>
          <w:szCs w:val="22"/>
        </w:rPr>
        <w:t>a</w:t>
      </w:r>
      <w:r w:rsidR="008046D3" w:rsidRPr="0042691D">
        <w:rPr>
          <w:rFonts w:ascii="Century Gothic" w:hAnsi="Century Gothic" w:cs="Arial"/>
          <w:spacing w:val="0"/>
          <w:szCs w:val="22"/>
        </w:rPr>
        <w:t>tivo de</w:t>
      </w:r>
      <w:r w:rsidR="00766749" w:rsidRPr="0042691D">
        <w:rPr>
          <w:rFonts w:ascii="Century Gothic" w:hAnsi="Century Gothic" w:cs="Arial"/>
          <w:spacing w:val="0"/>
          <w:szCs w:val="22"/>
        </w:rPr>
        <w:t xml:space="preserve"> Cundinamarca de</w:t>
      </w:r>
      <w:r w:rsidR="00AB1626" w:rsidRPr="0042691D">
        <w:rPr>
          <w:rFonts w:ascii="Century Gothic" w:hAnsi="Century Gothic" w:cs="Arial"/>
          <w:spacing w:val="0"/>
          <w:szCs w:val="22"/>
        </w:rPr>
        <w:t>cidió el proceso en la forma consignada al inicio de esta providencia</w:t>
      </w:r>
      <w:r w:rsidR="005F03B7" w:rsidRPr="0042691D">
        <w:rPr>
          <w:rFonts w:ascii="Century Gothic" w:hAnsi="Century Gothic" w:cs="Arial"/>
          <w:spacing w:val="0"/>
          <w:szCs w:val="22"/>
        </w:rPr>
        <w:t>.</w:t>
      </w:r>
    </w:p>
    <w:p w14:paraId="0D647A91" w14:textId="77777777" w:rsidR="00A242D1" w:rsidRPr="0042691D" w:rsidRDefault="00A242D1"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62BED521" w14:textId="77777777" w:rsidR="00076F9E" w:rsidRPr="0042691D" w:rsidRDefault="008D7FA1" w:rsidP="00EC34F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Para </w:t>
      </w:r>
      <w:r w:rsidR="00EC34F9" w:rsidRPr="0042691D">
        <w:rPr>
          <w:rFonts w:ascii="Century Gothic" w:hAnsi="Century Gothic" w:cs="Arial"/>
          <w:spacing w:val="0"/>
          <w:szCs w:val="22"/>
        </w:rPr>
        <w:t xml:space="preserve">lo anterior, </w:t>
      </w:r>
      <w:r w:rsidR="00705242" w:rsidRPr="0042691D">
        <w:rPr>
          <w:rFonts w:ascii="Century Gothic" w:hAnsi="Century Gothic" w:cs="Arial"/>
          <w:spacing w:val="0"/>
          <w:szCs w:val="22"/>
        </w:rPr>
        <w:t>precisó</w:t>
      </w:r>
      <w:r w:rsidR="00076F9E" w:rsidRPr="0042691D">
        <w:rPr>
          <w:rFonts w:ascii="Century Gothic" w:hAnsi="Century Gothic" w:cs="Arial"/>
          <w:spacing w:val="0"/>
          <w:szCs w:val="22"/>
        </w:rPr>
        <w:t xml:space="preserve"> que los documentos que fueron aportados al </w:t>
      </w:r>
      <w:r w:rsidR="005F03B7" w:rsidRPr="0042691D">
        <w:rPr>
          <w:rFonts w:ascii="Century Gothic" w:hAnsi="Century Gothic" w:cs="Arial"/>
          <w:spacing w:val="0"/>
          <w:szCs w:val="22"/>
        </w:rPr>
        <w:t xml:space="preserve">proceso </w:t>
      </w:r>
      <w:r w:rsidR="00076F9E" w:rsidRPr="0042691D">
        <w:rPr>
          <w:rFonts w:ascii="Century Gothic" w:hAnsi="Century Gothic" w:cs="Arial"/>
          <w:spacing w:val="0"/>
          <w:szCs w:val="22"/>
        </w:rPr>
        <w:t>para integrar el título de recaudo ejecutivo se hallan en copia simple, por lo cual carecen de mé</w:t>
      </w:r>
      <w:r w:rsidR="00AA418B" w:rsidRPr="0042691D">
        <w:rPr>
          <w:rFonts w:ascii="Century Gothic" w:hAnsi="Century Gothic" w:cs="Arial"/>
          <w:spacing w:val="0"/>
          <w:szCs w:val="22"/>
        </w:rPr>
        <w:t xml:space="preserve">rito probatorio para acreditar la existencia de una obligación clara, expresa y exigible a favor del ejecutante y en contra del </w:t>
      </w:r>
      <w:r w:rsidR="00F8427D" w:rsidRPr="0042691D">
        <w:rPr>
          <w:rFonts w:ascii="Century Gothic" w:hAnsi="Century Gothic" w:cs="Arial"/>
          <w:spacing w:val="0"/>
          <w:szCs w:val="22"/>
        </w:rPr>
        <w:t>ejecutado,</w:t>
      </w:r>
      <w:r w:rsidR="005F03B7" w:rsidRPr="0042691D">
        <w:rPr>
          <w:rFonts w:ascii="Century Gothic" w:hAnsi="Century Gothic" w:cs="Arial"/>
          <w:spacing w:val="0"/>
          <w:szCs w:val="22"/>
        </w:rPr>
        <w:t xml:space="preserve"> requisitos éstos </w:t>
      </w:r>
      <w:r w:rsidR="005F03B7" w:rsidRPr="0042691D">
        <w:rPr>
          <w:rFonts w:ascii="Century Gothic" w:hAnsi="Century Gothic" w:cs="Arial"/>
          <w:spacing w:val="0"/>
          <w:szCs w:val="22"/>
        </w:rPr>
        <w:lastRenderedPageBreak/>
        <w:t xml:space="preserve">que contempla el </w:t>
      </w:r>
      <w:r w:rsidR="00F8427D" w:rsidRPr="0042691D">
        <w:rPr>
          <w:rFonts w:ascii="Century Gothic" w:hAnsi="Century Gothic" w:cs="Arial"/>
          <w:spacing w:val="0"/>
          <w:szCs w:val="22"/>
        </w:rPr>
        <w:t>artículo 488 del C. de P.C.</w:t>
      </w:r>
      <w:r w:rsidR="005F03B7" w:rsidRPr="0042691D">
        <w:rPr>
          <w:rFonts w:ascii="Century Gothic" w:hAnsi="Century Gothic" w:cs="Arial"/>
          <w:spacing w:val="0"/>
          <w:szCs w:val="22"/>
        </w:rPr>
        <w:t xml:space="preserve">, para </w:t>
      </w:r>
      <w:r w:rsidR="00A0553E">
        <w:rPr>
          <w:rFonts w:ascii="Century Gothic" w:hAnsi="Century Gothic" w:cs="Arial"/>
          <w:spacing w:val="0"/>
          <w:szCs w:val="22"/>
        </w:rPr>
        <w:t xml:space="preserve">el derecho de crédito </w:t>
      </w:r>
      <w:r w:rsidR="005F03B7" w:rsidRPr="0042691D">
        <w:rPr>
          <w:rFonts w:ascii="Century Gothic" w:hAnsi="Century Gothic" w:cs="Arial"/>
          <w:spacing w:val="0"/>
          <w:szCs w:val="22"/>
        </w:rPr>
        <w:t xml:space="preserve">por la vía </w:t>
      </w:r>
      <w:r w:rsidR="00A0553E">
        <w:rPr>
          <w:rFonts w:ascii="Century Gothic" w:hAnsi="Century Gothic" w:cs="Arial"/>
          <w:spacing w:val="0"/>
          <w:szCs w:val="22"/>
        </w:rPr>
        <w:t>ejecutiva</w:t>
      </w:r>
      <w:r w:rsidR="005F03B7" w:rsidRPr="0042691D">
        <w:rPr>
          <w:rFonts w:ascii="Century Gothic" w:hAnsi="Century Gothic" w:cs="Arial"/>
          <w:spacing w:val="0"/>
          <w:szCs w:val="22"/>
        </w:rPr>
        <w:t>.</w:t>
      </w:r>
      <w:r w:rsidR="00076F9E" w:rsidRPr="0042691D">
        <w:rPr>
          <w:rFonts w:ascii="Century Gothic" w:hAnsi="Century Gothic" w:cs="Arial"/>
          <w:spacing w:val="0"/>
          <w:szCs w:val="22"/>
        </w:rPr>
        <w:t xml:space="preserve"> </w:t>
      </w:r>
    </w:p>
    <w:p w14:paraId="4E0345A1" w14:textId="77777777" w:rsidR="00076F9E" w:rsidRPr="0042691D" w:rsidRDefault="00076F9E" w:rsidP="00EC34F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6E9307E1" w14:textId="77777777" w:rsidR="005F03B7" w:rsidRPr="0042691D" w:rsidRDefault="005F03B7" w:rsidP="00EC34F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En consecuencia, el Tribunal declaró de oficio la excepción de inexistencia de la obligación, declaró terminado el proceso y condenó en costas a la parte ejecutada (fls. 216 a 220, C. Consejo). </w:t>
      </w:r>
    </w:p>
    <w:p w14:paraId="19A22D24" w14:textId="77777777" w:rsidR="00696BFF" w:rsidRPr="0042691D" w:rsidRDefault="00696BFF"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7DAA6EDA" w14:textId="77777777" w:rsidR="00452A8A" w:rsidRPr="0042691D" w:rsidRDefault="00BB0F14" w:rsidP="00BB0F14">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42691D">
        <w:rPr>
          <w:rFonts w:ascii="Century Gothic" w:hAnsi="Century Gothic" w:cs="Arial"/>
          <w:b/>
          <w:spacing w:val="0"/>
          <w:szCs w:val="22"/>
        </w:rPr>
        <w:t>7</w:t>
      </w:r>
      <w:r w:rsidR="00452A8A" w:rsidRPr="0042691D">
        <w:rPr>
          <w:rFonts w:ascii="Century Gothic" w:hAnsi="Century Gothic" w:cs="Arial"/>
          <w:b/>
          <w:spacing w:val="0"/>
          <w:szCs w:val="22"/>
        </w:rPr>
        <w:t>.- El recurso de apelación.-</w:t>
      </w:r>
    </w:p>
    <w:p w14:paraId="0E6BAAEB" w14:textId="77777777" w:rsidR="00956176" w:rsidRPr="0042691D" w:rsidRDefault="00956176"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b/>
          <w:spacing w:val="0"/>
          <w:szCs w:val="22"/>
        </w:rPr>
      </w:pPr>
    </w:p>
    <w:p w14:paraId="5388A773" w14:textId="77777777" w:rsidR="0065799F" w:rsidRPr="0042691D" w:rsidRDefault="00AF6FCA"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Inconforme</w:t>
      </w:r>
      <w:r w:rsidR="005F03B7" w:rsidRPr="0042691D">
        <w:rPr>
          <w:rFonts w:ascii="Century Gothic" w:hAnsi="Century Gothic" w:cs="Arial"/>
          <w:spacing w:val="0"/>
          <w:szCs w:val="22"/>
        </w:rPr>
        <w:t xml:space="preserve"> con la anterior decisión, el Patrimonio Autónomo PAR –INURBE EN LIQUIDACIÓN- interpuso </w:t>
      </w:r>
      <w:r w:rsidRPr="0042691D">
        <w:rPr>
          <w:rFonts w:ascii="Century Gothic" w:hAnsi="Century Gothic" w:cs="Arial"/>
          <w:spacing w:val="0"/>
          <w:szCs w:val="22"/>
        </w:rPr>
        <w:t>recurso de apelación, con el fin de que la sen</w:t>
      </w:r>
      <w:r w:rsidR="005F03B7" w:rsidRPr="0042691D">
        <w:rPr>
          <w:rFonts w:ascii="Century Gothic" w:hAnsi="Century Gothic" w:cs="Arial"/>
          <w:spacing w:val="0"/>
          <w:szCs w:val="22"/>
        </w:rPr>
        <w:t>tencia recurrida fuera revocada</w:t>
      </w:r>
      <w:r w:rsidR="0065799F" w:rsidRPr="0042691D">
        <w:rPr>
          <w:rFonts w:ascii="Century Gothic" w:hAnsi="Century Gothic" w:cs="Arial"/>
          <w:spacing w:val="0"/>
          <w:szCs w:val="22"/>
        </w:rPr>
        <w:t>.</w:t>
      </w:r>
    </w:p>
    <w:p w14:paraId="3C8CDBD1" w14:textId="77777777" w:rsidR="0065799F" w:rsidRPr="0042691D" w:rsidRDefault="0065799F"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2D9B021" w14:textId="77777777" w:rsidR="00512273" w:rsidRPr="0042691D" w:rsidRDefault="00512273"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Como fundamento de </w:t>
      </w:r>
      <w:r w:rsidR="00D96D19" w:rsidRPr="0042691D">
        <w:rPr>
          <w:rFonts w:ascii="Century Gothic" w:hAnsi="Century Gothic" w:cs="Arial"/>
          <w:spacing w:val="0"/>
          <w:szCs w:val="22"/>
        </w:rPr>
        <w:t>la impugnación</w:t>
      </w:r>
      <w:r w:rsidRPr="0042691D">
        <w:rPr>
          <w:rFonts w:ascii="Century Gothic" w:hAnsi="Century Gothic" w:cs="Arial"/>
          <w:spacing w:val="0"/>
          <w:szCs w:val="22"/>
        </w:rPr>
        <w:t>, señaló que</w:t>
      </w:r>
      <w:r w:rsidR="00D96D19" w:rsidRPr="0042691D">
        <w:rPr>
          <w:rFonts w:ascii="Century Gothic" w:hAnsi="Century Gothic" w:cs="Arial"/>
          <w:spacing w:val="0"/>
          <w:szCs w:val="22"/>
        </w:rPr>
        <w:t xml:space="preserve"> el Tribunal</w:t>
      </w:r>
      <w:r w:rsidR="00C33CFC" w:rsidRPr="0042691D">
        <w:rPr>
          <w:rFonts w:ascii="Century Gothic" w:hAnsi="Century Gothic" w:cs="Arial"/>
          <w:spacing w:val="0"/>
          <w:szCs w:val="22"/>
        </w:rPr>
        <w:t xml:space="preserve"> desconoció la materialidad del título ejecutivo y, además, omitió valorar </w:t>
      </w:r>
      <w:r w:rsidR="002D0703" w:rsidRPr="0042691D">
        <w:rPr>
          <w:rFonts w:ascii="Century Gothic" w:hAnsi="Century Gothic" w:cs="Arial"/>
          <w:spacing w:val="0"/>
          <w:szCs w:val="22"/>
        </w:rPr>
        <w:t>la totalidad de los documentos aportados para integrar el título ejecutivo, pues no tuvo en cuenta que la constancia de ejecutoria de las resoluciones</w:t>
      </w:r>
      <w:r w:rsidR="00774406" w:rsidRPr="0042691D">
        <w:rPr>
          <w:rFonts w:ascii="Century Gothic" w:hAnsi="Century Gothic" w:cs="Arial"/>
          <w:spacing w:val="0"/>
          <w:szCs w:val="22"/>
        </w:rPr>
        <w:t xml:space="preserve"> 211 del 11 de mayo de 2002, mediante la cual se adoptó la liquidación unilateral del contrato, y 372 del 24 de mayo del mismo año, mediante la cual se resolvió el recurso de reposición contra la anterior resolución, fue aportada en original y en ella se lee que las citadas resoluciones se encuentran en firme.</w:t>
      </w:r>
    </w:p>
    <w:p w14:paraId="7446953D" w14:textId="77777777" w:rsidR="00F06DB8" w:rsidRPr="0042691D" w:rsidRDefault="00F06DB8"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52D8284B" w14:textId="77777777" w:rsidR="008A4002" w:rsidRPr="0042691D" w:rsidRDefault="00F06DB8"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En opinión del recurrente, el Tribunal se equivocó </w:t>
      </w:r>
      <w:r w:rsidR="00000309" w:rsidRPr="0042691D">
        <w:rPr>
          <w:rFonts w:ascii="Century Gothic" w:hAnsi="Century Gothic" w:cs="Arial"/>
          <w:spacing w:val="0"/>
          <w:szCs w:val="22"/>
        </w:rPr>
        <w:t>al declarar de manera oficiosa la excepción de inexistencia de la obligación, pues los argumentos estaban orientados a declarar la excepción de inexistencia del título ejecutivo</w:t>
      </w:r>
      <w:r w:rsidR="0059493F" w:rsidRPr="0042691D">
        <w:rPr>
          <w:rFonts w:ascii="Century Gothic" w:hAnsi="Century Gothic" w:cs="Arial"/>
          <w:spacing w:val="0"/>
          <w:szCs w:val="22"/>
        </w:rPr>
        <w:t xml:space="preserve"> y, con ello, desconoció la realidad procesal que arroja la existencia </w:t>
      </w:r>
      <w:r w:rsidR="008A4002" w:rsidRPr="0042691D">
        <w:rPr>
          <w:rFonts w:ascii="Century Gothic" w:hAnsi="Century Gothic" w:cs="Arial"/>
          <w:spacing w:val="0"/>
          <w:szCs w:val="22"/>
        </w:rPr>
        <w:t>de la obligación contractual de la Caja Promotora de Vivienda Militar de restituir unos dineros a favor del ejecutante.</w:t>
      </w:r>
    </w:p>
    <w:p w14:paraId="498E9BA3" w14:textId="77777777" w:rsidR="008A4002" w:rsidRPr="0042691D" w:rsidRDefault="008A4002"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7EF5A69C" w14:textId="77777777" w:rsidR="008A5729" w:rsidRPr="0042691D" w:rsidRDefault="008A4002"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 xml:space="preserve">Por otra parte, sostuvo que el Tribunal profirió una decisión inhibitoria que pudo evitar, pues si consideraba que los documentos aportados no eran </w:t>
      </w:r>
      <w:r w:rsidR="008A5729" w:rsidRPr="0042691D">
        <w:rPr>
          <w:rFonts w:ascii="Century Gothic" w:hAnsi="Century Gothic" w:cs="Arial"/>
          <w:spacing w:val="0"/>
          <w:szCs w:val="22"/>
        </w:rPr>
        <w:t xml:space="preserve">suficientes </w:t>
      </w:r>
      <w:r w:rsidRPr="0042691D">
        <w:rPr>
          <w:rFonts w:ascii="Century Gothic" w:hAnsi="Century Gothic" w:cs="Arial"/>
          <w:spacing w:val="0"/>
          <w:szCs w:val="22"/>
        </w:rPr>
        <w:t>para integrar el título ejecutivo debió</w:t>
      </w:r>
      <w:r w:rsidR="008A5729" w:rsidRPr="0042691D">
        <w:rPr>
          <w:rFonts w:ascii="Century Gothic" w:hAnsi="Century Gothic" w:cs="Arial"/>
          <w:spacing w:val="0"/>
          <w:szCs w:val="22"/>
        </w:rPr>
        <w:t xml:space="preserve"> </w:t>
      </w:r>
      <w:r w:rsidR="008A5729" w:rsidRPr="0042691D">
        <w:rPr>
          <w:rFonts w:ascii="Century Gothic" w:hAnsi="Century Gothic" w:cs="Arial"/>
          <w:i/>
          <w:spacing w:val="0"/>
          <w:szCs w:val="22"/>
        </w:rPr>
        <w:t xml:space="preserve">“… proceder ‘de oficio’ aplicando el inciso final del numeral 2 del artículo 519 del Código de Procedimiento Civil, omisión que termina condenando fatalmente la pretensión ejecutiva, a pesar de la aceptación manifiesta del título (sic) no solamente por la parte demandada cuando hace girar su debate no sobre el contenido probatorio de los actos administrativos </w:t>
      </w:r>
      <w:r w:rsidR="00BF464A" w:rsidRPr="0042691D">
        <w:rPr>
          <w:rFonts w:ascii="Century Gothic" w:hAnsi="Century Gothic" w:cs="Arial"/>
          <w:i/>
          <w:spacing w:val="0"/>
          <w:szCs w:val="22"/>
        </w:rPr>
        <w:t xml:space="preserve">presentados para la ejecución, o sobre la inexistencia de la obligación, sino sobre la oportunidad de la expedición de dichos actos administrativos </w:t>
      </w:r>
      <w:r w:rsidR="00A847D6" w:rsidRPr="0042691D">
        <w:rPr>
          <w:rFonts w:ascii="Century Gothic" w:hAnsi="Century Gothic" w:cs="Arial"/>
          <w:i/>
          <w:spacing w:val="0"/>
          <w:szCs w:val="22"/>
        </w:rPr>
        <w:t xml:space="preserve">aceptando su </w:t>
      </w:r>
      <w:r w:rsidR="00A847D6" w:rsidRPr="0042691D">
        <w:rPr>
          <w:rFonts w:ascii="Century Gothic" w:hAnsi="Century Gothic" w:cs="Arial"/>
          <w:i/>
          <w:spacing w:val="0"/>
          <w:szCs w:val="22"/>
        </w:rPr>
        <w:lastRenderedPageBreak/>
        <w:t>plena eficacia …”</w:t>
      </w:r>
      <w:r w:rsidR="00A847D6" w:rsidRPr="0042691D">
        <w:rPr>
          <w:rFonts w:ascii="Century Gothic" w:hAnsi="Century Gothic" w:cs="Arial"/>
          <w:spacing w:val="0"/>
          <w:szCs w:val="22"/>
        </w:rPr>
        <w:t xml:space="preserve"> (fl. 223, C. Consejo).</w:t>
      </w:r>
    </w:p>
    <w:p w14:paraId="3105AC2E" w14:textId="77777777" w:rsidR="00683CD9" w:rsidRPr="0042691D" w:rsidRDefault="00683CD9"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41AB1DC7" w14:textId="77777777" w:rsidR="00776678" w:rsidRPr="0042691D" w:rsidRDefault="00683CD9"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A lo anterior</w:t>
      </w:r>
      <w:r w:rsidR="00A0553E">
        <w:rPr>
          <w:rFonts w:ascii="Century Gothic" w:hAnsi="Century Gothic" w:cs="Arial"/>
          <w:spacing w:val="0"/>
          <w:szCs w:val="22"/>
        </w:rPr>
        <w:t>,</w:t>
      </w:r>
      <w:r w:rsidRPr="0042691D">
        <w:rPr>
          <w:rFonts w:ascii="Century Gothic" w:hAnsi="Century Gothic" w:cs="Arial"/>
          <w:spacing w:val="0"/>
          <w:szCs w:val="22"/>
        </w:rPr>
        <w:t xml:space="preserve"> añadió que el </w:t>
      </w:r>
      <w:r w:rsidR="005343F2" w:rsidRPr="0042691D">
        <w:rPr>
          <w:rFonts w:ascii="Century Gothic" w:hAnsi="Century Gothic" w:cs="Arial"/>
          <w:spacing w:val="0"/>
          <w:szCs w:val="22"/>
        </w:rPr>
        <w:t>Tribunal desconoció el art</w:t>
      </w:r>
      <w:r w:rsidR="001232AE" w:rsidRPr="0042691D">
        <w:rPr>
          <w:rFonts w:ascii="Century Gothic" w:hAnsi="Century Gothic" w:cs="Arial"/>
          <w:spacing w:val="0"/>
          <w:szCs w:val="22"/>
        </w:rPr>
        <w:t xml:space="preserve">ículo 11 de la ley 1395 de 2010, el cual otorga valor probatorio a los documentos aportados en copia al proceso, cuando </w:t>
      </w:r>
      <w:r w:rsidR="00C71878" w:rsidRPr="0042691D">
        <w:rPr>
          <w:rFonts w:ascii="Century Gothic" w:hAnsi="Century Gothic" w:cs="Arial"/>
          <w:spacing w:val="0"/>
          <w:szCs w:val="22"/>
        </w:rPr>
        <w:t>son</w:t>
      </w:r>
      <w:r w:rsidR="001232AE" w:rsidRPr="0042691D">
        <w:rPr>
          <w:rFonts w:ascii="Century Gothic" w:hAnsi="Century Gothic" w:cs="Arial"/>
          <w:spacing w:val="0"/>
          <w:szCs w:val="22"/>
        </w:rPr>
        <w:t xml:space="preserve"> elaborados o suscrito</w:t>
      </w:r>
      <w:r w:rsidR="00776678" w:rsidRPr="0042691D">
        <w:rPr>
          <w:rFonts w:ascii="Century Gothic" w:hAnsi="Century Gothic" w:cs="Arial"/>
          <w:spacing w:val="0"/>
          <w:szCs w:val="22"/>
        </w:rPr>
        <w:t>s por la parte que los presenta, de modo que la excepción es improcedente a la luz de la normatividad señalada.</w:t>
      </w:r>
    </w:p>
    <w:p w14:paraId="5CA2368E" w14:textId="77777777" w:rsidR="00776678" w:rsidRPr="0042691D" w:rsidRDefault="00776678"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5613C891" w14:textId="77777777" w:rsidR="00254EB0" w:rsidRDefault="00C71878"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Asimismo, el recurrente planteó que, en este caso, se convalid</w:t>
      </w:r>
      <w:r w:rsidR="00AD664F" w:rsidRPr="0042691D">
        <w:rPr>
          <w:rFonts w:ascii="Century Gothic" w:hAnsi="Century Gothic" w:cs="Arial"/>
          <w:spacing w:val="0"/>
          <w:szCs w:val="22"/>
        </w:rPr>
        <w:t>ó y se sane</w:t>
      </w:r>
      <w:r w:rsidR="00F658F8" w:rsidRPr="0042691D">
        <w:rPr>
          <w:rFonts w:ascii="Century Gothic" w:hAnsi="Century Gothic" w:cs="Arial"/>
          <w:spacing w:val="0"/>
          <w:szCs w:val="22"/>
        </w:rPr>
        <w:t>ó</w:t>
      </w:r>
      <w:r w:rsidR="0089604B" w:rsidRPr="0042691D">
        <w:rPr>
          <w:rFonts w:ascii="Century Gothic" w:hAnsi="Century Gothic" w:cs="Arial"/>
          <w:spacing w:val="0"/>
          <w:szCs w:val="22"/>
        </w:rPr>
        <w:t xml:space="preserve"> </w:t>
      </w:r>
      <w:r w:rsidR="00AD664F" w:rsidRPr="0042691D">
        <w:rPr>
          <w:rFonts w:ascii="Century Gothic" w:hAnsi="Century Gothic" w:cs="Arial"/>
          <w:spacing w:val="0"/>
          <w:szCs w:val="22"/>
        </w:rPr>
        <w:t xml:space="preserve">la irregularidad </w:t>
      </w:r>
      <w:r w:rsidR="0042691D">
        <w:rPr>
          <w:rFonts w:ascii="Century Gothic" w:hAnsi="Century Gothic" w:cs="Arial"/>
          <w:spacing w:val="0"/>
          <w:szCs w:val="22"/>
        </w:rPr>
        <w:t xml:space="preserve">que se pudo presentar con el título ejecutivo, para lo cual </w:t>
      </w:r>
      <w:r w:rsidR="003A0045">
        <w:rPr>
          <w:rFonts w:ascii="Century Gothic" w:hAnsi="Century Gothic" w:cs="Arial"/>
          <w:spacing w:val="0"/>
          <w:szCs w:val="22"/>
        </w:rPr>
        <w:t xml:space="preserve">señaló que, así como las nulidades procesales se purgan </w:t>
      </w:r>
      <w:r w:rsidR="0042691D">
        <w:rPr>
          <w:rFonts w:ascii="Century Gothic" w:hAnsi="Century Gothic" w:cs="Arial"/>
          <w:spacing w:val="0"/>
          <w:szCs w:val="22"/>
        </w:rPr>
        <w:t>ante el silencio, la falta de impugnación o el asentimiento del afectado frente a los vicios que afecten el proceso</w:t>
      </w:r>
      <w:r w:rsidR="003A0045">
        <w:rPr>
          <w:rFonts w:ascii="Century Gothic" w:hAnsi="Century Gothic" w:cs="Arial"/>
          <w:spacing w:val="0"/>
          <w:szCs w:val="22"/>
        </w:rPr>
        <w:t>, en este caso también se presenta una purga ante el silencio del ejecutado</w:t>
      </w:r>
      <w:r w:rsidR="00A0553E">
        <w:rPr>
          <w:rFonts w:ascii="Century Gothic" w:hAnsi="Century Gothic" w:cs="Arial"/>
          <w:spacing w:val="0"/>
          <w:szCs w:val="22"/>
        </w:rPr>
        <w:t>,</w:t>
      </w:r>
      <w:r w:rsidR="003A0045">
        <w:rPr>
          <w:rFonts w:ascii="Century Gothic" w:hAnsi="Century Gothic" w:cs="Arial"/>
          <w:spacing w:val="0"/>
          <w:szCs w:val="22"/>
        </w:rPr>
        <w:t xml:space="preserve"> en cuanto al mérito probatorio de los documentos que integran el título.</w:t>
      </w:r>
    </w:p>
    <w:p w14:paraId="50023A7E" w14:textId="77777777" w:rsidR="00254EB0" w:rsidRDefault="00254EB0"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08AC91F" w14:textId="77777777" w:rsidR="00602757" w:rsidRDefault="00254EB0"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Pr>
          <w:rFonts w:ascii="Century Gothic" w:hAnsi="Century Gothic" w:cs="Arial"/>
          <w:spacing w:val="0"/>
          <w:szCs w:val="22"/>
        </w:rPr>
        <w:t>A lo anterior añadió que las decisiones inhibitorias, como la que adoptó el Tribunal de primera instancia, están proscritas en el ordenamiento jurídico</w:t>
      </w:r>
      <w:r w:rsidR="00602757">
        <w:rPr>
          <w:rFonts w:ascii="Century Gothic" w:hAnsi="Century Gothic" w:cs="Arial"/>
          <w:spacing w:val="0"/>
          <w:szCs w:val="22"/>
        </w:rPr>
        <w:t>.</w:t>
      </w:r>
    </w:p>
    <w:p w14:paraId="67525977" w14:textId="77777777" w:rsidR="00602757" w:rsidRDefault="00602757"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5D3F14B4" w14:textId="77777777" w:rsidR="00C71878" w:rsidRDefault="00602757" w:rsidP="00E467C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Pr>
          <w:rFonts w:ascii="Century Gothic" w:hAnsi="Century Gothic" w:cs="Arial"/>
          <w:spacing w:val="0"/>
          <w:szCs w:val="22"/>
        </w:rPr>
        <w:t>Asimismo, señal</w:t>
      </w:r>
      <w:r w:rsidR="00B90FCF">
        <w:rPr>
          <w:rFonts w:ascii="Century Gothic" w:hAnsi="Century Gothic" w:cs="Arial"/>
          <w:spacing w:val="0"/>
          <w:szCs w:val="22"/>
        </w:rPr>
        <w:t>ó que la condena en constas no es procedente, pues en el expediente no existe prueba de que la Caja Promotora de Vivienda Militar hubiera incurrido en gastos relacionados con la defensa de la entidad, por cuenta del presente proceso (fls. 222 a 233, C. Consejo).</w:t>
      </w:r>
      <w:r w:rsidR="00254EB0">
        <w:rPr>
          <w:rFonts w:ascii="Century Gothic" w:hAnsi="Century Gothic" w:cs="Arial"/>
          <w:spacing w:val="0"/>
          <w:szCs w:val="22"/>
        </w:rPr>
        <w:t xml:space="preserve">  </w:t>
      </w:r>
      <w:r w:rsidR="0042691D">
        <w:rPr>
          <w:rFonts w:ascii="Century Gothic" w:hAnsi="Century Gothic" w:cs="Arial"/>
          <w:spacing w:val="0"/>
          <w:szCs w:val="22"/>
        </w:rPr>
        <w:t xml:space="preserve">   </w:t>
      </w:r>
    </w:p>
    <w:p w14:paraId="580A26F7" w14:textId="77777777" w:rsidR="0003363D" w:rsidRPr="0042691D" w:rsidRDefault="0003363D"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1885A8F3" w14:textId="77777777" w:rsidR="0003363D" w:rsidRPr="0042691D" w:rsidRDefault="00621876"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42691D">
        <w:rPr>
          <w:rFonts w:ascii="Century Gothic" w:hAnsi="Century Gothic" w:cs="Arial"/>
          <w:b/>
          <w:spacing w:val="0"/>
          <w:szCs w:val="22"/>
        </w:rPr>
        <w:t xml:space="preserve">8.- </w:t>
      </w:r>
      <w:r w:rsidR="0003363D" w:rsidRPr="0042691D">
        <w:rPr>
          <w:rFonts w:ascii="Century Gothic" w:hAnsi="Century Gothic" w:cs="Arial"/>
          <w:b/>
          <w:spacing w:val="0"/>
          <w:szCs w:val="22"/>
        </w:rPr>
        <w:t xml:space="preserve">Los alegatos de segunda instancia.- </w:t>
      </w:r>
    </w:p>
    <w:p w14:paraId="5AAF363C" w14:textId="77777777" w:rsidR="00DA64F4" w:rsidRPr="0042691D" w:rsidRDefault="00DA64F4"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0EC09256" w14:textId="77777777" w:rsidR="00621876" w:rsidRPr="0042691D" w:rsidRDefault="00621876"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b/>
          <w:spacing w:val="0"/>
          <w:szCs w:val="22"/>
        </w:rPr>
        <w:t xml:space="preserve">8.1.- </w:t>
      </w:r>
      <w:r w:rsidR="00B90FCF">
        <w:rPr>
          <w:rFonts w:ascii="Century Gothic" w:hAnsi="Century Gothic" w:cs="Arial"/>
          <w:b/>
          <w:spacing w:val="0"/>
          <w:szCs w:val="22"/>
        </w:rPr>
        <w:t xml:space="preserve">El Patrimonio Autónomo PAR –INURBE EN LIQUIDACIÓN- </w:t>
      </w:r>
      <w:r w:rsidR="00B90FCF">
        <w:rPr>
          <w:rFonts w:ascii="Century Gothic" w:hAnsi="Century Gothic" w:cs="Arial"/>
          <w:spacing w:val="0"/>
          <w:szCs w:val="22"/>
        </w:rPr>
        <w:t>reiteró los argumentos esbozados al sustentar el recurso de apelación</w:t>
      </w:r>
      <w:r w:rsidRPr="0042691D">
        <w:rPr>
          <w:rFonts w:ascii="Century Gothic" w:hAnsi="Century Gothic" w:cs="Arial"/>
          <w:spacing w:val="0"/>
          <w:szCs w:val="22"/>
        </w:rPr>
        <w:t xml:space="preserve"> (fls.</w:t>
      </w:r>
      <w:r w:rsidR="003F437C">
        <w:rPr>
          <w:rFonts w:ascii="Century Gothic" w:hAnsi="Century Gothic" w:cs="Arial"/>
          <w:spacing w:val="0"/>
          <w:szCs w:val="22"/>
        </w:rPr>
        <w:t xml:space="preserve"> 279 a 290</w:t>
      </w:r>
      <w:r w:rsidRPr="0042691D">
        <w:rPr>
          <w:rFonts w:ascii="Century Gothic" w:hAnsi="Century Gothic" w:cs="Arial"/>
          <w:spacing w:val="0"/>
          <w:szCs w:val="22"/>
        </w:rPr>
        <w:t>, C. Consejo).</w:t>
      </w:r>
    </w:p>
    <w:p w14:paraId="0CBAAE5C" w14:textId="77777777" w:rsidR="00621876" w:rsidRPr="0042691D" w:rsidRDefault="00621876"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70BFACFA" w14:textId="77777777" w:rsidR="00511A37" w:rsidRDefault="00621876"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b/>
          <w:spacing w:val="0"/>
          <w:szCs w:val="22"/>
        </w:rPr>
        <w:t xml:space="preserve">8.2.- </w:t>
      </w:r>
      <w:r w:rsidR="003F437C">
        <w:rPr>
          <w:rFonts w:ascii="Century Gothic" w:hAnsi="Century Gothic" w:cs="Arial"/>
          <w:b/>
          <w:spacing w:val="0"/>
          <w:szCs w:val="22"/>
        </w:rPr>
        <w:t xml:space="preserve">La Caja Promotora de Vivienda Militar y de Policía </w:t>
      </w:r>
      <w:r w:rsidR="003F437C">
        <w:rPr>
          <w:rFonts w:ascii="Century Gothic" w:hAnsi="Century Gothic" w:cs="Arial"/>
          <w:spacing w:val="0"/>
          <w:szCs w:val="22"/>
        </w:rPr>
        <w:t>defendió los argumentos que tuvo en cuenta el a quo para declarar probada de oficio la excepción de inexistencia de la obligación y ordenar la terminación del p</w:t>
      </w:r>
      <w:r w:rsidR="00C857E6">
        <w:rPr>
          <w:rFonts w:ascii="Century Gothic" w:hAnsi="Century Gothic" w:cs="Arial"/>
          <w:spacing w:val="0"/>
          <w:szCs w:val="22"/>
        </w:rPr>
        <w:t xml:space="preserve">roceso, </w:t>
      </w:r>
      <w:r w:rsidR="00DC3737">
        <w:rPr>
          <w:rFonts w:ascii="Century Gothic" w:hAnsi="Century Gothic" w:cs="Arial"/>
          <w:spacing w:val="0"/>
          <w:szCs w:val="22"/>
        </w:rPr>
        <w:t>por cuanto, en su opinión, los documentos a</w:t>
      </w:r>
      <w:r w:rsidR="00D52244">
        <w:rPr>
          <w:rFonts w:ascii="Century Gothic" w:hAnsi="Century Gothic" w:cs="Arial"/>
          <w:spacing w:val="0"/>
          <w:szCs w:val="22"/>
        </w:rPr>
        <w:t>p</w:t>
      </w:r>
      <w:r w:rsidR="00DC3737">
        <w:rPr>
          <w:rFonts w:ascii="Century Gothic" w:hAnsi="Century Gothic" w:cs="Arial"/>
          <w:spacing w:val="0"/>
          <w:szCs w:val="22"/>
        </w:rPr>
        <w:t xml:space="preserve">ortados para integrar el título ejecutivo no satisfacen las exigencias de forma que contempla el </w:t>
      </w:r>
      <w:r w:rsidR="00D52244">
        <w:rPr>
          <w:rFonts w:ascii="Century Gothic" w:hAnsi="Century Gothic" w:cs="Arial"/>
          <w:spacing w:val="0"/>
          <w:szCs w:val="22"/>
        </w:rPr>
        <w:t>ordenamiento</w:t>
      </w:r>
      <w:r w:rsidR="00511A37">
        <w:rPr>
          <w:rFonts w:ascii="Century Gothic" w:hAnsi="Century Gothic" w:cs="Arial"/>
          <w:spacing w:val="0"/>
          <w:szCs w:val="22"/>
        </w:rPr>
        <w:t xml:space="preserve"> jurídico.</w:t>
      </w:r>
    </w:p>
    <w:p w14:paraId="045BDD72" w14:textId="77777777" w:rsidR="00511A37" w:rsidRDefault="00511A37"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534B242C" w14:textId="77777777" w:rsidR="00964D76" w:rsidRPr="0042691D" w:rsidRDefault="00966983" w:rsidP="0096570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Pr>
          <w:rFonts w:ascii="Century Gothic" w:hAnsi="Century Gothic" w:cs="Arial"/>
          <w:spacing w:val="0"/>
          <w:szCs w:val="22"/>
        </w:rPr>
        <w:t>C</w:t>
      </w:r>
      <w:r w:rsidR="00947F2C">
        <w:rPr>
          <w:rFonts w:ascii="Century Gothic" w:hAnsi="Century Gothic" w:cs="Arial"/>
          <w:spacing w:val="0"/>
          <w:szCs w:val="22"/>
        </w:rPr>
        <w:t>alificó de abusivas las cláusulas contractuales que contemplan la obligación de pagar la suma que se pretende hacer exigible por la vía ejecutiva</w:t>
      </w:r>
      <w:r w:rsidR="00A125BD">
        <w:rPr>
          <w:rFonts w:ascii="Century Gothic" w:hAnsi="Century Gothic" w:cs="Arial"/>
          <w:spacing w:val="0"/>
          <w:szCs w:val="22"/>
        </w:rPr>
        <w:t xml:space="preserve"> en este proceso (fls. 291 a 296, C. Consejo)</w:t>
      </w:r>
      <w:r w:rsidR="00947F2C">
        <w:rPr>
          <w:rFonts w:ascii="Century Gothic" w:hAnsi="Century Gothic" w:cs="Arial"/>
          <w:spacing w:val="0"/>
          <w:szCs w:val="22"/>
        </w:rPr>
        <w:t>.</w:t>
      </w:r>
    </w:p>
    <w:p w14:paraId="04B789F3" w14:textId="77777777" w:rsidR="00965701" w:rsidRDefault="00965701"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p>
    <w:p w14:paraId="1033DA37" w14:textId="77777777" w:rsidR="00965701" w:rsidRPr="00965701" w:rsidRDefault="00965701" w:rsidP="00621876">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965701">
        <w:rPr>
          <w:rFonts w:ascii="Century Gothic" w:hAnsi="Century Gothic" w:cs="Arial"/>
          <w:spacing w:val="0"/>
          <w:szCs w:val="22"/>
        </w:rPr>
        <w:t xml:space="preserve">El delegado del Ministerio Público guardó silencio. </w:t>
      </w:r>
    </w:p>
    <w:p w14:paraId="30472688" w14:textId="77777777" w:rsidR="006A3E7E" w:rsidRPr="0042691D" w:rsidRDefault="006A3E7E" w:rsidP="00EE55DA">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349DEBE0" w14:textId="77777777" w:rsidR="006A3E7E" w:rsidRPr="0042691D" w:rsidRDefault="005F0A3B" w:rsidP="006769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jc w:val="center"/>
        <w:textAlignment w:val="auto"/>
        <w:rPr>
          <w:rFonts w:ascii="Century Gothic" w:hAnsi="Century Gothic" w:cs="Arial"/>
          <w:b/>
          <w:spacing w:val="0"/>
          <w:szCs w:val="22"/>
        </w:rPr>
      </w:pPr>
      <w:r w:rsidRPr="0042691D">
        <w:rPr>
          <w:rFonts w:ascii="Century Gothic" w:hAnsi="Century Gothic" w:cs="Arial"/>
          <w:b/>
          <w:spacing w:val="0"/>
          <w:szCs w:val="22"/>
        </w:rPr>
        <w:t>CONSIDERACIONES.</w:t>
      </w:r>
      <w:r w:rsidR="002F70DF" w:rsidRPr="0042691D">
        <w:rPr>
          <w:rFonts w:ascii="Century Gothic" w:hAnsi="Century Gothic" w:cs="Arial"/>
          <w:b/>
          <w:spacing w:val="0"/>
          <w:szCs w:val="22"/>
        </w:rPr>
        <w:t>-</w:t>
      </w:r>
    </w:p>
    <w:p w14:paraId="296EBA42" w14:textId="77777777" w:rsidR="006A3E7E" w:rsidRPr="0042691D" w:rsidRDefault="006A3E7E" w:rsidP="003F001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firstLine="540"/>
        <w:textAlignment w:val="auto"/>
        <w:rPr>
          <w:rFonts w:ascii="Century Gothic" w:hAnsi="Century Gothic" w:cs="Arial"/>
          <w:spacing w:val="0"/>
          <w:szCs w:val="22"/>
        </w:rPr>
      </w:pPr>
    </w:p>
    <w:p w14:paraId="17EC2D34" w14:textId="77777777" w:rsidR="005C75A9" w:rsidRPr="0042691D" w:rsidRDefault="005C75A9" w:rsidP="005C75A9">
      <w:pPr>
        <w:widowControl w:val="0"/>
        <w:autoSpaceDE w:val="0"/>
        <w:autoSpaceDN w:val="0"/>
        <w:adjustRightInd w:val="0"/>
        <w:spacing w:line="360" w:lineRule="auto"/>
        <w:jc w:val="both"/>
        <w:rPr>
          <w:rFonts w:ascii="Century Gothic" w:hAnsi="Century Gothic"/>
          <w:b/>
          <w:sz w:val="22"/>
          <w:szCs w:val="22"/>
        </w:rPr>
      </w:pPr>
      <w:r w:rsidRPr="0042691D">
        <w:rPr>
          <w:rFonts w:ascii="Century Gothic" w:hAnsi="Century Gothic"/>
          <w:b/>
          <w:sz w:val="22"/>
          <w:szCs w:val="22"/>
        </w:rPr>
        <w:t xml:space="preserve">I. La </w:t>
      </w:r>
      <w:bookmarkStart w:id="0" w:name="_Hlk22218484"/>
      <w:r w:rsidRPr="0042691D">
        <w:rPr>
          <w:rFonts w:ascii="Century Gothic" w:hAnsi="Century Gothic"/>
          <w:b/>
          <w:sz w:val="22"/>
          <w:szCs w:val="22"/>
        </w:rPr>
        <w:t>competencia</w:t>
      </w:r>
    </w:p>
    <w:bookmarkEnd w:id="0"/>
    <w:p w14:paraId="5A8ED258" w14:textId="77777777" w:rsidR="005C75A9" w:rsidRPr="0042691D" w:rsidRDefault="005C75A9" w:rsidP="005C75A9">
      <w:pPr>
        <w:widowControl w:val="0"/>
        <w:autoSpaceDE w:val="0"/>
        <w:autoSpaceDN w:val="0"/>
        <w:adjustRightInd w:val="0"/>
        <w:spacing w:line="360" w:lineRule="auto"/>
        <w:jc w:val="both"/>
        <w:rPr>
          <w:rFonts w:ascii="Century Gothic" w:hAnsi="Century Gothic"/>
          <w:sz w:val="22"/>
          <w:szCs w:val="22"/>
        </w:rPr>
      </w:pPr>
    </w:p>
    <w:p w14:paraId="34286B7C" w14:textId="77777777" w:rsidR="00995B17" w:rsidRDefault="005C75A9" w:rsidP="005C75A9">
      <w:pPr>
        <w:widowControl w:val="0"/>
        <w:autoSpaceDE w:val="0"/>
        <w:autoSpaceDN w:val="0"/>
        <w:adjustRightInd w:val="0"/>
        <w:spacing w:line="360" w:lineRule="auto"/>
        <w:jc w:val="both"/>
        <w:rPr>
          <w:rFonts w:ascii="Century Gothic" w:hAnsi="Century Gothic"/>
          <w:sz w:val="22"/>
          <w:szCs w:val="22"/>
        </w:rPr>
      </w:pPr>
      <w:r w:rsidRPr="0042691D">
        <w:rPr>
          <w:rFonts w:ascii="Century Gothic" w:hAnsi="Century Gothic"/>
          <w:sz w:val="22"/>
          <w:szCs w:val="22"/>
        </w:rPr>
        <w:t xml:space="preserve">La Sala es competente para conocer del recurso de apelación interpuesto por la parte </w:t>
      </w:r>
      <w:r w:rsidR="00F34744" w:rsidRPr="0042691D">
        <w:rPr>
          <w:rFonts w:ascii="Century Gothic" w:hAnsi="Century Gothic"/>
          <w:sz w:val="22"/>
          <w:szCs w:val="22"/>
        </w:rPr>
        <w:t>ejecu</w:t>
      </w:r>
      <w:r w:rsidR="00965701">
        <w:rPr>
          <w:rFonts w:ascii="Century Gothic" w:hAnsi="Century Gothic"/>
          <w:sz w:val="22"/>
          <w:szCs w:val="22"/>
        </w:rPr>
        <w:t xml:space="preserve">tante </w:t>
      </w:r>
      <w:r w:rsidRPr="0042691D">
        <w:rPr>
          <w:rFonts w:ascii="Century Gothic" w:hAnsi="Century Gothic"/>
          <w:sz w:val="22"/>
          <w:szCs w:val="22"/>
        </w:rPr>
        <w:t>contra la sentencia proferida por el Tribunal Administrativo de</w:t>
      </w:r>
      <w:r w:rsidR="00965701">
        <w:rPr>
          <w:rFonts w:ascii="Century Gothic" w:hAnsi="Century Gothic"/>
          <w:sz w:val="22"/>
          <w:szCs w:val="22"/>
        </w:rPr>
        <w:t xml:space="preserve"> Cundinamarca, Sección Tercera, Subsección “B” </w:t>
      </w:r>
      <w:r w:rsidRPr="0042691D">
        <w:rPr>
          <w:rFonts w:ascii="Century Gothic" w:hAnsi="Century Gothic"/>
          <w:sz w:val="22"/>
          <w:szCs w:val="22"/>
        </w:rPr>
        <w:t xml:space="preserve">el </w:t>
      </w:r>
      <w:r w:rsidR="00995B17">
        <w:rPr>
          <w:rFonts w:ascii="Century Gothic" w:hAnsi="Century Gothic"/>
          <w:sz w:val="22"/>
          <w:szCs w:val="22"/>
        </w:rPr>
        <w:t>1º de febrero de 2012</w:t>
      </w:r>
      <w:r w:rsidRPr="0042691D">
        <w:rPr>
          <w:rFonts w:ascii="Century Gothic" w:hAnsi="Century Gothic"/>
          <w:sz w:val="22"/>
          <w:szCs w:val="22"/>
        </w:rPr>
        <w:t>, por cuanto</w:t>
      </w:r>
      <w:r w:rsidR="004347F4" w:rsidRPr="0042691D">
        <w:rPr>
          <w:rFonts w:ascii="Century Gothic" w:hAnsi="Century Gothic"/>
          <w:sz w:val="22"/>
          <w:szCs w:val="22"/>
        </w:rPr>
        <w:t xml:space="preserve"> la pretensión </w:t>
      </w:r>
      <w:r w:rsidR="00A55650" w:rsidRPr="0042691D">
        <w:rPr>
          <w:rFonts w:ascii="Century Gothic" w:hAnsi="Century Gothic"/>
          <w:sz w:val="22"/>
          <w:szCs w:val="22"/>
        </w:rPr>
        <w:t>mayor asciende</w:t>
      </w:r>
      <w:r w:rsidR="004347F4" w:rsidRPr="0042691D">
        <w:rPr>
          <w:rFonts w:ascii="Century Gothic" w:hAnsi="Century Gothic"/>
          <w:sz w:val="22"/>
          <w:szCs w:val="22"/>
        </w:rPr>
        <w:t xml:space="preserve"> a </w:t>
      </w:r>
      <w:r w:rsidRPr="0042691D">
        <w:rPr>
          <w:rFonts w:ascii="Century Gothic" w:hAnsi="Century Gothic"/>
          <w:sz w:val="22"/>
          <w:szCs w:val="22"/>
        </w:rPr>
        <w:t>$</w:t>
      </w:r>
      <w:r w:rsidR="00995B17">
        <w:rPr>
          <w:rFonts w:ascii="Century Gothic" w:hAnsi="Century Gothic"/>
          <w:sz w:val="22"/>
          <w:szCs w:val="22"/>
        </w:rPr>
        <w:t>4.572’538.000</w:t>
      </w:r>
      <w:r w:rsidRPr="0042691D">
        <w:rPr>
          <w:rStyle w:val="Refdenotaalpie"/>
          <w:rFonts w:ascii="Century Gothic" w:hAnsi="Century Gothic"/>
          <w:sz w:val="22"/>
          <w:szCs w:val="22"/>
        </w:rPr>
        <w:footnoteReference w:id="1"/>
      </w:r>
      <w:r w:rsidR="00995B17">
        <w:rPr>
          <w:rFonts w:ascii="Century Gothic" w:hAnsi="Century Gothic"/>
          <w:sz w:val="22"/>
          <w:szCs w:val="22"/>
        </w:rPr>
        <w:t>.</w:t>
      </w:r>
    </w:p>
    <w:p w14:paraId="0DB05502" w14:textId="77777777" w:rsidR="00995B17" w:rsidRDefault="00995B17" w:rsidP="005C75A9">
      <w:pPr>
        <w:widowControl w:val="0"/>
        <w:autoSpaceDE w:val="0"/>
        <w:autoSpaceDN w:val="0"/>
        <w:adjustRightInd w:val="0"/>
        <w:spacing w:line="360" w:lineRule="auto"/>
        <w:jc w:val="both"/>
        <w:rPr>
          <w:rFonts w:ascii="Century Gothic" w:hAnsi="Century Gothic"/>
          <w:sz w:val="22"/>
          <w:szCs w:val="22"/>
        </w:rPr>
      </w:pPr>
    </w:p>
    <w:p w14:paraId="40B9E2DA" w14:textId="77777777" w:rsidR="00995B17" w:rsidRPr="0006545F" w:rsidRDefault="00995B17" w:rsidP="00995B17">
      <w:pPr>
        <w:widowControl w:val="0"/>
        <w:spacing w:line="360" w:lineRule="auto"/>
        <w:ind w:right="79"/>
        <w:jc w:val="both"/>
        <w:rPr>
          <w:rFonts w:ascii="Century Gothic" w:hAnsi="Century Gothic"/>
          <w:sz w:val="22"/>
          <w:szCs w:val="22"/>
        </w:rPr>
      </w:pPr>
      <w:bookmarkStart w:id="1" w:name="_Hlk22218502"/>
      <w:r w:rsidRPr="0006545F">
        <w:rPr>
          <w:rFonts w:ascii="Century Gothic" w:hAnsi="Century Gothic"/>
          <w:sz w:val="22"/>
          <w:szCs w:val="22"/>
        </w:rPr>
        <w:t>Para la época de interposición del recurso de apelación</w:t>
      </w:r>
      <w:r w:rsidRPr="0006545F">
        <w:rPr>
          <w:rStyle w:val="Refdenotaalpie"/>
          <w:rFonts w:ascii="Century Gothic" w:hAnsi="Century Gothic"/>
          <w:sz w:val="22"/>
          <w:szCs w:val="22"/>
        </w:rPr>
        <w:footnoteReference w:id="2"/>
      </w:r>
      <w:r w:rsidRPr="0006545F">
        <w:rPr>
          <w:rFonts w:ascii="Century Gothic" w:hAnsi="Century Gothic"/>
          <w:sz w:val="22"/>
          <w:szCs w:val="22"/>
        </w:rPr>
        <w:t xml:space="preserve">, eran susceptibles de acceder a la segunda instancia los procesos </w:t>
      </w:r>
      <w:r>
        <w:rPr>
          <w:rFonts w:ascii="Century Gothic" w:hAnsi="Century Gothic"/>
          <w:sz w:val="22"/>
          <w:szCs w:val="22"/>
        </w:rPr>
        <w:t>ejecutivos</w:t>
      </w:r>
      <w:r w:rsidRPr="0006545F">
        <w:rPr>
          <w:rFonts w:ascii="Century Gothic" w:hAnsi="Century Gothic"/>
          <w:sz w:val="22"/>
          <w:szCs w:val="22"/>
        </w:rPr>
        <w:t xml:space="preserve"> cuya cuantía excediera </w:t>
      </w:r>
      <w:r>
        <w:rPr>
          <w:rFonts w:ascii="Century Gothic" w:hAnsi="Century Gothic"/>
          <w:sz w:val="22"/>
          <w:szCs w:val="22"/>
        </w:rPr>
        <w:t>1.</w:t>
      </w:r>
      <w:r w:rsidRPr="0006545F">
        <w:rPr>
          <w:rFonts w:ascii="Century Gothic" w:hAnsi="Century Gothic"/>
          <w:sz w:val="22"/>
          <w:szCs w:val="22"/>
        </w:rPr>
        <w:t>500 salarios mínimos legales mensuales vigentes al momento de interposición de la demanda, tal como lo contem</w:t>
      </w:r>
      <w:r>
        <w:rPr>
          <w:rFonts w:ascii="Century Gothic" w:hAnsi="Century Gothic"/>
          <w:sz w:val="22"/>
          <w:szCs w:val="22"/>
        </w:rPr>
        <w:t>plaba el artículo 132 (numeral 7</w:t>
      </w:r>
      <w:r w:rsidRPr="0006545F">
        <w:rPr>
          <w:rFonts w:ascii="Century Gothic" w:hAnsi="Century Gothic"/>
          <w:sz w:val="22"/>
          <w:szCs w:val="22"/>
        </w:rPr>
        <w:t>) del C.C.A. (subrogado por el artículo 40 de la Ley 446 de1998)</w:t>
      </w:r>
      <w:r w:rsidRPr="0006545F">
        <w:rPr>
          <w:rStyle w:val="Refdenotaalpie"/>
          <w:rFonts w:ascii="Century Gothic" w:hAnsi="Century Gothic"/>
          <w:sz w:val="22"/>
          <w:szCs w:val="22"/>
        </w:rPr>
        <w:footnoteReference w:id="3"/>
      </w:r>
      <w:r w:rsidRPr="0006545F">
        <w:rPr>
          <w:rFonts w:ascii="Century Gothic" w:hAnsi="Century Gothic"/>
          <w:sz w:val="22"/>
          <w:szCs w:val="22"/>
        </w:rPr>
        <w:t>, en armonía con el artículo 164 de esta última ley</w:t>
      </w:r>
      <w:r w:rsidRPr="0006545F">
        <w:rPr>
          <w:rStyle w:val="Refdenotaalpie"/>
          <w:rFonts w:ascii="Century Gothic" w:hAnsi="Century Gothic"/>
          <w:sz w:val="22"/>
          <w:szCs w:val="22"/>
        </w:rPr>
        <w:footnoteReference w:id="4"/>
      </w:r>
      <w:r w:rsidRPr="0006545F">
        <w:rPr>
          <w:rFonts w:ascii="Century Gothic" w:hAnsi="Century Gothic"/>
          <w:sz w:val="22"/>
          <w:szCs w:val="22"/>
        </w:rPr>
        <w:t>.</w:t>
      </w:r>
    </w:p>
    <w:bookmarkEnd w:id="1"/>
    <w:p w14:paraId="364096B8" w14:textId="77777777" w:rsidR="00995B17" w:rsidRPr="0006545F" w:rsidRDefault="00995B17" w:rsidP="00995B17">
      <w:pPr>
        <w:widowControl w:val="0"/>
        <w:spacing w:line="360" w:lineRule="auto"/>
        <w:ind w:right="79"/>
        <w:jc w:val="both"/>
        <w:rPr>
          <w:rFonts w:ascii="Century Gothic" w:hAnsi="Century Gothic"/>
          <w:sz w:val="22"/>
          <w:szCs w:val="22"/>
        </w:rPr>
      </w:pPr>
    </w:p>
    <w:p w14:paraId="66E2DC4B" w14:textId="77777777" w:rsidR="00995B17" w:rsidRPr="0006545F" w:rsidRDefault="00995B17" w:rsidP="00995B17">
      <w:pPr>
        <w:widowControl w:val="0"/>
        <w:spacing w:line="360" w:lineRule="auto"/>
        <w:ind w:right="79"/>
        <w:jc w:val="both"/>
        <w:rPr>
          <w:rFonts w:ascii="Century Gothic" w:hAnsi="Century Gothic"/>
          <w:sz w:val="22"/>
          <w:szCs w:val="22"/>
        </w:rPr>
      </w:pPr>
      <w:r w:rsidRPr="0006545F">
        <w:rPr>
          <w:rFonts w:ascii="Century Gothic" w:hAnsi="Century Gothic"/>
          <w:sz w:val="22"/>
          <w:szCs w:val="22"/>
        </w:rPr>
        <w:t xml:space="preserve">La demanda fue interpuesta el </w:t>
      </w:r>
      <w:r w:rsidR="005C7CD6">
        <w:rPr>
          <w:rFonts w:ascii="Century Gothic" w:hAnsi="Century Gothic"/>
          <w:sz w:val="22"/>
          <w:szCs w:val="22"/>
        </w:rPr>
        <w:t>4 de julio de 2002</w:t>
      </w:r>
      <w:r w:rsidRPr="0006545F">
        <w:rPr>
          <w:rFonts w:ascii="Century Gothic" w:hAnsi="Century Gothic"/>
          <w:sz w:val="22"/>
          <w:szCs w:val="22"/>
        </w:rPr>
        <w:t xml:space="preserve"> y, para esa época, </w:t>
      </w:r>
      <w:r>
        <w:rPr>
          <w:rFonts w:ascii="Century Gothic" w:hAnsi="Century Gothic"/>
          <w:sz w:val="22"/>
          <w:szCs w:val="22"/>
        </w:rPr>
        <w:t>1.</w:t>
      </w:r>
      <w:r w:rsidRPr="0006545F">
        <w:rPr>
          <w:rFonts w:ascii="Century Gothic" w:hAnsi="Century Gothic"/>
          <w:sz w:val="22"/>
          <w:szCs w:val="22"/>
        </w:rPr>
        <w:t>500 salarios mínimos legales mensuales equivalían a $</w:t>
      </w:r>
      <w:r w:rsidR="005C7CD6">
        <w:rPr>
          <w:rFonts w:ascii="Century Gothic" w:hAnsi="Century Gothic"/>
          <w:sz w:val="22"/>
          <w:szCs w:val="22"/>
        </w:rPr>
        <w:t>463’500.000</w:t>
      </w:r>
      <w:r w:rsidRPr="0006545F">
        <w:rPr>
          <w:rFonts w:ascii="Century Gothic" w:hAnsi="Century Gothic"/>
          <w:sz w:val="22"/>
          <w:szCs w:val="22"/>
        </w:rPr>
        <w:t>.oo</w:t>
      </w:r>
      <w:r w:rsidRPr="0006545F">
        <w:rPr>
          <w:rStyle w:val="Refdenotaalpie"/>
          <w:rFonts w:ascii="Century Gothic" w:hAnsi="Century Gothic"/>
          <w:sz w:val="22"/>
          <w:szCs w:val="22"/>
        </w:rPr>
        <w:footnoteReference w:id="5"/>
      </w:r>
      <w:r w:rsidRPr="0006545F">
        <w:rPr>
          <w:rFonts w:ascii="Century Gothic" w:hAnsi="Century Gothic"/>
          <w:sz w:val="22"/>
          <w:szCs w:val="22"/>
        </w:rPr>
        <w:t xml:space="preserve">, de manera que la cuantía del proceso superaba la requerida por el ordenamiento jurídico para acceder a la segunda instancia en esta Corporación. </w:t>
      </w:r>
    </w:p>
    <w:p w14:paraId="282A2614" w14:textId="77777777" w:rsidR="00995B17" w:rsidRPr="0006545F" w:rsidRDefault="00995B17" w:rsidP="00995B17">
      <w:pPr>
        <w:widowControl w:val="0"/>
        <w:spacing w:line="360" w:lineRule="auto"/>
        <w:ind w:right="79"/>
        <w:jc w:val="both"/>
        <w:rPr>
          <w:rFonts w:ascii="Century Gothic" w:hAnsi="Century Gothic"/>
          <w:sz w:val="22"/>
          <w:szCs w:val="22"/>
        </w:rPr>
      </w:pPr>
    </w:p>
    <w:p w14:paraId="74039844" w14:textId="77777777" w:rsidR="00995B17" w:rsidRPr="0006545F" w:rsidRDefault="00995B17" w:rsidP="00995B17">
      <w:pPr>
        <w:widowControl w:val="0"/>
        <w:spacing w:line="360" w:lineRule="auto"/>
        <w:ind w:right="79"/>
        <w:jc w:val="both"/>
        <w:rPr>
          <w:rFonts w:ascii="Century Gothic" w:hAnsi="Century Gothic"/>
          <w:b/>
          <w:sz w:val="22"/>
          <w:szCs w:val="22"/>
        </w:rPr>
      </w:pPr>
      <w:r w:rsidRPr="0006545F">
        <w:rPr>
          <w:rFonts w:ascii="Century Gothic" w:hAnsi="Century Gothic"/>
          <w:sz w:val="22"/>
          <w:szCs w:val="22"/>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14:paraId="48F56216" w14:textId="77777777" w:rsidR="00995B17" w:rsidRPr="00D31D33" w:rsidRDefault="00995B17" w:rsidP="00995B1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08C0C9BA" w14:textId="77777777" w:rsidR="00995B17" w:rsidRPr="00C72348" w:rsidRDefault="00995B17" w:rsidP="00995B17">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sidRPr="00D31D33">
        <w:rPr>
          <w:rFonts w:ascii="Century Gothic" w:hAnsi="Century Gothic" w:cs="Arial"/>
          <w:b/>
          <w:spacing w:val="0"/>
          <w:szCs w:val="22"/>
        </w:rPr>
        <w:t>II.- Análisis de</w:t>
      </w:r>
      <w:r w:rsidR="002F0E46">
        <w:rPr>
          <w:rFonts w:ascii="Century Gothic" w:hAnsi="Century Gothic" w:cs="Arial"/>
          <w:b/>
          <w:spacing w:val="0"/>
          <w:szCs w:val="22"/>
        </w:rPr>
        <w:t>l recurso</w:t>
      </w:r>
      <w:r w:rsidRPr="00D31D33">
        <w:rPr>
          <w:rFonts w:ascii="Century Gothic" w:hAnsi="Century Gothic" w:cs="Arial"/>
          <w:b/>
          <w:spacing w:val="0"/>
          <w:szCs w:val="22"/>
        </w:rPr>
        <w:t>.-</w:t>
      </w:r>
    </w:p>
    <w:p w14:paraId="67078EFA" w14:textId="77777777" w:rsidR="006F16B9" w:rsidRPr="006F16B9" w:rsidRDefault="006F16B9" w:rsidP="006F16B9">
      <w:pPr>
        <w:spacing w:line="360" w:lineRule="auto"/>
        <w:jc w:val="both"/>
        <w:rPr>
          <w:rFonts w:ascii="Century Gothic" w:hAnsi="Century Gothic"/>
          <w:sz w:val="22"/>
          <w:szCs w:val="22"/>
        </w:rPr>
      </w:pPr>
    </w:p>
    <w:p w14:paraId="280505AE" w14:textId="77777777" w:rsidR="006F16B9" w:rsidRPr="006F16B9" w:rsidRDefault="006F16B9" w:rsidP="006F16B9">
      <w:pPr>
        <w:spacing w:line="360" w:lineRule="auto"/>
        <w:jc w:val="both"/>
        <w:rPr>
          <w:rFonts w:ascii="Century Gothic" w:hAnsi="Century Gothic"/>
          <w:sz w:val="22"/>
          <w:szCs w:val="22"/>
        </w:rPr>
      </w:pPr>
      <w:r>
        <w:rPr>
          <w:rFonts w:ascii="Century Gothic" w:hAnsi="Century Gothic"/>
          <w:sz w:val="22"/>
          <w:szCs w:val="22"/>
        </w:rPr>
        <w:t xml:space="preserve">En virtud de lo dispuesto en el artículo </w:t>
      </w:r>
      <w:r w:rsidRPr="006F16B9">
        <w:rPr>
          <w:rFonts w:ascii="Century Gothic" w:hAnsi="Century Gothic"/>
          <w:sz w:val="22"/>
          <w:szCs w:val="22"/>
        </w:rPr>
        <w:t>168 del C.C.A.</w:t>
      </w:r>
      <w:r>
        <w:rPr>
          <w:rFonts w:ascii="Century Gothic" w:hAnsi="Century Gothic"/>
          <w:sz w:val="22"/>
          <w:szCs w:val="22"/>
        </w:rPr>
        <w:t>,</w:t>
      </w:r>
      <w:r w:rsidRPr="006F16B9">
        <w:rPr>
          <w:rFonts w:ascii="Century Gothic" w:hAnsi="Century Gothic"/>
          <w:sz w:val="22"/>
          <w:szCs w:val="22"/>
        </w:rPr>
        <w:t xml:space="preserve"> en los procesos ante la jurisdicción </w:t>
      </w:r>
      <w:r w:rsidR="00A5291F">
        <w:rPr>
          <w:rFonts w:ascii="Century Gothic" w:hAnsi="Century Gothic"/>
          <w:sz w:val="22"/>
          <w:szCs w:val="22"/>
        </w:rPr>
        <w:t>de lo contencioso administrativo</w:t>
      </w:r>
      <w:r w:rsidRPr="006F16B9">
        <w:rPr>
          <w:rFonts w:ascii="Century Gothic" w:hAnsi="Century Gothic"/>
          <w:sz w:val="22"/>
          <w:szCs w:val="22"/>
        </w:rPr>
        <w:t xml:space="preserve"> se aplicarán, en cuanto sean compatibles, las normas del Código de Procedimiento Civil</w:t>
      </w:r>
      <w:r>
        <w:rPr>
          <w:rFonts w:ascii="Century Gothic" w:hAnsi="Century Gothic"/>
          <w:sz w:val="22"/>
          <w:szCs w:val="22"/>
        </w:rPr>
        <w:t>,</w:t>
      </w:r>
      <w:r w:rsidRPr="006F16B9">
        <w:rPr>
          <w:rFonts w:ascii="Century Gothic" w:hAnsi="Century Gothic"/>
          <w:sz w:val="22"/>
          <w:szCs w:val="22"/>
        </w:rPr>
        <w:t xml:space="preserve"> en lo relacionado con la admisibilidad de los medios de prueba, forma de practicarlas y criterios de valoración.</w:t>
      </w:r>
    </w:p>
    <w:p w14:paraId="63B7BD86" w14:textId="77777777" w:rsidR="006F16B9" w:rsidRPr="006F16B9" w:rsidRDefault="006F16B9" w:rsidP="006F16B9">
      <w:pPr>
        <w:spacing w:line="360" w:lineRule="auto"/>
        <w:jc w:val="both"/>
        <w:rPr>
          <w:rFonts w:ascii="Century Gothic" w:hAnsi="Century Gothic"/>
          <w:sz w:val="22"/>
          <w:szCs w:val="22"/>
        </w:rPr>
      </w:pPr>
    </w:p>
    <w:p w14:paraId="1AEEAB4D" w14:textId="77777777" w:rsidR="006F16B9" w:rsidRPr="006F16B9" w:rsidRDefault="00BB79DE" w:rsidP="006F16B9">
      <w:pPr>
        <w:spacing w:line="360" w:lineRule="auto"/>
        <w:jc w:val="both"/>
        <w:rPr>
          <w:rFonts w:ascii="Century Gothic" w:hAnsi="Century Gothic"/>
          <w:sz w:val="22"/>
          <w:szCs w:val="22"/>
        </w:rPr>
      </w:pPr>
      <w:r>
        <w:rPr>
          <w:rFonts w:ascii="Century Gothic" w:hAnsi="Century Gothic"/>
          <w:sz w:val="22"/>
          <w:szCs w:val="22"/>
        </w:rPr>
        <w:t>E</w:t>
      </w:r>
      <w:r w:rsidR="00A5291F">
        <w:rPr>
          <w:rFonts w:ascii="Century Gothic" w:hAnsi="Century Gothic"/>
          <w:sz w:val="22"/>
          <w:szCs w:val="22"/>
        </w:rPr>
        <w:t xml:space="preserve">l artículo </w:t>
      </w:r>
      <w:r w:rsidR="006F16B9" w:rsidRPr="006F16B9">
        <w:rPr>
          <w:rFonts w:ascii="Century Gothic" w:hAnsi="Century Gothic"/>
          <w:sz w:val="22"/>
          <w:szCs w:val="22"/>
        </w:rPr>
        <w:t xml:space="preserve">252 </w:t>
      </w:r>
      <w:r>
        <w:rPr>
          <w:rFonts w:ascii="Century Gothic" w:hAnsi="Century Gothic"/>
          <w:sz w:val="22"/>
          <w:szCs w:val="22"/>
        </w:rPr>
        <w:t>del</w:t>
      </w:r>
      <w:r w:rsidR="00B3070D">
        <w:rPr>
          <w:rFonts w:ascii="Century Gothic" w:hAnsi="Century Gothic"/>
          <w:sz w:val="22"/>
          <w:szCs w:val="22"/>
        </w:rPr>
        <w:t xml:space="preserve"> citado código</w:t>
      </w:r>
      <w:r w:rsidR="00A5291F">
        <w:rPr>
          <w:rFonts w:ascii="Century Gothic" w:hAnsi="Century Gothic"/>
          <w:sz w:val="22"/>
          <w:szCs w:val="22"/>
        </w:rPr>
        <w:t>, norma vigente para la fecha de presentación de la demanda</w:t>
      </w:r>
      <w:r w:rsidR="00B3070D">
        <w:rPr>
          <w:rFonts w:ascii="Century Gothic" w:hAnsi="Century Gothic"/>
          <w:sz w:val="22"/>
          <w:szCs w:val="22"/>
        </w:rPr>
        <w:t>,</w:t>
      </w:r>
      <w:r w:rsidR="00A5291F">
        <w:rPr>
          <w:rFonts w:ascii="Century Gothic" w:hAnsi="Century Gothic"/>
          <w:sz w:val="22"/>
          <w:szCs w:val="22"/>
        </w:rPr>
        <w:t xml:space="preserve"> </w:t>
      </w:r>
      <w:r>
        <w:rPr>
          <w:rFonts w:ascii="Century Gothic" w:hAnsi="Century Gothic"/>
          <w:sz w:val="22"/>
          <w:szCs w:val="22"/>
        </w:rPr>
        <w:t>establecía</w:t>
      </w:r>
      <w:r w:rsidR="006F16B9" w:rsidRPr="006F16B9">
        <w:rPr>
          <w:rFonts w:ascii="Century Gothic" w:hAnsi="Century Gothic"/>
          <w:sz w:val="22"/>
          <w:szCs w:val="22"/>
        </w:rPr>
        <w:t xml:space="preserve"> que </w:t>
      </w:r>
      <w:r w:rsidR="006F16B9" w:rsidRPr="00BB79DE">
        <w:rPr>
          <w:rFonts w:ascii="Century Gothic" w:hAnsi="Century Gothic"/>
          <w:i/>
          <w:sz w:val="22"/>
          <w:szCs w:val="22"/>
        </w:rPr>
        <w:t>“</w:t>
      </w:r>
      <w:r w:rsidR="00A5291F" w:rsidRPr="00BB79DE">
        <w:rPr>
          <w:rFonts w:ascii="Century Gothic" w:hAnsi="Century Gothic"/>
          <w:i/>
          <w:sz w:val="22"/>
          <w:szCs w:val="22"/>
        </w:rPr>
        <w:t xml:space="preserve">… </w:t>
      </w:r>
      <w:r w:rsidR="006F16B9" w:rsidRPr="00BB79DE">
        <w:rPr>
          <w:rFonts w:ascii="Century Gothic" w:hAnsi="Century Gothic"/>
          <w:i/>
          <w:sz w:val="22"/>
          <w:szCs w:val="22"/>
        </w:rPr>
        <w:t xml:space="preserve">es auténtico un documento </w:t>
      </w:r>
      <w:r w:rsidR="006F16B9" w:rsidRPr="00BB79DE">
        <w:rPr>
          <w:rFonts w:ascii="Century Gothic" w:hAnsi="Century Gothic"/>
          <w:b/>
          <w:i/>
          <w:sz w:val="22"/>
          <w:szCs w:val="22"/>
        </w:rPr>
        <w:t>cuando existe certeza</w:t>
      </w:r>
      <w:r w:rsidR="006F16B9" w:rsidRPr="00BB79DE">
        <w:rPr>
          <w:rFonts w:ascii="Century Gothic" w:hAnsi="Century Gothic"/>
          <w:i/>
          <w:sz w:val="22"/>
          <w:szCs w:val="22"/>
        </w:rPr>
        <w:t xml:space="preserve"> sobre la persona que lo ha elaborado, manuscrito o firmado. </w:t>
      </w:r>
      <w:r w:rsidR="006F16B9" w:rsidRPr="00BB79DE">
        <w:rPr>
          <w:rFonts w:ascii="Century Gothic" w:hAnsi="Century Gothic"/>
          <w:b/>
          <w:i/>
          <w:sz w:val="22"/>
          <w:szCs w:val="22"/>
        </w:rPr>
        <w:t>El documento público se presume auténtico</w:t>
      </w:r>
      <w:r w:rsidR="006F16B9" w:rsidRPr="00BB79DE">
        <w:rPr>
          <w:rFonts w:ascii="Century Gothic" w:hAnsi="Century Gothic"/>
          <w:i/>
          <w:sz w:val="22"/>
          <w:szCs w:val="22"/>
        </w:rPr>
        <w:t>, mientras no se compruebe lo contr</w:t>
      </w:r>
      <w:r>
        <w:rPr>
          <w:rFonts w:ascii="Century Gothic" w:hAnsi="Century Gothic"/>
          <w:i/>
          <w:sz w:val="22"/>
          <w:szCs w:val="22"/>
        </w:rPr>
        <w:t>ario mediante tacha de falsedad</w:t>
      </w:r>
      <w:r w:rsidR="006F16B9" w:rsidRPr="00BB79DE">
        <w:rPr>
          <w:rFonts w:ascii="Century Gothic" w:hAnsi="Century Gothic"/>
          <w:i/>
          <w:sz w:val="22"/>
          <w:szCs w:val="22"/>
        </w:rPr>
        <w:t>”</w:t>
      </w:r>
      <w:r>
        <w:rPr>
          <w:rFonts w:ascii="Century Gothic" w:hAnsi="Century Gothic"/>
          <w:i/>
          <w:sz w:val="22"/>
          <w:szCs w:val="22"/>
        </w:rPr>
        <w:t>.</w:t>
      </w:r>
    </w:p>
    <w:p w14:paraId="512E78D8" w14:textId="77777777" w:rsidR="006F16B9" w:rsidRPr="006F16B9" w:rsidRDefault="006F16B9" w:rsidP="006F16B9">
      <w:pPr>
        <w:spacing w:line="360" w:lineRule="auto"/>
        <w:jc w:val="both"/>
        <w:rPr>
          <w:rFonts w:ascii="Century Gothic" w:hAnsi="Century Gothic"/>
          <w:sz w:val="22"/>
          <w:szCs w:val="22"/>
        </w:rPr>
      </w:pPr>
    </w:p>
    <w:p w14:paraId="7EDEE86E" w14:textId="77777777" w:rsidR="006F16B9" w:rsidRPr="006F16B9" w:rsidRDefault="00B3070D" w:rsidP="006F16B9">
      <w:pPr>
        <w:spacing w:line="360" w:lineRule="auto"/>
        <w:jc w:val="both"/>
        <w:rPr>
          <w:rFonts w:ascii="Century Gothic" w:hAnsi="Century Gothic"/>
          <w:sz w:val="22"/>
          <w:szCs w:val="22"/>
        </w:rPr>
      </w:pPr>
      <w:bookmarkStart w:id="2" w:name="_Hlk22218709"/>
      <w:r>
        <w:rPr>
          <w:rFonts w:ascii="Century Gothic" w:hAnsi="Century Gothic"/>
          <w:sz w:val="22"/>
          <w:szCs w:val="22"/>
        </w:rPr>
        <w:t xml:space="preserve">Asimismo, señalaba el artículo 253 </w:t>
      </w:r>
      <w:r w:rsidRPr="00B3070D">
        <w:rPr>
          <w:rFonts w:ascii="Century Gothic" w:hAnsi="Century Gothic"/>
          <w:i/>
          <w:sz w:val="22"/>
          <w:szCs w:val="22"/>
        </w:rPr>
        <w:t>ibídem</w:t>
      </w:r>
      <w:r>
        <w:rPr>
          <w:rFonts w:ascii="Century Gothic" w:hAnsi="Century Gothic"/>
          <w:sz w:val="22"/>
          <w:szCs w:val="22"/>
        </w:rPr>
        <w:t xml:space="preserve"> que los </w:t>
      </w:r>
      <w:bookmarkStart w:id="3" w:name="_Hlk22218644"/>
      <w:r>
        <w:rPr>
          <w:rFonts w:ascii="Century Gothic" w:hAnsi="Century Gothic"/>
          <w:sz w:val="22"/>
          <w:szCs w:val="22"/>
        </w:rPr>
        <w:t xml:space="preserve">documentos </w:t>
      </w:r>
      <w:bookmarkEnd w:id="3"/>
      <w:r>
        <w:rPr>
          <w:rFonts w:ascii="Century Gothic" w:hAnsi="Century Gothic"/>
          <w:sz w:val="22"/>
          <w:szCs w:val="22"/>
        </w:rPr>
        <w:t>podían ser aportad</w:t>
      </w:r>
      <w:r w:rsidR="00BD51FE">
        <w:rPr>
          <w:rFonts w:ascii="Century Gothic" w:hAnsi="Century Gothic"/>
          <w:sz w:val="22"/>
          <w:szCs w:val="22"/>
        </w:rPr>
        <w:t>o</w:t>
      </w:r>
      <w:r w:rsidR="00A0553E">
        <w:rPr>
          <w:rFonts w:ascii="Century Gothic" w:hAnsi="Century Gothic"/>
          <w:sz w:val="22"/>
          <w:szCs w:val="22"/>
        </w:rPr>
        <w:t>s en original o en copia, pero e</w:t>
      </w:r>
      <w:r w:rsidR="00BD51FE">
        <w:rPr>
          <w:rFonts w:ascii="Century Gothic" w:hAnsi="Century Gothic"/>
          <w:sz w:val="22"/>
          <w:szCs w:val="22"/>
        </w:rPr>
        <w:t xml:space="preserve">stas últimas solo tendrían </w:t>
      </w:r>
      <w:r w:rsidR="006F16B9" w:rsidRPr="006F16B9">
        <w:rPr>
          <w:rFonts w:ascii="Century Gothic" w:hAnsi="Century Gothic"/>
          <w:sz w:val="22"/>
          <w:szCs w:val="22"/>
        </w:rPr>
        <w:t>valor pr</w:t>
      </w:r>
      <w:r w:rsidR="00DE1AAE">
        <w:rPr>
          <w:rFonts w:ascii="Century Gothic" w:hAnsi="Century Gothic"/>
          <w:sz w:val="22"/>
          <w:szCs w:val="22"/>
        </w:rPr>
        <w:t xml:space="preserve">obatorio </w:t>
      </w:r>
      <w:r w:rsidR="006F16B9" w:rsidRPr="006F16B9">
        <w:rPr>
          <w:rFonts w:ascii="Century Gothic" w:hAnsi="Century Gothic"/>
          <w:sz w:val="22"/>
          <w:szCs w:val="22"/>
        </w:rPr>
        <w:t xml:space="preserve">en los casos </w:t>
      </w:r>
      <w:r w:rsidR="00DE1AAE">
        <w:rPr>
          <w:rFonts w:ascii="Century Gothic" w:hAnsi="Century Gothic"/>
          <w:sz w:val="22"/>
          <w:szCs w:val="22"/>
        </w:rPr>
        <w:t>señalados por el artículo</w:t>
      </w:r>
      <w:r w:rsidR="006F16B9" w:rsidRPr="006F16B9">
        <w:rPr>
          <w:rFonts w:ascii="Century Gothic" w:hAnsi="Century Gothic"/>
          <w:sz w:val="22"/>
          <w:szCs w:val="22"/>
        </w:rPr>
        <w:t xml:space="preserve"> 254 </w:t>
      </w:r>
      <w:r w:rsidR="00DE1AAE">
        <w:rPr>
          <w:rFonts w:ascii="Century Gothic" w:hAnsi="Century Gothic"/>
          <w:sz w:val="22"/>
          <w:szCs w:val="22"/>
        </w:rPr>
        <w:t>ibídem</w:t>
      </w:r>
      <w:r w:rsidR="00DE1AAE">
        <w:rPr>
          <w:rStyle w:val="Refdenotaalpie"/>
          <w:rFonts w:ascii="Century Gothic" w:hAnsi="Century Gothic"/>
          <w:sz w:val="22"/>
          <w:szCs w:val="22"/>
        </w:rPr>
        <w:footnoteReference w:id="6"/>
      </w:r>
      <w:r w:rsidR="00BD51FE">
        <w:rPr>
          <w:rFonts w:ascii="Century Gothic" w:hAnsi="Century Gothic"/>
          <w:sz w:val="22"/>
          <w:szCs w:val="22"/>
        </w:rPr>
        <w:t>, esto es</w:t>
      </w:r>
      <w:r w:rsidR="006F16B9" w:rsidRPr="006F16B9">
        <w:rPr>
          <w:rFonts w:ascii="Century Gothic" w:hAnsi="Century Gothic"/>
          <w:sz w:val="22"/>
          <w:szCs w:val="22"/>
        </w:rPr>
        <w:t>:</w:t>
      </w:r>
      <w:r>
        <w:rPr>
          <w:rFonts w:ascii="Century Gothic" w:hAnsi="Century Gothic"/>
          <w:sz w:val="22"/>
          <w:szCs w:val="22"/>
        </w:rPr>
        <w:t xml:space="preserve"> (i) c</w:t>
      </w:r>
      <w:r w:rsidR="006F16B9" w:rsidRPr="006F16B9">
        <w:rPr>
          <w:rFonts w:ascii="Century Gothic" w:hAnsi="Century Gothic"/>
          <w:sz w:val="22"/>
          <w:szCs w:val="22"/>
        </w:rPr>
        <w:t>uando hayan sido autorizados por notario, director de oficina administrativa o de policía, o secretario de oficina judicial, previa orden del juez, donde se encuentre el o</w:t>
      </w:r>
      <w:r w:rsidR="00BD51FE">
        <w:rPr>
          <w:rFonts w:ascii="Century Gothic" w:hAnsi="Century Gothic"/>
          <w:sz w:val="22"/>
          <w:szCs w:val="22"/>
        </w:rPr>
        <w:t>riginal o una copia autenticada, (ii) c</w:t>
      </w:r>
      <w:r w:rsidR="006F16B9" w:rsidRPr="006F16B9">
        <w:rPr>
          <w:rFonts w:ascii="Century Gothic" w:hAnsi="Century Gothic"/>
          <w:sz w:val="22"/>
          <w:szCs w:val="22"/>
        </w:rPr>
        <w:t>uando sean autenticadas por notario, previo cotejo con el original o la copia</w:t>
      </w:r>
      <w:r w:rsidR="00BD51FE">
        <w:rPr>
          <w:rFonts w:ascii="Century Gothic" w:hAnsi="Century Gothic"/>
          <w:sz w:val="22"/>
          <w:szCs w:val="22"/>
        </w:rPr>
        <w:t xml:space="preserve"> autenticada que se le presente y (iii) c</w:t>
      </w:r>
      <w:r w:rsidR="006F16B9" w:rsidRPr="006F16B9">
        <w:rPr>
          <w:rFonts w:ascii="Century Gothic" w:hAnsi="Century Gothic"/>
          <w:sz w:val="22"/>
          <w:szCs w:val="22"/>
        </w:rPr>
        <w:t>uando sean compulsadas del original o de copia autenticada en el curso de inspección judicial, salvo que la ley disponga otra cosa.</w:t>
      </w:r>
    </w:p>
    <w:bookmarkEnd w:id="2"/>
    <w:p w14:paraId="4887CEBA" w14:textId="77777777" w:rsidR="006F16B9" w:rsidRPr="006F16B9" w:rsidRDefault="006F16B9" w:rsidP="006F16B9">
      <w:pPr>
        <w:spacing w:line="360" w:lineRule="auto"/>
        <w:jc w:val="both"/>
        <w:rPr>
          <w:rFonts w:ascii="Century Gothic" w:hAnsi="Century Gothic"/>
          <w:sz w:val="22"/>
          <w:szCs w:val="22"/>
        </w:rPr>
      </w:pPr>
    </w:p>
    <w:p w14:paraId="1D129EB2" w14:textId="77777777" w:rsidR="006F16B9" w:rsidRPr="008E069A" w:rsidRDefault="00BD51FE" w:rsidP="006F16B9">
      <w:pPr>
        <w:spacing w:line="360" w:lineRule="auto"/>
        <w:jc w:val="both"/>
        <w:rPr>
          <w:rFonts w:ascii="Century Gothic" w:hAnsi="Century Gothic"/>
          <w:sz w:val="22"/>
          <w:szCs w:val="22"/>
        </w:rPr>
      </w:pPr>
      <w:r>
        <w:rPr>
          <w:rFonts w:ascii="Century Gothic" w:hAnsi="Century Gothic"/>
          <w:sz w:val="22"/>
          <w:szCs w:val="22"/>
        </w:rPr>
        <w:t>M</w:t>
      </w:r>
      <w:r w:rsidR="006F16B9" w:rsidRPr="006F16B9">
        <w:rPr>
          <w:rFonts w:ascii="Century Gothic" w:hAnsi="Century Gothic"/>
          <w:sz w:val="22"/>
          <w:szCs w:val="22"/>
        </w:rPr>
        <w:t>ediante decreto 2651 de 1991</w:t>
      </w:r>
      <w:r>
        <w:rPr>
          <w:rFonts w:ascii="Century Gothic" w:hAnsi="Century Gothic"/>
          <w:sz w:val="22"/>
          <w:szCs w:val="22"/>
        </w:rPr>
        <w:t>,</w:t>
      </w:r>
      <w:r w:rsidR="006F16B9" w:rsidRPr="006F16B9">
        <w:rPr>
          <w:rFonts w:ascii="Century Gothic" w:hAnsi="Century Gothic"/>
          <w:sz w:val="22"/>
          <w:szCs w:val="22"/>
        </w:rPr>
        <w:t xml:space="preserve"> se expidieron normas transitorias destinadas a descongestionar los despachos judiciales</w:t>
      </w:r>
      <w:r w:rsidR="00EA5385">
        <w:rPr>
          <w:rStyle w:val="Refdenotaalpie"/>
          <w:rFonts w:ascii="Century Gothic" w:hAnsi="Century Gothic"/>
          <w:sz w:val="22"/>
          <w:szCs w:val="22"/>
        </w:rPr>
        <w:footnoteReference w:id="7"/>
      </w:r>
      <w:r w:rsidR="006F16B9" w:rsidRPr="006F16B9">
        <w:rPr>
          <w:rFonts w:ascii="Century Gothic" w:hAnsi="Century Gothic"/>
          <w:sz w:val="22"/>
          <w:szCs w:val="22"/>
        </w:rPr>
        <w:t xml:space="preserve"> </w:t>
      </w:r>
      <w:r w:rsidR="00EA5385">
        <w:rPr>
          <w:rFonts w:ascii="Century Gothic" w:hAnsi="Century Gothic"/>
          <w:sz w:val="22"/>
          <w:szCs w:val="22"/>
        </w:rPr>
        <w:t>y el artículo</w:t>
      </w:r>
      <w:r w:rsidR="006F16B9" w:rsidRPr="006F16B9">
        <w:rPr>
          <w:rFonts w:ascii="Century Gothic" w:hAnsi="Century Gothic"/>
          <w:sz w:val="22"/>
          <w:szCs w:val="22"/>
        </w:rPr>
        <w:t xml:space="preserve"> 25 </w:t>
      </w:r>
      <w:r w:rsidR="00EA5385">
        <w:rPr>
          <w:rFonts w:ascii="Century Gothic" w:hAnsi="Century Gothic"/>
          <w:sz w:val="22"/>
          <w:szCs w:val="22"/>
        </w:rPr>
        <w:t xml:space="preserve">de dicha norma </w:t>
      </w:r>
      <w:r w:rsidR="006F16B9" w:rsidRPr="006F16B9">
        <w:rPr>
          <w:rFonts w:ascii="Century Gothic" w:hAnsi="Century Gothic"/>
          <w:sz w:val="22"/>
          <w:szCs w:val="22"/>
        </w:rPr>
        <w:t xml:space="preserve">dispuso que </w:t>
      </w:r>
      <w:r w:rsidR="006F16B9" w:rsidRPr="00EA5385">
        <w:rPr>
          <w:rFonts w:ascii="Century Gothic" w:hAnsi="Century Gothic"/>
          <w:i/>
          <w:sz w:val="22"/>
          <w:szCs w:val="22"/>
        </w:rPr>
        <w:t xml:space="preserve">“Los documentos presentados por las partes para ser incorporados a un expediente judicial, tuvieren o no como destino servir de prueba se reputarán auténticos sin necesidad de presentación personal ni autenticación, salvo los poderes otorgados a los representantes judiciales. Todo ello sin perjuicio de los dispuesto en relación con </w:t>
      </w:r>
      <w:r w:rsidR="00EA5385">
        <w:rPr>
          <w:rFonts w:ascii="Century Gothic" w:hAnsi="Century Gothic"/>
          <w:i/>
          <w:sz w:val="22"/>
          <w:szCs w:val="22"/>
        </w:rPr>
        <w:t>documentos emanados de terceros</w:t>
      </w:r>
      <w:r w:rsidR="006F16B9" w:rsidRPr="00EA5385">
        <w:rPr>
          <w:rFonts w:ascii="Century Gothic" w:hAnsi="Century Gothic"/>
          <w:i/>
          <w:sz w:val="22"/>
          <w:szCs w:val="22"/>
        </w:rPr>
        <w:t>”</w:t>
      </w:r>
      <w:r w:rsidR="008E069A">
        <w:rPr>
          <w:rFonts w:ascii="Century Gothic" w:hAnsi="Century Gothic"/>
          <w:i/>
          <w:sz w:val="22"/>
          <w:szCs w:val="22"/>
        </w:rPr>
        <w:t xml:space="preserve">. </w:t>
      </w:r>
      <w:r w:rsidR="008E069A" w:rsidRPr="008E069A">
        <w:rPr>
          <w:rFonts w:ascii="Century Gothic" w:hAnsi="Century Gothic"/>
          <w:sz w:val="22"/>
          <w:szCs w:val="22"/>
        </w:rPr>
        <w:t>La norma solo hizo referencia a los documentos aportados en original y, por ende</w:t>
      </w:r>
      <w:r w:rsidR="00EA5385" w:rsidRPr="008E069A">
        <w:rPr>
          <w:rFonts w:ascii="Century Gothic" w:hAnsi="Century Gothic"/>
          <w:sz w:val="22"/>
          <w:szCs w:val="22"/>
        </w:rPr>
        <w:t xml:space="preserve">, </w:t>
      </w:r>
      <w:r w:rsidR="00251915" w:rsidRPr="008E069A">
        <w:rPr>
          <w:rFonts w:ascii="Century Gothic" w:hAnsi="Century Gothic"/>
          <w:sz w:val="22"/>
          <w:szCs w:val="22"/>
        </w:rPr>
        <w:t>se mantuvo la exigencia de las copias auténticas para fines probatorios</w:t>
      </w:r>
      <w:r w:rsidR="00EB4B6D" w:rsidRPr="008E069A">
        <w:rPr>
          <w:rFonts w:ascii="Century Gothic" w:hAnsi="Century Gothic"/>
          <w:sz w:val="22"/>
          <w:szCs w:val="22"/>
        </w:rPr>
        <w:t>.</w:t>
      </w:r>
      <w:r w:rsidR="00EA5385" w:rsidRPr="008E069A">
        <w:rPr>
          <w:rFonts w:ascii="Century Gothic" w:hAnsi="Century Gothic"/>
          <w:sz w:val="22"/>
          <w:szCs w:val="22"/>
        </w:rPr>
        <w:t xml:space="preserve"> </w:t>
      </w:r>
    </w:p>
    <w:p w14:paraId="6E5EE66E" w14:textId="77777777" w:rsidR="006F16B9" w:rsidRPr="006F16B9" w:rsidRDefault="006F16B9" w:rsidP="006F16B9">
      <w:pPr>
        <w:spacing w:line="360" w:lineRule="auto"/>
        <w:jc w:val="both"/>
        <w:rPr>
          <w:rFonts w:ascii="Century Gothic" w:hAnsi="Century Gothic"/>
          <w:sz w:val="22"/>
          <w:szCs w:val="22"/>
        </w:rPr>
      </w:pPr>
    </w:p>
    <w:p w14:paraId="49BB0D03" w14:textId="77777777" w:rsidR="006F16B9" w:rsidRPr="006F16B9" w:rsidRDefault="008E069A" w:rsidP="006F16B9">
      <w:pPr>
        <w:spacing w:line="360" w:lineRule="auto"/>
        <w:jc w:val="both"/>
        <w:rPr>
          <w:rFonts w:ascii="Century Gothic" w:hAnsi="Century Gothic"/>
          <w:sz w:val="22"/>
          <w:szCs w:val="22"/>
        </w:rPr>
      </w:pPr>
      <w:r>
        <w:rPr>
          <w:rFonts w:ascii="Century Gothic" w:hAnsi="Century Gothic"/>
          <w:sz w:val="22"/>
          <w:szCs w:val="22"/>
        </w:rPr>
        <w:t>En efecto, l</w:t>
      </w:r>
      <w:r w:rsidR="006F16B9" w:rsidRPr="006F16B9">
        <w:rPr>
          <w:rFonts w:ascii="Century Gothic" w:hAnsi="Century Gothic"/>
          <w:sz w:val="22"/>
          <w:szCs w:val="22"/>
        </w:rPr>
        <w:t xml:space="preserve">a Corte Constitucional, mediante sentencia de </w:t>
      </w:r>
      <w:r w:rsidR="00251915">
        <w:rPr>
          <w:rFonts w:ascii="Century Gothic" w:hAnsi="Century Gothic"/>
          <w:sz w:val="22"/>
          <w:szCs w:val="22"/>
        </w:rPr>
        <w:t xml:space="preserve">C-023 del 11 de </w:t>
      </w:r>
      <w:r w:rsidR="006F16B9" w:rsidRPr="006F16B9">
        <w:rPr>
          <w:rFonts w:ascii="Century Gothic" w:hAnsi="Century Gothic"/>
          <w:sz w:val="22"/>
          <w:szCs w:val="22"/>
        </w:rPr>
        <w:t xml:space="preserve">febrero </w:t>
      </w:r>
      <w:r w:rsidR="00521D4F">
        <w:rPr>
          <w:rFonts w:ascii="Century Gothic" w:hAnsi="Century Gothic"/>
          <w:sz w:val="22"/>
          <w:szCs w:val="22"/>
        </w:rPr>
        <w:t>d</w:t>
      </w:r>
      <w:r w:rsidR="00251915">
        <w:rPr>
          <w:rFonts w:ascii="Century Gothic" w:hAnsi="Century Gothic"/>
          <w:sz w:val="22"/>
          <w:szCs w:val="22"/>
        </w:rPr>
        <w:t>e 1998</w:t>
      </w:r>
      <w:r>
        <w:rPr>
          <w:rFonts w:ascii="Century Gothic" w:hAnsi="Century Gothic"/>
          <w:sz w:val="22"/>
          <w:szCs w:val="22"/>
        </w:rPr>
        <w:t>,</w:t>
      </w:r>
      <w:r w:rsidR="00251915">
        <w:rPr>
          <w:rFonts w:ascii="Century Gothic" w:hAnsi="Century Gothic"/>
          <w:sz w:val="22"/>
          <w:szCs w:val="22"/>
        </w:rPr>
        <w:t xml:space="preserve"> declaró exequibles los artículos </w:t>
      </w:r>
      <w:r w:rsidR="006F16B9" w:rsidRPr="006F16B9">
        <w:rPr>
          <w:rFonts w:ascii="Century Gothic" w:hAnsi="Century Gothic"/>
          <w:sz w:val="22"/>
          <w:szCs w:val="22"/>
        </w:rPr>
        <w:t>254</w:t>
      </w:r>
      <w:r w:rsidR="00251915">
        <w:rPr>
          <w:rFonts w:ascii="Century Gothic" w:hAnsi="Century Gothic"/>
          <w:sz w:val="22"/>
          <w:szCs w:val="22"/>
        </w:rPr>
        <w:t xml:space="preserve"> (numeral 2) y </w:t>
      </w:r>
      <w:r w:rsidR="006F16B9" w:rsidRPr="006F16B9">
        <w:rPr>
          <w:rFonts w:ascii="Century Gothic" w:hAnsi="Century Gothic"/>
          <w:sz w:val="22"/>
          <w:szCs w:val="22"/>
        </w:rPr>
        <w:t xml:space="preserve">268 </w:t>
      </w:r>
      <w:r w:rsidR="00251915">
        <w:rPr>
          <w:rFonts w:ascii="Century Gothic" w:hAnsi="Century Gothic"/>
          <w:sz w:val="22"/>
          <w:szCs w:val="22"/>
        </w:rPr>
        <w:t xml:space="preserve">(numeral 3) </w:t>
      </w:r>
      <w:r w:rsidR="006F16B9" w:rsidRPr="006F16B9">
        <w:rPr>
          <w:rFonts w:ascii="Century Gothic" w:hAnsi="Century Gothic"/>
          <w:sz w:val="22"/>
          <w:szCs w:val="22"/>
        </w:rPr>
        <w:t>del C.</w:t>
      </w:r>
      <w:r w:rsidR="00251915">
        <w:rPr>
          <w:rFonts w:ascii="Century Gothic" w:hAnsi="Century Gothic"/>
          <w:sz w:val="22"/>
          <w:szCs w:val="22"/>
        </w:rPr>
        <w:t xml:space="preserve"> de </w:t>
      </w:r>
      <w:r w:rsidR="006F16B9" w:rsidRPr="006F16B9">
        <w:rPr>
          <w:rFonts w:ascii="Century Gothic" w:hAnsi="Century Gothic"/>
          <w:sz w:val="22"/>
          <w:szCs w:val="22"/>
        </w:rPr>
        <w:t>P.C.</w:t>
      </w:r>
      <w:r>
        <w:rPr>
          <w:rFonts w:ascii="Century Gothic" w:hAnsi="Century Gothic"/>
          <w:sz w:val="22"/>
          <w:szCs w:val="22"/>
        </w:rPr>
        <w:t xml:space="preserve"> y al respecto precisó</w:t>
      </w:r>
      <w:r w:rsidR="006F16B9" w:rsidRPr="006F16B9">
        <w:rPr>
          <w:rFonts w:ascii="Century Gothic" w:hAnsi="Century Gothic"/>
          <w:sz w:val="22"/>
          <w:szCs w:val="22"/>
        </w:rPr>
        <w:t>:</w:t>
      </w:r>
    </w:p>
    <w:p w14:paraId="27EEFA18" w14:textId="77777777" w:rsidR="006F16B9" w:rsidRPr="006F16B9" w:rsidRDefault="006F16B9" w:rsidP="006F16B9">
      <w:pPr>
        <w:spacing w:line="360" w:lineRule="auto"/>
        <w:jc w:val="both"/>
        <w:rPr>
          <w:rFonts w:ascii="Century Gothic" w:hAnsi="Century Gothic"/>
          <w:sz w:val="22"/>
          <w:szCs w:val="22"/>
        </w:rPr>
      </w:pPr>
    </w:p>
    <w:p w14:paraId="15FD2192" w14:textId="77777777" w:rsidR="006F16B9" w:rsidRPr="008E069A" w:rsidRDefault="006F16B9" w:rsidP="008E069A">
      <w:pPr>
        <w:ind w:left="567" w:right="391"/>
        <w:jc w:val="both"/>
        <w:rPr>
          <w:rFonts w:ascii="Century Gothic" w:hAnsi="Century Gothic"/>
          <w:sz w:val="20"/>
          <w:szCs w:val="20"/>
        </w:rPr>
      </w:pPr>
      <w:r w:rsidRPr="008E069A">
        <w:rPr>
          <w:rFonts w:ascii="Century Gothic" w:hAnsi="Century Gothic"/>
          <w:sz w:val="20"/>
          <w:szCs w:val="20"/>
        </w:rPr>
        <w:t>“Tanto el demandante como el Procurador General de la Nación, afirman que las dos normas demandadas se encuentran suspendidas por el artículo 25 del decreto 2651 de 1991, cuya vigencia ha sido prorrogada hasta el 10 de julio de 1998. La Corte no comparte este criterio, por las siguientes razones.</w:t>
      </w:r>
    </w:p>
    <w:p w14:paraId="2AFD9005" w14:textId="77777777" w:rsidR="006F16B9" w:rsidRPr="008E069A" w:rsidRDefault="006F16B9" w:rsidP="008E069A">
      <w:pPr>
        <w:ind w:left="567" w:right="391"/>
        <w:jc w:val="both"/>
        <w:rPr>
          <w:rFonts w:ascii="Century Gothic" w:hAnsi="Century Gothic"/>
          <w:sz w:val="20"/>
          <w:szCs w:val="20"/>
        </w:rPr>
      </w:pPr>
    </w:p>
    <w:p w14:paraId="5C8AC936" w14:textId="77777777" w:rsidR="006F16B9" w:rsidRDefault="006F16B9" w:rsidP="008E069A">
      <w:pPr>
        <w:ind w:left="567" w:right="391"/>
        <w:jc w:val="both"/>
        <w:rPr>
          <w:rFonts w:ascii="Century Gothic" w:hAnsi="Century Gothic"/>
          <w:sz w:val="20"/>
          <w:szCs w:val="20"/>
        </w:rPr>
      </w:pPr>
      <w:r w:rsidRPr="008E069A">
        <w:rPr>
          <w:rFonts w:ascii="Century Gothic" w:hAnsi="Century Gothic"/>
          <w:sz w:val="20"/>
          <w:szCs w:val="20"/>
        </w:rPr>
        <w:t>“</w:t>
      </w:r>
      <w:r w:rsidRPr="008E069A">
        <w:rPr>
          <w:rFonts w:ascii="Century Gothic" w:hAnsi="Century Gothic"/>
          <w:sz w:val="20"/>
          <w:szCs w:val="20"/>
          <w:u w:val="single"/>
        </w:rPr>
        <w:t xml:space="preserve">El artículo 25 citado se refiere a los </w:t>
      </w:r>
      <w:r w:rsidR="008E069A">
        <w:rPr>
          <w:rFonts w:ascii="Century Gothic" w:hAnsi="Century Gothic"/>
          <w:sz w:val="20"/>
          <w:szCs w:val="20"/>
          <w:u w:val="single"/>
        </w:rPr>
        <w:t>‘</w:t>
      </w:r>
      <w:r w:rsidRPr="008E069A">
        <w:rPr>
          <w:rFonts w:ascii="Century Gothic" w:hAnsi="Century Gothic"/>
          <w:b/>
          <w:sz w:val="20"/>
          <w:szCs w:val="20"/>
          <w:u w:val="single"/>
        </w:rPr>
        <w:t>documentos</w:t>
      </w:r>
      <w:r w:rsidR="008E069A">
        <w:rPr>
          <w:rFonts w:ascii="Century Gothic" w:hAnsi="Century Gothic"/>
          <w:sz w:val="20"/>
          <w:szCs w:val="20"/>
          <w:u w:val="single"/>
        </w:rPr>
        <w:t>’</w:t>
      </w:r>
      <w:r w:rsidRPr="008E069A">
        <w:rPr>
          <w:rFonts w:ascii="Century Gothic" w:hAnsi="Century Gothic"/>
          <w:sz w:val="20"/>
          <w:szCs w:val="20"/>
          <w:u w:val="single"/>
        </w:rPr>
        <w:t xml:space="preserve"> y hay que entender que se trata de documentos originales</w:t>
      </w:r>
      <w:r w:rsidRPr="008E069A">
        <w:rPr>
          <w:rFonts w:ascii="Century Gothic" w:hAnsi="Century Gothic"/>
          <w:sz w:val="20"/>
          <w:szCs w:val="20"/>
        </w:rPr>
        <w:t xml:space="preserve">. En cambio, las normas acusadas versan sobre las copias, como ya se ha explicado. </w:t>
      </w:r>
      <w:r w:rsidRPr="008E069A">
        <w:rPr>
          <w:rFonts w:ascii="Century Gothic" w:hAnsi="Century Gothic"/>
          <w:sz w:val="20"/>
          <w:szCs w:val="20"/>
          <w:u w:val="single"/>
        </w:rPr>
        <w:t>Sería absurdo, por ejemplo, que alguien pretendiera que se dictara mandamiento de pago con la copia simple, es decir, sin autenticar, de una sentencia, o con la fotocopia de una escritura pública, también carente de autenticidad</w:t>
      </w:r>
      <w:r w:rsidRPr="008E069A">
        <w:rPr>
          <w:rFonts w:ascii="Century Gothic" w:hAnsi="Century Gothic"/>
          <w:sz w:val="20"/>
          <w:szCs w:val="20"/>
        </w:rPr>
        <w:t>.</w:t>
      </w:r>
    </w:p>
    <w:p w14:paraId="5355FBB3" w14:textId="77777777" w:rsidR="008E069A" w:rsidRPr="008E069A" w:rsidRDefault="008E069A" w:rsidP="008E069A">
      <w:pPr>
        <w:ind w:left="567" w:right="391"/>
        <w:jc w:val="both"/>
        <w:rPr>
          <w:rFonts w:ascii="Century Gothic" w:hAnsi="Century Gothic"/>
          <w:sz w:val="20"/>
          <w:szCs w:val="20"/>
        </w:rPr>
      </w:pPr>
    </w:p>
    <w:p w14:paraId="24A5EF20" w14:textId="77777777" w:rsidR="006F16B9" w:rsidRPr="008E069A" w:rsidRDefault="006F16B9" w:rsidP="008E069A">
      <w:pPr>
        <w:ind w:left="567" w:right="391"/>
        <w:jc w:val="both"/>
        <w:rPr>
          <w:rFonts w:ascii="Century Gothic" w:hAnsi="Century Gothic"/>
          <w:sz w:val="20"/>
          <w:szCs w:val="20"/>
        </w:rPr>
      </w:pPr>
      <w:r w:rsidRPr="008E069A">
        <w:rPr>
          <w:rFonts w:ascii="Century Gothic" w:hAnsi="Century Gothic"/>
          <w:sz w:val="20"/>
          <w:szCs w:val="20"/>
        </w:rPr>
        <w:t>“Un principio elemental que siempre ha regido en los ordenamientos procesales es el de que las copias, para que tengan valor probatorio, tienen que ser auténticas. Ese es el principio consagrado en las normas del Código de Procedimiento Civil que regulan lo relativo a la aportación de copias de documentos.</w:t>
      </w:r>
    </w:p>
    <w:p w14:paraId="0CD36416" w14:textId="77777777" w:rsidR="006F16B9" w:rsidRPr="008E069A" w:rsidRDefault="006F16B9" w:rsidP="008E069A">
      <w:pPr>
        <w:ind w:left="567" w:right="391"/>
        <w:jc w:val="both"/>
        <w:rPr>
          <w:rFonts w:ascii="Century Gothic" w:hAnsi="Century Gothic"/>
          <w:sz w:val="20"/>
          <w:szCs w:val="20"/>
        </w:rPr>
      </w:pPr>
    </w:p>
    <w:p w14:paraId="24B36215" w14:textId="77777777" w:rsidR="006F16B9" w:rsidRPr="008E069A" w:rsidRDefault="006F16B9" w:rsidP="008E069A">
      <w:pPr>
        <w:ind w:left="567" w:right="391"/>
        <w:jc w:val="both"/>
        <w:rPr>
          <w:rFonts w:ascii="Century Gothic" w:hAnsi="Century Gothic"/>
          <w:sz w:val="20"/>
          <w:szCs w:val="20"/>
        </w:rPr>
      </w:pPr>
      <w:r w:rsidRPr="008E069A">
        <w:rPr>
          <w:rFonts w:ascii="Century Gothic" w:hAnsi="Century Gothic"/>
          <w:sz w:val="20"/>
          <w:szCs w:val="20"/>
        </w:rPr>
        <w:t>“De otra parte, la certeza de los hechos que se trata de demostrar con prueba documental, y en particular, con copias de documentos, está en relación directa con la autenticidad de tales copias. Tal certeza es el fundamento de la eficacia de la administración de justicia, y en últimas, constituye una garantía de la realización de los derechos reconocidos en la ley sustancial.</w:t>
      </w:r>
    </w:p>
    <w:p w14:paraId="10C67B0D" w14:textId="77777777" w:rsidR="006F16B9" w:rsidRPr="008E069A" w:rsidRDefault="006F16B9" w:rsidP="008E069A">
      <w:pPr>
        <w:ind w:left="567" w:right="391"/>
        <w:jc w:val="both"/>
        <w:rPr>
          <w:rFonts w:ascii="Century Gothic" w:hAnsi="Century Gothic"/>
          <w:sz w:val="20"/>
          <w:szCs w:val="20"/>
        </w:rPr>
      </w:pPr>
    </w:p>
    <w:p w14:paraId="296B56C6" w14:textId="77777777" w:rsidR="006F16B9" w:rsidRPr="008E069A" w:rsidRDefault="006F16B9" w:rsidP="008E069A">
      <w:pPr>
        <w:ind w:left="567" w:right="391"/>
        <w:jc w:val="both"/>
        <w:rPr>
          <w:rFonts w:ascii="Century Gothic" w:hAnsi="Century Gothic"/>
          <w:sz w:val="20"/>
          <w:szCs w:val="20"/>
        </w:rPr>
      </w:pPr>
      <w:r w:rsidRPr="008E069A">
        <w:rPr>
          <w:rFonts w:ascii="Century Gothic" w:hAnsi="Century Gothic"/>
          <w:sz w:val="20"/>
          <w:szCs w:val="20"/>
        </w:rPr>
        <w:t xml:space="preserve">“En tratándose de </w:t>
      </w:r>
      <w:r w:rsidRPr="008E069A">
        <w:rPr>
          <w:rFonts w:ascii="Century Gothic" w:hAnsi="Century Gothic"/>
          <w:b/>
          <w:sz w:val="20"/>
          <w:szCs w:val="20"/>
        </w:rPr>
        <w:t>documentos</w:t>
      </w:r>
      <w:r w:rsidRPr="008E069A">
        <w:rPr>
          <w:rFonts w:ascii="Century Gothic" w:hAnsi="Century Gothic"/>
          <w:sz w:val="20"/>
          <w:szCs w:val="20"/>
        </w:rPr>
        <w:t xml:space="preserve"> </w:t>
      </w:r>
      <w:r w:rsidRPr="008E069A">
        <w:rPr>
          <w:rFonts w:ascii="Century Gothic" w:hAnsi="Century Gothic"/>
          <w:b/>
          <w:sz w:val="20"/>
          <w:szCs w:val="20"/>
        </w:rPr>
        <w:t xml:space="preserve">originales </w:t>
      </w:r>
      <w:r w:rsidRPr="008E069A">
        <w:rPr>
          <w:rFonts w:ascii="Century Gothic" w:hAnsi="Century Gothic"/>
          <w:sz w:val="20"/>
          <w:szCs w:val="20"/>
        </w:rPr>
        <w:t>puede el artículo 25 ser explicable, porque su adulteración es más difícil, o puede dejar rastros fácilmente.  No así en lo que tiene que ver con las copias, cuyo mérito probatorio está ligado a la autenticación.</w:t>
      </w:r>
    </w:p>
    <w:p w14:paraId="15ECB47C" w14:textId="77777777" w:rsidR="006F16B9" w:rsidRPr="008E069A" w:rsidRDefault="006F16B9" w:rsidP="008E069A">
      <w:pPr>
        <w:ind w:left="567" w:right="391"/>
        <w:jc w:val="both"/>
        <w:rPr>
          <w:rFonts w:ascii="Century Gothic" w:hAnsi="Century Gothic"/>
          <w:sz w:val="20"/>
          <w:szCs w:val="20"/>
        </w:rPr>
      </w:pPr>
    </w:p>
    <w:p w14:paraId="34D4C89F" w14:textId="77777777" w:rsidR="006F16B9" w:rsidRPr="008E069A" w:rsidRDefault="006F16B9" w:rsidP="008E069A">
      <w:pPr>
        <w:ind w:left="567" w:right="391"/>
        <w:jc w:val="both"/>
        <w:rPr>
          <w:rFonts w:ascii="Century Gothic" w:hAnsi="Century Gothic"/>
          <w:sz w:val="20"/>
          <w:szCs w:val="20"/>
        </w:rPr>
      </w:pPr>
      <w:r w:rsidRPr="008E069A">
        <w:rPr>
          <w:rFonts w:ascii="Century Gothic" w:hAnsi="Century Gothic"/>
          <w:sz w:val="20"/>
          <w:szCs w:val="20"/>
        </w:rPr>
        <w:t xml:space="preserve">“Si el artículo 25 hubiera querido referirse a las </w:t>
      </w:r>
      <w:r w:rsidRPr="008E069A">
        <w:rPr>
          <w:rFonts w:ascii="Century Gothic" w:hAnsi="Century Gothic"/>
          <w:b/>
          <w:sz w:val="20"/>
          <w:szCs w:val="20"/>
        </w:rPr>
        <w:t>copias</w:t>
      </w:r>
      <w:r w:rsidRPr="008E069A">
        <w:rPr>
          <w:rFonts w:ascii="Century Gothic" w:hAnsi="Century Gothic"/>
          <w:sz w:val="20"/>
          <w:szCs w:val="20"/>
        </w:rPr>
        <w:t xml:space="preserve"> así lo habría expresado, porque </w:t>
      </w:r>
      <w:r w:rsidRPr="008E069A">
        <w:rPr>
          <w:rFonts w:ascii="Century Gothic" w:hAnsi="Century Gothic"/>
          <w:sz w:val="20"/>
          <w:szCs w:val="20"/>
          <w:u w:val="single"/>
        </w:rPr>
        <w:t>en el derecho probatorio es elemental la diferencia entre documentos originales y copias</w:t>
      </w:r>
      <w:r w:rsidRPr="008E069A">
        <w:rPr>
          <w:rFonts w:ascii="Century Gothic" w:hAnsi="Century Gothic"/>
          <w:sz w:val="20"/>
          <w:szCs w:val="20"/>
        </w:rPr>
        <w:t>. Pero, no lo hizo, como se comprueba con su lectura …”</w:t>
      </w:r>
      <w:r w:rsidRPr="008E069A">
        <w:rPr>
          <w:rStyle w:val="Refdenotaalpie"/>
          <w:rFonts w:ascii="Century Gothic" w:hAnsi="Century Gothic"/>
          <w:sz w:val="20"/>
          <w:szCs w:val="20"/>
        </w:rPr>
        <w:footnoteReference w:id="8"/>
      </w:r>
      <w:r w:rsidR="008E069A">
        <w:rPr>
          <w:rFonts w:ascii="Century Gothic" w:hAnsi="Century Gothic"/>
          <w:sz w:val="20"/>
          <w:szCs w:val="20"/>
        </w:rPr>
        <w:t xml:space="preserve"> (s</w:t>
      </w:r>
      <w:r w:rsidRPr="008E069A">
        <w:rPr>
          <w:rFonts w:ascii="Century Gothic" w:hAnsi="Century Gothic"/>
          <w:sz w:val="20"/>
          <w:szCs w:val="20"/>
        </w:rPr>
        <w:t>ubraya</w:t>
      </w:r>
      <w:r w:rsidR="008E069A">
        <w:rPr>
          <w:rFonts w:ascii="Century Gothic" w:hAnsi="Century Gothic"/>
          <w:sz w:val="20"/>
          <w:szCs w:val="20"/>
        </w:rPr>
        <w:t>s fuera del texto</w:t>
      </w:r>
      <w:r w:rsidRPr="008E069A">
        <w:rPr>
          <w:rFonts w:ascii="Century Gothic" w:hAnsi="Century Gothic"/>
          <w:sz w:val="20"/>
          <w:szCs w:val="20"/>
        </w:rPr>
        <w:t>).</w:t>
      </w:r>
    </w:p>
    <w:p w14:paraId="622151DA" w14:textId="77777777" w:rsidR="00150699" w:rsidRDefault="00150699" w:rsidP="006F16B9">
      <w:pPr>
        <w:spacing w:line="360" w:lineRule="auto"/>
        <w:jc w:val="both"/>
        <w:rPr>
          <w:rFonts w:ascii="Century Gothic" w:hAnsi="Century Gothic"/>
          <w:sz w:val="22"/>
          <w:szCs w:val="22"/>
        </w:rPr>
      </w:pPr>
    </w:p>
    <w:p w14:paraId="334E0D16" w14:textId="77777777" w:rsidR="006F16B9" w:rsidRPr="006F16B9" w:rsidRDefault="00150699" w:rsidP="006F16B9">
      <w:pPr>
        <w:spacing w:line="360" w:lineRule="auto"/>
        <w:jc w:val="both"/>
        <w:rPr>
          <w:rFonts w:ascii="Century Gothic" w:hAnsi="Century Gothic"/>
          <w:sz w:val="22"/>
          <w:szCs w:val="22"/>
        </w:rPr>
      </w:pPr>
      <w:r>
        <w:rPr>
          <w:rFonts w:ascii="Century Gothic" w:hAnsi="Century Gothic"/>
          <w:sz w:val="22"/>
          <w:szCs w:val="22"/>
        </w:rPr>
        <w:lastRenderedPageBreak/>
        <w:t>El contenido del artículo</w:t>
      </w:r>
      <w:r w:rsidR="006F16B9" w:rsidRPr="006F16B9">
        <w:rPr>
          <w:rFonts w:ascii="Century Gothic" w:hAnsi="Century Gothic"/>
          <w:sz w:val="22"/>
          <w:szCs w:val="22"/>
        </w:rPr>
        <w:t xml:space="preserve"> 25 del decreto 2651 </w:t>
      </w:r>
      <w:r>
        <w:rPr>
          <w:rFonts w:ascii="Century Gothic" w:hAnsi="Century Gothic"/>
          <w:sz w:val="22"/>
          <w:szCs w:val="22"/>
        </w:rPr>
        <w:t>de 1991 fue recogido por el artículo</w:t>
      </w:r>
      <w:r w:rsidR="006F16B9" w:rsidRPr="006F16B9">
        <w:rPr>
          <w:rFonts w:ascii="Century Gothic" w:hAnsi="Century Gothic"/>
          <w:sz w:val="22"/>
          <w:szCs w:val="22"/>
        </w:rPr>
        <w:t xml:space="preserve"> 11 de la ley 446 de 1998, pero solo en cuanto </w:t>
      </w:r>
      <w:r>
        <w:rPr>
          <w:rFonts w:ascii="Century Gothic" w:hAnsi="Century Gothic"/>
          <w:sz w:val="22"/>
          <w:szCs w:val="22"/>
        </w:rPr>
        <w:t>a la presunción de autenticidad de los documentos privados. Decía la norma</w:t>
      </w:r>
      <w:r w:rsidR="006F16B9" w:rsidRPr="006F16B9">
        <w:rPr>
          <w:rFonts w:ascii="Century Gothic" w:hAnsi="Century Gothic"/>
          <w:sz w:val="22"/>
          <w:szCs w:val="22"/>
        </w:rPr>
        <w:t>:</w:t>
      </w:r>
    </w:p>
    <w:p w14:paraId="5458C641" w14:textId="77777777" w:rsidR="006F16B9" w:rsidRPr="006F16B9" w:rsidRDefault="006F16B9" w:rsidP="006F16B9">
      <w:pPr>
        <w:spacing w:line="360" w:lineRule="auto"/>
        <w:jc w:val="both"/>
        <w:rPr>
          <w:rFonts w:ascii="Century Gothic" w:hAnsi="Century Gothic"/>
          <w:sz w:val="22"/>
          <w:szCs w:val="22"/>
        </w:rPr>
      </w:pPr>
    </w:p>
    <w:p w14:paraId="6CBA8D78" w14:textId="77777777" w:rsidR="006F16B9" w:rsidRPr="00150699" w:rsidRDefault="006F16B9" w:rsidP="00150699">
      <w:pPr>
        <w:pStyle w:val="ntodoslorp"/>
        <w:ind w:left="567" w:right="391"/>
        <w:rPr>
          <w:rFonts w:ascii="Century Gothic" w:hAnsi="Century Gothic"/>
          <w:sz w:val="20"/>
        </w:rPr>
      </w:pPr>
      <w:r w:rsidRPr="00150699">
        <w:rPr>
          <w:rFonts w:ascii="Century Gothic" w:hAnsi="Century Gothic"/>
          <w:sz w:val="20"/>
        </w:rPr>
        <w:t>“</w:t>
      </w:r>
      <w:r w:rsidRPr="00150699">
        <w:rPr>
          <w:rFonts w:ascii="Century Gothic" w:hAnsi="Century Gothic"/>
          <w:b/>
          <w:sz w:val="20"/>
        </w:rPr>
        <w:t>Autenticidad de documentos</w:t>
      </w:r>
      <w:r w:rsidRPr="00150699">
        <w:rPr>
          <w:rFonts w:ascii="Century Gothic" w:hAnsi="Century Gothic"/>
          <w:sz w:val="20"/>
        </w:rPr>
        <w:t>. En todos los procesos, los documentos privados presentados por las partes para ser incorporados a un expediente judicial con fines probatorios, se reputarán auténticos, sin necesidad de presentación personal ni autenticación. Todo ello sin perjuicio de los dispuesto en relación con documentos emanados de terceros.”</w:t>
      </w:r>
    </w:p>
    <w:p w14:paraId="4BD216F9" w14:textId="77777777" w:rsidR="006F16B9" w:rsidRPr="006F16B9" w:rsidRDefault="006F16B9" w:rsidP="006F16B9">
      <w:pPr>
        <w:spacing w:line="360" w:lineRule="auto"/>
        <w:jc w:val="both"/>
        <w:rPr>
          <w:rFonts w:ascii="Century Gothic" w:hAnsi="Century Gothic"/>
          <w:sz w:val="22"/>
          <w:szCs w:val="22"/>
        </w:rPr>
      </w:pPr>
    </w:p>
    <w:p w14:paraId="55C83B54" w14:textId="77777777" w:rsidR="006F16B9" w:rsidRPr="006F16B9" w:rsidRDefault="006F16B9" w:rsidP="006F16B9">
      <w:pPr>
        <w:spacing w:line="360" w:lineRule="auto"/>
        <w:jc w:val="both"/>
        <w:rPr>
          <w:rFonts w:ascii="Century Gothic" w:hAnsi="Century Gothic"/>
          <w:sz w:val="22"/>
          <w:szCs w:val="22"/>
        </w:rPr>
      </w:pPr>
      <w:r w:rsidRPr="006F16B9">
        <w:rPr>
          <w:rFonts w:ascii="Century Gothic" w:hAnsi="Century Gothic"/>
          <w:sz w:val="22"/>
          <w:szCs w:val="22"/>
        </w:rPr>
        <w:t>Por su parte, el art</w:t>
      </w:r>
      <w:r w:rsidR="00150699">
        <w:rPr>
          <w:rFonts w:ascii="Century Gothic" w:hAnsi="Century Gothic"/>
          <w:sz w:val="22"/>
          <w:szCs w:val="22"/>
        </w:rPr>
        <w:t>ículo</w:t>
      </w:r>
      <w:r w:rsidRPr="006F16B9">
        <w:rPr>
          <w:rFonts w:ascii="Century Gothic" w:hAnsi="Century Gothic"/>
          <w:sz w:val="22"/>
          <w:szCs w:val="22"/>
        </w:rPr>
        <w:t xml:space="preserve"> 12 de la ley 446 de 1998 disp</w:t>
      </w:r>
      <w:r w:rsidR="00150699">
        <w:rPr>
          <w:rFonts w:ascii="Century Gothic" w:hAnsi="Century Gothic"/>
          <w:sz w:val="22"/>
          <w:szCs w:val="22"/>
        </w:rPr>
        <w:t>uso</w:t>
      </w:r>
      <w:r w:rsidRPr="006F16B9">
        <w:rPr>
          <w:rFonts w:ascii="Century Gothic" w:hAnsi="Century Gothic"/>
          <w:sz w:val="22"/>
          <w:szCs w:val="22"/>
        </w:rPr>
        <w:t>:</w:t>
      </w:r>
    </w:p>
    <w:p w14:paraId="7D98DC6E" w14:textId="77777777" w:rsidR="006F16B9" w:rsidRPr="006F16B9" w:rsidRDefault="006F16B9" w:rsidP="006F16B9">
      <w:pPr>
        <w:spacing w:line="360" w:lineRule="auto"/>
        <w:jc w:val="both"/>
        <w:rPr>
          <w:rFonts w:ascii="Century Gothic" w:hAnsi="Century Gothic"/>
          <w:sz w:val="22"/>
          <w:szCs w:val="22"/>
        </w:rPr>
      </w:pPr>
    </w:p>
    <w:p w14:paraId="6C4D5CC6" w14:textId="77777777" w:rsidR="006F16B9" w:rsidRPr="00150699" w:rsidRDefault="006F16B9" w:rsidP="00150699">
      <w:pPr>
        <w:ind w:left="567" w:right="391"/>
        <w:jc w:val="both"/>
        <w:rPr>
          <w:rFonts w:ascii="Century Gothic" w:hAnsi="Century Gothic"/>
          <w:sz w:val="20"/>
          <w:szCs w:val="20"/>
        </w:rPr>
      </w:pPr>
      <w:r w:rsidRPr="00150699">
        <w:rPr>
          <w:rFonts w:ascii="Century Gothic" w:hAnsi="Century Gothic"/>
          <w:sz w:val="20"/>
          <w:szCs w:val="20"/>
        </w:rPr>
        <w:t>“Se presumirán auténticos los documentos que reúnan los requisitos del artículo 488 del Código de Procedimiento Civil, cuando de ellos se pr</w:t>
      </w:r>
      <w:r w:rsidR="00150699">
        <w:rPr>
          <w:rFonts w:ascii="Century Gothic" w:hAnsi="Century Gothic"/>
          <w:sz w:val="20"/>
          <w:szCs w:val="20"/>
        </w:rPr>
        <w:t>etenda derivar título ejecutivo</w:t>
      </w:r>
      <w:r w:rsidRPr="00150699">
        <w:rPr>
          <w:rFonts w:ascii="Century Gothic" w:hAnsi="Century Gothic"/>
          <w:sz w:val="20"/>
          <w:szCs w:val="20"/>
        </w:rPr>
        <w:t>”</w:t>
      </w:r>
      <w:r w:rsidR="00150699">
        <w:rPr>
          <w:rFonts w:ascii="Century Gothic" w:hAnsi="Century Gothic"/>
          <w:sz w:val="20"/>
          <w:szCs w:val="20"/>
        </w:rPr>
        <w:t>.</w:t>
      </w:r>
    </w:p>
    <w:p w14:paraId="6EECF8A9" w14:textId="77777777" w:rsidR="006F16B9" w:rsidRPr="006F16B9" w:rsidRDefault="006F16B9" w:rsidP="006F16B9">
      <w:pPr>
        <w:pStyle w:val="ntodoslorp"/>
        <w:spacing w:line="360" w:lineRule="auto"/>
        <w:ind w:left="0"/>
        <w:rPr>
          <w:rFonts w:ascii="Century Gothic" w:hAnsi="Century Gothic"/>
          <w:sz w:val="22"/>
          <w:szCs w:val="22"/>
        </w:rPr>
      </w:pPr>
    </w:p>
    <w:p w14:paraId="140C586B" w14:textId="77777777" w:rsidR="00CB746E" w:rsidRDefault="006F16B9" w:rsidP="006F16B9">
      <w:pPr>
        <w:spacing w:line="360" w:lineRule="auto"/>
        <w:jc w:val="both"/>
        <w:rPr>
          <w:rFonts w:ascii="Century Gothic" w:hAnsi="Century Gothic"/>
          <w:sz w:val="22"/>
          <w:szCs w:val="22"/>
        </w:rPr>
      </w:pPr>
      <w:bookmarkStart w:id="4" w:name="_Hlk22218802"/>
      <w:r w:rsidRPr="006F16B9">
        <w:rPr>
          <w:rFonts w:ascii="Century Gothic" w:hAnsi="Century Gothic"/>
          <w:sz w:val="22"/>
          <w:szCs w:val="22"/>
        </w:rPr>
        <w:t xml:space="preserve">Acogiendo el criterio </w:t>
      </w:r>
      <w:r w:rsidR="006F6378">
        <w:rPr>
          <w:rFonts w:ascii="Century Gothic" w:hAnsi="Century Gothic"/>
          <w:sz w:val="22"/>
          <w:szCs w:val="22"/>
        </w:rPr>
        <w:t>de</w:t>
      </w:r>
      <w:r w:rsidRPr="006F16B9">
        <w:rPr>
          <w:rFonts w:ascii="Century Gothic" w:hAnsi="Century Gothic"/>
          <w:sz w:val="22"/>
          <w:szCs w:val="22"/>
        </w:rPr>
        <w:t xml:space="preserve"> la Corte Constitucional,</w:t>
      </w:r>
      <w:r w:rsidR="006F6378">
        <w:rPr>
          <w:rFonts w:ascii="Century Gothic" w:hAnsi="Century Gothic"/>
          <w:sz w:val="22"/>
          <w:szCs w:val="22"/>
        </w:rPr>
        <w:t xml:space="preserve"> la jurisprudencia de esta Sala consideró que </w:t>
      </w:r>
      <w:bookmarkStart w:id="5" w:name="_Hlk22218760"/>
      <w:r w:rsidR="006F6378">
        <w:rPr>
          <w:rFonts w:ascii="Century Gothic" w:hAnsi="Century Gothic"/>
          <w:sz w:val="22"/>
          <w:szCs w:val="22"/>
        </w:rPr>
        <w:t xml:space="preserve">los únicos documentos que tenían valor probatorio eran los aportados en original o en copia auténtica en los supuestos contemplados por el artículo 254 del C. de P.C., </w:t>
      </w:r>
      <w:bookmarkEnd w:id="5"/>
      <w:r w:rsidR="006F6378">
        <w:rPr>
          <w:rFonts w:ascii="Century Gothic" w:hAnsi="Century Gothic"/>
          <w:sz w:val="22"/>
          <w:szCs w:val="22"/>
        </w:rPr>
        <w:t xml:space="preserve">citado en precedencia; no obstante, </w:t>
      </w:r>
      <w:r w:rsidR="00CB746E">
        <w:rPr>
          <w:rFonts w:ascii="Century Gothic" w:hAnsi="Century Gothic"/>
          <w:sz w:val="22"/>
          <w:szCs w:val="22"/>
        </w:rPr>
        <w:t xml:space="preserve">años más tarde, </w:t>
      </w:r>
      <w:bookmarkStart w:id="6" w:name="_Hlk22218793"/>
      <w:r w:rsidR="00CB746E">
        <w:rPr>
          <w:rFonts w:ascii="Century Gothic" w:hAnsi="Century Gothic"/>
          <w:sz w:val="22"/>
          <w:szCs w:val="22"/>
        </w:rPr>
        <w:t xml:space="preserve">la jurisprudencia de la Sala admitió que las copias simples </w:t>
      </w:r>
      <w:bookmarkEnd w:id="6"/>
      <w:r w:rsidR="00CB746E">
        <w:rPr>
          <w:rFonts w:ascii="Century Gothic" w:hAnsi="Century Gothic"/>
          <w:sz w:val="22"/>
          <w:szCs w:val="22"/>
        </w:rPr>
        <w:t>pod</w:t>
      </w:r>
      <w:r w:rsidR="008A21F3">
        <w:rPr>
          <w:rFonts w:ascii="Century Gothic" w:hAnsi="Century Gothic"/>
          <w:sz w:val="22"/>
          <w:szCs w:val="22"/>
        </w:rPr>
        <w:t>ían ser valoradas por el juez en los procesos decl</w:t>
      </w:r>
      <w:r w:rsidR="00D814BD">
        <w:rPr>
          <w:rFonts w:ascii="Century Gothic" w:hAnsi="Century Gothic"/>
          <w:sz w:val="22"/>
          <w:szCs w:val="22"/>
        </w:rPr>
        <w:t>arativos</w:t>
      </w:r>
      <w:r w:rsidR="004D7ECB">
        <w:rPr>
          <w:rFonts w:ascii="Century Gothic" w:hAnsi="Century Gothic"/>
          <w:sz w:val="22"/>
          <w:szCs w:val="22"/>
        </w:rPr>
        <w:t xml:space="preserve"> cuando la prueba aportada en copia simple hubiera sido coadyuvada por la contraparte </w:t>
      </w:r>
      <w:r w:rsidR="006708A9">
        <w:rPr>
          <w:rFonts w:ascii="Century Gothic" w:hAnsi="Century Gothic"/>
          <w:sz w:val="22"/>
          <w:szCs w:val="22"/>
        </w:rPr>
        <w:t>o cuan</w:t>
      </w:r>
      <w:r w:rsidR="006708A9" w:rsidRPr="003D1F05">
        <w:rPr>
          <w:rFonts w:ascii="Century Gothic" w:hAnsi="Century Gothic"/>
          <w:sz w:val="22"/>
          <w:szCs w:val="22"/>
        </w:rPr>
        <w:t xml:space="preserve">do </w:t>
      </w:r>
      <w:r w:rsidR="007E4C8C" w:rsidRPr="003D1F05">
        <w:rPr>
          <w:rFonts w:ascii="Century Gothic" w:hAnsi="Century Gothic" w:cs="Tahoma"/>
          <w:bCs/>
          <w:sz w:val="22"/>
          <w:szCs w:val="22"/>
        </w:rPr>
        <w:t xml:space="preserve">ambas partes aceptaran que el documento fuera </w:t>
      </w:r>
      <w:r w:rsidR="00B84C10" w:rsidRPr="003D1F05">
        <w:rPr>
          <w:rFonts w:ascii="Century Gothic" w:hAnsi="Century Gothic" w:cs="Tahoma"/>
          <w:bCs/>
          <w:sz w:val="22"/>
          <w:szCs w:val="22"/>
        </w:rPr>
        <w:t xml:space="preserve">apreciado </w:t>
      </w:r>
      <w:r w:rsidR="003D1F05" w:rsidRPr="003D1F05">
        <w:rPr>
          <w:rFonts w:ascii="Century Gothic" w:hAnsi="Century Gothic" w:cs="Tahoma"/>
          <w:bCs/>
          <w:sz w:val="22"/>
          <w:szCs w:val="22"/>
        </w:rPr>
        <w:t xml:space="preserve">o hubieran coincidido en la valoración del mismo </w:t>
      </w:r>
      <w:r w:rsidR="007E4C8C" w:rsidRPr="003D1F05">
        <w:rPr>
          <w:rFonts w:ascii="Century Gothic" w:hAnsi="Century Gothic" w:cs="Tahoma"/>
          <w:bCs/>
          <w:sz w:val="22"/>
          <w:szCs w:val="22"/>
        </w:rPr>
        <w:t>en forma recíproca</w:t>
      </w:r>
      <w:r w:rsidR="003D1F05" w:rsidRPr="003D1F05">
        <w:rPr>
          <w:rFonts w:ascii="Century Gothic" w:hAnsi="Century Gothic" w:cs="Tahoma"/>
          <w:bCs/>
          <w:sz w:val="22"/>
          <w:szCs w:val="22"/>
        </w:rPr>
        <w:t>,</w:t>
      </w:r>
      <w:r w:rsidR="007E4C8C" w:rsidRPr="003D1F05">
        <w:rPr>
          <w:rFonts w:ascii="Century Gothic" w:hAnsi="Century Gothic" w:cs="Tahoma"/>
          <w:bCs/>
          <w:sz w:val="22"/>
          <w:szCs w:val="22"/>
        </w:rPr>
        <w:t xml:space="preserve"> no solo al momento de su aportación, sino durante el debate procesal</w:t>
      </w:r>
      <w:r w:rsidR="003D1F05">
        <w:rPr>
          <w:rStyle w:val="Refdenotaalpie"/>
          <w:rFonts w:ascii="Century Gothic" w:hAnsi="Century Gothic" w:cs="Tahoma"/>
          <w:bCs/>
          <w:sz w:val="22"/>
          <w:szCs w:val="22"/>
        </w:rPr>
        <w:footnoteReference w:id="9"/>
      </w:r>
      <w:r w:rsidR="003D1F05" w:rsidRPr="003D1F05">
        <w:rPr>
          <w:rFonts w:ascii="Century Gothic" w:hAnsi="Century Gothic" w:cs="Tahoma"/>
          <w:bCs/>
          <w:sz w:val="22"/>
          <w:szCs w:val="22"/>
        </w:rPr>
        <w:t>.</w:t>
      </w:r>
    </w:p>
    <w:bookmarkEnd w:id="4"/>
    <w:p w14:paraId="38A8BF70" w14:textId="77777777" w:rsidR="00CB746E" w:rsidRDefault="00CB746E" w:rsidP="006F16B9">
      <w:pPr>
        <w:spacing w:line="360" w:lineRule="auto"/>
        <w:jc w:val="both"/>
        <w:rPr>
          <w:rFonts w:ascii="Century Gothic" w:hAnsi="Century Gothic"/>
          <w:sz w:val="22"/>
          <w:szCs w:val="22"/>
        </w:rPr>
      </w:pPr>
    </w:p>
    <w:p w14:paraId="3CC4F8DD" w14:textId="77777777" w:rsidR="006F6378" w:rsidRDefault="00D2236E" w:rsidP="006F16B9">
      <w:pPr>
        <w:spacing w:line="360" w:lineRule="auto"/>
        <w:jc w:val="both"/>
        <w:rPr>
          <w:rFonts w:ascii="Century Gothic" w:hAnsi="Century Gothic"/>
          <w:sz w:val="22"/>
          <w:szCs w:val="22"/>
        </w:rPr>
      </w:pPr>
      <w:r>
        <w:rPr>
          <w:rFonts w:ascii="Century Gothic" w:hAnsi="Century Gothic"/>
          <w:sz w:val="22"/>
          <w:szCs w:val="22"/>
        </w:rPr>
        <w:t xml:space="preserve">Después fue expedida la </w:t>
      </w:r>
      <w:r w:rsidR="006F6378">
        <w:rPr>
          <w:rFonts w:ascii="Century Gothic" w:hAnsi="Century Gothic"/>
          <w:sz w:val="22"/>
          <w:szCs w:val="22"/>
        </w:rPr>
        <w:t>ley 1395 de 2010, cuyo artículo 11 modificó el inciso 4º del artículo 252 del C. de P.C., el cual quedó así:</w:t>
      </w:r>
    </w:p>
    <w:p w14:paraId="6B8C1392" w14:textId="77777777" w:rsidR="006F6378" w:rsidRDefault="006F6378" w:rsidP="006F16B9">
      <w:pPr>
        <w:spacing w:line="360" w:lineRule="auto"/>
        <w:jc w:val="both"/>
        <w:rPr>
          <w:rFonts w:ascii="Century Gothic" w:hAnsi="Century Gothic"/>
          <w:sz w:val="22"/>
          <w:szCs w:val="22"/>
        </w:rPr>
      </w:pPr>
    </w:p>
    <w:p w14:paraId="77D7A758" w14:textId="77777777" w:rsidR="006F6378" w:rsidRPr="006F6378" w:rsidRDefault="006F6378" w:rsidP="006F6378">
      <w:pPr>
        <w:ind w:left="567" w:right="391"/>
        <w:jc w:val="both"/>
        <w:rPr>
          <w:rFonts w:ascii="Century Gothic" w:hAnsi="Century Gothic"/>
          <w:sz w:val="20"/>
          <w:szCs w:val="20"/>
        </w:rPr>
      </w:pPr>
      <w:r w:rsidRPr="006F6378">
        <w:rPr>
          <w:rFonts w:ascii="Century Gothic" w:hAnsi="Century Gothic"/>
          <w:sz w:val="20"/>
          <w:szCs w:val="20"/>
        </w:rPr>
        <w:t xml:space="preserve">“En todos los procesos, </w:t>
      </w:r>
      <w:r w:rsidRPr="006F6378">
        <w:rPr>
          <w:rFonts w:ascii="Century Gothic" w:hAnsi="Century Gothic"/>
          <w:sz w:val="20"/>
          <w:szCs w:val="20"/>
          <w:u w:val="single"/>
        </w:rPr>
        <w:t>los documentos privados</w:t>
      </w:r>
      <w:r w:rsidRPr="006F6378">
        <w:rPr>
          <w:rFonts w:ascii="Century Gothic" w:hAnsi="Century Gothic"/>
          <w:sz w:val="20"/>
          <w:szCs w:val="20"/>
        </w:rPr>
        <w:t xml:space="preserve"> manuscritos, firmados o elaborados por las partes, </w:t>
      </w:r>
      <w:r w:rsidRPr="006F6378">
        <w:rPr>
          <w:rFonts w:ascii="Century Gothic" w:hAnsi="Century Gothic"/>
          <w:sz w:val="20"/>
          <w:szCs w:val="20"/>
          <w:u w:val="single"/>
        </w:rPr>
        <w:t>presentados en original o en copia</w:t>
      </w:r>
      <w:r w:rsidRPr="006F6378">
        <w:rPr>
          <w:rFonts w:ascii="Century Gothic" w:hAnsi="Century Gothic"/>
          <w:sz w:val="20"/>
          <w:szCs w:val="20"/>
        </w:rPr>
        <w:t xml:space="preserve"> para ser incorporados a un expediente judicial con fines probatorios, </w:t>
      </w:r>
      <w:r w:rsidRPr="006F6378">
        <w:rPr>
          <w:rFonts w:ascii="Century Gothic" w:hAnsi="Century Gothic"/>
          <w:sz w:val="20"/>
          <w:szCs w:val="20"/>
          <w:u w:val="single"/>
        </w:rPr>
        <w:t>se presumirán auténticos, sin necesidad de presentación personal ni autenticación</w:t>
      </w:r>
      <w:r w:rsidRPr="006F6378">
        <w:rPr>
          <w:rFonts w:ascii="Century Gothic" w:hAnsi="Century Gothic"/>
          <w:sz w:val="20"/>
          <w:szCs w:val="20"/>
        </w:rPr>
        <w:t>. Esta presunción no aplicará a los documentos emanados de terceros de naturaleza dispositiva”.</w:t>
      </w:r>
    </w:p>
    <w:p w14:paraId="273BDCF9" w14:textId="77777777" w:rsidR="006F6378" w:rsidRDefault="006F6378" w:rsidP="006F16B9">
      <w:pPr>
        <w:spacing w:line="360" w:lineRule="auto"/>
        <w:jc w:val="both"/>
        <w:rPr>
          <w:rFonts w:ascii="Century Gothic" w:hAnsi="Century Gothic"/>
          <w:sz w:val="22"/>
          <w:szCs w:val="22"/>
        </w:rPr>
      </w:pPr>
    </w:p>
    <w:p w14:paraId="3E98F5A1" w14:textId="77777777" w:rsidR="00965BE3" w:rsidRDefault="00C63231" w:rsidP="006F16B9">
      <w:pPr>
        <w:spacing w:line="360" w:lineRule="auto"/>
        <w:jc w:val="both"/>
        <w:rPr>
          <w:rFonts w:ascii="Century Gothic" w:hAnsi="Century Gothic"/>
          <w:sz w:val="22"/>
          <w:szCs w:val="22"/>
        </w:rPr>
      </w:pPr>
      <w:r>
        <w:rPr>
          <w:rFonts w:ascii="Century Gothic" w:hAnsi="Century Gothic"/>
          <w:sz w:val="22"/>
          <w:szCs w:val="22"/>
        </w:rPr>
        <w:t>La norma transcrita otorgó autenticidad a los documentos privados</w:t>
      </w:r>
      <w:r w:rsidR="00091FF2">
        <w:rPr>
          <w:rFonts w:ascii="Century Gothic" w:hAnsi="Century Gothic"/>
          <w:sz w:val="22"/>
          <w:szCs w:val="22"/>
        </w:rPr>
        <w:t xml:space="preserve"> </w:t>
      </w:r>
      <w:r>
        <w:rPr>
          <w:rFonts w:ascii="Century Gothic" w:hAnsi="Century Gothic"/>
          <w:sz w:val="22"/>
          <w:szCs w:val="22"/>
        </w:rPr>
        <w:t>manuscritos, firmados o elaborados por las partes,</w:t>
      </w:r>
      <w:r w:rsidR="00091FF2" w:rsidRPr="00091FF2">
        <w:rPr>
          <w:rFonts w:ascii="Century Gothic" w:hAnsi="Century Gothic"/>
          <w:sz w:val="22"/>
          <w:szCs w:val="22"/>
        </w:rPr>
        <w:t xml:space="preserve"> </w:t>
      </w:r>
      <w:r w:rsidR="00091FF2">
        <w:rPr>
          <w:rFonts w:ascii="Century Gothic" w:hAnsi="Century Gothic"/>
          <w:sz w:val="22"/>
          <w:szCs w:val="22"/>
        </w:rPr>
        <w:t xml:space="preserve">presentados en originales o en copia, </w:t>
      </w:r>
      <w:r>
        <w:rPr>
          <w:rFonts w:ascii="Century Gothic" w:hAnsi="Century Gothic"/>
          <w:sz w:val="22"/>
          <w:szCs w:val="22"/>
        </w:rPr>
        <w:t xml:space="preserve">pero </w:t>
      </w:r>
      <w:r>
        <w:rPr>
          <w:rFonts w:ascii="Century Gothic" w:hAnsi="Century Gothic"/>
          <w:sz w:val="22"/>
          <w:szCs w:val="22"/>
        </w:rPr>
        <w:lastRenderedPageBreak/>
        <w:t>mantuvo</w:t>
      </w:r>
      <w:r w:rsidR="000D69E7">
        <w:rPr>
          <w:rFonts w:ascii="Century Gothic" w:hAnsi="Century Gothic"/>
          <w:sz w:val="22"/>
          <w:szCs w:val="22"/>
        </w:rPr>
        <w:t xml:space="preserve"> vigente</w:t>
      </w:r>
      <w:r>
        <w:rPr>
          <w:rFonts w:ascii="Century Gothic" w:hAnsi="Century Gothic"/>
          <w:sz w:val="22"/>
          <w:szCs w:val="22"/>
        </w:rPr>
        <w:t xml:space="preserve"> la exigencia </w:t>
      </w:r>
      <w:r w:rsidR="00091FF2">
        <w:rPr>
          <w:rFonts w:ascii="Century Gothic" w:hAnsi="Century Gothic"/>
          <w:sz w:val="22"/>
          <w:szCs w:val="22"/>
        </w:rPr>
        <w:t>prevista en el artículo 254 del C. de P.C., para reputar aut</w:t>
      </w:r>
      <w:r w:rsidR="00965BE3">
        <w:rPr>
          <w:rFonts w:ascii="Century Gothic" w:hAnsi="Century Gothic"/>
          <w:sz w:val="22"/>
          <w:szCs w:val="22"/>
        </w:rPr>
        <w:t>é</w:t>
      </w:r>
      <w:r w:rsidR="00091FF2">
        <w:rPr>
          <w:rFonts w:ascii="Century Gothic" w:hAnsi="Century Gothic"/>
          <w:sz w:val="22"/>
          <w:szCs w:val="22"/>
        </w:rPr>
        <w:t>nticos los documentos públicos o los emanados de terceros.</w:t>
      </w:r>
    </w:p>
    <w:p w14:paraId="0D13EBAC" w14:textId="77777777" w:rsidR="00965BE3" w:rsidRDefault="00965BE3" w:rsidP="006F16B9">
      <w:pPr>
        <w:spacing w:line="360" w:lineRule="auto"/>
        <w:jc w:val="both"/>
        <w:rPr>
          <w:rFonts w:ascii="Century Gothic" w:hAnsi="Century Gothic"/>
          <w:sz w:val="22"/>
          <w:szCs w:val="22"/>
        </w:rPr>
      </w:pPr>
    </w:p>
    <w:p w14:paraId="5044D237" w14:textId="77777777" w:rsidR="0037726F" w:rsidRDefault="00D72CC9" w:rsidP="006F16B9">
      <w:pPr>
        <w:spacing w:line="360" w:lineRule="auto"/>
        <w:jc w:val="both"/>
        <w:rPr>
          <w:rFonts w:ascii="Century Gothic" w:hAnsi="Century Gothic"/>
          <w:sz w:val="22"/>
          <w:szCs w:val="22"/>
        </w:rPr>
      </w:pPr>
      <w:r>
        <w:rPr>
          <w:rFonts w:ascii="Century Gothic" w:hAnsi="Century Gothic"/>
          <w:sz w:val="22"/>
          <w:szCs w:val="22"/>
        </w:rPr>
        <w:t>No o</w:t>
      </w:r>
      <w:r w:rsidR="00270818">
        <w:rPr>
          <w:rFonts w:ascii="Century Gothic" w:hAnsi="Century Gothic"/>
          <w:sz w:val="22"/>
          <w:szCs w:val="22"/>
        </w:rPr>
        <w:t>bstante, es de anotar que dicha norma</w:t>
      </w:r>
      <w:r>
        <w:rPr>
          <w:rFonts w:ascii="Century Gothic" w:hAnsi="Century Gothic"/>
          <w:sz w:val="22"/>
          <w:szCs w:val="22"/>
        </w:rPr>
        <w:t xml:space="preserve"> no </w:t>
      </w:r>
      <w:r w:rsidR="00270818">
        <w:rPr>
          <w:rFonts w:ascii="Century Gothic" w:hAnsi="Century Gothic"/>
          <w:sz w:val="22"/>
          <w:szCs w:val="22"/>
        </w:rPr>
        <w:t xml:space="preserve">modificó los dos últimos incisos del </w:t>
      </w:r>
      <w:r w:rsidR="00356B62">
        <w:rPr>
          <w:rFonts w:ascii="Century Gothic" w:hAnsi="Century Gothic"/>
          <w:sz w:val="22"/>
          <w:szCs w:val="22"/>
        </w:rPr>
        <w:t xml:space="preserve">mencionado </w:t>
      </w:r>
      <w:r w:rsidR="00270818">
        <w:rPr>
          <w:rFonts w:ascii="Century Gothic" w:hAnsi="Century Gothic"/>
          <w:sz w:val="22"/>
          <w:szCs w:val="22"/>
        </w:rPr>
        <w:t xml:space="preserve">artículo 252, </w:t>
      </w:r>
      <w:r w:rsidR="0037726F">
        <w:rPr>
          <w:rFonts w:ascii="Century Gothic" w:hAnsi="Century Gothic"/>
          <w:sz w:val="22"/>
          <w:szCs w:val="22"/>
        </w:rPr>
        <w:t>relacionado con la autenticidad de los documentos de los cuales se pretenda derivar un título ejecutivo</w:t>
      </w:r>
      <w:r w:rsidR="00270818">
        <w:rPr>
          <w:rFonts w:ascii="Century Gothic" w:hAnsi="Century Gothic"/>
          <w:sz w:val="22"/>
          <w:szCs w:val="22"/>
        </w:rPr>
        <w:t>:</w:t>
      </w:r>
    </w:p>
    <w:p w14:paraId="7B4172AD" w14:textId="77777777" w:rsidR="00270818" w:rsidRDefault="00270818" w:rsidP="006F16B9">
      <w:pPr>
        <w:spacing w:line="360" w:lineRule="auto"/>
        <w:jc w:val="both"/>
        <w:rPr>
          <w:rFonts w:ascii="Century Gothic" w:hAnsi="Century Gothic"/>
          <w:sz w:val="22"/>
          <w:szCs w:val="22"/>
        </w:rPr>
      </w:pPr>
    </w:p>
    <w:p w14:paraId="18D949DE" w14:textId="77777777" w:rsidR="0037726F" w:rsidRPr="0037726F" w:rsidRDefault="0037726F" w:rsidP="0037726F">
      <w:pPr>
        <w:ind w:left="567" w:right="391"/>
        <w:jc w:val="both"/>
        <w:rPr>
          <w:rFonts w:ascii="Century Gothic" w:hAnsi="Century Gothic" w:cs="Tahoma"/>
          <w:sz w:val="20"/>
          <w:szCs w:val="20"/>
        </w:rPr>
      </w:pPr>
      <w:r w:rsidRPr="0037726F">
        <w:rPr>
          <w:rFonts w:ascii="Century Gothic" w:hAnsi="Century Gothic" w:cs="Tahoma"/>
          <w:sz w:val="20"/>
          <w:szCs w:val="20"/>
        </w:rPr>
        <w:t>“</w:t>
      </w:r>
      <w:r w:rsidR="00270818" w:rsidRPr="00403B3B">
        <w:rPr>
          <w:rFonts w:ascii="Century Gothic" w:hAnsi="Century Gothic" w:cs="Tahoma"/>
          <w:sz w:val="20"/>
          <w:szCs w:val="20"/>
          <w:u w:val="single"/>
        </w:rPr>
        <w:t>Se presumen auténticos todos los documentos que reúnan los requisitos establecidos en el artículo</w:t>
      </w:r>
      <w:r w:rsidR="00270818" w:rsidRPr="00403B3B">
        <w:rPr>
          <w:rStyle w:val="apple-converted-space"/>
          <w:rFonts w:ascii="Century Gothic" w:hAnsi="Century Gothic" w:cs="Tahoma"/>
          <w:sz w:val="20"/>
          <w:szCs w:val="20"/>
          <w:u w:val="single"/>
        </w:rPr>
        <w:t xml:space="preserve"> 488</w:t>
      </w:r>
      <w:r w:rsidR="00270818" w:rsidRPr="00403B3B">
        <w:rPr>
          <w:rFonts w:ascii="Century Gothic" w:hAnsi="Century Gothic" w:cs="Tahoma"/>
          <w:sz w:val="20"/>
          <w:szCs w:val="20"/>
          <w:u w:val="single"/>
        </w:rPr>
        <w:t>, cuando de ellos se pretenda derivar título ejecutivo</w:t>
      </w:r>
      <w:r w:rsidR="00270818" w:rsidRPr="0037726F">
        <w:rPr>
          <w:rFonts w:ascii="Century Gothic" w:hAnsi="Century Gothic" w:cs="Tahoma"/>
          <w:sz w:val="20"/>
          <w:szCs w:val="20"/>
        </w:rPr>
        <w:t>.</w:t>
      </w:r>
    </w:p>
    <w:p w14:paraId="62F3763B" w14:textId="77777777" w:rsidR="0037726F" w:rsidRPr="0037726F" w:rsidRDefault="0037726F" w:rsidP="0037726F">
      <w:pPr>
        <w:ind w:left="567" w:right="391"/>
        <w:jc w:val="both"/>
        <w:rPr>
          <w:rFonts w:ascii="Century Gothic" w:hAnsi="Century Gothic" w:cs="Tahoma"/>
          <w:sz w:val="20"/>
          <w:szCs w:val="20"/>
        </w:rPr>
      </w:pPr>
    </w:p>
    <w:p w14:paraId="310B9232" w14:textId="77777777" w:rsidR="00270818" w:rsidRPr="0037726F" w:rsidRDefault="0037726F" w:rsidP="0037726F">
      <w:pPr>
        <w:ind w:left="567" w:right="391"/>
        <w:jc w:val="both"/>
        <w:rPr>
          <w:rFonts w:ascii="Century Gothic" w:hAnsi="Century Gothic"/>
          <w:sz w:val="20"/>
          <w:szCs w:val="20"/>
        </w:rPr>
      </w:pPr>
      <w:r w:rsidRPr="0037726F">
        <w:rPr>
          <w:rFonts w:ascii="Century Gothic" w:hAnsi="Century Gothic" w:cs="Tahoma"/>
          <w:sz w:val="20"/>
          <w:szCs w:val="20"/>
        </w:rPr>
        <w:t>“</w:t>
      </w:r>
      <w:r w:rsidR="00270818" w:rsidRPr="0037726F">
        <w:rPr>
          <w:rFonts w:ascii="Century Gothic" w:hAnsi="Century Gothic" w:cs="Tahoma"/>
          <w:sz w:val="20"/>
          <w:szCs w:val="20"/>
        </w:rPr>
        <w:t>Los memoriales presentados para que formen parte del expediente se presumirán auténticos salvo aquellos que impliquen o comporten disposición del derecho en litigio y los poderes otorgados a apoderados judiciales que, en todo caso, requerirán de presentación personal o autenticación</w:t>
      </w:r>
      <w:r w:rsidRPr="0037726F">
        <w:rPr>
          <w:rFonts w:ascii="Century Gothic" w:hAnsi="Century Gothic" w:cs="Tahoma"/>
          <w:sz w:val="20"/>
          <w:szCs w:val="20"/>
        </w:rPr>
        <w:t>”</w:t>
      </w:r>
      <w:r w:rsidR="00403B3B">
        <w:rPr>
          <w:rFonts w:ascii="Century Gothic" w:hAnsi="Century Gothic" w:cs="Tahoma"/>
          <w:sz w:val="20"/>
          <w:szCs w:val="20"/>
        </w:rPr>
        <w:t xml:space="preserve"> (subrayas fuera del texto)</w:t>
      </w:r>
      <w:r w:rsidR="00270818" w:rsidRPr="0037726F">
        <w:rPr>
          <w:rFonts w:ascii="Century Gothic" w:hAnsi="Century Gothic" w:cs="Tahoma"/>
          <w:sz w:val="20"/>
          <w:szCs w:val="20"/>
        </w:rPr>
        <w:t>.</w:t>
      </w:r>
    </w:p>
    <w:p w14:paraId="23F45D0F" w14:textId="77777777" w:rsidR="00403B3B" w:rsidRPr="00332CD9" w:rsidRDefault="00403B3B" w:rsidP="006F16B9">
      <w:pPr>
        <w:spacing w:line="360" w:lineRule="auto"/>
        <w:jc w:val="both"/>
        <w:rPr>
          <w:rFonts w:ascii="Century Gothic" w:hAnsi="Century Gothic"/>
          <w:sz w:val="22"/>
          <w:szCs w:val="22"/>
        </w:rPr>
      </w:pPr>
    </w:p>
    <w:p w14:paraId="70A2DA91" w14:textId="77777777" w:rsidR="00964FF5" w:rsidRDefault="00403B3B" w:rsidP="00332CD9">
      <w:pPr>
        <w:spacing w:line="360" w:lineRule="auto"/>
        <w:jc w:val="both"/>
        <w:rPr>
          <w:rFonts w:ascii="Century Gothic" w:hAnsi="Century Gothic" w:cs="Arial"/>
          <w:sz w:val="22"/>
          <w:szCs w:val="22"/>
        </w:rPr>
      </w:pPr>
      <w:bookmarkStart w:id="7" w:name="_Hlk22219163"/>
      <w:r w:rsidRPr="00332CD9">
        <w:rPr>
          <w:rFonts w:ascii="Century Gothic" w:hAnsi="Century Gothic"/>
          <w:sz w:val="22"/>
          <w:szCs w:val="22"/>
        </w:rPr>
        <w:t>Lo anterior i</w:t>
      </w:r>
      <w:r w:rsidR="00C45D36" w:rsidRPr="00332CD9">
        <w:rPr>
          <w:rFonts w:ascii="Century Gothic" w:hAnsi="Century Gothic"/>
          <w:sz w:val="22"/>
          <w:szCs w:val="22"/>
        </w:rPr>
        <w:t xml:space="preserve">mplica que cuando se pretenda estructurar un </w:t>
      </w:r>
      <w:bookmarkStart w:id="8" w:name="_Hlk22219114"/>
      <w:r w:rsidR="00C45D36" w:rsidRPr="00332CD9">
        <w:rPr>
          <w:rFonts w:ascii="Century Gothic" w:hAnsi="Century Gothic"/>
          <w:sz w:val="22"/>
          <w:szCs w:val="22"/>
        </w:rPr>
        <w:t>título de recaudo ejecutivo</w:t>
      </w:r>
      <w:bookmarkEnd w:id="8"/>
      <w:r w:rsidR="00C45D36" w:rsidRPr="00332CD9">
        <w:rPr>
          <w:rFonts w:ascii="Century Gothic" w:hAnsi="Century Gothic"/>
          <w:sz w:val="22"/>
          <w:szCs w:val="22"/>
        </w:rPr>
        <w:t xml:space="preserve">, </w:t>
      </w:r>
      <w:bookmarkStart w:id="9" w:name="_Hlk22219141"/>
      <w:r w:rsidR="00C45D36" w:rsidRPr="00332CD9">
        <w:rPr>
          <w:rFonts w:ascii="Century Gothic" w:hAnsi="Century Gothic"/>
          <w:sz w:val="22"/>
          <w:szCs w:val="22"/>
        </w:rPr>
        <w:t>los únicos documentos que se hallan revestidos con la presunción de autenticidad son</w:t>
      </w:r>
      <w:r w:rsidR="00332CD9">
        <w:rPr>
          <w:rFonts w:ascii="Century Gothic" w:hAnsi="Century Gothic"/>
          <w:sz w:val="22"/>
          <w:szCs w:val="22"/>
        </w:rPr>
        <w:t>, en principio,</w:t>
      </w:r>
      <w:r w:rsidR="00C45D36" w:rsidRPr="00332CD9">
        <w:rPr>
          <w:rFonts w:ascii="Century Gothic" w:hAnsi="Century Gothic"/>
          <w:sz w:val="22"/>
          <w:szCs w:val="22"/>
        </w:rPr>
        <w:t xml:space="preserve"> los originales, lo cual ex</w:t>
      </w:r>
      <w:r w:rsidR="00F04C33" w:rsidRPr="00332CD9">
        <w:rPr>
          <w:rFonts w:ascii="Century Gothic" w:hAnsi="Century Gothic"/>
          <w:sz w:val="22"/>
          <w:szCs w:val="22"/>
        </w:rPr>
        <w:t>c</w:t>
      </w:r>
      <w:r w:rsidR="00C45D36" w:rsidRPr="00332CD9">
        <w:rPr>
          <w:rFonts w:ascii="Century Gothic" w:hAnsi="Century Gothic"/>
          <w:sz w:val="22"/>
          <w:szCs w:val="22"/>
        </w:rPr>
        <w:t>luye las copias</w:t>
      </w:r>
      <w:bookmarkEnd w:id="9"/>
      <w:r w:rsidR="00C45D36" w:rsidRPr="00332CD9">
        <w:rPr>
          <w:rFonts w:ascii="Century Gothic" w:hAnsi="Century Gothic"/>
          <w:sz w:val="22"/>
          <w:szCs w:val="22"/>
        </w:rPr>
        <w:t xml:space="preserve">, </w:t>
      </w:r>
      <w:r w:rsidR="00332CD9">
        <w:rPr>
          <w:rFonts w:ascii="Century Gothic" w:hAnsi="Century Gothic"/>
          <w:sz w:val="22"/>
          <w:szCs w:val="22"/>
        </w:rPr>
        <w:t xml:space="preserve">incluso, </w:t>
      </w:r>
      <w:r w:rsidR="00C45D36" w:rsidRPr="00332CD9">
        <w:rPr>
          <w:rFonts w:ascii="Century Gothic" w:hAnsi="Century Gothic"/>
          <w:sz w:val="22"/>
          <w:szCs w:val="22"/>
        </w:rPr>
        <w:t>las aut</w:t>
      </w:r>
      <w:r w:rsidR="00F04C33" w:rsidRPr="00332CD9">
        <w:rPr>
          <w:rFonts w:ascii="Century Gothic" w:hAnsi="Century Gothic"/>
          <w:sz w:val="22"/>
          <w:szCs w:val="22"/>
        </w:rPr>
        <w:t>énticas; sin embargo, en la jurisdicción de lo contencioso administrativo se ha</w:t>
      </w:r>
      <w:r w:rsidR="000A6A43" w:rsidRPr="00332CD9">
        <w:rPr>
          <w:rFonts w:ascii="Century Gothic" w:hAnsi="Century Gothic"/>
          <w:sz w:val="22"/>
          <w:szCs w:val="22"/>
        </w:rPr>
        <w:t xml:space="preserve"> entendido satisfecho, desde el punt</w:t>
      </w:r>
      <w:r w:rsidR="00332CD9" w:rsidRPr="00332CD9">
        <w:rPr>
          <w:rFonts w:ascii="Century Gothic" w:hAnsi="Century Gothic"/>
          <w:sz w:val="22"/>
          <w:szCs w:val="22"/>
        </w:rPr>
        <w:t xml:space="preserve">o de vista estrictamente formal, la integración del título ejecutivo con </w:t>
      </w:r>
      <w:r w:rsidR="00332CD9">
        <w:rPr>
          <w:rFonts w:ascii="Century Gothic" w:hAnsi="Century Gothic"/>
          <w:sz w:val="22"/>
          <w:szCs w:val="22"/>
        </w:rPr>
        <w:t xml:space="preserve">las </w:t>
      </w:r>
      <w:r w:rsidR="00332CD9" w:rsidRPr="00332CD9">
        <w:rPr>
          <w:rFonts w:ascii="Century Gothic" w:hAnsi="Century Gothic"/>
          <w:sz w:val="22"/>
          <w:szCs w:val="22"/>
        </w:rPr>
        <w:t>copias auténticas, cuando se trata de documentos públicos</w:t>
      </w:r>
      <w:r w:rsidR="00F04C33" w:rsidRPr="00332CD9">
        <w:rPr>
          <w:rFonts w:ascii="Century Gothic" w:hAnsi="Century Gothic" w:cs="Arial"/>
          <w:sz w:val="22"/>
          <w:szCs w:val="22"/>
        </w:rPr>
        <w:t xml:space="preserve"> o pólizas de seguros de cumplimiento (que amparan varios riesgos),</w:t>
      </w:r>
      <w:r w:rsidR="00332CD9" w:rsidRPr="00332CD9">
        <w:rPr>
          <w:rFonts w:ascii="Century Gothic" w:hAnsi="Century Gothic" w:cs="Arial"/>
          <w:sz w:val="22"/>
          <w:szCs w:val="22"/>
        </w:rPr>
        <w:t xml:space="preserve"> pues, en el caso de los documentos públicos, l</w:t>
      </w:r>
      <w:r w:rsidR="00F04C33" w:rsidRPr="00332CD9">
        <w:rPr>
          <w:rFonts w:ascii="Century Gothic" w:hAnsi="Century Gothic" w:cs="Arial"/>
          <w:sz w:val="22"/>
          <w:szCs w:val="22"/>
        </w:rPr>
        <w:t>os originales, como fuente primaria de información, deben reposar en los archivos públicos para los fines que contempla la Ley 594 de 2000 (artículo 4º), entre ellos, institucionalizar las decisiones administrativas, servir como antecedente para la adopción de futuras medidas, garantizar el adecuado control de las decisiones administrativas (de tutela, fiscal, judicial, político, etc.) y contribuir de manera eficiente a la gestión administrativa, económica, política y social del Estado, todo lo cual está encaminado a la realización de sus fines (artículo</w:t>
      </w:r>
      <w:r w:rsidR="00332CD9" w:rsidRPr="00332CD9">
        <w:rPr>
          <w:rFonts w:ascii="Century Gothic" w:hAnsi="Century Gothic" w:cs="Arial"/>
          <w:sz w:val="22"/>
          <w:szCs w:val="22"/>
        </w:rPr>
        <w:t xml:space="preserve"> 2 de la Constitución Política) y, e</w:t>
      </w:r>
      <w:r w:rsidR="00F04C33" w:rsidRPr="00332CD9">
        <w:rPr>
          <w:rFonts w:ascii="Century Gothic" w:hAnsi="Century Gothic" w:cs="Arial"/>
          <w:sz w:val="22"/>
          <w:szCs w:val="22"/>
        </w:rPr>
        <w:t xml:space="preserve">n el caso de las pólizas de seguros de cumplimiento que amparan las obligaciones emanadas de los contratos del Estado, se permite que, cuando ellas sirvan de fundamento a la ejecución, puedan ser aportadas al proceso en copia auténtica, porque, tal como lo dispone el </w:t>
      </w:r>
      <w:r w:rsidR="000F4308">
        <w:rPr>
          <w:rFonts w:ascii="Century Gothic" w:hAnsi="Century Gothic" w:cs="Arial"/>
          <w:sz w:val="22"/>
          <w:szCs w:val="22"/>
        </w:rPr>
        <w:t>artículo 25 (numeral 19) de la l</w:t>
      </w:r>
      <w:r w:rsidR="00F04C33" w:rsidRPr="00332CD9">
        <w:rPr>
          <w:rFonts w:ascii="Century Gothic" w:hAnsi="Century Gothic" w:cs="Arial"/>
          <w:sz w:val="22"/>
          <w:szCs w:val="22"/>
        </w:rPr>
        <w:t xml:space="preserve">ey 80 de 1993, en una póliza se amparan varios riesgos (póliza única) y la ejecución puede darse por la exigibilidad de uno sólo de los amparos garantizados y, en esa medida, el original del título debe </w:t>
      </w:r>
      <w:r w:rsidR="00F04C33" w:rsidRPr="00332CD9">
        <w:rPr>
          <w:rFonts w:ascii="Century Gothic" w:hAnsi="Century Gothic" w:cs="Arial"/>
          <w:sz w:val="22"/>
          <w:szCs w:val="22"/>
        </w:rPr>
        <w:lastRenderedPageBreak/>
        <w:t xml:space="preserve">reposar en manos del asegurado, para que, en caso de hacerse exigible otro de los riesgos amparados, pueda servir </w:t>
      </w:r>
      <w:r w:rsidR="00E30D5A">
        <w:rPr>
          <w:rFonts w:ascii="Century Gothic" w:hAnsi="Century Gothic" w:cs="Arial"/>
          <w:sz w:val="22"/>
          <w:szCs w:val="22"/>
        </w:rPr>
        <w:t>de base para la nueva ejecución</w:t>
      </w:r>
      <w:r w:rsidR="00A0553E">
        <w:rPr>
          <w:rStyle w:val="Refdenotaalpie"/>
          <w:rFonts w:ascii="Century Gothic" w:hAnsi="Century Gothic" w:cs="Arial"/>
          <w:sz w:val="22"/>
          <w:szCs w:val="22"/>
        </w:rPr>
        <w:footnoteReference w:id="10"/>
      </w:r>
      <w:r w:rsidR="00964FF5">
        <w:rPr>
          <w:rFonts w:ascii="Century Gothic" w:hAnsi="Century Gothic" w:cs="Arial"/>
          <w:sz w:val="22"/>
          <w:szCs w:val="22"/>
        </w:rPr>
        <w:t>.</w:t>
      </w:r>
    </w:p>
    <w:bookmarkEnd w:id="7"/>
    <w:p w14:paraId="32A7EFE0" w14:textId="77777777" w:rsidR="00964FF5" w:rsidRDefault="00964FF5" w:rsidP="00332CD9">
      <w:pPr>
        <w:spacing w:line="360" w:lineRule="auto"/>
        <w:jc w:val="both"/>
        <w:rPr>
          <w:rFonts w:ascii="Century Gothic" w:hAnsi="Century Gothic" w:cs="Arial"/>
          <w:sz w:val="22"/>
          <w:szCs w:val="22"/>
        </w:rPr>
      </w:pPr>
    </w:p>
    <w:p w14:paraId="6FAA404F" w14:textId="77777777" w:rsidR="00733E62" w:rsidRDefault="00964FF5" w:rsidP="00332CD9">
      <w:pPr>
        <w:spacing w:line="360" w:lineRule="auto"/>
        <w:jc w:val="both"/>
        <w:rPr>
          <w:rFonts w:ascii="Century Gothic" w:hAnsi="Century Gothic" w:cs="Arial"/>
          <w:sz w:val="22"/>
          <w:szCs w:val="22"/>
        </w:rPr>
      </w:pPr>
      <w:r>
        <w:rPr>
          <w:rFonts w:ascii="Century Gothic" w:hAnsi="Century Gothic" w:cs="Arial"/>
          <w:sz w:val="22"/>
          <w:szCs w:val="22"/>
        </w:rPr>
        <w:t xml:space="preserve">En todo caso, </w:t>
      </w:r>
      <w:r w:rsidR="00E30D5A">
        <w:rPr>
          <w:rFonts w:ascii="Century Gothic" w:hAnsi="Century Gothic" w:cs="Arial"/>
          <w:sz w:val="22"/>
          <w:szCs w:val="22"/>
        </w:rPr>
        <w:t xml:space="preserve">lo que sí </w:t>
      </w:r>
      <w:r>
        <w:rPr>
          <w:rFonts w:ascii="Century Gothic" w:hAnsi="Century Gothic" w:cs="Arial"/>
          <w:sz w:val="22"/>
          <w:szCs w:val="22"/>
        </w:rPr>
        <w:t xml:space="preserve">se </w:t>
      </w:r>
      <w:r w:rsidR="00E30D5A">
        <w:rPr>
          <w:rFonts w:ascii="Century Gothic" w:hAnsi="Century Gothic" w:cs="Arial"/>
          <w:sz w:val="22"/>
          <w:szCs w:val="22"/>
        </w:rPr>
        <w:t xml:space="preserve">deja </w:t>
      </w:r>
      <w:r w:rsidR="0067076D">
        <w:rPr>
          <w:rFonts w:ascii="Century Gothic" w:hAnsi="Century Gothic" w:cs="Arial"/>
          <w:sz w:val="22"/>
          <w:szCs w:val="22"/>
        </w:rPr>
        <w:t xml:space="preserve">claro es que </w:t>
      </w:r>
      <w:bookmarkStart w:id="10" w:name="_Hlk22219199"/>
      <w:r w:rsidR="0067076D">
        <w:rPr>
          <w:rFonts w:ascii="Century Gothic" w:hAnsi="Century Gothic" w:cs="Arial"/>
          <w:sz w:val="22"/>
          <w:szCs w:val="22"/>
        </w:rPr>
        <w:t>las copias simples</w:t>
      </w:r>
      <w:r w:rsidR="00E30D5A">
        <w:rPr>
          <w:rFonts w:ascii="Century Gothic" w:hAnsi="Century Gothic" w:cs="Arial"/>
          <w:sz w:val="22"/>
          <w:szCs w:val="22"/>
        </w:rPr>
        <w:t xml:space="preserve"> en ningún caso</w:t>
      </w:r>
      <w:r w:rsidR="0067076D">
        <w:rPr>
          <w:rFonts w:ascii="Century Gothic" w:hAnsi="Century Gothic" w:cs="Arial"/>
          <w:sz w:val="22"/>
          <w:szCs w:val="22"/>
        </w:rPr>
        <w:t xml:space="preserve"> tienen</w:t>
      </w:r>
      <w:r>
        <w:rPr>
          <w:rFonts w:ascii="Century Gothic" w:hAnsi="Century Gothic" w:cs="Arial"/>
          <w:sz w:val="22"/>
          <w:szCs w:val="22"/>
        </w:rPr>
        <w:t xml:space="preserve"> aptitud legal </w:t>
      </w:r>
      <w:r w:rsidR="00E30D5A">
        <w:rPr>
          <w:rFonts w:ascii="Century Gothic" w:hAnsi="Century Gothic" w:cs="Arial"/>
          <w:sz w:val="22"/>
          <w:szCs w:val="22"/>
        </w:rPr>
        <w:t xml:space="preserve">para acreditar </w:t>
      </w:r>
      <w:r w:rsidR="00DC2025">
        <w:rPr>
          <w:rFonts w:ascii="Century Gothic" w:hAnsi="Century Gothic" w:cs="Arial"/>
          <w:sz w:val="22"/>
          <w:szCs w:val="22"/>
        </w:rPr>
        <w:t xml:space="preserve">la existencia de un </w:t>
      </w:r>
      <w:r w:rsidR="00E30D5A">
        <w:rPr>
          <w:rFonts w:ascii="Century Gothic" w:hAnsi="Century Gothic" w:cs="Arial"/>
          <w:sz w:val="22"/>
          <w:szCs w:val="22"/>
        </w:rPr>
        <w:t>título de recaudo ejecutivo.</w:t>
      </w:r>
      <w:bookmarkEnd w:id="10"/>
    </w:p>
    <w:p w14:paraId="71721207" w14:textId="77777777" w:rsidR="00964FF5" w:rsidRDefault="00964FF5" w:rsidP="00332CD9">
      <w:pPr>
        <w:spacing w:line="360" w:lineRule="auto"/>
        <w:jc w:val="both"/>
        <w:rPr>
          <w:rFonts w:ascii="Century Gothic" w:hAnsi="Century Gothic" w:cs="Arial"/>
          <w:sz w:val="22"/>
          <w:szCs w:val="22"/>
        </w:rPr>
      </w:pPr>
    </w:p>
    <w:p w14:paraId="402A9625" w14:textId="77777777" w:rsidR="00733E62" w:rsidRPr="005177A0" w:rsidRDefault="000B5505" w:rsidP="00332CD9">
      <w:pPr>
        <w:spacing w:line="360" w:lineRule="auto"/>
        <w:jc w:val="both"/>
        <w:rPr>
          <w:rFonts w:ascii="Century Gothic" w:hAnsi="Century Gothic" w:cs="Arial"/>
          <w:sz w:val="22"/>
          <w:szCs w:val="22"/>
        </w:rPr>
      </w:pPr>
      <w:bookmarkStart w:id="11" w:name="_Hlk22219299"/>
      <w:r>
        <w:rPr>
          <w:rFonts w:ascii="Century Gothic" w:hAnsi="Century Gothic" w:cs="Arial"/>
          <w:sz w:val="22"/>
          <w:szCs w:val="22"/>
        </w:rPr>
        <w:t>Precisamente, la Sala Plena de la Sección Tercera</w:t>
      </w:r>
      <w:r w:rsidR="00A1753C">
        <w:rPr>
          <w:rFonts w:ascii="Century Gothic" w:hAnsi="Century Gothic" w:cs="Arial"/>
          <w:sz w:val="22"/>
          <w:szCs w:val="22"/>
        </w:rPr>
        <w:t xml:space="preserve"> de esta Corporaci</w:t>
      </w:r>
      <w:r w:rsidR="00A07DE8">
        <w:rPr>
          <w:rFonts w:ascii="Century Gothic" w:hAnsi="Century Gothic" w:cs="Arial"/>
          <w:sz w:val="22"/>
          <w:szCs w:val="22"/>
        </w:rPr>
        <w:t>ón</w:t>
      </w:r>
      <w:r w:rsidR="00A1753C">
        <w:rPr>
          <w:rFonts w:ascii="Century Gothic" w:hAnsi="Century Gothic" w:cs="Arial"/>
          <w:sz w:val="22"/>
          <w:szCs w:val="22"/>
        </w:rPr>
        <w:t>,</w:t>
      </w:r>
      <w:r>
        <w:rPr>
          <w:rFonts w:ascii="Century Gothic" w:hAnsi="Century Gothic" w:cs="Arial"/>
          <w:sz w:val="22"/>
          <w:szCs w:val="22"/>
        </w:rPr>
        <w:t xml:space="preserve"> </w:t>
      </w:r>
      <w:r w:rsidR="000F30C0">
        <w:rPr>
          <w:rFonts w:ascii="Century Gothic" w:hAnsi="Century Gothic" w:cs="Arial"/>
          <w:sz w:val="22"/>
          <w:szCs w:val="22"/>
        </w:rPr>
        <w:t xml:space="preserve">en sentencia </w:t>
      </w:r>
      <w:r w:rsidR="00192450">
        <w:rPr>
          <w:rFonts w:ascii="Century Gothic" w:hAnsi="Century Gothic" w:cs="Arial"/>
          <w:sz w:val="22"/>
          <w:szCs w:val="22"/>
        </w:rPr>
        <w:t xml:space="preserve">del </w:t>
      </w:r>
      <w:r w:rsidR="00892E07">
        <w:rPr>
          <w:rFonts w:ascii="Century Gothic" w:hAnsi="Century Gothic" w:cs="Arial"/>
          <w:sz w:val="22"/>
          <w:szCs w:val="22"/>
        </w:rPr>
        <w:t>28 de agosto de 2013</w:t>
      </w:r>
      <w:r w:rsidR="00892E07">
        <w:rPr>
          <w:rStyle w:val="Refdenotaalpie"/>
          <w:rFonts w:ascii="Century Gothic" w:hAnsi="Century Gothic" w:cs="Arial"/>
          <w:sz w:val="22"/>
          <w:szCs w:val="22"/>
        </w:rPr>
        <w:footnoteReference w:id="11"/>
      </w:r>
      <w:r w:rsidR="00D243C5">
        <w:rPr>
          <w:rFonts w:ascii="Century Gothic" w:hAnsi="Century Gothic" w:cs="Arial"/>
          <w:sz w:val="22"/>
          <w:szCs w:val="22"/>
        </w:rPr>
        <w:t>,</w:t>
      </w:r>
      <w:r w:rsidR="000F30C0">
        <w:rPr>
          <w:rFonts w:ascii="Century Gothic" w:hAnsi="Century Gothic" w:cs="Arial"/>
          <w:sz w:val="22"/>
          <w:szCs w:val="22"/>
        </w:rPr>
        <w:t xml:space="preserve"> unificó </w:t>
      </w:r>
      <w:r w:rsidR="00D243C5">
        <w:rPr>
          <w:rFonts w:ascii="Century Gothic" w:hAnsi="Century Gothic" w:cs="Arial"/>
          <w:sz w:val="22"/>
          <w:szCs w:val="22"/>
        </w:rPr>
        <w:t>su jurisprudencia</w:t>
      </w:r>
      <w:r w:rsidR="000F30C0">
        <w:rPr>
          <w:rFonts w:ascii="Century Gothic" w:hAnsi="Century Gothic" w:cs="Arial"/>
          <w:sz w:val="22"/>
          <w:szCs w:val="22"/>
        </w:rPr>
        <w:t xml:space="preserve"> </w:t>
      </w:r>
      <w:bookmarkStart w:id="12" w:name="_Hlk22219230"/>
      <w:r w:rsidR="008539CA">
        <w:rPr>
          <w:rFonts w:ascii="Century Gothic" w:hAnsi="Century Gothic" w:cs="Arial"/>
          <w:sz w:val="22"/>
          <w:szCs w:val="22"/>
        </w:rPr>
        <w:t xml:space="preserve">en cuanto al valor probatorio </w:t>
      </w:r>
      <w:bookmarkEnd w:id="12"/>
      <w:r w:rsidR="008539CA">
        <w:rPr>
          <w:rFonts w:ascii="Century Gothic" w:hAnsi="Century Gothic" w:cs="Arial"/>
          <w:sz w:val="22"/>
          <w:szCs w:val="22"/>
        </w:rPr>
        <w:t xml:space="preserve">de las </w:t>
      </w:r>
      <w:bookmarkStart w:id="13" w:name="_Hlk22219218"/>
      <w:r w:rsidR="008539CA">
        <w:rPr>
          <w:rFonts w:ascii="Century Gothic" w:hAnsi="Century Gothic" w:cs="Arial"/>
          <w:sz w:val="22"/>
          <w:szCs w:val="22"/>
        </w:rPr>
        <w:t xml:space="preserve">copias simples </w:t>
      </w:r>
      <w:bookmarkEnd w:id="13"/>
      <w:r w:rsidR="008539CA">
        <w:rPr>
          <w:rFonts w:ascii="Century Gothic" w:hAnsi="Century Gothic" w:cs="Arial"/>
          <w:sz w:val="22"/>
          <w:szCs w:val="22"/>
        </w:rPr>
        <w:t>en</w:t>
      </w:r>
      <w:r w:rsidR="00A707E9">
        <w:rPr>
          <w:rFonts w:ascii="Century Gothic" w:hAnsi="Century Gothic" w:cs="Arial"/>
          <w:sz w:val="22"/>
          <w:szCs w:val="22"/>
        </w:rPr>
        <w:t xml:space="preserve"> </w:t>
      </w:r>
      <w:bookmarkStart w:id="14" w:name="_Hlk22219238"/>
      <w:r w:rsidR="00A707E9">
        <w:rPr>
          <w:rFonts w:ascii="Century Gothic" w:hAnsi="Century Gothic" w:cs="Arial"/>
          <w:sz w:val="22"/>
          <w:szCs w:val="22"/>
        </w:rPr>
        <w:t>los procesos declarativos cont</w:t>
      </w:r>
      <w:r w:rsidR="00117C6D">
        <w:rPr>
          <w:rFonts w:ascii="Century Gothic" w:hAnsi="Century Gothic" w:cs="Arial"/>
          <w:sz w:val="22"/>
          <w:szCs w:val="22"/>
        </w:rPr>
        <w:t>encioso administrativos</w:t>
      </w:r>
      <w:bookmarkEnd w:id="14"/>
      <w:r w:rsidR="00117C6D">
        <w:rPr>
          <w:rFonts w:ascii="Century Gothic" w:hAnsi="Century Gothic" w:cs="Arial"/>
          <w:sz w:val="22"/>
          <w:szCs w:val="22"/>
        </w:rPr>
        <w:t xml:space="preserve">, </w:t>
      </w:r>
      <w:r w:rsidR="00D243C5">
        <w:rPr>
          <w:rFonts w:ascii="Century Gothic" w:hAnsi="Century Gothic" w:cs="Arial"/>
          <w:sz w:val="22"/>
          <w:szCs w:val="22"/>
        </w:rPr>
        <w:t xml:space="preserve">a la luz de los </w:t>
      </w:r>
      <w:r w:rsidR="00FC4190">
        <w:rPr>
          <w:rFonts w:ascii="Century Gothic" w:hAnsi="Century Gothic" w:cs="Arial"/>
          <w:sz w:val="22"/>
          <w:szCs w:val="22"/>
        </w:rPr>
        <w:t xml:space="preserve">preceptos </w:t>
      </w:r>
      <w:r w:rsidR="00D243C5">
        <w:rPr>
          <w:rFonts w:ascii="Century Gothic" w:hAnsi="Century Gothic" w:cs="Arial"/>
          <w:sz w:val="22"/>
          <w:szCs w:val="22"/>
        </w:rPr>
        <w:t xml:space="preserve">contenidos </w:t>
      </w:r>
      <w:r w:rsidR="008F729B">
        <w:rPr>
          <w:rFonts w:ascii="Century Gothic" w:hAnsi="Century Gothic" w:cs="Arial"/>
          <w:sz w:val="22"/>
          <w:szCs w:val="22"/>
        </w:rPr>
        <w:t>d</w:t>
      </w:r>
      <w:r w:rsidR="00117C6D">
        <w:rPr>
          <w:rFonts w:ascii="Century Gothic" w:hAnsi="Century Gothic" w:cs="Arial"/>
          <w:sz w:val="22"/>
          <w:szCs w:val="22"/>
        </w:rPr>
        <w:t>el artículo 215</w:t>
      </w:r>
      <w:r w:rsidR="00705ED2">
        <w:rPr>
          <w:rStyle w:val="Refdenotaalpie"/>
          <w:rFonts w:ascii="Century Gothic" w:hAnsi="Century Gothic" w:cs="Arial"/>
          <w:sz w:val="22"/>
          <w:szCs w:val="22"/>
        </w:rPr>
        <w:footnoteReference w:id="12"/>
      </w:r>
      <w:r w:rsidR="00117C6D">
        <w:rPr>
          <w:rFonts w:ascii="Century Gothic" w:hAnsi="Century Gothic" w:cs="Arial"/>
          <w:sz w:val="22"/>
          <w:szCs w:val="22"/>
        </w:rPr>
        <w:t xml:space="preserve"> </w:t>
      </w:r>
      <w:r w:rsidR="00117C6D" w:rsidRPr="005177A0">
        <w:rPr>
          <w:rFonts w:ascii="Century Gothic" w:hAnsi="Century Gothic" w:cs="Arial"/>
          <w:sz w:val="22"/>
          <w:szCs w:val="22"/>
        </w:rPr>
        <w:t>de</w:t>
      </w:r>
      <w:r w:rsidR="00683BE1" w:rsidRPr="005177A0">
        <w:rPr>
          <w:rFonts w:ascii="Century Gothic" w:hAnsi="Century Gothic" w:cs="Arial"/>
          <w:sz w:val="22"/>
          <w:szCs w:val="22"/>
        </w:rPr>
        <w:t xml:space="preserve">l </w:t>
      </w:r>
      <w:r w:rsidR="00117C6D" w:rsidRPr="005177A0">
        <w:rPr>
          <w:rFonts w:ascii="Century Gothic" w:hAnsi="Century Gothic" w:cs="Arial"/>
          <w:sz w:val="22"/>
          <w:szCs w:val="22"/>
        </w:rPr>
        <w:t>Código de Procedimiento Administrativo y de lo Con</w:t>
      </w:r>
      <w:r w:rsidR="00683BE1" w:rsidRPr="005177A0">
        <w:rPr>
          <w:rFonts w:ascii="Century Gothic" w:hAnsi="Century Gothic" w:cs="Arial"/>
          <w:sz w:val="22"/>
          <w:szCs w:val="22"/>
        </w:rPr>
        <w:t>tencioso Administrativo</w:t>
      </w:r>
      <w:r w:rsidR="008F729B" w:rsidRPr="005177A0">
        <w:rPr>
          <w:rStyle w:val="Refdenotaalpie"/>
          <w:rFonts w:ascii="Century Gothic" w:hAnsi="Century Gothic" w:cs="Arial"/>
          <w:sz w:val="22"/>
          <w:szCs w:val="22"/>
        </w:rPr>
        <w:footnoteReference w:id="13"/>
      </w:r>
      <w:r w:rsidR="008F729B" w:rsidRPr="005177A0">
        <w:rPr>
          <w:rFonts w:ascii="Century Gothic" w:hAnsi="Century Gothic" w:cs="Tahoma"/>
          <w:sz w:val="22"/>
          <w:szCs w:val="22"/>
          <w:lang w:val="es-ES"/>
        </w:rPr>
        <w:t xml:space="preserve"> y de los artículos </w:t>
      </w:r>
      <w:r w:rsidR="00705ED2">
        <w:rPr>
          <w:rFonts w:ascii="Century Gothic" w:hAnsi="Century Gothic" w:cs="Tahoma"/>
          <w:sz w:val="22"/>
          <w:szCs w:val="22"/>
          <w:lang w:val="es-ES"/>
        </w:rPr>
        <w:t>244</w:t>
      </w:r>
      <w:r w:rsidR="008F729B" w:rsidRPr="005177A0">
        <w:rPr>
          <w:rFonts w:ascii="Century Gothic" w:hAnsi="Century Gothic" w:cs="Tahoma"/>
          <w:sz w:val="22"/>
          <w:szCs w:val="22"/>
          <w:lang w:val="es-ES"/>
        </w:rPr>
        <w:t xml:space="preserve"> a 246</w:t>
      </w:r>
      <w:r w:rsidR="00705ED2">
        <w:rPr>
          <w:rStyle w:val="Refdenotaalpie"/>
          <w:rFonts w:ascii="Century Gothic" w:hAnsi="Century Gothic" w:cs="Tahoma"/>
          <w:sz w:val="22"/>
          <w:szCs w:val="22"/>
          <w:lang w:val="es-ES"/>
        </w:rPr>
        <w:footnoteReference w:id="14"/>
      </w:r>
      <w:r w:rsidR="008F729B" w:rsidRPr="005177A0">
        <w:rPr>
          <w:rFonts w:ascii="Century Gothic" w:hAnsi="Century Gothic" w:cs="Tahoma"/>
          <w:sz w:val="22"/>
          <w:szCs w:val="22"/>
          <w:lang w:val="es-ES"/>
        </w:rPr>
        <w:t xml:space="preserve"> del Código General del Proceso</w:t>
      </w:r>
      <w:r w:rsidR="00705ED2">
        <w:rPr>
          <w:rFonts w:ascii="Century Gothic" w:hAnsi="Century Gothic" w:cs="Tahoma"/>
          <w:sz w:val="22"/>
          <w:szCs w:val="22"/>
          <w:lang w:val="es-ES"/>
        </w:rPr>
        <w:t xml:space="preserve">, los cuales otorgaron mérito </w:t>
      </w:r>
      <w:r w:rsidR="00705ED2">
        <w:rPr>
          <w:rFonts w:ascii="Century Gothic" w:hAnsi="Century Gothic" w:cs="Tahoma"/>
          <w:sz w:val="22"/>
          <w:szCs w:val="22"/>
          <w:lang w:val="es-ES"/>
        </w:rPr>
        <w:lastRenderedPageBreak/>
        <w:t>legal a las copias simples</w:t>
      </w:r>
      <w:r w:rsidR="00D243C5" w:rsidRPr="005177A0">
        <w:rPr>
          <w:rFonts w:ascii="Century Gothic" w:hAnsi="Century Gothic" w:cs="Tahoma"/>
          <w:sz w:val="22"/>
          <w:szCs w:val="22"/>
          <w:lang w:val="es-ES"/>
        </w:rPr>
        <w:t xml:space="preserve"> y</w:t>
      </w:r>
      <w:r w:rsidR="005177A0" w:rsidRPr="005177A0">
        <w:rPr>
          <w:rFonts w:ascii="Century Gothic" w:hAnsi="Century Gothic" w:cs="Tahoma"/>
          <w:sz w:val="22"/>
          <w:szCs w:val="22"/>
          <w:lang w:val="es-ES"/>
        </w:rPr>
        <w:t>,</w:t>
      </w:r>
      <w:r w:rsidR="00D243C5" w:rsidRPr="005177A0">
        <w:rPr>
          <w:rFonts w:ascii="Century Gothic" w:hAnsi="Century Gothic" w:cs="Tahoma"/>
          <w:sz w:val="22"/>
          <w:szCs w:val="22"/>
          <w:lang w:val="es-ES"/>
        </w:rPr>
        <w:t xml:space="preserve"> al respecto</w:t>
      </w:r>
      <w:r w:rsidR="005177A0" w:rsidRPr="005177A0">
        <w:rPr>
          <w:rFonts w:ascii="Century Gothic" w:hAnsi="Century Gothic" w:cs="Tahoma"/>
          <w:sz w:val="22"/>
          <w:szCs w:val="22"/>
          <w:lang w:val="es-ES"/>
        </w:rPr>
        <w:t xml:space="preserve">, sentó las siguientes bases: </w:t>
      </w:r>
      <w:r w:rsidR="00D243C5" w:rsidRPr="005177A0">
        <w:rPr>
          <w:rFonts w:ascii="Century Gothic" w:hAnsi="Century Gothic" w:cs="Tahoma"/>
          <w:sz w:val="22"/>
          <w:szCs w:val="22"/>
          <w:lang w:val="es-ES"/>
        </w:rPr>
        <w:t>i) los documentos públicos o privados, emanados de las partes o de terceros, en original o en copia, se presumen auténticos, ii) es posible que las partes los tachen de falsos o los desconozcan, lo que originará que se surta el respectivo trámite de la tacha, iii) los documentos se pueden aportar al proceso en original o en copia, iv) las copias, por regla general, tendrán el mismo valor probatorio que el documento original, salvo disposición especial en contrario, v) cuando se aporta un documento en copia, corresponde a la parte que lo allega indicar –si lo conoce– el lugar donde reposa el original para efectos de realizar el resp</w:t>
      </w:r>
      <w:r w:rsidR="005177A0">
        <w:rPr>
          <w:rFonts w:ascii="Century Gothic" w:hAnsi="Century Gothic" w:cs="Tahoma"/>
          <w:sz w:val="22"/>
          <w:szCs w:val="22"/>
          <w:lang w:val="es-ES"/>
        </w:rPr>
        <w:t>ectivo cotejo, de ser necesario</w:t>
      </w:r>
      <w:r w:rsidR="00D243C5" w:rsidRPr="005177A0">
        <w:rPr>
          <w:rFonts w:ascii="Century Gothic" w:hAnsi="Century Gothic" w:cs="Tahoma"/>
          <w:sz w:val="22"/>
          <w:szCs w:val="22"/>
          <w:lang w:val="es-ES"/>
        </w:rPr>
        <w:t xml:space="preserve"> y vi) las partes pueden solicitar el cotejo de los documentos aportados en copias.</w:t>
      </w:r>
      <w:r w:rsidR="00D243C5" w:rsidRPr="005177A0">
        <w:rPr>
          <w:rFonts w:ascii="Tahoma" w:hAnsi="Tahoma" w:cs="Tahoma"/>
          <w:sz w:val="22"/>
          <w:szCs w:val="22"/>
          <w:lang w:val="es-ES"/>
        </w:rPr>
        <w:t xml:space="preserve">  </w:t>
      </w:r>
    </w:p>
    <w:bookmarkEnd w:id="11"/>
    <w:p w14:paraId="3CCEF02B" w14:textId="77777777" w:rsidR="00DB5CC8" w:rsidRPr="005177A0" w:rsidRDefault="00DB5CC8" w:rsidP="00332CD9">
      <w:pPr>
        <w:spacing w:line="360" w:lineRule="auto"/>
        <w:jc w:val="both"/>
        <w:rPr>
          <w:rFonts w:ascii="Century Gothic" w:hAnsi="Century Gothic" w:cs="Arial"/>
          <w:sz w:val="22"/>
          <w:szCs w:val="22"/>
        </w:rPr>
      </w:pPr>
    </w:p>
    <w:p w14:paraId="69E07C95" w14:textId="77777777" w:rsidR="00DB5CC8" w:rsidRPr="005177A0" w:rsidRDefault="00D243C5" w:rsidP="00332CD9">
      <w:pPr>
        <w:spacing w:line="360" w:lineRule="auto"/>
        <w:jc w:val="both"/>
        <w:rPr>
          <w:rFonts w:ascii="Century Gothic" w:hAnsi="Century Gothic" w:cs="Arial"/>
          <w:sz w:val="22"/>
          <w:szCs w:val="22"/>
        </w:rPr>
      </w:pPr>
      <w:r w:rsidRPr="005177A0">
        <w:rPr>
          <w:rFonts w:ascii="Century Gothic" w:hAnsi="Century Gothic" w:cs="Arial"/>
          <w:sz w:val="22"/>
          <w:szCs w:val="22"/>
        </w:rPr>
        <w:t>No obstante</w:t>
      </w:r>
      <w:r w:rsidR="005177A0">
        <w:rPr>
          <w:rFonts w:ascii="Century Gothic" w:hAnsi="Century Gothic" w:cs="Arial"/>
          <w:sz w:val="22"/>
          <w:szCs w:val="22"/>
        </w:rPr>
        <w:t>, precisó</w:t>
      </w:r>
      <w:r w:rsidR="00A0553E">
        <w:rPr>
          <w:rFonts w:ascii="Century Gothic" w:hAnsi="Century Gothic" w:cs="Arial"/>
          <w:sz w:val="22"/>
          <w:szCs w:val="22"/>
        </w:rPr>
        <w:t xml:space="preserve"> que los documentos de los cuales se pretenda derivar un título ejecutivo deben ser aportados en original o en copia auténtica</w:t>
      </w:r>
      <w:r w:rsidR="00FB1341">
        <w:rPr>
          <w:rFonts w:ascii="Century Gothic" w:hAnsi="Century Gothic" w:cs="Arial"/>
          <w:sz w:val="22"/>
          <w:szCs w:val="22"/>
        </w:rPr>
        <w:t xml:space="preserve"> (se transcribe</w:t>
      </w:r>
      <w:r w:rsidR="00A2118F">
        <w:rPr>
          <w:rFonts w:ascii="Century Gothic" w:hAnsi="Century Gothic" w:cs="Arial"/>
          <w:sz w:val="22"/>
          <w:szCs w:val="22"/>
        </w:rPr>
        <w:t xml:space="preserve"> como aparece en la providencia)</w:t>
      </w:r>
      <w:r w:rsidRPr="005177A0">
        <w:rPr>
          <w:rFonts w:ascii="Century Gothic" w:hAnsi="Century Gothic" w:cs="Arial"/>
          <w:sz w:val="22"/>
          <w:szCs w:val="22"/>
        </w:rPr>
        <w:t>:</w:t>
      </w:r>
    </w:p>
    <w:p w14:paraId="64184D99" w14:textId="77777777" w:rsidR="00D243C5" w:rsidRDefault="00D243C5" w:rsidP="00332CD9">
      <w:pPr>
        <w:spacing w:line="360" w:lineRule="auto"/>
        <w:jc w:val="both"/>
        <w:rPr>
          <w:rFonts w:ascii="Century Gothic" w:hAnsi="Century Gothic" w:cs="Arial"/>
          <w:sz w:val="22"/>
          <w:szCs w:val="22"/>
        </w:rPr>
      </w:pPr>
    </w:p>
    <w:p w14:paraId="1365CEE3" w14:textId="77777777" w:rsidR="00D243C5" w:rsidRPr="005177A0" w:rsidRDefault="005177A0" w:rsidP="005177A0">
      <w:pPr>
        <w:pStyle w:val="BodyText22"/>
        <w:overflowPunct/>
        <w:autoSpaceDE/>
        <w:autoSpaceDN/>
        <w:adjustRightInd/>
        <w:spacing w:line="240" w:lineRule="auto"/>
        <w:ind w:left="567" w:right="391" w:firstLine="0"/>
        <w:textAlignment w:val="auto"/>
        <w:rPr>
          <w:rFonts w:cs="Tahoma"/>
          <w:kern w:val="0"/>
          <w:sz w:val="20"/>
          <w:lang w:val="es-ES"/>
        </w:rPr>
      </w:pPr>
      <w:r w:rsidRPr="005177A0">
        <w:rPr>
          <w:rFonts w:cs="Tahoma"/>
          <w:kern w:val="0"/>
          <w:sz w:val="20"/>
          <w:lang w:val="es-ES"/>
        </w:rPr>
        <w:t>“</w:t>
      </w:r>
      <w:r w:rsidR="00D243C5" w:rsidRPr="005177A0">
        <w:rPr>
          <w:rFonts w:cs="Tahoma"/>
          <w:kern w:val="0"/>
          <w:sz w:val="20"/>
          <w:lang w:val="es-ES"/>
        </w:rPr>
        <w:t xml:space="preserve">Lo anterior, no quiere significar en modo alguno, que la Sala desconozca la existencia de procesos en los cuales, </w:t>
      </w:r>
      <w:r w:rsidR="00D243C5" w:rsidRPr="009A26DF">
        <w:rPr>
          <w:rFonts w:cs="Tahoma"/>
          <w:kern w:val="0"/>
          <w:sz w:val="20"/>
          <w:u w:val="single"/>
          <w:lang w:val="es-ES"/>
        </w:rPr>
        <w:t>para su admisión y trámite, es totalmente pertinente el original o la copia auténtica del documento respectivo público o privado</w:t>
      </w:r>
      <w:r w:rsidR="00D243C5" w:rsidRPr="005177A0">
        <w:rPr>
          <w:rFonts w:cs="Tahoma"/>
          <w:kern w:val="0"/>
          <w:sz w:val="20"/>
          <w:lang w:val="es-ES"/>
        </w:rPr>
        <w:t>. En efecto, existirán escenarios –</w:t>
      </w:r>
      <w:r w:rsidR="00D243C5" w:rsidRPr="009A26DF">
        <w:rPr>
          <w:rFonts w:cs="Tahoma"/>
          <w:kern w:val="0"/>
          <w:sz w:val="20"/>
          <w:u w:val="single"/>
          <w:lang w:val="es-ES"/>
        </w:rPr>
        <w:t>como los procesos ejecutivos</w:t>
      </w:r>
      <w:r w:rsidR="00D243C5" w:rsidRPr="005177A0">
        <w:rPr>
          <w:rFonts w:cs="Tahoma"/>
          <w:kern w:val="0"/>
          <w:sz w:val="20"/>
          <w:lang w:val="es-ES"/>
        </w:rPr>
        <w:t>–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w:t>
      </w:r>
      <w:r>
        <w:rPr>
          <w:rFonts w:cs="Tahoma"/>
          <w:kern w:val="0"/>
          <w:sz w:val="20"/>
          <w:lang w:val="es-ES"/>
        </w:rPr>
        <w:t>ontencioso Administrativo-”</w:t>
      </w:r>
      <w:r>
        <w:rPr>
          <w:rStyle w:val="Refdenotaalpie"/>
          <w:rFonts w:cs="Tahoma"/>
          <w:kern w:val="0"/>
          <w:sz w:val="20"/>
          <w:lang w:val="es-ES"/>
        </w:rPr>
        <w:footnoteReference w:id="15"/>
      </w:r>
      <w:r w:rsidR="00D243C5" w:rsidRPr="005177A0">
        <w:rPr>
          <w:rFonts w:cs="Tahoma"/>
          <w:kern w:val="0"/>
          <w:sz w:val="20"/>
          <w:lang w:val="es-ES"/>
        </w:rPr>
        <w:t>.</w:t>
      </w:r>
    </w:p>
    <w:p w14:paraId="43BE87F2" w14:textId="77777777" w:rsidR="00D243C5" w:rsidRDefault="00D243C5" w:rsidP="00332CD9">
      <w:pPr>
        <w:spacing w:line="360" w:lineRule="auto"/>
        <w:jc w:val="both"/>
        <w:rPr>
          <w:rFonts w:ascii="Century Gothic" w:hAnsi="Century Gothic" w:cs="Arial"/>
          <w:sz w:val="22"/>
          <w:szCs w:val="22"/>
        </w:rPr>
      </w:pPr>
    </w:p>
    <w:p w14:paraId="7F723291" w14:textId="77777777" w:rsidR="0082094A" w:rsidRDefault="008A136C" w:rsidP="00332CD9">
      <w:pPr>
        <w:spacing w:line="360" w:lineRule="auto"/>
        <w:jc w:val="both"/>
        <w:rPr>
          <w:rFonts w:ascii="Century Gothic" w:hAnsi="Century Gothic" w:cs="Arial"/>
          <w:sz w:val="22"/>
          <w:szCs w:val="22"/>
        </w:rPr>
      </w:pPr>
      <w:bookmarkStart w:id="18" w:name="_Hlk22219354"/>
      <w:r>
        <w:rPr>
          <w:rFonts w:ascii="Century Gothic" w:hAnsi="Century Gothic" w:cs="Arial"/>
          <w:sz w:val="22"/>
          <w:szCs w:val="22"/>
        </w:rPr>
        <w:t xml:space="preserve">En </w:t>
      </w:r>
      <w:r w:rsidR="004F51DF">
        <w:rPr>
          <w:rFonts w:ascii="Century Gothic" w:hAnsi="Century Gothic" w:cs="Arial"/>
          <w:sz w:val="22"/>
          <w:szCs w:val="22"/>
        </w:rPr>
        <w:t>suma,</w:t>
      </w:r>
      <w:r w:rsidR="009A26DF">
        <w:rPr>
          <w:rFonts w:ascii="Century Gothic" w:hAnsi="Century Gothic" w:cs="Arial"/>
          <w:sz w:val="22"/>
          <w:szCs w:val="22"/>
        </w:rPr>
        <w:t xml:space="preserve"> </w:t>
      </w:r>
      <w:bookmarkStart w:id="19" w:name="_Hlk22219343"/>
      <w:r w:rsidR="009A26DF">
        <w:rPr>
          <w:rFonts w:ascii="Century Gothic" w:hAnsi="Century Gothic" w:cs="Arial"/>
          <w:sz w:val="22"/>
          <w:szCs w:val="22"/>
        </w:rPr>
        <w:t>la jurisprudencia</w:t>
      </w:r>
      <w:r w:rsidR="00006587">
        <w:rPr>
          <w:rFonts w:ascii="Century Gothic" w:hAnsi="Century Gothic" w:cs="Arial"/>
          <w:sz w:val="22"/>
          <w:szCs w:val="22"/>
        </w:rPr>
        <w:t xml:space="preserve"> ha </w:t>
      </w:r>
      <w:r w:rsidR="009874E4">
        <w:rPr>
          <w:rFonts w:ascii="Century Gothic" w:hAnsi="Century Gothic" w:cs="Arial"/>
          <w:sz w:val="22"/>
          <w:szCs w:val="22"/>
        </w:rPr>
        <w:t xml:space="preserve">reconocido </w:t>
      </w:r>
      <w:r w:rsidR="00006587">
        <w:rPr>
          <w:rFonts w:ascii="Century Gothic" w:hAnsi="Century Gothic" w:cs="Arial"/>
          <w:sz w:val="22"/>
          <w:szCs w:val="22"/>
        </w:rPr>
        <w:t>mérito probatori</w:t>
      </w:r>
      <w:r w:rsidR="009874E4">
        <w:rPr>
          <w:rFonts w:ascii="Century Gothic" w:hAnsi="Century Gothic" w:cs="Arial"/>
          <w:sz w:val="22"/>
          <w:szCs w:val="22"/>
        </w:rPr>
        <w:t xml:space="preserve">o </w:t>
      </w:r>
      <w:r w:rsidR="00006587">
        <w:rPr>
          <w:rFonts w:ascii="Century Gothic" w:hAnsi="Century Gothic" w:cs="Arial"/>
          <w:sz w:val="22"/>
          <w:szCs w:val="22"/>
        </w:rPr>
        <w:t xml:space="preserve">a las </w:t>
      </w:r>
      <w:bookmarkStart w:id="20" w:name="_Hlk22219320"/>
      <w:r w:rsidR="00006587">
        <w:rPr>
          <w:rFonts w:ascii="Century Gothic" w:hAnsi="Century Gothic" w:cs="Arial"/>
          <w:sz w:val="22"/>
          <w:szCs w:val="22"/>
        </w:rPr>
        <w:t xml:space="preserve">copias simples </w:t>
      </w:r>
      <w:bookmarkEnd w:id="20"/>
      <w:r w:rsidR="00B92235">
        <w:rPr>
          <w:rFonts w:ascii="Century Gothic" w:hAnsi="Century Gothic" w:cs="Arial"/>
          <w:sz w:val="22"/>
          <w:szCs w:val="22"/>
        </w:rPr>
        <w:t xml:space="preserve">solo </w:t>
      </w:r>
      <w:r w:rsidR="00006587">
        <w:rPr>
          <w:rFonts w:ascii="Century Gothic" w:hAnsi="Century Gothic" w:cs="Arial"/>
          <w:sz w:val="22"/>
          <w:szCs w:val="22"/>
        </w:rPr>
        <w:t>cuando se trata de</w:t>
      </w:r>
      <w:r w:rsidR="009874E4">
        <w:rPr>
          <w:rFonts w:ascii="Century Gothic" w:hAnsi="Century Gothic" w:cs="Arial"/>
          <w:sz w:val="22"/>
          <w:szCs w:val="22"/>
        </w:rPr>
        <w:t xml:space="preserve"> probar supuestos de hecho en los</w:t>
      </w:r>
      <w:r w:rsidR="00006587">
        <w:rPr>
          <w:rFonts w:ascii="Century Gothic" w:hAnsi="Century Gothic" w:cs="Arial"/>
          <w:sz w:val="22"/>
          <w:szCs w:val="22"/>
        </w:rPr>
        <w:t xml:space="preserve"> procesos ordinarios contencioso administrativos de naturaleza declarativa</w:t>
      </w:r>
      <w:bookmarkEnd w:id="19"/>
      <w:r w:rsidR="00006587">
        <w:rPr>
          <w:rFonts w:ascii="Century Gothic" w:hAnsi="Century Gothic" w:cs="Arial"/>
          <w:sz w:val="22"/>
          <w:szCs w:val="22"/>
        </w:rPr>
        <w:t>; pero, cuando se trata de proceso</w:t>
      </w:r>
      <w:r w:rsidR="004206A3">
        <w:rPr>
          <w:rFonts w:ascii="Century Gothic" w:hAnsi="Century Gothic" w:cs="Arial"/>
          <w:sz w:val="22"/>
          <w:szCs w:val="22"/>
        </w:rPr>
        <w:t>s</w:t>
      </w:r>
      <w:r w:rsidR="00006587">
        <w:rPr>
          <w:rFonts w:ascii="Century Gothic" w:hAnsi="Century Gothic" w:cs="Arial"/>
          <w:sz w:val="22"/>
          <w:szCs w:val="22"/>
        </w:rPr>
        <w:t xml:space="preserve"> especiales, donde la ley </w:t>
      </w:r>
      <w:r w:rsidR="000C7284">
        <w:rPr>
          <w:rFonts w:ascii="Century Gothic" w:hAnsi="Century Gothic" w:cs="Arial"/>
          <w:sz w:val="22"/>
          <w:szCs w:val="22"/>
        </w:rPr>
        <w:t xml:space="preserve">exija </w:t>
      </w:r>
      <w:r w:rsidR="00006587">
        <w:rPr>
          <w:rFonts w:ascii="Century Gothic" w:hAnsi="Century Gothic" w:cs="Arial"/>
          <w:sz w:val="22"/>
          <w:szCs w:val="22"/>
        </w:rPr>
        <w:t>el cumplimiento de requisitos específicos</w:t>
      </w:r>
      <w:r w:rsidR="000C7284">
        <w:rPr>
          <w:rFonts w:ascii="Century Gothic" w:hAnsi="Century Gothic" w:cs="Arial"/>
          <w:sz w:val="22"/>
          <w:szCs w:val="22"/>
        </w:rPr>
        <w:t>,</w:t>
      </w:r>
      <w:r w:rsidR="009874E4">
        <w:rPr>
          <w:rFonts w:ascii="Century Gothic" w:hAnsi="Century Gothic" w:cs="Arial"/>
          <w:sz w:val="22"/>
          <w:szCs w:val="22"/>
        </w:rPr>
        <w:t xml:space="preserve"> </w:t>
      </w:r>
      <w:r w:rsidR="000C7284">
        <w:rPr>
          <w:rFonts w:ascii="Century Gothic" w:hAnsi="Century Gothic" w:cs="Arial"/>
          <w:sz w:val="22"/>
          <w:szCs w:val="22"/>
        </w:rPr>
        <w:t xml:space="preserve">deben hallarse satisfechos </w:t>
      </w:r>
      <w:r w:rsidR="00A0553E">
        <w:rPr>
          <w:rFonts w:ascii="Century Gothic" w:hAnsi="Century Gothic" w:cs="Arial"/>
          <w:sz w:val="22"/>
          <w:szCs w:val="22"/>
        </w:rPr>
        <w:t xml:space="preserve">dichas exigencias </w:t>
      </w:r>
      <w:r w:rsidR="000C7284">
        <w:rPr>
          <w:rFonts w:ascii="Century Gothic" w:hAnsi="Century Gothic" w:cs="Arial"/>
          <w:sz w:val="22"/>
          <w:szCs w:val="22"/>
        </w:rPr>
        <w:t>para que se pueda</w:t>
      </w:r>
      <w:r w:rsidR="00B92235">
        <w:rPr>
          <w:rFonts w:ascii="Century Gothic" w:hAnsi="Century Gothic" w:cs="Arial"/>
          <w:sz w:val="22"/>
          <w:szCs w:val="22"/>
        </w:rPr>
        <w:t xml:space="preserve"> establecer su autenticidad</w:t>
      </w:r>
      <w:r w:rsidR="009874E4">
        <w:rPr>
          <w:rFonts w:ascii="Century Gothic" w:hAnsi="Century Gothic" w:cs="Arial"/>
          <w:sz w:val="22"/>
          <w:szCs w:val="22"/>
        </w:rPr>
        <w:t>.</w:t>
      </w:r>
    </w:p>
    <w:bookmarkEnd w:id="18"/>
    <w:p w14:paraId="5B0AD4D8" w14:textId="77777777" w:rsidR="0082094A" w:rsidRDefault="0082094A" w:rsidP="00332CD9">
      <w:pPr>
        <w:spacing w:line="360" w:lineRule="auto"/>
        <w:jc w:val="both"/>
        <w:rPr>
          <w:rFonts w:ascii="Century Gothic" w:hAnsi="Century Gothic" w:cs="Arial"/>
          <w:sz w:val="22"/>
          <w:szCs w:val="22"/>
        </w:rPr>
      </w:pPr>
    </w:p>
    <w:p w14:paraId="49943929" w14:textId="77777777" w:rsidR="00B92235" w:rsidRDefault="0082094A" w:rsidP="00332CD9">
      <w:pPr>
        <w:spacing w:line="360" w:lineRule="auto"/>
        <w:jc w:val="both"/>
        <w:rPr>
          <w:rFonts w:ascii="Century Gothic" w:hAnsi="Century Gothic" w:cs="Arial"/>
          <w:sz w:val="22"/>
          <w:szCs w:val="22"/>
        </w:rPr>
      </w:pPr>
      <w:bookmarkStart w:id="21" w:name="_Hlk22219456"/>
      <w:r>
        <w:rPr>
          <w:rFonts w:ascii="Century Gothic" w:hAnsi="Century Gothic" w:cs="Arial"/>
          <w:sz w:val="22"/>
          <w:szCs w:val="22"/>
        </w:rPr>
        <w:lastRenderedPageBreak/>
        <w:t xml:space="preserve">Particularmente, </w:t>
      </w:r>
      <w:bookmarkStart w:id="22" w:name="_Hlk22219425"/>
      <w:r>
        <w:rPr>
          <w:rFonts w:ascii="Century Gothic" w:hAnsi="Century Gothic" w:cs="Arial"/>
          <w:sz w:val="22"/>
          <w:szCs w:val="22"/>
        </w:rPr>
        <w:t xml:space="preserve">cuando se trata de integrar </w:t>
      </w:r>
      <w:bookmarkStart w:id="23" w:name="_Hlk22219403"/>
      <w:r>
        <w:rPr>
          <w:rFonts w:ascii="Century Gothic" w:hAnsi="Century Gothic" w:cs="Arial"/>
          <w:sz w:val="22"/>
          <w:szCs w:val="22"/>
        </w:rPr>
        <w:t xml:space="preserve">títulos de recaudo ejecutivo </w:t>
      </w:r>
      <w:bookmarkEnd w:id="23"/>
      <w:r>
        <w:rPr>
          <w:rFonts w:ascii="Century Gothic" w:hAnsi="Century Gothic" w:cs="Arial"/>
          <w:sz w:val="22"/>
          <w:szCs w:val="22"/>
        </w:rPr>
        <w:t xml:space="preserve">ha señalado </w:t>
      </w:r>
      <w:r w:rsidR="000C7284">
        <w:rPr>
          <w:rFonts w:ascii="Century Gothic" w:hAnsi="Century Gothic" w:cs="Arial"/>
          <w:sz w:val="22"/>
          <w:szCs w:val="22"/>
        </w:rPr>
        <w:t xml:space="preserve">la jurisprudencia </w:t>
      </w:r>
      <w:r>
        <w:rPr>
          <w:rFonts w:ascii="Century Gothic" w:hAnsi="Century Gothic" w:cs="Arial"/>
          <w:sz w:val="22"/>
          <w:szCs w:val="22"/>
        </w:rPr>
        <w:t>que</w:t>
      </w:r>
      <w:r w:rsidR="000C7284">
        <w:rPr>
          <w:rFonts w:ascii="Century Gothic" w:hAnsi="Century Gothic" w:cs="Arial"/>
          <w:sz w:val="22"/>
          <w:szCs w:val="22"/>
        </w:rPr>
        <w:t>,</w:t>
      </w:r>
      <w:r>
        <w:rPr>
          <w:rFonts w:ascii="Century Gothic" w:hAnsi="Century Gothic" w:cs="Arial"/>
          <w:sz w:val="22"/>
          <w:szCs w:val="22"/>
        </w:rPr>
        <w:t xml:space="preserve"> desde el punto de vista formal</w:t>
      </w:r>
      <w:r w:rsidR="000C7284">
        <w:rPr>
          <w:rFonts w:ascii="Century Gothic" w:hAnsi="Century Gothic" w:cs="Arial"/>
          <w:sz w:val="22"/>
          <w:szCs w:val="22"/>
        </w:rPr>
        <w:t>,</w:t>
      </w:r>
      <w:r>
        <w:rPr>
          <w:rFonts w:ascii="Century Gothic" w:hAnsi="Century Gothic" w:cs="Arial"/>
          <w:sz w:val="22"/>
          <w:szCs w:val="22"/>
        </w:rPr>
        <w:t xml:space="preserve"> los documentos deben </w:t>
      </w:r>
      <w:r w:rsidR="00A0553E">
        <w:rPr>
          <w:rFonts w:ascii="Century Gothic" w:hAnsi="Century Gothic" w:cs="Arial"/>
          <w:sz w:val="22"/>
          <w:szCs w:val="22"/>
        </w:rPr>
        <w:t xml:space="preserve">ser </w:t>
      </w:r>
      <w:r w:rsidR="00B92235">
        <w:rPr>
          <w:rFonts w:ascii="Century Gothic" w:hAnsi="Century Gothic" w:cs="Arial"/>
          <w:sz w:val="22"/>
          <w:szCs w:val="22"/>
        </w:rPr>
        <w:t xml:space="preserve">aportados al proceso </w:t>
      </w:r>
      <w:r>
        <w:rPr>
          <w:rFonts w:ascii="Century Gothic" w:hAnsi="Century Gothic" w:cs="Arial"/>
          <w:sz w:val="22"/>
          <w:szCs w:val="22"/>
        </w:rPr>
        <w:t>en original</w:t>
      </w:r>
      <w:bookmarkEnd w:id="22"/>
      <w:r w:rsidR="00A37ADF">
        <w:rPr>
          <w:rFonts w:ascii="Century Gothic" w:hAnsi="Century Gothic" w:cs="Arial"/>
          <w:sz w:val="22"/>
          <w:szCs w:val="22"/>
        </w:rPr>
        <w:t xml:space="preserve">, tal como lo señala el artículo 252 del C. de P., norma que se hallaba vigente para la fecha en que se profirió la sentencia de primera instancia </w:t>
      </w:r>
      <w:r>
        <w:rPr>
          <w:rFonts w:ascii="Century Gothic" w:hAnsi="Century Gothic" w:cs="Arial"/>
          <w:sz w:val="22"/>
          <w:szCs w:val="22"/>
        </w:rPr>
        <w:t xml:space="preserve">o en copia auténtica, pues </w:t>
      </w:r>
      <w:r w:rsidR="000C7284">
        <w:rPr>
          <w:rFonts w:ascii="Century Gothic" w:hAnsi="Century Gothic" w:cs="Arial"/>
          <w:sz w:val="22"/>
          <w:szCs w:val="22"/>
        </w:rPr>
        <w:t xml:space="preserve">el proceso ejecutivo no tiene como finalidad obtener la declaración </w:t>
      </w:r>
      <w:r w:rsidR="00ED602B">
        <w:rPr>
          <w:rFonts w:ascii="Century Gothic" w:hAnsi="Century Gothic" w:cs="Arial"/>
          <w:sz w:val="22"/>
          <w:szCs w:val="22"/>
        </w:rPr>
        <w:t xml:space="preserve">judicial </w:t>
      </w:r>
      <w:r w:rsidR="000C7284">
        <w:rPr>
          <w:rFonts w:ascii="Century Gothic" w:hAnsi="Century Gothic" w:cs="Arial"/>
          <w:sz w:val="22"/>
          <w:szCs w:val="22"/>
        </w:rPr>
        <w:t>de un derecho</w:t>
      </w:r>
      <w:r w:rsidR="00ED602B">
        <w:rPr>
          <w:rFonts w:ascii="Century Gothic" w:hAnsi="Century Gothic" w:cs="Arial"/>
          <w:sz w:val="22"/>
          <w:szCs w:val="22"/>
        </w:rPr>
        <w:t xml:space="preserve"> con base en la prueba que aporten las partes</w:t>
      </w:r>
      <w:r w:rsidR="000C7284">
        <w:rPr>
          <w:rFonts w:ascii="Century Gothic" w:hAnsi="Century Gothic" w:cs="Arial"/>
          <w:sz w:val="22"/>
          <w:szCs w:val="22"/>
        </w:rPr>
        <w:t xml:space="preserve">, sino que parte de la existencia de </w:t>
      </w:r>
      <w:r w:rsidR="00A0553E">
        <w:rPr>
          <w:rFonts w:ascii="Century Gothic" w:hAnsi="Century Gothic" w:cs="Arial"/>
          <w:sz w:val="22"/>
          <w:szCs w:val="22"/>
        </w:rPr>
        <w:t xml:space="preserve">un derecho de crédito a favor del ejecutante, consistente en </w:t>
      </w:r>
      <w:r w:rsidR="000C7284">
        <w:rPr>
          <w:rFonts w:ascii="Century Gothic" w:hAnsi="Century Gothic" w:cs="Arial"/>
          <w:sz w:val="22"/>
          <w:szCs w:val="22"/>
        </w:rPr>
        <w:t xml:space="preserve">una obligación clara, expresa y exigible, </w:t>
      </w:r>
      <w:r w:rsidR="00ED602B">
        <w:rPr>
          <w:rFonts w:ascii="Century Gothic" w:hAnsi="Century Gothic" w:cs="Arial"/>
          <w:sz w:val="22"/>
          <w:szCs w:val="22"/>
        </w:rPr>
        <w:t xml:space="preserve">respecto del cual no debe existir </w:t>
      </w:r>
      <w:r w:rsidR="00ED602B" w:rsidRPr="00ED602B">
        <w:rPr>
          <w:rFonts w:ascii="Century Gothic" w:hAnsi="Century Gothic" w:cs="Arial"/>
          <w:i/>
          <w:sz w:val="22"/>
          <w:szCs w:val="22"/>
        </w:rPr>
        <w:t>“</w:t>
      </w:r>
      <w:r w:rsidR="006321D4" w:rsidRPr="00ED602B">
        <w:rPr>
          <w:rFonts w:ascii="Century Gothic" w:hAnsi="Century Gothic" w:cs="Arial"/>
          <w:i/>
          <w:sz w:val="22"/>
          <w:szCs w:val="22"/>
        </w:rPr>
        <w:t>prima facie</w:t>
      </w:r>
      <w:r w:rsidR="00ED602B" w:rsidRPr="00ED602B">
        <w:rPr>
          <w:rFonts w:ascii="Century Gothic" w:hAnsi="Century Gothic" w:cs="Arial"/>
          <w:i/>
          <w:sz w:val="22"/>
          <w:szCs w:val="22"/>
        </w:rPr>
        <w:t>”</w:t>
      </w:r>
      <w:r w:rsidR="006321D4">
        <w:rPr>
          <w:rFonts w:ascii="Century Gothic" w:hAnsi="Century Gothic" w:cs="Arial"/>
          <w:sz w:val="22"/>
          <w:szCs w:val="22"/>
        </w:rPr>
        <w:t xml:space="preserve"> duda sobre su contenido.</w:t>
      </w:r>
    </w:p>
    <w:p w14:paraId="5661B9CD" w14:textId="77777777" w:rsidR="000C7284" w:rsidRDefault="000C7284" w:rsidP="00332CD9">
      <w:pPr>
        <w:spacing w:line="360" w:lineRule="auto"/>
        <w:jc w:val="both"/>
        <w:rPr>
          <w:rFonts w:ascii="Century Gothic" w:hAnsi="Century Gothic" w:cs="Arial"/>
          <w:sz w:val="22"/>
          <w:szCs w:val="22"/>
        </w:rPr>
      </w:pPr>
    </w:p>
    <w:bookmarkEnd w:id="21"/>
    <w:p w14:paraId="7E21DA7D" w14:textId="77777777" w:rsidR="000C7284" w:rsidRDefault="00ED602B" w:rsidP="00332CD9">
      <w:pPr>
        <w:spacing w:line="360" w:lineRule="auto"/>
        <w:jc w:val="both"/>
        <w:rPr>
          <w:rFonts w:ascii="Century Gothic" w:hAnsi="Century Gothic" w:cs="Arial"/>
          <w:sz w:val="22"/>
          <w:szCs w:val="22"/>
        </w:rPr>
      </w:pPr>
      <w:r>
        <w:rPr>
          <w:rFonts w:ascii="Century Gothic" w:hAnsi="Century Gothic" w:cs="Arial"/>
          <w:sz w:val="22"/>
          <w:szCs w:val="22"/>
        </w:rPr>
        <w:t>En este caso, tal como lo precisó el Tribunal de primera instancia,</w:t>
      </w:r>
      <w:r w:rsidR="00A37ADF">
        <w:rPr>
          <w:rFonts w:ascii="Century Gothic" w:hAnsi="Century Gothic" w:cs="Arial"/>
          <w:sz w:val="22"/>
          <w:szCs w:val="22"/>
        </w:rPr>
        <w:t xml:space="preserve"> las resoluciones 211 del 11 de marzo de 2002 y 372 del 24 de mayo del mismo año</w:t>
      </w:r>
      <w:r w:rsidR="00836019">
        <w:rPr>
          <w:rFonts w:ascii="Century Gothic" w:hAnsi="Century Gothic" w:cs="Arial"/>
          <w:sz w:val="22"/>
          <w:szCs w:val="22"/>
        </w:rPr>
        <w:t>, con las cuales se pretendía integrar el título ejecutivo complejo a favor de la UAE Liquidadora de Asuntos del Instituto de Crédito Territorial y en contra de la Caja Promotora de Vivienda Militar,</w:t>
      </w:r>
      <w:r w:rsidR="00A37ADF">
        <w:rPr>
          <w:rFonts w:ascii="Century Gothic" w:hAnsi="Century Gothic" w:cs="Arial"/>
          <w:sz w:val="22"/>
          <w:szCs w:val="22"/>
        </w:rPr>
        <w:t xml:space="preserve"> </w:t>
      </w:r>
      <w:r w:rsidR="00836019">
        <w:rPr>
          <w:rFonts w:ascii="Century Gothic" w:hAnsi="Century Gothic" w:cs="Arial"/>
          <w:sz w:val="22"/>
          <w:szCs w:val="22"/>
        </w:rPr>
        <w:t>fueron aportadas en copia simple, carentes de las formalidades de contempla</w:t>
      </w:r>
      <w:r w:rsidR="00BD0DA0">
        <w:rPr>
          <w:rFonts w:ascii="Century Gothic" w:hAnsi="Century Gothic" w:cs="Arial"/>
          <w:sz w:val="22"/>
          <w:szCs w:val="22"/>
        </w:rPr>
        <w:t xml:space="preserve">n los artículos 252 y </w:t>
      </w:r>
      <w:r w:rsidR="00836019">
        <w:rPr>
          <w:rFonts w:ascii="Century Gothic" w:hAnsi="Century Gothic" w:cs="Arial"/>
          <w:sz w:val="22"/>
          <w:szCs w:val="22"/>
        </w:rPr>
        <w:t>488 del C. de P.C., para acreditar la existencia del mencionado título.</w:t>
      </w:r>
    </w:p>
    <w:p w14:paraId="73C7F8A0" w14:textId="77777777" w:rsidR="00F5574D" w:rsidRDefault="00F5574D" w:rsidP="00332CD9">
      <w:pPr>
        <w:spacing w:line="360" w:lineRule="auto"/>
        <w:jc w:val="both"/>
        <w:rPr>
          <w:rFonts w:ascii="Century Gothic" w:hAnsi="Century Gothic" w:cs="Arial"/>
          <w:sz w:val="22"/>
          <w:szCs w:val="22"/>
        </w:rPr>
      </w:pPr>
    </w:p>
    <w:p w14:paraId="5999FED8" w14:textId="77777777" w:rsidR="00DF65A1" w:rsidRDefault="00BD0DA0" w:rsidP="00332CD9">
      <w:pPr>
        <w:spacing w:line="360" w:lineRule="auto"/>
        <w:jc w:val="both"/>
        <w:rPr>
          <w:rFonts w:ascii="Century Gothic" w:hAnsi="Century Gothic" w:cs="Arial"/>
          <w:sz w:val="22"/>
          <w:szCs w:val="22"/>
        </w:rPr>
      </w:pPr>
      <w:r>
        <w:rPr>
          <w:rFonts w:ascii="Century Gothic" w:hAnsi="Century Gothic" w:cs="Arial"/>
          <w:sz w:val="22"/>
          <w:szCs w:val="22"/>
        </w:rPr>
        <w:t xml:space="preserve">El recurrente </w:t>
      </w:r>
      <w:r w:rsidR="00C27B0F">
        <w:rPr>
          <w:rFonts w:ascii="Century Gothic" w:hAnsi="Century Gothic" w:cs="Arial"/>
          <w:sz w:val="22"/>
          <w:szCs w:val="22"/>
        </w:rPr>
        <w:t xml:space="preserve">dice que el </w:t>
      </w:r>
      <w:r>
        <w:rPr>
          <w:rFonts w:ascii="Century Gothic" w:hAnsi="Century Gothic" w:cs="Arial"/>
          <w:sz w:val="22"/>
          <w:szCs w:val="22"/>
        </w:rPr>
        <w:t xml:space="preserve">Tribunal no </w:t>
      </w:r>
      <w:r w:rsidR="001272BD">
        <w:rPr>
          <w:rFonts w:ascii="Century Gothic" w:hAnsi="Century Gothic" w:cs="Arial"/>
          <w:sz w:val="22"/>
          <w:szCs w:val="22"/>
        </w:rPr>
        <w:t>tuvo en cuenta la constancia de ejecutoria de las resoluciones</w:t>
      </w:r>
      <w:r w:rsidR="000336EB">
        <w:rPr>
          <w:rFonts w:ascii="Century Gothic" w:hAnsi="Century Gothic" w:cs="Arial"/>
          <w:sz w:val="22"/>
          <w:szCs w:val="22"/>
        </w:rPr>
        <w:t xml:space="preserve"> que adoptaron </w:t>
      </w:r>
      <w:r w:rsidR="00F36FA4">
        <w:rPr>
          <w:rFonts w:ascii="Century Gothic" w:hAnsi="Century Gothic" w:cs="Arial"/>
          <w:sz w:val="22"/>
          <w:szCs w:val="22"/>
        </w:rPr>
        <w:t>la l</w:t>
      </w:r>
      <w:r w:rsidR="00AC7E6C">
        <w:rPr>
          <w:rFonts w:ascii="Century Gothic" w:hAnsi="Century Gothic" w:cs="Arial"/>
          <w:sz w:val="22"/>
          <w:szCs w:val="22"/>
        </w:rPr>
        <w:t>i</w:t>
      </w:r>
      <w:r w:rsidR="00F36FA4">
        <w:rPr>
          <w:rFonts w:ascii="Century Gothic" w:hAnsi="Century Gothic" w:cs="Arial"/>
          <w:sz w:val="22"/>
          <w:szCs w:val="22"/>
        </w:rPr>
        <w:t>q</w:t>
      </w:r>
      <w:r w:rsidR="00AC7E6C">
        <w:rPr>
          <w:rFonts w:ascii="Century Gothic" w:hAnsi="Century Gothic" w:cs="Arial"/>
          <w:sz w:val="22"/>
          <w:szCs w:val="22"/>
        </w:rPr>
        <w:t>uidaci</w:t>
      </w:r>
      <w:r w:rsidR="00DF65A1">
        <w:rPr>
          <w:rFonts w:ascii="Century Gothic" w:hAnsi="Century Gothic" w:cs="Arial"/>
          <w:sz w:val="22"/>
          <w:szCs w:val="22"/>
        </w:rPr>
        <w:t>ón unilateral del contrato y que</w:t>
      </w:r>
      <w:r w:rsidR="00A0553E">
        <w:rPr>
          <w:rFonts w:ascii="Century Gothic" w:hAnsi="Century Gothic" w:cs="Arial"/>
          <w:sz w:val="22"/>
          <w:szCs w:val="22"/>
        </w:rPr>
        <w:t>,</w:t>
      </w:r>
      <w:r w:rsidR="00DF65A1">
        <w:rPr>
          <w:rFonts w:ascii="Century Gothic" w:hAnsi="Century Gothic" w:cs="Arial"/>
          <w:sz w:val="22"/>
          <w:szCs w:val="22"/>
        </w:rPr>
        <w:t xml:space="preserve"> de dicho documento se evidencia la obligación clara, expresa y exigible.</w:t>
      </w:r>
    </w:p>
    <w:p w14:paraId="03D293E4" w14:textId="77777777" w:rsidR="00DF65A1" w:rsidRDefault="00DF65A1" w:rsidP="00332CD9">
      <w:pPr>
        <w:spacing w:line="360" w:lineRule="auto"/>
        <w:jc w:val="both"/>
        <w:rPr>
          <w:rFonts w:ascii="Century Gothic" w:hAnsi="Century Gothic" w:cs="Arial"/>
          <w:sz w:val="22"/>
          <w:szCs w:val="22"/>
        </w:rPr>
      </w:pPr>
    </w:p>
    <w:p w14:paraId="40804920" w14:textId="77777777" w:rsidR="00FD71BE" w:rsidRDefault="00DF65A1" w:rsidP="00332CD9">
      <w:pPr>
        <w:spacing w:line="360" w:lineRule="auto"/>
        <w:jc w:val="both"/>
        <w:rPr>
          <w:rFonts w:ascii="Century Gothic" w:hAnsi="Century Gothic" w:cs="Arial"/>
          <w:sz w:val="22"/>
          <w:szCs w:val="22"/>
        </w:rPr>
      </w:pPr>
      <w:r>
        <w:rPr>
          <w:rFonts w:ascii="Century Gothic" w:hAnsi="Century Gothic" w:cs="Arial"/>
          <w:sz w:val="22"/>
          <w:szCs w:val="22"/>
        </w:rPr>
        <w:t xml:space="preserve">Para la Sala no es de recibo </w:t>
      </w:r>
      <w:r w:rsidR="00D45506">
        <w:rPr>
          <w:rFonts w:ascii="Century Gothic" w:hAnsi="Century Gothic" w:cs="Arial"/>
          <w:sz w:val="22"/>
          <w:szCs w:val="22"/>
        </w:rPr>
        <w:t xml:space="preserve">el planteamiento del recurrente, </w:t>
      </w:r>
      <w:r w:rsidR="00925256">
        <w:rPr>
          <w:rFonts w:ascii="Century Gothic" w:hAnsi="Century Gothic" w:cs="Arial"/>
          <w:sz w:val="22"/>
          <w:szCs w:val="22"/>
        </w:rPr>
        <w:t xml:space="preserve">porque </w:t>
      </w:r>
      <w:r w:rsidR="007862C7">
        <w:rPr>
          <w:rFonts w:ascii="Century Gothic" w:hAnsi="Century Gothic" w:cs="Arial"/>
          <w:sz w:val="22"/>
          <w:szCs w:val="22"/>
        </w:rPr>
        <w:t xml:space="preserve">la constancia de ejecutoria de las resoluciones </w:t>
      </w:r>
      <w:r w:rsidR="00602756">
        <w:rPr>
          <w:rFonts w:ascii="Century Gothic" w:hAnsi="Century Gothic" w:cs="Arial"/>
          <w:sz w:val="22"/>
          <w:szCs w:val="22"/>
        </w:rPr>
        <w:t xml:space="preserve">no </w:t>
      </w:r>
      <w:r w:rsidR="007862C7">
        <w:rPr>
          <w:rFonts w:ascii="Century Gothic" w:hAnsi="Century Gothic" w:cs="Arial"/>
          <w:sz w:val="22"/>
          <w:szCs w:val="22"/>
        </w:rPr>
        <w:t>da cuenta del contenido de las mismas</w:t>
      </w:r>
      <w:r w:rsidR="000E6A18">
        <w:rPr>
          <w:rFonts w:ascii="Century Gothic" w:hAnsi="Century Gothic" w:cs="Arial"/>
          <w:sz w:val="22"/>
          <w:szCs w:val="22"/>
        </w:rPr>
        <w:t xml:space="preserve">, simplemente refleja que los actos quedaron en firme y, por ende, que adquieren vocación de ejecutoria y ejecutividad, no obstante, se reitera, para deducir la existencia de la obligación es necesario contar con la totalidad de los documentos contentivos de la misma y, en este caso, no </w:t>
      </w:r>
      <w:r w:rsidR="00226C08">
        <w:rPr>
          <w:rFonts w:ascii="Century Gothic" w:hAnsi="Century Gothic" w:cs="Arial"/>
          <w:sz w:val="22"/>
          <w:szCs w:val="22"/>
        </w:rPr>
        <w:t>fueron aportados por el ejecutante</w:t>
      </w:r>
      <w:r w:rsidR="000E6A18">
        <w:rPr>
          <w:rFonts w:ascii="Century Gothic" w:hAnsi="Century Gothic" w:cs="Arial"/>
          <w:sz w:val="22"/>
          <w:szCs w:val="22"/>
        </w:rPr>
        <w:t>.</w:t>
      </w:r>
    </w:p>
    <w:p w14:paraId="14822C6A" w14:textId="77777777" w:rsidR="00FD71BE" w:rsidRDefault="00FD71BE" w:rsidP="00332CD9">
      <w:pPr>
        <w:spacing w:line="360" w:lineRule="auto"/>
        <w:jc w:val="both"/>
        <w:rPr>
          <w:rFonts w:ascii="Century Gothic" w:hAnsi="Century Gothic" w:cs="Arial"/>
          <w:sz w:val="22"/>
          <w:szCs w:val="22"/>
        </w:rPr>
      </w:pPr>
    </w:p>
    <w:p w14:paraId="60EEA58A" w14:textId="77777777" w:rsidR="00CB47F5" w:rsidRDefault="00FD71BE" w:rsidP="00332CD9">
      <w:pPr>
        <w:spacing w:line="360" w:lineRule="auto"/>
        <w:jc w:val="both"/>
        <w:rPr>
          <w:rFonts w:ascii="Century Gothic" w:hAnsi="Century Gothic" w:cs="Arial"/>
          <w:sz w:val="22"/>
          <w:szCs w:val="22"/>
        </w:rPr>
      </w:pPr>
      <w:r>
        <w:rPr>
          <w:rFonts w:ascii="Century Gothic" w:hAnsi="Century Gothic" w:cs="Arial"/>
          <w:sz w:val="22"/>
          <w:szCs w:val="22"/>
        </w:rPr>
        <w:t xml:space="preserve">El </w:t>
      </w:r>
      <w:r w:rsidR="00226C08">
        <w:rPr>
          <w:rFonts w:ascii="Century Gothic" w:hAnsi="Century Gothic" w:cs="Arial"/>
          <w:sz w:val="22"/>
          <w:szCs w:val="22"/>
        </w:rPr>
        <w:t xml:space="preserve">recurrente afirma que el Tribunal se equivocó al declarar, de oficio, la excepción de </w:t>
      </w:r>
      <w:r w:rsidR="00226C08" w:rsidRPr="00D137FE">
        <w:rPr>
          <w:rFonts w:ascii="Century Gothic" w:hAnsi="Century Gothic" w:cs="Arial"/>
          <w:i/>
          <w:sz w:val="22"/>
          <w:szCs w:val="22"/>
        </w:rPr>
        <w:t>“Inexistencia de la obligación”</w:t>
      </w:r>
      <w:r w:rsidR="00636C96">
        <w:rPr>
          <w:rFonts w:ascii="Century Gothic" w:hAnsi="Century Gothic" w:cs="Arial"/>
          <w:sz w:val="22"/>
          <w:szCs w:val="22"/>
        </w:rPr>
        <w:t xml:space="preserve">, pues toda la argumentación está orientada </w:t>
      </w:r>
      <w:r w:rsidR="00D137FE">
        <w:rPr>
          <w:rFonts w:ascii="Century Gothic" w:hAnsi="Century Gothic" w:cs="Arial"/>
          <w:sz w:val="22"/>
          <w:szCs w:val="22"/>
        </w:rPr>
        <w:t xml:space="preserve">a develar la </w:t>
      </w:r>
      <w:r w:rsidR="00D137FE" w:rsidRPr="00D137FE">
        <w:rPr>
          <w:rFonts w:ascii="Century Gothic" w:hAnsi="Century Gothic" w:cs="Arial"/>
          <w:i/>
          <w:sz w:val="22"/>
          <w:szCs w:val="22"/>
        </w:rPr>
        <w:t>“inexistencia del título ejecutivo”</w:t>
      </w:r>
      <w:r w:rsidR="00D137FE">
        <w:rPr>
          <w:rFonts w:ascii="Century Gothic" w:hAnsi="Century Gothic" w:cs="Arial"/>
          <w:sz w:val="22"/>
          <w:szCs w:val="22"/>
        </w:rPr>
        <w:t xml:space="preserve">; no obstante, </w:t>
      </w:r>
      <w:r w:rsidR="00CB47F5">
        <w:rPr>
          <w:rFonts w:ascii="Century Gothic" w:hAnsi="Century Gothic" w:cs="Arial"/>
          <w:sz w:val="22"/>
          <w:szCs w:val="22"/>
        </w:rPr>
        <w:t xml:space="preserve">el Tribunal no podía declarar probada una u otra excepción, </w:t>
      </w:r>
      <w:r w:rsidR="00F84C13">
        <w:rPr>
          <w:rFonts w:ascii="Century Gothic" w:hAnsi="Century Gothic" w:cs="Arial"/>
          <w:sz w:val="22"/>
          <w:szCs w:val="22"/>
        </w:rPr>
        <w:t xml:space="preserve">pues </w:t>
      </w:r>
      <w:r w:rsidR="00CB47F5">
        <w:rPr>
          <w:rFonts w:ascii="Century Gothic" w:hAnsi="Century Gothic" w:cs="Arial"/>
          <w:sz w:val="22"/>
          <w:szCs w:val="22"/>
        </w:rPr>
        <w:t>tanto el Tribunal como el Consejo de Estado se pronunciaron respecto de aspectos sustanciales de la controversia.</w:t>
      </w:r>
    </w:p>
    <w:p w14:paraId="3E518077" w14:textId="77777777" w:rsidR="00CB47F5" w:rsidRDefault="00CB47F5" w:rsidP="00332CD9">
      <w:pPr>
        <w:spacing w:line="360" w:lineRule="auto"/>
        <w:jc w:val="both"/>
        <w:rPr>
          <w:rFonts w:ascii="Century Gothic" w:hAnsi="Century Gothic" w:cs="Arial"/>
          <w:sz w:val="22"/>
          <w:szCs w:val="22"/>
        </w:rPr>
      </w:pPr>
    </w:p>
    <w:p w14:paraId="57BA2D32" w14:textId="77777777" w:rsidR="000E6A18" w:rsidRDefault="00CB47F5" w:rsidP="00332CD9">
      <w:pPr>
        <w:spacing w:line="360" w:lineRule="auto"/>
        <w:jc w:val="both"/>
        <w:rPr>
          <w:rFonts w:ascii="Century Gothic" w:hAnsi="Century Gothic" w:cs="Arial"/>
          <w:sz w:val="22"/>
          <w:szCs w:val="22"/>
        </w:rPr>
      </w:pPr>
      <w:bookmarkStart w:id="24" w:name="_Hlk22219509"/>
      <w:r>
        <w:rPr>
          <w:rFonts w:ascii="Century Gothic" w:hAnsi="Century Gothic" w:cs="Arial"/>
          <w:sz w:val="22"/>
          <w:szCs w:val="22"/>
        </w:rPr>
        <w:t xml:space="preserve">Tal como lo sostiene el recurrente, la excepción no fue correctamente denominada, pues, en realidad, lo que halló </w:t>
      </w:r>
      <w:r w:rsidR="00A13991">
        <w:rPr>
          <w:rFonts w:ascii="Century Gothic" w:hAnsi="Century Gothic" w:cs="Arial"/>
          <w:sz w:val="22"/>
          <w:szCs w:val="22"/>
        </w:rPr>
        <w:t xml:space="preserve">corroborado </w:t>
      </w:r>
      <w:r>
        <w:rPr>
          <w:rFonts w:ascii="Century Gothic" w:hAnsi="Century Gothic" w:cs="Arial"/>
          <w:sz w:val="22"/>
          <w:szCs w:val="22"/>
        </w:rPr>
        <w:t xml:space="preserve">el Tribunal es que el </w:t>
      </w:r>
      <w:bookmarkStart w:id="25" w:name="_Hlk22219487"/>
      <w:r>
        <w:rPr>
          <w:rFonts w:ascii="Century Gothic" w:hAnsi="Century Gothic" w:cs="Arial"/>
          <w:sz w:val="22"/>
          <w:szCs w:val="22"/>
        </w:rPr>
        <w:t xml:space="preserve">título ejecutivo </w:t>
      </w:r>
      <w:bookmarkEnd w:id="25"/>
      <w:r>
        <w:rPr>
          <w:rFonts w:ascii="Century Gothic" w:hAnsi="Century Gothic" w:cs="Arial"/>
          <w:sz w:val="22"/>
          <w:szCs w:val="22"/>
        </w:rPr>
        <w:t>era inexistente,</w:t>
      </w:r>
      <w:r w:rsidR="00A13991">
        <w:rPr>
          <w:rFonts w:ascii="Century Gothic" w:hAnsi="Century Gothic" w:cs="Arial"/>
          <w:sz w:val="22"/>
          <w:szCs w:val="22"/>
        </w:rPr>
        <w:t xml:space="preserve"> ante la ausencia de los</w:t>
      </w:r>
      <w:r>
        <w:rPr>
          <w:rFonts w:ascii="Century Gothic" w:hAnsi="Century Gothic" w:cs="Arial"/>
          <w:sz w:val="22"/>
          <w:szCs w:val="22"/>
        </w:rPr>
        <w:t xml:space="preserve"> </w:t>
      </w:r>
      <w:r w:rsidR="00A0553E">
        <w:rPr>
          <w:rFonts w:ascii="Century Gothic" w:hAnsi="Century Gothic" w:cs="Arial"/>
          <w:sz w:val="22"/>
          <w:szCs w:val="22"/>
        </w:rPr>
        <w:t xml:space="preserve">requisitos </w:t>
      </w:r>
      <w:r>
        <w:rPr>
          <w:rFonts w:ascii="Century Gothic" w:hAnsi="Century Gothic" w:cs="Arial"/>
          <w:sz w:val="22"/>
          <w:szCs w:val="22"/>
        </w:rPr>
        <w:t xml:space="preserve">formales que contempla </w:t>
      </w:r>
      <w:r>
        <w:rPr>
          <w:rFonts w:ascii="Century Gothic" w:hAnsi="Century Gothic" w:cs="Arial"/>
          <w:sz w:val="22"/>
          <w:szCs w:val="22"/>
        </w:rPr>
        <w:lastRenderedPageBreak/>
        <w:t>el ordenamiento jurídico</w:t>
      </w:r>
      <w:r w:rsidR="00A13991">
        <w:rPr>
          <w:rFonts w:ascii="Century Gothic" w:hAnsi="Century Gothic" w:cs="Arial"/>
          <w:sz w:val="22"/>
          <w:szCs w:val="22"/>
        </w:rPr>
        <w:t xml:space="preserve"> para tenerlo como tal</w:t>
      </w:r>
      <w:r>
        <w:rPr>
          <w:rFonts w:ascii="Century Gothic" w:hAnsi="Century Gothic" w:cs="Arial"/>
          <w:sz w:val="22"/>
          <w:szCs w:val="22"/>
        </w:rPr>
        <w:t>. En ese sentido, no e</w:t>
      </w:r>
      <w:r w:rsidR="00D22554">
        <w:rPr>
          <w:rFonts w:ascii="Century Gothic" w:hAnsi="Century Gothic" w:cs="Arial"/>
          <w:sz w:val="22"/>
          <w:szCs w:val="22"/>
        </w:rPr>
        <w:t xml:space="preserve">ra </w:t>
      </w:r>
      <w:r>
        <w:rPr>
          <w:rFonts w:ascii="Century Gothic" w:hAnsi="Century Gothic" w:cs="Arial"/>
          <w:sz w:val="22"/>
          <w:szCs w:val="22"/>
        </w:rPr>
        <w:t>posible afirmar que la obligaci</w:t>
      </w:r>
      <w:r w:rsidR="00D22554">
        <w:rPr>
          <w:rFonts w:ascii="Century Gothic" w:hAnsi="Century Gothic" w:cs="Arial"/>
          <w:sz w:val="22"/>
          <w:szCs w:val="22"/>
        </w:rPr>
        <w:t>ón fuera</w:t>
      </w:r>
      <w:r>
        <w:rPr>
          <w:rFonts w:ascii="Century Gothic" w:hAnsi="Century Gothic" w:cs="Arial"/>
          <w:sz w:val="22"/>
          <w:szCs w:val="22"/>
        </w:rPr>
        <w:t xml:space="preserve"> inexistente, pues</w:t>
      </w:r>
      <w:r w:rsidR="00D22554">
        <w:rPr>
          <w:rFonts w:ascii="Century Gothic" w:hAnsi="Century Gothic" w:cs="Arial"/>
          <w:sz w:val="22"/>
          <w:szCs w:val="22"/>
        </w:rPr>
        <w:t>,</w:t>
      </w:r>
      <w:r>
        <w:rPr>
          <w:rFonts w:ascii="Century Gothic" w:hAnsi="Century Gothic" w:cs="Arial"/>
          <w:sz w:val="22"/>
          <w:szCs w:val="22"/>
        </w:rPr>
        <w:t xml:space="preserve"> </w:t>
      </w:r>
      <w:r w:rsidR="00D22554">
        <w:rPr>
          <w:rFonts w:ascii="Century Gothic" w:hAnsi="Century Gothic" w:cs="Arial"/>
          <w:sz w:val="22"/>
          <w:szCs w:val="22"/>
        </w:rPr>
        <w:t xml:space="preserve">sin título ejecutivo, </w:t>
      </w:r>
      <w:r>
        <w:rPr>
          <w:rFonts w:ascii="Century Gothic" w:hAnsi="Century Gothic" w:cs="Arial"/>
          <w:sz w:val="22"/>
          <w:szCs w:val="22"/>
        </w:rPr>
        <w:t>no es posible consta</w:t>
      </w:r>
      <w:r w:rsidR="00915E02">
        <w:rPr>
          <w:rFonts w:ascii="Century Gothic" w:hAnsi="Century Gothic" w:cs="Arial"/>
          <w:sz w:val="22"/>
          <w:szCs w:val="22"/>
        </w:rPr>
        <w:t>ta</w:t>
      </w:r>
      <w:r>
        <w:rPr>
          <w:rFonts w:ascii="Century Gothic" w:hAnsi="Century Gothic" w:cs="Arial"/>
          <w:sz w:val="22"/>
          <w:szCs w:val="22"/>
        </w:rPr>
        <w:t xml:space="preserve">r </w:t>
      </w:r>
      <w:r w:rsidR="00D22554">
        <w:rPr>
          <w:rFonts w:ascii="Century Gothic" w:hAnsi="Century Gothic" w:cs="Arial"/>
          <w:sz w:val="22"/>
          <w:szCs w:val="22"/>
        </w:rPr>
        <w:t>el</w:t>
      </w:r>
      <w:r w:rsidR="00A0553E">
        <w:rPr>
          <w:rFonts w:ascii="Century Gothic" w:hAnsi="Century Gothic" w:cs="Arial"/>
          <w:sz w:val="22"/>
          <w:szCs w:val="22"/>
        </w:rPr>
        <w:t xml:space="preserve"> derecho de crédito</w:t>
      </w:r>
      <w:r w:rsidR="00D22554">
        <w:rPr>
          <w:rFonts w:ascii="Century Gothic" w:hAnsi="Century Gothic" w:cs="Arial"/>
          <w:sz w:val="22"/>
          <w:szCs w:val="22"/>
        </w:rPr>
        <w:t xml:space="preserve"> cuyo cumplimiento se reclama por la vía ejecutiva y, por consiguiente no se puede </w:t>
      </w:r>
      <w:r w:rsidR="001B2B3D">
        <w:rPr>
          <w:rFonts w:ascii="Century Gothic" w:hAnsi="Century Gothic" w:cs="Arial"/>
          <w:sz w:val="22"/>
          <w:szCs w:val="22"/>
        </w:rPr>
        <w:t xml:space="preserve">afirmar </w:t>
      </w:r>
      <w:r w:rsidR="00A0553E">
        <w:rPr>
          <w:rFonts w:ascii="Century Gothic" w:hAnsi="Century Gothic" w:cs="Arial"/>
          <w:sz w:val="22"/>
          <w:szCs w:val="22"/>
        </w:rPr>
        <w:t>si éste</w:t>
      </w:r>
      <w:r w:rsidR="00D22554">
        <w:rPr>
          <w:rFonts w:ascii="Century Gothic" w:hAnsi="Century Gothic" w:cs="Arial"/>
          <w:sz w:val="22"/>
          <w:szCs w:val="22"/>
        </w:rPr>
        <w:t xml:space="preserve"> existe o no.</w:t>
      </w:r>
      <w:r w:rsidR="001B2B3D">
        <w:rPr>
          <w:rFonts w:ascii="Century Gothic" w:hAnsi="Century Gothic" w:cs="Arial"/>
          <w:sz w:val="22"/>
          <w:szCs w:val="22"/>
        </w:rPr>
        <w:t xml:space="preserve"> En ese sentido, la Sala modificará la parte resolutiva del fallo de primera instancia, para declarar probada la excepción de inexistencia del título ejecutivo.</w:t>
      </w:r>
    </w:p>
    <w:bookmarkEnd w:id="24"/>
    <w:p w14:paraId="1C64BA72" w14:textId="77777777" w:rsidR="00CB47F5" w:rsidRDefault="00CB47F5" w:rsidP="00332CD9">
      <w:pPr>
        <w:spacing w:line="360" w:lineRule="auto"/>
        <w:jc w:val="both"/>
        <w:rPr>
          <w:rFonts w:ascii="Century Gothic" w:hAnsi="Century Gothic" w:cs="Arial"/>
          <w:sz w:val="22"/>
          <w:szCs w:val="22"/>
        </w:rPr>
      </w:pPr>
    </w:p>
    <w:p w14:paraId="5F5174BD" w14:textId="77777777" w:rsidR="00C00A1F" w:rsidRDefault="00D22554" w:rsidP="00CC750E">
      <w:pPr>
        <w:spacing w:line="360" w:lineRule="auto"/>
        <w:jc w:val="both"/>
        <w:rPr>
          <w:rFonts w:ascii="Century Gothic" w:hAnsi="Century Gothic" w:cs="Arial"/>
          <w:sz w:val="22"/>
          <w:szCs w:val="22"/>
        </w:rPr>
      </w:pPr>
      <w:r>
        <w:rPr>
          <w:rFonts w:ascii="Century Gothic" w:hAnsi="Century Gothic" w:cs="Arial"/>
          <w:sz w:val="22"/>
          <w:szCs w:val="22"/>
        </w:rPr>
        <w:t>Ahora bien, la Sala considera que</w:t>
      </w:r>
      <w:r w:rsidR="00915E02">
        <w:rPr>
          <w:rFonts w:ascii="Century Gothic" w:hAnsi="Century Gothic" w:cs="Arial"/>
          <w:sz w:val="22"/>
          <w:szCs w:val="22"/>
        </w:rPr>
        <w:t xml:space="preserve"> el hecho de que a lo largo del proceso se hubiera hecho alusión al contenido de las resoluciones que adoptaron la liquidación unilateral del contrato no implica que se hubiera</w:t>
      </w:r>
      <w:r w:rsidR="006224D9">
        <w:rPr>
          <w:rFonts w:ascii="Century Gothic" w:hAnsi="Century Gothic" w:cs="Arial"/>
          <w:sz w:val="22"/>
          <w:szCs w:val="22"/>
        </w:rPr>
        <w:t xml:space="preserve"> saneado la ausencia de los requisitos formales del título ejecutivo,</w:t>
      </w:r>
      <w:r w:rsidR="001B2B3D">
        <w:rPr>
          <w:rFonts w:ascii="Century Gothic" w:hAnsi="Century Gothic" w:cs="Arial"/>
          <w:sz w:val="22"/>
          <w:szCs w:val="22"/>
        </w:rPr>
        <w:t xml:space="preserve"> pue</w:t>
      </w:r>
      <w:r w:rsidR="00CE3BB2">
        <w:rPr>
          <w:rFonts w:ascii="Century Gothic" w:hAnsi="Century Gothic" w:cs="Arial"/>
          <w:sz w:val="22"/>
          <w:szCs w:val="22"/>
        </w:rPr>
        <w:t>s</w:t>
      </w:r>
      <w:r w:rsidR="00CC750E">
        <w:rPr>
          <w:rFonts w:ascii="Century Gothic" w:hAnsi="Century Gothic" w:cs="Arial"/>
          <w:sz w:val="22"/>
          <w:szCs w:val="22"/>
        </w:rPr>
        <w:t>, por una parte,</w:t>
      </w:r>
      <w:r w:rsidR="00CE3BB2">
        <w:rPr>
          <w:rFonts w:ascii="Century Gothic" w:hAnsi="Century Gothic" w:cs="Arial"/>
          <w:sz w:val="22"/>
          <w:szCs w:val="22"/>
        </w:rPr>
        <w:t xml:space="preserve"> </w:t>
      </w:r>
      <w:r w:rsidR="00CC750E">
        <w:rPr>
          <w:rFonts w:ascii="Century Gothic" w:hAnsi="Century Gothic" w:cs="Arial"/>
          <w:sz w:val="22"/>
          <w:szCs w:val="22"/>
        </w:rPr>
        <w:t>en este tipo de procesos</w:t>
      </w:r>
      <w:r w:rsidR="00A0553E">
        <w:rPr>
          <w:rFonts w:ascii="Century Gothic" w:hAnsi="Century Gothic" w:cs="Arial"/>
          <w:sz w:val="22"/>
          <w:szCs w:val="22"/>
        </w:rPr>
        <w:t>,</w:t>
      </w:r>
      <w:r w:rsidR="00CC750E">
        <w:rPr>
          <w:rFonts w:ascii="Century Gothic" w:hAnsi="Century Gothic" w:cs="Arial"/>
          <w:sz w:val="22"/>
          <w:szCs w:val="22"/>
        </w:rPr>
        <w:t xml:space="preserve"> </w:t>
      </w:r>
      <w:r w:rsidR="00CE3BB2">
        <w:rPr>
          <w:rFonts w:ascii="Century Gothic" w:hAnsi="Century Gothic" w:cs="Arial"/>
          <w:sz w:val="22"/>
          <w:szCs w:val="22"/>
        </w:rPr>
        <w:t>la</w:t>
      </w:r>
      <w:r w:rsidR="00CC750E">
        <w:rPr>
          <w:rFonts w:ascii="Century Gothic" w:hAnsi="Century Gothic" w:cs="Arial"/>
          <w:sz w:val="22"/>
          <w:szCs w:val="22"/>
        </w:rPr>
        <w:t xml:space="preserve"> existencia del título ejecutivo </w:t>
      </w:r>
      <w:r w:rsidR="000B74D6">
        <w:rPr>
          <w:rFonts w:ascii="Century Gothic" w:hAnsi="Century Gothic" w:cs="Arial"/>
          <w:sz w:val="22"/>
          <w:szCs w:val="22"/>
        </w:rPr>
        <w:t xml:space="preserve">no se puede deducir de la conducta </w:t>
      </w:r>
      <w:r w:rsidR="00CC750E">
        <w:rPr>
          <w:rFonts w:ascii="Century Gothic" w:hAnsi="Century Gothic" w:cs="Arial"/>
          <w:sz w:val="22"/>
          <w:szCs w:val="22"/>
        </w:rPr>
        <w:t xml:space="preserve">asumida por las partes, ni siquiera por la confesión vertida en el curso de un proceso y, por otra parte, porque para que se abra paso la pretensión ejecutiva, la obligación clara, cierta y exigible debe estar plenamente probada desde la presentación de la demanda </w:t>
      </w:r>
      <w:r w:rsidR="00A0553E">
        <w:rPr>
          <w:rFonts w:ascii="Century Gothic" w:hAnsi="Century Gothic" w:cs="Arial"/>
          <w:sz w:val="22"/>
          <w:szCs w:val="22"/>
        </w:rPr>
        <w:t xml:space="preserve">por la parte que aduce el derecho de crédito </w:t>
      </w:r>
      <w:r w:rsidR="00CC750E">
        <w:rPr>
          <w:rFonts w:ascii="Century Gothic" w:hAnsi="Century Gothic" w:cs="Arial"/>
          <w:sz w:val="22"/>
          <w:szCs w:val="22"/>
        </w:rPr>
        <w:t xml:space="preserve">(salvo el supuesto contemplado en el </w:t>
      </w:r>
      <w:r w:rsidR="00C00A1F">
        <w:rPr>
          <w:rFonts w:ascii="Century Gothic" w:hAnsi="Century Gothic" w:cs="Arial"/>
          <w:sz w:val="22"/>
          <w:szCs w:val="22"/>
        </w:rPr>
        <w:t xml:space="preserve">inciso primero del </w:t>
      </w:r>
      <w:r w:rsidR="00CC750E">
        <w:rPr>
          <w:rFonts w:ascii="Century Gothic" w:hAnsi="Century Gothic" w:cs="Arial"/>
          <w:sz w:val="22"/>
          <w:szCs w:val="22"/>
        </w:rPr>
        <w:t>artículo 489 del C. de P.C.)</w:t>
      </w:r>
      <w:r w:rsidR="00CC750E">
        <w:rPr>
          <w:rStyle w:val="Refdenotaalpie"/>
          <w:rFonts w:ascii="Century Gothic" w:hAnsi="Century Gothic" w:cs="Arial"/>
          <w:sz w:val="22"/>
          <w:szCs w:val="22"/>
        </w:rPr>
        <w:footnoteReference w:id="16"/>
      </w:r>
      <w:r w:rsidR="00CC750E">
        <w:rPr>
          <w:rFonts w:ascii="Century Gothic" w:hAnsi="Century Gothic" w:cs="Arial"/>
          <w:sz w:val="22"/>
          <w:szCs w:val="22"/>
        </w:rPr>
        <w:t>, lo cual desca</w:t>
      </w:r>
      <w:r w:rsidR="00C00A1F">
        <w:rPr>
          <w:rFonts w:ascii="Century Gothic" w:hAnsi="Century Gothic" w:cs="Arial"/>
          <w:sz w:val="22"/>
          <w:szCs w:val="22"/>
        </w:rPr>
        <w:t>rta la posibilidad de que el título ejecutivo se integre en el decurso del proceso o se deduzca por la conducta de las partes o las manifestaciones hechas por la autoridad judicial en el trámite procesal.</w:t>
      </w:r>
    </w:p>
    <w:p w14:paraId="52F861E2" w14:textId="77777777" w:rsidR="00C00A1F" w:rsidRDefault="00C00A1F" w:rsidP="00CC750E">
      <w:pPr>
        <w:spacing w:line="360" w:lineRule="auto"/>
        <w:jc w:val="both"/>
        <w:rPr>
          <w:rFonts w:ascii="Century Gothic" w:hAnsi="Century Gothic" w:cs="Arial"/>
          <w:sz w:val="22"/>
          <w:szCs w:val="22"/>
        </w:rPr>
      </w:pPr>
    </w:p>
    <w:p w14:paraId="1DCFF22C" w14:textId="77777777" w:rsidR="009A1DF1" w:rsidRPr="0029633C" w:rsidRDefault="00C00A1F" w:rsidP="00CC750E">
      <w:pPr>
        <w:spacing w:line="360" w:lineRule="auto"/>
        <w:jc w:val="both"/>
        <w:rPr>
          <w:rFonts w:ascii="Century Gothic" w:hAnsi="Century Gothic" w:cs="Arial"/>
          <w:sz w:val="22"/>
          <w:szCs w:val="22"/>
        </w:rPr>
      </w:pPr>
      <w:r>
        <w:rPr>
          <w:rFonts w:ascii="Century Gothic" w:hAnsi="Century Gothic" w:cs="Arial"/>
          <w:sz w:val="22"/>
          <w:szCs w:val="22"/>
        </w:rPr>
        <w:t xml:space="preserve">Reitera la Sala que no es el mismo tratamiento el que se le otorga a la </w:t>
      </w:r>
      <w:r w:rsidRPr="0029633C">
        <w:rPr>
          <w:rFonts w:ascii="Century Gothic" w:hAnsi="Century Gothic" w:cs="Arial"/>
          <w:sz w:val="22"/>
          <w:szCs w:val="22"/>
        </w:rPr>
        <w:t xml:space="preserve">prueba documental cuando de ella se pretende derivar un título ejecutivo que cuando </w:t>
      </w:r>
      <w:r w:rsidR="009A1DF1" w:rsidRPr="0029633C">
        <w:rPr>
          <w:rFonts w:ascii="Century Gothic" w:hAnsi="Century Gothic" w:cs="Arial"/>
          <w:sz w:val="22"/>
          <w:szCs w:val="22"/>
        </w:rPr>
        <w:t xml:space="preserve">está orientada a </w:t>
      </w:r>
      <w:r w:rsidRPr="0029633C">
        <w:rPr>
          <w:rFonts w:ascii="Century Gothic" w:hAnsi="Century Gothic" w:cs="Arial"/>
          <w:sz w:val="22"/>
          <w:szCs w:val="22"/>
        </w:rPr>
        <w:t>obtener la declaración de un derecho. La diferencia fundamental estriba en que en el proceso ejecutivo debe existir plena prueba de la obligación</w:t>
      </w:r>
      <w:r w:rsidR="00AF15E2" w:rsidRPr="0029633C">
        <w:rPr>
          <w:rFonts w:ascii="Century Gothic" w:hAnsi="Century Gothic" w:cs="Arial"/>
          <w:sz w:val="22"/>
          <w:szCs w:val="22"/>
        </w:rPr>
        <w:t xml:space="preserve"> desde que se formula la pretensión</w:t>
      </w:r>
      <w:r w:rsidRPr="0029633C">
        <w:rPr>
          <w:rFonts w:ascii="Century Gothic" w:hAnsi="Century Gothic" w:cs="Arial"/>
          <w:sz w:val="22"/>
          <w:szCs w:val="22"/>
        </w:rPr>
        <w:t>,</w:t>
      </w:r>
      <w:r w:rsidR="00AF15E2" w:rsidRPr="0029633C">
        <w:rPr>
          <w:rFonts w:ascii="Century Gothic" w:hAnsi="Century Gothic" w:cs="Arial"/>
          <w:sz w:val="22"/>
          <w:szCs w:val="22"/>
        </w:rPr>
        <w:t xml:space="preserve"> a lo que se añade que ésta debe ser clara, expresa y exigible,</w:t>
      </w:r>
      <w:r w:rsidRPr="0029633C">
        <w:rPr>
          <w:rFonts w:ascii="Century Gothic" w:hAnsi="Century Gothic" w:cs="Arial"/>
          <w:sz w:val="22"/>
          <w:szCs w:val="22"/>
        </w:rPr>
        <w:t xml:space="preserve"> mientras que en el proceso declarativo la prueba es la que conduce o no a la declaraci</w:t>
      </w:r>
      <w:r w:rsidR="00AF15E2" w:rsidRPr="0029633C">
        <w:rPr>
          <w:rFonts w:ascii="Century Gothic" w:hAnsi="Century Gothic" w:cs="Arial"/>
          <w:sz w:val="22"/>
          <w:szCs w:val="22"/>
        </w:rPr>
        <w:t xml:space="preserve">ón del derecho, de allí que el </w:t>
      </w:r>
      <w:r w:rsidR="00A0553E">
        <w:rPr>
          <w:rFonts w:ascii="Century Gothic" w:hAnsi="Century Gothic" w:cs="Arial"/>
          <w:sz w:val="22"/>
          <w:szCs w:val="22"/>
        </w:rPr>
        <w:t xml:space="preserve">manejo probatorio </w:t>
      </w:r>
      <w:r w:rsidR="00AF15E2" w:rsidRPr="0029633C">
        <w:rPr>
          <w:rFonts w:ascii="Century Gothic" w:hAnsi="Century Gothic" w:cs="Arial"/>
          <w:sz w:val="22"/>
          <w:szCs w:val="22"/>
        </w:rPr>
        <w:t xml:space="preserve">sea </w:t>
      </w:r>
      <w:r w:rsidR="00A0553E">
        <w:rPr>
          <w:rFonts w:ascii="Century Gothic" w:hAnsi="Century Gothic" w:cs="Arial"/>
          <w:sz w:val="22"/>
          <w:szCs w:val="22"/>
        </w:rPr>
        <w:t xml:space="preserve">distinto </w:t>
      </w:r>
      <w:r w:rsidR="00AF15E2" w:rsidRPr="0029633C">
        <w:rPr>
          <w:rFonts w:ascii="Century Gothic" w:hAnsi="Century Gothic" w:cs="Arial"/>
          <w:sz w:val="22"/>
          <w:szCs w:val="22"/>
        </w:rPr>
        <w:t xml:space="preserve">en </w:t>
      </w:r>
      <w:r w:rsidR="009A1DF1" w:rsidRPr="0029633C">
        <w:rPr>
          <w:rFonts w:ascii="Century Gothic" w:hAnsi="Century Gothic" w:cs="Arial"/>
          <w:sz w:val="22"/>
          <w:szCs w:val="22"/>
        </w:rPr>
        <w:t>los procesos declarativos que en los ejecutivos.</w:t>
      </w:r>
    </w:p>
    <w:p w14:paraId="4D8A3802" w14:textId="77777777" w:rsidR="009A1DF1" w:rsidRPr="0029633C" w:rsidRDefault="009A1DF1" w:rsidP="00CC750E">
      <w:pPr>
        <w:spacing w:line="360" w:lineRule="auto"/>
        <w:jc w:val="both"/>
        <w:rPr>
          <w:rFonts w:ascii="Century Gothic" w:hAnsi="Century Gothic" w:cs="Arial"/>
          <w:sz w:val="22"/>
          <w:szCs w:val="22"/>
        </w:rPr>
      </w:pPr>
    </w:p>
    <w:p w14:paraId="4A937D24" w14:textId="77777777" w:rsidR="009A1DF1" w:rsidRPr="0029633C" w:rsidRDefault="009A1DF1" w:rsidP="00CC750E">
      <w:pPr>
        <w:spacing w:line="360" w:lineRule="auto"/>
        <w:jc w:val="both"/>
        <w:rPr>
          <w:rFonts w:ascii="Century Gothic" w:hAnsi="Century Gothic" w:cs="Arial"/>
          <w:sz w:val="22"/>
          <w:szCs w:val="22"/>
        </w:rPr>
      </w:pPr>
      <w:r w:rsidRPr="0029633C">
        <w:rPr>
          <w:rFonts w:ascii="Century Gothic" w:hAnsi="Century Gothic" w:cs="Arial"/>
          <w:sz w:val="22"/>
          <w:szCs w:val="22"/>
        </w:rPr>
        <w:t>El recurrente sostiene que el Tribunal profirió una decisión inhibitoria que, por regla general, está proscrita por el ordenamiento jurídico.</w:t>
      </w:r>
    </w:p>
    <w:p w14:paraId="1734B4CF" w14:textId="77777777" w:rsidR="009A1DF1" w:rsidRPr="0029633C" w:rsidRDefault="009A1DF1" w:rsidP="00CC750E">
      <w:pPr>
        <w:spacing w:line="360" w:lineRule="auto"/>
        <w:jc w:val="both"/>
        <w:rPr>
          <w:rFonts w:ascii="Century Gothic" w:hAnsi="Century Gothic" w:cs="Arial"/>
          <w:sz w:val="22"/>
          <w:szCs w:val="22"/>
        </w:rPr>
      </w:pPr>
    </w:p>
    <w:p w14:paraId="5C091DCC" w14:textId="77777777" w:rsidR="009965C7" w:rsidRPr="0029633C" w:rsidRDefault="00A0553E" w:rsidP="00CC750E">
      <w:pPr>
        <w:spacing w:line="360" w:lineRule="auto"/>
        <w:jc w:val="both"/>
        <w:rPr>
          <w:rStyle w:val="iaj"/>
          <w:rFonts w:ascii="Century Gothic" w:hAnsi="Century Gothic"/>
          <w:sz w:val="22"/>
          <w:szCs w:val="22"/>
        </w:rPr>
      </w:pPr>
      <w:bookmarkStart w:id="26" w:name="_Hlk22219810"/>
      <w:r>
        <w:rPr>
          <w:rStyle w:val="iaj"/>
          <w:rFonts w:ascii="Century Gothic" w:hAnsi="Century Gothic"/>
          <w:sz w:val="22"/>
          <w:szCs w:val="22"/>
        </w:rPr>
        <w:t xml:space="preserve">Las </w:t>
      </w:r>
      <w:bookmarkStart w:id="27" w:name="_Hlk22219741"/>
      <w:r>
        <w:rPr>
          <w:rStyle w:val="iaj"/>
          <w:rFonts w:ascii="Century Gothic" w:hAnsi="Century Gothic"/>
          <w:sz w:val="22"/>
          <w:szCs w:val="22"/>
        </w:rPr>
        <w:t>de</w:t>
      </w:r>
      <w:r w:rsidR="009965C7" w:rsidRPr="0029633C">
        <w:rPr>
          <w:rStyle w:val="iaj"/>
          <w:rFonts w:ascii="Century Gothic" w:hAnsi="Century Gothic"/>
          <w:sz w:val="22"/>
          <w:szCs w:val="22"/>
        </w:rPr>
        <w:t xml:space="preserve">cisiones judiciales inhibitorias </w:t>
      </w:r>
      <w:bookmarkEnd w:id="27"/>
      <w:r w:rsidR="009965C7" w:rsidRPr="0029633C">
        <w:rPr>
          <w:rStyle w:val="iaj"/>
          <w:rFonts w:ascii="Century Gothic" w:hAnsi="Century Gothic"/>
          <w:sz w:val="22"/>
          <w:szCs w:val="22"/>
        </w:rPr>
        <w:t xml:space="preserve">son aquellas que, </w:t>
      </w:r>
      <w:r w:rsidR="009965C7" w:rsidRPr="00A0553E">
        <w:rPr>
          <w:rStyle w:val="iaj"/>
          <w:rFonts w:ascii="Century Gothic" w:hAnsi="Century Gothic"/>
          <w:i/>
          <w:sz w:val="22"/>
          <w:szCs w:val="22"/>
        </w:rPr>
        <w:t xml:space="preserve">“… por diversas causas, ponen fin a una etapa procesal sin decidir de fondo el asunto que se le plantea al </w:t>
      </w:r>
      <w:r w:rsidR="009965C7" w:rsidRPr="00A0553E">
        <w:rPr>
          <w:rStyle w:val="iaj"/>
          <w:rFonts w:ascii="Century Gothic" w:hAnsi="Century Gothic"/>
          <w:i/>
          <w:sz w:val="22"/>
          <w:szCs w:val="22"/>
        </w:rPr>
        <w:lastRenderedPageBreak/>
        <w:t>juez, es decir, sin adoptar resolución de mérito; por tanto, el problema que ha sido llevado a la justicia queda sin resolver, lo que implica que puede presentarse nuevamente ante la jurisdicción del Estado para su solución, salvo eventos especiales de caducidad o prescripción …”</w:t>
      </w:r>
      <w:r>
        <w:rPr>
          <w:rStyle w:val="Refdenotaalpie"/>
          <w:rFonts w:ascii="Century Gothic" w:hAnsi="Century Gothic"/>
          <w:sz w:val="22"/>
          <w:szCs w:val="22"/>
        </w:rPr>
        <w:footnoteReference w:id="17"/>
      </w:r>
      <w:r w:rsidR="009965C7" w:rsidRPr="0029633C">
        <w:rPr>
          <w:rStyle w:val="iaj"/>
          <w:rFonts w:ascii="Century Gothic" w:hAnsi="Century Gothic"/>
          <w:sz w:val="22"/>
          <w:szCs w:val="22"/>
        </w:rPr>
        <w:t>.</w:t>
      </w:r>
    </w:p>
    <w:bookmarkEnd w:id="26"/>
    <w:p w14:paraId="64C90894" w14:textId="77777777" w:rsidR="009965C7" w:rsidRPr="0029633C" w:rsidRDefault="009965C7" w:rsidP="00CC750E">
      <w:pPr>
        <w:spacing w:line="360" w:lineRule="auto"/>
        <w:jc w:val="both"/>
        <w:rPr>
          <w:rStyle w:val="iaj"/>
          <w:rFonts w:ascii="Century Gothic" w:hAnsi="Century Gothic"/>
          <w:sz w:val="22"/>
          <w:szCs w:val="22"/>
        </w:rPr>
      </w:pPr>
    </w:p>
    <w:p w14:paraId="0F5AFE12" w14:textId="77777777" w:rsidR="00C647A1" w:rsidRDefault="0063227D" w:rsidP="00CC750E">
      <w:pPr>
        <w:spacing w:line="360" w:lineRule="auto"/>
        <w:jc w:val="both"/>
        <w:rPr>
          <w:rStyle w:val="iaj"/>
          <w:rFonts w:ascii="Century Gothic" w:hAnsi="Century Gothic"/>
          <w:sz w:val="22"/>
          <w:szCs w:val="22"/>
        </w:rPr>
      </w:pPr>
      <w:r w:rsidRPr="0029633C">
        <w:rPr>
          <w:rStyle w:val="iaj"/>
          <w:rFonts w:ascii="Century Gothic" w:hAnsi="Century Gothic"/>
          <w:sz w:val="22"/>
          <w:szCs w:val="22"/>
        </w:rPr>
        <w:t>En este caso, el asu</w:t>
      </w:r>
      <w:r w:rsidR="009965C7" w:rsidRPr="0029633C">
        <w:rPr>
          <w:rStyle w:val="iaj"/>
          <w:rFonts w:ascii="Century Gothic" w:hAnsi="Century Gothic"/>
          <w:sz w:val="22"/>
          <w:szCs w:val="22"/>
        </w:rPr>
        <w:t>n</w:t>
      </w:r>
      <w:r w:rsidRPr="0029633C">
        <w:rPr>
          <w:rStyle w:val="iaj"/>
          <w:rFonts w:ascii="Century Gothic" w:hAnsi="Century Gothic"/>
          <w:sz w:val="22"/>
          <w:szCs w:val="22"/>
        </w:rPr>
        <w:t>t</w:t>
      </w:r>
      <w:r w:rsidR="009965C7" w:rsidRPr="0029633C">
        <w:rPr>
          <w:rStyle w:val="iaj"/>
          <w:rFonts w:ascii="Century Gothic" w:hAnsi="Century Gothic"/>
          <w:sz w:val="22"/>
          <w:szCs w:val="22"/>
        </w:rPr>
        <w:t>o no culminó la primera instancia con fallo inhibitorio, sino con fallo adverso a la pretensión del ejecutante</w:t>
      </w:r>
      <w:r w:rsidR="009A158A" w:rsidRPr="0029633C">
        <w:rPr>
          <w:rStyle w:val="iaj"/>
          <w:rFonts w:ascii="Century Gothic" w:hAnsi="Century Gothic"/>
          <w:sz w:val="22"/>
          <w:szCs w:val="22"/>
        </w:rPr>
        <w:t>, por la declaración de un medio exceptivo que impidió continuar con la ejecución</w:t>
      </w:r>
      <w:r w:rsidR="004C5169" w:rsidRPr="0029633C">
        <w:rPr>
          <w:rStyle w:val="iaj"/>
          <w:rFonts w:ascii="Century Gothic" w:hAnsi="Century Gothic"/>
          <w:sz w:val="22"/>
          <w:szCs w:val="22"/>
        </w:rPr>
        <w:t xml:space="preserve"> y</w:t>
      </w:r>
      <w:r w:rsidR="009A158A" w:rsidRPr="0029633C">
        <w:rPr>
          <w:rStyle w:val="iaj"/>
          <w:rFonts w:ascii="Century Gothic" w:hAnsi="Century Gothic"/>
          <w:sz w:val="22"/>
          <w:szCs w:val="22"/>
        </w:rPr>
        <w:t>,</w:t>
      </w:r>
      <w:r w:rsidR="004C5169" w:rsidRPr="0029633C">
        <w:rPr>
          <w:rStyle w:val="iaj"/>
          <w:rFonts w:ascii="Century Gothic" w:hAnsi="Century Gothic"/>
          <w:sz w:val="22"/>
          <w:szCs w:val="22"/>
        </w:rPr>
        <w:t xml:space="preserve"> aunque el fallo inhibitorio </w:t>
      </w:r>
      <w:r w:rsidR="004C5169" w:rsidRPr="0029633C">
        <w:rPr>
          <w:rStyle w:val="iaj"/>
          <w:rFonts w:ascii="Century Gothic" w:hAnsi="Century Gothic"/>
          <w:i/>
          <w:sz w:val="22"/>
          <w:szCs w:val="22"/>
        </w:rPr>
        <w:t>-lato sensu-</w:t>
      </w:r>
      <w:r w:rsidR="004C5169" w:rsidRPr="0029633C">
        <w:rPr>
          <w:rStyle w:val="iaj"/>
          <w:rFonts w:ascii="Century Gothic" w:hAnsi="Century Gothic"/>
          <w:sz w:val="22"/>
          <w:szCs w:val="22"/>
        </w:rPr>
        <w:t xml:space="preserve"> es siempre desfavorable a la parte activa del proceso</w:t>
      </w:r>
      <w:r w:rsidR="00A30522" w:rsidRPr="0029633C">
        <w:rPr>
          <w:rStyle w:val="iaj"/>
          <w:rFonts w:ascii="Century Gothic" w:hAnsi="Century Gothic"/>
          <w:sz w:val="22"/>
          <w:szCs w:val="22"/>
        </w:rPr>
        <w:t>, la diferencia estriba en que</w:t>
      </w:r>
      <w:r w:rsidR="009A158A" w:rsidRPr="0029633C">
        <w:rPr>
          <w:rStyle w:val="iaj"/>
          <w:rFonts w:ascii="Century Gothic" w:hAnsi="Century Gothic"/>
          <w:sz w:val="22"/>
          <w:szCs w:val="22"/>
        </w:rPr>
        <w:t>,</w:t>
      </w:r>
      <w:r w:rsidR="00A30522" w:rsidRPr="0029633C">
        <w:rPr>
          <w:rStyle w:val="iaj"/>
          <w:rFonts w:ascii="Century Gothic" w:hAnsi="Century Gothic"/>
          <w:sz w:val="22"/>
          <w:szCs w:val="22"/>
        </w:rPr>
        <w:t xml:space="preserve"> </w:t>
      </w:r>
      <w:r w:rsidR="009A158A" w:rsidRPr="0029633C">
        <w:rPr>
          <w:rStyle w:val="iaj"/>
          <w:rFonts w:ascii="Century Gothic" w:hAnsi="Century Gothic"/>
          <w:sz w:val="22"/>
          <w:szCs w:val="22"/>
        </w:rPr>
        <w:t xml:space="preserve">mientras </w:t>
      </w:r>
      <w:r w:rsidR="00A30522" w:rsidRPr="0029633C">
        <w:rPr>
          <w:rStyle w:val="iaj"/>
          <w:rFonts w:ascii="Century Gothic" w:hAnsi="Century Gothic"/>
          <w:sz w:val="22"/>
          <w:szCs w:val="22"/>
        </w:rPr>
        <w:t>en la sentencia inhibitoria la controversia queda sin resolver,</w:t>
      </w:r>
      <w:r w:rsidR="00F24B1A" w:rsidRPr="0029633C">
        <w:rPr>
          <w:rStyle w:val="iaj"/>
          <w:rFonts w:ascii="Century Gothic" w:hAnsi="Century Gothic"/>
          <w:sz w:val="22"/>
          <w:szCs w:val="22"/>
        </w:rPr>
        <w:t xml:space="preserve"> es decir, </w:t>
      </w:r>
      <w:r w:rsidR="00A30522" w:rsidRPr="0029633C">
        <w:rPr>
          <w:rStyle w:val="iaj"/>
          <w:rFonts w:ascii="Century Gothic" w:hAnsi="Century Gothic"/>
          <w:sz w:val="22"/>
          <w:szCs w:val="22"/>
        </w:rPr>
        <w:t>el juez se abstiene de decidir sobre la existencia del derecho o de la relación jur</w:t>
      </w:r>
      <w:r w:rsidR="00A07CB7" w:rsidRPr="0029633C">
        <w:rPr>
          <w:rStyle w:val="iaj"/>
          <w:rFonts w:ascii="Century Gothic" w:hAnsi="Century Gothic"/>
          <w:sz w:val="22"/>
          <w:szCs w:val="22"/>
        </w:rPr>
        <w:t>ídica, lo que, en últimas significa que no hace pronunciamiento respecto de las pretensiones de la demanda</w:t>
      </w:r>
      <w:r w:rsidR="009A158A" w:rsidRPr="0029633C">
        <w:rPr>
          <w:rStyle w:val="iaj"/>
          <w:rFonts w:ascii="Century Gothic" w:hAnsi="Century Gothic"/>
          <w:sz w:val="22"/>
          <w:szCs w:val="22"/>
        </w:rPr>
        <w:t>, en la sente</w:t>
      </w:r>
      <w:r w:rsidR="007623AF" w:rsidRPr="0029633C">
        <w:rPr>
          <w:rStyle w:val="iaj"/>
          <w:rFonts w:ascii="Century Gothic" w:hAnsi="Century Gothic"/>
          <w:sz w:val="22"/>
          <w:szCs w:val="22"/>
        </w:rPr>
        <w:t>n</w:t>
      </w:r>
      <w:r w:rsidR="009A158A" w:rsidRPr="0029633C">
        <w:rPr>
          <w:rStyle w:val="iaj"/>
          <w:rFonts w:ascii="Century Gothic" w:hAnsi="Century Gothic"/>
          <w:sz w:val="22"/>
          <w:szCs w:val="22"/>
        </w:rPr>
        <w:t>c</w:t>
      </w:r>
      <w:r w:rsidR="007623AF" w:rsidRPr="0029633C">
        <w:rPr>
          <w:rStyle w:val="iaj"/>
          <w:rFonts w:ascii="Century Gothic" w:hAnsi="Century Gothic"/>
          <w:sz w:val="22"/>
          <w:szCs w:val="22"/>
        </w:rPr>
        <w:t xml:space="preserve">ia desfavorable el juez se pronuncia </w:t>
      </w:r>
      <w:r w:rsidR="009A158A" w:rsidRPr="0029633C">
        <w:rPr>
          <w:rStyle w:val="iaj"/>
          <w:rFonts w:ascii="Century Gothic" w:hAnsi="Century Gothic"/>
          <w:sz w:val="22"/>
          <w:szCs w:val="22"/>
        </w:rPr>
        <w:t>de fondo</w:t>
      </w:r>
      <w:r w:rsidR="00534DE4" w:rsidRPr="0029633C">
        <w:rPr>
          <w:rStyle w:val="iaj"/>
          <w:rFonts w:ascii="Century Gothic" w:hAnsi="Century Gothic"/>
          <w:sz w:val="22"/>
          <w:szCs w:val="22"/>
        </w:rPr>
        <w:t>, decide el asunto en forma adversa, esto es,</w:t>
      </w:r>
      <w:r w:rsidR="009A158A" w:rsidRPr="0029633C">
        <w:rPr>
          <w:rStyle w:val="iaj"/>
          <w:rFonts w:ascii="Century Gothic" w:hAnsi="Century Gothic"/>
          <w:sz w:val="22"/>
          <w:szCs w:val="22"/>
        </w:rPr>
        <w:t xml:space="preserve"> </w:t>
      </w:r>
      <w:r w:rsidR="00A0553E">
        <w:rPr>
          <w:rStyle w:val="iaj"/>
          <w:rFonts w:ascii="Century Gothic" w:hAnsi="Century Gothic"/>
          <w:sz w:val="22"/>
          <w:szCs w:val="22"/>
        </w:rPr>
        <w:t xml:space="preserve">desestimando </w:t>
      </w:r>
      <w:r w:rsidR="009A158A" w:rsidRPr="0029633C">
        <w:rPr>
          <w:rStyle w:val="iaj"/>
          <w:rFonts w:ascii="Century Gothic" w:hAnsi="Century Gothic"/>
          <w:sz w:val="22"/>
          <w:szCs w:val="22"/>
        </w:rPr>
        <w:t>la pretensión del demandante</w:t>
      </w:r>
      <w:r w:rsidR="003C473D" w:rsidRPr="0029633C">
        <w:rPr>
          <w:rStyle w:val="iaj"/>
          <w:rFonts w:ascii="Century Gothic" w:hAnsi="Century Gothic"/>
          <w:sz w:val="22"/>
          <w:szCs w:val="22"/>
        </w:rPr>
        <w:t>, como acá ocurrió, cuando el juez de primera instancia señaló que el ejecutante no integró debidamente el título ejecutivo, porque no cumplió los requisitos de fo</w:t>
      </w:r>
      <w:r w:rsidR="00433614" w:rsidRPr="0029633C">
        <w:rPr>
          <w:rStyle w:val="iaj"/>
          <w:rFonts w:ascii="Century Gothic" w:hAnsi="Century Gothic"/>
          <w:sz w:val="22"/>
          <w:szCs w:val="22"/>
        </w:rPr>
        <w:t>r</w:t>
      </w:r>
      <w:r w:rsidR="003C473D" w:rsidRPr="0029633C">
        <w:rPr>
          <w:rStyle w:val="iaj"/>
          <w:rFonts w:ascii="Century Gothic" w:hAnsi="Century Gothic"/>
          <w:sz w:val="22"/>
          <w:szCs w:val="22"/>
        </w:rPr>
        <w:t>ma</w:t>
      </w:r>
      <w:r w:rsidR="007623AF" w:rsidRPr="0029633C">
        <w:rPr>
          <w:rStyle w:val="iaj"/>
          <w:rFonts w:ascii="Century Gothic" w:hAnsi="Century Gothic"/>
          <w:sz w:val="22"/>
          <w:szCs w:val="22"/>
        </w:rPr>
        <w:t>.</w:t>
      </w:r>
    </w:p>
    <w:p w14:paraId="30D1A606" w14:textId="77777777" w:rsidR="0029633C" w:rsidRDefault="0029633C" w:rsidP="00CC750E">
      <w:pPr>
        <w:spacing w:line="360" w:lineRule="auto"/>
        <w:jc w:val="both"/>
        <w:rPr>
          <w:rStyle w:val="iaj"/>
          <w:rFonts w:ascii="Century Gothic" w:hAnsi="Century Gothic"/>
          <w:sz w:val="22"/>
          <w:szCs w:val="22"/>
        </w:rPr>
      </w:pPr>
    </w:p>
    <w:p w14:paraId="75DAF178" w14:textId="77777777" w:rsidR="00F203A3" w:rsidRDefault="0029633C" w:rsidP="00CC750E">
      <w:pPr>
        <w:spacing w:line="360" w:lineRule="auto"/>
        <w:jc w:val="both"/>
        <w:rPr>
          <w:rStyle w:val="iaj"/>
          <w:rFonts w:ascii="Century Gothic" w:hAnsi="Century Gothic"/>
          <w:sz w:val="22"/>
          <w:szCs w:val="22"/>
        </w:rPr>
      </w:pPr>
      <w:r>
        <w:rPr>
          <w:rStyle w:val="iaj"/>
          <w:rFonts w:ascii="Century Gothic" w:hAnsi="Century Gothic"/>
          <w:sz w:val="22"/>
          <w:szCs w:val="22"/>
        </w:rPr>
        <w:t>El recurrente, por otra parte, solicita que se revoque la condena en costas</w:t>
      </w:r>
      <w:r w:rsidR="00F203A3">
        <w:rPr>
          <w:rStyle w:val="iaj"/>
          <w:rFonts w:ascii="Century Gothic" w:hAnsi="Century Gothic"/>
          <w:sz w:val="22"/>
          <w:szCs w:val="22"/>
        </w:rPr>
        <w:t xml:space="preserve"> impuesta a cargo de la </w:t>
      </w:r>
      <w:r>
        <w:rPr>
          <w:rStyle w:val="iaj"/>
          <w:rFonts w:ascii="Century Gothic" w:hAnsi="Century Gothic"/>
          <w:sz w:val="22"/>
          <w:szCs w:val="22"/>
        </w:rPr>
        <w:t xml:space="preserve">ejecutante y a favor de la ejecutada, debido a que en el proceso no existe constancia de que </w:t>
      </w:r>
      <w:r w:rsidR="00F203A3">
        <w:rPr>
          <w:rStyle w:val="iaj"/>
          <w:rFonts w:ascii="Century Gothic" w:hAnsi="Century Gothic"/>
          <w:sz w:val="22"/>
          <w:szCs w:val="22"/>
        </w:rPr>
        <w:t xml:space="preserve">aquélla </w:t>
      </w:r>
      <w:r>
        <w:rPr>
          <w:rStyle w:val="iaj"/>
          <w:rFonts w:ascii="Century Gothic" w:hAnsi="Century Gothic"/>
          <w:sz w:val="22"/>
          <w:szCs w:val="22"/>
        </w:rPr>
        <w:t xml:space="preserve">haya incurrido en gastos por la defensa judicial de la entidad y, por ende, </w:t>
      </w:r>
      <w:r w:rsidR="00EB21F6">
        <w:rPr>
          <w:rStyle w:val="iaj"/>
          <w:rFonts w:ascii="Century Gothic" w:hAnsi="Century Gothic"/>
          <w:sz w:val="22"/>
          <w:szCs w:val="22"/>
        </w:rPr>
        <w:t>no es posible afirmar que dichos costos se generaron</w:t>
      </w:r>
      <w:r w:rsidR="00F203A3">
        <w:rPr>
          <w:rStyle w:val="iaj"/>
          <w:rFonts w:ascii="Century Gothic" w:hAnsi="Century Gothic"/>
          <w:sz w:val="22"/>
          <w:szCs w:val="22"/>
        </w:rPr>
        <w:t>.</w:t>
      </w:r>
    </w:p>
    <w:p w14:paraId="6B6E78C2" w14:textId="77777777" w:rsidR="00F203A3" w:rsidRDefault="00F203A3" w:rsidP="00CC750E">
      <w:pPr>
        <w:spacing w:line="360" w:lineRule="auto"/>
        <w:jc w:val="both"/>
        <w:rPr>
          <w:rStyle w:val="iaj"/>
          <w:rFonts w:ascii="Century Gothic" w:hAnsi="Century Gothic"/>
          <w:sz w:val="22"/>
          <w:szCs w:val="22"/>
        </w:rPr>
      </w:pPr>
    </w:p>
    <w:p w14:paraId="081BA789" w14:textId="77777777" w:rsidR="00BC07F6" w:rsidRPr="00FA371A" w:rsidRDefault="00F203A3" w:rsidP="00FA371A">
      <w:pPr>
        <w:spacing w:line="360" w:lineRule="auto"/>
        <w:jc w:val="both"/>
        <w:rPr>
          <w:rStyle w:val="iaj"/>
          <w:rFonts w:ascii="Century Gothic" w:hAnsi="Century Gothic"/>
          <w:sz w:val="22"/>
          <w:szCs w:val="22"/>
        </w:rPr>
      </w:pPr>
      <w:r>
        <w:rPr>
          <w:rStyle w:val="iaj"/>
          <w:rFonts w:ascii="Century Gothic" w:hAnsi="Century Gothic"/>
          <w:sz w:val="22"/>
          <w:szCs w:val="22"/>
        </w:rPr>
        <w:t xml:space="preserve">Por otra parte, señaló que, a partir de la entrada </w:t>
      </w:r>
      <w:r w:rsidR="00FF375A">
        <w:rPr>
          <w:rStyle w:val="iaj"/>
          <w:rFonts w:ascii="Century Gothic" w:hAnsi="Century Gothic"/>
          <w:sz w:val="22"/>
          <w:szCs w:val="22"/>
        </w:rPr>
        <w:t>en vigencia de la ley 80 de 199</w:t>
      </w:r>
      <w:r>
        <w:rPr>
          <w:rStyle w:val="iaj"/>
          <w:rFonts w:ascii="Century Gothic" w:hAnsi="Century Gothic"/>
          <w:sz w:val="22"/>
          <w:szCs w:val="22"/>
        </w:rPr>
        <w:t>3</w:t>
      </w:r>
      <w:r w:rsidR="00FF375A">
        <w:rPr>
          <w:rStyle w:val="iaj"/>
          <w:rFonts w:ascii="Century Gothic" w:hAnsi="Century Gothic"/>
          <w:sz w:val="22"/>
          <w:szCs w:val="22"/>
        </w:rPr>
        <w:t xml:space="preserve"> y de la ley 446 de 1998, la condena en costas solo es proceden</w:t>
      </w:r>
      <w:r w:rsidR="00BC07F6">
        <w:rPr>
          <w:rStyle w:val="iaj"/>
          <w:rFonts w:ascii="Century Gothic" w:hAnsi="Century Gothic"/>
          <w:sz w:val="22"/>
          <w:szCs w:val="22"/>
        </w:rPr>
        <w:t>te si el ju</w:t>
      </w:r>
      <w:r w:rsidR="00BC07F6" w:rsidRPr="00FA371A">
        <w:rPr>
          <w:rStyle w:val="iaj"/>
          <w:rFonts w:ascii="Century Gothic" w:hAnsi="Century Gothic"/>
          <w:sz w:val="22"/>
          <w:szCs w:val="22"/>
        </w:rPr>
        <w:t>ez encuentra que la conducta procesal de la parte vencida fue temeraria.</w:t>
      </w:r>
    </w:p>
    <w:p w14:paraId="27F6EC64" w14:textId="77777777" w:rsidR="00BC07F6" w:rsidRPr="00FA371A" w:rsidRDefault="00BC07F6" w:rsidP="00FA371A">
      <w:pPr>
        <w:spacing w:line="360" w:lineRule="auto"/>
        <w:jc w:val="both"/>
        <w:rPr>
          <w:rStyle w:val="iaj"/>
          <w:rFonts w:ascii="Century Gothic" w:hAnsi="Century Gothic"/>
          <w:sz w:val="22"/>
          <w:szCs w:val="22"/>
        </w:rPr>
      </w:pPr>
    </w:p>
    <w:p w14:paraId="46D785F4" w14:textId="77777777" w:rsidR="00346B3E" w:rsidRDefault="00071DA2" w:rsidP="00FA371A">
      <w:pPr>
        <w:pStyle w:val="NormalWeb"/>
        <w:spacing w:before="0" w:beforeAutospacing="0" w:after="0" w:afterAutospacing="0" w:line="360" w:lineRule="auto"/>
        <w:jc w:val="both"/>
        <w:rPr>
          <w:rFonts w:ascii="Century Gothic" w:hAnsi="Century Gothic" w:cs="Arial"/>
          <w:sz w:val="22"/>
          <w:szCs w:val="22"/>
        </w:rPr>
      </w:pPr>
      <w:bookmarkStart w:id="28" w:name="_Hlk22220278"/>
      <w:r w:rsidRPr="00FA371A">
        <w:rPr>
          <w:rStyle w:val="iaj"/>
          <w:rFonts w:ascii="Century Gothic" w:hAnsi="Century Gothic"/>
          <w:sz w:val="22"/>
          <w:szCs w:val="22"/>
        </w:rPr>
        <w:t>Para resolver el punto, lo primero q</w:t>
      </w:r>
      <w:r w:rsidR="00FA371A">
        <w:rPr>
          <w:rStyle w:val="iaj"/>
          <w:rFonts w:ascii="Century Gothic" w:hAnsi="Century Gothic"/>
          <w:sz w:val="22"/>
          <w:szCs w:val="22"/>
        </w:rPr>
        <w:t>ue advierte la Sala es que en</w:t>
      </w:r>
      <w:r w:rsidR="00FA371A" w:rsidRPr="00FA371A">
        <w:rPr>
          <w:rFonts w:ascii="Century Gothic" w:hAnsi="Century Gothic" w:cs="Arial"/>
          <w:sz w:val="22"/>
          <w:szCs w:val="22"/>
        </w:rPr>
        <w:t xml:space="preserve"> el </w:t>
      </w:r>
      <w:bookmarkStart w:id="29" w:name="_Hlk22220251"/>
      <w:r w:rsidR="00FA371A" w:rsidRPr="00FA371A">
        <w:rPr>
          <w:rFonts w:ascii="Century Gothic" w:hAnsi="Century Gothic" w:cs="Arial"/>
          <w:sz w:val="22"/>
          <w:szCs w:val="22"/>
        </w:rPr>
        <w:t xml:space="preserve">trámite de los </w:t>
      </w:r>
      <w:bookmarkStart w:id="30" w:name="_Hlk22220232"/>
      <w:r w:rsidR="00FA371A" w:rsidRPr="00FA371A">
        <w:rPr>
          <w:rFonts w:ascii="Century Gothic" w:hAnsi="Century Gothic" w:cs="Arial"/>
          <w:sz w:val="22"/>
          <w:szCs w:val="22"/>
        </w:rPr>
        <w:t>procesos ej</w:t>
      </w:r>
      <w:r w:rsidR="00FA371A">
        <w:rPr>
          <w:rFonts w:ascii="Century Gothic" w:hAnsi="Century Gothic" w:cs="Arial"/>
          <w:sz w:val="22"/>
          <w:szCs w:val="22"/>
        </w:rPr>
        <w:t xml:space="preserve">ecutivos </w:t>
      </w:r>
      <w:bookmarkEnd w:id="30"/>
      <w:r w:rsidR="00FA371A">
        <w:rPr>
          <w:rFonts w:ascii="Century Gothic" w:hAnsi="Century Gothic" w:cs="Arial"/>
          <w:sz w:val="22"/>
          <w:szCs w:val="22"/>
        </w:rPr>
        <w:t>ante esta jurisdicción</w:t>
      </w:r>
      <w:r w:rsidR="00FA371A" w:rsidRPr="00FA371A">
        <w:rPr>
          <w:rFonts w:ascii="Century Gothic" w:hAnsi="Century Gothic" w:cs="Arial"/>
          <w:sz w:val="22"/>
          <w:szCs w:val="22"/>
        </w:rPr>
        <w:t xml:space="preserve"> se aplica el Código de Procedimiento Civil</w:t>
      </w:r>
      <w:bookmarkEnd w:id="29"/>
      <w:r w:rsidR="00FA371A" w:rsidRPr="00FA371A">
        <w:rPr>
          <w:rFonts w:ascii="Century Gothic" w:hAnsi="Century Gothic" w:cs="Arial"/>
          <w:sz w:val="22"/>
          <w:szCs w:val="22"/>
        </w:rPr>
        <w:t>, por remisión</w:t>
      </w:r>
      <w:r w:rsidR="00FA371A">
        <w:rPr>
          <w:rFonts w:ascii="Century Gothic" w:hAnsi="Century Gothic" w:cs="Arial"/>
          <w:sz w:val="22"/>
          <w:szCs w:val="22"/>
        </w:rPr>
        <w:t xml:space="preserve"> del artículo 267 del </w:t>
      </w:r>
      <w:bookmarkStart w:id="31" w:name="_Hlk22220266"/>
      <w:r w:rsidR="00FA371A">
        <w:rPr>
          <w:rFonts w:ascii="Century Gothic" w:hAnsi="Century Gothic" w:cs="Arial"/>
          <w:sz w:val="22"/>
          <w:szCs w:val="22"/>
        </w:rPr>
        <w:t>C.C.</w:t>
      </w:r>
      <w:r w:rsidR="00FA371A" w:rsidRPr="00FA371A">
        <w:rPr>
          <w:rFonts w:ascii="Century Gothic" w:hAnsi="Century Gothic" w:cs="Arial"/>
          <w:sz w:val="22"/>
          <w:szCs w:val="22"/>
        </w:rPr>
        <w:t xml:space="preserve">A., </w:t>
      </w:r>
      <w:bookmarkEnd w:id="31"/>
      <w:r w:rsidR="00FA371A" w:rsidRPr="00FA371A">
        <w:rPr>
          <w:rFonts w:ascii="Century Gothic" w:hAnsi="Century Gothic" w:cs="Arial"/>
          <w:sz w:val="22"/>
          <w:szCs w:val="22"/>
        </w:rPr>
        <w:t xml:space="preserve">ante la falta de normatividad sobre el tema en </w:t>
      </w:r>
      <w:r w:rsidR="00FA371A">
        <w:rPr>
          <w:rFonts w:ascii="Century Gothic" w:hAnsi="Century Gothic" w:cs="Arial"/>
          <w:sz w:val="22"/>
          <w:szCs w:val="22"/>
        </w:rPr>
        <w:t xml:space="preserve">este último; </w:t>
      </w:r>
      <w:r w:rsidR="00FA371A" w:rsidRPr="00FA371A">
        <w:rPr>
          <w:rFonts w:ascii="Century Gothic" w:hAnsi="Century Gothic" w:cs="Arial"/>
          <w:sz w:val="22"/>
          <w:szCs w:val="22"/>
        </w:rPr>
        <w:t>además</w:t>
      </w:r>
      <w:r w:rsidR="00FA371A">
        <w:rPr>
          <w:rFonts w:ascii="Century Gothic" w:hAnsi="Century Gothic" w:cs="Arial"/>
          <w:sz w:val="22"/>
          <w:szCs w:val="22"/>
        </w:rPr>
        <w:t>, la ley 446 de 1</w:t>
      </w:r>
      <w:r w:rsidR="00FA371A" w:rsidRPr="00FA371A">
        <w:rPr>
          <w:rFonts w:ascii="Century Gothic" w:hAnsi="Century Gothic" w:cs="Arial"/>
          <w:sz w:val="22"/>
          <w:szCs w:val="22"/>
        </w:rPr>
        <w:t>998, al modificar el artículo 87 del C.C.</w:t>
      </w:r>
      <w:r w:rsidR="00FA371A">
        <w:rPr>
          <w:rFonts w:ascii="Century Gothic" w:hAnsi="Century Gothic" w:cs="Arial"/>
          <w:sz w:val="22"/>
          <w:szCs w:val="22"/>
        </w:rPr>
        <w:t>A.</w:t>
      </w:r>
      <w:r w:rsidR="00FA371A" w:rsidRPr="00FA371A">
        <w:rPr>
          <w:rFonts w:ascii="Century Gothic" w:hAnsi="Century Gothic" w:cs="Arial"/>
          <w:sz w:val="22"/>
          <w:szCs w:val="22"/>
        </w:rPr>
        <w:t xml:space="preserve">, expresamente dispuso </w:t>
      </w:r>
      <w:r w:rsidR="00FA371A">
        <w:rPr>
          <w:rFonts w:ascii="Century Gothic" w:hAnsi="Century Gothic" w:cs="Arial"/>
          <w:sz w:val="22"/>
          <w:szCs w:val="22"/>
        </w:rPr>
        <w:t xml:space="preserve">que </w:t>
      </w:r>
      <w:r w:rsidR="00FA371A" w:rsidRPr="00FA371A">
        <w:rPr>
          <w:rFonts w:ascii="Century Gothic" w:hAnsi="Century Gothic" w:cs="Arial"/>
          <w:sz w:val="22"/>
          <w:szCs w:val="22"/>
        </w:rPr>
        <w:t xml:space="preserve">el trámite a seguir </w:t>
      </w:r>
      <w:r w:rsidR="00FA371A">
        <w:rPr>
          <w:rFonts w:ascii="Century Gothic" w:hAnsi="Century Gothic" w:cs="Arial"/>
          <w:sz w:val="22"/>
          <w:szCs w:val="22"/>
        </w:rPr>
        <w:t xml:space="preserve">en </w:t>
      </w:r>
      <w:r w:rsidR="00FA371A" w:rsidRPr="00FA371A">
        <w:rPr>
          <w:rFonts w:ascii="Century Gothic" w:hAnsi="Century Gothic" w:cs="Arial"/>
          <w:sz w:val="22"/>
          <w:szCs w:val="22"/>
        </w:rPr>
        <w:t>los proceso</w:t>
      </w:r>
      <w:r w:rsidR="00FA371A">
        <w:rPr>
          <w:rFonts w:ascii="Century Gothic" w:hAnsi="Century Gothic" w:cs="Arial"/>
          <w:sz w:val="22"/>
          <w:szCs w:val="22"/>
        </w:rPr>
        <w:t>s ejecutivos</w:t>
      </w:r>
      <w:r w:rsidR="00FA371A" w:rsidRPr="00FA371A">
        <w:rPr>
          <w:rFonts w:ascii="Century Gothic" w:hAnsi="Century Gothic" w:cs="Arial"/>
          <w:sz w:val="22"/>
          <w:szCs w:val="22"/>
        </w:rPr>
        <w:t xml:space="preserve"> sería </w:t>
      </w:r>
      <w:r w:rsidR="00346B3E">
        <w:rPr>
          <w:rFonts w:ascii="Century Gothic" w:hAnsi="Century Gothic" w:cs="Arial"/>
          <w:sz w:val="22"/>
          <w:szCs w:val="22"/>
        </w:rPr>
        <w:t>el</w:t>
      </w:r>
      <w:r w:rsidR="00FA371A" w:rsidRPr="00FA371A">
        <w:rPr>
          <w:rFonts w:ascii="Century Gothic" w:hAnsi="Century Gothic" w:cs="Arial"/>
          <w:sz w:val="22"/>
          <w:szCs w:val="22"/>
        </w:rPr>
        <w:t xml:space="preserve"> de mayor cuantía regulado </w:t>
      </w:r>
      <w:r w:rsidR="00346B3E">
        <w:rPr>
          <w:rFonts w:ascii="Century Gothic" w:hAnsi="Century Gothic" w:cs="Arial"/>
          <w:sz w:val="22"/>
          <w:szCs w:val="22"/>
        </w:rPr>
        <w:t>por el Código de Procedimiento Civil</w:t>
      </w:r>
      <w:r w:rsidR="00346B3E">
        <w:rPr>
          <w:rStyle w:val="Refdenotaalpie"/>
          <w:rFonts w:ascii="Century Gothic" w:hAnsi="Century Gothic" w:cs="Arial"/>
          <w:sz w:val="22"/>
          <w:szCs w:val="22"/>
        </w:rPr>
        <w:footnoteReference w:id="18"/>
      </w:r>
      <w:r w:rsidR="00FA371A" w:rsidRPr="00FA371A">
        <w:rPr>
          <w:rFonts w:ascii="Century Gothic" w:hAnsi="Century Gothic" w:cs="Arial"/>
          <w:sz w:val="22"/>
          <w:szCs w:val="22"/>
        </w:rPr>
        <w:t>.</w:t>
      </w:r>
    </w:p>
    <w:p w14:paraId="553AC25F" w14:textId="77777777" w:rsidR="00346B3E" w:rsidRDefault="00346B3E" w:rsidP="00FA371A">
      <w:pPr>
        <w:pStyle w:val="NormalWeb"/>
        <w:spacing w:before="0" w:beforeAutospacing="0" w:after="0" w:afterAutospacing="0" w:line="360" w:lineRule="auto"/>
        <w:jc w:val="both"/>
        <w:rPr>
          <w:rFonts w:ascii="Century Gothic" w:hAnsi="Century Gothic" w:cs="Arial"/>
          <w:sz w:val="22"/>
          <w:szCs w:val="22"/>
        </w:rPr>
      </w:pPr>
    </w:p>
    <w:p w14:paraId="4A3FA375" w14:textId="77777777" w:rsidR="00FA371A" w:rsidRPr="00FA371A" w:rsidRDefault="00FA371A" w:rsidP="00FA371A">
      <w:pPr>
        <w:pStyle w:val="NormalWeb"/>
        <w:spacing w:before="0" w:beforeAutospacing="0" w:after="0" w:afterAutospacing="0" w:line="360" w:lineRule="auto"/>
        <w:jc w:val="both"/>
        <w:rPr>
          <w:rFonts w:ascii="Century Gothic" w:hAnsi="Century Gothic" w:cs="Arial"/>
          <w:sz w:val="22"/>
          <w:szCs w:val="22"/>
        </w:rPr>
      </w:pPr>
      <w:r w:rsidRPr="00FA371A">
        <w:rPr>
          <w:rFonts w:ascii="Century Gothic" w:hAnsi="Century Gothic" w:cs="Arial"/>
          <w:sz w:val="22"/>
          <w:szCs w:val="22"/>
        </w:rPr>
        <w:t>La interpretación sistemática de esta disposición</w:t>
      </w:r>
      <w:r w:rsidR="00346B3E">
        <w:rPr>
          <w:rFonts w:ascii="Century Gothic" w:hAnsi="Century Gothic" w:cs="Arial"/>
          <w:sz w:val="22"/>
          <w:szCs w:val="22"/>
        </w:rPr>
        <w:t>,</w:t>
      </w:r>
      <w:r w:rsidRPr="00FA371A">
        <w:rPr>
          <w:rFonts w:ascii="Century Gothic" w:hAnsi="Century Gothic" w:cs="Arial"/>
          <w:sz w:val="22"/>
          <w:szCs w:val="22"/>
        </w:rPr>
        <w:t xml:space="preserve"> ubicada en la acción relativa a controversias contractuales, con e</w:t>
      </w:r>
      <w:r w:rsidR="00346B3E">
        <w:rPr>
          <w:rFonts w:ascii="Century Gothic" w:hAnsi="Century Gothic" w:cs="Arial"/>
          <w:sz w:val="22"/>
          <w:szCs w:val="22"/>
        </w:rPr>
        <w:t>l artículo 75 de la ley 80 de 1</w:t>
      </w:r>
      <w:r w:rsidRPr="00FA371A">
        <w:rPr>
          <w:rFonts w:ascii="Century Gothic" w:hAnsi="Century Gothic" w:cs="Arial"/>
          <w:sz w:val="22"/>
          <w:szCs w:val="22"/>
        </w:rPr>
        <w:t>993, que asignó a la jurisdicción contencioso administrativa la competencia para conocer de los procesos de ejecución derivados de los contratos estatales, permite concluir que ese también es el trámite a seguir cuando el ejecutivo proviene directamente de</w:t>
      </w:r>
      <w:r w:rsidR="00A0553E">
        <w:rPr>
          <w:rFonts w:ascii="Century Gothic" w:hAnsi="Century Gothic" w:cs="Arial"/>
          <w:sz w:val="22"/>
          <w:szCs w:val="22"/>
        </w:rPr>
        <w:t xml:space="preserve"> una relación contractual</w:t>
      </w:r>
      <w:r w:rsidRPr="00FA371A">
        <w:rPr>
          <w:rFonts w:ascii="Century Gothic" w:hAnsi="Century Gothic" w:cs="Arial"/>
          <w:sz w:val="22"/>
          <w:szCs w:val="22"/>
        </w:rPr>
        <w:t>, aunque no medie condena.</w:t>
      </w:r>
    </w:p>
    <w:bookmarkEnd w:id="28"/>
    <w:p w14:paraId="066E9D65" w14:textId="77777777" w:rsidR="00346B3E" w:rsidRDefault="00346B3E" w:rsidP="00FA371A">
      <w:pPr>
        <w:pStyle w:val="NormalWeb"/>
        <w:spacing w:before="0" w:beforeAutospacing="0" w:after="0" w:afterAutospacing="0" w:line="360" w:lineRule="auto"/>
        <w:jc w:val="both"/>
        <w:rPr>
          <w:rFonts w:ascii="Century Gothic" w:hAnsi="Century Gothic" w:cs="Arial"/>
          <w:sz w:val="22"/>
          <w:szCs w:val="22"/>
        </w:rPr>
      </w:pPr>
    </w:p>
    <w:p w14:paraId="5C98CFA8" w14:textId="77777777" w:rsidR="00FA371A" w:rsidRDefault="00FA371A" w:rsidP="00FA371A">
      <w:pPr>
        <w:pStyle w:val="NormalWeb"/>
        <w:spacing w:before="0" w:beforeAutospacing="0" w:after="0" w:afterAutospacing="0" w:line="360" w:lineRule="auto"/>
        <w:jc w:val="both"/>
        <w:rPr>
          <w:rFonts w:ascii="Century Gothic" w:hAnsi="Century Gothic" w:cs="Arial"/>
          <w:sz w:val="22"/>
          <w:szCs w:val="22"/>
        </w:rPr>
      </w:pPr>
      <w:r w:rsidRPr="00FA371A">
        <w:rPr>
          <w:rFonts w:ascii="Century Gothic" w:hAnsi="Century Gothic" w:cs="Arial"/>
          <w:sz w:val="22"/>
          <w:szCs w:val="22"/>
        </w:rPr>
        <w:t>Por esta razón, cualquier aspecto relacionado con la condena en costas y perjuicios en el proceso ejecutivo también deberá resolverse con fundamento en las normas del Código de Procedimiento Civil que regulan la materia.</w:t>
      </w:r>
    </w:p>
    <w:p w14:paraId="6D634110" w14:textId="77777777" w:rsidR="00A0553E" w:rsidRPr="00FA371A" w:rsidRDefault="00A0553E" w:rsidP="00FA371A">
      <w:pPr>
        <w:pStyle w:val="NormalWeb"/>
        <w:spacing w:before="0" w:beforeAutospacing="0" w:after="0" w:afterAutospacing="0" w:line="360" w:lineRule="auto"/>
        <w:jc w:val="both"/>
        <w:rPr>
          <w:rFonts w:ascii="Century Gothic" w:hAnsi="Century Gothic" w:cs="Arial"/>
          <w:sz w:val="22"/>
          <w:szCs w:val="22"/>
        </w:rPr>
      </w:pPr>
    </w:p>
    <w:p w14:paraId="13C3E545" w14:textId="77777777" w:rsidR="00FA371A" w:rsidRPr="00834A36" w:rsidRDefault="00FA371A" w:rsidP="00834A36">
      <w:pPr>
        <w:pStyle w:val="NormalWeb"/>
        <w:spacing w:before="0" w:beforeAutospacing="0" w:after="0" w:afterAutospacing="0" w:line="360" w:lineRule="auto"/>
        <w:jc w:val="both"/>
        <w:rPr>
          <w:rFonts w:ascii="Century Gothic" w:hAnsi="Century Gothic" w:cs="Arial"/>
          <w:sz w:val="22"/>
          <w:szCs w:val="22"/>
        </w:rPr>
      </w:pPr>
      <w:bookmarkStart w:id="32" w:name="_Hlk22220435"/>
      <w:r w:rsidRPr="00834A36">
        <w:rPr>
          <w:rFonts w:ascii="Century Gothic" w:hAnsi="Century Gothic" w:cs="Arial"/>
          <w:sz w:val="22"/>
          <w:szCs w:val="22"/>
        </w:rPr>
        <w:t xml:space="preserve">La institución de las </w:t>
      </w:r>
      <w:bookmarkStart w:id="33" w:name="_Hlk22220394"/>
      <w:r w:rsidRPr="00834A36">
        <w:rPr>
          <w:rFonts w:ascii="Century Gothic" w:hAnsi="Century Gothic" w:cs="Arial"/>
          <w:sz w:val="22"/>
          <w:szCs w:val="22"/>
        </w:rPr>
        <w:t xml:space="preserve">costas procesales </w:t>
      </w:r>
      <w:bookmarkEnd w:id="33"/>
      <w:r w:rsidRPr="00834A36">
        <w:rPr>
          <w:rFonts w:ascii="Century Gothic" w:hAnsi="Century Gothic" w:cs="Arial"/>
          <w:sz w:val="22"/>
          <w:szCs w:val="22"/>
        </w:rPr>
        <w:t>fue consagrada por el legislador con el fin de sancionar a la parte que resulta vencida en el litigio,</w:t>
      </w:r>
      <w:r w:rsidR="00BC6037">
        <w:rPr>
          <w:rFonts w:ascii="Century Gothic" w:hAnsi="Century Gothic" w:cs="Arial"/>
          <w:sz w:val="22"/>
          <w:szCs w:val="22"/>
        </w:rPr>
        <w:t xml:space="preserve"> sanción</w:t>
      </w:r>
      <w:r w:rsidRPr="00834A36">
        <w:rPr>
          <w:rFonts w:ascii="Century Gothic" w:hAnsi="Century Gothic" w:cs="Arial"/>
          <w:sz w:val="22"/>
          <w:szCs w:val="22"/>
        </w:rPr>
        <w:t xml:space="preserve"> que consiste en el reconocimiento a favor de la parte vencedora de aquellos gastos en que in</w:t>
      </w:r>
      <w:r w:rsidR="00BC6037">
        <w:rPr>
          <w:rFonts w:ascii="Century Gothic" w:hAnsi="Century Gothic" w:cs="Arial"/>
          <w:sz w:val="22"/>
          <w:szCs w:val="22"/>
        </w:rPr>
        <w:t>currió para impulsar el proceso</w:t>
      </w:r>
      <w:r w:rsidRPr="00834A36">
        <w:rPr>
          <w:rFonts w:ascii="Century Gothic" w:hAnsi="Century Gothic" w:cs="Arial"/>
          <w:sz w:val="22"/>
          <w:szCs w:val="22"/>
        </w:rPr>
        <w:t xml:space="preserve"> y lo que debió sufragar en honorarios de abogado (agencias en derecho), indispensables para su actuación dentro del mismo</w:t>
      </w:r>
      <w:r w:rsidR="00BC6037">
        <w:rPr>
          <w:rStyle w:val="Refdenotaalpie"/>
          <w:rFonts w:ascii="Century Gothic" w:hAnsi="Century Gothic" w:cs="Arial"/>
          <w:sz w:val="22"/>
          <w:szCs w:val="22"/>
        </w:rPr>
        <w:footnoteReference w:id="19"/>
      </w:r>
      <w:r w:rsidRPr="00834A36">
        <w:rPr>
          <w:rFonts w:ascii="Century Gothic" w:hAnsi="Century Gothic" w:cs="Arial"/>
          <w:sz w:val="22"/>
          <w:szCs w:val="22"/>
        </w:rPr>
        <w:t>.</w:t>
      </w:r>
    </w:p>
    <w:bookmarkEnd w:id="32"/>
    <w:p w14:paraId="5D3F559E" w14:textId="77777777" w:rsidR="00346B3E" w:rsidRPr="00834A36" w:rsidRDefault="00346B3E" w:rsidP="00BC6037">
      <w:pPr>
        <w:pStyle w:val="NormalWeb"/>
        <w:spacing w:before="0" w:beforeAutospacing="0" w:after="0" w:afterAutospacing="0" w:line="360" w:lineRule="auto"/>
        <w:jc w:val="both"/>
        <w:rPr>
          <w:rFonts w:ascii="Century Gothic" w:hAnsi="Century Gothic" w:cs="Arial"/>
          <w:sz w:val="22"/>
          <w:szCs w:val="22"/>
        </w:rPr>
      </w:pPr>
    </w:p>
    <w:p w14:paraId="61C46829" w14:textId="77777777" w:rsidR="002903AC" w:rsidRPr="00834A36" w:rsidRDefault="002903AC" w:rsidP="00BC6037">
      <w:pPr>
        <w:spacing w:line="360" w:lineRule="auto"/>
        <w:jc w:val="both"/>
        <w:rPr>
          <w:rFonts w:ascii="Century Gothic" w:hAnsi="Century Gothic"/>
          <w:sz w:val="22"/>
          <w:szCs w:val="22"/>
        </w:rPr>
      </w:pPr>
      <w:bookmarkStart w:id="34" w:name="_Hlk22220467"/>
      <w:r w:rsidRPr="00BC6037">
        <w:rPr>
          <w:rFonts w:ascii="Century Gothic" w:hAnsi="Century Gothic"/>
          <w:sz w:val="22"/>
          <w:szCs w:val="22"/>
        </w:rPr>
        <w:t>L</w:t>
      </w:r>
      <w:r w:rsidR="00346B3E" w:rsidRPr="00BC6037">
        <w:rPr>
          <w:rFonts w:ascii="Century Gothic" w:hAnsi="Century Gothic"/>
          <w:sz w:val="22"/>
          <w:szCs w:val="22"/>
        </w:rPr>
        <w:t xml:space="preserve">as </w:t>
      </w:r>
      <w:r w:rsidR="00346B3E" w:rsidRPr="00BC6037">
        <w:rPr>
          <w:rFonts w:ascii="Century Gothic" w:hAnsi="Century Gothic"/>
          <w:iCs/>
          <w:sz w:val="22"/>
          <w:szCs w:val="22"/>
        </w:rPr>
        <w:t>costas</w:t>
      </w:r>
      <w:r w:rsidR="00346B3E" w:rsidRPr="00834A36">
        <w:rPr>
          <w:rFonts w:ascii="Century Gothic" w:hAnsi="Century Gothic"/>
          <w:sz w:val="22"/>
          <w:szCs w:val="22"/>
        </w:rPr>
        <w:t xml:space="preserve"> </w:t>
      </w:r>
      <w:r w:rsidR="00BC6037">
        <w:rPr>
          <w:rFonts w:ascii="Century Gothic" w:hAnsi="Century Gothic"/>
          <w:sz w:val="22"/>
          <w:szCs w:val="22"/>
        </w:rPr>
        <w:t xml:space="preserve">judiciales </w:t>
      </w:r>
      <w:r w:rsidR="00346B3E" w:rsidRPr="00834A36">
        <w:rPr>
          <w:rFonts w:ascii="Century Gothic" w:hAnsi="Century Gothic"/>
          <w:sz w:val="22"/>
          <w:szCs w:val="22"/>
        </w:rPr>
        <w:t>pueden ser definidas como aquella erogación económica que corresponde efectuar a la parte que resulte vencida en un proceso judicial</w:t>
      </w:r>
      <w:r w:rsidRPr="00834A36">
        <w:rPr>
          <w:rFonts w:ascii="Century Gothic" w:hAnsi="Century Gothic"/>
          <w:sz w:val="22"/>
          <w:szCs w:val="22"/>
        </w:rPr>
        <w:t>.</w:t>
      </w:r>
      <w:r w:rsidR="00346B3E" w:rsidRPr="00834A36">
        <w:rPr>
          <w:rFonts w:ascii="Century Gothic" w:hAnsi="Century Gothic"/>
          <w:sz w:val="22"/>
          <w:szCs w:val="22"/>
        </w:rPr>
        <w:t xml:space="preserve"> Esta carga económica comprende, por una parte, las </w:t>
      </w:r>
      <w:r w:rsidR="00346B3E" w:rsidRPr="00834A36">
        <w:rPr>
          <w:rFonts w:ascii="Century Gothic" w:hAnsi="Century Gothic"/>
          <w:i/>
          <w:iCs/>
          <w:sz w:val="22"/>
          <w:szCs w:val="22"/>
        </w:rPr>
        <w:t>expensas</w:t>
      </w:r>
      <w:r w:rsidR="00346B3E" w:rsidRPr="00834A36">
        <w:rPr>
          <w:rFonts w:ascii="Century Gothic" w:hAnsi="Century Gothic"/>
          <w:sz w:val="22"/>
          <w:szCs w:val="22"/>
        </w:rPr>
        <w:t xml:space="preserve">, es decir, todos aquellos gastos necesarios para el trámite del juicio distintos del pago de apoderados (honorarios de peritos, impuestos de timbre, copias, gastos de desplazamiento en diligencias realizadas fuera de la sede del despacho judicial, etc.) y, de otro lado, las </w:t>
      </w:r>
      <w:r w:rsidR="00346B3E" w:rsidRPr="00834A36">
        <w:rPr>
          <w:rFonts w:ascii="Century Gothic" w:hAnsi="Century Gothic"/>
          <w:i/>
          <w:iCs/>
          <w:sz w:val="22"/>
          <w:szCs w:val="22"/>
        </w:rPr>
        <w:t>agencias en derecho</w:t>
      </w:r>
      <w:r w:rsidR="00346B3E" w:rsidRPr="00834A36">
        <w:rPr>
          <w:rFonts w:ascii="Century Gothic" w:hAnsi="Century Gothic"/>
          <w:sz w:val="22"/>
          <w:szCs w:val="22"/>
        </w:rPr>
        <w:t xml:space="preserve">, </w:t>
      </w:r>
      <w:r w:rsidR="00BC6037">
        <w:rPr>
          <w:rFonts w:ascii="Century Gothic" w:hAnsi="Century Gothic"/>
          <w:sz w:val="22"/>
          <w:szCs w:val="22"/>
        </w:rPr>
        <w:t xml:space="preserve">que corresponden </w:t>
      </w:r>
      <w:r w:rsidR="00346B3E" w:rsidRPr="00834A36">
        <w:rPr>
          <w:rFonts w:ascii="Century Gothic" w:hAnsi="Century Gothic"/>
          <w:sz w:val="22"/>
          <w:szCs w:val="22"/>
        </w:rPr>
        <w:t>a los gastos efectuados por concepto</w:t>
      </w:r>
      <w:r w:rsidRPr="00834A36">
        <w:rPr>
          <w:rFonts w:ascii="Century Gothic" w:hAnsi="Century Gothic"/>
          <w:sz w:val="22"/>
          <w:szCs w:val="22"/>
        </w:rPr>
        <w:t xml:space="preserve"> de apoderamiento, las cuales –valga </w:t>
      </w:r>
      <w:r w:rsidR="00346B3E" w:rsidRPr="00834A36">
        <w:rPr>
          <w:rFonts w:ascii="Century Gothic" w:hAnsi="Century Gothic"/>
          <w:sz w:val="22"/>
          <w:szCs w:val="22"/>
        </w:rPr>
        <w:t xml:space="preserve">precisarlo - se </w:t>
      </w:r>
      <w:r w:rsidR="00346B3E" w:rsidRPr="00834A36">
        <w:rPr>
          <w:rFonts w:ascii="Century Gothic" w:hAnsi="Century Gothic"/>
          <w:sz w:val="22"/>
          <w:szCs w:val="22"/>
        </w:rPr>
        <w:lastRenderedPageBreak/>
        <w:t xml:space="preserve">decretan en favor de la parte y no de su representante judicial. Aunque las agencias en derecho representan una contraprestación por los gastos en que incurrió </w:t>
      </w:r>
      <w:r w:rsidR="0067076D">
        <w:rPr>
          <w:rFonts w:ascii="Century Gothic" w:hAnsi="Century Gothic"/>
          <w:sz w:val="22"/>
          <w:szCs w:val="22"/>
        </w:rPr>
        <w:t xml:space="preserve">la parte vencedora </w:t>
      </w:r>
      <w:r w:rsidR="00346B3E" w:rsidRPr="00834A36">
        <w:rPr>
          <w:rFonts w:ascii="Century Gothic" w:hAnsi="Century Gothic"/>
          <w:sz w:val="22"/>
          <w:szCs w:val="22"/>
        </w:rPr>
        <w:t xml:space="preserve">para ejercer la defensa judicial de </w:t>
      </w:r>
      <w:r w:rsidRPr="00834A36">
        <w:rPr>
          <w:rFonts w:ascii="Century Gothic" w:hAnsi="Century Gothic"/>
          <w:sz w:val="22"/>
          <w:szCs w:val="22"/>
        </w:rPr>
        <w:t>sus intereses, es el juez quien con base en los acuerdos expedidos por el Consejo Superior de la Judicatura</w:t>
      </w:r>
      <w:r w:rsidR="00346B3E" w:rsidRPr="00834A36">
        <w:rPr>
          <w:rFonts w:ascii="Century Gothic" w:hAnsi="Century Gothic"/>
          <w:sz w:val="22"/>
          <w:szCs w:val="22"/>
        </w:rPr>
        <w:t>, fija la condena por este concepto</w:t>
      </w:r>
      <w:r w:rsidRPr="00834A36">
        <w:rPr>
          <w:rFonts w:ascii="Century Gothic" w:hAnsi="Century Gothic"/>
          <w:sz w:val="22"/>
          <w:szCs w:val="22"/>
        </w:rPr>
        <w:t>,</w:t>
      </w:r>
      <w:r w:rsidR="00346B3E" w:rsidRPr="00834A36">
        <w:rPr>
          <w:rFonts w:ascii="Century Gothic" w:hAnsi="Century Gothic"/>
          <w:sz w:val="22"/>
          <w:szCs w:val="22"/>
        </w:rPr>
        <w:t xml:space="preserve"> con base</w:t>
      </w:r>
      <w:r w:rsidRPr="00834A36">
        <w:rPr>
          <w:rFonts w:ascii="Century Gothic" w:hAnsi="Century Gothic"/>
          <w:sz w:val="22"/>
          <w:szCs w:val="22"/>
        </w:rPr>
        <w:t>, claro ésta,</w:t>
      </w:r>
      <w:r w:rsidR="00346B3E" w:rsidRPr="00834A36">
        <w:rPr>
          <w:rFonts w:ascii="Century Gothic" w:hAnsi="Century Gothic"/>
          <w:sz w:val="22"/>
          <w:szCs w:val="22"/>
        </w:rPr>
        <w:t xml:space="preserve"> en los criterios establecidos en el artículo 393-3 del Código de Procedimiento Civil (</w:t>
      </w:r>
      <w:r w:rsidRPr="00834A36">
        <w:rPr>
          <w:rFonts w:ascii="Century Gothic" w:hAnsi="Century Gothic"/>
          <w:sz w:val="22"/>
          <w:szCs w:val="22"/>
        </w:rPr>
        <w:t>atendiendo a la</w:t>
      </w:r>
      <w:r w:rsidR="00346B3E" w:rsidRPr="00834A36">
        <w:rPr>
          <w:rFonts w:ascii="Century Gothic" w:hAnsi="Century Gothic"/>
          <w:sz w:val="22"/>
          <w:szCs w:val="22"/>
        </w:rPr>
        <w:t xml:space="preserve"> naturaleza, </w:t>
      </w:r>
      <w:r w:rsidRPr="00834A36">
        <w:rPr>
          <w:rFonts w:ascii="Century Gothic" w:hAnsi="Century Gothic"/>
          <w:sz w:val="22"/>
          <w:szCs w:val="22"/>
        </w:rPr>
        <w:t xml:space="preserve">la </w:t>
      </w:r>
      <w:r w:rsidR="00346B3E" w:rsidRPr="00834A36">
        <w:rPr>
          <w:rFonts w:ascii="Century Gothic" w:hAnsi="Century Gothic"/>
          <w:sz w:val="22"/>
          <w:szCs w:val="22"/>
        </w:rPr>
        <w:t>calidad</w:t>
      </w:r>
      <w:r w:rsidRPr="00834A36">
        <w:rPr>
          <w:rFonts w:ascii="Century Gothic" w:hAnsi="Century Gothic"/>
          <w:sz w:val="22"/>
          <w:szCs w:val="22"/>
        </w:rPr>
        <w:t xml:space="preserve"> de la actuación</w:t>
      </w:r>
      <w:r w:rsidR="00346B3E" w:rsidRPr="00834A36">
        <w:rPr>
          <w:rFonts w:ascii="Century Gothic" w:hAnsi="Century Gothic"/>
          <w:sz w:val="22"/>
          <w:szCs w:val="22"/>
        </w:rPr>
        <w:t xml:space="preserve"> y </w:t>
      </w:r>
      <w:r w:rsidRPr="00834A36">
        <w:rPr>
          <w:rFonts w:ascii="Century Gothic" w:hAnsi="Century Gothic"/>
          <w:sz w:val="22"/>
          <w:szCs w:val="22"/>
        </w:rPr>
        <w:t xml:space="preserve">la </w:t>
      </w:r>
      <w:r w:rsidR="00346B3E" w:rsidRPr="00834A36">
        <w:rPr>
          <w:rFonts w:ascii="Century Gothic" w:hAnsi="Century Gothic"/>
          <w:sz w:val="22"/>
          <w:szCs w:val="22"/>
        </w:rPr>
        <w:t xml:space="preserve">duración de la gestión realizada por el representante judicial o la parte que litigó personalmente). </w:t>
      </w:r>
    </w:p>
    <w:p w14:paraId="46DCDDF6" w14:textId="77777777" w:rsidR="002903AC" w:rsidRPr="00834A36" w:rsidRDefault="002903AC" w:rsidP="00BC6037">
      <w:pPr>
        <w:spacing w:line="360" w:lineRule="auto"/>
        <w:jc w:val="both"/>
        <w:rPr>
          <w:rFonts w:ascii="Century Gothic" w:hAnsi="Century Gothic"/>
          <w:sz w:val="22"/>
          <w:szCs w:val="22"/>
        </w:rPr>
      </w:pPr>
    </w:p>
    <w:bookmarkEnd w:id="34"/>
    <w:p w14:paraId="223C03E1" w14:textId="77777777" w:rsidR="00346B3E" w:rsidRPr="00834A36" w:rsidRDefault="00346B3E" w:rsidP="00BC6037">
      <w:pPr>
        <w:spacing w:line="360" w:lineRule="auto"/>
        <w:jc w:val="both"/>
        <w:rPr>
          <w:rFonts w:ascii="Century Gothic" w:hAnsi="Century Gothic"/>
          <w:sz w:val="22"/>
          <w:szCs w:val="22"/>
        </w:rPr>
      </w:pPr>
      <w:r w:rsidRPr="00834A36">
        <w:rPr>
          <w:rFonts w:ascii="Century Gothic" w:hAnsi="Century Gothic"/>
          <w:sz w:val="22"/>
          <w:szCs w:val="22"/>
        </w:rPr>
        <w:t>Dicha condena no corresponde, necesariamente, a los honorarios efectivamente pagados por la parte vencedora a su apoderado</w:t>
      </w:r>
      <w:r w:rsidR="002903AC" w:rsidRPr="00834A36">
        <w:rPr>
          <w:rFonts w:ascii="Century Gothic" w:hAnsi="Century Gothic"/>
          <w:sz w:val="22"/>
          <w:szCs w:val="22"/>
        </w:rPr>
        <w:t>, como equivocadamente lo afirma la parte ejecutante en este proceso</w:t>
      </w:r>
      <w:r w:rsidRPr="00834A36">
        <w:rPr>
          <w:rFonts w:ascii="Century Gothic" w:hAnsi="Century Gothic"/>
          <w:sz w:val="22"/>
          <w:szCs w:val="22"/>
        </w:rPr>
        <w:t>.</w:t>
      </w:r>
    </w:p>
    <w:p w14:paraId="736D9C96" w14:textId="77777777" w:rsidR="00346B3E" w:rsidRPr="00834A36" w:rsidRDefault="00346B3E" w:rsidP="00BC6037">
      <w:pPr>
        <w:pStyle w:val="NormalWeb"/>
        <w:spacing w:before="0" w:beforeAutospacing="0" w:after="0" w:afterAutospacing="0" w:line="360" w:lineRule="auto"/>
        <w:jc w:val="both"/>
        <w:rPr>
          <w:rFonts w:ascii="Century Gothic" w:hAnsi="Century Gothic" w:cs="Arial"/>
          <w:sz w:val="22"/>
          <w:szCs w:val="22"/>
        </w:rPr>
      </w:pPr>
    </w:p>
    <w:p w14:paraId="4F1D1C21" w14:textId="77777777" w:rsidR="00834A36" w:rsidRDefault="002903AC" w:rsidP="00834A36">
      <w:pPr>
        <w:pStyle w:val="NormalWeb"/>
        <w:spacing w:before="0" w:beforeAutospacing="0" w:after="0" w:afterAutospacing="0" w:line="360" w:lineRule="auto"/>
        <w:jc w:val="both"/>
        <w:rPr>
          <w:rFonts w:ascii="Century Gothic" w:hAnsi="Century Gothic"/>
          <w:sz w:val="22"/>
          <w:szCs w:val="22"/>
        </w:rPr>
      </w:pPr>
      <w:r w:rsidRPr="00834A36">
        <w:rPr>
          <w:rFonts w:ascii="Century Gothic" w:hAnsi="Century Gothic"/>
          <w:sz w:val="22"/>
          <w:szCs w:val="22"/>
        </w:rPr>
        <w:t>Vale la pena recordar que, en el régimen del Código de Procedimiento Civil, la condena en costas obedece a un criterio objetivo, como quiera que la misma se impone a la parte que resulta vencida en el proceso, sin que</w:t>
      </w:r>
      <w:r w:rsidR="00834A36">
        <w:rPr>
          <w:rFonts w:ascii="Century Gothic" w:hAnsi="Century Gothic"/>
          <w:sz w:val="22"/>
          <w:szCs w:val="22"/>
        </w:rPr>
        <w:t xml:space="preserve"> deba </w:t>
      </w:r>
      <w:r w:rsidRPr="00834A36">
        <w:rPr>
          <w:rFonts w:ascii="Century Gothic" w:hAnsi="Century Gothic"/>
          <w:sz w:val="22"/>
          <w:szCs w:val="22"/>
        </w:rPr>
        <w:t>examinarse su comportamiento procesal, es decir, si hubo o no culpa</w:t>
      </w:r>
      <w:r w:rsidR="00834A36">
        <w:rPr>
          <w:rFonts w:ascii="Century Gothic" w:hAnsi="Century Gothic"/>
          <w:sz w:val="22"/>
          <w:szCs w:val="22"/>
        </w:rPr>
        <w:t xml:space="preserve"> o temeridad</w:t>
      </w:r>
      <w:r w:rsidRPr="00834A36">
        <w:rPr>
          <w:rFonts w:ascii="Century Gothic" w:hAnsi="Century Gothic"/>
          <w:sz w:val="22"/>
          <w:szCs w:val="22"/>
        </w:rPr>
        <w:t xml:space="preserve"> en sus actuaciones. </w:t>
      </w:r>
    </w:p>
    <w:p w14:paraId="2ACCFEB9" w14:textId="77777777" w:rsidR="00834A36" w:rsidRDefault="00834A36" w:rsidP="00834A36">
      <w:pPr>
        <w:pStyle w:val="NormalWeb"/>
        <w:spacing w:before="0" w:beforeAutospacing="0" w:after="0" w:afterAutospacing="0" w:line="360" w:lineRule="auto"/>
        <w:jc w:val="both"/>
        <w:rPr>
          <w:rFonts w:ascii="Century Gothic" w:hAnsi="Century Gothic"/>
          <w:sz w:val="22"/>
          <w:szCs w:val="22"/>
        </w:rPr>
      </w:pPr>
    </w:p>
    <w:p w14:paraId="1554C5CB" w14:textId="77777777" w:rsidR="00FA371A" w:rsidRPr="00834A36" w:rsidRDefault="002903AC" w:rsidP="00834A36">
      <w:pPr>
        <w:pStyle w:val="NormalWeb"/>
        <w:spacing w:before="0" w:beforeAutospacing="0" w:after="0" w:afterAutospacing="0" w:line="360" w:lineRule="auto"/>
        <w:jc w:val="both"/>
        <w:rPr>
          <w:rFonts w:ascii="Century Gothic" w:hAnsi="Century Gothic"/>
          <w:sz w:val="22"/>
          <w:szCs w:val="22"/>
        </w:rPr>
      </w:pPr>
      <w:r w:rsidRPr="00834A36">
        <w:rPr>
          <w:rFonts w:ascii="Century Gothic" w:hAnsi="Century Gothic"/>
          <w:sz w:val="22"/>
          <w:szCs w:val="22"/>
        </w:rPr>
        <w:t xml:space="preserve">En este sentido, la condena en costas no implica que la parte que la soporta haya incurrido en </w:t>
      </w:r>
      <w:r w:rsidR="00834A36">
        <w:rPr>
          <w:rFonts w:ascii="Century Gothic" w:hAnsi="Century Gothic"/>
          <w:sz w:val="22"/>
          <w:szCs w:val="22"/>
        </w:rPr>
        <w:t>conductas contrarias a derecho,</w:t>
      </w:r>
      <w:r w:rsidRPr="00834A36">
        <w:rPr>
          <w:rFonts w:ascii="Century Gothic" w:hAnsi="Century Gothic"/>
          <w:sz w:val="22"/>
          <w:szCs w:val="22"/>
        </w:rPr>
        <w:t xml:space="preserve"> en temeridad o</w:t>
      </w:r>
      <w:r w:rsidR="00834A36">
        <w:rPr>
          <w:rFonts w:ascii="Century Gothic" w:hAnsi="Century Gothic"/>
          <w:sz w:val="22"/>
          <w:szCs w:val="22"/>
        </w:rPr>
        <w:t xml:space="preserve"> en</w:t>
      </w:r>
      <w:r w:rsidRPr="00834A36">
        <w:rPr>
          <w:rFonts w:ascii="Century Gothic" w:hAnsi="Century Gothic"/>
          <w:sz w:val="22"/>
          <w:szCs w:val="22"/>
        </w:rPr>
        <w:t xml:space="preserve"> mala fe</w:t>
      </w:r>
      <w:r w:rsidRPr="00834A36">
        <w:rPr>
          <w:rStyle w:val="Refdenotaalpie"/>
          <w:rFonts w:ascii="Century Gothic" w:hAnsi="Century Gothic"/>
          <w:sz w:val="22"/>
          <w:szCs w:val="22"/>
        </w:rPr>
        <w:footnoteReference w:id="20"/>
      </w:r>
      <w:r w:rsidRPr="00834A36">
        <w:rPr>
          <w:rFonts w:ascii="Century Gothic" w:hAnsi="Century Gothic"/>
          <w:sz w:val="22"/>
          <w:szCs w:val="22"/>
        </w:rPr>
        <w:t xml:space="preserve">. </w:t>
      </w:r>
    </w:p>
    <w:p w14:paraId="7034B444" w14:textId="77777777" w:rsidR="002903AC" w:rsidRPr="00FA371A" w:rsidRDefault="002903AC" w:rsidP="00834A36">
      <w:pPr>
        <w:pStyle w:val="NormalWeb"/>
        <w:spacing w:before="0" w:beforeAutospacing="0" w:after="0" w:afterAutospacing="0" w:line="360" w:lineRule="auto"/>
        <w:jc w:val="both"/>
        <w:rPr>
          <w:rFonts w:ascii="Century Gothic" w:hAnsi="Century Gothic" w:cs="Arial"/>
          <w:sz w:val="22"/>
          <w:szCs w:val="22"/>
        </w:rPr>
      </w:pPr>
    </w:p>
    <w:p w14:paraId="30F48566" w14:textId="77777777" w:rsidR="00FA371A" w:rsidRPr="00FA371A" w:rsidRDefault="00FA371A" w:rsidP="00834A36">
      <w:pPr>
        <w:pStyle w:val="NormalWeb"/>
        <w:spacing w:before="0" w:beforeAutospacing="0" w:after="0" w:afterAutospacing="0" w:line="360" w:lineRule="auto"/>
        <w:jc w:val="both"/>
        <w:rPr>
          <w:rFonts w:ascii="Century Gothic" w:hAnsi="Century Gothic" w:cs="Arial"/>
          <w:sz w:val="22"/>
          <w:szCs w:val="22"/>
        </w:rPr>
      </w:pPr>
      <w:r w:rsidRPr="00FA371A">
        <w:rPr>
          <w:rFonts w:ascii="Century Gothic" w:hAnsi="Century Gothic" w:cs="Arial"/>
          <w:sz w:val="22"/>
          <w:szCs w:val="22"/>
        </w:rPr>
        <w:t xml:space="preserve">El artículo </w:t>
      </w:r>
      <w:r w:rsidR="002903AC">
        <w:rPr>
          <w:rFonts w:ascii="Century Gothic" w:hAnsi="Century Gothic" w:cs="Arial"/>
          <w:sz w:val="22"/>
          <w:szCs w:val="22"/>
        </w:rPr>
        <w:t>510 del C. de P. C. (literal d)</w:t>
      </w:r>
      <w:r w:rsidRPr="00FA371A">
        <w:rPr>
          <w:rFonts w:ascii="Century Gothic" w:hAnsi="Century Gothic" w:cs="Arial"/>
          <w:sz w:val="22"/>
          <w:szCs w:val="22"/>
        </w:rPr>
        <w:t xml:space="preserve"> reguló el trámite de las excepciones en el proceso ejecu</w:t>
      </w:r>
      <w:r w:rsidR="002903AC">
        <w:rPr>
          <w:rFonts w:ascii="Century Gothic" w:hAnsi="Century Gothic" w:cs="Arial"/>
          <w:sz w:val="22"/>
          <w:szCs w:val="22"/>
        </w:rPr>
        <w:t>tivo, así</w:t>
      </w:r>
      <w:r w:rsidRPr="00FA371A">
        <w:rPr>
          <w:rFonts w:ascii="Century Gothic" w:hAnsi="Century Gothic" w:cs="Arial"/>
          <w:sz w:val="22"/>
          <w:szCs w:val="22"/>
        </w:rPr>
        <w:t>:</w:t>
      </w:r>
    </w:p>
    <w:p w14:paraId="2FAE54BA" w14:textId="77777777" w:rsidR="002903AC" w:rsidRDefault="002903AC" w:rsidP="00FA371A">
      <w:pPr>
        <w:pStyle w:val="NormalWeb"/>
        <w:spacing w:before="0" w:beforeAutospacing="0" w:after="0" w:afterAutospacing="0" w:line="360" w:lineRule="auto"/>
        <w:jc w:val="both"/>
        <w:rPr>
          <w:rFonts w:ascii="Century Gothic" w:hAnsi="Century Gothic" w:cs="Arial"/>
          <w:sz w:val="22"/>
          <w:szCs w:val="22"/>
        </w:rPr>
      </w:pPr>
    </w:p>
    <w:p w14:paraId="4DF51FAA" w14:textId="77777777" w:rsidR="00FA371A" w:rsidRPr="002903AC" w:rsidRDefault="00FA371A" w:rsidP="002903AC">
      <w:pPr>
        <w:pStyle w:val="NormalWeb"/>
        <w:spacing w:before="0" w:beforeAutospacing="0" w:after="0" w:afterAutospacing="0"/>
        <w:ind w:left="567" w:right="391"/>
        <w:jc w:val="both"/>
        <w:rPr>
          <w:rFonts w:ascii="Century Gothic" w:hAnsi="Century Gothic" w:cs="Arial"/>
          <w:sz w:val="20"/>
          <w:szCs w:val="20"/>
        </w:rPr>
      </w:pPr>
      <w:r w:rsidRPr="002903AC">
        <w:rPr>
          <w:rFonts w:ascii="Century Gothic" w:hAnsi="Century Gothic" w:cs="Arial"/>
          <w:sz w:val="20"/>
          <w:szCs w:val="20"/>
        </w:rPr>
        <w:t>“La sentencia de excepciones totalmente favorable al demandado pone fin al proceso; en ella se ordenará el desembargo de los bienes perseguidos y se condenará al ejecutante a pagar las costas y los perjuicios que aquél haya sufrido con ocasión de las medidas cautelares y del proceso. La liquidación de los perjuicios se hará como dispone e</w:t>
      </w:r>
      <w:r w:rsidR="002903AC" w:rsidRPr="002903AC">
        <w:rPr>
          <w:rFonts w:ascii="Century Gothic" w:hAnsi="Century Gothic" w:cs="Arial"/>
          <w:sz w:val="20"/>
          <w:szCs w:val="20"/>
        </w:rPr>
        <w:t>l inciso final del artículo 307</w:t>
      </w:r>
      <w:r w:rsidRPr="002903AC">
        <w:rPr>
          <w:rFonts w:ascii="Century Gothic" w:hAnsi="Century Gothic" w:cs="Arial"/>
          <w:sz w:val="20"/>
          <w:szCs w:val="20"/>
        </w:rPr>
        <w:t>”</w:t>
      </w:r>
      <w:r w:rsidR="002903AC" w:rsidRPr="002903AC">
        <w:rPr>
          <w:rFonts w:ascii="Century Gothic" w:hAnsi="Century Gothic" w:cs="Arial"/>
          <w:sz w:val="20"/>
          <w:szCs w:val="20"/>
        </w:rPr>
        <w:t>.</w:t>
      </w:r>
    </w:p>
    <w:p w14:paraId="4FCC8A28" w14:textId="77777777" w:rsidR="002903AC" w:rsidRPr="00FA371A" w:rsidRDefault="002903AC" w:rsidP="00FA371A">
      <w:pPr>
        <w:pStyle w:val="NormalWeb"/>
        <w:spacing w:before="0" w:beforeAutospacing="0" w:after="0" w:afterAutospacing="0" w:line="360" w:lineRule="auto"/>
        <w:jc w:val="both"/>
        <w:rPr>
          <w:rFonts w:ascii="Century Gothic" w:hAnsi="Century Gothic" w:cs="Arial"/>
          <w:sz w:val="22"/>
          <w:szCs w:val="22"/>
        </w:rPr>
      </w:pPr>
    </w:p>
    <w:p w14:paraId="74DD12B8" w14:textId="77777777" w:rsidR="00F80F78" w:rsidRPr="00FA371A" w:rsidRDefault="00FA371A" w:rsidP="00F80F78">
      <w:pPr>
        <w:pStyle w:val="NormalWeb"/>
        <w:spacing w:before="0" w:beforeAutospacing="0" w:after="0" w:afterAutospacing="0" w:line="360" w:lineRule="auto"/>
        <w:jc w:val="both"/>
        <w:rPr>
          <w:rFonts w:ascii="Century Gothic" w:hAnsi="Century Gothic" w:cs="Arial"/>
          <w:sz w:val="22"/>
          <w:szCs w:val="22"/>
        </w:rPr>
      </w:pPr>
      <w:r w:rsidRPr="00FA371A">
        <w:rPr>
          <w:rFonts w:ascii="Century Gothic" w:hAnsi="Century Gothic" w:cs="Arial"/>
          <w:sz w:val="22"/>
          <w:szCs w:val="22"/>
        </w:rPr>
        <w:t>De la norma anterior se desprende que en la sentencia que declara probadas las excepciones propuestas por el ejecutado pone fin al proceso, y de pleno derecho el juez deberá</w:t>
      </w:r>
      <w:r w:rsidR="00F80F78">
        <w:rPr>
          <w:rFonts w:ascii="Century Gothic" w:hAnsi="Century Gothic" w:cs="Arial"/>
          <w:sz w:val="22"/>
          <w:szCs w:val="22"/>
        </w:rPr>
        <w:t>, entre otras cosas, condenar en costas a la parte vencida.</w:t>
      </w:r>
    </w:p>
    <w:p w14:paraId="60241627" w14:textId="77777777" w:rsidR="00FA371A" w:rsidRPr="00FA371A" w:rsidRDefault="00FA371A" w:rsidP="00FA371A">
      <w:pPr>
        <w:pStyle w:val="NormalWeb"/>
        <w:spacing w:before="0" w:beforeAutospacing="0" w:after="0" w:afterAutospacing="0" w:line="360" w:lineRule="auto"/>
        <w:jc w:val="both"/>
        <w:rPr>
          <w:rFonts w:ascii="Century Gothic" w:hAnsi="Century Gothic" w:cs="Arial"/>
          <w:sz w:val="22"/>
          <w:szCs w:val="22"/>
        </w:rPr>
      </w:pPr>
    </w:p>
    <w:p w14:paraId="6372B301" w14:textId="77777777" w:rsidR="008D7A54" w:rsidRDefault="00FA371A" w:rsidP="008D7A54">
      <w:pPr>
        <w:pStyle w:val="NormalWeb"/>
        <w:spacing w:before="0" w:beforeAutospacing="0" w:after="0" w:afterAutospacing="0" w:line="360" w:lineRule="auto"/>
        <w:jc w:val="both"/>
        <w:rPr>
          <w:rFonts w:ascii="Century Gothic" w:hAnsi="Century Gothic" w:cs="Arial"/>
          <w:sz w:val="22"/>
          <w:szCs w:val="22"/>
        </w:rPr>
      </w:pPr>
      <w:r w:rsidRPr="00FA371A">
        <w:rPr>
          <w:rFonts w:ascii="Century Gothic" w:hAnsi="Century Gothic" w:cs="Arial"/>
          <w:sz w:val="22"/>
          <w:szCs w:val="22"/>
        </w:rPr>
        <w:t>Encuentra la Sala que</w:t>
      </w:r>
      <w:r w:rsidR="00F80F78">
        <w:rPr>
          <w:rFonts w:ascii="Century Gothic" w:hAnsi="Century Gothic" w:cs="Arial"/>
          <w:sz w:val="22"/>
          <w:szCs w:val="22"/>
        </w:rPr>
        <w:t>,</w:t>
      </w:r>
      <w:r w:rsidRPr="00FA371A">
        <w:rPr>
          <w:rFonts w:ascii="Century Gothic" w:hAnsi="Century Gothic" w:cs="Arial"/>
          <w:sz w:val="22"/>
          <w:szCs w:val="22"/>
        </w:rPr>
        <w:t xml:space="preserve"> en este caso</w:t>
      </w:r>
      <w:r w:rsidR="00F80F78">
        <w:rPr>
          <w:rFonts w:ascii="Century Gothic" w:hAnsi="Century Gothic" w:cs="Arial"/>
          <w:sz w:val="22"/>
          <w:szCs w:val="22"/>
        </w:rPr>
        <w:t xml:space="preserve">, </w:t>
      </w:r>
      <w:r w:rsidRPr="00FA371A">
        <w:rPr>
          <w:rFonts w:ascii="Century Gothic" w:hAnsi="Century Gothic" w:cs="Arial"/>
          <w:sz w:val="22"/>
          <w:szCs w:val="22"/>
        </w:rPr>
        <w:t xml:space="preserve">están demostrados los supuestos de hecho consagrados en el artículo 510 </w:t>
      </w:r>
      <w:r w:rsidR="00F80F78">
        <w:rPr>
          <w:rFonts w:ascii="Century Gothic" w:hAnsi="Century Gothic" w:cs="Arial"/>
          <w:sz w:val="22"/>
          <w:szCs w:val="22"/>
        </w:rPr>
        <w:t>(literal d)</w:t>
      </w:r>
      <w:r w:rsidRPr="00FA371A">
        <w:rPr>
          <w:rFonts w:ascii="Century Gothic" w:hAnsi="Century Gothic" w:cs="Arial"/>
          <w:sz w:val="22"/>
          <w:szCs w:val="22"/>
        </w:rPr>
        <w:t xml:space="preserve"> del Código de Procedimiento Civil, para que opere de pleno derecho la condena en costas</w:t>
      </w:r>
      <w:r w:rsidR="00834A36">
        <w:rPr>
          <w:rFonts w:ascii="Century Gothic" w:hAnsi="Century Gothic" w:cs="Arial"/>
          <w:sz w:val="22"/>
          <w:szCs w:val="22"/>
        </w:rPr>
        <w:t xml:space="preserve"> a favor del </w:t>
      </w:r>
      <w:r w:rsidRPr="00FA371A">
        <w:rPr>
          <w:rFonts w:ascii="Century Gothic" w:hAnsi="Century Gothic" w:cs="Arial"/>
          <w:sz w:val="22"/>
          <w:szCs w:val="22"/>
        </w:rPr>
        <w:t>ejecutante</w:t>
      </w:r>
      <w:r w:rsidR="00834A36">
        <w:rPr>
          <w:rFonts w:ascii="Century Gothic" w:hAnsi="Century Gothic" w:cs="Arial"/>
          <w:sz w:val="22"/>
          <w:szCs w:val="22"/>
        </w:rPr>
        <w:t>,</w:t>
      </w:r>
      <w:r w:rsidRPr="00FA371A">
        <w:rPr>
          <w:rFonts w:ascii="Century Gothic" w:hAnsi="Century Gothic" w:cs="Arial"/>
          <w:sz w:val="22"/>
          <w:szCs w:val="22"/>
        </w:rPr>
        <w:t xml:space="preserve"> </w:t>
      </w:r>
      <w:r w:rsidR="008D7A54">
        <w:rPr>
          <w:rFonts w:ascii="Century Gothic" w:hAnsi="Century Gothic" w:cs="Arial"/>
          <w:sz w:val="22"/>
          <w:szCs w:val="22"/>
        </w:rPr>
        <w:t xml:space="preserve">a lo </w:t>
      </w:r>
      <w:r w:rsidR="008D7A54">
        <w:rPr>
          <w:rFonts w:ascii="Century Gothic" w:hAnsi="Century Gothic" w:cs="Arial"/>
          <w:sz w:val="22"/>
          <w:szCs w:val="22"/>
        </w:rPr>
        <w:lastRenderedPageBreak/>
        <w:t>cual se añade que</w:t>
      </w:r>
      <w:r w:rsidR="00A539B2">
        <w:rPr>
          <w:rFonts w:ascii="Century Gothic" w:hAnsi="Century Gothic" w:cs="Arial"/>
          <w:sz w:val="22"/>
          <w:szCs w:val="22"/>
        </w:rPr>
        <w:t xml:space="preserve"> </w:t>
      </w:r>
      <w:r w:rsidR="00834A36">
        <w:rPr>
          <w:rFonts w:ascii="Century Gothic" w:hAnsi="Century Gothic" w:cs="Arial"/>
          <w:sz w:val="22"/>
          <w:szCs w:val="22"/>
        </w:rPr>
        <w:t>no es necesario que la parte favorecida en el proceso haya acreditado el pago de los honorarios del profesional que atendió el asunto, para que pueda accederse a la condena en costas y agencias en derecho, pues, como se puede apreciar, el citado artículo 510 no exige tal presupuesto</w:t>
      </w:r>
      <w:r w:rsidR="008D7A54">
        <w:rPr>
          <w:rFonts w:ascii="Century Gothic" w:hAnsi="Century Gothic" w:cs="Arial"/>
          <w:sz w:val="22"/>
          <w:szCs w:val="22"/>
        </w:rPr>
        <w:t>,</w:t>
      </w:r>
      <w:r w:rsidR="008D7A54" w:rsidRPr="008D7A54">
        <w:rPr>
          <w:rFonts w:ascii="Century Gothic" w:hAnsi="Century Gothic" w:cs="Arial"/>
          <w:sz w:val="22"/>
          <w:szCs w:val="22"/>
        </w:rPr>
        <w:t xml:space="preserve"> </w:t>
      </w:r>
      <w:r w:rsidR="008D7A54" w:rsidRPr="00FA371A">
        <w:rPr>
          <w:rFonts w:ascii="Century Gothic" w:hAnsi="Century Gothic" w:cs="Arial"/>
          <w:sz w:val="22"/>
          <w:szCs w:val="22"/>
        </w:rPr>
        <w:t xml:space="preserve">por lo que la decisión </w:t>
      </w:r>
      <w:r w:rsidR="008D7A54">
        <w:rPr>
          <w:rFonts w:ascii="Century Gothic" w:hAnsi="Century Gothic" w:cs="Arial"/>
          <w:sz w:val="22"/>
          <w:szCs w:val="22"/>
        </w:rPr>
        <w:t>d</w:t>
      </w:r>
      <w:r w:rsidR="008D7A54" w:rsidRPr="00FA371A">
        <w:rPr>
          <w:rFonts w:ascii="Century Gothic" w:hAnsi="Century Gothic" w:cs="Arial"/>
          <w:sz w:val="22"/>
          <w:szCs w:val="22"/>
        </w:rPr>
        <w:t>el a quo fue acertada.</w:t>
      </w:r>
    </w:p>
    <w:p w14:paraId="424A093A" w14:textId="77777777" w:rsidR="008D7A54" w:rsidRPr="008D7A54" w:rsidRDefault="008D7A54" w:rsidP="0081066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rPr>
      </w:pPr>
    </w:p>
    <w:p w14:paraId="2D50C412" w14:textId="77777777" w:rsidR="008D7A54" w:rsidRPr="00D31D33" w:rsidRDefault="008D7A54" w:rsidP="008D7A54">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rPr>
      </w:pPr>
      <w:r w:rsidRPr="008D7A54">
        <w:rPr>
          <w:rFonts w:ascii="Century Gothic" w:hAnsi="Century Gothic" w:cs="Arial"/>
        </w:rPr>
        <w:t xml:space="preserve">No obstante, la Sala modificará dicha condena, para ajustarla los parámetros establecidos en el </w:t>
      </w:r>
      <w:r w:rsidRPr="00D31D33">
        <w:rPr>
          <w:rFonts w:ascii="Century Gothic" w:hAnsi="Century Gothic" w:cs="Arial"/>
        </w:rPr>
        <w:t>parágrafo del numeral 3.1.</w:t>
      </w:r>
      <w:r>
        <w:rPr>
          <w:rFonts w:ascii="Century Gothic" w:hAnsi="Century Gothic" w:cs="Arial"/>
        </w:rPr>
        <w:t>3</w:t>
      </w:r>
      <w:r w:rsidRPr="00D31D33">
        <w:rPr>
          <w:rFonts w:ascii="Century Gothic" w:hAnsi="Century Gothic" w:cs="Arial"/>
        </w:rPr>
        <w:t xml:space="preserve"> del </w:t>
      </w:r>
      <w:r>
        <w:rPr>
          <w:rFonts w:ascii="Century Gothic" w:hAnsi="Century Gothic" w:cs="Arial"/>
        </w:rPr>
        <w:t xml:space="preserve">artículo segundo del </w:t>
      </w:r>
      <w:r w:rsidRPr="00D31D33">
        <w:rPr>
          <w:rFonts w:ascii="Century Gothic" w:hAnsi="Century Gothic" w:cs="Arial"/>
        </w:rPr>
        <w:t xml:space="preserve">Acuerdo 1887 de 2003, proferido por la Sala Administrativa del Consejo Superior de la Judicatura. </w:t>
      </w:r>
    </w:p>
    <w:p w14:paraId="0E7EC3C1" w14:textId="77777777" w:rsidR="008D7A54" w:rsidRDefault="008D7A54" w:rsidP="0081066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rPr>
      </w:pPr>
    </w:p>
    <w:p w14:paraId="30287517" w14:textId="77777777" w:rsidR="00C06E6E" w:rsidRPr="0042691D" w:rsidRDefault="00C06E6E" w:rsidP="00D67300">
      <w:pPr>
        <w:widowControl w:val="0"/>
        <w:tabs>
          <w:tab w:val="left" w:pos="0"/>
        </w:tabs>
        <w:spacing w:line="360" w:lineRule="auto"/>
        <w:ind w:right="20"/>
        <w:jc w:val="center"/>
        <w:rPr>
          <w:rFonts w:ascii="Century Gothic" w:hAnsi="Century Gothic"/>
          <w:b/>
          <w:sz w:val="22"/>
          <w:szCs w:val="22"/>
        </w:rPr>
      </w:pPr>
    </w:p>
    <w:p w14:paraId="1B20D31E" w14:textId="77777777" w:rsidR="00395786" w:rsidRPr="0042691D" w:rsidRDefault="00395786" w:rsidP="00420152">
      <w:pPr>
        <w:widowControl w:val="0"/>
        <w:autoSpaceDE w:val="0"/>
        <w:autoSpaceDN w:val="0"/>
        <w:adjustRightInd w:val="0"/>
        <w:spacing w:line="360" w:lineRule="auto"/>
        <w:jc w:val="both"/>
        <w:rPr>
          <w:rFonts w:ascii="Century Gothic" w:hAnsi="Century Gothic"/>
          <w:sz w:val="22"/>
          <w:szCs w:val="22"/>
        </w:rPr>
      </w:pPr>
      <w:r w:rsidRPr="0042691D">
        <w:rPr>
          <w:rFonts w:ascii="Century Gothic" w:hAnsi="Century Gothic"/>
          <w:sz w:val="22"/>
          <w:szCs w:val="22"/>
        </w:rPr>
        <w:t>En mérito de lo expuesto, el Consejo de Estado, Sala de lo Contencioso Administrativo, Sección Tercera, administrando justicia en nombre de la República y por autoridad de la ley,</w:t>
      </w:r>
    </w:p>
    <w:p w14:paraId="554FDE9E" w14:textId="77777777" w:rsidR="00084488" w:rsidRPr="0042691D" w:rsidRDefault="00084488" w:rsidP="00A9720F">
      <w:pPr>
        <w:widowControl w:val="0"/>
        <w:autoSpaceDE w:val="0"/>
        <w:autoSpaceDN w:val="0"/>
        <w:adjustRightInd w:val="0"/>
        <w:spacing w:line="360" w:lineRule="auto"/>
        <w:rPr>
          <w:rFonts w:ascii="Century Gothic" w:hAnsi="Century Gothic"/>
        </w:rPr>
      </w:pPr>
    </w:p>
    <w:p w14:paraId="741C407E" w14:textId="77777777" w:rsidR="00395786" w:rsidRPr="0042691D" w:rsidRDefault="00395786" w:rsidP="00395786">
      <w:pPr>
        <w:widowControl w:val="0"/>
        <w:autoSpaceDE w:val="0"/>
        <w:autoSpaceDN w:val="0"/>
        <w:adjustRightInd w:val="0"/>
        <w:spacing w:line="360" w:lineRule="auto"/>
        <w:ind w:firstLine="567"/>
        <w:jc w:val="center"/>
        <w:rPr>
          <w:rFonts w:ascii="Century Gothic" w:hAnsi="Century Gothic"/>
          <w:b/>
        </w:rPr>
      </w:pPr>
      <w:r w:rsidRPr="0042691D">
        <w:rPr>
          <w:rFonts w:ascii="Century Gothic" w:hAnsi="Century Gothic"/>
          <w:b/>
        </w:rPr>
        <w:t>F A L L A:</w:t>
      </w:r>
    </w:p>
    <w:p w14:paraId="7AE30D98" w14:textId="77777777" w:rsidR="00395786" w:rsidRPr="0042691D" w:rsidRDefault="00395786" w:rsidP="00395786">
      <w:pPr>
        <w:widowControl w:val="0"/>
        <w:autoSpaceDE w:val="0"/>
        <w:autoSpaceDN w:val="0"/>
        <w:adjustRightInd w:val="0"/>
        <w:spacing w:line="360" w:lineRule="auto"/>
        <w:ind w:firstLine="567"/>
        <w:rPr>
          <w:rFonts w:ascii="Century Gothic" w:hAnsi="Century Gothic"/>
        </w:rPr>
      </w:pPr>
    </w:p>
    <w:p w14:paraId="738D68BE" w14:textId="77777777" w:rsidR="00A9720F" w:rsidRDefault="00A9720F" w:rsidP="00A9720F">
      <w:pPr>
        <w:widowControl w:val="0"/>
        <w:autoSpaceDE w:val="0"/>
        <w:autoSpaceDN w:val="0"/>
        <w:adjustRightInd w:val="0"/>
        <w:spacing w:line="360" w:lineRule="auto"/>
        <w:jc w:val="both"/>
        <w:rPr>
          <w:rFonts w:ascii="Century Gothic" w:hAnsi="Century Gothic"/>
          <w:sz w:val="22"/>
          <w:szCs w:val="22"/>
        </w:rPr>
      </w:pPr>
      <w:r w:rsidRPr="0042691D">
        <w:rPr>
          <w:rFonts w:ascii="Century Gothic" w:hAnsi="Century Gothic"/>
          <w:b/>
          <w:sz w:val="22"/>
          <w:szCs w:val="22"/>
        </w:rPr>
        <w:t>Primero</w:t>
      </w:r>
      <w:r w:rsidR="001A7D76" w:rsidRPr="0042691D">
        <w:rPr>
          <w:rFonts w:ascii="Century Gothic" w:hAnsi="Century Gothic"/>
          <w:b/>
          <w:sz w:val="22"/>
          <w:szCs w:val="22"/>
        </w:rPr>
        <w:t xml:space="preserve">.- </w:t>
      </w:r>
      <w:r w:rsidR="008D7A54">
        <w:rPr>
          <w:rFonts w:ascii="Century Gothic" w:hAnsi="Century Gothic"/>
          <w:b/>
          <w:sz w:val="22"/>
          <w:szCs w:val="22"/>
        </w:rPr>
        <w:t xml:space="preserve">MODIFÍCASE </w:t>
      </w:r>
      <w:r w:rsidRPr="0042691D">
        <w:rPr>
          <w:rFonts w:ascii="Century Gothic" w:hAnsi="Century Gothic"/>
          <w:sz w:val="22"/>
          <w:szCs w:val="22"/>
        </w:rPr>
        <w:t xml:space="preserve">la sentencia proferida el </w:t>
      </w:r>
      <w:r w:rsidR="008D7A54">
        <w:rPr>
          <w:rFonts w:ascii="Century Gothic" w:hAnsi="Century Gothic"/>
          <w:sz w:val="22"/>
          <w:szCs w:val="22"/>
        </w:rPr>
        <w:t>1º de febrero de 2012</w:t>
      </w:r>
      <w:r w:rsidRPr="0042691D">
        <w:rPr>
          <w:rFonts w:ascii="Century Gothic" w:hAnsi="Century Gothic"/>
          <w:sz w:val="22"/>
          <w:szCs w:val="22"/>
        </w:rPr>
        <w:t xml:space="preserve"> por el Tribunal Administrativo de</w:t>
      </w:r>
      <w:r w:rsidR="008D7A54">
        <w:rPr>
          <w:rFonts w:ascii="Century Gothic" w:hAnsi="Century Gothic"/>
          <w:sz w:val="22"/>
          <w:szCs w:val="22"/>
        </w:rPr>
        <w:t xml:space="preserve"> Cundinamarca, la cual quedará así:</w:t>
      </w:r>
    </w:p>
    <w:p w14:paraId="12F829DA" w14:textId="77777777" w:rsidR="008D7A54" w:rsidRDefault="008D7A54" w:rsidP="00A9720F">
      <w:pPr>
        <w:widowControl w:val="0"/>
        <w:autoSpaceDE w:val="0"/>
        <w:autoSpaceDN w:val="0"/>
        <w:adjustRightInd w:val="0"/>
        <w:spacing w:line="360" w:lineRule="auto"/>
        <w:jc w:val="both"/>
        <w:rPr>
          <w:rFonts w:ascii="Century Gothic" w:hAnsi="Century Gothic"/>
          <w:sz w:val="22"/>
          <w:szCs w:val="22"/>
        </w:rPr>
      </w:pPr>
    </w:p>
    <w:p w14:paraId="556A482A" w14:textId="77777777" w:rsidR="008D7A54" w:rsidRPr="008D7A54" w:rsidRDefault="008D7A54" w:rsidP="008D7A54">
      <w:pPr>
        <w:widowControl w:val="0"/>
        <w:autoSpaceDE w:val="0"/>
        <w:autoSpaceDN w:val="0"/>
        <w:adjustRightInd w:val="0"/>
        <w:ind w:left="567" w:right="391"/>
        <w:jc w:val="both"/>
        <w:rPr>
          <w:rFonts w:ascii="Century Gothic" w:hAnsi="Century Gothic"/>
          <w:sz w:val="20"/>
          <w:szCs w:val="20"/>
        </w:rPr>
      </w:pPr>
      <w:r w:rsidRPr="008D7A54">
        <w:rPr>
          <w:rFonts w:ascii="Century Gothic" w:hAnsi="Century Gothic"/>
          <w:b/>
          <w:sz w:val="20"/>
          <w:szCs w:val="20"/>
        </w:rPr>
        <w:t>PRIMERO:</w:t>
      </w:r>
      <w:r w:rsidRPr="008D7A54">
        <w:rPr>
          <w:rFonts w:ascii="Century Gothic" w:hAnsi="Century Gothic"/>
          <w:sz w:val="20"/>
          <w:szCs w:val="20"/>
        </w:rPr>
        <w:t xml:space="preserve"> </w:t>
      </w:r>
      <w:r w:rsidR="00D44143">
        <w:rPr>
          <w:rFonts w:ascii="Century Gothic" w:hAnsi="Century Gothic"/>
          <w:b/>
          <w:sz w:val="20"/>
          <w:szCs w:val="20"/>
        </w:rPr>
        <w:t xml:space="preserve">DECLÁRASE </w:t>
      </w:r>
      <w:r w:rsidRPr="008D7A54">
        <w:rPr>
          <w:rFonts w:ascii="Century Gothic" w:hAnsi="Century Gothic"/>
          <w:sz w:val="20"/>
          <w:szCs w:val="20"/>
        </w:rPr>
        <w:t xml:space="preserve">probada de oficio la excepción de “Inexistencia del título ejecutivo”, </w:t>
      </w:r>
      <w:r w:rsidR="00D44143">
        <w:rPr>
          <w:rFonts w:ascii="Century Gothic" w:hAnsi="Century Gothic"/>
          <w:sz w:val="20"/>
          <w:szCs w:val="20"/>
        </w:rPr>
        <w:t xml:space="preserve">por lo </w:t>
      </w:r>
      <w:r w:rsidRPr="008D7A54">
        <w:rPr>
          <w:rFonts w:ascii="Century Gothic" w:hAnsi="Century Gothic"/>
          <w:sz w:val="20"/>
          <w:szCs w:val="20"/>
        </w:rPr>
        <w:t>expuesto en la parte motiva de esta providencia.</w:t>
      </w:r>
    </w:p>
    <w:p w14:paraId="695F6765" w14:textId="77777777" w:rsidR="008D7A54" w:rsidRPr="008D7A54" w:rsidRDefault="008D7A54" w:rsidP="008D7A54">
      <w:pPr>
        <w:widowControl w:val="0"/>
        <w:autoSpaceDE w:val="0"/>
        <w:autoSpaceDN w:val="0"/>
        <w:adjustRightInd w:val="0"/>
        <w:ind w:left="567" w:right="391"/>
        <w:jc w:val="both"/>
        <w:rPr>
          <w:rFonts w:ascii="Century Gothic" w:hAnsi="Century Gothic"/>
          <w:sz w:val="20"/>
          <w:szCs w:val="20"/>
        </w:rPr>
      </w:pPr>
    </w:p>
    <w:p w14:paraId="0C0E7C5D" w14:textId="77777777" w:rsidR="00A9720F" w:rsidRPr="008D7A54" w:rsidRDefault="008D7A54" w:rsidP="008D7A54">
      <w:pPr>
        <w:widowControl w:val="0"/>
        <w:autoSpaceDE w:val="0"/>
        <w:autoSpaceDN w:val="0"/>
        <w:adjustRightInd w:val="0"/>
        <w:ind w:left="567" w:right="391"/>
        <w:jc w:val="both"/>
        <w:rPr>
          <w:rFonts w:ascii="Century Gothic" w:hAnsi="Century Gothic"/>
          <w:sz w:val="20"/>
          <w:szCs w:val="20"/>
        </w:rPr>
      </w:pPr>
      <w:r w:rsidRPr="008D7A54">
        <w:rPr>
          <w:rFonts w:ascii="Century Gothic" w:hAnsi="Century Gothic"/>
          <w:b/>
          <w:sz w:val="20"/>
          <w:szCs w:val="20"/>
        </w:rPr>
        <w:t>“SEGUNDO:</w:t>
      </w:r>
      <w:r w:rsidRPr="008D7A54">
        <w:rPr>
          <w:rFonts w:ascii="Century Gothic" w:hAnsi="Century Gothic"/>
          <w:sz w:val="20"/>
          <w:szCs w:val="20"/>
        </w:rPr>
        <w:t xml:space="preserve"> </w:t>
      </w:r>
      <w:r w:rsidR="00D44143" w:rsidRPr="00D44143">
        <w:rPr>
          <w:rFonts w:ascii="Century Gothic" w:hAnsi="Century Gothic"/>
          <w:b/>
          <w:sz w:val="20"/>
          <w:szCs w:val="20"/>
        </w:rPr>
        <w:t xml:space="preserve">CONDÉNASE </w:t>
      </w:r>
      <w:r w:rsidRPr="008D7A54">
        <w:rPr>
          <w:rFonts w:ascii="Century Gothic" w:hAnsi="Century Gothic"/>
          <w:sz w:val="20"/>
          <w:szCs w:val="20"/>
        </w:rPr>
        <w:t xml:space="preserve">en costas a la parte ejecutante. </w:t>
      </w:r>
      <w:r w:rsidR="008E5665" w:rsidRPr="008D7A54">
        <w:rPr>
          <w:rFonts w:ascii="Century Gothic" w:hAnsi="Century Gothic"/>
          <w:sz w:val="20"/>
          <w:szCs w:val="20"/>
        </w:rPr>
        <w:t xml:space="preserve">Por Secretaría de la Sección, </w:t>
      </w:r>
      <w:r w:rsidR="00F23F1C" w:rsidRPr="008D7A54">
        <w:rPr>
          <w:rFonts w:ascii="Century Gothic" w:hAnsi="Century Gothic"/>
          <w:b/>
          <w:sz w:val="20"/>
          <w:szCs w:val="20"/>
        </w:rPr>
        <w:t>LIQUÍDENSE</w:t>
      </w:r>
      <w:r w:rsidR="008E5665" w:rsidRPr="008D7A54">
        <w:rPr>
          <w:rFonts w:ascii="Century Gothic" w:hAnsi="Century Gothic"/>
          <w:sz w:val="20"/>
          <w:szCs w:val="20"/>
        </w:rPr>
        <w:t xml:space="preserve"> </w:t>
      </w:r>
      <w:r w:rsidR="00F23F1C" w:rsidRPr="008D7A54">
        <w:rPr>
          <w:rFonts w:ascii="Century Gothic" w:hAnsi="Century Gothic"/>
          <w:sz w:val="20"/>
          <w:szCs w:val="20"/>
        </w:rPr>
        <w:t>incluyendo</w:t>
      </w:r>
      <w:r w:rsidR="008E5665" w:rsidRPr="008D7A54">
        <w:rPr>
          <w:rFonts w:ascii="Century Gothic" w:hAnsi="Century Gothic"/>
          <w:sz w:val="20"/>
          <w:szCs w:val="20"/>
        </w:rPr>
        <w:t xml:space="preserve"> la suma de </w:t>
      </w:r>
      <w:r w:rsidR="008E5665" w:rsidRPr="008D7A54">
        <w:rPr>
          <w:rFonts w:ascii="Century Gothic" w:hAnsi="Century Gothic"/>
          <w:b/>
          <w:sz w:val="20"/>
          <w:szCs w:val="20"/>
        </w:rPr>
        <w:t xml:space="preserve">cien </w:t>
      </w:r>
      <w:r w:rsidR="00594359" w:rsidRPr="008D7A54">
        <w:rPr>
          <w:rFonts w:ascii="Century Gothic" w:hAnsi="Century Gothic"/>
          <w:b/>
          <w:sz w:val="20"/>
          <w:szCs w:val="20"/>
        </w:rPr>
        <w:t>millones de pesos ($10</w:t>
      </w:r>
      <w:r w:rsidR="008E5665" w:rsidRPr="008D7A54">
        <w:rPr>
          <w:rFonts w:ascii="Century Gothic" w:hAnsi="Century Gothic"/>
          <w:b/>
          <w:sz w:val="20"/>
          <w:szCs w:val="20"/>
        </w:rPr>
        <w:t>0’000.000) M/cte</w:t>
      </w:r>
      <w:r w:rsidR="008E5665" w:rsidRPr="008D7A54">
        <w:rPr>
          <w:rFonts w:ascii="Century Gothic" w:hAnsi="Century Gothic"/>
          <w:sz w:val="20"/>
          <w:szCs w:val="20"/>
        </w:rPr>
        <w:t>, por concepto de agencias en derecho</w:t>
      </w:r>
      <w:r w:rsidR="0055234C" w:rsidRPr="008D7A54">
        <w:rPr>
          <w:rFonts w:ascii="Century Gothic" w:hAnsi="Century Gothic"/>
          <w:sz w:val="20"/>
          <w:szCs w:val="20"/>
        </w:rPr>
        <w:t xml:space="preserve"> (numeral 3.1</w:t>
      </w:r>
      <w:r w:rsidRPr="008D7A54">
        <w:rPr>
          <w:rFonts w:ascii="Century Gothic" w:hAnsi="Century Gothic"/>
          <w:sz w:val="20"/>
          <w:szCs w:val="20"/>
        </w:rPr>
        <w:t>.3</w:t>
      </w:r>
      <w:r w:rsidR="0055234C" w:rsidRPr="008D7A54">
        <w:rPr>
          <w:rFonts w:ascii="Century Gothic" w:hAnsi="Century Gothic"/>
          <w:sz w:val="20"/>
          <w:szCs w:val="20"/>
        </w:rPr>
        <w:t>, Acuerdo 1883 de 2003)</w:t>
      </w:r>
      <w:r w:rsidRPr="008D7A54">
        <w:rPr>
          <w:rFonts w:ascii="Century Gothic" w:hAnsi="Century Gothic"/>
          <w:sz w:val="20"/>
          <w:szCs w:val="20"/>
        </w:rPr>
        <w:t>”</w:t>
      </w:r>
      <w:r w:rsidR="0055234C" w:rsidRPr="008D7A54">
        <w:rPr>
          <w:rFonts w:ascii="Century Gothic" w:hAnsi="Century Gothic"/>
          <w:sz w:val="20"/>
          <w:szCs w:val="20"/>
        </w:rPr>
        <w:t>.</w:t>
      </w:r>
    </w:p>
    <w:p w14:paraId="22C5BA21" w14:textId="77777777" w:rsidR="008E5665" w:rsidRPr="0042691D" w:rsidRDefault="008E5665" w:rsidP="00A9720F">
      <w:pPr>
        <w:widowControl w:val="0"/>
        <w:autoSpaceDE w:val="0"/>
        <w:autoSpaceDN w:val="0"/>
        <w:adjustRightInd w:val="0"/>
        <w:spacing w:line="360" w:lineRule="auto"/>
        <w:jc w:val="both"/>
        <w:rPr>
          <w:rFonts w:ascii="Century Gothic" w:hAnsi="Century Gothic"/>
          <w:b/>
          <w:sz w:val="22"/>
          <w:szCs w:val="22"/>
        </w:rPr>
      </w:pPr>
    </w:p>
    <w:p w14:paraId="16823C43" w14:textId="77777777" w:rsidR="00A9720F" w:rsidRPr="0042691D" w:rsidRDefault="008D7A54" w:rsidP="00A9720F">
      <w:pPr>
        <w:widowControl w:val="0"/>
        <w:autoSpaceDE w:val="0"/>
        <w:autoSpaceDN w:val="0"/>
        <w:adjustRightInd w:val="0"/>
        <w:spacing w:line="360" w:lineRule="auto"/>
        <w:jc w:val="both"/>
        <w:rPr>
          <w:rFonts w:ascii="Century Gothic" w:hAnsi="Century Gothic"/>
          <w:sz w:val="22"/>
          <w:szCs w:val="22"/>
        </w:rPr>
      </w:pPr>
      <w:r>
        <w:rPr>
          <w:rFonts w:ascii="Century Gothic" w:hAnsi="Century Gothic"/>
          <w:b/>
          <w:sz w:val="22"/>
          <w:szCs w:val="22"/>
        </w:rPr>
        <w:t>“Segundo</w:t>
      </w:r>
      <w:r w:rsidR="00A9720F" w:rsidRPr="0042691D">
        <w:rPr>
          <w:rFonts w:ascii="Century Gothic" w:hAnsi="Century Gothic"/>
          <w:b/>
          <w:sz w:val="22"/>
          <w:szCs w:val="22"/>
        </w:rPr>
        <w:t>.-</w:t>
      </w:r>
      <w:r w:rsidR="00A9720F" w:rsidRPr="0042691D">
        <w:rPr>
          <w:rFonts w:ascii="Century Gothic" w:hAnsi="Century Gothic"/>
          <w:sz w:val="22"/>
          <w:szCs w:val="22"/>
        </w:rPr>
        <w:t xml:space="preserve"> En firme esta providencia, devuélvase el expediente al Tribunal de origen.</w:t>
      </w:r>
    </w:p>
    <w:p w14:paraId="1D4E99A1" w14:textId="77777777" w:rsidR="00A9720F" w:rsidRPr="0042691D" w:rsidRDefault="00A9720F" w:rsidP="00A9720F">
      <w:pPr>
        <w:widowControl w:val="0"/>
        <w:autoSpaceDE w:val="0"/>
        <w:autoSpaceDN w:val="0"/>
        <w:adjustRightInd w:val="0"/>
        <w:ind w:firstLine="567"/>
        <w:rPr>
          <w:rFonts w:ascii="Century Gothic" w:hAnsi="Century Gothic"/>
          <w:sz w:val="22"/>
          <w:szCs w:val="22"/>
        </w:rPr>
      </w:pPr>
    </w:p>
    <w:p w14:paraId="6B686D4F" w14:textId="77777777" w:rsidR="00A9720F" w:rsidRPr="0042691D" w:rsidRDefault="00A9720F" w:rsidP="00A9720F">
      <w:pPr>
        <w:widowControl w:val="0"/>
        <w:autoSpaceDE w:val="0"/>
        <w:autoSpaceDN w:val="0"/>
        <w:adjustRightInd w:val="0"/>
        <w:ind w:firstLine="567"/>
        <w:rPr>
          <w:rFonts w:ascii="Century Gothic" w:hAnsi="Century Gothic"/>
          <w:b/>
          <w:sz w:val="22"/>
          <w:szCs w:val="22"/>
        </w:rPr>
      </w:pPr>
    </w:p>
    <w:p w14:paraId="203655E7" w14:textId="77777777" w:rsidR="00A9720F" w:rsidRPr="0042691D" w:rsidRDefault="00A9720F" w:rsidP="00A9720F">
      <w:pPr>
        <w:widowControl w:val="0"/>
        <w:autoSpaceDE w:val="0"/>
        <w:autoSpaceDN w:val="0"/>
        <w:adjustRightInd w:val="0"/>
        <w:ind w:firstLine="567"/>
        <w:rPr>
          <w:rFonts w:ascii="Century Gothic" w:hAnsi="Century Gothic"/>
          <w:b/>
          <w:sz w:val="22"/>
          <w:szCs w:val="22"/>
        </w:rPr>
      </w:pPr>
      <w:r w:rsidRPr="0042691D">
        <w:rPr>
          <w:rFonts w:ascii="Century Gothic" w:hAnsi="Century Gothic"/>
          <w:b/>
          <w:sz w:val="22"/>
          <w:szCs w:val="22"/>
        </w:rPr>
        <w:t>CÓPIESE, NOTIFÍQUESE Y CÚMPLASE.</w:t>
      </w:r>
    </w:p>
    <w:p w14:paraId="5F8A4F77" w14:textId="77777777" w:rsidR="00A9720F" w:rsidRPr="0042691D" w:rsidRDefault="00A9720F" w:rsidP="00A9720F">
      <w:pPr>
        <w:widowControl w:val="0"/>
        <w:autoSpaceDE w:val="0"/>
        <w:autoSpaceDN w:val="0"/>
        <w:adjustRightInd w:val="0"/>
        <w:ind w:firstLine="567"/>
        <w:rPr>
          <w:rFonts w:ascii="Century Gothic" w:hAnsi="Century Gothic"/>
          <w:b/>
          <w:sz w:val="22"/>
          <w:szCs w:val="22"/>
        </w:rPr>
      </w:pPr>
    </w:p>
    <w:p w14:paraId="58176C2F" w14:textId="77777777" w:rsidR="00A9720F" w:rsidRPr="0042691D" w:rsidRDefault="00A9720F" w:rsidP="00A9720F">
      <w:pPr>
        <w:widowControl w:val="0"/>
        <w:autoSpaceDE w:val="0"/>
        <w:autoSpaceDN w:val="0"/>
        <w:adjustRightInd w:val="0"/>
        <w:ind w:firstLine="567"/>
        <w:jc w:val="center"/>
        <w:rPr>
          <w:rFonts w:ascii="Century Gothic" w:hAnsi="Century Gothic"/>
          <w:b/>
          <w:sz w:val="22"/>
          <w:szCs w:val="22"/>
        </w:rPr>
      </w:pPr>
    </w:p>
    <w:p w14:paraId="159E2CC1" w14:textId="77777777" w:rsidR="008E5665" w:rsidRPr="0042691D" w:rsidRDefault="008E5665" w:rsidP="00A9720F">
      <w:pPr>
        <w:widowControl w:val="0"/>
        <w:autoSpaceDE w:val="0"/>
        <w:autoSpaceDN w:val="0"/>
        <w:adjustRightInd w:val="0"/>
        <w:ind w:firstLine="567"/>
        <w:jc w:val="center"/>
        <w:rPr>
          <w:rFonts w:ascii="Century Gothic" w:hAnsi="Century Gothic"/>
          <w:b/>
          <w:sz w:val="22"/>
          <w:szCs w:val="22"/>
        </w:rPr>
      </w:pPr>
    </w:p>
    <w:p w14:paraId="7027AE3E" w14:textId="77777777" w:rsidR="00A9720F" w:rsidRPr="0042691D" w:rsidRDefault="00A9720F" w:rsidP="00A9720F">
      <w:pPr>
        <w:widowControl w:val="0"/>
        <w:autoSpaceDE w:val="0"/>
        <w:autoSpaceDN w:val="0"/>
        <w:adjustRightInd w:val="0"/>
        <w:ind w:firstLine="567"/>
        <w:jc w:val="center"/>
        <w:rPr>
          <w:rFonts w:ascii="Century Gothic" w:hAnsi="Century Gothic"/>
          <w:b/>
          <w:sz w:val="22"/>
          <w:szCs w:val="22"/>
        </w:rPr>
      </w:pPr>
    </w:p>
    <w:p w14:paraId="3D548153" w14:textId="77777777" w:rsidR="00A9720F" w:rsidRPr="0042691D" w:rsidRDefault="00A9720F" w:rsidP="00A9720F">
      <w:pPr>
        <w:widowControl w:val="0"/>
        <w:autoSpaceDE w:val="0"/>
        <w:autoSpaceDN w:val="0"/>
        <w:adjustRightInd w:val="0"/>
        <w:ind w:firstLine="567"/>
        <w:jc w:val="center"/>
        <w:rPr>
          <w:rFonts w:ascii="Century Gothic" w:hAnsi="Century Gothic"/>
          <w:b/>
          <w:sz w:val="22"/>
          <w:szCs w:val="22"/>
        </w:rPr>
      </w:pPr>
    </w:p>
    <w:p w14:paraId="6DF23048" w14:textId="77777777" w:rsidR="008D7A54" w:rsidRDefault="008D7A54" w:rsidP="00A9720F">
      <w:pPr>
        <w:widowControl w:val="0"/>
        <w:autoSpaceDE w:val="0"/>
        <w:autoSpaceDN w:val="0"/>
        <w:adjustRightInd w:val="0"/>
        <w:jc w:val="center"/>
        <w:rPr>
          <w:rFonts w:ascii="Century Gothic" w:hAnsi="Century Gothic"/>
          <w:b/>
          <w:sz w:val="22"/>
          <w:szCs w:val="22"/>
        </w:rPr>
      </w:pPr>
      <w:r>
        <w:rPr>
          <w:rFonts w:ascii="Century Gothic" w:hAnsi="Century Gothic"/>
          <w:b/>
          <w:sz w:val="22"/>
          <w:szCs w:val="22"/>
        </w:rPr>
        <w:t>MARÍA ADRIANA MARÍN</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 xml:space="preserve">MARTA NUBIA VELÁSQUEZ RICO </w:t>
      </w:r>
    </w:p>
    <w:p w14:paraId="7F331FE8" w14:textId="77777777" w:rsidR="008D7A54" w:rsidRDefault="008D7A54" w:rsidP="00A9720F">
      <w:pPr>
        <w:widowControl w:val="0"/>
        <w:autoSpaceDE w:val="0"/>
        <w:autoSpaceDN w:val="0"/>
        <w:adjustRightInd w:val="0"/>
        <w:jc w:val="center"/>
        <w:rPr>
          <w:rFonts w:ascii="Century Gothic" w:hAnsi="Century Gothic"/>
          <w:b/>
          <w:sz w:val="22"/>
          <w:szCs w:val="22"/>
        </w:rPr>
      </w:pPr>
    </w:p>
    <w:p w14:paraId="675BFAE5" w14:textId="77777777" w:rsidR="008D7A54" w:rsidRDefault="008D7A54" w:rsidP="00A9720F">
      <w:pPr>
        <w:widowControl w:val="0"/>
        <w:autoSpaceDE w:val="0"/>
        <w:autoSpaceDN w:val="0"/>
        <w:adjustRightInd w:val="0"/>
        <w:jc w:val="center"/>
        <w:rPr>
          <w:rFonts w:ascii="Century Gothic" w:hAnsi="Century Gothic"/>
          <w:b/>
          <w:sz w:val="22"/>
          <w:szCs w:val="22"/>
        </w:rPr>
      </w:pPr>
    </w:p>
    <w:p w14:paraId="4EB50785" w14:textId="77777777" w:rsidR="008D7A54" w:rsidRDefault="008D7A54" w:rsidP="008D7A54">
      <w:pPr>
        <w:widowControl w:val="0"/>
        <w:autoSpaceDE w:val="0"/>
        <w:autoSpaceDN w:val="0"/>
        <w:adjustRightInd w:val="0"/>
        <w:rPr>
          <w:rFonts w:ascii="Century Gothic" w:hAnsi="Century Gothic"/>
          <w:b/>
          <w:sz w:val="22"/>
          <w:szCs w:val="22"/>
        </w:rPr>
      </w:pPr>
    </w:p>
    <w:p w14:paraId="11EE5B7A" w14:textId="77777777" w:rsidR="001C68A2" w:rsidRPr="0042691D" w:rsidRDefault="008E5665" w:rsidP="00FD4D07">
      <w:pPr>
        <w:widowControl w:val="0"/>
        <w:autoSpaceDE w:val="0"/>
        <w:autoSpaceDN w:val="0"/>
        <w:adjustRightInd w:val="0"/>
        <w:jc w:val="center"/>
        <w:rPr>
          <w:rFonts w:ascii="Courier New" w:hAnsi="Courier New" w:cs="Courier New"/>
          <w:sz w:val="16"/>
          <w:szCs w:val="16"/>
        </w:rPr>
      </w:pPr>
      <w:r w:rsidRPr="0042691D">
        <w:rPr>
          <w:rFonts w:ascii="Century Gothic" w:hAnsi="Century Gothic"/>
          <w:b/>
          <w:sz w:val="22"/>
          <w:szCs w:val="22"/>
        </w:rPr>
        <w:tab/>
      </w:r>
      <w:r w:rsidR="00A9720F" w:rsidRPr="0042691D">
        <w:rPr>
          <w:rFonts w:ascii="Century Gothic" w:hAnsi="Century Gothic"/>
          <w:b/>
          <w:sz w:val="22"/>
          <w:szCs w:val="22"/>
        </w:rPr>
        <w:t>CARLOS ALBERTO ZAMBRANO BARRERA</w:t>
      </w:r>
    </w:p>
    <w:sectPr w:rsidR="001C68A2" w:rsidRPr="0042691D" w:rsidSect="00E61A9A">
      <w:headerReference w:type="even" r:id="rId11"/>
      <w:headerReference w:type="default" r:id="rId12"/>
      <w:headerReference w:type="first" r:id="rId13"/>
      <w:pgSz w:w="12242" w:h="18722" w:code="120"/>
      <w:pgMar w:top="1701" w:right="1701" w:bottom="1701" w:left="1701" w:header="709" w:footer="709"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04663" w14:textId="77777777" w:rsidR="008E0F19" w:rsidRDefault="008E0F19">
      <w:r>
        <w:separator/>
      </w:r>
    </w:p>
  </w:endnote>
  <w:endnote w:type="continuationSeparator" w:id="0">
    <w:p w14:paraId="5BD0E683" w14:textId="77777777" w:rsidR="008E0F19" w:rsidRDefault="008E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8A56" w14:textId="77777777" w:rsidR="008E0F19" w:rsidRDefault="008E0F19">
      <w:r>
        <w:separator/>
      </w:r>
    </w:p>
  </w:footnote>
  <w:footnote w:type="continuationSeparator" w:id="0">
    <w:p w14:paraId="568FCCC7" w14:textId="77777777" w:rsidR="008E0F19" w:rsidRDefault="008E0F19">
      <w:r>
        <w:continuationSeparator/>
      </w:r>
    </w:p>
  </w:footnote>
  <w:footnote w:id="1">
    <w:p w14:paraId="6F323227" w14:textId="77777777" w:rsidR="008D7A54" w:rsidRPr="00D44143" w:rsidRDefault="008D7A54" w:rsidP="00D44143">
      <w:pPr>
        <w:pStyle w:val="Textonotapie"/>
        <w:widowControl w:val="0"/>
        <w:jc w:val="both"/>
        <w:rPr>
          <w:color w:val="000000"/>
        </w:rPr>
      </w:pPr>
    </w:p>
    <w:p w14:paraId="73BAFB19" w14:textId="77777777" w:rsidR="008D7A54" w:rsidRPr="00D44143" w:rsidRDefault="008D7A54" w:rsidP="00D44143">
      <w:pPr>
        <w:pStyle w:val="Textonotapie"/>
        <w:widowControl w:val="0"/>
        <w:jc w:val="both"/>
        <w:rPr>
          <w:color w:val="000000"/>
        </w:rPr>
      </w:pPr>
      <w:r w:rsidRPr="00D44143">
        <w:rPr>
          <w:rStyle w:val="Refdenotaalpie"/>
          <w:color w:val="000000"/>
        </w:rPr>
        <w:footnoteRef/>
      </w:r>
      <w:r w:rsidRPr="00D44143">
        <w:rPr>
          <w:color w:val="000000"/>
        </w:rPr>
        <w:t xml:space="preserve"> Folio 2, C. 1.</w:t>
      </w:r>
    </w:p>
  </w:footnote>
  <w:footnote w:id="2">
    <w:p w14:paraId="673FF4E0" w14:textId="77777777" w:rsidR="00D44143" w:rsidRDefault="00D44143" w:rsidP="00D44143">
      <w:pPr>
        <w:pStyle w:val="Textonotapie"/>
        <w:jc w:val="both"/>
        <w:rPr>
          <w:color w:val="000000"/>
        </w:rPr>
      </w:pPr>
    </w:p>
    <w:p w14:paraId="1BA22CE3" w14:textId="77777777" w:rsidR="008D7A54" w:rsidRPr="00D44143" w:rsidRDefault="008D7A54" w:rsidP="00D44143">
      <w:pPr>
        <w:pStyle w:val="Textonotapie"/>
        <w:jc w:val="both"/>
        <w:rPr>
          <w:color w:val="000000"/>
          <w:lang w:val="es-MX"/>
        </w:rPr>
      </w:pPr>
      <w:r w:rsidRPr="00D44143">
        <w:rPr>
          <w:rStyle w:val="Refdenotaalpie"/>
          <w:color w:val="000000"/>
        </w:rPr>
        <w:footnoteRef/>
      </w:r>
      <w:r w:rsidRPr="00D44143">
        <w:rPr>
          <w:color w:val="000000"/>
        </w:rPr>
        <w:t xml:space="preserve"> El recurso de apelación fue interpuesto el 28 de septiembre de 2012, de modo que la norma aplicable en materia de cuantías para acceder a la segunda instancia era la prevista en el artículo 40 de la Ley 446 de 1998</w:t>
      </w:r>
      <w:r w:rsidRPr="00D44143">
        <w:rPr>
          <w:color w:val="000000"/>
          <w:lang w:val="es-MX"/>
        </w:rPr>
        <w:t xml:space="preserve">, pues para esa época ya habían entrado a funcionar los juzgados administrativos (1º de agosto de 2006) y, por consiguiente, había entrado en pleno vigor la reforma introducida al C.C.A.. </w:t>
      </w:r>
    </w:p>
  </w:footnote>
  <w:footnote w:id="3">
    <w:p w14:paraId="37A0CF71" w14:textId="77777777" w:rsidR="00D44143" w:rsidRDefault="00D44143" w:rsidP="00D44143">
      <w:pPr>
        <w:pStyle w:val="NormalWeb"/>
        <w:spacing w:before="0" w:beforeAutospacing="0" w:after="0" w:afterAutospacing="0"/>
        <w:jc w:val="both"/>
        <w:rPr>
          <w:sz w:val="20"/>
          <w:szCs w:val="20"/>
        </w:rPr>
      </w:pPr>
    </w:p>
    <w:p w14:paraId="2F42E6C3" w14:textId="77777777" w:rsidR="008D7A54" w:rsidRPr="00D44143" w:rsidRDefault="008D7A54" w:rsidP="00D44143">
      <w:pPr>
        <w:pStyle w:val="NormalWeb"/>
        <w:spacing w:before="0" w:beforeAutospacing="0" w:after="0" w:afterAutospacing="0"/>
        <w:jc w:val="both"/>
        <w:rPr>
          <w:sz w:val="20"/>
          <w:szCs w:val="20"/>
        </w:rPr>
      </w:pPr>
      <w:r w:rsidRPr="00D44143">
        <w:rPr>
          <w:rStyle w:val="Refdenotaalpie"/>
          <w:sz w:val="20"/>
          <w:szCs w:val="20"/>
        </w:rPr>
        <w:footnoteRef/>
      </w:r>
      <w:r w:rsidRPr="00D44143">
        <w:rPr>
          <w:sz w:val="20"/>
          <w:szCs w:val="20"/>
        </w:rPr>
        <w:t xml:space="preserve"> “</w:t>
      </w:r>
      <w:r w:rsidRPr="00D44143">
        <w:rPr>
          <w:bCs/>
          <w:sz w:val="20"/>
          <w:szCs w:val="20"/>
        </w:rPr>
        <w:t xml:space="preserve">Artículo 40. </w:t>
      </w:r>
      <w:r w:rsidRPr="00D44143">
        <w:rPr>
          <w:iCs/>
          <w:sz w:val="20"/>
          <w:szCs w:val="20"/>
        </w:rPr>
        <w:t>Competencia de los tribunales administrativos en primera instancia</w:t>
      </w:r>
      <w:r w:rsidRPr="00D44143">
        <w:rPr>
          <w:sz w:val="20"/>
          <w:szCs w:val="20"/>
        </w:rPr>
        <w:t>. El artículo 132 del Código Contencioso Administrativo, quedará así:</w:t>
      </w:r>
    </w:p>
    <w:p w14:paraId="349B8FF9" w14:textId="77777777" w:rsidR="00D44143" w:rsidRDefault="00D44143" w:rsidP="00D44143">
      <w:pPr>
        <w:pStyle w:val="NormalWeb"/>
        <w:spacing w:before="0" w:beforeAutospacing="0" w:after="0" w:afterAutospacing="0"/>
        <w:jc w:val="both"/>
        <w:rPr>
          <w:sz w:val="20"/>
          <w:szCs w:val="20"/>
        </w:rPr>
      </w:pPr>
    </w:p>
    <w:p w14:paraId="4EEF01B9"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"Artículo 132. Competencia de los tribunales administrativos en primera instancia. Los Tribunales Administrativos conocerán en primera instancia de los siguientes asuntos:</w:t>
      </w:r>
    </w:p>
    <w:p w14:paraId="4221EDE0" w14:textId="77777777" w:rsidR="008D7A54" w:rsidRPr="00D44143" w:rsidRDefault="008D7A54" w:rsidP="00D44143">
      <w:pPr>
        <w:pStyle w:val="Textonotapie"/>
        <w:jc w:val="both"/>
        <w:rPr>
          <w:color w:val="000000"/>
          <w:lang w:val="es-CO"/>
        </w:rPr>
      </w:pPr>
      <w:r w:rsidRPr="00D44143">
        <w:rPr>
          <w:color w:val="000000"/>
          <w:lang w:val="es-CO"/>
        </w:rPr>
        <w:t>…</w:t>
      </w:r>
    </w:p>
    <w:p w14:paraId="2AAF71C9" w14:textId="77777777" w:rsidR="00D44143" w:rsidRDefault="00D44143" w:rsidP="00D44143">
      <w:pPr>
        <w:pStyle w:val="Textonotapie"/>
        <w:jc w:val="both"/>
        <w:rPr>
          <w:color w:val="000000"/>
          <w:lang w:val="es-CO"/>
        </w:rPr>
      </w:pPr>
    </w:p>
    <w:p w14:paraId="27ACE378" w14:textId="77777777" w:rsidR="008D7A54" w:rsidRPr="00D44143" w:rsidRDefault="008D7A54" w:rsidP="00D44143">
      <w:pPr>
        <w:pStyle w:val="Textonotapie"/>
        <w:jc w:val="both"/>
        <w:rPr>
          <w:color w:val="000000"/>
          <w:lang w:val="es-CO"/>
        </w:rPr>
      </w:pPr>
      <w:r w:rsidRPr="00D44143">
        <w:rPr>
          <w:color w:val="000000"/>
          <w:lang w:val="es-CO"/>
        </w:rPr>
        <w:t>“</w:t>
      </w:r>
      <w:r w:rsidRPr="00D44143">
        <w:rPr>
          <w:color w:val="000000"/>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14:paraId="2E9F35F5" w14:textId="77777777" w:rsidR="00D44143" w:rsidRDefault="00D44143" w:rsidP="00D44143">
      <w:pPr>
        <w:pStyle w:val="NormalWeb"/>
        <w:spacing w:before="0" w:beforeAutospacing="0" w:after="0" w:afterAutospacing="0"/>
        <w:jc w:val="both"/>
        <w:rPr>
          <w:sz w:val="20"/>
          <w:szCs w:val="20"/>
        </w:rPr>
      </w:pPr>
    </w:p>
    <w:p w14:paraId="2CE5B6CC" w14:textId="77777777" w:rsidR="008D7A54" w:rsidRPr="00D44143" w:rsidRDefault="008D7A54" w:rsidP="00D44143">
      <w:pPr>
        <w:pStyle w:val="NormalWeb"/>
        <w:spacing w:before="0" w:beforeAutospacing="0" w:after="0" w:afterAutospacing="0"/>
        <w:jc w:val="both"/>
        <w:rPr>
          <w:sz w:val="20"/>
          <w:szCs w:val="20"/>
        </w:rPr>
      </w:pPr>
      <w:r w:rsidRPr="00D44143">
        <w:rPr>
          <w:rStyle w:val="Refdenotaalpie"/>
          <w:sz w:val="20"/>
          <w:szCs w:val="20"/>
        </w:rPr>
        <w:footnoteRef/>
      </w:r>
      <w:r w:rsidRPr="00D44143">
        <w:rPr>
          <w:sz w:val="20"/>
          <w:szCs w:val="20"/>
        </w:rPr>
        <w:t xml:space="preserve"> “</w:t>
      </w:r>
      <w:r w:rsidRPr="00D44143">
        <w:rPr>
          <w:bCs/>
          <w:sz w:val="20"/>
          <w:szCs w:val="20"/>
        </w:rPr>
        <w:t xml:space="preserve">Artículo 164. </w:t>
      </w:r>
      <w:r w:rsidRPr="00D44143">
        <w:rPr>
          <w:iCs/>
          <w:sz w:val="20"/>
          <w:szCs w:val="20"/>
        </w:rPr>
        <w:t>Vigencia en materia contencioso administrativa</w:t>
      </w:r>
      <w:r w:rsidRPr="00D44143">
        <w:rPr>
          <w:sz w:val="20"/>
          <w:szCs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14:paraId="03A26BD5" w14:textId="77777777" w:rsidR="00D44143" w:rsidRDefault="00D44143" w:rsidP="00D44143">
      <w:pPr>
        <w:pStyle w:val="NormalWeb"/>
        <w:spacing w:before="0" w:beforeAutospacing="0" w:after="0" w:afterAutospacing="0"/>
        <w:jc w:val="both"/>
        <w:rPr>
          <w:sz w:val="20"/>
          <w:szCs w:val="20"/>
        </w:rPr>
      </w:pPr>
    </w:p>
    <w:p w14:paraId="090F74F1"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14:paraId="3105FB9F" w14:textId="77777777" w:rsidR="00D44143" w:rsidRDefault="00D44143" w:rsidP="00D44143">
      <w:pPr>
        <w:pStyle w:val="NormalWeb"/>
        <w:spacing w:before="0" w:beforeAutospacing="0" w:after="0" w:afterAutospacing="0"/>
        <w:jc w:val="both"/>
        <w:rPr>
          <w:sz w:val="20"/>
          <w:szCs w:val="20"/>
        </w:rPr>
      </w:pPr>
    </w:p>
    <w:p w14:paraId="4D92D3D5"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14:paraId="14D580C0" w14:textId="77777777" w:rsidR="00D44143" w:rsidRDefault="00D44143" w:rsidP="00D44143">
      <w:pPr>
        <w:pStyle w:val="NormalWeb"/>
        <w:spacing w:before="0" w:beforeAutospacing="0" w:after="0" w:afterAutospacing="0"/>
        <w:jc w:val="both"/>
        <w:rPr>
          <w:sz w:val="20"/>
          <w:szCs w:val="20"/>
        </w:rPr>
      </w:pPr>
    </w:p>
    <w:p w14:paraId="5DB90E94"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“Los procesos en curso que a la vigencia de esta ley eran de doble instancia y quedaren de única, no serán susceptibles de apelación, a menos que ya el recurso se hubiere interpuesto.</w:t>
      </w:r>
    </w:p>
    <w:p w14:paraId="1F7132E3" w14:textId="77777777" w:rsidR="00D44143" w:rsidRDefault="00D44143" w:rsidP="00D44143">
      <w:pPr>
        <w:pStyle w:val="NormalWeb"/>
        <w:spacing w:before="0" w:beforeAutospacing="0" w:after="0" w:afterAutospacing="0"/>
        <w:jc w:val="both"/>
        <w:rPr>
          <w:rStyle w:val="Textoennegrita"/>
          <w:b w:val="0"/>
          <w:sz w:val="20"/>
          <w:szCs w:val="20"/>
        </w:rPr>
      </w:pPr>
    </w:p>
    <w:p w14:paraId="54B9F040" w14:textId="77777777" w:rsidR="008D7A54" w:rsidRPr="00D44143" w:rsidRDefault="008D7A54" w:rsidP="00D44143">
      <w:pPr>
        <w:pStyle w:val="NormalWeb"/>
        <w:spacing w:before="0" w:beforeAutospacing="0" w:after="0" w:afterAutospacing="0"/>
        <w:jc w:val="both"/>
        <w:rPr>
          <w:sz w:val="20"/>
          <w:szCs w:val="20"/>
        </w:rPr>
      </w:pPr>
      <w:r w:rsidRPr="00D44143">
        <w:rPr>
          <w:rStyle w:val="Textoennegrita"/>
          <w:b w:val="0"/>
          <w:sz w:val="20"/>
          <w:szCs w:val="20"/>
        </w:rPr>
        <w:t>“Parágrafo</w:t>
      </w:r>
      <w:r w:rsidRPr="00D44143">
        <w:rPr>
          <w:sz w:val="20"/>
          <w:szCs w:val="20"/>
        </w:rPr>
        <w:t xml:space="preserve">. </w:t>
      </w:r>
      <w:hyperlink r:id="rId1" w:anchor="1" w:history="1">
        <w:r w:rsidRPr="00D44143">
          <w:rPr>
            <w:rStyle w:val="Hipervnculo"/>
            <w:color w:val="000000"/>
            <w:sz w:val="20"/>
            <w:szCs w:val="20"/>
          </w:rPr>
          <w:t>Modificado por el art. 1, Ley 954 de 2005</w:t>
        </w:r>
      </w:hyperlink>
      <w:r w:rsidRPr="00D44143">
        <w:rPr>
          <w:sz w:val="20"/>
          <w:szCs w:val="20"/>
        </w:rPr>
        <w:t>. Mientras entran a operar los Juzgados Administrativos continuarán aplicándose las normas de competencia vigentes a la sanción de la presente ley”.</w:t>
      </w:r>
    </w:p>
  </w:footnote>
  <w:footnote w:id="5">
    <w:p w14:paraId="7C42B385" w14:textId="77777777" w:rsidR="00D44143" w:rsidRDefault="00D44143" w:rsidP="00D44143">
      <w:pPr>
        <w:pStyle w:val="Textonotapie"/>
        <w:jc w:val="both"/>
        <w:rPr>
          <w:color w:val="000000"/>
        </w:rPr>
      </w:pPr>
    </w:p>
    <w:p w14:paraId="25EDE137" w14:textId="77777777" w:rsidR="008D7A54" w:rsidRPr="00D44143" w:rsidRDefault="008D7A54" w:rsidP="00D44143">
      <w:pPr>
        <w:pStyle w:val="Textonotapie"/>
        <w:jc w:val="both"/>
        <w:rPr>
          <w:color w:val="000000"/>
          <w:lang w:val="es-CO"/>
        </w:rPr>
      </w:pPr>
      <w:r w:rsidRPr="00D44143">
        <w:rPr>
          <w:rStyle w:val="Refdenotaalpie"/>
          <w:color w:val="000000"/>
        </w:rPr>
        <w:footnoteRef/>
      </w:r>
      <w:r w:rsidRPr="00D44143">
        <w:rPr>
          <w:color w:val="000000"/>
        </w:rPr>
        <w:t xml:space="preserve"> </w:t>
      </w:r>
      <w:r w:rsidRPr="00D44143">
        <w:rPr>
          <w:color w:val="000000"/>
          <w:lang w:val="es-CO"/>
        </w:rPr>
        <w:t>Teniendo en cuenta que el salario mínimo legal mensual vigente para 2002 era de $309.000.oo.</w:t>
      </w:r>
    </w:p>
  </w:footnote>
  <w:footnote w:id="6">
    <w:p w14:paraId="31E5C409" w14:textId="77777777" w:rsidR="008D7A54" w:rsidRPr="00D44143" w:rsidRDefault="008D7A54" w:rsidP="00D44143">
      <w:pPr>
        <w:pStyle w:val="Textonotapie"/>
        <w:jc w:val="both"/>
        <w:rPr>
          <w:lang w:val="es-CO"/>
        </w:rPr>
      </w:pPr>
      <w:r w:rsidRPr="00D44143">
        <w:rPr>
          <w:rStyle w:val="Refdenotaalpie"/>
        </w:rPr>
        <w:footnoteRef/>
      </w:r>
      <w:r w:rsidRPr="00D44143">
        <w:t xml:space="preserve"> Modificado por el art. 1º, num. 117 del decreto 2282 de 1989.</w:t>
      </w:r>
    </w:p>
  </w:footnote>
  <w:footnote w:id="7">
    <w:p w14:paraId="569E6AEE" w14:textId="77777777" w:rsidR="008D7A54" w:rsidRPr="00D44143" w:rsidRDefault="008D7A54" w:rsidP="00D44143">
      <w:pPr>
        <w:pStyle w:val="Textonotapie"/>
        <w:jc w:val="both"/>
        <w:rPr>
          <w:lang w:val="es-CO"/>
        </w:rPr>
      </w:pPr>
      <w:r w:rsidRPr="00D44143">
        <w:rPr>
          <w:rStyle w:val="Refdenotaalpie"/>
        </w:rPr>
        <w:footnoteRef/>
      </w:r>
      <w:r w:rsidRPr="00D44143">
        <w:t xml:space="preserve"> Estuvo vigente hasta el de julio de 1998.</w:t>
      </w:r>
    </w:p>
  </w:footnote>
  <w:footnote w:id="8">
    <w:p w14:paraId="16790840" w14:textId="77777777" w:rsidR="008D7A54" w:rsidRPr="00D44143" w:rsidRDefault="008D7A54" w:rsidP="00D44143">
      <w:pPr>
        <w:pStyle w:val="Textonotapie"/>
        <w:jc w:val="both"/>
      </w:pPr>
      <w:r w:rsidRPr="00D44143">
        <w:rPr>
          <w:rStyle w:val="Refdenotaalpie"/>
        </w:rPr>
        <w:footnoteRef/>
      </w:r>
      <w:r w:rsidRPr="00D44143">
        <w:t xml:space="preserve"> Corte </w:t>
      </w:r>
      <w:r w:rsidR="00A0553E">
        <w:t>Constitucional, sentencia C-023 de 19</w:t>
      </w:r>
      <w:r w:rsidRPr="00D44143">
        <w:t>98.</w:t>
      </w:r>
    </w:p>
  </w:footnote>
  <w:footnote w:id="9">
    <w:p w14:paraId="3C3E4648" w14:textId="77777777" w:rsidR="008D7A54" w:rsidRPr="00D44143" w:rsidRDefault="008D7A54" w:rsidP="00D44143">
      <w:pPr>
        <w:pStyle w:val="Textonotapie"/>
        <w:jc w:val="both"/>
        <w:rPr>
          <w:lang w:val="es-CO"/>
        </w:rPr>
      </w:pPr>
      <w:r w:rsidRPr="00D44143">
        <w:rPr>
          <w:rStyle w:val="Refdenotaalpie"/>
        </w:rPr>
        <w:footnoteRef/>
      </w:r>
      <w:r w:rsidRPr="00D44143">
        <w:t xml:space="preserve"> </w:t>
      </w:r>
      <w:r w:rsidRPr="00D44143">
        <w:rPr>
          <w:lang w:val="es-CO"/>
        </w:rPr>
        <w:t xml:space="preserve">Ver, entre otras providencias, Consejo de Estado, Sala lo Contencioso Administrativo, Sección Tercera: sentencias del 18 de mayo de 2010 (exp. </w:t>
      </w:r>
      <w:r w:rsidRPr="00D44143">
        <w:rPr>
          <w:lang w:val="es-ES"/>
        </w:rPr>
        <w:t xml:space="preserve">1999 -01250), </w:t>
      </w:r>
      <w:r w:rsidRPr="00D44143">
        <w:t>del 18 de septiembre de 1997 (exp. 9.666), del 8 de febrero de 2001 (exp. 13.254), del 17 de mayo de 2001 (exp. 12.370), del 21 de febrero de 2002 (exp. 12.789).</w:t>
      </w:r>
      <w:r w:rsidRPr="00D44143">
        <w:rPr>
          <w:lang w:val="es-CO"/>
        </w:rPr>
        <w:t xml:space="preserve"> </w:t>
      </w:r>
    </w:p>
  </w:footnote>
  <w:footnote w:id="10">
    <w:p w14:paraId="3C1B197D" w14:textId="77777777" w:rsidR="00A0553E" w:rsidRPr="00A0553E" w:rsidRDefault="00A0553E">
      <w:pPr>
        <w:pStyle w:val="Textonotapie"/>
        <w:rPr>
          <w:lang w:val="es-CO"/>
        </w:rPr>
      </w:pPr>
      <w:r>
        <w:rPr>
          <w:rStyle w:val="Refdenotaalpie"/>
        </w:rPr>
        <w:footnoteRef/>
      </w:r>
      <w:r>
        <w:t xml:space="preserve"> Consejo de Estado, Sala de lo Contencioso Administrativo, Sección Tercera, Subsección “A”, sentencia del 12 de marzo de 2015, exp. 32.799.</w:t>
      </w:r>
    </w:p>
  </w:footnote>
  <w:footnote w:id="11">
    <w:p w14:paraId="76ADA85F" w14:textId="77777777" w:rsidR="008D7A54" w:rsidRPr="00D44143" w:rsidRDefault="008D7A54" w:rsidP="00D44143">
      <w:pPr>
        <w:pStyle w:val="Textonotapie"/>
        <w:jc w:val="both"/>
        <w:rPr>
          <w:lang w:val="es-CO"/>
        </w:rPr>
      </w:pPr>
      <w:r w:rsidRPr="00D44143">
        <w:rPr>
          <w:rStyle w:val="Refdenotaalpie"/>
        </w:rPr>
        <w:footnoteRef/>
      </w:r>
      <w:r w:rsidRPr="00D44143">
        <w:t xml:space="preserve"> </w:t>
      </w:r>
      <w:r w:rsidRPr="00D44143">
        <w:rPr>
          <w:lang w:val="es-CO"/>
        </w:rPr>
        <w:t>Exp. 25.022.</w:t>
      </w:r>
    </w:p>
  </w:footnote>
  <w:footnote w:id="12">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840"/>
      </w:tblGrid>
      <w:tr w:rsidR="008D7A54" w:rsidRPr="00D44143" w14:paraId="3BC021EF" w14:textId="77777777" w:rsidTr="00705ED2">
        <w:trPr>
          <w:tblCellSpacing w:w="15" w:type="dxa"/>
        </w:trPr>
        <w:tc>
          <w:tcPr>
            <w:tcW w:w="0" w:type="auto"/>
            <w:vAlign w:val="center"/>
            <w:hideMark/>
          </w:tcPr>
          <w:p w14:paraId="7F214E27" w14:textId="77777777" w:rsidR="008D7A54" w:rsidRPr="00D44143" w:rsidRDefault="008D7A54" w:rsidP="00D44143">
            <w:pPr>
              <w:pStyle w:val="NormalWeb"/>
              <w:spacing w:before="0" w:beforeAutospacing="0" w:after="0" w:afterAutospacing="0"/>
              <w:jc w:val="both"/>
              <w:rPr>
                <w:sz w:val="20"/>
                <w:szCs w:val="20"/>
              </w:rPr>
            </w:pPr>
            <w:r w:rsidRPr="00D44143">
              <w:rPr>
                <w:rStyle w:val="Refdenotaalpie"/>
                <w:sz w:val="20"/>
                <w:szCs w:val="20"/>
              </w:rPr>
              <w:footnoteRef/>
            </w:r>
            <w:r w:rsidRPr="00D44143">
              <w:rPr>
                <w:sz w:val="20"/>
                <w:szCs w:val="20"/>
              </w:rPr>
              <w:t xml:space="preserve"> “Se presumirá, salvo prueba en contrario, que las copias tendrán el mismo valor del original cuando no hayan sido tachadas de falsas, para cuyo efecto se seguirá el trámite dispuesto en el Código de Procedimiento Civil.</w:t>
            </w:r>
          </w:p>
        </w:tc>
      </w:tr>
    </w:tbl>
    <w:p w14:paraId="54E299BA"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w:t>
      </w:r>
      <w:r w:rsidRPr="00D44143">
        <w:rPr>
          <w:sz w:val="20"/>
          <w:szCs w:val="20"/>
          <w:u w:val="single"/>
        </w:rPr>
        <w:t>La regla prevista en el inciso anterior no se aplicará cuando se trate de títulos ejecutivos, caso en el cual los documentos que los contengan deberán cumplir los requisitos exigidos en la ley</w:t>
      </w:r>
      <w:r w:rsidRPr="00D44143">
        <w:rPr>
          <w:sz w:val="20"/>
          <w:szCs w:val="20"/>
        </w:rPr>
        <w:t xml:space="preserve">” (subraya fuera del texto). </w:t>
      </w:r>
    </w:p>
    <w:p w14:paraId="14304E7D" w14:textId="77777777" w:rsidR="008D7A54" w:rsidRPr="00D44143" w:rsidRDefault="008D7A54" w:rsidP="00D44143">
      <w:pPr>
        <w:pStyle w:val="Textonotapie"/>
        <w:jc w:val="both"/>
        <w:rPr>
          <w:lang w:val="es-CO"/>
        </w:rPr>
      </w:pPr>
    </w:p>
  </w:footnote>
  <w:footnote w:id="13">
    <w:p w14:paraId="1C3FC3B1" w14:textId="77777777" w:rsidR="008D7A54" w:rsidRPr="00D44143" w:rsidRDefault="008D7A54" w:rsidP="00D44143">
      <w:pPr>
        <w:pStyle w:val="Textonotapie"/>
        <w:jc w:val="both"/>
        <w:rPr>
          <w:lang w:val="es-ES"/>
        </w:rPr>
      </w:pPr>
      <w:r w:rsidRPr="00D44143">
        <w:rPr>
          <w:rStyle w:val="Refdenotaalpie"/>
        </w:rPr>
        <w:footnoteRef/>
      </w:r>
      <w:r w:rsidRPr="00D44143">
        <w:t xml:space="preserve"> Derogado expresamente por el artículo 626 del Código General del Proceso -</w:t>
      </w:r>
      <w:r w:rsidRPr="00D44143">
        <w:rPr>
          <w:lang w:val="es-ES"/>
        </w:rPr>
        <w:t>corregido mediante el decreto 1736 de 2012-).</w:t>
      </w:r>
    </w:p>
    <w:p w14:paraId="55430C34" w14:textId="77777777" w:rsidR="008D7A54" w:rsidRPr="00D44143" w:rsidRDefault="008D7A54" w:rsidP="00D44143">
      <w:pPr>
        <w:pStyle w:val="Textonotapie"/>
        <w:jc w:val="both"/>
        <w:rPr>
          <w:lang w:val="es-CO"/>
        </w:rPr>
      </w:pPr>
    </w:p>
  </w:footnote>
  <w:footnote w:id="14">
    <w:p w14:paraId="08381BDB" w14:textId="77777777" w:rsidR="008D7A54" w:rsidRPr="00D44143" w:rsidRDefault="008D7A54" w:rsidP="00D44143">
      <w:pPr>
        <w:pStyle w:val="NormalWeb"/>
        <w:spacing w:before="0" w:beforeAutospacing="0" w:after="0" w:afterAutospacing="0"/>
        <w:jc w:val="both"/>
        <w:rPr>
          <w:sz w:val="20"/>
          <w:szCs w:val="20"/>
        </w:rPr>
      </w:pPr>
      <w:r w:rsidRPr="00D44143">
        <w:rPr>
          <w:rStyle w:val="Refdenotaalpie"/>
          <w:sz w:val="20"/>
          <w:szCs w:val="20"/>
        </w:rPr>
        <w:footnoteRef/>
      </w:r>
      <w:r w:rsidRPr="00D44143">
        <w:rPr>
          <w:sz w:val="20"/>
          <w:szCs w:val="20"/>
        </w:rPr>
        <w:t xml:space="preserve"> </w:t>
      </w:r>
      <w:bookmarkStart w:id="15" w:name="244"/>
      <w:r w:rsidRPr="00D44143">
        <w:rPr>
          <w:sz w:val="20"/>
          <w:szCs w:val="20"/>
        </w:rPr>
        <w:t>“ARTÍCULO 244. DOCUMENTO AUTÉNTICO.</w:t>
      </w:r>
      <w:bookmarkEnd w:id="15"/>
      <w:r w:rsidRPr="00D44143">
        <w:rPr>
          <w:sz w:val="20"/>
          <w:szCs w:val="20"/>
        </w:rPr>
        <w:t xml:space="preserve"> Es auténtico un documento cuando existe certeza sobre la persona que lo ha elaborado, manuscrito, firmado, o cuando exista certeza respecto de la persona a quien se atribuya el documento.</w:t>
      </w:r>
    </w:p>
    <w:p w14:paraId="6B9168CA"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 xml:space="preserve">“Los documentos públicos y los privados emanados de las partes o de terceros, en </w:t>
      </w:r>
      <w:r w:rsidRPr="00D44143">
        <w:rPr>
          <w:sz w:val="20"/>
          <w:szCs w:val="20"/>
          <w:u w:val="single"/>
        </w:rPr>
        <w:t>original o en copia</w:t>
      </w:r>
      <w:r w:rsidRPr="00D44143">
        <w:rPr>
          <w:sz w:val="20"/>
          <w:szCs w:val="20"/>
        </w:rPr>
        <w:t xml:space="preserve">, elaborados, firmados o manuscritos, y los que contengan la reproducción de la voz o de la imagen, </w:t>
      </w:r>
      <w:r w:rsidRPr="00D44143">
        <w:rPr>
          <w:sz w:val="20"/>
          <w:szCs w:val="20"/>
          <w:u w:val="single"/>
        </w:rPr>
        <w:t>se presumen auténticos, mientras no hayan sido tachados de falso o desconocidos, según el caso</w:t>
      </w:r>
      <w:r w:rsidRPr="00D44143">
        <w:rPr>
          <w:sz w:val="20"/>
          <w:szCs w:val="20"/>
        </w:rPr>
        <w:t>.</w:t>
      </w:r>
    </w:p>
    <w:p w14:paraId="446DEB1E" w14:textId="77777777" w:rsidR="008D7A54" w:rsidRPr="00D44143" w:rsidRDefault="008D7A54" w:rsidP="00D44143">
      <w:pPr>
        <w:pStyle w:val="NormalWeb"/>
        <w:spacing w:before="0" w:beforeAutospacing="0" w:after="0" w:afterAutospacing="0"/>
        <w:jc w:val="both"/>
        <w:rPr>
          <w:sz w:val="20"/>
          <w:szCs w:val="20"/>
        </w:rPr>
      </w:pPr>
    </w:p>
    <w:p w14:paraId="47E1C0BB"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“También se presumirán auténticos los memoriales presentados para que formen parte del expediente, incluidas las demandas, sus contestaciones, los que impliquen disposición del derecho en litigio y los poderes en caso de sustitución.</w:t>
      </w:r>
    </w:p>
    <w:p w14:paraId="3AAB8FD0" w14:textId="77777777" w:rsidR="008D7A54" w:rsidRPr="00D44143" w:rsidRDefault="008D7A54" w:rsidP="00D44143">
      <w:pPr>
        <w:pStyle w:val="NormalWeb"/>
        <w:spacing w:before="0" w:beforeAutospacing="0" w:after="0" w:afterAutospacing="0"/>
        <w:jc w:val="both"/>
        <w:rPr>
          <w:sz w:val="20"/>
          <w:szCs w:val="20"/>
        </w:rPr>
      </w:pPr>
    </w:p>
    <w:p w14:paraId="62B8FC25"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w:t>
      </w:r>
      <w:r w:rsidRPr="00D44143">
        <w:rPr>
          <w:sz w:val="20"/>
          <w:szCs w:val="20"/>
          <w:u w:val="single"/>
        </w:rPr>
        <w:t>Así mismo se presumen auténticos todos los documentos que reúnan los requisitos para ser título ejecutivo</w:t>
      </w:r>
      <w:r w:rsidRPr="00D44143">
        <w:rPr>
          <w:sz w:val="20"/>
          <w:szCs w:val="20"/>
        </w:rPr>
        <w:t>.</w:t>
      </w:r>
    </w:p>
    <w:p w14:paraId="6DAE129F" w14:textId="77777777" w:rsidR="008D7A54" w:rsidRPr="00D44143" w:rsidRDefault="008D7A54" w:rsidP="00D44143">
      <w:pPr>
        <w:pStyle w:val="NormalWeb"/>
        <w:spacing w:before="0" w:beforeAutospacing="0" w:after="0" w:afterAutospacing="0"/>
        <w:jc w:val="both"/>
        <w:rPr>
          <w:sz w:val="20"/>
          <w:szCs w:val="20"/>
        </w:rPr>
      </w:pPr>
    </w:p>
    <w:p w14:paraId="4A0D4F47"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“La parte que aporte al proceso un documento, en original o en copia, reconoce con ello su autenticidad y no podrá impugnarlo, excepto cuando al presentarlo alegue su falsedad. Los documentos en forma de mensaje de datos se presumen auténticos.</w:t>
      </w:r>
    </w:p>
    <w:p w14:paraId="7BA737D2" w14:textId="77777777" w:rsidR="008D7A54" w:rsidRPr="00D44143" w:rsidRDefault="008D7A54" w:rsidP="00D44143">
      <w:pPr>
        <w:pStyle w:val="NormalWeb"/>
        <w:spacing w:before="0" w:beforeAutospacing="0" w:after="0" w:afterAutospacing="0"/>
        <w:jc w:val="both"/>
        <w:rPr>
          <w:sz w:val="20"/>
          <w:szCs w:val="20"/>
        </w:rPr>
      </w:pPr>
    </w:p>
    <w:p w14:paraId="59157C1B"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 xml:space="preserve">“Lo dispuesto en este artículo se aplica en todos los procesos y en todas las jurisdicciones”. </w:t>
      </w:r>
    </w:p>
    <w:p w14:paraId="28470BB9" w14:textId="77777777" w:rsidR="008D7A54" w:rsidRPr="00D44143" w:rsidRDefault="008D7A54" w:rsidP="00D44143">
      <w:pPr>
        <w:pStyle w:val="NormalWeb"/>
        <w:spacing w:before="0" w:beforeAutospacing="0" w:after="0" w:afterAutospacing="0"/>
        <w:jc w:val="both"/>
        <w:rPr>
          <w:sz w:val="20"/>
          <w:szCs w:val="20"/>
        </w:rPr>
      </w:pPr>
    </w:p>
    <w:p w14:paraId="489991F9" w14:textId="77777777" w:rsidR="008D7A54" w:rsidRPr="00D44143" w:rsidRDefault="008D7A54" w:rsidP="00D44143">
      <w:pPr>
        <w:pStyle w:val="NormalWeb"/>
        <w:spacing w:before="0" w:beforeAutospacing="0" w:after="0" w:afterAutospacing="0"/>
        <w:jc w:val="both"/>
        <w:rPr>
          <w:sz w:val="20"/>
          <w:szCs w:val="20"/>
        </w:rPr>
      </w:pPr>
      <w:bookmarkStart w:id="16" w:name="245"/>
      <w:r w:rsidRPr="00D44143">
        <w:rPr>
          <w:sz w:val="20"/>
          <w:szCs w:val="20"/>
        </w:rPr>
        <w:t>“ARTÍCULO 245. APORTACIÓN DE DOCUMENTOS.</w:t>
      </w:r>
      <w:bookmarkEnd w:id="16"/>
      <w:r w:rsidRPr="00D44143">
        <w:rPr>
          <w:sz w:val="20"/>
          <w:szCs w:val="20"/>
        </w:rPr>
        <w:t xml:space="preserve"> Los documentos se aportarán al proceso en original o en copia.</w:t>
      </w:r>
    </w:p>
    <w:p w14:paraId="4681C829" w14:textId="77777777" w:rsidR="008D7A54" w:rsidRPr="00D44143" w:rsidRDefault="008D7A54" w:rsidP="00D44143">
      <w:pPr>
        <w:pStyle w:val="NormalWeb"/>
        <w:spacing w:before="0" w:beforeAutospacing="0" w:after="0" w:afterAutospacing="0"/>
        <w:jc w:val="both"/>
        <w:rPr>
          <w:sz w:val="20"/>
          <w:szCs w:val="20"/>
        </w:rPr>
      </w:pPr>
    </w:p>
    <w:p w14:paraId="7BE8AA67"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“Las partes deberán aportar el original del documento cuando estuviere en su poder, salvo causa justificada. Cuando se allegue copia, el aportante deberá indicar en dónde se encuentra el original, si tuviere conocimiento de ello”.</w:t>
      </w:r>
    </w:p>
    <w:p w14:paraId="27DE25A2" w14:textId="77777777" w:rsidR="008D7A54" w:rsidRPr="00D44143" w:rsidRDefault="008D7A54" w:rsidP="00D44143">
      <w:pPr>
        <w:pStyle w:val="NormalWeb"/>
        <w:spacing w:before="0" w:beforeAutospacing="0" w:after="0" w:afterAutospacing="0"/>
        <w:jc w:val="both"/>
        <w:rPr>
          <w:sz w:val="20"/>
          <w:szCs w:val="20"/>
        </w:rPr>
      </w:pPr>
    </w:p>
    <w:p w14:paraId="10568734" w14:textId="77777777" w:rsidR="008D7A54" w:rsidRPr="00D44143" w:rsidRDefault="008D7A54" w:rsidP="00D44143">
      <w:pPr>
        <w:pStyle w:val="NormalWeb"/>
        <w:spacing w:before="0" w:beforeAutospacing="0" w:after="0" w:afterAutospacing="0"/>
        <w:jc w:val="both"/>
        <w:rPr>
          <w:sz w:val="20"/>
          <w:szCs w:val="20"/>
        </w:rPr>
      </w:pPr>
      <w:bookmarkStart w:id="17" w:name="246"/>
      <w:r w:rsidRPr="00D44143">
        <w:rPr>
          <w:sz w:val="20"/>
          <w:szCs w:val="20"/>
        </w:rPr>
        <w:t>“ARTÍCULO 246. VALOR PROBATORIO DE LAS COPIAS.</w:t>
      </w:r>
      <w:bookmarkEnd w:id="17"/>
      <w:r w:rsidRPr="00D44143">
        <w:rPr>
          <w:sz w:val="20"/>
          <w:szCs w:val="20"/>
        </w:rPr>
        <w:t xml:space="preserve"> </w:t>
      </w:r>
      <w:r w:rsidRPr="00D44143">
        <w:rPr>
          <w:sz w:val="20"/>
          <w:szCs w:val="20"/>
          <w:u w:val="single"/>
        </w:rPr>
        <w:t>Las copias tendrán el mismo valor probatorio del original, salvo cuando por disposición legal sea necesaria la presentación del original o de una determinada copia</w:t>
      </w:r>
      <w:r w:rsidRPr="00D44143">
        <w:rPr>
          <w:sz w:val="20"/>
          <w:szCs w:val="20"/>
        </w:rPr>
        <w:t>.</w:t>
      </w:r>
    </w:p>
    <w:p w14:paraId="628D9714" w14:textId="77777777" w:rsidR="008D7A54" w:rsidRPr="00D44143" w:rsidRDefault="008D7A54" w:rsidP="00D44143">
      <w:pPr>
        <w:pStyle w:val="NormalWeb"/>
        <w:spacing w:before="0" w:beforeAutospacing="0" w:after="0" w:afterAutospacing="0"/>
        <w:jc w:val="both"/>
        <w:rPr>
          <w:sz w:val="20"/>
          <w:szCs w:val="20"/>
        </w:rPr>
      </w:pPr>
    </w:p>
    <w:p w14:paraId="6CE9B527"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 (subraya fuera del texto).</w:t>
      </w:r>
    </w:p>
    <w:p w14:paraId="5CD77FAB" w14:textId="77777777" w:rsidR="008D7A54" w:rsidRPr="00D44143" w:rsidRDefault="008D7A54" w:rsidP="00D44143">
      <w:pPr>
        <w:pStyle w:val="Textonotapie"/>
        <w:jc w:val="both"/>
        <w:rPr>
          <w:lang w:val="es-CO"/>
        </w:rPr>
      </w:pPr>
    </w:p>
  </w:footnote>
  <w:footnote w:id="15">
    <w:p w14:paraId="5249AF8B" w14:textId="77777777" w:rsidR="008D7A54" w:rsidRPr="00D44143" w:rsidRDefault="008D7A54" w:rsidP="00D44143">
      <w:pPr>
        <w:pStyle w:val="Textonotapie"/>
        <w:jc w:val="both"/>
        <w:rPr>
          <w:lang w:val="es-CO"/>
        </w:rPr>
      </w:pPr>
      <w:r w:rsidRPr="00D44143">
        <w:rPr>
          <w:rStyle w:val="Refdenotaalpie"/>
        </w:rPr>
        <w:footnoteRef/>
      </w:r>
      <w:r w:rsidRPr="00D44143">
        <w:t xml:space="preserve"> </w:t>
      </w:r>
      <w:r w:rsidRPr="00D44143">
        <w:rPr>
          <w:lang w:val="es-CO"/>
        </w:rPr>
        <w:t>Ibídem.</w:t>
      </w:r>
    </w:p>
  </w:footnote>
  <w:footnote w:id="16">
    <w:p w14:paraId="6FE03AF7" w14:textId="77777777" w:rsidR="008D7A54" w:rsidRPr="00D44143" w:rsidRDefault="008D7A54" w:rsidP="00D44143">
      <w:pPr>
        <w:pStyle w:val="Textonotapie"/>
        <w:jc w:val="both"/>
        <w:rPr>
          <w:lang w:val="es-CO"/>
        </w:rPr>
      </w:pPr>
      <w:r w:rsidRPr="00D44143">
        <w:rPr>
          <w:rStyle w:val="Refdenotaalpie"/>
        </w:rPr>
        <w:footnoteRef/>
      </w:r>
      <w:r w:rsidRPr="00D44143">
        <w:t xml:space="preserve"> “En la demanda ejecutiva se podrá pedir que previamente se ordene el reconocimiento del documento presentado, el requerimiento para constituir en mora al deudor, o la notificación de la cesión del crédito o de los títulos ejecutivos a los herederos”.</w:t>
      </w:r>
    </w:p>
  </w:footnote>
  <w:footnote w:id="17">
    <w:p w14:paraId="0842FCE9" w14:textId="77777777" w:rsidR="00A0553E" w:rsidRPr="00A0553E" w:rsidRDefault="00A0553E">
      <w:pPr>
        <w:pStyle w:val="Textonotapie"/>
        <w:rPr>
          <w:lang w:val="es-CO"/>
        </w:rPr>
      </w:pPr>
      <w:r>
        <w:rPr>
          <w:rStyle w:val="Refdenotaalpie"/>
        </w:rPr>
        <w:footnoteRef/>
      </w:r>
      <w:r>
        <w:t xml:space="preserve"> </w:t>
      </w:r>
      <w:r>
        <w:rPr>
          <w:lang w:val="es-CO"/>
        </w:rPr>
        <w:t>Corte Constitucional, sentencia C-258 de 2008.</w:t>
      </w:r>
    </w:p>
  </w:footnote>
  <w:footnote w:id="18">
    <w:p w14:paraId="0CED2EC5" w14:textId="77777777" w:rsidR="008D7A54" w:rsidRPr="00D44143" w:rsidRDefault="008D7A54" w:rsidP="00D44143">
      <w:pPr>
        <w:pStyle w:val="NormalWeb"/>
        <w:spacing w:before="0" w:beforeAutospacing="0" w:after="0" w:afterAutospacing="0"/>
        <w:jc w:val="both"/>
        <w:rPr>
          <w:sz w:val="20"/>
          <w:szCs w:val="20"/>
        </w:rPr>
      </w:pPr>
      <w:r w:rsidRPr="00D44143">
        <w:rPr>
          <w:rStyle w:val="Refdenotaalpie"/>
          <w:sz w:val="20"/>
          <w:szCs w:val="20"/>
        </w:rPr>
        <w:footnoteRef/>
      </w:r>
      <w:r w:rsidRPr="00D44143">
        <w:rPr>
          <w:sz w:val="20"/>
          <w:szCs w:val="20"/>
        </w:rPr>
        <w:t xml:space="preserve"> “Subrogado por el </w:t>
      </w:r>
      <w:r w:rsidRPr="00C23FC5">
        <w:rPr>
          <w:color w:val="000000"/>
          <w:sz w:val="20"/>
          <w:szCs w:val="20"/>
        </w:rPr>
        <w:t xml:space="preserve">artículo </w:t>
      </w:r>
      <w:hyperlink r:id="rId2" w:anchor="32" w:history="1">
        <w:r w:rsidRPr="00C23FC5">
          <w:rPr>
            <w:rStyle w:val="Hipervnculo"/>
            <w:color w:val="000000"/>
            <w:sz w:val="20"/>
            <w:szCs w:val="20"/>
            <w:u w:val="none"/>
          </w:rPr>
          <w:t>32</w:t>
        </w:r>
      </w:hyperlink>
      <w:r w:rsidRPr="00C23FC5">
        <w:rPr>
          <w:color w:val="000000"/>
          <w:sz w:val="20"/>
          <w:szCs w:val="20"/>
        </w:rPr>
        <w:t xml:space="preserve"> de</w:t>
      </w:r>
      <w:r w:rsidRPr="00D44143">
        <w:rPr>
          <w:sz w:val="20"/>
          <w:szCs w:val="20"/>
        </w:rPr>
        <w:t xml:space="preserve"> la Ley 446 de 1998. El nuevo texto es el siguiente: </w:t>
      </w:r>
    </w:p>
    <w:p w14:paraId="0227F0EB" w14:textId="77777777" w:rsidR="00D44143" w:rsidRDefault="00D44143" w:rsidP="00D44143">
      <w:pPr>
        <w:pStyle w:val="NormalWeb"/>
        <w:spacing w:before="0" w:beforeAutospacing="0" w:after="0" w:afterAutospacing="0"/>
        <w:jc w:val="both"/>
        <w:rPr>
          <w:sz w:val="20"/>
          <w:szCs w:val="20"/>
        </w:rPr>
      </w:pPr>
    </w:p>
    <w:p w14:paraId="5152276F"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57BFB2C7" w14:textId="77777777" w:rsidR="00D44143" w:rsidRDefault="00D44143" w:rsidP="00D44143">
      <w:pPr>
        <w:pStyle w:val="NormalWeb"/>
        <w:spacing w:before="0" w:beforeAutospacing="0" w:after="0" w:afterAutospacing="0"/>
        <w:jc w:val="both"/>
        <w:rPr>
          <w:sz w:val="20"/>
          <w:szCs w:val="20"/>
        </w:rPr>
      </w:pPr>
    </w:p>
    <w:p w14:paraId="703A6AE2"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D44143">
        <w:rPr>
          <w:rStyle w:val="iaj"/>
          <w:sz w:val="20"/>
          <w:szCs w:val="20"/>
        </w:rPr>
        <w:t xml:space="preserve">Una vez celebrado éste, la ilegalidad de los actos previos solamente podrá invocarse como fundamento de nulidad absoluta del contrato. </w:t>
      </w:r>
    </w:p>
    <w:p w14:paraId="0C236434" w14:textId="77777777" w:rsidR="00D44143" w:rsidRDefault="00D44143" w:rsidP="00D44143">
      <w:pPr>
        <w:pStyle w:val="NormalWeb"/>
        <w:spacing w:before="0" w:beforeAutospacing="0" w:after="0" w:afterAutospacing="0"/>
        <w:jc w:val="both"/>
        <w:rPr>
          <w:sz w:val="20"/>
          <w:szCs w:val="20"/>
        </w:rPr>
      </w:pPr>
    </w:p>
    <w:p w14:paraId="44C7DB5C"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 xml:space="preserve">“El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w:t>
      </w:r>
    </w:p>
    <w:p w14:paraId="4237224D" w14:textId="77777777" w:rsidR="00D44143" w:rsidRDefault="00D44143" w:rsidP="00D44143">
      <w:pPr>
        <w:pStyle w:val="NormalWeb"/>
        <w:spacing w:before="0" w:beforeAutospacing="0" w:after="0" w:afterAutospacing="0"/>
        <w:jc w:val="both"/>
        <w:rPr>
          <w:sz w:val="20"/>
          <w:szCs w:val="20"/>
        </w:rPr>
      </w:pPr>
    </w:p>
    <w:p w14:paraId="582BC18F" w14:textId="77777777" w:rsidR="008D7A54" w:rsidRPr="00D44143" w:rsidRDefault="008D7A54" w:rsidP="00D44143">
      <w:pPr>
        <w:pStyle w:val="NormalWeb"/>
        <w:spacing w:before="0" w:beforeAutospacing="0" w:after="0" w:afterAutospacing="0"/>
        <w:jc w:val="both"/>
        <w:rPr>
          <w:sz w:val="20"/>
          <w:szCs w:val="20"/>
        </w:rPr>
      </w:pPr>
      <w:r w:rsidRPr="00D44143">
        <w:rPr>
          <w:sz w:val="20"/>
          <w:szCs w:val="20"/>
        </w:rPr>
        <w:t>“</w:t>
      </w:r>
      <w:r w:rsidRPr="00D44143">
        <w:rPr>
          <w:sz w:val="20"/>
          <w:szCs w:val="20"/>
          <w:u w:val="single"/>
        </w:rPr>
        <w:t>En los procesos ejecutivos derivados de condenas impuestas por la Jurisdicción Contencioso Administrativa se aplicará la regulación del proceso ejecutivo singular de mayor cuantía contenida en el Código de Procedimiento Civil</w:t>
      </w:r>
      <w:r w:rsidRPr="00D44143">
        <w:rPr>
          <w:sz w:val="20"/>
          <w:szCs w:val="20"/>
        </w:rPr>
        <w:t xml:space="preserve">” (subraya fuera del texto). </w:t>
      </w:r>
    </w:p>
    <w:p w14:paraId="21AD5FC5" w14:textId="77777777" w:rsidR="008D7A54" w:rsidRPr="00D44143" w:rsidRDefault="008D7A54" w:rsidP="00D44143">
      <w:pPr>
        <w:pStyle w:val="Textonotapie"/>
        <w:jc w:val="both"/>
        <w:rPr>
          <w:lang w:val="es-CO"/>
        </w:rPr>
      </w:pPr>
    </w:p>
  </w:footnote>
  <w:footnote w:id="19">
    <w:p w14:paraId="133FD3B9" w14:textId="77777777" w:rsidR="00BC6037" w:rsidRPr="00BC6037" w:rsidRDefault="00BC6037">
      <w:pPr>
        <w:pStyle w:val="Textonotapie"/>
        <w:rPr>
          <w:lang w:val="es-CO"/>
        </w:rPr>
      </w:pPr>
      <w:r>
        <w:rPr>
          <w:rStyle w:val="Refdenotaalpie"/>
        </w:rPr>
        <w:footnoteRef/>
      </w:r>
      <w:r>
        <w:t xml:space="preserve"> </w:t>
      </w:r>
      <w:r>
        <w:rPr>
          <w:lang w:val="es-CO"/>
        </w:rPr>
        <w:t xml:space="preserve">Consejo de Estado, Sala de lo Contencioso Administrativo, Sección Tercera, sentencia del 28 de abril de 2005, exp. 26.410. </w:t>
      </w:r>
    </w:p>
  </w:footnote>
  <w:footnote w:id="20">
    <w:p w14:paraId="12AA1ACE" w14:textId="77777777" w:rsidR="008D7A54" w:rsidRPr="00D44143" w:rsidRDefault="008D7A54" w:rsidP="00D44143">
      <w:pPr>
        <w:pStyle w:val="Textonotapie"/>
        <w:jc w:val="both"/>
        <w:rPr>
          <w:lang w:val="es-CO"/>
        </w:rPr>
      </w:pPr>
      <w:r w:rsidRPr="00D44143">
        <w:rPr>
          <w:rStyle w:val="Refdenotaalpie"/>
        </w:rPr>
        <w:footnoteRef/>
      </w:r>
      <w:r w:rsidRPr="00D44143">
        <w:t xml:space="preserve"> </w:t>
      </w:r>
      <w:r w:rsidRPr="00D44143">
        <w:rPr>
          <w:lang w:val="es-CO"/>
        </w:rPr>
        <w:t xml:space="preserve">Al respecto, ver sentencias </w:t>
      </w:r>
      <w:r w:rsidRPr="00D44143">
        <w:t>C-480 de 1995, C-037 de 1996 y C-274 de 1998, todas de la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70D09" w14:textId="77777777" w:rsidR="008D7A54" w:rsidRDefault="008D7A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BBEF68" w14:textId="77777777" w:rsidR="008D7A54" w:rsidRDefault="008D7A5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CE0B" w14:textId="77777777" w:rsidR="008D7A54" w:rsidRPr="00327975" w:rsidRDefault="008D7A54" w:rsidP="004F37BF">
    <w:pPr>
      <w:ind w:right="360"/>
      <w:rPr>
        <w:sz w:val="20"/>
        <w:szCs w:val="20"/>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59CA" w14:textId="77777777" w:rsidR="008D7A54" w:rsidRPr="00AD2AB8" w:rsidRDefault="008D7A54" w:rsidP="00161E42">
    <w:pPr>
      <w:pStyle w:val="Encabezado"/>
      <w:spacing w:line="360" w:lineRule="auto"/>
      <w:rPr>
        <w:rFonts w:ascii="Century Gothic" w:hAnsi="Century Gothi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BFA0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217"/>
    <w:multiLevelType w:val="multilevel"/>
    <w:tmpl w:val="C3FC29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1886F32"/>
    <w:multiLevelType w:val="multilevel"/>
    <w:tmpl w:val="1D56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146"/>
    <w:multiLevelType w:val="hybridMultilevel"/>
    <w:tmpl w:val="C590C1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DA5BF1"/>
    <w:multiLevelType w:val="hybridMultilevel"/>
    <w:tmpl w:val="FADEB02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36922B7"/>
    <w:multiLevelType w:val="hybridMultilevel"/>
    <w:tmpl w:val="D7848198"/>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2D03BA"/>
    <w:multiLevelType w:val="hybridMultilevel"/>
    <w:tmpl w:val="64628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8363A"/>
    <w:multiLevelType w:val="hybridMultilevel"/>
    <w:tmpl w:val="D4E27F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244391"/>
    <w:multiLevelType w:val="hybridMultilevel"/>
    <w:tmpl w:val="9B381D14"/>
    <w:lvl w:ilvl="0" w:tplc="45264A7A">
      <w:start w:val="1"/>
      <w:numFmt w:val="low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9" w15:restartNumberingAfterBreak="0">
    <w:nsid w:val="3A9C416D"/>
    <w:multiLevelType w:val="hybridMultilevel"/>
    <w:tmpl w:val="17EAC554"/>
    <w:lvl w:ilvl="0" w:tplc="F2B25374">
      <w:start w:val="1"/>
      <w:numFmt w:val="lowerLetter"/>
      <w:lvlText w:val="%1."/>
      <w:lvlJc w:val="left"/>
      <w:pPr>
        <w:tabs>
          <w:tab w:val="num" w:pos="1743"/>
        </w:tabs>
        <w:ind w:left="1743" w:hanging="103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3E6B498A"/>
    <w:multiLevelType w:val="hybridMultilevel"/>
    <w:tmpl w:val="E2C09E86"/>
    <w:lvl w:ilvl="0" w:tplc="A93A8A8E">
      <w:start w:val="13"/>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1779D"/>
    <w:multiLevelType w:val="multilevel"/>
    <w:tmpl w:val="423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115EC"/>
    <w:multiLevelType w:val="hybridMultilevel"/>
    <w:tmpl w:val="6CA436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009D9"/>
    <w:multiLevelType w:val="multilevel"/>
    <w:tmpl w:val="09B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E3DE7"/>
    <w:multiLevelType w:val="multilevel"/>
    <w:tmpl w:val="3972446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986FFF"/>
    <w:multiLevelType w:val="hybridMultilevel"/>
    <w:tmpl w:val="D3923B3E"/>
    <w:lvl w:ilvl="0" w:tplc="F906E5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CB17BA"/>
    <w:multiLevelType w:val="multilevel"/>
    <w:tmpl w:val="045C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A869FD"/>
    <w:multiLevelType w:val="hybridMultilevel"/>
    <w:tmpl w:val="2DF0DA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9C2BD0"/>
    <w:multiLevelType w:val="hybridMultilevel"/>
    <w:tmpl w:val="FD868F64"/>
    <w:lvl w:ilvl="0" w:tplc="BE180FD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7E194EF1"/>
    <w:multiLevelType w:val="multilevel"/>
    <w:tmpl w:val="6D12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7"/>
  </w:num>
  <w:num w:numId="4">
    <w:abstractNumId w:val="10"/>
  </w:num>
  <w:num w:numId="5">
    <w:abstractNumId w:val="6"/>
  </w:num>
  <w:num w:numId="6">
    <w:abstractNumId w:val="3"/>
  </w:num>
  <w:num w:numId="7">
    <w:abstractNumId w:val="1"/>
  </w:num>
  <w:num w:numId="8">
    <w:abstractNumId w:val="12"/>
  </w:num>
  <w:num w:numId="9">
    <w:abstractNumId w:val="18"/>
  </w:num>
  <w:num w:numId="10">
    <w:abstractNumId w:val="8"/>
  </w:num>
  <w:num w:numId="11">
    <w:abstractNumId w:val="9"/>
  </w:num>
  <w:num w:numId="12">
    <w:abstractNumId w:val="4"/>
  </w:num>
  <w:num w:numId="13">
    <w:abstractNumId w:val="17"/>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00"/>
    <w:rsid w:val="0000009F"/>
    <w:rsid w:val="00000309"/>
    <w:rsid w:val="0000039D"/>
    <w:rsid w:val="000004A9"/>
    <w:rsid w:val="000005FE"/>
    <w:rsid w:val="00000AB5"/>
    <w:rsid w:val="00000C8F"/>
    <w:rsid w:val="00000D6F"/>
    <w:rsid w:val="00000E59"/>
    <w:rsid w:val="00001112"/>
    <w:rsid w:val="000011BC"/>
    <w:rsid w:val="0000120F"/>
    <w:rsid w:val="0000161A"/>
    <w:rsid w:val="00001A4F"/>
    <w:rsid w:val="00001A70"/>
    <w:rsid w:val="0000263F"/>
    <w:rsid w:val="0000276C"/>
    <w:rsid w:val="00002FBB"/>
    <w:rsid w:val="00003684"/>
    <w:rsid w:val="0000378A"/>
    <w:rsid w:val="0000378D"/>
    <w:rsid w:val="000039B4"/>
    <w:rsid w:val="00003C2B"/>
    <w:rsid w:val="00003D0B"/>
    <w:rsid w:val="00003D94"/>
    <w:rsid w:val="00003F28"/>
    <w:rsid w:val="00004508"/>
    <w:rsid w:val="00004E4E"/>
    <w:rsid w:val="00005113"/>
    <w:rsid w:val="000054A7"/>
    <w:rsid w:val="000054B7"/>
    <w:rsid w:val="0000556C"/>
    <w:rsid w:val="00006452"/>
    <w:rsid w:val="00006587"/>
    <w:rsid w:val="000066E3"/>
    <w:rsid w:val="000069A0"/>
    <w:rsid w:val="00006CE7"/>
    <w:rsid w:val="00006EC3"/>
    <w:rsid w:val="00006F38"/>
    <w:rsid w:val="00006FE1"/>
    <w:rsid w:val="00006FF7"/>
    <w:rsid w:val="00007752"/>
    <w:rsid w:val="000078CA"/>
    <w:rsid w:val="00007998"/>
    <w:rsid w:val="00007C12"/>
    <w:rsid w:val="0001033A"/>
    <w:rsid w:val="0001051F"/>
    <w:rsid w:val="00010529"/>
    <w:rsid w:val="000108E1"/>
    <w:rsid w:val="00010AFB"/>
    <w:rsid w:val="00010DCC"/>
    <w:rsid w:val="00010E07"/>
    <w:rsid w:val="00010EDD"/>
    <w:rsid w:val="000110B0"/>
    <w:rsid w:val="000114FE"/>
    <w:rsid w:val="0001196F"/>
    <w:rsid w:val="00011DB4"/>
    <w:rsid w:val="00012958"/>
    <w:rsid w:val="00012B3E"/>
    <w:rsid w:val="00012DA7"/>
    <w:rsid w:val="00012E2F"/>
    <w:rsid w:val="00013C00"/>
    <w:rsid w:val="00013E01"/>
    <w:rsid w:val="00014074"/>
    <w:rsid w:val="00014721"/>
    <w:rsid w:val="000149E0"/>
    <w:rsid w:val="000154BC"/>
    <w:rsid w:val="00015B3E"/>
    <w:rsid w:val="00016371"/>
    <w:rsid w:val="00016A30"/>
    <w:rsid w:val="000172A3"/>
    <w:rsid w:val="000178C2"/>
    <w:rsid w:val="00017EE6"/>
    <w:rsid w:val="00017FBF"/>
    <w:rsid w:val="000200A5"/>
    <w:rsid w:val="00020139"/>
    <w:rsid w:val="000204B9"/>
    <w:rsid w:val="00020808"/>
    <w:rsid w:val="00020B74"/>
    <w:rsid w:val="00020F6C"/>
    <w:rsid w:val="00021C20"/>
    <w:rsid w:val="00021D30"/>
    <w:rsid w:val="00021D72"/>
    <w:rsid w:val="000225E7"/>
    <w:rsid w:val="0002276E"/>
    <w:rsid w:val="00022F06"/>
    <w:rsid w:val="000233B8"/>
    <w:rsid w:val="00023B0A"/>
    <w:rsid w:val="000240A5"/>
    <w:rsid w:val="00024201"/>
    <w:rsid w:val="00024278"/>
    <w:rsid w:val="0002495C"/>
    <w:rsid w:val="00024DAC"/>
    <w:rsid w:val="00025061"/>
    <w:rsid w:val="00025774"/>
    <w:rsid w:val="000257FA"/>
    <w:rsid w:val="000259C8"/>
    <w:rsid w:val="00025ADB"/>
    <w:rsid w:val="00025BCE"/>
    <w:rsid w:val="000267F2"/>
    <w:rsid w:val="000275C5"/>
    <w:rsid w:val="000276D8"/>
    <w:rsid w:val="000277A3"/>
    <w:rsid w:val="00027890"/>
    <w:rsid w:val="000278D3"/>
    <w:rsid w:val="00027D89"/>
    <w:rsid w:val="00027DB3"/>
    <w:rsid w:val="000302B4"/>
    <w:rsid w:val="00030559"/>
    <w:rsid w:val="00030D51"/>
    <w:rsid w:val="00031453"/>
    <w:rsid w:val="00031CCB"/>
    <w:rsid w:val="00032000"/>
    <w:rsid w:val="000327E5"/>
    <w:rsid w:val="00032966"/>
    <w:rsid w:val="00032ACF"/>
    <w:rsid w:val="00032B84"/>
    <w:rsid w:val="00032BC3"/>
    <w:rsid w:val="00032C11"/>
    <w:rsid w:val="00033091"/>
    <w:rsid w:val="0003363D"/>
    <w:rsid w:val="000336D9"/>
    <w:rsid w:val="000336EB"/>
    <w:rsid w:val="00033953"/>
    <w:rsid w:val="0003397B"/>
    <w:rsid w:val="00033AE1"/>
    <w:rsid w:val="00033D0A"/>
    <w:rsid w:val="00034461"/>
    <w:rsid w:val="00034782"/>
    <w:rsid w:val="00034994"/>
    <w:rsid w:val="00034C67"/>
    <w:rsid w:val="000351BB"/>
    <w:rsid w:val="00035211"/>
    <w:rsid w:val="00036132"/>
    <w:rsid w:val="00036141"/>
    <w:rsid w:val="0003650B"/>
    <w:rsid w:val="00036ABC"/>
    <w:rsid w:val="00037267"/>
    <w:rsid w:val="0003741A"/>
    <w:rsid w:val="000376DB"/>
    <w:rsid w:val="00037770"/>
    <w:rsid w:val="00037C18"/>
    <w:rsid w:val="000400C5"/>
    <w:rsid w:val="000404F9"/>
    <w:rsid w:val="00040BC1"/>
    <w:rsid w:val="00040C3A"/>
    <w:rsid w:val="00040F0C"/>
    <w:rsid w:val="000412CB"/>
    <w:rsid w:val="00041821"/>
    <w:rsid w:val="00041DAD"/>
    <w:rsid w:val="000420CB"/>
    <w:rsid w:val="000421CF"/>
    <w:rsid w:val="0004230B"/>
    <w:rsid w:val="00042363"/>
    <w:rsid w:val="000424E9"/>
    <w:rsid w:val="0004311D"/>
    <w:rsid w:val="00043158"/>
    <w:rsid w:val="00043168"/>
    <w:rsid w:val="000435F3"/>
    <w:rsid w:val="0004360E"/>
    <w:rsid w:val="00043AB1"/>
    <w:rsid w:val="000443E7"/>
    <w:rsid w:val="000446DE"/>
    <w:rsid w:val="0004484C"/>
    <w:rsid w:val="00044D98"/>
    <w:rsid w:val="0004559F"/>
    <w:rsid w:val="00045944"/>
    <w:rsid w:val="000466DF"/>
    <w:rsid w:val="0004677F"/>
    <w:rsid w:val="000467DB"/>
    <w:rsid w:val="000477DB"/>
    <w:rsid w:val="00050040"/>
    <w:rsid w:val="0005011E"/>
    <w:rsid w:val="0005053D"/>
    <w:rsid w:val="00050588"/>
    <w:rsid w:val="000505AD"/>
    <w:rsid w:val="00050C05"/>
    <w:rsid w:val="0005119F"/>
    <w:rsid w:val="0005150A"/>
    <w:rsid w:val="0005178F"/>
    <w:rsid w:val="00051880"/>
    <w:rsid w:val="00051F43"/>
    <w:rsid w:val="00052418"/>
    <w:rsid w:val="000528E4"/>
    <w:rsid w:val="000529D2"/>
    <w:rsid w:val="00052D13"/>
    <w:rsid w:val="00053117"/>
    <w:rsid w:val="000531E9"/>
    <w:rsid w:val="00053442"/>
    <w:rsid w:val="00053451"/>
    <w:rsid w:val="00053880"/>
    <w:rsid w:val="00053CC0"/>
    <w:rsid w:val="00053F49"/>
    <w:rsid w:val="00054038"/>
    <w:rsid w:val="00054690"/>
    <w:rsid w:val="00054862"/>
    <w:rsid w:val="00054899"/>
    <w:rsid w:val="00054B65"/>
    <w:rsid w:val="00054D71"/>
    <w:rsid w:val="00055090"/>
    <w:rsid w:val="000558CF"/>
    <w:rsid w:val="00055ED5"/>
    <w:rsid w:val="00055FF2"/>
    <w:rsid w:val="00056114"/>
    <w:rsid w:val="00056232"/>
    <w:rsid w:val="000562B7"/>
    <w:rsid w:val="000565E3"/>
    <w:rsid w:val="00056A5F"/>
    <w:rsid w:val="00056E21"/>
    <w:rsid w:val="000570F6"/>
    <w:rsid w:val="0005767C"/>
    <w:rsid w:val="000576F5"/>
    <w:rsid w:val="0005798E"/>
    <w:rsid w:val="00057C45"/>
    <w:rsid w:val="000601C3"/>
    <w:rsid w:val="000602EB"/>
    <w:rsid w:val="00060727"/>
    <w:rsid w:val="00060E6C"/>
    <w:rsid w:val="00061687"/>
    <w:rsid w:val="000618C0"/>
    <w:rsid w:val="00061936"/>
    <w:rsid w:val="00061BDE"/>
    <w:rsid w:val="00061CED"/>
    <w:rsid w:val="00062063"/>
    <w:rsid w:val="00062261"/>
    <w:rsid w:val="00062452"/>
    <w:rsid w:val="00062644"/>
    <w:rsid w:val="00062991"/>
    <w:rsid w:val="00062E46"/>
    <w:rsid w:val="00063186"/>
    <w:rsid w:val="000631BB"/>
    <w:rsid w:val="000633C7"/>
    <w:rsid w:val="00063F9A"/>
    <w:rsid w:val="00064C50"/>
    <w:rsid w:val="000654FC"/>
    <w:rsid w:val="0006581E"/>
    <w:rsid w:val="0006647D"/>
    <w:rsid w:val="00066822"/>
    <w:rsid w:val="00066978"/>
    <w:rsid w:val="00066993"/>
    <w:rsid w:val="00066A17"/>
    <w:rsid w:val="00066E32"/>
    <w:rsid w:val="000679AD"/>
    <w:rsid w:val="000679E7"/>
    <w:rsid w:val="00067A2A"/>
    <w:rsid w:val="000705D5"/>
    <w:rsid w:val="000707DC"/>
    <w:rsid w:val="00070FF9"/>
    <w:rsid w:val="00071025"/>
    <w:rsid w:val="00071171"/>
    <w:rsid w:val="000712BF"/>
    <w:rsid w:val="00071459"/>
    <w:rsid w:val="00071AA3"/>
    <w:rsid w:val="00071AF5"/>
    <w:rsid w:val="00071DA2"/>
    <w:rsid w:val="00072391"/>
    <w:rsid w:val="0007274D"/>
    <w:rsid w:val="000728D9"/>
    <w:rsid w:val="00072950"/>
    <w:rsid w:val="00072C5F"/>
    <w:rsid w:val="000731D4"/>
    <w:rsid w:val="000731DC"/>
    <w:rsid w:val="00073A73"/>
    <w:rsid w:val="00073BE4"/>
    <w:rsid w:val="00073E64"/>
    <w:rsid w:val="00074698"/>
    <w:rsid w:val="000749EC"/>
    <w:rsid w:val="00074A20"/>
    <w:rsid w:val="00075124"/>
    <w:rsid w:val="0007517A"/>
    <w:rsid w:val="0007530A"/>
    <w:rsid w:val="0007548B"/>
    <w:rsid w:val="00075557"/>
    <w:rsid w:val="00075608"/>
    <w:rsid w:val="00075AFE"/>
    <w:rsid w:val="00075E21"/>
    <w:rsid w:val="00075F3E"/>
    <w:rsid w:val="00076319"/>
    <w:rsid w:val="000769A2"/>
    <w:rsid w:val="00076B2A"/>
    <w:rsid w:val="00076B57"/>
    <w:rsid w:val="00076BA8"/>
    <w:rsid w:val="00076C0A"/>
    <w:rsid w:val="00076C1D"/>
    <w:rsid w:val="00076F9E"/>
    <w:rsid w:val="000770E2"/>
    <w:rsid w:val="000779C8"/>
    <w:rsid w:val="00077AF7"/>
    <w:rsid w:val="00077B1E"/>
    <w:rsid w:val="00077C64"/>
    <w:rsid w:val="0008008A"/>
    <w:rsid w:val="00080893"/>
    <w:rsid w:val="00080B7E"/>
    <w:rsid w:val="00081040"/>
    <w:rsid w:val="00081549"/>
    <w:rsid w:val="0008161B"/>
    <w:rsid w:val="00082083"/>
    <w:rsid w:val="0008252D"/>
    <w:rsid w:val="000825A2"/>
    <w:rsid w:val="00082E25"/>
    <w:rsid w:val="00082F91"/>
    <w:rsid w:val="00082F9A"/>
    <w:rsid w:val="000830AD"/>
    <w:rsid w:val="0008386F"/>
    <w:rsid w:val="00083A07"/>
    <w:rsid w:val="00083DE5"/>
    <w:rsid w:val="00083E21"/>
    <w:rsid w:val="0008404E"/>
    <w:rsid w:val="00084488"/>
    <w:rsid w:val="0008448C"/>
    <w:rsid w:val="000844E3"/>
    <w:rsid w:val="00084735"/>
    <w:rsid w:val="000852B1"/>
    <w:rsid w:val="0008531B"/>
    <w:rsid w:val="0008555F"/>
    <w:rsid w:val="00085AC4"/>
    <w:rsid w:val="00085D52"/>
    <w:rsid w:val="00085E59"/>
    <w:rsid w:val="00085F50"/>
    <w:rsid w:val="0008671B"/>
    <w:rsid w:val="0008675A"/>
    <w:rsid w:val="00086983"/>
    <w:rsid w:val="000879CA"/>
    <w:rsid w:val="00087D42"/>
    <w:rsid w:val="00087DE5"/>
    <w:rsid w:val="000900DB"/>
    <w:rsid w:val="00090896"/>
    <w:rsid w:val="00091060"/>
    <w:rsid w:val="00091358"/>
    <w:rsid w:val="00091861"/>
    <w:rsid w:val="00091F70"/>
    <w:rsid w:val="00091FF2"/>
    <w:rsid w:val="0009211D"/>
    <w:rsid w:val="0009230F"/>
    <w:rsid w:val="00092F2C"/>
    <w:rsid w:val="0009316E"/>
    <w:rsid w:val="000936E5"/>
    <w:rsid w:val="000938BB"/>
    <w:rsid w:val="00093ACB"/>
    <w:rsid w:val="00093C4B"/>
    <w:rsid w:val="00093CC6"/>
    <w:rsid w:val="00093CC7"/>
    <w:rsid w:val="0009430F"/>
    <w:rsid w:val="000945B4"/>
    <w:rsid w:val="00094A28"/>
    <w:rsid w:val="00094B16"/>
    <w:rsid w:val="00094BB1"/>
    <w:rsid w:val="00094E34"/>
    <w:rsid w:val="000953B6"/>
    <w:rsid w:val="0009548F"/>
    <w:rsid w:val="00095C30"/>
    <w:rsid w:val="00095DDE"/>
    <w:rsid w:val="00095F5B"/>
    <w:rsid w:val="000964E0"/>
    <w:rsid w:val="00096B09"/>
    <w:rsid w:val="00096B78"/>
    <w:rsid w:val="00096F04"/>
    <w:rsid w:val="000973DA"/>
    <w:rsid w:val="0009764C"/>
    <w:rsid w:val="000A003C"/>
    <w:rsid w:val="000A009A"/>
    <w:rsid w:val="000A00AC"/>
    <w:rsid w:val="000A010A"/>
    <w:rsid w:val="000A0159"/>
    <w:rsid w:val="000A0558"/>
    <w:rsid w:val="000A143E"/>
    <w:rsid w:val="000A17CA"/>
    <w:rsid w:val="000A18CC"/>
    <w:rsid w:val="000A19BE"/>
    <w:rsid w:val="000A1A01"/>
    <w:rsid w:val="000A2030"/>
    <w:rsid w:val="000A2766"/>
    <w:rsid w:val="000A3429"/>
    <w:rsid w:val="000A37D5"/>
    <w:rsid w:val="000A3B5D"/>
    <w:rsid w:val="000A3BA0"/>
    <w:rsid w:val="000A3D53"/>
    <w:rsid w:val="000A418C"/>
    <w:rsid w:val="000A424F"/>
    <w:rsid w:val="000A4D24"/>
    <w:rsid w:val="000A4F09"/>
    <w:rsid w:val="000A515F"/>
    <w:rsid w:val="000A6350"/>
    <w:rsid w:val="000A6A43"/>
    <w:rsid w:val="000A6ACB"/>
    <w:rsid w:val="000A7133"/>
    <w:rsid w:val="000A7A9D"/>
    <w:rsid w:val="000A7B65"/>
    <w:rsid w:val="000A7FBF"/>
    <w:rsid w:val="000B028F"/>
    <w:rsid w:val="000B0451"/>
    <w:rsid w:val="000B0AB7"/>
    <w:rsid w:val="000B104A"/>
    <w:rsid w:val="000B131F"/>
    <w:rsid w:val="000B1746"/>
    <w:rsid w:val="000B18F5"/>
    <w:rsid w:val="000B1EA9"/>
    <w:rsid w:val="000B20B5"/>
    <w:rsid w:val="000B285B"/>
    <w:rsid w:val="000B2A1F"/>
    <w:rsid w:val="000B2DE5"/>
    <w:rsid w:val="000B3458"/>
    <w:rsid w:val="000B34D5"/>
    <w:rsid w:val="000B3632"/>
    <w:rsid w:val="000B3774"/>
    <w:rsid w:val="000B3E01"/>
    <w:rsid w:val="000B4007"/>
    <w:rsid w:val="000B426E"/>
    <w:rsid w:val="000B42CD"/>
    <w:rsid w:val="000B43AB"/>
    <w:rsid w:val="000B44E5"/>
    <w:rsid w:val="000B4858"/>
    <w:rsid w:val="000B4A74"/>
    <w:rsid w:val="000B4CE4"/>
    <w:rsid w:val="000B4EBE"/>
    <w:rsid w:val="000B4FBB"/>
    <w:rsid w:val="000B51DE"/>
    <w:rsid w:val="000B5505"/>
    <w:rsid w:val="000B5C2C"/>
    <w:rsid w:val="000B5CC3"/>
    <w:rsid w:val="000B66D8"/>
    <w:rsid w:val="000B6B78"/>
    <w:rsid w:val="000B6C0E"/>
    <w:rsid w:val="000B6D61"/>
    <w:rsid w:val="000B6F57"/>
    <w:rsid w:val="000B732A"/>
    <w:rsid w:val="000B74D6"/>
    <w:rsid w:val="000B7839"/>
    <w:rsid w:val="000B7B36"/>
    <w:rsid w:val="000B7D8E"/>
    <w:rsid w:val="000B7EA5"/>
    <w:rsid w:val="000C01B1"/>
    <w:rsid w:val="000C0FB0"/>
    <w:rsid w:val="000C1CB4"/>
    <w:rsid w:val="000C234A"/>
    <w:rsid w:val="000C2F9A"/>
    <w:rsid w:val="000C2FE9"/>
    <w:rsid w:val="000C3559"/>
    <w:rsid w:val="000C3711"/>
    <w:rsid w:val="000C3984"/>
    <w:rsid w:val="000C3B03"/>
    <w:rsid w:val="000C3B09"/>
    <w:rsid w:val="000C3F1A"/>
    <w:rsid w:val="000C47A8"/>
    <w:rsid w:val="000C47ED"/>
    <w:rsid w:val="000C4CB7"/>
    <w:rsid w:val="000C4DDA"/>
    <w:rsid w:val="000C5266"/>
    <w:rsid w:val="000C5685"/>
    <w:rsid w:val="000C6AB3"/>
    <w:rsid w:val="000C7284"/>
    <w:rsid w:val="000C72CD"/>
    <w:rsid w:val="000C78B9"/>
    <w:rsid w:val="000C7904"/>
    <w:rsid w:val="000C7D96"/>
    <w:rsid w:val="000C7F4C"/>
    <w:rsid w:val="000D0A10"/>
    <w:rsid w:val="000D0D24"/>
    <w:rsid w:val="000D1077"/>
    <w:rsid w:val="000D1114"/>
    <w:rsid w:val="000D1457"/>
    <w:rsid w:val="000D1900"/>
    <w:rsid w:val="000D2009"/>
    <w:rsid w:val="000D200C"/>
    <w:rsid w:val="000D20F3"/>
    <w:rsid w:val="000D21FD"/>
    <w:rsid w:val="000D2DA1"/>
    <w:rsid w:val="000D2DD1"/>
    <w:rsid w:val="000D2E50"/>
    <w:rsid w:val="000D2E83"/>
    <w:rsid w:val="000D2EF3"/>
    <w:rsid w:val="000D2FBF"/>
    <w:rsid w:val="000D30B6"/>
    <w:rsid w:val="000D34D3"/>
    <w:rsid w:val="000D34E9"/>
    <w:rsid w:val="000D41D2"/>
    <w:rsid w:val="000D4B39"/>
    <w:rsid w:val="000D4BD2"/>
    <w:rsid w:val="000D4C0A"/>
    <w:rsid w:val="000D4FB9"/>
    <w:rsid w:val="000D511B"/>
    <w:rsid w:val="000D5726"/>
    <w:rsid w:val="000D5B35"/>
    <w:rsid w:val="000D6505"/>
    <w:rsid w:val="000D653B"/>
    <w:rsid w:val="000D6918"/>
    <w:rsid w:val="000D69E7"/>
    <w:rsid w:val="000D6D1D"/>
    <w:rsid w:val="000D6E18"/>
    <w:rsid w:val="000D7010"/>
    <w:rsid w:val="000D7307"/>
    <w:rsid w:val="000D736B"/>
    <w:rsid w:val="000D743C"/>
    <w:rsid w:val="000D7960"/>
    <w:rsid w:val="000D7BC9"/>
    <w:rsid w:val="000D7D92"/>
    <w:rsid w:val="000E0213"/>
    <w:rsid w:val="000E02A8"/>
    <w:rsid w:val="000E080F"/>
    <w:rsid w:val="000E0B3D"/>
    <w:rsid w:val="000E0CA3"/>
    <w:rsid w:val="000E13E2"/>
    <w:rsid w:val="000E16C8"/>
    <w:rsid w:val="000E180C"/>
    <w:rsid w:val="000E1A4E"/>
    <w:rsid w:val="000E1AFD"/>
    <w:rsid w:val="000E1D03"/>
    <w:rsid w:val="000E20B1"/>
    <w:rsid w:val="000E2AC6"/>
    <w:rsid w:val="000E2B05"/>
    <w:rsid w:val="000E2D50"/>
    <w:rsid w:val="000E2EDF"/>
    <w:rsid w:val="000E30F5"/>
    <w:rsid w:val="000E3836"/>
    <w:rsid w:val="000E4AA9"/>
    <w:rsid w:val="000E4D46"/>
    <w:rsid w:val="000E4ED4"/>
    <w:rsid w:val="000E4F34"/>
    <w:rsid w:val="000E527C"/>
    <w:rsid w:val="000E52A3"/>
    <w:rsid w:val="000E59B5"/>
    <w:rsid w:val="000E5B59"/>
    <w:rsid w:val="000E5EEE"/>
    <w:rsid w:val="000E644B"/>
    <w:rsid w:val="000E6813"/>
    <w:rsid w:val="000E69FE"/>
    <w:rsid w:val="000E6A18"/>
    <w:rsid w:val="000E6B9B"/>
    <w:rsid w:val="000E6BB7"/>
    <w:rsid w:val="000E6CC6"/>
    <w:rsid w:val="000E6F2A"/>
    <w:rsid w:val="000E70FF"/>
    <w:rsid w:val="000E733A"/>
    <w:rsid w:val="000E7861"/>
    <w:rsid w:val="000F03B7"/>
    <w:rsid w:val="000F0A16"/>
    <w:rsid w:val="000F0B7B"/>
    <w:rsid w:val="000F112D"/>
    <w:rsid w:val="000F1594"/>
    <w:rsid w:val="000F1647"/>
    <w:rsid w:val="000F1862"/>
    <w:rsid w:val="000F1D95"/>
    <w:rsid w:val="000F22BC"/>
    <w:rsid w:val="000F2500"/>
    <w:rsid w:val="000F2D41"/>
    <w:rsid w:val="000F30C0"/>
    <w:rsid w:val="000F4308"/>
    <w:rsid w:val="000F4C70"/>
    <w:rsid w:val="000F4F32"/>
    <w:rsid w:val="000F5075"/>
    <w:rsid w:val="000F54EF"/>
    <w:rsid w:val="000F563E"/>
    <w:rsid w:val="000F5AEE"/>
    <w:rsid w:val="000F5F5F"/>
    <w:rsid w:val="000F632F"/>
    <w:rsid w:val="000F697E"/>
    <w:rsid w:val="000F6BD7"/>
    <w:rsid w:val="000F6F7D"/>
    <w:rsid w:val="000F755A"/>
    <w:rsid w:val="000F75E9"/>
    <w:rsid w:val="000F79E9"/>
    <w:rsid w:val="001005EC"/>
    <w:rsid w:val="00100623"/>
    <w:rsid w:val="00100FA4"/>
    <w:rsid w:val="0010127E"/>
    <w:rsid w:val="001012CC"/>
    <w:rsid w:val="00101581"/>
    <w:rsid w:val="0010180B"/>
    <w:rsid w:val="00101B2D"/>
    <w:rsid w:val="00102353"/>
    <w:rsid w:val="00102AB3"/>
    <w:rsid w:val="00102C90"/>
    <w:rsid w:val="00102E6B"/>
    <w:rsid w:val="00102EF3"/>
    <w:rsid w:val="00103069"/>
    <w:rsid w:val="0010312E"/>
    <w:rsid w:val="00103549"/>
    <w:rsid w:val="00103E1D"/>
    <w:rsid w:val="00103E66"/>
    <w:rsid w:val="001043D5"/>
    <w:rsid w:val="00104720"/>
    <w:rsid w:val="001049B7"/>
    <w:rsid w:val="00104A60"/>
    <w:rsid w:val="00104A68"/>
    <w:rsid w:val="00104F61"/>
    <w:rsid w:val="00105B96"/>
    <w:rsid w:val="00106049"/>
    <w:rsid w:val="00106207"/>
    <w:rsid w:val="001062F6"/>
    <w:rsid w:val="001067D4"/>
    <w:rsid w:val="00106885"/>
    <w:rsid w:val="00106948"/>
    <w:rsid w:val="00107171"/>
    <w:rsid w:val="001076C4"/>
    <w:rsid w:val="001077F7"/>
    <w:rsid w:val="001079B2"/>
    <w:rsid w:val="00107D9D"/>
    <w:rsid w:val="0011029D"/>
    <w:rsid w:val="00110692"/>
    <w:rsid w:val="0011084A"/>
    <w:rsid w:val="00110A27"/>
    <w:rsid w:val="00110AFC"/>
    <w:rsid w:val="00110C4B"/>
    <w:rsid w:val="00110DD9"/>
    <w:rsid w:val="0011130B"/>
    <w:rsid w:val="0011163C"/>
    <w:rsid w:val="00111734"/>
    <w:rsid w:val="00111759"/>
    <w:rsid w:val="00111C4A"/>
    <w:rsid w:val="00111CE6"/>
    <w:rsid w:val="001120C9"/>
    <w:rsid w:val="00112335"/>
    <w:rsid w:val="0011249E"/>
    <w:rsid w:val="001124C3"/>
    <w:rsid w:val="001125E5"/>
    <w:rsid w:val="0011280D"/>
    <w:rsid w:val="001130A1"/>
    <w:rsid w:val="00113763"/>
    <w:rsid w:val="00113AD4"/>
    <w:rsid w:val="00113ADF"/>
    <w:rsid w:val="001146BD"/>
    <w:rsid w:val="00114C4C"/>
    <w:rsid w:val="00115096"/>
    <w:rsid w:val="001155F9"/>
    <w:rsid w:val="001156D1"/>
    <w:rsid w:val="0011574B"/>
    <w:rsid w:val="00115FE2"/>
    <w:rsid w:val="001162BC"/>
    <w:rsid w:val="00116529"/>
    <w:rsid w:val="00116E89"/>
    <w:rsid w:val="0011719B"/>
    <w:rsid w:val="001172E8"/>
    <w:rsid w:val="00117C6D"/>
    <w:rsid w:val="00117F9E"/>
    <w:rsid w:val="001202D3"/>
    <w:rsid w:val="00120409"/>
    <w:rsid w:val="00120536"/>
    <w:rsid w:val="001207F4"/>
    <w:rsid w:val="0012089F"/>
    <w:rsid w:val="00120DB1"/>
    <w:rsid w:val="00120FE3"/>
    <w:rsid w:val="0012126C"/>
    <w:rsid w:val="00121D04"/>
    <w:rsid w:val="00121E38"/>
    <w:rsid w:val="00121E3F"/>
    <w:rsid w:val="00121FD9"/>
    <w:rsid w:val="00122368"/>
    <w:rsid w:val="0012262B"/>
    <w:rsid w:val="001228DC"/>
    <w:rsid w:val="00122BE9"/>
    <w:rsid w:val="001231AC"/>
    <w:rsid w:val="001232AE"/>
    <w:rsid w:val="001232F1"/>
    <w:rsid w:val="00123930"/>
    <w:rsid w:val="00123993"/>
    <w:rsid w:val="00123F6A"/>
    <w:rsid w:val="001240AF"/>
    <w:rsid w:val="00124214"/>
    <w:rsid w:val="00124DBA"/>
    <w:rsid w:val="00125786"/>
    <w:rsid w:val="00125B9F"/>
    <w:rsid w:val="00125C29"/>
    <w:rsid w:val="00125FD4"/>
    <w:rsid w:val="00126292"/>
    <w:rsid w:val="001267B0"/>
    <w:rsid w:val="001268EF"/>
    <w:rsid w:val="00126DE9"/>
    <w:rsid w:val="00126E42"/>
    <w:rsid w:val="001272BD"/>
    <w:rsid w:val="00127CE5"/>
    <w:rsid w:val="0013009C"/>
    <w:rsid w:val="001307A3"/>
    <w:rsid w:val="00130A07"/>
    <w:rsid w:val="00130F7C"/>
    <w:rsid w:val="00130F9A"/>
    <w:rsid w:val="001313C5"/>
    <w:rsid w:val="00131BDB"/>
    <w:rsid w:val="0013256B"/>
    <w:rsid w:val="00132729"/>
    <w:rsid w:val="0013277F"/>
    <w:rsid w:val="00132C95"/>
    <w:rsid w:val="00133A11"/>
    <w:rsid w:val="00133AFD"/>
    <w:rsid w:val="001349FA"/>
    <w:rsid w:val="00134CB7"/>
    <w:rsid w:val="00134E2D"/>
    <w:rsid w:val="00134ECF"/>
    <w:rsid w:val="0013538F"/>
    <w:rsid w:val="001353DC"/>
    <w:rsid w:val="00135449"/>
    <w:rsid w:val="001355CC"/>
    <w:rsid w:val="00135662"/>
    <w:rsid w:val="00135C3B"/>
    <w:rsid w:val="001360F4"/>
    <w:rsid w:val="00136A6E"/>
    <w:rsid w:val="00136E59"/>
    <w:rsid w:val="0013728F"/>
    <w:rsid w:val="00137489"/>
    <w:rsid w:val="00137ACA"/>
    <w:rsid w:val="00137C4E"/>
    <w:rsid w:val="00137E81"/>
    <w:rsid w:val="00137FCF"/>
    <w:rsid w:val="001401A3"/>
    <w:rsid w:val="00140586"/>
    <w:rsid w:val="001406E9"/>
    <w:rsid w:val="0014093D"/>
    <w:rsid w:val="00140A9D"/>
    <w:rsid w:val="00140D3C"/>
    <w:rsid w:val="00141395"/>
    <w:rsid w:val="0014157A"/>
    <w:rsid w:val="0014198B"/>
    <w:rsid w:val="00141A87"/>
    <w:rsid w:val="00141E01"/>
    <w:rsid w:val="001421A0"/>
    <w:rsid w:val="001424DB"/>
    <w:rsid w:val="001426FA"/>
    <w:rsid w:val="00142722"/>
    <w:rsid w:val="00142E32"/>
    <w:rsid w:val="00142E42"/>
    <w:rsid w:val="00142EE3"/>
    <w:rsid w:val="00142F2D"/>
    <w:rsid w:val="00142F88"/>
    <w:rsid w:val="00143EC3"/>
    <w:rsid w:val="001444A9"/>
    <w:rsid w:val="00144855"/>
    <w:rsid w:val="00144D75"/>
    <w:rsid w:val="001451E3"/>
    <w:rsid w:val="00145269"/>
    <w:rsid w:val="0014535F"/>
    <w:rsid w:val="001456AF"/>
    <w:rsid w:val="00146836"/>
    <w:rsid w:val="00146B18"/>
    <w:rsid w:val="00146EE9"/>
    <w:rsid w:val="00147FF1"/>
    <w:rsid w:val="00150235"/>
    <w:rsid w:val="00150430"/>
    <w:rsid w:val="00150679"/>
    <w:rsid w:val="00150699"/>
    <w:rsid w:val="00150983"/>
    <w:rsid w:val="00150D52"/>
    <w:rsid w:val="0015100D"/>
    <w:rsid w:val="001510A9"/>
    <w:rsid w:val="001513D7"/>
    <w:rsid w:val="0015174F"/>
    <w:rsid w:val="00151E2E"/>
    <w:rsid w:val="00151E8B"/>
    <w:rsid w:val="00151F1F"/>
    <w:rsid w:val="0015229C"/>
    <w:rsid w:val="001525FB"/>
    <w:rsid w:val="00152859"/>
    <w:rsid w:val="00152CE9"/>
    <w:rsid w:val="00153295"/>
    <w:rsid w:val="0015376D"/>
    <w:rsid w:val="00153D2F"/>
    <w:rsid w:val="001540CF"/>
    <w:rsid w:val="00154180"/>
    <w:rsid w:val="0015420D"/>
    <w:rsid w:val="00154C55"/>
    <w:rsid w:val="00154EA9"/>
    <w:rsid w:val="001555ED"/>
    <w:rsid w:val="00155706"/>
    <w:rsid w:val="00155781"/>
    <w:rsid w:val="00155EEA"/>
    <w:rsid w:val="00156365"/>
    <w:rsid w:val="0015650D"/>
    <w:rsid w:val="00156600"/>
    <w:rsid w:val="00156B5B"/>
    <w:rsid w:val="001570C5"/>
    <w:rsid w:val="00157549"/>
    <w:rsid w:val="00157F5C"/>
    <w:rsid w:val="00157FB5"/>
    <w:rsid w:val="001602C9"/>
    <w:rsid w:val="001603B1"/>
    <w:rsid w:val="001605B5"/>
    <w:rsid w:val="00160A84"/>
    <w:rsid w:val="00160A9F"/>
    <w:rsid w:val="00160D13"/>
    <w:rsid w:val="001614D0"/>
    <w:rsid w:val="0016160C"/>
    <w:rsid w:val="001617BD"/>
    <w:rsid w:val="001617E9"/>
    <w:rsid w:val="00161D10"/>
    <w:rsid w:val="00161E42"/>
    <w:rsid w:val="001621E4"/>
    <w:rsid w:val="0016246F"/>
    <w:rsid w:val="001625BA"/>
    <w:rsid w:val="00162718"/>
    <w:rsid w:val="00162A11"/>
    <w:rsid w:val="00162C28"/>
    <w:rsid w:val="0016303B"/>
    <w:rsid w:val="001630D7"/>
    <w:rsid w:val="0016325D"/>
    <w:rsid w:val="001633D5"/>
    <w:rsid w:val="001637D7"/>
    <w:rsid w:val="00163F4B"/>
    <w:rsid w:val="0016410C"/>
    <w:rsid w:val="00164A3F"/>
    <w:rsid w:val="00164C26"/>
    <w:rsid w:val="00164D0D"/>
    <w:rsid w:val="00164D4E"/>
    <w:rsid w:val="00164EB1"/>
    <w:rsid w:val="00164EDA"/>
    <w:rsid w:val="00164F10"/>
    <w:rsid w:val="0016514C"/>
    <w:rsid w:val="00165347"/>
    <w:rsid w:val="00165B76"/>
    <w:rsid w:val="001662EC"/>
    <w:rsid w:val="00166619"/>
    <w:rsid w:val="00166774"/>
    <w:rsid w:val="00166846"/>
    <w:rsid w:val="00166EDA"/>
    <w:rsid w:val="001670BF"/>
    <w:rsid w:val="0016750E"/>
    <w:rsid w:val="00167AA6"/>
    <w:rsid w:val="00167BA4"/>
    <w:rsid w:val="00170163"/>
    <w:rsid w:val="001708C7"/>
    <w:rsid w:val="00171005"/>
    <w:rsid w:val="001717C5"/>
    <w:rsid w:val="001717D8"/>
    <w:rsid w:val="00171A87"/>
    <w:rsid w:val="00171F71"/>
    <w:rsid w:val="001721E8"/>
    <w:rsid w:val="00172A73"/>
    <w:rsid w:val="00172DA0"/>
    <w:rsid w:val="00172F42"/>
    <w:rsid w:val="00173525"/>
    <w:rsid w:val="00173B13"/>
    <w:rsid w:val="00173E03"/>
    <w:rsid w:val="00174013"/>
    <w:rsid w:val="00174646"/>
    <w:rsid w:val="001748E4"/>
    <w:rsid w:val="0017496D"/>
    <w:rsid w:val="0017541A"/>
    <w:rsid w:val="00175889"/>
    <w:rsid w:val="00176106"/>
    <w:rsid w:val="00176398"/>
    <w:rsid w:val="0017660A"/>
    <w:rsid w:val="00176774"/>
    <w:rsid w:val="00176B55"/>
    <w:rsid w:val="00176D74"/>
    <w:rsid w:val="00176E34"/>
    <w:rsid w:val="00176F09"/>
    <w:rsid w:val="00177BE9"/>
    <w:rsid w:val="00177D25"/>
    <w:rsid w:val="00177F4F"/>
    <w:rsid w:val="00180B06"/>
    <w:rsid w:val="00180C4D"/>
    <w:rsid w:val="00180C65"/>
    <w:rsid w:val="00180F0E"/>
    <w:rsid w:val="00180F57"/>
    <w:rsid w:val="00180FE0"/>
    <w:rsid w:val="0018100B"/>
    <w:rsid w:val="00181BD3"/>
    <w:rsid w:val="00181C24"/>
    <w:rsid w:val="00181C66"/>
    <w:rsid w:val="00181EDB"/>
    <w:rsid w:val="00181FFB"/>
    <w:rsid w:val="00182160"/>
    <w:rsid w:val="00182951"/>
    <w:rsid w:val="00182B1D"/>
    <w:rsid w:val="00183127"/>
    <w:rsid w:val="00183215"/>
    <w:rsid w:val="00183217"/>
    <w:rsid w:val="00183AE8"/>
    <w:rsid w:val="00183D17"/>
    <w:rsid w:val="00183D6F"/>
    <w:rsid w:val="00183E15"/>
    <w:rsid w:val="0018433F"/>
    <w:rsid w:val="001845A1"/>
    <w:rsid w:val="001857D6"/>
    <w:rsid w:val="0018581A"/>
    <w:rsid w:val="00185A27"/>
    <w:rsid w:val="00185C9B"/>
    <w:rsid w:val="001865A4"/>
    <w:rsid w:val="001865CE"/>
    <w:rsid w:val="00186930"/>
    <w:rsid w:val="001871ED"/>
    <w:rsid w:val="001872DF"/>
    <w:rsid w:val="00187338"/>
    <w:rsid w:val="0018758C"/>
    <w:rsid w:val="001879DD"/>
    <w:rsid w:val="00187B96"/>
    <w:rsid w:val="00187BED"/>
    <w:rsid w:val="00187F4C"/>
    <w:rsid w:val="00187F5B"/>
    <w:rsid w:val="00190593"/>
    <w:rsid w:val="00190E07"/>
    <w:rsid w:val="00191447"/>
    <w:rsid w:val="00191655"/>
    <w:rsid w:val="0019189C"/>
    <w:rsid w:val="001919DE"/>
    <w:rsid w:val="00191DC6"/>
    <w:rsid w:val="00191E6C"/>
    <w:rsid w:val="00192345"/>
    <w:rsid w:val="00192450"/>
    <w:rsid w:val="00192772"/>
    <w:rsid w:val="001929EC"/>
    <w:rsid w:val="00192B8F"/>
    <w:rsid w:val="00192C67"/>
    <w:rsid w:val="00192D4B"/>
    <w:rsid w:val="00192FE3"/>
    <w:rsid w:val="0019308B"/>
    <w:rsid w:val="001935E6"/>
    <w:rsid w:val="00193947"/>
    <w:rsid w:val="00193C87"/>
    <w:rsid w:val="00194717"/>
    <w:rsid w:val="00194727"/>
    <w:rsid w:val="00194D85"/>
    <w:rsid w:val="00194F2D"/>
    <w:rsid w:val="00195340"/>
    <w:rsid w:val="0019539A"/>
    <w:rsid w:val="0019594E"/>
    <w:rsid w:val="001959DB"/>
    <w:rsid w:val="00195A7C"/>
    <w:rsid w:val="00195B96"/>
    <w:rsid w:val="00195C35"/>
    <w:rsid w:val="00195E36"/>
    <w:rsid w:val="00195E58"/>
    <w:rsid w:val="00196064"/>
    <w:rsid w:val="00196176"/>
    <w:rsid w:val="00196373"/>
    <w:rsid w:val="001963EA"/>
    <w:rsid w:val="00196489"/>
    <w:rsid w:val="001975F7"/>
    <w:rsid w:val="00197D60"/>
    <w:rsid w:val="001A0296"/>
    <w:rsid w:val="001A038B"/>
    <w:rsid w:val="001A0848"/>
    <w:rsid w:val="001A09C6"/>
    <w:rsid w:val="001A0CBD"/>
    <w:rsid w:val="001A0EE5"/>
    <w:rsid w:val="001A1906"/>
    <w:rsid w:val="001A195D"/>
    <w:rsid w:val="001A1ACB"/>
    <w:rsid w:val="001A1BC5"/>
    <w:rsid w:val="001A1C40"/>
    <w:rsid w:val="001A1D1D"/>
    <w:rsid w:val="001A2162"/>
    <w:rsid w:val="001A2792"/>
    <w:rsid w:val="001A27D5"/>
    <w:rsid w:val="001A2E7A"/>
    <w:rsid w:val="001A2E9F"/>
    <w:rsid w:val="001A3369"/>
    <w:rsid w:val="001A3407"/>
    <w:rsid w:val="001A371D"/>
    <w:rsid w:val="001A3B09"/>
    <w:rsid w:val="001A3C75"/>
    <w:rsid w:val="001A3D53"/>
    <w:rsid w:val="001A3F47"/>
    <w:rsid w:val="001A4978"/>
    <w:rsid w:val="001A4FCD"/>
    <w:rsid w:val="001A5C9E"/>
    <w:rsid w:val="001A65CF"/>
    <w:rsid w:val="001A65D6"/>
    <w:rsid w:val="001A6647"/>
    <w:rsid w:val="001A6BA5"/>
    <w:rsid w:val="001A6D3C"/>
    <w:rsid w:val="001A76E1"/>
    <w:rsid w:val="001A77AF"/>
    <w:rsid w:val="001A7894"/>
    <w:rsid w:val="001A7B34"/>
    <w:rsid w:val="001A7D76"/>
    <w:rsid w:val="001A7F1A"/>
    <w:rsid w:val="001A7FD1"/>
    <w:rsid w:val="001B0ABA"/>
    <w:rsid w:val="001B1322"/>
    <w:rsid w:val="001B143D"/>
    <w:rsid w:val="001B1518"/>
    <w:rsid w:val="001B1567"/>
    <w:rsid w:val="001B1956"/>
    <w:rsid w:val="001B20CD"/>
    <w:rsid w:val="001B2207"/>
    <w:rsid w:val="001B2533"/>
    <w:rsid w:val="001B268E"/>
    <w:rsid w:val="001B2B3D"/>
    <w:rsid w:val="001B3045"/>
    <w:rsid w:val="001B3580"/>
    <w:rsid w:val="001B36DC"/>
    <w:rsid w:val="001B371C"/>
    <w:rsid w:val="001B3CA5"/>
    <w:rsid w:val="001B402C"/>
    <w:rsid w:val="001B445D"/>
    <w:rsid w:val="001B4B07"/>
    <w:rsid w:val="001B4F0E"/>
    <w:rsid w:val="001B4F59"/>
    <w:rsid w:val="001B4FE9"/>
    <w:rsid w:val="001B50A9"/>
    <w:rsid w:val="001B5252"/>
    <w:rsid w:val="001B53B4"/>
    <w:rsid w:val="001B56E7"/>
    <w:rsid w:val="001B5934"/>
    <w:rsid w:val="001B599B"/>
    <w:rsid w:val="001B60A0"/>
    <w:rsid w:val="001B630B"/>
    <w:rsid w:val="001B6B7E"/>
    <w:rsid w:val="001B6C0F"/>
    <w:rsid w:val="001B6C41"/>
    <w:rsid w:val="001B793E"/>
    <w:rsid w:val="001B7A08"/>
    <w:rsid w:val="001C00DF"/>
    <w:rsid w:val="001C064E"/>
    <w:rsid w:val="001C08EA"/>
    <w:rsid w:val="001C0FB6"/>
    <w:rsid w:val="001C0FF6"/>
    <w:rsid w:val="001C111E"/>
    <w:rsid w:val="001C1D1D"/>
    <w:rsid w:val="001C1F99"/>
    <w:rsid w:val="001C201D"/>
    <w:rsid w:val="001C2721"/>
    <w:rsid w:val="001C2A41"/>
    <w:rsid w:val="001C37FA"/>
    <w:rsid w:val="001C38C6"/>
    <w:rsid w:val="001C3911"/>
    <w:rsid w:val="001C3937"/>
    <w:rsid w:val="001C3CA0"/>
    <w:rsid w:val="001C3CE8"/>
    <w:rsid w:val="001C41F7"/>
    <w:rsid w:val="001C4281"/>
    <w:rsid w:val="001C45E4"/>
    <w:rsid w:val="001C46B3"/>
    <w:rsid w:val="001C4965"/>
    <w:rsid w:val="001C4B9C"/>
    <w:rsid w:val="001C4D5C"/>
    <w:rsid w:val="001C4DF2"/>
    <w:rsid w:val="001C5226"/>
    <w:rsid w:val="001C5A8A"/>
    <w:rsid w:val="001C60DC"/>
    <w:rsid w:val="001C65C4"/>
    <w:rsid w:val="001C67C5"/>
    <w:rsid w:val="001C68A2"/>
    <w:rsid w:val="001C6E11"/>
    <w:rsid w:val="001C6F0E"/>
    <w:rsid w:val="001C70C2"/>
    <w:rsid w:val="001C731F"/>
    <w:rsid w:val="001C742C"/>
    <w:rsid w:val="001C761C"/>
    <w:rsid w:val="001C7C5C"/>
    <w:rsid w:val="001D01EE"/>
    <w:rsid w:val="001D02B0"/>
    <w:rsid w:val="001D0347"/>
    <w:rsid w:val="001D03BE"/>
    <w:rsid w:val="001D05CF"/>
    <w:rsid w:val="001D061B"/>
    <w:rsid w:val="001D06B0"/>
    <w:rsid w:val="001D08CE"/>
    <w:rsid w:val="001D0CC9"/>
    <w:rsid w:val="001D0F50"/>
    <w:rsid w:val="001D1429"/>
    <w:rsid w:val="001D15AE"/>
    <w:rsid w:val="001D21D4"/>
    <w:rsid w:val="001D2524"/>
    <w:rsid w:val="001D262A"/>
    <w:rsid w:val="001D2752"/>
    <w:rsid w:val="001D2866"/>
    <w:rsid w:val="001D2B36"/>
    <w:rsid w:val="001D35B0"/>
    <w:rsid w:val="001D369A"/>
    <w:rsid w:val="001D41FF"/>
    <w:rsid w:val="001D4209"/>
    <w:rsid w:val="001D44AF"/>
    <w:rsid w:val="001D47B4"/>
    <w:rsid w:val="001D4AE0"/>
    <w:rsid w:val="001D4EAF"/>
    <w:rsid w:val="001D4F2E"/>
    <w:rsid w:val="001D545D"/>
    <w:rsid w:val="001D55C8"/>
    <w:rsid w:val="001D56ED"/>
    <w:rsid w:val="001D578A"/>
    <w:rsid w:val="001D57FD"/>
    <w:rsid w:val="001D5EED"/>
    <w:rsid w:val="001D6181"/>
    <w:rsid w:val="001D64B0"/>
    <w:rsid w:val="001D689A"/>
    <w:rsid w:val="001D6D86"/>
    <w:rsid w:val="001D7069"/>
    <w:rsid w:val="001D7F09"/>
    <w:rsid w:val="001E00E1"/>
    <w:rsid w:val="001E028D"/>
    <w:rsid w:val="001E03AD"/>
    <w:rsid w:val="001E0468"/>
    <w:rsid w:val="001E10B6"/>
    <w:rsid w:val="001E14BE"/>
    <w:rsid w:val="001E1577"/>
    <w:rsid w:val="001E18C2"/>
    <w:rsid w:val="001E1A7E"/>
    <w:rsid w:val="001E1F77"/>
    <w:rsid w:val="001E2470"/>
    <w:rsid w:val="001E261B"/>
    <w:rsid w:val="001E2985"/>
    <w:rsid w:val="001E2EDF"/>
    <w:rsid w:val="001E348B"/>
    <w:rsid w:val="001E351F"/>
    <w:rsid w:val="001E3773"/>
    <w:rsid w:val="001E38F1"/>
    <w:rsid w:val="001E3AC6"/>
    <w:rsid w:val="001E47D7"/>
    <w:rsid w:val="001E4B63"/>
    <w:rsid w:val="001E4BDE"/>
    <w:rsid w:val="001E51B9"/>
    <w:rsid w:val="001E521D"/>
    <w:rsid w:val="001E5387"/>
    <w:rsid w:val="001E5797"/>
    <w:rsid w:val="001E57D3"/>
    <w:rsid w:val="001E5948"/>
    <w:rsid w:val="001E5C82"/>
    <w:rsid w:val="001E5D3D"/>
    <w:rsid w:val="001E5D61"/>
    <w:rsid w:val="001E615D"/>
    <w:rsid w:val="001E61D0"/>
    <w:rsid w:val="001E66AD"/>
    <w:rsid w:val="001E6B0F"/>
    <w:rsid w:val="001E6B16"/>
    <w:rsid w:val="001E71CB"/>
    <w:rsid w:val="001E7436"/>
    <w:rsid w:val="001E77E4"/>
    <w:rsid w:val="001E7A83"/>
    <w:rsid w:val="001E7CFA"/>
    <w:rsid w:val="001E7E0A"/>
    <w:rsid w:val="001F0365"/>
    <w:rsid w:val="001F04B4"/>
    <w:rsid w:val="001F09A8"/>
    <w:rsid w:val="001F09E6"/>
    <w:rsid w:val="001F0EE8"/>
    <w:rsid w:val="001F102C"/>
    <w:rsid w:val="001F1296"/>
    <w:rsid w:val="001F140F"/>
    <w:rsid w:val="001F2136"/>
    <w:rsid w:val="001F22D6"/>
    <w:rsid w:val="001F27B8"/>
    <w:rsid w:val="001F282A"/>
    <w:rsid w:val="001F2AB1"/>
    <w:rsid w:val="001F3117"/>
    <w:rsid w:val="001F338E"/>
    <w:rsid w:val="001F37DB"/>
    <w:rsid w:val="001F3872"/>
    <w:rsid w:val="001F3C51"/>
    <w:rsid w:val="001F3E9D"/>
    <w:rsid w:val="001F418B"/>
    <w:rsid w:val="001F4294"/>
    <w:rsid w:val="001F45AE"/>
    <w:rsid w:val="001F4DF0"/>
    <w:rsid w:val="001F551C"/>
    <w:rsid w:val="001F5769"/>
    <w:rsid w:val="001F5886"/>
    <w:rsid w:val="001F591F"/>
    <w:rsid w:val="001F5A72"/>
    <w:rsid w:val="001F5C7B"/>
    <w:rsid w:val="001F5F76"/>
    <w:rsid w:val="001F657A"/>
    <w:rsid w:val="001F6700"/>
    <w:rsid w:val="001F67EC"/>
    <w:rsid w:val="001F67FF"/>
    <w:rsid w:val="001F6803"/>
    <w:rsid w:val="001F6A4C"/>
    <w:rsid w:val="001F6AE7"/>
    <w:rsid w:val="001F6FCC"/>
    <w:rsid w:val="001F70F9"/>
    <w:rsid w:val="001F7CE7"/>
    <w:rsid w:val="001F7DD1"/>
    <w:rsid w:val="001F7E21"/>
    <w:rsid w:val="001F7EF9"/>
    <w:rsid w:val="00200140"/>
    <w:rsid w:val="00200416"/>
    <w:rsid w:val="00200577"/>
    <w:rsid w:val="00200707"/>
    <w:rsid w:val="00200730"/>
    <w:rsid w:val="00200D49"/>
    <w:rsid w:val="00200E43"/>
    <w:rsid w:val="00200F3F"/>
    <w:rsid w:val="00200FDF"/>
    <w:rsid w:val="0020106F"/>
    <w:rsid w:val="00201094"/>
    <w:rsid w:val="002011EA"/>
    <w:rsid w:val="002013B2"/>
    <w:rsid w:val="0020183F"/>
    <w:rsid w:val="00201FBD"/>
    <w:rsid w:val="0020232D"/>
    <w:rsid w:val="002023AF"/>
    <w:rsid w:val="002024AA"/>
    <w:rsid w:val="00202561"/>
    <w:rsid w:val="0020290F"/>
    <w:rsid w:val="00202FA6"/>
    <w:rsid w:val="002031D9"/>
    <w:rsid w:val="002033F2"/>
    <w:rsid w:val="002035D8"/>
    <w:rsid w:val="00203B9E"/>
    <w:rsid w:val="00203E2D"/>
    <w:rsid w:val="00204421"/>
    <w:rsid w:val="0020483C"/>
    <w:rsid w:val="00204C03"/>
    <w:rsid w:val="00204D7A"/>
    <w:rsid w:val="00205200"/>
    <w:rsid w:val="00205243"/>
    <w:rsid w:val="002053DA"/>
    <w:rsid w:val="00205690"/>
    <w:rsid w:val="002056C4"/>
    <w:rsid w:val="00205AAF"/>
    <w:rsid w:val="00205C1F"/>
    <w:rsid w:val="00206083"/>
    <w:rsid w:val="002064E3"/>
    <w:rsid w:val="002065DD"/>
    <w:rsid w:val="0020678F"/>
    <w:rsid w:val="00206A47"/>
    <w:rsid w:val="00206E57"/>
    <w:rsid w:val="00206EBA"/>
    <w:rsid w:val="0020713C"/>
    <w:rsid w:val="002075CF"/>
    <w:rsid w:val="00207AC5"/>
    <w:rsid w:val="00207BD5"/>
    <w:rsid w:val="00207D84"/>
    <w:rsid w:val="00210328"/>
    <w:rsid w:val="00210723"/>
    <w:rsid w:val="002107EE"/>
    <w:rsid w:val="00210A3E"/>
    <w:rsid w:val="00210AE4"/>
    <w:rsid w:val="00211109"/>
    <w:rsid w:val="0021136D"/>
    <w:rsid w:val="002113EF"/>
    <w:rsid w:val="002114E3"/>
    <w:rsid w:val="002118B1"/>
    <w:rsid w:val="00211B2B"/>
    <w:rsid w:val="00211D24"/>
    <w:rsid w:val="00211DDC"/>
    <w:rsid w:val="00211F64"/>
    <w:rsid w:val="002122BD"/>
    <w:rsid w:val="0021234E"/>
    <w:rsid w:val="0021288C"/>
    <w:rsid w:val="00212BC2"/>
    <w:rsid w:val="00213239"/>
    <w:rsid w:val="00213534"/>
    <w:rsid w:val="0021397D"/>
    <w:rsid w:val="00213F4C"/>
    <w:rsid w:val="002143BF"/>
    <w:rsid w:val="002143D1"/>
    <w:rsid w:val="0021445F"/>
    <w:rsid w:val="00214839"/>
    <w:rsid w:val="00215215"/>
    <w:rsid w:val="0021558E"/>
    <w:rsid w:val="002156E8"/>
    <w:rsid w:val="0021575E"/>
    <w:rsid w:val="002157E6"/>
    <w:rsid w:val="00215FD7"/>
    <w:rsid w:val="0021655C"/>
    <w:rsid w:val="00216715"/>
    <w:rsid w:val="00216823"/>
    <w:rsid w:val="00216949"/>
    <w:rsid w:val="002175D9"/>
    <w:rsid w:val="0021797E"/>
    <w:rsid w:val="00217E08"/>
    <w:rsid w:val="00217E36"/>
    <w:rsid w:val="002200E9"/>
    <w:rsid w:val="00220BD6"/>
    <w:rsid w:val="00220E1B"/>
    <w:rsid w:val="00220FF0"/>
    <w:rsid w:val="00221225"/>
    <w:rsid w:val="002213D0"/>
    <w:rsid w:val="00222088"/>
    <w:rsid w:val="00222141"/>
    <w:rsid w:val="002224A2"/>
    <w:rsid w:val="00222641"/>
    <w:rsid w:val="00222834"/>
    <w:rsid w:val="00222875"/>
    <w:rsid w:val="00222A34"/>
    <w:rsid w:val="0022302B"/>
    <w:rsid w:val="002230A0"/>
    <w:rsid w:val="002232DC"/>
    <w:rsid w:val="00223624"/>
    <w:rsid w:val="00223884"/>
    <w:rsid w:val="00223B92"/>
    <w:rsid w:val="00224423"/>
    <w:rsid w:val="002244B2"/>
    <w:rsid w:val="002245F5"/>
    <w:rsid w:val="002246FF"/>
    <w:rsid w:val="00224ACD"/>
    <w:rsid w:val="00224B59"/>
    <w:rsid w:val="002250F2"/>
    <w:rsid w:val="002252F0"/>
    <w:rsid w:val="0022540D"/>
    <w:rsid w:val="00225720"/>
    <w:rsid w:val="00225769"/>
    <w:rsid w:val="002257F6"/>
    <w:rsid w:val="002258BF"/>
    <w:rsid w:val="00225ADF"/>
    <w:rsid w:val="00225CDC"/>
    <w:rsid w:val="002263E3"/>
    <w:rsid w:val="00226A87"/>
    <w:rsid w:val="00226ACC"/>
    <w:rsid w:val="00226C08"/>
    <w:rsid w:val="002275E9"/>
    <w:rsid w:val="00227643"/>
    <w:rsid w:val="00227D23"/>
    <w:rsid w:val="00227EDC"/>
    <w:rsid w:val="00227F3C"/>
    <w:rsid w:val="00230197"/>
    <w:rsid w:val="002303A6"/>
    <w:rsid w:val="00230550"/>
    <w:rsid w:val="00230652"/>
    <w:rsid w:val="0023065D"/>
    <w:rsid w:val="0023092C"/>
    <w:rsid w:val="00230CA9"/>
    <w:rsid w:val="00231692"/>
    <w:rsid w:val="00231BAE"/>
    <w:rsid w:val="00231C10"/>
    <w:rsid w:val="00231D55"/>
    <w:rsid w:val="00231E60"/>
    <w:rsid w:val="00231F7F"/>
    <w:rsid w:val="002326BC"/>
    <w:rsid w:val="00232E06"/>
    <w:rsid w:val="00232EFD"/>
    <w:rsid w:val="002344A0"/>
    <w:rsid w:val="00234799"/>
    <w:rsid w:val="00234802"/>
    <w:rsid w:val="00234F43"/>
    <w:rsid w:val="00234F51"/>
    <w:rsid w:val="00234FDC"/>
    <w:rsid w:val="002352B2"/>
    <w:rsid w:val="0023546C"/>
    <w:rsid w:val="002356FA"/>
    <w:rsid w:val="002357EA"/>
    <w:rsid w:val="00235CC0"/>
    <w:rsid w:val="00235EB6"/>
    <w:rsid w:val="002361E3"/>
    <w:rsid w:val="00236256"/>
    <w:rsid w:val="0023635B"/>
    <w:rsid w:val="00236965"/>
    <w:rsid w:val="0023697D"/>
    <w:rsid w:val="00236FED"/>
    <w:rsid w:val="0023738A"/>
    <w:rsid w:val="00237C2C"/>
    <w:rsid w:val="00237CD4"/>
    <w:rsid w:val="00237D6D"/>
    <w:rsid w:val="00237D9C"/>
    <w:rsid w:val="002401E5"/>
    <w:rsid w:val="00240651"/>
    <w:rsid w:val="002408F9"/>
    <w:rsid w:val="00240F0F"/>
    <w:rsid w:val="002411C4"/>
    <w:rsid w:val="0024144D"/>
    <w:rsid w:val="00241F4B"/>
    <w:rsid w:val="00241FAE"/>
    <w:rsid w:val="00242088"/>
    <w:rsid w:val="002428B3"/>
    <w:rsid w:val="002429F5"/>
    <w:rsid w:val="00242C7F"/>
    <w:rsid w:val="00243563"/>
    <w:rsid w:val="00243633"/>
    <w:rsid w:val="00243870"/>
    <w:rsid w:val="002438F4"/>
    <w:rsid w:val="00243A38"/>
    <w:rsid w:val="002445E8"/>
    <w:rsid w:val="00244A49"/>
    <w:rsid w:val="00244C83"/>
    <w:rsid w:val="0024518F"/>
    <w:rsid w:val="00245481"/>
    <w:rsid w:val="002455E9"/>
    <w:rsid w:val="00245A82"/>
    <w:rsid w:val="00246207"/>
    <w:rsid w:val="002467A9"/>
    <w:rsid w:val="002467E4"/>
    <w:rsid w:val="00246893"/>
    <w:rsid w:val="00246A2C"/>
    <w:rsid w:val="00246BD7"/>
    <w:rsid w:val="00246DE1"/>
    <w:rsid w:val="002470F2"/>
    <w:rsid w:val="00247310"/>
    <w:rsid w:val="00247476"/>
    <w:rsid w:val="002476AF"/>
    <w:rsid w:val="002479CE"/>
    <w:rsid w:val="00247CB8"/>
    <w:rsid w:val="002504E5"/>
    <w:rsid w:val="00250578"/>
    <w:rsid w:val="00250AF5"/>
    <w:rsid w:val="00250D56"/>
    <w:rsid w:val="00250E78"/>
    <w:rsid w:val="00250F77"/>
    <w:rsid w:val="00251669"/>
    <w:rsid w:val="0025166F"/>
    <w:rsid w:val="002518A2"/>
    <w:rsid w:val="00251915"/>
    <w:rsid w:val="00251E4B"/>
    <w:rsid w:val="00252244"/>
    <w:rsid w:val="002522EF"/>
    <w:rsid w:val="002525A7"/>
    <w:rsid w:val="002526F0"/>
    <w:rsid w:val="002527FB"/>
    <w:rsid w:val="00252AAA"/>
    <w:rsid w:val="0025338E"/>
    <w:rsid w:val="00253501"/>
    <w:rsid w:val="00253841"/>
    <w:rsid w:val="0025389A"/>
    <w:rsid w:val="00253CF5"/>
    <w:rsid w:val="00253DF8"/>
    <w:rsid w:val="00254589"/>
    <w:rsid w:val="00254756"/>
    <w:rsid w:val="0025482C"/>
    <w:rsid w:val="0025486F"/>
    <w:rsid w:val="00254C3B"/>
    <w:rsid w:val="00254EB0"/>
    <w:rsid w:val="00255A83"/>
    <w:rsid w:val="00255C32"/>
    <w:rsid w:val="00255F28"/>
    <w:rsid w:val="002562BC"/>
    <w:rsid w:val="0025696A"/>
    <w:rsid w:val="002572E4"/>
    <w:rsid w:val="00257AA5"/>
    <w:rsid w:val="00257AF3"/>
    <w:rsid w:val="00257BBD"/>
    <w:rsid w:val="00257CB4"/>
    <w:rsid w:val="00257CBD"/>
    <w:rsid w:val="00260162"/>
    <w:rsid w:val="00260C0B"/>
    <w:rsid w:val="00261042"/>
    <w:rsid w:val="0026126F"/>
    <w:rsid w:val="0026169A"/>
    <w:rsid w:val="002618F5"/>
    <w:rsid w:val="00261985"/>
    <w:rsid w:val="00261B87"/>
    <w:rsid w:val="00261F29"/>
    <w:rsid w:val="002627A6"/>
    <w:rsid w:val="00262D37"/>
    <w:rsid w:val="00262ECA"/>
    <w:rsid w:val="002637E8"/>
    <w:rsid w:val="00263C50"/>
    <w:rsid w:val="0026413F"/>
    <w:rsid w:val="002642E6"/>
    <w:rsid w:val="00264677"/>
    <w:rsid w:val="002647EE"/>
    <w:rsid w:val="00264935"/>
    <w:rsid w:val="00265171"/>
    <w:rsid w:val="002651C0"/>
    <w:rsid w:val="002655AD"/>
    <w:rsid w:val="00265724"/>
    <w:rsid w:val="00265A47"/>
    <w:rsid w:val="00265BB1"/>
    <w:rsid w:val="00265D89"/>
    <w:rsid w:val="0026662E"/>
    <w:rsid w:val="00266E42"/>
    <w:rsid w:val="00266FE8"/>
    <w:rsid w:val="0026702B"/>
    <w:rsid w:val="002673E5"/>
    <w:rsid w:val="00267640"/>
    <w:rsid w:val="00267A1E"/>
    <w:rsid w:val="00267F3B"/>
    <w:rsid w:val="00267FC1"/>
    <w:rsid w:val="0027047C"/>
    <w:rsid w:val="002704B3"/>
    <w:rsid w:val="00270799"/>
    <w:rsid w:val="00270818"/>
    <w:rsid w:val="0027166E"/>
    <w:rsid w:val="00271697"/>
    <w:rsid w:val="00271FDE"/>
    <w:rsid w:val="002725DE"/>
    <w:rsid w:val="00272750"/>
    <w:rsid w:val="002728BD"/>
    <w:rsid w:val="002731F5"/>
    <w:rsid w:val="002738D2"/>
    <w:rsid w:val="002739E8"/>
    <w:rsid w:val="00273B5D"/>
    <w:rsid w:val="00274057"/>
    <w:rsid w:val="002741D3"/>
    <w:rsid w:val="00274621"/>
    <w:rsid w:val="00274860"/>
    <w:rsid w:val="00274E3D"/>
    <w:rsid w:val="00275D70"/>
    <w:rsid w:val="0027614E"/>
    <w:rsid w:val="002763D1"/>
    <w:rsid w:val="00276F8F"/>
    <w:rsid w:val="002777DF"/>
    <w:rsid w:val="002807D9"/>
    <w:rsid w:val="002808BB"/>
    <w:rsid w:val="00280EFF"/>
    <w:rsid w:val="00280F4F"/>
    <w:rsid w:val="00280FF1"/>
    <w:rsid w:val="002812CA"/>
    <w:rsid w:val="00281976"/>
    <w:rsid w:val="0028223D"/>
    <w:rsid w:val="00282DDF"/>
    <w:rsid w:val="0028325C"/>
    <w:rsid w:val="00283AE9"/>
    <w:rsid w:val="00283CDC"/>
    <w:rsid w:val="00283FC2"/>
    <w:rsid w:val="00284365"/>
    <w:rsid w:val="00284922"/>
    <w:rsid w:val="00284C5D"/>
    <w:rsid w:val="00285879"/>
    <w:rsid w:val="0028592D"/>
    <w:rsid w:val="00286167"/>
    <w:rsid w:val="002862BC"/>
    <w:rsid w:val="00286570"/>
    <w:rsid w:val="002865A2"/>
    <w:rsid w:val="002867C0"/>
    <w:rsid w:val="002868CA"/>
    <w:rsid w:val="00286C97"/>
    <w:rsid w:val="00286E2B"/>
    <w:rsid w:val="00287183"/>
    <w:rsid w:val="002878FF"/>
    <w:rsid w:val="00287A67"/>
    <w:rsid w:val="00287CB3"/>
    <w:rsid w:val="00287D1F"/>
    <w:rsid w:val="00287E46"/>
    <w:rsid w:val="002903AC"/>
    <w:rsid w:val="00290902"/>
    <w:rsid w:val="00290B7D"/>
    <w:rsid w:val="00291300"/>
    <w:rsid w:val="0029141B"/>
    <w:rsid w:val="002918B6"/>
    <w:rsid w:val="00291A4C"/>
    <w:rsid w:val="00291F2B"/>
    <w:rsid w:val="002922A1"/>
    <w:rsid w:val="002925CA"/>
    <w:rsid w:val="002925E0"/>
    <w:rsid w:val="00292652"/>
    <w:rsid w:val="0029291E"/>
    <w:rsid w:val="00292930"/>
    <w:rsid w:val="00293208"/>
    <w:rsid w:val="00293AEF"/>
    <w:rsid w:val="00293B3A"/>
    <w:rsid w:val="00293BEF"/>
    <w:rsid w:val="00294009"/>
    <w:rsid w:val="002941F5"/>
    <w:rsid w:val="00294561"/>
    <w:rsid w:val="002947D2"/>
    <w:rsid w:val="00294977"/>
    <w:rsid w:val="00294A65"/>
    <w:rsid w:val="00294B2B"/>
    <w:rsid w:val="00294B70"/>
    <w:rsid w:val="00294C56"/>
    <w:rsid w:val="00294D5C"/>
    <w:rsid w:val="00295444"/>
    <w:rsid w:val="00295C37"/>
    <w:rsid w:val="00296196"/>
    <w:rsid w:val="0029633C"/>
    <w:rsid w:val="00296BCB"/>
    <w:rsid w:val="00297628"/>
    <w:rsid w:val="00297925"/>
    <w:rsid w:val="002A037A"/>
    <w:rsid w:val="002A0651"/>
    <w:rsid w:val="002A086F"/>
    <w:rsid w:val="002A0873"/>
    <w:rsid w:val="002A090B"/>
    <w:rsid w:val="002A09AB"/>
    <w:rsid w:val="002A0B7C"/>
    <w:rsid w:val="002A0BAE"/>
    <w:rsid w:val="002A0E25"/>
    <w:rsid w:val="002A135C"/>
    <w:rsid w:val="002A18F9"/>
    <w:rsid w:val="002A1ACF"/>
    <w:rsid w:val="002A1EB2"/>
    <w:rsid w:val="002A1FC5"/>
    <w:rsid w:val="002A2000"/>
    <w:rsid w:val="002A200C"/>
    <w:rsid w:val="002A23DB"/>
    <w:rsid w:val="002A28CD"/>
    <w:rsid w:val="002A2F4A"/>
    <w:rsid w:val="002A30DF"/>
    <w:rsid w:val="002A31BF"/>
    <w:rsid w:val="002A366C"/>
    <w:rsid w:val="002A5565"/>
    <w:rsid w:val="002A5F8C"/>
    <w:rsid w:val="002A5FF7"/>
    <w:rsid w:val="002A6083"/>
    <w:rsid w:val="002A690F"/>
    <w:rsid w:val="002A69C8"/>
    <w:rsid w:val="002A73C4"/>
    <w:rsid w:val="002A75EC"/>
    <w:rsid w:val="002A7623"/>
    <w:rsid w:val="002A77D3"/>
    <w:rsid w:val="002A7DEC"/>
    <w:rsid w:val="002B0498"/>
    <w:rsid w:val="002B0564"/>
    <w:rsid w:val="002B05CC"/>
    <w:rsid w:val="002B0A4B"/>
    <w:rsid w:val="002B0AB5"/>
    <w:rsid w:val="002B13EB"/>
    <w:rsid w:val="002B1708"/>
    <w:rsid w:val="002B178E"/>
    <w:rsid w:val="002B17BE"/>
    <w:rsid w:val="002B1974"/>
    <w:rsid w:val="002B21F3"/>
    <w:rsid w:val="002B26B2"/>
    <w:rsid w:val="002B2891"/>
    <w:rsid w:val="002B2BC0"/>
    <w:rsid w:val="002B2CC7"/>
    <w:rsid w:val="002B31AF"/>
    <w:rsid w:val="002B36F9"/>
    <w:rsid w:val="002B3D58"/>
    <w:rsid w:val="002B3D93"/>
    <w:rsid w:val="002B3FB6"/>
    <w:rsid w:val="002B412F"/>
    <w:rsid w:val="002B4D68"/>
    <w:rsid w:val="002B4E6F"/>
    <w:rsid w:val="002B51AB"/>
    <w:rsid w:val="002B5495"/>
    <w:rsid w:val="002B56BE"/>
    <w:rsid w:val="002B5707"/>
    <w:rsid w:val="002B5C10"/>
    <w:rsid w:val="002B62A2"/>
    <w:rsid w:val="002B6477"/>
    <w:rsid w:val="002B654C"/>
    <w:rsid w:val="002B6C76"/>
    <w:rsid w:val="002B73BD"/>
    <w:rsid w:val="002B74EF"/>
    <w:rsid w:val="002B76AD"/>
    <w:rsid w:val="002B7C19"/>
    <w:rsid w:val="002B7CD1"/>
    <w:rsid w:val="002B7CEC"/>
    <w:rsid w:val="002C01B5"/>
    <w:rsid w:val="002C0453"/>
    <w:rsid w:val="002C0D74"/>
    <w:rsid w:val="002C1E72"/>
    <w:rsid w:val="002C1EC6"/>
    <w:rsid w:val="002C1ED6"/>
    <w:rsid w:val="002C216F"/>
    <w:rsid w:val="002C2ADD"/>
    <w:rsid w:val="002C2B62"/>
    <w:rsid w:val="002C342C"/>
    <w:rsid w:val="002C349F"/>
    <w:rsid w:val="002C3DE6"/>
    <w:rsid w:val="002C3F8D"/>
    <w:rsid w:val="002C444A"/>
    <w:rsid w:val="002C4B01"/>
    <w:rsid w:val="002C50F5"/>
    <w:rsid w:val="002C54D2"/>
    <w:rsid w:val="002C581C"/>
    <w:rsid w:val="002C5EF7"/>
    <w:rsid w:val="002C5F4A"/>
    <w:rsid w:val="002C6025"/>
    <w:rsid w:val="002C65C6"/>
    <w:rsid w:val="002C663A"/>
    <w:rsid w:val="002C66C2"/>
    <w:rsid w:val="002C6A2F"/>
    <w:rsid w:val="002C6AB1"/>
    <w:rsid w:val="002C6B11"/>
    <w:rsid w:val="002C6B5C"/>
    <w:rsid w:val="002C720A"/>
    <w:rsid w:val="002C77B0"/>
    <w:rsid w:val="002C7861"/>
    <w:rsid w:val="002C7A0E"/>
    <w:rsid w:val="002C7B45"/>
    <w:rsid w:val="002C7BFC"/>
    <w:rsid w:val="002C7C33"/>
    <w:rsid w:val="002D014C"/>
    <w:rsid w:val="002D020A"/>
    <w:rsid w:val="002D0703"/>
    <w:rsid w:val="002D0748"/>
    <w:rsid w:val="002D0853"/>
    <w:rsid w:val="002D0A6A"/>
    <w:rsid w:val="002D0A9E"/>
    <w:rsid w:val="002D139E"/>
    <w:rsid w:val="002D1628"/>
    <w:rsid w:val="002D173E"/>
    <w:rsid w:val="002D1D4B"/>
    <w:rsid w:val="002D248A"/>
    <w:rsid w:val="002D2720"/>
    <w:rsid w:val="002D2B3A"/>
    <w:rsid w:val="002D2D9F"/>
    <w:rsid w:val="002D301A"/>
    <w:rsid w:val="002D35CA"/>
    <w:rsid w:val="002D423C"/>
    <w:rsid w:val="002D4343"/>
    <w:rsid w:val="002D46F2"/>
    <w:rsid w:val="002D492E"/>
    <w:rsid w:val="002D4DB4"/>
    <w:rsid w:val="002D4F80"/>
    <w:rsid w:val="002D581D"/>
    <w:rsid w:val="002D5832"/>
    <w:rsid w:val="002D5B85"/>
    <w:rsid w:val="002D5D67"/>
    <w:rsid w:val="002D6056"/>
    <w:rsid w:val="002D6088"/>
    <w:rsid w:val="002D6096"/>
    <w:rsid w:val="002D632E"/>
    <w:rsid w:val="002D6C4E"/>
    <w:rsid w:val="002D6F05"/>
    <w:rsid w:val="002D6FA0"/>
    <w:rsid w:val="002D6FC9"/>
    <w:rsid w:val="002D72CA"/>
    <w:rsid w:val="002D73DC"/>
    <w:rsid w:val="002D73F0"/>
    <w:rsid w:val="002D74A7"/>
    <w:rsid w:val="002D77FC"/>
    <w:rsid w:val="002D78E6"/>
    <w:rsid w:val="002D7D24"/>
    <w:rsid w:val="002E005B"/>
    <w:rsid w:val="002E05AC"/>
    <w:rsid w:val="002E0BD2"/>
    <w:rsid w:val="002E15C1"/>
    <w:rsid w:val="002E2234"/>
    <w:rsid w:val="002E2394"/>
    <w:rsid w:val="002E23DA"/>
    <w:rsid w:val="002E2683"/>
    <w:rsid w:val="002E2A14"/>
    <w:rsid w:val="002E2AA1"/>
    <w:rsid w:val="002E2CB5"/>
    <w:rsid w:val="002E30CF"/>
    <w:rsid w:val="002E3654"/>
    <w:rsid w:val="002E3812"/>
    <w:rsid w:val="002E41F2"/>
    <w:rsid w:val="002E506E"/>
    <w:rsid w:val="002E52B1"/>
    <w:rsid w:val="002E5584"/>
    <w:rsid w:val="002E58EF"/>
    <w:rsid w:val="002E5AF3"/>
    <w:rsid w:val="002E5BA5"/>
    <w:rsid w:val="002E5CB7"/>
    <w:rsid w:val="002E68C6"/>
    <w:rsid w:val="002E6A1E"/>
    <w:rsid w:val="002E6D58"/>
    <w:rsid w:val="002E6E81"/>
    <w:rsid w:val="002E70A6"/>
    <w:rsid w:val="002E7B99"/>
    <w:rsid w:val="002E7CCA"/>
    <w:rsid w:val="002E7D1F"/>
    <w:rsid w:val="002E7D88"/>
    <w:rsid w:val="002E7EA7"/>
    <w:rsid w:val="002E7FD2"/>
    <w:rsid w:val="002F03C8"/>
    <w:rsid w:val="002F0BB1"/>
    <w:rsid w:val="002F0E46"/>
    <w:rsid w:val="002F1772"/>
    <w:rsid w:val="002F1DEF"/>
    <w:rsid w:val="002F2523"/>
    <w:rsid w:val="002F25DB"/>
    <w:rsid w:val="002F2826"/>
    <w:rsid w:val="002F2BDB"/>
    <w:rsid w:val="002F2C41"/>
    <w:rsid w:val="002F2C48"/>
    <w:rsid w:val="002F2C51"/>
    <w:rsid w:val="002F3170"/>
    <w:rsid w:val="002F3554"/>
    <w:rsid w:val="002F380C"/>
    <w:rsid w:val="002F3AF3"/>
    <w:rsid w:val="002F3CEC"/>
    <w:rsid w:val="002F40A8"/>
    <w:rsid w:val="002F40E3"/>
    <w:rsid w:val="002F4107"/>
    <w:rsid w:val="002F4C6E"/>
    <w:rsid w:val="002F4C73"/>
    <w:rsid w:val="002F4E8A"/>
    <w:rsid w:val="002F5029"/>
    <w:rsid w:val="002F5DDD"/>
    <w:rsid w:val="002F5EDB"/>
    <w:rsid w:val="002F6165"/>
    <w:rsid w:val="002F6474"/>
    <w:rsid w:val="002F65B1"/>
    <w:rsid w:val="002F6798"/>
    <w:rsid w:val="002F6852"/>
    <w:rsid w:val="002F70DF"/>
    <w:rsid w:val="002F7213"/>
    <w:rsid w:val="002F736F"/>
    <w:rsid w:val="002F7688"/>
    <w:rsid w:val="002F7D38"/>
    <w:rsid w:val="002F7F3B"/>
    <w:rsid w:val="00300079"/>
    <w:rsid w:val="003004EB"/>
    <w:rsid w:val="0030053F"/>
    <w:rsid w:val="00300851"/>
    <w:rsid w:val="00300A56"/>
    <w:rsid w:val="00300A5D"/>
    <w:rsid w:val="00300EF8"/>
    <w:rsid w:val="003015DF"/>
    <w:rsid w:val="00301A56"/>
    <w:rsid w:val="00301AC0"/>
    <w:rsid w:val="003024DD"/>
    <w:rsid w:val="00302735"/>
    <w:rsid w:val="0030282B"/>
    <w:rsid w:val="003029F7"/>
    <w:rsid w:val="00302D5E"/>
    <w:rsid w:val="00302FD8"/>
    <w:rsid w:val="00302FF2"/>
    <w:rsid w:val="00303317"/>
    <w:rsid w:val="00303439"/>
    <w:rsid w:val="00303723"/>
    <w:rsid w:val="003039BE"/>
    <w:rsid w:val="00304590"/>
    <w:rsid w:val="0030499C"/>
    <w:rsid w:val="00304C4E"/>
    <w:rsid w:val="00304CE4"/>
    <w:rsid w:val="00304F93"/>
    <w:rsid w:val="00304FBE"/>
    <w:rsid w:val="0030505C"/>
    <w:rsid w:val="0030517E"/>
    <w:rsid w:val="003057EE"/>
    <w:rsid w:val="003061DD"/>
    <w:rsid w:val="00306420"/>
    <w:rsid w:val="003065C7"/>
    <w:rsid w:val="0030680F"/>
    <w:rsid w:val="00306B2D"/>
    <w:rsid w:val="00306CAB"/>
    <w:rsid w:val="0030753D"/>
    <w:rsid w:val="00307736"/>
    <w:rsid w:val="0030799D"/>
    <w:rsid w:val="00307D5E"/>
    <w:rsid w:val="003108E1"/>
    <w:rsid w:val="00310F2D"/>
    <w:rsid w:val="003111F4"/>
    <w:rsid w:val="003115FC"/>
    <w:rsid w:val="003117AA"/>
    <w:rsid w:val="00311910"/>
    <w:rsid w:val="00311C63"/>
    <w:rsid w:val="00311D3E"/>
    <w:rsid w:val="00311D9A"/>
    <w:rsid w:val="00311F22"/>
    <w:rsid w:val="00311F3C"/>
    <w:rsid w:val="003122C8"/>
    <w:rsid w:val="003124AD"/>
    <w:rsid w:val="00312512"/>
    <w:rsid w:val="0031257B"/>
    <w:rsid w:val="00312CC2"/>
    <w:rsid w:val="003136AF"/>
    <w:rsid w:val="00313944"/>
    <w:rsid w:val="00313A3D"/>
    <w:rsid w:val="00313E1B"/>
    <w:rsid w:val="00313FAC"/>
    <w:rsid w:val="00313FDD"/>
    <w:rsid w:val="003142B8"/>
    <w:rsid w:val="003144BC"/>
    <w:rsid w:val="00314637"/>
    <w:rsid w:val="00314ED5"/>
    <w:rsid w:val="00314FC5"/>
    <w:rsid w:val="003152FE"/>
    <w:rsid w:val="00315322"/>
    <w:rsid w:val="00315576"/>
    <w:rsid w:val="00315943"/>
    <w:rsid w:val="00315B33"/>
    <w:rsid w:val="00315BDB"/>
    <w:rsid w:val="00315D70"/>
    <w:rsid w:val="00315EF6"/>
    <w:rsid w:val="0031602A"/>
    <w:rsid w:val="003160F5"/>
    <w:rsid w:val="00316206"/>
    <w:rsid w:val="00316397"/>
    <w:rsid w:val="00316A2F"/>
    <w:rsid w:val="00316D5D"/>
    <w:rsid w:val="00316DC6"/>
    <w:rsid w:val="0031705F"/>
    <w:rsid w:val="00317085"/>
    <w:rsid w:val="0031718A"/>
    <w:rsid w:val="00317309"/>
    <w:rsid w:val="003173F3"/>
    <w:rsid w:val="0031748B"/>
    <w:rsid w:val="00317F26"/>
    <w:rsid w:val="00317FE6"/>
    <w:rsid w:val="003200D5"/>
    <w:rsid w:val="00320158"/>
    <w:rsid w:val="00320536"/>
    <w:rsid w:val="0032061B"/>
    <w:rsid w:val="0032063C"/>
    <w:rsid w:val="003206B0"/>
    <w:rsid w:val="00320710"/>
    <w:rsid w:val="0032073C"/>
    <w:rsid w:val="00320808"/>
    <w:rsid w:val="00321334"/>
    <w:rsid w:val="00322227"/>
    <w:rsid w:val="00322858"/>
    <w:rsid w:val="00322CA1"/>
    <w:rsid w:val="00322D77"/>
    <w:rsid w:val="0032317A"/>
    <w:rsid w:val="00323577"/>
    <w:rsid w:val="0032358F"/>
    <w:rsid w:val="00323607"/>
    <w:rsid w:val="00323923"/>
    <w:rsid w:val="00323B31"/>
    <w:rsid w:val="003246C7"/>
    <w:rsid w:val="00324756"/>
    <w:rsid w:val="0032480C"/>
    <w:rsid w:val="0032517E"/>
    <w:rsid w:val="003254DD"/>
    <w:rsid w:val="00325742"/>
    <w:rsid w:val="00325818"/>
    <w:rsid w:val="00325C40"/>
    <w:rsid w:val="0032612E"/>
    <w:rsid w:val="00326284"/>
    <w:rsid w:val="00326516"/>
    <w:rsid w:val="003265D7"/>
    <w:rsid w:val="00326A84"/>
    <w:rsid w:val="00326CDD"/>
    <w:rsid w:val="00326D7E"/>
    <w:rsid w:val="00326F61"/>
    <w:rsid w:val="00327236"/>
    <w:rsid w:val="00327498"/>
    <w:rsid w:val="003274FB"/>
    <w:rsid w:val="00327975"/>
    <w:rsid w:val="00327C69"/>
    <w:rsid w:val="00327D0F"/>
    <w:rsid w:val="00327E16"/>
    <w:rsid w:val="00327EF2"/>
    <w:rsid w:val="00330231"/>
    <w:rsid w:val="0033035C"/>
    <w:rsid w:val="00330727"/>
    <w:rsid w:val="003313B9"/>
    <w:rsid w:val="00331545"/>
    <w:rsid w:val="003318B8"/>
    <w:rsid w:val="00331A92"/>
    <w:rsid w:val="00331C58"/>
    <w:rsid w:val="00331C64"/>
    <w:rsid w:val="00331C7F"/>
    <w:rsid w:val="003321BB"/>
    <w:rsid w:val="00332244"/>
    <w:rsid w:val="00332647"/>
    <w:rsid w:val="00332CD9"/>
    <w:rsid w:val="00333026"/>
    <w:rsid w:val="003333A7"/>
    <w:rsid w:val="003335C3"/>
    <w:rsid w:val="0033370F"/>
    <w:rsid w:val="003338D3"/>
    <w:rsid w:val="00333BF2"/>
    <w:rsid w:val="00333F26"/>
    <w:rsid w:val="003342CB"/>
    <w:rsid w:val="00334B01"/>
    <w:rsid w:val="00334F52"/>
    <w:rsid w:val="0033526C"/>
    <w:rsid w:val="003355AD"/>
    <w:rsid w:val="00335716"/>
    <w:rsid w:val="003358FA"/>
    <w:rsid w:val="00335BB0"/>
    <w:rsid w:val="00335BF9"/>
    <w:rsid w:val="00335E20"/>
    <w:rsid w:val="00336161"/>
    <w:rsid w:val="003364AF"/>
    <w:rsid w:val="003364D7"/>
    <w:rsid w:val="00336533"/>
    <w:rsid w:val="0033709E"/>
    <w:rsid w:val="00337174"/>
    <w:rsid w:val="00337198"/>
    <w:rsid w:val="003372A0"/>
    <w:rsid w:val="003374CC"/>
    <w:rsid w:val="00337CE2"/>
    <w:rsid w:val="00337E99"/>
    <w:rsid w:val="00337FED"/>
    <w:rsid w:val="0034002D"/>
    <w:rsid w:val="003408FD"/>
    <w:rsid w:val="00340930"/>
    <w:rsid w:val="003409D1"/>
    <w:rsid w:val="00340E30"/>
    <w:rsid w:val="00341568"/>
    <w:rsid w:val="00341AD2"/>
    <w:rsid w:val="00341C00"/>
    <w:rsid w:val="00341EA3"/>
    <w:rsid w:val="00342BC1"/>
    <w:rsid w:val="00343188"/>
    <w:rsid w:val="00343346"/>
    <w:rsid w:val="00343686"/>
    <w:rsid w:val="00343722"/>
    <w:rsid w:val="003437BC"/>
    <w:rsid w:val="00343A52"/>
    <w:rsid w:val="00343BB4"/>
    <w:rsid w:val="00344066"/>
    <w:rsid w:val="00344194"/>
    <w:rsid w:val="0034468D"/>
    <w:rsid w:val="003449CF"/>
    <w:rsid w:val="00344E4A"/>
    <w:rsid w:val="003456B9"/>
    <w:rsid w:val="00345FDE"/>
    <w:rsid w:val="003462B7"/>
    <w:rsid w:val="00346379"/>
    <w:rsid w:val="0034649B"/>
    <w:rsid w:val="003464D9"/>
    <w:rsid w:val="003465E9"/>
    <w:rsid w:val="00346B3E"/>
    <w:rsid w:val="00346E00"/>
    <w:rsid w:val="00347528"/>
    <w:rsid w:val="003475B3"/>
    <w:rsid w:val="00347603"/>
    <w:rsid w:val="00347652"/>
    <w:rsid w:val="00347710"/>
    <w:rsid w:val="003477AF"/>
    <w:rsid w:val="003508E1"/>
    <w:rsid w:val="003516F1"/>
    <w:rsid w:val="0035174D"/>
    <w:rsid w:val="00351BC8"/>
    <w:rsid w:val="00351C12"/>
    <w:rsid w:val="00351DD6"/>
    <w:rsid w:val="00351F9C"/>
    <w:rsid w:val="0035262B"/>
    <w:rsid w:val="0035292C"/>
    <w:rsid w:val="0035458F"/>
    <w:rsid w:val="0035480B"/>
    <w:rsid w:val="0035490D"/>
    <w:rsid w:val="00354EEF"/>
    <w:rsid w:val="00354F9F"/>
    <w:rsid w:val="0035506E"/>
    <w:rsid w:val="003557BD"/>
    <w:rsid w:val="00355CC6"/>
    <w:rsid w:val="00355D2F"/>
    <w:rsid w:val="00355FA8"/>
    <w:rsid w:val="0035621D"/>
    <w:rsid w:val="003569F4"/>
    <w:rsid w:val="00356AA1"/>
    <w:rsid w:val="00356B62"/>
    <w:rsid w:val="00356EDD"/>
    <w:rsid w:val="00357140"/>
    <w:rsid w:val="003575E3"/>
    <w:rsid w:val="00357AF0"/>
    <w:rsid w:val="0036026B"/>
    <w:rsid w:val="0036062F"/>
    <w:rsid w:val="00360FA9"/>
    <w:rsid w:val="00361314"/>
    <w:rsid w:val="00361B93"/>
    <w:rsid w:val="00361C12"/>
    <w:rsid w:val="00361CBA"/>
    <w:rsid w:val="00361CBC"/>
    <w:rsid w:val="00361D38"/>
    <w:rsid w:val="00361DD4"/>
    <w:rsid w:val="00361F6B"/>
    <w:rsid w:val="00362122"/>
    <w:rsid w:val="00362607"/>
    <w:rsid w:val="00362EF9"/>
    <w:rsid w:val="00363243"/>
    <w:rsid w:val="00363AA0"/>
    <w:rsid w:val="00363AA6"/>
    <w:rsid w:val="0036440F"/>
    <w:rsid w:val="003645A1"/>
    <w:rsid w:val="00364773"/>
    <w:rsid w:val="00364887"/>
    <w:rsid w:val="00364F13"/>
    <w:rsid w:val="00365155"/>
    <w:rsid w:val="0036594A"/>
    <w:rsid w:val="00365A54"/>
    <w:rsid w:val="003660AB"/>
    <w:rsid w:val="003662AB"/>
    <w:rsid w:val="0036710B"/>
    <w:rsid w:val="00367FEB"/>
    <w:rsid w:val="003700CF"/>
    <w:rsid w:val="00370831"/>
    <w:rsid w:val="0037087F"/>
    <w:rsid w:val="00370D8E"/>
    <w:rsid w:val="00371D22"/>
    <w:rsid w:val="00371F7A"/>
    <w:rsid w:val="003721C9"/>
    <w:rsid w:val="003725E5"/>
    <w:rsid w:val="00372776"/>
    <w:rsid w:val="00372FF7"/>
    <w:rsid w:val="00373289"/>
    <w:rsid w:val="003736F3"/>
    <w:rsid w:val="003736FC"/>
    <w:rsid w:val="00373CA7"/>
    <w:rsid w:val="00373DCE"/>
    <w:rsid w:val="00374629"/>
    <w:rsid w:val="00374857"/>
    <w:rsid w:val="0037507E"/>
    <w:rsid w:val="003751E0"/>
    <w:rsid w:val="003756A6"/>
    <w:rsid w:val="003756AD"/>
    <w:rsid w:val="003759D5"/>
    <w:rsid w:val="00375C6B"/>
    <w:rsid w:val="003765B7"/>
    <w:rsid w:val="003766BB"/>
    <w:rsid w:val="00376CF5"/>
    <w:rsid w:val="00376D78"/>
    <w:rsid w:val="003770D6"/>
    <w:rsid w:val="0037726F"/>
    <w:rsid w:val="00377449"/>
    <w:rsid w:val="00377661"/>
    <w:rsid w:val="00377823"/>
    <w:rsid w:val="003801C5"/>
    <w:rsid w:val="00380816"/>
    <w:rsid w:val="003809D4"/>
    <w:rsid w:val="00380F13"/>
    <w:rsid w:val="0038146F"/>
    <w:rsid w:val="00381578"/>
    <w:rsid w:val="0038159E"/>
    <w:rsid w:val="003817FF"/>
    <w:rsid w:val="00381DFF"/>
    <w:rsid w:val="00381F47"/>
    <w:rsid w:val="00381F85"/>
    <w:rsid w:val="003820C0"/>
    <w:rsid w:val="003827D1"/>
    <w:rsid w:val="00382903"/>
    <w:rsid w:val="003834DB"/>
    <w:rsid w:val="00383665"/>
    <w:rsid w:val="00383C23"/>
    <w:rsid w:val="003840F5"/>
    <w:rsid w:val="00384285"/>
    <w:rsid w:val="00384296"/>
    <w:rsid w:val="0038431F"/>
    <w:rsid w:val="00384402"/>
    <w:rsid w:val="0038453B"/>
    <w:rsid w:val="00384885"/>
    <w:rsid w:val="00384B88"/>
    <w:rsid w:val="00384ECE"/>
    <w:rsid w:val="003850BA"/>
    <w:rsid w:val="00385C8D"/>
    <w:rsid w:val="003869DD"/>
    <w:rsid w:val="00386C9A"/>
    <w:rsid w:val="003875E2"/>
    <w:rsid w:val="0038782F"/>
    <w:rsid w:val="003879F5"/>
    <w:rsid w:val="00387A26"/>
    <w:rsid w:val="00390257"/>
    <w:rsid w:val="0039055C"/>
    <w:rsid w:val="003908F0"/>
    <w:rsid w:val="0039095A"/>
    <w:rsid w:val="003909AE"/>
    <w:rsid w:val="00391A52"/>
    <w:rsid w:val="00391B51"/>
    <w:rsid w:val="0039205F"/>
    <w:rsid w:val="00392261"/>
    <w:rsid w:val="00392451"/>
    <w:rsid w:val="003924F6"/>
    <w:rsid w:val="00392515"/>
    <w:rsid w:val="0039265C"/>
    <w:rsid w:val="00392770"/>
    <w:rsid w:val="003929E3"/>
    <w:rsid w:val="00392A46"/>
    <w:rsid w:val="00392AA0"/>
    <w:rsid w:val="0039312A"/>
    <w:rsid w:val="00393514"/>
    <w:rsid w:val="00393B57"/>
    <w:rsid w:val="00393CDC"/>
    <w:rsid w:val="00393D3E"/>
    <w:rsid w:val="00393DCF"/>
    <w:rsid w:val="00393E55"/>
    <w:rsid w:val="00393EB0"/>
    <w:rsid w:val="00394C4B"/>
    <w:rsid w:val="00394E53"/>
    <w:rsid w:val="0039569B"/>
    <w:rsid w:val="00395786"/>
    <w:rsid w:val="003958C7"/>
    <w:rsid w:val="00396292"/>
    <w:rsid w:val="003963B5"/>
    <w:rsid w:val="00396F24"/>
    <w:rsid w:val="00396F6C"/>
    <w:rsid w:val="0039724A"/>
    <w:rsid w:val="00397769"/>
    <w:rsid w:val="003977AC"/>
    <w:rsid w:val="00397D3A"/>
    <w:rsid w:val="00397D81"/>
    <w:rsid w:val="003A0006"/>
    <w:rsid w:val="003A0045"/>
    <w:rsid w:val="003A030F"/>
    <w:rsid w:val="003A0649"/>
    <w:rsid w:val="003A07C3"/>
    <w:rsid w:val="003A0893"/>
    <w:rsid w:val="003A09B4"/>
    <w:rsid w:val="003A0B4A"/>
    <w:rsid w:val="003A0BD0"/>
    <w:rsid w:val="003A0D8A"/>
    <w:rsid w:val="003A0E60"/>
    <w:rsid w:val="003A1B25"/>
    <w:rsid w:val="003A1EA2"/>
    <w:rsid w:val="003A203E"/>
    <w:rsid w:val="003A2122"/>
    <w:rsid w:val="003A245F"/>
    <w:rsid w:val="003A2639"/>
    <w:rsid w:val="003A263B"/>
    <w:rsid w:val="003A298F"/>
    <w:rsid w:val="003A2B45"/>
    <w:rsid w:val="003A2D8A"/>
    <w:rsid w:val="003A2DB0"/>
    <w:rsid w:val="003A2FD3"/>
    <w:rsid w:val="003A330A"/>
    <w:rsid w:val="003A3845"/>
    <w:rsid w:val="003A3F8F"/>
    <w:rsid w:val="003A46EB"/>
    <w:rsid w:val="003A4C87"/>
    <w:rsid w:val="003A4D00"/>
    <w:rsid w:val="003A4DB5"/>
    <w:rsid w:val="003A52ED"/>
    <w:rsid w:val="003A5439"/>
    <w:rsid w:val="003A5780"/>
    <w:rsid w:val="003A5855"/>
    <w:rsid w:val="003A6037"/>
    <w:rsid w:val="003A628A"/>
    <w:rsid w:val="003A62C9"/>
    <w:rsid w:val="003A62FB"/>
    <w:rsid w:val="003A6506"/>
    <w:rsid w:val="003A6A48"/>
    <w:rsid w:val="003A6DCC"/>
    <w:rsid w:val="003A7239"/>
    <w:rsid w:val="003A741C"/>
    <w:rsid w:val="003A77D6"/>
    <w:rsid w:val="003A7870"/>
    <w:rsid w:val="003B07DE"/>
    <w:rsid w:val="003B09E8"/>
    <w:rsid w:val="003B0EB0"/>
    <w:rsid w:val="003B111E"/>
    <w:rsid w:val="003B1970"/>
    <w:rsid w:val="003B1D25"/>
    <w:rsid w:val="003B2109"/>
    <w:rsid w:val="003B2251"/>
    <w:rsid w:val="003B2396"/>
    <w:rsid w:val="003B2AC2"/>
    <w:rsid w:val="003B3133"/>
    <w:rsid w:val="003B339B"/>
    <w:rsid w:val="003B33AB"/>
    <w:rsid w:val="003B368F"/>
    <w:rsid w:val="003B3A8B"/>
    <w:rsid w:val="003B3EB3"/>
    <w:rsid w:val="003B4920"/>
    <w:rsid w:val="003B49BD"/>
    <w:rsid w:val="003B4D80"/>
    <w:rsid w:val="003B5163"/>
    <w:rsid w:val="003B5299"/>
    <w:rsid w:val="003B537F"/>
    <w:rsid w:val="003B55AC"/>
    <w:rsid w:val="003B568D"/>
    <w:rsid w:val="003B5A98"/>
    <w:rsid w:val="003B5C77"/>
    <w:rsid w:val="003B5F4D"/>
    <w:rsid w:val="003B607F"/>
    <w:rsid w:val="003B6363"/>
    <w:rsid w:val="003B66E7"/>
    <w:rsid w:val="003B6925"/>
    <w:rsid w:val="003B6A27"/>
    <w:rsid w:val="003B6C20"/>
    <w:rsid w:val="003B6E5B"/>
    <w:rsid w:val="003B71DD"/>
    <w:rsid w:val="003B7537"/>
    <w:rsid w:val="003B76A9"/>
    <w:rsid w:val="003C006D"/>
    <w:rsid w:val="003C0895"/>
    <w:rsid w:val="003C08F4"/>
    <w:rsid w:val="003C0A2B"/>
    <w:rsid w:val="003C0A9B"/>
    <w:rsid w:val="003C0C25"/>
    <w:rsid w:val="003C0F29"/>
    <w:rsid w:val="003C1111"/>
    <w:rsid w:val="003C23D7"/>
    <w:rsid w:val="003C24B1"/>
    <w:rsid w:val="003C2692"/>
    <w:rsid w:val="003C271E"/>
    <w:rsid w:val="003C2A5E"/>
    <w:rsid w:val="003C2CE3"/>
    <w:rsid w:val="003C2FD1"/>
    <w:rsid w:val="003C3078"/>
    <w:rsid w:val="003C3729"/>
    <w:rsid w:val="003C3BDA"/>
    <w:rsid w:val="003C3D50"/>
    <w:rsid w:val="003C3DF8"/>
    <w:rsid w:val="003C3ED4"/>
    <w:rsid w:val="003C4250"/>
    <w:rsid w:val="003C4376"/>
    <w:rsid w:val="003C473D"/>
    <w:rsid w:val="003C487C"/>
    <w:rsid w:val="003C4C42"/>
    <w:rsid w:val="003C4DAF"/>
    <w:rsid w:val="003C58DF"/>
    <w:rsid w:val="003C5948"/>
    <w:rsid w:val="003C5C40"/>
    <w:rsid w:val="003C610A"/>
    <w:rsid w:val="003C6242"/>
    <w:rsid w:val="003C6556"/>
    <w:rsid w:val="003C6A6A"/>
    <w:rsid w:val="003C6E6E"/>
    <w:rsid w:val="003C77F1"/>
    <w:rsid w:val="003C7D41"/>
    <w:rsid w:val="003C7EF7"/>
    <w:rsid w:val="003D01BE"/>
    <w:rsid w:val="003D03FB"/>
    <w:rsid w:val="003D0FA6"/>
    <w:rsid w:val="003D10C2"/>
    <w:rsid w:val="003D16C2"/>
    <w:rsid w:val="003D17E1"/>
    <w:rsid w:val="003D1832"/>
    <w:rsid w:val="003D1F05"/>
    <w:rsid w:val="003D248E"/>
    <w:rsid w:val="003D279D"/>
    <w:rsid w:val="003D2AF3"/>
    <w:rsid w:val="003D2EA0"/>
    <w:rsid w:val="003D2EE3"/>
    <w:rsid w:val="003D347C"/>
    <w:rsid w:val="003D350D"/>
    <w:rsid w:val="003D3F07"/>
    <w:rsid w:val="003D410D"/>
    <w:rsid w:val="003D423A"/>
    <w:rsid w:val="003D425C"/>
    <w:rsid w:val="003D447B"/>
    <w:rsid w:val="003D44C1"/>
    <w:rsid w:val="003D479E"/>
    <w:rsid w:val="003D4B54"/>
    <w:rsid w:val="003D4CF7"/>
    <w:rsid w:val="003D4CFA"/>
    <w:rsid w:val="003D4D7B"/>
    <w:rsid w:val="003D565E"/>
    <w:rsid w:val="003D57A3"/>
    <w:rsid w:val="003D57BC"/>
    <w:rsid w:val="003D5C8E"/>
    <w:rsid w:val="003D5FC4"/>
    <w:rsid w:val="003D60A9"/>
    <w:rsid w:val="003D66D5"/>
    <w:rsid w:val="003D6880"/>
    <w:rsid w:val="003D6973"/>
    <w:rsid w:val="003D6A34"/>
    <w:rsid w:val="003D6A3B"/>
    <w:rsid w:val="003D6C23"/>
    <w:rsid w:val="003D6E62"/>
    <w:rsid w:val="003D70A8"/>
    <w:rsid w:val="003D7331"/>
    <w:rsid w:val="003D7342"/>
    <w:rsid w:val="003D7444"/>
    <w:rsid w:val="003D7E2E"/>
    <w:rsid w:val="003E01B0"/>
    <w:rsid w:val="003E02F0"/>
    <w:rsid w:val="003E0366"/>
    <w:rsid w:val="003E1038"/>
    <w:rsid w:val="003E14B0"/>
    <w:rsid w:val="003E161A"/>
    <w:rsid w:val="003E1CBD"/>
    <w:rsid w:val="003E218C"/>
    <w:rsid w:val="003E283C"/>
    <w:rsid w:val="003E3463"/>
    <w:rsid w:val="003E3718"/>
    <w:rsid w:val="003E3F49"/>
    <w:rsid w:val="003E43EB"/>
    <w:rsid w:val="003E4864"/>
    <w:rsid w:val="003E4CE7"/>
    <w:rsid w:val="003E509B"/>
    <w:rsid w:val="003E5413"/>
    <w:rsid w:val="003E5B3B"/>
    <w:rsid w:val="003E5FF9"/>
    <w:rsid w:val="003E6051"/>
    <w:rsid w:val="003E60D5"/>
    <w:rsid w:val="003E66C5"/>
    <w:rsid w:val="003E69DD"/>
    <w:rsid w:val="003E6F8E"/>
    <w:rsid w:val="003E7430"/>
    <w:rsid w:val="003E7688"/>
    <w:rsid w:val="003E7A45"/>
    <w:rsid w:val="003E7A75"/>
    <w:rsid w:val="003E7ACE"/>
    <w:rsid w:val="003E7E93"/>
    <w:rsid w:val="003F001D"/>
    <w:rsid w:val="003F0083"/>
    <w:rsid w:val="003F0127"/>
    <w:rsid w:val="003F070F"/>
    <w:rsid w:val="003F09D3"/>
    <w:rsid w:val="003F0D95"/>
    <w:rsid w:val="003F0DA1"/>
    <w:rsid w:val="003F10B5"/>
    <w:rsid w:val="003F139E"/>
    <w:rsid w:val="003F13A5"/>
    <w:rsid w:val="003F1CD7"/>
    <w:rsid w:val="003F1F2A"/>
    <w:rsid w:val="003F1F94"/>
    <w:rsid w:val="003F22CA"/>
    <w:rsid w:val="003F2539"/>
    <w:rsid w:val="003F262E"/>
    <w:rsid w:val="003F26ED"/>
    <w:rsid w:val="003F27E9"/>
    <w:rsid w:val="003F2BFC"/>
    <w:rsid w:val="003F2F93"/>
    <w:rsid w:val="003F30D4"/>
    <w:rsid w:val="003F32B0"/>
    <w:rsid w:val="003F32FF"/>
    <w:rsid w:val="003F413C"/>
    <w:rsid w:val="003F42C8"/>
    <w:rsid w:val="003F437C"/>
    <w:rsid w:val="003F4448"/>
    <w:rsid w:val="003F4A5F"/>
    <w:rsid w:val="003F4D56"/>
    <w:rsid w:val="003F5010"/>
    <w:rsid w:val="003F566F"/>
    <w:rsid w:val="003F5816"/>
    <w:rsid w:val="003F5B83"/>
    <w:rsid w:val="003F5B9F"/>
    <w:rsid w:val="003F5EF4"/>
    <w:rsid w:val="003F61BC"/>
    <w:rsid w:val="003F6217"/>
    <w:rsid w:val="003F639A"/>
    <w:rsid w:val="003F65BF"/>
    <w:rsid w:val="003F69ED"/>
    <w:rsid w:val="003F6B98"/>
    <w:rsid w:val="003F6B9D"/>
    <w:rsid w:val="003F6C6C"/>
    <w:rsid w:val="003F6F68"/>
    <w:rsid w:val="003F7634"/>
    <w:rsid w:val="003F76C7"/>
    <w:rsid w:val="0040011C"/>
    <w:rsid w:val="00400288"/>
    <w:rsid w:val="0040080F"/>
    <w:rsid w:val="00400B88"/>
    <w:rsid w:val="00400E24"/>
    <w:rsid w:val="00400FAF"/>
    <w:rsid w:val="00401371"/>
    <w:rsid w:val="00401645"/>
    <w:rsid w:val="00401A96"/>
    <w:rsid w:val="00401AF9"/>
    <w:rsid w:val="00401B77"/>
    <w:rsid w:val="00401DB0"/>
    <w:rsid w:val="00401E0E"/>
    <w:rsid w:val="0040215E"/>
    <w:rsid w:val="00402DB0"/>
    <w:rsid w:val="0040333E"/>
    <w:rsid w:val="004038A2"/>
    <w:rsid w:val="004039EA"/>
    <w:rsid w:val="00403B3B"/>
    <w:rsid w:val="004041CC"/>
    <w:rsid w:val="00404A0B"/>
    <w:rsid w:val="00405214"/>
    <w:rsid w:val="004052A6"/>
    <w:rsid w:val="00405461"/>
    <w:rsid w:val="00406325"/>
    <w:rsid w:val="00406458"/>
    <w:rsid w:val="00406DC0"/>
    <w:rsid w:val="00407276"/>
    <w:rsid w:val="0040729D"/>
    <w:rsid w:val="00407C31"/>
    <w:rsid w:val="00407D43"/>
    <w:rsid w:val="0041027C"/>
    <w:rsid w:val="004108A5"/>
    <w:rsid w:val="00410BFA"/>
    <w:rsid w:val="00410EB9"/>
    <w:rsid w:val="00411020"/>
    <w:rsid w:val="004114F9"/>
    <w:rsid w:val="00411758"/>
    <w:rsid w:val="004125F0"/>
    <w:rsid w:val="00412DAC"/>
    <w:rsid w:val="00413065"/>
    <w:rsid w:val="004132B6"/>
    <w:rsid w:val="0041341E"/>
    <w:rsid w:val="00413461"/>
    <w:rsid w:val="004136EE"/>
    <w:rsid w:val="00413AC7"/>
    <w:rsid w:val="004147B0"/>
    <w:rsid w:val="0041558D"/>
    <w:rsid w:val="00415977"/>
    <w:rsid w:val="00415E6D"/>
    <w:rsid w:val="0041613B"/>
    <w:rsid w:val="0041684C"/>
    <w:rsid w:val="0041687E"/>
    <w:rsid w:val="00416B13"/>
    <w:rsid w:val="0041701F"/>
    <w:rsid w:val="0041788F"/>
    <w:rsid w:val="004178DD"/>
    <w:rsid w:val="00417BC7"/>
    <w:rsid w:val="00417E2F"/>
    <w:rsid w:val="00417F0D"/>
    <w:rsid w:val="004200AD"/>
    <w:rsid w:val="00420152"/>
    <w:rsid w:val="004206A3"/>
    <w:rsid w:val="0042084C"/>
    <w:rsid w:val="00420893"/>
    <w:rsid w:val="00420947"/>
    <w:rsid w:val="00420B7C"/>
    <w:rsid w:val="00420E83"/>
    <w:rsid w:val="00421825"/>
    <w:rsid w:val="00421A0B"/>
    <w:rsid w:val="00421CF0"/>
    <w:rsid w:val="00421E53"/>
    <w:rsid w:val="00421F8D"/>
    <w:rsid w:val="00422042"/>
    <w:rsid w:val="0042248E"/>
    <w:rsid w:val="0042273C"/>
    <w:rsid w:val="004227E6"/>
    <w:rsid w:val="00422A44"/>
    <w:rsid w:val="00423033"/>
    <w:rsid w:val="0042339F"/>
    <w:rsid w:val="0042341C"/>
    <w:rsid w:val="00423A4F"/>
    <w:rsid w:val="00423B3B"/>
    <w:rsid w:val="00424025"/>
    <w:rsid w:val="004241B7"/>
    <w:rsid w:val="0042477E"/>
    <w:rsid w:val="004248FC"/>
    <w:rsid w:val="00424A41"/>
    <w:rsid w:val="00424D65"/>
    <w:rsid w:val="00424D82"/>
    <w:rsid w:val="00425033"/>
    <w:rsid w:val="00425B2D"/>
    <w:rsid w:val="00426568"/>
    <w:rsid w:val="0042671F"/>
    <w:rsid w:val="0042691D"/>
    <w:rsid w:val="00426AA2"/>
    <w:rsid w:val="00426ED0"/>
    <w:rsid w:val="0042702C"/>
    <w:rsid w:val="004270F5"/>
    <w:rsid w:val="00427131"/>
    <w:rsid w:val="00427870"/>
    <w:rsid w:val="00427DDE"/>
    <w:rsid w:val="00427FE1"/>
    <w:rsid w:val="0043036F"/>
    <w:rsid w:val="004303A9"/>
    <w:rsid w:val="0043057F"/>
    <w:rsid w:val="00430A01"/>
    <w:rsid w:val="00430A05"/>
    <w:rsid w:val="00430A7B"/>
    <w:rsid w:val="00430DBE"/>
    <w:rsid w:val="00430E12"/>
    <w:rsid w:val="0043105F"/>
    <w:rsid w:val="00431210"/>
    <w:rsid w:val="00431645"/>
    <w:rsid w:val="004316BC"/>
    <w:rsid w:val="00431883"/>
    <w:rsid w:val="00431A25"/>
    <w:rsid w:val="00431ABA"/>
    <w:rsid w:val="00431B3D"/>
    <w:rsid w:val="00431DE5"/>
    <w:rsid w:val="00431E19"/>
    <w:rsid w:val="00431E3C"/>
    <w:rsid w:val="00431FFA"/>
    <w:rsid w:val="00432073"/>
    <w:rsid w:val="00432663"/>
    <w:rsid w:val="00432A15"/>
    <w:rsid w:val="00432A8C"/>
    <w:rsid w:val="0043302A"/>
    <w:rsid w:val="0043336F"/>
    <w:rsid w:val="00433614"/>
    <w:rsid w:val="004336CE"/>
    <w:rsid w:val="004338E3"/>
    <w:rsid w:val="00433964"/>
    <w:rsid w:val="00434410"/>
    <w:rsid w:val="004347F4"/>
    <w:rsid w:val="00434883"/>
    <w:rsid w:val="00434A49"/>
    <w:rsid w:val="00434B77"/>
    <w:rsid w:val="004350F2"/>
    <w:rsid w:val="0043529C"/>
    <w:rsid w:val="0043585E"/>
    <w:rsid w:val="004359B6"/>
    <w:rsid w:val="00435AAA"/>
    <w:rsid w:val="004360C7"/>
    <w:rsid w:val="00436831"/>
    <w:rsid w:val="00436854"/>
    <w:rsid w:val="00436B2D"/>
    <w:rsid w:val="00437504"/>
    <w:rsid w:val="004377A7"/>
    <w:rsid w:val="00437E75"/>
    <w:rsid w:val="004400C5"/>
    <w:rsid w:val="004405C3"/>
    <w:rsid w:val="00440794"/>
    <w:rsid w:val="00440EBF"/>
    <w:rsid w:val="004419EC"/>
    <w:rsid w:val="00441B3D"/>
    <w:rsid w:val="004420BE"/>
    <w:rsid w:val="0044231E"/>
    <w:rsid w:val="0044302D"/>
    <w:rsid w:val="004432F1"/>
    <w:rsid w:val="0044343A"/>
    <w:rsid w:val="0044364E"/>
    <w:rsid w:val="00443AA5"/>
    <w:rsid w:val="00443BAE"/>
    <w:rsid w:val="00443E49"/>
    <w:rsid w:val="004443C0"/>
    <w:rsid w:val="00444638"/>
    <w:rsid w:val="004446F5"/>
    <w:rsid w:val="00444B43"/>
    <w:rsid w:val="00444FA3"/>
    <w:rsid w:val="00445411"/>
    <w:rsid w:val="0044548F"/>
    <w:rsid w:val="0044563B"/>
    <w:rsid w:val="004458D2"/>
    <w:rsid w:val="00445C48"/>
    <w:rsid w:val="004464FA"/>
    <w:rsid w:val="004465E5"/>
    <w:rsid w:val="00446619"/>
    <w:rsid w:val="00447909"/>
    <w:rsid w:val="00447A66"/>
    <w:rsid w:val="00447B94"/>
    <w:rsid w:val="00447F3B"/>
    <w:rsid w:val="00450275"/>
    <w:rsid w:val="00450485"/>
    <w:rsid w:val="00450525"/>
    <w:rsid w:val="004508E6"/>
    <w:rsid w:val="00450B87"/>
    <w:rsid w:val="00450BB0"/>
    <w:rsid w:val="00450D28"/>
    <w:rsid w:val="00450DDF"/>
    <w:rsid w:val="0045108D"/>
    <w:rsid w:val="00451831"/>
    <w:rsid w:val="00451C65"/>
    <w:rsid w:val="00451C6F"/>
    <w:rsid w:val="00451F1D"/>
    <w:rsid w:val="00452407"/>
    <w:rsid w:val="0045295F"/>
    <w:rsid w:val="00452A8A"/>
    <w:rsid w:val="00452BC9"/>
    <w:rsid w:val="00452DE8"/>
    <w:rsid w:val="00453064"/>
    <w:rsid w:val="0045350E"/>
    <w:rsid w:val="004536BD"/>
    <w:rsid w:val="00453733"/>
    <w:rsid w:val="00453C3C"/>
    <w:rsid w:val="004545E1"/>
    <w:rsid w:val="0045479B"/>
    <w:rsid w:val="00454BD1"/>
    <w:rsid w:val="00454CD6"/>
    <w:rsid w:val="00454F6A"/>
    <w:rsid w:val="004554B3"/>
    <w:rsid w:val="00456282"/>
    <w:rsid w:val="004564F5"/>
    <w:rsid w:val="00456A1B"/>
    <w:rsid w:val="00456C0B"/>
    <w:rsid w:val="00456CF7"/>
    <w:rsid w:val="00457246"/>
    <w:rsid w:val="0045772C"/>
    <w:rsid w:val="0045775F"/>
    <w:rsid w:val="00457CD4"/>
    <w:rsid w:val="00457DBF"/>
    <w:rsid w:val="0046021B"/>
    <w:rsid w:val="0046032C"/>
    <w:rsid w:val="00460440"/>
    <w:rsid w:val="0046050C"/>
    <w:rsid w:val="0046059B"/>
    <w:rsid w:val="0046147C"/>
    <w:rsid w:val="00461498"/>
    <w:rsid w:val="00461BFC"/>
    <w:rsid w:val="00461E57"/>
    <w:rsid w:val="004620A5"/>
    <w:rsid w:val="004624CA"/>
    <w:rsid w:val="00462D29"/>
    <w:rsid w:val="00462EBD"/>
    <w:rsid w:val="00463374"/>
    <w:rsid w:val="00463431"/>
    <w:rsid w:val="0046360E"/>
    <w:rsid w:val="004637A0"/>
    <w:rsid w:val="00463909"/>
    <w:rsid w:val="00463A4A"/>
    <w:rsid w:val="00463CDC"/>
    <w:rsid w:val="00463EF8"/>
    <w:rsid w:val="004643AE"/>
    <w:rsid w:val="004643E7"/>
    <w:rsid w:val="00464785"/>
    <w:rsid w:val="0046487D"/>
    <w:rsid w:val="00464B68"/>
    <w:rsid w:val="00464E54"/>
    <w:rsid w:val="00465097"/>
    <w:rsid w:val="00465681"/>
    <w:rsid w:val="00465A0A"/>
    <w:rsid w:val="00465A74"/>
    <w:rsid w:val="00465D50"/>
    <w:rsid w:val="00466D16"/>
    <w:rsid w:val="004673EB"/>
    <w:rsid w:val="00467EAD"/>
    <w:rsid w:val="00467F4B"/>
    <w:rsid w:val="004704B5"/>
    <w:rsid w:val="00470903"/>
    <w:rsid w:val="00470A15"/>
    <w:rsid w:val="00470BC2"/>
    <w:rsid w:val="00471B20"/>
    <w:rsid w:val="00471DA5"/>
    <w:rsid w:val="00472136"/>
    <w:rsid w:val="0047245A"/>
    <w:rsid w:val="004729F7"/>
    <w:rsid w:val="00472B4F"/>
    <w:rsid w:val="00472C2C"/>
    <w:rsid w:val="00472F7F"/>
    <w:rsid w:val="00473192"/>
    <w:rsid w:val="0047319F"/>
    <w:rsid w:val="00473808"/>
    <w:rsid w:val="0047395E"/>
    <w:rsid w:val="0047395F"/>
    <w:rsid w:val="0047408E"/>
    <w:rsid w:val="004749E1"/>
    <w:rsid w:val="004750D9"/>
    <w:rsid w:val="004754DE"/>
    <w:rsid w:val="00475777"/>
    <w:rsid w:val="0047598A"/>
    <w:rsid w:val="00475A79"/>
    <w:rsid w:val="0047633B"/>
    <w:rsid w:val="00476703"/>
    <w:rsid w:val="00476DA3"/>
    <w:rsid w:val="00476DFC"/>
    <w:rsid w:val="00476E49"/>
    <w:rsid w:val="004775B9"/>
    <w:rsid w:val="00477846"/>
    <w:rsid w:val="00477DCD"/>
    <w:rsid w:val="00480515"/>
    <w:rsid w:val="00480CE0"/>
    <w:rsid w:val="00481027"/>
    <w:rsid w:val="0048104D"/>
    <w:rsid w:val="004821CE"/>
    <w:rsid w:val="004823B6"/>
    <w:rsid w:val="00482896"/>
    <w:rsid w:val="00482911"/>
    <w:rsid w:val="004829BD"/>
    <w:rsid w:val="0048341D"/>
    <w:rsid w:val="004836D7"/>
    <w:rsid w:val="0048394A"/>
    <w:rsid w:val="00483C8D"/>
    <w:rsid w:val="00483D86"/>
    <w:rsid w:val="00483F37"/>
    <w:rsid w:val="00483F61"/>
    <w:rsid w:val="0048421B"/>
    <w:rsid w:val="004844CC"/>
    <w:rsid w:val="004847DB"/>
    <w:rsid w:val="00484C64"/>
    <w:rsid w:val="00484DC6"/>
    <w:rsid w:val="00485158"/>
    <w:rsid w:val="0048537C"/>
    <w:rsid w:val="0048549C"/>
    <w:rsid w:val="00485A67"/>
    <w:rsid w:val="00485C28"/>
    <w:rsid w:val="00485F0C"/>
    <w:rsid w:val="004861C6"/>
    <w:rsid w:val="00486479"/>
    <w:rsid w:val="00486F95"/>
    <w:rsid w:val="004875E0"/>
    <w:rsid w:val="00487AED"/>
    <w:rsid w:val="00487F82"/>
    <w:rsid w:val="00487FAF"/>
    <w:rsid w:val="004903E6"/>
    <w:rsid w:val="00490D8D"/>
    <w:rsid w:val="0049100D"/>
    <w:rsid w:val="00491134"/>
    <w:rsid w:val="0049142F"/>
    <w:rsid w:val="00491525"/>
    <w:rsid w:val="00491914"/>
    <w:rsid w:val="00491936"/>
    <w:rsid w:val="004919D6"/>
    <w:rsid w:val="00491BD1"/>
    <w:rsid w:val="00491FB0"/>
    <w:rsid w:val="004920C4"/>
    <w:rsid w:val="00492465"/>
    <w:rsid w:val="00492586"/>
    <w:rsid w:val="00492EE4"/>
    <w:rsid w:val="00493450"/>
    <w:rsid w:val="0049356F"/>
    <w:rsid w:val="0049362E"/>
    <w:rsid w:val="00493AF0"/>
    <w:rsid w:val="00493B2F"/>
    <w:rsid w:val="004942E9"/>
    <w:rsid w:val="004948C2"/>
    <w:rsid w:val="00494A49"/>
    <w:rsid w:val="0049563D"/>
    <w:rsid w:val="004963EF"/>
    <w:rsid w:val="00496685"/>
    <w:rsid w:val="004966A1"/>
    <w:rsid w:val="00496759"/>
    <w:rsid w:val="00496863"/>
    <w:rsid w:val="00497383"/>
    <w:rsid w:val="004974C2"/>
    <w:rsid w:val="0049777E"/>
    <w:rsid w:val="004977E5"/>
    <w:rsid w:val="0049781D"/>
    <w:rsid w:val="00497A4A"/>
    <w:rsid w:val="00497BD8"/>
    <w:rsid w:val="004A02DD"/>
    <w:rsid w:val="004A076F"/>
    <w:rsid w:val="004A078A"/>
    <w:rsid w:val="004A07E9"/>
    <w:rsid w:val="004A0878"/>
    <w:rsid w:val="004A0A3C"/>
    <w:rsid w:val="004A0E75"/>
    <w:rsid w:val="004A0EC9"/>
    <w:rsid w:val="004A19B0"/>
    <w:rsid w:val="004A1A2B"/>
    <w:rsid w:val="004A1C03"/>
    <w:rsid w:val="004A1F5A"/>
    <w:rsid w:val="004A2019"/>
    <w:rsid w:val="004A22D9"/>
    <w:rsid w:val="004A28E1"/>
    <w:rsid w:val="004A2A0F"/>
    <w:rsid w:val="004A2B8A"/>
    <w:rsid w:val="004A2C3D"/>
    <w:rsid w:val="004A2E5C"/>
    <w:rsid w:val="004A2FD6"/>
    <w:rsid w:val="004A342C"/>
    <w:rsid w:val="004A3AB8"/>
    <w:rsid w:val="004A3CBA"/>
    <w:rsid w:val="004A3D99"/>
    <w:rsid w:val="004A3DF8"/>
    <w:rsid w:val="004A422E"/>
    <w:rsid w:val="004A45C4"/>
    <w:rsid w:val="004A4A06"/>
    <w:rsid w:val="004A4D59"/>
    <w:rsid w:val="004A4E52"/>
    <w:rsid w:val="004A4E7F"/>
    <w:rsid w:val="004A5769"/>
    <w:rsid w:val="004A5820"/>
    <w:rsid w:val="004A58A4"/>
    <w:rsid w:val="004A5AAE"/>
    <w:rsid w:val="004A6434"/>
    <w:rsid w:val="004A64E3"/>
    <w:rsid w:val="004A68F0"/>
    <w:rsid w:val="004A6946"/>
    <w:rsid w:val="004A6C46"/>
    <w:rsid w:val="004A72FB"/>
    <w:rsid w:val="004A7443"/>
    <w:rsid w:val="004A7897"/>
    <w:rsid w:val="004A7B64"/>
    <w:rsid w:val="004A7F52"/>
    <w:rsid w:val="004A7FE3"/>
    <w:rsid w:val="004B0A17"/>
    <w:rsid w:val="004B0E6E"/>
    <w:rsid w:val="004B0F8A"/>
    <w:rsid w:val="004B1455"/>
    <w:rsid w:val="004B176D"/>
    <w:rsid w:val="004B1790"/>
    <w:rsid w:val="004B1911"/>
    <w:rsid w:val="004B1967"/>
    <w:rsid w:val="004B2081"/>
    <w:rsid w:val="004B21E2"/>
    <w:rsid w:val="004B227A"/>
    <w:rsid w:val="004B242C"/>
    <w:rsid w:val="004B2EA2"/>
    <w:rsid w:val="004B3059"/>
    <w:rsid w:val="004B3420"/>
    <w:rsid w:val="004B361A"/>
    <w:rsid w:val="004B362B"/>
    <w:rsid w:val="004B3EF7"/>
    <w:rsid w:val="004B523D"/>
    <w:rsid w:val="004B52DC"/>
    <w:rsid w:val="004B561D"/>
    <w:rsid w:val="004B5903"/>
    <w:rsid w:val="004B5922"/>
    <w:rsid w:val="004B5A0A"/>
    <w:rsid w:val="004B5A3A"/>
    <w:rsid w:val="004B5AF3"/>
    <w:rsid w:val="004B601C"/>
    <w:rsid w:val="004B62DE"/>
    <w:rsid w:val="004B66E4"/>
    <w:rsid w:val="004B69EA"/>
    <w:rsid w:val="004B6AD6"/>
    <w:rsid w:val="004B6C31"/>
    <w:rsid w:val="004B700A"/>
    <w:rsid w:val="004B7159"/>
    <w:rsid w:val="004B71A9"/>
    <w:rsid w:val="004B72E6"/>
    <w:rsid w:val="004B7334"/>
    <w:rsid w:val="004B77A9"/>
    <w:rsid w:val="004B77C8"/>
    <w:rsid w:val="004B78E2"/>
    <w:rsid w:val="004B7B72"/>
    <w:rsid w:val="004B7CD6"/>
    <w:rsid w:val="004C00D2"/>
    <w:rsid w:val="004C04AE"/>
    <w:rsid w:val="004C04F9"/>
    <w:rsid w:val="004C075B"/>
    <w:rsid w:val="004C0C2D"/>
    <w:rsid w:val="004C0CF5"/>
    <w:rsid w:val="004C0D07"/>
    <w:rsid w:val="004C1113"/>
    <w:rsid w:val="004C1182"/>
    <w:rsid w:val="004C130F"/>
    <w:rsid w:val="004C1663"/>
    <w:rsid w:val="004C1898"/>
    <w:rsid w:val="004C19A6"/>
    <w:rsid w:val="004C1B85"/>
    <w:rsid w:val="004C1EB0"/>
    <w:rsid w:val="004C2186"/>
    <w:rsid w:val="004C225A"/>
    <w:rsid w:val="004C2A4B"/>
    <w:rsid w:val="004C302F"/>
    <w:rsid w:val="004C31A3"/>
    <w:rsid w:val="004C322D"/>
    <w:rsid w:val="004C32B3"/>
    <w:rsid w:val="004C3375"/>
    <w:rsid w:val="004C3402"/>
    <w:rsid w:val="004C3BD3"/>
    <w:rsid w:val="004C3E5D"/>
    <w:rsid w:val="004C3F69"/>
    <w:rsid w:val="004C45E5"/>
    <w:rsid w:val="004C4692"/>
    <w:rsid w:val="004C46E9"/>
    <w:rsid w:val="004C4FE7"/>
    <w:rsid w:val="004C5169"/>
    <w:rsid w:val="004C52CE"/>
    <w:rsid w:val="004C563E"/>
    <w:rsid w:val="004C5B35"/>
    <w:rsid w:val="004C5D34"/>
    <w:rsid w:val="004C5E23"/>
    <w:rsid w:val="004C61C5"/>
    <w:rsid w:val="004C6511"/>
    <w:rsid w:val="004C6B70"/>
    <w:rsid w:val="004C6BE7"/>
    <w:rsid w:val="004C6FCD"/>
    <w:rsid w:val="004C708A"/>
    <w:rsid w:val="004C7188"/>
    <w:rsid w:val="004C75B6"/>
    <w:rsid w:val="004C7795"/>
    <w:rsid w:val="004D0694"/>
    <w:rsid w:val="004D12BC"/>
    <w:rsid w:val="004D13FF"/>
    <w:rsid w:val="004D1415"/>
    <w:rsid w:val="004D198F"/>
    <w:rsid w:val="004D1996"/>
    <w:rsid w:val="004D1C12"/>
    <w:rsid w:val="004D1CD6"/>
    <w:rsid w:val="004D1F2C"/>
    <w:rsid w:val="004D23DB"/>
    <w:rsid w:val="004D23E5"/>
    <w:rsid w:val="004D28B8"/>
    <w:rsid w:val="004D3350"/>
    <w:rsid w:val="004D33C8"/>
    <w:rsid w:val="004D3A63"/>
    <w:rsid w:val="004D3B29"/>
    <w:rsid w:val="004D3C8B"/>
    <w:rsid w:val="004D4288"/>
    <w:rsid w:val="004D4A8A"/>
    <w:rsid w:val="004D522C"/>
    <w:rsid w:val="004D547E"/>
    <w:rsid w:val="004D5A59"/>
    <w:rsid w:val="004D5D36"/>
    <w:rsid w:val="004D5D72"/>
    <w:rsid w:val="004D6374"/>
    <w:rsid w:val="004D66B6"/>
    <w:rsid w:val="004D670E"/>
    <w:rsid w:val="004D6880"/>
    <w:rsid w:val="004D7397"/>
    <w:rsid w:val="004D7538"/>
    <w:rsid w:val="004D7ECB"/>
    <w:rsid w:val="004E0016"/>
    <w:rsid w:val="004E00B7"/>
    <w:rsid w:val="004E0534"/>
    <w:rsid w:val="004E092C"/>
    <w:rsid w:val="004E0D7D"/>
    <w:rsid w:val="004E10B0"/>
    <w:rsid w:val="004E1642"/>
    <w:rsid w:val="004E1DE5"/>
    <w:rsid w:val="004E2231"/>
    <w:rsid w:val="004E23B8"/>
    <w:rsid w:val="004E2968"/>
    <w:rsid w:val="004E29C9"/>
    <w:rsid w:val="004E2D9A"/>
    <w:rsid w:val="004E2FB3"/>
    <w:rsid w:val="004E33B7"/>
    <w:rsid w:val="004E34E7"/>
    <w:rsid w:val="004E3903"/>
    <w:rsid w:val="004E3998"/>
    <w:rsid w:val="004E3C80"/>
    <w:rsid w:val="004E3F42"/>
    <w:rsid w:val="004E44EA"/>
    <w:rsid w:val="004E47D7"/>
    <w:rsid w:val="004E4827"/>
    <w:rsid w:val="004E4AE6"/>
    <w:rsid w:val="004E4B73"/>
    <w:rsid w:val="004E4B9E"/>
    <w:rsid w:val="004E4DEF"/>
    <w:rsid w:val="004E4E5D"/>
    <w:rsid w:val="004E5456"/>
    <w:rsid w:val="004E5547"/>
    <w:rsid w:val="004E5558"/>
    <w:rsid w:val="004E598D"/>
    <w:rsid w:val="004E599E"/>
    <w:rsid w:val="004E63B6"/>
    <w:rsid w:val="004E6604"/>
    <w:rsid w:val="004F0027"/>
    <w:rsid w:val="004F0080"/>
    <w:rsid w:val="004F02B3"/>
    <w:rsid w:val="004F0309"/>
    <w:rsid w:val="004F0403"/>
    <w:rsid w:val="004F04EA"/>
    <w:rsid w:val="004F0744"/>
    <w:rsid w:val="004F07CB"/>
    <w:rsid w:val="004F0D1A"/>
    <w:rsid w:val="004F0D28"/>
    <w:rsid w:val="004F0EFD"/>
    <w:rsid w:val="004F100B"/>
    <w:rsid w:val="004F11E1"/>
    <w:rsid w:val="004F1243"/>
    <w:rsid w:val="004F12B2"/>
    <w:rsid w:val="004F147E"/>
    <w:rsid w:val="004F16BE"/>
    <w:rsid w:val="004F1BA5"/>
    <w:rsid w:val="004F1C39"/>
    <w:rsid w:val="004F1D86"/>
    <w:rsid w:val="004F1DD4"/>
    <w:rsid w:val="004F2331"/>
    <w:rsid w:val="004F2760"/>
    <w:rsid w:val="004F2AAE"/>
    <w:rsid w:val="004F2CC7"/>
    <w:rsid w:val="004F3083"/>
    <w:rsid w:val="004F3173"/>
    <w:rsid w:val="004F3194"/>
    <w:rsid w:val="004F3375"/>
    <w:rsid w:val="004F37BF"/>
    <w:rsid w:val="004F380D"/>
    <w:rsid w:val="004F4614"/>
    <w:rsid w:val="004F47FF"/>
    <w:rsid w:val="004F4A99"/>
    <w:rsid w:val="004F4CA8"/>
    <w:rsid w:val="004F51CD"/>
    <w:rsid w:val="004F51DF"/>
    <w:rsid w:val="004F53C7"/>
    <w:rsid w:val="004F5DBC"/>
    <w:rsid w:val="004F6594"/>
    <w:rsid w:val="004F685D"/>
    <w:rsid w:val="004F6A93"/>
    <w:rsid w:val="004F6DC6"/>
    <w:rsid w:val="004F6FA1"/>
    <w:rsid w:val="004F71F2"/>
    <w:rsid w:val="004F736F"/>
    <w:rsid w:val="004F79F2"/>
    <w:rsid w:val="004F7AB0"/>
    <w:rsid w:val="004F7B0C"/>
    <w:rsid w:val="00500221"/>
    <w:rsid w:val="005002AF"/>
    <w:rsid w:val="00500AA6"/>
    <w:rsid w:val="00501576"/>
    <w:rsid w:val="00501AED"/>
    <w:rsid w:val="005024FB"/>
    <w:rsid w:val="00502E75"/>
    <w:rsid w:val="00502E7C"/>
    <w:rsid w:val="00503216"/>
    <w:rsid w:val="005032C7"/>
    <w:rsid w:val="0050339D"/>
    <w:rsid w:val="0050343B"/>
    <w:rsid w:val="00503493"/>
    <w:rsid w:val="005043FC"/>
    <w:rsid w:val="0050445E"/>
    <w:rsid w:val="00504880"/>
    <w:rsid w:val="00504996"/>
    <w:rsid w:val="00504D6C"/>
    <w:rsid w:val="00504E25"/>
    <w:rsid w:val="00504ECF"/>
    <w:rsid w:val="00505184"/>
    <w:rsid w:val="00505303"/>
    <w:rsid w:val="00505A8C"/>
    <w:rsid w:val="00505C9F"/>
    <w:rsid w:val="00505F85"/>
    <w:rsid w:val="005060FF"/>
    <w:rsid w:val="00506183"/>
    <w:rsid w:val="005062A4"/>
    <w:rsid w:val="00506594"/>
    <w:rsid w:val="00506699"/>
    <w:rsid w:val="00506CE1"/>
    <w:rsid w:val="00506D2D"/>
    <w:rsid w:val="00506E09"/>
    <w:rsid w:val="0050700F"/>
    <w:rsid w:val="0050705D"/>
    <w:rsid w:val="0050719B"/>
    <w:rsid w:val="005073DA"/>
    <w:rsid w:val="00507617"/>
    <w:rsid w:val="00507E83"/>
    <w:rsid w:val="0051009F"/>
    <w:rsid w:val="00510111"/>
    <w:rsid w:val="00510175"/>
    <w:rsid w:val="0051034B"/>
    <w:rsid w:val="00511550"/>
    <w:rsid w:val="005116B3"/>
    <w:rsid w:val="005117CC"/>
    <w:rsid w:val="00511A37"/>
    <w:rsid w:val="00511AAD"/>
    <w:rsid w:val="00511C3D"/>
    <w:rsid w:val="00512273"/>
    <w:rsid w:val="00512331"/>
    <w:rsid w:val="00512781"/>
    <w:rsid w:val="005128FF"/>
    <w:rsid w:val="00512EFF"/>
    <w:rsid w:val="005130AD"/>
    <w:rsid w:val="005136EC"/>
    <w:rsid w:val="00513717"/>
    <w:rsid w:val="005139AD"/>
    <w:rsid w:val="00513BD3"/>
    <w:rsid w:val="00513C22"/>
    <w:rsid w:val="00513F53"/>
    <w:rsid w:val="00513FA5"/>
    <w:rsid w:val="005140E2"/>
    <w:rsid w:val="0051442C"/>
    <w:rsid w:val="00514485"/>
    <w:rsid w:val="0051467E"/>
    <w:rsid w:val="00514988"/>
    <w:rsid w:val="00514BE8"/>
    <w:rsid w:val="00514E4F"/>
    <w:rsid w:val="00514E89"/>
    <w:rsid w:val="00514EC3"/>
    <w:rsid w:val="00514FF3"/>
    <w:rsid w:val="0051506D"/>
    <w:rsid w:val="005154C9"/>
    <w:rsid w:val="0051553A"/>
    <w:rsid w:val="00515971"/>
    <w:rsid w:val="00515BEF"/>
    <w:rsid w:val="00515DF5"/>
    <w:rsid w:val="00515ED2"/>
    <w:rsid w:val="0051608C"/>
    <w:rsid w:val="005162BB"/>
    <w:rsid w:val="0051661B"/>
    <w:rsid w:val="0051691E"/>
    <w:rsid w:val="00516E73"/>
    <w:rsid w:val="00516E9A"/>
    <w:rsid w:val="00517022"/>
    <w:rsid w:val="00517102"/>
    <w:rsid w:val="005174E3"/>
    <w:rsid w:val="005177A0"/>
    <w:rsid w:val="00517CF1"/>
    <w:rsid w:val="005200A4"/>
    <w:rsid w:val="005205B7"/>
    <w:rsid w:val="0052084A"/>
    <w:rsid w:val="005211C2"/>
    <w:rsid w:val="00521267"/>
    <w:rsid w:val="0052168F"/>
    <w:rsid w:val="0052188B"/>
    <w:rsid w:val="00521949"/>
    <w:rsid w:val="00521B0A"/>
    <w:rsid w:val="00521D4F"/>
    <w:rsid w:val="00522148"/>
    <w:rsid w:val="0052218F"/>
    <w:rsid w:val="0052267E"/>
    <w:rsid w:val="00522965"/>
    <w:rsid w:val="005229FF"/>
    <w:rsid w:val="00522ACA"/>
    <w:rsid w:val="005230CC"/>
    <w:rsid w:val="00523586"/>
    <w:rsid w:val="00523652"/>
    <w:rsid w:val="00523691"/>
    <w:rsid w:val="00524006"/>
    <w:rsid w:val="0052409C"/>
    <w:rsid w:val="005242E6"/>
    <w:rsid w:val="00524682"/>
    <w:rsid w:val="005246AE"/>
    <w:rsid w:val="005249D4"/>
    <w:rsid w:val="00524A37"/>
    <w:rsid w:val="00524BC8"/>
    <w:rsid w:val="0052533F"/>
    <w:rsid w:val="0052580C"/>
    <w:rsid w:val="00525A01"/>
    <w:rsid w:val="00525D25"/>
    <w:rsid w:val="00525DAC"/>
    <w:rsid w:val="00526485"/>
    <w:rsid w:val="00526846"/>
    <w:rsid w:val="005269E1"/>
    <w:rsid w:val="00526B12"/>
    <w:rsid w:val="00526B56"/>
    <w:rsid w:val="00526F76"/>
    <w:rsid w:val="00527B65"/>
    <w:rsid w:val="00527EAF"/>
    <w:rsid w:val="00530007"/>
    <w:rsid w:val="0053047F"/>
    <w:rsid w:val="0053090F"/>
    <w:rsid w:val="00530C22"/>
    <w:rsid w:val="00530C7D"/>
    <w:rsid w:val="00531276"/>
    <w:rsid w:val="005315BF"/>
    <w:rsid w:val="005318FE"/>
    <w:rsid w:val="00531CE8"/>
    <w:rsid w:val="0053262D"/>
    <w:rsid w:val="005328E4"/>
    <w:rsid w:val="00533051"/>
    <w:rsid w:val="0053389D"/>
    <w:rsid w:val="00533993"/>
    <w:rsid w:val="00533A76"/>
    <w:rsid w:val="00533CFE"/>
    <w:rsid w:val="005343F2"/>
    <w:rsid w:val="00534520"/>
    <w:rsid w:val="0053456A"/>
    <w:rsid w:val="005347F0"/>
    <w:rsid w:val="00534A69"/>
    <w:rsid w:val="00534DCA"/>
    <w:rsid w:val="00534DE4"/>
    <w:rsid w:val="005351D7"/>
    <w:rsid w:val="00535215"/>
    <w:rsid w:val="00535514"/>
    <w:rsid w:val="00535999"/>
    <w:rsid w:val="005359AF"/>
    <w:rsid w:val="00535BED"/>
    <w:rsid w:val="00535EA8"/>
    <w:rsid w:val="00536310"/>
    <w:rsid w:val="005365ED"/>
    <w:rsid w:val="0053688A"/>
    <w:rsid w:val="0053695D"/>
    <w:rsid w:val="005377E6"/>
    <w:rsid w:val="00537BDD"/>
    <w:rsid w:val="005401EF"/>
    <w:rsid w:val="0054031B"/>
    <w:rsid w:val="005403C0"/>
    <w:rsid w:val="00540457"/>
    <w:rsid w:val="00540503"/>
    <w:rsid w:val="00540801"/>
    <w:rsid w:val="0054090B"/>
    <w:rsid w:val="00540B3B"/>
    <w:rsid w:val="00540F81"/>
    <w:rsid w:val="00541307"/>
    <w:rsid w:val="00541ADA"/>
    <w:rsid w:val="0054268B"/>
    <w:rsid w:val="00542845"/>
    <w:rsid w:val="00542A5D"/>
    <w:rsid w:val="0054316C"/>
    <w:rsid w:val="005431A6"/>
    <w:rsid w:val="0054370C"/>
    <w:rsid w:val="00543775"/>
    <w:rsid w:val="00543880"/>
    <w:rsid w:val="00543932"/>
    <w:rsid w:val="0054396D"/>
    <w:rsid w:val="00543C95"/>
    <w:rsid w:val="00543F5F"/>
    <w:rsid w:val="005440B7"/>
    <w:rsid w:val="00544403"/>
    <w:rsid w:val="00544A9E"/>
    <w:rsid w:val="00544C4A"/>
    <w:rsid w:val="0054568B"/>
    <w:rsid w:val="00545806"/>
    <w:rsid w:val="0054585F"/>
    <w:rsid w:val="00545970"/>
    <w:rsid w:val="00545A32"/>
    <w:rsid w:val="00545A7D"/>
    <w:rsid w:val="00545B48"/>
    <w:rsid w:val="00545C2A"/>
    <w:rsid w:val="0054641C"/>
    <w:rsid w:val="005466D4"/>
    <w:rsid w:val="00546B76"/>
    <w:rsid w:val="00546D72"/>
    <w:rsid w:val="0054737E"/>
    <w:rsid w:val="0054777E"/>
    <w:rsid w:val="005477CE"/>
    <w:rsid w:val="005479E9"/>
    <w:rsid w:val="00547C22"/>
    <w:rsid w:val="00547EE5"/>
    <w:rsid w:val="00547F5B"/>
    <w:rsid w:val="00550222"/>
    <w:rsid w:val="00550520"/>
    <w:rsid w:val="00550637"/>
    <w:rsid w:val="005510B4"/>
    <w:rsid w:val="005513CA"/>
    <w:rsid w:val="0055151F"/>
    <w:rsid w:val="0055204E"/>
    <w:rsid w:val="00552154"/>
    <w:rsid w:val="0055234C"/>
    <w:rsid w:val="0055242D"/>
    <w:rsid w:val="00553369"/>
    <w:rsid w:val="005533A6"/>
    <w:rsid w:val="005533F7"/>
    <w:rsid w:val="005538DE"/>
    <w:rsid w:val="00554515"/>
    <w:rsid w:val="00554BC4"/>
    <w:rsid w:val="00554D13"/>
    <w:rsid w:val="00554E23"/>
    <w:rsid w:val="005551F0"/>
    <w:rsid w:val="005551F3"/>
    <w:rsid w:val="0055551B"/>
    <w:rsid w:val="00555B6C"/>
    <w:rsid w:val="00555BD8"/>
    <w:rsid w:val="00555E5A"/>
    <w:rsid w:val="00555FFD"/>
    <w:rsid w:val="005564B5"/>
    <w:rsid w:val="005568A8"/>
    <w:rsid w:val="00556927"/>
    <w:rsid w:val="00556CE0"/>
    <w:rsid w:val="00556E87"/>
    <w:rsid w:val="00557136"/>
    <w:rsid w:val="005572D2"/>
    <w:rsid w:val="0055730F"/>
    <w:rsid w:val="00557535"/>
    <w:rsid w:val="005577DD"/>
    <w:rsid w:val="00557BCE"/>
    <w:rsid w:val="00557DC9"/>
    <w:rsid w:val="00560236"/>
    <w:rsid w:val="00560406"/>
    <w:rsid w:val="0056065E"/>
    <w:rsid w:val="00560811"/>
    <w:rsid w:val="0056093D"/>
    <w:rsid w:val="0056108E"/>
    <w:rsid w:val="00561EAF"/>
    <w:rsid w:val="00562097"/>
    <w:rsid w:val="0056230F"/>
    <w:rsid w:val="005623BE"/>
    <w:rsid w:val="00562A78"/>
    <w:rsid w:val="00562C99"/>
    <w:rsid w:val="00563064"/>
    <w:rsid w:val="005634FC"/>
    <w:rsid w:val="0056383A"/>
    <w:rsid w:val="00563A86"/>
    <w:rsid w:val="00563CFD"/>
    <w:rsid w:val="005641B8"/>
    <w:rsid w:val="00564255"/>
    <w:rsid w:val="005642C4"/>
    <w:rsid w:val="00564AE3"/>
    <w:rsid w:val="00564C7D"/>
    <w:rsid w:val="00565582"/>
    <w:rsid w:val="00565662"/>
    <w:rsid w:val="0056569C"/>
    <w:rsid w:val="00565DB9"/>
    <w:rsid w:val="00566135"/>
    <w:rsid w:val="0056692F"/>
    <w:rsid w:val="00566E03"/>
    <w:rsid w:val="00566FEF"/>
    <w:rsid w:val="00567161"/>
    <w:rsid w:val="005672ED"/>
    <w:rsid w:val="00567989"/>
    <w:rsid w:val="00567AC7"/>
    <w:rsid w:val="00567B75"/>
    <w:rsid w:val="00567CBC"/>
    <w:rsid w:val="00567CEA"/>
    <w:rsid w:val="00567E1E"/>
    <w:rsid w:val="0057055D"/>
    <w:rsid w:val="0057058B"/>
    <w:rsid w:val="005705A4"/>
    <w:rsid w:val="005705EE"/>
    <w:rsid w:val="00570801"/>
    <w:rsid w:val="00570E6B"/>
    <w:rsid w:val="0057105B"/>
    <w:rsid w:val="005718B2"/>
    <w:rsid w:val="00571B3E"/>
    <w:rsid w:val="00571F34"/>
    <w:rsid w:val="005725E8"/>
    <w:rsid w:val="00572632"/>
    <w:rsid w:val="005729E1"/>
    <w:rsid w:val="00572A63"/>
    <w:rsid w:val="00572BD7"/>
    <w:rsid w:val="00572D69"/>
    <w:rsid w:val="0057318D"/>
    <w:rsid w:val="00573198"/>
    <w:rsid w:val="005734F0"/>
    <w:rsid w:val="00573699"/>
    <w:rsid w:val="0057397E"/>
    <w:rsid w:val="00574074"/>
    <w:rsid w:val="00574098"/>
    <w:rsid w:val="005740FB"/>
    <w:rsid w:val="00574376"/>
    <w:rsid w:val="00574696"/>
    <w:rsid w:val="005749FE"/>
    <w:rsid w:val="00574EF5"/>
    <w:rsid w:val="00575621"/>
    <w:rsid w:val="0057596F"/>
    <w:rsid w:val="00575DB3"/>
    <w:rsid w:val="00575DD9"/>
    <w:rsid w:val="00575F93"/>
    <w:rsid w:val="00576098"/>
    <w:rsid w:val="005764D4"/>
    <w:rsid w:val="005765C8"/>
    <w:rsid w:val="005766E7"/>
    <w:rsid w:val="005769DB"/>
    <w:rsid w:val="00576A85"/>
    <w:rsid w:val="00576B3B"/>
    <w:rsid w:val="00576DD9"/>
    <w:rsid w:val="005770B6"/>
    <w:rsid w:val="005776BB"/>
    <w:rsid w:val="005777BB"/>
    <w:rsid w:val="00577810"/>
    <w:rsid w:val="00577901"/>
    <w:rsid w:val="00577ADE"/>
    <w:rsid w:val="00577D67"/>
    <w:rsid w:val="00577F2D"/>
    <w:rsid w:val="00577F66"/>
    <w:rsid w:val="0058069D"/>
    <w:rsid w:val="00580ACC"/>
    <w:rsid w:val="00580D6D"/>
    <w:rsid w:val="00580DFB"/>
    <w:rsid w:val="00580F21"/>
    <w:rsid w:val="00580F59"/>
    <w:rsid w:val="005812AD"/>
    <w:rsid w:val="00581A7D"/>
    <w:rsid w:val="00581DA3"/>
    <w:rsid w:val="00582A8A"/>
    <w:rsid w:val="00582AD8"/>
    <w:rsid w:val="005845E3"/>
    <w:rsid w:val="00584DAD"/>
    <w:rsid w:val="00584E1F"/>
    <w:rsid w:val="005851B5"/>
    <w:rsid w:val="005855FD"/>
    <w:rsid w:val="00585BD3"/>
    <w:rsid w:val="00585F39"/>
    <w:rsid w:val="00586162"/>
    <w:rsid w:val="00586503"/>
    <w:rsid w:val="00586E12"/>
    <w:rsid w:val="0058722F"/>
    <w:rsid w:val="005879B0"/>
    <w:rsid w:val="00587C7C"/>
    <w:rsid w:val="00587CB1"/>
    <w:rsid w:val="00587CCF"/>
    <w:rsid w:val="005901FC"/>
    <w:rsid w:val="00591198"/>
    <w:rsid w:val="005912FF"/>
    <w:rsid w:val="005915A6"/>
    <w:rsid w:val="00591A77"/>
    <w:rsid w:val="00591E65"/>
    <w:rsid w:val="00592446"/>
    <w:rsid w:val="0059258C"/>
    <w:rsid w:val="00592887"/>
    <w:rsid w:val="00592CF7"/>
    <w:rsid w:val="00592FB2"/>
    <w:rsid w:val="00592FB8"/>
    <w:rsid w:val="00593437"/>
    <w:rsid w:val="00593602"/>
    <w:rsid w:val="005936E3"/>
    <w:rsid w:val="00593BA4"/>
    <w:rsid w:val="005942C0"/>
    <w:rsid w:val="00594359"/>
    <w:rsid w:val="0059444B"/>
    <w:rsid w:val="00594612"/>
    <w:rsid w:val="005946E7"/>
    <w:rsid w:val="0059474E"/>
    <w:rsid w:val="0059481A"/>
    <w:rsid w:val="0059493F"/>
    <w:rsid w:val="0059494B"/>
    <w:rsid w:val="00594C21"/>
    <w:rsid w:val="00595092"/>
    <w:rsid w:val="0059532C"/>
    <w:rsid w:val="005953E2"/>
    <w:rsid w:val="0059580C"/>
    <w:rsid w:val="005959C4"/>
    <w:rsid w:val="00595C40"/>
    <w:rsid w:val="00595CA3"/>
    <w:rsid w:val="00595FB9"/>
    <w:rsid w:val="00596529"/>
    <w:rsid w:val="00596768"/>
    <w:rsid w:val="00596C02"/>
    <w:rsid w:val="00596C73"/>
    <w:rsid w:val="00596C88"/>
    <w:rsid w:val="00596D65"/>
    <w:rsid w:val="0059713F"/>
    <w:rsid w:val="00597328"/>
    <w:rsid w:val="005974F4"/>
    <w:rsid w:val="00597564"/>
    <w:rsid w:val="00597742"/>
    <w:rsid w:val="00597B47"/>
    <w:rsid w:val="00597D08"/>
    <w:rsid w:val="005A005C"/>
    <w:rsid w:val="005A017D"/>
    <w:rsid w:val="005A01B6"/>
    <w:rsid w:val="005A0304"/>
    <w:rsid w:val="005A084F"/>
    <w:rsid w:val="005A11B5"/>
    <w:rsid w:val="005A128D"/>
    <w:rsid w:val="005A12EF"/>
    <w:rsid w:val="005A19D7"/>
    <w:rsid w:val="005A1ACC"/>
    <w:rsid w:val="005A1E67"/>
    <w:rsid w:val="005A1FAE"/>
    <w:rsid w:val="005A25AE"/>
    <w:rsid w:val="005A269A"/>
    <w:rsid w:val="005A2978"/>
    <w:rsid w:val="005A2ADD"/>
    <w:rsid w:val="005A2BDB"/>
    <w:rsid w:val="005A2FC1"/>
    <w:rsid w:val="005A2FC8"/>
    <w:rsid w:val="005A3223"/>
    <w:rsid w:val="005A3343"/>
    <w:rsid w:val="005A3796"/>
    <w:rsid w:val="005A3822"/>
    <w:rsid w:val="005A3AFC"/>
    <w:rsid w:val="005A3E3D"/>
    <w:rsid w:val="005A4429"/>
    <w:rsid w:val="005A4B2D"/>
    <w:rsid w:val="005A5139"/>
    <w:rsid w:val="005A5457"/>
    <w:rsid w:val="005A5560"/>
    <w:rsid w:val="005A55BF"/>
    <w:rsid w:val="005A580A"/>
    <w:rsid w:val="005A5D97"/>
    <w:rsid w:val="005A5F22"/>
    <w:rsid w:val="005A5F54"/>
    <w:rsid w:val="005A5FD2"/>
    <w:rsid w:val="005A630B"/>
    <w:rsid w:val="005A6E5B"/>
    <w:rsid w:val="005A786E"/>
    <w:rsid w:val="005A7C95"/>
    <w:rsid w:val="005B02CC"/>
    <w:rsid w:val="005B064B"/>
    <w:rsid w:val="005B06B1"/>
    <w:rsid w:val="005B0AC0"/>
    <w:rsid w:val="005B0D7E"/>
    <w:rsid w:val="005B0E5D"/>
    <w:rsid w:val="005B1321"/>
    <w:rsid w:val="005B1BC1"/>
    <w:rsid w:val="005B1D68"/>
    <w:rsid w:val="005B26B5"/>
    <w:rsid w:val="005B2798"/>
    <w:rsid w:val="005B280C"/>
    <w:rsid w:val="005B29D6"/>
    <w:rsid w:val="005B29F1"/>
    <w:rsid w:val="005B2EB7"/>
    <w:rsid w:val="005B3164"/>
    <w:rsid w:val="005B3790"/>
    <w:rsid w:val="005B380B"/>
    <w:rsid w:val="005B38A3"/>
    <w:rsid w:val="005B3DE4"/>
    <w:rsid w:val="005B3E82"/>
    <w:rsid w:val="005B4830"/>
    <w:rsid w:val="005B4C27"/>
    <w:rsid w:val="005B4EB9"/>
    <w:rsid w:val="005B52E9"/>
    <w:rsid w:val="005B5591"/>
    <w:rsid w:val="005B5A68"/>
    <w:rsid w:val="005B5A6B"/>
    <w:rsid w:val="005B5C6F"/>
    <w:rsid w:val="005B6410"/>
    <w:rsid w:val="005B641B"/>
    <w:rsid w:val="005B6678"/>
    <w:rsid w:val="005B6B5F"/>
    <w:rsid w:val="005B6CA5"/>
    <w:rsid w:val="005B7055"/>
    <w:rsid w:val="005B763E"/>
    <w:rsid w:val="005B7A37"/>
    <w:rsid w:val="005B7AA7"/>
    <w:rsid w:val="005B7C1C"/>
    <w:rsid w:val="005C0091"/>
    <w:rsid w:val="005C0109"/>
    <w:rsid w:val="005C033A"/>
    <w:rsid w:val="005C041D"/>
    <w:rsid w:val="005C05E5"/>
    <w:rsid w:val="005C0662"/>
    <w:rsid w:val="005C077C"/>
    <w:rsid w:val="005C1167"/>
    <w:rsid w:val="005C14A2"/>
    <w:rsid w:val="005C1854"/>
    <w:rsid w:val="005C1AF4"/>
    <w:rsid w:val="005C1E20"/>
    <w:rsid w:val="005C222C"/>
    <w:rsid w:val="005C3259"/>
    <w:rsid w:val="005C325E"/>
    <w:rsid w:val="005C33BE"/>
    <w:rsid w:val="005C3440"/>
    <w:rsid w:val="005C355B"/>
    <w:rsid w:val="005C39F6"/>
    <w:rsid w:val="005C3EC8"/>
    <w:rsid w:val="005C4552"/>
    <w:rsid w:val="005C4731"/>
    <w:rsid w:val="005C5205"/>
    <w:rsid w:val="005C54CF"/>
    <w:rsid w:val="005C54EB"/>
    <w:rsid w:val="005C582C"/>
    <w:rsid w:val="005C5855"/>
    <w:rsid w:val="005C5883"/>
    <w:rsid w:val="005C5892"/>
    <w:rsid w:val="005C5ACA"/>
    <w:rsid w:val="005C5B03"/>
    <w:rsid w:val="005C5B93"/>
    <w:rsid w:val="005C5CED"/>
    <w:rsid w:val="005C5FD1"/>
    <w:rsid w:val="005C71A6"/>
    <w:rsid w:val="005C75A9"/>
    <w:rsid w:val="005C78A9"/>
    <w:rsid w:val="005C79F1"/>
    <w:rsid w:val="005C7A04"/>
    <w:rsid w:val="005C7CD6"/>
    <w:rsid w:val="005C7FD8"/>
    <w:rsid w:val="005C7FED"/>
    <w:rsid w:val="005D097C"/>
    <w:rsid w:val="005D0B38"/>
    <w:rsid w:val="005D0BA0"/>
    <w:rsid w:val="005D0CA2"/>
    <w:rsid w:val="005D12EA"/>
    <w:rsid w:val="005D1300"/>
    <w:rsid w:val="005D1690"/>
    <w:rsid w:val="005D17AF"/>
    <w:rsid w:val="005D19F7"/>
    <w:rsid w:val="005D1D0E"/>
    <w:rsid w:val="005D1D3B"/>
    <w:rsid w:val="005D20A4"/>
    <w:rsid w:val="005D248B"/>
    <w:rsid w:val="005D24A5"/>
    <w:rsid w:val="005D2636"/>
    <w:rsid w:val="005D2F81"/>
    <w:rsid w:val="005D32B5"/>
    <w:rsid w:val="005D36C5"/>
    <w:rsid w:val="005D379C"/>
    <w:rsid w:val="005D3D5E"/>
    <w:rsid w:val="005D3E45"/>
    <w:rsid w:val="005D4067"/>
    <w:rsid w:val="005D4586"/>
    <w:rsid w:val="005D4764"/>
    <w:rsid w:val="005D4C9B"/>
    <w:rsid w:val="005D4D6A"/>
    <w:rsid w:val="005D50E1"/>
    <w:rsid w:val="005D54B3"/>
    <w:rsid w:val="005D58D5"/>
    <w:rsid w:val="005D59F7"/>
    <w:rsid w:val="005D5ACF"/>
    <w:rsid w:val="005D5C9E"/>
    <w:rsid w:val="005D63F6"/>
    <w:rsid w:val="005D663F"/>
    <w:rsid w:val="005D66C4"/>
    <w:rsid w:val="005D6791"/>
    <w:rsid w:val="005D67C8"/>
    <w:rsid w:val="005D6D3F"/>
    <w:rsid w:val="005D6F43"/>
    <w:rsid w:val="005D6FE9"/>
    <w:rsid w:val="005D70D5"/>
    <w:rsid w:val="005D71B5"/>
    <w:rsid w:val="005D7318"/>
    <w:rsid w:val="005D739A"/>
    <w:rsid w:val="005D79D6"/>
    <w:rsid w:val="005E0873"/>
    <w:rsid w:val="005E0B10"/>
    <w:rsid w:val="005E0B1A"/>
    <w:rsid w:val="005E0D3B"/>
    <w:rsid w:val="005E1350"/>
    <w:rsid w:val="005E1736"/>
    <w:rsid w:val="005E191B"/>
    <w:rsid w:val="005E192C"/>
    <w:rsid w:val="005E2491"/>
    <w:rsid w:val="005E2520"/>
    <w:rsid w:val="005E26E6"/>
    <w:rsid w:val="005E2D11"/>
    <w:rsid w:val="005E2E5B"/>
    <w:rsid w:val="005E2FBC"/>
    <w:rsid w:val="005E304A"/>
    <w:rsid w:val="005E3DFC"/>
    <w:rsid w:val="005E3F83"/>
    <w:rsid w:val="005E3FAE"/>
    <w:rsid w:val="005E4226"/>
    <w:rsid w:val="005E4569"/>
    <w:rsid w:val="005E463F"/>
    <w:rsid w:val="005E4915"/>
    <w:rsid w:val="005E4B4F"/>
    <w:rsid w:val="005E4D3A"/>
    <w:rsid w:val="005E52A0"/>
    <w:rsid w:val="005E53D6"/>
    <w:rsid w:val="005E54D8"/>
    <w:rsid w:val="005E566C"/>
    <w:rsid w:val="005E580B"/>
    <w:rsid w:val="005E5A21"/>
    <w:rsid w:val="005E5C7B"/>
    <w:rsid w:val="005E5E72"/>
    <w:rsid w:val="005E5EA4"/>
    <w:rsid w:val="005E713E"/>
    <w:rsid w:val="005E74CF"/>
    <w:rsid w:val="005E7638"/>
    <w:rsid w:val="005E78FF"/>
    <w:rsid w:val="005E7912"/>
    <w:rsid w:val="005E7B8E"/>
    <w:rsid w:val="005E7BB0"/>
    <w:rsid w:val="005E7CA0"/>
    <w:rsid w:val="005F00A0"/>
    <w:rsid w:val="005F03B7"/>
    <w:rsid w:val="005F054C"/>
    <w:rsid w:val="005F06D0"/>
    <w:rsid w:val="005F073D"/>
    <w:rsid w:val="005F0963"/>
    <w:rsid w:val="005F0A3B"/>
    <w:rsid w:val="005F0DDF"/>
    <w:rsid w:val="005F0FDC"/>
    <w:rsid w:val="005F17AF"/>
    <w:rsid w:val="005F1D68"/>
    <w:rsid w:val="005F216B"/>
    <w:rsid w:val="005F24B3"/>
    <w:rsid w:val="005F258D"/>
    <w:rsid w:val="005F2B06"/>
    <w:rsid w:val="005F2EA6"/>
    <w:rsid w:val="005F33A5"/>
    <w:rsid w:val="005F33DA"/>
    <w:rsid w:val="005F35F1"/>
    <w:rsid w:val="005F37BF"/>
    <w:rsid w:val="005F3AE6"/>
    <w:rsid w:val="005F3B76"/>
    <w:rsid w:val="005F3D4A"/>
    <w:rsid w:val="005F3DA1"/>
    <w:rsid w:val="005F4081"/>
    <w:rsid w:val="005F4205"/>
    <w:rsid w:val="005F4514"/>
    <w:rsid w:val="005F4588"/>
    <w:rsid w:val="005F4E99"/>
    <w:rsid w:val="005F4F8D"/>
    <w:rsid w:val="005F50D0"/>
    <w:rsid w:val="005F555F"/>
    <w:rsid w:val="005F556D"/>
    <w:rsid w:val="005F5733"/>
    <w:rsid w:val="005F6211"/>
    <w:rsid w:val="005F6333"/>
    <w:rsid w:val="005F6AE5"/>
    <w:rsid w:val="005F725D"/>
    <w:rsid w:val="005F75C6"/>
    <w:rsid w:val="005F76B6"/>
    <w:rsid w:val="005F7A53"/>
    <w:rsid w:val="005F7A82"/>
    <w:rsid w:val="005F7AE4"/>
    <w:rsid w:val="005F7EC7"/>
    <w:rsid w:val="006000A5"/>
    <w:rsid w:val="0060018A"/>
    <w:rsid w:val="00600731"/>
    <w:rsid w:val="00600820"/>
    <w:rsid w:val="00600B76"/>
    <w:rsid w:val="006014C0"/>
    <w:rsid w:val="006018A8"/>
    <w:rsid w:val="00601A45"/>
    <w:rsid w:val="00601C84"/>
    <w:rsid w:val="00602094"/>
    <w:rsid w:val="006022C6"/>
    <w:rsid w:val="006024BC"/>
    <w:rsid w:val="00602756"/>
    <w:rsid w:val="00602757"/>
    <w:rsid w:val="006029E3"/>
    <w:rsid w:val="00602AC8"/>
    <w:rsid w:val="00603911"/>
    <w:rsid w:val="00603988"/>
    <w:rsid w:val="00604034"/>
    <w:rsid w:val="00604216"/>
    <w:rsid w:val="00604482"/>
    <w:rsid w:val="006046B2"/>
    <w:rsid w:val="00604806"/>
    <w:rsid w:val="0060480A"/>
    <w:rsid w:val="00604E16"/>
    <w:rsid w:val="00605907"/>
    <w:rsid w:val="00605947"/>
    <w:rsid w:val="00605CA7"/>
    <w:rsid w:val="006061E1"/>
    <w:rsid w:val="006064E4"/>
    <w:rsid w:val="0060766D"/>
    <w:rsid w:val="00610103"/>
    <w:rsid w:val="006103C4"/>
    <w:rsid w:val="00610771"/>
    <w:rsid w:val="00610C3D"/>
    <w:rsid w:val="00610CAE"/>
    <w:rsid w:val="006115B7"/>
    <w:rsid w:val="006116C0"/>
    <w:rsid w:val="00611928"/>
    <w:rsid w:val="006122AC"/>
    <w:rsid w:val="00612391"/>
    <w:rsid w:val="00612A06"/>
    <w:rsid w:val="00613065"/>
    <w:rsid w:val="00613194"/>
    <w:rsid w:val="00613929"/>
    <w:rsid w:val="00613C66"/>
    <w:rsid w:val="0061412C"/>
    <w:rsid w:val="0061422B"/>
    <w:rsid w:val="0061433E"/>
    <w:rsid w:val="00614372"/>
    <w:rsid w:val="0061467F"/>
    <w:rsid w:val="006148A8"/>
    <w:rsid w:val="0061495B"/>
    <w:rsid w:val="00614AA4"/>
    <w:rsid w:val="00614BA1"/>
    <w:rsid w:val="00614E03"/>
    <w:rsid w:val="00614E4E"/>
    <w:rsid w:val="00615C1C"/>
    <w:rsid w:val="00615D95"/>
    <w:rsid w:val="00616527"/>
    <w:rsid w:val="00616782"/>
    <w:rsid w:val="006168E0"/>
    <w:rsid w:val="00616964"/>
    <w:rsid w:val="0061698E"/>
    <w:rsid w:val="00616EB8"/>
    <w:rsid w:val="00616F64"/>
    <w:rsid w:val="00616FC0"/>
    <w:rsid w:val="006171EF"/>
    <w:rsid w:val="00617209"/>
    <w:rsid w:val="006172DC"/>
    <w:rsid w:val="006174FB"/>
    <w:rsid w:val="00617612"/>
    <w:rsid w:val="00617722"/>
    <w:rsid w:val="0061799E"/>
    <w:rsid w:val="006205AD"/>
    <w:rsid w:val="00620A21"/>
    <w:rsid w:val="00621473"/>
    <w:rsid w:val="00621876"/>
    <w:rsid w:val="0062188F"/>
    <w:rsid w:val="006218D1"/>
    <w:rsid w:val="00621D8B"/>
    <w:rsid w:val="00622099"/>
    <w:rsid w:val="006224A9"/>
    <w:rsid w:val="006224D9"/>
    <w:rsid w:val="00622716"/>
    <w:rsid w:val="0062282D"/>
    <w:rsid w:val="006233D8"/>
    <w:rsid w:val="00623892"/>
    <w:rsid w:val="006238FA"/>
    <w:rsid w:val="00623AFD"/>
    <w:rsid w:val="00624373"/>
    <w:rsid w:val="00624489"/>
    <w:rsid w:val="00624979"/>
    <w:rsid w:val="006249D3"/>
    <w:rsid w:val="00624D4B"/>
    <w:rsid w:val="0062575B"/>
    <w:rsid w:val="00626167"/>
    <w:rsid w:val="006262F4"/>
    <w:rsid w:val="006267B6"/>
    <w:rsid w:val="00626BBC"/>
    <w:rsid w:val="00626ED2"/>
    <w:rsid w:val="006272BB"/>
    <w:rsid w:val="0062735C"/>
    <w:rsid w:val="006273F7"/>
    <w:rsid w:val="006274C3"/>
    <w:rsid w:val="006276E2"/>
    <w:rsid w:val="00627723"/>
    <w:rsid w:val="00627F85"/>
    <w:rsid w:val="006302EB"/>
    <w:rsid w:val="0063075B"/>
    <w:rsid w:val="00630A93"/>
    <w:rsid w:val="00630CEF"/>
    <w:rsid w:val="00630F4F"/>
    <w:rsid w:val="00631596"/>
    <w:rsid w:val="00631668"/>
    <w:rsid w:val="00631F02"/>
    <w:rsid w:val="006321D4"/>
    <w:rsid w:val="0063227D"/>
    <w:rsid w:val="006322E1"/>
    <w:rsid w:val="0063258E"/>
    <w:rsid w:val="00632682"/>
    <w:rsid w:val="006326E5"/>
    <w:rsid w:val="00632ADD"/>
    <w:rsid w:val="00632D2E"/>
    <w:rsid w:val="00633127"/>
    <w:rsid w:val="00633398"/>
    <w:rsid w:val="00633837"/>
    <w:rsid w:val="00633DA2"/>
    <w:rsid w:val="00634323"/>
    <w:rsid w:val="006349D9"/>
    <w:rsid w:val="00634B5A"/>
    <w:rsid w:val="00634BBB"/>
    <w:rsid w:val="00634BEC"/>
    <w:rsid w:val="00634D69"/>
    <w:rsid w:val="00635085"/>
    <w:rsid w:val="00635398"/>
    <w:rsid w:val="006354EE"/>
    <w:rsid w:val="0063565F"/>
    <w:rsid w:val="00635E08"/>
    <w:rsid w:val="00636038"/>
    <w:rsid w:val="00636163"/>
    <w:rsid w:val="00636A03"/>
    <w:rsid w:val="00636A29"/>
    <w:rsid w:val="00636C96"/>
    <w:rsid w:val="006370F8"/>
    <w:rsid w:val="00637B5B"/>
    <w:rsid w:val="006406EA"/>
    <w:rsid w:val="00640D29"/>
    <w:rsid w:val="00640F98"/>
    <w:rsid w:val="0064191D"/>
    <w:rsid w:val="00641E7C"/>
    <w:rsid w:val="006421C4"/>
    <w:rsid w:val="0064225B"/>
    <w:rsid w:val="00642A2F"/>
    <w:rsid w:val="00642C2B"/>
    <w:rsid w:val="00643916"/>
    <w:rsid w:val="00643D50"/>
    <w:rsid w:val="00643D6B"/>
    <w:rsid w:val="00643DB8"/>
    <w:rsid w:val="00644930"/>
    <w:rsid w:val="00644D17"/>
    <w:rsid w:val="00644D25"/>
    <w:rsid w:val="00644D9A"/>
    <w:rsid w:val="0064541B"/>
    <w:rsid w:val="00645718"/>
    <w:rsid w:val="00645BC3"/>
    <w:rsid w:val="00645C6E"/>
    <w:rsid w:val="00645F8E"/>
    <w:rsid w:val="0064689E"/>
    <w:rsid w:val="00646F7D"/>
    <w:rsid w:val="00646F94"/>
    <w:rsid w:val="00646FA1"/>
    <w:rsid w:val="00646FC3"/>
    <w:rsid w:val="00647B06"/>
    <w:rsid w:val="00647B6D"/>
    <w:rsid w:val="00647BD9"/>
    <w:rsid w:val="00647D0D"/>
    <w:rsid w:val="006507A1"/>
    <w:rsid w:val="00650A51"/>
    <w:rsid w:val="00650B05"/>
    <w:rsid w:val="00650C26"/>
    <w:rsid w:val="00650E42"/>
    <w:rsid w:val="00651244"/>
    <w:rsid w:val="00651775"/>
    <w:rsid w:val="00651B0E"/>
    <w:rsid w:val="00651B4F"/>
    <w:rsid w:val="00651B98"/>
    <w:rsid w:val="006520E7"/>
    <w:rsid w:val="006520EE"/>
    <w:rsid w:val="00653099"/>
    <w:rsid w:val="0065359E"/>
    <w:rsid w:val="00653701"/>
    <w:rsid w:val="00653D8C"/>
    <w:rsid w:val="00653F65"/>
    <w:rsid w:val="00653F89"/>
    <w:rsid w:val="00654046"/>
    <w:rsid w:val="0065423C"/>
    <w:rsid w:val="0065426B"/>
    <w:rsid w:val="006542A9"/>
    <w:rsid w:val="00654965"/>
    <w:rsid w:val="00654A1F"/>
    <w:rsid w:val="00655324"/>
    <w:rsid w:val="00655654"/>
    <w:rsid w:val="0065639B"/>
    <w:rsid w:val="0065669C"/>
    <w:rsid w:val="00656849"/>
    <w:rsid w:val="00656B4D"/>
    <w:rsid w:val="00656CB8"/>
    <w:rsid w:val="00656F73"/>
    <w:rsid w:val="00657643"/>
    <w:rsid w:val="0065799F"/>
    <w:rsid w:val="00657A4A"/>
    <w:rsid w:val="00657C20"/>
    <w:rsid w:val="0066038F"/>
    <w:rsid w:val="00660486"/>
    <w:rsid w:val="00660756"/>
    <w:rsid w:val="006608A0"/>
    <w:rsid w:val="00660AC4"/>
    <w:rsid w:val="00660CF9"/>
    <w:rsid w:val="00661173"/>
    <w:rsid w:val="00661AE8"/>
    <w:rsid w:val="00661DAA"/>
    <w:rsid w:val="00661ED9"/>
    <w:rsid w:val="00661F76"/>
    <w:rsid w:val="0066212C"/>
    <w:rsid w:val="006622C8"/>
    <w:rsid w:val="0066238C"/>
    <w:rsid w:val="006624ED"/>
    <w:rsid w:val="00662628"/>
    <w:rsid w:val="006629CA"/>
    <w:rsid w:val="00662A3A"/>
    <w:rsid w:val="00662BE3"/>
    <w:rsid w:val="00662D95"/>
    <w:rsid w:val="00663091"/>
    <w:rsid w:val="00663592"/>
    <w:rsid w:val="00663F28"/>
    <w:rsid w:val="006640B6"/>
    <w:rsid w:val="006642BA"/>
    <w:rsid w:val="00664465"/>
    <w:rsid w:val="006646B7"/>
    <w:rsid w:val="006649D1"/>
    <w:rsid w:val="00664FD2"/>
    <w:rsid w:val="0066516C"/>
    <w:rsid w:val="00665198"/>
    <w:rsid w:val="00665300"/>
    <w:rsid w:val="0066559B"/>
    <w:rsid w:val="0066560D"/>
    <w:rsid w:val="00665B0B"/>
    <w:rsid w:val="00665E4E"/>
    <w:rsid w:val="0066662E"/>
    <w:rsid w:val="00667579"/>
    <w:rsid w:val="006703FE"/>
    <w:rsid w:val="0067076D"/>
    <w:rsid w:val="006708A9"/>
    <w:rsid w:val="00670CFB"/>
    <w:rsid w:val="00670E28"/>
    <w:rsid w:val="00671522"/>
    <w:rsid w:val="006716B2"/>
    <w:rsid w:val="00671AD1"/>
    <w:rsid w:val="00671B7C"/>
    <w:rsid w:val="00671EC0"/>
    <w:rsid w:val="00671FE5"/>
    <w:rsid w:val="00671FE9"/>
    <w:rsid w:val="006720C5"/>
    <w:rsid w:val="0067219B"/>
    <w:rsid w:val="006721A5"/>
    <w:rsid w:val="0067227F"/>
    <w:rsid w:val="006725A5"/>
    <w:rsid w:val="0067263F"/>
    <w:rsid w:val="006726FE"/>
    <w:rsid w:val="00672BA4"/>
    <w:rsid w:val="00672E9E"/>
    <w:rsid w:val="006736F8"/>
    <w:rsid w:val="00673C7F"/>
    <w:rsid w:val="00673E6B"/>
    <w:rsid w:val="006740CD"/>
    <w:rsid w:val="00674307"/>
    <w:rsid w:val="006748FF"/>
    <w:rsid w:val="0067525A"/>
    <w:rsid w:val="00675925"/>
    <w:rsid w:val="00675FA1"/>
    <w:rsid w:val="00676230"/>
    <w:rsid w:val="006768C6"/>
    <w:rsid w:val="00676985"/>
    <w:rsid w:val="00676E61"/>
    <w:rsid w:val="00677447"/>
    <w:rsid w:val="00677794"/>
    <w:rsid w:val="006778C0"/>
    <w:rsid w:val="0068076A"/>
    <w:rsid w:val="00680864"/>
    <w:rsid w:val="00680966"/>
    <w:rsid w:val="006817C4"/>
    <w:rsid w:val="00681857"/>
    <w:rsid w:val="00681CF1"/>
    <w:rsid w:val="006820DA"/>
    <w:rsid w:val="0068262E"/>
    <w:rsid w:val="00682721"/>
    <w:rsid w:val="00682B32"/>
    <w:rsid w:val="00682C6D"/>
    <w:rsid w:val="00682E9F"/>
    <w:rsid w:val="0068318C"/>
    <w:rsid w:val="00683227"/>
    <w:rsid w:val="006835ED"/>
    <w:rsid w:val="006836A2"/>
    <w:rsid w:val="006836B0"/>
    <w:rsid w:val="00683BE1"/>
    <w:rsid w:val="00683CD9"/>
    <w:rsid w:val="00683CF4"/>
    <w:rsid w:val="00683E4B"/>
    <w:rsid w:val="0068424E"/>
    <w:rsid w:val="0068434C"/>
    <w:rsid w:val="00684701"/>
    <w:rsid w:val="006847BD"/>
    <w:rsid w:val="00684AF3"/>
    <w:rsid w:val="00684D01"/>
    <w:rsid w:val="006857DD"/>
    <w:rsid w:val="00685968"/>
    <w:rsid w:val="00685A70"/>
    <w:rsid w:val="00685C14"/>
    <w:rsid w:val="00685D09"/>
    <w:rsid w:val="00685E7E"/>
    <w:rsid w:val="006860BB"/>
    <w:rsid w:val="00686235"/>
    <w:rsid w:val="006865FF"/>
    <w:rsid w:val="00686768"/>
    <w:rsid w:val="00686F8E"/>
    <w:rsid w:val="006871E9"/>
    <w:rsid w:val="00687743"/>
    <w:rsid w:val="00687A87"/>
    <w:rsid w:val="00687B07"/>
    <w:rsid w:val="00687FE1"/>
    <w:rsid w:val="00690058"/>
    <w:rsid w:val="006902C5"/>
    <w:rsid w:val="0069079C"/>
    <w:rsid w:val="00690907"/>
    <w:rsid w:val="00690C52"/>
    <w:rsid w:val="006910FD"/>
    <w:rsid w:val="0069144F"/>
    <w:rsid w:val="006917B8"/>
    <w:rsid w:val="00691B69"/>
    <w:rsid w:val="0069226F"/>
    <w:rsid w:val="006923AE"/>
    <w:rsid w:val="00692463"/>
    <w:rsid w:val="00692665"/>
    <w:rsid w:val="00692F12"/>
    <w:rsid w:val="00692F63"/>
    <w:rsid w:val="00692FEA"/>
    <w:rsid w:val="00692FFF"/>
    <w:rsid w:val="00693403"/>
    <w:rsid w:val="00693620"/>
    <w:rsid w:val="00693654"/>
    <w:rsid w:val="00693C83"/>
    <w:rsid w:val="00694168"/>
    <w:rsid w:val="0069419B"/>
    <w:rsid w:val="006941E1"/>
    <w:rsid w:val="00694252"/>
    <w:rsid w:val="00694333"/>
    <w:rsid w:val="0069443F"/>
    <w:rsid w:val="006947F8"/>
    <w:rsid w:val="00694E92"/>
    <w:rsid w:val="00694F19"/>
    <w:rsid w:val="00695174"/>
    <w:rsid w:val="006952D6"/>
    <w:rsid w:val="006955C1"/>
    <w:rsid w:val="0069586F"/>
    <w:rsid w:val="00695C7C"/>
    <w:rsid w:val="0069647F"/>
    <w:rsid w:val="006965F5"/>
    <w:rsid w:val="00696B6E"/>
    <w:rsid w:val="00696BFF"/>
    <w:rsid w:val="00696E1A"/>
    <w:rsid w:val="006970FE"/>
    <w:rsid w:val="00697360"/>
    <w:rsid w:val="00697454"/>
    <w:rsid w:val="00697893"/>
    <w:rsid w:val="00697A77"/>
    <w:rsid w:val="006A01AF"/>
    <w:rsid w:val="006A0253"/>
    <w:rsid w:val="006A04E2"/>
    <w:rsid w:val="006A0D47"/>
    <w:rsid w:val="006A11C0"/>
    <w:rsid w:val="006A12D6"/>
    <w:rsid w:val="006A1C70"/>
    <w:rsid w:val="006A20A6"/>
    <w:rsid w:val="006A2335"/>
    <w:rsid w:val="006A2894"/>
    <w:rsid w:val="006A2AA9"/>
    <w:rsid w:val="006A3263"/>
    <w:rsid w:val="006A38C6"/>
    <w:rsid w:val="006A3E7E"/>
    <w:rsid w:val="006A3F88"/>
    <w:rsid w:val="006A41B8"/>
    <w:rsid w:val="006A4328"/>
    <w:rsid w:val="006A45B3"/>
    <w:rsid w:val="006A465D"/>
    <w:rsid w:val="006A48D7"/>
    <w:rsid w:val="006A4FCA"/>
    <w:rsid w:val="006A4FD3"/>
    <w:rsid w:val="006A53EA"/>
    <w:rsid w:val="006A55FF"/>
    <w:rsid w:val="006A5A65"/>
    <w:rsid w:val="006A5ED6"/>
    <w:rsid w:val="006A5F02"/>
    <w:rsid w:val="006A5F8B"/>
    <w:rsid w:val="006A6299"/>
    <w:rsid w:val="006A6730"/>
    <w:rsid w:val="006A6A13"/>
    <w:rsid w:val="006A7821"/>
    <w:rsid w:val="006A78CF"/>
    <w:rsid w:val="006A7A18"/>
    <w:rsid w:val="006A7CF4"/>
    <w:rsid w:val="006B0668"/>
    <w:rsid w:val="006B0671"/>
    <w:rsid w:val="006B0C56"/>
    <w:rsid w:val="006B10CB"/>
    <w:rsid w:val="006B1563"/>
    <w:rsid w:val="006B21CB"/>
    <w:rsid w:val="006B23C3"/>
    <w:rsid w:val="006B259C"/>
    <w:rsid w:val="006B2762"/>
    <w:rsid w:val="006B290B"/>
    <w:rsid w:val="006B2CDB"/>
    <w:rsid w:val="006B2CE5"/>
    <w:rsid w:val="006B2D6A"/>
    <w:rsid w:val="006B300A"/>
    <w:rsid w:val="006B3313"/>
    <w:rsid w:val="006B3543"/>
    <w:rsid w:val="006B35DF"/>
    <w:rsid w:val="006B3859"/>
    <w:rsid w:val="006B3BB7"/>
    <w:rsid w:val="006B3D61"/>
    <w:rsid w:val="006B4438"/>
    <w:rsid w:val="006B4676"/>
    <w:rsid w:val="006B46ED"/>
    <w:rsid w:val="006B47BB"/>
    <w:rsid w:val="006B4C9C"/>
    <w:rsid w:val="006B5109"/>
    <w:rsid w:val="006B52DB"/>
    <w:rsid w:val="006B5CC6"/>
    <w:rsid w:val="006B635F"/>
    <w:rsid w:val="006B65A7"/>
    <w:rsid w:val="006B68EE"/>
    <w:rsid w:val="006B6947"/>
    <w:rsid w:val="006B6C87"/>
    <w:rsid w:val="006B7291"/>
    <w:rsid w:val="006C0326"/>
    <w:rsid w:val="006C0AEF"/>
    <w:rsid w:val="006C17AC"/>
    <w:rsid w:val="006C1CE2"/>
    <w:rsid w:val="006C1CED"/>
    <w:rsid w:val="006C1CF1"/>
    <w:rsid w:val="006C1D2F"/>
    <w:rsid w:val="006C1E4C"/>
    <w:rsid w:val="006C2118"/>
    <w:rsid w:val="006C2474"/>
    <w:rsid w:val="006C2FE6"/>
    <w:rsid w:val="006C332F"/>
    <w:rsid w:val="006C34C4"/>
    <w:rsid w:val="006C3B9D"/>
    <w:rsid w:val="006C3BCD"/>
    <w:rsid w:val="006C3F41"/>
    <w:rsid w:val="006C417B"/>
    <w:rsid w:val="006C43CF"/>
    <w:rsid w:val="006C4485"/>
    <w:rsid w:val="006C4969"/>
    <w:rsid w:val="006C50AF"/>
    <w:rsid w:val="006C52E0"/>
    <w:rsid w:val="006C5350"/>
    <w:rsid w:val="006C5859"/>
    <w:rsid w:val="006C5A2F"/>
    <w:rsid w:val="006C5B90"/>
    <w:rsid w:val="006C61E1"/>
    <w:rsid w:val="006C6894"/>
    <w:rsid w:val="006C696A"/>
    <w:rsid w:val="006C6BB7"/>
    <w:rsid w:val="006C70ED"/>
    <w:rsid w:val="006C7140"/>
    <w:rsid w:val="006C78E8"/>
    <w:rsid w:val="006C7D3B"/>
    <w:rsid w:val="006D03E6"/>
    <w:rsid w:val="006D0DA0"/>
    <w:rsid w:val="006D0DD6"/>
    <w:rsid w:val="006D1582"/>
    <w:rsid w:val="006D1747"/>
    <w:rsid w:val="006D190D"/>
    <w:rsid w:val="006D1F92"/>
    <w:rsid w:val="006D213A"/>
    <w:rsid w:val="006D23EA"/>
    <w:rsid w:val="006D23F2"/>
    <w:rsid w:val="006D2463"/>
    <w:rsid w:val="006D26D1"/>
    <w:rsid w:val="006D2BA0"/>
    <w:rsid w:val="006D2F68"/>
    <w:rsid w:val="006D30CE"/>
    <w:rsid w:val="006D336B"/>
    <w:rsid w:val="006D3569"/>
    <w:rsid w:val="006D36F0"/>
    <w:rsid w:val="006D371C"/>
    <w:rsid w:val="006D4271"/>
    <w:rsid w:val="006D42A8"/>
    <w:rsid w:val="006D451F"/>
    <w:rsid w:val="006D4A67"/>
    <w:rsid w:val="006D4E0E"/>
    <w:rsid w:val="006D4E3A"/>
    <w:rsid w:val="006D4ED0"/>
    <w:rsid w:val="006D5566"/>
    <w:rsid w:val="006D5652"/>
    <w:rsid w:val="006D57A6"/>
    <w:rsid w:val="006D625A"/>
    <w:rsid w:val="006D62AA"/>
    <w:rsid w:val="006D7303"/>
    <w:rsid w:val="006D769E"/>
    <w:rsid w:val="006D76E4"/>
    <w:rsid w:val="006D776C"/>
    <w:rsid w:val="006D78CC"/>
    <w:rsid w:val="006D7C85"/>
    <w:rsid w:val="006D7CC4"/>
    <w:rsid w:val="006D7D09"/>
    <w:rsid w:val="006D7DFC"/>
    <w:rsid w:val="006E069A"/>
    <w:rsid w:val="006E06B8"/>
    <w:rsid w:val="006E0EC9"/>
    <w:rsid w:val="006E0F3F"/>
    <w:rsid w:val="006E1037"/>
    <w:rsid w:val="006E121B"/>
    <w:rsid w:val="006E1353"/>
    <w:rsid w:val="006E13F2"/>
    <w:rsid w:val="006E1630"/>
    <w:rsid w:val="006E17D2"/>
    <w:rsid w:val="006E1832"/>
    <w:rsid w:val="006E18A0"/>
    <w:rsid w:val="006E19DF"/>
    <w:rsid w:val="006E1A39"/>
    <w:rsid w:val="006E1BEB"/>
    <w:rsid w:val="006E1D4D"/>
    <w:rsid w:val="006E20D9"/>
    <w:rsid w:val="006E247F"/>
    <w:rsid w:val="006E274D"/>
    <w:rsid w:val="006E2DA6"/>
    <w:rsid w:val="006E3060"/>
    <w:rsid w:val="006E306D"/>
    <w:rsid w:val="006E3100"/>
    <w:rsid w:val="006E3295"/>
    <w:rsid w:val="006E34C5"/>
    <w:rsid w:val="006E3693"/>
    <w:rsid w:val="006E3883"/>
    <w:rsid w:val="006E38BD"/>
    <w:rsid w:val="006E3992"/>
    <w:rsid w:val="006E39AC"/>
    <w:rsid w:val="006E3AB4"/>
    <w:rsid w:val="006E48DF"/>
    <w:rsid w:val="006E4D12"/>
    <w:rsid w:val="006E5141"/>
    <w:rsid w:val="006E51AC"/>
    <w:rsid w:val="006E601C"/>
    <w:rsid w:val="006E61EC"/>
    <w:rsid w:val="006E6355"/>
    <w:rsid w:val="006E6371"/>
    <w:rsid w:val="006E6721"/>
    <w:rsid w:val="006E672E"/>
    <w:rsid w:val="006E6A55"/>
    <w:rsid w:val="006E6B3A"/>
    <w:rsid w:val="006E6F83"/>
    <w:rsid w:val="006E7662"/>
    <w:rsid w:val="006E7EA7"/>
    <w:rsid w:val="006F0A57"/>
    <w:rsid w:val="006F0F32"/>
    <w:rsid w:val="006F10D8"/>
    <w:rsid w:val="006F117B"/>
    <w:rsid w:val="006F16B9"/>
    <w:rsid w:val="006F1875"/>
    <w:rsid w:val="006F1925"/>
    <w:rsid w:val="006F1CD5"/>
    <w:rsid w:val="006F1D27"/>
    <w:rsid w:val="006F2055"/>
    <w:rsid w:val="006F2828"/>
    <w:rsid w:val="006F3881"/>
    <w:rsid w:val="006F3AD3"/>
    <w:rsid w:val="006F3AED"/>
    <w:rsid w:val="006F3B6E"/>
    <w:rsid w:val="006F3BEC"/>
    <w:rsid w:val="006F4847"/>
    <w:rsid w:val="006F49AA"/>
    <w:rsid w:val="006F4D01"/>
    <w:rsid w:val="006F511A"/>
    <w:rsid w:val="006F567B"/>
    <w:rsid w:val="006F59E4"/>
    <w:rsid w:val="006F6378"/>
    <w:rsid w:val="006F64BC"/>
    <w:rsid w:val="006F6C10"/>
    <w:rsid w:val="006F6D88"/>
    <w:rsid w:val="006F72B7"/>
    <w:rsid w:val="006F7534"/>
    <w:rsid w:val="006F75A3"/>
    <w:rsid w:val="007006F2"/>
    <w:rsid w:val="00700803"/>
    <w:rsid w:val="00700A44"/>
    <w:rsid w:val="00700EE1"/>
    <w:rsid w:val="00701259"/>
    <w:rsid w:val="007014CC"/>
    <w:rsid w:val="007016DF"/>
    <w:rsid w:val="00701700"/>
    <w:rsid w:val="0070190C"/>
    <w:rsid w:val="007019A7"/>
    <w:rsid w:val="00701B09"/>
    <w:rsid w:val="00701FB2"/>
    <w:rsid w:val="00702E09"/>
    <w:rsid w:val="00703888"/>
    <w:rsid w:val="00703987"/>
    <w:rsid w:val="00703E0E"/>
    <w:rsid w:val="00703E38"/>
    <w:rsid w:val="007042B7"/>
    <w:rsid w:val="00704714"/>
    <w:rsid w:val="00704E91"/>
    <w:rsid w:val="00705231"/>
    <w:rsid w:val="00705242"/>
    <w:rsid w:val="007056E0"/>
    <w:rsid w:val="00705A01"/>
    <w:rsid w:val="00705ED2"/>
    <w:rsid w:val="0070644A"/>
    <w:rsid w:val="00706A99"/>
    <w:rsid w:val="00706EFE"/>
    <w:rsid w:val="0070766E"/>
    <w:rsid w:val="00707870"/>
    <w:rsid w:val="00707AC6"/>
    <w:rsid w:val="00707CB1"/>
    <w:rsid w:val="00707E48"/>
    <w:rsid w:val="00710581"/>
    <w:rsid w:val="00710934"/>
    <w:rsid w:val="00710A91"/>
    <w:rsid w:val="00710B36"/>
    <w:rsid w:val="00710B6C"/>
    <w:rsid w:val="00710B85"/>
    <w:rsid w:val="00710D92"/>
    <w:rsid w:val="007112A7"/>
    <w:rsid w:val="00711311"/>
    <w:rsid w:val="007113AA"/>
    <w:rsid w:val="00711979"/>
    <w:rsid w:val="00711C06"/>
    <w:rsid w:val="00712283"/>
    <w:rsid w:val="00712A8D"/>
    <w:rsid w:val="00712AC1"/>
    <w:rsid w:val="00712CCD"/>
    <w:rsid w:val="00712EDA"/>
    <w:rsid w:val="007130EA"/>
    <w:rsid w:val="00713177"/>
    <w:rsid w:val="007133BD"/>
    <w:rsid w:val="00713D67"/>
    <w:rsid w:val="00713FC0"/>
    <w:rsid w:val="0071420A"/>
    <w:rsid w:val="00714215"/>
    <w:rsid w:val="007142BF"/>
    <w:rsid w:val="007149E4"/>
    <w:rsid w:val="00714A51"/>
    <w:rsid w:val="00714AD9"/>
    <w:rsid w:val="00714BB5"/>
    <w:rsid w:val="00714ED3"/>
    <w:rsid w:val="007155BF"/>
    <w:rsid w:val="00715D46"/>
    <w:rsid w:val="0071647C"/>
    <w:rsid w:val="007164F5"/>
    <w:rsid w:val="007166D4"/>
    <w:rsid w:val="00716A6D"/>
    <w:rsid w:val="00716B3F"/>
    <w:rsid w:val="00716C3C"/>
    <w:rsid w:val="00717320"/>
    <w:rsid w:val="00717457"/>
    <w:rsid w:val="007178B9"/>
    <w:rsid w:val="007178F7"/>
    <w:rsid w:val="00717BAA"/>
    <w:rsid w:val="00717DAA"/>
    <w:rsid w:val="00717E21"/>
    <w:rsid w:val="007200FE"/>
    <w:rsid w:val="0072019D"/>
    <w:rsid w:val="007204BF"/>
    <w:rsid w:val="00720BA8"/>
    <w:rsid w:val="00720C40"/>
    <w:rsid w:val="00720EC1"/>
    <w:rsid w:val="00720F9F"/>
    <w:rsid w:val="00721204"/>
    <w:rsid w:val="0072130F"/>
    <w:rsid w:val="0072147B"/>
    <w:rsid w:val="0072153A"/>
    <w:rsid w:val="007216D4"/>
    <w:rsid w:val="0072170F"/>
    <w:rsid w:val="007217E0"/>
    <w:rsid w:val="007218E6"/>
    <w:rsid w:val="00721A3A"/>
    <w:rsid w:val="0072248E"/>
    <w:rsid w:val="0072280A"/>
    <w:rsid w:val="00722ED0"/>
    <w:rsid w:val="0072308A"/>
    <w:rsid w:val="00723F37"/>
    <w:rsid w:val="00724066"/>
    <w:rsid w:val="00724167"/>
    <w:rsid w:val="007245D8"/>
    <w:rsid w:val="00724718"/>
    <w:rsid w:val="00724823"/>
    <w:rsid w:val="00724A87"/>
    <w:rsid w:val="00725157"/>
    <w:rsid w:val="0072529E"/>
    <w:rsid w:val="007252DC"/>
    <w:rsid w:val="00725D3D"/>
    <w:rsid w:val="00726072"/>
    <w:rsid w:val="007260E5"/>
    <w:rsid w:val="007265BC"/>
    <w:rsid w:val="00726CCC"/>
    <w:rsid w:val="00726E7D"/>
    <w:rsid w:val="00726EF5"/>
    <w:rsid w:val="007275BD"/>
    <w:rsid w:val="0072767E"/>
    <w:rsid w:val="00727AD1"/>
    <w:rsid w:val="00727F27"/>
    <w:rsid w:val="007304A3"/>
    <w:rsid w:val="0073104F"/>
    <w:rsid w:val="0073212D"/>
    <w:rsid w:val="00732286"/>
    <w:rsid w:val="007325D1"/>
    <w:rsid w:val="007325FD"/>
    <w:rsid w:val="0073274B"/>
    <w:rsid w:val="00732EFB"/>
    <w:rsid w:val="007332DC"/>
    <w:rsid w:val="00733A3E"/>
    <w:rsid w:val="00733DAC"/>
    <w:rsid w:val="00733E62"/>
    <w:rsid w:val="00733F26"/>
    <w:rsid w:val="00733F2E"/>
    <w:rsid w:val="00733FC4"/>
    <w:rsid w:val="00734625"/>
    <w:rsid w:val="0073471E"/>
    <w:rsid w:val="00734911"/>
    <w:rsid w:val="007351FD"/>
    <w:rsid w:val="007357A7"/>
    <w:rsid w:val="00735E6C"/>
    <w:rsid w:val="00735EDB"/>
    <w:rsid w:val="0073631D"/>
    <w:rsid w:val="0073668B"/>
    <w:rsid w:val="00736AAB"/>
    <w:rsid w:val="00736CF8"/>
    <w:rsid w:val="007373A7"/>
    <w:rsid w:val="0073784F"/>
    <w:rsid w:val="00737A6B"/>
    <w:rsid w:val="00737B6C"/>
    <w:rsid w:val="00737D30"/>
    <w:rsid w:val="00737DF3"/>
    <w:rsid w:val="00737F5D"/>
    <w:rsid w:val="00737F85"/>
    <w:rsid w:val="00740632"/>
    <w:rsid w:val="007407CA"/>
    <w:rsid w:val="00740AD1"/>
    <w:rsid w:val="00741021"/>
    <w:rsid w:val="00741BDF"/>
    <w:rsid w:val="00741CE9"/>
    <w:rsid w:val="00741D2F"/>
    <w:rsid w:val="00742486"/>
    <w:rsid w:val="00742EEA"/>
    <w:rsid w:val="007437CC"/>
    <w:rsid w:val="007437F7"/>
    <w:rsid w:val="0074384D"/>
    <w:rsid w:val="00743FE5"/>
    <w:rsid w:val="007445F5"/>
    <w:rsid w:val="00744D05"/>
    <w:rsid w:val="00744E3A"/>
    <w:rsid w:val="00745077"/>
    <w:rsid w:val="00745348"/>
    <w:rsid w:val="007456CE"/>
    <w:rsid w:val="00745A1D"/>
    <w:rsid w:val="00745CE7"/>
    <w:rsid w:val="00745D1B"/>
    <w:rsid w:val="00745F45"/>
    <w:rsid w:val="00745F67"/>
    <w:rsid w:val="007461D3"/>
    <w:rsid w:val="007461EA"/>
    <w:rsid w:val="007467CA"/>
    <w:rsid w:val="00746C9F"/>
    <w:rsid w:val="0074737E"/>
    <w:rsid w:val="0074761F"/>
    <w:rsid w:val="00747B12"/>
    <w:rsid w:val="00747B16"/>
    <w:rsid w:val="00747E27"/>
    <w:rsid w:val="0075086F"/>
    <w:rsid w:val="0075098F"/>
    <w:rsid w:val="007509D9"/>
    <w:rsid w:val="00750AFC"/>
    <w:rsid w:val="00751168"/>
    <w:rsid w:val="007514A1"/>
    <w:rsid w:val="007518D6"/>
    <w:rsid w:val="00751D42"/>
    <w:rsid w:val="00752261"/>
    <w:rsid w:val="0075254A"/>
    <w:rsid w:val="007525D6"/>
    <w:rsid w:val="007526B7"/>
    <w:rsid w:val="007528ED"/>
    <w:rsid w:val="0075290E"/>
    <w:rsid w:val="00752C8E"/>
    <w:rsid w:val="00752D66"/>
    <w:rsid w:val="00752E25"/>
    <w:rsid w:val="00752E70"/>
    <w:rsid w:val="0075331E"/>
    <w:rsid w:val="00753B10"/>
    <w:rsid w:val="00753D30"/>
    <w:rsid w:val="00753D61"/>
    <w:rsid w:val="00754182"/>
    <w:rsid w:val="007542D3"/>
    <w:rsid w:val="00754464"/>
    <w:rsid w:val="0075492C"/>
    <w:rsid w:val="00754A9A"/>
    <w:rsid w:val="00754C15"/>
    <w:rsid w:val="00754DE2"/>
    <w:rsid w:val="00755248"/>
    <w:rsid w:val="007553A4"/>
    <w:rsid w:val="00755F99"/>
    <w:rsid w:val="0075604D"/>
    <w:rsid w:val="00756726"/>
    <w:rsid w:val="007567BE"/>
    <w:rsid w:val="0075691A"/>
    <w:rsid w:val="0075703D"/>
    <w:rsid w:val="0075722C"/>
    <w:rsid w:val="007573CF"/>
    <w:rsid w:val="007576B1"/>
    <w:rsid w:val="0076057C"/>
    <w:rsid w:val="00760722"/>
    <w:rsid w:val="00760EB5"/>
    <w:rsid w:val="00761089"/>
    <w:rsid w:val="007614F1"/>
    <w:rsid w:val="00761A10"/>
    <w:rsid w:val="00761A41"/>
    <w:rsid w:val="00761DCE"/>
    <w:rsid w:val="0076238B"/>
    <w:rsid w:val="007623AF"/>
    <w:rsid w:val="007630D6"/>
    <w:rsid w:val="00763231"/>
    <w:rsid w:val="0076323A"/>
    <w:rsid w:val="007632F2"/>
    <w:rsid w:val="007633E6"/>
    <w:rsid w:val="0076355A"/>
    <w:rsid w:val="007636C0"/>
    <w:rsid w:val="007636D8"/>
    <w:rsid w:val="0076373E"/>
    <w:rsid w:val="007646BC"/>
    <w:rsid w:val="00764A8E"/>
    <w:rsid w:val="007652A5"/>
    <w:rsid w:val="00765784"/>
    <w:rsid w:val="00765A1E"/>
    <w:rsid w:val="00765D58"/>
    <w:rsid w:val="00765E0B"/>
    <w:rsid w:val="00765F22"/>
    <w:rsid w:val="007661A5"/>
    <w:rsid w:val="007662D1"/>
    <w:rsid w:val="00766719"/>
    <w:rsid w:val="00766749"/>
    <w:rsid w:val="00766751"/>
    <w:rsid w:val="00766ADD"/>
    <w:rsid w:val="00766DB9"/>
    <w:rsid w:val="007670E9"/>
    <w:rsid w:val="007671AF"/>
    <w:rsid w:val="007671E1"/>
    <w:rsid w:val="00767349"/>
    <w:rsid w:val="00767B8B"/>
    <w:rsid w:val="00767F62"/>
    <w:rsid w:val="0077030C"/>
    <w:rsid w:val="00770DF2"/>
    <w:rsid w:val="00770E08"/>
    <w:rsid w:val="00770FE7"/>
    <w:rsid w:val="0077106B"/>
    <w:rsid w:val="007715B0"/>
    <w:rsid w:val="00771621"/>
    <w:rsid w:val="0077205F"/>
    <w:rsid w:val="0077213C"/>
    <w:rsid w:val="00772DD1"/>
    <w:rsid w:val="00773136"/>
    <w:rsid w:val="00773792"/>
    <w:rsid w:val="007737DE"/>
    <w:rsid w:val="00773AD3"/>
    <w:rsid w:val="00773B99"/>
    <w:rsid w:val="00773E1E"/>
    <w:rsid w:val="00773E75"/>
    <w:rsid w:val="0077427E"/>
    <w:rsid w:val="007742AA"/>
    <w:rsid w:val="00774406"/>
    <w:rsid w:val="007744B0"/>
    <w:rsid w:val="00774B45"/>
    <w:rsid w:val="00775187"/>
    <w:rsid w:val="00775424"/>
    <w:rsid w:val="0077562B"/>
    <w:rsid w:val="007756F6"/>
    <w:rsid w:val="0077586D"/>
    <w:rsid w:val="007759EF"/>
    <w:rsid w:val="00775B11"/>
    <w:rsid w:val="00776031"/>
    <w:rsid w:val="007762F4"/>
    <w:rsid w:val="00776678"/>
    <w:rsid w:val="007770AC"/>
    <w:rsid w:val="007773FA"/>
    <w:rsid w:val="007779AE"/>
    <w:rsid w:val="00777B16"/>
    <w:rsid w:val="00777EDE"/>
    <w:rsid w:val="0078022E"/>
    <w:rsid w:val="007804A1"/>
    <w:rsid w:val="007806C2"/>
    <w:rsid w:val="00780DC3"/>
    <w:rsid w:val="0078107F"/>
    <w:rsid w:val="007814AE"/>
    <w:rsid w:val="00781548"/>
    <w:rsid w:val="0078156E"/>
    <w:rsid w:val="007815E9"/>
    <w:rsid w:val="00781C0C"/>
    <w:rsid w:val="00781F65"/>
    <w:rsid w:val="0078222A"/>
    <w:rsid w:val="0078269B"/>
    <w:rsid w:val="00782959"/>
    <w:rsid w:val="00782A42"/>
    <w:rsid w:val="00783173"/>
    <w:rsid w:val="007832B9"/>
    <w:rsid w:val="007839B4"/>
    <w:rsid w:val="00783A99"/>
    <w:rsid w:val="00783B46"/>
    <w:rsid w:val="00785652"/>
    <w:rsid w:val="0078588D"/>
    <w:rsid w:val="00785BCA"/>
    <w:rsid w:val="00785D1F"/>
    <w:rsid w:val="00785EF2"/>
    <w:rsid w:val="007862C7"/>
    <w:rsid w:val="00786300"/>
    <w:rsid w:val="0078656D"/>
    <w:rsid w:val="007865B7"/>
    <w:rsid w:val="00786640"/>
    <w:rsid w:val="00786E78"/>
    <w:rsid w:val="00787073"/>
    <w:rsid w:val="0078738C"/>
    <w:rsid w:val="0078740E"/>
    <w:rsid w:val="00787450"/>
    <w:rsid w:val="0078760F"/>
    <w:rsid w:val="00787732"/>
    <w:rsid w:val="00787D6C"/>
    <w:rsid w:val="00790798"/>
    <w:rsid w:val="007908DA"/>
    <w:rsid w:val="00790A18"/>
    <w:rsid w:val="00790C41"/>
    <w:rsid w:val="00791567"/>
    <w:rsid w:val="00791C19"/>
    <w:rsid w:val="007922BD"/>
    <w:rsid w:val="0079237B"/>
    <w:rsid w:val="00792BD0"/>
    <w:rsid w:val="00792C26"/>
    <w:rsid w:val="00792CA2"/>
    <w:rsid w:val="00792D2D"/>
    <w:rsid w:val="00792E59"/>
    <w:rsid w:val="00793605"/>
    <w:rsid w:val="007937ED"/>
    <w:rsid w:val="00793A4F"/>
    <w:rsid w:val="00793CA7"/>
    <w:rsid w:val="00793F0F"/>
    <w:rsid w:val="0079410F"/>
    <w:rsid w:val="007947ED"/>
    <w:rsid w:val="00794A3A"/>
    <w:rsid w:val="007951FA"/>
    <w:rsid w:val="00795514"/>
    <w:rsid w:val="00795708"/>
    <w:rsid w:val="00796410"/>
    <w:rsid w:val="00796882"/>
    <w:rsid w:val="00796EAF"/>
    <w:rsid w:val="0079778D"/>
    <w:rsid w:val="0079781D"/>
    <w:rsid w:val="00797C82"/>
    <w:rsid w:val="007A02A5"/>
    <w:rsid w:val="007A03F1"/>
    <w:rsid w:val="007A04A7"/>
    <w:rsid w:val="007A09E7"/>
    <w:rsid w:val="007A0E99"/>
    <w:rsid w:val="007A0EF7"/>
    <w:rsid w:val="007A103A"/>
    <w:rsid w:val="007A111E"/>
    <w:rsid w:val="007A1175"/>
    <w:rsid w:val="007A1A6D"/>
    <w:rsid w:val="007A1C6C"/>
    <w:rsid w:val="007A256C"/>
    <w:rsid w:val="007A25C4"/>
    <w:rsid w:val="007A2694"/>
    <w:rsid w:val="007A26C1"/>
    <w:rsid w:val="007A2E9B"/>
    <w:rsid w:val="007A327C"/>
    <w:rsid w:val="007A34AF"/>
    <w:rsid w:val="007A36CA"/>
    <w:rsid w:val="007A37D2"/>
    <w:rsid w:val="007A3D63"/>
    <w:rsid w:val="007A3DBC"/>
    <w:rsid w:val="007A3DD6"/>
    <w:rsid w:val="007A41D4"/>
    <w:rsid w:val="007A49C8"/>
    <w:rsid w:val="007A4A2F"/>
    <w:rsid w:val="007A4B38"/>
    <w:rsid w:val="007A4BA0"/>
    <w:rsid w:val="007A4CF5"/>
    <w:rsid w:val="007A5446"/>
    <w:rsid w:val="007A5602"/>
    <w:rsid w:val="007A560A"/>
    <w:rsid w:val="007A5CF4"/>
    <w:rsid w:val="007A692F"/>
    <w:rsid w:val="007A6B11"/>
    <w:rsid w:val="007A6D94"/>
    <w:rsid w:val="007A728B"/>
    <w:rsid w:val="007A73E5"/>
    <w:rsid w:val="007A75D6"/>
    <w:rsid w:val="007A75EF"/>
    <w:rsid w:val="007A770A"/>
    <w:rsid w:val="007A7E6C"/>
    <w:rsid w:val="007B02CA"/>
    <w:rsid w:val="007B093B"/>
    <w:rsid w:val="007B0A4E"/>
    <w:rsid w:val="007B0A52"/>
    <w:rsid w:val="007B0FA1"/>
    <w:rsid w:val="007B124B"/>
    <w:rsid w:val="007B149C"/>
    <w:rsid w:val="007B15D4"/>
    <w:rsid w:val="007B16A0"/>
    <w:rsid w:val="007B16BE"/>
    <w:rsid w:val="007B1AB0"/>
    <w:rsid w:val="007B24AE"/>
    <w:rsid w:val="007B2850"/>
    <w:rsid w:val="007B2971"/>
    <w:rsid w:val="007B2E1D"/>
    <w:rsid w:val="007B2F4B"/>
    <w:rsid w:val="007B306E"/>
    <w:rsid w:val="007B30FE"/>
    <w:rsid w:val="007B3313"/>
    <w:rsid w:val="007B386C"/>
    <w:rsid w:val="007B3DC3"/>
    <w:rsid w:val="007B41F0"/>
    <w:rsid w:val="007B451D"/>
    <w:rsid w:val="007B484A"/>
    <w:rsid w:val="007B4ABB"/>
    <w:rsid w:val="007B5074"/>
    <w:rsid w:val="007B53F9"/>
    <w:rsid w:val="007B5B54"/>
    <w:rsid w:val="007B600F"/>
    <w:rsid w:val="007B63A0"/>
    <w:rsid w:val="007B6549"/>
    <w:rsid w:val="007B65DF"/>
    <w:rsid w:val="007B6768"/>
    <w:rsid w:val="007B687A"/>
    <w:rsid w:val="007B6CAF"/>
    <w:rsid w:val="007B6D38"/>
    <w:rsid w:val="007B7620"/>
    <w:rsid w:val="007B7849"/>
    <w:rsid w:val="007B7C1C"/>
    <w:rsid w:val="007C02DE"/>
    <w:rsid w:val="007C0ACA"/>
    <w:rsid w:val="007C11C0"/>
    <w:rsid w:val="007C1974"/>
    <w:rsid w:val="007C1ACF"/>
    <w:rsid w:val="007C1C3D"/>
    <w:rsid w:val="007C1D60"/>
    <w:rsid w:val="007C237D"/>
    <w:rsid w:val="007C245B"/>
    <w:rsid w:val="007C3A3B"/>
    <w:rsid w:val="007C3B85"/>
    <w:rsid w:val="007C41D0"/>
    <w:rsid w:val="007C47B8"/>
    <w:rsid w:val="007C4893"/>
    <w:rsid w:val="007C48B9"/>
    <w:rsid w:val="007C4A20"/>
    <w:rsid w:val="007C4AD9"/>
    <w:rsid w:val="007C4CDD"/>
    <w:rsid w:val="007C4DA9"/>
    <w:rsid w:val="007C5116"/>
    <w:rsid w:val="007C5A49"/>
    <w:rsid w:val="007C5C85"/>
    <w:rsid w:val="007C6933"/>
    <w:rsid w:val="007C6962"/>
    <w:rsid w:val="007C6D34"/>
    <w:rsid w:val="007C6D77"/>
    <w:rsid w:val="007C6E4C"/>
    <w:rsid w:val="007C7016"/>
    <w:rsid w:val="007C7300"/>
    <w:rsid w:val="007C73DD"/>
    <w:rsid w:val="007C77AF"/>
    <w:rsid w:val="007C798F"/>
    <w:rsid w:val="007C7ED3"/>
    <w:rsid w:val="007D0226"/>
    <w:rsid w:val="007D0778"/>
    <w:rsid w:val="007D0A56"/>
    <w:rsid w:val="007D0AE4"/>
    <w:rsid w:val="007D0E37"/>
    <w:rsid w:val="007D0F06"/>
    <w:rsid w:val="007D0F9B"/>
    <w:rsid w:val="007D123D"/>
    <w:rsid w:val="007D1819"/>
    <w:rsid w:val="007D1D97"/>
    <w:rsid w:val="007D2876"/>
    <w:rsid w:val="007D2AE8"/>
    <w:rsid w:val="007D2AFE"/>
    <w:rsid w:val="007D2B4B"/>
    <w:rsid w:val="007D2B4F"/>
    <w:rsid w:val="007D2B8B"/>
    <w:rsid w:val="007D2E72"/>
    <w:rsid w:val="007D2FEC"/>
    <w:rsid w:val="007D30AC"/>
    <w:rsid w:val="007D3152"/>
    <w:rsid w:val="007D317A"/>
    <w:rsid w:val="007D31B6"/>
    <w:rsid w:val="007D332B"/>
    <w:rsid w:val="007D34BF"/>
    <w:rsid w:val="007D4487"/>
    <w:rsid w:val="007D45D0"/>
    <w:rsid w:val="007D4A33"/>
    <w:rsid w:val="007D4ED2"/>
    <w:rsid w:val="007D50A4"/>
    <w:rsid w:val="007D56B0"/>
    <w:rsid w:val="007D5916"/>
    <w:rsid w:val="007D5DD2"/>
    <w:rsid w:val="007D63F9"/>
    <w:rsid w:val="007D68E1"/>
    <w:rsid w:val="007D69A4"/>
    <w:rsid w:val="007D7030"/>
    <w:rsid w:val="007D7236"/>
    <w:rsid w:val="007D734C"/>
    <w:rsid w:val="007D751F"/>
    <w:rsid w:val="007D79DD"/>
    <w:rsid w:val="007D7A07"/>
    <w:rsid w:val="007D7A5F"/>
    <w:rsid w:val="007D7AD4"/>
    <w:rsid w:val="007D7B57"/>
    <w:rsid w:val="007D7C94"/>
    <w:rsid w:val="007D7CAF"/>
    <w:rsid w:val="007D7CB7"/>
    <w:rsid w:val="007E038B"/>
    <w:rsid w:val="007E085A"/>
    <w:rsid w:val="007E0A59"/>
    <w:rsid w:val="007E0B8B"/>
    <w:rsid w:val="007E0D2C"/>
    <w:rsid w:val="007E1125"/>
    <w:rsid w:val="007E1145"/>
    <w:rsid w:val="007E1435"/>
    <w:rsid w:val="007E1830"/>
    <w:rsid w:val="007E1FDD"/>
    <w:rsid w:val="007E25A3"/>
    <w:rsid w:val="007E2D38"/>
    <w:rsid w:val="007E3063"/>
    <w:rsid w:val="007E3198"/>
    <w:rsid w:val="007E32DB"/>
    <w:rsid w:val="007E337D"/>
    <w:rsid w:val="007E39BF"/>
    <w:rsid w:val="007E3B09"/>
    <w:rsid w:val="007E3BF5"/>
    <w:rsid w:val="007E3D0B"/>
    <w:rsid w:val="007E4340"/>
    <w:rsid w:val="007E4545"/>
    <w:rsid w:val="007E48F0"/>
    <w:rsid w:val="007E4C35"/>
    <w:rsid w:val="007E4C8C"/>
    <w:rsid w:val="007E4EE7"/>
    <w:rsid w:val="007E52FB"/>
    <w:rsid w:val="007E58B3"/>
    <w:rsid w:val="007E5F66"/>
    <w:rsid w:val="007E5FA3"/>
    <w:rsid w:val="007E638E"/>
    <w:rsid w:val="007E6917"/>
    <w:rsid w:val="007E6DAE"/>
    <w:rsid w:val="007E6F13"/>
    <w:rsid w:val="007E7431"/>
    <w:rsid w:val="007E7517"/>
    <w:rsid w:val="007E790D"/>
    <w:rsid w:val="007E7C78"/>
    <w:rsid w:val="007E7D46"/>
    <w:rsid w:val="007E7F66"/>
    <w:rsid w:val="007F002E"/>
    <w:rsid w:val="007F005F"/>
    <w:rsid w:val="007F02E3"/>
    <w:rsid w:val="007F0EA1"/>
    <w:rsid w:val="007F1364"/>
    <w:rsid w:val="007F1A7D"/>
    <w:rsid w:val="007F1EB1"/>
    <w:rsid w:val="007F2214"/>
    <w:rsid w:val="007F22A1"/>
    <w:rsid w:val="007F23DD"/>
    <w:rsid w:val="007F24D5"/>
    <w:rsid w:val="007F2871"/>
    <w:rsid w:val="007F3101"/>
    <w:rsid w:val="007F3525"/>
    <w:rsid w:val="007F3556"/>
    <w:rsid w:val="007F3608"/>
    <w:rsid w:val="007F3646"/>
    <w:rsid w:val="007F3AC4"/>
    <w:rsid w:val="007F3C87"/>
    <w:rsid w:val="007F3DFB"/>
    <w:rsid w:val="007F4182"/>
    <w:rsid w:val="007F42D7"/>
    <w:rsid w:val="007F453A"/>
    <w:rsid w:val="007F460E"/>
    <w:rsid w:val="007F47DC"/>
    <w:rsid w:val="007F4B16"/>
    <w:rsid w:val="007F4EC0"/>
    <w:rsid w:val="007F68E8"/>
    <w:rsid w:val="007F6A0D"/>
    <w:rsid w:val="007F6CE1"/>
    <w:rsid w:val="007F6E81"/>
    <w:rsid w:val="007F6ED9"/>
    <w:rsid w:val="007F74C5"/>
    <w:rsid w:val="007F74E3"/>
    <w:rsid w:val="007F78B7"/>
    <w:rsid w:val="0080007B"/>
    <w:rsid w:val="00800207"/>
    <w:rsid w:val="00800630"/>
    <w:rsid w:val="00800D1E"/>
    <w:rsid w:val="0080126D"/>
    <w:rsid w:val="008012F5"/>
    <w:rsid w:val="00801424"/>
    <w:rsid w:val="008015C4"/>
    <w:rsid w:val="00801730"/>
    <w:rsid w:val="008017B9"/>
    <w:rsid w:val="00801842"/>
    <w:rsid w:val="00801F46"/>
    <w:rsid w:val="00801FC8"/>
    <w:rsid w:val="0080205E"/>
    <w:rsid w:val="0080218F"/>
    <w:rsid w:val="0080223F"/>
    <w:rsid w:val="0080246F"/>
    <w:rsid w:val="008025A6"/>
    <w:rsid w:val="008025DE"/>
    <w:rsid w:val="0080268F"/>
    <w:rsid w:val="00802C78"/>
    <w:rsid w:val="00802C89"/>
    <w:rsid w:val="00803231"/>
    <w:rsid w:val="008032F6"/>
    <w:rsid w:val="008034DA"/>
    <w:rsid w:val="008036D5"/>
    <w:rsid w:val="00803706"/>
    <w:rsid w:val="00803A01"/>
    <w:rsid w:val="00803B65"/>
    <w:rsid w:val="00803C2B"/>
    <w:rsid w:val="008041F7"/>
    <w:rsid w:val="0080453E"/>
    <w:rsid w:val="008046D3"/>
    <w:rsid w:val="00804785"/>
    <w:rsid w:val="00804AAF"/>
    <w:rsid w:val="0080533A"/>
    <w:rsid w:val="0080555A"/>
    <w:rsid w:val="00805722"/>
    <w:rsid w:val="00805760"/>
    <w:rsid w:val="00805D9A"/>
    <w:rsid w:val="00806118"/>
    <w:rsid w:val="00806187"/>
    <w:rsid w:val="008062FB"/>
    <w:rsid w:val="0080639F"/>
    <w:rsid w:val="008065FD"/>
    <w:rsid w:val="00806B7E"/>
    <w:rsid w:val="00806B8A"/>
    <w:rsid w:val="00806D20"/>
    <w:rsid w:val="00806E9E"/>
    <w:rsid w:val="00806F46"/>
    <w:rsid w:val="0080701A"/>
    <w:rsid w:val="00807861"/>
    <w:rsid w:val="008079A2"/>
    <w:rsid w:val="008079FE"/>
    <w:rsid w:val="00807BE8"/>
    <w:rsid w:val="00807CCD"/>
    <w:rsid w:val="008102D1"/>
    <w:rsid w:val="0081046D"/>
    <w:rsid w:val="00810660"/>
    <w:rsid w:val="008111B5"/>
    <w:rsid w:val="0081133A"/>
    <w:rsid w:val="0081152F"/>
    <w:rsid w:val="00811C24"/>
    <w:rsid w:val="00811E73"/>
    <w:rsid w:val="008124B7"/>
    <w:rsid w:val="00812663"/>
    <w:rsid w:val="008127B4"/>
    <w:rsid w:val="00812852"/>
    <w:rsid w:val="00812F90"/>
    <w:rsid w:val="0081341F"/>
    <w:rsid w:val="008137FC"/>
    <w:rsid w:val="008146DD"/>
    <w:rsid w:val="008146EA"/>
    <w:rsid w:val="00814C0A"/>
    <w:rsid w:val="0081525B"/>
    <w:rsid w:val="008153F9"/>
    <w:rsid w:val="00815899"/>
    <w:rsid w:val="00815ED1"/>
    <w:rsid w:val="0081603D"/>
    <w:rsid w:val="00817187"/>
    <w:rsid w:val="008171EF"/>
    <w:rsid w:val="00817300"/>
    <w:rsid w:val="0081786C"/>
    <w:rsid w:val="00817B94"/>
    <w:rsid w:val="00817BAC"/>
    <w:rsid w:val="008200A4"/>
    <w:rsid w:val="00820437"/>
    <w:rsid w:val="0082070A"/>
    <w:rsid w:val="0082094A"/>
    <w:rsid w:val="00820B28"/>
    <w:rsid w:val="00820C5C"/>
    <w:rsid w:val="0082101B"/>
    <w:rsid w:val="008213D7"/>
    <w:rsid w:val="00821447"/>
    <w:rsid w:val="0082162F"/>
    <w:rsid w:val="00823DA4"/>
    <w:rsid w:val="00824019"/>
    <w:rsid w:val="008242AE"/>
    <w:rsid w:val="00824479"/>
    <w:rsid w:val="0082478B"/>
    <w:rsid w:val="0082497C"/>
    <w:rsid w:val="00825807"/>
    <w:rsid w:val="00825BD9"/>
    <w:rsid w:val="00825F7B"/>
    <w:rsid w:val="008260B1"/>
    <w:rsid w:val="0082617F"/>
    <w:rsid w:val="008261BA"/>
    <w:rsid w:val="008266B8"/>
    <w:rsid w:val="00826A5F"/>
    <w:rsid w:val="00827207"/>
    <w:rsid w:val="0082785E"/>
    <w:rsid w:val="00827961"/>
    <w:rsid w:val="00830686"/>
    <w:rsid w:val="0083078B"/>
    <w:rsid w:val="00830F4B"/>
    <w:rsid w:val="00831176"/>
    <w:rsid w:val="008311E0"/>
    <w:rsid w:val="008318F8"/>
    <w:rsid w:val="00831C3D"/>
    <w:rsid w:val="00831C6D"/>
    <w:rsid w:val="008328F0"/>
    <w:rsid w:val="00832969"/>
    <w:rsid w:val="00832CA7"/>
    <w:rsid w:val="00832E81"/>
    <w:rsid w:val="00832F6B"/>
    <w:rsid w:val="008330DE"/>
    <w:rsid w:val="008339A2"/>
    <w:rsid w:val="0083430F"/>
    <w:rsid w:val="00834A36"/>
    <w:rsid w:val="00834E9C"/>
    <w:rsid w:val="00834FE3"/>
    <w:rsid w:val="008352E3"/>
    <w:rsid w:val="00835806"/>
    <w:rsid w:val="00835926"/>
    <w:rsid w:val="00835AFB"/>
    <w:rsid w:val="00835BC4"/>
    <w:rsid w:val="00835F32"/>
    <w:rsid w:val="00836019"/>
    <w:rsid w:val="00836635"/>
    <w:rsid w:val="008376D7"/>
    <w:rsid w:val="008376F7"/>
    <w:rsid w:val="008378E3"/>
    <w:rsid w:val="00837D93"/>
    <w:rsid w:val="00837DD0"/>
    <w:rsid w:val="00837FF3"/>
    <w:rsid w:val="008400A6"/>
    <w:rsid w:val="0084085C"/>
    <w:rsid w:val="00840B7D"/>
    <w:rsid w:val="0084127B"/>
    <w:rsid w:val="0084136D"/>
    <w:rsid w:val="00841391"/>
    <w:rsid w:val="008417B6"/>
    <w:rsid w:val="0084185B"/>
    <w:rsid w:val="00841B10"/>
    <w:rsid w:val="00841BB1"/>
    <w:rsid w:val="00841DEB"/>
    <w:rsid w:val="00841E04"/>
    <w:rsid w:val="00841E52"/>
    <w:rsid w:val="00841EB6"/>
    <w:rsid w:val="00842573"/>
    <w:rsid w:val="00842976"/>
    <w:rsid w:val="00842A24"/>
    <w:rsid w:val="00842A7E"/>
    <w:rsid w:val="00842BFB"/>
    <w:rsid w:val="00842DAE"/>
    <w:rsid w:val="008430CE"/>
    <w:rsid w:val="00843410"/>
    <w:rsid w:val="00843838"/>
    <w:rsid w:val="00843A09"/>
    <w:rsid w:val="00843A4A"/>
    <w:rsid w:val="00843B3E"/>
    <w:rsid w:val="00843B7C"/>
    <w:rsid w:val="00843D15"/>
    <w:rsid w:val="00843D89"/>
    <w:rsid w:val="00843F18"/>
    <w:rsid w:val="0084423D"/>
    <w:rsid w:val="00844620"/>
    <w:rsid w:val="0084477E"/>
    <w:rsid w:val="00844894"/>
    <w:rsid w:val="00844BF0"/>
    <w:rsid w:val="00844F54"/>
    <w:rsid w:val="008451E0"/>
    <w:rsid w:val="00845298"/>
    <w:rsid w:val="00845746"/>
    <w:rsid w:val="0084586B"/>
    <w:rsid w:val="00845A1F"/>
    <w:rsid w:val="00846B6F"/>
    <w:rsid w:val="00846DAB"/>
    <w:rsid w:val="00847319"/>
    <w:rsid w:val="00847B95"/>
    <w:rsid w:val="008502DE"/>
    <w:rsid w:val="00850468"/>
    <w:rsid w:val="0085085C"/>
    <w:rsid w:val="00850C98"/>
    <w:rsid w:val="00850E64"/>
    <w:rsid w:val="008518B2"/>
    <w:rsid w:val="008519FA"/>
    <w:rsid w:val="00851BEA"/>
    <w:rsid w:val="0085275F"/>
    <w:rsid w:val="00852B60"/>
    <w:rsid w:val="00853563"/>
    <w:rsid w:val="008539CA"/>
    <w:rsid w:val="008539DC"/>
    <w:rsid w:val="00853E39"/>
    <w:rsid w:val="00853FDF"/>
    <w:rsid w:val="00854393"/>
    <w:rsid w:val="00854578"/>
    <w:rsid w:val="00854700"/>
    <w:rsid w:val="00854747"/>
    <w:rsid w:val="008547E1"/>
    <w:rsid w:val="00854DC8"/>
    <w:rsid w:val="00855024"/>
    <w:rsid w:val="008551EC"/>
    <w:rsid w:val="008552C3"/>
    <w:rsid w:val="0085540B"/>
    <w:rsid w:val="00855481"/>
    <w:rsid w:val="00855CA4"/>
    <w:rsid w:val="00855FE2"/>
    <w:rsid w:val="0085640B"/>
    <w:rsid w:val="0085689E"/>
    <w:rsid w:val="00856C2D"/>
    <w:rsid w:val="008570DD"/>
    <w:rsid w:val="00857315"/>
    <w:rsid w:val="0085738B"/>
    <w:rsid w:val="0085741B"/>
    <w:rsid w:val="00857931"/>
    <w:rsid w:val="00857A51"/>
    <w:rsid w:val="00857B5F"/>
    <w:rsid w:val="0086040F"/>
    <w:rsid w:val="00860503"/>
    <w:rsid w:val="0086051F"/>
    <w:rsid w:val="00860548"/>
    <w:rsid w:val="00860D14"/>
    <w:rsid w:val="00861572"/>
    <w:rsid w:val="008620CB"/>
    <w:rsid w:val="00862411"/>
    <w:rsid w:val="00862455"/>
    <w:rsid w:val="00862797"/>
    <w:rsid w:val="00862E05"/>
    <w:rsid w:val="00862E8A"/>
    <w:rsid w:val="0086326A"/>
    <w:rsid w:val="00863405"/>
    <w:rsid w:val="0086357B"/>
    <w:rsid w:val="008637B3"/>
    <w:rsid w:val="00863811"/>
    <w:rsid w:val="00863C01"/>
    <w:rsid w:val="008644DD"/>
    <w:rsid w:val="0086458D"/>
    <w:rsid w:val="00864A41"/>
    <w:rsid w:val="00864E5D"/>
    <w:rsid w:val="00864EF0"/>
    <w:rsid w:val="00864F1C"/>
    <w:rsid w:val="00864F3C"/>
    <w:rsid w:val="00865318"/>
    <w:rsid w:val="008653DA"/>
    <w:rsid w:val="008656AE"/>
    <w:rsid w:val="00865878"/>
    <w:rsid w:val="00865A05"/>
    <w:rsid w:val="00865A7F"/>
    <w:rsid w:val="00865CFB"/>
    <w:rsid w:val="00865F1C"/>
    <w:rsid w:val="0086622C"/>
    <w:rsid w:val="00866446"/>
    <w:rsid w:val="008664AF"/>
    <w:rsid w:val="00866556"/>
    <w:rsid w:val="00866621"/>
    <w:rsid w:val="00867178"/>
    <w:rsid w:val="008671EF"/>
    <w:rsid w:val="00867832"/>
    <w:rsid w:val="00867987"/>
    <w:rsid w:val="00867A96"/>
    <w:rsid w:val="00867B5E"/>
    <w:rsid w:val="00867BF8"/>
    <w:rsid w:val="00870738"/>
    <w:rsid w:val="008708BD"/>
    <w:rsid w:val="00870B0F"/>
    <w:rsid w:val="00870C9F"/>
    <w:rsid w:val="00870D6C"/>
    <w:rsid w:val="0087113C"/>
    <w:rsid w:val="008713DC"/>
    <w:rsid w:val="00871CE0"/>
    <w:rsid w:val="00871FBB"/>
    <w:rsid w:val="00872577"/>
    <w:rsid w:val="008728EE"/>
    <w:rsid w:val="00872A83"/>
    <w:rsid w:val="00873022"/>
    <w:rsid w:val="0087323E"/>
    <w:rsid w:val="008732AA"/>
    <w:rsid w:val="0087334C"/>
    <w:rsid w:val="008739ED"/>
    <w:rsid w:val="00873B50"/>
    <w:rsid w:val="00873BB6"/>
    <w:rsid w:val="00873FCD"/>
    <w:rsid w:val="0087453A"/>
    <w:rsid w:val="0087461D"/>
    <w:rsid w:val="00874B78"/>
    <w:rsid w:val="0087581B"/>
    <w:rsid w:val="00875AE7"/>
    <w:rsid w:val="00875E65"/>
    <w:rsid w:val="0087619B"/>
    <w:rsid w:val="0087646C"/>
    <w:rsid w:val="008766D9"/>
    <w:rsid w:val="0087680B"/>
    <w:rsid w:val="00876D61"/>
    <w:rsid w:val="008770B2"/>
    <w:rsid w:val="00877DED"/>
    <w:rsid w:val="00877F47"/>
    <w:rsid w:val="008800A4"/>
    <w:rsid w:val="008805FF"/>
    <w:rsid w:val="008806C3"/>
    <w:rsid w:val="008807C8"/>
    <w:rsid w:val="008807E9"/>
    <w:rsid w:val="00880B15"/>
    <w:rsid w:val="00880B5C"/>
    <w:rsid w:val="00880F1A"/>
    <w:rsid w:val="0088126A"/>
    <w:rsid w:val="00881734"/>
    <w:rsid w:val="008817E4"/>
    <w:rsid w:val="00881859"/>
    <w:rsid w:val="0088194A"/>
    <w:rsid w:val="00882040"/>
    <w:rsid w:val="00882143"/>
    <w:rsid w:val="00882C0A"/>
    <w:rsid w:val="00883184"/>
    <w:rsid w:val="00883626"/>
    <w:rsid w:val="008843EA"/>
    <w:rsid w:val="00884757"/>
    <w:rsid w:val="008848E9"/>
    <w:rsid w:val="00884A15"/>
    <w:rsid w:val="00884AF4"/>
    <w:rsid w:val="00884C6B"/>
    <w:rsid w:val="00885032"/>
    <w:rsid w:val="008850D9"/>
    <w:rsid w:val="00885347"/>
    <w:rsid w:val="00885434"/>
    <w:rsid w:val="008857C5"/>
    <w:rsid w:val="008859D8"/>
    <w:rsid w:val="00885C44"/>
    <w:rsid w:val="00885DA8"/>
    <w:rsid w:val="00886C10"/>
    <w:rsid w:val="00886C14"/>
    <w:rsid w:val="00886E36"/>
    <w:rsid w:val="008872EF"/>
    <w:rsid w:val="00887531"/>
    <w:rsid w:val="0088768F"/>
    <w:rsid w:val="008878B8"/>
    <w:rsid w:val="00887C0C"/>
    <w:rsid w:val="00887D0A"/>
    <w:rsid w:val="00887E57"/>
    <w:rsid w:val="008901B1"/>
    <w:rsid w:val="00890321"/>
    <w:rsid w:val="008903A2"/>
    <w:rsid w:val="008903C8"/>
    <w:rsid w:val="0089053F"/>
    <w:rsid w:val="00891287"/>
    <w:rsid w:val="00891644"/>
    <w:rsid w:val="00891C80"/>
    <w:rsid w:val="00891EFA"/>
    <w:rsid w:val="00891F7D"/>
    <w:rsid w:val="008924FE"/>
    <w:rsid w:val="00892B03"/>
    <w:rsid w:val="00892E07"/>
    <w:rsid w:val="00892F63"/>
    <w:rsid w:val="00893022"/>
    <w:rsid w:val="00893EB7"/>
    <w:rsid w:val="00893F1C"/>
    <w:rsid w:val="00894401"/>
    <w:rsid w:val="00894737"/>
    <w:rsid w:val="00894950"/>
    <w:rsid w:val="00894AD9"/>
    <w:rsid w:val="008953C9"/>
    <w:rsid w:val="00895ADA"/>
    <w:rsid w:val="00895CF2"/>
    <w:rsid w:val="00895FB9"/>
    <w:rsid w:val="0089604B"/>
    <w:rsid w:val="00896552"/>
    <w:rsid w:val="00896BAA"/>
    <w:rsid w:val="00896DAF"/>
    <w:rsid w:val="00896F95"/>
    <w:rsid w:val="00897014"/>
    <w:rsid w:val="0089741A"/>
    <w:rsid w:val="008979DA"/>
    <w:rsid w:val="00897F12"/>
    <w:rsid w:val="008A0BAD"/>
    <w:rsid w:val="008A0C38"/>
    <w:rsid w:val="008A0CAD"/>
    <w:rsid w:val="008A127C"/>
    <w:rsid w:val="008A136C"/>
    <w:rsid w:val="008A164B"/>
    <w:rsid w:val="008A17F5"/>
    <w:rsid w:val="008A19B3"/>
    <w:rsid w:val="008A1BF4"/>
    <w:rsid w:val="008A1E49"/>
    <w:rsid w:val="008A219F"/>
    <w:rsid w:val="008A21F3"/>
    <w:rsid w:val="008A26CD"/>
    <w:rsid w:val="008A2A05"/>
    <w:rsid w:val="008A3034"/>
    <w:rsid w:val="008A4002"/>
    <w:rsid w:val="008A4029"/>
    <w:rsid w:val="008A406C"/>
    <w:rsid w:val="008A40AC"/>
    <w:rsid w:val="008A4FA2"/>
    <w:rsid w:val="008A52A9"/>
    <w:rsid w:val="008A5729"/>
    <w:rsid w:val="008A573C"/>
    <w:rsid w:val="008A585F"/>
    <w:rsid w:val="008A5B88"/>
    <w:rsid w:val="008A5DDE"/>
    <w:rsid w:val="008A5E4F"/>
    <w:rsid w:val="008A5E5C"/>
    <w:rsid w:val="008A6086"/>
    <w:rsid w:val="008A6F5F"/>
    <w:rsid w:val="008A72FB"/>
    <w:rsid w:val="008A75AD"/>
    <w:rsid w:val="008A7DB6"/>
    <w:rsid w:val="008B0B22"/>
    <w:rsid w:val="008B0D85"/>
    <w:rsid w:val="008B0E15"/>
    <w:rsid w:val="008B124E"/>
    <w:rsid w:val="008B1267"/>
    <w:rsid w:val="008B157D"/>
    <w:rsid w:val="008B1829"/>
    <w:rsid w:val="008B1A16"/>
    <w:rsid w:val="008B1AEA"/>
    <w:rsid w:val="008B1D91"/>
    <w:rsid w:val="008B1DD9"/>
    <w:rsid w:val="008B2291"/>
    <w:rsid w:val="008B2706"/>
    <w:rsid w:val="008B27CF"/>
    <w:rsid w:val="008B2F4F"/>
    <w:rsid w:val="008B2FE2"/>
    <w:rsid w:val="008B3027"/>
    <w:rsid w:val="008B33D2"/>
    <w:rsid w:val="008B3460"/>
    <w:rsid w:val="008B3A0A"/>
    <w:rsid w:val="008B3A90"/>
    <w:rsid w:val="008B3C00"/>
    <w:rsid w:val="008B3C2E"/>
    <w:rsid w:val="008B3C4B"/>
    <w:rsid w:val="008B3E79"/>
    <w:rsid w:val="008B40A7"/>
    <w:rsid w:val="008B4234"/>
    <w:rsid w:val="008B4271"/>
    <w:rsid w:val="008B4510"/>
    <w:rsid w:val="008B547A"/>
    <w:rsid w:val="008B588F"/>
    <w:rsid w:val="008B5A0F"/>
    <w:rsid w:val="008B6455"/>
    <w:rsid w:val="008B70C8"/>
    <w:rsid w:val="008B7463"/>
    <w:rsid w:val="008B7D2D"/>
    <w:rsid w:val="008B7D32"/>
    <w:rsid w:val="008B7D86"/>
    <w:rsid w:val="008C0317"/>
    <w:rsid w:val="008C1254"/>
    <w:rsid w:val="008C1865"/>
    <w:rsid w:val="008C189A"/>
    <w:rsid w:val="008C1A7F"/>
    <w:rsid w:val="008C1C10"/>
    <w:rsid w:val="008C2422"/>
    <w:rsid w:val="008C2483"/>
    <w:rsid w:val="008C2BD0"/>
    <w:rsid w:val="008C31F4"/>
    <w:rsid w:val="008C3524"/>
    <w:rsid w:val="008C3C37"/>
    <w:rsid w:val="008C3C93"/>
    <w:rsid w:val="008C3DEA"/>
    <w:rsid w:val="008C3F52"/>
    <w:rsid w:val="008C443F"/>
    <w:rsid w:val="008C4458"/>
    <w:rsid w:val="008C44DC"/>
    <w:rsid w:val="008C4DFB"/>
    <w:rsid w:val="008C53FA"/>
    <w:rsid w:val="008C59B8"/>
    <w:rsid w:val="008C5F49"/>
    <w:rsid w:val="008C6467"/>
    <w:rsid w:val="008C6C61"/>
    <w:rsid w:val="008C71DD"/>
    <w:rsid w:val="008C7A2C"/>
    <w:rsid w:val="008C7B12"/>
    <w:rsid w:val="008C7FE5"/>
    <w:rsid w:val="008D10F7"/>
    <w:rsid w:val="008D1A19"/>
    <w:rsid w:val="008D1B9A"/>
    <w:rsid w:val="008D1CB0"/>
    <w:rsid w:val="008D1E41"/>
    <w:rsid w:val="008D1FE4"/>
    <w:rsid w:val="008D232B"/>
    <w:rsid w:val="008D2332"/>
    <w:rsid w:val="008D23A9"/>
    <w:rsid w:val="008D27D7"/>
    <w:rsid w:val="008D2EF6"/>
    <w:rsid w:val="008D3702"/>
    <w:rsid w:val="008D376A"/>
    <w:rsid w:val="008D3977"/>
    <w:rsid w:val="008D3C12"/>
    <w:rsid w:val="008D3F9A"/>
    <w:rsid w:val="008D433A"/>
    <w:rsid w:val="008D4582"/>
    <w:rsid w:val="008D4E87"/>
    <w:rsid w:val="008D513B"/>
    <w:rsid w:val="008D523A"/>
    <w:rsid w:val="008D5549"/>
    <w:rsid w:val="008D5570"/>
    <w:rsid w:val="008D5844"/>
    <w:rsid w:val="008D5F63"/>
    <w:rsid w:val="008D5FE0"/>
    <w:rsid w:val="008D64A2"/>
    <w:rsid w:val="008D6509"/>
    <w:rsid w:val="008D66B9"/>
    <w:rsid w:val="008D6D0D"/>
    <w:rsid w:val="008D6EFE"/>
    <w:rsid w:val="008D7235"/>
    <w:rsid w:val="008D779A"/>
    <w:rsid w:val="008D7968"/>
    <w:rsid w:val="008D7A54"/>
    <w:rsid w:val="008D7ED0"/>
    <w:rsid w:val="008D7FA1"/>
    <w:rsid w:val="008E01E2"/>
    <w:rsid w:val="008E069A"/>
    <w:rsid w:val="008E0BA6"/>
    <w:rsid w:val="008E0BE2"/>
    <w:rsid w:val="008E0F19"/>
    <w:rsid w:val="008E106B"/>
    <w:rsid w:val="008E1263"/>
    <w:rsid w:val="008E1773"/>
    <w:rsid w:val="008E1A2B"/>
    <w:rsid w:val="008E1A4E"/>
    <w:rsid w:val="008E1DE9"/>
    <w:rsid w:val="008E1E6C"/>
    <w:rsid w:val="008E2183"/>
    <w:rsid w:val="008E2308"/>
    <w:rsid w:val="008E2466"/>
    <w:rsid w:val="008E259B"/>
    <w:rsid w:val="008E267A"/>
    <w:rsid w:val="008E2934"/>
    <w:rsid w:val="008E2CD8"/>
    <w:rsid w:val="008E3002"/>
    <w:rsid w:val="008E3151"/>
    <w:rsid w:val="008E3309"/>
    <w:rsid w:val="008E3582"/>
    <w:rsid w:val="008E48F1"/>
    <w:rsid w:val="008E4EA7"/>
    <w:rsid w:val="008E53EB"/>
    <w:rsid w:val="008E5665"/>
    <w:rsid w:val="008E59A2"/>
    <w:rsid w:val="008E5A3F"/>
    <w:rsid w:val="008E6026"/>
    <w:rsid w:val="008E6779"/>
    <w:rsid w:val="008E745E"/>
    <w:rsid w:val="008E7CDA"/>
    <w:rsid w:val="008E7F10"/>
    <w:rsid w:val="008F00BF"/>
    <w:rsid w:val="008F01E3"/>
    <w:rsid w:val="008F0390"/>
    <w:rsid w:val="008F094B"/>
    <w:rsid w:val="008F0EBE"/>
    <w:rsid w:val="008F111C"/>
    <w:rsid w:val="008F2165"/>
    <w:rsid w:val="008F2393"/>
    <w:rsid w:val="008F294A"/>
    <w:rsid w:val="008F2980"/>
    <w:rsid w:val="008F2B8D"/>
    <w:rsid w:val="008F2FE3"/>
    <w:rsid w:val="008F3191"/>
    <w:rsid w:val="008F3B6A"/>
    <w:rsid w:val="008F3F0D"/>
    <w:rsid w:val="008F40F7"/>
    <w:rsid w:val="008F45FE"/>
    <w:rsid w:val="008F4632"/>
    <w:rsid w:val="008F4AA9"/>
    <w:rsid w:val="008F4F5F"/>
    <w:rsid w:val="008F5092"/>
    <w:rsid w:val="008F50C0"/>
    <w:rsid w:val="008F5600"/>
    <w:rsid w:val="008F58D1"/>
    <w:rsid w:val="008F59A4"/>
    <w:rsid w:val="008F5A0B"/>
    <w:rsid w:val="008F5B51"/>
    <w:rsid w:val="008F5DE8"/>
    <w:rsid w:val="008F5E11"/>
    <w:rsid w:val="008F64B1"/>
    <w:rsid w:val="008F68D6"/>
    <w:rsid w:val="008F6CE6"/>
    <w:rsid w:val="008F6FE6"/>
    <w:rsid w:val="008F729B"/>
    <w:rsid w:val="008F7979"/>
    <w:rsid w:val="008F7A5A"/>
    <w:rsid w:val="008F7C56"/>
    <w:rsid w:val="008F7D15"/>
    <w:rsid w:val="008F7D36"/>
    <w:rsid w:val="008F7FA5"/>
    <w:rsid w:val="00900273"/>
    <w:rsid w:val="009009DC"/>
    <w:rsid w:val="00901298"/>
    <w:rsid w:val="00901854"/>
    <w:rsid w:val="00901D1A"/>
    <w:rsid w:val="00901E3D"/>
    <w:rsid w:val="00901FAD"/>
    <w:rsid w:val="00901FFB"/>
    <w:rsid w:val="00902485"/>
    <w:rsid w:val="00902A4E"/>
    <w:rsid w:val="00902F97"/>
    <w:rsid w:val="00903022"/>
    <w:rsid w:val="00904932"/>
    <w:rsid w:val="00904EA4"/>
    <w:rsid w:val="009051B7"/>
    <w:rsid w:val="009056C6"/>
    <w:rsid w:val="00906341"/>
    <w:rsid w:val="00906426"/>
    <w:rsid w:val="009068D3"/>
    <w:rsid w:val="00906E93"/>
    <w:rsid w:val="00906F43"/>
    <w:rsid w:val="00906F5F"/>
    <w:rsid w:val="00906F7A"/>
    <w:rsid w:val="00907025"/>
    <w:rsid w:val="00907303"/>
    <w:rsid w:val="009079C7"/>
    <w:rsid w:val="00907A3A"/>
    <w:rsid w:val="00907B98"/>
    <w:rsid w:val="00907C43"/>
    <w:rsid w:val="00907DCD"/>
    <w:rsid w:val="00907F7B"/>
    <w:rsid w:val="00907FAA"/>
    <w:rsid w:val="00910122"/>
    <w:rsid w:val="00910278"/>
    <w:rsid w:val="0091035D"/>
    <w:rsid w:val="00910799"/>
    <w:rsid w:val="00910847"/>
    <w:rsid w:val="00910CAF"/>
    <w:rsid w:val="00910EF5"/>
    <w:rsid w:val="00910F43"/>
    <w:rsid w:val="009113A9"/>
    <w:rsid w:val="009116E1"/>
    <w:rsid w:val="00911961"/>
    <w:rsid w:val="0091239E"/>
    <w:rsid w:val="0091268A"/>
    <w:rsid w:val="0091273B"/>
    <w:rsid w:val="00912BA2"/>
    <w:rsid w:val="0091309A"/>
    <w:rsid w:val="009132D0"/>
    <w:rsid w:val="00913312"/>
    <w:rsid w:val="009135AC"/>
    <w:rsid w:val="00913B34"/>
    <w:rsid w:val="009141D1"/>
    <w:rsid w:val="00914B91"/>
    <w:rsid w:val="0091511D"/>
    <w:rsid w:val="00915962"/>
    <w:rsid w:val="00915BD7"/>
    <w:rsid w:val="00915BFD"/>
    <w:rsid w:val="00915E02"/>
    <w:rsid w:val="0091621A"/>
    <w:rsid w:val="009162C8"/>
    <w:rsid w:val="009164A3"/>
    <w:rsid w:val="00916688"/>
    <w:rsid w:val="009166AD"/>
    <w:rsid w:val="009167AE"/>
    <w:rsid w:val="0091688F"/>
    <w:rsid w:val="009169C7"/>
    <w:rsid w:val="009170C1"/>
    <w:rsid w:val="00917420"/>
    <w:rsid w:val="00920023"/>
    <w:rsid w:val="0092051F"/>
    <w:rsid w:val="009205C9"/>
    <w:rsid w:val="00920809"/>
    <w:rsid w:val="00920985"/>
    <w:rsid w:val="00920A7F"/>
    <w:rsid w:val="00920EB9"/>
    <w:rsid w:val="009214A1"/>
    <w:rsid w:val="0092171E"/>
    <w:rsid w:val="009217D8"/>
    <w:rsid w:val="00921853"/>
    <w:rsid w:val="00921F61"/>
    <w:rsid w:val="009221E6"/>
    <w:rsid w:val="00922449"/>
    <w:rsid w:val="009224FA"/>
    <w:rsid w:val="00922588"/>
    <w:rsid w:val="009228A1"/>
    <w:rsid w:val="0092295E"/>
    <w:rsid w:val="00922A8A"/>
    <w:rsid w:val="00922CED"/>
    <w:rsid w:val="009231D2"/>
    <w:rsid w:val="00923BF3"/>
    <w:rsid w:val="00924500"/>
    <w:rsid w:val="00925069"/>
    <w:rsid w:val="00925256"/>
    <w:rsid w:val="00925926"/>
    <w:rsid w:val="0092594F"/>
    <w:rsid w:val="009259BE"/>
    <w:rsid w:val="00925A99"/>
    <w:rsid w:val="00925D26"/>
    <w:rsid w:val="00925E12"/>
    <w:rsid w:val="00925E4A"/>
    <w:rsid w:val="00926571"/>
    <w:rsid w:val="00926AE1"/>
    <w:rsid w:val="00926D9A"/>
    <w:rsid w:val="0092725D"/>
    <w:rsid w:val="0092734C"/>
    <w:rsid w:val="0092754D"/>
    <w:rsid w:val="0093015C"/>
    <w:rsid w:val="009305A4"/>
    <w:rsid w:val="00930959"/>
    <w:rsid w:val="009319D0"/>
    <w:rsid w:val="00931C61"/>
    <w:rsid w:val="00931EBA"/>
    <w:rsid w:val="00932295"/>
    <w:rsid w:val="00932442"/>
    <w:rsid w:val="00932542"/>
    <w:rsid w:val="0093301B"/>
    <w:rsid w:val="00933556"/>
    <w:rsid w:val="009340FF"/>
    <w:rsid w:val="00934270"/>
    <w:rsid w:val="0093456F"/>
    <w:rsid w:val="0093486D"/>
    <w:rsid w:val="00934CD9"/>
    <w:rsid w:val="00934E3A"/>
    <w:rsid w:val="00934E95"/>
    <w:rsid w:val="009351AD"/>
    <w:rsid w:val="009355D4"/>
    <w:rsid w:val="00935C4F"/>
    <w:rsid w:val="00935C58"/>
    <w:rsid w:val="00935DF1"/>
    <w:rsid w:val="00936436"/>
    <w:rsid w:val="0093653A"/>
    <w:rsid w:val="00936A5F"/>
    <w:rsid w:val="00936E10"/>
    <w:rsid w:val="0093701A"/>
    <w:rsid w:val="0093701D"/>
    <w:rsid w:val="00937614"/>
    <w:rsid w:val="0093777D"/>
    <w:rsid w:val="0093790D"/>
    <w:rsid w:val="0094023B"/>
    <w:rsid w:val="00940A46"/>
    <w:rsid w:val="00940D9E"/>
    <w:rsid w:val="00940E4D"/>
    <w:rsid w:val="00941DF0"/>
    <w:rsid w:val="00941F0D"/>
    <w:rsid w:val="0094238E"/>
    <w:rsid w:val="009426A8"/>
    <w:rsid w:val="009429D8"/>
    <w:rsid w:val="00942D15"/>
    <w:rsid w:val="00942E50"/>
    <w:rsid w:val="0094315C"/>
    <w:rsid w:val="009431A0"/>
    <w:rsid w:val="009433DB"/>
    <w:rsid w:val="00943539"/>
    <w:rsid w:val="00943CB5"/>
    <w:rsid w:val="00943D4F"/>
    <w:rsid w:val="00944019"/>
    <w:rsid w:val="00944BAE"/>
    <w:rsid w:val="00944C36"/>
    <w:rsid w:val="009456CC"/>
    <w:rsid w:val="00945E11"/>
    <w:rsid w:val="00945FB2"/>
    <w:rsid w:val="00946149"/>
    <w:rsid w:val="009462AC"/>
    <w:rsid w:val="00946590"/>
    <w:rsid w:val="00946811"/>
    <w:rsid w:val="00946AC7"/>
    <w:rsid w:val="00946D06"/>
    <w:rsid w:val="00946DA4"/>
    <w:rsid w:val="00946FB0"/>
    <w:rsid w:val="00947054"/>
    <w:rsid w:val="00947659"/>
    <w:rsid w:val="00947B53"/>
    <w:rsid w:val="00947E55"/>
    <w:rsid w:val="00947F2C"/>
    <w:rsid w:val="009502C0"/>
    <w:rsid w:val="009508DB"/>
    <w:rsid w:val="00950B88"/>
    <w:rsid w:val="009513EF"/>
    <w:rsid w:val="00951726"/>
    <w:rsid w:val="00951CB5"/>
    <w:rsid w:val="0095206F"/>
    <w:rsid w:val="009520FD"/>
    <w:rsid w:val="0095231E"/>
    <w:rsid w:val="00952691"/>
    <w:rsid w:val="009526B7"/>
    <w:rsid w:val="00952874"/>
    <w:rsid w:val="009533CC"/>
    <w:rsid w:val="009534DC"/>
    <w:rsid w:val="0095386A"/>
    <w:rsid w:val="00953AA9"/>
    <w:rsid w:val="009541BD"/>
    <w:rsid w:val="009541CB"/>
    <w:rsid w:val="00954D33"/>
    <w:rsid w:val="00954EB5"/>
    <w:rsid w:val="00955C61"/>
    <w:rsid w:val="00955EC5"/>
    <w:rsid w:val="00955F9C"/>
    <w:rsid w:val="00956176"/>
    <w:rsid w:val="0095673F"/>
    <w:rsid w:val="00956C46"/>
    <w:rsid w:val="00956D2B"/>
    <w:rsid w:val="00956EFC"/>
    <w:rsid w:val="00957084"/>
    <w:rsid w:val="009572B9"/>
    <w:rsid w:val="00957347"/>
    <w:rsid w:val="00957921"/>
    <w:rsid w:val="00957DEA"/>
    <w:rsid w:val="00957F1E"/>
    <w:rsid w:val="00960192"/>
    <w:rsid w:val="009616C7"/>
    <w:rsid w:val="0096177E"/>
    <w:rsid w:val="009620FC"/>
    <w:rsid w:val="00962192"/>
    <w:rsid w:val="009623C7"/>
    <w:rsid w:val="009624D0"/>
    <w:rsid w:val="00962899"/>
    <w:rsid w:val="0096320B"/>
    <w:rsid w:val="009633D5"/>
    <w:rsid w:val="00963489"/>
    <w:rsid w:val="00963866"/>
    <w:rsid w:val="00963BE0"/>
    <w:rsid w:val="00963D0C"/>
    <w:rsid w:val="00963DAA"/>
    <w:rsid w:val="009645F5"/>
    <w:rsid w:val="00964D1C"/>
    <w:rsid w:val="00964D76"/>
    <w:rsid w:val="00964DE1"/>
    <w:rsid w:val="00964FF5"/>
    <w:rsid w:val="009650D9"/>
    <w:rsid w:val="0096510B"/>
    <w:rsid w:val="00965441"/>
    <w:rsid w:val="00965635"/>
    <w:rsid w:val="00965701"/>
    <w:rsid w:val="00965954"/>
    <w:rsid w:val="009659BA"/>
    <w:rsid w:val="00965AF8"/>
    <w:rsid w:val="00965B9C"/>
    <w:rsid w:val="00965BE3"/>
    <w:rsid w:val="00965D17"/>
    <w:rsid w:val="00965F76"/>
    <w:rsid w:val="009661FA"/>
    <w:rsid w:val="009662A9"/>
    <w:rsid w:val="009663F3"/>
    <w:rsid w:val="0096667B"/>
    <w:rsid w:val="00966983"/>
    <w:rsid w:val="009669F1"/>
    <w:rsid w:val="00966ABA"/>
    <w:rsid w:val="00966CD4"/>
    <w:rsid w:val="00966D07"/>
    <w:rsid w:val="00966DBD"/>
    <w:rsid w:val="00966E31"/>
    <w:rsid w:val="00967054"/>
    <w:rsid w:val="0096712B"/>
    <w:rsid w:val="009672F2"/>
    <w:rsid w:val="00967461"/>
    <w:rsid w:val="00967987"/>
    <w:rsid w:val="009706DA"/>
    <w:rsid w:val="009707D5"/>
    <w:rsid w:val="009708D5"/>
    <w:rsid w:val="00970BA2"/>
    <w:rsid w:val="00970BFD"/>
    <w:rsid w:val="00971064"/>
    <w:rsid w:val="00971306"/>
    <w:rsid w:val="00971552"/>
    <w:rsid w:val="009718E8"/>
    <w:rsid w:val="0097193B"/>
    <w:rsid w:val="009719D6"/>
    <w:rsid w:val="00971AD9"/>
    <w:rsid w:val="00971BA9"/>
    <w:rsid w:val="00971E53"/>
    <w:rsid w:val="00972989"/>
    <w:rsid w:val="00972CAA"/>
    <w:rsid w:val="0097327D"/>
    <w:rsid w:val="00973378"/>
    <w:rsid w:val="00973483"/>
    <w:rsid w:val="00973F36"/>
    <w:rsid w:val="009741ED"/>
    <w:rsid w:val="009743A5"/>
    <w:rsid w:val="0097465F"/>
    <w:rsid w:val="0097477B"/>
    <w:rsid w:val="0097518F"/>
    <w:rsid w:val="00975303"/>
    <w:rsid w:val="009756BD"/>
    <w:rsid w:val="00975AB0"/>
    <w:rsid w:val="009763B4"/>
    <w:rsid w:val="00976428"/>
    <w:rsid w:val="009764B4"/>
    <w:rsid w:val="00976814"/>
    <w:rsid w:val="00976818"/>
    <w:rsid w:val="009768E9"/>
    <w:rsid w:val="00976F74"/>
    <w:rsid w:val="009776E3"/>
    <w:rsid w:val="009777EA"/>
    <w:rsid w:val="00977825"/>
    <w:rsid w:val="00977B14"/>
    <w:rsid w:val="00977F19"/>
    <w:rsid w:val="00980097"/>
    <w:rsid w:val="0098050A"/>
    <w:rsid w:val="009808E2"/>
    <w:rsid w:val="00980A04"/>
    <w:rsid w:val="00980C29"/>
    <w:rsid w:val="00980F23"/>
    <w:rsid w:val="00980FE3"/>
    <w:rsid w:val="0098128B"/>
    <w:rsid w:val="0098132C"/>
    <w:rsid w:val="0098174C"/>
    <w:rsid w:val="009819FE"/>
    <w:rsid w:val="00981C40"/>
    <w:rsid w:val="00982591"/>
    <w:rsid w:val="0098266C"/>
    <w:rsid w:val="009828AD"/>
    <w:rsid w:val="00982A39"/>
    <w:rsid w:val="00982C93"/>
    <w:rsid w:val="00982E9C"/>
    <w:rsid w:val="00982F54"/>
    <w:rsid w:val="0098320E"/>
    <w:rsid w:val="00983566"/>
    <w:rsid w:val="00983C8D"/>
    <w:rsid w:val="00983F9F"/>
    <w:rsid w:val="00984001"/>
    <w:rsid w:val="0098449E"/>
    <w:rsid w:val="00984857"/>
    <w:rsid w:val="00985741"/>
    <w:rsid w:val="00985F6A"/>
    <w:rsid w:val="00986383"/>
    <w:rsid w:val="00986537"/>
    <w:rsid w:val="009868A7"/>
    <w:rsid w:val="00986C12"/>
    <w:rsid w:val="00986DED"/>
    <w:rsid w:val="00986E6F"/>
    <w:rsid w:val="00987102"/>
    <w:rsid w:val="0098714D"/>
    <w:rsid w:val="0098739A"/>
    <w:rsid w:val="009874E4"/>
    <w:rsid w:val="00987EBC"/>
    <w:rsid w:val="00990A2E"/>
    <w:rsid w:val="00990DF2"/>
    <w:rsid w:val="00991247"/>
    <w:rsid w:val="0099126D"/>
    <w:rsid w:val="009915F8"/>
    <w:rsid w:val="00991837"/>
    <w:rsid w:val="00991C25"/>
    <w:rsid w:val="00991EAB"/>
    <w:rsid w:val="00991ECA"/>
    <w:rsid w:val="0099227D"/>
    <w:rsid w:val="009923DF"/>
    <w:rsid w:val="009924C4"/>
    <w:rsid w:val="0099259E"/>
    <w:rsid w:val="00992D29"/>
    <w:rsid w:val="00993414"/>
    <w:rsid w:val="0099350D"/>
    <w:rsid w:val="0099354F"/>
    <w:rsid w:val="009937E7"/>
    <w:rsid w:val="00993AA4"/>
    <w:rsid w:val="00993BCD"/>
    <w:rsid w:val="00993E01"/>
    <w:rsid w:val="009940C2"/>
    <w:rsid w:val="009940E6"/>
    <w:rsid w:val="00994231"/>
    <w:rsid w:val="009942F9"/>
    <w:rsid w:val="00994536"/>
    <w:rsid w:val="009945FD"/>
    <w:rsid w:val="00994650"/>
    <w:rsid w:val="009946FD"/>
    <w:rsid w:val="00994776"/>
    <w:rsid w:val="009948F9"/>
    <w:rsid w:val="00995239"/>
    <w:rsid w:val="0099558D"/>
    <w:rsid w:val="00995902"/>
    <w:rsid w:val="00995B17"/>
    <w:rsid w:val="009965C7"/>
    <w:rsid w:val="009967E5"/>
    <w:rsid w:val="00996B41"/>
    <w:rsid w:val="00996D4C"/>
    <w:rsid w:val="00996E6E"/>
    <w:rsid w:val="00997305"/>
    <w:rsid w:val="009977BB"/>
    <w:rsid w:val="0099794B"/>
    <w:rsid w:val="00997DEA"/>
    <w:rsid w:val="009A0E5B"/>
    <w:rsid w:val="009A158A"/>
    <w:rsid w:val="009A1910"/>
    <w:rsid w:val="009A1937"/>
    <w:rsid w:val="009A1DF1"/>
    <w:rsid w:val="009A1E3C"/>
    <w:rsid w:val="009A1EDB"/>
    <w:rsid w:val="009A26DF"/>
    <w:rsid w:val="009A2B74"/>
    <w:rsid w:val="009A3057"/>
    <w:rsid w:val="009A30BF"/>
    <w:rsid w:val="009A32C2"/>
    <w:rsid w:val="009A3987"/>
    <w:rsid w:val="009A3C71"/>
    <w:rsid w:val="009A3F87"/>
    <w:rsid w:val="009A45E2"/>
    <w:rsid w:val="009A47A6"/>
    <w:rsid w:val="009A4890"/>
    <w:rsid w:val="009A4EB4"/>
    <w:rsid w:val="009A4F5E"/>
    <w:rsid w:val="009A521C"/>
    <w:rsid w:val="009A52AD"/>
    <w:rsid w:val="009A53D7"/>
    <w:rsid w:val="009A56F7"/>
    <w:rsid w:val="009A57F0"/>
    <w:rsid w:val="009A5A09"/>
    <w:rsid w:val="009A5CC4"/>
    <w:rsid w:val="009A6735"/>
    <w:rsid w:val="009A6A1A"/>
    <w:rsid w:val="009A6B82"/>
    <w:rsid w:val="009A6E71"/>
    <w:rsid w:val="009A6FE5"/>
    <w:rsid w:val="009A7278"/>
    <w:rsid w:val="009A76FC"/>
    <w:rsid w:val="009A7AC6"/>
    <w:rsid w:val="009B0472"/>
    <w:rsid w:val="009B1026"/>
    <w:rsid w:val="009B13FF"/>
    <w:rsid w:val="009B1549"/>
    <w:rsid w:val="009B19B4"/>
    <w:rsid w:val="009B1A24"/>
    <w:rsid w:val="009B1A90"/>
    <w:rsid w:val="009B1D2A"/>
    <w:rsid w:val="009B25C9"/>
    <w:rsid w:val="009B2868"/>
    <w:rsid w:val="009B333D"/>
    <w:rsid w:val="009B3407"/>
    <w:rsid w:val="009B35E1"/>
    <w:rsid w:val="009B376F"/>
    <w:rsid w:val="009B3818"/>
    <w:rsid w:val="009B3A7C"/>
    <w:rsid w:val="009B3BCB"/>
    <w:rsid w:val="009B3CBD"/>
    <w:rsid w:val="009B3F12"/>
    <w:rsid w:val="009B4028"/>
    <w:rsid w:val="009B4337"/>
    <w:rsid w:val="009B441F"/>
    <w:rsid w:val="009B4472"/>
    <w:rsid w:val="009B4714"/>
    <w:rsid w:val="009B488E"/>
    <w:rsid w:val="009B4D13"/>
    <w:rsid w:val="009B4E8E"/>
    <w:rsid w:val="009B5A23"/>
    <w:rsid w:val="009B5AB2"/>
    <w:rsid w:val="009B5B7B"/>
    <w:rsid w:val="009B5CCD"/>
    <w:rsid w:val="009B695D"/>
    <w:rsid w:val="009B70A8"/>
    <w:rsid w:val="009B7558"/>
    <w:rsid w:val="009B776F"/>
    <w:rsid w:val="009B77F6"/>
    <w:rsid w:val="009B7822"/>
    <w:rsid w:val="009B7874"/>
    <w:rsid w:val="009C02FB"/>
    <w:rsid w:val="009C03DF"/>
    <w:rsid w:val="009C0680"/>
    <w:rsid w:val="009C0EE0"/>
    <w:rsid w:val="009C0F70"/>
    <w:rsid w:val="009C1537"/>
    <w:rsid w:val="009C180D"/>
    <w:rsid w:val="009C1CBC"/>
    <w:rsid w:val="009C1D51"/>
    <w:rsid w:val="009C20B5"/>
    <w:rsid w:val="009C28BE"/>
    <w:rsid w:val="009C2B98"/>
    <w:rsid w:val="009C2EFF"/>
    <w:rsid w:val="009C2FCB"/>
    <w:rsid w:val="009C34B6"/>
    <w:rsid w:val="009C3667"/>
    <w:rsid w:val="009C388E"/>
    <w:rsid w:val="009C3B2F"/>
    <w:rsid w:val="009C4736"/>
    <w:rsid w:val="009C4837"/>
    <w:rsid w:val="009C4B71"/>
    <w:rsid w:val="009C5053"/>
    <w:rsid w:val="009C5355"/>
    <w:rsid w:val="009C5CD0"/>
    <w:rsid w:val="009C6364"/>
    <w:rsid w:val="009C641B"/>
    <w:rsid w:val="009C6491"/>
    <w:rsid w:val="009C654E"/>
    <w:rsid w:val="009C663F"/>
    <w:rsid w:val="009C6E9B"/>
    <w:rsid w:val="009C79E4"/>
    <w:rsid w:val="009C7B8D"/>
    <w:rsid w:val="009D070C"/>
    <w:rsid w:val="009D0834"/>
    <w:rsid w:val="009D0C23"/>
    <w:rsid w:val="009D0E55"/>
    <w:rsid w:val="009D119C"/>
    <w:rsid w:val="009D1874"/>
    <w:rsid w:val="009D1A49"/>
    <w:rsid w:val="009D21F9"/>
    <w:rsid w:val="009D23C3"/>
    <w:rsid w:val="009D25D7"/>
    <w:rsid w:val="009D2870"/>
    <w:rsid w:val="009D2E1E"/>
    <w:rsid w:val="009D3136"/>
    <w:rsid w:val="009D31CD"/>
    <w:rsid w:val="009D352B"/>
    <w:rsid w:val="009D370C"/>
    <w:rsid w:val="009D3A48"/>
    <w:rsid w:val="009D3DB6"/>
    <w:rsid w:val="009D4062"/>
    <w:rsid w:val="009D40E5"/>
    <w:rsid w:val="009D4578"/>
    <w:rsid w:val="009D5098"/>
    <w:rsid w:val="009D534E"/>
    <w:rsid w:val="009D5828"/>
    <w:rsid w:val="009D5A14"/>
    <w:rsid w:val="009D5BFD"/>
    <w:rsid w:val="009D5CAF"/>
    <w:rsid w:val="009D5F32"/>
    <w:rsid w:val="009D611F"/>
    <w:rsid w:val="009D62D3"/>
    <w:rsid w:val="009D643D"/>
    <w:rsid w:val="009D659F"/>
    <w:rsid w:val="009D6A6A"/>
    <w:rsid w:val="009D700C"/>
    <w:rsid w:val="009D722A"/>
    <w:rsid w:val="009D7E87"/>
    <w:rsid w:val="009D7F76"/>
    <w:rsid w:val="009E00BD"/>
    <w:rsid w:val="009E0140"/>
    <w:rsid w:val="009E0246"/>
    <w:rsid w:val="009E04E3"/>
    <w:rsid w:val="009E051B"/>
    <w:rsid w:val="009E0596"/>
    <w:rsid w:val="009E0A9F"/>
    <w:rsid w:val="009E0D6C"/>
    <w:rsid w:val="009E116A"/>
    <w:rsid w:val="009E1175"/>
    <w:rsid w:val="009E16EC"/>
    <w:rsid w:val="009E1AE8"/>
    <w:rsid w:val="009E1B61"/>
    <w:rsid w:val="009E1E2E"/>
    <w:rsid w:val="009E281B"/>
    <w:rsid w:val="009E2846"/>
    <w:rsid w:val="009E2CE2"/>
    <w:rsid w:val="009E3057"/>
    <w:rsid w:val="009E31E9"/>
    <w:rsid w:val="009E3628"/>
    <w:rsid w:val="009E3B26"/>
    <w:rsid w:val="009E4413"/>
    <w:rsid w:val="009E501B"/>
    <w:rsid w:val="009E5651"/>
    <w:rsid w:val="009E61A9"/>
    <w:rsid w:val="009E6B5C"/>
    <w:rsid w:val="009E6C9E"/>
    <w:rsid w:val="009E6D28"/>
    <w:rsid w:val="009E6F7A"/>
    <w:rsid w:val="009E743E"/>
    <w:rsid w:val="009E74DC"/>
    <w:rsid w:val="009E767C"/>
    <w:rsid w:val="009F03FE"/>
    <w:rsid w:val="009F0E5D"/>
    <w:rsid w:val="009F0E8B"/>
    <w:rsid w:val="009F1060"/>
    <w:rsid w:val="009F1168"/>
    <w:rsid w:val="009F12E1"/>
    <w:rsid w:val="009F14BB"/>
    <w:rsid w:val="009F174A"/>
    <w:rsid w:val="009F1AF1"/>
    <w:rsid w:val="009F1B46"/>
    <w:rsid w:val="009F1B5F"/>
    <w:rsid w:val="009F1BAC"/>
    <w:rsid w:val="009F1C72"/>
    <w:rsid w:val="009F2851"/>
    <w:rsid w:val="009F287E"/>
    <w:rsid w:val="009F29DD"/>
    <w:rsid w:val="009F2D0A"/>
    <w:rsid w:val="009F3045"/>
    <w:rsid w:val="009F34BA"/>
    <w:rsid w:val="009F36DF"/>
    <w:rsid w:val="009F37AB"/>
    <w:rsid w:val="009F3ADB"/>
    <w:rsid w:val="009F3FA7"/>
    <w:rsid w:val="009F42E5"/>
    <w:rsid w:val="009F464C"/>
    <w:rsid w:val="009F4798"/>
    <w:rsid w:val="009F4A70"/>
    <w:rsid w:val="009F549F"/>
    <w:rsid w:val="009F5C97"/>
    <w:rsid w:val="009F636D"/>
    <w:rsid w:val="009F64DE"/>
    <w:rsid w:val="009F66DD"/>
    <w:rsid w:val="009F6CBD"/>
    <w:rsid w:val="009F6F66"/>
    <w:rsid w:val="009F71FE"/>
    <w:rsid w:val="009F7520"/>
    <w:rsid w:val="009F7645"/>
    <w:rsid w:val="009F775E"/>
    <w:rsid w:val="009F788D"/>
    <w:rsid w:val="00A00C05"/>
    <w:rsid w:val="00A00EC5"/>
    <w:rsid w:val="00A01CB6"/>
    <w:rsid w:val="00A02556"/>
    <w:rsid w:val="00A0273C"/>
    <w:rsid w:val="00A02ABB"/>
    <w:rsid w:val="00A02D05"/>
    <w:rsid w:val="00A02D24"/>
    <w:rsid w:val="00A03243"/>
    <w:rsid w:val="00A032EF"/>
    <w:rsid w:val="00A033E7"/>
    <w:rsid w:val="00A036FB"/>
    <w:rsid w:val="00A03775"/>
    <w:rsid w:val="00A03CE4"/>
    <w:rsid w:val="00A03DE2"/>
    <w:rsid w:val="00A045E9"/>
    <w:rsid w:val="00A0493E"/>
    <w:rsid w:val="00A04CE9"/>
    <w:rsid w:val="00A0553E"/>
    <w:rsid w:val="00A056CA"/>
    <w:rsid w:val="00A05BD9"/>
    <w:rsid w:val="00A061D9"/>
    <w:rsid w:val="00A0621F"/>
    <w:rsid w:val="00A06473"/>
    <w:rsid w:val="00A065C7"/>
    <w:rsid w:val="00A06620"/>
    <w:rsid w:val="00A068A4"/>
    <w:rsid w:val="00A06914"/>
    <w:rsid w:val="00A06ACB"/>
    <w:rsid w:val="00A06B8B"/>
    <w:rsid w:val="00A06FBF"/>
    <w:rsid w:val="00A07CB7"/>
    <w:rsid w:val="00A07DE8"/>
    <w:rsid w:val="00A07DF7"/>
    <w:rsid w:val="00A10792"/>
    <w:rsid w:val="00A10821"/>
    <w:rsid w:val="00A1131E"/>
    <w:rsid w:val="00A117C0"/>
    <w:rsid w:val="00A11913"/>
    <w:rsid w:val="00A11BF4"/>
    <w:rsid w:val="00A11E9E"/>
    <w:rsid w:val="00A12066"/>
    <w:rsid w:val="00A12131"/>
    <w:rsid w:val="00A122F0"/>
    <w:rsid w:val="00A12357"/>
    <w:rsid w:val="00A12551"/>
    <w:rsid w:val="00A125B8"/>
    <w:rsid w:val="00A125BD"/>
    <w:rsid w:val="00A12913"/>
    <w:rsid w:val="00A129CB"/>
    <w:rsid w:val="00A12ACA"/>
    <w:rsid w:val="00A12CC4"/>
    <w:rsid w:val="00A135C2"/>
    <w:rsid w:val="00A135DB"/>
    <w:rsid w:val="00A1387B"/>
    <w:rsid w:val="00A138C5"/>
    <w:rsid w:val="00A13991"/>
    <w:rsid w:val="00A13D75"/>
    <w:rsid w:val="00A140DF"/>
    <w:rsid w:val="00A14DF7"/>
    <w:rsid w:val="00A157A5"/>
    <w:rsid w:val="00A15874"/>
    <w:rsid w:val="00A16317"/>
    <w:rsid w:val="00A16326"/>
    <w:rsid w:val="00A1634B"/>
    <w:rsid w:val="00A167EC"/>
    <w:rsid w:val="00A1685B"/>
    <w:rsid w:val="00A16AA8"/>
    <w:rsid w:val="00A16BBB"/>
    <w:rsid w:val="00A16C1C"/>
    <w:rsid w:val="00A1753C"/>
    <w:rsid w:val="00A175D9"/>
    <w:rsid w:val="00A1765D"/>
    <w:rsid w:val="00A177E0"/>
    <w:rsid w:val="00A17CDA"/>
    <w:rsid w:val="00A200A5"/>
    <w:rsid w:val="00A20982"/>
    <w:rsid w:val="00A20BB8"/>
    <w:rsid w:val="00A21113"/>
    <w:rsid w:val="00A2118F"/>
    <w:rsid w:val="00A2152F"/>
    <w:rsid w:val="00A21810"/>
    <w:rsid w:val="00A2187E"/>
    <w:rsid w:val="00A21BA2"/>
    <w:rsid w:val="00A2204B"/>
    <w:rsid w:val="00A22141"/>
    <w:rsid w:val="00A2286B"/>
    <w:rsid w:val="00A22DB7"/>
    <w:rsid w:val="00A239EE"/>
    <w:rsid w:val="00A23B02"/>
    <w:rsid w:val="00A23D60"/>
    <w:rsid w:val="00A23E06"/>
    <w:rsid w:val="00A240DD"/>
    <w:rsid w:val="00A242D1"/>
    <w:rsid w:val="00A24599"/>
    <w:rsid w:val="00A24719"/>
    <w:rsid w:val="00A24A23"/>
    <w:rsid w:val="00A24F2B"/>
    <w:rsid w:val="00A25311"/>
    <w:rsid w:val="00A2541B"/>
    <w:rsid w:val="00A254DE"/>
    <w:rsid w:val="00A2562A"/>
    <w:rsid w:val="00A2564A"/>
    <w:rsid w:val="00A256CB"/>
    <w:rsid w:val="00A25746"/>
    <w:rsid w:val="00A266B3"/>
    <w:rsid w:val="00A269D9"/>
    <w:rsid w:val="00A26F81"/>
    <w:rsid w:val="00A2757E"/>
    <w:rsid w:val="00A27C98"/>
    <w:rsid w:val="00A30102"/>
    <w:rsid w:val="00A302C0"/>
    <w:rsid w:val="00A30522"/>
    <w:rsid w:val="00A306E6"/>
    <w:rsid w:val="00A3088A"/>
    <w:rsid w:val="00A308A1"/>
    <w:rsid w:val="00A30914"/>
    <w:rsid w:val="00A30ABA"/>
    <w:rsid w:val="00A30E14"/>
    <w:rsid w:val="00A30F55"/>
    <w:rsid w:val="00A31828"/>
    <w:rsid w:val="00A319C2"/>
    <w:rsid w:val="00A31F1D"/>
    <w:rsid w:val="00A320CE"/>
    <w:rsid w:val="00A320E7"/>
    <w:rsid w:val="00A322DD"/>
    <w:rsid w:val="00A32955"/>
    <w:rsid w:val="00A32F15"/>
    <w:rsid w:val="00A3378D"/>
    <w:rsid w:val="00A3383A"/>
    <w:rsid w:val="00A33A6A"/>
    <w:rsid w:val="00A3428E"/>
    <w:rsid w:val="00A34650"/>
    <w:rsid w:val="00A347B6"/>
    <w:rsid w:val="00A3488A"/>
    <w:rsid w:val="00A35078"/>
    <w:rsid w:val="00A3540B"/>
    <w:rsid w:val="00A35677"/>
    <w:rsid w:val="00A3568E"/>
    <w:rsid w:val="00A35D2B"/>
    <w:rsid w:val="00A35D49"/>
    <w:rsid w:val="00A3630B"/>
    <w:rsid w:val="00A364C3"/>
    <w:rsid w:val="00A36958"/>
    <w:rsid w:val="00A37229"/>
    <w:rsid w:val="00A374EF"/>
    <w:rsid w:val="00A376A3"/>
    <w:rsid w:val="00A377DF"/>
    <w:rsid w:val="00A379F5"/>
    <w:rsid w:val="00A37ADF"/>
    <w:rsid w:val="00A37B01"/>
    <w:rsid w:val="00A37C29"/>
    <w:rsid w:val="00A40685"/>
    <w:rsid w:val="00A40757"/>
    <w:rsid w:val="00A40AEE"/>
    <w:rsid w:val="00A40E1D"/>
    <w:rsid w:val="00A42206"/>
    <w:rsid w:val="00A422DE"/>
    <w:rsid w:val="00A4244F"/>
    <w:rsid w:val="00A42534"/>
    <w:rsid w:val="00A426E0"/>
    <w:rsid w:val="00A42847"/>
    <w:rsid w:val="00A4292A"/>
    <w:rsid w:val="00A42982"/>
    <w:rsid w:val="00A429DF"/>
    <w:rsid w:val="00A429E7"/>
    <w:rsid w:val="00A42D5B"/>
    <w:rsid w:val="00A42E64"/>
    <w:rsid w:val="00A433F2"/>
    <w:rsid w:val="00A43599"/>
    <w:rsid w:val="00A438DB"/>
    <w:rsid w:val="00A439AE"/>
    <w:rsid w:val="00A43B02"/>
    <w:rsid w:val="00A44367"/>
    <w:rsid w:val="00A444A3"/>
    <w:rsid w:val="00A44881"/>
    <w:rsid w:val="00A449D1"/>
    <w:rsid w:val="00A44CE0"/>
    <w:rsid w:val="00A44FDF"/>
    <w:rsid w:val="00A455F8"/>
    <w:rsid w:val="00A45E8C"/>
    <w:rsid w:val="00A4618B"/>
    <w:rsid w:val="00A466FF"/>
    <w:rsid w:val="00A4681A"/>
    <w:rsid w:val="00A4708E"/>
    <w:rsid w:val="00A50068"/>
    <w:rsid w:val="00A502CA"/>
    <w:rsid w:val="00A503B1"/>
    <w:rsid w:val="00A503FB"/>
    <w:rsid w:val="00A506E0"/>
    <w:rsid w:val="00A5081D"/>
    <w:rsid w:val="00A50A5F"/>
    <w:rsid w:val="00A50B23"/>
    <w:rsid w:val="00A50C08"/>
    <w:rsid w:val="00A50CF1"/>
    <w:rsid w:val="00A50E70"/>
    <w:rsid w:val="00A50EB6"/>
    <w:rsid w:val="00A50FF4"/>
    <w:rsid w:val="00A51145"/>
    <w:rsid w:val="00A51336"/>
    <w:rsid w:val="00A51577"/>
    <w:rsid w:val="00A51631"/>
    <w:rsid w:val="00A51BCC"/>
    <w:rsid w:val="00A51CCD"/>
    <w:rsid w:val="00A52115"/>
    <w:rsid w:val="00A52403"/>
    <w:rsid w:val="00A5291F"/>
    <w:rsid w:val="00A52A7C"/>
    <w:rsid w:val="00A52CF6"/>
    <w:rsid w:val="00A52E32"/>
    <w:rsid w:val="00A535BF"/>
    <w:rsid w:val="00A539B2"/>
    <w:rsid w:val="00A53B19"/>
    <w:rsid w:val="00A53CC4"/>
    <w:rsid w:val="00A53FEF"/>
    <w:rsid w:val="00A543A8"/>
    <w:rsid w:val="00A54507"/>
    <w:rsid w:val="00A54831"/>
    <w:rsid w:val="00A54960"/>
    <w:rsid w:val="00A54AD8"/>
    <w:rsid w:val="00A54AF0"/>
    <w:rsid w:val="00A54C77"/>
    <w:rsid w:val="00A54C7E"/>
    <w:rsid w:val="00A54E4A"/>
    <w:rsid w:val="00A55511"/>
    <w:rsid w:val="00A55650"/>
    <w:rsid w:val="00A557DB"/>
    <w:rsid w:val="00A55DC3"/>
    <w:rsid w:val="00A55DC7"/>
    <w:rsid w:val="00A56837"/>
    <w:rsid w:val="00A56AC5"/>
    <w:rsid w:val="00A56CC6"/>
    <w:rsid w:val="00A56D32"/>
    <w:rsid w:val="00A56DB9"/>
    <w:rsid w:val="00A56E55"/>
    <w:rsid w:val="00A5742E"/>
    <w:rsid w:val="00A5777B"/>
    <w:rsid w:val="00A577E9"/>
    <w:rsid w:val="00A577F3"/>
    <w:rsid w:val="00A578A1"/>
    <w:rsid w:val="00A57B14"/>
    <w:rsid w:val="00A57FD0"/>
    <w:rsid w:val="00A602E5"/>
    <w:rsid w:val="00A60627"/>
    <w:rsid w:val="00A60F0B"/>
    <w:rsid w:val="00A610F9"/>
    <w:rsid w:val="00A613FD"/>
    <w:rsid w:val="00A61459"/>
    <w:rsid w:val="00A61D37"/>
    <w:rsid w:val="00A61E5C"/>
    <w:rsid w:val="00A61E6D"/>
    <w:rsid w:val="00A62144"/>
    <w:rsid w:val="00A622CA"/>
    <w:rsid w:val="00A62302"/>
    <w:rsid w:val="00A623B9"/>
    <w:rsid w:val="00A62879"/>
    <w:rsid w:val="00A62AF7"/>
    <w:rsid w:val="00A62D2A"/>
    <w:rsid w:val="00A63CB7"/>
    <w:rsid w:val="00A64002"/>
    <w:rsid w:val="00A641FA"/>
    <w:rsid w:val="00A6431F"/>
    <w:rsid w:val="00A6547D"/>
    <w:rsid w:val="00A654C3"/>
    <w:rsid w:val="00A656F5"/>
    <w:rsid w:val="00A659A6"/>
    <w:rsid w:val="00A65A39"/>
    <w:rsid w:val="00A65B32"/>
    <w:rsid w:val="00A65CCD"/>
    <w:rsid w:val="00A660A1"/>
    <w:rsid w:val="00A66416"/>
    <w:rsid w:val="00A66A07"/>
    <w:rsid w:val="00A66C10"/>
    <w:rsid w:val="00A67241"/>
    <w:rsid w:val="00A674A0"/>
    <w:rsid w:val="00A67539"/>
    <w:rsid w:val="00A67815"/>
    <w:rsid w:val="00A67B46"/>
    <w:rsid w:val="00A707E9"/>
    <w:rsid w:val="00A7114F"/>
    <w:rsid w:val="00A713C0"/>
    <w:rsid w:val="00A71577"/>
    <w:rsid w:val="00A715B6"/>
    <w:rsid w:val="00A71823"/>
    <w:rsid w:val="00A71838"/>
    <w:rsid w:val="00A71A62"/>
    <w:rsid w:val="00A723C5"/>
    <w:rsid w:val="00A724CF"/>
    <w:rsid w:val="00A730B4"/>
    <w:rsid w:val="00A731CA"/>
    <w:rsid w:val="00A7388C"/>
    <w:rsid w:val="00A73910"/>
    <w:rsid w:val="00A73A05"/>
    <w:rsid w:val="00A744A9"/>
    <w:rsid w:val="00A749E4"/>
    <w:rsid w:val="00A74EC8"/>
    <w:rsid w:val="00A75616"/>
    <w:rsid w:val="00A756CF"/>
    <w:rsid w:val="00A75BE3"/>
    <w:rsid w:val="00A75F62"/>
    <w:rsid w:val="00A76043"/>
    <w:rsid w:val="00A76233"/>
    <w:rsid w:val="00A76637"/>
    <w:rsid w:val="00A767E9"/>
    <w:rsid w:val="00A770FA"/>
    <w:rsid w:val="00A77301"/>
    <w:rsid w:val="00A7730F"/>
    <w:rsid w:val="00A77816"/>
    <w:rsid w:val="00A778D6"/>
    <w:rsid w:val="00A77AE4"/>
    <w:rsid w:val="00A80099"/>
    <w:rsid w:val="00A804DC"/>
    <w:rsid w:val="00A805CB"/>
    <w:rsid w:val="00A808A8"/>
    <w:rsid w:val="00A809BE"/>
    <w:rsid w:val="00A812B0"/>
    <w:rsid w:val="00A816B4"/>
    <w:rsid w:val="00A81789"/>
    <w:rsid w:val="00A81C25"/>
    <w:rsid w:val="00A824AF"/>
    <w:rsid w:val="00A824E3"/>
    <w:rsid w:val="00A8274F"/>
    <w:rsid w:val="00A82B27"/>
    <w:rsid w:val="00A82BC1"/>
    <w:rsid w:val="00A8321F"/>
    <w:rsid w:val="00A833A9"/>
    <w:rsid w:val="00A83C94"/>
    <w:rsid w:val="00A83E27"/>
    <w:rsid w:val="00A83E9F"/>
    <w:rsid w:val="00A84352"/>
    <w:rsid w:val="00A84795"/>
    <w:rsid w:val="00A847D6"/>
    <w:rsid w:val="00A855BB"/>
    <w:rsid w:val="00A856F8"/>
    <w:rsid w:val="00A85A4A"/>
    <w:rsid w:val="00A85AA6"/>
    <w:rsid w:val="00A85CAB"/>
    <w:rsid w:val="00A85DD4"/>
    <w:rsid w:val="00A85E28"/>
    <w:rsid w:val="00A85F0C"/>
    <w:rsid w:val="00A86194"/>
    <w:rsid w:val="00A86686"/>
    <w:rsid w:val="00A866F8"/>
    <w:rsid w:val="00A87062"/>
    <w:rsid w:val="00A87377"/>
    <w:rsid w:val="00A875F0"/>
    <w:rsid w:val="00A87997"/>
    <w:rsid w:val="00A87BF8"/>
    <w:rsid w:val="00A87E5F"/>
    <w:rsid w:val="00A87ED0"/>
    <w:rsid w:val="00A87F10"/>
    <w:rsid w:val="00A90026"/>
    <w:rsid w:val="00A9003B"/>
    <w:rsid w:val="00A901D7"/>
    <w:rsid w:val="00A90942"/>
    <w:rsid w:val="00A90C3C"/>
    <w:rsid w:val="00A91257"/>
    <w:rsid w:val="00A91350"/>
    <w:rsid w:val="00A914AE"/>
    <w:rsid w:val="00A915D8"/>
    <w:rsid w:val="00A91A7C"/>
    <w:rsid w:val="00A91AB2"/>
    <w:rsid w:val="00A91B69"/>
    <w:rsid w:val="00A91F6E"/>
    <w:rsid w:val="00A920D3"/>
    <w:rsid w:val="00A92135"/>
    <w:rsid w:val="00A92141"/>
    <w:rsid w:val="00A92410"/>
    <w:rsid w:val="00A92D4C"/>
    <w:rsid w:val="00A92DBD"/>
    <w:rsid w:val="00A931A8"/>
    <w:rsid w:val="00A93523"/>
    <w:rsid w:val="00A93BBD"/>
    <w:rsid w:val="00A93C24"/>
    <w:rsid w:val="00A93CF1"/>
    <w:rsid w:val="00A93F84"/>
    <w:rsid w:val="00A9448B"/>
    <w:rsid w:val="00A9478D"/>
    <w:rsid w:val="00A94A38"/>
    <w:rsid w:val="00A94DCC"/>
    <w:rsid w:val="00A9519B"/>
    <w:rsid w:val="00A951B1"/>
    <w:rsid w:val="00A9568F"/>
    <w:rsid w:val="00A95864"/>
    <w:rsid w:val="00A958E4"/>
    <w:rsid w:val="00A95D96"/>
    <w:rsid w:val="00A95F13"/>
    <w:rsid w:val="00A96143"/>
    <w:rsid w:val="00A96229"/>
    <w:rsid w:val="00A9680E"/>
    <w:rsid w:val="00A969BB"/>
    <w:rsid w:val="00A96C59"/>
    <w:rsid w:val="00A96D0D"/>
    <w:rsid w:val="00A9720F"/>
    <w:rsid w:val="00A97A7C"/>
    <w:rsid w:val="00A97BC2"/>
    <w:rsid w:val="00A97C79"/>
    <w:rsid w:val="00A97D26"/>
    <w:rsid w:val="00A97EDC"/>
    <w:rsid w:val="00A97F90"/>
    <w:rsid w:val="00AA004E"/>
    <w:rsid w:val="00AA006F"/>
    <w:rsid w:val="00AA00FD"/>
    <w:rsid w:val="00AA02E4"/>
    <w:rsid w:val="00AA1013"/>
    <w:rsid w:val="00AA11A7"/>
    <w:rsid w:val="00AA17D0"/>
    <w:rsid w:val="00AA1A97"/>
    <w:rsid w:val="00AA2A0A"/>
    <w:rsid w:val="00AA2F5B"/>
    <w:rsid w:val="00AA3375"/>
    <w:rsid w:val="00AA33A3"/>
    <w:rsid w:val="00AA37C7"/>
    <w:rsid w:val="00AA37F5"/>
    <w:rsid w:val="00AA3A52"/>
    <w:rsid w:val="00AA3F9A"/>
    <w:rsid w:val="00AA3FFD"/>
    <w:rsid w:val="00AA418B"/>
    <w:rsid w:val="00AA4592"/>
    <w:rsid w:val="00AA4C94"/>
    <w:rsid w:val="00AA4E87"/>
    <w:rsid w:val="00AA501F"/>
    <w:rsid w:val="00AA547B"/>
    <w:rsid w:val="00AA57BA"/>
    <w:rsid w:val="00AA58DC"/>
    <w:rsid w:val="00AA5A40"/>
    <w:rsid w:val="00AA5DBF"/>
    <w:rsid w:val="00AA6189"/>
    <w:rsid w:val="00AA68E0"/>
    <w:rsid w:val="00AA69A3"/>
    <w:rsid w:val="00AA6D04"/>
    <w:rsid w:val="00AA6E7E"/>
    <w:rsid w:val="00AA7299"/>
    <w:rsid w:val="00AA7358"/>
    <w:rsid w:val="00AA7423"/>
    <w:rsid w:val="00AA7C46"/>
    <w:rsid w:val="00AA7E3B"/>
    <w:rsid w:val="00AB0351"/>
    <w:rsid w:val="00AB0AAE"/>
    <w:rsid w:val="00AB0E30"/>
    <w:rsid w:val="00AB0EA6"/>
    <w:rsid w:val="00AB0F5A"/>
    <w:rsid w:val="00AB0F80"/>
    <w:rsid w:val="00AB1626"/>
    <w:rsid w:val="00AB17FF"/>
    <w:rsid w:val="00AB2381"/>
    <w:rsid w:val="00AB26A8"/>
    <w:rsid w:val="00AB290C"/>
    <w:rsid w:val="00AB2ADB"/>
    <w:rsid w:val="00AB2CA8"/>
    <w:rsid w:val="00AB321E"/>
    <w:rsid w:val="00AB3344"/>
    <w:rsid w:val="00AB340A"/>
    <w:rsid w:val="00AB3791"/>
    <w:rsid w:val="00AB3938"/>
    <w:rsid w:val="00AB3A75"/>
    <w:rsid w:val="00AB3C8C"/>
    <w:rsid w:val="00AB4031"/>
    <w:rsid w:val="00AB4291"/>
    <w:rsid w:val="00AB4DC3"/>
    <w:rsid w:val="00AB53FA"/>
    <w:rsid w:val="00AB5D7C"/>
    <w:rsid w:val="00AB5DE9"/>
    <w:rsid w:val="00AB6046"/>
    <w:rsid w:val="00AB6AC5"/>
    <w:rsid w:val="00AB6D91"/>
    <w:rsid w:val="00AB725F"/>
    <w:rsid w:val="00AB74A5"/>
    <w:rsid w:val="00AB7844"/>
    <w:rsid w:val="00AB7865"/>
    <w:rsid w:val="00AB7BDC"/>
    <w:rsid w:val="00AB7CDD"/>
    <w:rsid w:val="00AB7E97"/>
    <w:rsid w:val="00AC02BB"/>
    <w:rsid w:val="00AC0A62"/>
    <w:rsid w:val="00AC0AE5"/>
    <w:rsid w:val="00AC0EEA"/>
    <w:rsid w:val="00AC0FF4"/>
    <w:rsid w:val="00AC10CF"/>
    <w:rsid w:val="00AC1333"/>
    <w:rsid w:val="00AC1561"/>
    <w:rsid w:val="00AC15C5"/>
    <w:rsid w:val="00AC15EE"/>
    <w:rsid w:val="00AC1BC8"/>
    <w:rsid w:val="00AC1D22"/>
    <w:rsid w:val="00AC1DA9"/>
    <w:rsid w:val="00AC221F"/>
    <w:rsid w:val="00AC22D1"/>
    <w:rsid w:val="00AC238C"/>
    <w:rsid w:val="00AC2CF4"/>
    <w:rsid w:val="00AC32CD"/>
    <w:rsid w:val="00AC3860"/>
    <w:rsid w:val="00AC3F77"/>
    <w:rsid w:val="00AC429F"/>
    <w:rsid w:val="00AC4524"/>
    <w:rsid w:val="00AC48DA"/>
    <w:rsid w:val="00AC4AFE"/>
    <w:rsid w:val="00AC4D73"/>
    <w:rsid w:val="00AC5029"/>
    <w:rsid w:val="00AC53CC"/>
    <w:rsid w:val="00AC55D1"/>
    <w:rsid w:val="00AC597B"/>
    <w:rsid w:val="00AC5A4C"/>
    <w:rsid w:val="00AC5ABC"/>
    <w:rsid w:val="00AC5ADF"/>
    <w:rsid w:val="00AC5BF8"/>
    <w:rsid w:val="00AC5E7C"/>
    <w:rsid w:val="00AC6221"/>
    <w:rsid w:val="00AC6481"/>
    <w:rsid w:val="00AC64AB"/>
    <w:rsid w:val="00AC6796"/>
    <w:rsid w:val="00AC682D"/>
    <w:rsid w:val="00AC6A9A"/>
    <w:rsid w:val="00AC7051"/>
    <w:rsid w:val="00AC7E6C"/>
    <w:rsid w:val="00AD05B6"/>
    <w:rsid w:val="00AD05D5"/>
    <w:rsid w:val="00AD1137"/>
    <w:rsid w:val="00AD11F5"/>
    <w:rsid w:val="00AD1356"/>
    <w:rsid w:val="00AD16A9"/>
    <w:rsid w:val="00AD1D02"/>
    <w:rsid w:val="00AD1D04"/>
    <w:rsid w:val="00AD20B1"/>
    <w:rsid w:val="00AD20B8"/>
    <w:rsid w:val="00AD2470"/>
    <w:rsid w:val="00AD2494"/>
    <w:rsid w:val="00AD27F8"/>
    <w:rsid w:val="00AD2807"/>
    <w:rsid w:val="00AD315D"/>
    <w:rsid w:val="00AD31B1"/>
    <w:rsid w:val="00AD37E9"/>
    <w:rsid w:val="00AD3839"/>
    <w:rsid w:val="00AD3A66"/>
    <w:rsid w:val="00AD3B67"/>
    <w:rsid w:val="00AD3D5E"/>
    <w:rsid w:val="00AD3F0A"/>
    <w:rsid w:val="00AD42D1"/>
    <w:rsid w:val="00AD4409"/>
    <w:rsid w:val="00AD481B"/>
    <w:rsid w:val="00AD48F6"/>
    <w:rsid w:val="00AD4938"/>
    <w:rsid w:val="00AD493B"/>
    <w:rsid w:val="00AD4AFC"/>
    <w:rsid w:val="00AD4D0D"/>
    <w:rsid w:val="00AD4DF1"/>
    <w:rsid w:val="00AD4E57"/>
    <w:rsid w:val="00AD4FEE"/>
    <w:rsid w:val="00AD5615"/>
    <w:rsid w:val="00AD58B6"/>
    <w:rsid w:val="00AD5A5E"/>
    <w:rsid w:val="00AD6286"/>
    <w:rsid w:val="00AD664F"/>
    <w:rsid w:val="00AD6684"/>
    <w:rsid w:val="00AD692D"/>
    <w:rsid w:val="00AD6BFF"/>
    <w:rsid w:val="00AD7975"/>
    <w:rsid w:val="00AD7AFA"/>
    <w:rsid w:val="00AE0CA1"/>
    <w:rsid w:val="00AE1283"/>
    <w:rsid w:val="00AE1292"/>
    <w:rsid w:val="00AE151B"/>
    <w:rsid w:val="00AE1641"/>
    <w:rsid w:val="00AE16A6"/>
    <w:rsid w:val="00AE16F8"/>
    <w:rsid w:val="00AE1990"/>
    <w:rsid w:val="00AE1DD7"/>
    <w:rsid w:val="00AE22B9"/>
    <w:rsid w:val="00AE22C2"/>
    <w:rsid w:val="00AE2626"/>
    <w:rsid w:val="00AE2C88"/>
    <w:rsid w:val="00AE3024"/>
    <w:rsid w:val="00AE371E"/>
    <w:rsid w:val="00AE3E0E"/>
    <w:rsid w:val="00AE3E83"/>
    <w:rsid w:val="00AE40E7"/>
    <w:rsid w:val="00AE4198"/>
    <w:rsid w:val="00AE4257"/>
    <w:rsid w:val="00AE52C0"/>
    <w:rsid w:val="00AE53C8"/>
    <w:rsid w:val="00AE5464"/>
    <w:rsid w:val="00AE576F"/>
    <w:rsid w:val="00AE5D44"/>
    <w:rsid w:val="00AE5D74"/>
    <w:rsid w:val="00AE5E0A"/>
    <w:rsid w:val="00AE6019"/>
    <w:rsid w:val="00AE64BE"/>
    <w:rsid w:val="00AE735B"/>
    <w:rsid w:val="00AE736B"/>
    <w:rsid w:val="00AE7464"/>
    <w:rsid w:val="00AE7638"/>
    <w:rsid w:val="00AE7D69"/>
    <w:rsid w:val="00AE7E89"/>
    <w:rsid w:val="00AF023C"/>
    <w:rsid w:val="00AF0B4E"/>
    <w:rsid w:val="00AF14A0"/>
    <w:rsid w:val="00AF15E2"/>
    <w:rsid w:val="00AF16A3"/>
    <w:rsid w:val="00AF17D8"/>
    <w:rsid w:val="00AF1D75"/>
    <w:rsid w:val="00AF1DFE"/>
    <w:rsid w:val="00AF1E51"/>
    <w:rsid w:val="00AF23DA"/>
    <w:rsid w:val="00AF2DDE"/>
    <w:rsid w:val="00AF30E4"/>
    <w:rsid w:val="00AF33D6"/>
    <w:rsid w:val="00AF3698"/>
    <w:rsid w:val="00AF3A14"/>
    <w:rsid w:val="00AF3BE4"/>
    <w:rsid w:val="00AF3DE6"/>
    <w:rsid w:val="00AF412B"/>
    <w:rsid w:val="00AF416A"/>
    <w:rsid w:val="00AF423F"/>
    <w:rsid w:val="00AF487A"/>
    <w:rsid w:val="00AF495F"/>
    <w:rsid w:val="00AF4B33"/>
    <w:rsid w:val="00AF4BF2"/>
    <w:rsid w:val="00AF4C24"/>
    <w:rsid w:val="00AF4CA0"/>
    <w:rsid w:val="00AF4D63"/>
    <w:rsid w:val="00AF4E33"/>
    <w:rsid w:val="00AF5074"/>
    <w:rsid w:val="00AF52AA"/>
    <w:rsid w:val="00AF52AB"/>
    <w:rsid w:val="00AF535A"/>
    <w:rsid w:val="00AF54E4"/>
    <w:rsid w:val="00AF5606"/>
    <w:rsid w:val="00AF5679"/>
    <w:rsid w:val="00AF5759"/>
    <w:rsid w:val="00AF5769"/>
    <w:rsid w:val="00AF57C0"/>
    <w:rsid w:val="00AF589F"/>
    <w:rsid w:val="00AF5A52"/>
    <w:rsid w:val="00AF5B8E"/>
    <w:rsid w:val="00AF5BEA"/>
    <w:rsid w:val="00AF62F6"/>
    <w:rsid w:val="00AF68A5"/>
    <w:rsid w:val="00AF6A78"/>
    <w:rsid w:val="00AF6D90"/>
    <w:rsid w:val="00AF6FCA"/>
    <w:rsid w:val="00AF6FD9"/>
    <w:rsid w:val="00AF7220"/>
    <w:rsid w:val="00AF79D7"/>
    <w:rsid w:val="00AF7DBF"/>
    <w:rsid w:val="00AF7E82"/>
    <w:rsid w:val="00B00436"/>
    <w:rsid w:val="00B00520"/>
    <w:rsid w:val="00B006AE"/>
    <w:rsid w:val="00B007DE"/>
    <w:rsid w:val="00B010A5"/>
    <w:rsid w:val="00B0193D"/>
    <w:rsid w:val="00B01C6B"/>
    <w:rsid w:val="00B01D87"/>
    <w:rsid w:val="00B020CA"/>
    <w:rsid w:val="00B020DE"/>
    <w:rsid w:val="00B0221B"/>
    <w:rsid w:val="00B0226B"/>
    <w:rsid w:val="00B02716"/>
    <w:rsid w:val="00B0285F"/>
    <w:rsid w:val="00B029BA"/>
    <w:rsid w:val="00B02C8C"/>
    <w:rsid w:val="00B02D1B"/>
    <w:rsid w:val="00B03020"/>
    <w:rsid w:val="00B031BE"/>
    <w:rsid w:val="00B031F6"/>
    <w:rsid w:val="00B03248"/>
    <w:rsid w:val="00B03720"/>
    <w:rsid w:val="00B03AE2"/>
    <w:rsid w:val="00B03EB5"/>
    <w:rsid w:val="00B040D8"/>
    <w:rsid w:val="00B04262"/>
    <w:rsid w:val="00B048A3"/>
    <w:rsid w:val="00B04D85"/>
    <w:rsid w:val="00B05062"/>
    <w:rsid w:val="00B050B3"/>
    <w:rsid w:val="00B052E2"/>
    <w:rsid w:val="00B05768"/>
    <w:rsid w:val="00B058B9"/>
    <w:rsid w:val="00B0593A"/>
    <w:rsid w:val="00B06310"/>
    <w:rsid w:val="00B0637C"/>
    <w:rsid w:val="00B0645A"/>
    <w:rsid w:val="00B067BD"/>
    <w:rsid w:val="00B069C7"/>
    <w:rsid w:val="00B070B1"/>
    <w:rsid w:val="00B07125"/>
    <w:rsid w:val="00B1048C"/>
    <w:rsid w:val="00B105C4"/>
    <w:rsid w:val="00B1086E"/>
    <w:rsid w:val="00B10920"/>
    <w:rsid w:val="00B109B7"/>
    <w:rsid w:val="00B10DDD"/>
    <w:rsid w:val="00B10EAA"/>
    <w:rsid w:val="00B10F4D"/>
    <w:rsid w:val="00B117F9"/>
    <w:rsid w:val="00B11E5F"/>
    <w:rsid w:val="00B12021"/>
    <w:rsid w:val="00B12199"/>
    <w:rsid w:val="00B1252B"/>
    <w:rsid w:val="00B1268A"/>
    <w:rsid w:val="00B1283F"/>
    <w:rsid w:val="00B13700"/>
    <w:rsid w:val="00B138EA"/>
    <w:rsid w:val="00B140CE"/>
    <w:rsid w:val="00B14331"/>
    <w:rsid w:val="00B1447A"/>
    <w:rsid w:val="00B14855"/>
    <w:rsid w:val="00B14C28"/>
    <w:rsid w:val="00B14C31"/>
    <w:rsid w:val="00B15010"/>
    <w:rsid w:val="00B15285"/>
    <w:rsid w:val="00B15466"/>
    <w:rsid w:val="00B15769"/>
    <w:rsid w:val="00B1589F"/>
    <w:rsid w:val="00B15C00"/>
    <w:rsid w:val="00B163D5"/>
    <w:rsid w:val="00B172EB"/>
    <w:rsid w:val="00B20AD8"/>
    <w:rsid w:val="00B20D33"/>
    <w:rsid w:val="00B20F1E"/>
    <w:rsid w:val="00B21434"/>
    <w:rsid w:val="00B21530"/>
    <w:rsid w:val="00B21598"/>
    <w:rsid w:val="00B21826"/>
    <w:rsid w:val="00B219EF"/>
    <w:rsid w:val="00B21A3A"/>
    <w:rsid w:val="00B21B17"/>
    <w:rsid w:val="00B22226"/>
    <w:rsid w:val="00B22401"/>
    <w:rsid w:val="00B225B4"/>
    <w:rsid w:val="00B2261B"/>
    <w:rsid w:val="00B227AD"/>
    <w:rsid w:val="00B2321C"/>
    <w:rsid w:val="00B2329C"/>
    <w:rsid w:val="00B234DA"/>
    <w:rsid w:val="00B2362E"/>
    <w:rsid w:val="00B23670"/>
    <w:rsid w:val="00B23E66"/>
    <w:rsid w:val="00B23F84"/>
    <w:rsid w:val="00B24383"/>
    <w:rsid w:val="00B243F3"/>
    <w:rsid w:val="00B245D6"/>
    <w:rsid w:val="00B24D7C"/>
    <w:rsid w:val="00B24EFD"/>
    <w:rsid w:val="00B25661"/>
    <w:rsid w:val="00B257A7"/>
    <w:rsid w:val="00B25816"/>
    <w:rsid w:val="00B25B4B"/>
    <w:rsid w:val="00B25F14"/>
    <w:rsid w:val="00B26306"/>
    <w:rsid w:val="00B2652E"/>
    <w:rsid w:val="00B26C54"/>
    <w:rsid w:val="00B27F57"/>
    <w:rsid w:val="00B30703"/>
    <w:rsid w:val="00B3070D"/>
    <w:rsid w:val="00B30760"/>
    <w:rsid w:val="00B308B0"/>
    <w:rsid w:val="00B30925"/>
    <w:rsid w:val="00B30AF7"/>
    <w:rsid w:val="00B30B63"/>
    <w:rsid w:val="00B30FF5"/>
    <w:rsid w:val="00B311CD"/>
    <w:rsid w:val="00B31D45"/>
    <w:rsid w:val="00B32116"/>
    <w:rsid w:val="00B32768"/>
    <w:rsid w:val="00B33049"/>
    <w:rsid w:val="00B331BE"/>
    <w:rsid w:val="00B33420"/>
    <w:rsid w:val="00B334DC"/>
    <w:rsid w:val="00B3377D"/>
    <w:rsid w:val="00B341C6"/>
    <w:rsid w:val="00B34285"/>
    <w:rsid w:val="00B34517"/>
    <w:rsid w:val="00B34DF5"/>
    <w:rsid w:val="00B35299"/>
    <w:rsid w:val="00B3541F"/>
    <w:rsid w:val="00B354AF"/>
    <w:rsid w:val="00B354B9"/>
    <w:rsid w:val="00B35904"/>
    <w:rsid w:val="00B35A7C"/>
    <w:rsid w:val="00B35EAD"/>
    <w:rsid w:val="00B35EFD"/>
    <w:rsid w:val="00B35F6E"/>
    <w:rsid w:val="00B36159"/>
    <w:rsid w:val="00B36278"/>
    <w:rsid w:val="00B36846"/>
    <w:rsid w:val="00B36CA3"/>
    <w:rsid w:val="00B36CC0"/>
    <w:rsid w:val="00B36E61"/>
    <w:rsid w:val="00B37A70"/>
    <w:rsid w:val="00B37B5E"/>
    <w:rsid w:val="00B37F09"/>
    <w:rsid w:val="00B37FD4"/>
    <w:rsid w:val="00B40438"/>
    <w:rsid w:val="00B40744"/>
    <w:rsid w:val="00B40C40"/>
    <w:rsid w:val="00B40E4B"/>
    <w:rsid w:val="00B4126D"/>
    <w:rsid w:val="00B41856"/>
    <w:rsid w:val="00B41949"/>
    <w:rsid w:val="00B41988"/>
    <w:rsid w:val="00B41A4A"/>
    <w:rsid w:val="00B41D90"/>
    <w:rsid w:val="00B423A5"/>
    <w:rsid w:val="00B426E0"/>
    <w:rsid w:val="00B4295D"/>
    <w:rsid w:val="00B429D6"/>
    <w:rsid w:val="00B42C33"/>
    <w:rsid w:val="00B42CCC"/>
    <w:rsid w:val="00B431C9"/>
    <w:rsid w:val="00B43AD2"/>
    <w:rsid w:val="00B44072"/>
    <w:rsid w:val="00B441F1"/>
    <w:rsid w:val="00B4463A"/>
    <w:rsid w:val="00B446A0"/>
    <w:rsid w:val="00B44919"/>
    <w:rsid w:val="00B449F5"/>
    <w:rsid w:val="00B44DF0"/>
    <w:rsid w:val="00B44E36"/>
    <w:rsid w:val="00B4547D"/>
    <w:rsid w:val="00B4564A"/>
    <w:rsid w:val="00B45AB4"/>
    <w:rsid w:val="00B467D7"/>
    <w:rsid w:val="00B46D4E"/>
    <w:rsid w:val="00B46D54"/>
    <w:rsid w:val="00B4702C"/>
    <w:rsid w:val="00B47033"/>
    <w:rsid w:val="00B47043"/>
    <w:rsid w:val="00B47160"/>
    <w:rsid w:val="00B47D9B"/>
    <w:rsid w:val="00B47F88"/>
    <w:rsid w:val="00B50086"/>
    <w:rsid w:val="00B506A7"/>
    <w:rsid w:val="00B50721"/>
    <w:rsid w:val="00B50B07"/>
    <w:rsid w:val="00B50D6D"/>
    <w:rsid w:val="00B50F4D"/>
    <w:rsid w:val="00B51541"/>
    <w:rsid w:val="00B518DE"/>
    <w:rsid w:val="00B51A4E"/>
    <w:rsid w:val="00B51F04"/>
    <w:rsid w:val="00B5206E"/>
    <w:rsid w:val="00B52360"/>
    <w:rsid w:val="00B523B6"/>
    <w:rsid w:val="00B52854"/>
    <w:rsid w:val="00B52A57"/>
    <w:rsid w:val="00B52DA3"/>
    <w:rsid w:val="00B52EFD"/>
    <w:rsid w:val="00B530A6"/>
    <w:rsid w:val="00B533F4"/>
    <w:rsid w:val="00B538D8"/>
    <w:rsid w:val="00B53A35"/>
    <w:rsid w:val="00B53F62"/>
    <w:rsid w:val="00B53FF8"/>
    <w:rsid w:val="00B543B9"/>
    <w:rsid w:val="00B547C7"/>
    <w:rsid w:val="00B549A6"/>
    <w:rsid w:val="00B54BE4"/>
    <w:rsid w:val="00B54DB1"/>
    <w:rsid w:val="00B550BA"/>
    <w:rsid w:val="00B55260"/>
    <w:rsid w:val="00B556E6"/>
    <w:rsid w:val="00B557AA"/>
    <w:rsid w:val="00B55916"/>
    <w:rsid w:val="00B561EB"/>
    <w:rsid w:val="00B56371"/>
    <w:rsid w:val="00B56466"/>
    <w:rsid w:val="00B56599"/>
    <w:rsid w:val="00B56946"/>
    <w:rsid w:val="00B569EB"/>
    <w:rsid w:val="00B56C80"/>
    <w:rsid w:val="00B56E62"/>
    <w:rsid w:val="00B57473"/>
    <w:rsid w:val="00B575CE"/>
    <w:rsid w:val="00B57A95"/>
    <w:rsid w:val="00B57E15"/>
    <w:rsid w:val="00B57EAE"/>
    <w:rsid w:val="00B57F89"/>
    <w:rsid w:val="00B602AA"/>
    <w:rsid w:val="00B60545"/>
    <w:rsid w:val="00B6074C"/>
    <w:rsid w:val="00B608D3"/>
    <w:rsid w:val="00B60BD7"/>
    <w:rsid w:val="00B614E5"/>
    <w:rsid w:val="00B6157A"/>
    <w:rsid w:val="00B616C3"/>
    <w:rsid w:val="00B618E1"/>
    <w:rsid w:val="00B62680"/>
    <w:rsid w:val="00B633A7"/>
    <w:rsid w:val="00B6342D"/>
    <w:rsid w:val="00B635BF"/>
    <w:rsid w:val="00B63C05"/>
    <w:rsid w:val="00B640BF"/>
    <w:rsid w:val="00B6474F"/>
    <w:rsid w:val="00B6488C"/>
    <w:rsid w:val="00B64930"/>
    <w:rsid w:val="00B64953"/>
    <w:rsid w:val="00B64CBC"/>
    <w:rsid w:val="00B64CCE"/>
    <w:rsid w:val="00B6507E"/>
    <w:rsid w:val="00B65A3E"/>
    <w:rsid w:val="00B65CFD"/>
    <w:rsid w:val="00B662CF"/>
    <w:rsid w:val="00B66571"/>
    <w:rsid w:val="00B66A13"/>
    <w:rsid w:val="00B66C08"/>
    <w:rsid w:val="00B66C85"/>
    <w:rsid w:val="00B67057"/>
    <w:rsid w:val="00B67334"/>
    <w:rsid w:val="00B6763B"/>
    <w:rsid w:val="00B6772A"/>
    <w:rsid w:val="00B6777F"/>
    <w:rsid w:val="00B67C61"/>
    <w:rsid w:val="00B67CCE"/>
    <w:rsid w:val="00B67E66"/>
    <w:rsid w:val="00B67E67"/>
    <w:rsid w:val="00B67F40"/>
    <w:rsid w:val="00B7032E"/>
    <w:rsid w:val="00B70556"/>
    <w:rsid w:val="00B70AAB"/>
    <w:rsid w:val="00B70D89"/>
    <w:rsid w:val="00B70EB0"/>
    <w:rsid w:val="00B711AB"/>
    <w:rsid w:val="00B712A6"/>
    <w:rsid w:val="00B71559"/>
    <w:rsid w:val="00B7159D"/>
    <w:rsid w:val="00B71715"/>
    <w:rsid w:val="00B71C9B"/>
    <w:rsid w:val="00B720B1"/>
    <w:rsid w:val="00B7243E"/>
    <w:rsid w:val="00B72788"/>
    <w:rsid w:val="00B7288E"/>
    <w:rsid w:val="00B72D05"/>
    <w:rsid w:val="00B72E9E"/>
    <w:rsid w:val="00B72F9B"/>
    <w:rsid w:val="00B73150"/>
    <w:rsid w:val="00B73596"/>
    <w:rsid w:val="00B738B6"/>
    <w:rsid w:val="00B73D42"/>
    <w:rsid w:val="00B74048"/>
    <w:rsid w:val="00B74195"/>
    <w:rsid w:val="00B745D7"/>
    <w:rsid w:val="00B74BB9"/>
    <w:rsid w:val="00B74F56"/>
    <w:rsid w:val="00B7546A"/>
    <w:rsid w:val="00B7590A"/>
    <w:rsid w:val="00B75C65"/>
    <w:rsid w:val="00B760C5"/>
    <w:rsid w:val="00B76B20"/>
    <w:rsid w:val="00B76FB8"/>
    <w:rsid w:val="00B77858"/>
    <w:rsid w:val="00B7787E"/>
    <w:rsid w:val="00B779E5"/>
    <w:rsid w:val="00B77EBC"/>
    <w:rsid w:val="00B804E0"/>
    <w:rsid w:val="00B804F2"/>
    <w:rsid w:val="00B80C24"/>
    <w:rsid w:val="00B80F12"/>
    <w:rsid w:val="00B8133D"/>
    <w:rsid w:val="00B8140C"/>
    <w:rsid w:val="00B81878"/>
    <w:rsid w:val="00B81891"/>
    <w:rsid w:val="00B82167"/>
    <w:rsid w:val="00B822F6"/>
    <w:rsid w:val="00B82396"/>
    <w:rsid w:val="00B825F0"/>
    <w:rsid w:val="00B82BA6"/>
    <w:rsid w:val="00B82F18"/>
    <w:rsid w:val="00B8307B"/>
    <w:rsid w:val="00B83683"/>
    <w:rsid w:val="00B8441F"/>
    <w:rsid w:val="00B84817"/>
    <w:rsid w:val="00B848E8"/>
    <w:rsid w:val="00B84C10"/>
    <w:rsid w:val="00B84FD5"/>
    <w:rsid w:val="00B85487"/>
    <w:rsid w:val="00B855A0"/>
    <w:rsid w:val="00B857B8"/>
    <w:rsid w:val="00B85B6B"/>
    <w:rsid w:val="00B864A6"/>
    <w:rsid w:val="00B8665B"/>
    <w:rsid w:val="00B86987"/>
    <w:rsid w:val="00B86B2E"/>
    <w:rsid w:val="00B86C69"/>
    <w:rsid w:val="00B870D9"/>
    <w:rsid w:val="00B8732F"/>
    <w:rsid w:val="00B8737D"/>
    <w:rsid w:val="00B87418"/>
    <w:rsid w:val="00B87468"/>
    <w:rsid w:val="00B8757D"/>
    <w:rsid w:val="00B8758E"/>
    <w:rsid w:val="00B876C4"/>
    <w:rsid w:val="00B876DC"/>
    <w:rsid w:val="00B87967"/>
    <w:rsid w:val="00B87B39"/>
    <w:rsid w:val="00B87D0E"/>
    <w:rsid w:val="00B87D1B"/>
    <w:rsid w:val="00B90077"/>
    <w:rsid w:val="00B900EA"/>
    <w:rsid w:val="00B900F0"/>
    <w:rsid w:val="00B90471"/>
    <w:rsid w:val="00B90565"/>
    <w:rsid w:val="00B909B5"/>
    <w:rsid w:val="00B90FCF"/>
    <w:rsid w:val="00B9127B"/>
    <w:rsid w:val="00B915AD"/>
    <w:rsid w:val="00B91861"/>
    <w:rsid w:val="00B91C4F"/>
    <w:rsid w:val="00B92163"/>
    <w:rsid w:val="00B92235"/>
    <w:rsid w:val="00B923AC"/>
    <w:rsid w:val="00B923D3"/>
    <w:rsid w:val="00B9252E"/>
    <w:rsid w:val="00B9280E"/>
    <w:rsid w:val="00B9301A"/>
    <w:rsid w:val="00B9311C"/>
    <w:rsid w:val="00B934EC"/>
    <w:rsid w:val="00B94116"/>
    <w:rsid w:val="00B945F4"/>
    <w:rsid w:val="00B94603"/>
    <w:rsid w:val="00B94747"/>
    <w:rsid w:val="00B94861"/>
    <w:rsid w:val="00B94B84"/>
    <w:rsid w:val="00B94D51"/>
    <w:rsid w:val="00B951E7"/>
    <w:rsid w:val="00B954D9"/>
    <w:rsid w:val="00B95C8B"/>
    <w:rsid w:val="00B95D93"/>
    <w:rsid w:val="00B95E61"/>
    <w:rsid w:val="00B96178"/>
    <w:rsid w:val="00B963E3"/>
    <w:rsid w:val="00B96502"/>
    <w:rsid w:val="00B96688"/>
    <w:rsid w:val="00B966BD"/>
    <w:rsid w:val="00B968B6"/>
    <w:rsid w:val="00B96924"/>
    <w:rsid w:val="00B96B53"/>
    <w:rsid w:val="00B96FAD"/>
    <w:rsid w:val="00B96FEB"/>
    <w:rsid w:val="00B9700C"/>
    <w:rsid w:val="00B97AF8"/>
    <w:rsid w:val="00B97C50"/>
    <w:rsid w:val="00BA03FE"/>
    <w:rsid w:val="00BA05A0"/>
    <w:rsid w:val="00BA0E36"/>
    <w:rsid w:val="00BA0FAC"/>
    <w:rsid w:val="00BA108C"/>
    <w:rsid w:val="00BA1332"/>
    <w:rsid w:val="00BA1486"/>
    <w:rsid w:val="00BA14A5"/>
    <w:rsid w:val="00BA1A1E"/>
    <w:rsid w:val="00BA1CDC"/>
    <w:rsid w:val="00BA1F1C"/>
    <w:rsid w:val="00BA2125"/>
    <w:rsid w:val="00BA2322"/>
    <w:rsid w:val="00BA2666"/>
    <w:rsid w:val="00BA28CF"/>
    <w:rsid w:val="00BA2E80"/>
    <w:rsid w:val="00BA30C9"/>
    <w:rsid w:val="00BA33BD"/>
    <w:rsid w:val="00BA394A"/>
    <w:rsid w:val="00BA3962"/>
    <w:rsid w:val="00BA3970"/>
    <w:rsid w:val="00BA4707"/>
    <w:rsid w:val="00BA4847"/>
    <w:rsid w:val="00BA49E9"/>
    <w:rsid w:val="00BA4BEC"/>
    <w:rsid w:val="00BA4C56"/>
    <w:rsid w:val="00BA4D46"/>
    <w:rsid w:val="00BA555C"/>
    <w:rsid w:val="00BA5D20"/>
    <w:rsid w:val="00BA5E80"/>
    <w:rsid w:val="00BA60AD"/>
    <w:rsid w:val="00BA6389"/>
    <w:rsid w:val="00BA66DB"/>
    <w:rsid w:val="00BA6839"/>
    <w:rsid w:val="00BA6FFC"/>
    <w:rsid w:val="00BA7401"/>
    <w:rsid w:val="00BA7499"/>
    <w:rsid w:val="00BA769B"/>
    <w:rsid w:val="00BA77C7"/>
    <w:rsid w:val="00BA7BE2"/>
    <w:rsid w:val="00BA7D4B"/>
    <w:rsid w:val="00BA7D51"/>
    <w:rsid w:val="00BB005F"/>
    <w:rsid w:val="00BB04BB"/>
    <w:rsid w:val="00BB0BDC"/>
    <w:rsid w:val="00BB0DF9"/>
    <w:rsid w:val="00BB0EC2"/>
    <w:rsid w:val="00BB0F14"/>
    <w:rsid w:val="00BB109A"/>
    <w:rsid w:val="00BB1251"/>
    <w:rsid w:val="00BB12C1"/>
    <w:rsid w:val="00BB1680"/>
    <w:rsid w:val="00BB1B3B"/>
    <w:rsid w:val="00BB1BF9"/>
    <w:rsid w:val="00BB28AA"/>
    <w:rsid w:val="00BB28F6"/>
    <w:rsid w:val="00BB2BC2"/>
    <w:rsid w:val="00BB2CE2"/>
    <w:rsid w:val="00BB3A7D"/>
    <w:rsid w:val="00BB3B62"/>
    <w:rsid w:val="00BB3B77"/>
    <w:rsid w:val="00BB3B8A"/>
    <w:rsid w:val="00BB400C"/>
    <w:rsid w:val="00BB466A"/>
    <w:rsid w:val="00BB47E7"/>
    <w:rsid w:val="00BB4E29"/>
    <w:rsid w:val="00BB4E5C"/>
    <w:rsid w:val="00BB5166"/>
    <w:rsid w:val="00BB564D"/>
    <w:rsid w:val="00BB5693"/>
    <w:rsid w:val="00BB583F"/>
    <w:rsid w:val="00BB5B4C"/>
    <w:rsid w:val="00BB5B94"/>
    <w:rsid w:val="00BB5C0C"/>
    <w:rsid w:val="00BB60AF"/>
    <w:rsid w:val="00BB6192"/>
    <w:rsid w:val="00BB65A4"/>
    <w:rsid w:val="00BB6B97"/>
    <w:rsid w:val="00BB6D47"/>
    <w:rsid w:val="00BB6DD3"/>
    <w:rsid w:val="00BB71FC"/>
    <w:rsid w:val="00BB73AA"/>
    <w:rsid w:val="00BB7494"/>
    <w:rsid w:val="00BB79DE"/>
    <w:rsid w:val="00BB79E9"/>
    <w:rsid w:val="00BB7D3F"/>
    <w:rsid w:val="00BC023D"/>
    <w:rsid w:val="00BC065B"/>
    <w:rsid w:val="00BC0775"/>
    <w:rsid w:val="00BC07F6"/>
    <w:rsid w:val="00BC09C2"/>
    <w:rsid w:val="00BC0DA2"/>
    <w:rsid w:val="00BC11A3"/>
    <w:rsid w:val="00BC1440"/>
    <w:rsid w:val="00BC1A54"/>
    <w:rsid w:val="00BC1C05"/>
    <w:rsid w:val="00BC20A4"/>
    <w:rsid w:val="00BC20D6"/>
    <w:rsid w:val="00BC2489"/>
    <w:rsid w:val="00BC2C0D"/>
    <w:rsid w:val="00BC2FFB"/>
    <w:rsid w:val="00BC380C"/>
    <w:rsid w:val="00BC3D1D"/>
    <w:rsid w:val="00BC42EB"/>
    <w:rsid w:val="00BC4A00"/>
    <w:rsid w:val="00BC4C0E"/>
    <w:rsid w:val="00BC4EB5"/>
    <w:rsid w:val="00BC512F"/>
    <w:rsid w:val="00BC533C"/>
    <w:rsid w:val="00BC5B0E"/>
    <w:rsid w:val="00BC5BDE"/>
    <w:rsid w:val="00BC6009"/>
    <w:rsid w:val="00BC6037"/>
    <w:rsid w:val="00BC6434"/>
    <w:rsid w:val="00BC64AA"/>
    <w:rsid w:val="00BC65EE"/>
    <w:rsid w:val="00BC6AC0"/>
    <w:rsid w:val="00BC6B0F"/>
    <w:rsid w:val="00BC6FAF"/>
    <w:rsid w:val="00BC70D6"/>
    <w:rsid w:val="00BC71CB"/>
    <w:rsid w:val="00BC7464"/>
    <w:rsid w:val="00BC7AB6"/>
    <w:rsid w:val="00BC7D3B"/>
    <w:rsid w:val="00BD01F4"/>
    <w:rsid w:val="00BD09B6"/>
    <w:rsid w:val="00BD0B3D"/>
    <w:rsid w:val="00BD0DA0"/>
    <w:rsid w:val="00BD0F5C"/>
    <w:rsid w:val="00BD1A09"/>
    <w:rsid w:val="00BD2071"/>
    <w:rsid w:val="00BD2A69"/>
    <w:rsid w:val="00BD2AD5"/>
    <w:rsid w:val="00BD2E1A"/>
    <w:rsid w:val="00BD2E25"/>
    <w:rsid w:val="00BD2FBF"/>
    <w:rsid w:val="00BD336E"/>
    <w:rsid w:val="00BD35C7"/>
    <w:rsid w:val="00BD3838"/>
    <w:rsid w:val="00BD3850"/>
    <w:rsid w:val="00BD3882"/>
    <w:rsid w:val="00BD3ADE"/>
    <w:rsid w:val="00BD3AE2"/>
    <w:rsid w:val="00BD3BC1"/>
    <w:rsid w:val="00BD3C3C"/>
    <w:rsid w:val="00BD3FC4"/>
    <w:rsid w:val="00BD40FA"/>
    <w:rsid w:val="00BD4226"/>
    <w:rsid w:val="00BD4ABB"/>
    <w:rsid w:val="00BD4B9C"/>
    <w:rsid w:val="00BD503E"/>
    <w:rsid w:val="00BD51FE"/>
    <w:rsid w:val="00BD5504"/>
    <w:rsid w:val="00BD5665"/>
    <w:rsid w:val="00BD5831"/>
    <w:rsid w:val="00BD5D56"/>
    <w:rsid w:val="00BD608D"/>
    <w:rsid w:val="00BD64B3"/>
    <w:rsid w:val="00BD6631"/>
    <w:rsid w:val="00BD6DF8"/>
    <w:rsid w:val="00BD70AB"/>
    <w:rsid w:val="00BD7166"/>
    <w:rsid w:val="00BD73AC"/>
    <w:rsid w:val="00BD76F1"/>
    <w:rsid w:val="00BD774D"/>
    <w:rsid w:val="00BD7914"/>
    <w:rsid w:val="00BD7998"/>
    <w:rsid w:val="00BE0329"/>
    <w:rsid w:val="00BE0344"/>
    <w:rsid w:val="00BE0502"/>
    <w:rsid w:val="00BE06D6"/>
    <w:rsid w:val="00BE0A7F"/>
    <w:rsid w:val="00BE0BD9"/>
    <w:rsid w:val="00BE0FF0"/>
    <w:rsid w:val="00BE103B"/>
    <w:rsid w:val="00BE13DC"/>
    <w:rsid w:val="00BE16C0"/>
    <w:rsid w:val="00BE1861"/>
    <w:rsid w:val="00BE1AC9"/>
    <w:rsid w:val="00BE1D57"/>
    <w:rsid w:val="00BE1DBB"/>
    <w:rsid w:val="00BE1FF0"/>
    <w:rsid w:val="00BE211D"/>
    <w:rsid w:val="00BE2260"/>
    <w:rsid w:val="00BE23D7"/>
    <w:rsid w:val="00BE25C2"/>
    <w:rsid w:val="00BE2F68"/>
    <w:rsid w:val="00BE2F88"/>
    <w:rsid w:val="00BE2FA4"/>
    <w:rsid w:val="00BE30DB"/>
    <w:rsid w:val="00BE3734"/>
    <w:rsid w:val="00BE37C8"/>
    <w:rsid w:val="00BE3978"/>
    <w:rsid w:val="00BE3B9B"/>
    <w:rsid w:val="00BE3DE5"/>
    <w:rsid w:val="00BE3E0F"/>
    <w:rsid w:val="00BE433C"/>
    <w:rsid w:val="00BE4B0D"/>
    <w:rsid w:val="00BE4BBC"/>
    <w:rsid w:val="00BE4D9F"/>
    <w:rsid w:val="00BE566F"/>
    <w:rsid w:val="00BE5847"/>
    <w:rsid w:val="00BE5874"/>
    <w:rsid w:val="00BE6703"/>
    <w:rsid w:val="00BE6999"/>
    <w:rsid w:val="00BE6AF1"/>
    <w:rsid w:val="00BE6D63"/>
    <w:rsid w:val="00BE6DAE"/>
    <w:rsid w:val="00BE766E"/>
    <w:rsid w:val="00BE77D0"/>
    <w:rsid w:val="00BE7960"/>
    <w:rsid w:val="00BF0200"/>
    <w:rsid w:val="00BF03DB"/>
    <w:rsid w:val="00BF0876"/>
    <w:rsid w:val="00BF0928"/>
    <w:rsid w:val="00BF0F3D"/>
    <w:rsid w:val="00BF107F"/>
    <w:rsid w:val="00BF17D6"/>
    <w:rsid w:val="00BF1999"/>
    <w:rsid w:val="00BF1BBD"/>
    <w:rsid w:val="00BF204D"/>
    <w:rsid w:val="00BF2428"/>
    <w:rsid w:val="00BF2533"/>
    <w:rsid w:val="00BF2774"/>
    <w:rsid w:val="00BF27CE"/>
    <w:rsid w:val="00BF2889"/>
    <w:rsid w:val="00BF2B8D"/>
    <w:rsid w:val="00BF2EB1"/>
    <w:rsid w:val="00BF2FF1"/>
    <w:rsid w:val="00BF3532"/>
    <w:rsid w:val="00BF464A"/>
    <w:rsid w:val="00BF4827"/>
    <w:rsid w:val="00BF4FCA"/>
    <w:rsid w:val="00BF550D"/>
    <w:rsid w:val="00BF5615"/>
    <w:rsid w:val="00BF56BB"/>
    <w:rsid w:val="00BF6195"/>
    <w:rsid w:val="00BF68D4"/>
    <w:rsid w:val="00BF6A7C"/>
    <w:rsid w:val="00BF6ADB"/>
    <w:rsid w:val="00BF6E13"/>
    <w:rsid w:val="00BF71B7"/>
    <w:rsid w:val="00BF7301"/>
    <w:rsid w:val="00BF75E6"/>
    <w:rsid w:val="00BF76B9"/>
    <w:rsid w:val="00BF7BD8"/>
    <w:rsid w:val="00BF7D4C"/>
    <w:rsid w:val="00C00081"/>
    <w:rsid w:val="00C00A1F"/>
    <w:rsid w:val="00C00C15"/>
    <w:rsid w:val="00C012B1"/>
    <w:rsid w:val="00C012C1"/>
    <w:rsid w:val="00C01421"/>
    <w:rsid w:val="00C016F1"/>
    <w:rsid w:val="00C01850"/>
    <w:rsid w:val="00C01EA0"/>
    <w:rsid w:val="00C020AA"/>
    <w:rsid w:val="00C022A1"/>
    <w:rsid w:val="00C02915"/>
    <w:rsid w:val="00C02E1E"/>
    <w:rsid w:val="00C03253"/>
    <w:rsid w:val="00C03C70"/>
    <w:rsid w:val="00C03EAF"/>
    <w:rsid w:val="00C042CC"/>
    <w:rsid w:val="00C05390"/>
    <w:rsid w:val="00C05732"/>
    <w:rsid w:val="00C05BF6"/>
    <w:rsid w:val="00C05CBD"/>
    <w:rsid w:val="00C06222"/>
    <w:rsid w:val="00C062D0"/>
    <w:rsid w:val="00C06727"/>
    <w:rsid w:val="00C06E6E"/>
    <w:rsid w:val="00C07195"/>
    <w:rsid w:val="00C0735A"/>
    <w:rsid w:val="00C10272"/>
    <w:rsid w:val="00C10988"/>
    <w:rsid w:val="00C1100D"/>
    <w:rsid w:val="00C117E8"/>
    <w:rsid w:val="00C11831"/>
    <w:rsid w:val="00C119E8"/>
    <w:rsid w:val="00C11D3D"/>
    <w:rsid w:val="00C12A35"/>
    <w:rsid w:val="00C12A67"/>
    <w:rsid w:val="00C13786"/>
    <w:rsid w:val="00C13BAD"/>
    <w:rsid w:val="00C13E18"/>
    <w:rsid w:val="00C14310"/>
    <w:rsid w:val="00C14EF8"/>
    <w:rsid w:val="00C15260"/>
    <w:rsid w:val="00C155A1"/>
    <w:rsid w:val="00C158E4"/>
    <w:rsid w:val="00C15D82"/>
    <w:rsid w:val="00C16062"/>
    <w:rsid w:val="00C16AF3"/>
    <w:rsid w:val="00C16B68"/>
    <w:rsid w:val="00C16D75"/>
    <w:rsid w:val="00C17050"/>
    <w:rsid w:val="00C17083"/>
    <w:rsid w:val="00C1775B"/>
    <w:rsid w:val="00C1784D"/>
    <w:rsid w:val="00C17EF1"/>
    <w:rsid w:val="00C17F8C"/>
    <w:rsid w:val="00C20032"/>
    <w:rsid w:val="00C202A9"/>
    <w:rsid w:val="00C203D0"/>
    <w:rsid w:val="00C20865"/>
    <w:rsid w:val="00C215C2"/>
    <w:rsid w:val="00C21803"/>
    <w:rsid w:val="00C21C65"/>
    <w:rsid w:val="00C2205A"/>
    <w:rsid w:val="00C22236"/>
    <w:rsid w:val="00C22238"/>
    <w:rsid w:val="00C225E4"/>
    <w:rsid w:val="00C226C7"/>
    <w:rsid w:val="00C232C8"/>
    <w:rsid w:val="00C234DA"/>
    <w:rsid w:val="00C234F6"/>
    <w:rsid w:val="00C235FD"/>
    <w:rsid w:val="00C2371B"/>
    <w:rsid w:val="00C239EC"/>
    <w:rsid w:val="00C23D8F"/>
    <w:rsid w:val="00C23FC5"/>
    <w:rsid w:val="00C243C9"/>
    <w:rsid w:val="00C245E7"/>
    <w:rsid w:val="00C24B79"/>
    <w:rsid w:val="00C24BB1"/>
    <w:rsid w:val="00C24EEB"/>
    <w:rsid w:val="00C251CD"/>
    <w:rsid w:val="00C253C6"/>
    <w:rsid w:val="00C25A04"/>
    <w:rsid w:val="00C25CB8"/>
    <w:rsid w:val="00C25E4E"/>
    <w:rsid w:val="00C25F52"/>
    <w:rsid w:val="00C26252"/>
    <w:rsid w:val="00C2635E"/>
    <w:rsid w:val="00C2669B"/>
    <w:rsid w:val="00C26A12"/>
    <w:rsid w:val="00C26A24"/>
    <w:rsid w:val="00C26B7E"/>
    <w:rsid w:val="00C26D57"/>
    <w:rsid w:val="00C2763A"/>
    <w:rsid w:val="00C2768A"/>
    <w:rsid w:val="00C277CC"/>
    <w:rsid w:val="00C2785D"/>
    <w:rsid w:val="00C27A26"/>
    <w:rsid w:val="00C27AB9"/>
    <w:rsid w:val="00C27B0F"/>
    <w:rsid w:val="00C27B8A"/>
    <w:rsid w:val="00C27C12"/>
    <w:rsid w:val="00C27D35"/>
    <w:rsid w:val="00C302C7"/>
    <w:rsid w:val="00C303C3"/>
    <w:rsid w:val="00C30443"/>
    <w:rsid w:val="00C30722"/>
    <w:rsid w:val="00C30767"/>
    <w:rsid w:val="00C30A36"/>
    <w:rsid w:val="00C30BD5"/>
    <w:rsid w:val="00C31166"/>
    <w:rsid w:val="00C313CF"/>
    <w:rsid w:val="00C315FD"/>
    <w:rsid w:val="00C31849"/>
    <w:rsid w:val="00C319FA"/>
    <w:rsid w:val="00C3267A"/>
    <w:rsid w:val="00C330E2"/>
    <w:rsid w:val="00C33AA9"/>
    <w:rsid w:val="00C33B4B"/>
    <w:rsid w:val="00C33CFC"/>
    <w:rsid w:val="00C33E02"/>
    <w:rsid w:val="00C34034"/>
    <w:rsid w:val="00C345A8"/>
    <w:rsid w:val="00C3460C"/>
    <w:rsid w:val="00C34950"/>
    <w:rsid w:val="00C34A48"/>
    <w:rsid w:val="00C34D72"/>
    <w:rsid w:val="00C3516A"/>
    <w:rsid w:val="00C3586A"/>
    <w:rsid w:val="00C35D31"/>
    <w:rsid w:val="00C35E1B"/>
    <w:rsid w:val="00C35EE6"/>
    <w:rsid w:val="00C3605C"/>
    <w:rsid w:val="00C3626F"/>
    <w:rsid w:val="00C36A30"/>
    <w:rsid w:val="00C371F3"/>
    <w:rsid w:val="00C372B3"/>
    <w:rsid w:val="00C374F9"/>
    <w:rsid w:val="00C377B3"/>
    <w:rsid w:val="00C378E7"/>
    <w:rsid w:val="00C40043"/>
    <w:rsid w:val="00C401F1"/>
    <w:rsid w:val="00C404C0"/>
    <w:rsid w:val="00C4063F"/>
    <w:rsid w:val="00C40A77"/>
    <w:rsid w:val="00C40B82"/>
    <w:rsid w:val="00C40C6D"/>
    <w:rsid w:val="00C40CA2"/>
    <w:rsid w:val="00C41166"/>
    <w:rsid w:val="00C414D8"/>
    <w:rsid w:val="00C41588"/>
    <w:rsid w:val="00C41997"/>
    <w:rsid w:val="00C41A46"/>
    <w:rsid w:val="00C41E52"/>
    <w:rsid w:val="00C4228B"/>
    <w:rsid w:val="00C423A8"/>
    <w:rsid w:val="00C423C4"/>
    <w:rsid w:val="00C428AF"/>
    <w:rsid w:val="00C42C9C"/>
    <w:rsid w:val="00C430C8"/>
    <w:rsid w:val="00C43901"/>
    <w:rsid w:val="00C4391C"/>
    <w:rsid w:val="00C43EA0"/>
    <w:rsid w:val="00C4458C"/>
    <w:rsid w:val="00C445C5"/>
    <w:rsid w:val="00C44A03"/>
    <w:rsid w:val="00C44AB4"/>
    <w:rsid w:val="00C4584B"/>
    <w:rsid w:val="00C45D36"/>
    <w:rsid w:val="00C45EBC"/>
    <w:rsid w:val="00C4602B"/>
    <w:rsid w:val="00C46505"/>
    <w:rsid w:val="00C469CB"/>
    <w:rsid w:val="00C46F5D"/>
    <w:rsid w:val="00C47C08"/>
    <w:rsid w:val="00C47C43"/>
    <w:rsid w:val="00C47DB5"/>
    <w:rsid w:val="00C47E18"/>
    <w:rsid w:val="00C50054"/>
    <w:rsid w:val="00C5046C"/>
    <w:rsid w:val="00C5062E"/>
    <w:rsid w:val="00C50B17"/>
    <w:rsid w:val="00C50BE1"/>
    <w:rsid w:val="00C50C75"/>
    <w:rsid w:val="00C50D8E"/>
    <w:rsid w:val="00C50DF7"/>
    <w:rsid w:val="00C511E0"/>
    <w:rsid w:val="00C512E3"/>
    <w:rsid w:val="00C513DB"/>
    <w:rsid w:val="00C51847"/>
    <w:rsid w:val="00C51A1D"/>
    <w:rsid w:val="00C51AF6"/>
    <w:rsid w:val="00C52012"/>
    <w:rsid w:val="00C52502"/>
    <w:rsid w:val="00C52672"/>
    <w:rsid w:val="00C527CD"/>
    <w:rsid w:val="00C52812"/>
    <w:rsid w:val="00C5287F"/>
    <w:rsid w:val="00C528F6"/>
    <w:rsid w:val="00C52B37"/>
    <w:rsid w:val="00C52D5A"/>
    <w:rsid w:val="00C52EF1"/>
    <w:rsid w:val="00C535D6"/>
    <w:rsid w:val="00C54149"/>
    <w:rsid w:val="00C5432D"/>
    <w:rsid w:val="00C54442"/>
    <w:rsid w:val="00C54A7C"/>
    <w:rsid w:val="00C54CD5"/>
    <w:rsid w:val="00C54D06"/>
    <w:rsid w:val="00C54F78"/>
    <w:rsid w:val="00C55548"/>
    <w:rsid w:val="00C5584A"/>
    <w:rsid w:val="00C55BF6"/>
    <w:rsid w:val="00C56194"/>
    <w:rsid w:val="00C56848"/>
    <w:rsid w:val="00C568F2"/>
    <w:rsid w:val="00C56CFD"/>
    <w:rsid w:val="00C56E6D"/>
    <w:rsid w:val="00C57083"/>
    <w:rsid w:val="00C570F0"/>
    <w:rsid w:val="00C57133"/>
    <w:rsid w:val="00C57147"/>
    <w:rsid w:val="00C5754C"/>
    <w:rsid w:val="00C57CC1"/>
    <w:rsid w:val="00C57CFA"/>
    <w:rsid w:val="00C57DCD"/>
    <w:rsid w:val="00C57DE6"/>
    <w:rsid w:val="00C602A1"/>
    <w:rsid w:val="00C60D74"/>
    <w:rsid w:val="00C60DD3"/>
    <w:rsid w:val="00C60E32"/>
    <w:rsid w:val="00C61344"/>
    <w:rsid w:val="00C61696"/>
    <w:rsid w:val="00C619C7"/>
    <w:rsid w:val="00C61A2E"/>
    <w:rsid w:val="00C621D2"/>
    <w:rsid w:val="00C6265A"/>
    <w:rsid w:val="00C626DD"/>
    <w:rsid w:val="00C629F8"/>
    <w:rsid w:val="00C62A89"/>
    <w:rsid w:val="00C62E66"/>
    <w:rsid w:val="00C63121"/>
    <w:rsid w:val="00C63231"/>
    <w:rsid w:val="00C63286"/>
    <w:rsid w:val="00C63806"/>
    <w:rsid w:val="00C63F07"/>
    <w:rsid w:val="00C64575"/>
    <w:rsid w:val="00C646AF"/>
    <w:rsid w:val="00C646BD"/>
    <w:rsid w:val="00C647A1"/>
    <w:rsid w:val="00C64CAC"/>
    <w:rsid w:val="00C64F1A"/>
    <w:rsid w:val="00C64F78"/>
    <w:rsid w:val="00C6547F"/>
    <w:rsid w:val="00C654F3"/>
    <w:rsid w:val="00C6571E"/>
    <w:rsid w:val="00C65E82"/>
    <w:rsid w:val="00C661C3"/>
    <w:rsid w:val="00C661DF"/>
    <w:rsid w:val="00C661F7"/>
    <w:rsid w:val="00C66528"/>
    <w:rsid w:val="00C665A5"/>
    <w:rsid w:val="00C6675A"/>
    <w:rsid w:val="00C667A6"/>
    <w:rsid w:val="00C66AB4"/>
    <w:rsid w:val="00C66C6F"/>
    <w:rsid w:val="00C66D6D"/>
    <w:rsid w:val="00C676AF"/>
    <w:rsid w:val="00C67A17"/>
    <w:rsid w:val="00C67C09"/>
    <w:rsid w:val="00C67C61"/>
    <w:rsid w:val="00C70116"/>
    <w:rsid w:val="00C70344"/>
    <w:rsid w:val="00C7071B"/>
    <w:rsid w:val="00C70CE2"/>
    <w:rsid w:val="00C70D58"/>
    <w:rsid w:val="00C7117B"/>
    <w:rsid w:val="00C71878"/>
    <w:rsid w:val="00C7222A"/>
    <w:rsid w:val="00C73726"/>
    <w:rsid w:val="00C73A6D"/>
    <w:rsid w:val="00C742A1"/>
    <w:rsid w:val="00C74571"/>
    <w:rsid w:val="00C747B0"/>
    <w:rsid w:val="00C74CBF"/>
    <w:rsid w:val="00C74EC6"/>
    <w:rsid w:val="00C75041"/>
    <w:rsid w:val="00C7507A"/>
    <w:rsid w:val="00C75C7E"/>
    <w:rsid w:val="00C75D5C"/>
    <w:rsid w:val="00C75F40"/>
    <w:rsid w:val="00C762D2"/>
    <w:rsid w:val="00C7661F"/>
    <w:rsid w:val="00C76835"/>
    <w:rsid w:val="00C76CFA"/>
    <w:rsid w:val="00C76E41"/>
    <w:rsid w:val="00C76EC8"/>
    <w:rsid w:val="00C77344"/>
    <w:rsid w:val="00C7735B"/>
    <w:rsid w:val="00C7740B"/>
    <w:rsid w:val="00C77515"/>
    <w:rsid w:val="00C7751B"/>
    <w:rsid w:val="00C7789A"/>
    <w:rsid w:val="00C805D0"/>
    <w:rsid w:val="00C810B5"/>
    <w:rsid w:val="00C81158"/>
    <w:rsid w:val="00C81613"/>
    <w:rsid w:val="00C81A0E"/>
    <w:rsid w:val="00C81FFB"/>
    <w:rsid w:val="00C82249"/>
    <w:rsid w:val="00C82271"/>
    <w:rsid w:val="00C8239E"/>
    <w:rsid w:val="00C828A9"/>
    <w:rsid w:val="00C828D5"/>
    <w:rsid w:val="00C82B02"/>
    <w:rsid w:val="00C830DD"/>
    <w:rsid w:val="00C8389F"/>
    <w:rsid w:val="00C838AE"/>
    <w:rsid w:val="00C8430E"/>
    <w:rsid w:val="00C84329"/>
    <w:rsid w:val="00C84411"/>
    <w:rsid w:val="00C84422"/>
    <w:rsid w:val="00C84537"/>
    <w:rsid w:val="00C84D5A"/>
    <w:rsid w:val="00C84DF0"/>
    <w:rsid w:val="00C850F5"/>
    <w:rsid w:val="00C85552"/>
    <w:rsid w:val="00C857E6"/>
    <w:rsid w:val="00C85A57"/>
    <w:rsid w:val="00C863ED"/>
    <w:rsid w:val="00C86487"/>
    <w:rsid w:val="00C865B0"/>
    <w:rsid w:val="00C86620"/>
    <w:rsid w:val="00C868FC"/>
    <w:rsid w:val="00C86AE8"/>
    <w:rsid w:val="00C86C22"/>
    <w:rsid w:val="00C86CD8"/>
    <w:rsid w:val="00C872BE"/>
    <w:rsid w:val="00C900C1"/>
    <w:rsid w:val="00C9025F"/>
    <w:rsid w:val="00C90566"/>
    <w:rsid w:val="00C90D10"/>
    <w:rsid w:val="00C90DD0"/>
    <w:rsid w:val="00C90EAD"/>
    <w:rsid w:val="00C91163"/>
    <w:rsid w:val="00C91440"/>
    <w:rsid w:val="00C91EF1"/>
    <w:rsid w:val="00C920B0"/>
    <w:rsid w:val="00C921C9"/>
    <w:rsid w:val="00C921D3"/>
    <w:rsid w:val="00C92B7C"/>
    <w:rsid w:val="00C92DA4"/>
    <w:rsid w:val="00C9320C"/>
    <w:rsid w:val="00C93426"/>
    <w:rsid w:val="00C9385F"/>
    <w:rsid w:val="00C93992"/>
    <w:rsid w:val="00C94200"/>
    <w:rsid w:val="00C94330"/>
    <w:rsid w:val="00C943DE"/>
    <w:rsid w:val="00C94534"/>
    <w:rsid w:val="00C9479C"/>
    <w:rsid w:val="00C94869"/>
    <w:rsid w:val="00C94D5F"/>
    <w:rsid w:val="00C950C7"/>
    <w:rsid w:val="00C9541C"/>
    <w:rsid w:val="00C95540"/>
    <w:rsid w:val="00C95E45"/>
    <w:rsid w:val="00C9645A"/>
    <w:rsid w:val="00C965CA"/>
    <w:rsid w:val="00C96662"/>
    <w:rsid w:val="00C967A1"/>
    <w:rsid w:val="00C96C6C"/>
    <w:rsid w:val="00C96F03"/>
    <w:rsid w:val="00C97A90"/>
    <w:rsid w:val="00C97AB8"/>
    <w:rsid w:val="00C97C73"/>
    <w:rsid w:val="00C97CD4"/>
    <w:rsid w:val="00C97F68"/>
    <w:rsid w:val="00C97F6E"/>
    <w:rsid w:val="00CA0121"/>
    <w:rsid w:val="00CA0202"/>
    <w:rsid w:val="00CA038D"/>
    <w:rsid w:val="00CA04B0"/>
    <w:rsid w:val="00CA0882"/>
    <w:rsid w:val="00CA0F57"/>
    <w:rsid w:val="00CA11B7"/>
    <w:rsid w:val="00CA18EC"/>
    <w:rsid w:val="00CA1C85"/>
    <w:rsid w:val="00CA1EA8"/>
    <w:rsid w:val="00CA2343"/>
    <w:rsid w:val="00CA2499"/>
    <w:rsid w:val="00CA25B9"/>
    <w:rsid w:val="00CA2F3C"/>
    <w:rsid w:val="00CA322D"/>
    <w:rsid w:val="00CA3328"/>
    <w:rsid w:val="00CA373D"/>
    <w:rsid w:val="00CA3796"/>
    <w:rsid w:val="00CA3ACF"/>
    <w:rsid w:val="00CA3FBA"/>
    <w:rsid w:val="00CA4169"/>
    <w:rsid w:val="00CA51F0"/>
    <w:rsid w:val="00CA5BF6"/>
    <w:rsid w:val="00CA6751"/>
    <w:rsid w:val="00CA67B4"/>
    <w:rsid w:val="00CA6C44"/>
    <w:rsid w:val="00CA6D94"/>
    <w:rsid w:val="00CA7064"/>
    <w:rsid w:val="00CA762F"/>
    <w:rsid w:val="00CA796F"/>
    <w:rsid w:val="00CA7A30"/>
    <w:rsid w:val="00CA7A55"/>
    <w:rsid w:val="00CA7A77"/>
    <w:rsid w:val="00CA7C75"/>
    <w:rsid w:val="00CB05EF"/>
    <w:rsid w:val="00CB0AA5"/>
    <w:rsid w:val="00CB0C9A"/>
    <w:rsid w:val="00CB0F74"/>
    <w:rsid w:val="00CB13B9"/>
    <w:rsid w:val="00CB13E7"/>
    <w:rsid w:val="00CB159E"/>
    <w:rsid w:val="00CB1DD9"/>
    <w:rsid w:val="00CB209C"/>
    <w:rsid w:val="00CB2912"/>
    <w:rsid w:val="00CB29A5"/>
    <w:rsid w:val="00CB2DD6"/>
    <w:rsid w:val="00CB3430"/>
    <w:rsid w:val="00CB367C"/>
    <w:rsid w:val="00CB3A07"/>
    <w:rsid w:val="00CB3A94"/>
    <w:rsid w:val="00CB3E65"/>
    <w:rsid w:val="00CB3FAE"/>
    <w:rsid w:val="00CB4385"/>
    <w:rsid w:val="00CB47F5"/>
    <w:rsid w:val="00CB492F"/>
    <w:rsid w:val="00CB4E21"/>
    <w:rsid w:val="00CB534E"/>
    <w:rsid w:val="00CB566F"/>
    <w:rsid w:val="00CB5A3F"/>
    <w:rsid w:val="00CB63E8"/>
    <w:rsid w:val="00CB6C41"/>
    <w:rsid w:val="00CB6F1A"/>
    <w:rsid w:val="00CB717C"/>
    <w:rsid w:val="00CB71E7"/>
    <w:rsid w:val="00CB746E"/>
    <w:rsid w:val="00CB75BA"/>
    <w:rsid w:val="00CB7724"/>
    <w:rsid w:val="00CB7840"/>
    <w:rsid w:val="00CB7A74"/>
    <w:rsid w:val="00CB7ADB"/>
    <w:rsid w:val="00CB7BCD"/>
    <w:rsid w:val="00CB7C46"/>
    <w:rsid w:val="00CB7ECF"/>
    <w:rsid w:val="00CB7F21"/>
    <w:rsid w:val="00CB7FF0"/>
    <w:rsid w:val="00CC006E"/>
    <w:rsid w:val="00CC0082"/>
    <w:rsid w:val="00CC02FD"/>
    <w:rsid w:val="00CC0B7C"/>
    <w:rsid w:val="00CC0C31"/>
    <w:rsid w:val="00CC0E1B"/>
    <w:rsid w:val="00CC0F42"/>
    <w:rsid w:val="00CC11A0"/>
    <w:rsid w:val="00CC14A0"/>
    <w:rsid w:val="00CC1607"/>
    <w:rsid w:val="00CC16DB"/>
    <w:rsid w:val="00CC173D"/>
    <w:rsid w:val="00CC1750"/>
    <w:rsid w:val="00CC1BE6"/>
    <w:rsid w:val="00CC1E36"/>
    <w:rsid w:val="00CC212D"/>
    <w:rsid w:val="00CC2242"/>
    <w:rsid w:val="00CC22DB"/>
    <w:rsid w:val="00CC23A5"/>
    <w:rsid w:val="00CC23DA"/>
    <w:rsid w:val="00CC27BC"/>
    <w:rsid w:val="00CC27E8"/>
    <w:rsid w:val="00CC2983"/>
    <w:rsid w:val="00CC2F42"/>
    <w:rsid w:val="00CC3130"/>
    <w:rsid w:val="00CC31F2"/>
    <w:rsid w:val="00CC31FD"/>
    <w:rsid w:val="00CC32C1"/>
    <w:rsid w:val="00CC365B"/>
    <w:rsid w:val="00CC3A2D"/>
    <w:rsid w:val="00CC43F0"/>
    <w:rsid w:val="00CC47CD"/>
    <w:rsid w:val="00CC4906"/>
    <w:rsid w:val="00CC4A06"/>
    <w:rsid w:val="00CC4E71"/>
    <w:rsid w:val="00CC4F74"/>
    <w:rsid w:val="00CC51E8"/>
    <w:rsid w:val="00CC561C"/>
    <w:rsid w:val="00CC56A8"/>
    <w:rsid w:val="00CC58CD"/>
    <w:rsid w:val="00CC6390"/>
    <w:rsid w:val="00CC6599"/>
    <w:rsid w:val="00CC6842"/>
    <w:rsid w:val="00CC68A0"/>
    <w:rsid w:val="00CC69C5"/>
    <w:rsid w:val="00CC6C14"/>
    <w:rsid w:val="00CC6C82"/>
    <w:rsid w:val="00CC6CC2"/>
    <w:rsid w:val="00CC738E"/>
    <w:rsid w:val="00CC74AD"/>
    <w:rsid w:val="00CC74BA"/>
    <w:rsid w:val="00CC750E"/>
    <w:rsid w:val="00CC77BA"/>
    <w:rsid w:val="00CC78BD"/>
    <w:rsid w:val="00CC7E04"/>
    <w:rsid w:val="00CD05B4"/>
    <w:rsid w:val="00CD06ED"/>
    <w:rsid w:val="00CD08B2"/>
    <w:rsid w:val="00CD0BF4"/>
    <w:rsid w:val="00CD15F7"/>
    <w:rsid w:val="00CD1789"/>
    <w:rsid w:val="00CD1E72"/>
    <w:rsid w:val="00CD23E9"/>
    <w:rsid w:val="00CD2B23"/>
    <w:rsid w:val="00CD2DB1"/>
    <w:rsid w:val="00CD2F61"/>
    <w:rsid w:val="00CD3744"/>
    <w:rsid w:val="00CD3A82"/>
    <w:rsid w:val="00CD3BF3"/>
    <w:rsid w:val="00CD3C29"/>
    <w:rsid w:val="00CD3FE8"/>
    <w:rsid w:val="00CD457D"/>
    <w:rsid w:val="00CD4880"/>
    <w:rsid w:val="00CD4D39"/>
    <w:rsid w:val="00CD4F47"/>
    <w:rsid w:val="00CD5819"/>
    <w:rsid w:val="00CD5B2C"/>
    <w:rsid w:val="00CD5DC9"/>
    <w:rsid w:val="00CD6622"/>
    <w:rsid w:val="00CD66A4"/>
    <w:rsid w:val="00CD671E"/>
    <w:rsid w:val="00CD71DB"/>
    <w:rsid w:val="00CD78D7"/>
    <w:rsid w:val="00CD7A72"/>
    <w:rsid w:val="00CE08A8"/>
    <w:rsid w:val="00CE0AC9"/>
    <w:rsid w:val="00CE0DFB"/>
    <w:rsid w:val="00CE12AA"/>
    <w:rsid w:val="00CE15AD"/>
    <w:rsid w:val="00CE1A63"/>
    <w:rsid w:val="00CE1FF6"/>
    <w:rsid w:val="00CE2477"/>
    <w:rsid w:val="00CE26B3"/>
    <w:rsid w:val="00CE2752"/>
    <w:rsid w:val="00CE2C2A"/>
    <w:rsid w:val="00CE2E57"/>
    <w:rsid w:val="00CE326E"/>
    <w:rsid w:val="00CE36A0"/>
    <w:rsid w:val="00CE39DA"/>
    <w:rsid w:val="00CE3BB2"/>
    <w:rsid w:val="00CE3C12"/>
    <w:rsid w:val="00CE3D69"/>
    <w:rsid w:val="00CE3DC1"/>
    <w:rsid w:val="00CE3ED1"/>
    <w:rsid w:val="00CE41D9"/>
    <w:rsid w:val="00CE425F"/>
    <w:rsid w:val="00CE4528"/>
    <w:rsid w:val="00CE49E0"/>
    <w:rsid w:val="00CE575F"/>
    <w:rsid w:val="00CE5BA5"/>
    <w:rsid w:val="00CE5C30"/>
    <w:rsid w:val="00CE5F7F"/>
    <w:rsid w:val="00CE5F86"/>
    <w:rsid w:val="00CE647F"/>
    <w:rsid w:val="00CE64C0"/>
    <w:rsid w:val="00CE6DD1"/>
    <w:rsid w:val="00CE6F69"/>
    <w:rsid w:val="00CE75DC"/>
    <w:rsid w:val="00CE78B8"/>
    <w:rsid w:val="00CE7C4E"/>
    <w:rsid w:val="00CF079A"/>
    <w:rsid w:val="00CF0AFF"/>
    <w:rsid w:val="00CF0C5C"/>
    <w:rsid w:val="00CF112F"/>
    <w:rsid w:val="00CF1156"/>
    <w:rsid w:val="00CF11CA"/>
    <w:rsid w:val="00CF1266"/>
    <w:rsid w:val="00CF1509"/>
    <w:rsid w:val="00CF16ED"/>
    <w:rsid w:val="00CF194A"/>
    <w:rsid w:val="00CF1F6C"/>
    <w:rsid w:val="00CF259D"/>
    <w:rsid w:val="00CF2EB0"/>
    <w:rsid w:val="00CF3400"/>
    <w:rsid w:val="00CF3687"/>
    <w:rsid w:val="00CF37A3"/>
    <w:rsid w:val="00CF39C9"/>
    <w:rsid w:val="00CF3AD4"/>
    <w:rsid w:val="00CF3B8D"/>
    <w:rsid w:val="00CF3FE7"/>
    <w:rsid w:val="00CF5A66"/>
    <w:rsid w:val="00CF5C3E"/>
    <w:rsid w:val="00CF5CF5"/>
    <w:rsid w:val="00CF65D1"/>
    <w:rsid w:val="00CF66C1"/>
    <w:rsid w:val="00CF686E"/>
    <w:rsid w:val="00CF6C6F"/>
    <w:rsid w:val="00CF6DEB"/>
    <w:rsid w:val="00CF6F8D"/>
    <w:rsid w:val="00CF765A"/>
    <w:rsid w:val="00CF76EC"/>
    <w:rsid w:val="00CF79BB"/>
    <w:rsid w:val="00D000FA"/>
    <w:rsid w:val="00D002F6"/>
    <w:rsid w:val="00D00586"/>
    <w:rsid w:val="00D00679"/>
    <w:rsid w:val="00D0075C"/>
    <w:rsid w:val="00D00801"/>
    <w:rsid w:val="00D00914"/>
    <w:rsid w:val="00D00D11"/>
    <w:rsid w:val="00D0117F"/>
    <w:rsid w:val="00D01489"/>
    <w:rsid w:val="00D01881"/>
    <w:rsid w:val="00D01939"/>
    <w:rsid w:val="00D019FC"/>
    <w:rsid w:val="00D01F9E"/>
    <w:rsid w:val="00D02042"/>
    <w:rsid w:val="00D02235"/>
    <w:rsid w:val="00D02253"/>
    <w:rsid w:val="00D0251D"/>
    <w:rsid w:val="00D02563"/>
    <w:rsid w:val="00D028A1"/>
    <w:rsid w:val="00D02B6E"/>
    <w:rsid w:val="00D02C39"/>
    <w:rsid w:val="00D035F7"/>
    <w:rsid w:val="00D0405D"/>
    <w:rsid w:val="00D0407C"/>
    <w:rsid w:val="00D0429B"/>
    <w:rsid w:val="00D04698"/>
    <w:rsid w:val="00D051AD"/>
    <w:rsid w:val="00D0526F"/>
    <w:rsid w:val="00D052A9"/>
    <w:rsid w:val="00D05680"/>
    <w:rsid w:val="00D05EEF"/>
    <w:rsid w:val="00D060F0"/>
    <w:rsid w:val="00D065CC"/>
    <w:rsid w:val="00D06A3F"/>
    <w:rsid w:val="00D06A51"/>
    <w:rsid w:val="00D06A94"/>
    <w:rsid w:val="00D06EB3"/>
    <w:rsid w:val="00D0705C"/>
    <w:rsid w:val="00D071AD"/>
    <w:rsid w:val="00D077BF"/>
    <w:rsid w:val="00D07970"/>
    <w:rsid w:val="00D100CD"/>
    <w:rsid w:val="00D10421"/>
    <w:rsid w:val="00D10B9D"/>
    <w:rsid w:val="00D10DF5"/>
    <w:rsid w:val="00D10E54"/>
    <w:rsid w:val="00D11268"/>
    <w:rsid w:val="00D116D1"/>
    <w:rsid w:val="00D1196F"/>
    <w:rsid w:val="00D11D91"/>
    <w:rsid w:val="00D122D3"/>
    <w:rsid w:val="00D12651"/>
    <w:rsid w:val="00D128A0"/>
    <w:rsid w:val="00D12D7D"/>
    <w:rsid w:val="00D12EB8"/>
    <w:rsid w:val="00D1351B"/>
    <w:rsid w:val="00D137FE"/>
    <w:rsid w:val="00D138EE"/>
    <w:rsid w:val="00D13FE5"/>
    <w:rsid w:val="00D14343"/>
    <w:rsid w:val="00D143B5"/>
    <w:rsid w:val="00D144D9"/>
    <w:rsid w:val="00D14B60"/>
    <w:rsid w:val="00D14C69"/>
    <w:rsid w:val="00D14FFD"/>
    <w:rsid w:val="00D150C0"/>
    <w:rsid w:val="00D15436"/>
    <w:rsid w:val="00D154EF"/>
    <w:rsid w:val="00D1587C"/>
    <w:rsid w:val="00D15C73"/>
    <w:rsid w:val="00D15D22"/>
    <w:rsid w:val="00D163D4"/>
    <w:rsid w:val="00D1663D"/>
    <w:rsid w:val="00D16786"/>
    <w:rsid w:val="00D16882"/>
    <w:rsid w:val="00D16F32"/>
    <w:rsid w:val="00D170A6"/>
    <w:rsid w:val="00D1714E"/>
    <w:rsid w:val="00D171D9"/>
    <w:rsid w:val="00D1730D"/>
    <w:rsid w:val="00D17633"/>
    <w:rsid w:val="00D17B9E"/>
    <w:rsid w:val="00D2026B"/>
    <w:rsid w:val="00D20512"/>
    <w:rsid w:val="00D208D0"/>
    <w:rsid w:val="00D20BEF"/>
    <w:rsid w:val="00D20EC2"/>
    <w:rsid w:val="00D21279"/>
    <w:rsid w:val="00D216F9"/>
    <w:rsid w:val="00D21AB9"/>
    <w:rsid w:val="00D21DEA"/>
    <w:rsid w:val="00D2236E"/>
    <w:rsid w:val="00D22554"/>
    <w:rsid w:val="00D2275B"/>
    <w:rsid w:val="00D22A40"/>
    <w:rsid w:val="00D22F41"/>
    <w:rsid w:val="00D23392"/>
    <w:rsid w:val="00D2347C"/>
    <w:rsid w:val="00D23581"/>
    <w:rsid w:val="00D23589"/>
    <w:rsid w:val="00D23835"/>
    <w:rsid w:val="00D23B80"/>
    <w:rsid w:val="00D23BB8"/>
    <w:rsid w:val="00D23DE9"/>
    <w:rsid w:val="00D23F15"/>
    <w:rsid w:val="00D243C5"/>
    <w:rsid w:val="00D243F9"/>
    <w:rsid w:val="00D24554"/>
    <w:rsid w:val="00D25C0B"/>
    <w:rsid w:val="00D266B4"/>
    <w:rsid w:val="00D2672D"/>
    <w:rsid w:val="00D26989"/>
    <w:rsid w:val="00D26DB1"/>
    <w:rsid w:val="00D26E3D"/>
    <w:rsid w:val="00D270F1"/>
    <w:rsid w:val="00D274DA"/>
    <w:rsid w:val="00D2790A"/>
    <w:rsid w:val="00D27DBC"/>
    <w:rsid w:val="00D30095"/>
    <w:rsid w:val="00D303AC"/>
    <w:rsid w:val="00D3066E"/>
    <w:rsid w:val="00D30EC5"/>
    <w:rsid w:val="00D3120E"/>
    <w:rsid w:val="00D31448"/>
    <w:rsid w:val="00D315E8"/>
    <w:rsid w:val="00D31697"/>
    <w:rsid w:val="00D319A2"/>
    <w:rsid w:val="00D31D33"/>
    <w:rsid w:val="00D31F68"/>
    <w:rsid w:val="00D31F84"/>
    <w:rsid w:val="00D32BCA"/>
    <w:rsid w:val="00D33004"/>
    <w:rsid w:val="00D3362A"/>
    <w:rsid w:val="00D33A2C"/>
    <w:rsid w:val="00D33F87"/>
    <w:rsid w:val="00D34637"/>
    <w:rsid w:val="00D34658"/>
    <w:rsid w:val="00D34CF2"/>
    <w:rsid w:val="00D34FC8"/>
    <w:rsid w:val="00D3514A"/>
    <w:rsid w:val="00D35361"/>
    <w:rsid w:val="00D3577F"/>
    <w:rsid w:val="00D359AC"/>
    <w:rsid w:val="00D359BD"/>
    <w:rsid w:val="00D359D2"/>
    <w:rsid w:val="00D35A48"/>
    <w:rsid w:val="00D35D18"/>
    <w:rsid w:val="00D35D84"/>
    <w:rsid w:val="00D35E06"/>
    <w:rsid w:val="00D35FA7"/>
    <w:rsid w:val="00D36035"/>
    <w:rsid w:val="00D361DB"/>
    <w:rsid w:val="00D36356"/>
    <w:rsid w:val="00D36C15"/>
    <w:rsid w:val="00D37906"/>
    <w:rsid w:val="00D37CD0"/>
    <w:rsid w:val="00D37E09"/>
    <w:rsid w:val="00D4034B"/>
    <w:rsid w:val="00D4062E"/>
    <w:rsid w:val="00D40980"/>
    <w:rsid w:val="00D40E9E"/>
    <w:rsid w:val="00D41056"/>
    <w:rsid w:val="00D4112E"/>
    <w:rsid w:val="00D41133"/>
    <w:rsid w:val="00D411FC"/>
    <w:rsid w:val="00D42192"/>
    <w:rsid w:val="00D42675"/>
    <w:rsid w:val="00D4280C"/>
    <w:rsid w:val="00D42880"/>
    <w:rsid w:val="00D42BCC"/>
    <w:rsid w:val="00D432F5"/>
    <w:rsid w:val="00D43627"/>
    <w:rsid w:val="00D43A1D"/>
    <w:rsid w:val="00D44143"/>
    <w:rsid w:val="00D442B3"/>
    <w:rsid w:val="00D442D6"/>
    <w:rsid w:val="00D44788"/>
    <w:rsid w:val="00D44899"/>
    <w:rsid w:val="00D44C17"/>
    <w:rsid w:val="00D44E1F"/>
    <w:rsid w:val="00D44E8F"/>
    <w:rsid w:val="00D45036"/>
    <w:rsid w:val="00D4528E"/>
    <w:rsid w:val="00D4537D"/>
    <w:rsid w:val="00D45506"/>
    <w:rsid w:val="00D45807"/>
    <w:rsid w:val="00D462C3"/>
    <w:rsid w:val="00D46643"/>
    <w:rsid w:val="00D4680F"/>
    <w:rsid w:val="00D4686C"/>
    <w:rsid w:val="00D4693A"/>
    <w:rsid w:val="00D46987"/>
    <w:rsid w:val="00D46D89"/>
    <w:rsid w:val="00D46EA1"/>
    <w:rsid w:val="00D46F55"/>
    <w:rsid w:val="00D471DF"/>
    <w:rsid w:val="00D47A75"/>
    <w:rsid w:val="00D47B03"/>
    <w:rsid w:val="00D47D12"/>
    <w:rsid w:val="00D47DDE"/>
    <w:rsid w:val="00D5008D"/>
    <w:rsid w:val="00D50455"/>
    <w:rsid w:val="00D505E2"/>
    <w:rsid w:val="00D50996"/>
    <w:rsid w:val="00D50CA5"/>
    <w:rsid w:val="00D50D0D"/>
    <w:rsid w:val="00D50E11"/>
    <w:rsid w:val="00D511B4"/>
    <w:rsid w:val="00D51820"/>
    <w:rsid w:val="00D51C1A"/>
    <w:rsid w:val="00D52126"/>
    <w:rsid w:val="00D52244"/>
    <w:rsid w:val="00D52A27"/>
    <w:rsid w:val="00D52C9A"/>
    <w:rsid w:val="00D53422"/>
    <w:rsid w:val="00D538A5"/>
    <w:rsid w:val="00D53A35"/>
    <w:rsid w:val="00D53A63"/>
    <w:rsid w:val="00D53F39"/>
    <w:rsid w:val="00D5418D"/>
    <w:rsid w:val="00D541E2"/>
    <w:rsid w:val="00D5467C"/>
    <w:rsid w:val="00D54A02"/>
    <w:rsid w:val="00D54FB3"/>
    <w:rsid w:val="00D555D1"/>
    <w:rsid w:val="00D55E7E"/>
    <w:rsid w:val="00D56621"/>
    <w:rsid w:val="00D56894"/>
    <w:rsid w:val="00D56BF4"/>
    <w:rsid w:val="00D56CD1"/>
    <w:rsid w:val="00D5705D"/>
    <w:rsid w:val="00D57108"/>
    <w:rsid w:val="00D5764C"/>
    <w:rsid w:val="00D57826"/>
    <w:rsid w:val="00D57E90"/>
    <w:rsid w:val="00D57F85"/>
    <w:rsid w:val="00D57FE8"/>
    <w:rsid w:val="00D60357"/>
    <w:rsid w:val="00D60ACB"/>
    <w:rsid w:val="00D61042"/>
    <w:rsid w:val="00D6149A"/>
    <w:rsid w:val="00D61596"/>
    <w:rsid w:val="00D6170A"/>
    <w:rsid w:val="00D618BF"/>
    <w:rsid w:val="00D61BB2"/>
    <w:rsid w:val="00D61E41"/>
    <w:rsid w:val="00D61E7D"/>
    <w:rsid w:val="00D620C5"/>
    <w:rsid w:val="00D620FD"/>
    <w:rsid w:val="00D621C9"/>
    <w:rsid w:val="00D621D4"/>
    <w:rsid w:val="00D6278D"/>
    <w:rsid w:val="00D62814"/>
    <w:rsid w:val="00D62920"/>
    <w:rsid w:val="00D62B08"/>
    <w:rsid w:val="00D62B49"/>
    <w:rsid w:val="00D62FB5"/>
    <w:rsid w:val="00D633B0"/>
    <w:rsid w:val="00D635C1"/>
    <w:rsid w:val="00D635C5"/>
    <w:rsid w:val="00D63B96"/>
    <w:rsid w:val="00D63C6D"/>
    <w:rsid w:val="00D63E7A"/>
    <w:rsid w:val="00D63F02"/>
    <w:rsid w:val="00D649D7"/>
    <w:rsid w:val="00D64B8A"/>
    <w:rsid w:val="00D64C50"/>
    <w:rsid w:val="00D64EA7"/>
    <w:rsid w:val="00D64EC2"/>
    <w:rsid w:val="00D64F75"/>
    <w:rsid w:val="00D64FD1"/>
    <w:rsid w:val="00D655B8"/>
    <w:rsid w:val="00D65D8A"/>
    <w:rsid w:val="00D6640D"/>
    <w:rsid w:val="00D664EA"/>
    <w:rsid w:val="00D665FD"/>
    <w:rsid w:val="00D66E04"/>
    <w:rsid w:val="00D66FF8"/>
    <w:rsid w:val="00D67124"/>
    <w:rsid w:val="00D67300"/>
    <w:rsid w:val="00D6737F"/>
    <w:rsid w:val="00D6762F"/>
    <w:rsid w:val="00D6775A"/>
    <w:rsid w:val="00D67942"/>
    <w:rsid w:val="00D67C7B"/>
    <w:rsid w:val="00D70107"/>
    <w:rsid w:val="00D706A3"/>
    <w:rsid w:val="00D709F1"/>
    <w:rsid w:val="00D70A33"/>
    <w:rsid w:val="00D71040"/>
    <w:rsid w:val="00D711B7"/>
    <w:rsid w:val="00D71558"/>
    <w:rsid w:val="00D719B0"/>
    <w:rsid w:val="00D71A20"/>
    <w:rsid w:val="00D71A7E"/>
    <w:rsid w:val="00D71C79"/>
    <w:rsid w:val="00D71D33"/>
    <w:rsid w:val="00D71D5D"/>
    <w:rsid w:val="00D71D80"/>
    <w:rsid w:val="00D72379"/>
    <w:rsid w:val="00D72404"/>
    <w:rsid w:val="00D7289D"/>
    <w:rsid w:val="00D72CC9"/>
    <w:rsid w:val="00D72E76"/>
    <w:rsid w:val="00D73062"/>
    <w:rsid w:val="00D7314D"/>
    <w:rsid w:val="00D733A8"/>
    <w:rsid w:val="00D734F1"/>
    <w:rsid w:val="00D73B10"/>
    <w:rsid w:val="00D73B43"/>
    <w:rsid w:val="00D73C3E"/>
    <w:rsid w:val="00D7428C"/>
    <w:rsid w:val="00D74402"/>
    <w:rsid w:val="00D75407"/>
    <w:rsid w:val="00D75760"/>
    <w:rsid w:val="00D760AB"/>
    <w:rsid w:val="00D760C8"/>
    <w:rsid w:val="00D76608"/>
    <w:rsid w:val="00D76BB2"/>
    <w:rsid w:val="00D76E74"/>
    <w:rsid w:val="00D77BA7"/>
    <w:rsid w:val="00D77CED"/>
    <w:rsid w:val="00D80090"/>
    <w:rsid w:val="00D801BE"/>
    <w:rsid w:val="00D8034F"/>
    <w:rsid w:val="00D80591"/>
    <w:rsid w:val="00D8084F"/>
    <w:rsid w:val="00D808BC"/>
    <w:rsid w:val="00D80924"/>
    <w:rsid w:val="00D80CF2"/>
    <w:rsid w:val="00D80EC2"/>
    <w:rsid w:val="00D80FBB"/>
    <w:rsid w:val="00D8131C"/>
    <w:rsid w:val="00D814BD"/>
    <w:rsid w:val="00D81579"/>
    <w:rsid w:val="00D81628"/>
    <w:rsid w:val="00D8192B"/>
    <w:rsid w:val="00D8248F"/>
    <w:rsid w:val="00D824BC"/>
    <w:rsid w:val="00D8291F"/>
    <w:rsid w:val="00D82C41"/>
    <w:rsid w:val="00D82DF7"/>
    <w:rsid w:val="00D82E60"/>
    <w:rsid w:val="00D82E77"/>
    <w:rsid w:val="00D830BF"/>
    <w:rsid w:val="00D834E8"/>
    <w:rsid w:val="00D8358A"/>
    <w:rsid w:val="00D83784"/>
    <w:rsid w:val="00D83BC5"/>
    <w:rsid w:val="00D83D00"/>
    <w:rsid w:val="00D84082"/>
    <w:rsid w:val="00D8428D"/>
    <w:rsid w:val="00D843E1"/>
    <w:rsid w:val="00D843ED"/>
    <w:rsid w:val="00D844C6"/>
    <w:rsid w:val="00D84613"/>
    <w:rsid w:val="00D8496A"/>
    <w:rsid w:val="00D849FA"/>
    <w:rsid w:val="00D84A76"/>
    <w:rsid w:val="00D852B6"/>
    <w:rsid w:val="00D85C65"/>
    <w:rsid w:val="00D85FB5"/>
    <w:rsid w:val="00D86315"/>
    <w:rsid w:val="00D865EE"/>
    <w:rsid w:val="00D86603"/>
    <w:rsid w:val="00D86D7C"/>
    <w:rsid w:val="00D86DCC"/>
    <w:rsid w:val="00D87E83"/>
    <w:rsid w:val="00D90090"/>
    <w:rsid w:val="00D903B6"/>
    <w:rsid w:val="00D905D3"/>
    <w:rsid w:val="00D90849"/>
    <w:rsid w:val="00D90AE9"/>
    <w:rsid w:val="00D90B18"/>
    <w:rsid w:val="00D90B42"/>
    <w:rsid w:val="00D9142A"/>
    <w:rsid w:val="00D9174C"/>
    <w:rsid w:val="00D9213A"/>
    <w:rsid w:val="00D9237D"/>
    <w:rsid w:val="00D9271F"/>
    <w:rsid w:val="00D9293B"/>
    <w:rsid w:val="00D92AF3"/>
    <w:rsid w:val="00D92E28"/>
    <w:rsid w:val="00D935C5"/>
    <w:rsid w:val="00D9373E"/>
    <w:rsid w:val="00D93779"/>
    <w:rsid w:val="00D93834"/>
    <w:rsid w:val="00D93C89"/>
    <w:rsid w:val="00D93EFC"/>
    <w:rsid w:val="00D93F07"/>
    <w:rsid w:val="00D93FA5"/>
    <w:rsid w:val="00D9429E"/>
    <w:rsid w:val="00D9445B"/>
    <w:rsid w:val="00D947AE"/>
    <w:rsid w:val="00D94910"/>
    <w:rsid w:val="00D949ED"/>
    <w:rsid w:val="00D94C4E"/>
    <w:rsid w:val="00D94E4F"/>
    <w:rsid w:val="00D95163"/>
    <w:rsid w:val="00D95192"/>
    <w:rsid w:val="00D95794"/>
    <w:rsid w:val="00D95A4A"/>
    <w:rsid w:val="00D95AB7"/>
    <w:rsid w:val="00D95F4E"/>
    <w:rsid w:val="00D960CC"/>
    <w:rsid w:val="00D962E4"/>
    <w:rsid w:val="00D96351"/>
    <w:rsid w:val="00D96750"/>
    <w:rsid w:val="00D96857"/>
    <w:rsid w:val="00D96981"/>
    <w:rsid w:val="00D969B4"/>
    <w:rsid w:val="00D96AAD"/>
    <w:rsid w:val="00D96D19"/>
    <w:rsid w:val="00D96E22"/>
    <w:rsid w:val="00D97464"/>
    <w:rsid w:val="00D97FCB"/>
    <w:rsid w:val="00D97FE1"/>
    <w:rsid w:val="00DA0054"/>
    <w:rsid w:val="00DA081B"/>
    <w:rsid w:val="00DA0EAE"/>
    <w:rsid w:val="00DA16FB"/>
    <w:rsid w:val="00DA174A"/>
    <w:rsid w:val="00DA1ABA"/>
    <w:rsid w:val="00DA1AEC"/>
    <w:rsid w:val="00DA1EA8"/>
    <w:rsid w:val="00DA249E"/>
    <w:rsid w:val="00DA2A64"/>
    <w:rsid w:val="00DA2D2D"/>
    <w:rsid w:val="00DA31A0"/>
    <w:rsid w:val="00DA3492"/>
    <w:rsid w:val="00DA3760"/>
    <w:rsid w:val="00DA3C4A"/>
    <w:rsid w:val="00DA3DE4"/>
    <w:rsid w:val="00DA4060"/>
    <w:rsid w:val="00DA4382"/>
    <w:rsid w:val="00DA47D6"/>
    <w:rsid w:val="00DA48E3"/>
    <w:rsid w:val="00DA4C8B"/>
    <w:rsid w:val="00DA4CC1"/>
    <w:rsid w:val="00DA4E0E"/>
    <w:rsid w:val="00DA55B6"/>
    <w:rsid w:val="00DA572E"/>
    <w:rsid w:val="00DA5C3A"/>
    <w:rsid w:val="00DA6150"/>
    <w:rsid w:val="00DA615D"/>
    <w:rsid w:val="00DA64F4"/>
    <w:rsid w:val="00DA6BC5"/>
    <w:rsid w:val="00DA73B0"/>
    <w:rsid w:val="00DA778C"/>
    <w:rsid w:val="00DA782D"/>
    <w:rsid w:val="00DA7CB2"/>
    <w:rsid w:val="00DA7F5C"/>
    <w:rsid w:val="00DB0678"/>
    <w:rsid w:val="00DB07D6"/>
    <w:rsid w:val="00DB0870"/>
    <w:rsid w:val="00DB0D3D"/>
    <w:rsid w:val="00DB0D45"/>
    <w:rsid w:val="00DB12FD"/>
    <w:rsid w:val="00DB12FF"/>
    <w:rsid w:val="00DB146F"/>
    <w:rsid w:val="00DB201D"/>
    <w:rsid w:val="00DB25F8"/>
    <w:rsid w:val="00DB26C7"/>
    <w:rsid w:val="00DB26D7"/>
    <w:rsid w:val="00DB30A0"/>
    <w:rsid w:val="00DB35F4"/>
    <w:rsid w:val="00DB3666"/>
    <w:rsid w:val="00DB36F9"/>
    <w:rsid w:val="00DB3781"/>
    <w:rsid w:val="00DB37AC"/>
    <w:rsid w:val="00DB3892"/>
    <w:rsid w:val="00DB3962"/>
    <w:rsid w:val="00DB3A0F"/>
    <w:rsid w:val="00DB3EE6"/>
    <w:rsid w:val="00DB4030"/>
    <w:rsid w:val="00DB4079"/>
    <w:rsid w:val="00DB43B7"/>
    <w:rsid w:val="00DB4567"/>
    <w:rsid w:val="00DB460C"/>
    <w:rsid w:val="00DB4707"/>
    <w:rsid w:val="00DB5177"/>
    <w:rsid w:val="00DB5287"/>
    <w:rsid w:val="00DB54F5"/>
    <w:rsid w:val="00DB5511"/>
    <w:rsid w:val="00DB5CC8"/>
    <w:rsid w:val="00DB5CDC"/>
    <w:rsid w:val="00DB7602"/>
    <w:rsid w:val="00DB764B"/>
    <w:rsid w:val="00DB7BEE"/>
    <w:rsid w:val="00DB7C71"/>
    <w:rsid w:val="00DB7E5C"/>
    <w:rsid w:val="00DC0308"/>
    <w:rsid w:val="00DC032B"/>
    <w:rsid w:val="00DC074A"/>
    <w:rsid w:val="00DC0F12"/>
    <w:rsid w:val="00DC0F89"/>
    <w:rsid w:val="00DC10C0"/>
    <w:rsid w:val="00DC141B"/>
    <w:rsid w:val="00DC19B4"/>
    <w:rsid w:val="00DC19D6"/>
    <w:rsid w:val="00DC19E1"/>
    <w:rsid w:val="00DC1E9C"/>
    <w:rsid w:val="00DC1F69"/>
    <w:rsid w:val="00DC2025"/>
    <w:rsid w:val="00DC2069"/>
    <w:rsid w:val="00DC247B"/>
    <w:rsid w:val="00DC26BF"/>
    <w:rsid w:val="00DC2BFA"/>
    <w:rsid w:val="00DC33F3"/>
    <w:rsid w:val="00DC34AC"/>
    <w:rsid w:val="00DC35A4"/>
    <w:rsid w:val="00DC3737"/>
    <w:rsid w:val="00DC3781"/>
    <w:rsid w:val="00DC3971"/>
    <w:rsid w:val="00DC3AC4"/>
    <w:rsid w:val="00DC3D08"/>
    <w:rsid w:val="00DC3D1C"/>
    <w:rsid w:val="00DC3F88"/>
    <w:rsid w:val="00DC402E"/>
    <w:rsid w:val="00DC404A"/>
    <w:rsid w:val="00DC4148"/>
    <w:rsid w:val="00DC4837"/>
    <w:rsid w:val="00DC4906"/>
    <w:rsid w:val="00DC4CB6"/>
    <w:rsid w:val="00DC4DD4"/>
    <w:rsid w:val="00DC5E6A"/>
    <w:rsid w:val="00DC666D"/>
    <w:rsid w:val="00DC6C7A"/>
    <w:rsid w:val="00DC6E19"/>
    <w:rsid w:val="00DC7087"/>
    <w:rsid w:val="00DC7109"/>
    <w:rsid w:val="00DC723A"/>
    <w:rsid w:val="00DC75C8"/>
    <w:rsid w:val="00DC76C3"/>
    <w:rsid w:val="00DC7727"/>
    <w:rsid w:val="00DC7841"/>
    <w:rsid w:val="00DC7C03"/>
    <w:rsid w:val="00DC7E79"/>
    <w:rsid w:val="00DD0647"/>
    <w:rsid w:val="00DD06AD"/>
    <w:rsid w:val="00DD0DF3"/>
    <w:rsid w:val="00DD0E58"/>
    <w:rsid w:val="00DD0EE6"/>
    <w:rsid w:val="00DD1098"/>
    <w:rsid w:val="00DD10F6"/>
    <w:rsid w:val="00DD1306"/>
    <w:rsid w:val="00DD1643"/>
    <w:rsid w:val="00DD170E"/>
    <w:rsid w:val="00DD1A1E"/>
    <w:rsid w:val="00DD1B9D"/>
    <w:rsid w:val="00DD2015"/>
    <w:rsid w:val="00DD2334"/>
    <w:rsid w:val="00DD2591"/>
    <w:rsid w:val="00DD2872"/>
    <w:rsid w:val="00DD2DEC"/>
    <w:rsid w:val="00DD2EA1"/>
    <w:rsid w:val="00DD2EFE"/>
    <w:rsid w:val="00DD301F"/>
    <w:rsid w:val="00DD318B"/>
    <w:rsid w:val="00DD4700"/>
    <w:rsid w:val="00DD537F"/>
    <w:rsid w:val="00DD56B2"/>
    <w:rsid w:val="00DD5744"/>
    <w:rsid w:val="00DD583A"/>
    <w:rsid w:val="00DD5ADD"/>
    <w:rsid w:val="00DD5DE7"/>
    <w:rsid w:val="00DD5EF2"/>
    <w:rsid w:val="00DD61BD"/>
    <w:rsid w:val="00DD6542"/>
    <w:rsid w:val="00DD6567"/>
    <w:rsid w:val="00DD681A"/>
    <w:rsid w:val="00DD68F7"/>
    <w:rsid w:val="00DD6BE4"/>
    <w:rsid w:val="00DD7852"/>
    <w:rsid w:val="00DD7BE9"/>
    <w:rsid w:val="00DD7CCB"/>
    <w:rsid w:val="00DD7F02"/>
    <w:rsid w:val="00DE0061"/>
    <w:rsid w:val="00DE017D"/>
    <w:rsid w:val="00DE045D"/>
    <w:rsid w:val="00DE0687"/>
    <w:rsid w:val="00DE0C55"/>
    <w:rsid w:val="00DE0D20"/>
    <w:rsid w:val="00DE1453"/>
    <w:rsid w:val="00DE17E9"/>
    <w:rsid w:val="00DE1AAE"/>
    <w:rsid w:val="00DE1C5E"/>
    <w:rsid w:val="00DE20DC"/>
    <w:rsid w:val="00DE24CA"/>
    <w:rsid w:val="00DE25AF"/>
    <w:rsid w:val="00DE2910"/>
    <w:rsid w:val="00DE2AF5"/>
    <w:rsid w:val="00DE2B34"/>
    <w:rsid w:val="00DE312C"/>
    <w:rsid w:val="00DE31B1"/>
    <w:rsid w:val="00DE38D6"/>
    <w:rsid w:val="00DE3E51"/>
    <w:rsid w:val="00DE4140"/>
    <w:rsid w:val="00DE4239"/>
    <w:rsid w:val="00DE450D"/>
    <w:rsid w:val="00DE4D56"/>
    <w:rsid w:val="00DE532E"/>
    <w:rsid w:val="00DE54A1"/>
    <w:rsid w:val="00DE5B16"/>
    <w:rsid w:val="00DE63FA"/>
    <w:rsid w:val="00DE692A"/>
    <w:rsid w:val="00DE6930"/>
    <w:rsid w:val="00DE6A0F"/>
    <w:rsid w:val="00DE6E38"/>
    <w:rsid w:val="00DE7433"/>
    <w:rsid w:val="00DE7543"/>
    <w:rsid w:val="00DE7645"/>
    <w:rsid w:val="00DE7A89"/>
    <w:rsid w:val="00DE7B99"/>
    <w:rsid w:val="00DE7CB2"/>
    <w:rsid w:val="00DF00D8"/>
    <w:rsid w:val="00DF01C6"/>
    <w:rsid w:val="00DF0476"/>
    <w:rsid w:val="00DF05BB"/>
    <w:rsid w:val="00DF064A"/>
    <w:rsid w:val="00DF06CC"/>
    <w:rsid w:val="00DF0721"/>
    <w:rsid w:val="00DF0777"/>
    <w:rsid w:val="00DF0A47"/>
    <w:rsid w:val="00DF0C37"/>
    <w:rsid w:val="00DF0D2D"/>
    <w:rsid w:val="00DF0D9E"/>
    <w:rsid w:val="00DF0F23"/>
    <w:rsid w:val="00DF113B"/>
    <w:rsid w:val="00DF165C"/>
    <w:rsid w:val="00DF16F0"/>
    <w:rsid w:val="00DF1C23"/>
    <w:rsid w:val="00DF1D0B"/>
    <w:rsid w:val="00DF2848"/>
    <w:rsid w:val="00DF296F"/>
    <w:rsid w:val="00DF2EC4"/>
    <w:rsid w:val="00DF3350"/>
    <w:rsid w:val="00DF3561"/>
    <w:rsid w:val="00DF376E"/>
    <w:rsid w:val="00DF3CFB"/>
    <w:rsid w:val="00DF40F0"/>
    <w:rsid w:val="00DF4688"/>
    <w:rsid w:val="00DF491E"/>
    <w:rsid w:val="00DF494B"/>
    <w:rsid w:val="00DF4A2E"/>
    <w:rsid w:val="00DF4DD9"/>
    <w:rsid w:val="00DF4EFC"/>
    <w:rsid w:val="00DF5151"/>
    <w:rsid w:val="00DF523B"/>
    <w:rsid w:val="00DF5682"/>
    <w:rsid w:val="00DF5986"/>
    <w:rsid w:val="00DF5C9E"/>
    <w:rsid w:val="00DF61C6"/>
    <w:rsid w:val="00DF65A1"/>
    <w:rsid w:val="00DF6A13"/>
    <w:rsid w:val="00DF701D"/>
    <w:rsid w:val="00DF7398"/>
    <w:rsid w:val="00DF748F"/>
    <w:rsid w:val="00DF74EF"/>
    <w:rsid w:val="00DF7E00"/>
    <w:rsid w:val="00DF7F57"/>
    <w:rsid w:val="00E009E8"/>
    <w:rsid w:val="00E01579"/>
    <w:rsid w:val="00E01781"/>
    <w:rsid w:val="00E017BA"/>
    <w:rsid w:val="00E019BD"/>
    <w:rsid w:val="00E019C2"/>
    <w:rsid w:val="00E01B58"/>
    <w:rsid w:val="00E01D42"/>
    <w:rsid w:val="00E01E14"/>
    <w:rsid w:val="00E01E37"/>
    <w:rsid w:val="00E02356"/>
    <w:rsid w:val="00E0254F"/>
    <w:rsid w:val="00E02CBB"/>
    <w:rsid w:val="00E0363E"/>
    <w:rsid w:val="00E03741"/>
    <w:rsid w:val="00E03A24"/>
    <w:rsid w:val="00E03E9A"/>
    <w:rsid w:val="00E03EDC"/>
    <w:rsid w:val="00E04511"/>
    <w:rsid w:val="00E04FFD"/>
    <w:rsid w:val="00E0543F"/>
    <w:rsid w:val="00E05528"/>
    <w:rsid w:val="00E057B6"/>
    <w:rsid w:val="00E058D3"/>
    <w:rsid w:val="00E05F46"/>
    <w:rsid w:val="00E060C8"/>
    <w:rsid w:val="00E06467"/>
    <w:rsid w:val="00E068F3"/>
    <w:rsid w:val="00E06B4D"/>
    <w:rsid w:val="00E076A3"/>
    <w:rsid w:val="00E07CE0"/>
    <w:rsid w:val="00E10411"/>
    <w:rsid w:val="00E10597"/>
    <w:rsid w:val="00E107C5"/>
    <w:rsid w:val="00E10C54"/>
    <w:rsid w:val="00E10FA8"/>
    <w:rsid w:val="00E110AB"/>
    <w:rsid w:val="00E113C7"/>
    <w:rsid w:val="00E11696"/>
    <w:rsid w:val="00E119E4"/>
    <w:rsid w:val="00E1200D"/>
    <w:rsid w:val="00E120C5"/>
    <w:rsid w:val="00E1270F"/>
    <w:rsid w:val="00E128C6"/>
    <w:rsid w:val="00E12931"/>
    <w:rsid w:val="00E1293A"/>
    <w:rsid w:val="00E1342E"/>
    <w:rsid w:val="00E134F6"/>
    <w:rsid w:val="00E13852"/>
    <w:rsid w:val="00E1388B"/>
    <w:rsid w:val="00E144DA"/>
    <w:rsid w:val="00E14D65"/>
    <w:rsid w:val="00E150EE"/>
    <w:rsid w:val="00E158EB"/>
    <w:rsid w:val="00E15CB9"/>
    <w:rsid w:val="00E15EE8"/>
    <w:rsid w:val="00E161B8"/>
    <w:rsid w:val="00E16276"/>
    <w:rsid w:val="00E1645F"/>
    <w:rsid w:val="00E168F3"/>
    <w:rsid w:val="00E16FF4"/>
    <w:rsid w:val="00E1711A"/>
    <w:rsid w:val="00E17146"/>
    <w:rsid w:val="00E17573"/>
    <w:rsid w:val="00E17B2F"/>
    <w:rsid w:val="00E17BFE"/>
    <w:rsid w:val="00E17C7A"/>
    <w:rsid w:val="00E206FE"/>
    <w:rsid w:val="00E209CB"/>
    <w:rsid w:val="00E2150B"/>
    <w:rsid w:val="00E2161D"/>
    <w:rsid w:val="00E21D94"/>
    <w:rsid w:val="00E21E38"/>
    <w:rsid w:val="00E2257E"/>
    <w:rsid w:val="00E22899"/>
    <w:rsid w:val="00E228BC"/>
    <w:rsid w:val="00E2296D"/>
    <w:rsid w:val="00E22A6B"/>
    <w:rsid w:val="00E22F76"/>
    <w:rsid w:val="00E231E4"/>
    <w:rsid w:val="00E23315"/>
    <w:rsid w:val="00E23AD2"/>
    <w:rsid w:val="00E23D77"/>
    <w:rsid w:val="00E23DE0"/>
    <w:rsid w:val="00E23E57"/>
    <w:rsid w:val="00E244A4"/>
    <w:rsid w:val="00E24938"/>
    <w:rsid w:val="00E24AFD"/>
    <w:rsid w:val="00E24C52"/>
    <w:rsid w:val="00E24FA8"/>
    <w:rsid w:val="00E25200"/>
    <w:rsid w:val="00E257E6"/>
    <w:rsid w:val="00E2589B"/>
    <w:rsid w:val="00E25B0C"/>
    <w:rsid w:val="00E25E6F"/>
    <w:rsid w:val="00E26044"/>
    <w:rsid w:val="00E26830"/>
    <w:rsid w:val="00E26962"/>
    <w:rsid w:val="00E26B42"/>
    <w:rsid w:val="00E26DFB"/>
    <w:rsid w:val="00E26EA6"/>
    <w:rsid w:val="00E274A0"/>
    <w:rsid w:val="00E275DD"/>
    <w:rsid w:val="00E275FE"/>
    <w:rsid w:val="00E2777F"/>
    <w:rsid w:val="00E27946"/>
    <w:rsid w:val="00E279F2"/>
    <w:rsid w:val="00E30318"/>
    <w:rsid w:val="00E303BF"/>
    <w:rsid w:val="00E305FA"/>
    <w:rsid w:val="00E30D5A"/>
    <w:rsid w:val="00E30EC3"/>
    <w:rsid w:val="00E310E9"/>
    <w:rsid w:val="00E3119E"/>
    <w:rsid w:val="00E31346"/>
    <w:rsid w:val="00E31492"/>
    <w:rsid w:val="00E3174B"/>
    <w:rsid w:val="00E3183D"/>
    <w:rsid w:val="00E31C93"/>
    <w:rsid w:val="00E31CCD"/>
    <w:rsid w:val="00E32080"/>
    <w:rsid w:val="00E3228F"/>
    <w:rsid w:val="00E32872"/>
    <w:rsid w:val="00E32CB6"/>
    <w:rsid w:val="00E32FFA"/>
    <w:rsid w:val="00E3366D"/>
    <w:rsid w:val="00E33AB9"/>
    <w:rsid w:val="00E33C2A"/>
    <w:rsid w:val="00E34164"/>
    <w:rsid w:val="00E34197"/>
    <w:rsid w:val="00E34488"/>
    <w:rsid w:val="00E34912"/>
    <w:rsid w:val="00E34996"/>
    <w:rsid w:val="00E35033"/>
    <w:rsid w:val="00E3503F"/>
    <w:rsid w:val="00E35397"/>
    <w:rsid w:val="00E354EB"/>
    <w:rsid w:val="00E356CB"/>
    <w:rsid w:val="00E3581B"/>
    <w:rsid w:val="00E3593A"/>
    <w:rsid w:val="00E35D0B"/>
    <w:rsid w:val="00E35D3D"/>
    <w:rsid w:val="00E36628"/>
    <w:rsid w:val="00E368A2"/>
    <w:rsid w:val="00E36B74"/>
    <w:rsid w:val="00E36E15"/>
    <w:rsid w:val="00E3739C"/>
    <w:rsid w:val="00E37477"/>
    <w:rsid w:val="00E37899"/>
    <w:rsid w:val="00E37EB9"/>
    <w:rsid w:val="00E402EC"/>
    <w:rsid w:val="00E405A9"/>
    <w:rsid w:val="00E41416"/>
    <w:rsid w:val="00E414F4"/>
    <w:rsid w:val="00E41BF4"/>
    <w:rsid w:val="00E41DB4"/>
    <w:rsid w:val="00E4237E"/>
    <w:rsid w:val="00E427F3"/>
    <w:rsid w:val="00E4284C"/>
    <w:rsid w:val="00E42D1C"/>
    <w:rsid w:val="00E4319D"/>
    <w:rsid w:val="00E4455E"/>
    <w:rsid w:val="00E447E5"/>
    <w:rsid w:val="00E44DDF"/>
    <w:rsid w:val="00E44F68"/>
    <w:rsid w:val="00E45323"/>
    <w:rsid w:val="00E45A1C"/>
    <w:rsid w:val="00E45AAB"/>
    <w:rsid w:val="00E45D33"/>
    <w:rsid w:val="00E46710"/>
    <w:rsid w:val="00E467C1"/>
    <w:rsid w:val="00E46855"/>
    <w:rsid w:val="00E46BF9"/>
    <w:rsid w:val="00E46E10"/>
    <w:rsid w:val="00E47444"/>
    <w:rsid w:val="00E4752A"/>
    <w:rsid w:val="00E476B1"/>
    <w:rsid w:val="00E47D8D"/>
    <w:rsid w:val="00E500AC"/>
    <w:rsid w:val="00E5013D"/>
    <w:rsid w:val="00E50291"/>
    <w:rsid w:val="00E508B8"/>
    <w:rsid w:val="00E50D3F"/>
    <w:rsid w:val="00E510AE"/>
    <w:rsid w:val="00E512EE"/>
    <w:rsid w:val="00E5133D"/>
    <w:rsid w:val="00E513CD"/>
    <w:rsid w:val="00E51676"/>
    <w:rsid w:val="00E519DC"/>
    <w:rsid w:val="00E51B1B"/>
    <w:rsid w:val="00E51CED"/>
    <w:rsid w:val="00E5215D"/>
    <w:rsid w:val="00E52DD5"/>
    <w:rsid w:val="00E52FE4"/>
    <w:rsid w:val="00E531CA"/>
    <w:rsid w:val="00E531D1"/>
    <w:rsid w:val="00E53371"/>
    <w:rsid w:val="00E5374F"/>
    <w:rsid w:val="00E537D2"/>
    <w:rsid w:val="00E53B59"/>
    <w:rsid w:val="00E53EA8"/>
    <w:rsid w:val="00E54177"/>
    <w:rsid w:val="00E54208"/>
    <w:rsid w:val="00E555C0"/>
    <w:rsid w:val="00E559BA"/>
    <w:rsid w:val="00E56255"/>
    <w:rsid w:val="00E5643D"/>
    <w:rsid w:val="00E56703"/>
    <w:rsid w:val="00E56860"/>
    <w:rsid w:val="00E56892"/>
    <w:rsid w:val="00E56C3A"/>
    <w:rsid w:val="00E56D41"/>
    <w:rsid w:val="00E56F82"/>
    <w:rsid w:val="00E573BA"/>
    <w:rsid w:val="00E57479"/>
    <w:rsid w:val="00E57CE0"/>
    <w:rsid w:val="00E60077"/>
    <w:rsid w:val="00E600C4"/>
    <w:rsid w:val="00E60D90"/>
    <w:rsid w:val="00E61A9A"/>
    <w:rsid w:val="00E61FD0"/>
    <w:rsid w:val="00E6207B"/>
    <w:rsid w:val="00E625F0"/>
    <w:rsid w:val="00E628FA"/>
    <w:rsid w:val="00E62AE6"/>
    <w:rsid w:val="00E63579"/>
    <w:rsid w:val="00E63AE5"/>
    <w:rsid w:val="00E63D30"/>
    <w:rsid w:val="00E63E9E"/>
    <w:rsid w:val="00E63F40"/>
    <w:rsid w:val="00E64310"/>
    <w:rsid w:val="00E6480C"/>
    <w:rsid w:val="00E64A82"/>
    <w:rsid w:val="00E64B82"/>
    <w:rsid w:val="00E64DAF"/>
    <w:rsid w:val="00E6587D"/>
    <w:rsid w:val="00E65BCD"/>
    <w:rsid w:val="00E66500"/>
    <w:rsid w:val="00E667FD"/>
    <w:rsid w:val="00E66A93"/>
    <w:rsid w:val="00E66DB1"/>
    <w:rsid w:val="00E66DC2"/>
    <w:rsid w:val="00E66E54"/>
    <w:rsid w:val="00E6738D"/>
    <w:rsid w:val="00E67981"/>
    <w:rsid w:val="00E7039D"/>
    <w:rsid w:val="00E708E9"/>
    <w:rsid w:val="00E70B0F"/>
    <w:rsid w:val="00E70C05"/>
    <w:rsid w:val="00E7103B"/>
    <w:rsid w:val="00E7155B"/>
    <w:rsid w:val="00E7185E"/>
    <w:rsid w:val="00E71903"/>
    <w:rsid w:val="00E71967"/>
    <w:rsid w:val="00E719F2"/>
    <w:rsid w:val="00E71AAE"/>
    <w:rsid w:val="00E71D45"/>
    <w:rsid w:val="00E72015"/>
    <w:rsid w:val="00E7230D"/>
    <w:rsid w:val="00E72421"/>
    <w:rsid w:val="00E726B1"/>
    <w:rsid w:val="00E728B0"/>
    <w:rsid w:val="00E72D8D"/>
    <w:rsid w:val="00E739A1"/>
    <w:rsid w:val="00E73BF7"/>
    <w:rsid w:val="00E73C2B"/>
    <w:rsid w:val="00E73C3C"/>
    <w:rsid w:val="00E73CE7"/>
    <w:rsid w:val="00E74261"/>
    <w:rsid w:val="00E74397"/>
    <w:rsid w:val="00E74887"/>
    <w:rsid w:val="00E74C33"/>
    <w:rsid w:val="00E74DD0"/>
    <w:rsid w:val="00E74E7F"/>
    <w:rsid w:val="00E7501D"/>
    <w:rsid w:val="00E7503E"/>
    <w:rsid w:val="00E75055"/>
    <w:rsid w:val="00E75591"/>
    <w:rsid w:val="00E757B9"/>
    <w:rsid w:val="00E7592C"/>
    <w:rsid w:val="00E760AC"/>
    <w:rsid w:val="00E76263"/>
    <w:rsid w:val="00E76281"/>
    <w:rsid w:val="00E7647D"/>
    <w:rsid w:val="00E7674A"/>
    <w:rsid w:val="00E76883"/>
    <w:rsid w:val="00E76BBC"/>
    <w:rsid w:val="00E771F1"/>
    <w:rsid w:val="00E77286"/>
    <w:rsid w:val="00E7786E"/>
    <w:rsid w:val="00E77D8A"/>
    <w:rsid w:val="00E77E57"/>
    <w:rsid w:val="00E77EBA"/>
    <w:rsid w:val="00E77F7E"/>
    <w:rsid w:val="00E802DF"/>
    <w:rsid w:val="00E8036C"/>
    <w:rsid w:val="00E805BF"/>
    <w:rsid w:val="00E805C0"/>
    <w:rsid w:val="00E807F9"/>
    <w:rsid w:val="00E809F2"/>
    <w:rsid w:val="00E8109D"/>
    <w:rsid w:val="00E810A1"/>
    <w:rsid w:val="00E81123"/>
    <w:rsid w:val="00E81192"/>
    <w:rsid w:val="00E811F7"/>
    <w:rsid w:val="00E81648"/>
    <w:rsid w:val="00E8173C"/>
    <w:rsid w:val="00E819E8"/>
    <w:rsid w:val="00E81A0A"/>
    <w:rsid w:val="00E82017"/>
    <w:rsid w:val="00E822A1"/>
    <w:rsid w:val="00E8277B"/>
    <w:rsid w:val="00E827E1"/>
    <w:rsid w:val="00E827F6"/>
    <w:rsid w:val="00E82B75"/>
    <w:rsid w:val="00E82C88"/>
    <w:rsid w:val="00E8320E"/>
    <w:rsid w:val="00E83300"/>
    <w:rsid w:val="00E835C1"/>
    <w:rsid w:val="00E83930"/>
    <w:rsid w:val="00E84152"/>
    <w:rsid w:val="00E8447E"/>
    <w:rsid w:val="00E84581"/>
    <w:rsid w:val="00E848C0"/>
    <w:rsid w:val="00E84D9A"/>
    <w:rsid w:val="00E84E20"/>
    <w:rsid w:val="00E84E61"/>
    <w:rsid w:val="00E84FD0"/>
    <w:rsid w:val="00E85294"/>
    <w:rsid w:val="00E853EA"/>
    <w:rsid w:val="00E85A11"/>
    <w:rsid w:val="00E85A59"/>
    <w:rsid w:val="00E85F62"/>
    <w:rsid w:val="00E8604C"/>
    <w:rsid w:val="00E8688C"/>
    <w:rsid w:val="00E86ABE"/>
    <w:rsid w:val="00E86EE4"/>
    <w:rsid w:val="00E8721E"/>
    <w:rsid w:val="00E8769A"/>
    <w:rsid w:val="00E87D5F"/>
    <w:rsid w:val="00E87E9D"/>
    <w:rsid w:val="00E9021D"/>
    <w:rsid w:val="00E903FE"/>
    <w:rsid w:val="00E906D7"/>
    <w:rsid w:val="00E906FE"/>
    <w:rsid w:val="00E90BA5"/>
    <w:rsid w:val="00E90C9E"/>
    <w:rsid w:val="00E90F19"/>
    <w:rsid w:val="00E90F9B"/>
    <w:rsid w:val="00E91753"/>
    <w:rsid w:val="00E91BF5"/>
    <w:rsid w:val="00E9253A"/>
    <w:rsid w:val="00E926F8"/>
    <w:rsid w:val="00E93748"/>
    <w:rsid w:val="00E93A9C"/>
    <w:rsid w:val="00E9415F"/>
    <w:rsid w:val="00E94423"/>
    <w:rsid w:val="00E94687"/>
    <w:rsid w:val="00E94C1F"/>
    <w:rsid w:val="00E95191"/>
    <w:rsid w:val="00E96183"/>
    <w:rsid w:val="00E96722"/>
    <w:rsid w:val="00E96BEA"/>
    <w:rsid w:val="00E96E3D"/>
    <w:rsid w:val="00E975A0"/>
    <w:rsid w:val="00E97669"/>
    <w:rsid w:val="00E97A2F"/>
    <w:rsid w:val="00EA05F5"/>
    <w:rsid w:val="00EA0694"/>
    <w:rsid w:val="00EA1482"/>
    <w:rsid w:val="00EA1513"/>
    <w:rsid w:val="00EA219B"/>
    <w:rsid w:val="00EA2829"/>
    <w:rsid w:val="00EA29C1"/>
    <w:rsid w:val="00EA2FBB"/>
    <w:rsid w:val="00EA30B6"/>
    <w:rsid w:val="00EA39D9"/>
    <w:rsid w:val="00EA3A62"/>
    <w:rsid w:val="00EA4149"/>
    <w:rsid w:val="00EA4E3D"/>
    <w:rsid w:val="00EA50DE"/>
    <w:rsid w:val="00EA5385"/>
    <w:rsid w:val="00EA552F"/>
    <w:rsid w:val="00EA5BD5"/>
    <w:rsid w:val="00EA5FE9"/>
    <w:rsid w:val="00EA6005"/>
    <w:rsid w:val="00EA610E"/>
    <w:rsid w:val="00EA70D2"/>
    <w:rsid w:val="00EA735E"/>
    <w:rsid w:val="00EA75BD"/>
    <w:rsid w:val="00EA7849"/>
    <w:rsid w:val="00EA7C69"/>
    <w:rsid w:val="00EB040E"/>
    <w:rsid w:val="00EB05DC"/>
    <w:rsid w:val="00EB0A97"/>
    <w:rsid w:val="00EB10CE"/>
    <w:rsid w:val="00EB10F3"/>
    <w:rsid w:val="00EB11CC"/>
    <w:rsid w:val="00EB13FA"/>
    <w:rsid w:val="00EB1481"/>
    <w:rsid w:val="00EB14A6"/>
    <w:rsid w:val="00EB17E5"/>
    <w:rsid w:val="00EB19F1"/>
    <w:rsid w:val="00EB1D28"/>
    <w:rsid w:val="00EB1F77"/>
    <w:rsid w:val="00EB21F6"/>
    <w:rsid w:val="00EB247D"/>
    <w:rsid w:val="00EB25F4"/>
    <w:rsid w:val="00EB2742"/>
    <w:rsid w:val="00EB2D20"/>
    <w:rsid w:val="00EB34FB"/>
    <w:rsid w:val="00EB4078"/>
    <w:rsid w:val="00EB429C"/>
    <w:rsid w:val="00EB42A5"/>
    <w:rsid w:val="00EB4B6D"/>
    <w:rsid w:val="00EB4E95"/>
    <w:rsid w:val="00EB54AA"/>
    <w:rsid w:val="00EB569D"/>
    <w:rsid w:val="00EB59AA"/>
    <w:rsid w:val="00EB5AD9"/>
    <w:rsid w:val="00EB5EF6"/>
    <w:rsid w:val="00EB5F62"/>
    <w:rsid w:val="00EB6280"/>
    <w:rsid w:val="00EB65EA"/>
    <w:rsid w:val="00EB6BAB"/>
    <w:rsid w:val="00EB775D"/>
    <w:rsid w:val="00EB7C27"/>
    <w:rsid w:val="00EC0715"/>
    <w:rsid w:val="00EC0DC5"/>
    <w:rsid w:val="00EC10CB"/>
    <w:rsid w:val="00EC11DE"/>
    <w:rsid w:val="00EC1556"/>
    <w:rsid w:val="00EC18D4"/>
    <w:rsid w:val="00EC1D29"/>
    <w:rsid w:val="00EC1D3D"/>
    <w:rsid w:val="00EC2437"/>
    <w:rsid w:val="00EC2B78"/>
    <w:rsid w:val="00EC2E35"/>
    <w:rsid w:val="00EC2E39"/>
    <w:rsid w:val="00EC31ED"/>
    <w:rsid w:val="00EC34F9"/>
    <w:rsid w:val="00EC392A"/>
    <w:rsid w:val="00EC3AB1"/>
    <w:rsid w:val="00EC478C"/>
    <w:rsid w:val="00EC4DC7"/>
    <w:rsid w:val="00EC5111"/>
    <w:rsid w:val="00EC54B4"/>
    <w:rsid w:val="00EC54BA"/>
    <w:rsid w:val="00EC591F"/>
    <w:rsid w:val="00EC59D1"/>
    <w:rsid w:val="00EC5AC3"/>
    <w:rsid w:val="00EC5C6E"/>
    <w:rsid w:val="00EC704F"/>
    <w:rsid w:val="00EC74D3"/>
    <w:rsid w:val="00EC753D"/>
    <w:rsid w:val="00EC7635"/>
    <w:rsid w:val="00EC7E20"/>
    <w:rsid w:val="00EC7E7F"/>
    <w:rsid w:val="00EC7FDA"/>
    <w:rsid w:val="00ED04D2"/>
    <w:rsid w:val="00ED07DB"/>
    <w:rsid w:val="00ED0859"/>
    <w:rsid w:val="00ED0984"/>
    <w:rsid w:val="00ED0AB4"/>
    <w:rsid w:val="00ED13C4"/>
    <w:rsid w:val="00ED14D2"/>
    <w:rsid w:val="00ED2126"/>
    <w:rsid w:val="00ED215F"/>
    <w:rsid w:val="00ED2367"/>
    <w:rsid w:val="00ED274E"/>
    <w:rsid w:val="00ED2F5B"/>
    <w:rsid w:val="00ED3156"/>
    <w:rsid w:val="00ED31A6"/>
    <w:rsid w:val="00ED35B8"/>
    <w:rsid w:val="00ED368F"/>
    <w:rsid w:val="00ED37A9"/>
    <w:rsid w:val="00ED3DE9"/>
    <w:rsid w:val="00ED4B07"/>
    <w:rsid w:val="00ED56C6"/>
    <w:rsid w:val="00ED602B"/>
    <w:rsid w:val="00ED6455"/>
    <w:rsid w:val="00ED648A"/>
    <w:rsid w:val="00ED6B74"/>
    <w:rsid w:val="00ED6BA4"/>
    <w:rsid w:val="00ED6C05"/>
    <w:rsid w:val="00ED6F5C"/>
    <w:rsid w:val="00ED7518"/>
    <w:rsid w:val="00ED75AD"/>
    <w:rsid w:val="00ED781D"/>
    <w:rsid w:val="00ED79A6"/>
    <w:rsid w:val="00ED7F5B"/>
    <w:rsid w:val="00EE03C5"/>
    <w:rsid w:val="00EE0491"/>
    <w:rsid w:val="00EE0997"/>
    <w:rsid w:val="00EE0A90"/>
    <w:rsid w:val="00EE1050"/>
    <w:rsid w:val="00EE1070"/>
    <w:rsid w:val="00EE1281"/>
    <w:rsid w:val="00EE12A5"/>
    <w:rsid w:val="00EE12F7"/>
    <w:rsid w:val="00EE12FD"/>
    <w:rsid w:val="00EE15EA"/>
    <w:rsid w:val="00EE1B9F"/>
    <w:rsid w:val="00EE1C70"/>
    <w:rsid w:val="00EE2E31"/>
    <w:rsid w:val="00EE2F87"/>
    <w:rsid w:val="00EE2F8C"/>
    <w:rsid w:val="00EE3112"/>
    <w:rsid w:val="00EE32EF"/>
    <w:rsid w:val="00EE37DD"/>
    <w:rsid w:val="00EE393B"/>
    <w:rsid w:val="00EE3BCC"/>
    <w:rsid w:val="00EE4759"/>
    <w:rsid w:val="00EE4951"/>
    <w:rsid w:val="00EE4DDD"/>
    <w:rsid w:val="00EE5043"/>
    <w:rsid w:val="00EE54EE"/>
    <w:rsid w:val="00EE55DA"/>
    <w:rsid w:val="00EE563C"/>
    <w:rsid w:val="00EE5C4D"/>
    <w:rsid w:val="00EE60A4"/>
    <w:rsid w:val="00EE645A"/>
    <w:rsid w:val="00EE6463"/>
    <w:rsid w:val="00EE6BC3"/>
    <w:rsid w:val="00EE6D1D"/>
    <w:rsid w:val="00EE6DA0"/>
    <w:rsid w:val="00EE6FCD"/>
    <w:rsid w:val="00EE7016"/>
    <w:rsid w:val="00EE74AF"/>
    <w:rsid w:val="00EE750F"/>
    <w:rsid w:val="00EE7734"/>
    <w:rsid w:val="00EE7A25"/>
    <w:rsid w:val="00EE7CDE"/>
    <w:rsid w:val="00EF09F4"/>
    <w:rsid w:val="00EF0AC6"/>
    <w:rsid w:val="00EF0DAD"/>
    <w:rsid w:val="00EF0F13"/>
    <w:rsid w:val="00EF1029"/>
    <w:rsid w:val="00EF14B7"/>
    <w:rsid w:val="00EF14FB"/>
    <w:rsid w:val="00EF1507"/>
    <w:rsid w:val="00EF150B"/>
    <w:rsid w:val="00EF1539"/>
    <w:rsid w:val="00EF175E"/>
    <w:rsid w:val="00EF19D0"/>
    <w:rsid w:val="00EF1BE1"/>
    <w:rsid w:val="00EF1C5C"/>
    <w:rsid w:val="00EF1DAF"/>
    <w:rsid w:val="00EF22F9"/>
    <w:rsid w:val="00EF28E8"/>
    <w:rsid w:val="00EF2E76"/>
    <w:rsid w:val="00EF462C"/>
    <w:rsid w:val="00EF48A9"/>
    <w:rsid w:val="00EF4D09"/>
    <w:rsid w:val="00EF4D93"/>
    <w:rsid w:val="00EF4FDA"/>
    <w:rsid w:val="00EF567C"/>
    <w:rsid w:val="00EF5957"/>
    <w:rsid w:val="00EF59EE"/>
    <w:rsid w:val="00EF5A8D"/>
    <w:rsid w:val="00EF6183"/>
    <w:rsid w:val="00EF634D"/>
    <w:rsid w:val="00EF69D9"/>
    <w:rsid w:val="00EF6C9A"/>
    <w:rsid w:val="00EF6D82"/>
    <w:rsid w:val="00EF7442"/>
    <w:rsid w:val="00EF75B9"/>
    <w:rsid w:val="00EF7C34"/>
    <w:rsid w:val="00EF7C86"/>
    <w:rsid w:val="00EF7E37"/>
    <w:rsid w:val="00F0017E"/>
    <w:rsid w:val="00F009D2"/>
    <w:rsid w:val="00F00AE9"/>
    <w:rsid w:val="00F00BFC"/>
    <w:rsid w:val="00F00E37"/>
    <w:rsid w:val="00F01077"/>
    <w:rsid w:val="00F0111C"/>
    <w:rsid w:val="00F017E5"/>
    <w:rsid w:val="00F01FC6"/>
    <w:rsid w:val="00F02041"/>
    <w:rsid w:val="00F02529"/>
    <w:rsid w:val="00F0269F"/>
    <w:rsid w:val="00F032DF"/>
    <w:rsid w:val="00F033AF"/>
    <w:rsid w:val="00F039C1"/>
    <w:rsid w:val="00F040A6"/>
    <w:rsid w:val="00F0439A"/>
    <w:rsid w:val="00F04C33"/>
    <w:rsid w:val="00F04ED5"/>
    <w:rsid w:val="00F04F24"/>
    <w:rsid w:val="00F0507C"/>
    <w:rsid w:val="00F05557"/>
    <w:rsid w:val="00F058A3"/>
    <w:rsid w:val="00F05C60"/>
    <w:rsid w:val="00F05D5C"/>
    <w:rsid w:val="00F05EC2"/>
    <w:rsid w:val="00F05F9A"/>
    <w:rsid w:val="00F06529"/>
    <w:rsid w:val="00F065DC"/>
    <w:rsid w:val="00F067EF"/>
    <w:rsid w:val="00F06DB8"/>
    <w:rsid w:val="00F06F73"/>
    <w:rsid w:val="00F07244"/>
    <w:rsid w:val="00F07277"/>
    <w:rsid w:val="00F072A0"/>
    <w:rsid w:val="00F10350"/>
    <w:rsid w:val="00F103C4"/>
    <w:rsid w:val="00F1044C"/>
    <w:rsid w:val="00F10593"/>
    <w:rsid w:val="00F10FE9"/>
    <w:rsid w:val="00F11032"/>
    <w:rsid w:val="00F11372"/>
    <w:rsid w:val="00F116D8"/>
    <w:rsid w:val="00F1172E"/>
    <w:rsid w:val="00F11A3D"/>
    <w:rsid w:val="00F11BA6"/>
    <w:rsid w:val="00F11BC0"/>
    <w:rsid w:val="00F11C46"/>
    <w:rsid w:val="00F11DDF"/>
    <w:rsid w:val="00F11E0F"/>
    <w:rsid w:val="00F11E75"/>
    <w:rsid w:val="00F12090"/>
    <w:rsid w:val="00F127DD"/>
    <w:rsid w:val="00F1293E"/>
    <w:rsid w:val="00F12A9B"/>
    <w:rsid w:val="00F13480"/>
    <w:rsid w:val="00F13A64"/>
    <w:rsid w:val="00F13B29"/>
    <w:rsid w:val="00F13D08"/>
    <w:rsid w:val="00F13D2A"/>
    <w:rsid w:val="00F13D75"/>
    <w:rsid w:val="00F1405D"/>
    <w:rsid w:val="00F14109"/>
    <w:rsid w:val="00F1435B"/>
    <w:rsid w:val="00F1556C"/>
    <w:rsid w:val="00F16587"/>
    <w:rsid w:val="00F16738"/>
    <w:rsid w:val="00F16A9D"/>
    <w:rsid w:val="00F16E57"/>
    <w:rsid w:val="00F16F2B"/>
    <w:rsid w:val="00F173DA"/>
    <w:rsid w:val="00F17E74"/>
    <w:rsid w:val="00F17FD2"/>
    <w:rsid w:val="00F203A3"/>
    <w:rsid w:val="00F2043E"/>
    <w:rsid w:val="00F207F9"/>
    <w:rsid w:val="00F20A3A"/>
    <w:rsid w:val="00F20C03"/>
    <w:rsid w:val="00F21175"/>
    <w:rsid w:val="00F214A3"/>
    <w:rsid w:val="00F215F6"/>
    <w:rsid w:val="00F220E7"/>
    <w:rsid w:val="00F228A9"/>
    <w:rsid w:val="00F2290E"/>
    <w:rsid w:val="00F22931"/>
    <w:rsid w:val="00F22DD1"/>
    <w:rsid w:val="00F22EDF"/>
    <w:rsid w:val="00F231B0"/>
    <w:rsid w:val="00F23A2A"/>
    <w:rsid w:val="00F23F1C"/>
    <w:rsid w:val="00F24022"/>
    <w:rsid w:val="00F246F4"/>
    <w:rsid w:val="00F247F8"/>
    <w:rsid w:val="00F24B1A"/>
    <w:rsid w:val="00F24EA7"/>
    <w:rsid w:val="00F24ED5"/>
    <w:rsid w:val="00F25096"/>
    <w:rsid w:val="00F255AB"/>
    <w:rsid w:val="00F25634"/>
    <w:rsid w:val="00F25754"/>
    <w:rsid w:val="00F2595D"/>
    <w:rsid w:val="00F25F88"/>
    <w:rsid w:val="00F26309"/>
    <w:rsid w:val="00F263BB"/>
    <w:rsid w:val="00F26574"/>
    <w:rsid w:val="00F26692"/>
    <w:rsid w:val="00F26A9F"/>
    <w:rsid w:val="00F26BA9"/>
    <w:rsid w:val="00F26C6A"/>
    <w:rsid w:val="00F26CFA"/>
    <w:rsid w:val="00F2781D"/>
    <w:rsid w:val="00F304E8"/>
    <w:rsid w:val="00F3058F"/>
    <w:rsid w:val="00F307BE"/>
    <w:rsid w:val="00F309C9"/>
    <w:rsid w:val="00F30B64"/>
    <w:rsid w:val="00F3184F"/>
    <w:rsid w:val="00F3198B"/>
    <w:rsid w:val="00F31A32"/>
    <w:rsid w:val="00F31CB2"/>
    <w:rsid w:val="00F31D09"/>
    <w:rsid w:val="00F31F4E"/>
    <w:rsid w:val="00F32178"/>
    <w:rsid w:val="00F32197"/>
    <w:rsid w:val="00F32CE1"/>
    <w:rsid w:val="00F3306D"/>
    <w:rsid w:val="00F33249"/>
    <w:rsid w:val="00F3360E"/>
    <w:rsid w:val="00F338F2"/>
    <w:rsid w:val="00F33CAA"/>
    <w:rsid w:val="00F346AC"/>
    <w:rsid w:val="00F34744"/>
    <w:rsid w:val="00F347D7"/>
    <w:rsid w:val="00F34818"/>
    <w:rsid w:val="00F34CA3"/>
    <w:rsid w:val="00F34D37"/>
    <w:rsid w:val="00F34D85"/>
    <w:rsid w:val="00F3563D"/>
    <w:rsid w:val="00F35963"/>
    <w:rsid w:val="00F3596A"/>
    <w:rsid w:val="00F3597F"/>
    <w:rsid w:val="00F35AD3"/>
    <w:rsid w:val="00F35CDC"/>
    <w:rsid w:val="00F3641F"/>
    <w:rsid w:val="00F36C31"/>
    <w:rsid w:val="00F36E2D"/>
    <w:rsid w:val="00F36FA4"/>
    <w:rsid w:val="00F37111"/>
    <w:rsid w:val="00F379E4"/>
    <w:rsid w:val="00F37B20"/>
    <w:rsid w:val="00F37C76"/>
    <w:rsid w:val="00F37CE8"/>
    <w:rsid w:val="00F37E69"/>
    <w:rsid w:val="00F40159"/>
    <w:rsid w:val="00F4036B"/>
    <w:rsid w:val="00F407ED"/>
    <w:rsid w:val="00F40B72"/>
    <w:rsid w:val="00F41345"/>
    <w:rsid w:val="00F414CE"/>
    <w:rsid w:val="00F41515"/>
    <w:rsid w:val="00F415EC"/>
    <w:rsid w:val="00F41970"/>
    <w:rsid w:val="00F41A3E"/>
    <w:rsid w:val="00F426F8"/>
    <w:rsid w:val="00F427E9"/>
    <w:rsid w:val="00F42965"/>
    <w:rsid w:val="00F42AEB"/>
    <w:rsid w:val="00F42B26"/>
    <w:rsid w:val="00F42E07"/>
    <w:rsid w:val="00F42FD2"/>
    <w:rsid w:val="00F43267"/>
    <w:rsid w:val="00F4373F"/>
    <w:rsid w:val="00F43C4F"/>
    <w:rsid w:val="00F4412A"/>
    <w:rsid w:val="00F441D0"/>
    <w:rsid w:val="00F44495"/>
    <w:rsid w:val="00F44917"/>
    <w:rsid w:val="00F452FE"/>
    <w:rsid w:val="00F45451"/>
    <w:rsid w:val="00F455A1"/>
    <w:rsid w:val="00F45D00"/>
    <w:rsid w:val="00F45D97"/>
    <w:rsid w:val="00F45E3F"/>
    <w:rsid w:val="00F4605C"/>
    <w:rsid w:val="00F465BA"/>
    <w:rsid w:val="00F47005"/>
    <w:rsid w:val="00F47F00"/>
    <w:rsid w:val="00F500BE"/>
    <w:rsid w:val="00F50B99"/>
    <w:rsid w:val="00F51186"/>
    <w:rsid w:val="00F51632"/>
    <w:rsid w:val="00F52015"/>
    <w:rsid w:val="00F522D5"/>
    <w:rsid w:val="00F52570"/>
    <w:rsid w:val="00F52754"/>
    <w:rsid w:val="00F52D28"/>
    <w:rsid w:val="00F52EF0"/>
    <w:rsid w:val="00F530FC"/>
    <w:rsid w:val="00F53256"/>
    <w:rsid w:val="00F533CB"/>
    <w:rsid w:val="00F5413F"/>
    <w:rsid w:val="00F55291"/>
    <w:rsid w:val="00F5561B"/>
    <w:rsid w:val="00F5574D"/>
    <w:rsid w:val="00F55818"/>
    <w:rsid w:val="00F55834"/>
    <w:rsid w:val="00F55F15"/>
    <w:rsid w:val="00F561EE"/>
    <w:rsid w:val="00F56500"/>
    <w:rsid w:val="00F56779"/>
    <w:rsid w:val="00F56BE0"/>
    <w:rsid w:val="00F56EA4"/>
    <w:rsid w:val="00F5735B"/>
    <w:rsid w:val="00F5769F"/>
    <w:rsid w:val="00F57A4B"/>
    <w:rsid w:val="00F57ADF"/>
    <w:rsid w:val="00F6117E"/>
    <w:rsid w:val="00F61CB1"/>
    <w:rsid w:val="00F61EFE"/>
    <w:rsid w:val="00F61FA9"/>
    <w:rsid w:val="00F6280D"/>
    <w:rsid w:val="00F62AC6"/>
    <w:rsid w:val="00F63251"/>
    <w:rsid w:val="00F63469"/>
    <w:rsid w:val="00F636CC"/>
    <w:rsid w:val="00F64047"/>
    <w:rsid w:val="00F64572"/>
    <w:rsid w:val="00F64DA9"/>
    <w:rsid w:val="00F64E00"/>
    <w:rsid w:val="00F64EFD"/>
    <w:rsid w:val="00F64F1E"/>
    <w:rsid w:val="00F64F82"/>
    <w:rsid w:val="00F658F8"/>
    <w:rsid w:val="00F65A53"/>
    <w:rsid w:val="00F65D1D"/>
    <w:rsid w:val="00F667FC"/>
    <w:rsid w:val="00F66ADF"/>
    <w:rsid w:val="00F66B9F"/>
    <w:rsid w:val="00F66E24"/>
    <w:rsid w:val="00F67131"/>
    <w:rsid w:val="00F677D5"/>
    <w:rsid w:val="00F677E0"/>
    <w:rsid w:val="00F67B71"/>
    <w:rsid w:val="00F67D7F"/>
    <w:rsid w:val="00F67DA0"/>
    <w:rsid w:val="00F67E68"/>
    <w:rsid w:val="00F70447"/>
    <w:rsid w:val="00F705E4"/>
    <w:rsid w:val="00F70929"/>
    <w:rsid w:val="00F71071"/>
    <w:rsid w:val="00F712F1"/>
    <w:rsid w:val="00F71472"/>
    <w:rsid w:val="00F71892"/>
    <w:rsid w:val="00F71A87"/>
    <w:rsid w:val="00F71C5D"/>
    <w:rsid w:val="00F71DF3"/>
    <w:rsid w:val="00F72424"/>
    <w:rsid w:val="00F7260D"/>
    <w:rsid w:val="00F7280B"/>
    <w:rsid w:val="00F72965"/>
    <w:rsid w:val="00F72A69"/>
    <w:rsid w:val="00F72B03"/>
    <w:rsid w:val="00F72CA9"/>
    <w:rsid w:val="00F72CB5"/>
    <w:rsid w:val="00F72D33"/>
    <w:rsid w:val="00F72E8C"/>
    <w:rsid w:val="00F7351D"/>
    <w:rsid w:val="00F73651"/>
    <w:rsid w:val="00F737F3"/>
    <w:rsid w:val="00F738A8"/>
    <w:rsid w:val="00F73A1E"/>
    <w:rsid w:val="00F74487"/>
    <w:rsid w:val="00F744CC"/>
    <w:rsid w:val="00F7459E"/>
    <w:rsid w:val="00F75159"/>
    <w:rsid w:val="00F75316"/>
    <w:rsid w:val="00F75A04"/>
    <w:rsid w:val="00F75AE8"/>
    <w:rsid w:val="00F75D49"/>
    <w:rsid w:val="00F76CBF"/>
    <w:rsid w:val="00F76E73"/>
    <w:rsid w:val="00F771C2"/>
    <w:rsid w:val="00F772ED"/>
    <w:rsid w:val="00F7744D"/>
    <w:rsid w:val="00F7769C"/>
    <w:rsid w:val="00F778CC"/>
    <w:rsid w:val="00F77941"/>
    <w:rsid w:val="00F77A64"/>
    <w:rsid w:val="00F77C93"/>
    <w:rsid w:val="00F77DD1"/>
    <w:rsid w:val="00F77FA8"/>
    <w:rsid w:val="00F80206"/>
    <w:rsid w:val="00F8073A"/>
    <w:rsid w:val="00F8093F"/>
    <w:rsid w:val="00F80A7A"/>
    <w:rsid w:val="00F80D45"/>
    <w:rsid w:val="00F80F78"/>
    <w:rsid w:val="00F81692"/>
    <w:rsid w:val="00F81ACC"/>
    <w:rsid w:val="00F8214E"/>
    <w:rsid w:val="00F8290C"/>
    <w:rsid w:val="00F8291E"/>
    <w:rsid w:val="00F82CBF"/>
    <w:rsid w:val="00F82CD1"/>
    <w:rsid w:val="00F82F82"/>
    <w:rsid w:val="00F83092"/>
    <w:rsid w:val="00F8327C"/>
    <w:rsid w:val="00F832BE"/>
    <w:rsid w:val="00F83D08"/>
    <w:rsid w:val="00F83DFE"/>
    <w:rsid w:val="00F83F91"/>
    <w:rsid w:val="00F83FBD"/>
    <w:rsid w:val="00F84246"/>
    <w:rsid w:val="00F8427D"/>
    <w:rsid w:val="00F84355"/>
    <w:rsid w:val="00F8437C"/>
    <w:rsid w:val="00F846CA"/>
    <w:rsid w:val="00F84C13"/>
    <w:rsid w:val="00F854A7"/>
    <w:rsid w:val="00F8550C"/>
    <w:rsid w:val="00F855BB"/>
    <w:rsid w:val="00F85887"/>
    <w:rsid w:val="00F862F1"/>
    <w:rsid w:val="00F862F8"/>
    <w:rsid w:val="00F8631A"/>
    <w:rsid w:val="00F86C58"/>
    <w:rsid w:val="00F86C66"/>
    <w:rsid w:val="00F86CD9"/>
    <w:rsid w:val="00F873A6"/>
    <w:rsid w:val="00F8786E"/>
    <w:rsid w:val="00F87DE7"/>
    <w:rsid w:val="00F87FD4"/>
    <w:rsid w:val="00F901A1"/>
    <w:rsid w:val="00F903D2"/>
    <w:rsid w:val="00F906E7"/>
    <w:rsid w:val="00F908F6"/>
    <w:rsid w:val="00F91054"/>
    <w:rsid w:val="00F914C8"/>
    <w:rsid w:val="00F9151A"/>
    <w:rsid w:val="00F918BC"/>
    <w:rsid w:val="00F91C13"/>
    <w:rsid w:val="00F91D01"/>
    <w:rsid w:val="00F91D9B"/>
    <w:rsid w:val="00F92740"/>
    <w:rsid w:val="00F92F62"/>
    <w:rsid w:val="00F934A9"/>
    <w:rsid w:val="00F93912"/>
    <w:rsid w:val="00F93C34"/>
    <w:rsid w:val="00F93EC0"/>
    <w:rsid w:val="00F94063"/>
    <w:rsid w:val="00F94126"/>
    <w:rsid w:val="00F942CA"/>
    <w:rsid w:val="00F948B4"/>
    <w:rsid w:val="00F9494F"/>
    <w:rsid w:val="00F94A31"/>
    <w:rsid w:val="00F94BC8"/>
    <w:rsid w:val="00F95063"/>
    <w:rsid w:val="00F9509E"/>
    <w:rsid w:val="00F9512F"/>
    <w:rsid w:val="00F95859"/>
    <w:rsid w:val="00F95A31"/>
    <w:rsid w:val="00F95BF9"/>
    <w:rsid w:val="00F9649B"/>
    <w:rsid w:val="00F96581"/>
    <w:rsid w:val="00F96786"/>
    <w:rsid w:val="00F96817"/>
    <w:rsid w:val="00F975C5"/>
    <w:rsid w:val="00F97790"/>
    <w:rsid w:val="00F97C4F"/>
    <w:rsid w:val="00FA0047"/>
    <w:rsid w:val="00FA021D"/>
    <w:rsid w:val="00FA052E"/>
    <w:rsid w:val="00FA066B"/>
    <w:rsid w:val="00FA0747"/>
    <w:rsid w:val="00FA0BDD"/>
    <w:rsid w:val="00FA11D1"/>
    <w:rsid w:val="00FA1243"/>
    <w:rsid w:val="00FA15B8"/>
    <w:rsid w:val="00FA18A8"/>
    <w:rsid w:val="00FA19FF"/>
    <w:rsid w:val="00FA1D08"/>
    <w:rsid w:val="00FA21FE"/>
    <w:rsid w:val="00FA2337"/>
    <w:rsid w:val="00FA2955"/>
    <w:rsid w:val="00FA2ACB"/>
    <w:rsid w:val="00FA2BDB"/>
    <w:rsid w:val="00FA2CFE"/>
    <w:rsid w:val="00FA3204"/>
    <w:rsid w:val="00FA371A"/>
    <w:rsid w:val="00FA3D34"/>
    <w:rsid w:val="00FA3DBB"/>
    <w:rsid w:val="00FA3F29"/>
    <w:rsid w:val="00FA421A"/>
    <w:rsid w:val="00FA4292"/>
    <w:rsid w:val="00FA42D4"/>
    <w:rsid w:val="00FA4328"/>
    <w:rsid w:val="00FA4644"/>
    <w:rsid w:val="00FA4678"/>
    <w:rsid w:val="00FA4913"/>
    <w:rsid w:val="00FA4AA9"/>
    <w:rsid w:val="00FA500C"/>
    <w:rsid w:val="00FA5226"/>
    <w:rsid w:val="00FA5578"/>
    <w:rsid w:val="00FA55F6"/>
    <w:rsid w:val="00FA5AA8"/>
    <w:rsid w:val="00FA5DD9"/>
    <w:rsid w:val="00FA5F59"/>
    <w:rsid w:val="00FA6542"/>
    <w:rsid w:val="00FA6552"/>
    <w:rsid w:val="00FA684D"/>
    <w:rsid w:val="00FA6E12"/>
    <w:rsid w:val="00FA7409"/>
    <w:rsid w:val="00FA74F8"/>
    <w:rsid w:val="00FA7691"/>
    <w:rsid w:val="00FA78D9"/>
    <w:rsid w:val="00FA78DE"/>
    <w:rsid w:val="00FB0251"/>
    <w:rsid w:val="00FB02C6"/>
    <w:rsid w:val="00FB0341"/>
    <w:rsid w:val="00FB03FB"/>
    <w:rsid w:val="00FB0989"/>
    <w:rsid w:val="00FB0E29"/>
    <w:rsid w:val="00FB12BB"/>
    <w:rsid w:val="00FB1341"/>
    <w:rsid w:val="00FB1640"/>
    <w:rsid w:val="00FB1684"/>
    <w:rsid w:val="00FB1819"/>
    <w:rsid w:val="00FB1A37"/>
    <w:rsid w:val="00FB2019"/>
    <w:rsid w:val="00FB225C"/>
    <w:rsid w:val="00FB228A"/>
    <w:rsid w:val="00FB240E"/>
    <w:rsid w:val="00FB2448"/>
    <w:rsid w:val="00FB25B5"/>
    <w:rsid w:val="00FB2665"/>
    <w:rsid w:val="00FB281F"/>
    <w:rsid w:val="00FB2B4E"/>
    <w:rsid w:val="00FB2C32"/>
    <w:rsid w:val="00FB3201"/>
    <w:rsid w:val="00FB3A5F"/>
    <w:rsid w:val="00FB3B0A"/>
    <w:rsid w:val="00FB3F7B"/>
    <w:rsid w:val="00FB3FD3"/>
    <w:rsid w:val="00FB41B4"/>
    <w:rsid w:val="00FB43BC"/>
    <w:rsid w:val="00FB462B"/>
    <w:rsid w:val="00FB4A8A"/>
    <w:rsid w:val="00FB4D76"/>
    <w:rsid w:val="00FB512A"/>
    <w:rsid w:val="00FB5403"/>
    <w:rsid w:val="00FB56A5"/>
    <w:rsid w:val="00FB56F7"/>
    <w:rsid w:val="00FB5AD3"/>
    <w:rsid w:val="00FB5C87"/>
    <w:rsid w:val="00FB5D01"/>
    <w:rsid w:val="00FB5D9B"/>
    <w:rsid w:val="00FB60DC"/>
    <w:rsid w:val="00FB691B"/>
    <w:rsid w:val="00FB6C80"/>
    <w:rsid w:val="00FB6D29"/>
    <w:rsid w:val="00FB6F32"/>
    <w:rsid w:val="00FB7454"/>
    <w:rsid w:val="00FB760E"/>
    <w:rsid w:val="00FB773B"/>
    <w:rsid w:val="00FB7893"/>
    <w:rsid w:val="00FB7AC6"/>
    <w:rsid w:val="00FB7C99"/>
    <w:rsid w:val="00FC027A"/>
    <w:rsid w:val="00FC0488"/>
    <w:rsid w:val="00FC09E3"/>
    <w:rsid w:val="00FC10E6"/>
    <w:rsid w:val="00FC110E"/>
    <w:rsid w:val="00FC12F9"/>
    <w:rsid w:val="00FC13CA"/>
    <w:rsid w:val="00FC15CA"/>
    <w:rsid w:val="00FC1C91"/>
    <w:rsid w:val="00FC27DD"/>
    <w:rsid w:val="00FC28A4"/>
    <w:rsid w:val="00FC2CE5"/>
    <w:rsid w:val="00FC2E85"/>
    <w:rsid w:val="00FC2F8B"/>
    <w:rsid w:val="00FC3320"/>
    <w:rsid w:val="00FC3825"/>
    <w:rsid w:val="00FC3CA2"/>
    <w:rsid w:val="00FC3F2F"/>
    <w:rsid w:val="00FC4127"/>
    <w:rsid w:val="00FC4190"/>
    <w:rsid w:val="00FC425A"/>
    <w:rsid w:val="00FC482D"/>
    <w:rsid w:val="00FC4A17"/>
    <w:rsid w:val="00FC4D63"/>
    <w:rsid w:val="00FC520C"/>
    <w:rsid w:val="00FC5356"/>
    <w:rsid w:val="00FC5AED"/>
    <w:rsid w:val="00FC5C5D"/>
    <w:rsid w:val="00FC5E1F"/>
    <w:rsid w:val="00FC5EF2"/>
    <w:rsid w:val="00FC66EB"/>
    <w:rsid w:val="00FC7170"/>
    <w:rsid w:val="00FC720D"/>
    <w:rsid w:val="00FC73D9"/>
    <w:rsid w:val="00FC75F0"/>
    <w:rsid w:val="00FC76B9"/>
    <w:rsid w:val="00FC79A6"/>
    <w:rsid w:val="00FD07F8"/>
    <w:rsid w:val="00FD09BB"/>
    <w:rsid w:val="00FD0A00"/>
    <w:rsid w:val="00FD0CFA"/>
    <w:rsid w:val="00FD13D0"/>
    <w:rsid w:val="00FD15DB"/>
    <w:rsid w:val="00FD24FC"/>
    <w:rsid w:val="00FD34AE"/>
    <w:rsid w:val="00FD356C"/>
    <w:rsid w:val="00FD36C0"/>
    <w:rsid w:val="00FD37F5"/>
    <w:rsid w:val="00FD3AB2"/>
    <w:rsid w:val="00FD3ED4"/>
    <w:rsid w:val="00FD3FBE"/>
    <w:rsid w:val="00FD4330"/>
    <w:rsid w:val="00FD44E1"/>
    <w:rsid w:val="00FD4C28"/>
    <w:rsid w:val="00FD4D07"/>
    <w:rsid w:val="00FD4EDC"/>
    <w:rsid w:val="00FD5809"/>
    <w:rsid w:val="00FD5B02"/>
    <w:rsid w:val="00FD5BA7"/>
    <w:rsid w:val="00FD655D"/>
    <w:rsid w:val="00FD68AC"/>
    <w:rsid w:val="00FD6A7B"/>
    <w:rsid w:val="00FD6B8E"/>
    <w:rsid w:val="00FD6C14"/>
    <w:rsid w:val="00FD6F37"/>
    <w:rsid w:val="00FD6F42"/>
    <w:rsid w:val="00FD71BE"/>
    <w:rsid w:val="00FD757C"/>
    <w:rsid w:val="00FD75E3"/>
    <w:rsid w:val="00FD76A7"/>
    <w:rsid w:val="00FD7AD2"/>
    <w:rsid w:val="00FD7E7A"/>
    <w:rsid w:val="00FE0018"/>
    <w:rsid w:val="00FE0172"/>
    <w:rsid w:val="00FE02BE"/>
    <w:rsid w:val="00FE03CD"/>
    <w:rsid w:val="00FE0999"/>
    <w:rsid w:val="00FE0D1D"/>
    <w:rsid w:val="00FE0E66"/>
    <w:rsid w:val="00FE13D3"/>
    <w:rsid w:val="00FE180B"/>
    <w:rsid w:val="00FE1A0D"/>
    <w:rsid w:val="00FE1F9D"/>
    <w:rsid w:val="00FE2045"/>
    <w:rsid w:val="00FE24C6"/>
    <w:rsid w:val="00FE26CC"/>
    <w:rsid w:val="00FE2A69"/>
    <w:rsid w:val="00FE2C63"/>
    <w:rsid w:val="00FE2DF8"/>
    <w:rsid w:val="00FE35A3"/>
    <w:rsid w:val="00FE36F2"/>
    <w:rsid w:val="00FE3707"/>
    <w:rsid w:val="00FE38F4"/>
    <w:rsid w:val="00FE3BA1"/>
    <w:rsid w:val="00FE3CDB"/>
    <w:rsid w:val="00FE44A7"/>
    <w:rsid w:val="00FE4792"/>
    <w:rsid w:val="00FE47F8"/>
    <w:rsid w:val="00FE4876"/>
    <w:rsid w:val="00FE52E3"/>
    <w:rsid w:val="00FE5423"/>
    <w:rsid w:val="00FE555F"/>
    <w:rsid w:val="00FE56EE"/>
    <w:rsid w:val="00FE570B"/>
    <w:rsid w:val="00FE5A0D"/>
    <w:rsid w:val="00FE5CB6"/>
    <w:rsid w:val="00FE5D62"/>
    <w:rsid w:val="00FE5EEA"/>
    <w:rsid w:val="00FE6113"/>
    <w:rsid w:val="00FE637D"/>
    <w:rsid w:val="00FE658F"/>
    <w:rsid w:val="00FE6B1E"/>
    <w:rsid w:val="00FE6DDE"/>
    <w:rsid w:val="00FE6E8D"/>
    <w:rsid w:val="00FE7095"/>
    <w:rsid w:val="00FE78A3"/>
    <w:rsid w:val="00FF0869"/>
    <w:rsid w:val="00FF0A0E"/>
    <w:rsid w:val="00FF0EF6"/>
    <w:rsid w:val="00FF11AF"/>
    <w:rsid w:val="00FF133A"/>
    <w:rsid w:val="00FF1BBE"/>
    <w:rsid w:val="00FF1D1C"/>
    <w:rsid w:val="00FF2674"/>
    <w:rsid w:val="00FF2CDD"/>
    <w:rsid w:val="00FF331B"/>
    <w:rsid w:val="00FF3529"/>
    <w:rsid w:val="00FF375A"/>
    <w:rsid w:val="00FF3925"/>
    <w:rsid w:val="00FF39A0"/>
    <w:rsid w:val="00FF3D65"/>
    <w:rsid w:val="00FF3E80"/>
    <w:rsid w:val="00FF4282"/>
    <w:rsid w:val="00FF42F3"/>
    <w:rsid w:val="00FF4530"/>
    <w:rsid w:val="00FF46F7"/>
    <w:rsid w:val="00FF4B1B"/>
    <w:rsid w:val="00FF5082"/>
    <w:rsid w:val="00FF5296"/>
    <w:rsid w:val="00FF535F"/>
    <w:rsid w:val="00FF5764"/>
    <w:rsid w:val="00FF57F2"/>
    <w:rsid w:val="00FF5C8A"/>
    <w:rsid w:val="00FF63C3"/>
    <w:rsid w:val="00FF6552"/>
    <w:rsid w:val="00FF6717"/>
    <w:rsid w:val="00FF6B6E"/>
    <w:rsid w:val="00FF785B"/>
    <w:rsid w:val="00FF785D"/>
    <w:rsid w:val="00FF79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1948"/>
  <w15:chartTrackingRefBased/>
  <w15:docId w15:val="{458782C6-02B6-4FC3-B291-0E02B1FB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00"/>
    <w:rPr>
      <w:sz w:val="24"/>
      <w:szCs w:val="24"/>
      <w:lang w:eastAsia="es-ES"/>
    </w:rPr>
  </w:style>
  <w:style w:type="paragraph" w:styleId="Ttulo1">
    <w:name w:val="heading 1"/>
    <w:basedOn w:val="Normal"/>
    <w:next w:val="Normal"/>
    <w:qFormat/>
    <w:rsid w:val="00D67300"/>
    <w:pPr>
      <w:keepNext/>
      <w:widowControl w:val="0"/>
      <w:spacing w:line="360" w:lineRule="auto"/>
      <w:jc w:val="center"/>
      <w:outlineLvl w:val="0"/>
    </w:pPr>
    <w:rPr>
      <w:rFonts w:ascii="Arial" w:hAnsi="Arial" w:cs="Arial"/>
      <w:b/>
      <w:bCs/>
    </w:rPr>
  </w:style>
  <w:style w:type="paragraph" w:styleId="Ttulo2">
    <w:name w:val="heading 2"/>
    <w:basedOn w:val="Normal"/>
    <w:next w:val="Normal"/>
    <w:qFormat/>
    <w:rsid w:val="00D67300"/>
    <w:pPr>
      <w:keepNext/>
      <w:overflowPunct w:val="0"/>
      <w:autoSpaceDE w:val="0"/>
      <w:autoSpaceDN w:val="0"/>
      <w:adjustRightInd w:val="0"/>
      <w:spacing w:line="360" w:lineRule="auto"/>
      <w:jc w:val="center"/>
      <w:textAlignment w:val="baseline"/>
      <w:outlineLvl w:val="1"/>
    </w:pPr>
    <w:rPr>
      <w:rFonts w:ascii="Century Gothic" w:hAnsi="Century Gothic"/>
      <w:b/>
      <w:sz w:val="22"/>
      <w:szCs w:val="20"/>
      <w:lang w:val="es-ES_tradnl"/>
    </w:rPr>
  </w:style>
  <w:style w:type="paragraph" w:styleId="Ttulo3">
    <w:name w:val="heading 3"/>
    <w:basedOn w:val="Normal"/>
    <w:next w:val="Normal"/>
    <w:link w:val="Ttulo3Car"/>
    <w:qFormat/>
    <w:rsid w:val="00AD6286"/>
    <w:pPr>
      <w:keepNext/>
      <w:spacing w:before="240" w:after="60"/>
      <w:outlineLvl w:val="2"/>
    </w:pPr>
    <w:rPr>
      <w:rFonts w:ascii="Cambria" w:hAnsi="Cambria"/>
      <w:b/>
      <w:bCs/>
      <w:sz w:val="26"/>
      <w:szCs w:val="26"/>
    </w:rPr>
  </w:style>
  <w:style w:type="paragraph" w:styleId="Ttulo8">
    <w:name w:val="heading 8"/>
    <w:basedOn w:val="Normal"/>
    <w:next w:val="Normal"/>
    <w:qFormat/>
    <w:rsid w:val="00D67300"/>
    <w:pPr>
      <w:keepNext/>
      <w:outlineLvl w:val="7"/>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8">
    <w:name w:val="Body Text 28"/>
    <w:basedOn w:val="Normal"/>
    <w:rsid w:val="00D6730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rPr>
  </w:style>
  <w:style w:type="paragraph" w:styleId="Textoindependiente2">
    <w:name w:val="Body Text 2"/>
    <w:basedOn w:val="Normal"/>
    <w:rsid w:val="00D67300"/>
    <w:pPr>
      <w:spacing w:line="360" w:lineRule="auto"/>
      <w:jc w:val="both"/>
    </w:pPr>
    <w:rPr>
      <w:rFonts w:ascii="Arial" w:hAnsi="Arial" w:cs="Arial"/>
      <w:i/>
      <w:iCs/>
      <w:sz w:val="20"/>
      <w:szCs w:val="22"/>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uiPriority w:val="99"/>
    <w:rsid w:val="00D67300"/>
    <w:rPr>
      <w:vertAlign w:val="superscript"/>
    </w:rPr>
  </w:style>
  <w:style w:type="paragraph" w:styleId="Encabezado">
    <w:name w:val="header"/>
    <w:basedOn w:val="Normal"/>
    <w:rsid w:val="00D67300"/>
    <w:pPr>
      <w:tabs>
        <w:tab w:val="center" w:pos="4252"/>
        <w:tab w:val="right" w:pos="8504"/>
      </w:tabs>
    </w:pPr>
    <w:rPr>
      <w:szCs w:val="20"/>
    </w:rPr>
  </w:style>
  <w:style w:type="paragraph" w:customStyle="1" w:styleId="Textoindependiente31">
    <w:name w:val="Texto independiente 31"/>
    <w:basedOn w:val="Normal"/>
    <w:rsid w:val="00D67300"/>
    <w:pPr>
      <w:tabs>
        <w:tab w:val="left" w:pos="851"/>
      </w:tabs>
      <w:spacing w:line="360" w:lineRule="auto"/>
      <w:jc w:val="both"/>
    </w:pPr>
    <w:rPr>
      <w:rFonts w:ascii="Arial" w:hAnsi="Arial"/>
      <w:szCs w:val="20"/>
    </w:rPr>
  </w:style>
  <w:style w:type="paragraph" w:styleId="Textonotapie">
    <w:name w:val="footnote text"/>
    <w:aliases w:val="Footnote Text Char Char Char Char Char,Footnote Text Char Char Char Char,Footnote reference,FA Fu,texto de nota al pie,Texto nota pie Car,Footnote Text Cha,Footnote Text Char Char Char,FA Fußnotentext,FA Fuﬂnotentext,Footnote Text Char Ch"/>
    <w:basedOn w:val="Normal"/>
    <w:link w:val="TextonotapieCar1"/>
    <w:uiPriority w:val="99"/>
    <w:qFormat/>
    <w:rsid w:val="00D67300"/>
    <w:rPr>
      <w:sz w:val="20"/>
      <w:szCs w:val="20"/>
      <w:lang w:val="es-ES_tradnl"/>
    </w:rPr>
  </w:style>
  <w:style w:type="character" w:styleId="Nmerodepgina">
    <w:name w:val="page number"/>
    <w:basedOn w:val="Fuentedeprrafopredeter"/>
    <w:rsid w:val="00D67300"/>
  </w:style>
  <w:style w:type="paragraph" w:styleId="Textoindependiente3">
    <w:name w:val="Body Text 3"/>
    <w:basedOn w:val="Normal"/>
    <w:rsid w:val="00D67300"/>
    <w:pPr>
      <w:widowControl w:val="0"/>
      <w:spacing w:line="360" w:lineRule="auto"/>
      <w:ind w:right="20"/>
      <w:jc w:val="both"/>
    </w:pPr>
    <w:rPr>
      <w:rFonts w:ascii="Arial" w:hAnsi="Arial" w:cs="Arial"/>
      <w:szCs w:val="22"/>
    </w:rPr>
  </w:style>
  <w:style w:type="paragraph" w:customStyle="1" w:styleId="firmas">
    <w:name w:val="firmas"/>
    <w:basedOn w:val="Normal"/>
    <w:next w:val="Normal"/>
    <w:rsid w:val="00D67300"/>
    <w:pPr>
      <w:overflowPunct w:val="0"/>
      <w:autoSpaceDE w:val="0"/>
      <w:autoSpaceDN w:val="0"/>
      <w:adjustRightInd w:val="0"/>
      <w:spacing w:after="170"/>
      <w:ind w:firstLine="397"/>
      <w:jc w:val="both"/>
      <w:textAlignment w:val="baseline"/>
    </w:pPr>
    <w:rPr>
      <w:i/>
      <w:sz w:val="22"/>
      <w:szCs w:val="20"/>
      <w:lang w:val="es-ES_tradnl"/>
    </w:rPr>
  </w:style>
  <w:style w:type="paragraph" w:customStyle="1" w:styleId="Cuerpotexto">
    <w:name w:val="Cuerpo texto"/>
    <w:rsid w:val="00D67300"/>
    <w:pPr>
      <w:overflowPunct w:val="0"/>
      <w:autoSpaceDE w:val="0"/>
      <w:autoSpaceDN w:val="0"/>
      <w:adjustRightInd w:val="0"/>
      <w:spacing w:after="227"/>
      <w:ind w:firstLine="397"/>
      <w:jc w:val="both"/>
      <w:textAlignment w:val="baseline"/>
    </w:pPr>
    <w:rPr>
      <w:color w:val="000000"/>
      <w:sz w:val="22"/>
      <w:lang w:val="es-ES_tradnl" w:eastAsia="es-ES"/>
    </w:rPr>
  </w:style>
  <w:style w:type="paragraph" w:styleId="NormalWeb">
    <w:name w:val="Normal (Web)"/>
    <w:basedOn w:val="Normal"/>
    <w:uiPriority w:val="99"/>
    <w:rsid w:val="00D67300"/>
    <w:pPr>
      <w:spacing w:before="100" w:beforeAutospacing="1" w:after="100" w:afterAutospacing="1"/>
    </w:pPr>
  </w:style>
  <w:style w:type="paragraph" w:styleId="Sangra2detindependiente">
    <w:name w:val="Body Text Indent 2"/>
    <w:basedOn w:val="Normal"/>
    <w:rsid w:val="00D67300"/>
    <w:pPr>
      <w:spacing w:after="120" w:line="480" w:lineRule="auto"/>
      <w:ind w:left="283"/>
    </w:pPr>
  </w:style>
  <w:style w:type="paragraph" w:customStyle="1" w:styleId="BodyText23">
    <w:name w:val="Body Text 23"/>
    <w:basedOn w:val="Normal"/>
    <w:rsid w:val="00D67300"/>
    <w:pPr>
      <w:overflowPunct w:val="0"/>
      <w:autoSpaceDE w:val="0"/>
      <w:autoSpaceDN w:val="0"/>
      <w:adjustRightInd w:val="0"/>
      <w:spacing w:line="360" w:lineRule="auto"/>
      <w:jc w:val="both"/>
      <w:textAlignment w:val="baseline"/>
    </w:pPr>
    <w:rPr>
      <w:rFonts w:ascii="Garamond" w:hAnsi="Garamond"/>
      <w:sz w:val="28"/>
      <w:szCs w:val="20"/>
      <w:lang w:val="es-ES_tradnl" w:eastAsia="es-CO"/>
    </w:rPr>
  </w:style>
  <w:style w:type="paragraph" w:styleId="Piedepgina">
    <w:name w:val="footer"/>
    <w:basedOn w:val="Normal"/>
    <w:rsid w:val="00D67300"/>
    <w:pPr>
      <w:tabs>
        <w:tab w:val="center" w:pos="4252"/>
        <w:tab w:val="right" w:pos="8504"/>
      </w:tabs>
    </w:pPr>
  </w:style>
  <w:style w:type="paragraph" w:customStyle="1" w:styleId="tdc4">
    <w:name w:val="tdc 4"/>
    <w:basedOn w:val="Normal"/>
    <w:rsid w:val="008B3027"/>
    <w:pPr>
      <w:widowControl w:val="0"/>
      <w:tabs>
        <w:tab w:val="right" w:leader="dot" w:pos="9360"/>
      </w:tabs>
      <w:suppressAutoHyphens/>
      <w:overflowPunct w:val="0"/>
      <w:autoSpaceDE w:val="0"/>
      <w:autoSpaceDN w:val="0"/>
      <w:adjustRightInd w:val="0"/>
      <w:ind w:left="2880" w:right="720" w:hanging="720"/>
      <w:textAlignment w:val="baseline"/>
    </w:pPr>
    <w:rPr>
      <w:rFonts w:ascii="Courier New" w:hAnsi="Courier New"/>
      <w:szCs w:val="20"/>
      <w:lang w:val="en-US"/>
    </w:rPr>
  </w:style>
  <w:style w:type="paragraph" w:customStyle="1" w:styleId="tdc3">
    <w:name w:val="tdc 3"/>
    <w:basedOn w:val="Normal"/>
    <w:rsid w:val="00B608D3"/>
    <w:pPr>
      <w:widowControl w:val="0"/>
      <w:tabs>
        <w:tab w:val="right" w:leader="dot" w:pos="9360"/>
      </w:tabs>
      <w:suppressAutoHyphens/>
      <w:overflowPunct w:val="0"/>
      <w:autoSpaceDE w:val="0"/>
      <w:autoSpaceDN w:val="0"/>
      <w:adjustRightInd w:val="0"/>
      <w:ind w:left="2160" w:right="720" w:hanging="720"/>
      <w:textAlignment w:val="baseline"/>
    </w:pPr>
    <w:rPr>
      <w:rFonts w:ascii="Courier New" w:hAnsi="Courier New"/>
      <w:szCs w:val="20"/>
      <w:lang w:val="en-US"/>
    </w:rPr>
  </w:style>
  <w:style w:type="paragraph" w:customStyle="1" w:styleId="E">
    <w:name w:val=".E."/>
    <w:basedOn w:val="Normal"/>
    <w:rsid w:val="00B608D3"/>
    <w:pPr>
      <w:overflowPunct w:val="0"/>
      <w:autoSpaceDE w:val="0"/>
      <w:autoSpaceDN w:val="0"/>
      <w:adjustRightInd w:val="0"/>
      <w:textAlignment w:val="baseline"/>
    </w:pPr>
    <w:rPr>
      <w:rFonts w:ascii="Arial" w:hAnsi="Arial"/>
      <w:szCs w:val="20"/>
      <w:lang w:val="es-ES_tradnl"/>
    </w:rPr>
  </w:style>
  <w:style w:type="paragraph" w:customStyle="1" w:styleId="tesis">
    <w:name w:val="tesis"/>
    <w:basedOn w:val="Cuerpotexto"/>
    <w:rsid w:val="00272750"/>
    <w:pPr>
      <w:spacing w:after="170"/>
      <w:ind w:left="567" w:firstLine="0"/>
    </w:pPr>
    <w:rPr>
      <w:b/>
      <w:color w:val="auto"/>
    </w:rPr>
  </w:style>
  <w:style w:type="paragraph" w:styleId="Textodeglobo">
    <w:name w:val="Balloon Text"/>
    <w:basedOn w:val="Normal"/>
    <w:semiHidden/>
    <w:rsid w:val="000E5B59"/>
    <w:rPr>
      <w:rFonts w:ascii="Tahoma" w:hAnsi="Tahoma" w:cs="Tahoma"/>
      <w:sz w:val="16"/>
      <w:szCs w:val="16"/>
    </w:rPr>
  </w:style>
  <w:style w:type="character" w:styleId="Hipervnculo">
    <w:name w:val="Hyperlink"/>
    <w:uiPriority w:val="99"/>
    <w:rsid w:val="00A129CB"/>
    <w:rPr>
      <w:color w:val="0000FF"/>
      <w:u w:val="single"/>
    </w:rPr>
  </w:style>
  <w:style w:type="paragraph" w:customStyle="1" w:styleId="auxiliar-menusuperior">
    <w:name w:val="auxiliar-menusuperior"/>
    <w:basedOn w:val="Normal"/>
    <w:rsid w:val="00A25311"/>
    <w:pPr>
      <w:spacing w:before="240" w:after="200"/>
      <w:ind w:left="240" w:right="240"/>
    </w:pPr>
  </w:style>
  <w:style w:type="table" w:styleId="Tablaconcuadrcula">
    <w:name w:val="Table Grid"/>
    <w:basedOn w:val="Tablanormal"/>
    <w:rsid w:val="00D2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707DC"/>
    <w:pPr>
      <w:spacing w:after="120"/>
    </w:pPr>
  </w:style>
  <w:style w:type="character" w:customStyle="1" w:styleId="TextoindependienteCar">
    <w:name w:val="Texto independiente Car"/>
    <w:link w:val="Textoindependiente"/>
    <w:rsid w:val="000707DC"/>
    <w:rPr>
      <w:sz w:val="24"/>
      <w:szCs w:val="24"/>
      <w:lang w:val="es-ES" w:eastAsia="es-ES"/>
    </w:rPr>
  </w:style>
  <w:style w:type="paragraph" w:customStyle="1" w:styleId="BodyText21">
    <w:name w:val="Body Text 21"/>
    <w:basedOn w:val="Normal"/>
    <w:rsid w:val="006115B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rsid w:val="00A3088A"/>
    <w:pPr>
      <w:spacing w:after="120"/>
      <w:ind w:left="283"/>
    </w:pPr>
    <w:rPr>
      <w:sz w:val="16"/>
      <w:szCs w:val="16"/>
    </w:rPr>
  </w:style>
  <w:style w:type="character" w:customStyle="1" w:styleId="Sangra3detindependienteCar">
    <w:name w:val="Sangría 3 de t. independiente Car"/>
    <w:link w:val="Sangra3detindependiente"/>
    <w:rsid w:val="00A3088A"/>
    <w:rPr>
      <w:sz w:val="16"/>
      <w:szCs w:val="16"/>
      <w:lang w:val="es-ES" w:eastAsia="es-ES"/>
    </w:rPr>
  </w:style>
  <w:style w:type="character" w:customStyle="1" w:styleId="rojo1">
    <w:name w:val="rojo1"/>
    <w:rsid w:val="00A3088A"/>
    <w:rPr>
      <w:rFonts w:ascii="Verdana" w:hAnsi="Verdana"/>
      <w:b/>
      <w:color w:val="auto"/>
      <w:sz w:val="21"/>
      <w:u w:val="none"/>
    </w:rPr>
  </w:style>
  <w:style w:type="character" w:customStyle="1" w:styleId="parrafos1">
    <w:name w:val="parrafos1"/>
    <w:rsid w:val="00A3088A"/>
    <w:rPr>
      <w:rFonts w:ascii="Verdana" w:hAnsi="Verdana"/>
      <w:color w:val="000000"/>
      <w:sz w:val="19"/>
      <w:u w:val="none"/>
    </w:rPr>
  </w:style>
  <w:style w:type="table" w:styleId="Tablaprofesional">
    <w:name w:val="Table Professional"/>
    <w:basedOn w:val="Tablanormal"/>
    <w:rsid w:val="00B76F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onotapieCar1">
    <w:name w:val="Texto nota pie Car1"/>
    <w:aliases w:val="Footnote Text Char Char Char Char Char Car,Footnote Text Char Char Char Char Car,Footnote reference Car,FA Fu Car,texto de nota al pie Car,Texto nota pie Car Car,Footnote Text Cha Car,Footnote Text Char Char Char Car"/>
    <w:link w:val="Textonotapie"/>
    <w:locked/>
    <w:rsid w:val="005C75A9"/>
    <w:rPr>
      <w:lang w:val="es-ES_tradnl" w:eastAsia="es-ES"/>
    </w:rPr>
  </w:style>
  <w:style w:type="character" w:customStyle="1" w:styleId="apple-converted-space">
    <w:name w:val="apple-converted-space"/>
    <w:rsid w:val="004E599E"/>
  </w:style>
  <w:style w:type="character" w:customStyle="1" w:styleId="Ttulo3Car">
    <w:name w:val="Título 3 Car"/>
    <w:link w:val="Ttulo3"/>
    <w:semiHidden/>
    <w:rsid w:val="00AD6286"/>
    <w:rPr>
      <w:rFonts w:ascii="Cambria" w:eastAsia="Times New Roman" w:hAnsi="Cambria" w:cs="Times New Roman"/>
      <w:b/>
      <w:bCs/>
      <w:sz w:val="26"/>
      <w:szCs w:val="26"/>
      <w:lang w:eastAsia="es-ES"/>
    </w:rPr>
  </w:style>
  <w:style w:type="character" w:styleId="Textoennegrita">
    <w:name w:val="Strong"/>
    <w:uiPriority w:val="22"/>
    <w:qFormat/>
    <w:rsid w:val="00AD6286"/>
    <w:rPr>
      <w:b/>
      <w:bCs/>
    </w:rPr>
  </w:style>
  <w:style w:type="paragraph" w:customStyle="1" w:styleId="Textoindependiente21">
    <w:name w:val="Texto independiente 21"/>
    <w:basedOn w:val="Normal"/>
    <w:rsid w:val="00720BA8"/>
    <w:pPr>
      <w:overflowPunct w:val="0"/>
      <w:autoSpaceDE w:val="0"/>
      <w:autoSpaceDN w:val="0"/>
      <w:adjustRightInd w:val="0"/>
      <w:spacing w:after="120"/>
      <w:ind w:left="283"/>
    </w:pPr>
    <w:rPr>
      <w:rFonts w:ascii="Arial" w:hAnsi="Arial"/>
      <w:szCs w:val="20"/>
      <w:lang w:val="es-ES_tradnl"/>
    </w:rPr>
  </w:style>
  <w:style w:type="character" w:customStyle="1" w:styleId="baj">
    <w:name w:val="b_aj"/>
    <w:rsid w:val="00EC10CB"/>
  </w:style>
  <w:style w:type="character" w:customStyle="1" w:styleId="iaj">
    <w:name w:val="i_aj"/>
    <w:rsid w:val="00EC10CB"/>
  </w:style>
  <w:style w:type="character" w:customStyle="1" w:styleId="spelle">
    <w:name w:val="spelle"/>
    <w:rsid w:val="00D80EC2"/>
  </w:style>
  <w:style w:type="paragraph" w:customStyle="1" w:styleId="ntodoslorp">
    <w:name w:val="n todos lor p"/>
    <w:basedOn w:val="Normal"/>
    <w:rsid w:val="006F16B9"/>
    <w:pPr>
      <w:overflowPunct w:val="0"/>
      <w:autoSpaceDE w:val="0"/>
      <w:autoSpaceDN w:val="0"/>
      <w:adjustRightInd w:val="0"/>
      <w:ind w:left="851"/>
      <w:jc w:val="both"/>
      <w:textAlignment w:val="baseline"/>
    </w:pPr>
    <w:rPr>
      <w:rFonts w:ascii="Arial" w:hAnsi="Arial"/>
      <w:szCs w:val="20"/>
      <w:lang w:val="es-ES_tradnl" w:eastAsia="es-CO"/>
    </w:rPr>
  </w:style>
  <w:style w:type="paragraph" w:customStyle="1" w:styleId="BodyText22">
    <w:name w:val="Body Text 22"/>
    <w:basedOn w:val="Normal"/>
    <w:rsid w:val="00D243C5"/>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792">
      <w:bodyDiv w:val="1"/>
      <w:marLeft w:val="0"/>
      <w:marRight w:val="0"/>
      <w:marTop w:val="0"/>
      <w:marBottom w:val="0"/>
      <w:divBdr>
        <w:top w:val="none" w:sz="0" w:space="0" w:color="auto"/>
        <w:left w:val="none" w:sz="0" w:space="0" w:color="auto"/>
        <w:bottom w:val="none" w:sz="0" w:space="0" w:color="auto"/>
        <w:right w:val="none" w:sz="0" w:space="0" w:color="auto"/>
      </w:divBdr>
      <w:divsChild>
        <w:div w:id="1093669155">
          <w:marLeft w:val="0"/>
          <w:marRight w:val="0"/>
          <w:marTop w:val="0"/>
          <w:marBottom w:val="0"/>
          <w:divBdr>
            <w:top w:val="none" w:sz="0" w:space="0" w:color="auto"/>
            <w:left w:val="none" w:sz="0" w:space="0" w:color="auto"/>
            <w:bottom w:val="none" w:sz="0" w:space="0" w:color="auto"/>
            <w:right w:val="none" w:sz="0" w:space="0" w:color="auto"/>
          </w:divBdr>
          <w:divsChild>
            <w:div w:id="463739991">
              <w:marLeft w:val="0"/>
              <w:marRight w:val="0"/>
              <w:marTop w:val="0"/>
              <w:marBottom w:val="0"/>
              <w:divBdr>
                <w:top w:val="none" w:sz="0" w:space="0" w:color="auto"/>
                <w:left w:val="none" w:sz="0" w:space="0" w:color="auto"/>
                <w:bottom w:val="none" w:sz="0" w:space="0" w:color="auto"/>
                <w:right w:val="none" w:sz="0" w:space="0" w:color="auto"/>
              </w:divBdr>
              <w:divsChild>
                <w:div w:id="457840375">
                  <w:marLeft w:val="0"/>
                  <w:marRight w:val="0"/>
                  <w:marTop w:val="0"/>
                  <w:marBottom w:val="240"/>
                  <w:divBdr>
                    <w:top w:val="none" w:sz="0" w:space="0" w:color="auto"/>
                    <w:left w:val="none" w:sz="0" w:space="0" w:color="auto"/>
                    <w:bottom w:val="none" w:sz="0" w:space="0" w:color="auto"/>
                    <w:right w:val="none" w:sz="0" w:space="0" w:color="auto"/>
                  </w:divBdr>
                  <w:divsChild>
                    <w:div w:id="1320422451">
                      <w:marLeft w:val="0"/>
                      <w:marRight w:val="75"/>
                      <w:marTop w:val="75"/>
                      <w:marBottom w:val="0"/>
                      <w:divBdr>
                        <w:top w:val="single" w:sz="12" w:space="8" w:color="003366"/>
                        <w:left w:val="none" w:sz="0" w:space="0" w:color="auto"/>
                        <w:bottom w:val="single" w:sz="12" w:space="4" w:color="003366"/>
                        <w:right w:val="none" w:sz="0" w:space="0" w:color="auto"/>
                      </w:divBdr>
                    </w:div>
                  </w:divsChild>
                </w:div>
              </w:divsChild>
            </w:div>
          </w:divsChild>
        </w:div>
      </w:divsChild>
    </w:div>
    <w:div w:id="68162307">
      <w:bodyDiv w:val="1"/>
      <w:marLeft w:val="0"/>
      <w:marRight w:val="0"/>
      <w:marTop w:val="0"/>
      <w:marBottom w:val="0"/>
      <w:divBdr>
        <w:top w:val="none" w:sz="0" w:space="0" w:color="auto"/>
        <w:left w:val="none" w:sz="0" w:space="0" w:color="auto"/>
        <w:bottom w:val="none" w:sz="0" w:space="0" w:color="auto"/>
        <w:right w:val="none" w:sz="0" w:space="0" w:color="auto"/>
      </w:divBdr>
    </w:div>
    <w:div w:id="86004122">
      <w:bodyDiv w:val="1"/>
      <w:marLeft w:val="0"/>
      <w:marRight w:val="0"/>
      <w:marTop w:val="0"/>
      <w:marBottom w:val="0"/>
      <w:divBdr>
        <w:top w:val="none" w:sz="0" w:space="0" w:color="auto"/>
        <w:left w:val="none" w:sz="0" w:space="0" w:color="auto"/>
        <w:bottom w:val="none" w:sz="0" w:space="0" w:color="auto"/>
        <w:right w:val="none" w:sz="0" w:space="0" w:color="auto"/>
      </w:divBdr>
      <w:divsChild>
        <w:div w:id="512762262">
          <w:marLeft w:val="0"/>
          <w:marRight w:val="0"/>
          <w:marTop w:val="0"/>
          <w:marBottom w:val="0"/>
          <w:divBdr>
            <w:top w:val="none" w:sz="0" w:space="0" w:color="auto"/>
            <w:left w:val="none" w:sz="0" w:space="0" w:color="auto"/>
            <w:bottom w:val="none" w:sz="0" w:space="0" w:color="auto"/>
            <w:right w:val="none" w:sz="0" w:space="0" w:color="auto"/>
          </w:divBdr>
        </w:div>
        <w:div w:id="1367562578">
          <w:marLeft w:val="0"/>
          <w:marRight w:val="0"/>
          <w:marTop w:val="0"/>
          <w:marBottom w:val="0"/>
          <w:divBdr>
            <w:top w:val="none" w:sz="0" w:space="0" w:color="auto"/>
            <w:left w:val="none" w:sz="0" w:space="0" w:color="auto"/>
            <w:bottom w:val="none" w:sz="0" w:space="0" w:color="auto"/>
            <w:right w:val="none" w:sz="0" w:space="0" w:color="auto"/>
          </w:divBdr>
        </w:div>
        <w:div w:id="1378354882">
          <w:marLeft w:val="0"/>
          <w:marRight w:val="0"/>
          <w:marTop w:val="0"/>
          <w:marBottom w:val="0"/>
          <w:divBdr>
            <w:top w:val="none" w:sz="0" w:space="0" w:color="auto"/>
            <w:left w:val="none" w:sz="0" w:space="0" w:color="auto"/>
            <w:bottom w:val="none" w:sz="0" w:space="0" w:color="auto"/>
            <w:right w:val="none" w:sz="0" w:space="0" w:color="auto"/>
          </w:divBdr>
        </w:div>
      </w:divsChild>
    </w:div>
    <w:div w:id="139352044">
      <w:bodyDiv w:val="1"/>
      <w:marLeft w:val="0"/>
      <w:marRight w:val="0"/>
      <w:marTop w:val="0"/>
      <w:marBottom w:val="0"/>
      <w:divBdr>
        <w:top w:val="none" w:sz="0" w:space="0" w:color="auto"/>
        <w:left w:val="none" w:sz="0" w:space="0" w:color="auto"/>
        <w:bottom w:val="none" w:sz="0" w:space="0" w:color="auto"/>
        <w:right w:val="none" w:sz="0" w:space="0" w:color="auto"/>
      </w:divBdr>
      <w:divsChild>
        <w:div w:id="181013072">
          <w:marLeft w:val="0"/>
          <w:marRight w:val="0"/>
          <w:marTop w:val="0"/>
          <w:marBottom w:val="0"/>
          <w:divBdr>
            <w:top w:val="none" w:sz="0" w:space="0" w:color="auto"/>
            <w:left w:val="none" w:sz="0" w:space="0" w:color="auto"/>
            <w:bottom w:val="none" w:sz="0" w:space="0" w:color="auto"/>
            <w:right w:val="none" w:sz="0" w:space="0" w:color="auto"/>
          </w:divBdr>
        </w:div>
        <w:div w:id="437875946">
          <w:marLeft w:val="0"/>
          <w:marRight w:val="0"/>
          <w:marTop w:val="0"/>
          <w:marBottom w:val="0"/>
          <w:divBdr>
            <w:top w:val="none" w:sz="0" w:space="0" w:color="auto"/>
            <w:left w:val="none" w:sz="0" w:space="0" w:color="auto"/>
            <w:bottom w:val="none" w:sz="0" w:space="0" w:color="auto"/>
            <w:right w:val="none" w:sz="0" w:space="0" w:color="auto"/>
          </w:divBdr>
        </w:div>
        <w:div w:id="1768184854">
          <w:marLeft w:val="0"/>
          <w:marRight w:val="0"/>
          <w:marTop w:val="0"/>
          <w:marBottom w:val="0"/>
          <w:divBdr>
            <w:top w:val="none" w:sz="0" w:space="0" w:color="auto"/>
            <w:left w:val="none" w:sz="0" w:space="0" w:color="auto"/>
            <w:bottom w:val="none" w:sz="0" w:space="0" w:color="auto"/>
            <w:right w:val="none" w:sz="0" w:space="0" w:color="auto"/>
          </w:divBdr>
        </w:div>
      </w:divsChild>
    </w:div>
    <w:div w:id="211696205">
      <w:bodyDiv w:val="1"/>
      <w:marLeft w:val="0"/>
      <w:marRight w:val="0"/>
      <w:marTop w:val="0"/>
      <w:marBottom w:val="0"/>
      <w:divBdr>
        <w:top w:val="none" w:sz="0" w:space="0" w:color="auto"/>
        <w:left w:val="none" w:sz="0" w:space="0" w:color="auto"/>
        <w:bottom w:val="none" w:sz="0" w:space="0" w:color="auto"/>
        <w:right w:val="none" w:sz="0" w:space="0" w:color="auto"/>
      </w:divBdr>
    </w:div>
    <w:div w:id="304167174">
      <w:bodyDiv w:val="1"/>
      <w:marLeft w:val="0"/>
      <w:marRight w:val="0"/>
      <w:marTop w:val="0"/>
      <w:marBottom w:val="0"/>
      <w:divBdr>
        <w:top w:val="none" w:sz="0" w:space="0" w:color="auto"/>
        <w:left w:val="none" w:sz="0" w:space="0" w:color="auto"/>
        <w:bottom w:val="none" w:sz="0" w:space="0" w:color="auto"/>
        <w:right w:val="none" w:sz="0" w:space="0" w:color="auto"/>
      </w:divBdr>
    </w:div>
    <w:div w:id="315962988">
      <w:bodyDiv w:val="1"/>
      <w:marLeft w:val="0"/>
      <w:marRight w:val="0"/>
      <w:marTop w:val="0"/>
      <w:marBottom w:val="0"/>
      <w:divBdr>
        <w:top w:val="none" w:sz="0" w:space="0" w:color="auto"/>
        <w:left w:val="none" w:sz="0" w:space="0" w:color="auto"/>
        <w:bottom w:val="none" w:sz="0" w:space="0" w:color="auto"/>
        <w:right w:val="none" w:sz="0" w:space="0" w:color="auto"/>
      </w:divBdr>
    </w:div>
    <w:div w:id="317341262">
      <w:bodyDiv w:val="1"/>
      <w:marLeft w:val="0"/>
      <w:marRight w:val="0"/>
      <w:marTop w:val="0"/>
      <w:marBottom w:val="0"/>
      <w:divBdr>
        <w:top w:val="none" w:sz="0" w:space="0" w:color="auto"/>
        <w:left w:val="none" w:sz="0" w:space="0" w:color="auto"/>
        <w:bottom w:val="none" w:sz="0" w:space="0" w:color="auto"/>
        <w:right w:val="none" w:sz="0" w:space="0" w:color="auto"/>
      </w:divBdr>
      <w:divsChild>
        <w:div w:id="521936104">
          <w:marLeft w:val="0"/>
          <w:marRight w:val="0"/>
          <w:marTop w:val="0"/>
          <w:marBottom w:val="0"/>
          <w:divBdr>
            <w:top w:val="none" w:sz="0" w:space="0" w:color="auto"/>
            <w:left w:val="none" w:sz="0" w:space="0" w:color="auto"/>
            <w:bottom w:val="none" w:sz="0" w:space="0" w:color="auto"/>
            <w:right w:val="none" w:sz="0" w:space="0" w:color="auto"/>
          </w:divBdr>
        </w:div>
      </w:divsChild>
    </w:div>
    <w:div w:id="366570796">
      <w:bodyDiv w:val="1"/>
      <w:marLeft w:val="0"/>
      <w:marRight w:val="0"/>
      <w:marTop w:val="0"/>
      <w:marBottom w:val="0"/>
      <w:divBdr>
        <w:top w:val="none" w:sz="0" w:space="0" w:color="auto"/>
        <w:left w:val="none" w:sz="0" w:space="0" w:color="auto"/>
        <w:bottom w:val="none" w:sz="0" w:space="0" w:color="auto"/>
        <w:right w:val="none" w:sz="0" w:space="0" w:color="auto"/>
      </w:divBdr>
    </w:div>
    <w:div w:id="371418818">
      <w:bodyDiv w:val="1"/>
      <w:marLeft w:val="0"/>
      <w:marRight w:val="0"/>
      <w:marTop w:val="0"/>
      <w:marBottom w:val="0"/>
      <w:divBdr>
        <w:top w:val="none" w:sz="0" w:space="0" w:color="auto"/>
        <w:left w:val="none" w:sz="0" w:space="0" w:color="auto"/>
        <w:bottom w:val="none" w:sz="0" w:space="0" w:color="auto"/>
        <w:right w:val="none" w:sz="0" w:space="0" w:color="auto"/>
      </w:divBdr>
    </w:div>
    <w:div w:id="383455700">
      <w:bodyDiv w:val="1"/>
      <w:marLeft w:val="0"/>
      <w:marRight w:val="0"/>
      <w:marTop w:val="0"/>
      <w:marBottom w:val="0"/>
      <w:divBdr>
        <w:top w:val="none" w:sz="0" w:space="0" w:color="auto"/>
        <w:left w:val="none" w:sz="0" w:space="0" w:color="auto"/>
        <w:bottom w:val="none" w:sz="0" w:space="0" w:color="auto"/>
        <w:right w:val="none" w:sz="0" w:space="0" w:color="auto"/>
      </w:divBdr>
    </w:div>
    <w:div w:id="535848717">
      <w:bodyDiv w:val="1"/>
      <w:marLeft w:val="0"/>
      <w:marRight w:val="0"/>
      <w:marTop w:val="0"/>
      <w:marBottom w:val="0"/>
      <w:divBdr>
        <w:top w:val="none" w:sz="0" w:space="0" w:color="auto"/>
        <w:left w:val="none" w:sz="0" w:space="0" w:color="auto"/>
        <w:bottom w:val="none" w:sz="0" w:space="0" w:color="auto"/>
        <w:right w:val="none" w:sz="0" w:space="0" w:color="auto"/>
      </w:divBdr>
    </w:div>
    <w:div w:id="594482487">
      <w:bodyDiv w:val="1"/>
      <w:marLeft w:val="0"/>
      <w:marRight w:val="0"/>
      <w:marTop w:val="0"/>
      <w:marBottom w:val="0"/>
      <w:divBdr>
        <w:top w:val="none" w:sz="0" w:space="0" w:color="auto"/>
        <w:left w:val="none" w:sz="0" w:space="0" w:color="auto"/>
        <w:bottom w:val="none" w:sz="0" w:space="0" w:color="auto"/>
        <w:right w:val="none" w:sz="0" w:space="0" w:color="auto"/>
      </w:divBdr>
      <w:divsChild>
        <w:div w:id="771780158">
          <w:marLeft w:val="0"/>
          <w:marRight w:val="0"/>
          <w:marTop w:val="0"/>
          <w:marBottom w:val="0"/>
          <w:divBdr>
            <w:top w:val="none" w:sz="0" w:space="0" w:color="auto"/>
            <w:left w:val="none" w:sz="0" w:space="0" w:color="auto"/>
            <w:bottom w:val="none" w:sz="0" w:space="0" w:color="auto"/>
            <w:right w:val="none" w:sz="0" w:space="0" w:color="auto"/>
          </w:divBdr>
        </w:div>
        <w:div w:id="1112746955">
          <w:marLeft w:val="0"/>
          <w:marRight w:val="0"/>
          <w:marTop w:val="0"/>
          <w:marBottom w:val="0"/>
          <w:divBdr>
            <w:top w:val="none" w:sz="0" w:space="0" w:color="auto"/>
            <w:left w:val="none" w:sz="0" w:space="0" w:color="auto"/>
            <w:bottom w:val="none" w:sz="0" w:space="0" w:color="auto"/>
            <w:right w:val="none" w:sz="0" w:space="0" w:color="auto"/>
          </w:divBdr>
        </w:div>
        <w:div w:id="1831873479">
          <w:marLeft w:val="0"/>
          <w:marRight w:val="0"/>
          <w:marTop w:val="0"/>
          <w:marBottom w:val="0"/>
          <w:divBdr>
            <w:top w:val="none" w:sz="0" w:space="0" w:color="auto"/>
            <w:left w:val="none" w:sz="0" w:space="0" w:color="auto"/>
            <w:bottom w:val="none" w:sz="0" w:space="0" w:color="auto"/>
            <w:right w:val="none" w:sz="0" w:space="0" w:color="auto"/>
          </w:divBdr>
        </w:div>
        <w:div w:id="1992825080">
          <w:marLeft w:val="0"/>
          <w:marRight w:val="0"/>
          <w:marTop w:val="0"/>
          <w:marBottom w:val="0"/>
          <w:divBdr>
            <w:top w:val="none" w:sz="0" w:space="0" w:color="auto"/>
            <w:left w:val="none" w:sz="0" w:space="0" w:color="auto"/>
            <w:bottom w:val="none" w:sz="0" w:space="0" w:color="auto"/>
            <w:right w:val="none" w:sz="0" w:space="0" w:color="auto"/>
          </w:divBdr>
        </w:div>
        <w:div w:id="1996950089">
          <w:marLeft w:val="0"/>
          <w:marRight w:val="0"/>
          <w:marTop w:val="0"/>
          <w:marBottom w:val="0"/>
          <w:divBdr>
            <w:top w:val="none" w:sz="0" w:space="0" w:color="auto"/>
            <w:left w:val="none" w:sz="0" w:space="0" w:color="auto"/>
            <w:bottom w:val="none" w:sz="0" w:space="0" w:color="auto"/>
            <w:right w:val="none" w:sz="0" w:space="0" w:color="auto"/>
          </w:divBdr>
        </w:div>
      </w:divsChild>
    </w:div>
    <w:div w:id="619999341">
      <w:bodyDiv w:val="1"/>
      <w:marLeft w:val="0"/>
      <w:marRight w:val="0"/>
      <w:marTop w:val="0"/>
      <w:marBottom w:val="0"/>
      <w:divBdr>
        <w:top w:val="none" w:sz="0" w:space="0" w:color="auto"/>
        <w:left w:val="none" w:sz="0" w:space="0" w:color="auto"/>
        <w:bottom w:val="none" w:sz="0" w:space="0" w:color="auto"/>
        <w:right w:val="none" w:sz="0" w:space="0" w:color="auto"/>
      </w:divBdr>
    </w:div>
    <w:div w:id="642124180">
      <w:bodyDiv w:val="1"/>
      <w:marLeft w:val="0"/>
      <w:marRight w:val="0"/>
      <w:marTop w:val="0"/>
      <w:marBottom w:val="0"/>
      <w:divBdr>
        <w:top w:val="none" w:sz="0" w:space="0" w:color="auto"/>
        <w:left w:val="none" w:sz="0" w:space="0" w:color="auto"/>
        <w:bottom w:val="none" w:sz="0" w:space="0" w:color="auto"/>
        <w:right w:val="none" w:sz="0" w:space="0" w:color="auto"/>
      </w:divBdr>
    </w:div>
    <w:div w:id="714934517">
      <w:bodyDiv w:val="1"/>
      <w:marLeft w:val="0"/>
      <w:marRight w:val="0"/>
      <w:marTop w:val="0"/>
      <w:marBottom w:val="0"/>
      <w:divBdr>
        <w:top w:val="none" w:sz="0" w:space="0" w:color="auto"/>
        <w:left w:val="none" w:sz="0" w:space="0" w:color="auto"/>
        <w:bottom w:val="none" w:sz="0" w:space="0" w:color="auto"/>
        <w:right w:val="none" w:sz="0" w:space="0" w:color="auto"/>
      </w:divBdr>
      <w:divsChild>
        <w:div w:id="223223491">
          <w:marLeft w:val="0"/>
          <w:marRight w:val="0"/>
          <w:marTop w:val="0"/>
          <w:marBottom w:val="0"/>
          <w:divBdr>
            <w:top w:val="none" w:sz="0" w:space="0" w:color="auto"/>
            <w:left w:val="none" w:sz="0" w:space="0" w:color="auto"/>
            <w:bottom w:val="none" w:sz="0" w:space="0" w:color="auto"/>
            <w:right w:val="none" w:sz="0" w:space="0" w:color="auto"/>
          </w:divBdr>
        </w:div>
        <w:div w:id="302734897">
          <w:marLeft w:val="0"/>
          <w:marRight w:val="0"/>
          <w:marTop w:val="0"/>
          <w:marBottom w:val="0"/>
          <w:divBdr>
            <w:top w:val="none" w:sz="0" w:space="0" w:color="auto"/>
            <w:left w:val="none" w:sz="0" w:space="0" w:color="auto"/>
            <w:bottom w:val="none" w:sz="0" w:space="0" w:color="auto"/>
            <w:right w:val="none" w:sz="0" w:space="0" w:color="auto"/>
          </w:divBdr>
        </w:div>
        <w:div w:id="438260240">
          <w:marLeft w:val="0"/>
          <w:marRight w:val="0"/>
          <w:marTop w:val="0"/>
          <w:marBottom w:val="0"/>
          <w:divBdr>
            <w:top w:val="none" w:sz="0" w:space="0" w:color="auto"/>
            <w:left w:val="none" w:sz="0" w:space="0" w:color="auto"/>
            <w:bottom w:val="none" w:sz="0" w:space="0" w:color="auto"/>
            <w:right w:val="none" w:sz="0" w:space="0" w:color="auto"/>
          </w:divBdr>
        </w:div>
        <w:div w:id="906258986">
          <w:marLeft w:val="0"/>
          <w:marRight w:val="0"/>
          <w:marTop w:val="0"/>
          <w:marBottom w:val="0"/>
          <w:divBdr>
            <w:top w:val="none" w:sz="0" w:space="0" w:color="auto"/>
            <w:left w:val="none" w:sz="0" w:space="0" w:color="auto"/>
            <w:bottom w:val="none" w:sz="0" w:space="0" w:color="auto"/>
            <w:right w:val="none" w:sz="0" w:space="0" w:color="auto"/>
          </w:divBdr>
        </w:div>
        <w:div w:id="1086001919">
          <w:marLeft w:val="0"/>
          <w:marRight w:val="0"/>
          <w:marTop w:val="0"/>
          <w:marBottom w:val="0"/>
          <w:divBdr>
            <w:top w:val="none" w:sz="0" w:space="0" w:color="auto"/>
            <w:left w:val="none" w:sz="0" w:space="0" w:color="auto"/>
            <w:bottom w:val="none" w:sz="0" w:space="0" w:color="auto"/>
            <w:right w:val="none" w:sz="0" w:space="0" w:color="auto"/>
          </w:divBdr>
        </w:div>
        <w:div w:id="1438284740">
          <w:marLeft w:val="0"/>
          <w:marRight w:val="0"/>
          <w:marTop w:val="0"/>
          <w:marBottom w:val="0"/>
          <w:divBdr>
            <w:top w:val="none" w:sz="0" w:space="0" w:color="auto"/>
            <w:left w:val="none" w:sz="0" w:space="0" w:color="auto"/>
            <w:bottom w:val="none" w:sz="0" w:space="0" w:color="auto"/>
            <w:right w:val="none" w:sz="0" w:space="0" w:color="auto"/>
          </w:divBdr>
        </w:div>
        <w:div w:id="1821193327">
          <w:marLeft w:val="0"/>
          <w:marRight w:val="0"/>
          <w:marTop w:val="0"/>
          <w:marBottom w:val="0"/>
          <w:divBdr>
            <w:top w:val="none" w:sz="0" w:space="0" w:color="auto"/>
            <w:left w:val="none" w:sz="0" w:space="0" w:color="auto"/>
            <w:bottom w:val="none" w:sz="0" w:space="0" w:color="auto"/>
            <w:right w:val="none" w:sz="0" w:space="0" w:color="auto"/>
          </w:divBdr>
        </w:div>
      </w:divsChild>
    </w:div>
    <w:div w:id="802695945">
      <w:bodyDiv w:val="1"/>
      <w:marLeft w:val="0"/>
      <w:marRight w:val="0"/>
      <w:marTop w:val="0"/>
      <w:marBottom w:val="0"/>
      <w:divBdr>
        <w:top w:val="none" w:sz="0" w:space="0" w:color="auto"/>
        <w:left w:val="none" w:sz="0" w:space="0" w:color="auto"/>
        <w:bottom w:val="none" w:sz="0" w:space="0" w:color="auto"/>
        <w:right w:val="none" w:sz="0" w:space="0" w:color="auto"/>
      </w:divBdr>
      <w:divsChild>
        <w:div w:id="198012570">
          <w:marLeft w:val="0"/>
          <w:marRight w:val="0"/>
          <w:marTop w:val="0"/>
          <w:marBottom w:val="0"/>
          <w:divBdr>
            <w:top w:val="none" w:sz="0" w:space="0" w:color="auto"/>
            <w:left w:val="none" w:sz="0" w:space="0" w:color="auto"/>
            <w:bottom w:val="none" w:sz="0" w:space="0" w:color="auto"/>
            <w:right w:val="none" w:sz="0" w:space="0" w:color="auto"/>
          </w:divBdr>
        </w:div>
      </w:divsChild>
    </w:div>
    <w:div w:id="1022975646">
      <w:bodyDiv w:val="1"/>
      <w:marLeft w:val="0"/>
      <w:marRight w:val="0"/>
      <w:marTop w:val="0"/>
      <w:marBottom w:val="0"/>
      <w:divBdr>
        <w:top w:val="none" w:sz="0" w:space="0" w:color="auto"/>
        <w:left w:val="none" w:sz="0" w:space="0" w:color="auto"/>
        <w:bottom w:val="none" w:sz="0" w:space="0" w:color="auto"/>
        <w:right w:val="none" w:sz="0" w:space="0" w:color="auto"/>
      </w:divBdr>
    </w:div>
    <w:div w:id="1140263696">
      <w:bodyDiv w:val="1"/>
      <w:marLeft w:val="0"/>
      <w:marRight w:val="0"/>
      <w:marTop w:val="0"/>
      <w:marBottom w:val="0"/>
      <w:divBdr>
        <w:top w:val="none" w:sz="0" w:space="0" w:color="auto"/>
        <w:left w:val="none" w:sz="0" w:space="0" w:color="auto"/>
        <w:bottom w:val="none" w:sz="0" w:space="0" w:color="auto"/>
        <w:right w:val="none" w:sz="0" w:space="0" w:color="auto"/>
      </w:divBdr>
      <w:divsChild>
        <w:div w:id="1255479903">
          <w:marLeft w:val="0"/>
          <w:marRight w:val="0"/>
          <w:marTop w:val="0"/>
          <w:marBottom w:val="0"/>
          <w:divBdr>
            <w:top w:val="none" w:sz="0" w:space="0" w:color="auto"/>
            <w:left w:val="none" w:sz="0" w:space="0" w:color="auto"/>
            <w:bottom w:val="none" w:sz="0" w:space="0" w:color="auto"/>
            <w:right w:val="none" w:sz="0" w:space="0" w:color="auto"/>
          </w:divBdr>
        </w:div>
      </w:divsChild>
    </w:div>
    <w:div w:id="1173912618">
      <w:bodyDiv w:val="1"/>
      <w:marLeft w:val="0"/>
      <w:marRight w:val="0"/>
      <w:marTop w:val="0"/>
      <w:marBottom w:val="0"/>
      <w:divBdr>
        <w:top w:val="none" w:sz="0" w:space="0" w:color="auto"/>
        <w:left w:val="none" w:sz="0" w:space="0" w:color="auto"/>
        <w:bottom w:val="none" w:sz="0" w:space="0" w:color="auto"/>
        <w:right w:val="none" w:sz="0" w:space="0" w:color="auto"/>
      </w:divBdr>
    </w:div>
    <w:div w:id="1261644037">
      <w:bodyDiv w:val="1"/>
      <w:marLeft w:val="0"/>
      <w:marRight w:val="0"/>
      <w:marTop w:val="0"/>
      <w:marBottom w:val="0"/>
      <w:divBdr>
        <w:top w:val="none" w:sz="0" w:space="0" w:color="auto"/>
        <w:left w:val="none" w:sz="0" w:space="0" w:color="auto"/>
        <w:bottom w:val="none" w:sz="0" w:space="0" w:color="auto"/>
        <w:right w:val="none" w:sz="0" w:space="0" w:color="auto"/>
      </w:divBdr>
      <w:divsChild>
        <w:div w:id="1346201803">
          <w:marLeft w:val="0"/>
          <w:marRight w:val="0"/>
          <w:marTop w:val="0"/>
          <w:marBottom w:val="0"/>
          <w:divBdr>
            <w:top w:val="none" w:sz="0" w:space="0" w:color="auto"/>
            <w:left w:val="none" w:sz="0" w:space="0" w:color="auto"/>
            <w:bottom w:val="none" w:sz="0" w:space="0" w:color="auto"/>
            <w:right w:val="none" w:sz="0" w:space="0" w:color="auto"/>
          </w:divBdr>
        </w:div>
        <w:div w:id="2106000937">
          <w:marLeft w:val="0"/>
          <w:marRight w:val="0"/>
          <w:marTop w:val="0"/>
          <w:marBottom w:val="0"/>
          <w:divBdr>
            <w:top w:val="none" w:sz="0" w:space="0" w:color="auto"/>
            <w:left w:val="none" w:sz="0" w:space="0" w:color="auto"/>
            <w:bottom w:val="none" w:sz="0" w:space="0" w:color="auto"/>
            <w:right w:val="none" w:sz="0" w:space="0" w:color="auto"/>
          </w:divBdr>
        </w:div>
      </w:divsChild>
    </w:div>
    <w:div w:id="1303542471">
      <w:bodyDiv w:val="1"/>
      <w:marLeft w:val="0"/>
      <w:marRight w:val="0"/>
      <w:marTop w:val="0"/>
      <w:marBottom w:val="0"/>
      <w:divBdr>
        <w:top w:val="none" w:sz="0" w:space="0" w:color="auto"/>
        <w:left w:val="none" w:sz="0" w:space="0" w:color="auto"/>
        <w:bottom w:val="none" w:sz="0" w:space="0" w:color="auto"/>
        <w:right w:val="none" w:sz="0" w:space="0" w:color="auto"/>
      </w:divBdr>
      <w:divsChild>
        <w:div w:id="1327711313">
          <w:marLeft w:val="0"/>
          <w:marRight w:val="0"/>
          <w:marTop w:val="0"/>
          <w:marBottom w:val="0"/>
          <w:divBdr>
            <w:top w:val="none" w:sz="0" w:space="0" w:color="auto"/>
            <w:left w:val="none" w:sz="0" w:space="0" w:color="auto"/>
            <w:bottom w:val="none" w:sz="0" w:space="0" w:color="auto"/>
            <w:right w:val="none" w:sz="0" w:space="0" w:color="auto"/>
          </w:divBdr>
        </w:div>
        <w:div w:id="1349256998">
          <w:marLeft w:val="0"/>
          <w:marRight w:val="0"/>
          <w:marTop w:val="0"/>
          <w:marBottom w:val="0"/>
          <w:divBdr>
            <w:top w:val="none" w:sz="0" w:space="0" w:color="auto"/>
            <w:left w:val="none" w:sz="0" w:space="0" w:color="auto"/>
            <w:bottom w:val="none" w:sz="0" w:space="0" w:color="auto"/>
            <w:right w:val="none" w:sz="0" w:space="0" w:color="auto"/>
          </w:divBdr>
        </w:div>
        <w:div w:id="1708094684">
          <w:marLeft w:val="0"/>
          <w:marRight w:val="0"/>
          <w:marTop w:val="0"/>
          <w:marBottom w:val="0"/>
          <w:divBdr>
            <w:top w:val="none" w:sz="0" w:space="0" w:color="auto"/>
            <w:left w:val="none" w:sz="0" w:space="0" w:color="auto"/>
            <w:bottom w:val="none" w:sz="0" w:space="0" w:color="auto"/>
            <w:right w:val="none" w:sz="0" w:space="0" w:color="auto"/>
          </w:divBdr>
        </w:div>
      </w:divsChild>
    </w:div>
    <w:div w:id="1325474701">
      <w:bodyDiv w:val="1"/>
      <w:marLeft w:val="0"/>
      <w:marRight w:val="0"/>
      <w:marTop w:val="0"/>
      <w:marBottom w:val="0"/>
      <w:divBdr>
        <w:top w:val="none" w:sz="0" w:space="0" w:color="auto"/>
        <w:left w:val="none" w:sz="0" w:space="0" w:color="auto"/>
        <w:bottom w:val="none" w:sz="0" w:space="0" w:color="auto"/>
        <w:right w:val="none" w:sz="0" w:space="0" w:color="auto"/>
      </w:divBdr>
      <w:divsChild>
        <w:div w:id="1326935186">
          <w:marLeft w:val="0"/>
          <w:marRight w:val="0"/>
          <w:marTop w:val="0"/>
          <w:marBottom w:val="0"/>
          <w:divBdr>
            <w:top w:val="none" w:sz="0" w:space="0" w:color="auto"/>
            <w:left w:val="none" w:sz="0" w:space="0" w:color="auto"/>
            <w:bottom w:val="none" w:sz="0" w:space="0" w:color="auto"/>
            <w:right w:val="none" w:sz="0" w:space="0" w:color="auto"/>
          </w:divBdr>
        </w:div>
      </w:divsChild>
    </w:div>
    <w:div w:id="1334845436">
      <w:bodyDiv w:val="1"/>
      <w:marLeft w:val="0"/>
      <w:marRight w:val="0"/>
      <w:marTop w:val="0"/>
      <w:marBottom w:val="0"/>
      <w:divBdr>
        <w:top w:val="none" w:sz="0" w:space="0" w:color="auto"/>
        <w:left w:val="none" w:sz="0" w:space="0" w:color="auto"/>
        <w:bottom w:val="none" w:sz="0" w:space="0" w:color="auto"/>
        <w:right w:val="none" w:sz="0" w:space="0" w:color="auto"/>
      </w:divBdr>
    </w:div>
    <w:div w:id="1395659132">
      <w:bodyDiv w:val="1"/>
      <w:marLeft w:val="0"/>
      <w:marRight w:val="0"/>
      <w:marTop w:val="0"/>
      <w:marBottom w:val="0"/>
      <w:divBdr>
        <w:top w:val="none" w:sz="0" w:space="0" w:color="auto"/>
        <w:left w:val="none" w:sz="0" w:space="0" w:color="auto"/>
        <w:bottom w:val="none" w:sz="0" w:space="0" w:color="auto"/>
        <w:right w:val="none" w:sz="0" w:space="0" w:color="auto"/>
      </w:divBdr>
      <w:divsChild>
        <w:div w:id="216863964">
          <w:marLeft w:val="0"/>
          <w:marRight w:val="0"/>
          <w:marTop w:val="0"/>
          <w:marBottom w:val="0"/>
          <w:divBdr>
            <w:top w:val="none" w:sz="0" w:space="0" w:color="auto"/>
            <w:left w:val="none" w:sz="0" w:space="0" w:color="auto"/>
            <w:bottom w:val="none" w:sz="0" w:space="0" w:color="auto"/>
            <w:right w:val="none" w:sz="0" w:space="0" w:color="auto"/>
          </w:divBdr>
        </w:div>
        <w:div w:id="1449664668">
          <w:marLeft w:val="0"/>
          <w:marRight w:val="0"/>
          <w:marTop w:val="0"/>
          <w:marBottom w:val="0"/>
          <w:divBdr>
            <w:top w:val="none" w:sz="0" w:space="0" w:color="auto"/>
            <w:left w:val="none" w:sz="0" w:space="0" w:color="auto"/>
            <w:bottom w:val="none" w:sz="0" w:space="0" w:color="auto"/>
            <w:right w:val="none" w:sz="0" w:space="0" w:color="auto"/>
          </w:divBdr>
        </w:div>
      </w:divsChild>
    </w:div>
    <w:div w:id="1685740665">
      <w:bodyDiv w:val="1"/>
      <w:marLeft w:val="0"/>
      <w:marRight w:val="0"/>
      <w:marTop w:val="0"/>
      <w:marBottom w:val="0"/>
      <w:divBdr>
        <w:top w:val="none" w:sz="0" w:space="0" w:color="auto"/>
        <w:left w:val="none" w:sz="0" w:space="0" w:color="auto"/>
        <w:bottom w:val="none" w:sz="0" w:space="0" w:color="auto"/>
        <w:right w:val="none" w:sz="0" w:space="0" w:color="auto"/>
      </w:divBdr>
      <w:divsChild>
        <w:div w:id="775367673">
          <w:marLeft w:val="0"/>
          <w:marRight w:val="0"/>
          <w:marTop w:val="0"/>
          <w:marBottom w:val="0"/>
          <w:divBdr>
            <w:top w:val="none" w:sz="0" w:space="0" w:color="auto"/>
            <w:left w:val="none" w:sz="0" w:space="0" w:color="auto"/>
            <w:bottom w:val="none" w:sz="0" w:space="0" w:color="auto"/>
            <w:right w:val="none" w:sz="0" w:space="0" w:color="auto"/>
          </w:divBdr>
        </w:div>
        <w:div w:id="921378467">
          <w:marLeft w:val="0"/>
          <w:marRight w:val="0"/>
          <w:marTop w:val="0"/>
          <w:marBottom w:val="0"/>
          <w:divBdr>
            <w:top w:val="none" w:sz="0" w:space="0" w:color="auto"/>
            <w:left w:val="none" w:sz="0" w:space="0" w:color="auto"/>
            <w:bottom w:val="none" w:sz="0" w:space="0" w:color="auto"/>
            <w:right w:val="none" w:sz="0" w:space="0" w:color="auto"/>
          </w:divBdr>
        </w:div>
        <w:div w:id="934366622">
          <w:marLeft w:val="0"/>
          <w:marRight w:val="0"/>
          <w:marTop w:val="0"/>
          <w:marBottom w:val="0"/>
          <w:divBdr>
            <w:top w:val="none" w:sz="0" w:space="0" w:color="auto"/>
            <w:left w:val="none" w:sz="0" w:space="0" w:color="auto"/>
            <w:bottom w:val="none" w:sz="0" w:space="0" w:color="auto"/>
            <w:right w:val="none" w:sz="0" w:space="0" w:color="auto"/>
          </w:divBdr>
        </w:div>
        <w:div w:id="1161432817">
          <w:marLeft w:val="0"/>
          <w:marRight w:val="0"/>
          <w:marTop w:val="0"/>
          <w:marBottom w:val="0"/>
          <w:divBdr>
            <w:top w:val="none" w:sz="0" w:space="0" w:color="auto"/>
            <w:left w:val="none" w:sz="0" w:space="0" w:color="auto"/>
            <w:bottom w:val="none" w:sz="0" w:space="0" w:color="auto"/>
            <w:right w:val="none" w:sz="0" w:space="0" w:color="auto"/>
          </w:divBdr>
        </w:div>
      </w:divsChild>
    </w:div>
    <w:div w:id="1867712594">
      <w:bodyDiv w:val="1"/>
      <w:marLeft w:val="0"/>
      <w:marRight w:val="0"/>
      <w:marTop w:val="0"/>
      <w:marBottom w:val="0"/>
      <w:divBdr>
        <w:top w:val="none" w:sz="0" w:space="0" w:color="auto"/>
        <w:left w:val="none" w:sz="0" w:space="0" w:color="auto"/>
        <w:bottom w:val="none" w:sz="0" w:space="0" w:color="auto"/>
        <w:right w:val="none" w:sz="0" w:space="0" w:color="auto"/>
      </w:divBdr>
      <w:divsChild>
        <w:div w:id="47532050">
          <w:marLeft w:val="0"/>
          <w:marRight w:val="0"/>
          <w:marTop w:val="0"/>
          <w:marBottom w:val="0"/>
          <w:divBdr>
            <w:top w:val="none" w:sz="0" w:space="0" w:color="auto"/>
            <w:left w:val="none" w:sz="0" w:space="0" w:color="auto"/>
            <w:bottom w:val="none" w:sz="0" w:space="0" w:color="auto"/>
            <w:right w:val="none" w:sz="0" w:space="0" w:color="auto"/>
          </w:divBdr>
        </w:div>
      </w:divsChild>
    </w:div>
    <w:div w:id="1920674710">
      <w:bodyDiv w:val="1"/>
      <w:marLeft w:val="0"/>
      <w:marRight w:val="0"/>
      <w:marTop w:val="0"/>
      <w:marBottom w:val="0"/>
      <w:divBdr>
        <w:top w:val="none" w:sz="0" w:space="0" w:color="auto"/>
        <w:left w:val="none" w:sz="0" w:space="0" w:color="auto"/>
        <w:bottom w:val="none" w:sz="0" w:space="0" w:color="auto"/>
        <w:right w:val="none" w:sz="0" w:space="0" w:color="auto"/>
      </w:divBdr>
    </w:div>
    <w:div w:id="1981880054">
      <w:bodyDiv w:val="1"/>
      <w:marLeft w:val="0"/>
      <w:marRight w:val="0"/>
      <w:marTop w:val="0"/>
      <w:marBottom w:val="0"/>
      <w:divBdr>
        <w:top w:val="none" w:sz="0" w:space="0" w:color="auto"/>
        <w:left w:val="none" w:sz="0" w:space="0" w:color="auto"/>
        <w:bottom w:val="none" w:sz="0" w:space="0" w:color="auto"/>
        <w:right w:val="none" w:sz="0" w:space="0" w:color="auto"/>
      </w:divBdr>
    </w:div>
    <w:div w:id="1988973178">
      <w:bodyDiv w:val="1"/>
      <w:marLeft w:val="0"/>
      <w:marRight w:val="0"/>
      <w:marTop w:val="0"/>
      <w:marBottom w:val="0"/>
      <w:divBdr>
        <w:top w:val="none" w:sz="0" w:space="0" w:color="auto"/>
        <w:left w:val="none" w:sz="0" w:space="0" w:color="auto"/>
        <w:bottom w:val="none" w:sz="0" w:space="0" w:color="auto"/>
        <w:right w:val="none" w:sz="0" w:space="0" w:color="auto"/>
      </w:divBdr>
      <w:divsChild>
        <w:div w:id="766729956">
          <w:marLeft w:val="0"/>
          <w:marRight w:val="0"/>
          <w:marTop w:val="0"/>
          <w:marBottom w:val="0"/>
          <w:divBdr>
            <w:top w:val="none" w:sz="0" w:space="0" w:color="auto"/>
            <w:left w:val="none" w:sz="0" w:space="0" w:color="auto"/>
            <w:bottom w:val="none" w:sz="0" w:space="0" w:color="auto"/>
            <w:right w:val="none" w:sz="0" w:space="0" w:color="auto"/>
          </w:divBdr>
        </w:div>
      </w:divsChild>
    </w:div>
    <w:div w:id="2030526242">
      <w:bodyDiv w:val="1"/>
      <w:marLeft w:val="0"/>
      <w:marRight w:val="0"/>
      <w:marTop w:val="0"/>
      <w:marBottom w:val="0"/>
      <w:divBdr>
        <w:top w:val="none" w:sz="0" w:space="0" w:color="auto"/>
        <w:left w:val="none" w:sz="0" w:space="0" w:color="auto"/>
        <w:bottom w:val="none" w:sz="0" w:space="0" w:color="auto"/>
        <w:right w:val="none" w:sz="0" w:space="0" w:color="auto"/>
      </w:divBdr>
      <w:divsChild>
        <w:div w:id="65081038">
          <w:marLeft w:val="0"/>
          <w:marRight w:val="0"/>
          <w:marTop w:val="0"/>
          <w:marBottom w:val="0"/>
          <w:divBdr>
            <w:top w:val="none" w:sz="0" w:space="0" w:color="auto"/>
            <w:left w:val="none" w:sz="0" w:space="0" w:color="auto"/>
            <w:bottom w:val="none" w:sz="0" w:space="0" w:color="auto"/>
            <w:right w:val="none" w:sz="0" w:space="0" w:color="auto"/>
          </w:divBdr>
        </w:div>
      </w:divsChild>
    </w:div>
    <w:div w:id="2142335707">
      <w:bodyDiv w:val="1"/>
      <w:marLeft w:val="0"/>
      <w:marRight w:val="0"/>
      <w:marTop w:val="0"/>
      <w:marBottom w:val="0"/>
      <w:divBdr>
        <w:top w:val="none" w:sz="0" w:space="0" w:color="auto"/>
        <w:left w:val="none" w:sz="0" w:space="0" w:color="auto"/>
        <w:bottom w:val="none" w:sz="0" w:space="0" w:color="auto"/>
        <w:right w:val="none" w:sz="0" w:space="0" w:color="auto"/>
      </w:divBdr>
      <w:divsChild>
        <w:div w:id="11347877">
          <w:marLeft w:val="0"/>
          <w:marRight w:val="0"/>
          <w:marTop w:val="0"/>
          <w:marBottom w:val="0"/>
          <w:divBdr>
            <w:top w:val="none" w:sz="0" w:space="0" w:color="auto"/>
            <w:left w:val="none" w:sz="0" w:space="0" w:color="auto"/>
            <w:bottom w:val="none" w:sz="0" w:space="0" w:color="auto"/>
            <w:right w:val="none" w:sz="0" w:space="0" w:color="auto"/>
          </w:divBdr>
        </w:div>
        <w:div w:id="850879194">
          <w:marLeft w:val="0"/>
          <w:marRight w:val="0"/>
          <w:marTop w:val="0"/>
          <w:marBottom w:val="0"/>
          <w:divBdr>
            <w:top w:val="none" w:sz="0" w:space="0" w:color="auto"/>
            <w:left w:val="none" w:sz="0" w:space="0" w:color="auto"/>
            <w:bottom w:val="none" w:sz="0" w:space="0" w:color="auto"/>
            <w:right w:val="none" w:sz="0" w:space="0" w:color="auto"/>
          </w:divBdr>
        </w:div>
        <w:div w:id="1185050528">
          <w:marLeft w:val="0"/>
          <w:marRight w:val="0"/>
          <w:marTop w:val="0"/>
          <w:marBottom w:val="0"/>
          <w:divBdr>
            <w:top w:val="none" w:sz="0" w:space="0" w:color="auto"/>
            <w:left w:val="none" w:sz="0" w:space="0" w:color="auto"/>
            <w:bottom w:val="none" w:sz="0" w:space="0" w:color="auto"/>
            <w:right w:val="none" w:sz="0" w:space="0" w:color="auto"/>
          </w:divBdr>
        </w:div>
        <w:div w:id="195520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446_1998.html" TargetMode="External"/><Relationship Id="rId1" Type="http://schemas.openxmlformats.org/officeDocument/2006/relationships/hyperlink" Target="http://www.alcaldiabogota.gov.co/sisjur/normas/Norma1.jsp?i=16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764B1-2089-CA40-88BD-FDD0618B0A40}">
  <ds:schemaRefs>
    <ds:schemaRef ds:uri="http://schemas.openxmlformats.org/officeDocument/2006/bibliography"/>
  </ds:schemaRefs>
</ds:datastoreItem>
</file>

<file path=customXml/itemProps2.xml><?xml version="1.0" encoding="utf-8"?>
<ds:datastoreItem xmlns:ds="http://schemas.openxmlformats.org/officeDocument/2006/customXml" ds:itemID="{2DD233C3-F54F-48D9-9525-32E92226400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6FC5521-7C66-4ABD-A0BB-0AF7510C3901}">
  <ds:schemaRefs>
    <ds:schemaRef ds:uri="http://schemas.microsoft.com/sharepoint/v3/contenttype/forms"/>
  </ds:schemaRefs>
</ds:datastoreItem>
</file>

<file path=customXml/itemProps4.xml><?xml version="1.0" encoding="utf-8"?>
<ds:datastoreItem xmlns:ds="http://schemas.openxmlformats.org/officeDocument/2006/customXml" ds:itemID="{B9BCED31-62E2-4DBC-A66B-7B28F731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7421</Words>
  <Characters>40819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Consejera Ponente :  MYRIAM GUERRERO DE ESCOBAR</vt:lpstr>
    </vt:vector>
  </TitlesOfParts>
  <Company>Consejo Superior de la Judicatura</Company>
  <LinksUpToDate>false</LinksUpToDate>
  <CharactersWithSpaces>48144</CharactersWithSpaces>
  <SharedDoc>false</SharedDoc>
  <HLinks>
    <vt:vector size="12" baseType="variant">
      <vt:variant>
        <vt:i4>589842</vt:i4>
      </vt:variant>
      <vt:variant>
        <vt:i4>3</vt:i4>
      </vt:variant>
      <vt:variant>
        <vt:i4>0</vt:i4>
      </vt:variant>
      <vt:variant>
        <vt:i4>5</vt:i4>
      </vt:variant>
      <vt:variant>
        <vt:lpwstr>http://www.secretariasenado.gov.co/senado/basedoc/ley_0446_1998.html</vt:lpwstr>
      </vt:variant>
      <vt:variant>
        <vt:lpwstr>32</vt:lpwstr>
      </vt: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Consejera Ponente :  MYRIAM GUERRERO DE ESCOBAR</dc:title>
  <dc:subject/>
  <dc:creator>E_N3S303</dc:creator>
  <cp:keywords/>
  <cp:lastModifiedBy>David Castellanos</cp:lastModifiedBy>
  <cp:revision>10</cp:revision>
  <cp:lastPrinted>2018-04-19T21:40:00Z</cp:lastPrinted>
  <dcterms:created xsi:type="dcterms:W3CDTF">2020-06-12T21:00:00Z</dcterms:created>
  <dcterms:modified xsi:type="dcterms:W3CDTF">2020-06-12T23:51:00Z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