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83E9" w14:textId="0907DAC2" w:rsidR="00C7163B" w:rsidRPr="007E626C" w:rsidRDefault="00C7163B" w:rsidP="00C7163B">
      <w:pPr>
        <w:tabs>
          <w:tab w:val="left" w:pos="3402"/>
        </w:tabs>
        <w:snapToGrid w:val="0"/>
        <w:jc w:val="both"/>
        <w:rPr>
          <w:rFonts w:ascii="Arial" w:hAnsi="Arial" w:cs="Arial"/>
          <w:sz w:val="22"/>
          <w:szCs w:val="22"/>
        </w:rPr>
      </w:pPr>
      <w:r w:rsidRPr="007E626C">
        <w:rPr>
          <w:rFonts w:ascii="Arial" w:hAnsi="Arial" w:cs="Arial"/>
          <w:b/>
          <w:bCs/>
          <w:sz w:val="22"/>
          <w:szCs w:val="22"/>
        </w:rPr>
        <w:t>T</w:t>
      </w:r>
      <w:r w:rsidR="00E66897">
        <w:rPr>
          <w:rFonts w:ascii="Arial" w:hAnsi="Arial" w:cs="Arial"/>
          <w:b/>
          <w:bCs/>
          <w:sz w:val="22"/>
          <w:szCs w:val="22"/>
        </w:rPr>
        <w:t>Í</w:t>
      </w:r>
      <w:r w:rsidRPr="007E626C">
        <w:rPr>
          <w:rFonts w:ascii="Arial" w:hAnsi="Arial" w:cs="Arial"/>
          <w:b/>
          <w:bCs/>
          <w:sz w:val="22"/>
          <w:szCs w:val="22"/>
        </w:rPr>
        <w:t xml:space="preserve">TULO EJECUTIVO </w:t>
      </w:r>
      <w:r w:rsidR="00E66897">
        <w:rPr>
          <w:rFonts w:ascii="Arial" w:hAnsi="Arial" w:cs="Arial"/>
          <w:b/>
          <w:bCs/>
          <w:sz w:val="22"/>
          <w:szCs w:val="22"/>
        </w:rPr>
        <w:t>- Obligación - Características -</w:t>
      </w:r>
      <w:r w:rsidRPr="007E626C">
        <w:rPr>
          <w:rFonts w:ascii="Arial" w:hAnsi="Arial" w:cs="Arial"/>
          <w:b/>
          <w:bCs/>
          <w:sz w:val="22"/>
          <w:szCs w:val="22"/>
        </w:rPr>
        <w:t xml:space="preserve"> Prueba</w:t>
      </w:r>
      <w:r w:rsidRPr="007E626C">
        <w:rPr>
          <w:rFonts w:ascii="Arial" w:hAnsi="Arial" w:cs="Arial"/>
          <w:sz w:val="22"/>
          <w:szCs w:val="22"/>
        </w:rPr>
        <w:t xml:space="preserve"> </w:t>
      </w:r>
    </w:p>
    <w:p w14:paraId="680138DD" w14:textId="77777777" w:rsidR="00C7163B" w:rsidRPr="007E626C" w:rsidRDefault="00C7163B" w:rsidP="00C7163B">
      <w:pPr>
        <w:tabs>
          <w:tab w:val="left" w:pos="3402"/>
        </w:tabs>
        <w:snapToGrid w:val="0"/>
        <w:jc w:val="both"/>
        <w:rPr>
          <w:rFonts w:ascii="Arial" w:hAnsi="Arial" w:cs="Arial"/>
          <w:sz w:val="22"/>
          <w:szCs w:val="22"/>
        </w:rPr>
      </w:pPr>
    </w:p>
    <w:p w14:paraId="11EF7178" w14:textId="77777777" w:rsidR="00C7163B" w:rsidRPr="007E626C" w:rsidRDefault="00C7163B" w:rsidP="00C7163B">
      <w:pPr>
        <w:tabs>
          <w:tab w:val="left" w:pos="3402"/>
        </w:tabs>
        <w:snapToGrid w:val="0"/>
        <w:jc w:val="both"/>
        <w:rPr>
          <w:rFonts w:ascii="Arial" w:hAnsi="Arial" w:cs="Arial"/>
          <w:sz w:val="22"/>
          <w:szCs w:val="22"/>
        </w:rPr>
      </w:pPr>
      <w:r w:rsidRPr="007E626C">
        <w:rPr>
          <w:rFonts w:ascii="Arial" w:hAnsi="Arial" w:cs="Arial"/>
          <w:sz w:val="22"/>
          <w:szCs w:val="22"/>
        </w:rPr>
        <w:t>El título ejecutivo bien puede ser singular, es decir, estar contenido o constituido por un solo documento (por ejemplo, un título valor) o bien puede ser complejo, esto es, cuando se encuentra integrado por un conjunto de documentos (por ejemplo, por un contrato, más las constancias de cumplimiento o recibo de las obras, servicios o bienes contratados, el reconocimiento del deudor respecto del precio pendiente de pago, el acta de liquidación, etc). (…) los documentos allegados con la demanda deben valorarse en su conjunto, con miras a establecer si constituyen prueba idónea de la existencia de una obligación clara, expresa y exigible a favor del ejecutante. (…) debe demostrar la existencia de una prestación en beneficio de una persona</w:t>
      </w:r>
    </w:p>
    <w:p w14:paraId="29E0D3C0" w14:textId="77777777" w:rsidR="00C7163B" w:rsidRPr="007E626C" w:rsidRDefault="00C7163B" w:rsidP="00C7163B">
      <w:pPr>
        <w:tabs>
          <w:tab w:val="left" w:pos="3402"/>
        </w:tabs>
        <w:snapToGrid w:val="0"/>
        <w:jc w:val="both"/>
        <w:rPr>
          <w:rFonts w:ascii="Arial" w:hAnsi="Arial" w:cs="Arial"/>
          <w:sz w:val="22"/>
          <w:szCs w:val="22"/>
        </w:rPr>
      </w:pPr>
    </w:p>
    <w:p w14:paraId="31282758" w14:textId="3DAFFAAF" w:rsidR="00C7163B" w:rsidRPr="007E626C" w:rsidRDefault="00C7163B" w:rsidP="00C7163B">
      <w:pPr>
        <w:tabs>
          <w:tab w:val="left" w:pos="3402"/>
        </w:tabs>
        <w:snapToGrid w:val="0"/>
        <w:jc w:val="both"/>
        <w:rPr>
          <w:rFonts w:ascii="Arial" w:hAnsi="Arial" w:cs="Arial"/>
          <w:b/>
          <w:bCs/>
          <w:sz w:val="22"/>
          <w:szCs w:val="22"/>
        </w:rPr>
      </w:pPr>
      <w:r w:rsidRPr="007E626C">
        <w:rPr>
          <w:rFonts w:ascii="Arial" w:hAnsi="Arial" w:cs="Arial"/>
          <w:b/>
          <w:bCs/>
          <w:sz w:val="22"/>
          <w:szCs w:val="22"/>
        </w:rPr>
        <w:t>P</w:t>
      </w:r>
      <w:r w:rsidR="00E66897">
        <w:rPr>
          <w:rFonts w:ascii="Arial" w:hAnsi="Arial" w:cs="Arial"/>
          <w:b/>
          <w:bCs/>
          <w:sz w:val="22"/>
          <w:szCs w:val="22"/>
        </w:rPr>
        <w:t>Ó</w:t>
      </w:r>
      <w:r w:rsidRPr="007E626C">
        <w:rPr>
          <w:rFonts w:ascii="Arial" w:hAnsi="Arial" w:cs="Arial"/>
          <w:b/>
          <w:bCs/>
          <w:sz w:val="22"/>
          <w:szCs w:val="22"/>
        </w:rPr>
        <w:t xml:space="preserve">LIZAS DE SEGURO </w:t>
      </w:r>
      <w:r w:rsidR="00E66897">
        <w:rPr>
          <w:rFonts w:ascii="Arial" w:hAnsi="Arial" w:cs="Arial"/>
          <w:b/>
          <w:bCs/>
          <w:sz w:val="22"/>
          <w:szCs w:val="22"/>
        </w:rPr>
        <w:t>- Cobro ejecutivo -</w:t>
      </w:r>
      <w:r w:rsidRPr="007E626C">
        <w:rPr>
          <w:rFonts w:ascii="Arial" w:hAnsi="Arial" w:cs="Arial"/>
          <w:b/>
          <w:bCs/>
          <w:sz w:val="22"/>
          <w:szCs w:val="22"/>
        </w:rPr>
        <w:t xml:space="preserve"> </w:t>
      </w:r>
      <w:r w:rsidR="00E66897">
        <w:rPr>
          <w:rFonts w:ascii="Arial" w:hAnsi="Arial" w:cs="Arial"/>
          <w:b/>
          <w:bCs/>
          <w:sz w:val="22"/>
          <w:szCs w:val="22"/>
        </w:rPr>
        <w:t>Contrato estatal - Obligaciones - Cumplimiento</w:t>
      </w:r>
      <w:r w:rsidRPr="007E626C">
        <w:rPr>
          <w:rFonts w:ascii="Arial" w:hAnsi="Arial" w:cs="Arial"/>
          <w:b/>
          <w:bCs/>
          <w:sz w:val="22"/>
          <w:szCs w:val="22"/>
        </w:rPr>
        <w:t xml:space="preserve"> </w:t>
      </w:r>
    </w:p>
    <w:p w14:paraId="6C7A3674" w14:textId="77777777" w:rsidR="00C7163B" w:rsidRPr="007E626C" w:rsidRDefault="00C7163B" w:rsidP="00C7163B">
      <w:pPr>
        <w:tabs>
          <w:tab w:val="left" w:pos="3402"/>
        </w:tabs>
        <w:snapToGrid w:val="0"/>
        <w:jc w:val="both"/>
        <w:rPr>
          <w:rFonts w:ascii="Arial" w:hAnsi="Arial" w:cs="Arial"/>
          <w:sz w:val="22"/>
          <w:szCs w:val="22"/>
        </w:rPr>
      </w:pPr>
    </w:p>
    <w:p w14:paraId="2787F807" w14:textId="77777777" w:rsidR="00C7163B" w:rsidRPr="007E626C" w:rsidRDefault="00C7163B" w:rsidP="00C7163B">
      <w:pPr>
        <w:tabs>
          <w:tab w:val="left" w:pos="3402"/>
        </w:tabs>
        <w:snapToGrid w:val="0"/>
        <w:jc w:val="both"/>
        <w:rPr>
          <w:rFonts w:ascii="Arial" w:hAnsi="Arial" w:cs="Arial"/>
          <w:sz w:val="22"/>
          <w:szCs w:val="22"/>
        </w:rPr>
      </w:pPr>
      <w:r w:rsidRPr="007E626C">
        <w:rPr>
          <w:rFonts w:ascii="Arial" w:hAnsi="Arial" w:cs="Arial"/>
          <w:sz w:val="22"/>
          <w:szCs w:val="22"/>
        </w:rPr>
        <w:t>La parte actora señaló que el titulo ejecutivo, en el que consta la obligación de pago contra la aseguradora Confianza, está constituido por el contrato del 27 de noviembre de 2012, el acta de liquidación unilateral del mismo y por las pólizas SP000853 y RO008911, documentos visibles a (…).  A juicio del Despacho dichos documentos no constituyen, por sí solos, una obligación clara, expresa y exigible a favor del ejecutante y a cargo del ejecutado (Confianza), en otras palabras, no cumplen con lo señalo por esta Corporación como condiciones sustanciales de los títulos ejecutivos. (…) un cuando en el acta de liquidación unilateral del contrato del 27 de diciembre de 2012 se señaló que Confianza era la compañía de seguros garante del contrato y que en las pólizas de seguro allegadas al proceso se estipuló como amparo el “cumplimiento del contrato” (…) dichos documentos constituyen apenas uno de los componentes del título ejecutivo complejo, pues éste comprende también el contrato estatal, el acto administrativo mediante el cual se declaró el incumplimiento del contrato y el de la declaratoria de ocurrencia del siniestro, por el incumplimiento de aquél.</w:t>
      </w:r>
    </w:p>
    <w:p w14:paraId="2642EFFF" w14:textId="77777777" w:rsidR="00C7163B" w:rsidRPr="007E626C" w:rsidRDefault="00C7163B" w:rsidP="00C7163B">
      <w:pPr>
        <w:tabs>
          <w:tab w:val="left" w:pos="3402"/>
        </w:tabs>
        <w:snapToGrid w:val="0"/>
        <w:jc w:val="both"/>
        <w:rPr>
          <w:rFonts w:ascii="Arial" w:hAnsi="Arial" w:cs="Arial"/>
          <w:sz w:val="22"/>
          <w:szCs w:val="22"/>
        </w:rPr>
      </w:pPr>
    </w:p>
    <w:p w14:paraId="70FDE01A" w14:textId="3AB6F84E" w:rsidR="00C7163B" w:rsidRPr="007E626C" w:rsidRDefault="00C7163B" w:rsidP="00C7163B">
      <w:pPr>
        <w:tabs>
          <w:tab w:val="left" w:pos="3402"/>
        </w:tabs>
        <w:snapToGrid w:val="0"/>
        <w:jc w:val="both"/>
        <w:rPr>
          <w:rFonts w:ascii="Arial" w:hAnsi="Arial" w:cs="Arial"/>
          <w:b/>
          <w:bCs/>
          <w:sz w:val="22"/>
          <w:szCs w:val="22"/>
        </w:rPr>
      </w:pPr>
      <w:r w:rsidRPr="007E626C">
        <w:rPr>
          <w:rFonts w:ascii="Arial" w:hAnsi="Arial" w:cs="Arial"/>
          <w:b/>
          <w:bCs/>
          <w:sz w:val="22"/>
          <w:szCs w:val="22"/>
        </w:rPr>
        <w:t xml:space="preserve">DECLARACIÓN DEL SINIESTRO </w:t>
      </w:r>
      <w:r w:rsidR="00CE0F17">
        <w:rPr>
          <w:rFonts w:ascii="Arial" w:hAnsi="Arial" w:cs="Arial"/>
          <w:b/>
          <w:bCs/>
          <w:sz w:val="22"/>
          <w:szCs w:val="22"/>
        </w:rPr>
        <w:t>-</w:t>
      </w:r>
      <w:r w:rsidRPr="007E626C">
        <w:rPr>
          <w:rFonts w:ascii="Arial" w:hAnsi="Arial" w:cs="Arial"/>
          <w:b/>
          <w:bCs/>
          <w:sz w:val="22"/>
          <w:szCs w:val="22"/>
        </w:rPr>
        <w:t xml:space="preserve"> </w:t>
      </w:r>
      <w:r w:rsidR="00CE0F17">
        <w:rPr>
          <w:rFonts w:ascii="Arial" w:hAnsi="Arial" w:cs="Arial"/>
          <w:b/>
          <w:bCs/>
          <w:sz w:val="22"/>
          <w:szCs w:val="22"/>
        </w:rPr>
        <w:t>S</w:t>
      </w:r>
      <w:r w:rsidRPr="007E626C">
        <w:rPr>
          <w:rFonts w:ascii="Arial" w:hAnsi="Arial" w:cs="Arial"/>
          <w:b/>
          <w:bCs/>
          <w:sz w:val="22"/>
          <w:szCs w:val="22"/>
        </w:rPr>
        <w:t xml:space="preserve">iniestro </w:t>
      </w:r>
      <w:r w:rsidR="00CE0F17">
        <w:rPr>
          <w:rFonts w:ascii="Arial" w:hAnsi="Arial" w:cs="Arial"/>
          <w:b/>
          <w:bCs/>
          <w:sz w:val="22"/>
          <w:szCs w:val="22"/>
        </w:rPr>
        <w:t>- Demostración</w:t>
      </w:r>
    </w:p>
    <w:p w14:paraId="568B36D0" w14:textId="77777777" w:rsidR="00C7163B" w:rsidRPr="007E626C" w:rsidRDefault="00C7163B" w:rsidP="00C7163B">
      <w:pPr>
        <w:tabs>
          <w:tab w:val="left" w:pos="3402"/>
        </w:tabs>
        <w:snapToGrid w:val="0"/>
        <w:jc w:val="both"/>
        <w:rPr>
          <w:rFonts w:ascii="Arial" w:hAnsi="Arial" w:cs="Arial"/>
          <w:sz w:val="22"/>
          <w:szCs w:val="22"/>
        </w:rPr>
      </w:pPr>
    </w:p>
    <w:p w14:paraId="35C29CA9" w14:textId="77777777" w:rsidR="00327FB3" w:rsidRPr="007E626C" w:rsidRDefault="00C7163B" w:rsidP="00C7163B">
      <w:pPr>
        <w:tabs>
          <w:tab w:val="left" w:pos="3402"/>
        </w:tabs>
        <w:snapToGrid w:val="0"/>
        <w:jc w:val="both"/>
        <w:rPr>
          <w:rFonts w:ascii="Arial" w:hAnsi="Arial" w:cs="Arial"/>
          <w:sz w:val="22"/>
          <w:szCs w:val="22"/>
        </w:rPr>
      </w:pPr>
      <w:r w:rsidRPr="007E626C">
        <w:rPr>
          <w:rFonts w:ascii="Arial" w:hAnsi="Arial" w:cs="Arial"/>
          <w:sz w:val="22"/>
          <w:szCs w:val="22"/>
        </w:rPr>
        <w:t>La entidad estatal, además de proferir una resolución en la que declare el incumplimiento del contrato, debe expedir un acto administrativo mediante el cual declare la ocurrencia del siniestro por el incumplimiento del mismo, para que, en efecto, surja una obligación exigible a cargo de la aseguradora y en favor del beneficiario. Dicho de otra manera, no basta con que ocurra el siniestro para que la obligación se haga exigible, sino que, adicionalmente, se le debe comunicar a la compañía aseguradora que se harán efectivas las garantías de la póliza, para lo cual se le debe notificar el acto administrativo que declare la ocurrencia del siniestro respectivo. (…) La parte actora debió allegar, además del contrato estatal del 27 de diciembre de 2007, del acta de liquidación unilateral del mismo y de las pólizas SP000853 y RO008911, los actos administrativos por medio de los cuales declaró el incumplimiento del contrato y la ocurrencia del siniestro por el incumplimiento de éste y la constancia o prueba de su respectiva notificación a Confianza. Como esto no se hizo, el Despacho confirmará el auto apelado.</w:t>
      </w:r>
    </w:p>
    <w:p w14:paraId="0600C3BC" w14:textId="77777777" w:rsidR="00C7163B" w:rsidRPr="007E626C" w:rsidRDefault="00C7163B" w:rsidP="00BB2041">
      <w:pPr>
        <w:tabs>
          <w:tab w:val="left" w:pos="3402"/>
        </w:tabs>
        <w:snapToGrid w:val="0"/>
        <w:jc w:val="center"/>
        <w:rPr>
          <w:rFonts w:ascii="Arial" w:hAnsi="Arial" w:cs="Arial"/>
          <w:b/>
          <w:bCs/>
          <w:sz w:val="22"/>
          <w:szCs w:val="22"/>
        </w:rPr>
      </w:pPr>
    </w:p>
    <w:p w14:paraId="6661A995" w14:textId="77777777" w:rsidR="003F314A" w:rsidRPr="00252221" w:rsidRDefault="003F314A" w:rsidP="00BB2041">
      <w:pPr>
        <w:tabs>
          <w:tab w:val="left" w:pos="3402"/>
        </w:tabs>
        <w:snapToGrid w:val="0"/>
        <w:jc w:val="center"/>
        <w:rPr>
          <w:rFonts w:ascii="Arial" w:hAnsi="Arial" w:cs="Arial"/>
          <w:b/>
          <w:bCs/>
        </w:rPr>
      </w:pPr>
      <w:r w:rsidRPr="00252221">
        <w:rPr>
          <w:rFonts w:ascii="Arial" w:hAnsi="Arial" w:cs="Arial"/>
          <w:b/>
          <w:bCs/>
        </w:rPr>
        <w:t>CONSEJO DE ESTADO</w:t>
      </w:r>
    </w:p>
    <w:p w14:paraId="4BB3B25D" w14:textId="77777777" w:rsidR="00145640" w:rsidRPr="00252221" w:rsidRDefault="00145640" w:rsidP="00BB2041">
      <w:pPr>
        <w:tabs>
          <w:tab w:val="left" w:pos="3402"/>
        </w:tabs>
        <w:snapToGrid w:val="0"/>
        <w:jc w:val="center"/>
        <w:rPr>
          <w:rFonts w:ascii="Arial" w:hAnsi="Arial" w:cs="Arial"/>
          <w:b/>
          <w:bCs/>
        </w:rPr>
      </w:pPr>
    </w:p>
    <w:p w14:paraId="47CE6F94" w14:textId="77777777" w:rsidR="00145640" w:rsidRPr="00252221" w:rsidRDefault="003F314A" w:rsidP="00BB2041">
      <w:pPr>
        <w:snapToGrid w:val="0"/>
        <w:jc w:val="center"/>
        <w:rPr>
          <w:rFonts w:ascii="Arial" w:hAnsi="Arial" w:cs="Arial"/>
          <w:b/>
        </w:rPr>
      </w:pPr>
      <w:r w:rsidRPr="00252221">
        <w:rPr>
          <w:rFonts w:ascii="Arial" w:hAnsi="Arial" w:cs="Arial"/>
          <w:b/>
        </w:rPr>
        <w:t>SALA DE LO CONTENCIOSO ADMINISTRATIVO</w:t>
      </w:r>
    </w:p>
    <w:p w14:paraId="559B59C8" w14:textId="77777777" w:rsidR="00145640" w:rsidRPr="00252221" w:rsidRDefault="00145640" w:rsidP="00BB2041">
      <w:pPr>
        <w:snapToGrid w:val="0"/>
        <w:jc w:val="center"/>
        <w:rPr>
          <w:rFonts w:ascii="Arial" w:hAnsi="Arial" w:cs="Arial"/>
          <w:b/>
          <w:bCs/>
        </w:rPr>
      </w:pPr>
    </w:p>
    <w:p w14:paraId="43D01F67" w14:textId="77777777" w:rsidR="00145640" w:rsidRPr="00252221" w:rsidRDefault="00145640" w:rsidP="00BB2041">
      <w:pPr>
        <w:snapToGrid w:val="0"/>
        <w:jc w:val="center"/>
        <w:rPr>
          <w:rFonts w:ascii="Arial" w:hAnsi="Arial" w:cs="Arial"/>
          <w:b/>
          <w:lang w:val="es-ES_tradnl"/>
        </w:rPr>
      </w:pPr>
      <w:r w:rsidRPr="00252221">
        <w:rPr>
          <w:rFonts w:ascii="Arial" w:hAnsi="Arial" w:cs="Arial"/>
          <w:b/>
          <w:lang w:val="es-ES_tradnl"/>
        </w:rPr>
        <w:t>SECCIÓN TERCERA</w:t>
      </w:r>
    </w:p>
    <w:p w14:paraId="225192C7" w14:textId="77777777" w:rsidR="00145640" w:rsidRPr="00252221" w:rsidRDefault="00145640" w:rsidP="00BB2041">
      <w:pPr>
        <w:snapToGrid w:val="0"/>
        <w:jc w:val="center"/>
        <w:rPr>
          <w:rFonts w:ascii="Arial" w:hAnsi="Arial" w:cs="Arial"/>
          <w:b/>
          <w:bCs/>
        </w:rPr>
      </w:pPr>
    </w:p>
    <w:p w14:paraId="2E78A666" w14:textId="77777777" w:rsidR="00BC6127" w:rsidRPr="00252221" w:rsidRDefault="00145640" w:rsidP="00BB2041">
      <w:pPr>
        <w:snapToGrid w:val="0"/>
        <w:jc w:val="center"/>
        <w:rPr>
          <w:rFonts w:ascii="Arial" w:hAnsi="Arial" w:cs="Arial"/>
          <w:b/>
          <w:bCs/>
        </w:rPr>
      </w:pPr>
      <w:r w:rsidRPr="00252221">
        <w:rPr>
          <w:rFonts w:ascii="Arial" w:hAnsi="Arial" w:cs="Arial"/>
          <w:b/>
          <w:lang w:val="es-ES_tradnl"/>
        </w:rPr>
        <w:t>SUBSECCIÓN A</w:t>
      </w:r>
    </w:p>
    <w:p w14:paraId="6594632E" w14:textId="77777777" w:rsidR="009361A7" w:rsidRPr="00252221" w:rsidRDefault="009361A7" w:rsidP="00BB2041">
      <w:pPr>
        <w:pStyle w:val="Textonotapie"/>
        <w:jc w:val="center"/>
        <w:rPr>
          <w:rStyle w:val="nfasis"/>
          <w:rFonts w:ascii="Arial" w:hAnsi="Arial" w:cs="Arial"/>
          <w:b/>
          <w:i w:val="0"/>
          <w:iCs w:val="0"/>
          <w:sz w:val="24"/>
          <w:szCs w:val="24"/>
          <w:lang w:val="es-ES_tradnl"/>
        </w:rPr>
      </w:pPr>
    </w:p>
    <w:p w14:paraId="08ADCA89" w14:textId="77777777" w:rsidR="00E915EB" w:rsidRPr="00252221" w:rsidRDefault="00BB2041" w:rsidP="00BB2041">
      <w:pPr>
        <w:pStyle w:val="Subttulo"/>
        <w:tabs>
          <w:tab w:val="left" w:pos="3402"/>
        </w:tabs>
        <w:rPr>
          <w:rFonts w:cs="Arial"/>
          <w:sz w:val="24"/>
          <w:szCs w:val="24"/>
          <w:lang w:val="es-CO"/>
        </w:rPr>
      </w:pPr>
      <w:r>
        <w:rPr>
          <w:rFonts w:cs="Arial"/>
          <w:sz w:val="24"/>
          <w:szCs w:val="24"/>
          <w:lang w:val="es-CO"/>
        </w:rPr>
        <w:t>Consejero p</w:t>
      </w:r>
      <w:r w:rsidR="00E915EB" w:rsidRPr="00252221">
        <w:rPr>
          <w:rFonts w:cs="Arial"/>
          <w:sz w:val="24"/>
          <w:szCs w:val="24"/>
          <w:lang w:val="es-CO"/>
        </w:rPr>
        <w:t>onente: CARLOS ALBERTO ZAMBRANO BARRERA</w:t>
      </w:r>
    </w:p>
    <w:p w14:paraId="0E3F8FB0" w14:textId="77777777" w:rsidR="00145640" w:rsidRPr="00252221" w:rsidRDefault="00145640" w:rsidP="00145640">
      <w:pPr>
        <w:pStyle w:val="Textoindependiente"/>
        <w:jc w:val="both"/>
        <w:rPr>
          <w:rStyle w:val="nfasis"/>
          <w:rFonts w:cs="Arial"/>
          <w:sz w:val="24"/>
          <w:szCs w:val="24"/>
          <w:lang w:val="es-CO"/>
        </w:rPr>
      </w:pPr>
    </w:p>
    <w:p w14:paraId="377802F8" w14:textId="77777777" w:rsidR="00145640" w:rsidRPr="00252221" w:rsidRDefault="00D84D01" w:rsidP="00145640">
      <w:pPr>
        <w:pStyle w:val="Textoindependiente"/>
        <w:jc w:val="both"/>
        <w:rPr>
          <w:rFonts w:cs="Arial"/>
          <w:sz w:val="24"/>
          <w:szCs w:val="24"/>
          <w:lang w:val="es-ES_tradnl"/>
        </w:rPr>
      </w:pPr>
      <w:r w:rsidRPr="00252221">
        <w:rPr>
          <w:rFonts w:cs="Arial"/>
          <w:sz w:val="24"/>
          <w:szCs w:val="24"/>
          <w:lang w:val="es-ES_tradnl"/>
        </w:rPr>
        <w:t>Bogotá D.C.,</w:t>
      </w:r>
      <w:r w:rsidR="009361A7" w:rsidRPr="00252221">
        <w:rPr>
          <w:rFonts w:cs="Arial"/>
          <w:sz w:val="24"/>
          <w:szCs w:val="24"/>
          <w:lang w:val="es-ES_tradnl"/>
        </w:rPr>
        <w:t xml:space="preserve"> once</w:t>
      </w:r>
      <w:r w:rsidR="00551943" w:rsidRPr="00252221">
        <w:rPr>
          <w:rFonts w:cs="Arial"/>
          <w:sz w:val="24"/>
          <w:szCs w:val="24"/>
          <w:lang w:val="es-ES_tradnl"/>
        </w:rPr>
        <w:t xml:space="preserve"> </w:t>
      </w:r>
      <w:r w:rsidR="009B560E" w:rsidRPr="00252221">
        <w:rPr>
          <w:rFonts w:cs="Arial"/>
          <w:sz w:val="24"/>
          <w:szCs w:val="24"/>
          <w:lang w:val="es-ES_tradnl"/>
        </w:rPr>
        <w:t>(</w:t>
      </w:r>
      <w:r w:rsidR="009361A7" w:rsidRPr="00252221">
        <w:rPr>
          <w:rFonts w:cs="Arial"/>
          <w:sz w:val="24"/>
          <w:szCs w:val="24"/>
          <w:lang w:val="es-ES_tradnl"/>
        </w:rPr>
        <w:t>11</w:t>
      </w:r>
      <w:r w:rsidR="009B560E" w:rsidRPr="00252221">
        <w:rPr>
          <w:rFonts w:cs="Arial"/>
          <w:sz w:val="24"/>
          <w:szCs w:val="24"/>
          <w:lang w:val="es-ES_tradnl"/>
        </w:rPr>
        <w:t>) de</w:t>
      </w:r>
      <w:r w:rsidR="00602AF0" w:rsidRPr="00252221">
        <w:rPr>
          <w:rFonts w:cs="Arial"/>
          <w:sz w:val="24"/>
          <w:szCs w:val="24"/>
          <w:lang w:val="es-ES_tradnl"/>
        </w:rPr>
        <w:t xml:space="preserve"> </w:t>
      </w:r>
      <w:r w:rsidR="009361A7" w:rsidRPr="00252221">
        <w:rPr>
          <w:rFonts w:cs="Arial"/>
          <w:sz w:val="24"/>
          <w:szCs w:val="24"/>
          <w:lang w:val="es-ES_tradnl"/>
        </w:rPr>
        <w:t xml:space="preserve">febrero </w:t>
      </w:r>
      <w:r w:rsidR="00602AF0" w:rsidRPr="00252221">
        <w:rPr>
          <w:rFonts w:cs="Arial"/>
          <w:sz w:val="24"/>
          <w:szCs w:val="24"/>
          <w:lang w:val="es-ES_tradnl"/>
        </w:rPr>
        <w:t>d</w:t>
      </w:r>
      <w:r w:rsidR="00FC2125" w:rsidRPr="00252221">
        <w:rPr>
          <w:rFonts w:cs="Arial"/>
          <w:sz w:val="24"/>
          <w:szCs w:val="24"/>
          <w:lang w:val="es-ES_tradnl"/>
        </w:rPr>
        <w:t>e</w:t>
      </w:r>
      <w:r w:rsidR="009B560E" w:rsidRPr="00252221">
        <w:rPr>
          <w:rFonts w:cs="Arial"/>
          <w:sz w:val="24"/>
          <w:szCs w:val="24"/>
          <w:lang w:val="es-ES_tradnl"/>
        </w:rPr>
        <w:t xml:space="preserve"> dos mil </w:t>
      </w:r>
      <w:r w:rsidR="009361A7" w:rsidRPr="00252221">
        <w:rPr>
          <w:rFonts w:cs="Arial"/>
          <w:sz w:val="24"/>
          <w:szCs w:val="24"/>
          <w:lang w:val="es-ES_tradnl"/>
        </w:rPr>
        <w:t>diecinueve (2019</w:t>
      </w:r>
      <w:r w:rsidR="009B560E" w:rsidRPr="00252221">
        <w:rPr>
          <w:rFonts w:cs="Arial"/>
          <w:sz w:val="24"/>
          <w:szCs w:val="24"/>
          <w:lang w:val="es-ES_tradnl"/>
        </w:rPr>
        <w:t xml:space="preserve">) </w:t>
      </w:r>
    </w:p>
    <w:p w14:paraId="1216A822" w14:textId="77777777" w:rsidR="00145640" w:rsidRPr="00BB2041" w:rsidRDefault="00145640" w:rsidP="00145640">
      <w:pPr>
        <w:pStyle w:val="Textoindependiente"/>
        <w:jc w:val="both"/>
        <w:rPr>
          <w:rFonts w:cs="Arial"/>
          <w:b/>
          <w:sz w:val="24"/>
          <w:szCs w:val="24"/>
        </w:rPr>
      </w:pPr>
    </w:p>
    <w:p w14:paraId="0A3CD122" w14:textId="77777777" w:rsidR="00145640" w:rsidRPr="00BB2041" w:rsidRDefault="00D84D01" w:rsidP="00145640">
      <w:pPr>
        <w:pStyle w:val="Textoindependiente"/>
        <w:jc w:val="both"/>
        <w:rPr>
          <w:rFonts w:cs="Arial"/>
          <w:b/>
          <w:sz w:val="24"/>
          <w:szCs w:val="24"/>
        </w:rPr>
      </w:pPr>
      <w:r w:rsidRPr="00BB2041">
        <w:rPr>
          <w:rFonts w:cs="Arial"/>
          <w:b/>
          <w:sz w:val="24"/>
          <w:szCs w:val="24"/>
        </w:rPr>
        <w:t>Radicación</w:t>
      </w:r>
      <w:r w:rsidR="00145640" w:rsidRPr="00BB2041">
        <w:rPr>
          <w:rFonts w:cs="Arial"/>
          <w:b/>
          <w:sz w:val="24"/>
          <w:szCs w:val="24"/>
        </w:rPr>
        <w:t xml:space="preserve"> número: </w:t>
      </w:r>
      <w:r w:rsidR="00602AF0" w:rsidRPr="00BB2041">
        <w:rPr>
          <w:rFonts w:cs="Arial"/>
          <w:b/>
          <w:sz w:val="24"/>
          <w:szCs w:val="24"/>
        </w:rPr>
        <w:t>47</w:t>
      </w:r>
      <w:r w:rsidR="00493102" w:rsidRPr="00BB2041">
        <w:rPr>
          <w:rFonts w:cs="Arial"/>
          <w:b/>
          <w:sz w:val="24"/>
          <w:szCs w:val="24"/>
        </w:rPr>
        <w:t>001</w:t>
      </w:r>
      <w:r w:rsidRPr="00BB2041">
        <w:rPr>
          <w:rFonts w:cs="Arial"/>
          <w:b/>
          <w:sz w:val="24"/>
          <w:szCs w:val="24"/>
        </w:rPr>
        <w:t>-23-3</w:t>
      </w:r>
      <w:r w:rsidR="005D3485" w:rsidRPr="00BB2041">
        <w:rPr>
          <w:rFonts w:cs="Arial"/>
          <w:b/>
          <w:sz w:val="24"/>
          <w:szCs w:val="24"/>
        </w:rPr>
        <w:t>3-000</w:t>
      </w:r>
      <w:r w:rsidR="00493102" w:rsidRPr="00BB2041">
        <w:rPr>
          <w:rFonts w:cs="Arial"/>
          <w:b/>
          <w:sz w:val="24"/>
          <w:szCs w:val="24"/>
        </w:rPr>
        <w:t>-2016</w:t>
      </w:r>
      <w:r w:rsidRPr="00BB2041">
        <w:rPr>
          <w:rFonts w:cs="Arial"/>
          <w:b/>
          <w:sz w:val="24"/>
          <w:szCs w:val="24"/>
        </w:rPr>
        <w:t>-00</w:t>
      </w:r>
      <w:r w:rsidR="00602AF0" w:rsidRPr="00BB2041">
        <w:rPr>
          <w:rFonts w:cs="Arial"/>
          <w:b/>
          <w:sz w:val="24"/>
          <w:szCs w:val="24"/>
        </w:rPr>
        <w:t>004-01</w:t>
      </w:r>
      <w:r w:rsidRPr="00BB2041">
        <w:rPr>
          <w:rFonts w:cs="Arial"/>
          <w:b/>
          <w:sz w:val="24"/>
          <w:szCs w:val="24"/>
        </w:rPr>
        <w:t>(</w:t>
      </w:r>
      <w:r w:rsidR="001701C6" w:rsidRPr="00BB2041">
        <w:rPr>
          <w:rFonts w:cs="Arial"/>
          <w:b/>
          <w:sz w:val="24"/>
          <w:szCs w:val="24"/>
        </w:rPr>
        <w:t>62427</w:t>
      </w:r>
      <w:r w:rsidRPr="00BB2041">
        <w:rPr>
          <w:rFonts w:cs="Arial"/>
          <w:b/>
          <w:sz w:val="24"/>
          <w:szCs w:val="24"/>
        </w:rPr>
        <w:t>)</w:t>
      </w:r>
    </w:p>
    <w:p w14:paraId="5A2FC258" w14:textId="77777777" w:rsidR="00145640" w:rsidRPr="00BB2041" w:rsidRDefault="00145640" w:rsidP="00145640">
      <w:pPr>
        <w:pStyle w:val="Textoindependiente"/>
        <w:jc w:val="both"/>
        <w:rPr>
          <w:rFonts w:cs="Arial"/>
          <w:b/>
          <w:sz w:val="24"/>
          <w:szCs w:val="24"/>
        </w:rPr>
      </w:pPr>
    </w:p>
    <w:p w14:paraId="753F7E43" w14:textId="77777777" w:rsidR="00145640" w:rsidRPr="00BB2041" w:rsidRDefault="00D84D01" w:rsidP="00145640">
      <w:pPr>
        <w:pStyle w:val="Textoindependiente"/>
        <w:jc w:val="both"/>
        <w:rPr>
          <w:rFonts w:cs="Arial"/>
          <w:b/>
          <w:sz w:val="24"/>
          <w:szCs w:val="24"/>
        </w:rPr>
      </w:pPr>
      <w:r w:rsidRPr="00BB2041">
        <w:rPr>
          <w:rFonts w:cs="Arial"/>
          <w:b/>
          <w:sz w:val="24"/>
          <w:szCs w:val="24"/>
        </w:rPr>
        <w:t>Actor:</w:t>
      </w:r>
      <w:r w:rsidRPr="00BB2041">
        <w:rPr>
          <w:rFonts w:cs="Arial"/>
          <w:b/>
          <w:sz w:val="24"/>
          <w:szCs w:val="24"/>
        </w:rPr>
        <w:tab/>
      </w:r>
      <w:r w:rsidR="00145640" w:rsidRPr="00BB2041">
        <w:rPr>
          <w:rFonts w:cs="Arial"/>
          <w:b/>
          <w:sz w:val="24"/>
          <w:szCs w:val="24"/>
        </w:rPr>
        <w:t xml:space="preserve"> AGUAS DEL MAGDALENA S.A. E.S.P</w:t>
      </w:r>
      <w:r w:rsidR="00602AF0" w:rsidRPr="00BB2041">
        <w:rPr>
          <w:rFonts w:cs="Arial"/>
          <w:b/>
          <w:sz w:val="24"/>
          <w:szCs w:val="24"/>
        </w:rPr>
        <w:t xml:space="preserve">. </w:t>
      </w:r>
    </w:p>
    <w:p w14:paraId="1FDBB772" w14:textId="77777777" w:rsidR="00145640" w:rsidRPr="00BB2041" w:rsidRDefault="00145640" w:rsidP="00145640">
      <w:pPr>
        <w:pStyle w:val="Textoindependiente"/>
        <w:jc w:val="both"/>
        <w:rPr>
          <w:rFonts w:cs="Arial"/>
          <w:b/>
          <w:sz w:val="24"/>
          <w:szCs w:val="24"/>
        </w:rPr>
      </w:pPr>
    </w:p>
    <w:p w14:paraId="4B19417E" w14:textId="77777777" w:rsidR="00145640" w:rsidRPr="00BB2041" w:rsidRDefault="00D84D01" w:rsidP="00145640">
      <w:pPr>
        <w:pStyle w:val="Textoindependiente"/>
        <w:jc w:val="both"/>
        <w:rPr>
          <w:rFonts w:cs="Arial"/>
          <w:b/>
          <w:sz w:val="24"/>
          <w:szCs w:val="24"/>
        </w:rPr>
      </w:pPr>
      <w:r w:rsidRPr="00BB2041">
        <w:rPr>
          <w:rFonts w:cs="Arial"/>
          <w:b/>
          <w:sz w:val="24"/>
          <w:szCs w:val="24"/>
        </w:rPr>
        <w:t>Demandado:</w:t>
      </w:r>
      <w:r w:rsidR="00145640" w:rsidRPr="00BB2041">
        <w:rPr>
          <w:rFonts w:cs="Arial"/>
          <w:b/>
          <w:sz w:val="24"/>
          <w:szCs w:val="24"/>
        </w:rPr>
        <w:t xml:space="preserve"> AGUAS REGIO</w:t>
      </w:r>
      <w:r w:rsidR="00BB2041">
        <w:rPr>
          <w:rFonts w:cs="Arial"/>
          <w:b/>
          <w:sz w:val="24"/>
          <w:szCs w:val="24"/>
        </w:rPr>
        <w:t>NAL DE MACONDO ARM S.A. E.S.P.</w:t>
      </w:r>
    </w:p>
    <w:p w14:paraId="22F257A4" w14:textId="77777777" w:rsidR="00145640" w:rsidRPr="00BB2041" w:rsidRDefault="00145640" w:rsidP="00145640">
      <w:pPr>
        <w:pStyle w:val="Textoindependiente"/>
        <w:jc w:val="both"/>
        <w:rPr>
          <w:rFonts w:cs="Arial"/>
          <w:b/>
          <w:sz w:val="24"/>
          <w:szCs w:val="24"/>
        </w:rPr>
      </w:pPr>
    </w:p>
    <w:p w14:paraId="4618F263" w14:textId="77777777" w:rsidR="00145640" w:rsidRPr="00BB2041" w:rsidRDefault="00145640" w:rsidP="00145640">
      <w:pPr>
        <w:pStyle w:val="Textoindependiente"/>
        <w:jc w:val="both"/>
        <w:rPr>
          <w:rFonts w:cs="Arial"/>
          <w:b/>
          <w:sz w:val="24"/>
          <w:szCs w:val="24"/>
        </w:rPr>
      </w:pPr>
    </w:p>
    <w:p w14:paraId="4617A891" w14:textId="77777777" w:rsidR="00145640" w:rsidRPr="00BB2041" w:rsidRDefault="00145640" w:rsidP="00145640">
      <w:pPr>
        <w:pStyle w:val="Textoindependiente"/>
        <w:jc w:val="both"/>
        <w:rPr>
          <w:rFonts w:cs="Arial"/>
          <w:b/>
          <w:sz w:val="24"/>
          <w:szCs w:val="24"/>
        </w:rPr>
      </w:pPr>
    </w:p>
    <w:p w14:paraId="14AA8C09" w14:textId="77777777" w:rsidR="00D84D01" w:rsidRPr="00BB2041" w:rsidRDefault="00243590" w:rsidP="00145640">
      <w:pPr>
        <w:pStyle w:val="Textoindependiente"/>
        <w:jc w:val="both"/>
        <w:rPr>
          <w:rFonts w:cs="Arial"/>
          <w:sz w:val="24"/>
          <w:szCs w:val="24"/>
          <w:lang w:val="es-ES_tradnl"/>
        </w:rPr>
      </w:pPr>
      <w:r w:rsidRPr="00BB2041">
        <w:rPr>
          <w:rFonts w:cs="Arial"/>
          <w:b/>
          <w:sz w:val="24"/>
          <w:szCs w:val="24"/>
        </w:rPr>
        <w:t>Referencia:</w:t>
      </w:r>
      <w:r w:rsidR="006D3555" w:rsidRPr="00BB2041">
        <w:rPr>
          <w:rFonts w:cs="Arial"/>
          <w:b/>
          <w:sz w:val="24"/>
          <w:szCs w:val="24"/>
        </w:rPr>
        <w:t xml:space="preserve"> </w:t>
      </w:r>
      <w:r w:rsidR="00145640" w:rsidRPr="00BB2041">
        <w:rPr>
          <w:rFonts w:cs="Arial"/>
          <w:b/>
          <w:sz w:val="24"/>
          <w:szCs w:val="24"/>
        </w:rPr>
        <w:t xml:space="preserve">PROCESO EJECUTIVO </w:t>
      </w:r>
      <w:r w:rsidR="00BB2041" w:rsidRPr="00BB2041">
        <w:rPr>
          <w:rFonts w:cs="Arial"/>
          <w:b/>
          <w:sz w:val="24"/>
          <w:szCs w:val="24"/>
        </w:rPr>
        <w:t>CONTRACTUAL</w:t>
      </w:r>
    </w:p>
    <w:p w14:paraId="6DCAE213" w14:textId="77777777" w:rsidR="00317A57" w:rsidRPr="00BB2041" w:rsidRDefault="00317A57" w:rsidP="00145640">
      <w:pPr>
        <w:rPr>
          <w:rStyle w:val="nfasis"/>
          <w:rFonts w:ascii="Arial" w:hAnsi="Arial" w:cs="Arial"/>
          <w:b/>
          <w:snapToGrid w:val="0"/>
        </w:rPr>
      </w:pPr>
    </w:p>
    <w:p w14:paraId="1B4FE492" w14:textId="77777777" w:rsidR="0051552F" w:rsidRPr="00252221" w:rsidRDefault="0051552F" w:rsidP="00145640">
      <w:pPr>
        <w:rPr>
          <w:rStyle w:val="nfasis"/>
          <w:rFonts w:ascii="Arial" w:hAnsi="Arial" w:cs="Arial"/>
        </w:rPr>
      </w:pPr>
    </w:p>
    <w:p w14:paraId="63007DA5" w14:textId="77777777" w:rsidR="00145640" w:rsidRPr="00252221" w:rsidRDefault="00145640" w:rsidP="00145640">
      <w:pPr>
        <w:rPr>
          <w:rStyle w:val="nfasis"/>
          <w:rFonts w:ascii="Arial" w:hAnsi="Arial" w:cs="Arial"/>
        </w:rPr>
      </w:pPr>
    </w:p>
    <w:p w14:paraId="24E0FD28" w14:textId="77777777" w:rsidR="00F8534F" w:rsidRPr="00252221" w:rsidRDefault="00D84D01" w:rsidP="00145640">
      <w:pPr>
        <w:pStyle w:val="Textoindependiente"/>
        <w:jc w:val="both"/>
        <w:rPr>
          <w:rFonts w:cs="Arial"/>
          <w:sz w:val="24"/>
          <w:szCs w:val="24"/>
          <w:lang w:val="es-CO"/>
        </w:rPr>
      </w:pPr>
      <w:r w:rsidRPr="00252221">
        <w:rPr>
          <w:rFonts w:cs="Arial"/>
          <w:sz w:val="24"/>
          <w:szCs w:val="24"/>
          <w:lang w:val="es-CO"/>
        </w:rPr>
        <w:t xml:space="preserve">Decide </w:t>
      </w:r>
      <w:r w:rsidR="002C60ED" w:rsidRPr="00252221">
        <w:rPr>
          <w:rFonts w:cs="Arial"/>
          <w:sz w:val="24"/>
          <w:szCs w:val="24"/>
          <w:lang w:val="es-CO"/>
        </w:rPr>
        <w:t>el Despacho</w:t>
      </w:r>
      <w:r w:rsidR="006423FD" w:rsidRPr="00252221">
        <w:rPr>
          <w:rFonts w:cs="Arial"/>
          <w:sz w:val="24"/>
          <w:szCs w:val="24"/>
          <w:lang w:val="es-CO"/>
        </w:rPr>
        <w:t xml:space="preserve"> </w:t>
      </w:r>
      <w:r w:rsidR="00493102" w:rsidRPr="00252221">
        <w:rPr>
          <w:rFonts w:cs="Arial"/>
          <w:sz w:val="24"/>
          <w:szCs w:val="24"/>
          <w:lang w:val="es-CO"/>
        </w:rPr>
        <w:t xml:space="preserve">el </w:t>
      </w:r>
      <w:r w:rsidRPr="00252221">
        <w:rPr>
          <w:rFonts w:cs="Arial"/>
          <w:sz w:val="24"/>
          <w:szCs w:val="24"/>
          <w:lang w:val="es-CO"/>
        </w:rPr>
        <w:t>recurso de apelación interpuesto por la parte</w:t>
      </w:r>
      <w:r w:rsidR="00493102" w:rsidRPr="00252221">
        <w:rPr>
          <w:rFonts w:cs="Arial"/>
          <w:sz w:val="24"/>
          <w:szCs w:val="24"/>
          <w:lang w:val="es-CO"/>
        </w:rPr>
        <w:t xml:space="preserve"> actora</w:t>
      </w:r>
      <w:r w:rsidRPr="00252221">
        <w:rPr>
          <w:rFonts w:cs="Arial"/>
          <w:sz w:val="24"/>
          <w:szCs w:val="24"/>
          <w:lang w:val="es-CO"/>
        </w:rPr>
        <w:t xml:space="preserve"> contra </w:t>
      </w:r>
      <w:r w:rsidR="00493102" w:rsidRPr="00252221">
        <w:rPr>
          <w:rFonts w:cs="Arial"/>
          <w:sz w:val="24"/>
          <w:szCs w:val="24"/>
          <w:lang w:val="es-CO"/>
        </w:rPr>
        <w:t xml:space="preserve">el auto del </w:t>
      </w:r>
      <w:r w:rsidR="00602AF0" w:rsidRPr="00252221">
        <w:rPr>
          <w:rFonts w:cs="Arial"/>
          <w:sz w:val="24"/>
          <w:szCs w:val="24"/>
          <w:lang w:val="es-CO"/>
        </w:rPr>
        <w:t>13</w:t>
      </w:r>
      <w:r w:rsidR="005B534B" w:rsidRPr="00252221">
        <w:rPr>
          <w:rFonts w:cs="Arial"/>
          <w:sz w:val="24"/>
          <w:szCs w:val="24"/>
          <w:lang w:val="es-CO"/>
        </w:rPr>
        <w:t xml:space="preserve"> de </w:t>
      </w:r>
      <w:r w:rsidR="00602AF0" w:rsidRPr="00252221">
        <w:rPr>
          <w:rFonts w:cs="Arial"/>
          <w:sz w:val="24"/>
          <w:szCs w:val="24"/>
          <w:lang w:val="es-CO"/>
        </w:rPr>
        <w:t xml:space="preserve">abril </w:t>
      </w:r>
      <w:r w:rsidR="005D3485" w:rsidRPr="00252221">
        <w:rPr>
          <w:rFonts w:cs="Arial"/>
          <w:sz w:val="24"/>
          <w:szCs w:val="24"/>
          <w:lang w:val="es-CO"/>
        </w:rPr>
        <w:t>de 2018</w:t>
      </w:r>
      <w:r w:rsidR="005B534B" w:rsidRPr="00252221">
        <w:rPr>
          <w:rFonts w:cs="Arial"/>
          <w:sz w:val="24"/>
          <w:szCs w:val="24"/>
          <w:lang w:val="es-CO"/>
        </w:rPr>
        <w:t xml:space="preserve">, proferido por </w:t>
      </w:r>
      <w:r w:rsidRPr="00252221">
        <w:rPr>
          <w:rFonts w:cs="Arial"/>
          <w:sz w:val="24"/>
          <w:szCs w:val="24"/>
          <w:lang w:val="es-CO"/>
        </w:rPr>
        <w:t>el Tribunal Administrativo de</w:t>
      </w:r>
      <w:r w:rsidR="00D04A86" w:rsidRPr="00252221">
        <w:rPr>
          <w:rFonts w:cs="Arial"/>
          <w:sz w:val="24"/>
          <w:szCs w:val="24"/>
          <w:lang w:val="es-CO"/>
        </w:rPr>
        <w:t xml:space="preserve">l </w:t>
      </w:r>
      <w:r w:rsidR="00602AF0" w:rsidRPr="00252221">
        <w:rPr>
          <w:rFonts w:cs="Arial"/>
          <w:sz w:val="24"/>
          <w:szCs w:val="24"/>
          <w:lang w:val="es-CO"/>
        </w:rPr>
        <w:t>Magdalena</w:t>
      </w:r>
      <w:r w:rsidR="005B534B" w:rsidRPr="00252221">
        <w:rPr>
          <w:rFonts w:cs="Arial"/>
          <w:sz w:val="24"/>
          <w:szCs w:val="24"/>
          <w:lang w:val="es-CO"/>
        </w:rPr>
        <w:t xml:space="preserve">, mediante el cual </w:t>
      </w:r>
      <w:r w:rsidR="00602AF0" w:rsidRPr="00252221">
        <w:rPr>
          <w:rFonts w:cs="Arial"/>
          <w:sz w:val="24"/>
          <w:szCs w:val="24"/>
          <w:lang w:val="es-CO"/>
        </w:rPr>
        <w:t xml:space="preserve">negó </w:t>
      </w:r>
      <w:r w:rsidR="000A0DF4" w:rsidRPr="00252221">
        <w:rPr>
          <w:rFonts w:cs="Arial"/>
          <w:sz w:val="24"/>
          <w:szCs w:val="24"/>
          <w:lang w:val="es-CO"/>
        </w:rPr>
        <w:t xml:space="preserve">librar </w:t>
      </w:r>
      <w:r w:rsidR="00602AF0" w:rsidRPr="00252221">
        <w:rPr>
          <w:rFonts w:cs="Arial"/>
          <w:sz w:val="24"/>
          <w:szCs w:val="24"/>
          <w:lang w:val="es-CO"/>
        </w:rPr>
        <w:t xml:space="preserve">mandamiento de pago </w:t>
      </w:r>
      <w:r w:rsidR="00DB146A" w:rsidRPr="00252221">
        <w:rPr>
          <w:rFonts w:cs="Arial"/>
          <w:sz w:val="24"/>
          <w:szCs w:val="24"/>
          <w:lang w:val="es-CO"/>
        </w:rPr>
        <w:t>frente a</w:t>
      </w:r>
      <w:r w:rsidR="00F244D0" w:rsidRPr="00252221">
        <w:rPr>
          <w:rFonts w:cs="Arial"/>
          <w:sz w:val="24"/>
          <w:szCs w:val="24"/>
          <w:lang w:val="es-CO"/>
        </w:rPr>
        <w:t xml:space="preserve"> </w:t>
      </w:r>
      <w:r w:rsidR="00602AF0" w:rsidRPr="00252221">
        <w:rPr>
          <w:rFonts w:cs="Arial"/>
          <w:sz w:val="24"/>
          <w:szCs w:val="24"/>
          <w:lang w:val="es-CO"/>
        </w:rPr>
        <w:t>la Compañía Asegurador</w:t>
      </w:r>
      <w:r w:rsidR="00304B3B" w:rsidRPr="00252221">
        <w:rPr>
          <w:rFonts w:cs="Arial"/>
          <w:sz w:val="24"/>
          <w:szCs w:val="24"/>
          <w:lang w:val="es-CO"/>
        </w:rPr>
        <w:t xml:space="preserve">a de Fianzas S.A. – Confianza. </w:t>
      </w:r>
    </w:p>
    <w:p w14:paraId="665CB5AE" w14:textId="77777777" w:rsidR="0051552F" w:rsidRPr="00252221" w:rsidRDefault="0051552F" w:rsidP="00F25DE9">
      <w:pPr>
        <w:pStyle w:val="Textonotapie"/>
        <w:rPr>
          <w:rStyle w:val="nfasis"/>
          <w:rFonts w:ascii="Arial" w:hAnsi="Arial" w:cs="Arial"/>
          <w:i w:val="0"/>
          <w:iCs w:val="0"/>
          <w:sz w:val="24"/>
          <w:szCs w:val="24"/>
        </w:rPr>
      </w:pPr>
    </w:p>
    <w:p w14:paraId="0DB2BF5D" w14:textId="77777777" w:rsidR="00BC6127" w:rsidRPr="00252221" w:rsidRDefault="00BC6127" w:rsidP="002C60ED">
      <w:pPr>
        <w:pStyle w:val="Textonotapie"/>
        <w:rPr>
          <w:rStyle w:val="nfasis"/>
          <w:rFonts w:ascii="Arial" w:hAnsi="Arial" w:cs="Arial"/>
          <w:i w:val="0"/>
          <w:iCs w:val="0"/>
          <w:sz w:val="24"/>
          <w:szCs w:val="24"/>
        </w:rPr>
      </w:pPr>
    </w:p>
    <w:p w14:paraId="1D63FC86" w14:textId="77777777" w:rsidR="00F8534F" w:rsidRPr="00252221" w:rsidRDefault="00D84D01" w:rsidP="0051552F">
      <w:pPr>
        <w:pStyle w:val="Textoindependiente"/>
        <w:spacing w:line="360" w:lineRule="auto"/>
        <w:jc w:val="center"/>
        <w:rPr>
          <w:rFonts w:cs="Arial"/>
          <w:b/>
          <w:sz w:val="24"/>
          <w:szCs w:val="24"/>
        </w:rPr>
      </w:pPr>
      <w:r w:rsidRPr="00252221">
        <w:rPr>
          <w:rFonts w:cs="Arial"/>
          <w:b/>
          <w:sz w:val="24"/>
          <w:szCs w:val="24"/>
        </w:rPr>
        <w:t>ANTEC</w:t>
      </w:r>
      <w:r w:rsidR="0011634E" w:rsidRPr="00252221">
        <w:rPr>
          <w:rFonts w:cs="Arial"/>
          <w:b/>
          <w:sz w:val="24"/>
          <w:szCs w:val="24"/>
        </w:rPr>
        <w:t>EDENTES</w:t>
      </w:r>
    </w:p>
    <w:p w14:paraId="1FDB5AD4" w14:textId="77777777" w:rsidR="00BC6127" w:rsidRPr="00252221" w:rsidRDefault="00BC6127" w:rsidP="00BC6127">
      <w:pPr>
        <w:pStyle w:val="Textonotapie"/>
        <w:rPr>
          <w:rFonts w:ascii="Arial" w:hAnsi="Arial" w:cs="Arial"/>
          <w:sz w:val="24"/>
          <w:szCs w:val="24"/>
        </w:rPr>
      </w:pPr>
    </w:p>
    <w:p w14:paraId="3D3828B2" w14:textId="77777777" w:rsidR="00D84D01" w:rsidRPr="00252221" w:rsidRDefault="00D84D01" w:rsidP="009634E0">
      <w:pPr>
        <w:pStyle w:val="Lista2"/>
        <w:numPr>
          <w:ilvl w:val="0"/>
          <w:numId w:val="11"/>
        </w:numPr>
        <w:tabs>
          <w:tab w:val="left" w:pos="284"/>
        </w:tabs>
        <w:spacing w:line="360" w:lineRule="auto"/>
        <w:ind w:left="0" w:firstLine="0"/>
        <w:jc w:val="both"/>
        <w:rPr>
          <w:rFonts w:ascii="Arial" w:hAnsi="Arial" w:cs="Arial"/>
          <w:b/>
        </w:rPr>
      </w:pPr>
      <w:r w:rsidRPr="00252221">
        <w:rPr>
          <w:rFonts w:ascii="Arial" w:hAnsi="Arial" w:cs="Arial"/>
          <w:b/>
        </w:rPr>
        <w:t>La demanda</w:t>
      </w:r>
    </w:p>
    <w:p w14:paraId="2E7DF88D" w14:textId="77777777" w:rsidR="00D84D01" w:rsidRPr="00252221" w:rsidRDefault="00D84D01" w:rsidP="0051552F">
      <w:pPr>
        <w:rPr>
          <w:rStyle w:val="nfasis"/>
          <w:rFonts w:ascii="Arial" w:hAnsi="Arial" w:cs="Arial"/>
        </w:rPr>
      </w:pPr>
    </w:p>
    <w:p w14:paraId="31B5026E" w14:textId="77777777" w:rsidR="00EE6A1D" w:rsidRPr="00252221" w:rsidRDefault="00602AF0" w:rsidP="008E5DC7">
      <w:pPr>
        <w:pStyle w:val="Textoindependiente"/>
        <w:spacing w:line="360" w:lineRule="auto"/>
        <w:jc w:val="both"/>
        <w:rPr>
          <w:rFonts w:cs="Arial"/>
          <w:sz w:val="24"/>
          <w:szCs w:val="24"/>
          <w:lang w:val="es-CO"/>
        </w:rPr>
      </w:pPr>
      <w:r w:rsidRPr="00252221">
        <w:rPr>
          <w:rFonts w:cs="Arial"/>
          <w:sz w:val="24"/>
          <w:szCs w:val="24"/>
          <w:lang w:val="es-CO"/>
        </w:rPr>
        <w:t>El 1</w:t>
      </w:r>
      <w:r w:rsidR="005D3485" w:rsidRPr="00252221">
        <w:rPr>
          <w:rFonts w:cs="Arial"/>
          <w:sz w:val="24"/>
          <w:szCs w:val="24"/>
          <w:lang w:val="es-CO"/>
        </w:rPr>
        <w:t>8</w:t>
      </w:r>
      <w:r w:rsidR="00D84D01" w:rsidRPr="00252221">
        <w:rPr>
          <w:rFonts w:cs="Arial"/>
          <w:sz w:val="24"/>
          <w:szCs w:val="24"/>
          <w:lang w:val="es-CO"/>
        </w:rPr>
        <w:t xml:space="preserve"> de </w:t>
      </w:r>
      <w:r w:rsidR="005D3485" w:rsidRPr="00252221">
        <w:rPr>
          <w:rFonts w:cs="Arial"/>
          <w:sz w:val="24"/>
          <w:szCs w:val="24"/>
          <w:lang w:val="es-CO"/>
        </w:rPr>
        <w:t>diciembre de 2015</w:t>
      </w:r>
      <w:r w:rsidR="00D84D01" w:rsidRPr="00252221">
        <w:rPr>
          <w:rFonts w:cs="Arial"/>
          <w:sz w:val="24"/>
          <w:szCs w:val="24"/>
          <w:lang w:val="es-CO"/>
        </w:rPr>
        <w:t>,</w:t>
      </w:r>
      <w:r w:rsidR="005B534B" w:rsidRPr="00252221">
        <w:rPr>
          <w:rFonts w:cs="Arial"/>
          <w:sz w:val="24"/>
          <w:szCs w:val="24"/>
          <w:lang w:val="es-CO"/>
        </w:rPr>
        <w:t xml:space="preserve"> </w:t>
      </w:r>
      <w:r w:rsidRPr="00252221">
        <w:rPr>
          <w:rFonts w:cs="Arial"/>
          <w:sz w:val="24"/>
          <w:szCs w:val="24"/>
          <w:lang w:val="es-CO"/>
        </w:rPr>
        <w:t>Aguas del Magdalena S.A. E.S.P.</w:t>
      </w:r>
      <w:r w:rsidR="002A6B46" w:rsidRPr="00252221">
        <w:rPr>
          <w:rFonts w:cs="Arial"/>
          <w:sz w:val="24"/>
          <w:szCs w:val="24"/>
          <w:lang w:val="es-CO"/>
        </w:rPr>
        <w:t>,</w:t>
      </w:r>
      <w:r w:rsidR="00D84D01" w:rsidRPr="00252221">
        <w:rPr>
          <w:rFonts w:cs="Arial"/>
          <w:sz w:val="24"/>
          <w:szCs w:val="24"/>
          <w:lang w:val="es-CO"/>
        </w:rPr>
        <w:t xml:space="preserve"> por conducto de apoderado</w:t>
      </w:r>
      <w:r w:rsidR="00D31752" w:rsidRPr="00252221">
        <w:rPr>
          <w:rFonts w:cs="Arial"/>
          <w:sz w:val="24"/>
          <w:szCs w:val="24"/>
          <w:lang w:val="es-CO"/>
        </w:rPr>
        <w:t xml:space="preserve"> judicial</w:t>
      </w:r>
      <w:r w:rsidR="007973A8" w:rsidRPr="00252221">
        <w:rPr>
          <w:rFonts w:cs="Arial"/>
          <w:sz w:val="24"/>
          <w:szCs w:val="24"/>
          <w:lang w:val="es-CO"/>
        </w:rPr>
        <w:t xml:space="preserve">, </w:t>
      </w:r>
      <w:r w:rsidRPr="00252221">
        <w:rPr>
          <w:rFonts w:cs="Arial"/>
          <w:sz w:val="24"/>
          <w:szCs w:val="24"/>
          <w:lang w:val="es-CO"/>
        </w:rPr>
        <w:t>formuló</w:t>
      </w:r>
      <w:r w:rsidR="00D1190D" w:rsidRPr="00252221">
        <w:rPr>
          <w:rFonts w:cs="Arial"/>
          <w:sz w:val="24"/>
          <w:szCs w:val="24"/>
          <w:lang w:val="es-CO"/>
        </w:rPr>
        <w:t xml:space="preserve"> </w:t>
      </w:r>
      <w:r w:rsidR="00D84D01" w:rsidRPr="00252221">
        <w:rPr>
          <w:rFonts w:cs="Arial"/>
          <w:sz w:val="24"/>
          <w:szCs w:val="24"/>
          <w:lang w:val="es-CO"/>
        </w:rPr>
        <w:t>demanda</w:t>
      </w:r>
      <w:r w:rsidRPr="00252221">
        <w:rPr>
          <w:rFonts w:cs="Arial"/>
          <w:sz w:val="24"/>
          <w:szCs w:val="24"/>
          <w:lang w:val="es-CO"/>
        </w:rPr>
        <w:t xml:space="preserve"> ejecutiva</w:t>
      </w:r>
      <w:r w:rsidR="00D84D01" w:rsidRPr="00252221">
        <w:rPr>
          <w:rFonts w:cs="Arial"/>
          <w:sz w:val="24"/>
          <w:szCs w:val="24"/>
          <w:lang w:val="es-CO"/>
        </w:rPr>
        <w:t xml:space="preserve"> contra </w:t>
      </w:r>
      <w:r w:rsidR="008177BB" w:rsidRPr="00252221">
        <w:rPr>
          <w:rFonts w:cs="Arial"/>
          <w:sz w:val="24"/>
          <w:szCs w:val="24"/>
          <w:lang w:val="es-CO"/>
        </w:rPr>
        <w:t>Agua</w:t>
      </w:r>
      <w:r w:rsidR="006362F0" w:rsidRPr="00252221">
        <w:rPr>
          <w:rFonts w:cs="Arial"/>
          <w:sz w:val="24"/>
          <w:szCs w:val="24"/>
          <w:lang w:val="es-CO"/>
        </w:rPr>
        <w:t>s</w:t>
      </w:r>
      <w:r w:rsidR="008177BB" w:rsidRPr="00252221">
        <w:rPr>
          <w:rFonts w:cs="Arial"/>
          <w:sz w:val="24"/>
          <w:szCs w:val="24"/>
          <w:lang w:val="es-CO"/>
        </w:rPr>
        <w:t xml:space="preserve"> Regional de Macondo ARM S.A. E.S.P.</w:t>
      </w:r>
      <w:r w:rsidR="00273197" w:rsidRPr="00252221">
        <w:rPr>
          <w:rFonts w:cs="Arial"/>
          <w:sz w:val="24"/>
          <w:szCs w:val="24"/>
          <w:lang w:val="es-CO"/>
        </w:rPr>
        <w:t xml:space="preserve"> (en adelante Macondo)</w:t>
      </w:r>
      <w:r w:rsidR="008177BB" w:rsidRPr="00252221">
        <w:rPr>
          <w:rFonts w:cs="Arial"/>
          <w:sz w:val="24"/>
          <w:szCs w:val="24"/>
          <w:lang w:val="es-CO"/>
        </w:rPr>
        <w:t xml:space="preserve"> y</w:t>
      </w:r>
      <w:r w:rsidR="00765D2E" w:rsidRPr="00252221">
        <w:rPr>
          <w:rFonts w:cs="Arial"/>
          <w:sz w:val="24"/>
          <w:szCs w:val="24"/>
          <w:lang w:val="es-CO"/>
        </w:rPr>
        <w:t xml:space="preserve"> contra</w:t>
      </w:r>
      <w:r w:rsidR="008177BB" w:rsidRPr="00252221">
        <w:rPr>
          <w:rFonts w:cs="Arial"/>
          <w:sz w:val="24"/>
          <w:szCs w:val="24"/>
          <w:lang w:val="es-CO"/>
        </w:rPr>
        <w:t xml:space="preserve"> la Compañía Asegurado</w:t>
      </w:r>
      <w:r w:rsidR="00B64E29" w:rsidRPr="00252221">
        <w:rPr>
          <w:rFonts w:cs="Arial"/>
          <w:sz w:val="24"/>
          <w:szCs w:val="24"/>
          <w:lang w:val="es-CO"/>
        </w:rPr>
        <w:t>ra de Fi</w:t>
      </w:r>
      <w:r w:rsidR="00273197" w:rsidRPr="00252221">
        <w:rPr>
          <w:rFonts w:cs="Arial"/>
          <w:sz w:val="24"/>
          <w:szCs w:val="24"/>
          <w:lang w:val="es-CO"/>
        </w:rPr>
        <w:t>anzas S.A. – Confianza (en adelante Confianza)</w:t>
      </w:r>
      <w:r w:rsidR="0023307A" w:rsidRPr="00252221">
        <w:rPr>
          <w:rFonts w:cs="Arial"/>
          <w:sz w:val="24"/>
          <w:szCs w:val="24"/>
          <w:lang w:val="es-CO"/>
        </w:rPr>
        <w:t>,</w:t>
      </w:r>
      <w:r w:rsidR="008177BB" w:rsidRPr="00252221">
        <w:rPr>
          <w:rFonts w:cs="Arial"/>
          <w:sz w:val="24"/>
          <w:szCs w:val="24"/>
          <w:lang w:val="es-CO"/>
        </w:rPr>
        <w:t xml:space="preserve"> </w:t>
      </w:r>
      <w:r w:rsidR="00DD445E" w:rsidRPr="00252221">
        <w:rPr>
          <w:rFonts w:cs="Arial"/>
          <w:sz w:val="24"/>
          <w:szCs w:val="24"/>
          <w:lang w:val="es-CO"/>
        </w:rPr>
        <w:t xml:space="preserve">con el fin </w:t>
      </w:r>
      <w:r w:rsidR="00D84D01" w:rsidRPr="00252221">
        <w:rPr>
          <w:rFonts w:cs="Arial"/>
          <w:sz w:val="24"/>
          <w:szCs w:val="24"/>
          <w:lang w:val="es-CO"/>
        </w:rPr>
        <w:t xml:space="preserve">de </w:t>
      </w:r>
      <w:r w:rsidR="008177BB" w:rsidRPr="00252221">
        <w:rPr>
          <w:rFonts w:cs="Arial"/>
          <w:sz w:val="24"/>
          <w:szCs w:val="24"/>
          <w:lang w:val="es-CO"/>
        </w:rPr>
        <w:t>que se libr</w:t>
      </w:r>
      <w:r w:rsidR="00F244D0" w:rsidRPr="00252221">
        <w:rPr>
          <w:rFonts w:cs="Arial"/>
          <w:sz w:val="24"/>
          <w:szCs w:val="24"/>
          <w:lang w:val="es-CO"/>
        </w:rPr>
        <w:t xml:space="preserve">ara </w:t>
      </w:r>
      <w:r w:rsidR="008177BB" w:rsidRPr="00252221">
        <w:rPr>
          <w:rFonts w:cs="Arial"/>
          <w:sz w:val="24"/>
          <w:szCs w:val="24"/>
          <w:lang w:val="es-CO"/>
        </w:rPr>
        <w:t>mandamiento de pago</w:t>
      </w:r>
      <w:r w:rsidR="00DD445E" w:rsidRPr="00252221">
        <w:rPr>
          <w:rFonts w:cs="Arial"/>
          <w:sz w:val="24"/>
          <w:szCs w:val="24"/>
          <w:lang w:val="es-CO"/>
        </w:rPr>
        <w:t xml:space="preserve"> a su favor</w:t>
      </w:r>
      <w:r w:rsidR="00465D97" w:rsidRPr="00252221">
        <w:rPr>
          <w:rFonts w:cs="Arial"/>
          <w:sz w:val="24"/>
          <w:szCs w:val="24"/>
          <w:lang w:val="es-CO"/>
        </w:rPr>
        <w:t xml:space="preserve">, </w:t>
      </w:r>
      <w:r w:rsidR="008177BB" w:rsidRPr="00252221">
        <w:rPr>
          <w:rFonts w:cs="Arial"/>
          <w:sz w:val="24"/>
          <w:szCs w:val="24"/>
          <w:lang w:val="es-CO"/>
        </w:rPr>
        <w:t>por</w:t>
      </w:r>
      <w:r w:rsidR="00F244D0" w:rsidRPr="00252221">
        <w:rPr>
          <w:rFonts w:cs="Arial"/>
          <w:sz w:val="24"/>
          <w:szCs w:val="24"/>
          <w:lang w:val="es-CO"/>
        </w:rPr>
        <w:t xml:space="preserve"> </w:t>
      </w:r>
      <w:r w:rsidR="00765D2E" w:rsidRPr="00252221">
        <w:rPr>
          <w:rFonts w:cs="Arial"/>
          <w:sz w:val="24"/>
          <w:szCs w:val="24"/>
          <w:lang w:val="es-CO"/>
        </w:rPr>
        <w:t>$2.615’</w:t>
      </w:r>
      <w:r w:rsidR="008177BB" w:rsidRPr="00252221">
        <w:rPr>
          <w:rFonts w:cs="Arial"/>
          <w:sz w:val="24"/>
          <w:szCs w:val="24"/>
          <w:lang w:val="es-CO"/>
        </w:rPr>
        <w:t>205.548,87</w:t>
      </w:r>
      <w:r w:rsidR="00B02348" w:rsidRPr="00252221">
        <w:rPr>
          <w:rFonts w:cs="Arial"/>
          <w:sz w:val="24"/>
          <w:szCs w:val="24"/>
          <w:lang w:val="es-CO"/>
        </w:rPr>
        <w:t xml:space="preserve">. </w:t>
      </w:r>
      <w:r w:rsidR="007973A8" w:rsidRPr="00252221">
        <w:rPr>
          <w:rFonts w:cs="Arial"/>
          <w:sz w:val="24"/>
          <w:szCs w:val="24"/>
          <w:lang w:val="es-CO"/>
        </w:rPr>
        <w:t xml:space="preserve">  </w:t>
      </w:r>
    </w:p>
    <w:p w14:paraId="082AFB33" w14:textId="77777777" w:rsidR="007359D4" w:rsidRPr="00252221" w:rsidRDefault="007359D4" w:rsidP="0051552F">
      <w:pPr>
        <w:rPr>
          <w:rFonts w:ascii="Arial" w:hAnsi="Arial" w:cs="Arial"/>
          <w:lang w:val="es-CO"/>
        </w:rPr>
      </w:pPr>
    </w:p>
    <w:p w14:paraId="73F380B5" w14:textId="77777777" w:rsidR="00700E72" w:rsidRPr="00252221" w:rsidRDefault="00700E72" w:rsidP="00465D97">
      <w:pPr>
        <w:pStyle w:val="Textoindependiente"/>
        <w:spacing w:line="360" w:lineRule="auto"/>
        <w:jc w:val="both"/>
        <w:rPr>
          <w:rFonts w:cs="Arial"/>
          <w:sz w:val="24"/>
          <w:szCs w:val="24"/>
          <w:lang w:val="es-CO"/>
        </w:rPr>
      </w:pPr>
      <w:r w:rsidRPr="00252221">
        <w:rPr>
          <w:rFonts w:cs="Arial"/>
          <w:sz w:val="24"/>
          <w:szCs w:val="24"/>
          <w:lang w:val="es-CO"/>
        </w:rPr>
        <w:t xml:space="preserve">La parte actora </w:t>
      </w:r>
      <w:r w:rsidR="00985B50" w:rsidRPr="00252221">
        <w:rPr>
          <w:rFonts w:cs="Arial"/>
          <w:sz w:val="24"/>
          <w:szCs w:val="24"/>
          <w:lang w:val="es-CO"/>
        </w:rPr>
        <w:t xml:space="preserve">señaló </w:t>
      </w:r>
      <w:r w:rsidRPr="00252221">
        <w:rPr>
          <w:rFonts w:cs="Arial"/>
          <w:sz w:val="24"/>
          <w:szCs w:val="24"/>
          <w:lang w:val="es-CO"/>
        </w:rPr>
        <w:t xml:space="preserve">que los títulos ejecutivos </w:t>
      </w:r>
      <w:r w:rsidR="00810104" w:rsidRPr="00252221">
        <w:rPr>
          <w:rFonts w:cs="Arial"/>
          <w:sz w:val="24"/>
          <w:szCs w:val="24"/>
          <w:lang w:val="es-CO"/>
        </w:rPr>
        <w:t>objeto de</w:t>
      </w:r>
      <w:r w:rsidR="0097056E" w:rsidRPr="00252221">
        <w:rPr>
          <w:rFonts w:cs="Arial"/>
          <w:sz w:val="24"/>
          <w:szCs w:val="24"/>
          <w:lang w:val="es-CO"/>
        </w:rPr>
        <w:t>l</w:t>
      </w:r>
      <w:r w:rsidR="00810104" w:rsidRPr="00252221">
        <w:rPr>
          <w:rFonts w:cs="Arial"/>
          <w:sz w:val="24"/>
          <w:szCs w:val="24"/>
          <w:lang w:val="es-CO"/>
        </w:rPr>
        <w:t xml:space="preserve"> recaudo de esta demanda</w:t>
      </w:r>
      <w:r w:rsidR="00985B50" w:rsidRPr="00252221">
        <w:rPr>
          <w:rFonts w:cs="Arial"/>
          <w:sz w:val="24"/>
          <w:szCs w:val="24"/>
          <w:lang w:val="es-CO"/>
        </w:rPr>
        <w:t xml:space="preserve"> </w:t>
      </w:r>
      <w:r w:rsidR="0097056E" w:rsidRPr="00252221">
        <w:rPr>
          <w:rFonts w:cs="Arial"/>
          <w:sz w:val="24"/>
          <w:szCs w:val="24"/>
          <w:lang w:val="es-CO"/>
        </w:rPr>
        <w:t xml:space="preserve">están </w:t>
      </w:r>
      <w:r w:rsidR="00106EF6" w:rsidRPr="00252221">
        <w:rPr>
          <w:rFonts w:cs="Arial"/>
          <w:sz w:val="24"/>
          <w:szCs w:val="24"/>
          <w:lang w:val="es-CO"/>
        </w:rPr>
        <w:t xml:space="preserve">constituidos, </w:t>
      </w:r>
      <w:r w:rsidRPr="00252221">
        <w:rPr>
          <w:rFonts w:cs="Arial"/>
          <w:sz w:val="24"/>
          <w:szCs w:val="24"/>
          <w:lang w:val="es-CO"/>
        </w:rPr>
        <w:t xml:space="preserve">frente a </w:t>
      </w:r>
      <w:r w:rsidR="00810104" w:rsidRPr="00252221">
        <w:rPr>
          <w:rFonts w:cs="Arial"/>
          <w:sz w:val="24"/>
          <w:szCs w:val="24"/>
          <w:lang w:val="es-CO"/>
        </w:rPr>
        <w:t>Macondo</w:t>
      </w:r>
      <w:r w:rsidR="00D70B43" w:rsidRPr="00252221">
        <w:rPr>
          <w:rFonts w:cs="Arial"/>
          <w:sz w:val="24"/>
          <w:szCs w:val="24"/>
          <w:lang w:val="es-CO"/>
        </w:rPr>
        <w:t xml:space="preserve"> -quien fue el </w:t>
      </w:r>
      <w:r w:rsidR="00765D2E" w:rsidRPr="00252221">
        <w:rPr>
          <w:rFonts w:cs="Arial"/>
          <w:sz w:val="24"/>
          <w:szCs w:val="24"/>
          <w:lang w:val="es-CO"/>
        </w:rPr>
        <w:t>contratista</w:t>
      </w:r>
      <w:r w:rsidR="00D70B43" w:rsidRPr="00252221">
        <w:rPr>
          <w:rFonts w:cs="Arial"/>
          <w:sz w:val="24"/>
          <w:szCs w:val="24"/>
          <w:lang w:val="es-CO"/>
        </w:rPr>
        <w:t xml:space="preserve"> </w:t>
      </w:r>
      <w:r w:rsidR="00274F47" w:rsidRPr="00252221">
        <w:rPr>
          <w:rFonts w:cs="Arial"/>
          <w:sz w:val="24"/>
          <w:szCs w:val="24"/>
          <w:lang w:val="es-CO"/>
        </w:rPr>
        <w:t xml:space="preserve">con quien celebró </w:t>
      </w:r>
      <w:r w:rsidR="00D70B43" w:rsidRPr="00252221">
        <w:rPr>
          <w:rFonts w:cs="Arial"/>
          <w:sz w:val="24"/>
          <w:szCs w:val="24"/>
          <w:lang w:val="es-CO"/>
        </w:rPr>
        <w:t xml:space="preserve">el </w:t>
      </w:r>
      <w:r w:rsidR="00274F47" w:rsidRPr="00252221">
        <w:rPr>
          <w:rFonts w:cs="Arial"/>
          <w:sz w:val="24"/>
          <w:szCs w:val="24"/>
          <w:lang w:val="es-CO"/>
        </w:rPr>
        <w:t>contrato-</w:t>
      </w:r>
      <w:r w:rsidR="00810104" w:rsidRPr="00252221">
        <w:rPr>
          <w:rFonts w:cs="Arial"/>
          <w:sz w:val="24"/>
          <w:szCs w:val="24"/>
          <w:lang w:val="es-CO"/>
        </w:rPr>
        <w:t>,</w:t>
      </w:r>
      <w:r w:rsidRPr="00252221">
        <w:rPr>
          <w:rFonts w:cs="Arial"/>
          <w:sz w:val="24"/>
          <w:szCs w:val="24"/>
          <w:lang w:val="es-CO"/>
        </w:rPr>
        <w:t xml:space="preserve"> </w:t>
      </w:r>
      <w:r w:rsidR="00810104" w:rsidRPr="00252221">
        <w:rPr>
          <w:rFonts w:cs="Arial"/>
          <w:sz w:val="24"/>
          <w:szCs w:val="24"/>
          <w:lang w:val="es-CO"/>
        </w:rPr>
        <w:t xml:space="preserve">por </w:t>
      </w:r>
      <w:r w:rsidRPr="00252221">
        <w:rPr>
          <w:rFonts w:cs="Arial"/>
          <w:sz w:val="24"/>
          <w:szCs w:val="24"/>
          <w:lang w:val="es-CO"/>
        </w:rPr>
        <w:t xml:space="preserve">el </w:t>
      </w:r>
      <w:r w:rsidRPr="00252221">
        <w:rPr>
          <w:rFonts w:cs="Arial"/>
          <w:sz w:val="24"/>
          <w:szCs w:val="24"/>
        </w:rPr>
        <w:t>acta de liquidación unilateral del 27 de noviembre de 2012</w:t>
      </w:r>
      <w:r w:rsidR="00D70B43" w:rsidRPr="00252221">
        <w:rPr>
          <w:rFonts w:cs="Arial"/>
          <w:sz w:val="24"/>
          <w:szCs w:val="24"/>
        </w:rPr>
        <w:t xml:space="preserve">, y frente </w:t>
      </w:r>
      <w:r w:rsidRPr="00252221">
        <w:rPr>
          <w:rFonts w:cs="Arial"/>
          <w:sz w:val="24"/>
          <w:szCs w:val="24"/>
        </w:rPr>
        <w:t>a Confianza</w:t>
      </w:r>
      <w:r w:rsidR="00274F47" w:rsidRPr="00252221">
        <w:rPr>
          <w:rFonts w:cs="Arial"/>
          <w:sz w:val="24"/>
          <w:szCs w:val="24"/>
          <w:lang w:val="es-CO"/>
        </w:rPr>
        <w:t xml:space="preserve"> </w:t>
      </w:r>
      <w:r w:rsidR="00D70B43" w:rsidRPr="00252221">
        <w:rPr>
          <w:rFonts w:cs="Arial"/>
          <w:sz w:val="24"/>
          <w:szCs w:val="24"/>
          <w:lang w:val="es-CO"/>
        </w:rPr>
        <w:t xml:space="preserve">-aseguradora que </w:t>
      </w:r>
      <w:r w:rsidR="00274F47" w:rsidRPr="00252221">
        <w:rPr>
          <w:rFonts w:cs="Arial"/>
          <w:sz w:val="24"/>
          <w:szCs w:val="24"/>
          <w:lang w:val="es-CO"/>
        </w:rPr>
        <w:t>expidió las pólizas de cumplimiento del contratista-</w:t>
      </w:r>
      <w:r w:rsidR="00810104" w:rsidRPr="00252221">
        <w:rPr>
          <w:rFonts w:cs="Arial"/>
          <w:sz w:val="24"/>
          <w:szCs w:val="24"/>
        </w:rPr>
        <w:t>,</w:t>
      </w:r>
      <w:r w:rsidRPr="00252221">
        <w:rPr>
          <w:rFonts w:cs="Arial"/>
          <w:sz w:val="24"/>
          <w:szCs w:val="24"/>
        </w:rPr>
        <w:t xml:space="preserve"> por </w:t>
      </w:r>
      <w:r w:rsidR="00274F47" w:rsidRPr="00252221">
        <w:rPr>
          <w:rFonts w:cs="Arial"/>
          <w:sz w:val="24"/>
          <w:szCs w:val="24"/>
        </w:rPr>
        <w:t xml:space="preserve">la mencionada </w:t>
      </w:r>
      <w:r w:rsidRPr="00252221">
        <w:rPr>
          <w:rFonts w:cs="Arial"/>
          <w:sz w:val="24"/>
          <w:szCs w:val="24"/>
        </w:rPr>
        <w:t xml:space="preserve">acta y </w:t>
      </w:r>
      <w:r w:rsidR="00274F47" w:rsidRPr="00252221">
        <w:rPr>
          <w:rFonts w:cs="Arial"/>
          <w:sz w:val="24"/>
          <w:szCs w:val="24"/>
        </w:rPr>
        <w:t xml:space="preserve">por </w:t>
      </w:r>
      <w:r w:rsidRPr="00252221">
        <w:rPr>
          <w:rFonts w:cs="Arial"/>
          <w:sz w:val="24"/>
          <w:szCs w:val="24"/>
        </w:rPr>
        <w:t>las pólizas SP000853</w:t>
      </w:r>
      <w:r w:rsidR="00274F47" w:rsidRPr="00252221">
        <w:rPr>
          <w:rFonts w:cs="Arial"/>
          <w:sz w:val="24"/>
          <w:szCs w:val="24"/>
        </w:rPr>
        <w:t xml:space="preserve"> </w:t>
      </w:r>
      <w:r w:rsidRPr="00252221">
        <w:rPr>
          <w:rFonts w:cs="Arial"/>
          <w:sz w:val="24"/>
          <w:szCs w:val="24"/>
        </w:rPr>
        <w:t xml:space="preserve">y </w:t>
      </w:r>
      <w:r w:rsidR="0097056E" w:rsidRPr="00252221">
        <w:rPr>
          <w:rFonts w:cs="Arial"/>
          <w:sz w:val="24"/>
          <w:szCs w:val="24"/>
        </w:rPr>
        <w:t>RO</w:t>
      </w:r>
      <w:r w:rsidRPr="00252221">
        <w:rPr>
          <w:rFonts w:cs="Arial"/>
          <w:sz w:val="24"/>
          <w:szCs w:val="24"/>
        </w:rPr>
        <w:t>008911</w:t>
      </w:r>
      <w:r w:rsidR="00274F47" w:rsidRPr="00252221">
        <w:rPr>
          <w:rFonts w:cs="Arial"/>
          <w:sz w:val="24"/>
          <w:szCs w:val="24"/>
        </w:rPr>
        <w:t>,</w:t>
      </w:r>
      <w:r w:rsidR="00810104" w:rsidRPr="00252221">
        <w:rPr>
          <w:rFonts w:cs="Arial"/>
          <w:sz w:val="24"/>
          <w:szCs w:val="24"/>
        </w:rPr>
        <w:t xml:space="preserve"> </w:t>
      </w:r>
      <w:r w:rsidRPr="00252221">
        <w:rPr>
          <w:rFonts w:cs="Arial"/>
          <w:sz w:val="24"/>
          <w:szCs w:val="24"/>
        </w:rPr>
        <w:t>cuyo beneficiar</w:t>
      </w:r>
      <w:r w:rsidR="00810104" w:rsidRPr="00252221">
        <w:rPr>
          <w:rFonts w:cs="Arial"/>
          <w:sz w:val="24"/>
          <w:szCs w:val="24"/>
        </w:rPr>
        <w:t>i</w:t>
      </w:r>
      <w:r w:rsidRPr="00252221">
        <w:rPr>
          <w:rFonts w:cs="Arial"/>
          <w:sz w:val="24"/>
          <w:szCs w:val="24"/>
        </w:rPr>
        <w:t xml:space="preserve">o es la demandante.  </w:t>
      </w:r>
    </w:p>
    <w:p w14:paraId="5F9D8DE6" w14:textId="77777777" w:rsidR="00810104" w:rsidRPr="00252221" w:rsidRDefault="00810104" w:rsidP="002263C6">
      <w:pPr>
        <w:rPr>
          <w:rFonts w:ascii="Arial" w:hAnsi="Arial" w:cs="Arial"/>
          <w:lang w:val="es-CO"/>
        </w:rPr>
      </w:pPr>
    </w:p>
    <w:p w14:paraId="3A598AFE" w14:textId="77777777" w:rsidR="00BC6127" w:rsidRPr="00252221" w:rsidRDefault="00F244D0" w:rsidP="0097056E">
      <w:pPr>
        <w:pStyle w:val="Textoindependiente"/>
        <w:spacing w:line="360" w:lineRule="auto"/>
        <w:jc w:val="both"/>
        <w:rPr>
          <w:rFonts w:cs="Arial"/>
          <w:sz w:val="24"/>
          <w:szCs w:val="24"/>
        </w:rPr>
      </w:pPr>
      <w:r w:rsidRPr="00252221">
        <w:rPr>
          <w:rFonts w:cs="Arial"/>
          <w:sz w:val="24"/>
          <w:szCs w:val="24"/>
          <w:lang w:val="es-CO"/>
        </w:rPr>
        <w:t xml:space="preserve">Adicionalmente, </w:t>
      </w:r>
      <w:r w:rsidR="00B02348" w:rsidRPr="00252221">
        <w:rPr>
          <w:rFonts w:cs="Arial"/>
          <w:sz w:val="24"/>
          <w:szCs w:val="24"/>
          <w:lang w:val="es-CO"/>
        </w:rPr>
        <w:t>s</w:t>
      </w:r>
      <w:r w:rsidRPr="00252221">
        <w:rPr>
          <w:rFonts w:cs="Arial"/>
          <w:sz w:val="24"/>
          <w:szCs w:val="24"/>
          <w:lang w:val="es-CO"/>
        </w:rPr>
        <w:t>olicitó</w:t>
      </w:r>
      <w:r w:rsidR="007973A8" w:rsidRPr="00252221">
        <w:rPr>
          <w:rFonts w:cs="Arial"/>
          <w:sz w:val="24"/>
          <w:szCs w:val="24"/>
          <w:lang w:val="es-CO"/>
        </w:rPr>
        <w:t xml:space="preserve"> </w:t>
      </w:r>
      <w:r w:rsidR="00B1699E" w:rsidRPr="00252221">
        <w:rPr>
          <w:rFonts w:cs="Arial"/>
          <w:sz w:val="24"/>
          <w:szCs w:val="24"/>
        </w:rPr>
        <w:t>que se conde</w:t>
      </w:r>
      <w:r w:rsidR="002C3AF5" w:rsidRPr="00252221">
        <w:rPr>
          <w:rFonts w:cs="Arial"/>
          <w:sz w:val="24"/>
          <w:szCs w:val="24"/>
        </w:rPr>
        <w:t>ne</w:t>
      </w:r>
      <w:r w:rsidR="007973A8" w:rsidRPr="00252221">
        <w:rPr>
          <w:rFonts w:cs="Arial"/>
          <w:sz w:val="24"/>
          <w:szCs w:val="24"/>
        </w:rPr>
        <w:t xml:space="preserve"> al pago de intereses corrientes y moratorios por la tasa máxima legal permitida, </w:t>
      </w:r>
      <w:r w:rsidR="00B02348" w:rsidRPr="00252221">
        <w:rPr>
          <w:rFonts w:cs="Arial"/>
          <w:sz w:val="24"/>
          <w:szCs w:val="24"/>
        </w:rPr>
        <w:t>a partir d</w:t>
      </w:r>
      <w:r w:rsidR="007973A8" w:rsidRPr="00252221">
        <w:rPr>
          <w:rFonts w:cs="Arial"/>
          <w:sz w:val="24"/>
          <w:szCs w:val="24"/>
        </w:rPr>
        <w:t>el momento</w:t>
      </w:r>
      <w:r w:rsidR="005731F1" w:rsidRPr="00252221">
        <w:rPr>
          <w:rFonts w:cs="Arial"/>
          <w:sz w:val="24"/>
          <w:szCs w:val="24"/>
        </w:rPr>
        <w:t xml:space="preserve"> en</w:t>
      </w:r>
      <w:r w:rsidRPr="00252221">
        <w:rPr>
          <w:rFonts w:cs="Arial"/>
          <w:sz w:val="24"/>
          <w:szCs w:val="24"/>
        </w:rPr>
        <w:t xml:space="preserve"> </w:t>
      </w:r>
      <w:r w:rsidR="007973A8" w:rsidRPr="00252221">
        <w:rPr>
          <w:rFonts w:cs="Arial"/>
          <w:sz w:val="24"/>
          <w:szCs w:val="24"/>
        </w:rPr>
        <w:t>que quedó ejecutoriada</w:t>
      </w:r>
      <w:r w:rsidR="00236456" w:rsidRPr="00252221">
        <w:rPr>
          <w:rFonts w:cs="Arial"/>
          <w:sz w:val="24"/>
          <w:szCs w:val="24"/>
        </w:rPr>
        <w:t xml:space="preserve"> el</w:t>
      </w:r>
      <w:r w:rsidR="007973A8" w:rsidRPr="00252221">
        <w:rPr>
          <w:rFonts w:cs="Arial"/>
          <w:sz w:val="24"/>
          <w:szCs w:val="24"/>
        </w:rPr>
        <w:t xml:space="preserve"> acta de liquidación </w:t>
      </w:r>
      <w:r w:rsidR="009260AC" w:rsidRPr="00252221">
        <w:rPr>
          <w:rFonts w:cs="Arial"/>
          <w:sz w:val="24"/>
          <w:szCs w:val="24"/>
        </w:rPr>
        <w:t xml:space="preserve">unilateral </w:t>
      </w:r>
      <w:r w:rsidR="007973A8" w:rsidRPr="00252221">
        <w:rPr>
          <w:rFonts w:cs="Arial"/>
          <w:sz w:val="24"/>
          <w:szCs w:val="24"/>
        </w:rPr>
        <w:t>del 27 de noviembre</w:t>
      </w:r>
      <w:r w:rsidR="001C1D0A" w:rsidRPr="00252221">
        <w:rPr>
          <w:rFonts w:cs="Arial"/>
          <w:sz w:val="24"/>
          <w:szCs w:val="24"/>
        </w:rPr>
        <w:t xml:space="preserve"> de 2012</w:t>
      </w:r>
      <w:r w:rsidR="00810104" w:rsidRPr="00252221">
        <w:rPr>
          <w:rFonts w:cs="Arial"/>
          <w:sz w:val="24"/>
          <w:szCs w:val="24"/>
        </w:rPr>
        <w:t xml:space="preserve">. </w:t>
      </w:r>
      <w:r w:rsidR="00273197" w:rsidRPr="00252221">
        <w:rPr>
          <w:rFonts w:cs="Arial"/>
          <w:sz w:val="24"/>
          <w:szCs w:val="24"/>
        </w:rPr>
        <w:t xml:space="preserve"> </w:t>
      </w:r>
      <w:r w:rsidRPr="00252221">
        <w:rPr>
          <w:rFonts w:cs="Arial"/>
          <w:sz w:val="24"/>
          <w:szCs w:val="24"/>
        </w:rPr>
        <w:t xml:space="preserve"> </w:t>
      </w:r>
      <w:r w:rsidR="007973A8" w:rsidRPr="00252221">
        <w:rPr>
          <w:rFonts w:cs="Arial"/>
          <w:sz w:val="24"/>
          <w:szCs w:val="24"/>
        </w:rPr>
        <w:t xml:space="preserve"> </w:t>
      </w:r>
    </w:p>
    <w:p w14:paraId="18361555" w14:textId="77777777" w:rsidR="00BC6127" w:rsidRPr="00252221" w:rsidRDefault="00BC6127" w:rsidP="00BC6127">
      <w:pPr>
        <w:pStyle w:val="Lista2"/>
        <w:numPr>
          <w:ilvl w:val="0"/>
          <w:numId w:val="11"/>
        </w:numPr>
        <w:tabs>
          <w:tab w:val="left" w:pos="284"/>
        </w:tabs>
        <w:spacing w:line="360" w:lineRule="auto"/>
        <w:ind w:left="0" w:firstLine="0"/>
        <w:jc w:val="both"/>
        <w:rPr>
          <w:rFonts w:ascii="Arial" w:hAnsi="Arial" w:cs="Arial"/>
          <w:b/>
        </w:rPr>
      </w:pPr>
      <w:r w:rsidRPr="00252221">
        <w:rPr>
          <w:rFonts w:ascii="Arial" w:hAnsi="Arial" w:cs="Arial"/>
          <w:b/>
        </w:rPr>
        <w:t>Auto apelado</w:t>
      </w:r>
    </w:p>
    <w:p w14:paraId="6DDD164C" w14:textId="77777777" w:rsidR="00F25DE9" w:rsidRPr="00252221" w:rsidRDefault="00F25DE9" w:rsidP="00F25DE9">
      <w:pPr>
        <w:pStyle w:val="Textonotapie"/>
        <w:rPr>
          <w:rFonts w:ascii="Arial" w:hAnsi="Arial" w:cs="Arial"/>
          <w:sz w:val="24"/>
          <w:szCs w:val="24"/>
        </w:rPr>
      </w:pPr>
    </w:p>
    <w:p w14:paraId="55AD5932" w14:textId="77777777" w:rsidR="00274F47" w:rsidRPr="00252221" w:rsidRDefault="006362F0" w:rsidP="008E5DC7">
      <w:pPr>
        <w:pStyle w:val="Textoindependiente"/>
        <w:spacing w:line="360" w:lineRule="auto"/>
        <w:jc w:val="both"/>
        <w:rPr>
          <w:rFonts w:cs="Arial"/>
          <w:sz w:val="24"/>
          <w:szCs w:val="24"/>
          <w:lang w:val="es-CO"/>
        </w:rPr>
      </w:pPr>
      <w:r w:rsidRPr="00252221">
        <w:rPr>
          <w:rFonts w:cs="Arial"/>
          <w:sz w:val="24"/>
          <w:szCs w:val="24"/>
          <w:lang w:val="es-CO"/>
        </w:rPr>
        <w:t xml:space="preserve">Mediante </w:t>
      </w:r>
      <w:r w:rsidR="005E0FC4" w:rsidRPr="00252221">
        <w:rPr>
          <w:rFonts w:cs="Arial"/>
          <w:sz w:val="24"/>
          <w:szCs w:val="24"/>
          <w:lang w:val="es-CO"/>
        </w:rPr>
        <w:t xml:space="preserve">proveído </w:t>
      </w:r>
      <w:r w:rsidRPr="00252221">
        <w:rPr>
          <w:rFonts w:cs="Arial"/>
          <w:sz w:val="24"/>
          <w:szCs w:val="24"/>
          <w:lang w:val="es-CO"/>
        </w:rPr>
        <w:t>del 13 de abril</w:t>
      </w:r>
      <w:r w:rsidR="00343509" w:rsidRPr="00252221">
        <w:rPr>
          <w:rFonts w:cs="Arial"/>
          <w:sz w:val="24"/>
          <w:szCs w:val="24"/>
          <w:lang w:val="es-CO"/>
        </w:rPr>
        <w:t xml:space="preserve"> de 2018</w:t>
      </w:r>
      <w:r w:rsidR="009A6B02" w:rsidRPr="00252221">
        <w:rPr>
          <w:rStyle w:val="Refdenotaalpie"/>
          <w:rFonts w:cs="Arial"/>
          <w:sz w:val="24"/>
          <w:szCs w:val="24"/>
          <w:lang w:val="es-CO"/>
        </w:rPr>
        <w:footnoteReference w:id="1"/>
      </w:r>
      <w:r w:rsidR="00D84D01" w:rsidRPr="00252221">
        <w:rPr>
          <w:rFonts w:cs="Arial"/>
          <w:sz w:val="24"/>
          <w:szCs w:val="24"/>
          <w:lang w:val="es-CO"/>
        </w:rPr>
        <w:t>,</w:t>
      </w:r>
      <w:r w:rsidR="00E77D9A" w:rsidRPr="00252221">
        <w:rPr>
          <w:rFonts w:cs="Arial"/>
          <w:sz w:val="24"/>
          <w:szCs w:val="24"/>
          <w:lang w:val="es-CO"/>
        </w:rPr>
        <w:t xml:space="preserve"> el Tribunal Admin</w:t>
      </w:r>
      <w:r w:rsidR="00A97CD6" w:rsidRPr="00252221">
        <w:rPr>
          <w:rFonts w:cs="Arial"/>
          <w:sz w:val="24"/>
          <w:szCs w:val="24"/>
          <w:lang w:val="es-CO"/>
        </w:rPr>
        <w:t>istrativo de</w:t>
      </w:r>
      <w:r w:rsidR="00343509" w:rsidRPr="00252221">
        <w:rPr>
          <w:rFonts w:cs="Arial"/>
          <w:sz w:val="24"/>
          <w:szCs w:val="24"/>
          <w:lang w:val="es-CO"/>
        </w:rPr>
        <w:t xml:space="preserve">l </w:t>
      </w:r>
      <w:r w:rsidRPr="00252221">
        <w:rPr>
          <w:rFonts w:cs="Arial"/>
          <w:sz w:val="24"/>
          <w:szCs w:val="24"/>
          <w:lang w:val="es-CO"/>
        </w:rPr>
        <w:t>Magdalena ordenó librar mandamiento de pago contra Macondo y</w:t>
      </w:r>
      <w:r w:rsidR="00F539A6" w:rsidRPr="00252221">
        <w:rPr>
          <w:rFonts w:cs="Arial"/>
          <w:sz w:val="24"/>
          <w:szCs w:val="24"/>
          <w:lang w:val="es-CO"/>
        </w:rPr>
        <w:t xml:space="preserve"> </w:t>
      </w:r>
      <w:r w:rsidRPr="00252221">
        <w:rPr>
          <w:rFonts w:cs="Arial"/>
          <w:sz w:val="24"/>
          <w:szCs w:val="24"/>
          <w:lang w:val="es-CO"/>
        </w:rPr>
        <w:t xml:space="preserve">lo negó </w:t>
      </w:r>
      <w:r w:rsidR="0097056E" w:rsidRPr="00252221">
        <w:rPr>
          <w:rFonts w:cs="Arial"/>
          <w:sz w:val="24"/>
          <w:szCs w:val="24"/>
          <w:lang w:val="es-CO"/>
        </w:rPr>
        <w:t xml:space="preserve">respecto </w:t>
      </w:r>
      <w:r w:rsidR="00D70B43" w:rsidRPr="00252221">
        <w:rPr>
          <w:rFonts w:cs="Arial"/>
          <w:sz w:val="24"/>
          <w:szCs w:val="24"/>
          <w:lang w:val="es-CO"/>
        </w:rPr>
        <w:t>de</w:t>
      </w:r>
      <w:r w:rsidRPr="00252221">
        <w:rPr>
          <w:rFonts w:cs="Arial"/>
          <w:sz w:val="24"/>
          <w:szCs w:val="24"/>
          <w:lang w:val="es-CO"/>
        </w:rPr>
        <w:t xml:space="preserve"> Confianza</w:t>
      </w:r>
      <w:r w:rsidR="00985B50" w:rsidRPr="00252221">
        <w:rPr>
          <w:rFonts w:cs="Arial"/>
          <w:sz w:val="24"/>
          <w:szCs w:val="24"/>
          <w:lang w:val="es-CO"/>
        </w:rPr>
        <w:t>.</w:t>
      </w:r>
    </w:p>
    <w:p w14:paraId="7643A91B" w14:textId="77777777" w:rsidR="00985B50" w:rsidRPr="00252221" w:rsidRDefault="00985B50" w:rsidP="002263C6">
      <w:pPr>
        <w:rPr>
          <w:rFonts w:ascii="Arial" w:hAnsi="Arial" w:cs="Arial"/>
          <w:lang w:val="es-CO"/>
        </w:rPr>
      </w:pPr>
    </w:p>
    <w:p w14:paraId="1CBB57C3" w14:textId="77777777" w:rsidR="00C37CB8" w:rsidRPr="00252221" w:rsidRDefault="0097056E" w:rsidP="008E5DC7">
      <w:pPr>
        <w:pStyle w:val="Textoindependiente"/>
        <w:spacing w:line="360" w:lineRule="auto"/>
        <w:jc w:val="both"/>
        <w:rPr>
          <w:rFonts w:cs="Arial"/>
          <w:sz w:val="24"/>
          <w:szCs w:val="24"/>
        </w:rPr>
      </w:pPr>
      <w:r w:rsidRPr="00252221">
        <w:rPr>
          <w:rFonts w:cs="Arial"/>
          <w:sz w:val="24"/>
          <w:szCs w:val="24"/>
          <w:lang w:val="es-CO"/>
        </w:rPr>
        <w:t xml:space="preserve">Frente </w:t>
      </w:r>
      <w:r w:rsidR="00985B50" w:rsidRPr="00252221">
        <w:rPr>
          <w:rFonts w:cs="Arial"/>
          <w:sz w:val="24"/>
          <w:szCs w:val="24"/>
          <w:lang w:val="es-CO"/>
        </w:rPr>
        <w:t>a la decisión de</w:t>
      </w:r>
      <w:r w:rsidRPr="00252221">
        <w:rPr>
          <w:rFonts w:cs="Arial"/>
          <w:sz w:val="24"/>
          <w:szCs w:val="24"/>
          <w:lang w:val="es-CO"/>
        </w:rPr>
        <w:t xml:space="preserve"> no</w:t>
      </w:r>
      <w:r w:rsidR="00985B50" w:rsidRPr="00252221">
        <w:rPr>
          <w:rFonts w:cs="Arial"/>
          <w:sz w:val="24"/>
          <w:szCs w:val="24"/>
          <w:lang w:val="es-CO"/>
        </w:rPr>
        <w:t xml:space="preserve"> </w:t>
      </w:r>
      <w:r w:rsidR="005E0FC4" w:rsidRPr="00252221">
        <w:rPr>
          <w:rFonts w:cs="Arial"/>
          <w:sz w:val="24"/>
          <w:szCs w:val="24"/>
          <w:lang w:val="es-CO"/>
        </w:rPr>
        <w:t>librar mandamiento de pago</w:t>
      </w:r>
      <w:r w:rsidR="00A83A9E" w:rsidRPr="00252221">
        <w:rPr>
          <w:rFonts w:cs="Arial"/>
          <w:sz w:val="24"/>
          <w:szCs w:val="24"/>
          <w:lang w:val="es-CO"/>
        </w:rPr>
        <w:t xml:space="preserve"> </w:t>
      </w:r>
      <w:r w:rsidRPr="00252221">
        <w:rPr>
          <w:rFonts w:cs="Arial"/>
          <w:sz w:val="24"/>
          <w:szCs w:val="24"/>
          <w:lang w:val="es-CO"/>
        </w:rPr>
        <w:t>contra Confianza</w:t>
      </w:r>
      <w:r w:rsidR="005E0FC4" w:rsidRPr="00252221">
        <w:rPr>
          <w:rFonts w:cs="Arial"/>
          <w:sz w:val="24"/>
          <w:szCs w:val="24"/>
          <w:lang w:val="es-CO"/>
        </w:rPr>
        <w:t xml:space="preserve">, </w:t>
      </w:r>
      <w:r w:rsidR="00273197" w:rsidRPr="00252221">
        <w:rPr>
          <w:rFonts w:cs="Arial"/>
          <w:sz w:val="24"/>
          <w:szCs w:val="24"/>
          <w:lang w:val="es-CO"/>
        </w:rPr>
        <w:t>el Tribunal</w:t>
      </w:r>
      <w:r w:rsidR="00B1699E" w:rsidRPr="00252221">
        <w:rPr>
          <w:rFonts w:cs="Arial"/>
          <w:sz w:val="24"/>
          <w:szCs w:val="24"/>
          <w:lang w:val="es-CO"/>
        </w:rPr>
        <w:t xml:space="preserve"> </w:t>
      </w:r>
      <w:r w:rsidRPr="00252221">
        <w:rPr>
          <w:rFonts w:cs="Arial"/>
          <w:sz w:val="24"/>
          <w:szCs w:val="24"/>
          <w:lang w:val="es-CO"/>
        </w:rPr>
        <w:t>señaló</w:t>
      </w:r>
      <w:r w:rsidRPr="00252221">
        <w:rPr>
          <w:rFonts w:cs="Arial"/>
          <w:i/>
          <w:sz w:val="24"/>
          <w:szCs w:val="24"/>
          <w:lang w:val="es-CO"/>
        </w:rPr>
        <w:t xml:space="preserve"> </w:t>
      </w:r>
      <w:r w:rsidR="00273197" w:rsidRPr="00252221">
        <w:rPr>
          <w:rFonts w:cs="Arial"/>
          <w:sz w:val="24"/>
          <w:szCs w:val="24"/>
          <w:lang w:val="es-CO"/>
        </w:rPr>
        <w:t>que,</w:t>
      </w:r>
      <w:r w:rsidR="005E0FC4" w:rsidRPr="00252221">
        <w:rPr>
          <w:rFonts w:cs="Arial"/>
          <w:sz w:val="24"/>
          <w:szCs w:val="24"/>
          <w:lang w:val="es-CO"/>
        </w:rPr>
        <w:t xml:space="preserve"> a pesar de que</w:t>
      </w:r>
      <w:r w:rsidR="006224F3" w:rsidRPr="00252221">
        <w:rPr>
          <w:rFonts w:cs="Arial"/>
          <w:sz w:val="24"/>
          <w:szCs w:val="24"/>
          <w:lang w:val="es-CO"/>
        </w:rPr>
        <w:t xml:space="preserve"> </w:t>
      </w:r>
      <w:r w:rsidR="00775DBA" w:rsidRPr="00252221">
        <w:rPr>
          <w:rFonts w:cs="Arial"/>
          <w:sz w:val="24"/>
          <w:szCs w:val="24"/>
          <w:lang w:val="es-CO"/>
        </w:rPr>
        <w:t xml:space="preserve">el título ejecutivo </w:t>
      </w:r>
      <w:r w:rsidR="006224F3" w:rsidRPr="00252221">
        <w:rPr>
          <w:rFonts w:cs="Arial"/>
          <w:sz w:val="24"/>
          <w:szCs w:val="24"/>
          <w:lang w:val="es-CO"/>
        </w:rPr>
        <w:t xml:space="preserve">está </w:t>
      </w:r>
      <w:r w:rsidR="00775DBA" w:rsidRPr="00252221">
        <w:rPr>
          <w:rFonts w:cs="Arial"/>
          <w:sz w:val="24"/>
          <w:szCs w:val="24"/>
          <w:lang w:val="es-CO"/>
        </w:rPr>
        <w:t>debidamente integrado</w:t>
      </w:r>
      <w:r w:rsidR="00985B50" w:rsidRPr="00252221">
        <w:rPr>
          <w:rFonts w:cs="Arial"/>
          <w:sz w:val="24"/>
          <w:szCs w:val="24"/>
          <w:lang w:val="es-CO"/>
        </w:rPr>
        <w:t>,</w:t>
      </w:r>
      <w:r w:rsidR="00A83A9E" w:rsidRPr="00252221">
        <w:rPr>
          <w:rFonts w:cs="Arial"/>
          <w:sz w:val="24"/>
          <w:szCs w:val="24"/>
          <w:lang w:val="es-CO"/>
        </w:rPr>
        <w:t xml:space="preserve"> </w:t>
      </w:r>
      <w:r w:rsidRPr="00252221">
        <w:rPr>
          <w:rFonts w:cs="Arial"/>
          <w:sz w:val="24"/>
          <w:szCs w:val="24"/>
          <w:lang w:val="es-CO"/>
        </w:rPr>
        <w:t xml:space="preserve">toda vez que </w:t>
      </w:r>
      <w:r w:rsidR="009B6D6F" w:rsidRPr="00252221">
        <w:rPr>
          <w:rFonts w:cs="Arial"/>
          <w:sz w:val="24"/>
          <w:szCs w:val="24"/>
          <w:lang w:val="es-CO"/>
        </w:rPr>
        <w:t>cont</w:t>
      </w:r>
      <w:r w:rsidR="00985B50" w:rsidRPr="00252221">
        <w:rPr>
          <w:rFonts w:cs="Arial"/>
          <w:sz w:val="24"/>
          <w:szCs w:val="24"/>
          <w:lang w:val="es-CO"/>
        </w:rPr>
        <w:t xml:space="preserve">iene </w:t>
      </w:r>
      <w:r w:rsidR="00F539A6" w:rsidRPr="00252221">
        <w:rPr>
          <w:rFonts w:cs="Arial"/>
          <w:sz w:val="24"/>
          <w:szCs w:val="24"/>
          <w:lang w:val="es-CO"/>
        </w:rPr>
        <w:t>las</w:t>
      </w:r>
      <w:r w:rsidR="00985B50" w:rsidRPr="00252221">
        <w:rPr>
          <w:rFonts w:cs="Arial"/>
          <w:sz w:val="24"/>
          <w:szCs w:val="24"/>
          <w:lang w:val="es-CO"/>
        </w:rPr>
        <w:t xml:space="preserve"> pólizas, </w:t>
      </w:r>
      <w:r w:rsidR="0023307A" w:rsidRPr="00252221">
        <w:rPr>
          <w:rFonts w:cs="Arial"/>
          <w:sz w:val="24"/>
          <w:szCs w:val="24"/>
          <w:lang w:val="es-CO"/>
        </w:rPr>
        <w:t xml:space="preserve">sus </w:t>
      </w:r>
      <w:r w:rsidR="006224F3" w:rsidRPr="00252221">
        <w:rPr>
          <w:rFonts w:cs="Arial"/>
          <w:sz w:val="24"/>
          <w:szCs w:val="24"/>
          <w:lang w:val="es-CO"/>
        </w:rPr>
        <w:t>valores garantizados</w:t>
      </w:r>
      <w:r w:rsidR="00985B50" w:rsidRPr="00252221">
        <w:rPr>
          <w:rFonts w:cs="Arial"/>
          <w:sz w:val="24"/>
          <w:szCs w:val="24"/>
          <w:lang w:val="es-CO"/>
        </w:rPr>
        <w:t xml:space="preserve">, </w:t>
      </w:r>
      <w:r w:rsidR="004F6D1F" w:rsidRPr="00252221">
        <w:rPr>
          <w:rFonts w:cs="Arial"/>
          <w:sz w:val="24"/>
          <w:szCs w:val="24"/>
          <w:lang w:val="es-CO"/>
        </w:rPr>
        <w:t xml:space="preserve">las </w:t>
      </w:r>
      <w:r w:rsidR="009B6D6F" w:rsidRPr="00252221">
        <w:rPr>
          <w:rFonts w:cs="Arial"/>
          <w:sz w:val="24"/>
          <w:szCs w:val="24"/>
          <w:lang w:val="es-CO"/>
        </w:rPr>
        <w:t>aprobaciones</w:t>
      </w:r>
      <w:r w:rsidR="004F6D1F" w:rsidRPr="00252221">
        <w:rPr>
          <w:rFonts w:cs="Arial"/>
          <w:sz w:val="24"/>
          <w:szCs w:val="24"/>
          <w:lang w:val="es-CO"/>
        </w:rPr>
        <w:t xml:space="preserve"> de</w:t>
      </w:r>
      <w:r w:rsidR="00366FAE" w:rsidRPr="00252221">
        <w:rPr>
          <w:rFonts w:cs="Arial"/>
          <w:sz w:val="24"/>
          <w:szCs w:val="24"/>
          <w:lang w:val="es-CO"/>
        </w:rPr>
        <w:t xml:space="preserve"> las mismas </w:t>
      </w:r>
      <w:r w:rsidR="00985B50" w:rsidRPr="00252221">
        <w:rPr>
          <w:rFonts w:cs="Arial"/>
          <w:sz w:val="24"/>
          <w:szCs w:val="24"/>
          <w:lang w:val="es-CO"/>
        </w:rPr>
        <w:lastRenderedPageBreak/>
        <w:t xml:space="preserve">y </w:t>
      </w:r>
      <w:r w:rsidR="00775DBA" w:rsidRPr="00252221">
        <w:rPr>
          <w:rFonts w:cs="Arial"/>
          <w:sz w:val="24"/>
          <w:szCs w:val="24"/>
          <w:lang w:val="es-CO"/>
        </w:rPr>
        <w:t xml:space="preserve">el </w:t>
      </w:r>
      <w:r w:rsidR="00775DBA" w:rsidRPr="00252221">
        <w:rPr>
          <w:rFonts w:cs="Arial"/>
          <w:sz w:val="24"/>
          <w:szCs w:val="24"/>
        </w:rPr>
        <w:t xml:space="preserve">acta de liquidación </w:t>
      </w:r>
      <w:r w:rsidR="009260AC" w:rsidRPr="00252221">
        <w:rPr>
          <w:rFonts w:cs="Arial"/>
          <w:sz w:val="24"/>
          <w:szCs w:val="24"/>
        </w:rPr>
        <w:t xml:space="preserve">unilateral </w:t>
      </w:r>
      <w:r w:rsidR="00F539A6" w:rsidRPr="00252221">
        <w:rPr>
          <w:rFonts w:cs="Arial"/>
          <w:sz w:val="24"/>
          <w:szCs w:val="24"/>
        </w:rPr>
        <w:t>del 27 de noviembre de 2012,</w:t>
      </w:r>
      <w:r w:rsidR="00775DBA" w:rsidRPr="00252221">
        <w:rPr>
          <w:rFonts w:cs="Arial"/>
          <w:sz w:val="24"/>
          <w:szCs w:val="24"/>
        </w:rPr>
        <w:t xml:space="preserve"> </w:t>
      </w:r>
      <w:r w:rsidR="00ED60B4" w:rsidRPr="00252221">
        <w:rPr>
          <w:rFonts w:cs="Arial"/>
          <w:sz w:val="24"/>
          <w:szCs w:val="24"/>
        </w:rPr>
        <w:t xml:space="preserve">el mismo </w:t>
      </w:r>
      <w:r w:rsidR="00B64E29" w:rsidRPr="00252221">
        <w:rPr>
          <w:rFonts w:cs="Arial"/>
          <w:sz w:val="24"/>
          <w:szCs w:val="24"/>
        </w:rPr>
        <w:t>n</w:t>
      </w:r>
      <w:r w:rsidR="00775DBA" w:rsidRPr="00252221">
        <w:rPr>
          <w:rFonts w:cs="Arial"/>
          <w:sz w:val="24"/>
          <w:szCs w:val="24"/>
        </w:rPr>
        <w:t xml:space="preserve">o cumple con el requisito </w:t>
      </w:r>
      <w:r w:rsidR="00775DBA" w:rsidRPr="00252221">
        <w:rPr>
          <w:rFonts w:cs="Arial"/>
          <w:i/>
          <w:sz w:val="24"/>
          <w:szCs w:val="24"/>
        </w:rPr>
        <w:t>sine qua non</w:t>
      </w:r>
      <w:r w:rsidR="00775DBA" w:rsidRPr="00252221">
        <w:rPr>
          <w:rFonts w:cs="Arial"/>
          <w:sz w:val="24"/>
          <w:szCs w:val="24"/>
        </w:rPr>
        <w:t xml:space="preserve"> de la exigibilidad</w:t>
      </w:r>
      <w:r w:rsidR="00985B50" w:rsidRPr="00252221">
        <w:rPr>
          <w:rFonts w:cs="Arial"/>
          <w:sz w:val="24"/>
          <w:szCs w:val="24"/>
        </w:rPr>
        <w:t xml:space="preserve">, </w:t>
      </w:r>
      <w:r w:rsidR="00ED60B4" w:rsidRPr="00252221">
        <w:rPr>
          <w:rFonts w:cs="Arial"/>
          <w:sz w:val="24"/>
          <w:szCs w:val="24"/>
        </w:rPr>
        <w:t xml:space="preserve">como quiera que </w:t>
      </w:r>
      <w:r w:rsidR="00985B50" w:rsidRPr="00252221">
        <w:rPr>
          <w:rFonts w:cs="Arial"/>
          <w:sz w:val="24"/>
          <w:szCs w:val="24"/>
        </w:rPr>
        <w:t xml:space="preserve">la </w:t>
      </w:r>
      <w:r w:rsidR="006224F3" w:rsidRPr="00252221">
        <w:rPr>
          <w:rFonts w:cs="Arial"/>
          <w:sz w:val="24"/>
          <w:szCs w:val="24"/>
        </w:rPr>
        <w:t xml:space="preserve">parte </w:t>
      </w:r>
      <w:r w:rsidR="00985B50" w:rsidRPr="00252221">
        <w:rPr>
          <w:rFonts w:cs="Arial"/>
          <w:sz w:val="24"/>
          <w:szCs w:val="24"/>
        </w:rPr>
        <w:t xml:space="preserve">demandante </w:t>
      </w:r>
      <w:r w:rsidR="00D318F8" w:rsidRPr="00252221">
        <w:rPr>
          <w:rFonts w:cs="Arial"/>
          <w:sz w:val="24"/>
          <w:szCs w:val="24"/>
        </w:rPr>
        <w:t xml:space="preserve">no </w:t>
      </w:r>
      <w:r w:rsidR="00A75235" w:rsidRPr="00252221">
        <w:rPr>
          <w:rFonts w:cs="Arial"/>
          <w:sz w:val="24"/>
          <w:szCs w:val="24"/>
        </w:rPr>
        <w:t>h</w:t>
      </w:r>
      <w:r w:rsidR="00D318F8" w:rsidRPr="00252221">
        <w:rPr>
          <w:rFonts w:cs="Arial"/>
          <w:sz w:val="24"/>
          <w:szCs w:val="24"/>
        </w:rPr>
        <w:t xml:space="preserve">izo </w:t>
      </w:r>
      <w:r w:rsidR="00A75235" w:rsidRPr="00252221">
        <w:rPr>
          <w:rFonts w:cs="Arial"/>
          <w:sz w:val="24"/>
          <w:szCs w:val="24"/>
        </w:rPr>
        <w:t xml:space="preserve">uso </w:t>
      </w:r>
      <w:r w:rsidR="006224F3" w:rsidRPr="00252221">
        <w:rPr>
          <w:rFonts w:cs="Arial"/>
          <w:sz w:val="24"/>
          <w:szCs w:val="24"/>
        </w:rPr>
        <w:t>d</w:t>
      </w:r>
      <w:r w:rsidR="00A75235" w:rsidRPr="00252221">
        <w:rPr>
          <w:rFonts w:cs="Arial"/>
          <w:sz w:val="24"/>
          <w:szCs w:val="24"/>
        </w:rPr>
        <w:t xml:space="preserve">e las cláusulas que activan </w:t>
      </w:r>
      <w:r w:rsidR="001E733B" w:rsidRPr="00252221">
        <w:rPr>
          <w:rFonts w:cs="Arial"/>
          <w:sz w:val="24"/>
          <w:szCs w:val="24"/>
        </w:rPr>
        <w:t>las garantías</w:t>
      </w:r>
      <w:r w:rsidR="00985B50" w:rsidRPr="00252221">
        <w:rPr>
          <w:rFonts w:cs="Arial"/>
          <w:sz w:val="24"/>
          <w:szCs w:val="24"/>
        </w:rPr>
        <w:t xml:space="preserve">, </w:t>
      </w:r>
      <w:r w:rsidR="0035258A" w:rsidRPr="00252221">
        <w:rPr>
          <w:rFonts w:cs="Arial"/>
          <w:sz w:val="24"/>
          <w:szCs w:val="24"/>
        </w:rPr>
        <w:t>como</w:t>
      </w:r>
      <w:r w:rsidR="00A83A9E" w:rsidRPr="00252221">
        <w:rPr>
          <w:rFonts w:cs="Arial"/>
          <w:sz w:val="24"/>
          <w:szCs w:val="24"/>
        </w:rPr>
        <w:t xml:space="preserve"> lo es </w:t>
      </w:r>
      <w:r w:rsidR="001E733B" w:rsidRPr="00252221">
        <w:rPr>
          <w:rFonts w:cs="Arial"/>
          <w:sz w:val="24"/>
          <w:szCs w:val="24"/>
        </w:rPr>
        <w:t>la</w:t>
      </w:r>
      <w:r w:rsidR="0023307A" w:rsidRPr="00252221">
        <w:rPr>
          <w:rFonts w:cs="Arial"/>
          <w:sz w:val="24"/>
          <w:szCs w:val="24"/>
        </w:rPr>
        <w:t xml:space="preserve"> de la</w:t>
      </w:r>
      <w:r w:rsidR="001E733B" w:rsidRPr="00252221">
        <w:rPr>
          <w:rFonts w:cs="Arial"/>
          <w:sz w:val="24"/>
          <w:szCs w:val="24"/>
        </w:rPr>
        <w:t xml:space="preserve"> declaratoria de</w:t>
      </w:r>
      <w:r w:rsidR="00A75235" w:rsidRPr="00252221">
        <w:rPr>
          <w:rFonts w:cs="Arial"/>
          <w:sz w:val="24"/>
          <w:szCs w:val="24"/>
        </w:rPr>
        <w:t xml:space="preserve"> </w:t>
      </w:r>
      <w:r w:rsidR="001E733B" w:rsidRPr="00252221">
        <w:rPr>
          <w:rFonts w:cs="Arial"/>
          <w:sz w:val="24"/>
          <w:szCs w:val="24"/>
        </w:rPr>
        <w:t>incumplimiento de</w:t>
      </w:r>
      <w:r w:rsidR="00A75235" w:rsidRPr="00252221">
        <w:rPr>
          <w:rFonts w:cs="Arial"/>
          <w:sz w:val="24"/>
          <w:szCs w:val="24"/>
        </w:rPr>
        <w:t>l contrato</w:t>
      </w:r>
      <w:r w:rsidR="00ED60B4" w:rsidRPr="00252221">
        <w:rPr>
          <w:rFonts w:cs="Arial"/>
          <w:sz w:val="24"/>
          <w:szCs w:val="24"/>
        </w:rPr>
        <w:t xml:space="preserve"> y</w:t>
      </w:r>
      <w:r w:rsidR="00985B50" w:rsidRPr="00252221">
        <w:rPr>
          <w:rFonts w:cs="Arial"/>
          <w:sz w:val="24"/>
          <w:szCs w:val="24"/>
        </w:rPr>
        <w:t>,</w:t>
      </w:r>
      <w:r w:rsidR="00ED60B4" w:rsidRPr="00252221">
        <w:rPr>
          <w:rFonts w:cs="Arial"/>
          <w:sz w:val="24"/>
          <w:szCs w:val="24"/>
        </w:rPr>
        <w:t xml:space="preserve"> por tanto, no puede</w:t>
      </w:r>
      <w:r w:rsidR="004F6D1F" w:rsidRPr="00252221">
        <w:rPr>
          <w:rFonts w:cs="Arial"/>
          <w:sz w:val="24"/>
          <w:szCs w:val="24"/>
        </w:rPr>
        <w:t xml:space="preserve"> </w:t>
      </w:r>
      <w:r w:rsidR="000C0A59" w:rsidRPr="00252221">
        <w:rPr>
          <w:rFonts w:cs="Arial"/>
          <w:sz w:val="24"/>
          <w:szCs w:val="24"/>
        </w:rPr>
        <w:t>afirmarse</w:t>
      </w:r>
      <w:r w:rsidR="00D70B43" w:rsidRPr="00252221">
        <w:rPr>
          <w:rFonts w:cs="Arial"/>
          <w:sz w:val="24"/>
          <w:szCs w:val="24"/>
        </w:rPr>
        <w:t xml:space="preserve"> </w:t>
      </w:r>
      <w:r w:rsidR="004F6D1F" w:rsidRPr="00252221">
        <w:rPr>
          <w:rFonts w:cs="Arial"/>
          <w:sz w:val="24"/>
          <w:szCs w:val="24"/>
        </w:rPr>
        <w:t xml:space="preserve">que Confianza </w:t>
      </w:r>
      <w:r w:rsidR="00567B31" w:rsidRPr="00252221">
        <w:rPr>
          <w:rFonts w:cs="Arial"/>
          <w:sz w:val="24"/>
          <w:szCs w:val="24"/>
        </w:rPr>
        <w:t xml:space="preserve">tenga </w:t>
      </w:r>
      <w:r w:rsidR="004F6D1F" w:rsidRPr="00252221">
        <w:rPr>
          <w:rFonts w:cs="Arial"/>
          <w:sz w:val="24"/>
          <w:szCs w:val="24"/>
        </w:rPr>
        <w:t>una obligación actualmente exigible con Aguas del Magdalena S.A. E.S.P.</w:t>
      </w:r>
    </w:p>
    <w:p w14:paraId="5A229D7E" w14:textId="77777777" w:rsidR="00ED60B4" w:rsidRPr="00252221" w:rsidRDefault="00ED60B4" w:rsidP="002263C6">
      <w:pPr>
        <w:rPr>
          <w:rFonts w:ascii="Arial" w:hAnsi="Arial" w:cs="Arial"/>
        </w:rPr>
      </w:pPr>
    </w:p>
    <w:p w14:paraId="7D00D9D0" w14:textId="77777777" w:rsidR="00AA6D9D" w:rsidRPr="00252221" w:rsidRDefault="00366FAE" w:rsidP="00AA6D9D">
      <w:pPr>
        <w:pStyle w:val="Textoindependiente"/>
        <w:spacing w:line="360" w:lineRule="auto"/>
        <w:jc w:val="both"/>
        <w:rPr>
          <w:rFonts w:cs="Arial"/>
          <w:sz w:val="24"/>
          <w:szCs w:val="24"/>
          <w:lang w:val="es-CO"/>
        </w:rPr>
      </w:pPr>
      <w:r w:rsidRPr="00252221">
        <w:rPr>
          <w:rFonts w:cs="Arial"/>
          <w:sz w:val="24"/>
          <w:szCs w:val="24"/>
        </w:rPr>
        <w:t xml:space="preserve">Lo </w:t>
      </w:r>
      <w:r w:rsidR="00985B50" w:rsidRPr="00252221">
        <w:rPr>
          <w:rFonts w:cs="Arial"/>
          <w:sz w:val="24"/>
          <w:szCs w:val="24"/>
        </w:rPr>
        <w:t xml:space="preserve">anterior, </w:t>
      </w:r>
      <w:r w:rsidR="0035258A" w:rsidRPr="00252221">
        <w:rPr>
          <w:rFonts w:cs="Arial"/>
          <w:sz w:val="24"/>
          <w:szCs w:val="24"/>
        </w:rPr>
        <w:t xml:space="preserve">teniendo </w:t>
      </w:r>
      <w:r w:rsidR="00ED60B4" w:rsidRPr="00252221">
        <w:rPr>
          <w:rFonts w:cs="Arial"/>
          <w:sz w:val="24"/>
          <w:szCs w:val="24"/>
        </w:rPr>
        <w:t xml:space="preserve">en cuenta </w:t>
      </w:r>
      <w:r w:rsidR="00AA6D9D" w:rsidRPr="00252221">
        <w:rPr>
          <w:rFonts w:cs="Arial"/>
          <w:sz w:val="24"/>
          <w:szCs w:val="24"/>
          <w:lang w:val="es-CO"/>
        </w:rPr>
        <w:t xml:space="preserve">que </w:t>
      </w:r>
      <w:r w:rsidR="0035258A" w:rsidRPr="00252221">
        <w:rPr>
          <w:rFonts w:cs="Arial"/>
          <w:sz w:val="24"/>
          <w:szCs w:val="24"/>
          <w:lang w:val="es-CO"/>
        </w:rPr>
        <w:t>la parte demandante</w:t>
      </w:r>
      <w:r w:rsidR="00815ADA" w:rsidRPr="00252221">
        <w:rPr>
          <w:rFonts w:cs="Arial"/>
          <w:sz w:val="24"/>
          <w:szCs w:val="24"/>
          <w:lang w:val="es-CO"/>
        </w:rPr>
        <w:t xml:space="preserve"> </w:t>
      </w:r>
      <w:r w:rsidR="000C0A59" w:rsidRPr="00252221">
        <w:rPr>
          <w:rFonts w:cs="Arial"/>
          <w:sz w:val="24"/>
          <w:szCs w:val="24"/>
          <w:lang w:val="es-CO"/>
        </w:rPr>
        <w:t xml:space="preserve">solo </w:t>
      </w:r>
      <w:r w:rsidR="0035258A" w:rsidRPr="00252221">
        <w:rPr>
          <w:rFonts w:cs="Arial"/>
          <w:sz w:val="24"/>
          <w:szCs w:val="24"/>
          <w:lang w:val="es-CO"/>
        </w:rPr>
        <w:t xml:space="preserve">hizo consistir los </w:t>
      </w:r>
      <w:r w:rsidR="000C0A59" w:rsidRPr="00252221">
        <w:rPr>
          <w:rFonts w:cs="Arial"/>
          <w:sz w:val="24"/>
          <w:szCs w:val="24"/>
          <w:lang w:val="es-CO"/>
        </w:rPr>
        <w:t>fundamentos fá</w:t>
      </w:r>
      <w:r w:rsidR="00AA6D9D" w:rsidRPr="00252221">
        <w:rPr>
          <w:rFonts w:cs="Arial"/>
          <w:sz w:val="24"/>
          <w:szCs w:val="24"/>
          <w:lang w:val="es-CO"/>
        </w:rPr>
        <w:t>cticos de</w:t>
      </w:r>
      <w:r w:rsidR="0035258A" w:rsidRPr="00252221">
        <w:rPr>
          <w:rFonts w:cs="Arial"/>
          <w:sz w:val="24"/>
          <w:szCs w:val="24"/>
          <w:lang w:val="es-CO"/>
        </w:rPr>
        <w:t xml:space="preserve"> </w:t>
      </w:r>
      <w:r w:rsidR="00AA6D9D" w:rsidRPr="00252221">
        <w:rPr>
          <w:rFonts w:cs="Arial"/>
          <w:sz w:val="24"/>
          <w:szCs w:val="24"/>
          <w:lang w:val="es-CO"/>
        </w:rPr>
        <w:t>l</w:t>
      </w:r>
      <w:r w:rsidR="0035258A" w:rsidRPr="00252221">
        <w:rPr>
          <w:rFonts w:cs="Arial"/>
          <w:sz w:val="24"/>
          <w:szCs w:val="24"/>
          <w:lang w:val="es-CO"/>
        </w:rPr>
        <w:t>a</w:t>
      </w:r>
      <w:r w:rsidR="00AA6D9D" w:rsidRPr="00252221">
        <w:rPr>
          <w:rFonts w:cs="Arial"/>
          <w:sz w:val="24"/>
          <w:szCs w:val="24"/>
          <w:lang w:val="es-CO"/>
        </w:rPr>
        <w:t xml:space="preserve"> </w:t>
      </w:r>
      <w:r w:rsidR="0035258A" w:rsidRPr="00252221">
        <w:rPr>
          <w:rFonts w:cs="Arial"/>
          <w:sz w:val="24"/>
          <w:szCs w:val="24"/>
          <w:lang w:val="es-CO"/>
        </w:rPr>
        <w:t>demanda</w:t>
      </w:r>
      <w:r w:rsidR="00815ADA" w:rsidRPr="00252221">
        <w:rPr>
          <w:rFonts w:cs="Arial"/>
          <w:sz w:val="24"/>
          <w:szCs w:val="24"/>
          <w:lang w:val="es-CO"/>
        </w:rPr>
        <w:t xml:space="preserve"> </w:t>
      </w:r>
      <w:r w:rsidR="0035258A" w:rsidRPr="00252221">
        <w:rPr>
          <w:rFonts w:cs="Arial"/>
          <w:sz w:val="24"/>
          <w:szCs w:val="24"/>
          <w:lang w:val="es-CO"/>
        </w:rPr>
        <w:t>en que</w:t>
      </w:r>
      <w:r w:rsidR="00A83A9E" w:rsidRPr="00252221">
        <w:rPr>
          <w:rFonts w:cs="Arial"/>
          <w:sz w:val="24"/>
          <w:szCs w:val="24"/>
          <w:lang w:val="es-CO"/>
        </w:rPr>
        <w:t>,</w:t>
      </w:r>
      <w:r w:rsidR="0035258A" w:rsidRPr="00252221">
        <w:rPr>
          <w:rFonts w:cs="Arial"/>
          <w:sz w:val="24"/>
          <w:szCs w:val="24"/>
          <w:lang w:val="es-CO"/>
        </w:rPr>
        <w:t xml:space="preserve"> </w:t>
      </w:r>
      <w:r w:rsidR="00A83A9E" w:rsidRPr="00252221">
        <w:rPr>
          <w:rFonts w:cs="Arial"/>
          <w:sz w:val="24"/>
          <w:szCs w:val="24"/>
          <w:lang w:val="es-CO"/>
        </w:rPr>
        <w:t xml:space="preserve">una vez </w:t>
      </w:r>
      <w:r w:rsidR="0035258A" w:rsidRPr="00252221">
        <w:rPr>
          <w:rFonts w:cs="Arial"/>
          <w:sz w:val="24"/>
          <w:szCs w:val="24"/>
          <w:lang w:val="es-CO"/>
        </w:rPr>
        <w:t>vencido e</w:t>
      </w:r>
      <w:r w:rsidR="001F2D40" w:rsidRPr="00252221">
        <w:rPr>
          <w:rFonts w:cs="Arial"/>
          <w:sz w:val="24"/>
          <w:szCs w:val="24"/>
          <w:lang w:val="es-CO"/>
        </w:rPr>
        <w:t>l plazo de ejecución del contrato</w:t>
      </w:r>
      <w:r w:rsidR="006224F3" w:rsidRPr="00252221">
        <w:rPr>
          <w:rFonts w:cs="Arial"/>
          <w:sz w:val="24"/>
          <w:szCs w:val="24"/>
          <w:lang w:val="es-CO"/>
        </w:rPr>
        <w:t xml:space="preserve"> </w:t>
      </w:r>
      <w:r w:rsidR="00AA6D9D" w:rsidRPr="00252221">
        <w:rPr>
          <w:rFonts w:cs="Arial"/>
          <w:sz w:val="24"/>
          <w:szCs w:val="24"/>
          <w:lang w:val="es-CO"/>
        </w:rPr>
        <w:t>celebra</w:t>
      </w:r>
      <w:r w:rsidR="0035258A" w:rsidRPr="00252221">
        <w:rPr>
          <w:rFonts w:cs="Arial"/>
          <w:sz w:val="24"/>
          <w:szCs w:val="24"/>
          <w:lang w:val="es-CO"/>
        </w:rPr>
        <w:t xml:space="preserve">do entre </w:t>
      </w:r>
      <w:r w:rsidR="00B1699E" w:rsidRPr="00252221">
        <w:rPr>
          <w:rFonts w:cs="Arial"/>
          <w:sz w:val="24"/>
          <w:szCs w:val="24"/>
          <w:lang w:val="es-CO"/>
        </w:rPr>
        <w:t xml:space="preserve">ella </w:t>
      </w:r>
      <w:r w:rsidR="006224F3" w:rsidRPr="00252221">
        <w:rPr>
          <w:rFonts w:cs="Arial"/>
          <w:sz w:val="24"/>
          <w:szCs w:val="24"/>
          <w:lang w:val="es-CO"/>
        </w:rPr>
        <w:t>y Macondo</w:t>
      </w:r>
      <w:r w:rsidR="00A83A9E" w:rsidRPr="00252221">
        <w:rPr>
          <w:rFonts w:cs="Arial"/>
          <w:sz w:val="24"/>
          <w:szCs w:val="24"/>
          <w:lang w:val="es-CO"/>
        </w:rPr>
        <w:t>,</w:t>
      </w:r>
      <w:r w:rsidR="00C37CB8" w:rsidRPr="00252221">
        <w:rPr>
          <w:rFonts w:cs="Arial"/>
          <w:sz w:val="24"/>
          <w:szCs w:val="24"/>
          <w:lang w:val="es-CO"/>
        </w:rPr>
        <w:t xml:space="preserve"> </w:t>
      </w:r>
      <w:r w:rsidR="0035258A" w:rsidRPr="00252221">
        <w:rPr>
          <w:rFonts w:cs="Arial"/>
          <w:sz w:val="24"/>
          <w:szCs w:val="24"/>
          <w:lang w:val="es-CO"/>
        </w:rPr>
        <w:t xml:space="preserve">procedió a </w:t>
      </w:r>
      <w:r w:rsidR="00C37CB8" w:rsidRPr="00252221">
        <w:rPr>
          <w:rFonts w:cs="Arial"/>
          <w:sz w:val="24"/>
          <w:szCs w:val="24"/>
          <w:lang w:val="es-CO"/>
        </w:rPr>
        <w:t>liquida</w:t>
      </w:r>
      <w:r w:rsidR="0035258A" w:rsidRPr="00252221">
        <w:rPr>
          <w:rFonts w:cs="Arial"/>
          <w:sz w:val="24"/>
          <w:szCs w:val="24"/>
          <w:lang w:val="es-CO"/>
        </w:rPr>
        <w:t>r</w:t>
      </w:r>
      <w:r w:rsidR="000E5104" w:rsidRPr="00252221">
        <w:rPr>
          <w:rFonts w:cs="Arial"/>
          <w:sz w:val="24"/>
          <w:szCs w:val="24"/>
          <w:lang w:val="es-CO"/>
        </w:rPr>
        <w:t>lo</w:t>
      </w:r>
      <w:r w:rsidR="0035258A" w:rsidRPr="00252221">
        <w:rPr>
          <w:rFonts w:cs="Arial"/>
          <w:sz w:val="24"/>
          <w:szCs w:val="24"/>
          <w:lang w:val="es-CO"/>
        </w:rPr>
        <w:t xml:space="preserve"> </w:t>
      </w:r>
      <w:r w:rsidR="00A83A9E" w:rsidRPr="00252221">
        <w:rPr>
          <w:rFonts w:cs="Arial"/>
          <w:sz w:val="24"/>
          <w:szCs w:val="24"/>
          <w:lang w:val="es-CO"/>
        </w:rPr>
        <w:t>de manera unilateral</w:t>
      </w:r>
      <w:r w:rsidR="0035258A" w:rsidRPr="00252221">
        <w:rPr>
          <w:rFonts w:cs="Arial"/>
          <w:sz w:val="24"/>
          <w:szCs w:val="24"/>
          <w:lang w:val="es-CO"/>
        </w:rPr>
        <w:t xml:space="preserve">, cuyo </w:t>
      </w:r>
      <w:r w:rsidR="00AE2FC1" w:rsidRPr="00252221">
        <w:rPr>
          <w:rFonts w:cs="Arial"/>
          <w:sz w:val="24"/>
          <w:szCs w:val="24"/>
          <w:lang w:val="es-CO"/>
        </w:rPr>
        <w:t xml:space="preserve">balance final </w:t>
      </w:r>
      <w:r w:rsidR="0035258A" w:rsidRPr="00252221">
        <w:rPr>
          <w:rFonts w:cs="Arial"/>
          <w:sz w:val="24"/>
          <w:szCs w:val="24"/>
          <w:lang w:val="es-CO"/>
        </w:rPr>
        <w:t xml:space="preserve">fue </w:t>
      </w:r>
      <w:r w:rsidR="00AE2FC1" w:rsidRPr="00252221">
        <w:rPr>
          <w:rFonts w:cs="Arial"/>
          <w:sz w:val="24"/>
          <w:szCs w:val="24"/>
          <w:lang w:val="es-CO"/>
        </w:rPr>
        <w:t>un saldo a favor</w:t>
      </w:r>
      <w:r w:rsidR="00A83A9E" w:rsidRPr="00252221">
        <w:rPr>
          <w:rFonts w:cs="Arial"/>
          <w:sz w:val="24"/>
          <w:szCs w:val="24"/>
          <w:lang w:val="es-CO"/>
        </w:rPr>
        <w:t xml:space="preserve"> del contratante, el cual debe</w:t>
      </w:r>
      <w:r w:rsidR="0035258A" w:rsidRPr="00252221">
        <w:rPr>
          <w:rFonts w:cs="Arial"/>
          <w:sz w:val="24"/>
          <w:szCs w:val="24"/>
          <w:lang w:val="es-CO"/>
        </w:rPr>
        <w:t xml:space="preserve"> s</w:t>
      </w:r>
      <w:r w:rsidR="00AE2FC1" w:rsidRPr="00252221">
        <w:rPr>
          <w:rFonts w:cs="Arial"/>
          <w:sz w:val="24"/>
          <w:szCs w:val="24"/>
          <w:lang w:val="es-CO"/>
        </w:rPr>
        <w:t xml:space="preserve">er </w:t>
      </w:r>
      <w:r w:rsidR="00B1699E" w:rsidRPr="00252221">
        <w:rPr>
          <w:rFonts w:cs="Arial"/>
          <w:sz w:val="24"/>
          <w:szCs w:val="24"/>
          <w:lang w:val="es-CO"/>
        </w:rPr>
        <w:t>reintegrado por el contratista; a</w:t>
      </w:r>
      <w:r w:rsidR="000E5104" w:rsidRPr="00252221">
        <w:rPr>
          <w:rFonts w:cs="Arial"/>
          <w:sz w:val="24"/>
          <w:szCs w:val="24"/>
          <w:lang w:val="es-CO"/>
        </w:rPr>
        <w:t xml:space="preserve">demás, la declaratoria de incumplimiento del contrato </w:t>
      </w:r>
      <w:r w:rsidR="000E5104" w:rsidRPr="00252221">
        <w:rPr>
          <w:rFonts w:cs="Arial"/>
          <w:sz w:val="24"/>
          <w:szCs w:val="24"/>
        </w:rPr>
        <w:t>involucra</w:t>
      </w:r>
      <w:r w:rsidR="001F2D40" w:rsidRPr="00252221">
        <w:rPr>
          <w:rFonts w:cs="Arial"/>
          <w:sz w:val="24"/>
          <w:szCs w:val="24"/>
        </w:rPr>
        <w:t xml:space="preserve"> el procedimiento</w:t>
      </w:r>
      <w:r w:rsidR="00236456" w:rsidRPr="00252221">
        <w:rPr>
          <w:rFonts w:cs="Arial"/>
          <w:sz w:val="24"/>
          <w:szCs w:val="24"/>
        </w:rPr>
        <w:t xml:space="preserve"> estable</w:t>
      </w:r>
      <w:r w:rsidR="00815ADA" w:rsidRPr="00252221">
        <w:rPr>
          <w:rFonts w:cs="Arial"/>
          <w:sz w:val="24"/>
          <w:szCs w:val="24"/>
        </w:rPr>
        <w:t xml:space="preserve">cido en </w:t>
      </w:r>
      <w:r w:rsidR="001F2D40" w:rsidRPr="00252221">
        <w:rPr>
          <w:rFonts w:cs="Arial"/>
          <w:sz w:val="24"/>
          <w:szCs w:val="24"/>
        </w:rPr>
        <w:t>el artículo 86 de la Ley 1474 del 2011</w:t>
      </w:r>
      <w:r w:rsidR="00835AA0" w:rsidRPr="00252221">
        <w:rPr>
          <w:rFonts w:cs="Arial"/>
          <w:sz w:val="24"/>
          <w:szCs w:val="24"/>
        </w:rPr>
        <w:t>, sin que se observe</w:t>
      </w:r>
      <w:r w:rsidR="000E5104" w:rsidRPr="00252221">
        <w:rPr>
          <w:rFonts w:cs="Arial"/>
          <w:sz w:val="24"/>
          <w:szCs w:val="24"/>
        </w:rPr>
        <w:t xml:space="preserve"> </w:t>
      </w:r>
      <w:r w:rsidR="00835AA0" w:rsidRPr="00252221">
        <w:rPr>
          <w:rFonts w:cs="Arial"/>
          <w:sz w:val="24"/>
          <w:szCs w:val="24"/>
        </w:rPr>
        <w:t xml:space="preserve">que la </w:t>
      </w:r>
      <w:r w:rsidR="00AA6D9D" w:rsidRPr="00252221">
        <w:rPr>
          <w:rFonts w:cs="Arial"/>
          <w:sz w:val="24"/>
          <w:szCs w:val="24"/>
          <w:lang w:val="es-CO"/>
        </w:rPr>
        <w:t xml:space="preserve">parte actora </w:t>
      </w:r>
      <w:r w:rsidR="00835AA0" w:rsidRPr="00252221">
        <w:rPr>
          <w:rFonts w:cs="Arial"/>
          <w:sz w:val="24"/>
          <w:szCs w:val="24"/>
          <w:lang w:val="es-CO"/>
        </w:rPr>
        <w:t xml:space="preserve">haya puesto </w:t>
      </w:r>
      <w:r w:rsidR="00AA6D9D" w:rsidRPr="00252221">
        <w:rPr>
          <w:rFonts w:cs="Arial"/>
          <w:sz w:val="24"/>
          <w:szCs w:val="24"/>
          <w:lang w:val="es-CO"/>
        </w:rPr>
        <w:t xml:space="preserve">en conocimiento </w:t>
      </w:r>
      <w:r w:rsidR="00B1699E" w:rsidRPr="00252221">
        <w:rPr>
          <w:rFonts w:cs="Arial"/>
          <w:sz w:val="24"/>
          <w:szCs w:val="24"/>
          <w:lang w:val="es-CO"/>
        </w:rPr>
        <w:t>de</w:t>
      </w:r>
      <w:r w:rsidR="000E5104" w:rsidRPr="00252221">
        <w:rPr>
          <w:rFonts w:cs="Arial"/>
          <w:sz w:val="24"/>
          <w:szCs w:val="24"/>
          <w:lang w:val="es-CO"/>
        </w:rPr>
        <w:t xml:space="preserve"> </w:t>
      </w:r>
      <w:r w:rsidR="00AA6D9D" w:rsidRPr="00252221">
        <w:rPr>
          <w:rFonts w:cs="Arial"/>
          <w:sz w:val="24"/>
          <w:szCs w:val="24"/>
          <w:lang w:val="es-CO"/>
        </w:rPr>
        <w:t>la compañía de seguros</w:t>
      </w:r>
      <w:r w:rsidR="007F4D7E" w:rsidRPr="00252221">
        <w:rPr>
          <w:rFonts w:cs="Arial"/>
          <w:sz w:val="24"/>
          <w:szCs w:val="24"/>
          <w:lang w:val="es-CO"/>
        </w:rPr>
        <w:t xml:space="preserve"> </w:t>
      </w:r>
      <w:r w:rsidR="000E5104" w:rsidRPr="00252221">
        <w:rPr>
          <w:rFonts w:cs="Arial"/>
          <w:sz w:val="24"/>
          <w:szCs w:val="24"/>
          <w:lang w:val="es-CO"/>
        </w:rPr>
        <w:t xml:space="preserve">que </w:t>
      </w:r>
      <w:r w:rsidR="00AA6D9D" w:rsidRPr="00252221">
        <w:rPr>
          <w:rFonts w:cs="Arial"/>
          <w:sz w:val="24"/>
          <w:szCs w:val="24"/>
          <w:lang w:val="es-CO"/>
        </w:rPr>
        <w:t>Macondo</w:t>
      </w:r>
      <w:r w:rsidR="000E5104" w:rsidRPr="00252221">
        <w:rPr>
          <w:rFonts w:cs="Arial"/>
          <w:sz w:val="24"/>
          <w:szCs w:val="24"/>
          <w:lang w:val="es-CO"/>
        </w:rPr>
        <w:t xml:space="preserve"> incumplió el contrato</w:t>
      </w:r>
      <w:r w:rsidR="000C0A59" w:rsidRPr="00252221">
        <w:rPr>
          <w:rFonts w:cs="Arial"/>
          <w:sz w:val="24"/>
          <w:szCs w:val="24"/>
          <w:lang w:val="es-CO"/>
        </w:rPr>
        <w:t>, ni</w:t>
      </w:r>
      <w:r w:rsidR="00AA6D9D" w:rsidRPr="00252221">
        <w:rPr>
          <w:rFonts w:cs="Arial"/>
          <w:sz w:val="24"/>
          <w:szCs w:val="24"/>
          <w:lang w:val="es-CO"/>
        </w:rPr>
        <w:t xml:space="preserve"> </w:t>
      </w:r>
      <w:r w:rsidR="007D1F17" w:rsidRPr="00252221">
        <w:rPr>
          <w:rFonts w:cs="Arial"/>
          <w:sz w:val="24"/>
          <w:szCs w:val="24"/>
          <w:lang w:val="es-CO"/>
        </w:rPr>
        <w:t xml:space="preserve">mucho menos </w:t>
      </w:r>
      <w:r w:rsidR="00AA6D9D" w:rsidRPr="00252221">
        <w:rPr>
          <w:rFonts w:cs="Arial"/>
          <w:sz w:val="24"/>
          <w:szCs w:val="24"/>
          <w:lang w:val="es-CO"/>
        </w:rPr>
        <w:t xml:space="preserve">que </w:t>
      </w:r>
      <w:r w:rsidR="008659A6" w:rsidRPr="00252221">
        <w:rPr>
          <w:rFonts w:cs="Arial"/>
          <w:sz w:val="24"/>
          <w:szCs w:val="24"/>
          <w:lang w:val="es-CO"/>
        </w:rPr>
        <w:t xml:space="preserve">hubiese </w:t>
      </w:r>
      <w:r w:rsidR="00AA6D9D" w:rsidRPr="00252221">
        <w:rPr>
          <w:rFonts w:cs="Arial"/>
          <w:sz w:val="24"/>
          <w:szCs w:val="24"/>
          <w:lang w:val="es-CO"/>
        </w:rPr>
        <w:t xml:space="preserve">adelantado </w:t>
      </w:r>
      <w:r w:rsidR="007F4D7E" w:rsidRPr="00252221">
        <w:rPr>
          <w:rFonts w:cs="Arial"/>
          <w:sz w:val="24"/>
          <w:szCs w:val="24"/>
          <w:lang w:val="es-CO"/>
        </w:rPr>
        <w:t>el trámite p</w:t>
      </w:r>
      <w:r w:rsidR="00AA6D9D" w:rsidRPr="00252221">
        <w:rPr>
          <w:rFonts w:cs="Arial"/>
          <w:sz w:val="24"/>
          <w:szCs w:val="24"/>
          <w:lang w:val="es-CO"/>
        </w:rPr>
        <w:t>ara siniestrar la póliza</w:t>
      </w:r>
      <w:r w:rsidR="00815ADA" w:rsidRPr="00252221">
        <w:rPr>
          <w:rFonts w:cs="Arial"/>
          <w:sz w:val="24"/>
          <w:szCs w:val="24"/>
          <w:lang w:val="es-CO"/>
        </w:rPr>
        <w:t>.</w:t>
      </w:r>
      <w:r w:rsidR="00AA6D9D" w:rsidRPr="00252221">
        <w:rPr>
          <w:rFonts w:cs="Arial"/>
          <w:sz w:val="24"/>
          <w:szCs w:val="24"/>
          <w:lang w:val="es-CO"/>
        </w:rPr>
        <w:t xml:space="preserve">  </w:t>
      </w:r>
    </w:p>
    <w:p w14:paraId="24B1081C" w14:textId="77777777" w:rsidR="00E2373D" w:rsidRPr="00252221" w:rsidRDefault="00E2373D" w:rsidP="002263C6">
      <w:pPr>
        <w:rPr>
          <w:rFonts w:ascii="Arial" w:hAnsi="Arial" w:cs="Arial"/>
          <w:lang w:val="es-CO"/>
        </w:rPr>
      </w:pPr>
    </w:p>
    <w:p w14:paraId="3690E447" w14:textId="77777777" w:rsidR="00086654" w:rsidRPr="00252221" w:rsidRDefault="00D627C1" w:rsidP="00086654">
      <w:pPr>
        <w:pStyle w:val="Lista2"/>
        <w:numPr>
          <w:ilvl w:val="0"/>
          <w:numId w:val="11"/>
        </w:numPr>
        <w:tabs>
          <w:tab w:val="left" w:pos="284"/>
        </w:tabs>
        <w:spacing w:line="360" w:lineRule="auto"/>
        <w:ind w:left="0" w:firstLine="0"/>
        <w:jc w:val="both"/>
        <w:rPr>
          <w:rFonts w:ascii="Arial" w:hAnsi="Arial" w:cs="Arial"/>
          <w:b/>
        </w:rPr>
      </w:pPr>
      <w:r w:rsidRPr="00252221">
        <w:rPr>
          <w:rFonts w:ascii="Arial" w:hAnsi="Arial" w:cs="Arial"/>
          <w:b/>
        </w:rPr>
        <w:t>Recurso</w:t>
      </w:r>
      <w:r w:rsidR="000C0A59" w:rsidRPr="00252221">
        <w:rPr>
          <w:rFonts w:ascii="Arial" w:hAnsi="Arial" w:cs="Arial"/>
          <w:b/>
        </w:rPr>
        <w:t xml:space="preserve"> de apelación</w:t>
      </w:r>
    </w:p>
    <w:p w14:paraId="6F9243EB" w14:textId="77777777" w:rsidR="00086654" w:rsidRPr="00252221" w:rsidRDefault="00086654" w:rsidP="002263C6">
      <w:pPr>
        <w:rPr>
          <w:rFonts w:ascii="Arial" w:hAnsi="Arial" w:cs="Arial"/>
        </w:rPr>
      </w:pPr>
    </w:p>
    <w:p w14:paraId="59447D30" w14:textId="77777777" w:rsidR="00B87EE3" w:rsidRPr="00252221" w:rsidRDefault="00B87EE3" w:rsidP="00BC6127">
      <w:pPr>
        <w:pStyle w:val="BodyText21"/>
        <w:spacing w:line="360" w:lineRule="auto"/>
        <w:rPr>
          <w:rFonts w:cs="Arial"/>
          <w:szCs w:val="24"/>
        </w:rPr>
      </w:pPr>
      <w:r w:rsidRPr="00252221">
        <w:rPr>
          <w:rFonts w:cs="Arial"/>
          <w:szCs w:val="24"/>
        </w:rPr>
        <w:t>Inconforme con la anterior decisión, l</w:t>
      </w:r>
      <w:r w:rsidR="00D77499" w:rsidRPr="00252221">
        <w:rPr>
          <w:rFonts w:cs="Arial"/>
          <w:szCs w:val="24"/>
        </w:rPr>
        <w:t>a parte demandante interpuso recurso de apelación</w:t>
      </w:r>
      <w:r w:rsidR="00265719" w:rsidRPr="00252221">
        <w:rPr>
          <w:rFonts w:cs="Arial"/>
          <w:szCs w:val="24"/>
        </w:rPr>
        <w:t xml:space="preserve"> con el fin de obtener su revocatoria</w:t>
      </w:r>
      <w:r w:rsidR="004C0837" w:rsidRPr="00252221">
        <w:rPr>
          <w:rFonts w:cs="Arial"/>
          <w:szCs w:val="24"/>
        </w:rPr>
        <w:t xml:space="preserve">, pues, a su juicio, </w:t>
      </w:r>
      <w:r w:rsidRPr="00252221">
        <w:rPr>
          <w:rFonts w:cs="Arial"/>
          <w:szCs w:val="24"/>
        </w:rPr>
        <w:t>a la luz de lo establecido en numeral 3</w:t>
      </w:r>
      <w:r w:rsidR="00E3760C" w:rsidRPr="00252221">
        <w:rPr>
          <w:rStyle w:val="Refdenotaalpie"/>
          <w:rFonts w:cs="Arial"/>
          <w:szCs w:val="24"/>
        </w:rPr>
        <w:footnoteReference w:id="2"/>
      </w:r>
      <w:r w:rsidRPr="00252221">
        <w:rPr>
          <w:rFonts w:cs="Arial"/>
          <w:szCs w:val="24"/>
        </w:rPr>
        <w:t xml:space="preserve"> del artículo 297 de la Ley 1437 de 2011, constituyen título </w:t>
      </w:r>
      <w:r w:rsidR="000C0A59" w:rsidRPr="00252221">
        <w:rPr>
          <w:rFonts w:cs="Arial"/>
          <w:szCs w:val="24"/>
        </w:rPr>
        <w:t>ejecutivo compuesto el contrato</w:t>
      </w:r>
      <w:r w:rsidR="00491A2E" w:rsidRPr="00252221">
        <w:rPr>
          <w:rFonts w:cs="Arial"/>
          <w:szCs w:val="24"/>
        </w:rPr>
        <w:t>,</w:t>
      </w:r>
      <w:r w:rsidRPr="00252221">
        <w:rPr>
          <w:rFonts w:cs="Arial"/>
          <w:szCs w:val="24"/>
        </w:rPr>
        <w:t xml:space="preserve"> los documentos en que consten las garantías </w:t>
      </w:r>
      <w:r w:rsidR="001477A2" w:rsidRPr="00252221">
        <w:rPr>
          <w:rFonts w:cs="Arial"/>
          <w:szCs w:val="24"/>
        </w:rPr>
        <w:t>y el</w:t>
      </w:r>
      <w:r w:rsidR="00265719" w:rsidRPr="00252221">
        <w:rPr>
          <w:rFonts w:cs="Arial"/>
          <w:szCs w:val="24"/>
        </w:rPr>
        <w:t xml:space="preserve"> acto administrativo </w:t>
      </w:r>
      <w:r w:rsidR="001477A2" w:rsidRPr="00252221">
        <w:rPr>
          <w:rFonts w:cs="Arial"/>
          <w:szCs w:val="24"/>
        </w:rPr>
        <w:t xml:space="preserve">en </w:t>
      </w:r>
      <w:r w:rsidR="00265719" w:rsidRPr="00252221">
        <w:rPr>
          <w:rFonts w:cs="Arial"/>
          <w:szCs w:val="24"/>
        </w:rPr>
        <w:t xml:space="preserve">el que </w:t>
      </w:r>
      <w:r w:rsidR="001477A2" w:rsidRPr="00252221">
        <w:rPr>
          <w:rFonts w:cs="Arial"/>
          <w:szCs w:val="24"/>
        </w:rPr>
        <w:t xml:space="preserve">se </w:t>
      </w:r>
      <w:r w:rsidRPr="00252221">
        <w:rPr>
          <w:rFonts w:cs="Arial"/>
          <w:szCs w:val="24"/>
        </w:rPr>
        <w:t>declara el incumplimiento, el acta de liquidación del contrato o cualquier otro en</w:t>
      </w:r>
      <w:r w:rsidR="00265719" w:rsidRPr="00252221">
        <w:rPr>
          <w:rFonts w:cs="Arial"/>
          <w:szCs w:val="24"/>
        </w:rPr>
        <w:t xml:space="preserve"> el que </w:t>
      </w:r>
      <w:r w:rsidR="00085A5E" w:rsidRPr="00252221">
        <w:rPr>
          <w:rFonts w:cs="Arial"/>
          <w:szCs w:val="24"/>
        </w:rPr>
        <w:t>se consignen</w:t>
      </w:r>
      <w:r w:rsidRPr="00252221">
        <w:rPr>
          <w:rFonts w:cs="Arial"/>
          <w:szCs w:val="24"/>
        </w:rPr>
        <w:t xml:space="preserve"> obligaciones claras, expresas y exigibles. </w:t>
      </w:r>
    </w:p>
    <w:p w14:paraId="33838D27" w14:textId="77777777" w:rsidR="00612702" w:rsidRPr="00252221" w:rsidRDefault="00835AA0" w:rsidP="008E5DC7">
      <w:pPr>
        <w:pStyle w:val="BodyText21"/>
        <w:spacing w:line="360" w:lineRule="auto"/>
        <w:rPr>
          <w:rFonts w:cs="Arial"/>
          <w:szCs w:val="24"/>
        </w:rPr>
      </w:pPr>
      <w:r w:rsidRPr="00252221">
        <w:rPr>
          <w:rFonts w:cs="Arial"/>
          <w:szCs w:val="24"/>
        </w:rPr>
        <w:t xml:space="preserve">Por lo anterior, </w:t>
      </w:r>
      <w:r w:rsidR="001477A2" w:rsidRPr="00252221">
        <w:rPr>
          <w:rFonts w:cs="Arial"/>
          <w:szCs w:val="24"/>
        </w:rPr>
        <w:t xml:space="preserve">según el </w:t>
      </w:r>
      <w:r w:rsidRPr="00252221">
        <w:rPr>
          <w:rFonts w:cs="Arial"/>
          <w:szCs w:val="24"/>
        </w:rPr>
        <w:t>recurrente</w:t>
      </w:r>
      <w:r w:rsidR="00612702" w:rsidRPr="00252221">
        <w:rPr>
          <w:rFonts w:cs="Arial"/>
          <w:szCs w:val="24"/>
        </w:rPr>
        <w:t>,</w:t>
      </w:r>
      <w:r w:rsidR="00B07EA5" w:rsidRPr="00252221">
        <w:rPr>
          <w:rFonts w:cs="Arial"/>
          <w:szCs w:val="24"/>
        </w:rPr>
        <w:t xml:space="preserve"> no</w:t>
      </w:r>
      <w:r w:rsidR="001477A2" w:rsidRPr="00252221">
        <w:rPr>
          <w:rFonts w:cs="Arial"/>
          <w:szCs w:val="24"/>
        </w:rPr>
        <w:t xml:space="preserve"> resulta aceptable que se le </w:t>
      </w:r>
      <w:r w:rsidR="00B07EA5" w:rsidRPr="00252221">
        <w:rPr>
          <w:rFonts w:cs="Arial"/>
          <w:szCs w:val="24"/>
        </w:rPr>
        <w:t>exi</w:t>
      </w:r>
      <w:r w:rsidR="001477A2" w:rsidRPr="00252221">
        <w:rPr>
          <w:rFonts w:cs="Arial"/>
          <w:szCs w:val="24"/>
        </w:rPr>
        <w:t xml:space="preserve">ja </w:t>
      </w:r>
      <w:r w:rsidR="00B07EA5" w:rsidRPr="00252221">
        <w:rPr>
          <w:rFonts w:cs="Arial"/>
          <w:szCs w:val="24"/>
        </w:rPr>
        <w:t xml:space="preserve">un </w:t>
      </w:r>
      <w:r w:rsidR="00612702" w:rsidRPr="00252221">
        <w:rPr>
          <w:rFonts w:cs="Arial"/>
          <w:szCs w:val="24"/>
        </w:rPr>
        <w:t xml:space="preserve">acto administrativo en el que </w:t>
      </w:r>
      <w:r w:rsidR="00B07EA5" w:rsidRPr="00252221">
        <w:rPr>
          <w:rFonts w:cs="Arial"/>
          <w:szCs w:val="24"/>
        </w:rPr>
        <w:t>conste la declaratoria d</w:t>
      </w:r>
      <w:r w:rsidRPr="00252221">
        <w:rPr>
          <w:rFonts w:cs="Arial"/>
          <w:szCs w:val="24"/>
        </w:rPr>
        <w:t>e</w:t>
      </w:r>
      <w:r w:rsidR="00265719" w:rsidRPr="00252221">
        <w:rPr>
          <w:rFonts w:cs="Arial"/>
          <w:szCs w:val="24"/>
        </w:rPr>
        <w:t xml:space="preserve"> incumplimiento del contrato</w:t>
      </w:r>
      <w:r w:rsidR="001477A2" w:rsidRPr="00252221">
        <w:rPr>
          <w:rFonts w:cs="Arial"/>
          <w:szCs w:val="24"/>
        </w:rPr>
        <w:t>,</w:t>
      </w:r>
      <w:r w:rsidR="00265719" w:rsidRPr="00252221">
        <w:rPr>
          <w:rFonts w:cs="Arial"/>
          <w:szCs w:val="24"/>
        </w:rPr>
        <w:t xml:space="preserve"> </w:t>
      </w:r>
      <w:r w:rsidRPr="00252221">
        <w:rPr>
          <w:rFonts w:cs="Arial"/>
          <w:szCs w:val="24"/>
        </w:rPr>
        <w:t xml:space="preserve">teniendo en cuenta </w:t>
      </w:r>
      <w:r w:rsidR="001477A2" w:rsidRPr="00252221">
        <w:rPr>
          <w:rFonts w:cs="Arial"/>
          <w:szCs w:val="24"/>
        </w:rPr>
        <w:t>que</w:t>
      </w:r>
      <w:r w:rsidR="00B1699E" w:rsidRPr="00252221">
        <w:rPr>
          <w:rFonts w:cs="Arial"/>
          <w:szCs w:val="24"/>
        </w:rPr>
        <w:t xml:space="preserve"> </w:t>
      </w:r>
      <w:r w:rsidR="00612702" w:rsidRPr="00252221">
        <w:rPr>
          <w:rFonts w:cs="Arial"/>
          <w:szCs w:val="24"/>
        </w:rPr>
        <w:t xml:space="preserve">con la demanda </w:t>
      </w:r>
      <w:r w:rsidR="00265719" w:rsidRPr="00252221">
        <w:rPr>
          <w:rFonts w:cs="Arial"/>
          <w:szCs w:val="24"/>
        </w:rPr>
        <w:t xml:space="preserve">aportó </w:t>
      </w:r>
      <w:r w:rsidR="00612702" w:rsidRPr="00252221">
        <w:rPr>
          <w:rFonts w:cs="Arial"/>
          <w:szCs w:val="24"/>
        </w:rPr>
        <w:t>el acta de liquidación unilateral</w:t>
      </w:r>
      <w:r w:rsidR="00B07EA5" w:rsidRPr="00252221">
        <w:rPr>
          <w:rFonts w:cs="Arial"/>
          <w:szCs w:val="24"/>
        </w:rPr>
        <w:t xml:space="preserve"> del 27 de noviembre de 2012,</w:t>
      </w:r>
      <w:r w:rsidRPr="00252221">
        <w:rPr>
          <w:rFonts w:cs="Arial"/>
          <w:szCs w:val="24"/>
        </w:rPr>
        <w:t xml:space="preserve"> </w:t>
      </w:r>
      <w:r w:rsidR="00612702" w:rsidRPr="00252221">
        <w:rPr>
          <w:rFonts w:cs="Arial"/>
          <w:szCs w:val="24"/>
        </w:rPr>
        <w:t xml:space="preserve">los documentos contractuales y </w:t>
      </w:r>
      <w:r w:rsidR="001477A2" w:rsidRPr="00252221">
        <w:rPr>
          <w:rFonts w:cs="Arial"/>
          <w:szCs w:val="24"/>
        </w:rPr>
        <w:t xml:space="preserve">sus </w:t>
      </w:r>
      <w:r w:rsidR="00265719" w:rsidRPr="00252221">
        <w:rPr>
          <w:rFonts w:cs="Arial"/>
          <w:szCs w:val="24"/>
        </w:rPr>
        <w:t>respectivas</w:t>
      </w:r>
      <w:r w:rsidR="00612702" w:rsidRPr="00252221">
        <w:rPr>
          <w:rFonts w:cs="Arial"/>
          <w:szCs w:val="24"/>
        </w:rPr>
        <w:t xml:space="preserve"> pólizas</w:t>
      </w:r>
      <w:r w:rsidRPr="00252221">
        <w:rPr>
          <w:rFonts w:cs="Arial"/>
          <w:szCs w:val="24"/>
        </w:rPr>
        <w:t xml:space="preserve">, </w:t>
      </w:r>
      <w:r w:rsidR="000C0A59" w:rsidRPr="00252221">
        <w:rPr>
          <w:rFonts w:cs="Arial"/>
          <w:szCs w:val="24"/>
        </w:rPr>
        <w:t xml:space="preserve">con los cuales </w:t>
      </w:r>
      <w:r w:rsidRPr="00252221">
        <w:rPr>
          <w:rFonts w:cs="Arial"/>
          <w:szCs w:val="24"/>
        </w:rPr>
        <w:t>qued</w:t>
      </w:r>
      <w:r w:rsidR="000C0A59" w:rsidRPr="00252221">
        <w:rPr>
          <w:rFonts w:cs="Arial"/>
          <w:szCs w:val="24"/>
        </w:rPr>
        <w:t xml:space="preserve">ó </w:t>
      </w:r>
      <w:r w:rsidR="00DF4FC4" w:rsidRPr="00252221">
        <w:rPr>
          <w:rFonts w:cs="Arial"/>
          <w:szCs w:val="24"/>
        </w:rPr>
        <w:t>c</w:t>
      </w:r>
      <w:r w:rsidR="00B07EA5" w:rsidRPr="00252221">
        <w:rPr>
          <w:rFonts w:cs="Arial"/>
          <w:szCs w:val="24"/>
        </w:rPr>
        <w:t>onstitu</w:t>
      </w:r>
      <w:r w:rsidR="001477A2" w:rsidRPr="00252221">
        <w:rPr>
          <w:rFonts w:cs="Arial"/>
          <w:szCs w:val="24"/>
        </w:rPr>
        <w:t>ido e</w:t>
      </w:r>
      <w:r w:rsidR="00612702" w:rsidRPr="00252221">
        <w:rPr>
          <w:rFonts w:cs="Arial"/>
          <w:szCs w:val="24"/>
        </w:rPr>
        <w:t xml:space="preserve">l título ejecutivo exigible frente a </w:t>
      </w:r>
      <w:r w:rsidR="00B07EA5" w:rsidRPr="00252221">
        <w:rPr>
          <w:rFonts w:cs="Arial"/>
          <w:szCs w:val="24"/>
        </w:rPr>
        <w:t xml:space="preserve">la </w:t>
      </w:r>
      <w:r w:rsidR="00612702" w:rsidRPr="00252221">
        <w:rPr>
          <w:rFonts w:cs="Arial"/>
          <w:szCs w:val="24"/>
        </w:rPr>
        <w:t>compañía aseguradora.</w:t>
      </w:r>
    </w:p>
    <w:p w14:paraId="58CAEE87" w14:textId="77777777" w:rsidR="00612702" w:rsidRPr="00252221" w:rsidRDefault="00612702" w:rsidP="002263C6">
      <w:pPr>
        <w:rPr>
          <w:rFonts w:ascii="Arial" w:hAnsi="Arial" w:cs="Arial"/>
          <w:lang w:val="es-ES_tradnl"/>
        </w:rPr>
      </w:pPr>
    </w:p>
    <w:p w14:paraId="7C2D9751" w14:textId="77777777" w:rsidR="00612702" w:rsidRPr="00252221" w:rsidRDefault="00835AA0" w:rsidP="008E5DC7">
      <w:pPr>
        <w:pStyle w:val="BodyText21"/>
        <w:spacing w:line="360" w:lineRule="auto"/>
        <w:rPr>
          <w:rFonts w:cs="Arial"/>
          <w:szCs w:val="24"/>
        </w:rPr>
      </w:pPr>
      <w:r w:rsidRPr="00252221">
        <w:rPr>
          <w:rFonts w:cs="Arial"/>
          <w:szCs w:val="24"/>
        </w:rPr>
        <w:t xml:space="preserve">Añadió, que </w:t>
      </w:r>
      <w:r w:rsidR="00085A5E" w:rsidRPr="00252221">
        <w:rPr>
          <w:rFonts w:cs="Arial"/>
          <w:szCs w:val="24"/>
        </w:rPr>
        <w:t xml:space="preserve">Confianza </w:t>
      </w:r>
      <w:r w:rsidR="00612702" w:rsidRPr="00252221">
        <w:rPr>
          <w:rFonts w:cs="Arial"/>
          <w:szCs w:val="24"/>
        </w:rPr>
        <w:t xml:space="preserve">tuvo la oportunidad de </w:t>
      </w:r>
      <w:r w:rsidRPr="00252221">
        <w:rPr>
          <w:rFonts w:cs="Arial"/>
          <w:szCs w:val="24"/>
        </w:rPr>
        <w:t xml:space="preserve">defender </w:t>
      </w:r>
      <w:r w:rsidR="00612702" w:rsidRPr="00252221">
        <w:rPr>
          <w:rFonts w:cs="Arial"/>
          <w:szCs w:val="24"/>
        </w:rPr>
        <w:t xml:space="preserve">sus intereses en sede administrativa, </w:t>
      </w:r>
      <w:r w:rsidRPr="00252221">
        <w:rPr>
          <w:rFonts w:cs="Arial"/>
          <w:szCs w:val="24"/>
        </w:rPr>
        <w:t xml:space="preserve">pues fue </w:t>
      </w:r>
      <w:r w:rsidR="00DF4FC4" w:rsidRPr="00252221">
        <w:rPr>
          <w:rFonts w:cs="Arial"/>
          <w:szCs w:val="24"/>
        </w:rPr>
        <w:t xml:space="preserve">convocada </w:t>
      </w:r>
      <w:r w:rsidRPr="00252221">
        <w:rPr>
          <w:rFonts w:cs="Arial"/>
          <w:szCs w:val="24"/>
        </w:rPr>
        <w:t xml:space="preserve">junto con el </w:t>
      </w:r>
      <w:r w:rsidR="00DF4FC4" w:rsidRPr="00252221">
        <w:rPr>
          <w:rFonts w:cs="Arial"/>
          <w:szCs w:val="24"/>
        </w:rPr>
        <w:t>contratista a</w:t>
      </w:r>
      <w:r w:rsidR="00B1699E" w:rsidRPr="00252221">
        <w:rPr>
          <w:rFonts w:cs="Arial"/>
          <w:szCs w:val="24"/>
        </w:rPr>
        <w:t>l</w:t>
      </w:r>
      <w:r w:rsidR="00612702" w:rsidRPr="00252221">
        <w:rPr>
          <w:rFonts w:cs="Arial"/>
          <w:szCs w:val="24"/>
        </w:rPr>
        <w:t xml:space="preserve"> proceso de liquidación del contrato</w:t>
      </w:r>
      <w:r w:rsidR="00DF4FC4" w:rsidRPr="00252221">
        <w:rPr>
          <w:rFonts w:cs="Arial"/>
          <w:szCs w:val="24"/>
        </w:rPr>
        <w:t>,</w:t>
      </w:r>
      <w:r w:rsidRPr="00252221">
        <w:rPr>
          <w:rFonts w:cs="Arial"/>
          <w:szCs w:val="24"/>
        </w:rPr>
        <w:t xml:space="preserve"> tal y</w:t>
      </w:r>
      <w:r w:rsidR="00612702" w:rsidRPr="00252221">
        <w:rPr>
          <w:rFonts w:cs="Arial"/>
          <w:szCs w:val="24"/>
        </w:rPr>
        <w:t xml:space="preserve"> como se</w:t>
      </w:r>
      <w:r w:rsidR="00DF4FC4" w:rsidRPr="00252221">
        <w:rPr>
          <w:rFonts w:cs="Arial"/>
          <w:szCs w:val="24"/>
        </w:rPr>
        <w:t xml:space="preserve"> </w:t>
      </w:r>
      <w:r w:rsidRPr="00252221">
        <w:rPr>
          <w:rFonts w:cs="Arial"/>
          <w:szCs w:val="24"/>
        </w:rPr>
        <w:t xml:space="preserve">lee </w:t>
      </w:r>
      <w:r w:rsidR="00612702" w:rsidRPr="00252221">
        <w:rPr>
          <w:rFonts w:cs="Arial"/>
          <w:szCs w:val="24"/>
        </w:rPr>
        <w:t xml:space="preserve">en las páginas 7 y 10 del acto administrativo del 27 </w:t>
      </w:r>
      <w:r w:rsidR="00612702" w:rsidRPr="00252221">
        <w:rPr>
          <w:rFonts w:cs="Arial"/>
          <w:szCs w:val="24"/>
        </w:rPr>
        <w:lastRenderedPageBreak/>
        <w:t>de diciembre 2012</w:t>
      </w:r>
      <w:r w:rsidR="00305433" w:rsidRPr="00252221">
        <w:rPr>
          <w:rFonts w:cs="Arial"/>
          <w:szCs w:val="24"/>
        </w:rPr>
        <w:t>,</w:t>
      </w:r>
      <w:r w:rsidRPr="00252221">
        <w:rPr>
          <w:rFonts w:cs="Arial"/>
          <w:szCs w:val="24"/>
        </w:rPr>
        <w:t xml:space="preserve"> en las que se dice</w:t>
      </w:r>
      <w:r w:rsidR="00B1699E" w:rsidRPr="00252221">
        <w:rPr>
          <w:rFonts w:cs="Arial"/>
          <w:szCs w:val="24"/>
        </w:rPr>
        <w:t>: i)</w:t>
      </w:r>
      <w:r w:rsidRPr="00252221">
        <w:rPr>
          <w:rFonts w:cs="Arial"/>
          <w:szCs w:val="24"/>
        </w:rPr>
        <w:t xml:space="preserve"> que </w:t>
      </w:r>
      <w:r w:rsidR="00612702" w:rsidRPr="00252221">
        <w:rPr>
          <w:rFonts w:cs="Arial"/>
          <w:i/>
          <w:szCs w:val="24"/>
        </w:rPr>
        <w:t>“</w:t>
      </w:r>
      <w:r w:rsidR="000C0A59" w:rsidRPr="00252221">
        <w:rPr>
          <w:rFonts w:cs="Arial"/>
          <w:i/>
          <w:szCs w:val="24"/>
        </w:rPr>
        <w:t>… t</w:t>
      </w:r>
      <w:r w:rsidR="00CD66F4" w:rsidRPr="00252221">
        <w:rPr>
          <w:rFonts w:cs="Arial"/>
          <w:i/>
          <w:szCs w:val="24"/>
        </w:rPr>
        <w:t>odos los incumplimientos anteriormente mencionados, fueron informados al Operador – Constructor reiteradamente a través de comunicados de la Interventoría y de la Contratante de la Construcción, así como en repetidas reuniones, de las cuales destacamos las del 25 de abril de 2012 y las del 16 y 17 de mayo del mismo año, en las cuales se contó con la presencia de representantes de ASEGURADORA DE FIANZAS CONFIANZA S.A. como garantes del contrato y en la cual se expusieron los atrasos e incumplimientos incurridos por AGUAS REGIONAL DE MACONDO S.A. E.S.P.”</w:t>
      </w:r>
      <w:r w:rsidR="00CD66F4" w:rsidRPr="00252221">
        <w:rPr>
          <w:rFonts w:cs="Arial"/>
          <w:szCs w:val="24"/>
        </w:rPr>
        <w:t xml:space="preserve"> y </w:t>
      </w:r>
      <w:r w:rsidR="00147D95" w:rsidRPr="00252221">
        <w:rPr>
          <w:rFonts w:cs="Arial"/>
          <w:szCs w:val="24"/>
        </w:rPr>
        <w:t xml:space="preserve">ii) </w:t>
      </w:r>
      <w:r w:rsidR="00CD66F4" w:rsidRPr="00252221">
        <w:rPr>
          <w:rFonts w:cs="Arial"/>
          <w:szCs w:val="24"/>
        </w:rPr>
        <w:t xml:space="preserve">que </w:t>
      </w:r>
      <w:r w:rsidR="00CD66F4" w:rsidRPr="00252221">
        <w:rPr>
          <w:rFonts w:cs="Arial"/>
          <w:i/>
          <w:szCs w:val="24"/>
        </w:rPr>
        <w:t>“el 21 de septiembre de 2012, se le dio traslado tanto al CONTRATISTA DE LA CONSTRUCCIÓN, AGUAS REGIONAL DE MACONDO S.A. E.S.P. como a la aseguradora Seguros Confianza S.A. del proyecto de acta de liquidación bilateral del POI Año 1, garantizándoles sus derechos constitucion</w:t>
      </w:r>
      <w:r w:rsidR="00305433" w:rsidRPr="00252221">
        <w:rPr>
          <w:rFonts w:cs="Arial"/>
          <w:i/>
          <w:szCs w:val="24"/>
        </w:rPr>
        <w:t xml:space="preserve">ales fundamentales de defensa y </w:t>
      </w:r>
      <w:r w:rsidR="00CD66F4" w:rsidRPr="00252221">
        <w:rPr>
          <w:rFonts w:cs="Arial"/>
          <w:i/>
          <w:szCs w:val="24"/>
        </w:rPr>
        <w:t>debido proceso, otorgándoles un término de diez (10) días para su pronunciamiento acerca del proyecto de acta de liquidación bilateral”</w:t>
      </w:r>
      <w:r w:rsidR="00CD66F4" w:rsidRPr="00252221">
        <w:rPr>
          <w:rFonts w:cs="Arial"/>
          <w:szCs w:val="24"/>
        </w:rPr>
        <w:t xml:space="preserve">.        </w:t>
      </w:r>
    </w:p>
    <w:p w14:paraId="7C12FC4D" w14:textId="77777777" w:rsidR="00F8534F" w:rsidRPr="00252221" w:rsidRDefault="00612702" w:rsidP="002C3AF5">
      <w:pPr>
        <w:pStyle w:val="Textonotapie"/>
        <w:rPr>
          <w:rStyle w:val="nfasis"/>
          <w:rFonts w:ascii="Arial" w:hAnsi="Arial" w:cs="Arial"/>
          <w:sz w:val="24"/>
          <w:szCs w:val="24"/>
        </w:rPr>
      </w:pPr>
      <w:r w:rsidRPr="00252221">
        <w:rPr>
          <w:rFonts w:ascii="Arial" w:hAnsi="Arial" w:cs="Arial"/>
          <w:sz w:val="24"/>
          <w:szCs w:val="24"/>
        </w:rPr>
        <w:t xml:space="preserve">    </w:t>
      </w:r>
    </w:p>
    <w:p w14:paraId="7F661C2A" w14:textId="77777777" w:rsidR="00D84D01" w:rsidRPr="00252221" w:rsidRDefault="00D84D01" w:rsidP="008E5DC7">
      <w:pPr>
        <w:pStyle w:val="BodyText21"/>
        <w:numPr>
          <w:ilvl w:val="0"/>
          <w:numId w:val="10"/>
        </w:numPr>
        <w:spacing w:line="360" w:lineRule="auto"/>
        <w:ind w:left="0" w:firstLine="0"/>
        <w:jc w:val="center"/>
        <w:rPr>
          <w:rFonts w:cs="Arial"/>
          <w:b/>
          <w:szCs w:val="24"/>
        </w:rPr>
      </w:pPr>
      <w:r w:rsidRPr="00252221">
        <w:rPr>
          <w:rFonts w:cs="Arial"/>
          <w:b/>
          <w:szCs w:val="24"/>
        </w:rPr>
        <w:t>CONSIDERACIONES</w:t>
      </w:r>
    </w:p>
    <w:p w14:paraId="0B5383C0" w14:textId="77777777" w:rsidR="00E2373D" w:rsidRPr="00252221" w:rsidRDefault="00E2373D" w:rsidP="0051552F">
      <w:pPr>
        <w:rPr>
          <w:rStyle w:val="nfasis"/>
          <w:rFonts w:ascii="Arial" w:hAnsi="Arial" w:cs="Arial"/>
          <w:i w:val="0"/>
          <w:iCs w:val="0"/>
        </w:rPr>
      </w:pPr>
    </w:p>
    <w:p w14:paraId="1DF22668" w14:textId="77777777" w:rsidR="00D84D01" w:rsidRPr="00252221" w:rsidRDefault="00D84D01" w:rsidP="009634E0">
      <w:pPr>
        <w:pStyle w:val="BodyText21"/>
        <w:numPr>
          <w:ilvl w:val="0"/>
          <w:numId w:val="12"/>
        </w:numPr>
        <w:tabs>
          <w:tab w:val="left" w:pos="284"/>
        </w:tabs>
        <w:spacing w:line="360" w:lineRule="auto"/>
        <w:ind w:left="0" w:firstLine="0"/>
        <w:rPr>
          <w:rFonts w:cs="Arial"/>
          <w:b/>
          <w:szCs w:val="24"/>
        </w:rPr>
      </w:pPr>
      <w:r w:rsidRPr="00252221">
        <w:rPr>
          <w:rFonts w:cs="Arial"/>
          <w:b/>
          <w:szCs w:val="24"/>
        </w:rPr>
        <w:t>Competencia</w:t>
      </w:r>
    </w:p>
    <w:p w14:paraId="6DB82C76" w14:textId="77777777" w:rsidR="00D84D01" w:rsidRPr="00252221" w:rsidRDefault="00D84D01" w:rsidP="002263C6">
      <w:pPr>
        <w:rPr>
          <w:rFonts w:ascii="Arial" w:hAnsi="Arial" w:cs="Arial"/>
        </w:rPr>
      </w:pPr>
    </w:p>
    <w:p w14:paraId="4D8E8C0C" w14:textId="77777777" w:rsidR="002837F0" w:rsidRPr="00252221" w:rsidRDefault="00D84D01" w:rsidP="002837F0">
      <w:pPr>
        <w:pStyle w:val="Sangra3detindependiente1"/>
        <w:tabs>
          <w:tab w:val="left" w:pos="8789"/>
        </w:tabs>
        <w:ind w:right="20" w:firstLine="0"/>
        <w:rPr>
          <w:rFonts w:ascii="Arial" w:hAnsi="Arial" w:cs="Arial"/>
          <w:sz w:val="24"/>
          <w:szCs w:val="24"/>
        </w:rPr>
      </w:pPr>
      <w:r w:rsidRPr="00252221">
        <w:rPr>
          <w:rFonts w:ascii="Arial" w:hAnsi="Arial" w:cs="Arial"/>
          <w:sz w:val="24"/>
          <w:szCs w:val="24"/>
        </w:rPr>
        <w:t>Esta Corporación es comp</w:t>
      </w:r>
      <w:r w:rsidR="00725A04" w:rsidRPr="00252221">
        <w:rPr>
          <w:rFonts w:ascii="Arial" w:hAnsi="Arial" w:cs="Arial"/>
          <w:sz w:val="24"/>
          <w:szCs w:val="24"/>
        </w:rPr>
        <w:t xml:space="preserve">etente para resolver </w:t>
      </w:r>
      <w:r w:rsidR="00814278" w:rsidRPr="00252221">
        <w:rPr>
          <w:rFonts w:ascii="Arial" w:hAnsi="Arial" w:cs="Arial"/>
          <w:sz w:val="24"/>
          <w:szCs w:val="24"/>
        </w:rPr>
        <w:t xml:space="preserve">el </w:t>
      </w:r>
      <w:r w:rsidR="00725A04" w:rsidRPr="00252221">
        <w:rPr>
          <w:rFonts w:ascii="Arial" w:hAnsi="Arial" w:cs="Arial"/>
          <w:sz w:val="24"/>
          <w:szCs w:val="24"/>
        </w:rPr>
        <w:t>recurso</w:t>
      </w:r>
      <w:r w:rsidRPr="00252221">
        <w:rPr>
          <w:rFonts w:ascii="Arial" w:hAnsi="Arial" w:cs="Arial"/>
          <w:sz w:val="24"/>
          <w:szCs w:val="24"/>
        </w:rPr>
        <w:t xml:space="preserve"> de apelación interpuesto por la parte</w:t>
      </w:r>
      <w:r w:rsidR="00814278" w:rsidRPr="00252221">
        <w:rPr>
          <w:rFonts w:ascii="Arial" w:hAnsi="Arial" w:cs="Arial"/>
          <w:sz w:val="24"/>
          <w:szCs w:val="24"/>
        </w:rPr>
        <w:t xml:space="preserve"> actora</w:t>
      </w:r>
      <w:r w:rsidRPr="00252221">
        <w:rPr>
          <w:rFonts w:ascii="Arial" w:hAnsi="Arial" w:cs="Arial"/>
          <w:sz w:val="24"/>
          <w:szCs w:val="24"/>
        </w:rPr>
        <w:t xml:space="preserve"> contra </w:t>
      </w:r>
      <w:r w:rsidR="00147E6F" w:rsidRPr="00252221">
        <w:rPr>
          <w:rFonts w:ascii="Arial" w:hAnsi="Arial" w:cs="Arial"/>
          <w:sz w:val="24"/>
          <w:szCs w:val="24"/>
        </w:rPr>
        <w:t xml:space="preserve">la decisión </w:t>
      </w:r>
      <w:r w:rsidR="009634E0" w:rsidRPr="00252221">
        <w:rPr>
          <w:rFonts w:ascii="Arial" w:hAnsi="Arial" w:cs="Arial"/>
          <w:sz w:val="24"/>
          <w:szCs w:val="24"/>
        </w:rPr>
        <w:t>d</w:t>
      </w:r>
      <w:r w:rsidR="008C7ED2" w:rsidRPr="00252221">
        <w:rPr>
          <w:rFonts w:ascii="Arial" w:hAnsi="Arial" w:cs="Arial"/>
          <w:sz w:val="24"/>
          <w:szCs w:val="24"/>
        </w:rPr>
        <w:t>el</w:t>
      </w:r>
      <w:r w:rsidR="00950943" w:rsidRPr="00252221">
        <w:rPr>
          <w:rFonts w:ascii="Arial" w:hAnsi="Arial" w:cs="Arial"/>
          <w:sz w:val="24"/>
          <w:szCs w:val="24"/>
        </w:rPr>
        <w:t xml:space="preserve"> </w:t>
      </w:r>
      <w:r w:rsidR="00950943" w:rsidRPr="00252221">
        <w:rPr>
          <w:rFonts w:ascii="Arial" w:hAnsi="Arial" w:cs="Arial"/>
          <w:sz w:val="24"/>
          <w:szCs w:val="24"/>
          <w:lang w:val="es-CO"/>
        </w:rPr>
        <w:t>13 de abril de 2018, proferida</w:t>
      </w:r>
      <w:r w:rsidR="008C7ED2" w:rsidRPr="00252221">
        <w:rPr>
          <w:rFonts w:ascii="Arial" w:hAnsi="Arial" w:cs="Arial"/>
          <w:sz w:val="24"/>
          <w:szCs w:val="24"/>
        </w:rPr>
        <w:t xml:space="preserve"> </w:t>
      </w:r>
      <w:r w:rsidR="00950943" w:rsidRPr="00252221">
        <w:rPr>
          <w:rFonts w:ascii="Arial" w:hAnsi="Arial" w:cs="Arial"/>
          <w:sz w:val="24"/>
          <w:szCs w:val="24"/>
        </w:rPr>
        <w:t xml:space="preserve">por el </w:t>
      </w:r>
      <w:r w:rsidR="008C7ED2" w:rsidRPr="00252221">
        <w:rPr>
          <w:rFonts w:ascii="Arial" w:hAnsi="Arial" w:cs="Arial"/>
          <w:sz w:val="24"/>
          <w:szCs w:val="24"/>
        </w:rPr>
        <w:t>Tribunal Administrativo de</w:t>
      </w:r>
      <w:r w:rsidR="00385379" w:rsidRPr="00252221">
        <w:rPr>
          <w:rFonts w:ascii="Arial" w:hAnsi="Arial" w:cs="Arial"/>
          <w:sz w:val="24"/>
          <w:szCs w:val="24"/>
        </w:rPr>
        <w:t>l Magdalena</w:t>
      </w:r>
      <w:r w:rsidR="00950943" w:rsidRPr="00252221">
        <w:rPr>
          <w:rFonts w:ascii="Arial" w:hAnsi="Arial" w:cs="Arial"/>
          <w:sz w:val="24"/>
          <w:szCs w:val="24"/>
        </w:rPr>
        <w:t xml:space="preserve">, </w:t>
      </w:r>
      <w:r w:rsidR="004C0837" w:rsidRPr="00252221">
        <w:rPr>
          <w:rFonts w:ascii="Arial" w:hAnsi="Arial" w:cs="Arial"/>
          <w:sz w:val="24"/>
          <w:szCs w:val="24"/>
          <w:lang w:val="es-CO"/>
        </w:rPr>
        <w:t xml:space="preserve">de conformidad con el </w:t>
      </w:r>
      <w:r w:rsidR="00147D95" w:rsidRPr="00252221">
        <w:rPr>
          <w:rFonts w:ascii="Arial" w:hAnsi="Arial" w:cs="Arial"/>
          <w:sz w:val="24"/>
          <w:szCs w:val="24"/>
        </w:rPr>
        <w:t xml:space="preserve">numeral </w:t>
      </w:r>
      <w:r w:rsidR="00FE6DDC" w:rsidRPr="00252221">
        <w:rPr>
          <w:rFonts w:ascii="Arial" w:hAnsi="Arial" w:cs="Arial"/>
          <w:sz w:val="24"/>
          <w:szCs w:val="24"/>
        </w:rPr>
        <w:t>4</w:t>
      </w:r>
      <w:r w:rsidR="00BE1D32" w:rsidRPr="00252221">
        <w:rPr>
          <w:rFonts w:ascii="Arial" w:hAnsi="Arial" w:cs="Arial"/>
          <w:sz w:val="24"/>
          <w:szCs w:val="24"/>
        </w:rPr>
        <w:t xml:space="preserve"> del</w:t>
      </w:r>
      <w:r w:rsidR="00E3140D" w:rsidRPr="00252221">
        <w:rPr>
          <w:rFonts w:ascii="Arial" w:hAnsi="Arial" w:cs="Arial"/>
          <w:sz w:val="24"/>
          <w:szCs w:val="24"/>
        </w:rPr>
        <w:t xml:space="preserve"> artículo </w:t>
      </w:r>
      <w:r w:rsidR="00FE6DDC" w:rsidRPr="00252221">
        <w:rPr>
          <w:rFonts w:ascii="Arial" w:hAnsi="Arial" w:cs="Arial"/>
          <w:sz w:val="24"/>
          <w:szCs w:val="24"/>
        </w:rPr>
        <w:t>321</w:t>
      </w:r>
      <w:r w:rsidR="00FE6DDC" w:rsidRPr="00252221">
        <w:rPr>
          <w:rStyle w:val="Refdenotaalpie"/>
          <w:rFonts w:ascii="Arial" w:hAnsi="Arial" w:cs="Arial"/>
          <w:sz w:val="24"/>
          <w:szCs w:val="24"/>
        </w:rPr>
        <w:footnoteReference w:id="3"/>
      </w:r>
      <w:r w:rsidR="00FB4C8D" w:rsidRPr="00252221">
        <w:rPr>
          <w:rFonts w:ascii="Arial" w:hAnsi="Arial" w:cs="Arial"/>
          <w:sz w:val="24"/>
          <w:szCs w:val="24"/>
        </w:rPr>
        <w:t xml:space="preserve"> </w:t>
      </w:r>
      <w:r w:rsidRPr="00252221">
        <w:rPr>
          <w:rFonts w:ascii="Arial" w:hAnsi="Arial" w:cs="Arial"/>
          <w:sz w:val="24"/>
          <w:szCs w:val="24"/>
        </w:rPr>
        <w:t xml:space="preserve">del </w:t>
      </w:r>
      <w:r w:rsidR="00950943" w:rsidRPr="00252221">
        <w:rPr>
          <w:rFonts w:ascii="Arial" w:hAnsi="Arial" w:cs="Arial"/>
          <w:sz w:val="24"/>
          <w:szCs w:val="24"/>
        </w:rPr>
        <w:t>C</w:t>
      </w:r>
      <w:r w:rsidR="00FE6DDC" w:rsidRPr="00252221">
        <w:rPr>
          <w:rFonts w:ascii="Arial" w:hAnsi="Arial" w:cs="Arial"/>
          <w:sz w:val="24"/>
          <w:szCs w:val="24"/>
        </w:rPr>
        <w:t>ódigo General del Proceso</w:t>
      </w:r>
      <w:r w:rsidR="00950943" w:rsidRPr="00252221">
        <w:rPr>
          <w:rFonts w:ascii="Arial" w:hAnsi="Arial" w:cs="Arial"/>
          <w:sz w:val="24"/>
          <w:szCs w:val="24"/>
        </w:rPr>
        <w:t>,</w:t>
      </w:r>
      <w:r w:rsidR="00FE6DDC" w:rsidRPr="00252221">
        <w:rPr>
          <w:rFonts w:ascii="Arial" w:hAnsi="Arial" w:cs="Arial"/>
          <w:sz w:val="24"/>
          <w:szCs w:val="24"/>
        </w:rPr>
        <w:t xml:space="preserve"> aplicable a los asuntos ejecutivos por remisión expresa del artículo 299</w:t>
      </w:r>
      <w:r w:rsidR="00FE6DDC" w:rsidRPr="00252221">
        <w:rPr>
          <w:rStyle w:val="Refdenotaalpie"/>
          <w:rFonts w:ascii="Arial" w:hAnsi="Arial" w:cs="Arial"/>
          <w:sz w:val="24"/>
          <w:szCs w:val="24"/>
        </w:rPr>
        <w:footnoteReference w:id="4"/>
      </w:r>
      <w:r w:rsidR="00FE6DDC" w:rsidRPr="00252221">
        <w:rPr>
          <w:rFonts w:ascii="Arial" w:hAnsi="Arial" w:cs="Arial"/>
          <w:sz w:val="24"/>
          <w:szCs w:val="24"/>
        </w:rPr>
        <w:t xml:space="preserve"> del Código de Procedimiento Administrativo y de lo Contencioso Administrativo</w:t>
      </w:r>
      <w:r w:rsidR="00950943" w:rsidRPr="00252221">
        <w:rPr>
          <w:rFonts w:ascii="Arial" w:hAnsi="Arial" w:cs="Arial"/>
          <w:sz w:val="24"/>
          <w:szCs w:val="24"/>
          <w:lang w:val="es-CO"/>
        </w:rPr>
        <w:t>.</w:t>
      </w:r>
      <w:r w:rsidR="00950943" w:rsidRPr="00252221">
        <w:rPr>
          <w:rFonts w:ascii="Arial" w:hAnsi="Arial" w:cs="Arial"/>
          <w:sz w:val="24"/>
          <w:szCs w:val="24"/>
        </w:rPr>
        <w:t xml:space="preserve">  </w:t>
      </w:r>
      <w:r w:rsidR="00147D95" w:rsidRPr="00252221">
        <w:rPr>
          <w:rFonts w:ascii="Arial" w:hAnsi="Arial" w:cs="Arial"/>
          <w:sz w:val="24"/>
          <w:szCs w:val="24"/>
        </w:rPr>
        <w:t xml:space="preserve"> </w:t>
      </w:r>
      <w:r w:rsidR="00385379" w:rsidRPr="00252221">
        <w:rPr>
          <w:rFonts w:ascii="Arial" w:hAnsi="Arial" w:cs="Arial"/>
          <w:sz w:val="24"/>
          <w:szCs w:val="24"/>
        </w:rPr>
        <w:t xml:space="preserve">  </w:t>
      </w:r>
    </w:p>
    <w:p w14:paraId="709F98D3" w14:textId="77777777" w:rsidR="00FE6DDC" w:rsidRPr="00252221" w:rsidRDefault="00FE6DDC" w:rsidP="002837F0">
      <w:pPr>
        <w:pStyle w:val="Sangra3detindependiente1"/>
        <w:tabs>
          <w:tab w:val="left" w:pos="8789"/>
        </w:tabs>
        <w:ind w:right="20" w:firstLine="0"/>
        <w:rPr>
          <w:rFonts w:ascii="Arial" w:hAnsi="Arial" w:cs="Arial"/>
          <w:sz w:val="24"/>
          <w:szCs w:val="24"/>
        </w:rPr>
      </w:pPr>
    </w:p>
    <w:p w14:paraId="35B6C925" w14:textId="77777777" w:rsidR="00AF5364" w:rsidRPr="00252221" w:rsidRDefault="00BC6127" w:rsidP="00AF5364">
      <w:pPr>
        <w:numPr>
          <w:ilvl w:val="0"/>
          <w:numId w:val="12"/>
        </w:numPr>
        <w:suppressAutoHyphens/>
        <w:overflowPunct w:val="0"/>
        <w:autoSpaceDE w:val="0"/>
        <w:spacing w:line="360" w:lineRule="auto"/>
        <w:ind w:left="426"/>
        <w:jc w:val="both"/>
        <w:textAlignment w:val="baseline"/>
        <w:rPr>
          <w:rFonts w:ascii="Arial" w:hAnsi="Arial" w:cs="Arial"/>
          <w:b/>
          <w:lang w:val="es-ES_tradnl" w:eastAsia="zh-CN"/>
        </w:rPr>
      </w:pPr>
      <w:r w:rsidRPr="00252221">
        <w:rPr>
          <w:rFonts w:ascii="Arial" w:hAnsi="Arial" w:cs="Arial"/>
          <w:b/>
          <w:lang w:val="es-ES_tradnl" w:eastAsia="zh-CN"/>
        </w:rPr>
        <w:t>Título ejecutivo</w:t>
      </w:r>
    </w:p>
    <w:p w14:paraId="404F58E6" w14:textId="77777777" w:rsidR="00AF5364" w:rsidRPr="00252221" w:rsidRDefault="00AF5364" w:rsidP="002263C6">
      <w:pPr>
        <w:rPr>
          <w:rFonts w:ascii="Arial" w:hAnsi="Arial" w:cs="Arial"/>
          <w:lang w:val="es-ES_tradnl" w:eastAsia="zh-CN"/>
        </w:rPr>
      </w:pPr>
    </w:p>
    <w:p w14:paraId="3F123BD5" w14:textId="77777777" w:rsidR="00AF5364" w:rsidRPr="00252221" w:rsidRDefault="00AF5364" w:rsidP="00AF5364">
      <w:pPr>
        <w:suppressAutoHyphens/>
        <w:overflowPunct w:val="0"/>
        <w:autoSpaceDE w:val="0"/>
        <w:spacing w:line="360" w:lineRule="auto"/>
        <w:jc w:val="both"/>
        <w:textAlignment w:val="baseline"/>
        <w:rPr>
          <w:rFonts w:ascii="Arial" w:hAnsi="Arial" w:cs="Arial"/>
          <w:lang w:val="es-ES_tradnl" w:eastAsia="zh-CN"/>
        </w:rPr>
      </w:pPr>
      <w:r w:rsidRPr="00252221">
        <w:rPr>
          <w:rFonts w:ascii="Arial" w:hAnsi="Arial" w:cs="Arial"/>
          <w:lang w:val="es-ES_tradnl" w:eastAsia="zh-CN"/>
        </w:rPr>
        <w:t xml:space="preserve">El título ejecutivo bien puede ser singular, es decir, estar contenido o constituido por un solo documento (por ejemplo, un título valor) o bien puede ser complejo, esto es, cuando se encuentra integrado por un conjunto de documentos (por ejemplo, por un contrato, más las constancias de cumplimiento o recibo de las obras, servicios o bienes contratados, el reconocimiento del deudor respecto del precio pendiente de pago, el acta de liquidación, etc). </w:t>
      </w:r>
    </w:p>
    <w:p w14:paraId="398E30C6" w14:textId="77777777" w:rsidR="00AF5364" w:rsidRPr="00252221" w:rsidRDefault="00AF5364" w:rsidP="002263C6">
      <w:pPr>
        <w:rPr>
          <w:rFonts w:ascii="Arial" w:hAnsi="Arial" w:cs="Arial"/>
          <w:lang w:val="es-ES_tradnl" w:eastAsia="zh-CN"/>
        </w:rPr>
      </w:pPr>
    </w:p>
    <w:p w14:paraId="1EF1DFF8" w14:textId="77777777" w:rsidR="00AF5364" w:rsidRPr="00252221" w:rsidRDefault="00AF5364" w:rsidP="00AF5364">
      <w:pPr>
        <w:suppressAutoHyphens/>
        <w:overflowPunct w:val="0"/>
        <w:autoSpaceDE w:val="0"/>
        <w:spacing w:line="360" w:lineRule="auto"/>
        <w:jc w:val="both"/>
        <w:textAlignment w:val="baseline"/>
        <w:rPr>
          <w:rFonts w:ascii="Arial" w:hAnsi="Arial" w:cs="Arial"/>
          <w:lang w:val="es-ES_tradnl" w:eastAsia="zh-CN"/>
        </w:rPr>
      </w:pPr>
      <w:r w:rsidRPr="00252221">
        <w:rPr>
          <w:rFonts w:ascii="Arial" w:hAnsi="Arial" w:cs="Arial"/>
          <w:lang w:val="es-ES_tradnl" w:eastAsia="zh-CN"/>
        </w:rPr>
        <w:lastRenderedPageBreak/>
        <w:t>En todo caso, los documentos allegados con la demanda deben valorarse en su conjunto, con miras a establecer si constituyen prueba idónea de la existencia de una obligación clara, expresa y exigible a favor del ejecutante, como lo establece el artículo 422 del C.G. del P.</w:t>
      </w:r>
    </w:p>
    <w:p w14:paraId="4029DDDF" w14:textId="77777777" w:rsidR="005E299E" w:rsidRPr="00252221" w:rsidRDefault="005E299E" w:rsidP="002263C6">
      <w:pPr>
        <w:rPr>
          <w:rFonts w:ascii="Arial" w:hAnsi="Arial" w:cs="Arial"/>
          <w:lang w:val="es-ES_tradnl" w:eastAsia="zh-CN"/>
        </w:rPr>
      </w:pPr>
    </w:p>
    <w:p w14:paraId="2131975E" w14:textId="77777777" w:rsidR="00AF5364" w:rsidRPr="00252221" w:rsidRDefault="00AF5364" w:rsidP="00AF5364">
      <w:pPr>
        <w:suppressAutoHyphens/>
        <w:overflowPunct w:val="0"/>
        <w:autoSpaceDE w:val="0"/>
        <w:spacing w:line="360" w:lineRule="auto"/>
        <w:jc w:val="both"/>
        <w:textAlignment w:val="baseline"/>
        <w:rPr>
          <w:rFonts w:ascii="Arial" w:hAnsi="Arial" w:cs="Arial"/>
          <w:lang w:val="es-ES_tradnl" w:eastAsia="zh-CN"/>
        </w:rPr>
      </w:pPr>
      <w:r w:rsidRPr="00252221">
        <w:rPr>
          <w:rFonts w:ascii="Arial" w:hAnsi="Arial" w:cs="Arial"/>
          <w:lang w:val="es-ES_tradnl" w:eastAsia="zh-CN"/>
        </w:rPr>
        <w:t>El título ejecutivo debe demostrar la existencia de una prestación en beneficio de una persona, es decir, el deudor debe tener a su cargo y en favor de su acreedor una obligación de dar, de hacer o de no hacer y ella debe ser expresa, clara y exigible, requisitos que ha de reunir todo título ejecutivo, no importa su origen</w:t>
      </w:r>
      <w:r w:rsidRPr="00252221">
        <w:rPr>
          <w:rFonts w:ascii="Arial" w:hAnsi="Arial" w:cs="Arial"/>
          <w:vertAlign w:val="superscript"/>
          <w:lang w:val="es-ES_tradnl" w:eastAsia="zh-CN"/>
        </w:rPr>
        <w:footnoteReference w:id="5"/>
      </w:r>
      <w:r w:rsidRPr="00252221">
        <w:rPr>
          <w:rFonts w:ascii="Arial" w:hAnsi="Arial" w:cs="Arial"/>
          <w:lang w:val="es-ES_tradnl" w:eastAsia="zh-CN"/>
        </w:rPr>
        <w:t>.</w:t>
      </w:r>
    </w:p>
    <w:p w14:paraId="0688C572" w14:textId="77777777" w:rsidR="00AF5364" w:rsidRPr="00252221" w:rsidRDefault="00AF5364" w:rsidP="002263C6">
      <w:pPr>
        <w:rPr>
          <w:rFonts w:ascii="Arial" w:hAnsi="Arial" w:cs="Arial"/>
          <w:lang w:val="es-ES_tradnl" w:eastAsia="zh-CN"/>
        </w:rPr>
      </w:pPr>
    </w:p>
    <w:p w14:paraId="480B6727" w14:textId="77777777" w:rsidR="00AF5364" w:rsidRPr="00252221" w:rsidRDefault="00AF5364" w:rsidP="00136484">
      <w:pPr>
        <w:suppressAutoHyphens/>
        <w:spacing w:line="360" w:lineRule="auto"/>
        <w:jc w:val="both"/>
        <w:textAlignment w:val="baseline"/>
        <w:rPr>
          <w:rFonts w:ascii="Arial" w:hAnsi="Arial" w:cs="Arial"/>
          <w:spacing w:val="-3"/>
          <w:lang w:val="es-CO" w:eastAsia="zh-CN"/>
        </w:rPr>
      </w:pPr>
      <w:r w:rsidRPr="00252221">
        <w:rPr>
          <w:rFonts w:ascii="Arial" w:hAnsi="Arial" w:cs="Arial"/>
          <w:lang w:val="es-ES_tradnl" w:eastAsia="zh-CN"/>
        </w:rPr>
        <w:t>Esta Sección</w:t>
      </w:r>
      <w:r w:rsidRPr="00252221">
        <w:rPr>
          <w:rFonts w:ascii="Arial" w:hAnsi="Arial" w:cs="Arial"/>
          <w:vertAlign w:val="superscript"/>
          <w:lang w:val="es-CO" w:eastAsia="zh-CN"/>
        </w:rPr>
        <w:footnoteReference w:id="6"/>
      </w:r>
      <w:r w:rsidRPr="00252221">
        <w:rPr>
          <w:rFonts w:ascii="Arial" w:hAnsi="Arial" w:cs="Arial"/>
          <w:lang w:val="es-ES_tradnl" w:eastAsia="zh-CN"/>
        </w:rPr>
        <w:t xml:space="preserve"> ha señalado que los títulos ejecutivos deben gozar de ciertas condiciones esenciales, unas formales y otras sustanciales. Las primeras se refieren a que los documentos que dan cuenta de la existencia de la obligación sean auténticos y emanen del deudor o de su causante, de una sentencia de condena proferida por juez o tribunal, o de otra providencia judicial que tenga fuerza ejecutiva, de conformidad con la ley. </w:t>
      </w:r>
      <w:r w:rsidRPr="00252221">
        <w:rPr>
          <w:rFonts w:ascii="Arial" w:hAnsi="Arial" w:cs="Arial"/>
          <w:spacing w:val="-3"/>
          <w:lang w:val="es-CO" w:eastAsia="zh-CN"/>
        </w:rPr>
        <w:t xml:space="preserve">Las condiciones sustanciales, por su parte, se traducen en que las obligaciones que se acrediten a favor del ejecutante o de su causante y a cargo del ejecutado o de su causante sean claras, expresas y exigibles. </w:t>
      </w:r>
    </w:p>
    <w:p w14:paraId="78811A9B" w14:textId="77777777" w:rsidR="00BC6127" w:rsidRPr="00252221" w:rsidRDefault="00BC6127" w:rsidP="00136484">
      <w:pPr>
        <w:suppressAutoHyphens/>
        <w:spacing w:line="360" w:lineRule="auto"/>
        <w:jc w:val="both"/>
        <w:textAlignment w:val="baseline"/>
        <w:rPr>
          <w:rFonts w:ascii="Arial" w:hAnsi="Arial" w:cs="Arial"/>
          <w:spacing w:val="-3"/>
          <w:lang w:val="es-CO" w:eastAsia="zh-CN"/>
        </w:rPr>
      </w:pPr>
    </w:p>
    <w:p w14:paraId="0BE6AB8A" w14:textId="77777777" w:rsidR="00AF5364" w:rsidRPr="00252221" w:rsidRDefault="00AF5364" w:rsidP="00AF5364">
      <w:pPr>
        <w:spacing w:line="360" w:lineRule="auto"/>
        <w:jc w:val="both"/>
        <w:rPr>
          <w:rFonts w:ascii="Arial" w:hAnsi="Arial" w:cs="Arial"/>
          <w:spacing w:val="-3"/>
        </w:rPr>
      </w:pPr>
      <w:r w:rsidRPr="00252221">
        <w:rPr>
          <w:rFonts w:ascii="Arial" w:hAnsi="Arial" w:cs="Arial"/>
          <w:spacing w:val="-3"/>
        </w:rPr>
        <w:t xml:space="preserve">En cuanto a estas últimas, la doctrina ha señalado que por </w:t>
      </w:r>
      <w:r w:rsidRPr="00252221">
        <w:rPr>
          <w:rFonts w:ascii="Arial" w:hAnsi="Arial" w:cs="Arial"/>
          <w:bCs/>
          <w:spacing w:val="-3"/>
        </w:rPr>
        <w:t>expresa</w:t>
      </w:r>
      <w:r w:rsidRPr="00252221">
        <w:rPr>
          <w:rFonts w:ascii="Arial" w:hAnsi="Arial" w:cs="Arial"/>
          <w:spacing w:val="-3"/>
        </w:rPr>
        <w:t xml:space="preserve"> debe entenderse que la obligación aparezca manifiesta de la redacción misma del título; es decir, en el documento que la contiene debe estar expresamente declarada, debe estar nítido el crédito - deuda que allí aparece.</w:t>
      </w:r>
    </w:p>
    <w:p w14:paraId="2B4F9118" w14:textId="77777777" w:rsidR="00AF5364" w:rsidRPr="00252221" w:rsidRDefault="00AF5364" w:rsidP="002263C6">
      <w:pPr>
        <w:rPr>
          <w:rFonts w:ascii="Arial" w:hAnsi="Arial" w:cs="Arial"/>
        </w:rPr>
      </w:pPr>
    </w:p>
    <w:p w14:paraId="267E15E5" w14:textId="77777777" w:rsidR="00AF5364" w:rsidRPr="00252221" w:rsidRDefault="00AF5364" w:rsidP="00AF5364">
      <w:pPr>
        <w:spacing w:line="360" w:lineRule="auto"/>
        <w:jc w:val="both"/>
        <w:rPr>
          <w:rFonts w:ascii="Arial" w:hAnsi="Arial" w:cs="Arial"/>
        </w:rPr>
      </w:pPr>
      <w:r w:rsidRPr="00252221">
        <w:rPr>
          <w:rFonts w:ascii="Arial" w:hAnsi="Arial" w:cs="Arial"/>
          <w:spacing w:val="-3"/>
        </w:rPr>
        <w:t xml:space="preserve">La obligación es </w:t>
      </w:r>
      <w:r w:rsidRPr="00252221">
        <w:rPr>
          <w:rFonts w:ascii="Arial" w:hAnsi="Arial" w:cs="Arial"/>
          <w:bCs/>
          <w:spacing w:val="-3"/>
        </w:rPr>
        <w:t>clara</w:t>
      </w:r>
      <w:r w:rsidRPr="00252221">
        <w:rPr>
          <w:rFonts w:ascii="Arial" w:hAnsi="Arial" w:cs="Arial"/>
          <w:spacing w:val="-3"/>
        </w:rPr>
        <w:t xml:space="preserve"> cuando, además de expresa, aparece determinada en el título, de modo que sea fácilmente inteligible y se entienda en un solo sentido. </w:t>
      </w:r>
      <w:r w:rsidRPr="00252221">
        <w:rPr>
          <w:rFonts w:ascii="Arial" w:hAnsi="Arial" w:cs="Arial"/>
        </w:rPr>
        <w:t>En el caso de obligaciones pagaderas en dinero, estas deben ser líquidas o liquidables por simple operación aritmética.</w:t>
      </w:r>
    </w:p>
    <w:p w14:paraId="4E1AB34E" w14:textId="77777777" w:rsidR="00AF5364" w:rsidRPr="00252221" w:rsidRDefault="00AF5364" w:rsidP="002263C6">
      <w:pPr>
        <w:rPr>
          <w:rFonts w:ascii="Arial" w:hAnsi="Arial" w:cs="Arial"/>
        </w:rPr>
      </w:pPr>
    </w:p>
    <w:p w14:paraId="715D8B41" w14:textId="77777777" w:rsidR="00AF5364" w:rsidRPr="00252221" w:rsidRDefault="00AF5364" w:rsidP="00AF5364">
      <w:pPr>
        <w:spacing w:line="360" w:lineRule="auto"/>
        <w:jc w:val="both"/>
        <w:rPr>
          <w:rFonts w:ascii="Arial" w:hAnsi="Arial" w:cs="Arial"/>
          <w:spacing w:val="-3"/>
        </w:rPr>
      </w:pPr>
      <w:r w:rsidRPr="00252221">
        <w:rPr>
          <w:rFonts w:ascii="Arial" w:hAnsi="Arial" w:cs="Arial"/>
          <w:spacing w:val="-3"/>
        </w:rPr>
        <w:t xml:space="preserve">La obligación es </w:t>
      </w:r>
      <w:r w:rsidRPr="00252221">
        <w:rPr>
          <w:rFonts w:ascii="Arial" w:hAnsi="Arial" w:cs="Arial"/>
          <w:bCs/>
          <w:spacing w:val="-3"/>
        </w:rPr>
        <w:t>exigible</w:t>
      </w:r>
      <w:r w:rsidRPr="00252221">
        <w:rPr>
          <w:rFonts w:ascii="Arial" w:hAnsi="Arial" w:cs="Arial"/>
          <w:b/>
          <w:spacing w:val="-3"/>
        </w:rPr>
        <w:t xml:space="preserve"> </w:t>
      </w:r>
      <w:r w:rsidRPr="00252221">
        <w:rPr>
          <w:rFonts w:ascii="Arial" w:hAnsi="Arial" w:cs="Arial"/>
          <w:spacing w:val="-3"/>
        </w:rPr>
        <w:t>cuando puede demandarse su cumplimiento por no estar pendiente de un plazo o condición; dicho de otro modo, la exigibilidad de la obligación se manifiesta en que debía cumplirse dentro de cierto término ya vencido o cuando ocurriera una condición ya acontecida o para la cual no se señaló término, pero cuyo cumplimiento sólo podía ocurrir dentro de cierto tiempo que ya transcurrió.</w:t>
      </w:r>
    </w:p>
    <w:p w14:paraId="2CB4273D" w14:textId="77777777" w:rsidR="00AF5364" w:rsidRPr="00252221" w:rsidRDefault="00AF5364" w:rsidP="002263C6">
      <w:pPr>
        <w:rPr>
          <w:rFonts w:ascii="Arial" w:hAnsi="Arial" w:cs="Arial"/>
        </w:rPr>
      </w:pPr>
    </w:p>
    <w:p w14:paraId="165214EC" w14:textId="77777777" w:rsidR="00AF5364" w:rsidRPr="00252221" w:rsidRDefault="00AF5364" w:rsidP="00AF5364">
      <w:pPr>
        <w:spacing w:line="360" w:lineRule="auto"/>
        <w:jc w:val="both"/>
        <w:rPr>
          <w:rFonts w:ascii="Arial" w:hAnsi="Arial" w:cs="Arial"/>
        </w:rPr>
      </w:pPr>
      <w:r w:rsidRPr="00252221">
        <w:rPr>
          <w:rFonts w:ascii="Arial" w:hAnsi="Arial" w:cs="Arial"/>
        </w:rPr>
        <w:t>De conformida</w:t>
      </w:r>
      <w:r w:rsidRPr="00252221">
        <w:rPr>
          <w:rFonts w:ascii="Arial" w:hAnsi="Arial" w:cs="Arial"/>
          <w:color w:val="000000"/>
        </w:rPr>
        <w:t>d c</w:t>
      </w:r>
      <w:r w:rsidR="00561ADE" w:rsidRPr="00252221">
        <w:rPr>
          <w:rFonts w:ascii="Arial" w:hAnsi="Arial" w:cs="Arial"/>
          <w:color w:val="000000"/>
        </w:rPr>
        <w:t>on lo dispuesto en el numeral 3</w:t>
      </w:r>
      <w:r w:rsidRPr="00252221">
        <w:rPr>
          <w:rFonts w:ascii="Arial" w:hAnsi="Arial" w:cs="Arial"/>
          <w:color w:val="000000"/>
        </w:rPr>
        <w:t xml:space="preserve"> del artículo 297 del Código de Procedimiento Administrativo y de lo Contencioso Administrativo, </w:t>
      </w:r>
      <w:r w:rsidR="00561ADE" w:rsidRPr="00252221">
        <w:rPr>
          <w:rFonts w:ascii="Arial" w:hAnsi="Arial" w:cs="Arial"/>
        </w:rPr>
        <w:t xml:space="preserve">prestan mérito ejecutivo “… los contratos, los documentos en que consten sus garantías, junto con </w:t>
      </w:r>
      <w:r w:rsidR="00561ADE" w:rsidRPr="00252221">
        <w:rPr>
          <w:rFonts w:ascii="Arial" w:hAnsi="Arial" w:cs="Arial"/>
        </w:rPr>
        <w:lastRenderedPageBreak/>
        <w:t xml:space="preserve">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w:t>
      </w:r>
      <w:r w:rsidR="00136484" w:rsidRPr="00252221">
        <w:rPr>
          <w:rFonts w:ascii="Arial" w:hAnsi="Arial" w:cs="Arial"/>
        </w:rPr>
        <w:t>actuaciones</w:t>
      </w:r>
      <w:r w:rsidRPr="00252221">
        <w:rPr>
          <w:rFonts w:ascii="Arial" w:hAnsi="Arial" w:cs="Arial"/>
        </w:rPr>
        <w:t>”.</w:t>
      </w:r>
    </w:p>
    <w:p w14:paraId="65F95954" w14:textId="77777777" w:rsidR="00561ADE" w:rsidRPr="00252221" w:rsidRDefault="00561ADE" w:rsidP="00F8534F">
      <w:pPr>
        <w:spacing w:line="276" w:lineRule="auto"/>
        <w:rPr>
          <w:rFonts w:ascii="Arial" w:hAnsi="Arial" w:cs="Arial"/>
        </w:rPr>
      </w:pPr>
    </w:p>
    <w:p w14:paraId="29E4E32E" w14:textId="77777777" w:rsidR="00561ADE" w:rsidRPr="00252221" w:rsidRDefault="00561ADE" w:rsidP="00561ADE">
      <w:pPr>
        <w:numPr>
          <w:ilvl w:val="0"/>
          <w:numId w:val="12"/>
        </w:numPr>
        <w:spacing w:line="360" w:lineRule="auto"/>
        <w:ind w:left="426"/>
        <w:jc w:val="both"/>
        <w:rPr>
          <w:rFonts w:ascii="Arial" w:hAnsi="Arial" w:cs="Arial"/>
          <w:b/>
        </w:rPr>
      </w:pPr>
      <w:r w:rsidRPr="00252221">
        <w:rPr>
          <w:rFonts w:ascii="Arial" w:hAnsi="Arial" w:cs="Arial"/>
          <w:b/>
        </w:rPr>
        <w:t>Caso concreto</w:t>
      </w:r>
    </w:p>
    <w:p w14:paraId="4CEC1242" w14:textId="77777777" w:rsidR="00561ADE" w:rsidRPr="00252221" w:rsidRDefault="00561ADE" w:rsidP="00F8534F">
      <w:pPr>
        <w:spacing w:line="276" w:lineRule="auto"/>
        <w:rPr>
          <w:rFonts w:ascii="Arial" w:hAnsi="Arial" w:cs="Arial"/>
        </w:rPr>
      </w:pPr>
    </w:p>
    <w:p w14:paraId="178550CF" w14:textId="77777777" w:rsidR="00561ADE" w:rsidRPr="00252221" w:rsidRDefault="00285B78" w:rsidP="00311C27">
      <w:pPr>
        <w:pStyle w:val="Textoindependiente"/>
        <w:spacing w:line="360" w:lineRule="auto"/>
        <w:jc w:val="both"/>
        <w:rPr>
          <w:rFonts w:cs="Arial"/>
          <w:sz w:val="24"/>
          <w:szCs w:val="24"/>
        </w:rPr>
      </w:pPr>
      <w:r w:rsidRPr="00252221">
        <w:rPr>
          <w:rFonts w:cs="Arial"/>
          <w:sz w:val="24"/>
          <w:szCs w:val="24"/>
        </w:rPr>
        <w:t>L</w:t>
      </w:r>
      <w:r w:rsidR="00311C27" w:rsidRPr="00252221">
        <w:rPr>
          <w:rFonts w:cs="Arial"/>
          <w:sz w:val="24"/>
          <w:szCs w:val="24"/>
        </w:rPr>
        <w:t>a parte actora señaló que el titulo ejecutivo</w:t>
      </w:r>
      <w:r w:rsidR="00136484" w:rsidRPr="00252221">
        <w:rPr>
          <w:rFonts w:cs="Arial"/>
          <w:sz w:val="24"/>
          <w:szCs w:val="24"/>
        </w:rPr>
        <w:t>,</w:t>
      </w:r>
      <w:r w:rsidR="00311C27" w:rsidRPr="00252221">
        <w:rPr>
          <w:rFonts w:cs="Arial"/>
          <w:sz w:val="24"/>
          <w:szCs w:val="24"/>
        </w:rPr>
        <w:t xml:space="preserve"> </w:t>
      </w:r>
      <w:r w:rsidRPr="00252221">
        <w:rPr>
          <w:rFonts w:cs="Arial"/>
          <w:sz w:val="24"/>
          <w:szCs w:val="24"/>
        </w:rPr>
        <w:t xml:space="preserve">en el que consta la obligación de pago contra </w:t>
      </w:r>
      <w:r w:rsidR="00311C27" w:rsidRPr="00252221">
        <w:rPr>
          <w:rFonts w:cs="Arial"/>
          <w:sz w:val="24"/>
          <w:szCs w:val="24"/>
        </w:rPr>
        <w:t xml:space="preserve">la aseguradora Confianza, </w:t>
      </w:r>
      <w:r w:rsidR="00F636D9" w:rsidRPr="00252221">
        <w:rPr>
          <w:rFonts w:cs="Arial"/>
          <w:sz w:val="24"/>
          <w:szCs w:val="24"/>
        </w:rPr>
        <w:t xml:space="preserve">está </w:t>
      </w:r>
      <w:r w:rsidR="00311C27" w:rsidRPr="00252221">
        <w:rPr>
          <w:rFonts w:cs="Arial"/>
          <w:sz w:val="24"/>
          <w:szCs w:val="24"/>
        </w:rPr>
        <w:t>constituido por el</w:t>
      </w:r>
      <w:r w:rsidR="00147D95" w:rsidRPr="00252221">
        <w:rPr>
          <w:rFonts w:cs="Arial"/>
          <w:sz w:val="24"/>
          <w:szCs w:val="24"/>
        </w:rPr>
        <w:t xml:space="preserve"> contrato del 27 de noviembre de 2012,</w:t>
      </w:r>
      <w:r w:rsidR="00311C27" w:rsidRPr="00252221">
        <w:rPr>
          <w:rFonts w:cs="Arial"/>
          <w:sz w:val="24"/>
          <w:szCs w:val="24"/>
        </w:rPr>
        <w:t xml:space="preserve"> </w:t>
      </w:r>
      <w:r w:rsidR="00147D95" w:rsidRPr="00252221">
        <w:rPr>
          <w:rFonts w:cs="Arial"/>
          <w:sz w:val="24"/>
          <w:szCs w:val="24"/>
        </w:rPr>
        <w:t xml:space="preserve">el </w:t>
      </w:r>
      <w:r w:rsidR="00311C27" w:rsidRPr="00252221">
        <w:rPr>
          <w:rFonts w:cs="Arial"/>
          <w:sz w:val="24"/>
          <w:szCs w:val="24"/>
        </w:rPr>
        <w:t xml:space="preserve">acta de liquidación unilateral del </w:t>
      </w:r>
      <w:r w:rsidR="00147D95" w:rsidRPr="00252221">
        <w:rPr>
          <w:rFonts w:cs="Arial"/>
          <w:sz w:val="24"/>
          <w:szCs w:val="24"/>
        </w:rPr>
        <w:t xml:space="preserve">mismo </w:t>
      </w:r>
      <w:r w:rsidR="00311C27" w:rsidRPr="00252221">
        <w:rPr>
          <w:rFonts w:cs="Arial"/>
          <w:sz w:val="24"/>
          <w:szCs w:val="24"/>
        </w:rPr>
        <w:t xml:space="preserve">y por las pólizas SP000853 y </w:t>
      </w:r>
      <w:r w:rsidR="00CF2473" w:rsidRPr="00252221">
        <w:rPr>
          <w:rFonts w:cs="Arial"/>
          <w:sz w:val="24"/>
          <w:szCs w:val="24"/>
        </w:rPr>
        <w:t>RO</w:t>
      </w:r>
      <w:r w:rsidR="005E299E" w:rsidRPr="00252221">
        <w:rPr>
          <w:rFonts w:cs="Arial"/>
          <w:sz w:val="24"/>
          <w:szCs w:val="24"/>
        </w:rPr>
        <w:t xml:space="preserve">008911, </w:t>
      </w:r>
      <w:r w:rsidR="00311C27" w:rsidRPr="00252221">
        <w:rPr>
          <w:rFonts w:cs="Arial"/>
          <w:sz w:val="24"/>
          <w:szCs w:val="24"/>
        </w:rPr>
        <w:t>documentos</w:t>
      </w:r>
      <w:r w:rsidR="00AB2EC9" w:rsidRPr="00252221">
        <w:rPr>
          <w:rFonts w:cs="Arial"/>
          <w:sz w:val="24"/>
          <w:szCs w:val="24"/>
        </w:rPr>
        <w:t xml:space="preserve"> visibles a </w:t>
      </w:r>
      <w:r w:rsidR="00311C27" w:rsidRPr="00252221">
        <w:rPr>
          <w:rFonts w:cs="Arial"/>
          <w:sz w:val="24"/>
          <w:szCs w:val="24"/>
        </w:rPr>
        <w:t xml:space="preserve">folios </w:t>
      </w:r>
      <w:r w:rsidR="00AB2EC9" w:rsidRPr="00252221">
        <w:rPr>
          <w:rFonts w:cs="Arial"/>
          <w:sz w:val="24"/>
          <w:szCs w:val="24"/>
        </w:rPr>
        <w:t xml:space="preserve">22 a 45 y 47 a 57 del cuaderno 1, respectivamente. </w:t>
      </w:r>
    </w:p>
    <w:p w14:paraId="7079DF13" w14:textId="77777777" w:rsidR="00561ADE" w:rsidRPr="00252221" w:rsidRDefault="00561ADE" w:rsidP="002263C6">
      <w:pPr>
        <w:rPr>
          <w:rFonts w:ascii="Arial" w:hAnsi="Arial" w:cs="Arial"/>
        </w:rPr>
      </w:pPr>
    </w:p>
    <w:p w14:paraId="0E6FDFDB" w14:textId="77777777" w:rsidR="00285B78" w:rsidRPr="00252221" w:rsidRDefault="00305433" w:rsidP="00794AB8">
      <w:pPr>
        <w:suppressAutoHyphens/>
        <w:spacing w:line="360" w:lineRule="auto"/>
        <w:jc w:val="both"/>
        <w:textAlignment w:val="baseline"/>
        <w:rPr>
          <w:rFonts w:ascii="Arial" w:hAnsi="Arial" w:cs="Arial"/>
          <w:spacing w:val="-3"/>
          <w:lang w:val="es-CO" w:eastAsia="zh-CN"/>
        </w:rPr>
      </w:pPr>
      <w:r w:rsidRPr="00252221">
        <w:rPr>
          <w:rFonts w:ascii="Arial" w:hAnsi="Arial" w:cs="Arial"/>
        </w:rPr>
        <w:t xml:space="preserve">A </w:t>
      </w:r>
      <w:r w:rsidR="009361A7" w:rsidRPr="00252221">
        <w:rPr>
          <w:rFonts w:ascii="Arial" w:hAnsi="Arial" w:cs="Arial"/>
        </w:rPr>
        <w:t xml:space="preserve">juicio del Despacho </w:t>
      </w:r>
      <w:r w:rsidR="00EB2FF2" w:rsidRPr="00252221">
        <w:rPr>
          <w:rFonts w:ascii="Arial" w:hAnsi="Arial" w:cs="Arial"/>
        </w:rPr>
        <w:t xml:space="preserve">dichos </w:t>
      </w:r>
      <w:r w:rsidR="00AB2EC9" w:rsidRPr="00252221">
        <w:rPr>
          <w:rFonts w:ascii="Arial" w:hAnsi="Arial" w:cs="Arial"/>
        </w:rPr>
        <w:t>documentos</w:t>
      </w:r>
      <w:r w:rsidR="00EB2FF2" w:rsidRPr="00252221">
        <w:rPr>
          <w:rFonts w:ascii="Arial" w:hAnsi="Arial" w:cs="Arial"/>
        </w:rPr>
        <w:t xml:space="preserve"> no constituyen</w:t>
      </w:r>
      <w:r w:rsidR="00147D95" w:rsidRPr="00252221">
        <w:rPr>
          <w:rFonts w:ascii="Arial" w:hAnsi="Arial" w:cs="Arial"/>
        </w:rPr>
        <w:t>, por sí</w:t>
      </w:r>
      <w:r w:rsidR="00285B78" w:rsidRPr="00252221">
        <w:rPr>
          <w:rFonts w:ascii="Arial" w:hAnsi="Arial" w:cs="Arial"/>
        </w:rPr>
        <w:t xml:space="preserve"> solos, </w:t>
      </w:r>
      <w:r w:rsidR="00AB2EC9" w:rsidRPr="00252221">
        <w:rPr>
          <w:rFonts w:ascii="Arial" w:hAnsi="Arial" w:cs="Arial"/>
        </w:rPr>
        <w:t xml:space="preserve">una obligación </w:t>
      </w:r>
      <w:r w:rsidR="002D4D92" w:rsidRPr="00252221">
        <w:rPr>
          <w:rFonts w:ascii="Arial" w:hAnsi="Arial" w:cs="Arial"/>
          <w:spacing w:val="-3"/>
          <w:lang w:val="es-CO" w:eastAsia="zh-CN"/>
        </w:rPr>
        <w:t xml:space="preserve">clara, expresa y exigible </w:t>
      </w:r>
      <w:r w:rsidR="00AB2EC9" w:rsidRPr="00252221">
        <w:rPr>
          <w:rFonts w:ascii="Arial" w:hAnsi="Arial" w:cs="Arial"/>
          <w:spacing w:val="-3"/>
          <w:lang w:val="es-CO" w:eastAsia="zh-CN"/>
        </w:rPr>
        <w:t>a favor del ejecutante y a cargo del ejecutado</w:t>
      </w:r>
      <w:r w:rsidR="002C3AF5" w:rsidRPr="00252221">
        <w:rPr>
          <w:rFonts w:ascii="Arial" w:hAnsi="Arial" w:cs="Arial"/>
          <w:spacing w:val="-3"/>
          <w:lang w:val="es-CO" w:eastAsia="zh-CN"/>
        </w:rPr>
        <w:t xml:space="preserve"> (C</w:t>
      </w:r>
      <w:r w:rsidR="00136484" w:rsidRPr="00252221">
        <w:rPr>
          <w:rFonts w:ascii="Arial" w:hAnsi="Arial" w:cs="Arial"/>
          <w:spacing w:val="-3"/>
          <w:lang w:val="es-CO" w:eastAsia="zh-CN"/>
        </w:rPr>
        <w:t>onfianza)</w:t>
      </w:r>
      <w:r w:rsidR="00AB2EC9" w:rsidRPr="00252221">
        <w:rPr>
          <w:rFonts w:ascii="Arial" w:hAnsi="Arial" w:cs="Arial"/>
          <w:spacing w:val="-3"/>
          <w:lang w:val="es-CO" w:eastAsia="zh-CN"/>
        </w:rPr>
        <w:t>,</w:t>
      </w:r>
      <w:r w:rsidR="00EB2FF2" w:rsidRPr="00252221">
        <w:rPr>
          <w:rFonts w:ascii="Arial" w:hAnsi="Arial" w:cs="Arial"/>
          <w:spacing w:val="-3"/>
          <w:lang w:val="es-CO" w:eastAsia="zh-CN"/>
        </w:rPr>
        <w:t xml:space="preserve"> en otras palabras, </w:t>
      </w:r>
      <w:r w:rsidR="00285B78" w:rsidRPr="00252221">
        <w:rPr>
          <w:rFonts w:ascii="Arial" w:hAnsi="Arial" w:cs="Arial"/>
          <w:spacing w:val="-3"/>
          <w:lang w:val="es-CO" w:eastAsia="zh-CN"/>
        </w:rPr>
        <w:t xml:space="preserve">no </w:t>
      </w:r>
      <w:r w:rsidR="002D4D92" w:rsidRPr="00252221">
        <w:rPr>
          <w:rFonts w:ascii="Arial" w:hAnsi="Arial" w:cs="Arial"/>
          <w:spacing w:val="-3"/>
          <w:lang w:val="es-CO" w:eastAsia="zh-CN"/>
        </w:rPr>
        <w:t>cumple</w:t>
      </w:r>
      <w:r w:rsidR="00285B78" w:rsidRPr="00252221">
        <w:rPr>
          <w:rFonts w:ascii="Arial" w:hAnsi="Arial" w:cs="Arial"/>
          <w:spacing w:val="-3"/>
          <w:lang w:val="es-CO" w:eastAsia="zh-CN"/>
        </w:rPr>
        <w:t>n con lo señalo por</w:t>
      </w:r>
      <w:r w:rsidR="002D4D92" w:rsidRPr="00252221">
        <w:rPr>
          <w:rFonts w:ascii="Arial" w:hAnsi="Arial" w:cs="Arial"/>
          <w:spacing w:val="-3"/>
          <w:lang w:val="es-CO" w:eastAsia="zh-CN"/>
        </w:rPr>
        <w:t xml:space="preserve"> </w:t>
      </w:r>
      <w:r w:rsidR="00CF74D0" w:rsidRPr="00252221">
        <w:rPr>
          <w:rFonts w:ascii="Arial" w:hAnsi="Arial" w:cs="Arial"/>
          <w:spacing w:val="-3"/>
          <w:lang w:val="es-CO" w:eastAsia="zh-CN"/>
        </w:rPr>
        <w:t xml:space="preserve">esta </w:t>
      </w:r>
      <w:r w:rsidR="002D4D92" w:rsidRPr="00252221">
        <w:rPr>
          <w:rFonts w:ascii="Arial" w:hAnsi="Arial" w:cs="Arial"/>
          <w:spacing w:val="-3"/>
          <w:lang w:val="es-CO" w:eastAsia="zh-CN"/>
        </w:rPr>
        <w:t>Corporación como condiciones sustanciales de los títulos ejecutivo</w:t>
      </w:r>
      <w:r w:rsidR="00926261" w:rsidRPr="00252221">
        <w:rPr>
          <w:rFonts w:ascii="Arial" w:hAnsi="Arial" w:cs="Arial"/>
          <w:spacing w:val="-3"/>
          <w:lang w:val="es-CO" w:eastAsia="zh-CN"/>
        </w:rPr>
        <w:t>s</w:t>
      </w:r>
      <w:r w:rsidR="00285B78" w:rsidRPr="00252221">
        <w:rPr>
          <w:rFonts w:ascii="Arial" w:hAnsi="Arial" w:cs="Arial"/>
          <w:spacing w:val="-3"/>
          <w:lang w:val="es-CO" w:eastAsia="zh-CN"/>
        </w:rPr>
        <w:t>.</w:t>
      </w:r>
    </w:p>
    <w:p w14:paraId="74EB8316" w14:textId="77777777" w:rsidR="00285B78" w:rsidRPr="00252221" w:rsidRDefault="00285B78" w:rsidP="002263C6">
      <w:pPr>
        <w:rPr>
          <w:rFonts w:ascii="Arial" w:hAnsi="Arial" w:cs="Arial"/>
          <w:lang w:val="es-CO" w:eastAsia="zh-CN"/>
        </w:rPr>
      </w:pPr>
    </w:p>
    <w:p w14:paraId="0A10DB7B" w14:textId="77777777" w:rsidR="00E5758E" w:rsidRPr="00252221" w:rsidRDefault="00285B78" w:rsidP="00794AB8">
      <w:pPr>
        <w:suppressAutoHyphens/>
        <w:spacing w:line="360" w:lineRule="auto"/>
        <w:jc w:val="both"/>
        <w:textAlignment w:val="baseline"/>
        <w:rPr>
          <w:rFonts w:ascii="Arial" w:hAnsi="Arial" w:cs="Arial"/>
          <w:lang w:val="es-CO"/>
        </w:rPr>
      </w:pPr>
      <w:r w:rsidRPr="00252221">
        <w:rPr>
          <w:rFonts w:ascii="Arial" w:hAnsi="Arial" w:cs="Arial"/>
          <w:spacing w:val="-3"/>
          <w:lang w:val="es-CO" w:eastAsia="zh-CN"/>
        </w:rPr>
        <w:t>Lo anterior, en consideración a que</w:t>
      </w:r>
      <w:r w:rsidR="00F13140" w:rsidRPr="00252221">
        <w:rPr>
          <w:rFonts w:ascii="Arial" w:hAnsi="Arial" w:cs="Arial"/>
          <w:spacing w:val="-3"/>
          <w:lang w:val="es-CO" w:eastAsia="zh-CN"/>
        </w:rPr>
        <w:t>,</w:t>
      </w:r>
      <w:r w:rsidR="00EB2FF2" w:rsidRPr="00252221">
        <w:rPr>
          <w:rFonts w:ascii="Arial" w:hAnsi="Arial" w:cs="Arial"/>
          <w:spacing w:val="-3"/>
          <w:lang w:val="es-CO" w:eastAsia="zh-CN"/>
        </w:rPr>
        <w:t xml:space="preserve"> aun cuando</w:t>
      </w:r>
      <w:r w:rsidR="003A36F7" w:rsidRPr="00252221">
        <w:rPr>
          <w:rFonts w:ascii="Arial" w:hAnsi="Arial" w:cs="Arial"/>
          <w:spacing w:val="-3"/>
          <w:lang w:val="es-CO" w:eastAsia="zh-CN"/>
        </w:rPr>
        <w:t xml:space="preserve"> en </w:t>
      </w:r>
      <w:r w:rsidRPr="00252221">
        <w:rPr>
          <w:rFonts w:ascii="Arial" w:hAnsi="Arial" w:cs="Arial"/>
          <w:spacing w:val="-3"/>
          <w:lang w:val="es-CO" w:eastAsia="zh-CN"/>
        </w:rPr>
        <w:t xml:space="preserve">el </w:t>
      </w:r>
      <w:r w:rsidR="00794AB8" w:rsidRPr="00252221">
        <w:rPr>
          <w:rFonts w:ascii="Arial" w:hAnsi="Arial" w:cs="Arial"/>
        </w:rPr>
        <w:t xml:space="preserve">acta de liquidación unilateral del contrato del </w:t>
      </w:r>
      <w:r w:rsidR="000B36FC" w:rsidRPr="00252221">
        <w:rPr>
          <w:rFonts w:ascii="Arial" w:hAnsi="Arial" w:cs="Arial"/>
        </w:rPr>
        <w:t>27 de diciembre de 2012</w:t>
      </w:r>
      <w:r w:rsidR="00E5758E" w:rsidRPr="00252221">
        <w:rPr>
          <w:rFonts w:ascii="Arial" w:hAnsi="Arial" w:cs="Arial"/>
        </w:rPr>
        <w:t xml:space="preserve"> </w:t>
      </w:r>
      <w:r w:rsidR="00C457D7" w:rsidRPr="00252221">
        <w:rPr>
          <w:rFonts w:ascii="Arial" w:hAnsi="Arial" w:cs="Arial"/>
        </w:rPr>
        <w:t xml:space="preserve">se señaló que </w:t>
      </w:r>
      <w:r w:rsidR="00E5758E" w:rsidRPr="00252221">
        <w:rPr>
          <w:rFonts w:ascii="Arial" w:hAnsi="Arial" w:cs="Arial"/>
          <w:lang w:val="es-CO"/>
        </w:rPr>
        <w:t>Confianza</w:t>
      </w:r>
      <w:r w:rsidR="00BF2953" w:rsidRPr="00252221">
        <w:rPr>
          <w:rFonts w:ascii="Arial" w:hAnsi="Arial" w:cs="Arial"/>
          <w:lang w:val="es-CO"/>
        </w:rPr>
        <w:t xml:space="preserve"> era la compañía de seguros </w:t>
      </w:r>
      <w:r w:rsidR="00491A2E" w:rsidRPr="00252221">
        <w:rPr>
          <w:rFonts w:ascii="Arial" w:hAnsi="Arial" w:cs="Arial"/>
          <w:lang w:val="es-CO"/>
        </w:rPr>
        <w:t xml:space="preserve">garante </w:t>
      </w:r>
      <w:r w:rsidR="00D66F33" w:rsidRPr="00252221">
        <w:rPr>
          <w:rFonts w:ascii="Arial" w:hAnsi="Arial" w:cs="Arial"/>
          <w:lang w:val="es-CO"/>
        </w:rPr>
        <w:t>del contrato y</w:t>
      </w:r>
      <w:r w:rsidR="002F7B46" w:rsidRPr="00252221">
        <w:rPr>
          <w:rFonts w:ascii="Arial" w:hAnsi="Arial" w:cs="Arial"/>
          <w:lang w:val="es-CO"/>
        </w:rPr>
        <w:t xml:space="preserve"> que en</w:t>
      </w:r>
      <w:r w:rsidR="00D66F33" w:rsidRPr="00252221">
        <w:rPr>
          <w:rFonts w:ascii="Arial" w:hAnsi="Arial" w:cs="Arial"/>
          <w:lang w:val="es-CO"/>
        </w:rPr>
        <w:t xml:space="preserve"> las pólizas de seguro </w:t>
      </w:r>
      <w:r w:rsidR="00F636D9" w:rsidRPr="00252221">
        <w:rPr>
          <w:rFonts w:ascii="Arial" w:hAnsi="Arial" w:cs="Arial"/>
          <w:lang w:val="es-CO"/>
        </w:rPr>
        <w:t xml:space="preserve">allegadas al proceso </w:t>
      </w:r>
      <w:r w:rsidR="002F7B46" w:rsidRPr="00252221">
        <w:rPr>
          <w:rFonts w:ascii="Arial" w:hAnsi="Arial" w:cs="Arial"/>
          <w:lang w:val="es-CO"/>
        </w:rPr>
        <w:t xml:space="preserve">se </w:t>
      </w:r>
      <w:r w:rsidR="000475ED" w:rsidRPr="00252221">
        <w:rPr>
          <w:rFonts w:ascii="Arial" w:hAnsi="Arial" w:cs="Arial"/>
          <w:lang w:val="es-CO"/>
        </w:rPr>
        <w:t>estipuló</w:t>
      </w:r>
      <w:r w:rsidR="00EB2FF2" w:rsidRPr="00252221">
        <w:rPr>
          <w:rFonts w:ascii="Arial" w:hAnsi="Arial" w:cs="Arial"/>
          <w:lang w:val="es-CO"/>
        </w:rPr>
        <w:t xml:space="preserve"> </w:t>
      </w:r>
      <w:r w:rsidR="00D66F33" w:rsidRPr="00252221">
        <w:rPr>
          <w:rFonts w:ascii="Arial" w:hAnsi="Arial" w:cs="Arial"/>
          <w:lang w:val="es-CO"/>
        </w:rPr>
        <w:t>como</w:t>
      </w:r>
      <w:r w:rsidR="002F7B46" w:rsidRPr="00252221">
        <w:rPr>
          <w:rFonts w:ascii="Arial" w:hAnsi="Arial" w:cs="Arial"/>
          <w:lang w:val="es-CO"/>
        </w:rPr>
        <w:t xml:space="preserve"> </w:t>
      </w:r>
      <w:r w:rsidR="00EB2FF2" w:rsidRPr="00252221">
        <w:rPr>
          <w:rFonts w:ascii="Arial" w:hAnsi="Arial" w:cs="Arial"/>
          <w:lang w:val="es-CO"/>
        </w:rPr>
        <w:t>a</w:t>
      </w:r>
      <w:r w:rsidR="00D66F33" w:rsidRPr="00252221">
        <w:rPr>
          <w:rFonts w:ascii="Arial" w:hAnsi="Arial" w:cs="Arial"/>
          <w:lang w:val="es-CO"/>
        </w:rPr>
        <w:t>mparo el “cumplimiento del contrato”</w:t>
      </w:r>
      <w:r w:rsidR="002F7B46" w:rsidRPr="00252221">
        <w:rPr>
          <w:rFonts w:ascii="Arial" w:hAnsi="Arial" w:cs="Arial"/>
          <w:lang w:val="es-CO"/>
        </w:rPr>
        <w:t xml:space="preserve"> (cuya vigencia era </w:t>
      </w:r>
      <w:r w:rsidR="00D66F33" w:rsidRPr="00252221">
        <w:rPr>
          <w:rFonts w:ascii="Arial" w:hAnsi="Arial" w:cs="Arial"/>
          <w:lang w:val="es-CO"/>
        </w:rPr>
        <w:t>desde el 20 de enero de 2012 hasta el 2 de abril de 2013</w:t>
      </w:r>
      <w:r w:rsidR="002F7B46" w:rsidRPr="00252221">
        <w:rPr>
          <w:rFonts w:ascii="Arial" w:hAnsi="Arial" w:cs="Arial"/>
          <w:lang w:val="es-CO"/>
        </w:rPr>
        <w:t>,</w:t>
      </w:r>
      <w:r w:rsidR="00D66F33" w:rsidRPr="00252221">
        <w:rPr>
          <w:rFonts w:ascii="Arial" w:hAnsi="Arial" w:cs="Arial"/>
          <w:lang w:val="es-CO"/>
        </w:rPr>
        <w:t xml:space="preserve"> por </w:t>
      </w:r>
      <w:r w:rsidR="00B22338" w:rsidRPr="00252221">
        <w:rPr>
          <w:rFonts w:ascii="Arial" w:hAnsi="Arial" w:cs="Arial"/>
          <w:lang w:val="es-CO"/>
        </w:rPr>
        <w:t xml:space="preserve">un </w:t>
      </w:r>
      <w:r w:rsidR="00D66F33" w:rsidRPr="00252221">
        <w:rPr>
          <w:rFonts w:ascii="Arial" w:hAnsi="Arial" w:cs="Arial"/>
          <w:lang w:val="es-CO"/>
        </w:rPr>
        <w:t xml:space="preserve">valor de </w:t>
      </w:r>
      <w:r w:rsidR="00147D95" w:rsidRPr="00252221">
        <w:rPr>
          <w:rFonts w:ascii="Arial" w:hAnsi="Arial" w:cs="Arial"/>
          <w:lang w:val="es-CO"/>
        </w:rPr>
        <w:t>$</w:t>
      </w:r>
      <w:r w:rsidR="00D66F33" w:rsidRPr="00252221">
        <w:rPr>
          <w:rFonts w:ascii="Arial" w:hAnsi="Arial" w:cs="Arial"/>
          <w:lang w:val="es-CO"/>
        </w:rPr>
        <w:t>9.951</w:t>
      </w:r>
      <w:r w:rsidR="00136484" w:rsidRPr="00252221">
        <w:rPr>
          <w:rFonts w:ascii="Arial" w:hAnsi="Arial" w:cs="Arial"/>
          <w:lang w:val="es-CO"/>
        </w:rPr>
        <w:t>’</w:t>
      </w:r>
      <w:r w:rsidR="00D66F33" w:rsidRPr="00252221">
        <w:rPr>
          <w:rFonts w:ascii="Arial" w:hAnsi="Arial" w:cs="Arial"/>
          <w:lang w:val="es-CO"/>
        </w:rPr>
        <w:t>996.393.</w:t>
      </w:r>
      <w:r w:rsidR="00136484" w:rsidRPr="00252221">
        <w:rPr>
          <w:rFonts w:ascii="Arial" w:hAnsi="Arial" w:cs="Arial"/>
          <w:lang w:val="es-CO"/>
        </w:rPr>
        <w:t xml:space="preserve"> </w:t>
      </w:r>
      <w:r w:rsidR="00D66F33" w:rsidRPr="00252221">
        <w:rPr>
          <w:rFonts w:ascii="Arial" w:hAnsi="Arial" w:cs="Arial"/>
          <w:lang w:val="es-CO"/>
        </w:rPr>
        <w:t>a</w:t>
      </w:r>
      <w:r w:rsidR="002F7B46" w:rsidRPr="00252221">
        <w:rPr>
          <w:rFonts w:ascii="Arial" w:hAnsi="Arial" w:cs="Arial"/>
          <w:lang w:val="es-CO"/>
        </w:rPr>
        <w:t xml:space="preserve"> fa</w:t>
      </w:r>
      <w:r w:rsidR="00D66F33" w:rsidRPr="00252221">
        <w:rPr>
          <w:rFonts w:ascii="Arial" w:hAnsi="Arial" w:cs="Arial"/>
          <w:lang w:val="es-CO"/>
        </w:rPr>
        <w:t>vor</w:t>
      </w:r>
      <w:r w:rsidR="00F13140" w:rsidRPr="00252221">
        <w:rPr>
          <w:rFonts w:ascii="Arial" w:hAnsi="Arial" w:cs="Arial"/>
          <w:lang w:val="es-CO"/>
        </w:rPr>
        <w:t xml:space="preserve"> de</w:t>
      </w:r>
      <w:r w:rsidR="00D66F33" w:rsidRPr="00252221">
        <w:rPr>
          <w:rFonts w:ascii="Arial" w:hAnsi="Arial" w:cs="Arial"/>
        </w:rPr>
        <w:t xml:space="preserve"> </w:t>
      </w:r>
      <w:r w:rsidR="00D66F33" w:rsidRPr="00252221">
        <w:rPr>
          <w:rFonts w:ascii="Arial" w:hAnsi="Arial" w:cs="Arial"/>
          <w:lang w:val="es-CO"/>
        </w:rPr>
        <w:t>Aguas del Magdalena S.A. E.S.P.</w:t>
      </w:r>
      <w:r w:rsidR="003A36F7" w:rsidRPr="00252221">
        <w:rPr>
          <w:rFonts w:ascii="Arial" w:hAnsi="Arial" w:cs="Arial"/>
          <w:lang w:val="es-CO"/>
        </w:rPr>
        <w:t>)</w:t>
      </w:r>
      <w:r w:rsidR="00D66F33" w:rsidRPr="00252221">
        <w:rPr>
          <w:rFonts w:ascii="Arial" w:hAnsi="Arial" w:cs="Arial"/>
          <w:lang w:val="es-CO"/>
        </w:rPr>
        <w:t xml:space="preserve">, </w:t>
      </w:r>
      <w:r w:rsidR="00EB2FF2" w:rsidRPr="00252221">
        <w:rPr>
          <w:rFonts w:ascii="Arial" w:hAnsi="Arial" w:cs="Arial"/>
          <w:lang w:val="es-CO"/>
        </w:rPr>
        <w:t>lo cierto es que</w:t>
      </w:r>
      <w:r w:rsidR="00B22338" w:rsidRPr="00252221">
        <w:rPr>
          <w:rFonts w:ascii="Arial" w:hAnsi="Arial" w:cs="Arial"/>
          <w:lang w:val="es-CO"/>
        </w:rPr>
        <w:t xml:space="preserve"> </w:t>
      </w:r>
      <w:r w:rsidR="00F13140" w:rsidRPr="00252221">
        <w:rPr>
          <w:rFonts w:ascii="Arial" w:hAnsi="Arial" w:cs="Arial"/>
          <w:lang w:val="es-CO"/>
        </w:rPr>
        <w:t xml:space="preserve">dichos </w:t>
      </w:r>
      <w:r w:rsidR="00EB2FF2" w:rsidRPr="00252221">
        <w:rPr>
          <w:rFonts w:ascii="Arial" w:hAnsi="Arial" w:cs="Arial"/>
          <w:lang w:val="es-CO"/>
        </w:rPr>
        <w:t xml:space="preserve">documentos </w:t>
      </w:r>
      <w:r w:rsidR="0055735A" w:rsidRPr="00252221">
        <w:rPr>
          <w:rFonts w:ascii="Arial" w:hAnsi="Arial" w:cs="Arial"/>
          <w:lang w:val="es-CO"/>
        </w:rPr>
        <w:t>constituyen apenas uno de los componentes del título ejecutivo complejo</w:t>
      </w:r>
      <w:r w:rsidR="00EB2FF2" w:rsidRPr="00252221">
        <w:rPr>
          <w:rFonts w:ascii="Arial" w:hAnsi="Arial" w:cs="Arial"/>
          <w:lang w:val="es-CO"/>
        </w:rPr>
        <w:t xml:space="preserve">, </w:t>
      </w:r>
      <w:r w:rsidR="0055735A" w:rsidRPr="00252221">
        <w:rPr>
          <w:rFonts w:ascii="Arial" w:hAnsi="Arial" w:cs="Arial"/>
          <w:lang w:val="es-CO"/>
        </w:rPr>
        <w:t>pues</w:t>
      </w:r>
      <w:r w:rsidR="005D532B" w:rsidRPr="00252221">
        <w:rPr>
          <w:rFonts w:ascii="Arial" w:hAnsi="Arial" w:cs="Arial"/>
          <w:lang w:val="es-CO"/>
        </w:rPr>
        <w:t xml:space="preserve"> </w:t>
      </w:r>
      <w:r w:rsidR="00491A2E" w:rsidRPr="00252221">
        <w:rPr>
          <w:rFonts w:ascii="Arial" w:hAnsi="Arial" w:cs="Arial"/>
          <w:lang w:val="es-CO"/>
        </w:rPr>
        <w:t>é</w:t>
      </w:r>
      <w:r w:rsidR="0055735A" w:rsidRPr="00252221">
        <w:rPr>
          <w:rFonts w:ascii="Arial" w:hAnsi="Arial" w:cs="Arial"/>
          <w:lang w:val="es-CO"/>
        </w:rPr>
        <w:t>ste comprende</w:t>
      </w:r>
      <w:r w:rsidR="005D532B" w:rsidRPr="00252221">
        <w:rPr>
          <w:rFonts w:ascii="Arial" w:hAnsi="Arial" w:cs="Arial"/>
          <w:lang w:val="es-CO"/>
        </w:rPr>
        <w:t xml:space="preserve"> </w:t>
      </w:r>
      <w:r w:rsidR="0055735A" w:rsidRPr="00252221">
        <w:rPr>
          <w:rFonts w:ascii="Arial" w:hAnsi="Arial" w:cs="Arial"/>
          <w:lang w:val="es-CO"/>
        </w:rPr>
        <w:t xml:space="preserve">también el </w:t>
      </w:r>
      <w:r w:rsidR="005D532B" w:rsidRPr="00252221">
        <w:rPr>
          <w:rFonts w:ascii="Arial" w:hAnsi="Arial" w:cs="Arial"/>
          <w:lang w:val="es-CO"/>
        </w:rPr>
        <w:t xml:space="preserve">contrato estatal, el </w:t>
      </w:r>
      <w:r w:rsidR="0055735A" w:rsidRPr="00252221">
        <w:rPr>
          <w:rFonts w:ascii="Arial" w:hAnsi="Arial" w:cs="Arial"/>
          <w:lang w:val="es-CO"/>
        </w:rPr>
        <w:t xml:space="preserve">acto administrativo mediante el cual </w:t>
      </w:r>
      <w:r w:rsidR="00B22338" w:rsidRPr="00252221">
        <w:rPr>
          <w:rFonts w:ascii="Arial" w:hAnsi="Arial" w:cs="Arial"/>
          <w:lang w:val="es-CO"/>
        </w:rPr>
        <w:t>se d</w:t>
      </w:r>
      <w:r w:rsidR="00EB2FF2" w:rsidRPr="00252221">
        <w:rPr>
          <w:rFonts w:ascii="Arial" w:hAnsi="Arial" w:cs="Arial"/>
          <w:lang w:val="es-CO"/>
        </w:rPr>
        <w:t>eclar</w:t>
      </w:r>
      <w:r w:rsidR="0055735A" w:rsidRPr="00252221">
        <w:rPr>
          <w:rFonts w:ascii="Arial" w:hAnsi="Arial" w:cs="Arial"/>
          <w:lang w:val="es-CO"/>
        </w:rPr>
        <w:t>ó</w:t>
      </w:r>
      <w:r w:rsidR="00B22338" w:rsidRPr="00252221">
        <w:rPr>
          <w:rFonts w:ascii="Arial" w:hAnsi="Arial" w:cs="Arial"/>
          <w:lang w:val="es-CO"/>
        </w:rPr>
        <w:t xml:space="preserve"> el </w:t>
      </w:r>
      <w:r w:rsidR="00E5758E" w:rsidRPr="00252221">
        <w:rPr>
          <w:rFonts w:ascii="Arial" w:hAnsi="Arial" w:cs="Arial"/>
          <w:lang w:val="es-CO"/>
        </w:rPr>
        <w:t>incumplimiento del contrato</w:t>
      </w:r>
      <w:r w:rsidR="005D532B" w:rsidRPr="00252221">
        <w:rPr>
          <w:rFonts w:ascii="Arial" w:hAnsi="Arial" w:cs="Arial"/>
          <w:lang w:val="es-CO"/>
        </w:rPr>
        <w:t xml:space="preserve"> y el de</w:t>
      </w:r>
      <w:r w:rsidR="00B22338" w:rsidRPr="00252221">
        <w:rPr>
          <w:rFonts w:ascii="Arial" w:hAnsi="Arial" w:cs="Arial"/>
          <w:lang w:val="es-CO"/>
        </w:rPr>
        <w:t xml:space="preserve"> </w:t>
      </w:r>
      <w:r w:rsidR="0062742E" w:rsidRPr="00252221">
        <w:rPr>
          <w:rFonts w:ascii="Arial" w:hAnsi="Arial" w:cs="Arial"/>
          <w:lang w:val="es-CO"/>
        </w:rPr>
        <w:t xml:space="preserve">la </w:t>
      </w:r>
      <w:r w:rsidR="00A271E0" w:rsidRPr="00252221">
        <w:rPr>
          <w:rFonts w:ascii="Arial" w:hAnsi="Arial" w:cs="Arial"/>
          <w:lang w:val="es-CO"/>
        </w:rPr>
        <w:t>declaratoria de ocurrencia de</w:t>
      </w:r>
      <w:r w:rsidR="00B22338" w:rsidRPr="00252221">
        <w:rPr>
          <w:rFonts w:ascii="Arial" w:hAnsi="Arial" w:cs="Arial"/>
          <w:lang w:val="es-CO"/>
        </w:rPr>
        <w:t xml:space="preserve">l </w:t>
      </w:r>
      <w:r w:rsidR="00E5758E" w:rsidRPr="00252221">
        <w:rPr>
          <w:rFonts w:ascii="Arial" w:hAnsi="Arial" w:cs="Arial"/>
          <w:lang w:val="es-CO"/>
        </w:rPr>
        <w:t>siniestro</w:t>
      </w:r>
      <w:r w:rsidR="0051552F" w:rsidRPr="00252221">
        <w:rPr>
          <w:rFonts w:ascii="Arial" w:hAnsi="Arial" w:cs="Arial"/>
          <w:lang w:val="es-CO"/>
        </w:rPr>
        <w:t>,</w:t>
      </w:r>
      <w:r w:rsidR="00E5758E" w:rsidRPr="00252221">
        <w:rPr>
          <w:rFonts w:ascii="Arial" w:hAnsi="Arial" w:cs="Arial"/>
          <w:lang w:val="es-CO"/>
        </w:rPr>
        <w:t xml:space="preserve"> </w:t>
      </w:r>
      <w:r w:rsidR="000475ED" w:rsidRPr="00252221">
        <w:rPr>
          <w:rFonts w:ascii="Arial" w:hAnsi="Arial" w:cs="Arial"/>
          <w:lang w:val="es-CO"/>
        </w:rPr>
        <w:t xml:space="preserve">por el </w:t>
      </w:r>
      <w:r w:rsidR="00BB588D" w:rsidRPr="00252221">
        <w:rPr>
          <w:rFonts w:ascii="Arial" w:hAnsi="Arial" w:cs="Arial"/>
          <w:lang w:val="es-CO"/>
        </w:rPr>
        <w:t>incumpli</w:t>
      </w:r>
      <w:r w:rsidR="000475ED" w:rsidRPr="00252221">
        <w:rPr>
          <w:rFonts w:ascii="Arial" w:hAnsi="Arial" w:cs="Arial"/>
          <w:lang w:val="es-CO"/>
        </w:rPr>
        <w:t>miento d</w:t>
      </w:r>
      <w:r w:rsidR="00A271E0" w:rsidRPr="00252221">
        <w:rPr>
          <w:rFonts w:ascii="Arial" w:hAnsi="Arial" w:cs="Arial"/>
          <w:lang w:val="es-CO"/>
        </w:rPr>
        <w:t>e aquél</w:t>
      </w:r>
      <w:r w:rsidR="00F13140" w:rsidRPr="00252221">
        <w:rPr>
          <w:rFonts w:ascii="Arial" w:hAnsi="Arial" w:cs="Arial"/>
          <w:lang w:val="es-CO"/>
        </w:rPr>
        <w:t>.</w:t>
      </w:r>
    </w:p>
    <w:p w14:paraId="43C0B428" w14:textId="77777777" w:rsidR="0055735A" w:rsidRPr="00252221" w:rsidRDefault="0055735A" w:rsidP="00F01905">
      <w:pPr>
        <w:pStyle w:val="Textonotapie"/>
        <w:rPr>
          <w:rFonts w:ascii="Arial" w:hAnsi="Arial" w:cs="Arial"/>
          <w:sz w:val="24"/>
          <w:szCs w:val="24"/>
          <w:lang w:val="es-CO"/>
        </w:rPr>
      </w:pPr>
    </w:p>
    <w:p w14:paraId="52CC3E64" w14:textId="77777777" w:rsidR="0055735A" w:rsidRPr="00252221" w:rsidRDefault="0055735A" w:rsidP="0055735A">
      <w:pPr>
        <w:overflowPunct w:val="0"/>
        <w:autoSpaceDE w:val="0"/>
        <w:autoSpaceDN w:val="0"/>
        <w:adjustRightInd w:val="0"/>
        <w:spacing w:line="360" w:lineRule="auto"/>
        <w:jc w:val="both"/>
        <w:textAlignment w:val="baseline"/>
        <w:rPr>
          <w:rFonts w:ascii="Arial" w:hAnsi="Arial" w:cs="Arial"/>
          <w:lang w:val="es-CO" w:eastAsia="es-CO"/>
        </w:rPr>
      </w:pPr>
      <w:r w:rsidRPr="00252221">
        <w:rPr>
          <w:rFonts w:ascii="Arial" w:hAnsi="Arial" w:cs="Arial"/>
          <w:lang w:val="es-CO" w:eastAsia="es-CO"/>
        </w:rPr>
        <w:t>En ese sentido, la Sección Tercera de esta Corporación, en providencia del 6 de junio de 2007</w:t>
      </w:r>
      <w:r w:rsidRPr="00252221">
        <w:rPr>
          <w:rFonts w:ascii="Arial" w:hAnsi="Arial" w:cs="Arial"/>
          <w:vertAlign w:val="superscript"/>
          <w:lang w:val="es-CO" w:eastAsia="es-CO"/>
        </w:rPr>
        <w:footnoteReference w:id="7"/>
      </w:r>
      <w:r w:rsidRPr="00252221">
        <w:rPr>
          <w:rFonts w:ascii="Arial" w:hAnsi="Arial" w:cs="Arial"/>
          <w:lang w:val="es-CO" w:eastAsia="es-CO"/>
        </w:rPr>
        <w:t>, señaló:</w:t>
      </w:r>
    </w:p>
    <w:p w14:paraId="008276B2" w14:textId="77777777" w:rsidR="0055735A" w:rsidRPr="00252221" w:rsidRDefault="0055735A" w:rsidP="0055735A">
      <w:pPr>
        <w:overflowPunct w:val="0"/>
        <w:autoSpaceDE w:val="0"/>
        <w:autoSpaceDN w:val="0"/>
        <w:adjustRightInd w:val="0"/>
        <w:spacing w:line="360" w:lineRule="auto"/>
        <w:jc w:val="both"/>
        <w:textAlignment w:val="baseline"/>
        <w:rPr>
          <w:rFonts w:ascii="Arial" w:hAnsi="Arial" w:cs="Arial"/>
          <w:lang w:val="es-CO" w:eastAsia="es-CO"/>
        </w:rPr>
      </w:pPr>
    </w:p>
    <w:p w14:paraId="28104183" w14:textId="77777777" w:rsidR="0055735A" w:rsidRPr="00252221" w:rsidRDefault="0055735A" w:rsidP="009846B2">
      <w:pPr>
        <w:overflowPunct w:val="0"/>
        <w:autoSpaceDE w:val="0"/>
        <w:autoSpaceDN w:val="0"/>
        <w:adjustRightInd w:val="0"/>
        <w:ind w:left="567" w:right="567"/>
        <w:jc w:val="both"/>
        <w:textAlignment w:val="baseline"/>
        <w:rPr>
          <w:rFonts w:ascii="Arial" w:hAnsi="Arial" w:cs="Arial"/>
          <w:i/>
          <w:lang w:val="es-CO"/>
        </w:rPr>
      </w:pPr>
      <w:r w:rsidRPr="00252221">
        <w:rPr>
          <w:rFonts w:ascii="Arial" w:hAnsi="Arial" w:cs="Arial"/>
          <w:lang w:val="es-CO"/>
        </w:rPr>
        <w:t>“</w:t>
      </w:r>
      <w:r w:rsidRPr="00252221">
        <w:rPr>
          <w:rFonts w:ascii="Arial" w:hAnsi="Arial" w:cs="Arial"/>
          <w:i/>
          <w:lang w:val="es-CO"/>
        </w:rPr>
        <w:t xml:space="preserve">... específicamente respecto del cobro ejecutivo de las pólizas de seguro tomadas por los contratistas de </w:t>
      </w:r>
      <w:smartTag w:uri="urn:schemas-microsoft-com:office:smarttags" w:element="PersonName">
        <w:smartTagPr>
          <w:attr w:name="ProductID" w:val="la Administraci￳n"/>
        </w:smartTagPr>
        <w:r w:rsidRPr="00252221">
          <w:rPr>
            <w:rFonts w:ascii="Arial" w:hAnsi="Arial" w:cs="Arial"/>
            <w:i/>
            <w:lang w:val="es-CO"/>
          </w:rPr>
          <w:t>la Administración</w:t>
        </w:r>
      </w:smartTag>
      <w:r w:rsidRPr="00252221">
        <w:rPr>
          <w:rFonts w:ascii="Arial" w:hAnsi="Arial" w:cs="Arial"/>
          <w:i/>
          <w:lang w:val="es-CO"/>
        </w:rPr>
        <w:t xml:space="preserve"> para garantizar el cumplimiento de las obligaciones surgidas del contrato estatal, es decir, en aquellos eventos en los que </w:t>
      </w:r>
      <w:smartTag w:uri="urn:schemas-microsoft-com:office:smarttags" w:element="PersonName">
        <w:smartTagPr>
          <w:attr w:name="ProductID" w:val="la Administraci￳n"/>
        </w:smartTagPr>
        <w:r w:rsidRPr="00252221">
          <w:rPr>
            <w:rFonts w:ascii="Arial" w:hAnsi="Arial" w:cs="Arial"/>
            <w:i/>
            <w:lang w:val="es-CO"/>
          </w:rPr>
          <w:t>la Administración</w:t>
        </w:r>
      </w:smartTag>
      <w:r w:rsidRPr="00252221">
        <w:rPr>
          <w:rFonts w:ascii="Arial" w:hAnsi="Arial" w:cs="Arial"/>
          <w:i/>
          <w:lang w:val="es-CO"/>
        </w:rPr>
        <w:t xml:space="preserve"> reclama judicialmente el pago de la indemnización contenida en esa póliza de seguro, se observa que</w:t>
      </w:r>
      <w:r w:rsidR="009846B2" w:rsidRPr="00252221">
        <w:rPr>
          <w:rFonts w:ascii="Arial" w:hAnsi="Arial" w:cs="Arial"/>
          <w:i/>
          <w:lang w:val="es-CO"/>
        </w:rPr>
        <w:t xml:space="preserve"> </w:t>
      </w:r>
      <w:r w:rsidRPr="00252221">
        <w:rPr>
          <w:rFonts w:ascii="Arial" w:hAnsi="Arial" w:cs="Arial"/>
          <w:i/>
          <w:lang w:val="es-CO"/>
        </w:rPr>
        <w:t xml:space="preserve">ésta, constituye apenas, uno de los componentes del </w:t>
      </w:r>
      <w:r w:rsidRPr="00252221">
        <w:rPr>
          <w:rFonts w:ascii="Arial" w:hAnsi="Arial" w:cs="Arial"/>
          <w:b/>
          <w:i/>
          <w:lang w:val="es-CO"/>
        </w:rPr>
        <w:t xml:space="preserve">título ejecutivo complejo que en estos eventos de cobro ejecutivo de obligaciones contractuales a favor de </w:t>
      </w:r>
      <w:smartTag w:uri="urn:schemas-microsoft-com:office:smarttags" w:element="PersonName">
        <w:smartTagPr>
          <w:attr w:name="ProductID" w:val="la Administraci￳n"/>
        </w:smartTagPr>
        <w:r w:rsidRPr="00252221">
          <w:rPr>
            <w:rFonts w:ascii="Arial" w:hAnsi="Arial" w:cs="Arial"/>
            <w:b/>
            <w:i/>
            <w:lang w:val="es-CO"/>
          </w:rPr>
          <w:t>la Administración</w:t>
        </w:r>
      </w:smartTag>
      <w:r w:rsidRPr="00252221">
        <w:rPr>
          <w:rFonts w:ascii="Arial" w:hAnsi="Arial" w:cs="Arial"/>
          <w:b/>
          <w:i/>
          <w:lang w:val="es-CO"/>
        </w:rPr>
        <w:t xml:space="preserve">, se debe conformar, y que comprende, no sólo la respectiva póliza -en la que consta el traslado del riesgo que el contratista de </w:t>
      </w:r>
      <w:smartTag w:uri="urn:schemas-microsoft-com:office:smarttags" w:element="PersonName">
        <w:smartTagPr>
          <w:attr w:name="ProductID" w:val="la Administraci￳n"/>
        </w:smartTagPr>
        <w:r w:rsidRPr="00252221">
          <w:rPr>
            <w:rFonts w:ascii="Arial" w:hAnsi="Arial" w:cs="Arial"/>
            <w:b/>
            <w:i/>
            <w:lang w:val="es-CO"/>
          </w:rPr>
          <w:t>la Administración</w:t>
        </w:r>
      </w:smartTag>
      <w:r w:rsidRPr="00252221">
        <w:rPr>
          <w:rFonts w:ascii="Arial" w:hAnsi="Arial" w:cs="Arial"/>
          <w:b/>
          <w:i/>
          <w:lang w:val="es-CO"/>
        </w:rPr>
        <w:t xml:space="preserve"> </w:t>
      </w:r>
      <w:r w:rsidRPr="00252221">
        <w:rPr>
          <w:rFonts w:ascii="Arial" w:hAnsi="Arial" w:cs="Arial"/>
          <w:b/>
          <w:i/>
          <w:lang w:val="es-CO"/>
        </w:rPr>
        <w:lastRenderedPageBreak/>
        <w:t xml:space="preserve">le hizo a la aseguradora, respecto de su deber de indemnizar a la entidad estatal por los perjuicios surgidos de su incumplimiento contractual-, sino también, el contrato estatal </w:t>
      </w:r>
      <w:r w:rsidRPr="00252221">
        <w:rPr>
          <w:rFonts w:ascii="Arial" w:hAnsi="Arial" w:cs="Arial"/>
          <w:b/>
          <w:i/>
          <w:u w:val="single"/>
          <w:lang w:val="es-CO"/>
        </w:rPr>
        <w:t>y el acto administrativo mediante el cual se declaró la existencia del siniestro</w:t>
      </w:r>
      <w:r w:rsidRPr="00252221">
        <w:rPr>
          <w:rFonts w:ascii="Arial" w:hAnsi="Arial" w:cs="Arial"/>
          <w:lang w:val="es-CO"/>
        </w:rPr>
        <w:t>” (</w:t>
      </w:r>
      <w:r w:rsidR="009846B2" w:rsidRPr="00252221">
        <w:rPr>
          <w:rFonts w:ascii="Arial" w:hAnsi="Arial" w:cs="Arial"/>
          <w:lang w:val="es-CO"/>
        </w:rPr>
        <w:t>se destaca</w:t>
      </w:r>
      <w:r w:rsidRPr="00252221">
        <w:rPr>
          <w:rFonts w:ascii="Arial" w:hAnsi="Arial" w:cs="Arial"/>
          <w:lang w:val="es-CO"/>
        </w:rPr>
        <w:t>).</w:t>
      </w:r>
    </w:p>
    <w:p w14:paraId="12AE16EF" w14:textId="77777777" w:rsidR="00E5758E" w:rsidRPr="00252221" w:rsidRDefault="00E5758E" w:rsidP="002263C6">
      <w:pPr>
        <w:rPr>
          <w:rFonts w:ascii="Arial" w:hAnsi="Arial" w:cs="Arial"/>
          <w:lang w:val="es-CO"/>
        </w:rPr>
      </w:pPr>
    </w:p>
    <w:p w14:paraId="3BB293B9" w14:textId="77777777" w:rsidR="00F8534F" w:rsidRPr="00252221" w:rsidRDefault="00943427" w:rsidP="0051552F">
      <w:pPr>
        <w:spacing w:line="360" w:lineRule="auto"/>
        <w:jc w:val="both"/>
        <w:rPr>
          <w:rFonts w:ascii="Arial" w:hAnsi="Arial" w:cs="Arial"/>
          <w:lang w:val="es-CO"/>
        </w:rPr>
      </w:pPr>
      <w:r w:rsidRPr="00252221">
        <w:rPr>
          <w:rFonts w:ascii="Arial" w:hAnsi="Arial" w:cs="Arial"/>
          <w:lang w:val="es-CO"/>
        </w:rPr>
        <w:t xml:space="preserve">Por otra parte, </w:t>
      </w:r>
      <w:r w:rsidR="008178AB" w:rsidRPr="00252221">
        <w:rPr>
          <w:rFonts w:ascii="Arial" w:hAnsi="Arial" w:cs="Arial"/>
          <w:lang w:val="es-CO"/>
        </w:rPr>
        <w:t>el artí</w:t>
      </w:r>
      <w:r w:rsidR="003A36F7" w:rsidRPr="00252221">
        <w:rPr>
          <w:rFonts w:ascii="Arial" w:hAnsi="Arial" w:cs="Arial"/>
          <w:lang w:val="es-CO"/>
        </w:rPr>
        <w:t>culo 86 de la Ley 1474 de 2011</w:t>
      </w:r>
      <w:r w:rsidR="007C73E2" w:rsidRPr="00252221">
        <w:rPr>
          <w:rStyle w:val="Refdenotaalpie"/>
          <w:rFonts w:ascii="Arial" w:hAnsi="Arial" w:cs="Arial"/>
          <w:lang w:val="es-CO"/>
        </w:rPr>
        <w:footnoteReference w:id="8"/>
      </w:r>
      <w:r w:rsidR="003A36F7" w:rsidRPr="00252221">
        <w:rPr>
          <w:rFonts w:ascii="Arial" w:hAnsi="Arial" w:cs="Arial"/>
          <w:lang w:val="es-CO"/>
        </w:rPr>
        <w:t xml:space="preserve"> </w:t>
      </w:r>
      <w:r w:rsidR="005D532B" w:rsidRPr="00252221">
        <w:rPr>
          <w:rFonts w:ascii="Arial" w:hAnsi="Arial" w:cs="Arial"/>
          <w:lang w:val="es-CO"/>
        </w:rPr>
        <w:t xml:space="preserve">establece </w:t>
      </w:r>
      <w:r w:rsidR="003A36F7" w:rsidRPr="00252221">
        <w:rPr>
          <w:rFonts w:ascii="Arial" w:hAnsi="Arial" w:cs="Arial"/>
          <w:lang w:val="es-CO"/>
        </w:rPr>
        <w:t xml:space="preserve">lo </w:t>
      </w:r>
      <w:r w:rsidR="008178AB" w:rsidRPr="00252221">
        <w:rPr>
          <w:rFonts w:ascii="Arial" w:hAnsi="Arial" w:cs="Arial"/>
          <w:lang w:val="es-CO"/>
        </w:rPr>
        <w:t xml:space="preserve">siguiente: </w:t>
      </w:r>
    </w:p>
    <w:p w14:paraId="4CD9E793" w14:textId="77777777" w:rsidR="005A0C41" w:rsidRPr="00252221" w:rsidRDefault="009F4E33" w:rsidP="005A0C41">
      <w:pPr>
        <w:spacing w:before="100" w:beforeAutospacing="1" w:after="100" w:afterAutospacing="1"/>
        <w:ind w:left="708" w:right="902"/>
        <w:jc w:val="both"/>
        <w:rPr>
          <w:rFonts w:ascii="Arial" w:hAnsi="Arial" w:cs="Arial"/>
          <w:color w:val="000000"/>
          <w:lang w:val="es-CO" w:eastAsia="es-CO"/>
        </w:rPr>
      </w:pPr>
      <w:bookmarkStart w:id="0" w:name="86"/>
      <w:r w:rsidRPr="00252221">
        <w:rPr>
          <w:rFonts w:ascii="Arial" w:hAnsi="Arial" w:cs="Arial"/>
          <w:b/>
          <w:bCs/>
          <w:color w:val="000000"/>
          <w:lang w:val="es-CO" w:eastAsia="es-CO"/>
        </w:rPr>
        <w:t>“</w:t>
      </w:r>
      <w:r w:rsidR="008178AB" w:rsidRPr="00252221">
        <w:rPr>
          <w:rFonts w:ascii="Arial" w:hAnsi="Arial" w:cs="Arial"/>
          <w:b/>
          <w:bCs/>
          <w:color w:val="000000"/>
          <w:lang w:val="es-CO" w:eastAsia="es-CO"/>
        </w:rPr>
        <w:t>IMPOSICIÓN DE MULTAS, SANCIONES Y DECLARATORIAS DE INCUMPLIMIENTO.</w:t>
      </w:r>
      <w:bookmarkEnd w:id="0"/>
      <w:r w:rsidR="008178AB" w:rsidRPr="00252221">
        <w:rPr>
          <w:rFonts w:ascii="Arial" w:hAnsi="Arial" w:cs="Arial"/>
          <w:color w:val="000000"/>
          <w:lang w:val="es-CO" w:eastAsia="es-CO"/>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5E95DFF2" w14:textId="77777777" w:rsidR="005A0C41" w:rsidRPr="00252221" w:rsidRDefault="00926261" w:rsidP="005A0C41">
      <w:pPr>
        <w:spacing w:before="100" w:beforeAutospacing="1" w:after="100" w:afterAutospacing="1"/>
        <w:ind w:left="708" w:right="902"/>
        <w:jc w:val="both"/>
        <w:rPr>
          <w:rFonts w:ascii="Arial" w:hAnsi="Arial" w:cs="Arial"/>
          <w:color w:val="000000"/>
          <w:u w:val="single"/>
          <w:lang w:val="es-CO" w:eastAsia="es-CO"/>
        </w:rPr>
      </w:pPr>
      <w:r w:rsidRPr="00252221">
        <w:rPr>
          <w:rFonts w:ascii="Arial" w:hAnsi="Arial" w:cs="Arial"/>
          <w:color w:val="000000"/>
          <w:lang w:val="es-CO" w:eastAsia="es-CO"/>
        </w:rPr>
        <w:t>“</w:t>
      </w:r>
      <w:r w:rsidR="008178AB" w:rsidRPr="00252221">
        <w:rPr>
          <w:rFonts w:ascii="Arial" w:hAnsi="Arial" w:cs="Arial"/>
          <w:color w:val="000000"/>
          <w:lang w:val="es-CO" w:eastAsia="es-CO"/>
        </w:rPr>
        <w:t xml:space="preserve">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w:t>
      </w:r>
      <w:r w:rsidR="008178AB" w:rsidRPr="00252221">
        <w:rPr>
          <w:rFonts w:ascii="Arial" w:hAnsi="Arial" w:cs="Arial"/>
          <w:color w:val="000000"/>
          <w:u w:val="single"/>
          <w:lang w:val="es-CO" w:eastAsia="es-CO"/>
        </w:rPr>
        <w:t>En el evento en que la garantía de cumplimiento consista en póliza de seguros, el garante será citado de la misma manera;</w:t>
      </w:r>
    </w:p>
    <w:p w14:paraId="36BD362F" w14:textId="77777777" w:rsidR="005A0C41" w:rsidRPr="00252221" w:rsidRDefault="009F4E33" w:rsidP="005A0C41">
      <w:pPr>
        <w:spacing w:before="100" w:beforeAutospacing="1" w:after="100" w:afterAutospacing="1"/>
        <w:ind w:left="708" w:right="902"/>
        <w:jc w:val="both"/>
        <w:rPr>
          <w:rFonts w:ascii="Arial" w:hAnsi="Arial" w:cs="Arial"/>
          <w:color w:val="000000"/>
          <w:lang w:val="es-CO" w:eastAsia="es-CO"/>
        </w:rPr>
      </w:pPr>
      <w:r w:rsidRPr="00252221">
        <w:rPr>
          <w:rFonts w:ascii="Arial" w:hAnsi="Arial" w:cs="Arial"/>
          <w:color w:val="000000"/>
          <w:lang w:val="es-CO" w:eastAsia="es-CO"/>
        </w:rPr>
        <w:t>“</w:t>
      </w:r>
      <w:r w:rsidR="008178AB" w:rsidRPr="00252221">
        <w:rPr>
          <w:rFonts w:ascii="Arial" w:hAnsi="Arial" w:cs="Arial"/>
          <w:color w:val="000000"/>
          <w:lang w:val="es-CO" w:eastAsia="es-CO"/>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3D478CD" w14:textId="77777777" w:rsidR="005A0C41" w:rsidRPr="00252221" w:rsidRDefault="009F4E33" w:rsidP="005A0C41">
      <w:pPr>
        <w:spacing w:before="100" w:beforeAutospacing="1" w:after="100" w:afterAutospacing="1"/>
        <w:ind w:left="708" w:right="902"/>
        <w:jc w:val="both"/>
        <w:rPr>
          <w:rFonts w:ascii="Arial" w:hAnsi="Arial" w:cs="Arial"/>
          <w:color w:val="000000"/>
          <w:lang w:val="es-CO" w:eastAsia="es-CO"/>
        </w:rPr>
      </w:pPr>
      <w:r w:rsidRPr="00252221">
        <w:rPr>
          <w:rFonts w:ascii="Arial" w:hAnsi="Arial" w:cs="Arial"/>
          <w:color w:val="000000"/>
          <w:lang w:val="es-CO" w:eastAsia="es-CO"/>
        </w:rPr>
        <w:t>“</w:t>
      </w:r>
      <w:r w:rsidR="008178AB" w:rsidRPr="00252221">
        <w:rPr>
          <w:rFonts w:ascii="Arial" w:hAnsi="Arial" w:cs="Arial"/>
          <w:color w:val="000000"/>
          <w:lang w:val="es-CO" w:eastAsia="es-CO"/>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592B0E23" w14:textId="77777777" w:rsidR="002263C6" w:rsidRPr="00252221" w:rsidRDefault="009F4E33" w:rsidP="00F8534F">
      <w:pPr>
        <w:spacing w:before="100" w:beforeAutospacing="1" w:after="100" w:afterAutospacing="1"/>
        <w:ind w:left="708" w:right="902"/>
        <w:jc w:val="both"/>
        <w:rPr>
          <w:rStyle w:val="nfasis"/>
          <w:rFonts w:ascii="Arial" w:hAnsi="Arial" w:cs="Arial"/>
          <w:i w:val="0"/>
          <w:iCs w:val="0"/>
          <w:color w:val="000000"/>
          <w:lang w:val="es-CO" w:eastAsia="es-CO"/>
        </w:rPr>
      </w:pPr>
      <w:r w:rsidRPr="00252221">
        <w:rPr>
          <w:rFonts w:ascii="Arial" w:hAnsi="Arial" w:cs="Arial"/>
          <w:color w:val="000000"/>
          <w:lang w:val="es-CO" w:eastAsia="es-CO"/>
        </w:rPr>
        <w:t xml:space="preserve">“(…)” (se subraya). </w:t>
      </w:r>
    </w:p>
    <w:p w14:paraId="63CA415C" w14:textId="77777777" w:rsidR="003A36F7" w:rsidRPr="00252221" w:rsidRDefault="00F01905" w:rsidP="00BB588D">
      <w:pPr>
        <w:spacing w:line="360" w:lineRule="auto"/>
        <w:jc w:val="both"/>
        <w:rPr>
          <w:rFonts w:ascii="Arial" w:hAnsi="Arial" w:cs="Arial"/>
          <w:lang w:val="es-CO"/>
        </w:rPr>
      </w:pPr>
      <w:r w:rsidRPr="00252221">
        <w:rPr>
          <w:rFonts w:ascii="Arial" w:hAnsi="Arial" w:cs="Arial"/>
          <w:lang w:val="es-CO"/>
        </w:rPr>
        <w:lastRenderedPageBreak/>
        <w:t xml:space="preserve">Adicionalmente, </w:t>
      </w:r>
      <w:r w:rsidR="003A36F7" w:rsidRPr="00252221">
        <w:rPr>
          <w:rFonts w:ascii="Arial" w:hAnsi="Arial" w:cs="Arial"/>
          <w:lang w:val="es-CO"/>
        </w:rPr>
        <w:t xml:space="preserve">el </w:t>
      </w:r>
      <w:r w:rsidR="00BB588D" w:rsidRPr="00252221">
        <w:rPr>
          <w:rFonts w:ascii="Arial" w:hAnsi="Arial" w:cs="Arial"/>
          <w:lang w:val="es-CO"/>
        </w:rPr>
        <w:t>artículo 7 de la Ley 1150 de 2007</w:t>
      </w:r>
      <w:r w:rsidR="007C73E2" w:rsidRPr="00252221">
        <w:rPr>
          <w:rStyle w:val="Refdenotaalpie"/>
          <w:rFonts w:ascii="Arial" w:hAnsi="Arial" w:cs="Arial"/>
          <w:lang w:val="es-CO"/>
        </w:rPr>
        <w:footnoteReference w:id="9"/>
      </w:r>
      <w:r w:rsidR="00BB588D" w:rsidRPr="00252221">
        <w:rPr>
          <w:rFonts w:ascii="Arial" w:hAnsi="Arial" w:cs="Arial"/>
          <w:lang w:val="es-CO"/>
        </w:rPr>
        <w:t>,</w:t>
      </w:r>
      <w:r w:rsidR="008178AB" w:rsidRPr="00252221">
        <w:rPr>
          <w:rFonts w:ascii="Arial" w:hAnsi="Arial" w:cs="Arial"/>
          <w:lang w:val="es-CO"/>
        </w:rPr>
        <w:t xml:space="preserve"> vigente para la fecha </w:t>
      </w:r>
      <w:r w:rsidR="003A36F7" w:rsidRPr="00252221">
        <w:rPr>
          <w:rFonts w:ascii="Arial" w:hAnsi="Arial" w:cs="Arial"/>
          <w:lang w:val="es-CO"/>
        </w:rPr>
        <w:t xml:space="preserve">en que se celebró </w:t>
      </w:r>
      <w:r w:rsidR="008178AB" w:rsidRPr="00252221">
        <w:rPr>
          <w:rFonts w:ascii="Arial" w:hAnsi="Arial" w:cs="Arial"/>
          <w:lang w:val="es-CO"/>
        </w:rPr>
        <w:t>el contrato</w:t>
      </w:r>
      <w:r w:rsidR="004E60A0" w:rsidRPr="00252221">
        <w:rPr>
          <w:rStyle w:val="Refdenotaalpie"/>
          <w:rFonts w:ascii="Arial" w:hAnsi="Arial" w:cs="Arial"/>
          <w:lang w:val="es-CO"/>
        </w:rPr>
        <w:footnoteReference w:id="10"/>
      </w:r>
      <w:r w:rsidR="00A271E0" w:rsidRPr="00252221">
        <w:rPr>
          <w:rFonts w:ascii="Arial" w:hAnsi="Arial" w:cs="Arial"/>
          <w:lang w:val="es-CO"/>
        </w:rPr>
        <w:t>,</w:t>
      </w:r>
      <w:r w:rsidR="003A36F7" w:rsidRPr="00252221">
        <w:rPr>
          <w:rFonts w:ascii="Arial" w:hAnsi="Arial" w:cs="Arial"/>
          <w:lang w:val="es-CO"/>
        </w:rPr>
        <w:t xml:space="preserve"> </w:t>
      </w:r>
      <w:r w:rsidR="007C73E2" w:rsidRPr="00252221">
        <w:rPr>
          <w:rFonts w:ascii="Arial" w:hAnsi="Arial" w:cs="Arial"/>
          <w:lang w:val="es-CO"/>
        </w:rPr>
        <w:t>se</w:t>
      </w:r>
      <w:r w:rsidR="003A36F7" w:rsidRPr="00252221">
        <w:rPr>
          <w:rFonts w:ascii="Arial" w:hAnsi="Arial" w:cs="Arial"/>
          <w:lang w:val="es-CO"/>
        </w:rPr>
        <w:t xml:space="preserve"> </w:t>
      </w:r>
      <w:r w:rsidR="0062742E" w:rsidRPr="00252221">
        <w:rPr>
          <w:rFonts w:ascii="Arial" w:hAnsi="Arial" w:cs="Arial"/>
          <w:lang w:val="es-CO"/>
        </w:rPr>
        <w:t xml:space="preserve">señala </w:t>
      </w:r>
      <w:r w:rsidR="00BB588D" w:rsidRPr="00252221">
        <w:rPr>
          <w:rFonts w:ascii="Arial" w:hAnsi="Arial" w:cs="Arial"/>
          <w:lang w:val="es-CO"/>
        </w:rPr>
        <w:t>que</w:t>
      </w:r>
      <w:r w:rsidR="008178AB" w:rsidRPr="00252221">
        <w:rPr>
          <w:rFonts w:ascii="Arial" w:hAnsi="Arial" w:cs="Arial"/>
        </w:rPr>
        <w:t xml:space="preserve"> </w:t>
      </w:r>
      <w:r w:rsidR="008178AB" w:rsidRPr="00252221">
        <w:rPr>
          <w:rFonts w:ascii="Arial" w:hAnsi="Arial" w:cs="Arial"/>
          <w:i/>
        </w:rPr>
        <w:t>“</w:t>
      </w:r>
      <w:r w:rsidR="008178AB" w:rsidRPr="00252221">
        <w:rPr>
          <w:rFonts w:ascii="Arial" w:hAnsi="Arial" w:cs="Arial"/>
          <w:i/>
          <w:lang w:val="es-CO"/>
        </w:rPr>
        <w:t>el acaecimiento del siniestro que amparan las garantías será comunicado por la entidad pública al respectivo asegurador mediante la notificación del acto administrativo que así lo declare”</w:t>
      </w:r>
      <w:r w:rsidR="003A36F7" w:rsidRPr="00252221">
        <w:rPr>
          <w:rFonts w:ascii="Arial" w:hAnsi="Arial" w:cs="Arial"/>
          <w:lang w:val="es-CO"/>
        </w:rPr>
        <w:t xml:space="preserve">. </w:t>
      </w:r>
    </w:p>
    <w:p w14:paraId="613A4ECC" w14:textId="77777777" w:rsidR="003A36F7" w:rsidRPr="00252221" w:rsidRDefault="003A36F7" w:rsidP="002263C6">
      <w:pPr>
        <w:rPr>
          <w:rFonts w:ascii="Arial" w:hAnsi="Arial" w:cs="Arial"/>
          <w:lang w:val="es-CO"/>
        </w:rPr>
      </w:pPr>
    </w:p>
    <w:p w14:paraId="14EDC2ED" w14:textId="77777777" w:rsidR="009F4E33" w:rsidRPr="00252221" w:rsidRDefault="00A271E0" w:rsidP="00BB588D">
      <w:pPr>
        <w:spacing w:line="360" w:lineRule="auto"/>
        <w:jc w:val="both"/>
        <w:rPr>
          <w:rFonts w:ascii="Arial" w:hAnsi="Arial" w:cs="Arial"/>
          <w:lang w:val="es-CO"/>
        </w:rPr>
      </w:pPr>
      <w:r w:rsidRPr="00252221">
        <w:rPr>
          <w:rFonts w:ascii="Arial" w:hAnsi="Arial" w:cs="Arial"/>
          <w:lang w:val="es-CO"/>
        </w:rPr>
        <w:t>C</w:t>
      </w:r>
      <w:r w:rsidR="003A36F7" w:rsidRPr="00252221">
        <w:rPr>
          <w:rFonts w:ascii="Arial" w:hAnsi="Arial" w:cs="Arial"/>
          <w:lang w:val="es-CO"/>
        </w:rPr>
        <w:t>omo se observa</w:t>
      </w:r>
      <w:r w:rsidR="000E30B7" w:rsidRPr="00252221">
        <w:rPr>
          <w:rFonts w:ascii="Arial" w:hAnsi="Arial" w:cs="Arial"/>
          <w:lang w:val="es-CO"/>
        </w:rPr>
        <w:t>,</w:t>
      </w:r>
      <w:r w:rsidR="003A36F7" w:rsidRPr="00252221">
        <w:rPr>
          <w:rFonts w:ascii="Arial" w:hAnsi="Arial" w:cs="Arial"/>
          <w:lang w:val="es-CO"/>
        </w:rPr>
        <w:t xml:space="preserve"> </w:t>
      </w:r>
      <w:r w:rsidR="000E30B7" w:rsidRPr="00252221">
        <w:rPr>
          <w:rFonts w:ascii="Arial" w:hAnsi="Arial" w:cs="Arial"/>
          <w:lang w:val="es-CO"/>
        </w:rPr>
        <w:t xml:space="preserve">la entidad </w:t>
      </w:r>
      <w:r w:rsidR="008B3560" w:rsidRPr="00252221">
        <w:rPr>
          <w:rFonts w:ascii="Arial" w:hAnsi="Arial" w:cs="Arial"/>
          <w:lang w:val="es-CO"/>
        </w:rPr>
        <w:t>estatal</w:t>
      </w:r>
      <w:r w:rsidR="00491A2E" w:rsidRPr="00252221">
        <w:rPr>
          <w:rFonts w:ascii="Arial" w:hAnsi="Arial" w:cs="Arial"/>
          <w:lang w:val="es-CO"/>
        </w:rPr>
        <w:t xml:space="preserve">, además </w:t>
      </w:r>
      <w:r w:rsidR="0062742E" w:rsidRPr="00252221">
        <w:rPr>
          <w:rFonts w:ascii="Arial" w:hAnsi="Arial" w:cs="Arial"/>
          <w:lang w:val="es-CO"/>
        </w:rPr>
        <w:t>de proferir una resolución en la que d</w:t>
      </w:r>
      <w:r w:rsidR="000E30B7" w:rsidRPr="00252221">
        <w:rPr>
          <w:rFonts w:ascii="Arial" w:hAnsi="Arial" w:cs="Arial"/>
          <w:lang w:val="es-CO"/>
        </w:rPr>
        <w:t>eclar</w:t>
      </w:r>
      <w:r w:rsidR="0062742E" w:rsidRPr="00252221">
        <w:rPr>
          <w:rFonts w:ascii="Arial" w:hAnsi="Arial" w:cs="Arial"/>
          <w:lang w:val="es-CO"/>
        </w:rPr>
        <w:t xml:space="preserve">e </w:t>
      </w:r>
      <w:r w:rsidR="000E30B7" w:rsidRPr="00252221">
        <w:rPr>
          <w:rFonts w:ascii="Arial" w:hAnsi="Arial" w:cs="Arial"/>
          <w:lang w:val="es-CO"/>
        </w:rPr>
        <w:t xml:space="preserve">el incumplimiento del contrato, </w:t>
      </w:r>
      <w:r w:rsidR="00491A2E" w:rsidRPr="00252221">
        <w:rPr>
          <w:rFonts w:ascii="Arial" w:hAnsi="Arial" w:cs="Arial"/>
          <w:lang w:val="es-CO"/>
        </w:rPr>
        <w:t>debe</w:t>
      </w:r>
      <w:r w:rsidR="005A0C41" w:rsidRPr="00252221">
        <w:rPr>
          <w:rFonts w:ascii="Arial" w:hAnsi="Arial" w:cs="Arial"/>
          <w:lang w:val="es-CO"/>
        </w:rPr>
        <w:t xml:space="preserve"> </w:t>
      </w:r>
      <w:r w:rsidR="0062742E" w:rsidRPr="00252221">
        <w:rPr>
          <w:rFonts w:ascii="Arial" w:hAnsi="Arial" w:cs="Arial"/>
          <w:lang w:val="es-CO"/>
        </w:rPr>
        <w:t xml:space="preserve">expedir un acto administrativo mediante el cual declare </w:t>
      </w:r>
      <w:r w:rsidR="00CF2473" w:rsidRPr="00252221">
        <w:rPr>
          <w:rFonts w:ascii="Arial" w:hAnsi="Arial" w:cs="Arial"/>
          <w:lang w:val="es-CO"/>
        </w:rPr>
        <w:t>la</w:t>
      </w:r>
      <w:r w:rsidR="0049623F" w:rsidRPr="00252221">
        <w:rPr>
          <w:rFonts w:ascii="Arial" w:hAnsi="Arial" w:cs="Arial"/>
          <w:lang w:val="es-CO"/>
        </w:rPr>
        <w:t xml:space="preserve"> </w:t>
      </w:r>
      <w:r w:rsidR="000E30B7" w:rsidRPr="00252221">
        <w:rPr>
          <w:rFonts w:ascii="Arial" w:hAnsi="Arial" w:cs="Arial"/>
          <w:lang w:val="es-CO"/>
        </w:rPr>
        <w:t>ocurr</w:t>
      </w:r>
      <w:r w:rsidR="00CF2473" w:rsidRPr="00252221">
        <w:rPr>
          <w:rFonts w:ascii="Arial" w:hAnsi="Arial" w:cs="Arial"/>
          <w:lang w:val="es-CO"/>
        </w:rPr>
        <w:t>encia d</w:t>
      </w:r>
      <w:r w:rsidR="000E30B7" w:rsidRPr="00252221">
        <w:rPr>
          <w:rFonts w:ascii="Arial" w:hAnsi="Arial" w:cs="Arial"/>
          <w:lang w:val="es-CO"/>
        </w:rPr>
        <w:t>el siniestro</w:t>
      </w:r>
      <w:r w:rsidR="008B3560" w:rsidRPr="00252221">
        <w:rPr>
          <w:rFonts w:ascii="Arial" w:hAnsi="Arial" w:cs="Arial"/>
          <w:lang w:val="es-CO"/>
        </w:rPr>
        <w:t xml:space="preserve"> por el incumplimiento del mismo</w:t>
      </w:r>
      <w:r w:rsidRPr="00252221">
        <w:rPr>
          <w:rFonts w:ascii="Arial" w:hAnsi="Arial" w:cs="Arial"/>
          <w:lang w:val="es-CO"/>
        </w:rPr>
        <w:t>,</w:t>
      </w:r>
      <w:r w:rsidR="000E30B7" w:rsidRPr="00252221">
        <w:rPr>
          <w:rFonts w:ascii="Arial" w:hAnsi="Arial" w:cs="Arial"/>
          <w:lang w:val="es-CO"/>
        </w:rPr>
        <w:t xml:space="preserve"> </w:t>
      </w:r>
      <w:r w:rsidR="008B3560" w:rsidRPr="00252221">
        <w:rPr>
          <w:rFonts w:ascii="Arial" w:hAnsi="Arial" w:cs="Arial"/>
          <w:lang w:val="es-CO"/>
        </w:rPr>
        <w:t xml:space="preserve">para que, en efecto, surja una obligación </w:t>
      </w:r>
      <w:r w:rsidR="00F01905" w:rsidRPr="00252221">
        <w:rPr>
          <w:rFonts w:ascii="Arial" w:hAnsi="Arial" w:cs="Arial"/>
          <w:lang w:val="es-CO"/>
        </w:rPr>
        <w:t xml:space="preserve">exigible </w:t>
      </w:r>
      <w:r w:rsidR="008B3560" w:rsidRPr="00252221">
        <w:rPr>
          <w:rFonts w:ascii="Arial" w:hAnsi="Arial" w:cs="Arial"/>
          <w:lang w:val="es-CO"/>
        </w:rPr>
        <w:t>a cargo de la asegurad</w:t>
      </w:r>
      <w:r w:rsidR="009846B2" w:rsidRPr="00252221">
        <w:rPr>
          <w:rFonts w:ascii="Arial" w:hAnsi="Arial" w:cs="Arial"/>
          <w:lang w:val="es-CO"/>
        </w:rPr>
        <w:t>ora y en favor del beneficiario.</w:t>
      </w:r>
      <w:r w:rsidR="008B3560" w:rsidRPr="00252221">
        <w:rPr>
          <w:rFonts w:ascii="Arial" w:hAnsi="Arial" w:cs="Arial"/>
          <w:lang w:val="es-CO"/>
        </w:rPr>
        <w:t xml:space="preserve"> </w:t>
      </w:r>
      <w:r w:rsidR="009846B2" w:rsidRPr="00252221">
        <w:rPr>
          <w:rFonts w:ascii="Arial" w:hAnsi="Arial" w:cs="Arial"/>
          <w:lang w:val="es-CO"/>
        </w:rPr>
        <w:t>D</w:t>
      </w:r>
      <w:r w:rsidR="005A0C41" w:rsidRPr="00252221">
        <w:rPr>
          <w:rFonts w:ascii="Arial" w:hAnsi="Arial" w:cs="Arial"/>
          <w:lang w:val="es-CO"/>
        </w:rPr>
        <w:t xml:space="preserve">icho de otra manera, </w:t>
      </w:r>
      <w:r w:rsidR="000E30B7" w:rsidRPr="00252221">
        <w:rPr>
          <w:rFonts w:ascii="Arial" w:hAnsi="Arial" w:cs="Arial"/>
          <w:lang w:val="es-CO"/>
        </w:rPr>
        <w:t xml:space="preserve">no basta </w:t>
      </w:r>
      <w:r w:rsidR="0049623F" w:rsidRPr="00252221">
        <w:rPr>
          <w:rFonts w:ascii="Arial" w:hAnsi="Arial" w:cs="Arial"/>
          <w:lang w:val="es-CO"/>
        </w:rPr>
        <w:t xml:space="preserve">con que </w:t>
      </w:r>
      <w:r w:rsidR="000E30B7" w:rsidRPr="00252221">
        <w:rPr>
          <w:rFonts w:ascii="Arial" w:hAnsi="Arial" w:cs="Arial"/>
          <w:lang w:val="es-CO"/>
        </w:rPr>
        <w:t>ocurra</w:t>
      </w:r>
      <w:r w:rsidR="007C73E2" w:rsidRPr="00252221">
        <w:rPr>
          <w:rFonts w:ascii="Arial" w:hAnsi="Arial" w:cs="Arial"/>
          <w:lang w:val="es-CO"/>
        </w:rPr>
        <w:t xml:space="preserve"> </w:t>
      </w:r>
      <w:r w:rsidR="0062742E" w:rsidRPr="00252221">
        <w:rPr>
          <w:rFonts w:ascii="Arial" w:hAnsi="Arial" w:cs="Arial"/>
          <w:lang w:val="es-CO"/>
        </w:rPr>
        <w:t xml:space="preserve">el siniestro para que </w:t>
      </w:r>
      <w:r w:rsidR="007C73E2" w:rsidRPr="00252221">
        <w:rPr>
          <w:rFonts w:ascii="Arial" w:hAnsi="Arial" w:cs="Arial"/>
          <w:lang w:val="es-CO"/>
        </w:rPr>
        <w:t>la</w:t>
      </w:r>
      <w:r w:rsidR="0049623F" w:rsidRPr="00252221">
        <w:rPr>
          <w:rFonts w:ascii="Arial" w:hAnsi="Arial" w:cs="Arial"/>
          <w:lang w:val="es-CO"/>
        </w:rPr>
        <w:t xml:space="preserve"> obligación</w:t>
      </w:r>
      <w:r w:rsidR="007C73E2" w:rsidRPr="00252221">
        <w:rPr>
          <w:rFonts w:ascii="Arial" w:hAnsi="Arial" w:cs="Arial"/>
          <w:lang w:val="es-CO"/>
        </w:rPr>
        <w:t xml:space="preserve"> se haga exigible</w:t>
      </w:r>
      <w:r w:rsidR="000E30B7" w:rsidRPr="00252221">
        <w:rPr>
          <w:rFonts w:ascii="Arial" w:hAnsi="Arial" w:cs="Arial"/>
          <w:lang w:val="es-CO"/>
        </w:rPr>
        <w:t xml:space="preserve">, </w:t>
      </w:r>
      <w:r w:rsidR="008B3560" w:rsidRPr="00252221">
        <w:rPr>
          <w:rFonts w:ascii="Arial" w:hAnsi="Arial" w:cs="Arial"/>
          <w:lang w:val="es-CO"/>
        </w:rPr>
        <w:t xml:space="preserve">sino que, adicionalmente, </w:t>
      </w:r>
      <w:r w:rsidR="005A0C41" w:rsidRPr="00252221">
        <w:rPr>
          <w:rFonts w:ascii="Arial" w:hAnsi="Arial" w:cs="Arial"/>
          <w:lang w:val="es-CO"/>
        </w:rPr>
        <w:t xml:space="preserve">se le </w:t>
      </w:r>
      <w:r w:rsidR="008B3560" w:rsidRPr="00252221">
        <w:rPr>
          <w:rFonts w:ascii="Arial" w:hAnsi="Arial" w:cs="Arial"/>
          <w:lang w:val="es-CO"/>
        </w:rPr>
        <w:t>debe</w:t>
      </w:r>
      <w:r w:rsidR="005A0C41" w:rsidRPr="00252221">
        <w:rPr>
          <w:rFonts w:ascii="Arial" w:hAnsi="Arial" w:cs="Arial"/>
          <w:lang w:val="es-CO"/>
        </w:rPr>
        <w:t xml:space="preserve"> comunicar a la compañía aseguradora que se harán </w:t>
      </w:r>
      <w:r w:rsidR="0049623F" w:rsidRPr="00252221">
        <w:rPr>
          <w:rFonts w:ascii="Arial" w:hAnsi="Arial" w:cs="Arial"/>
          <w:lang w:val="es-CO"/>
        </w:rPr>
        <w:t>efectivas las garantías</w:t>
      </w:r>
      <w:r w:rsidR="007C73E2" w:rsidRPr="00252221">
        <w:rPr>
          <w:rFonts w:ascii="Arial" w:hAnsi="Arial" w:cs="Arial"/>
          <w:lang w:val="es-CO"/>
        </w:rPr>
        <w:t xml:space="preserve"> de la póliza</w:t>
      </w:r>
      <w:r w:rsidRPr="00252221">
        <w:rPr>
          <w:rFonts w:ascii="Arial" w:hAnsi="Arial" w:cs="Arial"/>
          <w:lang w:val="es-CO"/>
        </w:rPr>
        <w:t xml:space="preserve">, para lo cual se le debe notificar el acto administrativo que declare la ocurrencia del siniestro respectivo. </w:t>
      </w:r>
      <w:r w:rsidR="005A0C41" w:rsidRPr="00252221">
        <w:rPr>
          <w:rFonts w:ascii="Arial" w:hAnsi="Arial" w:cs="Arial"/>
          <w:lang w:val="es-CO"/>
        </w:rPr>
        <w:t xml:space="preserve"> </w:t>
      </w:r>
    </w:p>
    <w:p w14:paraId="005BB746" w14:textId="77777777" w:rsidR="0049623F" w:rsidRPr="00252221" w:rsidRDefault="0049623F" w:rsidP="002263C6">
      <w:pPr>
        <w:rPr>
          <w:rFonts w:ascii="Arial" w:hAnsi="Arial" w:cs="Arial"/>
          <w:lang w:val="es-CO"/>
        </w:rPr>
      </w:pPr>
    </w:p>
    <w:p w14:paraId="59929C3F" w14:textId="77777777" w:rsidR="00AF5364" w:rsidRPr="00252221" w:rsidRDefault="009F4E33" w:rsidP="00926261">
      <w:pPr>
        <w:spacing w:line="360" w:lineRule="auto"/>
        <w:jc w:val="both"/>
        <w:rPr>
          <w:rFonts w:ascii="Arial" w:hAnsi="Arial" w:cs="Arial"/>
        </w:rPr>
      </w:pPr>
      <w:r w:rsidRPr="00252221">
        <w:rPr>
          <w:rFonts w:ascii="Arial" w:hAnsi="Arial" w:cs="Arial"/>
          <w:lang w:val="es-CO"/>
        </w:rPr>
        <w:t>Así las cosas,</w:t>
      </w:r>
      <w:r w:rsidR="00F01905" w:rsidRPr="00252221">
        <w:rPr>
          <w:rFonts w:ascii="Arial" w:hAnsi="Arial" w:cs="Arial"/>
          <w:lang w:val="es-CO"/>
        </w:rPr>
        <w:t xml:space="preserve"> </w:t>
      </w:r>
      <w:r w:rsidR="00BF28F1" w:rsidRPr="00252221">
        <w:rPr>
          <w:rFonts w:ascii="Arial" w:hAnsi="Arial" w:cs="Arial"/>
          <w:lang w:val="es-CO"/>
        </w:rPr>
        <w:t xml:space="preserve">la </w:t>
      </w:r>
      <w:r w:rsidR="00F01905" w:rsidRPr="00252221">
        <w:rPr>
          <w:rFonts w:ascii="Arial" w:hAnsi="Arial" w:cs="Arial"/>
          <w:lang w:val="es-CO"/>
        </w:rPr>
        <w:t xml:space="preserve">parte actora </w:t>
      </w:r>
      <w:r w:rsidR="00BF28F1" w:rsidRPr="00252221">
        <w:rPr>
          <w:rFonts w:ascii="Arial" w:hAnsi="Arial" w:cs="Arial"/>
          <w:lang w:val="es-CO"/>
        </w:rPr>
        <w:t xml:space="preserve">debió </w:t>
      </w:r>
      <w:r w:rsidR="00F01905" w:rsidRPr="00252221">
        <w:rPr>
          <w:rFonts w:ascii="Arial" w:hAnsi="Arial" w:cs="Arial"/>
          <w:lang w:val="es-CO"/>
        </w:rPr>
        <w:t>alleg</w:t>
      </w:r>
      <w:r w:rsidR="00BF28F1" w:rsidRPr="00252221">
        <w:rPr>
          <w:rFonts w:ascii="Arial" w:hAnsi="Arial" w:cs="Arial"/>
          <w:lang w:val="es-CO"/>
        </w:rPr>
        <w:t xml:space="preserve">ar, </w:t>
      </w:r>
      <w:r w:rsidR="00943427" w:rsidRPr="00252221">
        <w:rPr>
          <w:rFonts w:ascii="Arial" w:hAnsi="Arial" w:cs="Arial"/>
          <w:lang w:val="es-CO"/>
        </w:rPr>
        <w:t>además d</w:t>
      </w:r>
      <w:r w:rsidR="00BF28F1" w:rsidRPr="00252221">
        <w:rPr>
          <w:rFonts w:ascii="Arial" w:hAnsi="Arial" w:cs="Arial"/>
          <w:lang w:val="es-CO"/>
        </w:rPr>
        <w:t xml:space="preserve">el contrato estatal </w:t>
      </w:r>
      <w:r w:rsidR="00F01905" w:rsidRPr="00252221">
        <w:rPr>
          <w:rFonts w:ascii="Arial" w:hAnsi="Arial" w:cs="Arial"/>
          <w:lang w:val="es-CO"/>
        </w:rPr>
        <w:t>del</w:t>
      </w:r>
      <w:r w:rsidR="00BF28F1" w:rsidRPr="00252221">
        <w:rPr>
          <w:rFonts w:ascii="Arial" w:hAnsi="Arial" w:cs="Arial"/>
          <w:lang w:val="es-CO"/>
        </w:rPr>
        <w:t xml:space="preserve"> 27 de diciembre de 2007, </w:t>
      </w:r>
      <w:r w:rsidR="00A6593C" w:rsidRPr="00252221">
        <w:rPr>
          <w:rFonts w:ascii="Arial" w:hAnsi="Arial" w:cs="Arial"/>
          <w:lang w:val="es-CO"/>
        </w:rPr>
        <w:t>d</w:t>
      </w:r>
      <w:r w:rsidR="00BF28F1" w:rsidRPr="00252221">
        <w:rPr>
          <w:rFonts w:ascii="Arial" w:hAnsi="Arial" w:cs="Arial"/>
          <w:lang w:val="es-CO"/>
        </w:rPr>
        <w:t>el</w:t>
      </w:r>
      <w:r w:rsidR="00F01905" w:rsidRPr="00252221">
        <w:rPr>
          <w:rFonts w:ascii="Arial" w:hAnsi="Arial" w:cs="Arial"/>
          <w:lang w:val="es-CO"/>
        </w:rPr>
        <w:t xml:space="preserve"> acta </w:t>
      </w:r>
      <w:r w:rsidR="00F01905" w:rsidRPr="00252221">
        <w:rPr>
          <w:rFonts w:ascii="Arial" w:hAnsi="Arial" w:cs="Arial"/>
        </w:rPr>
        <w:t xml:space="preserve">de liquidación unilateral del </w:t>
      </w:r>
      <w:r w:rsidR="00A6593C" w:rsidRPr="00252221">
        <w:rPr>
          <w:rFonts w:ascii="Arial" w:hAnsi="Arial" w:cs="Arial"/>
        </w:rPr>
        <w:t xml:space="preserve">mismo </w:t>
      </w:r>
      <w:r w:rsidR="00F01905" w:rsidRPr="00252221">
        <w:rPr>
          <w:rFonts w:ascii="Arial" w:hAnsi="Arial" w:cs="Arial"/>
        </w:rPr>
        <w:t xml:space="preserve"> y</w:t>
      </w:r>
      <w:r w:rsidR="00A6593C" w:rsidRPr="00252221">
        <w:rPr>
          <w:rFonts w:ascii="Arial" w:hAnsi="Arial" w:cs="Arial"/>
        </w:rPr>
        <w:t xml:space="preserve"> de</w:t>
      </w:r>
      <w:r w:rsidR="00F01905" w:rsidRPr="00252221">
        <w:rPr>
          <w:rFonts w:ascii="Arial" w:hAnsi="Arial" w:cs="Arial"/>
        </w:rPr>
        <w:t xml:space="preserve"> las pólizas SP000853 y RO008911</w:t>
      </w:r>
      <w:r w:rsidR="00BF28F1" w:rsidRPr="00252221">
        <w:rPr>
          <w:rFonts w:ascii="Arial" w:hAnsi="Arial" w:cs="Arial"/>
        </w:rPr>
        <w:t>,</w:t>
      </w:r>
      <w:r w:rsidR="00BF28F1" w:rsidRPr="00252221">
        <w:rPr>
          <w:rFonts w:ascii="Arial" w:hAnsi="Arial" w:cs="Arial"/>
          <w:lang w:val="es-CO"/>
        </w:rPr>
        <w:t xml:space="preserve"> </w:t>
      </w:r>
      <w:r w:rsidR="005A0C41" w:rsidRPr="00252221">
        <w:rPr>
          <w:rFonts w:ascii="Arial" w:hAnsi="Arial" w:cs="Arial"/>
        </w:rPr>
        <w:t xml:space="preserve">los </w:t>
      </w:r>
      <w:r w:rsidR="004E60A0" w:rsidRPr="00252221">
        <w:rPr>
          <w:rFonts w:ascii="Arial" w:hAnsi="Arial" w:cs="Arial"/>
        </w:rPr>
        <w:t>acto</w:t>
      </w:r>
      <w:r w:rsidR="005A0C41" w:rsidRPr="00252221">
        <w:rPr>
          <w:rFonts w:ascii="Arial" w:hAnsi="Arial" w:cs="Arial"/>
        </w:rPr>
        <w:t>s</w:t>
      </w:r>
      <w:r w:rsidR="00CF2473" w:rsidRPr="00252221">
        <w:rPr>
          <w:rFonts w:ascii="Arial" w:hAnsi="Arial" w:cs="Arial"/>
        </w:rPr>
        <w:t xml:space="preserve"> </w:t>
      </w:r>
      <w:r w:rsidR="0049623F" w:rsidRPr="00252221">
        <w:rPr>
          <w:rFonts w:ascii="Arial" w:hAnsi="Arial" w:cs="Arial"/>
          <w:lang w:val="es-CO"/>
        </w:rPr>
        <w:t>administrativo</w:t>
      </w:r>
      <w:r w:rsidR="005A0C41" w:rsidRPr="00252221">
        <w:rPr>
          <w:rFonts w:ascii="Arial" w:hAnsi="Arial" w:cs="Arial"/>
          <w:lang w:val="es-CO"/>
        </w:rPr>
        <w:t>s</w:t>
      </w:r>
      <w:r w:rsidR="0049623F" w:rsidRPr="00252221">
        <w:rPr>
          <w:rFonts w:ascii="Arial" w:hAnsi="Arial" w:cs="Arial"/>
          <w:lang w:val="es-CO"/>
        </w:rPr>
        <w:t xml:space="preserve"> </w:t>
      </w:r>
      <w:r w:rsidR="005E299E" w:rsidRPr="00252221">
        <w:rPr>
          <w:rFonts w:ascii="Arial" w:hAnsi="Arial" w:cs="Arial"/>
          <w:lang w:val="es-CO"/>
        </w:rPr>
        <w:t>por medio de</w:t>
      </w:r>
      <w:r w:rsidR="005A0C41" w:rsidRPr="00252221">
        <w:rPr>
          <w:rFonts w:ascii="Arial" w:hAnsi="Arial" w:cs="Arial"/>
          <w:lang w:val="es-CO"/>
        </w:rPr>
        <w:t xml:space="preserve"> </w:t>
      </w:r>
      <w:r w:rsidR="005E299E" w:rsidRPr="00252221">
        <w:rPr>
          <w:rFonts w:ascii="Arial" w:hAnsi="Arial" w:cs="Arial"/>
          <w:lang w:val="es-CO"/>
        </w:rPr>
        <w:t>l</w:t>
      </w:r>
      <w:r w:rsidR="005A0C41" w:rsidRPr="00252221">
        <w:rPr>
          <w:rFonts w:ascii="Arial" w:hAnsi="Arial" w:cs="Arial"/>
          <w:lang w:val="es-CO"/>
        </w:rPr>
        <w:t xml:space="preserve">os </w:t>
      </w:r>
      <w:r w:rsidR="005E299E" w:rsidRPr="00252221">
        <w:rPr>
          <w:rFonts w:ascii="Arial" w:hAnsi="Arial" w:cs="Arial"/>
          <w:lang w:val="es-CO"/>
        </w:rPr>
        <w:t>cual</w:t>
      </w:r>
      <w:r w:rsidR="005A0C41" w:rsidRPr="00252221">
        <w:rPr>
          <w:rFonts w:ascii="Arial" w:hAnsi="Arial" w:cs="Arial"/>
          <w:lang w:val="es-CO"/>
        </w:rPr>
        <w:t>es</w:t>
      </w:r>
      <w:r w:rsidR="005E299E" w:rsidRPr="00252221">
        <w:rPr>
          <w:rFonts w:ascii="Arial" w:hAnsi="Arial" w:cs="Arial"/>
          <w:lang w:val="es-CO"/>
        </w:rPr>
        <w:t xml:space="preserve"> </w:t>
      </w:r>
      <w:r w:rsidR="0049623F" w:rsidRPr="00252221">
        <w:rPr>
          <w:rFonts w:ascii="Arial" w:hAnsi="Arial" w:cs="Arial"/>
          <w:lang w:val="es-CO"/>
        </w:rPr>
        <w:t>d</w:t>
      </w:r>
      <w:r w:rsidR="00F66005" w:rsidRPr="00252221">
        <w:rPr>
          <w:rFonts w:ascii="Arial" w:hAnsi="Arial" w:cs="Arial"/>
          <w:lang w:val="es-CO"/>
        </w:rPr>
        <w:t>eclar</w:t>
      </w:r>
      <w:r w:rsidR="007C73E2" w:rsidRPr="00252221">
        <w:rPr>
          <w:rFonts w:ascii="Arial" w:hAnsi="Arial" w:cs="Arial"/>
          <w:lang w:val="es-CO"/>
        </w:rPr>
        <w:t>ó</w:t>
      </w:r>
      <w:r w:rsidR="005E299E" w:rsidRPr="00252221">
        <w:rPr>
          <w:rFonts w:ascii="Arial" w:hAnsi="Arial" w:cs="Arial"/>
          <w:lang w:val="es-CO"/>
        </w:rPr>
        <w:t xml:space="preserve"> </w:t>
      </w:r>
      <w:r w:rsidR="00DD33A9" w:rsidRPr="00252221">
        <w:rPr>
          <w:rFonts w:ascii="Arial" w:hAnsi="Arial" w:cs="Arial"/>
          <w:lang w:val="es-CO"/>
        </w:rPr>
        <w:t>e</w:t>
      </w:r>
      <w:r w:rsidR="00BE28DE" w:rsidRPr="00252221">
        <w:rPr>
          <w:rFonts w:ascii="Arial" w:hAnsi="Arial" w:cs="Arial"/>
          <w:lang w:val="es-CO"/>
        </w:rPr>
        <w:t>l</w:t>
      </w:r>
      <w:r w:rsidR="00F66005" w:rsidRPr="00252221">
        <w:rPr>
          <w:rFonts w:ascii="Arial" w:hAnsi="Arial" w:cs="Arial"/>
          <w:lang w:val="es-CO"/>
        </w:rPr>
        <w:t xml:space="preserve"> incumplimiento del contrato</w:t>
      </w:r>
      <w:r w:rsidR="00DD33A9" w:rsidRPr="00252221">
        <w:rPr>
          <w:rFonts w:ascii="Arial" w:hAnsi="Arial" w:cs="Arial"/>
          <w:lang w:val="es-CO"/>
        </w:rPr>
        <w:t xml:space="preserve"> </w:t>
      </w:r>
      <w:r w:rsidR="00CF2473" w:rsidRPr="00252221">
        <w:rPr>
          <w:rFonts w:ascii="Arial" w:hAnsi="Arial" w:cs="Arial"/>
          <w:lang w:val="es-CO"/>
        </w:rPr>
        <w:t xml:space="preserve">y </w:t>
      </w:r>
      <w:r w:rsidR="005A0C41" w:rsidRPr="00252221">
        <w:rPr>
          <w:rFonts w:ascii="Arial" w:hAnsi="Arial" w:cs="Arial"/>
          <w:lang w:val="es-CO"/>
        </w:rPr>
        <w:t>la ocurrencia del siniestro por el incumplimiento de éste</w:t>
      </w:r>
      <w:r w:rsidR="00BF28F1" w:rsidRPr="00252221">
        <w:rPr>
          <w:rFonts w:ascii="Arial" w:hAnsi="Arial" w:cs="Arial"/>
          <w:lang w:val="es-CO"/>
        </w:rPr>
        <w:t xml:space="preserve"> y </w:t>
      </w:r>
      <w:r w:rsidR="00A271E0" w:rsidRPr="00252221">
        <w:rPr>
          <w:rFonts w:ascii="Arial" w:hAnsi="Arial" w:cs="Arial"/>
          <w:lang w:val="es-CO"/>
        </w:rPr>
        <w:t xml:space="preserve">la constancia o prueba de </w:t>
      </w:r>
      <w:r w:rsidR="00926261" w:rsidRPr="00252221">
        <w:rPr>
          <w:rFonts w:ascii="Arial" w:hAnsi="Arial" w:cs="Arial"/>
          <w:lang w:val="es-CO"/>
        </w:rPr>
        <w:t xml:space="preserve">su </w:t>
      </w:r>
      <w:r w:rsidR="005A0C41" w:rsidRPr="00252221">
        <w:rPr>
          <w:rFonts w:ascii="Arial" w:hAnsi="Arial" w:cs="Arial"/>
          <w:lang w:val="es-CO"/>
        </w:rPr>
        <w:t xml:space="preserve">respectiva notificación a Confianza. Como </w:t>
      </w:r>
      <w:r w:rsidR="00A271E0" w:rsidRPr="00252221">
        <w:rPr>
          <w:rFonts w:ascii="Arial" w:hAnsi="Arial" w:cs="Arial"/>
          <w:lang w:val="es-CO"/>
        </w:rPr>
        <w:t>esto no se hizo</w:t>
      </w:r>
      <w:r w:rsidR="009361A7" w:rsidRPr="00252221">
        <w:rPr>
          <w:rFonts w:ascii="Arial" w:hAnsi="Arial" w:cs="Arial"/>
          <w:lang w:val="es-CO"/>
        </w:rPr>
        <w:t xml:space="preserve">, el Despacho </w:t>
      </w:r>
      <w:r w:rsidR="005A0C41" w:rsidRPr="00252221">
        <w:rPr>
          <w:rFonts w:ascii="Arial" w:hAnsi="Arial" w:cs="Arial"/>
          <w:lang w:val="es-CO"/>
        </w:rPr>
        <w:t xml:space="preserve">confirmará el auto apelado. </w:t>
      </w:r>
    </w:p>
    <w:p w14:paraId="6880EFFB" w14:textId="77777777" w:rsidR="0049623F" w:rsidRPr="00252221" w:rsidRDefault="0049623F" w:rsidP="002263C6">
      <w:pPr>
        <w:rPr>
          <w:rFonts w:ascii="Arial" w:hAnsi="Arial" w:cs="Arial"/>
        </w:rPr>
      </w:pPr>
    </w:p>
    <w:p w14:paraId="35836945" w14:textId="77777777" w:rsidR="00F8534F" w:rsidRPr="00252221" w:rsidRDefault="002A310B" w:rsidP="00F8534F">
      <w:pPr>
        <w:pStyle w:val="BodyText21"/>
        <w:spacing w:line="276" w:lineRule="auto"/>
        <w:rPr>
          <w:rFonts w:cs="Arial"/>
          <w:szCs w:val="24"/>
        </w:rPr>
      </w:pPr>
      <w:r w:rsidRPr="00252221">
        <w:rPr>
          <w:rFonts w:cs="Arial"/>
          <w:szCs w:val="24"/>
        </w:rPr>
        <w:t>En mérito de lo expuesto, se</w:t>
      </w:r>
    </w:p>
    <w:p w14:paraId="0D6A43ED" w14:textId="77777777" w:rsidR="0051552F" w:rsidRPr="00252221" w:rsidRDefault="0051552F" w:rsidP="002C3AF5">
      <w:pPr>
        <w:pStyle w:val="Textonotapie"/>
        <w:rPr>
          <w:rStyle w:val="nfasis"/>
          <w:rFonts w:ascii="Arial" w:hAnsi="Arial" w:cs="Arial"/>
          <w:i w:val="0"/>
          <w:iCs w:val="0"/>
          <w:sz w:val="24"/>
          <w:szCs w:val="24"/>
        </w:rPr>
      </w:pPr>
    </w:p>
    <w:p w14:paraId="40BC95FE" w14:textId="77777777" w:rsidR="009361A7" w:rsidRPr="00252221" w:rsidRDefault="009361A7" w:rsidP="002C3AF5">
      <w:pPr>
        <w:pStyle w:val="Textonotapie"/>
        <w:rPr>
          <w:rStyle w:val="nfasis"/>
          <w:rFonts w:ascii="Arial" w:hAnsi="Arial" w:cs="Arial"/>
          <w:i w:val="0"/>
          <w:iCs w:val="0"/>
          <w:sz w:val="24"/>
          <w:szCs w:val="24"/>
        </w:rPr>
      </w:pPr>
    </w:p>
    <w:p w14:paraId="1DD30246" w14:textId="77777777" w:rsidR="00317A57" w:rsidRPr="00252221" w:rsidRDefault="00E816B4" w:rsidP="00317A57">
      <w:pPr>
        <w:pStyle w:val="Lista"/>
        <w:numPr>
          <w:ilvl w:val="0"/>
          <w:numId w:val="10"/>
        </w:numPr>
        <w:spacing w:line="276" w:lineRule="auto"/>
        <w:ind w:left="0" w:firstLine="0"/>
        <w:jc w:val="center"/>
        <w:rPr>
          <w:b/>
          <w:sz w:val="24"/>
          <w:szCs w:val="24"/>
        </w:rPr>
      </w:pPr>
      <w:r w:rsidRPr="00252221">
        <w:rPr>
          <w:b/>
          <w:sz w:val="24"/>
          <w:szCs w:val="24"/>
        </w:rPr>
        <w:t>RESUELV</w:t>
      </w:r>
      <w:r w:rsidR="001639AC" w:rsidRPr="00252221">
        <w:rPr>
          <w:b/>
          <w:sz w:val="24"/>
          <w:szCs w:val="24"/>
        </w:rPr>
        <w:t>E</w:t>
      </w:r>
    </w:p>
    <w:p w14:paraId="430AF878" w14:textId="77777777" w:rsidR="002C3AF5" w:rsidRPr="00252221" w:rsidRDefault="002C3AF5" w:rsidP="002C3AF5">
      <w:pPr>
        <w:pStyle w:val="Lista"/>
        <w:spacing w:line="276" w:lineRule="auto"/>
        <w:ind w:left="0" w:firstLine="0"/>
        <w:rPr>
          <w:rStyle w:val="nfasis"/>
          <w:b/>
          <w:i w:val="0"/>
          <w:iCs w:val="0"/>
          <w:sz w:val="24"/>
          <w:szCs w:val="24"/>
        </w:rPr>
      </w:pPr>
    </w:p>
    <w:p w14:paraId="16EAE08C" w14:textId="77777777" w:rsidR="005A0C41" w:rsidRPr="00252221" w:rsidRDefault="004A6ADF" w:rsidP="00BF4FF7">
      <w:pPr>
        <w:spacing w:line="360" w:lineRule="auto"/>
        <w:jc w:val="both"/>
        <w:rPr>
          <w:rFonts w:ascii="Arial" w:hAnsi="Arial" w:cs="Arial"/>
          <w:lang w:val="es-CO"/>
        </w:rPr>
      </w:pPr>
      <w:r w:rsidRPr="00252221">
        <w:rPr>
          <w:rFonts w:ascii="Arial" w:hAnsi="Arial" w:cs="Arial"/>
          <w:b/>
          <w:lang w:val="es-CO"/>
        </w:rPr>
        <w:t xml:space="preserve">PRIMERO: </w:t>
      </w:r>
      <w:r w:rsidR="00DC7D71" w:rsidRPr="00252221">
        <w:rPr>
          <w:rFonts w:ascii="Arial" w:hAnsi="Arial" w:cs="Arial"/>
          <w:b/>
          <w:lang w:val="es-CO"/>
        </w:rPr>
        <w:t>CONFÍRMA</w:t>
      </w:r>
      <w:r w:rsidR="00D4395B" w:rsidRPr="00252221">
        <w:rPr>
          <w:rFonts w:ascii="Arial" w:hAnsi="Arial" w:cs="Arial"/>
          <w:b/>
          <w:lang w:val="es-CO"/>
        </w:rPr>
        <w:t xml:space="preserve">SE </w:t>
      </w:r>
      <w:r w:rsidR="00067F00" w:rsidRPr="00252221">
        <w:rPr>
          <w:rFonts w:ascii="Arial" w:hAnsi="Arial" w:cs="Arial"/>
          <w:lang w:val="es-CO"/>
        </w:rPr>
        <w:t xml:space="preserve">el </w:t>
      </w:r>
      <w:r w:rsidR="00D4395B" w:rsidRPr="00252221">
        <w:rPr>
          <w:rFonts w:ascii="Arial" w:hAnsi="Arial" w:cs="Arial"/>
          <w:lang w:val="es-CO"/>
        </w:rPr>
        <w:t xml:space="preserve">auto </w:t>
      </w:r>
      <w:r w:rsidR="00086654" w:rsidRPr="00252221">
        <w:rPr>
          <w:rFonts w:ascii="Arial" w:hAnsi="Arial" w:cs="Arial"/>
          <w:lang w:val="es-CO"/>
        </w:rPr>
        <w:t xml:space="preserve">del </w:t>
      </w:r>
      <w:r w:rsidR="00CF2473" w:rsidRPr="00252221">
        <w:rPr>
          <w:rFonts w:ascii="Arial" w:hAnsi="Arial" w:cs="Arial"/>
          <w:lang w:val="es-CO"/>
        </w:rPr>
        <w:t>13 de abril de 2018</w:t>
      </w:r>
      <w:r w:rsidR="00067F00" w:rsidRPr="00252221">
        <w:rPr>
          <w:rFonts w:ascii="Arial" w:hAnsi="Arial" w:cs="Arial"/>
          <w:lang w:val="es-CO"/>
        </w:rPr>
        <w:t>,</w:t>
      </w:r>
      <w:r w:rsidR="00D4395B" w:rsidRPr="00252221">
        <w:rPr>
          <w:rFonts w:ascii="Arial" w:hAnsi="Arial" w:cs="Arial"/>
          <w:lang w:val="es-CO"/>
        </w:rPr>
        <w:t xml:space="preserve"> </w:t>
      </w:r>
      <w:r w:rsidR="00086654" w:rsidRPr="00252221">
        <w:rPr>
          <w:rFonts w:ascii="Arial" w:hAnsi="Arial" w:cs="Arial"/>
          <w:lang w:val="es-CO"/>
        </w:rPr>
        <w:t xml:space="preserve">proferido </w:t>
      </w:r>
      <w:r w:rsidR="00D4395B" w:rsidRPr="00252221">
        <w:rPr>
          <w:rFonts w:ascii="Arial" w:hAnsi="Arial" w:cs="Arial"/>
          <w:lang w:val="es-CO"/>
        </w:rPr>
        <w:t>po</w:t>
      </w:r>
      <w:r w:rsidR="00061734" w:rsidRPr="00252221">
        <w:rPr>
          <w:rFonts w:ascii="Arial" w:hAnsi="Arial" w:cs="Arial"/>
          <w:lang w:val="es-CO"/>
        </w:rPr>
        <w:t xml:space="preserve">r el Tribunal Administrativo del </w:t>
      </w:r>
      <w:r w:rsidR="00CF2473" w:rsidRPr="00252221">
        <w:rPr>
          <w:rFonts w:ascii="Arial" w:hAnsi="Arial" w:cs="Arial"/>
          <w:lang w:val="es-CO"/>
        </w:rPr>
        <w:t>Magdalena</w:t>
      </w:r>
      <w:r w:rsidR="00067F00" w:rsidRPr="00252221">
        <w:rPr>
          <w:rFonts w:ascii="Arial" w:hAnsi="Arial" w:cs="Arial"/>
          <w:lang w:val="es-CO"/>
        </w:rPr>
        <w:t>, conform</w:t>
      </w:r>
      <w:r w:rsidR="00DE52A0" w:rsidRPr="00252221">
        <w:rPr>
          <w:rFonts w:ascii="Arial" w:hAnsi="Arial" w:cs="Arial"/>
          <w:lang w:val="es-CO"/>
        </w:rPr>
        <w:t>e a</w:t>
      </w:r>
      <w:r w:rsidR="00067F00" w:rsidRPr="00252221">
        <w:rPr>
          <w:rFonts w:ascii="Arial" w:hAnsi="Arial" w:cs="Arial"/>
          <w:lang w:val="es-CO"/>
        </w:rPr>
        <w:t xml:space="preserve"> las razones expuestas en la parte motiva de esta providencia.</w:t>
      </w:r>
    </w:p>
    <w:p w14:paraId="4BB5233D" w14:textId="77777777" w:rsidR="0051552F" w:rsidRPr="00252221" w:rsidRDefault="0051552F" w:rsidP="00BF4FF7">
      <w:pPr>
        <w:spacing w:line="360" w:lineRule="auto"/>
        <w:jc w:val="both"/>
        <w:rPr>
          <w:rFonts w:ascii="Arial" w:hAnsi="Arial" w:cs="Arial"/>
          <w:lang w:val="es-CO"/>
        </w:rPr>
      </w:pPr>
    </w:p>
    <w:p w14:paraId="7F15C6D4" w14:textId="77777777" w:rsidR="00BB01FC" w:rsidRPr="00252221" w:rsidRDefault="00067F00" w:rsidP="008E5DC7">
      <w:pPr>
        <w:spacing w:line="360" w:lineRule="auto"/>
        <w:jc w:val="both"/>
        <w:outlineLvl w:val="5"/>
        <w:rPr>
          <w:rFonts w:ascii="Arial" w:hAnsi="Arial" w:cs="Arial"/>
          <w:bCs/>
          <w:lang w:val="es-CO"/>
        </w:rPr>
      </w:pPr>
      <w:r w:rsidRPr="00252221">
        <w:rPr>
          <w:rFonts w:ascii="Arial" w:hAnsi="Arial" w:cs="Arial"/>
          <w:b/>
          <w:lang w:val="es-CO"/>
        </w:rPr>
        <w:t xml:space="preserve">SEGUNDO: </w:t>
      </w:r>
      <w:r w:rsidRPr="00252221">
        <w:rPr>
          <w:rFonts w:ascii="Arial" w:hAnsi="Arial" w:cs="Arial"/>
          <w:lang w:val="es-CO"/>
        </w:rPr>
        <w:t xml:space="preserve">En firme esta providencia, </w:t>
      </w:r>
      <w:r w:rsidRPr="00252221">
        <w:rPr>
          <w:rFonts w:ascii="Arial" w:hAnsi="Arial" w:cs="Arial"/>
          <w:b/>
          <w:lang w:val="es-CO"/>
        </w:rPr>
        <w:t xml:space="preserve">DEVUÉLVASE </w:t>
      </w:r>
      <w:r w:rsidRPr="00252221">
        <w:rPr>
          <w:rFonts w:ascii="Arial" w:hAnsi="Arial" w:cs="Arial"/>
          <w:lang w:val="es-CO"/>
        </w:rPr>
        <w:t>el expediente al Tribunal de origen para lo de su cargo.</w:t>
      </w:r>
      <w:r w:rsidR="001A5E2C" w:rsidRPr="00252221">
        <w:rPr>
          <w:rFonts w:ascii="Arial" w:hAnsi="Arial" w:cs="Arial"/>
          <w:lang w:val="es-CO"/>
        </w:rPr>
        <w:t xml:space="preserve">  </w:t>
      </w:r>
    </w:p>
    <w:p w14:paraId="0179B3E5" w14:textId="77777777" w:rsidR="00061734" w:rsidRPr="00252221" w:rsidRDefault="00061734" w:rsidP="0051552F">
      <w:pPr>
        <w:rPr>
          <w:rFonts w:ascii="Arial" w:hAnsi="Arial" w:cs="Arial"/>
          <w:lang w:val="es-CO"/>
        </w:rPr>
      </w:pPr>
    </w:p>
    <w:p w14:paraId="34F71BDA" w14:textId="77777777" w:rsidR="00D84D01" w:rsidRPr="00252221" w:rsidRDefault="00D84D01" w:rsidP="00BF4FF7">
      <w:pPr>
        <w:pStyle w:val="Ttulo2"/>
        <w:jc w:val="center"/>
        <w:rPr>
          <w:rFonts w:cs="Arial"/>
          <w:sz w:val="24"/>
          <w:szCs w:val="24"/>
          <w:lang w:val="es-CO"/>
        </w:rPr>
      </w:pPr>
      <w:r w:rsidRPr="00252221">
        <w:rPr>
          <w:rFonts w:cs="Arial"/>
          <w:sz w:val="24"/>
          <w:szCs w:val="24"/>
          <w:lang w:val="es-CO"/>
        </w:rPr>
        <w:t>NOTIFÍQUESE Y CÚMPLASE</w:t>
      </w:r>
    </w:p>
    <w:p w14:paraId="06F454DD" w14:textId="77777777" w:rsidR="00CF2473" w:rsidRPr="00252221" w:rsidRDefault="00CF2473" w:rsidP="00B24FDE">
      <w:pPr>
        <w:spacing w:line="360" w:lineRule="auto"/>
        <w:rPr>
          <w:rStyle w:val="nfasis"/>
          <w:rFonts w:ascii="Arial" w:hAnsi="Arial" w:cs="Arial"/>
        </w:rPr>
      </w:pPr>
    </w:p>
    <w:p w14:paraId="66685905" w14:textId="77777777" w:rsidR="009361A7" w:rsidRPr="00252221" w:rsidRDefault="009361A7" w:rsidP="009361A7">
      <w:pPr>
        <w:spacing w:line="360" w:lineRule="auto"/>
        <w:jc w:val="both"/>
        <w:rPr>
          <w:rFonts w:ascii="Arial" w:hAnsi="Arial" w:cs="Arial"/>
          <w:b/>
        </w:rPr>
      </w:pPr>
    </w:p>
    <w:p w14:paraId="4C2BF5E3" w14:textId="77777777" w:rsidR="00BC6127" w:rsidRPr="00252221" w:rsidRDefault="00BC6127" w:rsidP="009361A7">
      <w:pPr>
        <w:spacing w:line="360" w:lineRule="auto"/>
        <w:jc w:val="center"/>
        <w:rPr>
          <w:rFonts w:ascii="Arial" w:hAnsi="Arial" w:cs="Arial"/>
          <w:b/>
        </w:rPr>
      </w:pPr>
      <w:r w:rsidRPr="00252221">
        <w:rPr>
          <w:rFonts w:ascii="Arial" w:hAnsi="Arial" w:cs="Arial"/>
          <w:b/>
        </w:rPr>
        <w:t>CARLOS ALBERTO ZAMBRANO BARRERA</w:t>
      </w:r>
    </w:p>
    <w:p w14:paraId="4D84D82F" w14:textId="77777777" w:rsidR="00080E01" w:rsidRPr="00252221" w:rsidRDefault="00080E01" w:rsidP="008A381D">
      <w:pPr>
        <w:spacing w:line="360" w:lineRule="auto"/>
        <w:rPr>
          <w:rFonts w:ascii="Arial" w:hAnsi="Arial" w:cs="Arial"/>
          <w:b/>
        </w:rPr>
      </w:pPr>
    </w:p>
    <w:p w14:paraId="7C66714A" w14:textId="77777777" w:rsidR="008A381D" w:rsidRPr="00252221" w:rsidRDefault="008A381D" w:rsidP="008A381D">
      <w:pPr>
        <w:spacing w:line="360" w:lineRule="auto"/>
        <w:rPr>
          <w:rFonts w:ascii="Arial" w:hAnsi="Arial" w:cs="Arial"/>
          <w:color w:val="D0CECE"/>
        </w:rPr>
      </w:pPr>
      <w:r w:rsidRPr="00252221">
        <w:rPr>
          <w:rFonts w:ascii="Arial" w:hAnsi="Arial" w:cs="Arial"/>
          <w:color w:val="D0CECE"/>
        </w:rPr>
        <w:lastRenderedPageBreak/>
        <w:t>CCAG</w:t>
      </w:r>
    </w:p>
    <w:sectPr w:rsidR="008A381D" w:rsidRPr="00252221" w:rsidSect="00DD1D16">
      <w:pgSz w:w="12242" w:h="18722" w:code="120"/>
      <w:pgMar w:top="1417" w:right="1701" w:bottom="1417" w:left="1701" w:header="113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F527F" w14:textId="77777777" w:rsidR="003B767B" w:rsidRDefault="003B767B">
      <w:r>
        <w:separator/>
      </w:r>
    </w:p>
  </w:endnote>
  <w:endnote w:type="continuationSeparator" w:id="0">
    <w:p w14:paraId="5A0D53C7" w14:textId="77777777" w:rsidR="003B767B" w:rsidRDefault="003B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BA6F" w14:textId="77777777" w:rsidR="003B767B" w:rsidRDefault="003B767B">
      <w:r>
        <w:separator/>
      </w:r>
    </w:p>
  </w:footnote>
  <w:footnote w:type="continuationSeparator" w:id="0">
    <w:p w14:paraId="75A732ED" w14:textId="77777777" w:rsidR="003B767B" w:rsidRDefault="003B767B">
      <w:r>
        <w:continuationSeparator/>
      </w:r>
    </w:p>
  </w:footnote>
  <w:footnote w:id="1">
    <w:p w14:paraId="462E3B3E" w14:textId="77777777" w:rsidR="00C5416D" w:rsidRPr="001D7A1A" w:rsidRDefault="00C5416D" w:rsidP="00FD6AAB">
      <w:pPr>
        <w:pStyle w:val="Textonotapie"/>
        <w:jc w:val="both"/>
        <w:rPr>
          <w:rFonts w:ascii="Arial" w:hAnsi="Arial" w:cs="Arial"/>
          <w:sz w:val="18"/>
          <w:szCs w:val="18"/>
          <w:lang w:val="es-CO"/>
        </w:rPr>
      </w:pPr>
      <w:r w:rsidRPr="001D7A1A">
        <w:rPr>
          <w:rStyle w:val="Refdenotaalpie"/>
          <w:rFonts w:ascii="Arial" w:hAnsi="Arial" w:cs="Arial"/>
          <w:sz w:val="16"/>
          <w:szCs w:val="18"/>
        </w:rPr>
        <w:footnoteRef/>
      </w:r>
      <w:r w:rsidRPr="001D7A1A">
        <w:rPr>
          <w:rFonts w:ascii="Arial" w:hAnsi="Arial" w:cs="Arial"/>
          <w:sz w:val="16"/>
          <w:szCs w:val="18"/>
        </w:rPr>
        <w:t xml:space="preserve"> </w:t>
      </w:r>
      <w:r w:rsidR="006362F0" w:rsidRPr="001D7A1A">
        <w:rPr>
          <w:rFonts w:ascii="Arial" w:hAnsi="Arial" w:cs="Arial"/>
          <w:sz w:val="16"/>
          <w:szCs w:val="18"/>
        </w:rPr>
        <w:t>Obrante a folios 252</w:t>
      </w:r>
      <w:r w:rsidRPr="001D7A1A">
        <w:rPr>
          <w:rFonts w:ascii="Arial" w:hAnsi="Arial" w:cs="Arial"/>
          <w:sz w:val="16"/>
          <w:szCs w:val="18"/>
        </w:rPr>
        <w:t xml:space="preserve"> a </w:t>
      </w:r>
      <w:r w:rsidR="006362F0" w:rsidRPr="001D7A1A">
        <w:rPr>
          <w:rFonts w:ascii="Arial" w:hAnsi="Arial" w:cs="Arial"/>
          <w:sz w:val="16"/>
          <w:szCs w:val="18"/>
        </w:rPr>
        <w:t>260</w:t>
      </w:r>
      <w:r w:rsidRPr="001D7A1A">
        <w:rPr>
          <w:rFonts w:ascii="Arial" w:hAnsi="Arial" w:cs="Arial"/>
          <w:sz w:val="16"/>
          <w:szCs w:val="18"/>
        </w:rPr>
        <w:t xml:space="preserve">  del c. ppal.</w:t>
      </w:r>
    </w:p>
  </w:footnote>
  <w:footnote w:id="2">
    <w:p w14:paraId="76A38E30" w14:textId="77777777" w:rsidR="00E3760C" w:rsidRPr="001D7A1A" w:rsidRDefault="00E3760C" w:rsidP="00E3760C">
      <w:pPr>
        <w:pStyle w:val="Textonotapie"/>
        <w:jc w:val="both"/>
        <w:rPr>
          <w:rFonts w:ascii="Arial" w:hAnsi="Arial" w:cs="Arial"/>
          <w:sz w:val="16"/>
          <w:szCs w:val="16"/>
          <w:lang w:val="es-CO"/>
        </w:rPr>
      </w:pPr>
      <w:r w:rsidRPr="001D7A1A">
        <w:rPr>
          <w:rStyle w:val="Refdenotaalpie"/>
          <w:rFonts w:ascii="Arial" w:hAnsi="Arial" w:cs="Arial"/>
          <w:sz w:val="16"/>
          <w:szCs w:val="16"/>
        </w:rPr>
        <w:footnoteRef/>
      </w:r>
      <w:r w:rsidRPr="001D7A1A">
        <w:rPr>
          <w:rFonts w:ascii="Arial" w:hAnsi="Arial" w:cs="Arial"/>
          <w:sz w:val="16"/>
          <w:szCs w:val="16"/>
        </w:rPr>
        <w:t xml:space="preserve">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w:t>
      </w:r>
    </w:p>
  </w:footnote>
  <w:footnote w:id="3">
    <w:p w14:paraId="7B92D161" w14:textId="77777777" w:rsidR="00FE6DDC" w:rsidRPr="001D7A1A" w:rsidRDefault="00FE6DDC" w:rsidP="00FE6DDC">
      <w:pPr>
        <w:pStyle w:val="Textonotapie"/>
        <w:jc w:val="both"/>
        <w:rPr>
          <w:rFonts w:ascii="Arial" w:hAnsi="Arial" w:cs="Arial"/>
          <w:color w:val="000000"/>
          <w:sz w:val="16"/>
          <w:szCs w:val="16"/>
        </w:rPr>
      </w:pPr>
      <w:r w:rsidRPr="001D7A1A">
        <w:rPr>
          <w:rStyle w:val="Refdenotaalpie"/>
          <w:rFonts w:ascii="Arial" w:hAnsi="Arial" w:cs="Arial"/>
          <w:color w:val="000000"/>
          <w:sz w:val="16"/>
          <w:szCs w:val="16"/>
        </w:rPr>
        <w:footnoteRef/>
      </w:r>
      <w:r w:rsidRPr="001D7A1A">
        <w:rPr>
          <w:rFonts w:ascii="Arial" w:hAnsi="Arial" w:cs="Arial"/>
          <w:color w:val="000000"/>
          <w:sz w:val="16"/>
          <w:szCs w:val="16"/>
        </w:rPr>
        <w:t xml:space="preserve"> “Son apelables las sentencias de primera instancia, salvo las que se dicten en equidad.</w:t>
      </w:r>
    </w:p>
    <w:p w14:paraId="4A775F83" w14:textId="77777777" w:rsidR="00FE6DDC" w:rsidRPr="001D7A1A" w:rsidRDefault="00FE6DDC" w:rsidP="00FE6DDC">
      <w:pPr>
        <w:pStyle w:val="Textonotapie"/>
        <w:jc w:val="both"/>
        <w:rPr>
          <w:rFonts w:ascii="Arial" w:hAnsi="Arial" w:cs="Arial"/>
          <w:color w:val="000000"/>
          <w:sz w:val="16"/>
          <w:szCs w:val="16"/>
        </w:rPr>
      </w:pPr>
      <w:r w:rsidRPr="001D7A1A">
        <w:rPr>
          <w:rFonts w:ascii="Arial" w:hAnsi="Arial" w:cs="Arial"/>
          <w:color w:val="000000"/>
          <w:sz w:val="16"/>
          <w:szCs w:val="16"/>
        </w:rPr>
        <w:t>“También son apelables los siguientes autos proferidos en primera instancia:</w:t>
      </w:r>
    </w:p>
    <w:p w14:paraId="6098065F" w14:textId="77777777" w:rsidR="00FE6DDC" w:rsidRPr="001D7A1A" w:rsidRDefault="00FE6DDC" w:rsidP="00FE6DDC">
      <w:pPr>
        <w:pStyle w:val="Textonotapie"/>
        <w:jc w:val="both"/>
        <w:rPr>
          <w:rFonts w:ascii="Arial" w:hAnsi="Arial" w:cs="Arial"/>
          <w:color w:val="000000"/>
          <w:sz w:val="16"/>
          <w:szCs w:val="16"/>
        </w:rPr>
      </w:pPr>
      <w:r w:rsidRPr="001D7A1A">
        <w:rPr>
          <w:rFonts w:ascii="Arial" w:hAnsi="Arial" w:cs="Arial"/>
          <w:color w:val="000000"/>
          <w:sz w:val="16"/>
          <w:szCs w:val="16"/>
        </w:rPr>
        <w:t>“(…)</w:t>
      </w:r>
    </w:p>
    <w:p w14:paraId="433945ED" w14:textId="77777777" w:rsidR="00FE6DDC" w:rsidRPr="001D7A1A" w:rsidRDefault="00FE6DDC" w:rsidP="00FE6DDC">
      <w:pPr>
        <w:pStyle w:val="Textonotapie"/>
        <w:jc w:val="both"/>
        <w:rPr>
          <w:rFonts w:ascii="Arial" w:hAnsi="Arial" w:cs="Arial"/>
          <w:color w:val="000000"/>
          <w:sz w:val="16"/>
          <w:szCs w:val="16"/>
        </w:rPr>
      </w:pPr>
      <w:r w:rsidRPr="001D7A1A">
        <w:rPr>
          <w:rFonts w:ascii="Arial" w:hAnsi="Arial" w:cs="Arial"/>
          <w:color w:val="000000"/>
          <w:sz w:val="16"/>
          <w:szCs w:val="16"/>
        </w:rPr>
        <w:t>“4. El que niegue total o parcialmente el mandamiento de pago y el que rechace de plano las excepciones de mérito en el proceso ejecutivo”.</w:t>
      </w:r>
    </w:p>
  </w:footnote>
  <w:footnote w:id="4">
    <w:p w14:paraId="073C5FA8" w14:textId="77777777" w:rsidR="00FE6DDC" w:rsidRPr="001D7A1A" w:rsidRDefault="00FE6DDC" w:rsidP="00FE6DDC">
      <w:pPr>
        <w:pStyle w:val="Textonotapie"/>
        <w:jc w:val="both"/>
        <w:rPr>
          <w:rFonts w:ascii="Arial" w:hAnsi="Arial" w:cs="Arial"/>
          <w:sz w:val="16"/>
          <w:szCs w:val="16"/>
        </w:rPr>
      </w:pPr>
      <w:r w:rsidRPr="001D7A1A">
        <w:rPr>
          <w:rStyle w:val="Refdenotaalpie"/>
          <w:rFonts w:ascii="Arial" w:hAnsi="Arial" w:cs="Arial"/>
          <w:sz w:val="16"/>
          <w:szCs w:val="16"/>
        </w:rPr>
        <w:footnoteRef/>
      </w:r>
      <w:r w:rsidRPr="001D7A1A">
        <w:rPr>
          <w:rFonts w:ascii="Arial" w:hAnsi="Arial" w:cs="Arial"/>
          <w:sz w:val="16"/>
          <w:szCs w:val="16"/>
        </w:rPr>
        <w:t xml:space="preserve"> “DE LA EJECUCIÓN EN MATERIA DE CONTRATOS Y DE CONDENAS A ENTIDADES PÚBLICAS. Salvo lo establecido en este Código para el cobro coactivo a favor de las entidades públicas, en la ejecución de los títulos derivados de las actuaciones relacionadas con contratos celebrados por entidades públicas, se observarán las reglas establecidas en el Código de Procedimiento Civil para el proceso ejecutivo de mayor cuantía”.</w:t>
      </w:r>
    </w:p>
  </w:footnote>
  <w:footnote w:id="5">
    <w:p w14:paraId="322E593E" w14:textId="77777777" w:rsidR="00AF5364" w:rsidRPr="001D7A1A" w:rsidRDefault="00AF5364" w:rsidP="00AF5364">
      <w:pPr>
        <w:pStyle w:val="Textonotapie"/>
        <w:jc w:val="both"/>
        <w:rPr>
          <w:rFonts w:ascii="Arial" w:hAnsi="Arial" w:cs="Arial"/>
          <w:sz w:val="16"/>
          <w:szCs w:val="16"/>
        </w:rPr>
      </w:pPr>
      <w:r w:rsidRPr="001D7A1A">
        <w:rPr>
          <w:rStyle w:val="Caracteresdenotaalpie"/>
          <w:rFonts w:ascii="Arial" w:hAnsi="Arial" w:cs="Arial"/>
          <w:sz w:val="16"/>
          <w:szCs w:val="16"/>
        </w:rPr>
        <w:footnoteRef/>
      </w:r>
      <w:r w:rsidRPr="001D7A1A">
        <w:rPr>
          <w:rFonts w:ascii="Arial" w:eastAsia="Century Gothic" w:hAnsi="Arial" w:cs="Arial"/>
          <w:sz w:val="16"/>
          <w:szCs w:val="16"/>
        </w:rPr>
        <w:t xml:space="preserve"> </w:t>
      </w:r>
      <w:r w:rsidRPr="001D7A1A">
        <w:rPr>
          <w:rFonts w:ascii="Arial" w:hAnsi="Arial" w:cs="Arial"/>
          <w:sz w:val="16"/>
          <w:szCs w:val="16"/>
        </w:rPr>
        <w:t>LOPEZ BLANCO, Hernán Fabio: “</w:t>
      </w:r>
      <w:r w:rsidRPr="001D7A1A">
        <w:rPr>
          <w:rFonts w:ascii="Arial" w:hAnsi="Arial" w:cs="Arial"/>
          <w:i/>
          <w:iCs/>
          <w:sz w:val="16"/>
          <w:szCs w:val="16"/>
        </w:rPr>
        <w:t>Instituciones de Derecho Procesal Civil Colombiano”</w:t>
      </w:r>
      <w:r w:rsidRPr="001D7A1A">
        <w:rPr>
          <w:rFonts w:ascii="Arial" w:hAnsi="Arial" w:cs="Arial"/>
          <w:sz w:val="16"/>
          <w:szCs w:val="16"/>
        </w:rPr>
        <w:t xml:space="preserve">, Dupré Editores, Tomo II, 7ª ed., Bogotá, 1999, pág. 388. </w:t>
      </w:r>
    </w:p>
  </w:footnote>
  <w:footnote w:id="6">
    <w:p w14:paraId="3722759E" w14:textId="77777777" w:rsidR="00AF5364" w:rsidRPr="001D7A1A" w:rsidRDefault="00AF5364" w:rsidP="00AF5364">
      <w:pPr>
        <w:jc w:val="both"/>
        <w:rPr>
          <w:rFonts w:ascii="Arial" w:hAnsi="Arial" w:cs="Arial"/>
          <w:sz w:val="16"/>
          <w:szCs w:val="16"/>
        </w:rPr>
      </w:pPr>
      <w:r w:rsidRPr="001D7A1A">
        <w:rPr>
          <w:rStyle w:val="Caracteresdenotaalpie"/>
          <w:rFonts w:ascii="Arial" w:hAnsi="Arial" w:cs="Arial"/>
          <w:sz w:val="16"/>
          <w:szCs w:val="16"/>
        </w:rPr>
        <w:footnoteRef/>
      </w:r>
      <w:r w:rsidRPr="001D7A1A">
        <w:rPr>
          <w:rFonts w:ascii="Arial" w:eastAsia="Century Gothic" w:hAnsi="Arial" w:cs="Arial"/>
          <w:sz w:val="16"/>
          <w:szCs w:val="16"/>
        </w:rPr>
        <w:t xml:space="preserve"> </w:t>
      </w:r>
      <w:r w:rsidRPr="001D7A1A">
        <w:rPr>
          <w:rFonts w:ascii="Arial" w:hAnsi="Arial" w:cs="Arial"/>
          <w:sz w:val="16"/>
          <w:szCs w:val="16"/>
        </w:rPr>
        <w:t xml:space="preserve">Autos del 4 de mayo de 2002 (expediente 15679) y del 30 de marzo de 2006 (expediente </w:t>
      </w:r>
      <w:r w:rsidRPr="001D7A1A">
        <w:rPr>
          <w:rFonts w:ascii="Arial" w:hAnsi="Arial" w:cs="Arial"/>
          <w:bCs/>
          <w:sz w:val="16"/>
          <w:szCs w:val="16"/>
        </w:rPr>
        <w:t>30.086), entre otros.</w:t>
      </w:r>
    </w:p>
  </w:footnote>
  <w:footnote w:id="7">
    <w:p w14:paraId="4006FCEC" w14:textId="77777777" w:rsidR="0055735A" w:rsidRPr="001D7A1A" w:rsidRDefault="0055735A" w:rsidP="0055735A">
      <w:pPr>
        <w:pStyle w:val="Textonotapie"/>
        <w:jc w:val="both"/>
        <w:rPr>
          <w:rFonts w:ascii="Arial" w:hAnsi="Arial" w:cs="Arial"/>
          <w:sz w:val="16"/>
          <w:szCs w:val="16"/>
          <w:lang w:val="es-CO"/>
        </w:rPr>
      </w:pPr>
      <w:r w:rsidRPr="001D7A1A">
        <w:rPr>
          <w:rStyle w:val="Refdenotaalpie"/>
          <w:rFonts w:ascii="Arial" w:hAnsi="Arial" w:cs="Arial"/>
          <w:sz w:val="16"/>
          <w:szCs w:val="16"/>
        </w:rPr>
        <w:footnoteRef/>
      </w:r>
      <w:r w:rsidR="009846B2" w:rsidRPr="001D7A1A">
        <w:rPr>
          <w:rFonts w:ascii="Arial" w:hAnsi="Arial" w:cs="Arial"/>
          <w:sz w:val="16"/>
          <w:szCs w:val="16"/>
          <w:lang w:val="es-CO"/>
        </w:rPr>
        <w:t xml:space="preserve"> P</w:t>
      </w:r>
      <w:r w:rsidRPr="001D7A1A">
        <w:rPr>
          <w:rFonts w:ascii="Arial" w:hAnsi="Arial" w:cs="Arial"/>
          <w:sz w:val="16"/>
          <w:szCs w:val="16"/>
          <w:lang w:val="es-CO"/>
        </w:rPr>
        <w:t>roferida dentro del proceso radicado bajo el número interno 48</w:t>
      </w:r>
      <w:r w:rsidR="009846B2" w:rsidRPr="001D7A1A">
        <w:rPr>
          <w:rFonts w:ascii="Arial" w:hAnsi="Arial" w:cs="Arial"/>
          <w:sz w:val="16"/>
          <w:szCs w:val="16"/>
          <w:lang w:val="es-CO"/>
        </w:rPr>
        <w:t>.</w:t>
      </w:r>
      <w:r w:rsidRPr="001D7A1A">
        <w:rPr>
          <w:rFonts w:ascii="Arial" w:hAnsi="Arial" w:cs="Arial"/>
          <w:sz w:val="16"/>
          <w:szCs w:val="16"/>
          <w:lang w:val="es-CO"/>
        </w:rPr>
        <w:t>659.</w:t>
      </w:r>
    </w:p>
  </w:footnote>
  <w:footnote w:id="8">
    <w:p w14:paraId="6721D15C" w14:textId="77777777" w:rsidR="007C73E2" w:rsidRPr="001D7A1A" w:rsidRDefault="007C73E2" w:rsidP="007C73E2">
      <w:pPr>
        <w:pStyle w:val="Textonotapie"/>
        <w:jc w:val="both"/>
        <w:rPr>
          <w:rFonts w:ascii="Arial" w:hAnsi="Arial" w:cs="Arial"/>
          <w:color w:val="000000"/>
          <w:sz w:val="16"/>
          <w:szCs w:val="16"/>
          <w:lang w:val="es-CO"/>
        </w:rPr>
      </w:pPr>
      <w:r w:rsidRPr="001D7A1A">
        <w:rPr>
          <w:rStyle w:val="Refdenotaalpie"/>
          <w:rFonts w:ascii="Arial" w:hAnsi="Arial" w:cs="Arial"/>
          <w:color w:val="000000"/>
          <w:sz w:val="16"/>
          <w:szCs w:val="16"/>
        </w:rPr>
        <w:footnoteRef/>
      </w:r>
      <w:r w:rsidRPr="001D7A1A">
        <w:rPr>
          <w:rFonts w:ascii="Arial" w:hAnsi="Arial" w:cs="Arial"/>
          <w:color w:val="000000"/>
          <w:sz w:val="16"/>
          <w:szCs w:val="16"/>
        </w:rPr>
        <w:t xml:space="preserve"> </w:t>
      </w:r>
      <w:r w:rsidRPr="001D7A1A">
        <w:rPr>
          <w:rFonts w:ascii="Arial" w:hAnsi="Arial" w:cs="Arial"/>
          <w:color w:val="000000"/>
          <w:sz w:val="16"/>
          <w:szCs w:val="16"/>
          <w:lang w:val="es-CO"/>
        </w:rPr>
        <w:t>“</w:t>
      </w:r>
      <w:r w:rsidRPr="001D7A1A">
        <w:rPr>
          <w:rFonts w:ascii="Arial" w:hAnsi="Arial" w:cs="Arial"/>
          <w:color w:val="000000"/>
          <w:sz w:val="16"/>
          <w:szCs w:val="16"/>
        </w:rPr>
        <w:t>Por la cual se dictan normas orientadas a fortalecer los mecanismos de prevención, investigación y sanción de actos de corrupción y la efectividad del control de la gestión pública”.</w:t>
      </w:r>
    </w:p>
  </w:footnote>
  <w:footnote w:id="9">
    <w:p w14:paraId="17699848" w14:textId="77777777" w:rsidR="007C73E2" w:rsidRPr="001D7A1A" w:rsidRDefault="007C73E2" w:rsidP="007C73E2">
      <w:pPr>
        <w:pStyle w:val="Textonotapie"/>
        <w:jc w:val="both"/>
        <w:rPr>
          <w:rFonts w:ascii="Arial" w:hAnsi="Arial" w:cs="Arial"/>
          <w:color w:val="000000"/>
          <w:sz w:val="16"/>
          <w:szCs w:val="16"/>
          <w:lang w:val="es-CO"/>
        </w:rPr>
      </w:pPr>
      <w:r w:rsidRPr="001D7A1A">
        <w:rPr>
          <w:rStyle w:val="Refdenotaalpie"/>
          <w:rFonts w:ascii="Arial" w:hAnsi="Arial" w:cs="Arial"/>
          <w:color w:val="000000"/>
          <w:sz w:val="16"/>
          <w:szCs w:val="16"/>
        </w:rPr>
        <w:footnoteRef/>
      </w:r>
      <w:r w:rsidRPr="001D7A1A">
        <w:rPr>
          <w:rFonts w:ascii="Arial" w:hAnsi="Arial" w:cs="Arial"/>
          <w:color w:val="000000"/>
          <w:sz w:val="16"/>
          <w:szCs w:val="16"/>
        </w:rPr>
        <w:t xml:space="preserve"> “Por medio de la cual se introducen medidas para la eficiencia y la transparencia en la Ley</w:t>
      </w:r>
      <w:r w:rsidR="00BC6127" w:rsidRPr="001D7A1A">
        <w:rPr>
          <w:rFonts w:ascii="Arial" w:hAnsi="Arial" w:cs="Arial"/>
          <w:color w:val="000000"/>
          <w:sz w:val="16"/>
          <w:szCs w:val="16"/>
        </w:rPr>
        <w:t xml:space="preserve"> 80</w:t>
      </w:r>
      <w:r w:rsidRPr="001D7A1A">
        <w:rPr>
          <w:rFonts w:ascii="Arial" w:hAnsi="Arial" w:cs="Arial"/>
          <w:color w:val="000000"/>
          <w:sz w:val="16"/>
          <w:szCs w:val="16"/>
        </w:rPr>
        <w:t> de 1993 y se dictan otras disposiciones generales sobre la contratación con Recursos Públicos</w:t>
      </w:r>
      <w:r w:rsidR="00F25DE9" w:rsidRPr="001D7A1A">
        <w:rPr>
          <w:rFonts w:ascii="Arial" w:hAnsi="Arial" w:cs="Arial"/>
          <w:color w:val="000000"/>
          <w:sz w:val="16"/>
          <w:szCs w:val="16"/>
        </w:rPr>
        <w:t xml:space="preserve"> (sic)</w:t>
      </w:r>
      <w:r w:rsidRPr="001D7A1A">
        <w:rPr>
          <w:rFonts w:ascii="Arial" w:hAnsi="Arial" w:cs="Arial"/>
          <w:color w:val="000000"/>
          <w:sz w:val="16"/>
          <w:szCs w:val="16"/>
        </w:rPr>
        <w:t>”.</w:t>
      </w:r>
    </w:p>
  </w:footnote>
  <w:footnote w:id="10">
    <w:p w14:paraId="4903BE2C" w14:textId="77777777" w:rsidR="004E60A0" w:rsidRPr="001D7A1A" w:rsidRDefault="004E60A0" w:rsidP="007C73E2">
      <w:pPr>
        <w:pStyle w:val="Textonotapie"/>
        <w:jc w:val="both"/>
        <w:rPr>
          <w:rFonts w:ascii="Arial" w:hAnsi="Arial" w:cs="Arial"/>
          <w:color w:val="000000"/>
          <w:sz w:val="16"/>
          <w:szCs w:val="16"/>
          <w:lang w:val="es-CO"/>
        </w:rPr>
      </w:pPr>
      <w:r w:rsidRPr="001D7A1A">
        <w:rPr>
          <w:rStyle w:val="Refdenotaalpie"/>
          <w:rFonts w:ascii="Arial" w:hAnsi="Arial" w:cs="Arial"/>
          <w:color w:val="000000"/>
          <w:sz w:val="16"/>
          <w:szCs w:val="16"/>
        </w:rPr>
        <w:footnoteRef/>
      </w:r>
      <w:r w:rsidRPr="001D7A1A">
        <w:rPr>
          <w:rFonts w:ascii="Arial" w:hAnsi="Arial" w:cs="Arial"/>
          <w:color w:val="000000"/>
          <w:sz w:val="16"/>
          <w:szCs w:val="16"/>
        </w:rPr>
        <w:t xml:space="preserve"> </w:t>
      </w:r>
      <w:r w:rsidRPr="001D7A1A">
        <w:rPr>
          <w:rFonts w:ascii="Arial" w:hAnsi="Arial" w:cs="Arial"/>
          <w:color w:val="000000"/>
          <w:sz w:val="16"/>
          <w:szCs w:val="16"/>
          <w:lang w:val="es-CO"/>
        </w:rPr>
        <w:t xml:space="preserve">27 de diciembre de 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03F"/>
    <w:multiLevelType w:val="hybridMultilevel"/>
    <w:tmpl w:val="E3C46F7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C4F47BF"/>
    <w:multiLevelType w:val="multilevel"/>
    <w:tmpl w:val="3C40C16E"/>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A22FF3"/>
    <w:multiLevelType w:val="hybridMultilevel"/>
    <w:tmpl w:val="F86024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7A709E"/>
    <w:multiLevelType w:val="hybridMultilevel"/>
    <w:tmpl w:val="09CEA15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CC0B7A"/>
    <w:multiLevelType w:val="multilevel"/>
    <w:tmpl w:val="CCB4C5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1F2E77"/>
    <w:multiLevelType w:val="hybridMultilevel"/>
    <w:tmpl w:val="BA52889A"/>
    <w:lvl w:ilvl="0" w:tplc="E902AFAE">
      <w:start w:val="1"/>
      <w:numFmt w:val="lowerRoman"/>
      <w:lvlText w:val="%1)"/>
      <w:lvlJc w:val="left"/>
      <w:pPr>
        <w:ind w:left="720" w:hanging="360"/>
      </w:pPr>
      <w:rPr>
        <w:rFonts w:ascii="Century Gothic" w:eastAsia="Times New Roman" w:hAnsi="Century Gothic" w:cs="Tahoma"/>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574692"/>
    <w:multiLevelType w:val="hybridMultilevel"/>
    <w:tmpl w:val="DD1647E2"/>
    <w:lvl w:ilvl="0" w:tplc="E902AFAE">
      <w:start w:val="1"/>
      <w:numFmt w:val="lowerRoman"/>
      <w:lvlText w:val="%1)"/>
      <w:lvlJc w:val="left"/>
      <w:pPr>
        <w:ind w:left="720" w:hanging="360"/>
      </w:pPr>
      <w:rPr>
        <w:rFonts w:ascii="Century Gothic" w:eastAsia="Times New Roman" w:hAnsi="Century Gothic" w:cs="Tahoma"/>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E166DE"/>
    <w:multiLevelType w:val="hybridMultilevel"/>
    <w:tmpl w:val="0D5E3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594E63"/>
    <w:multiLevelType w:val="multilevel"/>
    <w:tmpl w:val="EBF6F4D0"/>
    <w:lvl w:ilvl="0">
      <w:start w:val="1"/>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4F45417C"/>
    <w:multiLevelType w:val="hybridMultilevel"/>
    <w:tmpl w:val="D25A437E"/>
    <w:lvl w:ilvl="0" w:tplc="0C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6D7FE9"/>
    <w:multiLevelType w:val="hybridMultilevel"/>
    <w:tmpl w:val="0126865C"/>
    <w:lvl w:ilvl="0" w:tplc="E902AFAE">
      <w:start w:val="1"/>
      <w:numFmt w:val="lowerRoman"/>
      <w:lvlText w:val="%1)"/>
      <w:lvlJc w:val="left"/>
      <w:pPr>
        <w:ind w:left="720" w:hanging="360"/>
      </w:pPr>
      <w:rPr>
        <w:rFonts w:ascii="Century Gothic" w:eastAsia="Times New Roman" w:hAnsi="Century Gothic" w:cs="Tahoma"/>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9C7FFC"/>
    <w:multiLevelType w:val="hybridMultilevel"/>
    <w:tmpl w:val="8424B718"/>
    <w:lvl w:ilvl="0" w:tplc="F1D06C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526F72"/>
    <w:multiLevelType w:val="multilevel"/>
    <w:tmpl w:val="DA3A67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7B3EB1"/>
    <w:multiLevelType w:val="hybridMultilevel"/>
    <w:tmpl w:val="C0CAA8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9D55A9"/>
    <w:multiLevelType w:val="hybridMultilevel"/>
    <w:tmpl w:val="88DC01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E1A4A13"/>
    <w:multiLevelType w:val="multilevel"/>
    <w:tmpl w:val="AED6C8A2"/>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64556BC1"/>
    <w:multiLevelType w:val="multilevel"/>
    <w:tmpl w:val="3CDE83A4"/>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4974F4"/>
    <w:multiLevelType w:val="multilevel"/>
    <w:tmpl w:val="0A48B2A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F55C01"/>
    <w:multiLevelType w:val="hybridMultilevel"/>
    <w:tmpl w:val="FD88CD92"/>
    <w:lvl w:ilvl="0" w:tplc="E902AFAE">
      <w:start w:val="1"/>
      <w:numFmt w:val="lowerRoman"/>
      <w:lvlText w:val="%1)"/>
      <w:lvlJc w:val="left"/>
      <w:pPr>
        <w:ind w:left="720" w:hanging="360"/>
      </w:pPr>
      <w:rPr>
        <w:rFonts w:ascii="Century Gothic" w:eastAsia="Times New Roman" w:hAnsi="Century Gothic" w:cs="Tahoma"/>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7B3A1E"/>
    <w:multiLevelType w:val="hybridMultilevel"/>
    <w:tmpl w:val="A6160AD8"/>
    <w:lvl w:ilvl="0" w:tplc="0C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0"/>
  </w:num>
  <w:num w:numId="5">
    <w:abstractNumId w:val="15"/>
  </w:num>
  <w:num w:numId="6">
    <w:abstractNumId w:val="8"/>
  </w:num>
  <w:num w:numId="7">
    <w:abstractNumId w:val="20"/>
  </w:num>
  <w:num w:numId="8">
    <w:abstractNumId w:val="2"/>
  </w:num>
  <w:num w:numId="9">
    <w:abstractNumId w:val="11"/>
  </w:num>
  <w:num w:numId="10">
    <w:abstractNumId w:val="1"/>
  </w:num>
  <w:num w:numId="11">
    <w:abstractNumId w:val="17"/>
  </w:num>
  <w:num w:numId="12">
    <w:abstractNumId w:val="12"/>
  </w:num>
  <w:num w:numId="13">
    <w:abstractNumId w:val="7"/>
  </w:num>
  <w:num w:numId="14">
    <w:abstractNumId w:val="16"/>
  </w:num>
  <w:num w:numId="15">
    <w:abstractNumId w:val="5"/>
  </w:num>
  <w:num w:numId="16">
    <w:abstractNumId w:val="19"/>
  </w:num>
  <w:num w:numId="17">
    <w:abstractNumId w:val="6"/>
  </w:num>
  <w:num w:numId="18">
    <w:abstractNumId w:val="10"/>
  </w:num>
  <w:num w:numId="19">
    <w:abstractNumId w:val="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1054"/>
    <w:rsid w:val="00003640"/>
    <w:rsid w:val="00006CE6"/>
    <w:rsid w:val="00010AAD"/>
    <w:rsid w:val="00011C37"/>
    <w:rsid w:val="00012637"/>
    <w:rsid w:val="0001518A"/>
    <w:rsid w:val="00015854"/>
    <w:rsid w:val="00015862"/>
    <w:rsid w:val="00017251"/>
    <w:rsid w:val="000213FD"/>
    <w:rsid w:val="000219C0"/>
    <w:rsid w:val="00021D19"/>
    <w:rsid w:val="0002271F"/>
    <w:rsid w:val="0002294B"/>
    <w:rsid w:val="00023103"/>
    <w:rsid w:val="000250DF"/>
    <w:rsid w:val="00025383"/>
    <w:rsid w:val="000302C1"/>
    <w:rsid w:val="0003260A"/>
    <w:rsid w:val="000340E8"/>
    <w:rsid w:val="0004153C"/>
    <w:rsid w:val="00044749"/>
    <w:rsid w:val="00046D88"/>
    <w:rsid w:val="000475ED"/>
    <w:rsid w:val="00047D5C"/>
    <w:rsid w:val="00051800"/>
    <w:rsid w:val="00055A0D"/>
    <w:rsid w:val="00057E51"/>
    <w:rsid w:val="00061734"/>
    <w:rsid w:val="00061D14"/>
    <w:rsid w:val="0006294C"/>
    <w:rsid w:val="00063164"/>
    <w:rsid w:val="00063235"/>
    <w:rsid w:val="00063EC8"/>
    <w:rsid w:val="000643D7"/>
    <w:rsid w:val="00065969"/>
    <w:rsid w:val="00066888"/>
    <w:rsid w:val="00067F00"/>
    <w:rsid w:val="000703F2"/>
    <w:rsid w:val="00072710"/>
    <w:rsid w:val="00073D75"/>
    <w:rsid w:val="00074326"/>
    <w:rsid w:val="00075A0D"/>
    <w:rsid w:val="0007607F"/>
    <w:rsid w:val="0007733C"/>
    <w:rsid w:val="00080192"/>
    <w:rsid w:val="00080E01"/>
    <w:rsid w:val="000849F5"/>
    <w:rsid w:val="00085172"/>
    <w:rsid w:val="000852EA"/>
    <w:rsid w:val="000853B0"/>
    <w:rsid w:val="000857FC"/>
    <w:rsid w:val="00085A5E"/>
    <w:rsid w:val="00085CA2"/>
    <w:rsid w:val="000864B3"/>
    <w:rsid w:val="00086654"/>
    <w:rsid w:val="00086A53"/>
    <w:rsid w:val="00087726"/>
    <w:rsid w:val="0009192D"/>
    <w:rsid w:val="00091C42"/>
    <w:rsid w:val="0009222D"/>
    <w:rsid w:val="000929CD"/>
    <w:rsid w:val="00094031"/>
    <w:rsid w:val="00097BE6"/>
    <w:rsid w:val="000A0DF4"/>
    <w:rsid w:val="000A28E5"/>
    <w:rsid w:val="000A31F1"/>
    <w:rsid w:val="000A3CB5"/>
    <w:rsid w:val="000A495A"/>
    <w:rsid w:val="000A578E"/>
    <w:rsid w:val="000A72A0"/>
    <w:rsid w:val="000B15EB"/>
    <w:rsid w:val="000B1AD6"/>
    <w:rsid w:val="000B2052"/>
    <w:rsid w:val="000B36FC"/>
    <w:rsid w:val="000C0A59"/>
    <w:rsid w:val="000C0F18"/>
    <w:rsid w:val="000C12D8"/>
    <w:rsid w:val="000C1385"/>
    <w:rsid w:val="000C218E"/>
    <w:rsid w:val="000C223E"/>
    <w:rsid w:val="000C511F"/>
    <w:rsid w:val="000C520B"/>
    <w:rsid w:val="000C64BB"/>
    <w:rsid w:val="000C668C"/>
    <w:rsid w:val="000C7419"/>
    <w:rsid w:val="000C7E63"/>
    <w:rsid w:val="000D0377"/>
    <w:rsid w:val="000D17BE"/>
    <w:rsid w:val="000D1B28"/>
    <w:rsid w:val="000D1F0C"/>
    <w:rsid w:val="000D22E0"/>
    <w:rsid w:val="000D3B68"/>
    <w:rsid w:val="000D522D"/>
    <w:rsid w:val="000E3002"/>
    <w:rsid w:val="000E30B7"/>
    <w:rsid w:val="000E31B2"/>
    <w:rsid w:val="000E4778"/>
    <w:rsid w:val="000E5104"/>
    <w:rsid w:val="000E518D"/>
    <w:rsid w:val="000E5F29"/>
    <w:rsid w:val="000E7426"/>
    <w:rsid w:val="000E7AE5"/>
    <w:rsid w:val="000F04EB"/>
    <w:rsid w:val="000F0EFF"/>
    <w:rsid w:val="000F3A60"/>
    <w:rsid w:val="000F4A86"/>
    <w:rsid w:val="000F4ADB"/>
    <w:rsid w:val="000F760B"/>
    <w:rsid w:val="00103157"/>
    <w:rsid w:val="0010445F"/>
    <w:rsid w:val="001064C1"/>
    <w:rsid w:val="00106EF6"/>
    <w:rsid w:val="00107F14"/>
    <w:rsid w:val="00111018"/>
    <w:rsid w:val="00111EE9"/>
    <w:rsid w:val="00113234"/>
    <w:rsid w:val="0011634E"/>
    <w:rsid w:val="00117D9F"/>
    <w:rsid w:val="00120152"/>
    <w:rsid w:val="00120E2F"/>
    <w:rsid w:val="001216D1"/>
    <w:rsid w:val="00121788"/>
    <w:rsid w:val="001217EA"/>
    <w:rsid w:val="00122380"/>
    <w:rsid w:val="0012266F"/>
    <w:rsid w:val="001235F3"/>
    <w:rsid w:val="00123D57"/>
    <w:rsid w:val="00124F49"/>
    <w:rsid w:val="00127FA0"/>
    <w:rsid w:val="0013105F"/>
    <w:rsid w:val="00131E39"/>
    <w:rsid w:val="001336B7"/>
    <w:rsid w:val="001342D1"/>
    <w:rsid w:val="00135029"/>
    <w:rsid w:val="0013549C"/>
    <w:rsid w:val="00136484"/>
    <w:rsid w:val="001378BF"/>
    <w:rsid w:val="00140DE3"/>
    <w:rsid w:val="001419B2"/>
    <w:rsid w:val="0014278C"/>
    <w:rsid w:val="00144D47"/>
    <w:rsid w:val="00145640"/>
    <w:rsid w:val="00145AC6"/>
    <w:rsid w:val="001471AA"/>
    <w:rsid w:val="001477A2"/>
    <w:rsid w:val="00147D95"/>
    <w:rsid w:val="00147E6F"/>
    <w:rsid w:val="00150F4D"/>
    <w:rsid w:val="001514A6"/>
    <w:rsid w:val="001539A1"/>
    <w:rsid w:val="00154CA4"/>
    <w:rsid w:val="001569B0"/>
    <w:rsid w:val="0016012C"/>
    <w:rsid w:val="0016131F"/>
    <w:rsid w:val="001627F5"/>
    <w:rsid w:val="001639AC"/>
    <w:rsid w:val="001643AC"/>
    <w:rsid w:val="00165263"/>
    <w:rsid w:val="0016617C"/>
    <w:rsid w:val="001665EA"/>
    <w:rsid w:val="001672DB"/>
    <w:rsid w:val="001701C6"/>
    <w:rsid w:val="001705FD"/>
    <w:rsid w:val="0017138D"/>
    <w:rsid w:val="00171921"/>
    <w:rsid w:val="0017230F"/>
    <w:rsid w:val="00175D5C"/>
    <w:rsid w:val="00175DCD"/>
    <w:rsid w:val="00177015"/>
    <w:rsid w:val="00177A77"/>
    <w:rsid w:val="00180907"/>
    <w:rsid w:val="001809DC"/>
    <w:rsid w:val="0018232B"/>
    <w:rsid w:val="00182892"/>
    <w:rsid w:val="001860FE"/>
    <w:rsid w:val="001866A5"/>
    <w:rsid w:val="001869B7"/>
    <w:rsid w:val="00187F59"/>
    <w:rsid w:val="00192233"/>
    <w:rsid w:val="00192337"/>
    <w:rsid w:val="00193C20"/>
    <w:rsid w:val="0019537F"/>
    <w:rsid w:val="00196C3D"/>
    <w:rsid w:val="00197113"/>
    <w:rsid w:val="001A40FF"/>
    <w:rsid w:val="001A473B"/>
    <w:rsid w:val="001A48DF"/>
    <w:rsid w:val="001A5517"/>
    <w:rsid w:val="001A5E2C"/>
    <w:rsid w:val="001A64D8"/>
    <w:rsid w:val="001B0D69"/>
    <w:rsid w:val="001B240B"/>
    <w:rsid w:val="001B33FE"/>
    <w:rsid w:val="001B370D"/>
    <w:rsid w:val="001B5B5A"/>
    <w:rsid w:val="001B7B48"/>
    <w:rsid w:val="001C0381"/>
    <w:rsid w:val="001C1D0A"/>
    <w:rsid w:val="001C2B24"/>
    <w:rsid w:val="001C3960"/>
    <w:rsid w:val="001C6C16"/>
    <w:rsid w:val="001C79A5"/>
    <w:rsid w:val="001D3DB0"/>
    <w:rsid w:val="001D5F79"/>
    <w:rsid w:val="001D6667"/>
    <w:rsid w:val="001D7A1A"/>
    <w:rsid w:val="001D7FD9"/>
    <w:rsid w:val="001E0947"/>
    <w:rsid w:val="001E1717"/>
    <w:rsid w:val="001E3311"/>
    <w:rsid w:val="001E3F32"/>
    <w:rsid w:val="001E733B"/>
    <w:rsid w:val="001F2D40"/>
    <w:rsid w:val="001F3C30"/>
    <w:rsid w:val="001F4C5D"/>
    <w:rsid w:val="001F6899"/>
    <w:rsid w:val="002010C1"/>
    <w:rsid w:val="0020114C"/>
    <w:rsid w:val="00202E27"/>
    <w:rsid w:val="0020421B"/>
    <w:rsid w:val="002042BE"/>
    <w:rsid w:val="00205DC2"/>
    <w:rsid w:val="00207451"/>
    <w:rsid w:val="00211F62"/>
    <w:rsid w:val="0021427B"/>
    <w:rsid w:val="0021505B"/>
    <w:rsid w:val="00216AB3"/>
    <w:rsid w:val="0021727E"/>
    <w:rsid w:val="0021746F"/>
    <w:rsid w:val="00220450"/>
    <w:rsid w:val="00223A97"/>
    <w:rsid w:val="00223CB1"/>
    <w:rsid w:val="0022537C"/>
    <w:rsid w:val="0022618C"/>
    <w:rsid w:val="002263C6"/>
    <w:rsid w:val="00232562"/>
    <w:rsid w:val="0023307A"/>
    <w:rsid w:val="00233C57"/>
    <w:rsid w:val="00234311"/>
    <w:rsid w:val="00234536"/>
    <w:rsid w:val="00234AD7"/>
    <w:rsid w:val="0023525A"/>
    <w:rsid w:val="00235609"/>
    <w:rsid w:val="00236456"/>
    <w:rsid w:val="002379D3"/>
    <w:rsid w:val="00240743"/>
    <w:rsid w:val="00243590"/>
    <w:rsid w:val="00245AF0"/>
    <w:rsid w:val="00247E34"/>
    <w:rsid w:val="00252221"/>
    <w:rsid w:val="00254A83"/>
    <w:rsid w:val="0025559A"/>
    <w:rsid w:val="00255F5B"/>
    <w:rsid w:val="00265719"/>
    <w:rsid w:val="00267688"/>
    <w:rsid w:val="00272C65"/>
    <w:rsid w:val="0027303D"/>
    <w:rsid w:val="00273197"/>
    <w:rsid w:val="00274247"/>
    <w:rsid w:val="00274E41"/>
    <w:rsid w:val="00274F47"/>
    <w:rsid w:val="00276325"/>
    <w:rsid w:val="002776C5"/>
    <w:rsid w:val="0028096D"/>
    <w:rsid w:val="00280E70"/>
    <w:rsid w:val="002821C8"/>
    <w:rsid w:val="00282830"/>
    <w:rsid w:val="00282B33"/>
    <w:rsid w:val="002837F0"/>
    <w:rsid w:val="00284D14"/>
    <w:rsid w:val="00285B78"/>
    <w:rsid w:val="00287C0A"/>
    <w:rsid w:val="00290C7A"/>
    <w:rsid w:val="00290F15"/>
    <w:rsid w:val="00291464"/>
    <w:rsid w:val="00291A7A"/>
    <w:rsid w:val="00292846"/>
    <w:rsid w:val="002944A6"/>
    <w:rsid w:val="002950A2"/>
    <w:rsid w:val="00296374"/>
    <w:rsid w:val="00297676"/>
    <w:rsid w:val="002A0271"/>
    <w:rsid w:val="002A0967"/>
    <w:rsid w:val="002A15BF"/>
    <w:rsid w:val="002A1755"/>
    <w:rsid w:val="002A1AE4"/>
    <w:rsid w:val="002A290D"/>
    <w:rsid w:val="002A310B"/>
    <w:rsid w:val="002A3C17"/>
    <w:rsid w:val="002A6B46"/>
    <w:rsid w:val="002A7F2A"/>
    <w:rsid w:val="002B05C2"/>
    <w:rsid w:val="002B16CD"/>
    <w:rsid w:val="002B27B2"/>
    <w:rsid w:val="002B2FD5"/>
    <w:rsid w:val="002B3EFB"/>
    <w:rsid w:val="002C0ED4"/>
    <w:rsid w:val="002C11BC"/>
    <w:rsid w:val="002C1506"/>
    <w:rsid w:val="002C2282"/>
    <w:rsid w:val="002C3AF5"/>
    <w:rsid w:val="002C3C2E"/>
    <w:rsid w:val="002C60ED"/>
    <w:rsid w:val="002C6806"/>
    <w:rsid w:val="002C70C1"/>
    <w:rsid w:val="002C7963"/>
    <w:rsid w:val="002D0C2B"/>
    <w:rsid w:val="002D136D"/>
    <w:rsid w:val="002D165D"/>
    <w:rsid w:val="002D26DD"/>
    <w:rsid w:val="002D3255"/>
    <w:rsid w:val="002D46EC"/>
    <w:rsid w:val="002D4D92"/>
    <w:rsid w:val="002D5E85"/>
    <w:rsid w:val="002D6D4F"/>
    <w:rsid w:val="002D6F39"/>
    <w:rsid w:val="002E02C9"/>
    <w:rsid w:val="002E0595"/>
    <w:rsid w:val="002E3194"/>
    <w:rsid w:val="002E398C"/>
    <w:rsid w:val="002E46CC"/>
    <w:rsid w:val="002E5B04"/>
    <w:rsid w:val="002E65BB"/>
    <w:rsid w:val="002F1F74"/>
    <w:rsid w:val="002F2DB1"/>
    <w:rsid w:val="002F3643"/>
    <w:rsid w:val="002F5D47"/>
    <w:rsid w:val="002F607E"/>
    <w:rsid w:val="002F7B46"/>
    <w:rsid w:val="0030168B"/>
    <w:rsid w:val="00301B57"/>
    <w:rsid w:val="00304B3B"/>
    <w:rsid w:val="00305433"/>
    <w:rsid w:val="00306596"/>
    <w:rsid w:val="003065E9"/>
    <w:rsid w:val="00306759"/>
    <w:rsid w:val="00307823"/>
    <w:rsid w:val="00311C27"/>
    <w:rsid w:val="00312560"/>
    <w:rsid w:val="00317A57"/>
    <w:rsid w:val="00317A91"/>
    <w:rsid w:val="00322B8A"/>
    <w:rsid w:val="00324BDC"/>
    <w:rsid w:val="00324F65"/>
    <w:rsid w:val="00325B96"/>
    <w:rsid w:val="003272F3"/>
    <w:rsid w:val="00327F16"/>
    <w:rsid w:val="00327FB3"/>
    <w:rsid w:val="0033402F"/>
    <w:rsid w:val="00335E42"/>
    <w:rsid w:val="003360E9"/>
    <w:rsid w:val="00337E04"/>
    <w:rsid w:val="00340CFB"/>
    <w:rsid w:val="003420AC"/>
    <w:rsid w:val="00342C0E"/>
    <w:rsid w:val="003430B8"/>
    <w:rsid w:val="00343509"/>
    <w:rsid w:val="003440FB"/>
    <w:rsid w:val="00346819"/>
    <w:rsid w:val="00347EB3"/>
    <w:rsid w:val="00351123"/>
    <w:rsid w:val="0035258A"/>
    <w:rsid w:val="00353439"/>
    <w:rsid w:val="0035642A"/>
    <w:rsid w:val="00357910"/>
    <w:rsid w:val="0036107F"/>
    <w:rsid w:val="003611E8"/>
    <w:rsid w:val="00363147"/>
    <w:rsid w:val="00366FAE"/>
    <w:rsid w:val="00367FDA"/>
    <w:rsid w:val="0037021F"/>
    <w:rsid w:val="003703CE"/>
    <w:rsid w:val="00371D58"/>
    <w:rsid w:val="00374C0A"/>
    <w:rsid w:val="00375A9E"/>
    <w:rsid w:val="003832E7"/>
    <w:rsid w:val="00383958"/>
    <w:rsid w:val="00385379"/>
    <w:rsid w:val="0038568A"/>
    <w:rsid w:val="00391038"/>
    <w:rsid w:val="00391B76"/>
    <w:rsid w:val="00394848"/>
    <w:rsid w:val="00394A93"/>
    <w:rsid w:val="003961D4"/>
    <w:rsid w:val="003A170E"/>
    <w:rsid w:val="003A35CB"/>
    <w:rsid w:val="003A36F7"/>
    <w:rsid w:val="003A5F31"/>
    <w:rsid w:val="003A605C"/>
    <w:rsid w:val="003A6CD6"/>
    <w:rsid w:val="003B0189"/>
    <w:rsid w:val="003B2555"/>
    <w:rsid w:val="003B3B40"/>
    <w:rsid w:val="003B71CF"/>
    <w:rsid w:val="003B767B"/>
    <w:rsid w:val="003B7945"/>
    <w:rsid w:val="003C1910"/>
    <w:rsid w:val="003C1A94"/>
    <w:rsid w:val="003C1F18"/>
    <w:rsid w:val="003C62AF"/>
    <w:rsid w:val="003C6A43"/>
    <w:rsid w:val="003C7FC5"/>
    <w:rsid w:val="003D0635"/>
    <w:rsid w:val="003D1843"/>
    <w:rsid w:val="003D3CD9"/>
    <w:rsid w:val="003D47FB"/>
    <w:rsid w:val="003D7CF6"/>
    <w:rsid w:val="003E02DA"/>
    <w:rsid w:val="003E0A21"/>
    <w:rsid w:val="003E10AE"/>
    <w:rsid w:val="003E1D78"/>
    <w:rsid w:val="003E74B3"/>
    <w:rsid w:val="003F0713"/>
    <w:rsid w:val="003F1235"/>
    <w:rsid w:val="003F2DE8"/>
    <w:rsid w:val="003F314A"/>
    <w:rsid w:val="003F55AA"/>
    <w:rsid w:val="003F5F0F"/>
    <w:rsid w:val="003F640D"/>
    <w:rsid w:val="003F6472"/>
    <w:rsid w:val="00400251"/>
    <w:rsid w:val="00401B11"/>
    <w:rsid w:val="004028CE"/>
    <w:rsid w:val="00402F06"/>
    <w:rsid w:val="00403495"/>
    <w:rsid w:val="00404E52"/>
    <w:rsid w:val="00405F78"/>
    <w:rsid w:val="0040607A"/>
    <w:rsid w:val="004116A8"/>
    <w:rsid w:val="00412BC8"/>
    <w:rsid w:val="004139B7"/>
    <w:rsid w:val="00413E2A"/>
    <w:rsid w:val="00414989"/>
    <w:rsid w:val="00415655"/>
    <w:rsid w:val="00415B63"/>
    <w:rsid w:val="00415C6F"/>
    <w:rsid w:val="00417C94"/>
    <w:rsid w:val="004203F8"/>
    <w:rsid w:val="00420D90"/>
    <w:rsid w:val="00421926"/>
    <w:rsid w:val="00421A94"/>
    <w:rsid w:val="00422651"/>
    <w:rsid w:val="00422C5F"/>
    <w:rsid w:val="00425466"/>
    <w:rsid w:val="00426539"/>
    <w:rsid w:val="004315F2"/>
    <w:rsid w:val="004327B6"/>
    <w:rsid w:val="00433C84"/>
    <w:rsid w:val="00433CB4"/>
    <w:rsid w:val="00434964"/>
    <w:rsid w:val="00436EF0"/>
    <w:rsid w:val="004436C6"/>
    <w:rsid w:val="00445144"/>
    <w:rsid w:val="00445A0B"/>
    <w:rsid w:val="00445A2C"/>
    <w:rsid w:val="00445F92"/>
    <w:rsid w:val="00446AA6"/>
    <w:rsid w:val="00447173"/>
    <w:rsid w:val="00450B91"/>
    <w:rsid w:val="004520D6"/>
    <w:rsid w:val="004562F2"/>
    <w:rsid w:val="00456871"/>
    <w:rsid w:val="004574C0"/>
    <w:rsid w:val="00457FF1"/>
    <w:rsid w:val="00465D97"/>
    <w:rsid w:val="00470A04"/>
    <w:rsid w:val="00470B5C"/>
    <w:rsid w:val="00470C39"/>
    <w:rsid w:val="00471D39"/>
    <w:rsid w:val="00472AE0"/>
    <w:rsid w:val="00473020"/>
    <w:rsid w:val="00473374"/>
    <w:rsid w:val="00474D4B"/>
    <w:rsid w:val="004753B1"/>
    <w:rsid w:val="00476403"/>
    <w:rsid w:val="00480524"/>
    <w:rsid w:val="00481887"/>
    <w:rsid w:val="00484784"/>
    <w:rsid w:val="00491A2E"/>
    <w:rsid w:val="00491DFE"/>
    <w:rsid w:val="00493102"/>
    <w:rsid w:val="00494081"/>
    <w:rsid w:val="0049623F"/>
    <w:rsid w:val="004969A7"/>
    <w:rsid w:val="00497470"/>
    <w:rsid w:val="004A0452"/>
    <w:rsid w:val="004A0AA7"/>
    <w:rsid w:val="004A4A0B"/>
    <w:rsid w:val="004A536B"/>
    <w:rsid w:val="004A6ADF"/>
    <w:rsid w:val="004A7AEB"/>
    <w:rsid w:val="004B33EC"/>
    <w:rsid w:val="004B441B"/>
    <w:rsid w:val="004B4EEB"/>
    <w:rsid w:val="004B7807"/>
    <w:rsid w:val="004C0416"/>
    <w:rsid w:val="004C04E7"/>
    <w:rsid w:val="004C0837"/>
    <w:rsid w:val="004C4BC5"/>
    <w:rsid w:val="004C5121"/>
    <w:rsid w:val="004C6C8D"/>
    <w:rsid w:val="004D1010"/>
    <w:rsid w:val="004D29BE"/>
    <w:rsid w:val="004D3344"/>
    <w:rsid w:val="004D51C2"/>
    <w:rsid w:val="004D6F35"/>
    <w:rsid w:val="004D76DB"/>
    <w:rsid w:val="004D7E76"/>
    <w:rsid w:val="004E09DE"/>
    <w:rsid w:val="004E1462"/>
    <w:rsid w:val="004E1C4C"/>
    <w:rsid w:val="004E5198"/>
    <w:rsid w:val="004E5234"/>
    <w:rsid w:val="004E5BBC"/>
    <w:rsid w:val="004E5E4C"/>
    <w:rsid w:val="004E60A0"/>
    <w:rsid w:val="004E7CBF"/>
    <w:rsid w:val="004F224C"/>
    <w:rsid w:val="004F2776"/>
    <w:rsid w:val="004F37FC"/>
    <w:rsid w:val="004F564F"/>
    <w:rsid w:val="004F60BA"/>
    <w:rsid w:val="004F6482"/>
    <w:rsid w:val="004F64E7"/>
    <w:rsid w:val="004F6D1F"/>
    <w:rsid w:val="00505760"/>
    <w:rsid w:val="00506349"/>
    <w:rsid w:val="00510450"/>
    <w:rsid w:val="00510F2A"/>
    <w:rsid w:val="00511716"/>
    <w:rsid w:val="005140A7"/>
    <w:rsid w:val="0051428D"/>
    <w:rsid w:val="0051552F"/>
    <w:rsid w:val="005219A1"/>
    <w:rsid w:val="00521C68"/>
    <w:rsid w:val="00524294"/>
    <w:rsid w:val="005242DF"/>
    <w:rsid w:val="005303F3"/>
    <w:rsid w:val="00532867"/>
    <w:rsid w:val="00532AD9"/>
    <w:rsid w:val="00532C6B"/>
    <w:rsid w:val="00542978"/>
    <w:rsid w:val="00542C66"/>
    <w:rsid w:val="00543C10"/>
    <w:rsid w:val="005441A5"/>
    <w:rsid w:val="00545A27"/>
    <w:rsid w:val="00546B22"/>
    <w:rsid w:val="00546F99"/>
    <w:rsid w:val="00550391"/>
    <w:rsid w:val="00551943"/>
    <w:rsid w:val="00551A1C"/>
    <w:rsid w:val="005547A8"/>
    <w:rsid w:val="00555217"/>
    <w:rsid w:val="005557E3"/>
    <w:rsid w:val="00556752"/>
    <w:rsid w:val="0055698D"/>
    <w:rsid w:val="00556D02"/>
    <w:rsid w:val="0055735A"/>
    <w:rsid w:val="00561ADE"/>
    <w:rsid w:val="00561E40"/>
    <w:rsid w:val="005639C4"/>
    <w:rsid w:val="00564305"/>
    <w:rsid w:val="00567667"/>
    <w:rsid w:val="00567B31"/>
    <w:rsid w:val="0057116F"/>
    <w:rsid w:val="00571C39"/>
    <w:rsid w:val="005731F1"/>
    <w:rsid w:val="00573E39"/>
    <w:rsid w:val="0057670B"/>
    <w:rsid w:val="005773B5"/>
    <w:rsid w:val="00577CAC"/>
    <w:rsid w:val="00580C6A"/>
    <w:rsid w:val="00590ECC"/>
    <w:rsid w:val="005A0B87"/>
    <w:rsid w:val="005A0C41"/>
    <w:rsid w:val="005A1B1F"/>
    <w:rsid w:val="005A41F1"/>
    <w:rsid w:val="005A535D"/>
    <w:rsid w:val="005A7819"/>
    <w:rsid w:val="005A7D68"/>
    <w:rsid w:val="005B01D7"/>
    <w:rsid w:val="005B29BF"/>
    <w:rsid w:val="005B534B"/>
    <w:rsid w:val="005B7B08"/>
    <w:rsid w:val="005C2016"/>
    <w:rsid w:val="005C48ED"/>
    <w:rsid w:val="005D0679"/>
    <w:rsid w:val="005D1DEE"/>
    <w:rsid w:val="005D333A"/>
    <w:rsid w:val="005D3485"/>
    <w:rsid w:val="005D3944"/>
    <w:rsid w:val="005D402D"/>
    <w:rsid w:val="005D532B"/>
    <w:rsid w:val="005E0FC4"/>
    <w:rsid w:val="005E1C3D"/>
    <w:rsid w:val="005E299E"/>
    <w:rsid w:val="005E3387"/>
    <w:rsid w:val="005E3C15"/>
    <w:rsid w:val="005E3E0D"/>
    <w:rsid w:val="005E3FAC"/>
    <w:rsid w:val="005E50B8"/>
    <w:rsid w:val="005E5D06"/>
    <w:rsid w:val="005F3868"/>
    <w:rsid w:val="005F49FC"/>
    <w:rsid w:val="005F4FDA"/>
    <w:rsid w:val="005F5891"/>
    <w:rsid w:val="005F69A8"/>
    <w:rsid w:val="005F7064"/>
    <w:rsid w:val="00602136"/>
    <w:rsid w:val="00602AF0"/>
    <w:rsid w:val="0060477B"/>
    <w:rsid w:val="0060603F"/>
    <w:rsid w:val="006101B4"/>
    <w:rsid w:val="0061066D"/>
    <w:rsid w:val="00611271"/>
    <w:rsid w:val="00612702"/>
    <w:rsid w:val="006130CA"/>
    <w:rsid w:val="006132B3"/>
    <w:rsid w:val="00615E50"/>
    <w:rsid w:val="00617FEE"/>
    <w:rsid w:val="006224F3"/>
    <w:rsid w:val="006225AE"/>
    <w:rsid w:val="006229BB"/>
    <w:rsid w:val="006248B3"/>
    <w:rsid w:val="00624D4D"/>
    <w:rsid w:val="00625C5A"/>
    <w:rsid w:val="00626C0F"/>
    <w:rsid w:val="0062742E"/>
    <w:rsid w:val="00627B9A"/>
    <w:rsid w:val="00630474"/>
    <w:rsid w:val="00630CBB"/>
    <w:rsid w:val="006331EB"/>
    <w:rsid w:val="006362F0"/>
    <w:rsid w:val="00636FED"/>
    <w:rsid w:val="00642021"/>
    <w:rsid w:val="006423BE"/>
    <w:rsid w:val="006423FD"/>
    <w:rsid w:val="00642C54"/>
    <w:rsid w:val="00642EE6"/>
    <w:rsid w:val="00643F19"/>
    <w:rsid w:val="00644842"/>
    <w:rsid w:val="00646191"/>
    <w:rsid w:val="006476B0"/>
    <w:rsid w:val="00650CF8"/>
    <w:rsid w:val="0065137B"/>
    <w:rsid w:val="00653447"/>
    <w:rsid w:val="0066172E"/>
    <w:rsid w:val="00661ED2"/>
    <w:rsid w:val="00667470"/>
    <w:rsid w:val="006676FD"/>
    <w:rsid w:val="0067380A"/>
    <w:rsid w:val="00676E28"/>
    <w:rsid w:val="00677E49"/>
    <w:rsid w:val="006804AD"/>
    <w:rsid w:val="0068248D"/>
    <w:rsid w:val="006842FB"/>
    <w:rsid w:val="00686D8E"/>
    <w:rsid w:val="006973AD"/>
    <w:rsid w:val="006975E7"/>
    <w:rsid w:val="006B024D"/>
    <w:rsid w:val="006B1C27"/>
    <w:rsid w:val="006B1F10"/>
    <w:rsid w:val="006B3007"/>
    <w:rsid w:val="006B3F64"/>
    <w:rsid w:val="006B57D1"/>
    <w:rsid w:val="006B7881"/>
    <w:rsid w:val="006C1DC8"/>
    <w:rsid w:val="006C4C46"/>
    <w:rsid w:val="006C4CA2"/>
    <w:rsid w:val="006C5757"/>
    <w:rsid w:val="006C5D39"/>
    <w:rsid w:val="006C70BF"/>
    <w:rsid w:val="006C7B36"/>
    <w:rsid w:val="006D138C"/>
    <w:rsid w:val="006D1EBA"/>
    <w:rsid w:val="006D3555"/>
    <w:rsid w:val="006D3937"/>
    <w:rsid w:val="006D56AD"/>
    <w:rsid w:val="006D7653"/>
    <w:rsid w:val="006E1FF6"/>
    <w:rsid w:val="006E2CA1"/>
    <w:rsid w:val="006E3298"/>
    <w:rsid w:val="006E42A7"/>
    <w:rsid w:val="006E4B70"/>
    <w:rsid w:val="006E637C"/>
    <w:rsid w:val="006E6F42"/>
    <w:rsid w:val="006E7E96"/>
    <w:rsid w:val="006F006B"/>
    <w:rsid w:val="006F1BC9"/>
    <w:rsid w:val="006F22AD"/>
    <w:rsid w:val="006F2DD2"/>
    <w:rsid w:val="006F3C7F"/>
    <w:rsid w:val="006F4174"/>
    <w:rsid w:val="006F6379"/>
    <w:rsid w:val="00700E72"/>
    <w:rsid w:val="0070603A"/>
    <w:rsid w:val="00712947"/>
    <w:rsid w:val="00714188"/>
    <w:rsid w:val="00714764"/>
    <w:rsid w:val="0071672A"/>
    <w:rsid w:val="00716BAA"/>
    <w:rsid w:val="00721A86"/>
    <w:rsid w:val="007238D2"/>
    <w:rsid w:val="0072517E"/>
    <w:rsid w:val="00725A04"/>
    <w:rsid w:val="00731B8A"/>
    <w:rsid w:val="00732202"/>
    <w:rsid w:val="0073276B"/>
    <w:rsid w:val="00735229"/>
    <w:rsid w:val="007359D4"/>
    <w:rsid w:val="00736FE5"/>
    <w:rsid w:val="007414F9"/>
    <w:rsid w:val="007416EF"/>
    <w:rsid w:val="007416F0"/>
    <w:rsid w:val="00745DF5"/>
    <w:rsid w:val="0074628E"/>
    <w:rsid w:val="007472C0"/>
    <w:rsid w:val="00747324"/>
    <w:rsid w:val="0075172D"/>
    <w:rsid w:val="00753757"/>
    <w:rsid w:val="0075436B"/>
    <w:rsid w:val="0076171D"/>
    <w:rsid w:val="0076190A"/>
    <w:rsid w:val="00763442"/>
    <w:rsid w:val="00764297"/>
    <w:rsid w:val="00764E13"/>
    <w:rsid w:val="00765D2E"/>
    <w:rsid w:val="00765FEE"/>
    <w:rsid w:val="00767360"/>
    <w:rsid w:val="00770B07"/>
    <w:rsid w:val="007717C2"/>
    <w:rsid w:val="00774AF3"/>
    <w:rsid w:val="00775DBA"/>
    <w:rsid w:val="00776A15"/>
    <w:rsid w:val="007805AD"/>
    <w:rsid w:val="00780CE7"/>
    <w:rsid w:val="00780DAE"/>
    <w:rsid w:val="0078111A"/>
    <w:rsid w:val="00782732"/>
    <w:rsid w:val="00782B87"/>
    <w:rsid w:val="00790418"/>
    <w:rsid w:val="007948AC"/>
    <w:rsid w:val="00794AB8"/>
    <w:rsid w:val="00794B7F"/>
    <w:rsid w:val="00794F36"/>
    <w:rsid w:val="00796E38"/>
    <w:rsid w:val="007973A8"/>
    <w:rsid w:val="007976C9"/>
    <w:rsid w:val="007A1361"/>
    <w:rsid w:val="007A1508"/>
    <w:rsid w:val="007A3495"/>
    <w:rsid w:val="007A5852"/>
    <w:rsid w:val="007A5867"/>
    <w:rsid w:val="007B18DC"/>
    <w:rsid w:val="007B3A11"/>
    <w:rsid w:val="007B456B"/>
    <w:rsid w:val="007B6236"/>
    <w:rsid w:val="007B6481"/>
    <w:rsid w:val="007B7B95"/>
    <w:rsid w:val="007C1776"/>
    <w:rsid w:val="007C1E85"/>
    <w:rsid w:val="007C3B02"/>
    <w:rsid w:val="007C3DD3"/>
    <w:rsid w:val="007C58DC"/>
    <w:rsid w:val="007C6A1D"/>
    <w:rsid w:val="007C73E2"/>
    <w:rsid w:val="007C7949"/>
    <w:rsid w:val="007C7D0C"/>
    <w:rsid w:val="007D01B9"/>
    <w:rsid w:val="007D1F17"/>
    <w:rsid w:val="007D264B"/>
    <w:rsid w:val="007D3315"/>
    <w:rsid w:val="007D3AF2"/>
    <w:rsid w:val="007D3FC1"/>
    <w:rsid w:val="007D5B78"/>
    <w:rsid w:val="007D5C40"/>
    <w:rsid w:val="007D6712"/>
    <w:rsid w:val="007E1660"/>
    <w:rsid w:val="007E1F2F"/>
    <w:rsid w:val="007E55D4"/>
    <w:rsid w:val="007E626C"/>
    <w:rsid w:val="007F0933"/>
    <w:rsid w:val="007F0E4D"/>
    <w:rsid w:val="007F0F03"/>
    <w:rsid w:val="007F1DA8"/>
    <w:rsid w:val="007F2324"/>
    <w:rsid w:val="007F26FE"/>
    <w:rsid w:val="007F27E2"/>
    <w:rsid w:val="007F3D4F"/>
    <w:rsid w:val="007F4D7E"/>
    <w:rsid w:val="007F526C"/>
    <w:rsid w:val="007F5D10"/>
    <w:rsid w:val="007F6C0D"/>
    <w:rsid w:val="00802A47"/>
    <w:rsid w:val="00807F8D"/>
    <w:rsid w:val="00810104"/>
    <w:rsid w:val="00814278"/>
    <w:rsid w:val="00814BC6"/>
    <w:rsid w:val="00815ADA"/>
    <w:rsid w:val="008164E3"/>
    <w:rsid w:val="008177BB"/>
    <w:rsid w:val="008178AB"/>
    <w:rsid w:val="008214FF"/>
    <w:rsid w:val="00821CCC"/>
    <w:rsid w:val="00822364"/>
    <w:rsid w:val="008248AD"/>
    <w:rsid w:val="00825FDB"/>
    <w:rsid w:val="00826F44"/>
    <w:rsid w:val="00827B8F"/>
    <w:rsid w:val="00831939"/>
    <w:rsid w:val="00831E92"/>
    <w:rsid w:val="0083341B"/>
    <w:rsid w:val="008349A5"/>
    <w:rsid w:val="0083551C"/>
    <w:rsid w:val="00835AA0"/>
    <w:rsid w:val="00836848"/>
    <w:rsid w:val="008371AB"/>
    <w:rsid w:val="0083731F"/>
    <w:rsid w:val="0083759D"/>
    <w:rsid w:val="008412D8"/>
    <w:rsid w:val="00845BE7"/>
    <w:rsid w:val="008479DD"/>
    <w:rsid w:val="00847E69"/>
    <w:rsid w:val="008510E3"/>
    <w:rsid w:val="008519E9"/>
    <w:rsid w:val="0085211B"/>
    <w:rsid w:val="0085396B"/>
    <w:rsid w:val="00853C62"/>
    <w:rsid w:val="00855B9A"/>
    <w:rsid w:val="00857332"/>
    <w:rsid w:val="00861F28"/>
    <w:rsid w:val="00864486"/>
    <w:rsid w:val="008644B6"/>
    <w:rsid w:val="008649A2"/>
    <w:rsid w:val="008659A6"/>
    <w:rsid w:val="00871BD7"/>
    <w:rsid w:val="00872F84"/>
    <w:rsid w:val="00873B3F"/>
    <w:rsid w:val="00875616"/>
    <w:rsid w:val="00876191"/>
    <w:rsid w:val="00877C9C"/>
    <w:rsid w:val="00880532"/>
    <w:rsid w:val="00880619"/>
    <w:rsid w:val="00881AE1"/>
    <w:rsid w:val="00883031"/>
    <w:rsid w:val="00884221"/>
    <w:rsid w:val="0088528B"/>
    <w:rsid w:val="00885306"/>
    <w:rsid w:val="0088549B"/>
    <w:rsid w:val="00890736"/>
    <w:rsid w:val="00890EE2"/>
    <w:rsid w:val="00892F27"/>
    <w:rsid w:val="008A2051"/>
    <w:rsid w:val="008A2274"/>
    <w:rsid w:val="008A381D"/>
    <w:rsid w:val="008A48A7"/>
    <w:rsid w:val="008A5ACD"/>
    <w:rsid w:val="008B1F8B"/>
    <w:rsid w:val="008B3560"/>
    <w:rsid w:val="008B691F"/>
    <w:rsid w:val="008B7C75"/>
    <w:rsid w:val="008C01AC"/>
    <w:rsid w:val="008C1725"/>
    <w:rsid w:val="008C6142"/>
    <w:rsid w:val="008C72C8"/>
    <w:rsid w:val="008C7ED2"/>
    <w:rsid w:val="008D0BD9"/>
    <w:rsid w:val="008D7116"/>
    <w:rsid w:val="008E5651"/>
    <w:rsid w:val="008E570F"/>
    <w:rsid w:val="008E5DC7"/>
    <w:rsid w:val="008F23CC"/>
    <w:rsid w:val="008F5103"/>
    <w:rsid w:val="008F6BF3"/>
    <w:rsid w:val="009013D3"/>
    <w:rsid w:val="009018B6"/>
    <w:rsid w:val="00903DD7"/>
    <w:rsid w:val="009043E5"/>
    <w:rsid w:val="0090488D"/>
    <w:rsid w:val="00905622"/>
    <w:rsid w:val="0090664F"/>
    <w:rsid w:val="00907391"/>
    <w:rsid w:val="00907F88"/>
    <w:rsid w:val="009115A8"/>
    <w:rsid w:val="00911A63"/>
    <w:rsid w:val="009131E3"/>
    <w:rsid w:val="009138E0"/>
    <w:rsid w:val="009230AA"/>
    <w:rsid w:val="00923142"/>
    <w:rsid w:val="009238B9"/>
    <w:rsid w:val="009240AC"/>
    <w:rsid w:val="0092517E"/>
    <w:rsid w:val="00925D89"/>
    <w:rsid w:val="009260AC"/>
    <w:rsid w:val="00926261"/>
    <w:rsid w:val="00931E20"/>
    <w:rsid w:val="0093350A"/>
    <w:rsid w:val="00934BBA"/>
    <w:rsid w:val="00934E8D"/>
    <w:rsid w:val="009361A7"/>
    <w:rsid w:val="00937903"/>
    <w:rsid w:val="00942B47"/>
    <w:rsid w:val="00943427"/>
    <w:rsid w:val="009445A6"/>
    <w:rsid w:val="0094504B"/>
    <w:rsid w:val="00945F40"/>
    <w:rsid w:val="00946689"/>
    <w:rsid w:val="00950943"/>
    <w:rsid w:val="00950EB3"/>
    <w:rsid w:val="00954207"/>
    <w:rsid w:val="009565BF"/>
    <w:rsid w:val="0095677C"/>
    <w:rsid w:val="0095681E"/>
    <w:rsid w:val="00956A32"/>
    <w:rsid w:val="00960DFC"/>
    <w:rsid w:val="0096170F"/>
    <w:rsid w:val="00961722"/>
    <w:rsid w:val="009634E0"/>
    <w:rsid w:val="00963B2F"/>
    <w:rsid w:val="00963EB4"/>
    <w:rsid w:val="00966B56"/>
    <w:rsid w:val="00966DDA"/>
    <w:rsid w:val="009679D9"/>
    <w:rsid w:val="0097056E"/>
    <w:rsid w:val="009724AD"/>
    <w:rsid w:val="00975A40"/>
    <w:rsid w:val="00976CD5"/>
    <w:rsid w:val="00976D65"/>
    <w:rsid w:val="0097727F"/>
    <w:rsid w:val="00977E24"/>
    <w:rsid w:val="0098019C"/>
    <w:rsid w:val="0098050D"/>
    <w:rsid w:val="00981ED0"/>
    <w:rsid w:val="009828A0"/>
    <w:rsid w:val="00982AE2"/>
    <w:rsid w:val="0098380A"/>
    <w:rsid w:val="009846B2"/>
    <w:rsid w:val="00985B50"/>
    <w:rsid w:val="009879F7"/>
    <w:rsid w:val="00990D90"/>
    <w:rsid w:val="00991053"/>
    <w:rsid w:val="00991EAD"/>
    <w:rsid w:val="00992E5A"/>
    <w:rsid w:val="00993301"/>
    <w:rsid w:val="00993BC1"/>
    <w:rsid w:val="00994A46"/>
    <w:rsid w:val="0099660D"/>
    <w:rsid w:val="009A1608"/>
    <w:rsid w:val="009A2886"/>
    <w:rsid w:val="009A29D7"/>
    <w:rsid w:val="009A3564"/>
    <w:rsid w:val="009A416E"/>
    <w:rsid w:val="009A5C06"/>
    <w:rsid w:val="009A6B02"/>
    <w:rsid w:val="009A71EB"/>
    <w:rsid w:val="009A728D"/>
    <w:rsid w:val="009B1627"/>
    <w:rsid w:val="009B1850"/>
    <w:rsid w:val="009B2F55"/>
    <w:rsid w:val="009B3072"/>
    <w:rsid w:val="009B3217"/>
    <w:rsid w:val="009B5237"/>
    <w:rsid w:val="009B523B"/>
    <w:rsid w:val="009B560E"/>
    <w:rsid w:val="009B6D6F"/>
    <w:rsid w:val="009B732F"/>
    <w:rsid w:val="009C03D2"/>
    <w:rsid w:val="009C0D6A"/>
    <w:rsid w:val="009C122F"/>
    <w:rsid w:val="009C264B"/>
    <w:rsid w:val="009C3DBA"/>
    <w:rsid w:val="009C4A34"/>
    <w:rsid w:val="009D0F9D"/>
    <w:rsid w:val="009D149F"/>
    <w:rsid w:val="009D213E"/>
    <w:rsid w:val="009D35C8"/>
    <w:rsid w:val="009D3D8F"/>
    <w:rsid w:val="009D6D58"/>
    <w:rsid w:val="009E254D"/>
    <w:rsid w:val="009E27F6"/>
    <w:rsid w:val="009E32C5"/>
    <w:rsid w:val="009E3477"/>
    <w:rsid w:val="009E364B"/>
    <w:rsid w:val="009E395F"/>
    <w:rsid w:val="009E47DE"/>
    <w:rsid w:val="009E4EB8"/>
    <w:rsid w:val="009E6139"/>
    <w:rsid w:val="009F0E2F"/>
    <w:rsid w:val="009F1C6A"/>
    <w:rsid w:val="009F294F"/>
    <w:rsid w:val="009F3028"/>
    <w:rsid w:val="009F3A7B"/>
    <w:rsid w:val="009F4379"/>
    <w:rsid w:val="009F4E33"/>
    <w:rsid w:val="00A01622"/>
    <w:rsid w:val="00A01EE0"/>
    <w:rsid w:val="00A02C77"/>
    <w:rsid w:val="00A04D24"/>
    <w:rsid w:val="00A06EA7"/>
    <w:rsid w:val="00A077D7"/>
    <w:rsid w:val="00A12C91"/>
    <w:rsid w:val="00A15878"/>
    <w:rsid w:val="00A1606F"/>
    <w:rsid w:val="00A17865"/>
    <w:rsid w:val="00A17A7D"/>
    <w:rsid w:val="00A17D84"/>
    <w:rsid w:val="00A2011B"/>
    <w:rsid w:val="00A20A88"/>
    <w:rsid w:val="00A20B36"/>
    <w:rsid w:val="00A223EE"/>
    <w:rsid w:val="00A241F8"/>
    <w:rsid w:val="00A24217"/>
    <w:rsid w:val="00A24725"/>
    <w:rsid w:val="00A24A6F"/>
    <w:rsid w:val="00A271E0"/>
    <w:rsid w:val="00A27D30"/>
    <w:rsid w:val="00A30D08"/>
    <w:rsid w:val="00A30F98"/>
    <w:rsid w:val="00A32131"/>
    <w:rsid w:val="00A33316"/>
    <w:rsid w:val="00A338FC"/>
    <w:rsid w:val="00A35060"/>
    <w:rsid w:val="00A35B7A"/>
    <w:rsid w:val="00A40348"/>
    <w:rsid w:val="00A40514"/>
    <w:rsid w:val="00A40A72"/>
    <w:rsid w:val="00A41573"/>
    <w:rsid w:val="00A42576"/>
    <w:rsid w:val="00A438C3"/>
    <w:rsid w:val="00A43BBD"/>
    <w:rsid w:val="00A462FE"/>
    <w:rsid w:val="00A469A7"/>
    <w:rsid w:val="00A5203D"/>
    <w:rsid w:val="00A55280"/>
    <w:rsid w:val="00A55864"/>
    <w:rsid w:val="00A60299"/>
    <w:rsid w:val="00A60D66"/>
    <w:rsid w:val="00A62C42"/>
    <w:rsid w:val="00A6593C"/>
    <w:rsid w:val="00A66594"/>
    <w:rsid w:val="00A66739"/>
    <w:rsid w:val="00A66F9F"/>
    <w:rsid w:val="00A70513"/>
    <w:rsid w:val="00A70888"/>
    <w:rsid w:val="00A7216E"/>
    <w:rsid w:val="00A72731"/>
    <w:rsid w:val="00A75235"/>
    <w:rsid w:val="00A76284"/>
    <w:rsid w:val="00A767DA"/>
    <w:rsid w:val="00A7794E"/>
    <w:rsid w:val="00A77C99"/>
    <w:rsid w:val="00A77D24"/>
    <w:rsid w:val="00A8373B"/>
    <w:rsid w:val="00A83A9E"/>
    <w:rsid w:val="00A848AE"/>
    <w:rsid w:val="00A849F1"/>
    <w:rsid w:val="00A877F4"/>
    <w:rsid w:val="00A93D26"/>
    <w:rsid w:val="00A94AAA"/>
    <w:rsid w:val="00A959CE"/>
    <w:rsid w:val="00A97CD6"/>
    <w:rsid w:val="00AA51C8"/>
    <w:rsid w:val="00AA5DEB"/>
    <w:rsid w:val="00AA60A0"/>
    <w:rsid w:val="00AA6A96"/>
    <w:rsid w:val="00AA6D9D"/>
    <w:rsid w:val="00AB1927"/>
    <w:rsid w:val="00AB284A"/>
    <w:rsid w:val="00AB2EC9"/>
    <w:rsid w:val="00AB5BF1"/>
    <w:rsid w:val="00AC0AD3"/>
    <w:rsid w:val="00AC0FB6"/>
    <w:rsid w:val="00AC10FB"/>
    <w:rsid w:val="00AC2251"/>
    <w:rsid w:val="00AC5A8E"/>
    <w:rsid w:val="00AC6923"/>
    <w:rsid w:val="00AD08C7"/>
    <w:rsid w:val="00AD335E"/>
    <w:rsid w:val="00AD3C8E"/>
    <w:rsid w:val="00AD49D2"/>
    <w:rsid w:val="00AD4C44"/>
    <w:rsid w:val="00AD5623"/>
    <w:rsid w:val="00AD75AB"/>
    <w:rsid w:val="00AD774A"/>
    <w:rsid w:val="00AE054B"/>
    <w:rsid w:val="00AE2FC1"/>
    <w:rsid w:val="00AE3702"/>
    <w:rsid w:val="00AE4B8E"/>
    <w:rsid w:val="00AE5652"/>
    <w:rsid w:val="00AE634A"/>
    <w:rsid w:val="00AE6766"/>
    <w:rsid w:val="00AE6B36"/>
    <w:rsid w:val="00AE7EF8"/>
    <w:rsid w:val="00AF3455"/>
    <w:rsid w:val="00AF41A7"/>
    <w:rsid w:val="00AF4382"/>
    <w:rsid w:val="00AF5364"/>
    <w:rsid w:val="00B008E4"/>
    <w:rsid w:val="00B0204B"/>
    <w:rsid w:val="00B02348"/>
    <w:rsid w:val="00B0270A"/>
    <w:rsid w:val="00B0446D"/>
    <w:rsid w:val="00B04C03"/>
    <w:rsid w:val="00B07EA5"/>
    <w:rsid w:val="00B1012B"/>
    <w:rsid w:val="00B1065E"/>
    <w:rsid w:val="00B13F3A"/>
    <w:rsid w:val="00B1699E"/>
    <w:rsid w:val="00B16F50"/>
    <w:rsid w:val="00B17041"/>
    <w:rsid w:val="00B21415"/>
    <w:rsid w:val="00B22338"/>
    <w:rsid w:val="00B223F8"/>
    <w:rsid w:val="00B22B39"/>
    <w:rsid w:val="00B24FDE"/>
    <w:rsid w:val="00B277BB"/>
    <w:rsid w:val="00B27BC4"/>
    <w:rsid w:val="00B3553C"/>
    <w:rsid w:val="00B36680"/>
    <w:rsid w:val="00B37CA9"/>
    <w:rsid w:val="00B40E5C"/>
    <w:rsid w:val="00B40EB7"/>
    <w:rsid w:val="00B427D2"/>
    <w:rsid w:val="00B43334"/>
    <w:rsid w:val="00B44920"/>
    <w:rsid w:val="00B44E01"/>
    <w:rsid w:val="00B4573F"/>
    <w:rsid w:val="00B50B4A"/>
    <w:rsid w:val="00B51595"/>
    <w:rsid w:val="00B518C6"/>
    <w:rsid w:val="00B5204C"/>
    <w:rsid w:val="00B52252"/>
    <w:rsid w:val="00B5237D"/>
    <w:rsid w:val="00B547FA"/>
    <w:rsid w:val="00B549F0"/>
    <w:rsid w:val="00B54F6C"/>
    <w:rsid w:val="00B5613B"/>
    <w:rsid w:val="00B57E84"/>
    <w:rsid w:val="00B601F8"/>
    <w:rsid w:val="00B61FA0"/>
    <w:rsid w:val="00B62D3A"/>
    <w:rsid w:val="00B62E8D"/>
    <w:rsid w:val="00B63474"/>
    <w:rsid w:val="00B64E29"/>
    <w:rsid w:val="00B6582A"/>
    <w:rsid w:val="00B70059"/>
    <w:rsid w:val="00B7110A"/>
    <w:rsid w:val="00B72DF8"/>
    <w:rsid w:val="00B76B57"/>
    <w:rsid w:val="00B77755"/>
    <w:rsid w:val="00B8020D"/>
    <w:rsid w:val="00B81A2B"/>
    <w:rsid w:val="00B82017"/>
    <w:rsid w:val="00B822E8"/>
    <w:rsid w:val="00B844E9"/>
    <w:rsid w:val="00B848EC"/>
    <w:rsid w:val="00B87EE3"/>
    <w:rsid w:val="00B9298A"/>
    <w:rsid w:val="00B93103"/>
    <w:rsid w:val="00B93941"/>
    <w:rsid w:val="00B953B9"/>
    <w:rsid w:val="00B95B39"/>
    <w:rsid w:val="00B95C4D"/>
    <w:rsid w:val="00B96BF6"/>
    <w:rsid w:val="00BA1144"/>
    <w:rsid w:val="00BA499B"/>
    <w:rsid w:val="00BA7D84"/>
    <w:rsid w:val="00BB01FC"/>
    <w:rsid w:val="00BB0F3A"/>
    <w:rsid w:val="00BB2041"/>
    <w:rsid w:val="00BB2B20"/>
    <w:rsid w:val="00BB412E"/>
    <w:rsid w:val="00BB588D"/>
    <w:rsid w:val="00BC04B4"/>
    <w:rsid w:val="00BC1AD6"/>
    <w:rsid w:val="00BC30B9"/>
    <w:rsid w:val="00BC4206"/>
    <w:rsid w:val="00BC6127"/>
    <w:rsid w:val="00BC7C2F"/>
    <w:rsid w:val="00BC7F33"/>
    <w:rsid w:val="00BD132A"/>
    <w:rsid w:val="00BD17C1"/>
    <w:rsid w:val="00BD41B3"/>
    <w:rsid w:val="00BD51E2"/>
    <w:rsid w:val="00BD6B29"/>
    <w:rsid w:val="00BE0C22"/>
    <w:rsid w:val="00BE1D32"/>
    <w:rsid w:val="00BE28DE"/>
    <w:rsid w:val="00BE4DC6"/>
    <w:rsid w:val="00BE7B15"/>
    <w:rsid w:val="00BF06CF"/>
    <w:rsid w:val="00BF0D9A"/>
    <w:rsid w:val="00BF1ED2"/>
    <w:rsid w:val="00BF28F1"/>
    <w:rsid w:val="00BF2953"/>
    <w:rsid w:val="00BF4072"/>
    <w:rsid w:val="00BF4FF7"/>
    <w:rsid w:val="00C00FE0"/>
    <w:rsid w:val="00C0256C"/>
    <w:rsid w:val="00C02C77"/>
    <w:rsid w:val="00C03B38"/>
    <w:rsid w:val="00C04569"/>
    <w:rsid w:val="00C04651"/>
    <w:rsid w:val="00C0650E"/>
    <w:rsid w:val="00C06534"/>
    <w:rsid w:val="00C131D1"/>
    <w:rsid w:val="00C1484B"/>
    <w:rsid w:val="00C15D2C"/>
    <w:rsid w:val="00C168CD"/>
    <w:rsid w:val="00C1783D"/>
    <w:rsid w:val="00C2051E"/>
    <w:rsid w:val="00C20695"/>
    <w:rsid w:val="00C220B1"/>
    <w:rsid w:val="00C2379B"/>
    <w:rsid w:val="00C244D7"/>
    <w:rsid w:val="00C31899"/>
    <w:rsid w:val="00C32D96"/>
    <w:rsid w:val="00C3381F"/>
    <w:rsid w:val="00C35C5C"/>
    <w:rsid w:val="00C36BCF"/>
    <w:rsid w:val="00C37303"/>
    <w:rsid w:val="00C3766C"/>
    <w:rsid w:val="00C37CB8"/>
    <w:rsid w:val="00C4082A"/>
    <w:rsid w:val="00C410A2"/>
    <w:rsid w:val="00C41B5A"/>
    <w:rsid w:val="00C4363A"/>
    <w:rsid w:val="00C457D7"/>
    <w:rsid w:val="00C46287"/>
    <w:rsid w:val="00C47987"/>
    <w:rsid w:val="00C51617"/>
    <w:rsid w:val="00C5416D"/>
    <w:rsid w:val="00C54613"/>
    <w:rsid w:val="00C563EE"/>
    <w:rsid w:val="00C579A2"/>
    <w:rsid w:val="00C61484"/>
    <w:rsid w:val="00C62B02"/>
    <w:rsid w:val="00C6313F"/>
    <w:rsid w:val="00C710C2"/>
    <w:rsid w:val="00C7163B"/>
    <w:rsid w:val="00C71947"/>
    <w:rsid w:val="00C723B5"/>
    <w:rsid w:val="00C72C8D"/>
    <w:rsid w:val="00C73FC8"/>
    <w:rsid w:val="00C75850"/>
    <w:rsid w:val="00C76249"/>
    <w:rsid w:val="00C76FF7"/>
    <w:rsid w:val="00C779BB"/>
    <w:rsid w:val="00C8030B"/>
    <w:rsid w:val="00C80396"/>
    <w:rsid w:val="00C8072F"/>
    <w:rsid w:val="00C81A83"/>
    <w:rsid w:val="00C81E71"/>
    <w:rsid w:val="00C8498E"/>
    <w:rsid w:val="00C87C6E"/>
    <w:rsid w:val="00C90BBB"/>
    <w:rsid w:val="00C943A5"/>
    <w:rsid w:val="00C95158"/>
    <w:rsid w:val="00C95CCF"/>
    <w:rsid w:val="00C95E31"/>
    <w:rsid w:val="00CA272D"/>
    <w:rsid w:val="00CA2CA0"/>
    <w:rsid w:val="00CA3545"/>
    <w:rsid w:val="00CA3766"/>
    <w:rsid w:val="00CA618C"/>
    <w:rsid w:val="00CA6652"/>
    <w:rsid w:val="00CB0338"/>
    <w:rsid w:val="00CB121F"/>
    <w:rsid w:val="00CB2029"/>
    <w:rsid w:val="00CB2B91"/>
    <w:rsid w:val="00CB305C"/>
    <w:rsid w:val="00CB4A52"/>
    <w:rsid w:val="00CB50FF"/>
    <w:rsid w:val="00CB6CB3"/>
    <w:rsid w:val="00CC1A66"/>
    <w:rsid w:val="00CC344C"/>
    <w:rsid w:val="00CC3AF0"/>
    <w:rsid w:val="00CC3D39"/>
    <w:rsid w:val="00CC549D"/>
    <w:rsid w:val="00CC6794"/>
    <w:rsid w:val="00CC6C18"/>
    <w:rsid w:val="00CD3D39"/>
    <w:rsid w:val="00CD5590"/>
    <w:rsid w:val="00CD607F"/>
    <w:rsid w:val="00CD66F4"/>
    <w:rsid w:val="00CD67E2"/>
    <w:rsid w:val="00CE0F17"/>
    <w:rsid w:val="00CE1D03"/>
    <w:rsid w:val="00CE2887"/>
    <w:rsid w:val="00CE44CD"/>
    <w:rsid w:val="00CE64D9"/>
    <w:rsid w:val="00CE6D6B"/>
    <w:rsid w:val="00CF1DFA"/>
    <w:rsid w:val="00CF2473"/>
    <w:rsid w:val="00CF29A5"/>
    <w:rsid w:val="00CF4562"/>
    <w:rsid w:val="00CF523C"/>
    <w:rsid w:val="00CF5FFE"/>
    <w:rsid w:val="00CF74D0"/>
    <w:rsid w:val="00D02BD6"/>
    <w:rsid w:val="00D04A86"/>
    <w:rsid w:val="00D06133"/>
    <w:rsid w:val="00D06BA9"/>
    <w:rsid w:val="00D07BAE"/>
    <w:rsid w:val="00D11785"/>
    <w:rsid w:val="00D1190D"/>
    <w:rsid w:val="00D1409F"/>
    <w:rsid w:val="00D14347"/>
    <w:rsid w:val="00D17305"/>
    <w:rsid w:val="00D17D15"/>
    <w:rsid w:val="00D20BDC"/>
    <w:rsid w:val="00D20F7A"/>
    <w:rsid w:val="00D213C5"/>
    <w:rsid w:val="00D23308"/>
    <w:rsid w:val="00D24B15"/>
    <w:rsid w:val="00D25C98"/>
    <w:rsid w:val="00D31752"/>
    <w:rsid w:val="00D3184C"/>
    <w:rsid w:val="00D318F8"/>
    <w:rsid w:val="00D31C94"/>
    <w:rsid w:val="00D33437"/>
    <w:rsid w:val="00D345C4"/>
    <w:rsid w:val="00D4395B"/>
    <w:rsid w:val="00D505E5"/>
    <w:rsid w:val="00D507AE"/>
    <w:rsid w:val="00D50DF1"/>
    <w:rsid w:val="00D51944"/>
    <w:rsid w:val="00D51A68"/>
    <w:rsid w:val="00D53F77"/>
    <w:rsid w:val="00D542DD"/>
    <w:rsid w:val="00D54404"/>
    <w:rsid w:val="00D54491"/>
    <w:rsid w:val="00D561C4"/>
    <w:rsid w:val="00D57262"/>
    <w:rsid w:val="00D57ACA"/>
    <w:rsid w:val="00D57C3A"/>
    <w:rsid w:val="00D627C1"/>
    <w:rsid w:val="00D62DB1"/>
    <w:rsid w:val="00D63790"/>
    <w:rsid w:val="00D66F33"/>
    <w:rsid w:val="00D70B43"/>
    <w:rsid w:val="00D73BBC"/>
    <w:rsid w:val="00D741AA"/>
    <w:rsid w:val="00D77499"/>
    <w:rsid w:val="00D800A3"/>
    <w:rsid w:val="00D84785"/>
    <w:rsid w:val="00D84D01"/>
    <w:rsid w:val="00D91ADB"/>
    <w:rsid w:val="00D9371D"/>
    <w:rsid w:val="00D9412E"/>
    <w:rsid w:val="00D94CBB"/>
    <w:rsid w:val="00D95935"/>
    <w:rsid w:val="00D960A0"/>
    <w:rsid w:val="00D9629C"/>
    <w:rsid w:val="00D962C9"/>
    <w:rsid w:val="00D97036"/>
    <w:rsid w:val="00DA0557"/>
    <w:rsid w:val="00DA32EE"/>
    <w:rsid w:val="00DA3DA5"/>
    <w:rsid w:val="00DA4B4D"/>
    <w:rsid w:val="00DA5610"/>
    <w:rsid w:val="00DA789E"/>
    <w:rsid w:val="00DB146A"/>
    <w:rsid w:val="00DB1E40"/>
    <w:rsid w:val="00DB2AC3"/>
    <w:rsid w:val="00DB3356"/>
    <w:rsid w:val="00DB4E6E"/>
    <w:rsid w:val="00DB6EC6"/>
    <w:rsid w:val="00DC2760"/>
    <w:rsid w:val="00DC32DC"/>
    <w:rsid w:val="00DC3531"/>
    <w:rsid w:val="00DC3CE7"/>
    <w:rsid w:val="00DC4570"/>
    <w:rsid w:val="00DC663D"/>
    <w:rsid w:val="00DC7D71"/>
    <w:rsid w:val="00DD0D29"/>
    <w:rsid w:val="00DD15D7"/>
    <w:rsid w:val="00DD1728"/>
    <w:rsid w:val="00DD1D16"/>
    <w:rsid w:val="00DD2190"/>
    <w:rsid w:val="00DD33A9"/>
    <w:rsid w:val="00DD4339"/>
    <w:rsid w:val="00DD445E"/>
    <w:rsid w:val="00DD6D5F"/>
    <w:rsid w:val="00DE1A05"/>
    <w:rsid w:val="00DE2944"/>
    <w:rsid w:val="00DE330F"/>
    <w:rsid w:val="00DE46D5"/>
    <w:rsid w:val="00DE5219"/>
    <w:rsid w:val="00DE52A0"/>
    <w:rsid w:val="00DE5D2D"/>
    <w:rsid w:val="00DE676F"/>
    <w:rsid w:val="00DE6E31"/>
    <w:rsid w:val="00DE77F8"/>
    <w:rsid w:val="00DF3332"/>
    <w:rsid w:val="00DF477E"/>
    <w:rsid w:val="00DF4FC4"/>
    <w:rsid w:val="00DF7904"/>
    <w:rsid w:val="00DF7F9D"/>
    <w:rsid w:val="00E024CC"/>
    <w:rsid w:val="00E02D43"/>
    <w:rsid w:val="00E02DDB"/>
    <w:rsid w:val="00E02E83"/>
    <w:rsid w:val="00E03ED5"/>
    <w:rsid w:val="00E0568E"/>
    <w:rsid w:val="00E106CF"/>
    <w:rsid w:val="00E10937"/>
    <w:rsid w:val="00E11F8E"/>
    <w:rsid w:val="00E1285C"/>
    <w:rsid w:val="00E12E81"/>
    <w:rsid w:val="00E13A2B"/>
    <w:rsid w:val="00E14B68"/>
    <w:rsid w:val="00E14FC5"/>
    <w:rsid w:val="00E1759D"/>
    <w:rsid w:val="00E17713"/>
    <w:rsid w:val="00E2373D"/>
    <w:rsid w:val="00E25ABF"/>
    <w:rsid w:val="00E301C4"/>
    <w:rsid w:val="00E3140D"/>
    <w:rsid w:val="00E3760C"/>
    <w:rsid w:val="00E4045A"/>
    <w:rsid w:val="00E41E38"/>
    <w:rsid w:val="00E434A9"/>
    <w:rsid w:val="00E47398"/>
    <w:rsid w:val="00E51B4D"/>
    <w:rsid w:val="00E52F36"/>
    <w:rsid w:val="00E5758E"/>
    <w:rsid w:val="00E57632"/>
    <w:rsid w:val="00E57869"/>
    <w:rsid w:val="00E579E0"/>
    <w:rsid w:val="00E61FA9"/>
    <w:rsid w:val="00E64BE0"/>
    <w:rsid w:val="00E66897"/>
    <w:rsid w:val="00E7089B"/>
    <w:rsid w:val="00E71311"/>
    <w:rsid w:val="00E72994"/>
    <w:rsid w:val="00E731B9"/>
    <w:rsid w:val="00E7496C"/>
    <w:rsid w:val="00E77C9B"/>
    <w:rsid w:val="00E77D9A"/>
    <w:rsid w:val="00E8118F"/>
    <w:rsid w:val="00E816B4"/>
    <w:rsid w:val="00E848DF"/>
    <w:rsid w:val="00E85D0E"/>
    <w:rsid w:val="00E9138D"/>
    <w:rsid w:val="00E914D4"/>
    <w:rsid w:val="00E915EB"/>
    <w:rsid w:val="00E93A86"/>
    <w:rsid w:val="00E960B2"/>
    <w:rsid w:val="00E96F0B"/>
    <w:rsid w:val="00EA0DEB"/>
    <w:rsid w:val="00EA2B11"/>
    <w:rsid w:val="00EA2C7B"/>
    <w:rsid w:val="00EA2E2B"/>
    <w:rsid w:val="00EA3E1A"/>
    <w:rsid w:val="00EA43E9"/>
    <w:rsid w:val="00EB2DE0"/>
    <w:rsid w:val="00EB2FF2"/>
    <w:rsid w:val="00EB306B"/>
    <w:rsid w:val="00EB7037"/>
    <w:rsid w:val="00EC0180"/>
    <w:rsid w:val="00EC028A"/>
    <w:rsid w:val="00EC24A5"/>
    <w:rsid w:val="00EC26FF"/>
    <w:rsid w:val="00EC2B6C"/>
    <w:rsid w:val="00EC50E2"/>
    <w:rsid w:val="00EC7AA8"/>
    <w:rsid w:val="00EC7DC8"/>
    <w:rsid w:val="00ED3058"/>
    <w:rsid w:val="00ED5913"/>
    <w:rsid w:val="00ED60B4"/>
    <w:rsid w:val="00EE2C5F"/>
    <w:rsid w:val="00EE4C4B"/>
    <w:rsid w:val="00EE6A1D"/>
    <w:rsid w:val="00EF00F0"/>
    <w:rsid w:val="00EF0D39"/>
    <w:rsid w:val="00EF26E6"/>
    <w:rsid w:val="00EF33CF"/>
    <w:rsid w:val="00EF463A"/>
    <w:rsid w:val="00EF4F33"/>
    <w:rsid w:val="00EF61CE"/>
    <w:rsid w:val="00EF67AD"/>
    <w:rsid w:val="00F010F4"/>
    <w:rsid w:val="00F01905"/>
    <w:rsid w:val="00F01B9B"/>
    <w:rsid w:val="00F05D8C"/>
    <w:rsid w:val="00F1241F"/>
    <w:rsid w:val="00F13140"/>
    <w:rsid w:val="00F1318C"/>
    <w:rsid w:val="00F15B9F"/>
    <w:rsid w:val="00F230A0"/>
    <w:rsid w:val="00F244D0"/>
    <w:rsid w:val="00F258FD"/>
    <w:rsid w:val="00F25DE9"/>
    <w:rsid w:val="00F26B66"/>
    <w:rsid w:val="00F270CB"/>
    <w:rsid w:val="00F301F3"/>
    <w:rsid w:val="00F3040C"/>
    <w:rsid w:val="00F31825"/>
    <w:rsid w:val="00F31FE2"/>
    <w:rsid w:val="00F323D7"/>
    <w:rsid w:val="00F329B0"/>
    <w:rsid w:val="00F35A18"/>
    <w:rsid w:val="00F37DEA"/>
    <w:rsid w:val="00F418F8"/>
    <w:rsid w:val="00F43A3E"/>
    <w:rsid w:val="00F4486C"/>
    <w:rsid w:val="00F4667E"/>
    <w:rsid w:val="00F47949"/>
    <w:rsid w:val="00F50CAD"/>
    <w:rsid w:val="00F510F5"/>
    <w:rsid w:val="00F5179F"/>
    <w:rsid w:val="00F51EC7"/>
    <w:rsid w:val="00F5290C"/>
    <w:rsid w:val="00F539A6"/>
    <w:rsid w:val="00F53BF1"/>
    <w:rsid w:val="00F54880"/>
    <w:rsid w:val="00F559A6"/>
    <w:rsid w:val="00F5688D"/>
    <w:rsid w:val="00F57111"/>
    <w:rsid w:val="00F5727F"/>
    <w:rsid w:val="00F636D9"/>
    <w:rsid w:val="00F6423C"/>
    <w:rsid w:val="00F65176"/>
    <w:rsid w:val="00F66005"/>
    <w:rsid w:val="00F726E7"/>
    <w:rsid w:val="00F730D6"/>
    <w:rsid w:val="00F75DD7"/>
    <w:rsid w:val="00F76613"/>
    <w:rsid w:val="00F76CCD"/>
    <w:rsid w:val="00F80138"/>
    <w:rsid w:val="00F819C8"/>
    <w:rsid w:val="00F82256"/>
    <w:rsid w:val="00F82384"/>
    <w:rsid w:val="00F82661"/>
    <w:rsid w:val="00F826EA"/>
    <w:rsid w:val="00F826EB"/>
    <w:rsid w:val="00F83382"/>
    <w:rsid w:val="00F84198"/>
    <w:rsid w:val="00F84CC6"/>
    <w:rsid w:val="00F84E76"/>
    <w:rsid w:val="00F8534F"/>
    <w:rsid w:val="00F85B6C"/>
    <w:rsid w:val="00F86CCF"/>
    <w:rsid w:val="00F8773F"/>
    <w:rsid w:val="00F901AF"/>
    <w:rsid w:val="00F90B08"/>
    <w:rsid w:val="00F9139C"/>
    <w:rsid w:val="00F92156"/>
    <w:rsid w:val="00F93E57"/>
    <w:rsid w:val="00F951B7"/>
    <w:rsid w:val="00F9556D"/>
    <w:rsid w:val="00FA0E72"/>
    <w:rsid w:val="00FA1D5E"/>
    <w:rsid w:val="00FA4C67"/>
    <w:rsid w:val="00FA63E3"/>
    <w:rsid w:val="00FA716F"/>
    <w:rsid w:val="00FB403B"/>
    <w:rsid w:val="00FB4732"/>
    <w:rsid w:val="00FB4C8D"/>
    <w:rsid w:val="00FB72C2"/>
    <w:rsid w:val="00FC1974"/>
    <w:rsid w:val="00FC1BC7"/>
    <w:rsid w:val="00FC2125"/>
    <w:rsid w:val="00FC359E"/>
    <w:rsid w:val="00FD10BD"/>
    <w:rsid w:val="00FD24A0"/>
    <w:rsid w:val="00FD2E43"/>
    <w:rsid w:val="00FD46D9"/>
    <w:rsid w:val="00FD6AAB"/>
    <w:rsid w:val="00FD73B3"/>
    <w:rsid w:val="00FE2486"/>
    <w:rsid w:val="00FE441A"/>
    <w:rsid w:val="00FE4A91"/>
    <w:rsid w:val="00FE5BD6"/>
    <w:rsid w:val="00FE6DDC"/>
    <w:rsid w:val="00FE6E9E"/>
    <w:rsid w:val="00FE70D1"/>
    <w:rsid w:val="00FE7841"/>
    <w:rsid w:val="00FF0643"/>
    <w:rsid w:val="00FF295C"/>
    <w:rsid w:val="00FF36E2"/>
    <w:rsid w:val="00FF5A88"/>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DA80EE1"/>
  <w15:chartTrackingRefBased/>
  <w15:docId w15:val="{47CFEEA4-38C9-479D-8993-E4A82640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qFormat/>
    <w:rsid w:val="009A2886"/>
    <w:pPr>
      <w:keepNext/>
      <w:spacing w:before="240" w:after="60"/>
      <w:outlineLvl w:val="2"/>
    </w:pPr>
    <w:rPr>
      <w:rFonts w:ascii="Calibri Light" w:hAnsi="Calibri Light"/>
      <w:b/>
      <w:bCs/>
      <w:sz w:val="26"/>
      <w:szCs w:val="26"/>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6">
    <w:name w:val="heading 6"/>
    <w:basedOn w:val="Normal"/>
    <w:next w:val="Normal"/>
    <w:link w:val="Ttulo6Car"/>
    <w:qFormat/>
    <w:rsid w:val="00E915EB"/>
    <w:pPr>
      <w:spacing w:before="240" w:after="60"/>
      <w:outlineLvl w:val="5"/>
    </w:pPr>
    <w:rPr>
      <w:rFonts w:ascii="Calibri" w:hAnsi="Calibri"/>
      <w:b/>
      <w:bCs/>
      <w:sz w:val="22"/>
      <w:szCs w:val="22"/>
    </w:rPr>
  </w:style>
  <w:style w:type="paragraph" w:styleId="Ttulo8">
    <w:name w:val="heading 8"/>
    <w:basedOn w:val="Normal"/>
    <w:next w:val="Normal"/>
    <w:link w:val="Ttulo8Car"/>
    <w:qFormat/>
    <w:rsid w:val="003F0713"/>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
    <w:name w:val="Puesto"/>
    <w:basedOn w:val="Normal"/>
    <w:link w:val="Puest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7238D2"/>
    <w:rPr>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qFormat/>
    <w:rsid w:val="007238D2"/>
    <w:rPr>
      <w:vertAlign w:val="superscript"/>
    </w:rPr>
  </w:style>
  <w:style w:type="table" w:styleId="Tablaconcuadrcula">
    <w:name w:val="Table Grid"/>
    <w:basedOn w:val="Tablanormal"/>
    <w:rsid w:val="0086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link w:val="Ttulo8"/>
    <w:semiHidden/>
    <w:rsid w:val="003F0713"/>
    <w:rPr>
      <w:rFonts w:ascii="Calibri" w:eastAsia="Times New Roman" w:hAnsi="Calibri" w:cs="Times New Roman"/>
      <w:i/>
      <w:iCs/>
      <w:sz w:val="24"/>
      <w:szCs w:val="24"/>
      <w:lang w:val="es-ES" w:eastAsia="es-ES"/>
    </w:rPr>
  </w:style>
  <w:style w:type="character" w:customStyle="1" w:styleId="Ttulo3Car">
    <w:name w:val="Título 3 Car"/>
    <w:link w:val="Ttulo3"/>
    <w:semiHidden/>
    <w:rsid w:val="009A2886"/>
    <w:rPr>
      <w:rFonts w:ascii="Calibri Light" w:eastAsia="Times New Roman" w:hAnsi="Calibri Light" w:cs="Times New Roman"/>
      <w:b/>
      <w:bCs/>
      <w:sz w:val="26"/>
      <w:szCs w:val="26"/>
      <w:lang w:val="es-ES" w:eastAsia="es-ES"/>
    </w:rPr>
  </w:style>
  <w:style w:type="paragraph" w:customStyle="1" w:styleId="Textoindependiente210">
    <w:name w:val="Texto independiente 21"/>
    <w:basedOn w:val="Normal"/>
    <w:rsid w:val="004562F2"/>
    <w:pPr>
      <w:overflowPunct w:val="0"/>
      <w:autoSpaceDE w:val="0"/>
      <w:autoSpaceDN w:val="0"/>
      <w:adjustRightInd w:val="0"/>
      <w:spacing w:after="220" w:line="360" w:lineRule="auto"/>
      <w:ind w:firstLine="708"/>
      <w:jc w:val="both"/>
    </w:pPr>
    <w:rPr>
      <w:rFonts w:ascii="Century Gothic" w:hAnsi="Century Gothic"/>
      <w:sz w:val="22"/>
      <w:szCs w:val="20"/>
      <w:lang w:val="es-ES_tradnl"/>
    </w:rPr>
  </w:style>
  <w:style w:type="paragraph" w:customStyle="1" w:styleId="Cuadrculamedia21">
    <w:name w:val="Cuadrícula media 21"/>
    <w:uiPriority w:val="1"/>
    <w:qFormat/>
    <w:rsid w:val="004562F2"/>
    <w:rPr>
      <w:rFonts w:ascii="Calibri" w:eastAsia="Calibri" w:hAnsi="Calibri"/>
      <w:sz w:val="22"/>
      <w:szCs w:val="22"/>
      <w:lang w:val="es-CO"/>
    </w:rPr>
  </w:style>
  <w:style w:type="paragraph" w:customStyle="1" w:styleId="Listavistosa-nfasis11">
    <w:name w:val="Lista vistosa - Énfasis 11"/>
    <w:basedOn w:val="Normal"/>
    <w:uiPriority w:val="34"/>
    <w:qFormat/>
    <w:rsid w:val="004562F2"/>
    <w:pPr>
      <w:spacing w:after="160" w:line="259" w:lineRule="auto"/>
      <w:ind w:left="708"/>
    </w:pPr>
    <w:rPr>
      <w:rFonts w:ascii="Calibri" w:eastAsia="Calibri" w:hAnsi="Calibri"/>
      <w:sz w:val="22"/>
      <w:szCs w:val="22"/>
      <w:lang w:eastAsia="en-US"/>
    </w:rPr>
  </w:style>
  <w:style w:type="character" w:customStyle="1" w:styleId="PiedepginaCar">
    <w:name w:val="Pie de página Car"/>
    <w:link w:val="Piedepgina"/>
    <w:uiPriority w:val="99"/>
    <w:rsid w:val="004562F2"/>
    <w:rPr>
      <w:sz w:val="24"/>
      <w:szCs w:val="24"/>
      <w:lang w:val="es-ES" w:eastAsia="es-ES"/>
    </w:rPr>
  </w:style>
  <w:style w:type="character" w:customStyle="1" w:styleId="EncabezadoCar">
    <w:name w:val="Encabezado Car"/>
    <w:link w:val="Encabezado"/>
    <w:rsid w:val="00120E2F"/>
    <w:rPr>
      <w:rFonts w:ascii="Arial" w:hAnsi="Arial"/>
      <w:b/>
      <w:i/>
      <w:snapToGrid w:val="0"/>
      <w:sz w:val="28"/>
      <w:lang w:val="es-ES_tradnl" w:eastAsia="es-ES"/>
    </w:rPr>
  </w:style>
  <w:style w:type="character" w:customStyle="1" w:styleId="Ttulo1Car">
    <w:name w:val="Título 1 Car"/>
    <w:link w:val="Ttulo1"/>
    <w:rsid w:val="00C3766C"/>
    <w:rPr>
      <w:rFonts w:ascii="Arial" w:hAnsi="Arial" w:cs="Arial"/>
      <w:b/>
      <w:bCs/>
      <w:sz w:val="24"/>
      <w:szCs w:val="24"/>
      <w:lang w:eastAsia="es-ES"/>
    </w:rPr>
  </w:style>
  <w:style w:type="character" w:customStyle="1" w:styleId="Ttulo2Car">
    <w:name w:val="Título 2 Car"/>
    <w:link w:val="Ttulo2"/>
    <w:rsid w:val="00C3766C"/>
    <w:rPr>
      <w:rFonts w:ascii="Arial" w:hAnsi="Arial"/>
      <w:b/>
      <w:bCs/>
      <w:sz w:val="22"/>
      <w:lang w:val="es-ES" w:eastAsia="es-ES"/>
    </w:rPr>
  </w:style>
  <w:style w:type="character" w:customStyle="1" w:styleId="Ttulo6Car">
    <w:name w:val="Título 6 Car"/>
    <w:link w:val="Ttulo6"/>
    <w:semiHidden/>
    <w:rsid w:val="00E915EB"/>
    <w:rPr>
      <w:rFonts w:ascii="Calibri" w:eastAsia="Times New Roman" w:hAnsi="Calibri" w:cs="Times New Roman"/>
      <w:b/>
      <w:bCs/>
      <w:sz w:val="22"/>
      <w:szCs w:val="22"/>
    </w:rPr>
  </w:style>
  <w:style w:type="paragraph" w:styleId="Textocomentario">
    <w:name w:val="annotation text"/>
    <w:basedOn w:val="Normal"/>
    <w:link w:val="TextocomentarioCar"/>
    <w:rsid w:val="00E915EB"/>
    <w:rPr>
      <w:sz w:val="20"/>
      <w:szCs w:val="20"/>
    </w:rPr>
  </w:style>
  <w:style w:type="character" w:customStyle="1" w:styleId="TextocomentarioCar">
    <w:name w:val="Texto comentario Car"/>
    <w:basedOn w:val="Fuentedeprrafopredeter"/>
    <w:link w:val="Textocomentario"/>
    <w:rsid w:val="00E915EB"/>
  </w:style>
  <w:style w:type="paragraph" w:customStyle="1" w:styleId="Sangra3detindependiente1">
    <w:name w:val="Sangría 3 de t. independiente1"/>
    <w:basedOn w:val="Normal"/>
    <w:rsid w:val="00E915EB"/>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character" w:styleId="Refdecomentario">
    <w:name w:val="annotation reference"/>
    <w:uiPriority w:val="99"/>
    <w:unhideWhenUsed/>
    <w:rsid w:val="00E915EB"/>
    <w:rPr>
      <w:sz w:val="18"/>
      <w:szCs w:val="18"/>
    </w:rPr>
  </w:style>
  <w:style w:type="paragraph" w:customStyle="1" w:styleId="Sangra3detindependiente2">
    <w:name w:val="Sangría 3 de t. independiente2"/>
    <w:basedOn w:val="Normal"/>
    <w:rsid w:val="00C710C2"/>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paragraph" w:customStyle="1" w:styleId="BodyText21">
    <w:name w:val="Body Text 21"/>
    <w:basedOn w:val="Normal"/>
    <w:link w:val="BodyText21Car"/>
    <w:rsid w:val="00D84D01"/>
    <w:pPr>
      <w:overflowPunct w:val="0"/>
      <w:autoSpaceDE w:val="0"/>
      <w:autoSpaceDN w:val="0"/>
      <w:adjustRightInd w:val="0"/>
      <w:spacing w:line="480" w:lineRule="auto"/>
      <w:jc w:val="both"/>
      <w:textAlignment w:val="baseline"/>
    </w:pPr>
    <w:rPr>
      <w:rFonts w:ascii="Arial" w:hAnsi="Arial"/>
      <w:szCs w:val="20"/>
      <w:lang w:val="es-ES_tradnl"/>
    </w:rPr>
  </w:style>
  <w:style w:type="character" w:customStyle="1" w:styleId="BodyText21Car">
    <w:name w:val="Body Text 21 Car"/>
    <w:link w:val="BodyText21"/>
    <w:locked/>
    <w:rsid w:val="00D84D01"/>
    <w:rPr>
      <w:rFonts w:ascii="Arial" w:hAnsi="Arial"/>
      <w:sz w:val="24"/>
      <w:lang w:val="es-ES_tradnl"/>
    </w:rPr>
  </w:style>
  <w:style w:type="paragraph" w:styleId="NormalWeb">
    <w:name w:val="Normal (Web)"/>
    <w:basedOn w:val="Normal"/>
    <w:uiPriority w:val="99"/>
    <w:rsid w:val="00BE1D32"/>
  </w:style>
  <w:style w:type="character" w:styleId="Hipervnculo">
    <w:name w:val="Hyperlink"/>
    <w:rsid w:val="007C1E85"/>
    <w:rPr>
      <w:color w:val="0563C1"/>
      <w:u w:val="single"/>
    </w:rPr>
  </w:style>
  <w:style w:type="character" w:customStyle="1" w:styleId="apple-converted-space">
    <w:name w:val="apple-converted-space"/>
    <w:rsid w:val="00B822E8"/>
  </w:style>
  <w:style w:type="paragraph" w:styleId="Lista2">
    <w:name w:val="List 2"/>
    <w:basedOn w:val="Normal"/>
    <w:rsid w:val="00DF7F9D"/>
    <w:pPr>
      <w:ind w:left="566" w:hanging="283"/>
      <w:contextualSpacing/>
    </w:pPr>
  </w:style>
  <w:style w:type="paragraph" w:styleId="Continuarlista">
    <w:name w:val="List Continue"/>
    <w:basedOn w:val="Normal"/>
    <w:rsid w:val="00DF7F9D"/>
    <w:pPr>
      <w:spacing w:after="120"/>
      <w:ind w:left="283"/>
      <w:contextualSpacing/>
    </w:pPr>
  </w:style>
  <w:style w:type="paragraph" w:styleId="Asuntodelcomentario">
    <w:name w:val="annotation subject"/>
    <w:basedOn w:val="Textocomentario"/>
    <w:next w:val="Textocomentario"/>
    <w:link w:val="AsuntodelcomentarioCar"/>
    <w:rsid w:val="00063164"/>
    <w:rPr>
      <w:b/>
      <w:bCs/>
    </w:rPr>
  </w:style>
  <w:style w:type="character" w:customStyle="1" w:styleId="AsuntodelcomentarioCar">
    <w:name w:val="Asunto del comentario Car"/>
    <w:link w:val="Asuntodelcomentario"/>
    <w:rsid w:val="00063164"/>
    <w:rPr>
      <w:b/>
      <w:bCs/>
      <w:lang w:val="es-ES" w:eastAsia="es-ES"/>
    </w:rPr>
  </w:style>
  <w:style w:type="paragraph" w:styleId="Sinespaciado">
    <w:name w:val="No Spacing"/>
    <w:uiPriority w:val="1"/>
    <w:qFormat/>
    <w:rsid w:val="00C0650E"/>
    <w:rPr>
      <w:rFonts w:ascii="Calibri" w:eastAsia="Calibri" w:hAnsi="Calibri"/>
      <w:sz w:val="22"/>
      <w:szCs w:val="22"/>
      <w:lang w:val="es-CO"/>
    </w:rPr>
  </w:style>
  <w:style w:type="character" w:styleId="nfasis">
    <w:name w:val="Emphasis"/>
    <w:qFormat/>
    <w:rsid w:val="00124F49"/>
    <w:rPr>
      <w:i/>
      <w:iCs/>
    </w:rPr>
  </w:style>
  <w:style w:type="character" w:styleId="Textoennegrita">
    <w:name w:val="Strong"/>
    <w:uiPriority w:val="22"/>
    <w:qFormat/>
    <w:rsid w:val="008D7116"/>
    <w:rPr>
      <w:b/>
      <w:bCs/>
    </w:rPr>
  </w:style>
  <w:style w:type="character" w:customStyle="1" w:styleId="Caracteresdenotaalpie">
    <w:name w:val="Caracteres de nota al pie"/>
    <w:rsid w:val="00AF5364"/>
    <w:rPr>
      <w:vertAlign w:val="superscript"/>
    </w:rPr>
  </w:style>
  <w:style w:type="character" w:customStyle="1" w:styleId="PuestoCar">
    <w:name w:val="Puesto Car"/>
    <w:link w:val="Puesto"/>
    <w:rsid w:val="00BC6127"/>
    <w:rPr>
      <w:rFonts w:ascii="Arial" w:hAnsi="Arial"/>
      <w:b/>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9043">
      <w:bodyDiv w:val="1"/>
      <w:marLeft w:val="0"/>
      <w:marRight w:val="0"/>
      <w:marTop w:val="0"/>
      <w:marBottom w:val="0"/>
      <w:divBdr>
        <w:top w:val="none" w:sz="0" w:space="0" w:color="auto"/>
        <w:left w:val="none" w:sz="0" w:space="0" w:color="auto"/>
        <w:bottom w:val="none" w:sz="0" w:space="0" w:color="auto"/>
        <w:right w:val="none" w:sz="0" w:space="0" w:color="auto"/>
      </w:divBdr>
    </w:div>
    <w:div w:id="83770517">
      <w:bodyDiv w:val="1"/>
      <w:marLeft w:val="0"/>
      <w:marRight w:val="0"/>
      <w:marTop w:val="0"/>
      <w:marBottom w:val="0"/>
      <w:divBdr>
        <w:top w:val="none" w:sz="0" w:space="0" w:color="auto"/>
        <w:left w:val="none" w:sz="0" w:space="0" w:color="auto"/>
        <w:bottom w:val="none" w:sz="0" w:space="0" w:color="auto"/>
        <w:right w:val="none" w:sz="0" w:space="0" w:color="auto"/>
      </w:divBdr>
    </w:div>
    <w:div w:id="161355302">
      <w:bodyDiv w:val="1"/>
      <w:marLeft w:val="0"/>
      <w:marRight w:val="0"/>
      <w:marTop w:val="0"/>
      <w:marBottom w:val="0"/>
      <w:divBdr>
        <w:top w:val="none" w:sz="0" w:space="0" w:color="auto"/>
        <w:left w:val="none" w:sz="0" w:space="0" w:color="auto"/>
        <w:bottom w:val="none" w:sz="0" w:space="0" w:color="auto"/>
        <w:right w:val="none" w:sz="0" w:space="0" w:color="auto"/>
      </w:divBdr>
    </w:div>
    <w:div w:id="179003641">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46304570">
      <w:bodyDiv w:val="1"/>
      <w:marLeft w:val="0"/>
      <w:marRight w:val="0"/>
      <w:marTop w:val="0"/>
      <w:marBottom w:val="0"/>
      <w:divBdr>
        <w:top w:val="none" w:sz="0" w:space="0" w:color="auto"/>
        <w:left w:val="none" w:sz="0" w:space="0" w:color="auto"/>
        <w:bottom w:val="none" w:sz="0" w:space="0" w:color="auto"/>
        <w:right w:val="none" w:sz="0" w:space="0" w:color="auto"/>
      </w:divBdr>
    </w:div>
    <w:div w:id="303967453">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418674576">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81597949">
      <w:bodyDiv w:val="1"/>
      <w:marLeft w:val="0"/>
      <w:marRight w:val="0"/>
      <w:marTop w:val="0"/>
      <w:marBottom w:val="0"/>
      <w:divBdr>
        <w:top w:val="none" w:sz="0" w:space="0" w:color="auto"/>
        <w:left w:val="none" w:sz="0" w:space="0" w:color="auto"/>
        <w:bottom w:val="none" w:sz="0" w:space="0" w:color="auto"/>
        <w:right w:val="none" w:sz="0" w:space="0" w:color="auto"/>
      </w:divBdr>
    </w:div>
    <w:div w:id="665323294">
      <w:bodyDiv w:val="1"/>
      <w:marLeft w:val="0"/>
      <w:marRight w:val="0"/>
      <w:marTop w:val="0"/>
      <w:marBottom w:val="0"/>
      <w:divBdr>
        <w:top w:val="none" w:sz="0" w:space="0" w:color="auto"/>
        <w:left w:val="none" w:sz="0" w:space="0" w:color="auto"/>
        <w:bottom w:val="none" w:sz="0" w:space="0" w:color="auto"/>
        <w:right w:val="none" w:sz="0" w:space="0" w:color="auto"/>
      </w:divBdr>
    </w:div>
    <w:div w:id="713896006">
      <w:bodyDiv w:val="1"/>
      <w:marLeft w:val="0"/>
      <w:marRight w:val="0"/>
      <w:marTop w:val="0"/>
      <w:marBottom w:val="0"/>
      <w:divBdr>
        <w:top w:val="none" w:sz="0" w:space="0" w:color="auto"/>
        <w:left w:val="none" w:sz="0" w:space="0" w:color="auto"/>
        <w:bottom w:val="none" w:sz="0" w:space="0" w:color="auto"/>
        <w:right w:val="none" w:sz="0" w:space="0" w:color="auto"/>
      </w:divBdr>
    </w:div>
    <w:div w:id="943807547">
      <w:bodyDiv w:val="1"/>
      <w:marLeft w:val="0"/>
      <w:marRight w:val="0"/>
      <w:marTop w:val="0"/>
      <w:marBottom w:val="0"/>
      <w:divBdr>
        <w:top w:val="none" w:sz="0" w:space="0" w:color="auto"/>
        <w:left w:val="none" w:sz="0" w:space="0" w:color="auto"/>
        <w:bottom w:val="none" w:sz="0" w:space="0" w:color="auto"/>
        <w:right w:val="none" w:sz="0" w:space="0" w:color="auto"/>
      </w:divBdr>
    </w:div>
    <w:div w:id="958418540">
      <w:bodyDiv w:val="1"/>
      <w:marLeft w:val="0"/>
      <w:marRight w:val="0"/>
      <w:marTop w:val="0"/>
      <w:marBottom w:val="0"/>
      <w:divBdr>
        <w:top w:val="none" w:sz="0" w:space="0" w:color="auto"/>
        <w:left w:val="none" w:sz="0" w:space="0" w:color="auto"/>
        <w:bottom w:val="none" w:sz="0" w:space="0" w:color="auto"/>
        <w:right w:val="none" w:sz="0" w:space="0" w:color="auto"/>
      </w:divBdr>
    </w:div>
    <w:div w:id="984507201">
      <w:bodyDiv w:val="1"/>
      <w:marLeft w:val="0"/>
      <w:marRight w:val="0"/>
      <w:marTop w:val="0"/>
      <w:marBottom w:val="0"/>
      <w:divBdr>
        <w:top w:val="none" w:sz="0" w:space="0" w:color="auto"/>
        <w:left w:val="none" w:sz="0" w:space="0" w:color="auto"/>
        <w:bottom w:val="none" w:sz="0" w:space="0" w:color="auto"/>
        <w:right w:val="none" w:sz="0" w:space="0" w:color="auto"/>
      </w:divBdr>
    </w:div>
    <w:div w:id="1010058395">
      <w:bodyDiv w:val="1"/>
      <w:marLeft w:val="0"/>
      <w:marRight w:val="0"/>
      <w:marTop w:val="0"/>
      <w:marBottom w:val="0"/>
      <w:divBdr>
        <w:top w:val="none" w:sz="0" w:space="0" w:color="auto"/>
        <w:left w:val="none" w:sz="0" w:space="0" w:color="auto"/>
        <w:bottom w:val="none" w:sz="0" w:space="0" w:color="auto"/>
        <w:right w:val="none" w:sz="0" w:space="0" w:color="auto"/>
      </w:divBdr>
    </w:div>
    <w:div w:id="1137261674">
      <w:bodyDiv w:val="1"/>
      <w:marLeft w:val="0"/>
      <w:marRight w:val="0"/>
      <w:marTop w:val="0"/>
      <w:marBottom w:val="0"/>
      <w:divBdr>
        <w:top w:val="none" w:sz="0" w:space="0" w:color="auto"/>
        <w:left w:val="none" w:sz="0" w:space="0" w:color="auto"/>
        <w:bottom w:val="none" w:sz="0" w:space="0" w:color="auto"/>
        <w:right w:val="none" w:sz="0" w:space="0" w:color="auto"/>
      </w:divBdr>
    </w:div>
    <w:div w:id="1181049649">
      <w:bodyDiv w:val="1"/>
      <w:marLeft w:val="0"/>
      <w:marRight w:val="0"/>
      <w:marTop w:val="0"/>
      <w:marBottom w:val="0"/>
      <w:divBdr>
        <w:top w:val="none" w:sz="0" w:space="0" w:color="auto"/>
        <w:left w:val="none" w:sz="0" w:space="0" w:color="auto"/>
        <w:bottom w:val="none" w:sz="0" w:space="0" w:color="auto"/>
        <w:right w:val="none" w:sz="0" w:space="0" w:color="auto"/>
      </w:divBdr>
    </w:div>
    <w:div w:id="1247572231">
      <w:bodyDiv w:val="1"/>
      <w:marLeft w:val="0"/>
      <w:marRight w:val="0"/>
      <w:marTop w:val="0"/>
      <w:marBottom w:val="0"/>
      <w:divBdr>
        <w:top w:val="none" w:sz="0" w:space="0" w:color="auto"/>
        <w:left w:val="none" w:sz="0" w:space="0" w:color="auto"/>
        <w:bottom w:val="none" w:sz="0" w:space="0" w:color="auto"/>
        <w:right w:val="none" w:sz="0" w:space="0" w:color="auto"/>
      </w:divBdr>
    </w:div>
    <w:div w:id="1313485860">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0888787">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77331990">
      <w:bodyDiv w:val="1"/>
      <w:marLeft w:val="0"/>
      <w:marRight w:val="0"/>
      <w:marTop w:val="0"/>
      <w:marBottom w:val="0"/>
      <w:divBdr>
        <w:top w:val="none" w:sz="0" w:space="0" w:color="auto"/>
        <w:left w:val="none" w:sz="0" w:space="0" w:color="auto"/>
        <w:bottom w:val="none" w:sz="0" w:space="0" w:color="auto"/>
        <w:right w:val="none" w:sz="0" w:space="0" w:color="auto"/>
      </w:divBdr>
    </w:div>
    <w:div w:id="1689061159">
      <w:bodyDiv w:val="1"/>
      <w:marLeft w:val="0"/>
      <w:marRight w:val="0"/>
      <w:marTop w:val="0"/>
      <w:marBottom w:val="0"/>
      <w:divBdr>
        <w:top w:val="none" w:sz="0" w:space="0" w:color="auto"/>
        <w:left w:val="none" w:sz="0" w:space="0" w:color="auto"/>
        <w:bottom w:val="none" w:sz="0" w:space="0" w:color="auto"/>
        <w:right w:val="none" w:sz="0" w:space="0" w:color="auto"/>
      </w:divBdr>
    </w:div>
    <w:div w:id="1726446197">
      <w:bodyDiv w:val="1"/>
      <w:marLeft w:val="0"/>
      <w:marRight w:val="0"/>
      <w:marTop w:val="0"/>
      <w:marBottom w:val="0"/>
      <w:divBdr>
        <w:top w:val="none" w:sz="0" w:space="0" w:color="auto"/>
        <w:left w:val="none" w:sz="0" w:space="0" w:color="auto"/>
        <w:bottom w:val="none" w:sz="0" w:space="0" w:color="auto"/>
        <w:right w:val="none" w:sz="0" w:space="0" w:color="auto"/>
      </w:divBdr>
    </w:div>
    <w:div w:id="19551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21AA-9F14-4BAE-BAD4-7D9A7BAD735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061F64F-E39C-4663-B474-48D1A987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E7F97-4CEC-4CD3-9EC0-11A3D443F498}">
  <ds:schemaRefs>
    <ds:schemaRef ds:uri="http://schemas.microsoft.com/sharepoint/v3/contenttype/forms"/>
  </ds:schemaRefs>
</ds:datastoreItem>
</file>

<file path=customXml/itemProps4.xml><?xml version="1.0" encoding="utf-8"?>
<ds:datastoreItem xmlns:ds="http://schemas.openxmlformats.org/officeDocument/2006/customXml" ds:itemID="{CC5F5E61-CE8D-4320-81BF-64D3E356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2973</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Ximena Ríos López</cp:lastModifiedBy>
  <cp:revision>5</cp:revision>
  <cp:lastPrinted>2019-02-11T20:49:00Z</cp:lastPrinted>
  <dcterms:created xsi:type="dcterms:W3CDTF">2020-04-02T19:24:00Z</dcterms:created>
  <dcterms:modified xsi:type="dcterms:W3CDTF">2020-06-16T04:32:00Z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