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87181" w14:textId="28B191B5" w:rsidR="004F0506" w:rsidRPr="00DD49D2" w:rsidRDefault="004F0506" w:rsidP="00DD49D2">
      <w:pPr>
        <w:spacing w:line="240" w:lineRule="auto"/>
        <w:jc w:val="both"/>
        <w:rPr>
          <w:rFonts w:ascii="Arial" w:hAnsi="Arial" w:cs="Arial"/>
          <w:b/>
        </w:rPr>
      </w:pPr>
      <w:r w:rsidRPr="004F0506">
        <w:rPr>
          <w:rFonts w:ascii="Arial" w:hAnsi="Arial" w:cs="Arial"/>
          <w:b/>
        </w:rPr>
        <w:t>PRINCIPIO DE RELATIVIDAD DE LOS CONTRATOS</w:t>
      </w:r>
      <w:r w:rsidRPr="00701BC7">
        <w:rPr>
          <w:rFonts w:ascii="Arial" w:hAnsi="Arial" w:cs="Arial"/>
          <w:b/>
        </w:rPr>
        <w:t xml:space="preserve"> </w:t>
      </w:r>
      <w:r w:rsidR="00CB4BDE">
        <w:rPr>
          <w:rFonts w:ascii="Arial" w:hAnsi="Arial" w:cs="Arial"/>
          <w:b/>
        </w:rPr>
        <w:t>-</w:t>
      </w:r>
      <w:r w:rsidR="00DA5AEF" w:rsidRPr="00DD49D2">
        <w:rPr>
          <w:rFonts w:ascii="Arial" w:hAnsi="Arial" w:cs="Arial"/>
          <w:b/>
        </w:rPr>
        <w:t xml:space="preserve"> </w:t>
      </w:r>
      <w:r w:rsidR="00CB4BDE">
        <w:rPr>
          <w:rFonts w:ascii="Arial" w:hAnsi="Arial" w:cs="Arial"/>
          <w:b/>
        </w:rPr>
        <w:t xml:space="preserve">Excepción - </w:t>
      </w:r>
      <w:r w:rsidR="00DA5AEF" w:rsidRPr="00DD49D2">
        <w:rPr>
          <w:rFonts w:ascii="Arial" w:hAnsi="Arial" w:cs="Arial"/>
          <w:b/>
        </w:rPr>
        <w:t>Estipulac</w:t>
      </w:r>
      <w:r w:rsidR="00EB3713" w:rsidRPr="00DD49D2">
        <w:rPr>
          <w:rFonts w:ascii="Arial" w:hAnsi="Arial" w:cs="Arial"/>
          <w:b/>
        </w:rPr>
        <w:t>ión</w:t>
      </w:r>
      <w:r w:rsidR="00DA5AEF" w:rsidRPr="00DD49D2">
        <w:rPr>
          <w:rFonts w:ascii="Arial" w:hAnsi="Arial" w:cs="Arial"/>
          <w:b/>
        </w:rPr>
        <w:t xml:space="preserve"> a favor de terceros</w:t>
      </w:r>
    </w:p>
    <w:p w14:paraId="33C741D9" w14:textId="3753CBFF" w:rsidR="00701BC7" w:rsidRDefault="00DA5AEF" w:rsidP="00DD49D2">
      <w:pPr>
        <w:spacing w:after="0" w:line="240" w:lineRule="auto"/>
        <w:jc w:val="both"/>
        <w:rPr>
          <w:rFonts w:ascii="Arial" w:hAnsi="Arial" w:cs="Arial"/>
        </w:rPr>
      </w:pPr>
      <w:r w:rsidRPr="00DA5AEF">
        <w:rPr>
          <w:rFonts w:ascii="Arial" w:hAnsi="Arial" w:cs="Arial"/>
        </w:rPr>
        <w:t>En este contexto, el despacho encuentra que lo que se configuró respecto de los</w:t>
      </w:r>
      <w:r>
        <w:rPr>
          <w:rFonts w:ascii="Arial" w:hAnsi="Arial" w:cs="Arial"/>
        </w:rPr>
        <w:t xml:space="preserve"> </w:t>
      </w:r>
      <w:r w:rsidRPr="00DA5AEF">
        <w:rPr>
          <w:rFonts w:ascii="Arial" w:hAnsi="Arial" w:cs="Arial"/>
        </w:rPr>
        <w:t>beneficiarios fue una estipulación a favor de otro, la cual constituye una</w:t>
      </w:r>
      <w:r>
        <w:rPr>
          <w:rFonts w:ascii="Arial" w:hAnsi="Arial" w:cs="Arial"/>
        </w:rPr>
        <w:t xml:space="preserve"> </w:t>
      </w:r>
      <w:r w:rsidRPr="00DA5AEF">
        <w:rPr>
          <w:rFonts w:ascii="Arial" w:hAnsi="Arial" w:cs="Arial"/>
        </w:rPr>
        <w:t>excepción al principio de relatividad de los contratos y se encuentra regulada en</w:t>
      </w:r>
      <w:r>
        <w:rPr>
          <w:rFonts w:ascii="Arial" w:hAnsi="Arial" w:cs="Arial"/>
        </w:rPr>
        <w:t xml:space="preserve"> </w:t>
      </w:r>
      <w:r w:rsidRPr="00DA5AEF">
        <w:rPr>
          <w:rFonts w:ascii="Arial" w:hAnsi="Arial" w:cs="Arial"/>
        </w:rPr>
        <w:t>el artículo 1506 del Código Civil, en los siguientes términos:</w:t>
      </w:r>
      <w:r>
        <w:rPr>
          <w:rFonts w:ascii="Arial" w:hAnsi="Arial" w:cs="Arial"/>
        </w:rPr>
        <w:t xml:space="preserve"> </w:t>
      </w:r>
      <w:r w:rsidRPr="00DA5AEF">
        <w:rPr>
          <w:rFonts w:ascii="Arial" w:hAnsi="Arial" w:cs="Arial"/>
        </w:rPr>
        <w:t xml:space="preserve">"Cualquiera puede estipular </w:t>
      </w:r>
      <w:r>
        <w:rPr>
          <w:rFonts w:ascii="Arial" w:hAnsi="Arial" w:cs="Arial"/>
        </w:rPr>
        <w:t>a favor de una tercera</w:t>
      </w:r>
      <w:r w:rsidRPr="00DA5AEF">
        <w:rPr>
          <w:rFonts w:ascii="Arial" w:hAnsi="Arial" w:cs="Arial"/>
        </w:rPr>
        <w:t xml:space="preserve"> persona, aunque</w:t>
      </w:r>
      <w:r>
        <w:rPr>
          <w:rFonts w:ascii="Arial" w:hAnsi="Arial" w:cs="Arial"/>
        </w:rPr>
        <w:t xml:space="preserve"> no tenga derecho para</w:t>
      </w:r>
      <w:r w:rsidRPr="00DA5AEF">
        <w:rPr>
          <w:rFonts w:ascii="Arial" w:hAnsi="Arial" w:cs="Arial"/>
        </w:rPr>
        <w:t xml:space="preserve"> representarla; pero </w:t>
      </w:r>
      <w:r>
        <w:rPr>
          <w:rFonts w:ascii="Arial" w:hAnsi="Arial" w:cs="Arial"/>
        </w:rPr>
        <w:t>solo esta tercera persona</w:t>
      </w:r>
      <w:r w:rsidRPr="00DA5AEF">
        <w:rPr>
          <w:rFonts w:ascii="Arial" w:hAnsi="Arial" w:cs="Arial"/>
        </w:rPr>
        <w:t xml:space="preserve"> podrá</w:t>
      </w:r>
      <w:r>
        <w:rPr>
          <w:rFonts w:ascii="Arial" w:hAnsi="Arial" w:cs="Arial"/>
        </w:rPr>
        <w:t xml:space="preserve"> </w:t>
      </w:r>
      <w:r w:rsidRPr="00DA5AEF">
        <w:rPr>
          <w:rFonts w:ascii="Arial" w:hAnsi="Arial" w:cs="Arial"/>
        </w:rPr>
        <w:t xml:space="preserve">demandar lo estipulado; y mientras no intervenga su aceptación </w:t>
      </w:r>
      <w:r>
        <w:rPr>
          <w:rFonts w:ascii="Arial" w:hAnsi="Arial" w:cs="Arial"/>
        </w:rPr>
        <w:t xml:space="preserve">expresa o </w:t>
      </w:r>
      <w:r w:rsidRPr="00DA5AEF">
        <w:rPr>
          <w:rFonts w:ascii="Arial" w:hAnsi="Arial" w:cs="Arial"/>
        </w:rPr>
        <w:t xml:space="preserve">tácita, es revocable el </w:t>
      </w:r>
      <w:r>
        <w:rPr>
          <w:rFonts w:ascii="Arial" w:hAnsi="Arial" w:cs="Arial"/>
        </w:rPr>
        <w:t>contrato</w:t>
      </w:r>
      <w:r w:rsidRPr="00DA5AEF">
        <w:rPr>
          <w:rFonts w:ascii="Arial" w:hAnsi="Arial" w:cs="Arial"/>
        </w:rPr>
        <w:t xml:space="preserve"> por la </w:t>
      </w:r>
      <w:r>
        <w:rPr>
          <w:rFonts w:ascii="Arial" w:hAnsi="Arial" w:cs="Arial"/>
        </w:rPr>
        <w:t>sola</w:t>
      </w:r>
      <w:r w:rsidRPr="00DA5AEF">
        <w:rPr>
          <w:rFonts w:ascii="Arial" w:hAnsi="Arial" w:cs="Arial"/>
        </w:rPr>
        <w:t xml:space="preserve"> voluntad de las partes que</w:t>
      </w:r>
      <w:r>
        <w:rPr>
          <w:rFonts w:ascii="Arial" w:hAnsi="Arial" w:cs="Arial"/>
        </w:rPr>
        <w:t xml:space="preserve"> </w:t>
      </w:r>
      <w:r w:rsidRPr="00DA5AEF">
        <w:rPr>
          <w:rFonts w:ascii="Arial" w:hAnsi="Arial" w:cs="Arial"/>
        </w:rPr>
        <w:t>concurrieron a él".</w:t>
      </w:r>
      <w:r>
        <w:rPr>
          <w:rFonts w:ascii="Arial" w:hAnsi="Arial" w:cs="Arial"/>
        </w:rPr>
        <w:t xml:space="preserve"> </w:t>
      </w:r>
      <w:r w:rsidRPr="00DA5AEF">
        <w:rPr>
          <w:rFonts w:ascii="Arial" w:hAnsi="Arial" w:cs="Arial"/>
        </w:rPr>
        <w:t>Al respecto el tratadista Fernando Hinestrosa Forero señala:</w:t>
      </w:r>
      <w:r>
        <w:rPr>
          <w:rFonts w:ascii="Arial" w:hAnsi="Arial" w:cs="Arial"/>
        </w:rPr>
        <w:t xml:space="preserve"> </w:t>
      </w:r>
      <w:r w:rsidRPr="00DA5AEF">
        <w:rPr>
          <w:rFonts w:ascii="Arial" w:hAnsi="Arial" w:cs="Arial"/>
        </w:rPr>
        <w:t>"Así como las atribuciones patrimoniales que emergen del contrato</w:t>
      </w:r>
      <w:r>
        <w:rPr>
          <w:rFonts w:ascii="Arial" w:hAnsi="Arial" w:cs="Arial"/>
        </w:rPr>
        <w:t xml:space="preserve"> </w:t>
      </w:r>
      <w:r w:rsidRPr="00DA5AEF">
        <w:rPr>
          <w:rFonts w:ascii="Arial" w:hAnsi="Arial" w:cs="Arial"/>
        </w:rPr>
        <w:t>normalmente benefician a la partes, cabe la posibilidad de que por disposición</w:t>
      </w:r>
      <w:r>
        <w:rPr>
          <w:rFonts w:ascii="Arial" w:hAnsi="Arial" w:cs="Arial"/>
        </w:rPr>
        <w:t xml:space="preserve"> </w:t>
      </w:r>
      <w:r w:rsidRPr="00DA5AEF">
        <w:rPr>
          <w:rFonts w:ascii="Arial" w:hAnsi="Arial" w:cs="Arial"/>
        </w:rPr>
        <w:t>de las mismas las obligaciones de una de las partes o alguna o algunas de</w:t>
      </w:r>
      <w:r>
        <w:rPr>
          <w:rFonts w:ascii="Arial" w:hAnsi="Arial" w:cs="Arial"/>
        </w:rPr>
        <w:t xml:space="preserve"> </w:t>
      </w:r>
      <w:r w:rsidRPr="00DA5AEF">
        <w:rPr>
          <w:rFonts w:ascii="Arial" w:hAnsi="Arial" w:cs="Arial"/>
        </w:rPr>
        <w:t>ellas (promitente) tengan por destinatario a un tercero, esto es, que su efecto o</w:t>
      </w:r>
      <w:r>
        <w:rPr>
          <w:rFonts w:ascii="Arial" w:hAnsi="Arial" w:cs="Arial"/>
        </w:rPr>
        <w:t xml:space="preserve"> </w:t>
      </w:r>
      <w:r w:rsidRPr="00DA5AEF">
        <w:rPr>
          <w:rFonts w:ascii="Arial" w:hAnsi="Arial" w:cs="Arial"/>
        </w:rPr>
        <w:t xml:space="preserve">alguno de ellos se realice dentro de la órbita patrimonial de aquel ... </w:t>
      </w:r>
      <w:r>
        <w:rPr>
          <w:rFonts w:ascii="Arial" w:hAnsi="Arial" w:cs="Arial"/>
        </w:rPr>
        <w:t xml:space="preserve">en cuanto </w:t>
      </w:r>
      <w:r w:rsidRPr="00DA5AEF">
        <w:rPr>
          <w:rFonts w:ascii="Arial" w:hAnsi="Arial" w:cs="Arial"/>
        </w:rPr>
        <w:t>se refiere a los celebrantes, sus relaciones se practican como de ordinario en</w:t>
      </w:r>
      <w:r>
        <w:rPr>
          <w:rFonts w:ascii="Arial" w:hAnsi="Arial" w:cs="Arial"/>
        </w:rPr>
        <w:t xml:space="preserve"> </w:t>
      </w:r>
      <w:r w:rsidRPr="00DA5AEF">
        <w:rPr>
          <w:rFonts w:ascii="Arial" w:hAnsi="Arial" w:cs="Arial"/>
        </w:rPr>
        <w:t xml:space="preserve">cualquier </w:t>
      </w:r>
      <w:r>
        <w:rPr>
          <w:rFonts w:ascii="Arial" w:hAnsi="Arial" w:cs="Arial"/>
        </w:rPr>
        <w:t>contrato, con la salvedad de que una de las acreencias</w:t>
      </w:r>
      <w:r w:rsidRPr="00DA5AEF">
        <w:rPr>
          <w:rFonts w:ascii="Arial" w:hAnsi="Arial" w:cs="Arial"/>
        </w:rPr>
        <w:t xml:space="preserve"> </w:t>
      </w:r>
      <w:r>
        <w:rPr>
          <w:rFonts w:ascii="Arial" w:hAnsi="Arial" w:cs="Arial"/>
        </w:rPr>
        <w:t xml:space="preserve">sale de su </w:t>
      </w:r>
      <w:r w:rsidRPr="00DA5AEF">
        <w:rPr>
          <w:rFonts w:ascii="Arial" w:hAnsi="Arial" w:cs="Arial"/>
        </w:rPr>
        <w:t xml:space="preserve">órbita y se radica </w:t>
      </w:r>
      <w:r>
        <w:rPr>
          <w:rFonts w:ascii="Arial" w:hAnsi="Arial" w:cs="Arial"/>
        </w:rPr>
        <w:t>en cabeza de</w:t>
      </w:r>
      <w:r w:rsidRPr="00DA5AEF">
        <w:rPr>
          <w:rFonts w:ascii="Arial" w:hAnsi="Arial" w:cs="Arial"/>
        </w:rPr>
        <w:t xml:space="preserve"> un tercero"</w:t>
      </w:r>
    </w:p>
    <w:p w14:paraId="24C5D120" w14:textId="53F48A25" w:rsidR="00F57240" w:rsidRDefault="00F57240" w:rsidP="00DA5AEF">
      <w:pPr>
        <w:spacing w:after="0"/>
        <w:jc w:val="both"/>
        <w:rPr>
          <w:rFonts w:ascii="Arial" w:hAnsi="Arial" w:cs="Arial"/>
        </w:rPr>
      </w:pPr>
    </w:p>
    <w:p w14:paraId="75A8C443" w14:textId="77777777" w:rsidR="00F57240" w:rsidRDefault="00F57240" w:rsidP="00F57240">
      <w:pPr>
        <w:spacing w:after="0"/>
        <w:jc w:val="center"/>
        <w:rPr>
          <w:rFonts w:ascii="Arial" w:hAnsi="Arial" w:cs="Arial"/>
          <w:b/>
        </w:rPr>
      </w:pPr>
    </w:p>
    <w:p w14:paraId="78D28DA0" w14:textId="77777777" w:rsidR="00F57240" w:rsidRDefault="00F57240" w:rsidP="00F57240">
      <w:pPr>
        <w:spacing w:after="0"/>
        <w:jc w:val="center"/>
        <w:rPr>
          <w:rFonts w:ascii="Arial" w:hAnsi="Arial" w:cs="Arial"/>
          <w:b/>
        </w:rPr>
      </w:pPr>
      <w:r w:rsidRPr="00F57240">
        <w:rPr>
          <w:rFonts w:ascii="Arial" w:hAnsi="Arial" w:cs="Arial"/>
          <w:b/>
        </w:rPr>
        <w:t xml:space="preserve">CONSEJO DE ESTADO SALA DE LO CONTENCIOSO </w:t>
      </w:r>
    </w:p>
    <w:p w14:paraId="4BA73B53" w14:textId="604CAE96" w:rsidR="00F57240" w:rsidRPr="00F57240" w:rsidRDefault="00F57240" w:rsidP="00F57240">
      <w:pPr>
        <w:spacing w:after="0"/>
        <w:jc w:val="center"/>
        <w:rPr>
          <w:rFonts w:ascii="Arial" w:hAnsi="Arial" w:cs="Arial"/>
          <w:b/>
        </w:rPr>
      </w:pPr>
      <w:r w:rsidRPr="00F57240">
        <w:rPr>
          <w:rFonts w:ascii="Arial" w:hAnsi="Arial" w:cs="Arial"/>
          <w:b/>
        </w:rPr>
        <w:t>ADMINISTRATIVO</w:t>
      </w:r>
    </w:p>
    <w:p w14:paraId="0678B722" w14:textId="12366401" w:rsidR="00F57240" w:rsidRPr="00F57240" w:rsidRDefault="00F57240" w:rsidP="00F57240">
      <w:pPr>
        <w:spacing w:after="0"/>
        <w:jc w:val="center"/>
        <w:rPr>
          <w:rFonts w:ascii="Arial" w:hAnsi="Arial" w:cs="Arial"/>
          <w:b/>
        </w:rPr>
      </w:pPr>
      <w:r w:rsidRPr="00F57240">
        <w:rPr>
          <w:rFonts w:ascii="Arial" w:hAnsi="Arial" w:cs="Arial"/>
          <w:b/>
        </w:rPr>
        <w:t xml:space="preserve"> </w:t>
      </w:r>
    </w:p>
    <w:p w14:paraId="18DABA01" w14:textId="2DAF5C7E" w:rsidR="00F57240" w:rsidRPr="00F57240" w:rsidRDefault="00F57240" w:rsidP="00F57240">
      <w:pPr>
        <w:spacing w:after="0"/>
        <w:jc w:val="center"/>
        <w:rPr>
          <w:rFonts w:ascii="Arial" w:hAnsi="Arial" w:cs="Arial"/>
          <w:b/>
        </w:rPr>
      </w:pPr>
      <w:r w:rsidRPr="00F57240">
        <w:rPr>
          <w:rFonts w:ascii="Arial" w:hAnsi="Arial" w:cs="Arial"/>
          <w:b/>
        </w:rPr>
        <w:t xml:space="preserve">SECCIÓN TERCERA - SUBSECCIÓN “A"  </w:t>
      </w:r>
    </w:p>
    <w:p w14:paraId="53D45435" w14:textId="77777777" w:rsidR="00F57240" w:rsidRPr="00F57240" w:rsidRDefault="00F57240" w:rsidP="00F57240">
      <w:pPr>
        <w:spacing w:after="0"/>
        <w:jc w:val="center"/>
        <w:rPr>
          <w:rFonts w:ascii="Arial" w:hAnsi="Arial" w:cs="Arial"/>
          <w:b/>
        </w:rPr>
      </w:pPr>
    </w:p>
    <w:p w14:paraId="60337BAA" w14:textId="3118F262" w:rsidR="00F57240" w:rsidRPr="00F57240" w:rsidRDefault="00F57240" w:rsidP="00F57240">
      <w:pPr>
        <w:spacing w:after="0"/>
        <w:jc w:val="center"/>
        <w:rPr>
          <w:rFonts w:ascii="Arial" w:hAnsi="Arial" w:cs="Arial"/>
          <w:b/>
        </w:rPr>
      </w:pPr>
      <w:r w:rsidRPr="00F57240">
        <w:rPr>
          <w:rFonts w:ascii="Arial" w:hAnsi="Arial" w:cs="Arial"/>
          <w:b/>
        </w:rPr>
        <w:t xml:space="preserve">Consejero Ponente: CARLOS ALBERTO ZAMBRANO BARRERA </w:t>
      </w:r>
    </w:p>
    <w:p w14:paraId="25176282" w14:textId="77777777" w:rsidR="00F57240" w:rsidRPr="00F57240" w:rsidRDefault="00F57240" w:rsidP="00F57240">
      <w:pPr>
        <w:spacing w:after="0"/>
        <w:jc w:val="center"/>
        <w:rPr>
          <w:rFonts w:ascii="Arial" w:hAnsi="Arial" w:cs="Arial"/>
          <w:b/>
        </w:rPr>
      </w:pPr>
    </w:p>
    <w:p w14:paraId="419E224F" w14:textId="203AEBA4" w:rsidR="00F57240" w:rsidRPr="00F57240" w:rsidRDefault="00F57240" w:rsidP="00F57240">
      <w:pPr>
        <w:spacing w:after="0"/>
        <w:jc w:val="center"/>
        <w:rPr>
          <w:rFonts w:ascii="Arial" w:hAnsi="Arial" w:cs="Arial"/>
          <w:b/>
        </w:rPr>
      </w:pPr>
      <w:r w:rsidRPr="00F57240">
        <w:rPr>
          <w:rFonts w:ascii="Arial" w:hAnsi="Arial" w:cs="Arial"/>
          <w:b/>
        </w:rPr>
        <w:t>Bogotá D.C.,  treinta  y uno  (31) de enero  de dos mil diecinueve  (2019)</w:t>
      </w:r>
    </w:p>
    <w:p w14:paraId="78996DDF" w14:textId="0D2AE4F4" w:rsidR="00F57240" w:rsidRPr="00F57240" w:rsidRDefault="00F57240" w:rsidP="00F57240">
      <w:pPr>
        <w:spacing w:after="0"/>
        <w:jc w:val="center"/>
        <w:rPr>
          <w:rFonts w:ascii="Arial" w:hAnsi="Arial" w:cs="Arial"/>
          <w:b/>
        </w:rPr>
      </w:pPr>
      <w:r w:rsidRPr="00F57240">
        <w:rPr>
          <w:rFonts w:ascii="Arial" w:hAnsi="Arial" w:cs="Arial"/>
          <w:b/>
        </w:rPr>
        <w:t xml:space="preserve">  </w:t>
      </w:r>
    </w:p>
    <w:p w14:paraId="3C8DE38F" w14:textId="77777777" w:rsidR="00F57240" w:rsidRPr="00F57240" w:rsidRDefault="00F57240" w:rsidP="00F57240">
      <w:pPr>
        <w:spacing w:after="0"/>
        <w:jc w:val="center"/>
        <w:rPr>
          <w:rFonts w:ascii="Arial" w:hAnsi="Arial" w:cs="Arial"/>
          <w:b/>
        </w:rPr>
      </w:pPr>
      <w:r w:rsidRPr="00F57240">
        <w:rPr>
          <w:rFonts w:ascii="Arial" w:hAnsi="Arial" w:cs="Arial"/>
          <w:b/>
        </w:rPr>
        <w:t xml:space="preserve">Radicación: 68001-23-33-000-2013-01 108-01 (52.273) </w:t>
      </w:r>
    </w:p>
    <w:p w14:paraId="364C7B60" w14:textId="77777777" w:rsidR="00F57240" w:rsidRPr="00F57240" w:rsidRDefault="00F57240" w:rsidP="00F57240">
      <w:pPr>
        <w:spacing w:after="0"/>
        <w:jc w:val="center"/>
        <w:rPr>
          <w:rFonts w:ascii="Arial" w:hAnsi="Arial" w:cs="Arial"/>
          <w:b/>
        </w:rPr>
      </w:pPr>
    </w:p>
    <w:p w14:paraId="68D451B9" w14:textId="77777777" w:rsidR="00F57240" w:rsidRDefault="00F57240" w:rsidP="00F57240">
      <w:pPr>
        <w:spacing w:after="0"/>
        <w:jc w:val="center"/>
        <w:rPr>
          <w:rFonts w:ascii="Arial" w:hAnsi="Arial" w:cs="Arial"/>
          <w:b/>
        </w:rPr>
      </w:pPr>
      <w:r w:rsidRPr="00F57240">
        <w:rPr>
          <w:rFonts w:ascii="Arial" w:hAnsi="Arial" w:cs="Arial"/>
          <w:b/>
        </w:rPr>
        <w:t>Actor: Fénix Construcciones  S.A.</w:t>
      </w:r>
    </w:p>
    <w:p w14:paraId="017CA038" w14:textId="77777777" w:rsidR="00F57240" w:rsidRDefault="00F57240" w:rsidP="00F57240">
      <w:pPr>
        <w:spacing w:after="0"/>
        <w:jc w:val="center"/>
        <w:rPr>
          <w:rFonts w:ascii="Arial" w:hAnsi="Arial" w:cs="Arial"/>
          <w:b/>
        </w:rPr>
      </w:pPr>
    </w:p>
    <w:p w14:paraId="26EE6315" w14:textId="320B9D31" w:rsidR="00F57240" w:rsidRDefault="00F57240" w:rsidP="00F57240">
      <w:pPr>
        <w:spacing w:after="0" w:line="240" w:lineRule="auto"/>
        <w:jc w:val="center"/>
        <w:rPr>
          <w:rFonts w:ascii="Arial" w:hAnsi="Arial" w:cs="Arial"/>
        </w:rPr>
      </w:pPr>
      <w:r w:rsidRPr="00F57240">
        <w:rPr>
          <w:rFonts w:ascii="Arial" w:hAnsi="Arial" w:cs="Arial"/>
          <w:b/>
        </w:rPr>
        <w:t>Demandado: Instituto de Vivienda de Interés  Social  y Reforma  Urbana del Municipio  de Bucaramanga -INVISBU</w:t>
      </w:r>
      <w:r w:rsidRPr="00F57240">
        <w:rPr>
          <w:rFonts w:ascii="Arial" w:hAnsi="Arial" w:cs="Arial"/>
        </w:rPr>
        <w:t>-</w:t>
      </w:r>
    </w:p>
    <w:p w14:paraId="029A24FD" w14:textId="77777777" w:rsidR="00F57240" w:rsidRDefault="00F57240" w:rsidP="00F57240">
      <w:pPr>
        <w:spacing w:after="0" w:line="240" w:lineRule="auto"/>
        <w:jc w:val="center"/>
        <w:rPr>
          <w:rFonts w:ascii="Arial" w:hAnsi="Arial" w:cs="Arial"/>
        </w:rPr>
      </w:pPr>
    </w:p>
    <w:p w14:paraId="393137A0" w14:textId="77777777" w:rsidR="00F57240" w:rsidRDefault="00F57240" w:rsidP="00F57240">
      <w:pPr>
        <w:spacing w:after="0" w:line="240" w:lineRule="auto"/>
        <w:jc w:val="both"/>
        <w:rPr>
          <w:rFonts w:ascii="Arial" w:hAnsi="Arial" w:cs="Arial"/>
        </w:rPr>
      </w:pPr>
    </w:p>
    <w:p w14:paraId="02A52368" w14:textId="17123F1B" w:rsidR="00F57240" w:rsidRDefault="00F57240" w:rsidP="00F57240">
      <w:pPr>
        <w:spacing w:after="0" w:line="240" w:lineRule="auto"/>
        <w:jc w:val="both"/>
        <w:rPr>
          <w:rFonts w:ascii="Arial" w:hAnsi="Arial" w:cs="Arial"/>
        </w:rPr>
      </w:pPr>
      <w:r w:rsidRPr="00F57240">
        <w:rPr>
          <w:rFonts w:ascii="Arial" w:hAnsi="Arial" w:cs="Arial"/>
        </w:rPr>
        <w:t xml:space="preserve">Referencia: </w:t>
      </w:r>
      <w:r>
        <w:rPr>
          <w:rFonts w:ascii="Arial" w:hAnsi="Arial" w:cs="Arial"/>
        </w:rPr>
        <w:t xml:space="preserve"> </w:t>
      </w:r>
      <w:r w:rsidRPr="00F57240">
        <w:rPr>
          <w:rFonts w:ascii="Arial" w:hAnsi="Arial" w:cs="Arial"/>
        </w:rPr>
        <w:t xml:space="preserve">Acción contractual Se  decide el recurso  de apelación  interpuesto   por la parte demandada contra  el  auto   del  28  de  agosto   de  2014,   proferido    por   el  Tribunal  Administrativo de Santander   en  la  audiencia  inicial   prevista   por  el   artículo   180  del  C.P.A.C.A.,  mediante  el  cual  se  declararon  no  probadas  las excepciones de caducidad,  de  indebida     integración     del    contradictorio,     de     indebida     acumulación    de    pretensiones   y de inepta demanda. </w:t>
      </w:r>
    </w:p>
    <w:p w14:paraId="41B0014A" w14:textId="77777777" w:rsidR="00F57240" w:rsidRDefault="00F57240" w:rsidP="00F57240">
      <w:pPr>
        <w:spacing w:after="0" w:line="240" w:lineRule="auto"/>
        <w:jc w:val="both"/>
        <w:rPr>
          <w:rFonts w:ascii="Arial" w:hAnsi="Arial" w:cs="Arial"/>
        </w:rPr>
      </w:pPr>
    </w:p>
    <w:p w14:paraId="566C9CEF" w14:textId="144BF984" w:rsidR="00F57240" w:rsidRPr="00F57240" w:rsidRDefault="00F57240" w:rsidP="00F57240">
      <w:pPr>
        <w:spacing w:after="0" w:line="240" w:lineRule="auto"/>
        <w:jc w:val="both"/>
        <w:rPr>
          <w:rFonts w:ascii="Arial" w:hAnsi="Arial" w:cs="Arial"/>
          <w:b/>
        </w:rPr>
      </w:pPr>
      <w:r w:rsidRPr="00F57240">
        <w:rPr>
          <w:rFonts w:ascii="Arial" w:hAnsi="Arial" w:cs="Arial"/>
        </w:rPr>
        <w:t xml:space="preserve">La   demanda   El   1  de  noviembre   de  2013,  Fénix   Construcciones   S.A.  presentó  demanda  de  controversias   contractuales en contra  del Instituto de Vivienda  de Interés  Social  y  Reforma  Urbana  del Municipio  de Bucaramanga -INVISBU-, con el fin de que:  i) se liquiden   725  contratos  de  obra,  ii)  se  declare  el  desequilibrio    económico  en  la  ejecución   de   725    contratos    de   obra    y    iii]    se    ordene    el     restablecimiento     consecuencial. Como  fundamento  táctico de la demanda se señaló que: El   Instituto  de  Vivienda   de  Interés   Social   y   Reforma   Urbana   del  Municipio   de   Bucaramanga   (en adelante  INVISBU)   adjudicó   a  Fénix  Construcciones   S.A.  725  contratos  de  obra   para  la  construcción  de  725  viviendas  de  interés   social  </w:t>
      </w:r>
      <w:r w:rsidRPr="00F57240">
        <w:rPr>
          <w:rFonts w:ascii="Arial" w:hAnsi="Arial" w:cs="Arial"/>
        </w:rPr>
        <w:lastRenderedPageBreak/>
        <w:t>del  proyecto    "Villas   de   San   Ignacio",   en   el   sector    Betania   de  Bucaramanga  (Santander)  (fl. 437 c.2). ANTECEDENTES www.contratacionenlinea.co</w:t>
      </w:r>
    </w:p>
    <w:p w14:paraId="1FCD5012" w14:textId="77777777" w:rsidR="00F57240" w:rsidRPr="00F57240" w:rsidRDefault="00F57240" w:rsidP="00F57240">
      <w:pPr>
        <w:spacing w:after="0" w:line="240" w:lineRule="auto"/>
        <w:jc w:val="both"/>
        <w:rPr>
          <w:rFonts w:ascii="Arial" w:hAnsi="Arial" w:cs="Arial"/>
        </w:rPr>
      </w:pPr>
      <w:r w:rsidRPr="00F57240">
        <w:rPr>
          <w:rFonts w:ascii="Arial" w:hAnsi="Arial" w:cs="Arial"/>
        </w:rPr>
        <w:t xml:space="preserve">52.273                                                                        2                                                                        Fénix  Construcciones  S.A.  Se    suscribieron   725   contratos   de   obra    entre    el   INVISBU    (contratante),   Fénix   Construcciones     S.A.     (contratista)     y    el     representante     de    la     comunidad     (beneficiario)  y en cada  contrato  se pactaron obligaciones  para cada  una de las partes  (fl. 2 c.l). El  plazo   inicial   convenido  en  cada   uno  de  los   725  contratos   fue  de  9   meses   contado  a  partir  del acta  de inicio  que, para  todos  los  contratos,  fue suscrita  el  1  de    febrero   de   2007;   sin   embargo,   dicho   término   fue   objeto   de   adiciones,   prórrogas  y  suspensiones,  debido  a  la complejidad de cada  relación  contractual  (fl. 3 c.l). La  falta  de  coordinación  por  parte  del  INVISBU  y  la  falta  de  diligencia  de  cada  beneficiario   causaron  que  la  entrega  de  los   inmuebles   se  postergara,   lo  que  provocó     su     deterioro     y    motivó    que    la    ¡nterventoría     ordenara     a     Fénix     Construcciones    S.A.   asumir   las   reparaciones   y   los   sobrecostos    de   éste;   en   consecuencia,   Fénix   Construcciones   S.A.  interpuso   demanda  de    controversias    contractuales,  la cual  fue admitida  por el Tribunal  Administrativo de Santander  el  31 qe   enero  de  2014  y  notificada  en  debida  forma   al  INVISBU,   a  la  Agencia  Nacional  de  Defensa  Jurídica  del Estado  y  a  la  Procuraduría   159 delegada para asuntos  administrativos  (fls. 359  a 361  c.l).  Excepciones Encontrándose   dentro   del  término   para   la  contestación   de  la  demanda,  el  INVISBU  propuso  las siguientes excepciones; - Caducidad:  indico  que el  I de febrero  de 2007 se firmó  el acta  de inicio  de obra de  los  725  contratos  y que el plazo  de ejecución de cada  uno de ellos  venció en 2009,  por lo cual  la parte  actora tenía  hasta  2011  para interponer  la demanda de controversias   contractuales;  sin  embargo,  ésta  se  interpuso  el   15 de  agosto  de  2013,   cuando  ya  había  operado  el  fenómeno  de  la  caducidad  de  la  acción  (fl.401  c.l).  -   Indebida   integración   del  contradictorio:   adujo   que  el  representante   qe  los  beneficiarios  ostentaba  la calidad de parte  en cada  uno de los  contratos,  por  lo  que  era necesaria  su  vinculación,  pues  lo que se pretende  en  este  proceso  es la liquidación de aquéllos  (fl. 367 c.l). </w:t>
      </w:r>
    </w:p>
    <w:p w14:paraId="655884D4" w14:textId="77777777" w:rsidR="00F57240" w:rsidRDefault="00F57240" w:rsidP="00F57240">
      <w:pPr>
        <w:spacing w:after="0" w:line="240" w:lineRule="auto"/>
        <w:jc w:val="both"/>
        <w:rPr>
          <w:rFonts w:ascii="Arial" w:hAnsi="Arial" w:cs="Arial"/>
        </w:rPr>
      </w:pPr>
    </w:p>
    <w:p w14:paraId="67649F41" w14:textId="25B329D5" w:rsidR="00F57240" w:rsidRDefault="00F57240" w:rsidP="00F57240">
      <w:pPr>
        <w:spacing w:after="0" w:line="240" w:lineRule="auto"/>
        <w:jc w:val="both"/>
        <w:rPr>
          <w:rFonts w:ascii="Arial" w:hAnsi="Arial" w:cs="Arial"/>
        </w:rPr>
      </w:pPr>
      <w:r w:rsidRPr="00F57240">
        <w:rPr>
          <w:rFonts w:ascii="Arial" w:hAnsi="Arial" w:cs="Arial"/>
        </w:rPr>
        <w:t>Construcciones  S.A.  -  Indebida  acumulación  de  pretensiones:   dijo  que  para   la  mayoría  de  los  725  contratos  ya  operó  el  fenómeno  de  la  caducidad,   por  lo  cual   no  es   posible   acumular   las  pretensiones   de  esos   contratos   con  las  de  aquellos   que  aún  se  encuentran    en   término    para    el    ejercicio   de   la   acción   de     controversias     contractuales  (fl. 370 c.l). -   Inepta   demanda:    afirmó   que  la   demanda  no   cumple   con  los   requisitos   señalados  en  los   numerales   2  y  3  del  artículo   162  del  C.P.A.C.A.,  pues   no  se  determinaron   las   situaciones   dadas  en  cada   uno  de   los   725   contratos  que  permitan   determinar   si   hubo   incumplimiento    y  el  monto   de  los   perjuicios   que   presuntamente  se  pudieron   haber  causado  a  Fénix  Construcciones  S.A.  (fl.  371  c.l). Auto  apelado  En  la continuación  de la audiencia inicial1  celebrada  el 28 de agosto  de 2014, el Tribunal    Administrativo    de   Santander   declaró   no   probadas   las  excepciones  propuestas  por el demandado. -   Excepción  de  caducidad:   señaló  que  el  término   para   demandar  debía  ser  contado  como  un  único  contrato,  pues,  si  bien  se  suscribieron   725  contratos  de  construcción,  éstos   hacen   parte  de  un  solo  proyecto  de  viviendas  de  interés  social  ("Villas de San Ignacio"), el cual  fue adjudicado a través de un solo  proceso  de  selección.  Asimismo,  afirmó  que, para  la  fecha  de  la  presentación  de  la demanda  (15 de agosto  de  2013),  aún  no  había  operado  el  fenómeno  de la caducidad,   pues  el  plazo  para  demandar debía  contabilizarse  desde  el 8 de febrero  de 2013, cuando se  dio cumplimiento  a la Resolución  28 dol 30 de enero de 2013, mediante  la  cual  el    INVISBU    ordenó    el    pago   de    los    saldos     pendientes    a    favor   de    Fénix    Construcciones  S.A.  (fl. 504 c.l)</w:t>
      </w:r>
    </w:p>
    <w:p w14:paraId="5A77D82E" w14:textId="42AD4769" w:rsidR="00F57240" w:rsidRDefault="00F57240" w:rsidP="00F57240">
      <w:pPr>
        <w:spacing w:after="0" w:line="240" w:lineRule="auto"/>
        <w:jc w:val="both"/>
        <w:rPr>
          <w:rFonts w:ascii="Arial" w:hAnsi="Arial" w:cs="Arial"/>
        </w:rPr>
      </w:pPr>
    </w:p>
    <w:p w14:paraId="0C9953CD" w14:textId="2A5689D5" w:rsidR="00F57240" w:rsidRDefault="00F57240" w:rsidP="00F57240">
      <w:pPr>
        <w:spacing w:after="0" w:line="240" w:lineRule="auto"/>
        <w:jc w:val="both"/>
        <w:rPr>
          <w:rFonts w:ascii="Arial" w:hAnsi="Arial" w:cs="Arial"/>
        </w:rPr>
      </w:pPr>
      <w:r w:rsidRPr="00F57240">
        <w:rPr>
          <w:rFonts w:ascii="Arial" w:hAnsi="Arial" w:cs="Arial"/>
        </w:rPr>
        <w:lastRenderedPageBreak/>
        <w:t>Construcciones  S.A.  establecido   para  su  construcción,  circunstancias  ambas  que  podrían  alterar  el  plazo  general del  contrato.  Así  las  cosas,  al  no  poder  establecer con exactitud  la fecha  de  terminación  del  contrato   según  el  plazo   pactado   y,  por  ello,  al  no  poder  determinar   cuándo   venció  el plazo  para  su  liquidación, tampoco es posible establecer-al menos  por  ahora-    el   momento    a   partir   del   cual    empezó    a   correr    el   plazo    para   la   presentación  de  la demanda de  controversias   contractuales;  por  tanto,  con el propósito  de garantizar  la efectividad del derecho  fundamental de acceso  a la administración  de justicia,  al  existir  duda en la  configuración  o  no del  fenómeno  de  la caducidad  de la acción  se debe  dar trámite  a la demanda,  sin  perjuicio  de  lo que se pruebe en etapas posteriores al proceso. 2)  Indebida  integración del contradictorio El   recurrente    manifestó   que   no   se   encontraba   debidamente   integrado   el   contradictorio,  porque  debió  vincularse  también  a  los  beneficiarios  del proyecto de  construcción de viviendas  de interés  social  "Villas de San Ignacio", puesto que, a  su juicio,  hacen  parte del contrato.  El Tribunal  señaló que aquéllos  no eran  parte  del  negocio jurídico,  por lo cual  no debían  ser vinculados  al proceso. En  consecuencia,  corresponde  al despacho determinar  si  los  beneficiarios  de las 725  casas  del proyecto  "Villas de San Ignacio"  fueron  parte  del conlrato  de obra celebrado  para  su  construcción.  El   contrato   en   mención   fue  suscrito   en   725   documentos   por   el  contratante  (INVISBU),   el  contratista   (Fénix   Construcciones   S.A.)  y   un  representante   de  los  beneficiarios  y  tuvo  como  objeto  la  construcción  de  725  casas  de  interés  social  que   el   contratista   se   obligó   a   construir   según   las   especificaciones   técnicas   constructivas;  por su  parte,  el contratante se  obligó  a  pagar  el valor  pactado  por  cada   vivienda,  financiada  con  recursos   provenientes   del  subsidio   familiar  de  vivienda  nacional  y  municipal  y  del  Fondo   Nacional  de  Regalías;  y,  a  su  vez, el beneficiario   asumió   los   costos   relacionados  con  las  acometidas   domiciliarias,   matrículus  y medidores  individuales  de los  servicios  públicos.  Según  el  objeto   pactado   en  el  contrato,  la  relación  contractual  se  estableció  realmente  entre  el  INVISBU  (contratante)  y  Fénix  Construcciones  S.A.  (contratista),  pues   éstos   fueron    quienes    asumieron    obligaciones    ent</w:t>
      </w:r>
      <w:r>
        <w:rPr>
          <w:rFonts w:ascii="Arial" w:hAnsi="Arial" w:cs="Arial"/>
        </w:rPr>
        <w:t xml:space="preserve">re   sí,   mientras   que  el   </w:t>
      </w:r>
      <w:r w:rsidRPr="00F57240">
        <w:rPr>
          <w:rFonts w:ascii="Arial" w:hAnsi="Arial" w:cs="Arial"/>
        </w:rPr>
        <w:t xml:space="preserve">59.273 Fénix  Construcciones  S.A.  13 beneficiario   no   asumió   obligación   alguna   frenfe   al   contratante   ni   frente   al   contratista  y  simplemente   suscribió  el  negocio  por  ser  el  destinatario  del  objeto  pactado,   es  decir,  la  persona   a  quien   debía   ser  entregada  cada   unidad  de  vivienda   y  sólo  asumió  la  carga  de  realizar   las  gestiones   pertinentes   para  que  caqa  inmueble  contara con la totalidad de  los  servicios   públicos,  carga  que sale de  la  órbita  del  contrato,  pues  su  cumplimiento   no  afectaba   la  ejecución  del  objeto  pactado  y, en caso  de que el beneficiario  incumpliera  la carga  que le fue impuesta,  únicamente  afectaba  su  propio derecho. En  este  contexto,  el despacho encuentra que lo que se configuró  respecto de los beneficiarios   fue  una  estipulación    a   favor   de   otro,    la   cual    constituye   una   excepción  al principio  de relatividad de los  contratos  y se encuentra regulada en el  artículo  1506 del Código  Civil, en los  siguientes   términos:   "Cualquiera  puede  estipular   a  favor  do  una  tercera  persona,  aunque  no  tenga   derecho   para   representarla;   pero   solo   esta   tercera   persona   podrá   demandar  lo  estipulado;  y  mientras   no  intervenga  su  aceptación  expresa   o   tácita,  es  revocable  el  contrato   por  la  sola   voluntad  de   las   partes   que   concurrieron  a él". Al  respecto el tratadista  Fernando  Hinestrosa  Forero  señala:  "Así    como    las    atribuciones     patrimoniales     que   emergen    del    contrato    normalmente  benefician a la partes, cabe la posibilidad de que por  disposición  de  las  mismas  las  obligaciones   de  una  de  las  partes  o  alguna   o  algunas  de  ellas  (promitente)  tengan  por  destinatario  a  un tercero,  esto  es, que su  efecto  o  alguno de ellos se realice  dentro  de la órbita  patrimonial de aquel  ...  en cuanto se  refiere  a  los  celebrantes,  sus  relaciones  se  practican como de ordinario  en  cualquier  contrato, con la  sola  salvedad de que una de las acreencias  sale de su órbita y se radica en cabeza  de un tercero"17. Así, es  posible   concluir,  que la  estipulación  a  favor  de  otro  surgió  en  este   caso   porque en el contrato  se configuró una relación  triangular:  </w:t>
      </w:r>
      <w:r w:rsidRPr="00F57240">
        <w:rPr>
          <w:rFonts w:ascii="Arial" w:hAnsi="Arial" w:cs="Arial"/>
        </w:rPr>
        <w:lastRenderedPageBreak/>
        <w:t>el INVISBU  -estipulante-pacto  con  Fénix  Construcciones  S.A.  -contratista-  que  ésta  debía  construir  725  viviendas  para  ser entregaaas a unos  terceros  -beneficiarios-  las cuales  no  hacían  parte  de la relación  contractual13 y,  por  ello,  su  vinculación  al proceso  no  resulta  indispensable.</w:t>
      </w:r>
    </w:p>
    <w:p w14:paraId="7E35EF74" w14:textId="0F6EC48E" w:rsidR="00DA5AEF" w:rsidRDefault="00DA5AEF" w:rsidP="00F57240">
      <w:pPr>
        <w:spacing w:after="0" w:line="240" w:lineRule="auto"/>
        <w:jc w:val="both"/>
        <w:rPr>
          <w:rFonts w:ascii="Arial" w:hAnsi="Arial" w:cs="Arial"/>
        </w:rPr>
      </w:pPr>
    </w:p>
    <w:p w14:paraId="5C6C433B" w14:textId="07F3E06C" w:rsidR="00F57240" w:rsidRDefault="00F57240" w:rsidP="00F57240">
      <w:pPr>
        <w:spacing w:after="0" w:line="240" w:lineRule="auto"/>
        <w:jc w:val="both"/>
        <w:rPr>
          <w:rFonts w:ascii="Arial" w:hAnsi="Arial" w:cs="Arial"/>
        </w:rPr>
      </w:pPr>
      <w:r w:rsidRPr="00F57240">
        <w:rPr>
          <w:rFonts w:ascii="Arial" w:hAnsi="Arial" w:cs="Arial"/>
        </w:rPr>
        <w:t xml:space="preserve">Construcciones S.A.  Por   lo anterior, se  confirmará  la  decisión  del  a  quo  que  declaró  impróspera  la  excepción de indebida  integración del  contradictorio.  3)  Indebida acumulación de   pretensiones   Bajo   el   entendido   de  que  se   suscribieron   725   contratos   qe   obra,   la   parte   demandada  adujo  que las pretensiones   habían  sido acumuladas  indebidamente,  dado  que  el  fenómeno  de  la  caducidad   había  operado  en  la  mayoría  de  los  contratos. Este   argumento   de  la  apelación  tampoco   está   llamado   a   prosperar,     porque,     como  ya se  dijo,  se  trató de un  solo  contrato  de obra  y  no de 725, además  en el acápite  "1)  Caducidad",  se  decidió  dar trámite  a  la demanda  toda  vez que no fue  posible  determinar   el  momento  en  el  cual  empezó  a  contar  el  término  para  demandar,  esto,  con el fin de garantizar  el acceso  a la administración de  justicia.  En consecuencia, se confirmará la decisión  del Tribunol  de declarar  no  próspera  la  excepción de indebida  acumulación de   pretensiones.   4)  Inepta demanda La    parte    recurrente    afirmó   que   la   demanda   no   cumple   con los   requisitos   establecidos en  los  numerales   2  y  3  del  artículo   162  del  C.P.A.C.A.,  pues,   a  su  juicio,    no   se   expusieron    los   hechos   que  habían   dado   lugar   al   desequilibrio   económico  respecto  de cada  uno de los  725  contratos.  Para  el despacho  no es de recibo  lo  manifestado  por el  INVISBU,  pues,  revisada  la  demanda,   se  encuentra  que  ésta  cumple  con los  requisitos de  carácter   formal   consagrados  en el C.P.A.C.A., debido  a que en  los  acápites  correspondientes    se    expusieron  de manera  clasificada y determinada  los  hechos,  las pretensiones   y  los  fundamentos    de  derecho   y,   asimismo,   en  el   acápite   de   "Estimación   de  la  cuantía"  la parte  actora  insertó  una tabla en la que cuantificó  la suma  que, a  su  juicio,   le  adeudada  el  INVISBU   por  el  desequilibrio  económico  del  contrato  de  obra  de  las  725  unidades  de  vivienda  de  interés  social   y  en  el  mismo   acápite   discriminó   los   sobrecostos    en   los  que  habría   incurrido,   razón   por   la  cual   se   confirmará  lo decido por el Tribunal  respecto  a esta  excepción.  En mérito de lo expuesto, se  </w:t>
      </w:r>
    </w:p>
    <w:p w14:paraId="0D9CB9CF" w14:textId="77777777" w:rsidR="00F57240" w:rsidRPr="00F57240" w:rsidRDefault="00F57240" w:rsidP="00F57240">
      <w:pPr>
        <w:spacing w:after="0"/>
        <w:jc w:val="both"/>
        <w:rPr>
          <w:rFonts w:ascii="Arial" w:hAnsi="Arial" w:cs="Arial"/>
        </w:rPr>
      </w:pPr>
    </w:p>
    <w:p w14:paraId="2A0ECE5B" w14:textId="77777777" w:rsidR="00F57240" w:rsidRDefault="00F57240" w:rsidP="00F57240">
      <w:pPr>
        <w:spacing w:after="0"/>
        <w:jc w:val="both"/>
        <w:rPr>
          <w:rFonts w:ascii="Arial" w:hAnsi="Arial" w:cs="Arial"/>
        </w:rPr>
      </w:pPr>
    </w:p>
    <w:p w14:paraId="45AA7DED" w14:textId="150F42CA" w:rsidR="00F57240" w:rsidRDefault="00F57240" w:rsidP="00F57240">
      <w:pPr>
        <w:spacing w:after="0"/>
        <w:jc w:val="center"/>
        <w:rPr>
          <w:rFonts w:ascii="Arial" w:hAnsi="Arial" w:cs="Arial"/>
        </w:rPr>
      </w:pPr>
      <w:r w:rsidRPr="00F57240">
        <w:rPr>
          <w:rFonts w:ascii="Arial" w:hAnsi="Arial" w:cs="Arial"/>
        </w:rPr>
        <w:t>RESUELVE:</w:t>
      </w:r>
    </w:p>
    <w:p w14:paraId="05820F09" w14:textId="77777777" w:rsidR="00F57240" w:rsidRDefault="00F57240" w:rsidP="00F57240">
      <w:pPr>
        <w:spacing w:after="0"/>
        <w:jc w:val="center"/>
        <w:rPr>
          <w:rFonts w:ascii="Arial" w:hAnsi="Arial" w:cs="Arial"/>
        </w:rPr>
      </w:pPr>
    </w:p>
    <w:p w14:paraId="0EB82E80" w14:textId="77777777" w:rsidR="00F57240" w:rsidRDefault="00F57240" w:rsidP="00F57240">
      <w:pPr>
        <w:spacing w:after="0"/>
        <w:jc w:val="both"/>
        <w:rPr>
          <w:rFonts w:ascii="Arial" w:hAnsi="Arial" w:cs="Arial"/>
        </w:rPr>
      </w:pPr>
      <w:r w:rsidRPr="00F57240">
        <w:rPr>
          <w:rFonts w:ascii="Arial" w:hAnsi="Arial" w:cs="Arial"/>
        </w:rPr>
        <w:t xml:space="preserve">PRIMERO:  CONFÍRMASE  el auto  del 28 de agosto  de 2014,  proferido  por el Tribunal Administrativo de Santander  en la audiencia inicial  prevista  por el artículo  180 del C.P.A.C.A </w:t>
      </w:r>
    </w:p>
    <w:p w14:paraId="0DDE6B0E" w14:textId="77777777" w:rsidR="00F57240" w:rsidRDefault="00F57240" w:rsidP="00F57240">
      <w:pPr>
        <w:spacing w:after="0"/>
        <w:jc w:val="both"/>
        <w:rPr>
          <w:rFonts w:ascii="Arial" w:hAnsi="Arial" w:cs="Arial"/>
        </w:rPr>
      </w:pPr>
    </w:p>
    <w:p w14:paraId="46EB8312" w14:textId="4ADCA623" w:rsidR="00F57240" w:rsidRDefault="00F57240" w:rsidP="00F57240">
      <w:pPr>
        <w:spacing w:after="0"/>
        <w:jc w:val="both"/>
        <w:rPr>
          <w:rFonts w:ascii="Arial" w:hAnsi="Arial" w:cs="Arial"/>
        </w:rPr>
      </w:pPr>
      <w:r w:rsidRPr="00F57240">
        <w:rPr>
          <w:rFonts w:ascii="Arial" w:hAnsi="Arial" w:cs="Arial"/>
        </w:rPr>
        <w:t>SEGUNDO:   En  firme  esta   providencia,</w:t>
      </w:r>
      <w:r>
        <w:rPr>
          <w:rFonts w:ascii="Arial" w:hAnsi="Arial" w:cs="Arial"/>
        </w:rPr>
        <w:t xml:space="preserve"> </w:t>
      </w:r>
      <w:r w:rsidRPr="00F57240">
        <w:rPr>
          <w:rFonts w:ascii="Arial" w:hAnsi="Arial" w:cs="Arial"/>
        </w:rPr>
        <w:t xml:space="preserve">DEVUÉLVASE  el  expediente  al  Tribunal de origen,  para lo de su cargo. </w:t>
      </w:r>
      <w:r>
        <w:rPr>
          <w:rFonts w:ascii="Arial" w:hAnsi="Arial" w:cs="Arial"/>
        </w:rPr>
        <w:t xml:space="preserve">  </w:t>
      </w:r>
    </w:p>
    <w:p w14:paraId="0CE7725C" w14:textId="77777777" w:rsidR="00F57240" w:rsidRDefault="00F57240" w:rsidP="00F57240">
      <w:pPr>
        <w:spacing w:after="0"/>
        <w:jc w:val="both"/>
        <w:rPr>
          <w:rFonts w:ascii="Arial" w:hAnsi="Arial" w:cs="Arial"/>
        </w:rPr>
      </w:pPr>
    </w:p>
    <w:p w14:paraId="58EEEC66" w14:textId="261ADE5C" w:rsidR="00F57240" w:rsidRDefault="00F57240" w:rsidP="00F57240">
      <w:pPr>
        <w:spacing w:after="0"/>
        <w:jc w:val="center"/>
        <w:rPr>
          <w:rFonts w:ascii="Arial" w:hAnsi="Arial" w:cs="Arial"/>
        </w:rPr>
      </w:pPr>
      <w:r w:rsidRPr="00F57240">
        <w:rPr>
          <w:rFonts w:ascii="Arial" w:hAnsi="Arial" w:cs="Arial"/>
        </w:rPr>
        <w:t>COPIESE,  NOTIFÍQUESE  Y  CÚMPLASE</w:t>
      </w:r>
    </w:p>
    <w:p w14:paraId="0C079BC0" w14:textId="36DE9CAD" w:rsidR="00F0598C" w:rsidRDefault="00F0598C" w:rsidP="00F57240">
      <w:pPr>
        <w:spacing w:after="0"/>
        <w:jc w:val="both"/>
        <w:rPr>
          <w:rFonts w:ascii="Arial" w:hAnsi="Arial" w:cs="Arial"/>
        </w:rPr>
      </w:pPr>
    </w:p>
    <w:p w14:paraId="57C65DD1" w14:textId="03A4CA47" w:rsidR="005F2696" w:rsidRPr="00DA5AEF" w:rsidRDefault="005F2696" w:rsidP="00F57240">
      <w:pPr>
        <w:spacing w:after="0"/>
        <w:jc w:val="both"/>
        <w:rPr>
          <w:rFonts w:ascii="Arial" w:hAnsi="Arial" w:cs="Arial"/>
        </w:rPr>
      </w:pPr>
    </w:p>
    <w:sectPr w:rsidR="005F2696" w:rsidRPr="00DA5A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C7"/>
    <w:rsid w:val="00400E69"/>
    <w:rsid w:val="004305C8"/>
    <w:rsid w:val="004C1FBF"/>
    <w:rsid w:val="004F0506"/>
    <w:rsid w:val="005D1D79"/>
    <w:rsid w:val="005F2696"/>
    <w:rsid w:val="00701BC7"/>
    <w:rsid w:val="00B1020C"/>
    <w:rsid w:val="00CB4BDE"/>
    <w:rsid w:val="00DA5AEF"/>
    <w:rsid w:val="00DD49D2"/>
    <w:rsid w:val="00EB3713"/>
    <w:rsid w:val="00F0598C"/>
    <w:rsid w:val="00F57240"/>
    <w:rsid w:val="00F715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526C"/>
  <w15:chartTrackingRefBased/>
  <w15:docId w15:val="{8DEE8DD0-709A-4C74-A5CB-651C9FC3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StyleLight9">
    <w:name w:val="TableStyleLight9"/>
    <w:rsid w:val="00F0598C"/>
    <w:pPr>
      <w:spacing w:after="0" w:line="240" w:lineRule="auto"/>
    </w:pPr>
    <w:rPr>
      <w:rFonts w:ascii="Calibri" w:eastAsiaTheme="minorEastAsia" w:hAnsi="Calibri"/>
      <w:color w:val="000000" w:themeColor="dark1"/>
      <w:sz w:val="20"/>
      <w:szCs w:val="20"/>
      <w:lang w:val="es-CO" w:eastAsia="es-CO"/>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cPr>
      <w:vAlign w:val="bottom"/>
    </w:tcPr>
    <w:tblStylePr w:type="firstRow">
      <w:rPr>
        <w:b/>
        <w:color w:val="FFFFFF" w:themeColor="light1"/>
      </w:rPr>
      <w:tblPr/>
      <w:tcPr>
        <w:shd w:val="solid" w:color="4472C4" w:themeColor="accent1" w:fill="4472C4" w:themeFill="accent1"/>
      </w:tcPr>
    </w:tblStylePr>
    <w:tblStylePr w:type="lastRow">
      <w:rPr>
        <w:b/>
        <w:color w:val="000000" w:themeColor="dark1"/>
      </w:rPr>
      <w:tblPr/>
      <w:tcPr>
        <w:tcBorders>
          <w:top w:val="double" w:sz="8" w:space="0" w:color="4472C4" w:themeColor="accent1"/>
        </w:tcBorders>
      </w:tcPr>
    </w:tblStylePr>
    <w:tblStylePr w:type="firstCol">
      <w:rPr>
        <w:b/>
        <w:color w:val="000000" w:themeColor="dark1"/>
      </w:rPr>
    </w:tblStylePr>
    <w:tblStylePr w:type="lastCol">
      <w:rPr>
        <w:b/>
        <w:color w:val="000000" w:themeColor="dark1"/>
      </w:rPr>
    </w:tblStylePr>
    <w:tblStylePr w:type="band1Vert">
      <w:tblPr/>
      <w:tcPr>
        <w:tcBorders>
          <w:left w:val="single" w:sz="4" w:space="0" w:color="4472C4" w:themeColor="accent1"/>
        </w:tcBorders>
      </w:tcPr>
    </w:tblStylePr>
    <w:tblStylePr w:type="band2Vert">
      <w:tblPr/>
      <w:tcPr>
        <w:tcBorders>
          <w:left w:val="single" w:sz="4" w:space="0" w:color="4472C4" w:themeColor="accent1"/>
        </w:tcBorders>
      </w:tcPr>
    </w:tblStylePr>
    <w:tblStylePr w:type="band1Horz">
      <w:tblPr/>
      <w:tcPr>
        <w:tcBorders>
          <w:top w:val="single" w:sz="4" w:space="0" w:color="4472C4" w:themeColor="accent1"/>
        </w:tcBorders>
      </w:tcPr>
    </w:tblStylePr>
    <w:tblStylePr w:type="band2Horz">
      <w:tblPr/>
      <w:tcPr>
        <w:tcBorders>
          <w:top w:val="single" w:sz="4"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2627">
      <w:bodyDiv w:val="1"/>
      <w:marLeft w:val="0"/>
      <w:marRight w:val="0"/>
      <w:marTop w:val="0"/>
      <w:marBottom w:val="0"/>
      <w:divBdr>
        <w:top w:val="none" w:sz="0" w:space="0" w:color="auto"/>
        <w:left w:val="none" w:sz="0" w:space="0" w:color="auto"/>
        <w:bottom w:val="none" w:sz="0" w:space="0" w:color="auto"/>
        <w:right w:val="none" w:sz="0" w:space="0" w:color="auto"/>
      </w:divBdr>
      <w:divsChild>
        <w:div w:id="970329045">
          <w:marLeft w:val="0"/>
          <w:marRight w:val="0"/>
          <w:marTop w:val="0"/>
          <w:marBottom w:val="120"/>
          <w:divBdr>
            <w:top w:val="none" w:sz="0" w:space="0" w:color="auto"/>
            <w:left w:val="none" w:sz="0" w:space="0" w:color="auto"/>
            <w:bottom w:val="none" w:sz="0" w:space="0" w:color="auto"/>
            <w:right w:val="none" w:sz="0" w:space="0" w:color="auto"/>
          </w:divBdr>
          <w:divsChild>
            <w:div w:id="1680690817">
              <w:marLeft w:val="0"/>
              <w:marRight w:val="0"/>
              <w:marTop w:val="0"/>
              <w:marBottom w:val="0"/>
              <w:divBdr>
                <w:top w:val="none" w:sz="0" w:space="0" w:color="auto"/>
                <w:left w:val="none" w:sz="0" w:space="0" w:color="auto"/>
                <w:bottom w:val="none" w:sz="0" w:space="0" w:color="auto"/>
                <w:right w:val="none" w:sz="0" w:space="0" w:color="auto"/>
              </w:divBdr>
            </w:div>
          </w:divsChild>
        </w:div>
        <w:div w:id="113912595">
          <w:marLeft w:val="0"/>
          <w:marRight w:val="0"/>
          <w:marTop w:val="0"/>
          <w:marBottom w:val="120"/>
          <w:divBdr>
            <w:top w:val="none" w:sz="0" w:space="0" w:color="auto"/>
            <w:left w:val="none" w:sz="0" w:space="0" w:color="auto"/>
            <w:bottom w:val="none" w:sz="0" w:space="0" w:color="auto"/>
            <w:right w:val="none" w:sz="0" w:space="0" w:color="auto"/>
          </w:divBdr>
          <w:divsChild>
            <w:div w:id="100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04202">
      <w:bodyDiv w:val="1"/>
      <w:marLeft w:val="0"/>
      <w:marRight w:val="0"/>
      <w:marTop w:val="0"/>
      <w:marBottom w:val="0"/>
      <w:divBdr>
        <w:top w:val="none" w:sz="0" w:space="0" w:color="auto"/>
        <w:left w:val="none" w:sz="0" w:space="0" w:color="auto"/>
        <w:bottom w:val="none" w:sz="0" w:space="0" w:color="auto"/>
        <w:right w:val="none" w:sz="0" w:space="0" w:color="auto"/>
      </w:divBdr>
      <w:divsChild>
        <w:div w:id="659306314">
          <w:marLeft w:val="0"/>
          <w:marRight w:val="0"/>
          <w:marTop w:val="0"/>
          <w:marBottom w:val="120"/>
          <w:divBdr>
            <w:top w:val="none" w:sz="0" w:space="0" w:color="auto"/>
            <w:left w:val="none" w:sz="0" w:space="0" w:color="auto"/>
            <w:bottom w:val="none" w:sz="0" w:space="0" w:color="auto"/>
            <w:right w:val="none" w:sz="0" w:space="0" w:color="auto"/>
          </w:divBdr>
          <w:divsChild>
            <w:div w:id="802119214">
              <w:marLeft w:val="0"/>
              <w:marRight w:val="0"/>
              <w:marTop w:val="0"/>
              <w:marBottom w:val="0"/>
              <w:divBdr>
                <w:top w:val="none" w:sz="0" w:space="0" w:color="auto"/>
                <w:left w:val="none" w:sz="0" w:space="0" w:color="auto"/>
                <w:bottom w:val="none" w:sz="0" w:space="0" w:color="auto"/>
                <w:right w:val="none" w:sz="0" w:space="0" w:color="auto"/>
              </w:divBdr>
            </w:div>
          </w:divsChild>
        </w:div>
        <w:div w:id="1006904453">
          <w:marLeft w:val="0"/>
          <w:marRight w:val="0"/>
          <w:marTop w:val="0"/>
          <w:marBottom w:val="120"/>
          <w:divBdr>
            <w:top w:val="none" w:sz="0" w:space="0" w:color="auto"/>
            <w:left w:val="none" w:sz="0" w:space="0" w:color="auto"/>
            <w:bottom w:val="none" w:sz="0" w:space="0" w:color="auto"/>
            <w:right w:val="none" w:sz="0" w:space="0" w:color="auto"/>
          </w:divBdr>
          <w:divsChild>
            <w:div w:id="6306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5956">
      <w:bodyDiv w:val="1"/>
      <w:marLeft w:val="0"/>
      <w:marRight w:val="0"/>
      <w:marTop w:val="0"/>
      <w:marBottom w:val="0"/>
      <w:divBdr>
        <w:top w:val="none" w:sz="0" w:space="0" w:color="auto"/>
        <w:left w:val="none" w:sz="0" w:space="0" w:color="auto"/>
        <w:bottom w:val="none" w:sz="0" w:space="0" w:color="auto"/>
        <w:right w:val="none" w:sz="0" w:space="0" w:color="auto"/>
      </w:divBdr>
      <w:divsChild>
        <w:div w:id="596210919">
          <w:marLeft w:val="0"/>
          <w:marRight w:val="0"/>
          <w:marTop w:val="120"/>
          <w:marBottom w:val="120"/>
          <w:divBdr>
            <w:top w:val="none" w:sz="0" w:space="0" w:color="auto"/>
            <w:left w:val="none" w:sz="0" w:space="0" w:color="auto"/>
            <w:bottom w:val="none" w:sz="0" w:space="0" w:color="auto"/>
            <w:right w:val="none" w:sz="0" w:space="0" w:color="auto"/>
          </w:divBdr>
          <w:divsChild>
            <w:div w:id="1687097826">
              <w:marLeft w:val="0"/>
              <w:marRight w:val="0"/>
              <w:marTop w:val="0"/>
              <w:marBottom w:val="0"/>
              <w:divBdr>
                <w:top w:val="none" w:sz="0" w:space="0" w:color="auto"/>
                <w:left w:val="none" w:sz="0" w:space="0" w:color="auto"/>
                <w:bottom w:val="none" w:sz="0" w:space="0" w:color="auto"/>
                <w:right w:val="none" w:sz="0" w:space="0" w:color="auto"/>
              </w:divBdr>
            </w:div>
          </w:divsChild>
        </w:div>
        <w:div w:id="2069724215">
          <w:marLeft w:val="0"/>
          <w:marRight w:val="0"/>
          <w:marTop w:val="0"/>
          <w:marBottom w:val="120"/>
          <w:divBdr>
            <w:top w:val="none" w:sz="0" w:space="0" w:color="auto"/>
            <w:left w:val="none" w:sz="0" w:space="0" w:color="auto"/>
            <w:bottom w:val="none" w:sz="0" w:space="0" w:color="auto"/>
            <w:right w:val="none" w:sz="0" w:space="0" w:color="auto"/>
          </w:divBdr>
          <w:divsChild>
            <w:div w:id="1518697103">
              <w:marLeft w:val="0"/>
              <w:marRight w:val="0"/>
              <w:marTop w:val="0"/>
              <w:marBottom w:val="0"/>
              <w:divBdr>
                <w:top w:val="none" w:sz="0" w:space="0" w:color="auto"/>
                <w:left w:val="none" w:sz="0" w:space="0" w:color="auto"/>
                <w:bottom w:val="none" w:sz="0" w:space="0" w:color="auto"/>
                <w:right w:val="none" w:sz="0" w:space="0" w:color="auto"/>
              </w:divBdr>
            </w:div>
          </w:divsChild>
        </w:div>
        <w:div w:id="1644189233">
          <w:marLeft w:val="0"/>
          <w:marRight w:val="0"/>
          <w:marTop w:val="0"/>
          <w:marBottom w:val="120"/>
          <w:divBdr>
            <w:top w:val="none" w:sz="0" w:space="0" w:color="auto"/>
            <w:left w:val="none" w:sz="0" w:space="0" w:color="auto"/>
            <w:bottom w:val="none" w:sz="0" w:space="0" w:color="auto"/>
            <w:right w:val="none" w:sz="0" w:space="0" w:color="auto"/>
          </w:divBdr>
          <w:divsChild>
            <w:div w:id="19400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F4063-1DEA-4A5C-B40C-9C81C164F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4153F-E866-473F-B514-9F15A9B3ED0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CD17F4A-1868-46C4-A735-667948F85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2462</Words>
  <Characters>13546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Marcela Castellanos Castañeda</dc:creator>
  <cp:keywords/>
  <dc:description/>
  <cp:lastModifiedBy>Ximena Ríos López</cp:lastModifiedBy>
  <cp:revision>4</cp:revision>
  <dcterms:created xsi:type="dcterms:W3CDTF">2020-04-15T20:52:00Z</dcterms:created>
  <dcterms:modified xsi:type="dcterms:W3CDTF">2020-06-16T05:40:00Z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