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831E0" w14:textId="346B4E7E" w:rsidR="005B67A2" w:rsidRPr="00D67F32" w:rsidRDefault="005B2400" w:rsidP="005B2400">
      <w:pPr>
        <w:suppressAutoHyphens/>
        <w:overflowPunct/>
        <w:autoSpaceDE/>
        <w:autoSpaceDN/>
        <w:adjustRightInd/>
        <w:textAlignment w:val="auto"/>
        <w:rPr>
          <w:rFonts w:ascii="Arial" w:hAnsi="Arial" w:cs="Arial"/>
          <w:b/>
          <w:sz w:val="22"/>
          <w:szCs w:val="22"/>
          <w:lang w:val="es-CO"/>
        </w:rPr>
      </w:pPr>
      <w:r w:rsidRPr="00D67F32">
        <w:rPr>
          <w:rFonts w:ascii="Arial" w:hAnsi="Arial" w:cs="Arial"/>
          <w:b/>
          <w:bCs/>
          <w:sz w:val="22"/>
          <w:szCs w:val="22"/>
          <w:lang w:val="es-CO"/>
        </w:rPr>
        <w:t xml:space="preserve">CADUCIDAD </w:t>
      </w:r>
      <w:r w:rsidR="00450FC9" w:rsidRPr="00D67F32">
        <w:rPr>
          <w:rFonts w:ascii="Arial" w:hAnsi="Arial" w:cs="Arial"/>
          <w:b/>
          <w:bCs/>
          <w:sz w:val="22"/>
          <w:szCs w:val="22"/>
          <w:lang w:val="es-CO"/>
        </w:rPr>
        <w:t>DE LA ACCI</w:t>
      </w:r>
      <w:r w:rsidR="00D45DF9">
        <w:rPr>
          <w:rFonts w:ascii="Arial" w:hAnsi="Arial" w:cs="Arial"/>
          <w:b/>
          <w:bCs/>
          <w:sz w:val="22"/>
          <w:szCs w:val="22"/>
          <w:lang w:val="es-CO"/>
        </w:rPr>
        <w:t>Ó</w:t>
      </w:r>
      <w:r w:rsidR="00450FC9" w:rsidRPr="00D67F32">
        <w:rPr>
          <w:rFonts w:ascii="Arial" w:hAnsi="Arial" w:cs="Arial"/>
          <w:b/>
          <w:bCs/>
          <w:sz w:val="22"/>
          <w:szCs w:val="22"/>
          <w:lang w:val="es-CO"/>
        </w:rPr>
        <w:t xml:space="preserve">N </w:t>
      </w:r>
      <w:r w:rsidRPr="00D67F32">
        <w:rPr>
          <w:rFonts w:ascii="Arial" w:hAnsi="Arial" w:cs="Arial"/>
          <w:b/>
          <w:bCs/>
          <w:sz w:val="22"/>
          <w:szCs w:val="22"/>
          <w:lang w:val="es-CO"/>
        </w:rPr>
        <w:t>-</w:t>
      </w:r>
      <w:r w:rsidR="00AB7D49">
        <w:rPr>
          <w:rFonts w:ascii="Arial" w:hAnsi="Arial" w:cs="Arial"/>
          <w:b/>
          <w:bCs/>
          <w:sz w:val="22"/>
          <w:szCs w:val="22"/>
          <w:lang w:val="es-CO"/>
        </w:rPr>
        <w:t xml:space="preserve"> Controversias</w:t>
      </w:r>
      <w:r w:rsidRPr="00D67F32">
        <w:rPr>
          <w:rFonts w:ascii="Arial" w:hAnsi="Arial" w:cs="Arial"/>
          <w:b/>
          <w:bCs/>
          <w:sz w:val="22"/>
          <w:szCs w:val="22"/>
          <w:lang w:val="es-CO"/>
        </w:rPr>
        <w:t xml:space="preserve"> </w:t>
      </w:r>
      <w:r w:rsidR="00AB7D49">
        <w:rPr>
          <w:rFonts w:ascii="Arial" w:hAnsi="Arial" w:cs="Arial"/>
          <w:b/>
          <w:bCs/>
          <w:sz w:val="22"/>
          <w:szCs w:val="22"/>
          <w:lang w:val="es-CO"/>
        </w:rPr>
        <w:t xml:space="preserve">contractuales - </w:t>
      </w:r>
      <w:r w:rsidRPr="00D67F32">
        <w:rPr>
          <w:rFonts w:ascii="Arial" w:hAnsi="Arial" w:cs="Arial"/>
          <w:b/>
          <w:sz w:val="22"/>
          <w:szCs w:val="22"/>
          <w:lang w:val="es-CO"/>
        </w:rPr>
        <w:t xml:space="preserve">Fenómeno jurídico </w:t>
      </w:r>
      <w:r w:rsidR="00AB7D49">
        <w:rPr>
          <w:rFonts w:ascii="Arial" w:hAnsi="Arial" w:cs="Arial"/>
          <w:b/>
          <w:sz w:val="22"/>
          <w:szCs w:val="22"/>
          <w:lang w:val="es-CO"/>
        </w:rPr>
        <w:t>- Concepto</w:t>
      </w:r>
    </w:p>
    <w:p w14:paraId="0B4E5823" w14:textId="77777777" w:rsidR="005B2400" w:rsidRPr="00D67F32" w:rsidRDefault="005B2400" w:rsidP="005B2400">
      <w:pPr>
        <w:suppressAutoHyphens/>
        <w:overflowPunct/>
        <w:autoSpaceDE/>
        <w:autoSpaceDN/>
        <w:adjustRightInd/>
        <w:textAlignment w:val="auto"/>
        <w:rPr>
          <w:rFonts w:ascii="Arial" w:hAnsi="Arial" w:cs="Arial"/>
          <w:bCs/>
          <w:sz w:val="22"/>
          <w:szCs w:val="22"/>
          <w:lang w:val="es-CO"/>
        </w:rPr>
      </w:pPr>
    </w:p>
    <w:p w14:paraId="5797F0A2" w14:textId="77777777" w:rsidR="00450FC9" w:rsidRPr="00D67F32" w:rsidRDefault="005B2400" w:rsidP="00575C57">
      <w:pPr>
        <w:suppressAutoHyphens/>
        <w:overflowPunct/>
        <w:autoSpaceDE/>
        <w:autoSpaceDN/>
        <w:adjustRightInd/>
        <w:jc w:val="both"/>
        <w:textAlignment w:val="auto"/>
        <w:rPr>
          <w:rFonts w:ascii="Arial" w:hAnsi="Arial" w:cs="Arial"/>
          <w:bCs/>
          <w:sz w:val="22"/>
          <w:szCs w:val="22"/>
          <w:lang w:val="es-CO"/>
        </w:rPr>
      </w:pPr>
      <w:r w:rsidRPr="00D67F32">
        <w:rPr>
          <w:rFonts w:ascii="Arial" w:hAnsi="Arial" w:cs="Arial"/>
          <w:bCs/>
          <w:sz w:val="22"/>
          <w:szCs w:val="22"/>
          <w:lang w:val="es-CO"/>
        </w:rPr>
        <w:t xml:space="preserve">La </w:t>
      </w:r>
      <w:r w:rsidR="00450FC9" w:rsidRPr="00D67F32">
        <w:rPr>
          <w:rFonts w:ascii="Arial" w:hAnsi="Arial" w:cs="Arial"/>
          <w:bCs/>
          <w:sz w:val="22"/>
          <w:szCs w:val="22"/>
          <w:lang w:val="es-CO"/>
        </w:rPr>
        <w:t>caducidad de</w:t>
      </w:r>
      <w:r w:rsidRPr="00D67F32">
        <w:rPr>
          <w:rFonts w:ascii="Arial" w:hAnsi="Arial" w:cs="Arial"/>
          <w:bCs/>
          <w:sz w:val="22"/>
          <w:szCs w:val="22"/>
          <w:lang w:val="es-CO"/>
        </w:rPr>
        <w:t xml:space="preserve"> la acción como fenómeno jurídico implica la imposibilidad de formular ante la jurisdicción unas determinadas pretensiones habida cuenta de que ha transcurrido el término que perentoriamente ha señalado la ley para ejercitar la correspondiente acción. La seguridad jurídica y la paz social son las razones que fundamentalmente justifican el que el legislador limite desde el punto de vista temporal la posibilidad de aducir ante el juez unas concretas pretensiones y por ello se dice que la caducidad protege intereses de orden general. Los términos para que opere la caducidad están siempre señalados en la ley y las normas que los contienen son de orden público, razones por las cuales son taxativos y las partes no pueden crear término alguno de caducidad. La caducidad opera de pleno derecho, es decir que se estructura con el solo hecho de transcurrir el tiempo prefijado para ello, y por lo tanto el juez puede y debe decretarla aún de oficio cuando aparezca que ella ha operado. 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 </w:t>
      </w:r>
      <w:bookmarkStart w:id="0" w:name="_GoBack"/>
      <w:bookmarkEnd w:id="0"/>
    </w:p>
    <w:p w14:paraId="7AF76059" w14:textId="77777777" w:rsidR="00450FC9" w:rsidRPr="00D67F32" w:rsidRDefault="00450FC9" w:rsidP="005B2400">
      <w:pPr>
        <w:suppressAutoHyphens/>
        <w:overflowPunct/>
        <w:autoSpaceDE/>
        <w:autoSpaceDN/>
        <w:adjustRightInd/>
        <w:jc w:val="both"/>
        <w:textAlignment w:val="auto"/>
        <w:rPr>
          <w:rFonts w:ascii="Arial" w:hAnsi="Arial" w:cs="Arial"/>
          <w:bCs/>
          <w:sz w:val="22"/>
          <w:szCs w:val="22"/>
          <w:lang w:val="es-CO"/>
        </w:rPr>
      </w:pPr>
    </w:p>
    <w:p w14:paraId="7F382CF1" w14:textId="133295FA" w:rsidR="00450FC9" w:rsidRPr="00D67F32" w:rsidRDefault="00450FC9" w:rsidP="005B2400">
      <w:pPr>
        <w:suppressAutoHyphens/>
        <w:overflowPunct/>
        <w:autoSpaceDE/>
        <w:autoSpaceDN/>
        <w:adjustRightInd/>
        <w:jc w:val="both"/>
        <w:textAlignment w:val="auto"/>
        <w:rPr>
          <w:rFonts w:ascii="Arial" w:hAnsi="Arial" w:cs="Arial"/>
          <w:b/>
          <w:sz w:val="22"/>
          <w:szCs w:val="22"/>
          <w:lang w:val="es-CO"/>
        </w:rPr>
      </w:pPr>
      <w:r w:rsidRPr="00D67F32">
        <w:rPr>
          <w:rFonts w:ascii="Arial" w:hAnsi="Arial" w:cs="Arial"/>
          <w:b/>
          <w:sz w:val="22"/>
          <w:szCs w:val="22"/>
          <w:lang w:val="es-CO"/>
        </w:rPr>
        <w:t>CADUCIDAD DE LA ACCI</w:t>
      </w:r>
      <w:r w:rsidR="00D45DF9">
        <w:rPr>
          <w:rFonts w:ascii="Arial" w:hAnsi="Arial" w:cs="Arial"/>
          <w:b/>
          <w:sz w:val="22"/>
          <w:szCs w:val="22"/>
          <w:lang w:val="es-CO"/>
        </w:rPr>
        <w:t>Ó</w:t>
      </w:r>
      <w:r w:rsidRPr="00D67F32">
        <w:rPr>
          <w:rFonts w:ascii="Arial" w:hAnsi="Arial" w:cs="Arial"/>
          <w:b/>
          <w:sz w:val="22"/>
          <w:szCs w:val="22"/>
          <w:lang w:val="es-CO"/>
        </w:rPr>
        <w:t>N</w:t>
      </w:r>
      <w:r w:rsidR="00AB7D49">
        <w:rPr>
          <w:rFonts w:ascii="Arial" w:hAnsi="Arial" w:cs="Arial"/>
          <w:b/>
          <w:sz w:val="22"/>
          <w:szCs w:val="22"/>
          <w:lang w:val="es-CO"/>
        </w:rPr>
        <w:t xml:space="preserve"> - Irrenunc</w:t>
      </w:r>
      <w:r w:rsidR="004F53B3">
        <w:rPr>
          <w:rFonts w:ascii="Arial" w:hAnsi="Arial" w:cs="Arial"/>
          <w:b/>
          <w:sz w:val="22"/>
          <w:szCs w:val="22"/>
          <w:lang w:val="es-CO"/>
        </w:rPr>
        <w:t>iable</w:t>
      </w:r>
      <w:r w:rsidR="00AB7D49">
        <w:rPr>
          <w:rFonts w:ascii="Arial" w:hAnsi="Arial" w:cs="Arial"/>
          <w:b/>
          <w:sz w:val="22"/>
          <w:szCs w:val="22"/>
          <w:lang w:val="es-CO"/>
        </w:rPr>
        <w:t xml:space="preserve"> - Término -</w:t>
      </w:r>
      <w:r w:rsidRPr="00D67F32">
        <w:rPr>
          <w:rFonts w:ascii="Arial" w:hAnsi="Arial" w:cs="Arial"/>
          <w:b/>
          <w:sz w:val="22"/>
          <w:szCs w:val="22"/>
          <w:lang w:val="es-CO"/>
        </w:rPr>
        <w:t xml:space="preserve"> </w:t>
      </w:r>
      <w:r w:rsidR="00AB7D49">
        <w:rPr>
          <w:rFonts w:ascii="Arial" w:hAnsi="Arial" w:cs="Arial"/>
          <w:b/>
          <w:sz w:val="22"/>
          <w:szCs w:val="22"/>
          <w:lang w:val="es-CO"/>
        </w:rPr>
        <w:t>Orden público</w:t>
      </w:r>
    </w:p>
    <w:p w14:paraId="29210812" w14:textId="77777777" w:rsidR="00450FC9" w:rsidRPr="00D67F32" w:rsidRDefault="00450FC9" w:rsidP="005B2400">
      <w:pPr>
        <w:suppressAutoHyphens/>
        <w:overflowPunct/>
        <w:autoSpaceDE/>
        <w:autoSpaceDN/>
        <w:adjustRightInd/>
        <w:jc w:val="both"/>
        <w:textAlignment w:val="auto"/>
        <w:rPr>
          <w:rFonts w:ascii="Arial" w:hAnsi="Arial" w:cs="Arial"/>
          <w:bCs/>
          <w:sz w:val="22"/>
          <w:szCs w:val="22"/>
          <w:lang w:val="es-CO"/>
        </w:rPr>
      </w:pPr>
    </w:p>
    <w:p w14:paraId="733F7161" w14:textId="77777777" w:rsidR="005B2400" w:rsidRPr="00D67F32" w:rsidRDefault="00575C57" w:rsidP="005B2400">
      <w:pPr>
        <w:suppressAutoHyphens/>
        <w:overflowPunct/>
        <w:autoSpaceDE/>
        <w:autoSpaceDN/>
        <w:adjustRightInd/>
        <w:jc w:val="both"/>
        <w:textAlignment w:val="auto"/>
        <w:rPr>
          <w:rFonts w:ascii="Arial" w:hAnsi="Arial" w:cs="Arial"/>
          <w:bCs/>
          <w:sz w:val="22"/>
          <w:szCs w:val="22"/>
          <w:lang w:val="es-CO"/>
        </w:rPr>
      </w:pPr>
      <w:r w:rsidRPr="00D67F32">
        <w:rPr>
          <w:rFonts w:ascii="Arial" w:hAnsi="Arial" w:cs="Arial"/>
          <w:bCs/>
          <w:sz w:val="22"/>
          <w:szCs w:val="22"/>
          <w:lang w:val="es-CO"/>
        </w:rPr>
        <w:t>L</w:t>
      </w:r>
      <w:r w:rsidR="005B2400" w:rsidRPr="00D67F32">
        <w:rPr>
          <w:rFonts w:ascii="Arial" w:hAnsi="Arial" w:cs="Arial"/>
          <w:bCs/>
          <w:sz w:val="22"/>
          <w:szCs w:val="22"/>
          <w:lang w:val="es-CO"/>
        </w:rPr>
        <w:t xml:space="preserve">a caducidad, precisamente por ser de orden público, no puede ser renunciada y no se interrumpe sino en los limitados casos exceptuados en la ley. Pues bien, de todas estas características que se han mencionado emerge que una vez que se da el supuesto de hecho que el legislador ha señalado como comienzo del término de caducidad, él indefectiblemente empieza a correr y en ningún caso queda en manos de alguna de las partes la posibilidad de variar el término prefijado en la ley. 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que si el plazo legalmente previsto para realizar la liquidación concluye sin que esta se hubiere hecho, irremediablemente el término de caducidad habrá empezado a correr a partir de la conclusión de este último momento y por ende ninguna incidencia tendrá en el término de caducidad una liquidación posterior. Sostener lo contrario sería tanto como argumentar que el término de caducidad puede quedar al arbitrio de alguna de las partes. En efecto, de no ser como se viene afirmando se llegaría a la extraña e ilegal situación de existir un término de caducidad superior al previsto en la ley en virtud de la decisión de alguna de las partes, tal como ocurriría por ejemplo en la hipótesis en que la liquidación del contrato viene a hacerse después de haber transcurrido trece (13) o más meses desde que concluyeron los plazos legalmente previstos para liquidar el contrato. Y es que la posición que aquí se critica impondría la obligada pero errada e ilegal conclusión consistente en que el término de caducidad ya no sería de dos años contados a partir del momento en que vencieron los términos legales para liquidar el contrato, sino de treinta y tres o más meses (13 o más desde el vencimiento de los términos legales para liquidar el contrato y 24 más a partir de la liquidación extemporánea), todo por decisión de quien o quienes liquidaron el contrato por fuera de los términos legalmente previstos para ello.”   </w:t>
      </w:r>
    </w:p>
    <w:p w14:paraId="63ED8415" w14:textId="77777777" w:rsidR="00173419" w:rsidRPr="00D67F32" w:rsidRDefault="00173419" w:rsidP="00043371">
      <w:pPr>
        <w:suppressAutoHyphens/>
        <w:overflowPunct/>
        <w:autoSpaceDE/>
        <w:autoSpaceDN/>
        <w:adjustRightInd/>
        <w:jc w:val="center"/>
        <w:textAlignment w:val="auto"/>
        <w:rPr>
          <w:rFonts w:ascii="Arial" w:hAnsi="Arial" w:cs="Arial"/>
          <w:b/>
          <w:bCs/>
          <w:sz w:val="22"/>
          <w:szCs w:val="22"/>
          <w:lang w:val="es-CO"/>
        </w:rPr>
      </w:pPr>
    </w:p>
    <w:p w14:paraId="29F0FE8F" w14:textId="77777777" w:rsidR="00450FC9" w:rsidRPr="00D67F32" w:rsidRDefault="00450FC9" w:rsidP="00043371">
      <w:pPr>
        <w:suppressAutoHyphens/>
        <w:overflowPunct/>
        <w:autoSpaceDE/>
        <w:autoSpaceDN/>
        <w:adjustRightInd/>
        <w:jc w:val="center"/>
        <w:textAlignment w:val="auto"/>
        <w:rPr>
          <w:rFonts w:ascii="Arial" w:hAnsi="Arial" w:cs="Arial"/>
          <w:b/>
          <w:bCs/>
          <w:sz w:val="22"/>
          <w:szCs w:val="22"/>
          <w:lang w:val="es-CO"/>
        </w:rPr>
      </w:pPr>
    </w:p>
    <w:p w14:paraId="1D628121" w14:textId="77777777" w:rsidR="00450FC9" w:rsidRDefault="00450FC9" w:rsidP="00043371">
      <w:pPr>
        <w:suppressAutoHyphens/>
        <w:overflowPunct/>
        <w:autoSpaceDE/>
        <w:autoSpaceDN/>
        <w:adjustRightInd/>
        <w:jc w:val="center"/>
        <w:textAlignment w:val="auto"/>
        <w:rPr>
          <w:rFonts w:ascii="Arial" w:hAnsi="Arial" w:cs="Arial"/>
          <w:b/>
          <w:bCs/>
          <w:sz w:val="24"/>
          <w:szCs w:val="24"/>
          <w:lang w:val="es-CO"/>
        </w:rPr>
      </w:pPr>
    </w:p>
    <w:p w14:paraId="670085E9" w14:textId="77777777" w:rsidR="00043371" w:rsidRPr="00043371" w:rsidRDefault="00043371" w:rsidP="00043371">
      <w:pPr>
        <w:suppressAutoHyphens/>
        <w:overflowPunct/>
        <w:autoSpaceDE/>
        <w:autoSpaceDN/>
        <w:adjustRightInd/>
        <w:jc w:val="center"/>
        <w:textAlignment w:val="auto"/>
        <w:rPr>
          <w:rFonts w:ascii="Arial" w:hAnsi="Arial" w:cs="Arial"/>
          <w:b/>
          <w:bCs/>
          <w:sz w:val="24"/>
          <w:szCs w:val="24"/>
          <w:lang w:val="es-CO"/>
        </w:rPr>
      </w:pPr>
      <w:r w:rsidRPr="00043371">
        <w:rPr>
          <w:rFonts w:ascii="Arial" w:hAnsi="Arial" w:cs="Arial"/>
          <w:b/>
          <w:bCs/>
          <w:sz w:val="24"/>
          <w:szCs w:val="24"/>
          <w:lang w:val="es-CO"/>
        </w:rPr>
        <w:t>CONSEJO DE ESTADO</w:t>
      </w:r>
    </w:p>
    <w:p w14:paraId="1A1E1AF5" w14:textId="77777777" w:rsidR="00043371" w:rsidRPr="00043371" w:rsidRDefault="00043371" w:rsidP="00043371">
      <w:pPr>
        <w:suppressAutoHyphens/>
        <w:overflowPunct/>
        <w:autoSpaceDE/>
        <w:autoSpaceDN/>
        <w:adjustRightInd/>
        <w:jc w:val="center"/>
        <w:textAlignment w:val="auto"/>
        <w:rPr>
          <w:rFonts w:ascii="Arial" w:hAnsi="Arial" w:cs="Arial"/>
          <w:b/>
          <w:bCs/>
          <w:sz w:val="24"/>
          <w:szCs w:val="24"/>
          <w:lang w:val="es-ES"/>
        </w:rPr>
      </w:pPr>
    </w:p>
    <w:p w14:paraId="0FFCDE48" w14:textId="77777777" w:rsidR="00043371" w:rsidRPr="00043371" w:rsidRDefault="00043371" w:rsidP="00043371">
      <w:pPr>
        <w:suppressAutoHyphens/>
        <w:overflowPunct/>
        <w:autoSpaceDE/>
        <w:autoSpaceDN/>
        <w:adjustRightInd/>
        <w:jc w:val="center"/>
        <w:textAlignment w:val="auto"/>
        <w:rPr>
          <w:rFonts w:ascii="Arial" w:hAnsi="Arial" w:cs="Arial"/>
          <w:b/>
          <w:bCs/>
          <w:sz w:val="24"/>
          <w:szCs w:val="24"/>
          <w:lang w:val="es-ES"/>
        </w:rPr>
      </w:pPr>
      <w:r w:rsidRPr="00043371">
        <w:rPr>
          <w:rFonts w:ascii="Arial" w:hAnsi="Arial" w:cs="Arial"/>
          <w:b/>
          <w:bCs/>
          <w:sz w:val="24"/>
          <w:szCs w:val="24"/>
          <w:lang w:val="es-ES"/>
        </w:rPr>
        <w:t>SALA DE LO CONTENCIOSO ADMINISTRATIVO</w:t>
      </w:r>
    </w:p>
    <w:p w14:paraId="72E82940" w14:textId="77777777" w:rsidR="00043371" w:rsidRPr="00043371" w:rsidRDefault="00043371" w:rsidP="00043371">
      <w:pPr>
        <w:suppressAutoHyphens/>
        <w:overflowPunct/>
        <w:autoSpaceDE/>
        <w:autoSpaceDN/>
        <w:adjustRightInd/>
        <w:jc w:val="center"/>
        <w:textAlignment w:val="auto"/>
        <w:rPr>
          <w:rFonts w:ascii="Arial" w:hAnsi="Arial" w:cs="Arial"/>
          <w:b/>
          <w:bCs/>
          <w:sz w:val="24"/>
          <w:szCs w:val="24"/>
          <w:lang w:val="es-ES"/>
        </w:rPr>
      </w:pPr>
    </w:p>
    <w:p w14:paraId="4F8365D3" w14:textId="77777777" w:rsidR="00043371" w:rsidRPr="00043371" w:rsidRDefault="00043371" w:rsidP="00043371">
      <w:pPr>
        <w:suppressAutoHyphens/>
        <w:overflowPunct/>
        <w:autoSpaceDE/>
        <w:autoSpaceDN/>
        <w:adjustRightInd/>
        <w:jc w:val="center"/>
        <w:textAlignment w:val="auto"/>
        <w:rPr>
          <w:rFonts w:ascii="Arial" w:hAnsi="Arial" w:cs="Arial"/>
          <w:b/>
          <w:bCs/>
          <w:sz w:val="24"/>
          <w:szCs w:val="24"/>
          <w:lang w:val="es-ES"/>
        </w:rPr>
      </w:pPr>
      <w:r w:rsidRPr="00043371">
        <w:rPr>
          <w:rFonts w:ascii="Arial" w:hAnsi="Arial" w:cs="Arial"/>
          <w:b/>
          <w:bCs/>
          <w:sz w:val="24"/>
          <w:szCs w:val="24"/>
          <w:lang w:val="es-ES"/>
        </w:rPr>
        <w:t>SECCIÓN TERCERA</w:t>
      </w:r>
    </w:p>
    <w:p w14:paraId="7EE626F1" w14:textId="77777777" w:rsidR="00043371" w:rsidRPr="00043371" w:rsidRDefault="00043371" w:rsidP="00043371">
      <w:pPr>
        <w:suppressAutoHyphens/>
        <w:overflowPunct/>
        <w:autoSpaceDE/>
        <w:autoSpaceDN/>
        <w:adjustRightInd/>
        <w:jc w:val="center"/>
        <w:textAlignment w:val="auto"/>
        <w:rPr>
          <w:rFonts w:ascii="Arial" w:hAnsi="Arial" w:cs="Arial"/>
          <w:b/>
          <w:sz w:val="24"/>
          <w:szCs w:val="24"/>
          <w:lang w:val="es-ES"/>
        </w:rPr>
      </w:pPr>
    </w:p>
    <w:p w14:paraId="5E70DCD7" w14:textId="77777777" w:rsidR="00043371" w:rsidRPr="00043371" w:rsidRDefault="00043371" w:rsidP="00043371">
      <w:pPr>
        <w:suppressAutoHyphens/>
        <w:overflowPunct/>
        <w:autoSpaceDE/>
        <w:autoSpaceDN/>
        <w:adjustRightInd/>
        <w:jc w:val="center"/>
        <w:textAlignment w:val="auto"/>
        <w:rPr>
          <w:rFonts w:ascii="Arial" w:hAnsi="Arial" w:cs="Arial"/>
          <w:b/>
          <w:sz w:val="24"/>
          <w:szCs w:val="24"/>
          <w:lang w:val="es-ES"/>
        </w:rPr>
      </w:pPr>
      <w:r w:rsidRPr="00043371">
        <w:rPr>
          <w:rFonts w:ascii="Arial" w:hAnsi="Arial" w:cs="Arial"/>
          <w:b/>
          <w:sz w:val="24"/>
          <w:szCs w:val="24"/>
          <w:lang w:val="es-ES"/>
        </w:rPr>
        <w:t>SUBSECCION C</w:t>
      </w:r>
    </w:p>
    <w:p w14:paraId="2AD51686" w14:textId="77777777" w:rsidR="00043371" w:rsidRPr="00043371" w:rsidRDefault="00043371" w:rsidP="00043371">
      <w:pPr>
        <w:suppressAutoHyphens/>
        <w:overflowPunct/>
        <w:autoSpaceDE/>
        <w:autoSpaceDN/>
        <w:adjustRightInd/>
        <w:ind w:hanging="426"/>
        <w:jc w:val="center"/>
        <w:textAlignment w:val="auto"/>
        <w:rPr>
          <w:rFonts w:ascii="Arial" w:hAnsi="Arial" w:cs="Arial"/>
          <w:b/>
          <w:sz w:val="24"/>
          <w:szCs w:val="24"/>
          <w:lang w:val="es-ES"/>
        </w:rPr>
      </w:pPr>
    </w:p>
    <w:p w14:paraId="4BCDD42B" w14:textId="77777777" w:rsidR="00043371" w:rsidRPr="00043371" w:rsidRDefault="00043371" w:rsidP="00043371">
      <w:pPr>
        <w:suppressAutoHyphens/>
        <w:overflowPunct/>
        <w:autoSpaceDE/>
        <w:autoSpaceDN/>
        <w:adjustRightInd/>
        <w:ind w:hanging="426"/>
        <w:jc w:val="center"/>
        <w:textAlignment w:val="auto"/>
        <w:rPr>
          <w:rFonts w:ascii="Arial" w:hAnsi="Arial" w:cs="Arial"/>
          <w:sz w:val="24"/>
          <w:szCs w:val="24"/>
          <w:lang w:val="es-CO"/>
        </w:rPr>
      </w:pPr>
      <w:r w:rsidRPr="00043371">
        <w:rPr>
          <w:rFonts w:ascii="Arial" w:hAnsi="Arial" w:cs="Arial"/>
          <w:b/>
          <w:sz w:val="24"/>
          <w:szCs w:val="24"/>
          <w:lang w:val="es-ES"/>
        </w:rPr>
        <w:t>Consejero ponente:</w:t>
      </w:r>
      <w:r w:rsidRPr="00043371">
        <w:rPr>
          <w:rFonts w:ascii="Arial" w:hAnsi="Arial" w:cs="Arial"/>
          <w:sz w:val="24"/>
          <w:szCs w:val="24"/>
          <w:lang w:val="es-ES"/>
        </w:rPr>
        <w:t xml:space="preserve"> </w:t>
      </w:r>
      <w:r w:rsidRPr="00043371">
        <w:rPr>
          <w:rFonts w:ascii="Arial" w:hAnsi="Arial" w:cs="Arial"/>
          <w:b/>
          <w:bCs/>
          <w:spacing w:val="-3"/>
          <w:sz w:val="24"/>
          <w:szCs w:val="24"/>
          <w:lang w:val="es-ES"/>
        </w:rPr>
        <w:t>JAIME ORLANDO SANTOFIMIO GAMBOA</w:t>
      </w:r>
    </w:p>
    <w:p w14:paraId="32514605" w14:textId="77777777" w:rsidR="00E50FF4" w:rsidRPr="00043371" w:rsidRDefault="00E50FF4" w:rsidP="00043371">
      <w:pPr>
        <w:jc w:val="both"/>
        <w:rPr>
          <w:rFonts w:ascii="Arial" w:hAnsi="Arial" w:cs="Arial"/>
          <w:sz w:val="24"/>
          <w:szCs w:val="24"/>
          <w:lang w:val="es-ES"/>
        </w:rPr>
      </w:pPr>
    </w:p>
    <w:p w14:paraId="72F803D5" w14:textId="77777777" w:rsidR="00E50FF4" w:rsidRPr="00043371" w:rsidRDefault="00E50FF4" w:rsidP="00043371">
      <w:pPr>
        <w:jc w:val="both"/>
        <w:rPr>
          <w:rFonts w:ascii="Arial" w:hAnsi="Arial" w:cs="Arial"/>
          <w:sz w:val="24"/>
          <w:szCs w:val="24"/>
          <w:lang w:val="es-ES"/>
        </w:rPr>
      </w:pPr>
      <w:r w:rsidRPr="00043371">
        <w:rPr>
          <w:rFonts w:ascii="Arial" w:hAnsi="Arial" w:cs="Arial"/>
          <w:sz w:val="24"/>
          <w:szCs w:val="24"/>
          <w:lang w:val="es-ES"/>
        </w:rPr>
        <w:lastRenderedPageBreak/>
        <w:t>Bogotá D.C</w:t>
      </w:r>
      <w:r w:rsidR="00043371">
        <w:rPr>
          <w:rFonts w:ascii="Arial" w:hAnsi="Arial" w:cs="Arial"/>
          <w:sz w:val="24"/>
          <w:szCs w:val="24"/>
          <w:lang w:val="es-ES"/>
        </w:rPr>
        <w:t>.</w:t>
      </w:r>
      <w:r w:rsidRPr="00043371">
        <w:rPr>
          <w:rFonts w:ascii="Arial" w:hAnsi="Arial" w:cs="Arial"/>
          <w:sz w:val="24"/>
          <w:szCs w:val="24"/>
          <w:lang w:val="es-ES"/>
        </w:rPr>
        <w:t>, cuatro (4) de abril de dos mil dieciséis (2016)</w:t>
      </w:r>
      <w:r w:rsidR="00043371">
        <w:rPr>
          <w:rFonts w:ascii="Arial" w:hAnsi="Arial" w:cs="Arial"/>
          <w:sz w:val="24"/>
          <w:szCs w:val="24"/>
          <w:lang w:val="es-ES"/>
        </w:rPr>
        <w:t>.</w:t>
      </w:r>
    </w:p>
    <w:p w14:paraId="2FB7F04D" w14:textId="77777777" w:rsidR="00E50FF4" w:rsidRPr="00043371" w:rsidRDefault="00E50FF4" w:rsidP="00043371">
      <w:pPr>
        <w:jc w:val="both"/>
        <w:rPr>
          <w:rFonts w:ascii="Arial" w:hAnsi="Arial" w:cs="Arial"/>
          <w:b/>
          <w:sz w:val="24"/>
          <w:szCs w:val="24"/>
          <w:lang w:val="es-ES"/>
        </w:rPr>
      </w:pPr>
    </w:p>
    <w:p w14:paraId="3E8A7F6E" w14:textId="77777777" w:rsidR="00E50FF4" w:rsidRPr="00043371" w:rsidRDefault="00E50FF4" w:rsidP="00043371">
      <w:pPr>
        <w:jc w:val="both"/>
        <w:rPr>
          <w:rFonts w:ascii="Arial" w:hAnsi="Arial" w:cs="Arial"/>
          <w:b/>
          <w:sz w:val="24"/>
          <w:szCs w:val="24"/>
        </w:rPr>
      </w:pPr>
      <w:r w:rsidRPr="00043371">
        <w:rPr>
          <w:rFonts w:ascii="Arial" w:hAnsi="Arial" w:cs="Arial"/>
          <w:b/>
          <w:sz w:val="24"/>
          <w:szCs w:val="24"/>
        </w:rPr>
        <w:t>Radicación número: 05001-23-</w:t>
      </w:r>
      <w:r w:rsidR="00043371">
        <w:rPr>
          <w:rFonts w:ascii="Arial" w:hAnsi="Arial" w:cs="Arial"/>
          <w:b/>
          <w:sz w:val="24"/>
          <w:szCs w:val="24"/>
        </w:rPr>
        <w:t>33-</w:t>
      </w:r>
      <w:r w:rsidRPr="00043371">
        <w:rPr>
          <w:rFonts w:ascii="Arial" w:hAnsi="Arial" w:cs="Arial"/>
          <w:b/>
          <w:sz w:val="24"/>
          <w:szCs w:val="24"/>
        </w:rPr>
        <w:t>000-2007-02604-01(54708)</w:t>
      </w:r>
    </w:p>
    <w:p w14:paraId="62478769" w14:textId="77777777" w:rsidR="00043371" w:rsidRDefault="00043371" w:rsidP="00043371">
      <w:pPr>
        <w:jc w:val="both"/>
        <w:rPr>
          <w:rFonts w:ascii="Arial" w:hAnsi="Arial" w:cs="Arial"/>
          <w:b/>
          <w:sz w:val="24"/>
          <w:szCs w:val="24"/>
        </w:rPr>
      </w:pPr>
    </w:p>
    <w:p w14:paraId="6D22A8EC" w14:textId="77777777" w:rsidR="00E50FF4" w:rsidRPr="00043371" w:rsidRDefault="00E50FF4" w:rsidP="00043371">
      <w:pPr>
        <w:jc w:val="both"/>
        <w:rPr>
          <w:rFonts w:ascii="Arial" w:hAnsi="Arial" w:cs="Arial"/>
          <w:b/>
          <w:sz w:val="24"/>
          <w:szCs w:val="24"/>
        </w:rPr>
      </w:pPr>
      <w:r w:rsidRPr="00043371">
        <w:rPr>
          <w:rFonts w:ascii="Arial" w:hAnsi="Arial" w:cs="Arial"/>
          <w:b/>
          <w:sz w:val="24"/>
          <w:szCs w:val="24"/>
        </w:rPr>
        <w:t>Actor: CONSORCIO ALDEBARÁN INGENIEROS</w:t>
      </w:r>
    </w:p>
    <w:p w14:paraId="65B76782" w14:textId="77777777" w:rsidR="00043371" w:rsidRDefault="00043371" w:rsidP="00043371">
      <w:pPr>
        <w:jc w:val="both"/>
        <w:rPr>
          <w:rFonts w:ascii="Arial" w:hAnsi="Arial" w:cs="Arial"/>
          <w:b/>
          <w:sz w:val="24"/>
          <w:szCs w:val="24"/>
        </w:rPr>
      </w:pPr>
    </w:p>
    <w:p w14:paraId="480AD725" w14:textId="77777777" w:rsidR="00E50FF4" w:rsidRPr="00043371" w:rsidRDefault="00E50FF4" w:rsidP="00043371">
      <w:pPr>
        <w:jc w:val="both"/>
        <w:rPr>
          <w:rFonts w:ascii="Arial" w:hAnsi="Arial" w:cs="Arial"/>
          <w:b/>
          <w:sz w:val="24"/>
          <w:szCs w:val="24"/>
        </w:rPr>
      </w:pPr>
      <w:r w:rsidRPr="00043371">
        <w:rPr>
          <w:rFonts w:ascii="Arial" w:hAnsi="Arial" w:cs="Arial"/>
          <w:b/>
          <w:sz w:val="24"/>
          <w:szCs w:val="24"/>
        </w:rPr>
        <w:t>Demandado: EMPRESAS PÚBLICAS DE MEDELLÍN E.S.P.</w:t>
      </w:r>
    </w:p>
    <w:p w14:paraId="62EC7603" w14:textId="77777777" w:rsidR="00043371" w:rsidRDefault="00043371" w:rsidP="00043371">
      <w:pPr>
        <w:jc w:val="both"/>
        <w:rPr>
          <w:rFonts w:ascii="Arial" w:hAnsi="Arial" w:cs="Arial"/>
          <w:b/>
          <w:sz w:val="24"/>
          <w:szCs w:val="24"/>
        </w:rPr>
      </w:pPr>
    </w:p>
    <w:p w14:paraId="24784D8C" w14:textId="77777777" w:rsidR="00043371" w:rsidRDefault="00043371" w:rsidP="00043371">
      <w:pPr>
        <w:jc w:val="both"/>
        <w:rPr>
          <w:rFonts w:ascii="Arial" w:hAnsi="Arial" w:cs="Arial"/>
          <w:b/>
          <w:sz w:val="24"/>
          <w:szCs w:val="24"/>
        </w:rPr>
      </w:pPr>
    </w:p>
    <w:p w14:paraId="3643C263" w14:textId="77777777" w:rsidR="00E50FF4" w:rsidRPr="00043371" w:rsidRDefault="00043371" w:rsidP="00043371">
      <w:pPr>
        <w:jc w:val="both"/>
        <w:rPr>
          <w:rFonts w:ascii="Arial" w:hAnsi="Arial" w:cs="Arial"/>
          <w:b/>
          <w:sz w:val="24"/>
          <w:szCs w:val="24"/>
          <w:lang w:val="es-ES"/>
        </w:rPr>
      </w:pPr>
      <w:r>
        <w:rPr>
          <w:rFonts w:ascii="Arial" w:hAnsi="Arial" w:cs="Arial"/>
          <w:b/>
          <w:sz w:val="24"/>
          <w:szCs w:val="24"/>
        </w:rPr>
        <w:t>Referencia</w:t>
      </w:r>
      <w:r w:rsidRPr="00043371">
        <w:rPr>
          <w:rFonts w:ascii="Arial" w:hAnsi="Arial" w:cs="Arial"/>
          <w:b/>
          <w:sz w:val="24"/>
          <w:szCs w:val="24"/>
        </w:rPr>
        <w:t>: ACCIÓN DE CONTROVERSIAS CONTRACTUALES (</w:t>
      </w:r>
      <w:r>
        <w:rPr>
          <w:rFonts w:ascii="Arial" w:hAnsi="Arial" w:cs="Arial"/>
          <w:b/>
          <w:sz w:val="24"/>
          <w:szCs w:val="24"/>
        </w:rPr>
        <w:t xml:space="preserve">APELACIÓN </w:t>
      </w:r>
      <w:r w:rsidRPr="00043371">
        <w:rPr>
          <w:rFonts w:ascii="Arial" w:hAnsi="Arial" w:cs="Arial"/>
          <w:b/>
          <w:sz w:val="24"/>
          <w:szCs w:val="24"/>
        </w:rPr>
        <w:t>SENTENCIA)</w:t>
      </w:r>
    </w:p>
    <w:p w14:paraId="6085113A" w14:textId="77777777" w:rsidR="00043371" w:rsidRDefault="00043371" w:rsidP="00043371">
      <w:pPr>
        <w:jc w:val="both"/>
        <w:rPr>
          <w:rFonts w:ascii="Arial" w:hAnsi="Arial" w:cs="Arial"/>
          <w:b/>
          <w:sz w:val="24"/>
          <w:szCs w:val="24"/>
        </w:rPr>
      </w:pPr>
    </w:p>
    <w:p w14:paraId="6BF2BFED" w14:textId="77777777" w:rsidR="00043371" w:rsidRDefault="00043371" w:rsidP="00043371">
      <w:pPr>
        <w:jc w:val="both"/>
        <w:rPr>
          <w:rFonts w:ascii="Arial" w:hAnsi="Arial" w:cs="Arial"/>
          <w:b/>
          <w:sz w:val="24"/>
          <w:szCs w:val="24"/>
        </w:rPr>
      </w:pPr>
    </w:p>
    <w:p w14:paraId="5AB9C97A" w14:textId="77777777" w:rsidR="00E50FF4" w:rsidRPr="00043371" w:rsidRDefault="00E50FF4" w:rsidP="00043371">
      <w:pPr>
        <w:jc w:val="both"/>
        <w:rPr>
          <w:rFonts w:ascii="Arial" w:hAnsi="Arial" w:cs="Arial"/>
          <w:b/>
          <w:sz w:val="24"/>
          <w:szCs w:val="24"/>
        </w:rPr>
      </w:pPr>
      <w:r w:rsidRPr="00043371">
        <w:rPr>
          <w:rFonts w:ascii="Arial" w:hAnsi="Arial" w:cs="Arial"/>
          <w:b/>
          <w:sz w:val="24"/>
          <w:szCs w:val="24"/>
        </w:rPr>
        <w:t xml:space="preserve">Asunto: Recurso de apelación </w:t>
      </w:r>
    </w:p>
    <w:p w14:paraId="24733A31" w14:textId="77777777" w:rsidR="00E50FF4" w:rsidRPr="00043371" w:rsidRDefault="00E50FF4" w:rsidP="00043371">
      <w:pPr>
        <w:jc w:val="both"/>
        <w:rPr>
          <w:rFonts w:ascii="Arial" w:hAnsi="Arial" w:cs="Arial"/>
          <w:sz w:val="24"/>
          <w:szCs w:val="24"/>
        </w:rPr>
      </w:pPr>
    </w:p>
    <w:p w14:paraId="738C40B7" w14:textId="77777777" w:rsidR="00E50FF4" w:rsidRPr="00043371" w:rsidRDefault="00E50FF4" w:rsidP="00043371">
      <w:pPr>
        <w:jc w:val="both"/>
        <w:rPr>
          <w:rFonts w:ascii="Arial" w:hAnsi="Arial" w:cs="Arial"/>
          <w:sz w:val="24"/>
          <w:szCs w:val="24"/>
        </w:rPr>
      </w:pPr>
    </w:p>
    <w:p w14:paraId="669BA14B" w14:textId="77777777" w:rsidR="00E50FF4" w:rsidRPr="000A7E58" w:rsidRDefault="00E50FF4" w:rsidP="00E50FF4">
      <w:pPr>
        <w:spacing w:line="360" w:lineRule="auto"/>
        <w:jc w:val="both"/>
        <w:rPr>
          <w:rFonts w:ascii="Arial" w:hAnsi="Arial" w:cs="Arial"/>
        </w:rPr>
      </w:pPr>
      <w:r w:rsidRPr="000A7E58">
        <w:rPr>
          <w:rFonts w:ascii="Arial" w:hAnsi="Arial"/>
          <w:b/>
        </w:rPr>
        <w:t>Contenido:</w:t>
      </w:r>
      <w:r w:rsidRPr="000A7E58">
        <w:rPr>
          <w:rFonts w:ascii="Arial" w:hAnsi="Arial"/>
        </w:rPr>
        <w:t xml:space="preserve"> Descriptor: Declaratoria de oficio de la excepción de </w:t>
      </w:r>
      <w:r w:rsidRPr="000A7E58">
        <w:rPr>
          <w:rFonts w:ascii="Arial" w:hAnsi="Arial" w:cs="Arial"/>
        </w:rPr>
        <w:t xml:space="preserve">caducidad de la acción contractual / Restrictor: </w:t>
      </w:r>
      <w:r w:rsidRPr="000A7E58">
        <w:rPr>
          <w:rFonts w:ascii="Arial" w:hAnsi="Arial" w:cs="Arial"/>
          <w:bCs/>
          <w:lang w:val="es-ES"/>
        </w:rPr>
        <w:t>Perentoriedad de los términos de caducidad</w:t>
      </w:r>
      <w:r w:rsidRPr="000A7E58">
        <w:rPr>
          <w:rFonts w:ascii="Arial" w:hAnsi="Arial" w:cs="Arial"/>
        </w:rPr>
        <w:t>.</w:t>
      </w:r>
    </w:p>
    <w:p w14:paraId="7B879AFA" w14:textId="77777777" w:rsidR="00E50FF4" w:rsidRDefault="00E50FF4" w:rsidP="00E50FF4">
      <w:pPr>
        <w:ind w:right="-134"/>
        <w:jc w:val="both"/>
        <w:rPr>
          <w:rFonts w:ascii="Arial" w:hAnsi="Arial" w:cs="Arial"/>
        </w:rPr>
      </w:pPr>
    </w:p>
    <w:p w14:paraId="1C5155C5" w14:textId="77777777" w:rsidR="00E50FF4" w:rsidRDefault="00E50FF4" w:rsidP="00E50FF4">
      <w:pPr>
        <w:spacing w:line="360" w:lineRule="auto"/>
        <w:ind w:right="-134"/>
        <w:jc w:val="both"/>
        <w:rPr>
          <w:rFonts w:ascii="Arial" w:hAnsi="Arial" w:cs="Arial"/>
          <w:sz w:val="24"/>
          <w:szCs w:val="24"/>
        </w:rPr>
      </w:pPr>
      <w:r w:rsidRPr="00C473DB">
        <w:rPr>
          <w:rFonts w:ascii="Arial" w:hAnsi="Arial" w:cs="Arial"/>
          <w:sz w:val="24"/>
          <w:szCs w:val="24"/>
        </w:rPr>
        <w:t xml:space="preserve">Decide la Sala el recurso de apelación interpuesto por </w:t>
      </w:r>
      <w:r>
        <w:rPr>
          <w:rFonts w:ascii="Arial" w:hAnsi="Arial" w:cs="Arial"/>
          <w:sz w:val="24"/>
          <w:szCs w:val="24"/>
        </w:rPr>
        <w:t>la parte demandante contra la S</w:t>
      </w:r>
      <w:r w:rsidRPr="00C473DB">
        <w:rPr>
          <w:rFonts w:ascii="Arial" w:hAnsi="Arial" w:cs="Arial"/>
          <w:sz w:val="24"/>
          <w:szCs w:val="24"/>
        </w:rPr>
        <w:t>entencia del</w:t>
      </w:r>
      <w:r>
        <w:rPr>
          <w:rFonts w:ascii="Arial" w:hAnsi="Arial" w:cs="Arial"/>
          <w:sz w:val="24"/>
          <w:szCs w:val="24"/>
        </w:rPr>
        <w:t xml:space="preserve"> </w:t>
      </w:r>
      <w:r>
        <w:rPr>
          <w:rFonts w:ascii="Arial" w:hAnsi="Arial" w:cs="Arial"/>
          <w:bCs/>
          <w:sz w:val="24"/>
          <w:szCs w:val="24"/>
        </w:rPr>
        <w:t xml:space="preserve">29 de julio de 2013 </w:t>
      </w:r>
      <w:r>
        <w:rPr>
          <w:rFonts w:ascii="Arial" w:hAnsi="Arial" w:cs="Arial"/>
          <w:sz w:val="24"/>
          <w:szCs w:val="24"/>
        </w:rPr>
        <w:t>proferida por</w:t>
      </w:r>
      <w:r>
        <w:rPr>
          <w:rFonts w:ascii="Arial" w:hAnsi="Arial" w:cs="Arial"/>
          <w:bCs/>
          <w:sz w:val="24"/>
          <w:szCs w:val="24"/>
        </w:rPr>
        <w:t xml:space="preserve"> la Sala Cuarta de Decisión</w:t>
      </w:r>
      <w:r>
        <w:rPr>
          <w:rFonts w:ascii="Arial" w:hAnsi="Arial" w:cs="Arial"/>
          <w:sz w:val="24"/>
          <w:szCs w:val="24"/>
        </w:rPr>
        <w:t xml:space="preserve"> del Tribunal Administrativo de Antioquia, mediante la cual se decidió:</w:t>
      </w:r>
    </w:p>
    <w:p w14:paraId="77541E3C" w14:textId="77777777" w:rsidR="00E50FF4" w:rsidRDefault="00E50FF4" w:rsidP="00E50FF4">
      <w:pPr>
        <w:spacing w:line="360" w:lineRule="auto"/>
        <w:ind w:right="-134"/>
        <w:jc w:val="both"/>
        <w:rPr>
          <w:rFonts w:ascii="Arial" w:hAnsi="Arial" w:cs="Arial"/>
          <w:sz w:val="24"/>
          <w:szCs w:val="24"/>
        </w:rPr>
      </w:pPr>
    </w:p>
    <w:p w14:paraId="7118E26C" w14:textId="77777777" w:rsidR="00E50FF4" w:rsidRPr="008E185A" w:rsidRDefault="00E50FF4" w:rsidP="00E50FF4">
      <w:pPr>
        <w:ind w:left="709" w:right="-134"/>
        <w:jc w:val="both"/>
        <w:rPr>
          <w:rFonts w:ascii="Arial" w:hAnsi="Arial" w:cs="Arial"/>
          <w:i/>
        </w:rPr>
      </w:pPr>
      <w:r>
        <w:rPr>
          <w:rFonts w:ascii="Arial" w:hAnsi="Arial" w:cs="Arial"/>
          <w:i/>
        </w:rPr>
        <w:t>“</w:t>
      </w:r>
      <w:r w:rsidRPr="008E185A">
        <w:rPr>
          <w:rFonts w:ascii="Arial" w:hAnsi="Arial" w:cs="Arial"/>
          <w:b/>
          <w:i/>
        </w:rPr>
        <w:t xml:space="preserve">PRIMERO: DECLARAR </w:t>
      </w:r>
      <w:r w:rsidRPr="008E185A">
        <w:rPr>
          <w:rFonts w:ascii="Arial" w:hAnsi="Arial" w:cs="Arial"/>
          <w:i/>
        </w:rPr>
        <w:t>probada las excepciones de Inexistencia del demandante, Indebida r</w:t>
      </w:r>
      <w:r>
        <w:rPr>
          <w:rFonts w:ascii="Arial" w:hAnsi="Arial" w:cs="Arial"/>
          <w:i/>
        </w:rPr>
        <w:t>epresentación del demandante e I</w:t>
      </w:r>
      <w:r w:rsidRPr="008E185A">
        <w:rPr>
          <w:rFonts w:ascii="Arial" w:hAnsi="Arial" w:cs="Arial"/>
          <w:i/>
        </w:rPr>
        <w:t>nsuficiencia del poder para actuar y falta de legitima</w:t>
      </w:r>
      <w:r>
        <w:rPr>
          <w:rFonts w:ascii="Arial" w:hAnsi="Arial" w:cs="Arial"/>
          <w:i/>
        </w:rPr>
        <w:t>c</w:t>
      </w:r>
      <w:r w:rsidRPr="008E185A">
        <w:rPr>
          <w:rFonts w:ascii="Arial" w:hAnsi="Arial" w:cs="Arial"/>
          <w:i/>
        </w:rPr>
        <w:t>ión en la causa por activa, propuestas por la entidad demandada, por las razones expuestas en la parte motiva del presente proveído.</w:t>
      </w:r>
    </w:p>
    <w:p w14:paraId="62B34889" w14:textId="77777777" w:rsidR="00E50FF4" w:rsidRPr="008E185A" w:rsidRDefault="00E50FF4" w:rsidP="00E50FF4">
      <w:pPr>
        <w:ind w:left="709" w:right="-134"/>
        <w:jc w:val="both"/>
        <w:rPr>
          <w:rFonts w:ascii="Arial" w:hAnsi="Arial" w:cs="Arial"/>
          <w:i/>
        </w:rPr>
      </w:pPr>
    </w:p>
    <w:p w14:paraId="12F2A0FD" w14:textId="77777777" w:rsidR="00E50FF4" w:rsidRPr="008E185A" w:rsidRDefault="00E50FF4" w:rsidP="00E50FF4">
      <w:pPr>
        <w:ind w:left="709" w:right="-134"/>
        <w:jc w:val="both"/>
        <w:rPr>
          <w:rFonts w:ascii="Arial" w:hAnsi="Arial" w:cs="Arial"/>
          <w:i/>
        </w:rPr>
      </w:pPr>
      <w:r w:rsidRPr="008E185A">
        <w:rPr>
          <w:rFonts w:ascii="Arial" w:hAnsi="Arial" w:cs="Arial"/>
          <w:b/>
          <w:i/>
        </w:rPr>
        <w:t>SEGUNDO: INHIBIRSE,</w:t>
      </w:r>
      <w:r w:rsidRPr="008E185A">
        <w:rPr>
          <w:rFonts w:ascii="Arial" w:hAnsi="Arial" w:cs="Arial"/>
          <w:i/>
        </w:rPr>
        <w:t xml:space="preserve"> para conocer del asunto por las razones expuestas en la parte motiva de la presente providencia.</w:t>
      </w:r>
      <w:r>
        <w:rPr>
          <w:rFonts w:ascii="Arial" w:hAnsi="Arial" w:cs="Arial"/>
          <w:i/>
        </w:rPr>
        <w:t xml:space="preserve"> (…)”</w:t>
      </w:r>
    </w:p>
    <w:p w14:paraId="0116CF00" w14:textId="77777777" w:rsidR="00E50FF4" w:rsidRPr="00594D34" w:rsidRDefault="00E50FF4" w:rsidP="00E50FF4">
      <w:pPr>
        <w:spacing w:line="360" w:lineRule="auto"/>
        <w:ind w:right="-134"/>
        <w:jc w:val="both"/>
        <w:rPr>
          <w:rFonts w:ascii="Arial" w:hAnsi="Arial" w:cs="Arial"/>
          <w:sz w:val="24"/>
          <w:szCs w:val="24"/>
        </w:rPr>
      </w:pPr>
    </w:p>
    <w:p w14:paraId="630FD23E" w14:textId="77777777" w:rsidR="00E50FF4" w:rsidRDefault="00E50FF4" w:rsidP="00E50FF4">
      <w:pPr>
        <w:spacing w:line="360" w:lineRule="auto"/>
        <w:ind w:right="-134"/>
        <w:jc w:val="center"/>
        <w:rPr>
          <w:rFonts w:ascii="Arial" w:hAnsi="Arial" w:cs="Arial"/>
          <w:b/>
          <w:sz w:val="24"/>
          <w:szCs w:val="24"/>
        </w:rPr>
      </w:pPr>
      <w:r w:rsidRPr="00594D34">
        <w:rPr>
          <w:rFonts w:ascii="Arial" w:hAnsi="Arial" w:cs="Arial"/>
          <w:b/>
          <w:sz w:val="24"/>
          <w:szCs w:val="24"/>
        </w:rPr>
        <w:t>I. ANTECEDENTES</w:t>
      </w:r>
    </w:p>
    <w:p w14:paraId="71018AE9" w14:textId="77777777" w:rsidR="00E50FF4" w:rsidRPr="00594D34" w:rsidRDefault="00E50FF4" w:rsidP="00E50FF4">
      <w:pPr>
        <w:spacing w:line="360" w:lineRule="auto"/>
        <w:ind w:right="-134"/>
        <w:jc w:val="center"/>
        <w:rPr>
          <w:rFonts w:ascii="Arial" w:hAnsi="Arial" w:cs="Arial"/>
          <w:b/>
          <w:sz w:val="24"/>
          <w:szCs w:val="24"/>
        </w:rPr>
      </w:pPr>
    </w:p>
    <w:p w14:paraId="633AF1A5" w14:textId="77777777" w:rsidR="00E50FF4" w:rsidRDefault="00E50FF4" w:rsidP="00E50FF4">
      <w:pPr>
        <w:numPr>
          <w:ilvl w:val="0"/>
          <w:numId w:val="2"/>
        </w:numPr>
        <w:tabs>
          <w:tab w:val="left" w:pos="284"/>
          <w:tab w:val="left" w:pos="426"/>
        </w:tabs>
        <w:overflowPunct/>
        <w:autoSpaceDE/>
        <w:autoSpaceDN/>
        <w:adjustRightInd/>
        <w:spacing w:line="360" w:lineRule="auto"/>
        <w:ind w:left="0" w:right="-134" w:firstLine="0"/>
        <w:jc w:val="both"/>
        <w:textAlignment w:val="auto"/>
        <w:rPr>
          <w:rFonts w:ascii="Arial" w:hAnsi="Arial" w:cs="Arial"/>
          <w:b/>
          <w:sz w:val="24"/>
          <w:szCs w:val="24"/>
        </w:rPr>
      </w:pPr>
      <w:r>
        <w:rPr>
          <w:rFonts w:ascii="Arial" w:hAnsi="Arial" w:cs="Arial"/>
          <w:b/>
          <w:sz w:val="24"/>
          <w:szCs w:val="24"/>
        </w:rPr>
        <w:t>Lo pretendido</w:t>
      </w:r>
    </w:p>
    <w:p w14:paraId="67554172" w14:textId="77777777" w:rsidR="00E50FF4" w:rsidRPr="00594D34" w:rsidRDefault="00E50FF4" w:rsidP="00E50FF4">
      <w:pPr>
        <w:tabs>
          <w:tab w:val="left" w:pos="284"/>
          <w:tab w:val="left" w:pos="426"/>
        </w:tabs>
        <w:spacing w:line="360" w:lineRule="auto"/>
        <w:ind w:right="-134"/>
        <w:jc w:val="both"/>
        <w:rPr>
          <w:rFonts w:ascii="Arial" w:hAnsi="Arial" w:cs="Arial"/>
          <w:b/>
          <w:sz w:val="24"/>
          <w:szCs w:val="24"/>
        </w:rPr>
      </w:pPr>
    </w:p>
    <w:p w14:paraId="4CBCB1F1" w14:textId="77777777" w:rsidR="00E50FF4" w:rsidRDefault="00E50FF4" w:rsidP="00E50FF4">
      <w:pPr>
        <w:spacing w:line="360" w:lineRule="auto"/>
        <w:ind w:right="-134"/>
        <w:jc w:val="both"/>
        <w:rPr>
          <w:rFonts w:ascii="Arial" w:hAnsi="Arial" w:cs="Arial"/>
          <w:bCs/>
          <w:sz w:val="24"/>
          <w:szCs w:val="24"/>
        </w:rPr>
      </w:pPr>
      <w:r w:rsidRPr="0094187F">
        <w:rPr>
          <w:rFonts w:ascii="Arial" w:hAnsi="Arial" w:cs="Arial"/>
          <w:bCs/>
          <w:sz w:val="24"/>
          <w:szCs w:val="24"/>
        </w:rPr>
        <w:t>El</w:t>
      </w:r>
      <w:r>
        <w:rPr>
          <w:rFonts w:ascii="Arial" w:hAnsi="Arial" w:cs="Arial"/>
          <w:bCs/>
          <w:sz w:val="24"/>
          <w:szCs w:val="24"/>
        </w:rPr>
        <w:t xml:space="preserve"> 14 de abril de 2004</w:t>
      </w:r>
      <w:r w:rsidRPr="0094187F">
        <w:rPr>
          <w:rStyle w:val="Refdenotaalpie"/>
          <w:rFonts w:ascii="Arial" w:hAnsi="Arial" w:cs="Arial"/>
          <w:bCs/>
          <w:sz w:val="24"/>
          <w:szCs w:val="24"/>
        </w:rPr>
        <w:footnoteReference w:id="1"/>
      </w:r>
      <w:r w:rsidRPr="0094187F">
        <w:rPr>
          <w:rFonts w:ascii="Arial" w:hAnsi="Arial" w:cs="Arial"/>
          <w:bCs/>
          <w:sz w:val="24"/>
          <w:szCs w:val="24"/>
        </w:rPr>
        <w:t xml:space="preserve"> </w:t>
      </w:r>
      <w:r>
        <w:rPr>
          <w:rFonts w:ascii="Arial" w:hAnsi="Arial" w:cs="Arial"/>
          <w:bCs/>
          <w:sz w:val="24"/>
          <w:szCs w:val="24"/>
        </w:rPr>
        <w:t>el Consorcio</w:t>
      </w:r>
      <w:r>
        <w:rPr>
          <w:rFonts w:ascii="Arial" w:hAnsi="Arial" w:cs="Arial"/>
          <w:b/>
          <w:bCs/>
          <w:sz w:val="24"/>
          <w:szCs w:val="24"/>
        </w:rPr>
        <w:t xml:space="preserve"> Aldebarán Ingenieros, </w:t>
      </w:r>
      <w:r>
        <w:rPr>
          <w:rFonts w:ascii="Arial" w:hAnsi="Arial" w:cs="Arial"/>
          <w:bCs/>
          <w:sz w:val="24"/>
          <w:szCs w:val="24"/>
        </w:rPr>
        <w:t xml:space="preserve">presentó demanda contra las </w:t>
      </w:r>
      <w:r>
        <w:rPr>
          <w:rFonts w:ascii="Arial" w:hAnsi="Arial" w:cs="Arial"/>
          <w:b/>
          <w:bCs/>
          <w:sz w:val="24"/>
          <w:szCs w:val="24"/>
        </w:rPr>
        <w:t>Empresas Públicas de Medellín</w:t>
      </w:r>
      <w:r w:rsidRPr="00A06230">
        <w:rPr>
          <w:rFonts w:ascii="Arial" w:hAnsi="Arial" w:cs="Arial"/>
          <w:b/>
          <w:bCs/>
          <w:sz w:val="24"/>
          <w:szCs w:val="24"/>
        </w:rPr>
        <w:t xml:space="preserve"> E.S.P., </w:t>
      </w:r>
      <w:r>
        <w:rPr>
          <w:rFonts w:ascii="Arial" w:hAnsi="Arial" w:cs="Arial"/>
          <w:bCs/>
          <w:sz w:val="24"/>
          <w:szCs w:val="24"/>
        </w:rPr>
        <w:t>para que se declare que esta es</w:t>
      </w:r>
      <w:r w:rsidRPr="005A6FAD">
        <w:rPr>
          <w:rFonts w:ascii="Arial" w:hAnsi="Arial" w:cs="Arial"/>
          <w:bCs/>
          <w:sz w:val="24"/>
          <w:szCs w:val="24"/>
        </w:rPr>
        <w:t xml:space="preserve"> </w:t>
      </w:r>
      <w:r w:rsidRPr="000A7E58">
        <w:rPr>
          <w:rFonts w:ascii="Arial" w:hAnsi="Arial" w:cs="Arial"/>
          <w:bCs/>
          <w:sz w:val="24"/>
          <w:szCs w:val="24"/>
        </w:rPr>
        <w:t>civilmente</w:t>
      </w:r>
      <w:r>
        <w:rPr>
          <w:rFonts w:ascii="Arial" w:hAnsi="Arial" w:cs="Arial"/>
          <w:bCs/>
          <w:sz w:val="24"/>
          <w:szCs w:val="24"/>
        </w:rPr>
        <w:t xml:space="preserve"> responsable por los perjuicios ocasionados por el incumplimiento reiterado del Contrato No. 6107090, cuyo objeto era la construcción y venta de acometidas, instalaciones y puesta en servicio para la distribución de gas natural en las zonas de cobertura del servicio. </w:t>
      </w:r>
    </w:p>
    <w:p w14:paraId="7E034A3B" w14:textId="77777777" w:rsidR="00E50FF4" w:rsidRDefault="00E50FF4" w:rsidP="00E50FF4">
      <w:pPr>
        <w:spacing w:line="360" w:lineRule="auto"/>
        <w:ind w:right="-134"/>
        <w:jc w:val="both"/>
        <w:rPr>
          <w:rFonts w:ascii="Arial" w:hAnsi="Arial" w:cs="Arial"/>
          <w:bCs/>
          <w:sz w:val="24"/>
          <w:szCs w:val="24"/>
        </w:rPr>
      </w:pPr>
      <w:r>
        <w:rPr>
          <w:rFonts w:ascii="Arial" w:hAnsi="Arial" w:cs="Arial"/>
          <w:bCs/>
          <w:sz w:val="24"/>
          <w:szCs w:val="24"/>
        </w:rPr>
        <w:t xml:space="preserve">En consecuencia, pide que se condene a la entidad demandada al pago de una indemnización por los perjuicios materiales ocasionados en las modalidades de daño emergente y lucro cesante, los cuales ascienden a la suma de $397.481.510 </w:t>
      </w:r>
    </w:p>
    <w:p w14:paraId="5F43B7E9" w14:textId="77777777" w:rsidR="00E50FF4" w:rsidRDefault="00E50FF4" w:rsidP="00E50FF4">
      <w:pPr>
        <w:spacing w:line="360" w:lineRule="auto"/>
        <w:ind w:right="-134"/>
        <w:jc w:val="both"/>
        <w:rPr>
          <w:rFonts w:ascii="Arial" w:hAnsi="Arial" w:cs="Arial"/>
          <w:bCs/>
          <w:sz w:val="24"/>
          <w:szCs w:val="24"/>
          <w:lang w:val="es-ES"/>
        </w:rPr>
      </w:pPr>
    </w:p>
    <w:p w14:paraId="43F356DC" w14:textId="77777777" w:rsidR="00E50FF4" w:rsidRDefault="00E50FF4" w:rsidP="00E50FF4">
      <w:pPr>
        <w:spacing w:line="360" w:lineRule="auto"/>
        <w:ind w:right="-134"/>
        <w:jc w:val="both"/>
        <w:rPr>
          <w:rFonts w:ascii="Arial" w:hAnsi="Arial" w:cs="Arial"/>
          <w:bCs/>
          <w:sz w:val="24"/>
          <w:szCs w:val="24"/>
          <w:lang w:val="es-ES"/>
        </w:rPr>
      </w:pPr>
      <w:r>
        <w:rPr>
          <w:rFonts w:ascii="Arial" w:hAnsi="Arial" w:cs="Arial"/>
          <w:bCs/>
          <w:sz w:val="24"/>
          <w:szCs w:val="24"/>
          <w:lang w:val="es-ES"/>
        </w:rPr>
        <w:lastRenderedPageBreak/>
        <w:t>Además que se condene a la demandada al pago de la clausula penal correspondiente al 10% del valor total del contrato, al pago de una multa por valor de $5.200.000, cantidad que fue impuesta unilateralmente por la accionada por el incumplimiento de las obligaciones contractuales, al pago de otra multa estipulada por incumplimiento de las órdenes de la interventoría, ejecución de las obras y retraso en la entrega de cada instalación, correspondiente a $100.000 por cada día de retraso en la entrega de órdenes de trabajo.</w:t>
      </w:r>
    </w:p>
    <w:p w14:paraId="6958215E" w14:textId="77777777" w:rsidR="00E50FF4" w:rsidRDefault="00E50FF4" w:rsidP="00E50FF4">
      <w:pPr>
        <w:spacing w:line="360" w:lineRule="auto"/>
        <w:ind w:right="-134"/>
        <w:jc w:val="both"/>
        <w:rPr>
          <w:rFonts w:ascii="Arial" w:hAnsi="Arial" w:cs="Arial"/>
          <w:bCs/>
          <w:sz w:val="24"/>
          <w:szCs w:val="24"/>
          <w:lang w:val="es-ES"/>
        </w:rPr>
      </w:pPr>
    </w:p>
    <w:p w14:paraId="7504FF1E" w14:textId="77777777" w:rsidR="00E50FF4" w:rsidRDefault="00E50FF4" w:rsidP="00E50FF4">
      <w:pPr>
        <w:spacing w:line="360" w:lineRule="auto"/>
        <w:ind w:right="-134"/>
        <w:jc w:val="both"/>
        <w:rPr>
          <w:rFonts w:ascii="Arial" w:hAnsi="Arial" w:cs="Arial"/>
          <w:bCs/>
          <w:sz w:val="24"/>
          <w:szCs w:val="24"/>
          <w:lang w:val="es-ES"/>
        </w:rPr>
      </w:pPr>
      <w:r>
        <w:rPr>
          <w:rFonts w:ascii="Arial" w:hAnsi="Arial" w:cs="Arial"/>
          <w:bCs/>
          <w:sz w:val="24"/>
          <w:szCs w:val="24"/>
          <w:lang w:val="es-ES"/>
        </w:rPr>
        <w:t>También requiere que se le cancele los perjuicios morales en un equivalente a 1.000 SMLMV y se le pague los honorarios denominados “hora arquitecto” establecido en el contrato no. 6107090.</w:t>
      </w:r>
    </w:p>
    <w:p w14:paraId="5BBC1849" w14:textId="77777777" w:rsidR="00E50FF4" w:rsidRDefault="00E50FF4" w:rsidP="00E50FF4">
      <w:pPr>
        <w:spacing w:line="360" w:lineRule="auto"/>
        <w:ind w:right="-134"/>
        <w:jc w:val="both"/>
        <w:rPr>
          <w:rFonts w:ascii="Arial" w:hAnsi="Arial" w:cs="Arial"/>
          <w:bCs/>
          <w:sz w:val="24"/>
          <w:szCs w:val="24"/>
          <w:lang w:val="es-ES"/>
        </w:rPr>
      </w:pPr>
    </w:p>
    <w:p w14:paraId="59FC820F" w14:textId="77777777" w:rsidR="00E50FF4" w:rsidRDefault="00E50FF4" w:rsidP="00E50FF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Por último, pide que los valores peticionados sean actualizados e indexados y que se condene en costas y agencias en derecho al accionado. </w:t>
      </w:r>
    </w:p>
    <w:p w14:paraId="4716559C" w14:textId="77777777" w:rsidR="00E50FF4" w:rsidRPr="008E0257" w:rsidRDefault="00E50FF4" w:rsidP="00E50FF4">
      <w:pPr>
        <w:spacing w:line="360" w:lineRule="auto"/>
        <w:ind w:right="-134"/>
        <w:jc w:val="both"/>
        <w:rPr>
          <w:rFonts w:ascii="Arial" w:hAnsi="Arial"/>
          <w:sz w:val="24"/>
          <w:szCs w:val="24"/>
          <w:lang w:val="es-ES"/>
        </w:rPr>
      </w:pPr>
    </w:p>
    <w:p w14:paraId="3EDF2B8C" w14:textId="77777777" w:rsidR="00E50FF4" w:rsidRDefault="00E50FF4" w:rsidP="00E50FF4">
      <w:pPr>
        <w:numPr>
          <w:ilvl w:val="0"/>
          <w:numId w:val="2"/>
        </w:numPr>
        <w:tabs>
          <w:tab w:val="left" w:pos="284"/>
        </w:tabs>
        <w:overflowPunct/>
        <w:autoSpaceDE/>
        <w:autoSpaceDN/>
        <w:adjustRightInd/>
        <w:spacing w:line="360" w:lineRule="auto"/>
        <w:ind w:left="0" w:right="-134" w:firstLine="0"/>
        <w:jc w:val="both"/>
        <w:textAlignment w:val="auto"/>
        <w:rPr>
          <w:rFonts w:ascii="Arial" w:hAnsi="Arial" w:cs="Arial"/>
          <w:b/>
          <w:bCs/>
          <w:sz w:val="24"/>
          <w:szCs w:val="24"/>
        </w:rPr>
      </w:pPr>
      <w:r w:rsidRPr="001A0A26">
        <w:rPr>
          <w:rFonts w:ascii="Arial" w:hAnsi="Arial" w:cs="Arial"/>
          <w:b/>
          <w:bCs/>
          <w:sz w:val="24"/>
          <w:szCs w:val="24"/>
        </w:rPr>
        <w:t>Los hechos en que se fundamentan las pretensiones</w:t>
      </w:r>
      <w:r>
        <w:rPr>
          <w:rFonts w:ascii="Arial" w:hAnsi="Arial" w:cs="Arial"/>
          <w:b/>
          <w:bCs/>
          <w:sz w:val="24"/>
          <w:szCs w:val="24"/>
        </w:rPr>
        <w:t>.</w:t>
      </w:r>
    </w:p>
    <w:p w14:paraId="12966697" w14:textId="77777777" w:rsidR="00E50FF4" w:rsidRDefault="00E50FF4" w:rsidP="00E50FF4">
      <w:pPr>
        <w:tabs>
          <w:tab w:val="left" w:pos="284"/>
        </w:tabs>
        <w:spacing w:line="360" w:lineRule="auto"/>
        <w:ind w:right="-134"/>
        <w:jc w:val="both"/>
        <w:rPr>
          <w:rFonts w:ascii="Arial" w:hAnsi="Arial" w:cs="Arial"/>
          <w:b/>
          <w:bCs/>
          <w:sz w:val="24"/>
          <w:szCs w:val="24"/>
        </w:rPr>
      </w:pPr>
    </w:p>
    <w:p w14:paraId="2EEA6255" w14:textId="77777777" w:rsidR="00E50FF4" w:rsidRPr="00AF64B9" w:rsidRDefault="00E50FF4" w:rsidP="00E50FF4">
      <w:pPr>
        <w:spacing w:line="360" w:lineRule="auto"/>
        <w:ind w:right="-134"/>
        <w:jc w:val="both"/>
        <w:rPr>
          <w:rFonts w:ascii="Arial" w:hAnsi="Arial" w:cs="Arial"/>
          <w:bCs/>
          <w:sz w:val="24"/>
          <w:szCs w:val="24"/>
        </w:rPr>
      </w:pPr>
      <w:r>
        <w:rPr>
          <w:rFonts w:ascii="Arial" w:hAnsi="Arial" w:cs="Arial"/>
          <w:bCs/>
          <w:sz w:val="24"/>
          <w:szCs w:val="24"/>
        </w:rPr>
        <w:t>El 24</w:t>
      </w:r>
      <w:r w:rsidRPr="00706645">
        <w:rPr>
          <w:rFonts w:ascii="Arial" w:hAnsi="Arial" w:cs="Arial"/>
          <w:bCs/>
          <w:sz w:val="24"/>
          <w:szCs w:val="24"/>
        </w:rPr>
        <w:t xml:space="preserve"> de </w:t>
      </w:r>
      <w:r>
        <w:rPr>
          <w:rFonts w:ascii="Arial" w:hAnsi="Arial" w:cs="Arial"/>
          <w:bCs/>
          <w:sz w:val="24"/>
          <w:szCs w:val="24"/>
        </w:rPr>
        <w:t>enero</w:t>
      </w:r>
      <w:r w:rsidRPr="00706645">
        <w:rPr>
          <w:rFonts w:ascii="Arial" w:hAnsi="Arial" w:cs="Arial"/>
          <w:bCs/>
          <w:sz w:val="24"/>
          <w:szCs w:val="24"/>
        </w:rPr>
        <w:t xml:space="preserve"> de </w:t>
      </w:r>
      <w:r>
        <w:rPr>
          <w:rFonts w:ascii="Arial" w:hAnsi="Arial" w:cs="Arial"/>
          <w:bCs/>
          <w:sz w:val="24"/>
          <w:szCs w:val="24"/>
        </w:rPr>
        <w:t>2000, mediante comunicación AERG-00-47 Empresas Públicas de Medellín notificó al Consorcio Aldebarán Ingenieros, la aceptación de la oferta a la contratación No. 003203, la cual se convirtió en el contrato No. 6107090, por virtud del cual éste último se obligó en favor de aquel a la construcción y venta de acometidas, instalaciones y puesta en servicio para la distribución de gas natural en las zonas de cobertura del servicio.</w:t>
      </w:r>
    </w:p>
    <w:p w14:paraId="70CB288C" w14:textId="77777777" w:rsidR="00E50FF4" w:rsidRDefault="00E50FF4" w:rsidP="00E50FF4">
      <w:pPr>
        <w:tabs>
          <w:tab w:val="left" w:pos="284"/>
        </w:tabs>
        <w:spacing w:line="360" w:lineRule="auto"/>
        <w:ind w:right="-134"/>
        <w:jc w:val="both"/>
        <w:rPr>
          <w:rFonts w:ascii="Arial" w:hAnsi="Arial" w:cs="Arial"/>
          <w:bCs/>
          <w:sz w:val="24"/>
          <w:szCs w:val="24"/>
        </w:rPr>
      </w:pPr>
    </w:p>
    <w:p w14:paraId="3CDF829D" w14:textId="77777777" w:rsidR="00E50FF4" w:rsidRDefault="00E50FF4" w:rsidP="00E50FF4">
      <w:pPr>
        <w:tabs>
          <w:tab w:val="left" w:pos="284"/>
        </w:tabs>
        <w:spacing w:line="360" w:lineRule="auto"/>
        <w:ind w:right="-134"/>
        <w:jc w:val="both"/>
        <w:rPr>
          <w:rFonts w:ascii="Arial" w:hAnsi="Arial" w:cs="Arial"/>
          <w:bCs/>
          <w:sz w:val="24"/>
          <w:szCs w:val="24"/>
        </w:rPr>
      </w:pPr>
      <w:r>
        <w:rPr>
          <w:rFonts w:ascii="Arial" w:hAnsi="Arial" w:cs="Arial"/>
          <w:bCs/>
          <w:sz w:val="24"/>
          <w:szCs w:val="24"/>
        </w:rPr>
        <w:t>Sostuvo el actor que las Empresas Públicas de Medellín, en los pliegos de condicones establecieron el pago de comisiones e incentivos por la labor comercial, pero que la demandada rompió unilateralmente la unicidad del contrato al negar injustificadamente la entrega de órdenes de trabajo correspondiente a la totalidad de las ventas.</w:t>
      </w:r>
    </w:p>
    <w:p w14:paraId="65A28F55" w14:textId="77777777" w:rsidR="00E50FF4" w:rsidRDefault="00E50FF4" w:rsidP="00E50FF4">
      <w:pPr>
        <w:tabs>
          <w:tab w:val="left" w:pos="284"/>
        </w:tabs>
        <w:spacing w:line="360" w:lineRule="auto"/>
        <w:ind w:right="-134"/>
        <w:jc w:val="both"/>
        <w:rPr>
          <w:rFonts w:ascii="Arial" w:hAnsi="Arial" w:cs="Arial"/>
          <w:bCs/>
          <w:sz w:val="24"/>
          <w:szCs w:val="24"/>
        </w:rPr>
      </w:pPr>
    </w:p>
    <w:p w14:paraId="2861A8F7" w14:textId="77777777" w:rsidR="00E50FF4" w:rsidRDefault="00E50FF4" w:rsidP="00E50FF4">
      <w:pPr>
        <w:tabs>
          <w:tab w:val="left" w:pos="284"/>
        </w:tabs>
        <w:spacing w:line="360" w:lineRule="auto"/>
        <w:ind w:right="-134"/>
        <w:jc w:val="both"/>
        <w:rPr>
          <w:rFonts w:ascii="Arial" w:hAnsi="Arial" w:cs="Arial"/>
          <w:bCs/>
          <w:sz w:val="24"/>
          <w:szCs w:val="24"/>
        </w:rPr>
      </w:pPr>
      <w:r>
        <w:rPr>
          <w:rFonts w:ascii="Arial" w:hAnsi="Arial" w:cs="Arial"/>
          <w:bCs/>
          <w:sz w:val="24"/>
          <w:szCs w:val="24"/>
        </w:rPr>
        <w:t>Adicionalmente, indicó que la entidad pública le hizo exigencias extracontractuales que sobrepasaban lo establecido en los pliegos, hecho que redundó en el buen desempeño y ejecución del contrato por el incremento de los costos, tales como ofrecer un portafolio de gasodomésticos.</w:t>
      </w:r>
    </w:p>
    <w:p w14:paraId="459BD396" w14:textId="77777777" w:rsidR="00E50FF4" w:rsidRDefault="00E50FF4" w:rsidP="00E50FF4">
      <w:pPr>
        <w:tabs>
          <w:tab w:val="left" w:pos="284"/>
        </w:tabs>
        <w:spacing w:line="360" w:lineRule="auto"/>
        <w:ind w:right="-134"/>
        <w:jc w:val="both"/>
        <w:rPr>
          <w:rFonts w:ascii="Arial" w:hAnsi="Arial" w:cs="Arial"/>
          <w:bCs/>
          <w:sz w:val="24"/>
          <w:szCs w:val="24"/>
        </w:rPr>
      </w:pPr>
    </w:p>
    <w:p w14:paraId="061102C1" w14:textId="77777777" w:rsidR="00E50FF4" w:rsidRDefault="00E50FF4" w:rsidP="00E50FF4">
      <w:pPr>
        <w:tabs>
          <w:tab w:val="left" w:pos="284"/>
        </w:tabs>
        <w:spacing w:line="360" w:lineRule="auto"/>
        <w:ind w:right="-134"/>
        <w:jc w:val="both"/>
        <w:rPr>
          <w:rFonts w:ascii="Arial" w:hAnsi="Arial" w:cs="Arial"/>
          <w:bCs/>
          <w:sz w:val="24"/>
          <w:szCs w:val="24"/>
        </w:rPr>
      </w:pPr>
      <w:r>
        <w:rPr>
          <w:rFonts w:ascii="Arial" w:hAnsi="Arial" w:cs="Arial"/>
          <w:bCs/>
          <w:sz w:val="24"/>
          <w:szCs w:val="24"/>
        </w:rPr>
        <w:t>En general, consideró que la accionada incumplió con sus obligaciones contractuales al no reglamentar las relaciones surgidas a través del mandato contractual.</w:t>
      </w:r>
    </w:p>
    <w:p w14:paraId="55A350BF" w14:textId="77777777" w:rsidR="00E50FF4" w:rsidRDefault="00E50FF4" w:rsidP="00E50FF4">
      <w:pPr>
        <w:tabs>
          <w:tab w:val="left" w:pos="284"/>
        </w:tabs>
        <w:spacing w:line="360" w:lineRule="auto"/>
        <w:ind w:right="-134"/>
        <w:jc w:val="both"/>
        <w:rPr>
          <w:rFonts w:ascii="Arial" w:hAnsi="Arial" w:cs="Arial"/>
          <w:bCs/>
          <w:sz w:val="24"/>
          <w:szCs w:val="24"/>
        </w:rPr>
      </w:pPr>
    </w:p>
    <w:p w14:paraId="755D96C9" w14:textId="77777777" w:rsidR="00E50FF4" w:rsidRDefault="00E50FF4" w:rsidP="00E50FF4">
      <w:pPr>
        <w:tabs>
          <w:tab w:val="left" w:pos="284"/>
        </w:tabs>
        <w:spacing w:line="360" w:lineRule="auto"/>
        <w:ind w:right="-134"/>
        <w:jc w:val="both"/>
        <w:rPr>
          <w:rFonts w:ascii="Arial" w:hAnsi="Arial" w:cs="Arial"/>
          <w:bCs/>
          <w:sz w:val="24"/>
          <w:szCs w:val="24"/>
        </w:rPr>
      </w:pPr>
      <w:r>
        <w:rPr>
          <w:rFonts w:ascii="Arial" w:hAnsi="Arial" w:cs="Arial"/>
          <w:bCs/>
          <w:sz w:val="24"/>
          <w:szCs w:val="24"/>
        </w:rPr>
        <w:t xml:space="preserve">Así mismo, resaltó que tambien hay incumplimiento de la demandada al negar al demandante la posiblidad de construir las instalaciones ya vendidas en la ejecución del contrato sino además, por no entregar las órdenes de trabajo correspondiente a esas ventas,  no pagar los gastos en que incurrió el actor por la dedicación de los ingenieros en el proceso de venta, que era una labor adicional del contrato, a pesar de las reiteradas comunicaciones enviadas a la contratante y por impedir la facturación de los costos ingeniero bajo el item “Asesoría arquitecto”. Contemplado en el numeral 5.11 del contrato aludido. </w:t>
      </w:r>
    </w:p>
    <w:p w14:paraId="226E9056" w14:textId="77777777" w:rsidR="00E50FF4" w:rsidRDefault="00E50FF4" w:rsidP="00E50FF4">
      <w:pPr>
        <w:tabs>
          <w:tab w:val="left" w:pos="284"/>
        </w:tabs>
        <w:spacing w:line="360" w:lineRule="auto"/>
        <w:ind w:right="-134"/>
        <w:jc w:val="both"/>
        <w:rPr>
          <w:rFonts w:ascii="Arial" w:hAnsi="Arial" w:cs="Arial"/>
          <w:bCs/>
          <w:sz w:val="24"/>
          <w:szCs w:val="24"/>
        </w:rPr>
      </w:pPr>
      <w:r>
        <w:rPr>
          <w:rFonts w:ascii="Arial" w:hAnsi="Arial" w:cs="Arial"/>
          <w:bCs/>
          <w:sz w:val="24"/>
          <w:szCs w:val="24"/>
        </w:rPr>
        <w:t xml:space="preserve"> </w:t>
      </w:r>
    </w:p>
    <w:p w14:paraId="06A3FBB4" w14:textId="77777777" w:rsidR="00E50FF4" w:rsidRDefault="00E50FF4" w:rsidP="00E50FF4">
      <w:pPr>
        <w:tabs>
          <w:tab w:val="left" w:pos="284"/>
        </w:tabs>
        <w:spacing w:line="360" w:lineRule="auto"/>
        <w:ind w:right="-134"/>
        <w:jc w:val="both"/>
        <w:rPr>
          <w:rFonts w:ascii="Arial" w:hAnsi="Arial" w:cs="Arial"/>
          <w:bCs/>
          <w:sz w:val="24"/>
          <w:szCs w:val="24"/>
        </w:rPr>
      </w:pPr>
      <w:r>
        <w:rPr>
          <w:rFonts w:ascii="Arial" w:hAnsi="Arial" w:cs="Arial"/>
          <w:bCs/>
          <w:sz w:val="24"/>
          <w:szCs w:val="24"/>
        </w:rPr>
        <w:t xml:space="preserve">El accionante refiere que la accionada incumplió con los trabajos de diseño y evaluación de diseño y evaluación de redes externas en urbanizaciones en las que no se dio órdenes de trabajo.  </w:t>
      </w:r>
    </w:p>
    <w:p w14:paraId="5BFBCE4E" w14:textId="77777777" w:rsidR="00E50FF4" w:rsidRDefault="00E50FF4" w:rsidP="00E50FF4">
      <w:pPr>
        <w:tabs>
          <w:tab w:val="left" w:pos="284"/>
        </w:tabs>
        <w:spacing w:line="360" w:lineRule="auto"/>
        <w:ind w:right="-134"/>
        <w:jc w:val="both"/>
        <w:rPr>
          <w:rFonts w:ascii="Arial" w:hAnsi="Arial" w:cs="Arial"/>
          <w:bCs/>
          <w:sz w:val="24"/>
          <w:szCs w:val="24"/>
        </w:rPr>
      </w:pPr>
    </w:p>
    <w:p w14:paraId="66265CBA" w14:textId="77777777" w:rsidR="00E50FF4" w:rsidRPr="00F609E1" w:rsidRDefault="00E50FF4" w:rsidP="00E50FF4">
      <w:pPr>
        <w:tabs>
          <w:tab w:val="left" w:pos="284"/>
        </w:tabs>
        <w:spacing w:line="360" w:lineRule="auto"/>
        <w:ind w:right="-134"/>
        <w:jc w:val="both"/>
        <w:rPr>
          <w:rFonts w:ascii="Arial" w:hAnsi="Arial" w:cs="Arial"/>
          <w:bCs/>
          <w:i/>
          <w:sz w:val="24"/>
          <w:szCs w:val="24"/>
        </w:rPr>
      </w:pPr>
      <w:r>
        <w:rPr>
          <w:rFonts w:ascii="Arial" w:hAnsi="Arial" w:cs="Arial"/>
          <w:bCs/>
          <w:sz w:val="24"/>
          <w:szCs w:val="24"/>
        </w:rPr>
        <w:t xml:space="preserve">Finalmente, manifiestó el demandante que </w:t>
      </w:r>
      <w:r w:rsidRPr="00F609E1">
        <w:rPr>
          <w:rFonts w:ascii="Arial" w:hAnsi="Arial" w:cs="Arial"/>
          <w:bCs/>
          <w:i/>
          <w:sz w:val="24"/>
          <w:szCs w:val="24"/>
        </w:rPr>
        <w:t xml:space="preserve">“al momento de la presentación de </w:t>
      </w:r>
      <w:r>
        <w:rPr>
          <w:rFonts w:ascii="Arial" w:hAnsi="Arial" w:cs="Arial"/>
          <w:bCs/>
          <w:i/>
          <w:sz w:val="24"/>
          <w:szCs w:val="24"/>
        </w:rPr>
        <w:t>e</w:t>
      </w:r>
      <w:r w:rsidRPr="00F609E1">
        <w:rPr>
          <w:rFonts w:ascii="Arial" w:hAnsi="Arial" w:cs="Arial"/>
          <w:bCs/>
          <w:i/>
          <w:sz w:val="24"/>
          <w:szCs w:val="24"/>
        </w:rPr>
        <w:t>sta demanda han transcurrido 37 meses de la terminación unilateral del contrato y las EEPPM, no ha finiquitado el Contrato No. 6107090, lo que constituye OTRO claro incumplimiento de la relación contractual ejecutada de buena fe por el demandante (…)</w:t>
      </w:r>
    </w:p>
    <w:p w14:paraId="68C035F7" w14:textId="77777777" w:rsidR="00E50FF4" w:rsidRPr="00F609E1" w:rsidRDefault="00E50FF4" w:rsidP="00E50FF4">
      <w:pPr>
        <w:tabs>
          <w:tab w:val="left" w:pos="284"/>
        </w:tabs>
        <w:spacing w:line="360" w:lineRule="auto"/>
        <w:ind w:right="-134"/>
        <w:jc w:val="both"/>
        <w:rPr>
          <w:rFonts w:ascii="Arial" w:hAnsi="Arial" w:cs="Arial"/>
          <w:bCs/>
          <w:i/>
          <w:sz w:val="24"/>
          <w:szCs w:val="24"/>
        </w:rPr>
      </w:pPr>
    </w:p>
    <w:p w14:paraId="30E3423D" w14:textId="77777777" w:rsidR="00E50FF4" w:rsidRDefault="00E50FF4" w:rsidP="00E50FF4">
      <w:pPr>
        <w:pStyle w:val="Cuadrculaclara-nfasis31"/>
        <w:numPr>
          <w:ilvl w:val="0"/>
          <w:numId w:val="1"/>
        </w:numPr>
        <w:spacing w:after="0" w:line="360" w:lineRule="auto"/>
        <w:ind w:left="0" w:right="-134" w:firstLine="0"/>
        <w:contextualSpacing w:val="0"/>
        <w:jc w:val="both"/>
        <w:rPr>
          <w:rFonts w:ascii="Arial" w:hAnsi="Arial" w:cs="Arial"/>
          <w:b/>
          <w:bCs/>
          <w:sz w:val="24"/>
          <w:szCs w:val="24"/>
        </w:rPr>
      </w:pPr>
      <w:r w:rsidRPr="00AC04DA">
        <w:rPr>
          <w:rFonts w:ascii="Arial" w:hAnsi="Arial" w:cs="Arial"/>
          <w:b/>
          <w:bCs/>
          <w:sz w:val="24"/>
          <w:szCs w:val="24"/>
        </w:rPr>
        <w:t>El trámite procesal</w:t>
      </w:r>
    </w:p>
    <w:p w14:paraId="1970DB28" w14:textId="77777777" w:rsidR="00E50FF4" w:rsidRPr="007154C0" w:rsidRDefault="00E50FF4" w:rsidP="00E50FF4">
      <w:pPr>
        <w:pStyle w:val="Cuadrculaclara-nfasis31"/>
        <w:spacing w:after="0" w:line="360" w:lineRule="auto"/>
        <w:ind w:left="0" w:right="-134"/>
        <w:jc w:val="both"/>
        <w:rPr>
          <w:rFonts w:ascii="Arial" w:hAnsi="Arial" w:cs="Arial"/>
          <w:b/>
          <w:bCs/>
          <w:sz w:val="24"/>
          <w:szCs w:val="24"/>
        </w:rPr>
      </w:pPr>
      <w:r w:rsidRPr="007154C0">
        <w:rPr>
          <w:rFonts w:ascii="Arial" w:hAnsi="Arial" w:cs="Arial"/>
          <w:b/>
          <w:bCs/>
          <w:sz w:val="24"/>
          <w:szCs w:val="24"/>
        </w:rPr>
        <w:t xml:space="preserve">                                                                                                                                                                                                                                                                                                                                                                                                                                                                                                                                                                                                                                                                                                                                                                                                                                                                                                                                                                                                                                                                                                                                                                                                                                                                                                                                                                                                                                                                                                                                                                                                                                                                                                               </w:t>
      </w:r>
    </w:p>
    <w:p w14:paraId="19943B77" w14:textId="77777777" w:rsidR="00E50FF4" w:rsidRDefault="00E50FF4" w:rsidP="00E50FF4">
      <w:pPr>
        <w:spacing w:line="360" w:lineRule="auto"/>
        <w:ind w:right="-134"/>
        <w:jc w:val="both"/>
        <w:rPr>
          <w:rFonts w:ascii="Arial" w:hAnsi="Arial" w:cs="Arial"/>
          <w:bCs/>
          <w:sz w:val="24"/>
          <w:szCs w:val="24"/>
        </w:rPr>
      </w:pPr>
      <w:r>
        <w:rPr>
          <w:rFonts w:ascii="Arial" w:hAnsi="Arial" w:cs="Arial"/>
          <w:bCs/>
          <w:sz w:val="24"/>
          <w:szCs w:val="24"/>
        </w:rPr>
        <w:t>Admitida</w:t>
      </w:r>
      <w:r>
        <w:rPr>
          <w:rStyle w:val="Refdenotaalpie"/>
          <w:rFonts w:ascii="Arial" w:hAnsi="Arial" w:cs="Arial"/>
          <w:bCs/>
          <w:sz w:val="24"/>
          <w:szCs w:val="24"/>
        </w:rPr>
        <w:footnoteReference w:id="2"/>
      </w:r>
      <w:r>
        <w:rPr>
          <w:rFonts w:ascii="Arial" w:hAnsi="Arial" w:cs="Arial"/>
          <w:bCs/>
          <w:sz w:val="24"/>
          <w:szCs w:val="24"/>
        </w:rPr>
        <w:t xml:space="preserve"> que fue la demanda y noticiado el demandado del auto admisorio, el asunto se fijó en lista y éste le dio respuesta</w:t>
      </w:r>
      <w:r>
        <w:rPr>
          <w:rStyle w:val="Refdenotaalpie"/>
          <w:rFonts w:ascii="Arial" w:hAnsi="Arial" w:cs="Arial"/>
          <w:bCs/>
          <w:sz w:val="24"/>
          <w:szCs w:val="24"/>
        </w:rPr>
        <w:footnoteReference w:id="3"/>
      </w:r>
      <w:r>
        <w:rPr>
          <w:rFonts w:ascii="Arial" w:hAnsi="Arial" w:cs="Arial"/>
          <w:bCs/>
          <w:sz w:val="24"/>
          <w:szCs w:val="24"/>
        </w:rPr>
        <w:t xml:space="preserve"> oponiéndose a los hecho</w:t>
      </w:r>
      <w:r w:rsidRPr="00AC04DA">
        <w:rPr>
          <w:rFonts w:ascii="Arial" w:hAnsi="Arial" w:cs="Arial"/>
          <w:bCs/>
          <w:sz w:val="24"/>
          <w:szCs w:val="24"/>
        </w:rPr>
        <w:t>s</w:t>
      </w:r>
      <w:r>
        <w:rPr>
          <w:rFonts w:ascii="Arial" w:hAnsi="Arial" w:cs="Arial"/>
          <w:bCs/>
          <w:sz w:val="24"/>
          <w:szCs w:val="24"/>
        </w:rPr>
        <w:t xml:space="preserve"> y</w:t>
      </w:r>
      <w:r w:rsidRPr="00AC04DA">
        <w:rPr>
          <w:rFonts w:ascii="Arial" w:hAnsi="Arial" w:cs="Arial"/>
          <w:bCs/>
          <w:sz w:val="24"/>
          <w:szCs w:val="24"/>
        </w:rPr>
        <w:t xml:space="preserve"> pretensiones formuladas. </w:t>
      </w:r>
    </w:p>
    <w:p w14:paraId="66BA04F7" w14:textId="77777777" w:rsidR="00E50FF4" w:rsidRDefault="00E50FF4" w:rsidP="00E50FF4">
      <w:pPr>
        <w:spacing w:line="360" w:lineRule="auto"/>
        <w:ind w:right="-134"/>
        <w:jc w:val="both"/>
        <w:rPr>
          <w:rFonts w:ascii="Arial" w:hAnsi="Arial" w:cs="Arial"/>
          <w:bCs/>
          <w:sz w:val="24"/>
          <w:szCs w:val="24"/>
        </w:rPr>
      </w:pPr>
    </w:p>
    <w:p w14:paraId="095D758A" w14:textId="77777777" w:rsidR="00E50FF4" w:rsidRDefault="00E50FF4" w:rsidP="00E50FF4">
      <w:pPr>
        <w:spacing w:line="360" w:lineRule="auto"/>
        <w:ind w:right="-134"/>
        <w:jc w:val="both"/>
        <w:rPr>
          <w:rFonts w:ascii="Arial" w:hAnsi="Arial" w:cs="Arial"/>
          <w:bCs/>
          <w:sz w:val="24"/>
          <w:szCs w:val="24"/>
        </w:rPr>
      </w:pPr>
      <w:r>
        <w:rPr>
          <w:rFonts w:ascii="Arial" w:hAnsi="Arial" w:cs="Arial"/>
          <w:bCs/>
          <w:sz w:val="24"/>
          <w:szCs w:val="24"/>
        </w:rPr>
        <w:t>El 12 de septiembre de 2006</w:t>
      </w:r>
      <w:r>
        <w:rPr>
          <w:rStyle w:val="Refdenotaalpie"/>
          <w:rFonts w:ascii="Arial" w:hAnsi="Arial" w:cs="Arial"/>
          <w:bCs/>
          <w:sz w:val="24"/>
          <w:szCs w:val="24"/>
        </w:rPr>
        <w:footnoteReference w:id="4"/>
      </w:r>
      <w:r>
        <w:rPr>
          <w:rFonts w:ascii="Arial" w:hAnsi="Arial" w:cs="Arial"/>
          <w:bCs/>
          <w:sz w:val="24"/>
          <w:szCs w:val="24"/>
        </w:rPr>
        <w:t>, el Tribunal Administrativo de Antioquia avoca conocimiento del proceso remitido por el Juzgado Cuarto Civil del Circuito de Medellín, por falta de competencia en virtud a lo señalado en la Ley 1107 de 2006, conservando la validez todas las actuaciones adelantadas en ese despacho judicial.</w:t>
      </w:r>
    </w:p>
    <w:p w14:paraId="6172E1A2" w14:textId="77777777" w:rsidR="00E50FF4" w:rsidRDefault="00E50FF4" w:rsidP="00E50FF4">
      <w:pPr>
        <w:spacing w:line="360" w:lineRule="auto"/>
        <w:ind w:right="-134"/>
        <w:jc w:val="both"/>
        <w:rPr>
          <w:rFonts w:ascii="Arial" w:hAnsi="Arial" w:cs="Arial"/>
          <w:bCs/>
          <w:sz w:val="24"/>
          <w:szCs w:val="24"/>
        </w:rPr>
      </w:pPr>
    </w:p>
    <w:p w14:paraId="0F46EE07" w14:textId="77777777" w:rsidR="00E50FF4" w:rsidRDefault="00E50FF4" w:rsidP="00E50FF4">
      <w:pPr>
        <w:spacing w:line="360" w:lineRule="auto"/>
        <w:jc w:val="both"/>
        <w:rPr>
          <w:rFonts w:ascii="Arial" w:hAnsi="Arial" w:cs="Arial"/>
          <w:bCs/>
          <w:sz w:val="24"/>
          <w:szCs w:val="24"/>
        </w:rPr>
      </w:pPr>
      <w:r w:rsidRPr="00944DB1">
        <w:rPr>
          <w:rFonts w:ascii="Arial" w:hAnsi="Arial" w:cs="Arial"/>
          <w:bCs/>
          <w:sz w:val="24"/>
          <w:szCs w:val="24"/>
        </w:rPr>
        <w:lastRenderedPageBreak/>
        <w:t>Después de decretar</w:t>
      </w:r>
      <w:r>
        <w:rPr>
          <w:rStyle w:val="Refdenotaalpie"/>
          <w:rFonts w:ascii="Arial" w:hAnsi="Arial" w:cs="Arial"/>
          <w:bCs/>
          <w:sz w:val="24"/>
          <w:szCs w:val="24"/>
        </w:rPr>
        <w:footnoteReference w:id="5"/>
      </w:r>
      <w:r w:rsidRPr="00944DB1">
        <w:rPr>
          <w:rFonts w:ascii="Arial" w:hAnsi="Arial" w:cs="Arial"/>
          <w:bCs/>
          <w:sz w:val="24"/>
          <w:szCs w:val="24"/>
        </w:rPr>
        <w:t xml:space="preserve"> y practicar pruebas</w:t>
      </w:r>
      <w:r>
        <w:rPr>
          <w:rFonts w:ascii="Arial" w:hAnsi="Arial" w:cs="Arial"/>
          <w:bCs/>
          <w:sz w:val="24"/>
          <w:szCs w:val="24"/>
        </w:rPr>
        <w:t xml:space="preserve">, </w:t>
      </w:r>
      <w:r w:rsidRPr="00944DB1">
        <w:rPr>
          <w:rFonts w:ascii="Arial" w:hAnsi="Arial" w:cs="Arial"/>
          <w:bCs/>
          <w:sz w:val="24"/>
          <w:szCs w:val="24"/>
        </w:rPr>
        <w:t>se corrió traslado a las partes y al Ministerio Público para que alegaran de conclusión</w:t>
      </w:r>
      <w:r>
        <w:rPr>
          <w:rStyle w:val="Refdenotaalpie"/>
          <w:rFonts w:ascii="Arial" w:hAnsi="Arial" w:cs="Arial"/>
          <w:bCs/>
          <w:sz w:val="24"/>
          <w:szCs w:val="24"/>
        </w:rPr>
        <w:footnoteReference w:id="6"/>
      </w:r>
      <w:r w:rsidRPr="00944DB1">
        <w:rPr>
          <w:rFonts w:ascii="Arial" w:hAnsi="Arial" w:cs="Arial"/>
          <w:bCs/>
          <w:sz w:val="24"/>
          <w:szCs w:val="24"/>
        </w:rPr>
        <w:t xml:space="preserve">, oportunidad </w:t>
      </w:r>
      <w:r>
        <w:rPr>
          <w:rFonts w:ascii="Arial" w:hAnsi="Arial" w:cs="Arial"/>
          <w:bCs/>
          <w:sz w:val="24"/>
          <w:szCs w:val="24"/>
        </w:rPr>
        <w:t xml:space="preserve">ésta </w:t>
      </w:r>
      <w:r w:rsidRPr="00944DB1">
        <w:rPr>
          <w:rFonts w:ascii="Arial" w:hAnsi="Arial" w:cs="Arial"/>
          <w:bCs/>
          <w:sz w:val="24"/>
          <w:szCs w:val="24"/>
        </w:rPr>
        <w:t>que</w:t>
      </w:r>
      <w:r>
        <w:rPr>
          <w:rFonts w:ascii="Arial" w:hAnsi="Arial" w:cs="Arial"/>
          <w:bCs/>
          <w:sz w:val="24"/>
          <w:szCs w:val="24"/>
        </w:rPr>
        <w:t xml:space="preserve"> fue aprovechada por las partes.</w:t>
      </w:r>
    </w:p>
    <w:p w14:paraId="2F2644C8" w14:textId="77777777" w:rsidR="00E50FF4" w:rsidRPr="005A75BA" w:rsidRDefault="00E50FF4" w:rsidP="00E50FF4">
      <w:pPr>
        <w:spacing w:line="360" w:lineRule="auto"/>
        <w:jc w:val="both"/>
        <w:rPr>
          <w:rFonts w:ascii="Arial" w:hAnsi="Arial" w:cs="Arial"/>
          <w:bCs/>
          <w:sz w:val="24"/>
          <w:szCs w:val="24"/>
        </w:rPr>
      </w:pPr>
    </w:p>
    <w:p w14:paraId="6A297602" w14:textId="77777777" w:rsidR="00E50FF4" w:rsidRDefault="00E50FF4" w:rsidP="00E50FF4">
      <w:pPr>
        <w:jc w:val="center"/>
        <w:rPr>
          <w:rFonts w:ascii="Arial" w:hAnsi="Arial" w:cs="Arial"/>
          <w:b/>
          <w:bCs/>
          <w:sz w:val="24"/>
          <w:szCs w:val="24"/>
        </w:rPr>
      </w:pPr>
      <w:r>
        <w:rPr>
          <w:rFonts w:ascii="Arial" w:hAnsi="Arial" w:cs="Arial"/>
          <w:b/>
          <w:bCs/>
          <w:sz w:val="24"/>
          <w:szCs w:val="24"/>
        </w:rPr>
        <w:t>II.  LA SENTENCIA DEL TRIBUNAL.</w:t>
      </w:r>
    </w:p>
    <w:p w14:paraId="53A12442" w14:textId="77777777" w:rsidR="00E50FF4" w:rsidRPr="00594D34" w:rsidRDefault="00E50FF4" w:rsidP="00E50FF4">
      <w:pPr>
        <w:jc w:val="center"/>
        <w:rPr>
          <w:rFonts w:ascii="Arial" w:hAnsi="Arial" w:cs="Arial"/>
          <w:b/>
          <w:bCs/>
          <w:sz w:val="24"/>
          <w:szCs w:val="24"/>
        </w:rPr>
      </w:pPr>
    </w:p>
    <w:p w14:paraId="67F8E9A4" w14:textId="77777777" w:rsidR="00E50FF4" w:rsidRPr="00594D34" w:rsidRDefault="00E50FF4" w:rsidP="00E50FF4">
      <w:pPr>
        <w:rPr>
          <w:rFonts w:ascii="Arial" w:hAnsi="Arial" w:cs="Arial"/>
          <w:b/>
          <w:bCs/>
          <w:sz w:val="24"/>
          <w:szCs w:val="24"/>
        </w:rPr>
      </w:pPr>
    </w:p>
    <w:p w14:paraId="53282779" w14:textId="77777777" w:rsidR="00E50FF4" w:rsidRDefault="00E50FF4" w:rsidP="00E50FF4">
      <w:pPr>
        <w:spacing w:line="360" w:lineRule="auto"/>
        <w:ind w:right="-134"/>
        <w:jc w:val="both"/>
        <w:rPr>
          <w:rFonts w:ascii="Arial" w:hAnsi="Arial" w:cs="Arial"/>
          <w:sz w:val="24"/>
          <w:szCs w:val="24"/>
        </w:rPr>
      </w:pPr>
      <w:r w:rsidRPr="00692851">
        <w:rPr>
          <w:rFonts w:ascii="Arial" w:hAnsi="Arial" w:cs="Arial"/>
          <w:bCs/>
          <w:sz w:val="24"/>
          <w:szCs w:val="24"/>
        </w:rPr>
        <w:t>Mediante la sentencia del 29 de julio de 2013 la Sala Cuarta de Decisión d</w:t>
      </w:r>
      <w:r w:rsidRPr="00692851">
        <w:rPr>
          <w:rFonts w:ascii="Arial" w:hAnsi="Arial" w:cs="Arial"/>
          <w:sz w:val="24"/>
          <w:szCs w:val="24"/>
        </w:rPr>
        <w:t>el Tribunal Administrativo de Antioquia</w:t>
      </w:r>
      <w:r>
        <w:rPr>
          <w:rFonts w:ascii="Arial" w:hAnsi="Arial" w:cs="Arial"/>
          <w:sz w:val="24"/>
          <w:szCs w:val="24"/>
        </w:rPr>
        <w:t xml:space="preserve">, decidió </w:t>
      </w:r>
      <w:r w:rsidRPr="00692851">
        <w:rPr>
          <w:rFonts w:ascii="Arial" w:hAnsi="Arial" w:cs="Arial"/>
          <w:sz w:val="24"/>
          <w:szCs w:val="24"/>
        </w:rPr>
        <w:t>declarar</w:t>
      </w:r>
      <w:r w:rsidRPr="00692851">
        <w:rPr>
          <w:rFonts w:ascii="Arial" w:hAnsi="Arial" w:cs="Arial"/>
          <w:b/>
          <w:sz w:val="24"/>
          <w:szCs w:val="24"/>
        </w:rPr>
        <w:t xml:space="preserve"> </w:t>
      </w:r>
      <w:r w:rsidRPr="00692851">
        <w:rPr>
          <w:rFonts w:ascii="Arial" w:hAnsi="Arial" w:cs="Arial"/>
          <w:sz w:val="24"/>
          <w:szCs w:val="24"/>
        </w:rPr>
        <w:t>probada</w:t>
      </w:r>
      <w:r>
        <w:rPr>
          <w:rFonts w:ascii="Arial" w:hAnsi="Arial" w:cs="Arial"/>
          <w:sz w:val="24"/>
          <w:szCs w:val="24"/>
        </w:rPr>
        <w:t>s</w:t>
      </w:r>
      <w:r w:rsidRPr="00692851">
        <w:rPr>
          <w:rFonts w:ascii="Arial" w:hAnsi="Arial" w:cs="Arial"/>
          <w:sz w:val="24"/>
          <w:szCs w:val="24"/>
        </w:rPr>
        <w:t xml:space="preserve"> las excepciones de Inexistencia del demandante, Indebida representación del demandante e insuficiencia del poder para actuar y falta de legitima</w:t>
      </w:r>
      <w:r>
        <w:rPr>
          <w:rFonts w:ascii="Arial" w:hAnsi="Arial" w:cs="Arial"/>
          <w:sz w:val="24"/>
          <w:szCs w:val="24"/>
        </w:rPr>
        <w:t>c</w:t>
      </w:r>
      <w:r w:rsidRPr="00692851">
        <w:rPr>
          <w:rFonts w:ascii="Arial" w:hAnsi="Arial" w:cs="Arial"/>
          <w:sz w:val="24"/>
          <w:szCs w:val="24"/>
        </w:rPr>
        <w:t>ión en la causa por activa, propuestas por la entidad demandada</w:t>
      </w:r>
      <w:r>
        <w:rPr>
          <w:rFonts w:ascii="Arial" w:hAnsi="Arial" w:cs="Arial"/>
          <w:sz w:val="24"/>
          <w:szCs w:val="24"/>
        </w:rPr>
        <w:t xml:space="preserve"> y en consecuencia inhibirse </w:t>
      </w:r>
      <w:r w:rsidRPr="00692851">
        <w:rPr>
          <w:rFonts w:ascii="Arial" w:hAnsi="Arial" w:cs="Arial"/>
          <w:sz w:val="24"/>
          <w:szCs w:val="24"/>
        </w:rPr>
        <w:t xml:space="preserve">para conocer del asunto </w:t>
      </w:r>
    </w:p>
    <w:p w14:paraId="467F2034" w14:textId="77777777" w:rsidR="00E50FF4" w:rsidRDefault="00E50FF4" w:rsidP="00E50FF4">
      <w:pPr>
        <w:spacing w:line="360" w:lineRule="auto"/>
        <w:ind w:right="-134"/>
        <w:jc w:val="both"/>
        <w:rPr>
          <w:rFonts w:ascii="Arial" w:hAnsi="Arial" w:cs="Arial"/>
          <w:sz w:val="24"/>
          <w:szCs w:val="24"/>
        </w:rPr>
      </w:pPr>
    </w:p>
    <w:p w14:paraId="16033D2A" w14:textId="77777777" w:rsidR="00E50FF4" w:rsidRDefault="00E50FF4" w:rsidP="00E50FF4">
      <w:pPr>
        <w:spacing w:line="360" w:lineRule="auto"/>
        <w:ind w:right="-134"/>
        <w:jc w:val="both"/>
        <w:rPr>
          <w:rFonts w:ascii="Arial" w:hAnsi="Arial" w:cs="Arial"/>
          <w:sz w:val="24"/>
          <w:szCs w:val="24"/>
        </w:rPr>
      </w:pPr>
      <w:r>
        <w:rPr>
          <w:rFonts w:ascii="Arial" w:hAnsi="Arial" w:cs="Arial"/>
          <w:sz w:val="24"/>
          <w:szCs w:val="24"/>
        </w:rPr>
        <w:t xml:space="preserve">Para tomar ésta decisión el Tribunal expuso que el Consorcio Aldebarán Ingenieros no es una persona jurídica con capacidad para actuar como parte dentro del proceso, por lo tanto cada una de las personas que lo conformaban debía haber otorgado poder en forma individual para el ejercicio de la acción incoada. </w:t>
      </w:r>
    </w:p>
    <w:p w14:paraId="154E38AC" w14:textId="77777777" w:rsidR="00E50FF4" w:rsidRDefault="00E50FF4" w:rsidP="00E50FF4">
      <w:pPr>
        <w:spacing w:line="360" w:lineRule="auto"/>
        <w:ind w:right="-134"/>
        <w:jc w:val="both"/>
        <w:rPr>
          <w:rFonts w:ascii="Arial" w:hAnsi="Arial" w:cs="Arial"/>
          <w:sz w:val="24"/>
          <w:szCs w:val="24"/>
        </w:rPr>
      </w:pPr>
    </w:p>
    <w:p w14:paraId="74E0CBBD" w14:textId="77777777" w:rsidR="00E50FF4" w:rsidRPr="00023F64" w:rsidRDefault="00E50FF4" w:rsidP="00E50FF4">
      <w:pPr>
        <w:spacing w:line="360" w:lineRule="auto"/>
        <w:ind w:right="-134"/>
        <w:jc w:val="both"/>
        <w:rPr>
          <w:rFonts w:ascii="Arial" w:hAnsi="Arial" w:cs="Arial"/>
          <w:bCs/>
          <w:i/>
          <w:sz w:val="24"/>
          <w:szCs w:val="24"/>
        </w:rPr>
      </w:pPr>
      <w:r>
        <w:rPr>
          <w:rFonts w:ascii="Arial" w:hAnsi="Arial" w:cs="Arial"/>
          <w:sz w:val="24"/>
          <w:szCs w:val="24"/>
        </w:rPr>
        <w:t xml:space="preserve">En consecuencia, el </w:t>
      </w:r>
      <w:r w:rsidRPr="00023F64">
        <w:rPr>
          <w:rFonts w:ascii="Arial" w:hAnsi="Arial" w:cs="Arial"/>
          <w:i/>
          <w:sz w:val="24"/>
          <w:szCs w:val="24"/>
        </w:rPr>
        <w:t xml:space="preserve">A quo </w:t>
      </w:r>
      <w:r>
        <w:rPr>
          <w:rFonts w:ascii="Arial" w:hAnsi="Arial" w:cs="Arial"/>
          <w:sz w:val="24"/>
          <w:szCs w:val="24"/>
        </w:rPr>
        <w:t xml:space="preserve">determinó que el poder otrogado a la representante legal del Consorcio no facultaba a la apodereada para intervenir en esta jurisdicción, </w:t>
      </w:r>
      <w:r w:rsidRPr="00023F64">
        <w:rPr>
          <w:rFonts w:ascii="Arial" w:hAnsi="Arial" w:cs="Arial"/>
          <w:i/>
          <w:sz w:val="24"/>
          <w:szCs w:val="24"/>
        </w:rPr>
        <w:t>“dado que su repersetnación se encuentra limitada, en principio, a las relaciones que genera el contrato con la entidad demandante.”</w:t>
      </w:r>
    </w:p>
    <w:p w14:paraId="6EF506C5" w14:textId="77777777" w:rsidR="00E50FF4" w:rsidRPr="00D81340" w:rsidRDefault="00E50FF4" w:rsidP="00E50FF4">
      <w:pPr>
        <w:spacing w:line="360" w:lineRule="auto"/>
        <w:jc w:val="both"/>
        <w:rPr>
          <w:rFonts w:ascii="Arial" w:hAnsi="Arial" w:cs="Arial"/>
          <w:bCs/>
          <w:sz w:val="24"/>
          <w:szCs w:val="24"/>
        </w:rPr>
      </w:pPr>
    </w:p>
    <w:p w14:paraId="4911B02C" w14:textId="77777777" w:rsidR="00E50FF4" w:rsidRPr="000A7E58" w:rsidRDefault="00E50FF4" w:rsidP="00E50FF4">
      <w:pPr>
        <w:spacing w:line="360" w:lineRule="auto"/>
        <w:jc w:val="center"/>
        <w:rPr>
          <w:rFonts w:ascii="Arial" w:hAnsi="Arial" w:cs="Arial"/>
          <w:b/>
          <w:bCs/>
          <w:sz w:val="24"/>
          <w:szCs w:val="24"/>
        </w:rPr>
      </w:pPr>
      <w:r w:rsidRPr="000A7E58">
        <w:rPr>
          <w:rFonts w:ascii="Arial" w:hAnsi="Arial" w:cs="Arial"/>
          <w:b/>
          <w:bCs/>
          <w:sz w:val="24"/>
          <w:szCs w:val="24"/>
        </w:rPr>
        <w:t>III. EL RECURSO DE APELACIÓN.</w:t>
      </w:r>
    </w:p>
    <w:p w14:paraId="46A06485" w14:textId="77777777" w:rsidR="00E50FF4" w:rsidRPr="000A7E58" w:rsidRDefault="00E50FF4" w:rsidP="00E50FF4">
      <w:pPr>
        <w:spacing w:line="360" w:lineRule="auto"/>
        <w:jc w:val="both"/>
        <w:rPr>
          <w:rFonts w:ascii="Arial" w:hAnsi="Arial" w:cs="Arial"/>
          <w:bCs/>
          <w:sz w:val="24"/>
          <w:szCs w:val="24"/>
        </w:rPr>
      </w:pPr>
    </w:p>
    <w:p w14:paraId="123D28AC" w14:textId="77777777" w:rsidR="00E50FF4" w:rsidRDefault="00E50FF4" w:rsidP="00E50FF4">
      <w:pPr>
        <w:spacing w:line="360" w:lineRule="auto"/>
        <w:jc w:val="both"/>
        <w:rPr>
          <w:rFonts w:ascii="Arial" w:hAnsi="Arial" w:cs="Arial"/>
          <w:bCs/>
          <w:sz w:val="24"/>
          <w:szCs w:val="24"/>
        </w:rPr>
      </w:pPr>
      <w:r>
        <w:rPr>
          <w:rFonts w:ascii="Arial" w:hAnsi="Arial" w:cs="Arial"/>
          <w:bCs/>
          <w:sz w:val="24"/>
          <w:szCs w:val="24"/>
        </w:rPr>
        <w:t>Contra lo así resuelto se alzó la parte demandante</w:t>
      </w:r>
      <w:r>
        <w:rPr>
          <w:rStyle w:val="Refdenotaalpie"/>
          <w:rFonts w:ascii="Arial" w:hAnsi="Arial" w:cs="Arial"/>
          <w:bCs/>
          <w:sz w:val="24"/>
          <w:szCs w:val="24"/>
        </w:rPr>
        <w:footnoteReference w:id="7"/>
      </w:r>
      <w:r>
        <w:rPr>
          <w:rFonts w:ascii="Arial" w:hAnsi="Arial" w:cs="Arial"/>
          <w:bCs/>
          <w:sz w:val="24"/>
          <w:szCs w:val="24"/>
        </w:rPr>
        <w:t xml:space="preserve"> con fundamento en las siguientes razones:</w:t>
      </w:r>
    </w:p>
    <w:p w14:paraId="4F4E069B" w14:textId="77777777" w:rsidR="00E50FF4" w:rsidRDefault="00E50FF4" w:rsidP="00E50FF4">
      <w:pPr>
        <w:spacing w:line="360" w:lineRule="auto"/>
        <w:jc w:val="both"/>
        <w:rPr>
          <w:rFonts w:ascii="Arial" w:hAnsi="Arial" w:cs="Arial"/>
          <w:bCs/>
          <w:sz w:val="24"/>
          <w:szCs w:val="24"/>
        </w:rPr>
      </w:pPr>
    </w:p>
    <w:p w14:paraId="7F604404" w14:textId="77777777" w:rsidR="00E50FF4" w:rsidRDefault="00E50FF4" w:rsidP="00E50FF4">
      <w:pPr>
        <w:spacing w:line="360" w:lineRule="auto"/>
        <w:jc w:val="both"/>
        <w:rPr>
          <w:rFonts w:ascii="Arial" w:hAnsi="Arial" w:cs="Arial"/>
          <w:bCs/>
          <w:sz w:val="24"/>
          <w:szCs w:val="24"/>
        </w:rPr>
      </w:pPr>
      <w:r w:rsidRPr="00640FF9">
        <w:rPr>
          <w:rFonts w:ascii="Arial" w:hAnsi="Arial" w:cs="Arial"/>
          <w:bCs/>
          <w:sz w:val="24"/>
          <w:szCs w:val="24"/>
        </w:rPr>
        <w:t xml:space="preserve">Dice el recurrente que su inconformidad radica en que </w:t>
      </w:r>
      <w:r>
        <w:rPr>
          <w:rFonts w:ascii="Arial" w:hAnsi="Arial" w:cs="Arial"/>
          <w:bCs/>
          <w:sz w:val="24"/>
          <w:szCs w:val="24"/>
        </w:rPr>
        <w:t xml:space="preserve">se haya proferido un fallo inhibitorio al considerar que el Consorcio Aldebarán Ingenieros carecía de personería jurídica. Es reiterativo en afirmar que la presente demanda la instauran dos de las personas que conformaban el consorcio, esto es, los ingenieros Gloria Jenny Mejía y Jose Luis Jaramillo, los cuales integraron el litis consorcio necesario, tal y como se puso en conocimiento del Juzgado Cuarto Civil del Circuito de Medellín </w:t>
      </w:r>
      <w:r>
        <w:rPr>
          <w:rFonts w:ascii="Arial" w:hAnsi="Arial" w:cs="Arial"/>
          <w:bCs/>
          <w:sz w:val="24"/>
          <w:szCs w:val="24"/>
        </w:rPr>
        <w:lastRenderedPageBreak/>
        <w:t>el 5 de septiembre de 2006, pero que para efectos de hacer alusión en los hechos y pretensiones de la demanda siempre se hizo mención al Consorcio Aldebarán Ingenieros, razón por la cual, no se puede endilgar inexistencia de la demandante.</w:t>
      </w:r>
    </w:p>
    <w:p w14:paraId="2B1E5A3F" w14:textId="77777777" w:rsidR="00E50FF4" w:rsidRDefault="00E50FF4" w:rsidP="00E50FF4">
      <w:pPr>
        <w:spacing w:line="360" w:lineRule="auto"/>
        <w:jc w:val="both"/>
        <w:rPr>
          <w:rFonts w:ascii="Arial" w:hAnsi="Arial" w:cs="Arial"/>
          <w:bCs/>
          <w:sz w:val="24"/>
          <w:szCs w:val="24"/>
        </w:rPr>
      </w:pPr>
    </w:p>
    <w:p w14:paraId="4678E20D" w14:textId="77777777" w:rsidR="00E50FF4" w:rsidRDefault="00E50FF4" w:rsidP="00E50FF4">
      <w:pPr>
        <w:spacing w:line="360" w:lineRule="auto"/>
        <w:jc w:val="both"/>
        <w:rPr>
          <w:rFonts w:ascii="Arial" w:hAnsi="Arial" w:cs="Arial"/>
          <w:bCs/>
          <w:sz w:val="24"/>
          <w:szCs w:val="24"/>
        </w:rPr>
      </w:pPr>
      <w:r>
        <w:rPr>
          <w:rFonts w:ascii="Arial" w:hAnsi="Arial" w:cs="Arial"/>
          <w:bCs/>
          <w:sz w:val="24"/>
          <w:szCs w:val="24"/>
        </w:rPr>
        <w:t>Ahora bien, frente a las excepciones probadas por el Tribunal como insuficiencia de poder y falta de legitimación en la causa por activa, afirmó que el poder anexado inicialmente fue subsanado como lo solicitó el Juzgado en su momento presentando neuvamente poder debidamente firmado por los ingenieros antes citados, quienes son los demandantes en esta acción.</w:t>
      </w:r>
    </w:p>
    <w:p w14:paraId="2684EB49" w14:textId="77777777" w:rsidR="00E50FF4" w:rsidRDefault="00E50FF4" w:rsidP="00E50FF4">
      <w:pPr>
        <w:spacing w:line="360" w:lineRule="auto"/>
        <w:jc w:val="both"/>
        <w:rPr>
          <w:rFonts w:ascii="Arial" w:hAnsi="Arial" w:cs="Arial"/>
          <w:bCs/>
          <w:sz w:val="24"/>
          <w:szCs w:val="24"/>
        </w:rPr>
      </w:pPr>
    </w:p>
    <w:p w14:paraId="54430BD6" w14:textId="77777777" w:rsidR="00E50FF4" w:rsidRDefault="00E50FF4" w:rsidP="00E50FF4">
      <w:pPr>
        <w:spacing w:line="360" w:lineRule="auto"/>
        <w:jc w:val="both"/>
        <w:rPr>
          <w:rFonts w:ascii="Arial" w:hAnsi="Arial" w:cs="Arial"/>
          <w:bCs/>
          <w:sz w:val="24"/>
          <w:szCs w:val="24"/>
        </w:rPr>
      </w:pPr>
      <w:r>
        <w:rPr>
          <w:rFonts w:ascii="Arial" w:hAnsi="Arial" w:cs="Arial"/>
          <w:bCs/>
          <w:sz w:val="24"/>
          <w:szCs w:val="24"/>
        </w:rPr>
        <w:t>Afirmó que si bien existió la intervención de varias personas en la ejecución del contrato, la acción instaurada solo involucra a dos accionantes y lo hacen como personas naturales y quienes son los perjudiciados por el contrato de construcción de acometidas y por tanto obran en calidd de litisconsorico facultativo.</w:t>
      </w:r>
    </w:p>
    <w:p w14:paraId="2B29F30D" w14:textId="77777777" w:rsidR="00E50FF4" w:rsidRDefault="00E50FF4" w:rsidP="00E50FF4">
      <w:pPr>
        <w:spacing w:line="360" w:lineRule="auto"/>
        <w:jc w:val="both"/>
        <w:rPr>
          <w:rFonts w:ascii="Arial" w:hAnsi="Arial" w:cs="Arial"/>
          <w:bCs/>
          <w:sz w:val="24"/>
          <w:szCs w:val="24"/>
        </w:rPr>
      </w:pPr>
    </w:p>
    <w:p w14:paraId="035DF931" w14:textId="77777777" w:rsidR="00E50FF4" w:rsidRDefault="00E50FF4" w:rsidP="00E50FF4">
      <w:pPr>
        <w:spacing w:line="360" w:lineRule="auto"/>
        <w:jc w:val="both"/>
        <w:rPr>
          <w:rFonts w:ascii="Arial" w:hAnsi="Arial" w:cs="Arial"/>
          <w:bCs/>
          <w:sz w:val="24"/>
          <w:szCs w:val="24"/>
        </w:rPr>
      </w:pPr>
      <w:r>
        <w:rPr>
          <w:rFonts w:ascii="Arial" w:hAnsi="Arial" w:cs="Arial"/>
          <w:bCs/>
          <w:sz w:val="24"/>
          <w:szCs w:val="24"/>
        </w:rPr>
        <w:t xml:space="preserve">Por último, solicitó que decidan de fondo las pretensiones de la demanda y que se tengan como pruebas las aportadas en la oprotunidad legal, tanto las documentales como las testimoniales. </w:t>
      </w:r>
    </w:p>
    <w:p w14:paraId="472D7A82" w14:textId="77777777" w:rsidR="00E50FF4" w:rsidRDefault="00E50FF4" w:rsidP="00E50FF4">
      <w:pPr>
        <w:spacing w:line="360" w:lineRule="auto"/>
        <w:jc w:val="both"/>
        <w:rPr>
          <w:rFonts w:ascii="Arial" w:hAnsi="Arial" w:cs="Arial"/>
          <w:bCs/>
          <w:sz w:val="24"/>
          <w:szCs w:val="24"/>
        </w:rPr>
      </w:pPr>
    </w:p>
    <w:p w14:paraId="36C19F6C" w14:textId="77777777" w:rsidR="00E50FF4" w:rsidRDefault="00E50FF4" w:rsidP="00E50FF4">
      <w:pPr>
        <w:spacing w:line="360" w:lineRule="auto"/>
        <w:jc w:val="both"/>
        <w:rPr>
          <w:rFonts w:ascii="Arial" w:hAnsi="Arial" w:cs="Arial"/>
          <w:bCs/>
          <w:sz w:val="24"/>
          <w:szCs w:val="24"/>
          <w:lang w:val="es-ES"/>
        </w:rPr>
      </w:pPr>
      <w:r w:rsidRPr="00276892">
        <w:rPr>
          <w:rFonts w:ascii="Arial" w:hAnsi="Arial" w:cs="Arial"/>
          <w:bCs/>
          <w:sz w:val="24"/>
          <w:szCs w:val="24"/>
          <w:lang w:val="es-ES"/>
        </w:rPr>
        <w:t>El señor Agente d</w:t>
      </w:r>
      <w:r>
        <w:rPr>
          <w:rFonts w:ascii="Arial" w:hAnsi="Arial" w:cs="Arial"/>
          <w:bCs/>
          <w:sz w:val="24"/>
          <w:szCs w:val="24"/>
          <w:lang w:val="es-ES"/>
        </w:rPr>
        <w:t xml:space="preserve">el Ministerio Público guardó silencio. </w:t>
      </w:r>
    </w:p>
    <w:p w14:paraId="3D0DD60A" w14:textId="77777777" w:rsidR="00E50FF4" w:rsidRDefault="00E50FF4" w:rsidP="00E50FF4">
      <w:pPr>
        <w:spacing w:line="360" w:lineRule="auto"/>
        <w:jc w:val="both"/>
        <w:rPr>
          <w:rFonts w:ascii="Arial" w:hAnsi="Arial" w:cs="Arial"/>
          <w:bCs/>
          <w:sz w:val="24"/>
          <w:szCs w:val="24"/>
          <w:lang w:val="es-ES"/>
        </w:rPr>
      </w:pPr>
    </w:p>
    <w:p w14:paraId="56D9155F" w14:textId="77777777" w:rsidR="00E50FF4" w:rsidRDefault="00E50FF4" w:rsidP="00E50FF4">
      <w:pPr>
        <w:spacing w:line="360" w:lineRule="auto"/>
        <w:jc w:val="both"/>
        <w:rPr>
          <w:rFonts w:ascii="Arial" w:hAnsi="Arial" w:cs="Arial"/>
          <w:bCs/>
          <w:sz w:val="24"/>
          <w:szCs w:val="24"/>
        </w:rPr>
      </w:pPr>
      <w:r w:rsidRPr="00283C41">
        <w:rPr>
          <w:rFonts w:ascii="Arial" w:hAnsi="Arial" w:cs="Arial"/>
          <w:bCs/>
          <w:sz w:val="24"/>
          <w:szCs w:val="24"/>
        </w:rPr>
        <w:t xml:space="preserve">No advirtiéndose causal de nulidad que pueda invalidar lo actuado, se procede a desatar </w:t>
      </w:r>
      <w:r>
        <w:rPr>
          <w:rFonts w:ascii="Arial" w:hAnsi="Arial" w:cs="Arial"/>
          <w:bCs/>
          <w:sz w:val="24"/>
          <w:szCs w:val="24"/>
        </w:rPr>
        <w:t>la alzada previas las siguientes.</w:t>
      </w:r>
    </w:p>
    <w:p w14:paraId="6115D240" w14:textId="77777777" w:rsidR="00E50FF4" w:rsidRPr="00B97921" w:rsidRDefault="00E50FF4" w:rsidP="00E50FF4">
      <w:pPr>
        <w:spacing w:line="360" w:lineRule="auto"/>
        <w:rPr>
          <w:rFonts w:ascii="Arial" w:hAnsi="Arial" w:cs="Arial"/>
          <w:b/>
          <w:bCs/>
          <w:sz w:val="24"/>
          <w:szCs w:val="24"/>
        </w:rPr>
      </w:pPr>
    </w:p>
    <w:p w14:paraId="1D2FBAF1" w14:textId="77777777" w:rsidR="00E50FF4" w:rsidRPr="000A7E58" w:rsidRDefault="00E50FF4" w:rsidP="00E50FF4">
      <w:pPr>
        <w:spacing w:line="360" w:lineRule="auto"/>
        <w:jc w:val="center"/>
        <w:rPr>
          <w:rFonts w:ascii="Arial" w:hAnsi="Arial" w:cs="Arial"/>
          <w:b/>
          <w:bCs/>
          <w:sz w:val="24"/>
          <w:szCs w:val="24"/>
        </w:rPr>
      </w:pPr>
      <w:r w:rsidRPr="000A7E58">
        <w:rPr>
          <w:rFonts w:ascii="Arial" w:hAnsi="Arial" w:cs="Arial"/>
          <w:b/>
          <w:bCs/>
          <w:sz w:val="24"/>
          <w:szCs w:val="24"/>
        </w:rPr>
        <w:t>IV. CONSIDERACIONES.</w:t>
      </w:r>
    </w:p>
    <w:p w14:paraId="4B237349" w14:textId="77777777" w:rsidR="00E50FF4" w:rsidRPr="000A7E58" w:rsidRDefault="00E50FF4" w:rsidP="00E50FF4">
      <w:pPr>
        <w:tabs>
          <w:tab w:val="left" w:pos="284"/>
        </w:tabs>
        <w:spacing w:line="360" w:lineRule="auto"/>
        <w:jc w:val="both"/>
        <w:rPr>
          <w:rFonts w:ascii="Arial" w:hAnsi="Arial" w:cs="Arial"/>
          <w:b/>
          <w:bCs/>
          <w:sz w:val="24"/>
          <w:szCs w:val="24"/>
        </w:rPr>
      </w:pPr>
    </w:p>
    <w:p w14:paraId="2A0A9927" w14:textId="77777777" w:rsidR="00E50FF4" w:rsidRPr="000A7E58" w:rsidRDefault="00E50FF4" w:rsidP="00E50FF4">
      <w:pPr>
        <w:tabs>
          <w:tab w:val="left" w:pos="284"/>
        </w:tabs>
        <w:spacing w:line="360" w:lineRule="auto"/>
        <w:jc w:val="both"/>
        <w:rPr>
          <w:rFonts w:ascii="Arial" w:hAnsi="Arial" w:cs="Arial"/>
          <w:bCs/>
          <w:sz w:val="24"/>
          <w:szCs w:val="24"/>
          <w:lang w:val="es-ES"/>
        </w:rPr>
      </w:pPr>
      <w:r w:rsidRPr="00167C65">
        <w:rPr>
          <w:rFonts w:ascii="Arial" w:hAnsi="Arial" w:cs="Arial"/>
          <w:bCs/>
          <w:sz w:val="24"/>
          <w:szCs w:val="24"/>
          <w:lang w:val="es-ES"/>
        </w:rPr>
        <w:t xml:space="preserve">Para resolver lo pertinente, la Sala, retomando la problemática jurídica propuesta por la parte actora, precisará el alcance de los conceptos adoptados como </w:t>
      </w:r>
      <w:r w:rsidRPr="00167C65">
        <w:rPr>
          <w:rFonts w:ascii="Arial" w:hAnsi="Arial" w:cs="Arial"/>
          <w:bCs/>
          <w:i/>
          <w:sz w:val="24"/>
          <w:szCs w:val="24"/>
          <w:lang w:val="es-ES"/>
        </w:rPr>
        <w:t xml:space="preserve">ratio decidendi </w:t>
      </w:r>
      <w:r w:rsidRPr="00167C65">
        <w:rPr>
          <w:rFonts w:ascii="Arial" w:hAnsi="Arial" w:cs="Arial"/>
          <w:bCs/>
          <w:sz w:val="24"/>
          <w:szCs w:val="24"/>
          <w:lang w:val="es-ES"/>
        </w:rPr>
        <w:t xml:space="preserve">para sustentar su decisión así: </w:t>
      </w:r>
      <w:r w:rsidRPr="000A7E58">
        <w:rPr>
          <w:rFonts w:ascii="Arial" w:hAnsi="Arial" w:cs="Arial"/>
          <w:bCs/>
          <w:sz w:val="24"/>
          <w:szCs w:val="24"/>
          <w:lang w:val="es-ES"/>
        </w:rPr>
        <w:t xml:space="preserve">1) Perentoriedad de los términos de caducidad; 2) Caso concreto. </w:t>
      </w:r>
    </w:p>
    <w:p w14:paraId="73A23AA4" w14:textId="77777777" w:rsidR="00E50FF4" w:rsidRPr="004B2624" w:rsidRDefault="00E50FF4" w:rsidP="00E50FF4">
      <w:pPr>
        <w:spacing w:line="360" w:lineRule="auto"/>
        <w:jc w:val="both"/>
        <w:rPr>
          <w:rFonts w:ascii="Arial" w:hAnsi="Arial" w:cs="Arial"/>
          <w:bCs/>
          <w:sz w:val="24"/>
          <w:szCs w:val="24"/>
          <w:lang w:val="es-ES"/>
        </w:rPr>
      </w:pPr>
    </w:p>
    <w:p w14:paraId="31B09EBD" w14:textId="77777777" w:rsidR="00E50FF4" w:rsidRDefault="00E50FF4" w:rsidP="00E50FF4">
      <w:pPr>
        <w:spacing w:line="360" w:lineRule="auto"/>
        <w:jc w:val="both"/>
        <w:rPr>
          <w:rFonts w:ascii="Arial" w:hAnsi="Arial"/>
          <w:sz w:val="24"/>
          <w:szCs w:val="24"/>
        </w:rPr>
      </w:pPr>
      <w:r>
        <w:rPr>
          <w:rFonts w:ascii="Arial" w:hAnsi="Arial" w:cs="Arial"/>
          <w:b/>
          <w:bCs/>
          <w:sz w:val="24"/>
          <w:szCs w:val="24"/>
          <w:lang w:val="es-ES"/>
        </w:rPr>
        <w:t>1</w:t>
      </w:r>
      <w:r w:rsidRPr="004B2624">
        <w:rPr>
          <w:rFonts w:ascii="Arial" w:hAnsi="Arial" w:cs="Arial"/>
          <w:b/>
          <w:bCs/>
          <w:sz w:val="24"/>
          <w:szCs w:val="24"/>
          <w:lang w:val="es-ES"/>
        </w:rPr>
        <w:t xml:space="preserve">. </w:t>
      </w:r>
      <w:r w:rsidRPr="00FE31A4">
        <w:rPr>
          <w:rFonts w:ascii="Arial" w:hAnsi="Arial"/>
          <w:b/>
          <w:sz w:val="24"/>
          <w:szCs w:val="24"/>
        </w:rPr>
        <w:t>P</w:t>
      </w:r>
      <w:r w:rsidRPr="004B2624">
        <w:rPr>
          <w:rFonts w:ascii="Arial" w:hAnsi="Arial"/>
          <w:b/>
          <w:sz w:val="24"/>
          <w:szCs w:val="24"/>
        </w:rPr>
        <w:t>erentoriedad de los términos de caducidad</w:t>
      </w:r>
      <w:r>
        <w:rPr>
          <w:rFonts w:ascii="Arial" w:hAnsi="Arial"/>
          <w:sz w:val="24"/>
          <w:szCs w:val="24"/>
        </w:rPr>
        <w:t>.</w:t>
      </w:r>
    </w:p>
    <w:p w14:paraId="5FC6878F" w14:textId="77777777" w:rsidR="00E50FF4" w:rsidRDefault="00E50FF4" w:rsidP="00E50FF4">
      <w:pPr>
        <w:spacing w:line="360" w:lineRule="auto"/>
        <w:jc w:val="both"/>
        <w:rPr>
          <w:rFonts w:ascii="Arial" w:hAnsi="Arial"/>
          <w:b/>
          <w:sz w:val="24"/>
          <w:szCs w:val="24"/>
        </w:rPr>
      </w:pPr>
    </w:p>
    <w:p w14:paraId="5E4B5D0D" w14:textId="77777777" w:rsidR="00E50FF4" w:rsidRPr="004B2624" w:rsidRDefault="00E50FF4" w:rsidP="00E50FF4">
      <w:pPr>
        <w:spacing w:line="360" w:lineRule="auto"/>
        <w:jc w:val="both"/>
        <w:rPr>
          <w:rFonts w:ascii="Arial" w:hAnsi="Arial"/>
          <w:b/>
          <w:sz w:val="24"/>
          <w:szCs w:val="24"/>
        </w:rPr>
      </w:pPr>
      <w:r w:rsidRPr="00FE31A4">
        <w:rPr>
          <w:rFonts w:ascii="Arial" w:hAnsi="Arial"/>
          <w:sz w:val="24"/>
          <w:szCs w:val="24"/>
        </w:rPr>
        <w:t>Al respecto</w:t>
      </w:r>
      <w:r>
        <w:rPr>
          <w:rFonts w:ascii="Arial" w:hAnsi="Arial"/>
          <w:b/>
          <w:sz w:val="24"/>
          <w:szCs w:val="24"/>
        </w:rPr>
        <w:t xml:space="preserve"> </w:t>
      </w:r>
      <w:r w:rsidRPr="004B2624">
        <w:rPr>
          <w:rFonts w:ascii="Arial" w:hAnsi="Arial"/>
          <w:sz w:val="24"/>
          <w:szCs w:val="24"/>
        </w:rPr>
        <w:t>esta Subsección tiene dicho:</w:t>
      </w:r>
      <w:r w:rsidRPr="004B2624">
        <w:rPr>
          <w:rFonts w:ascii="Arial" w:hAnsi="Arial"/>
          <w:b/>
          <w:sz w:val="24"/>
          <w:szCs w:val="24"/>
        </w:rPr>
        <w:t xml:space="preserve"> </w:t>
      </w:r>
    </w:p>
    <w:p w14:paraId="0C3DAF57" w14:textId="77777777" w:rsidR="00E50FF4" w:rsidRPr="004B2624" w:rsidRDefault="00E50FF4" w:rsidP="00E50FF4">
      <w:pPr>
        <w:numPr>
          <w:ilvl w:val="12"/>
          <w:numId w:val="0"/>
        </w:numPr>
        <w:spacing w:line="360" w:lineRule="auto"/>
        <w:jc w:val="both"/>
        <w:rPr>
          <w:rFonts w:ascii="Arial" w:hAnsi="Arial"/>
          <w:b/>
          <w:sz w:val="24"/>
          <w:szCs w:val="24"/>
        </w:rPr>
      </w:pPr>
    </w:p>
    <w:p w14:paraId="357C5A7F" w14:textId="77777777" w:rsidR="00E50FF4" w:rsidRPr="004B2624" w:rsidRDefault="00E50FF4" w:rsidP="00E50FF4">
      <w:pPr>
        <w:numPr>
          <w:ilvl w:val="12"/>
          <w:numId w:val="0"/>
        </w:numPr>
        <w:spacing w:line="360" w:lineRule="auto"/>
        <w:jc w:val="both"/>
        <w:rPr>
          <w:rFonts w:ascii="Arial" w:hAnsi="Arial"/>
          <w:i/>
          <w:sz w:val="24"/>
          <w:szCs w:val="24"/>
        </w:rPr>
      </w:pPr>
      <w:bookmarkStart w:id="1" w:name="_Hlk28444047"/>
      <w:r w:rsidRPr="004B2624">
        <w:rPr>
          <w:rFonts w:ascii="Arial" w:hAnsi="Arial"/>
          <w:i/>
          <w:sz w:val="24"/>
          <w:szCs w:val="24"/>
        </w:rPr>
        <w:t xml:space="preserve">“La caducidad  de la acción como fenómeno jurídico implica la imposibilidad de formular ante la jurisdicción unas determinadas pretensiones habida cuenta de que </w:t>
      </w:r>
      <w:r w:rsidRPr="004B2624">
        <w:rPr>
          <w:rFonts w:ascii="Arial" w:hAnsi="Arial"/>
          <w:i/>
          <w:sz w:val="24"/>
          <w:szCs w:val="24"/>
        </w:rPr>
        <w:lastRenderedPageBreak/>
        <w:t>ha transcurrido el término que perentoriamente ha señalado la ley para ejercitar la correspondiente acción.</w:t>
      </w:r>
    </w:p>
    <w:p w14:paraId="7EA89552" w14:textId="77777777" w:rsidR="00E50FF4" w:rsidRPr="004B2624" w:rsidRDefault="00E50FF4" w:rsidP="00E50FF4">
      <w:pPr>
        <w:numPr>
          <w:ilvl w:val="12"/>
          <w:numId w:val="0"/>
        </w:numPr>
        <w:spacing w:line="360" w:lineRule="auto"/>
        <w:jc w:val="both"/>
        <w:rPr>
          <w:rFonts w:ascii="Arial" w:hAnsi="Arial"/>
          <w:i/>
          <w:sz w:val="24"/>
          <w:szCs w:val="24"/>
        </w:rPr>
      </w:pPr>
    </w:p>
    <w:p w14:paraId="24756D2B" w14:textId="77777777" w:rsidR="00E50FF4" w:rsidRPr="004B2624" w:rsidRDefault="00E50FF4" w:rsidP="00E50FF4">
      <w:pPr>
        <w:numPr>
          <w:ilvl w:val="12"/>
          <w:numId w:val="0"/>
        </w:numPr>
        <w:spacing w:line="360" w:lineRule="auto"/>
        <w:jc w:val="both"/>
        <w:rPr>
          <w:rFonts w:ascii="Arial" w:hAnsi="Arial"/>
          <w:i/>
          <w:sz w:val="24"/>
          <w:szCs w:val="24"/>
        </w:rPr>
      </w:pPr>
      <w:r w:rsidRPr="004B2624">
        <w:rPr>
          <w:rFonts w:ascii="Arial" w:hAnsi="Arial"/>
          <w:i/>
          <w:sz w:val="24"/>
          <w:szCs w:val="24"/>
        </w:rPr>
        <w:t>La seguridad jurídica y la paz social son las razones que fundamentalmente justifican el que el legislador limite desde el punto de vista temporal la posibilidad de aducir ante el juez unas concretas pretensiones y por ello se dice que la caducidad protege intereses de orden general.</w:t>
      </w:r>
    </w:p>
    <w:p w14:paraId="47E9C032" w14:textId="77777777" w:rsidR="00E50FF4" w:rsidRPr="004B2624" w:rsidRDefault="00E50FF4" w:rsidP="00E50FF4">
      <w:pPr>
        <w:numPr>
          <w:ilvl w:val="12"/>
          <w:numId w:val="0"/>
        </w:numPr>
        <w:spacing w:line="360" w:lineRule="auto"/>
        <w:jc w:val="both"/>
        <w:rPr>
          <w:rFonts w:ascii="Arial" w:hAnsi="Arial"/>
          <w:i/>
          <w:sz w:val="24"/>
          <w:szCs w:val="24"/>
        </w:rPr>
      </w:pPr>
    </w:p>
    <w:p w14:paraId="6D7F1321" w14:textId="77777777" w:rsidR="00E50FF4" w:rsidRPr="004B2624" w:rsidRDefault="00E50FF4" w:rsidP="00E50FF4">
      <w:pPr>
        <w:numPr>
          <w:ilvl w:val="12"/>
          <w:numId w:val="0"/>
        </w:numPr>
        <w:spacing w:line="360" w:lineRule="auto"/>
        <w:jc w:val="both"/>
        <w:rPr>
          <w:rFonts w:ascii="Arial" w:hAnsi="Arial"/>
          <w:i/>
          <w:sz w:val="24"/>
          <w:szCs w:val="24"/>
        </w:rPr>
      </w:pPr>
      <w:r w:rsidRPr="004B2624">
        <w:rPr>
          <w:rFonts w:ascii="Arial" w:hAnsi="Arial"/>
          <w:i/>
          <w:sz w:val="24"/>
          <w:szCs w:val="24"/>
        </w:rPr>
        <w:t>Los términos para que opere la caducidad están siempre señalados en la ley y las normas que los contienen son de orden público, razones por las cuales son taxativos y las partes no pueden crear término alguno de caducidad.</w:t>
      </w:r>
    </w:p>
    <w:p w14:paraId="3F0DD871" w14:textId="77777777" w:rsidR="00E50FF4" w:rsidRPr="004B2624" w:rsidRDefault="00E50FF4" w:rsidP="00E50FF4">
      <w:pPr>
        <w:spacing w:line="360" w:lineRule="auto"/>
        <w:jc w:val="both"/>
        <w:rPr>
          <w:rFonts w:ascii="Arial" w:hAnsi="Arial" w:cs="Arial"/>
          <w:bCs/>
          <w:i/>
          <w:sz w:val="24"/>
          <w:szCs w:val="24"/>
          <w:lang w:val="es-ES"/>
        </w:rPr>
      </w:pPr>
    </w:p>
    <w:p w14:paraId="11353FD8" w14:textId="77777777" w:rsidR="00E50FF4" w:rsidRPr="004B2624" w:rsidRDefault="00E50FF4" w:rsidP="00E50FF4">
      <w:pPr>
        <w:spacing w:line="360" w:lineRule="auto"/>
        <w:jc w:val="both"/>
        <w:rPr>
          <w:rFonts w:ascii="Arial" w:hAnsi="Arial" w:cs="Arial"/>
          <w:bCs/>
          <w:i/>
          <w:sz w:val="24"/>
          <w:szCs w:val="24"/>
          <w:lang w:val="es-ES"/>
        </w:rPr>
      </w:pPr>
      <w:r w:rsidRPr="004B2624">
        <w:rPr>
          <w:rFonts w:ascii="Arial" w:hAnsi="Arial" w:cs="Arial"/>
          <w:bCs/>
          <w:i/>
          <w:sz w:val="24"/>
          <w:szCs w:val="24"/>
          <w:lang w:val="es-ES"/>
        </w:rPr>
        <w:t>La caducidad opera de pleno derecho, es decir que se estructura con el solo hecho de transcurrir el tiempo prefijado para ello, y por lo tanto el juez puede y debe decretarla aún de oficio cuando aparezca que ella ha operado.</w:t>
      </w:r>
    </w:p>
    <w:p w14:paraId="42DEFE50" w14:textId="77777777" w:rsidR="00E50FF4" w:rsidRPr="004B2624" w:rsidRDefault="00E50FF4" w:rsidP="00E50FF4">
      <w:pPr>
        <w:spacing w:line="360" w:lineRule="auto"/>
        <w:jc w:val="both"/>
        <w:rPr>
          <w:rFonts w:ascii="Arial" w:hAnsi="Arial" w:cs="Arial"/>
          <w:bCs/>
          <w:i/>
          <w:sz w:val="24"/>
          <w:szCs w:val="24"/>
          <w:lang w:val="es-ES"/>
        </w:rPr>
      </w:pPr>
    </w:p>
    <w:p w14:paraId="7FCF096B" w14:textId="77777777" w:rsidR="00E50FF4" w:rsidRPr="004B2624" w:rsidRDefault="00E50FF4" w:rsidP="00E50FF4">
      <w:pPr>
        <w:spacing w:line="360" w:lineRule="auto"/>
        <w:jc w:val="both"/>
        <w:rPr>
          <w:rFonts w:ascii="Arial" w:hAnsi="Arial" w:cs="Arial"/>
          <w:bCs/>
          <w:i/>
          <w:sz w:val="24"/>
          <w:szCs w:val="24"/>
          <w:lang w:val="es-ES"/>
        </w:rPr>
      </w:pPr>
      <w:r w:rsidRPr="004B2624">
        <w:rPr>
          <w:rFonts w:ascii="Arial" w:hAnsi="Arial" w:cs="Arial"/>
          <w:bCs/>
          <w:i/>
          <w:sz w:val="24"/>
          <w:szCs w:val="24"/>
          <w:lang w:val="es-ES"/>
        </w:rPr>
        <w:t>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w:t>
      </w:r>
    </w:p>
    <w:p w14:paraId="44A93D37" w14:textId="77777777" w:rsidR="00E50FF4" w:rsidRPr="004B2624" w:rsidRDefault="00E50FF4" w:rsidP="00E50FF4">
      <w:pPr>
        <w:spacing w:line="360" w:lineRule="auto"/>
        <w:jc w:val="both"/>
        <w:rPr>
          <w:rFonts w:ascii="Arial" w:hAnsi="Arial" w:cs="Arial"/>
          <w:bCs/>
          <w:i/>
          <w:sz w:val="24"/>
          <w:szCs w:val="24"/>
          <w:lang w:val="es-ES"/>
        </w:rPr>
      </w:pPr>
    </w:p>
    <w:p w14:paraId="2B9E3DD3" w14:textId="77777777" w:rsidR="00E50FF4" w:rsidRPr="004B2624" w:rsidRDefault="00E50FF4" w:rsidP="00E50FF4">
      <w:pPr>
        <w:spacing w:line="360" w:lineRule="auto"/>
        <w:jc w:val="both"/>
        <w:rPr>
          <w:rFonts w:ascii="Arial" w:hAnsi="Arial" w:cs="Arial"/>
          <w:bCs/>
          <w:i/>
          <w:sz w:val="24"/>
          <w:szCs w:val="24"/>
          <w:lang w:val="es-ES"/>
        </w:rPr>
      </w:pPr>
      <w:r w:rsidRPr="004B2624">
        <w:rPr>
          <w:rFonts w:ascii="Arial" w:hAnsi="Arial" w:cs="Arial"/>
          <w:bCs/>
          <w:i/>
          <w:sz w:val="24"/>
          <w:szCs w:val="24"/>
          <w:lang w:val="es-ES"/>
        </w:rPr>
        <w:t>Finalmente la caducidad, precisamente por ser de orden público, no puede ser renunciada y no se interrumpe sino en los limitados casos exceptuados en la ley.</w:t>
      </w:r>
    </w:p>
    <w:p w14:paraId="70B68F22" w14:textId="77777777" w:rsidR="00E50FF4" w:rsidRPr="004B2624" w:rsidRDefault="00E50FF4" w:rsidP="00E50FF4">
      <w:pPr>
        <w:spacing w:line="360" w:lineRule="auto"/>
        <w:jc w:val="both"/>
        <w:rPr>
          <w:rFonts w:ascii="Arial" w:hAnsi="Arial" w:cs="Arial"/>
          <w:bCs/>
          <w:i/>
          <w:sz w:val="24"/>
          <w:szCs w:val="24"/>
          <w:lang w:val="es-ES"/>
        </w:rPr>
      </w:pPr>
    </w:p>
    <w:p w14:paraId="269DF022" w14:textId="77777777" w:rsidR="00E50FF4" w:rsidRPr="004B2624" w:rsidRDefault="00E50FF4" w:rsidP="00E50FF4">
      <w:pPr>
        <w:spacing w:line="360" w:lineRule="auto"/>
        <w:jc w:val="both"/>
        <w:rPr>
          <w:rFonts w:ascii="Arial" w:hAnsi="Arial" w:cs="Arial"/>
          <w:bCs/>
          <w:i/>
          <w:sz w:val="24"/>
          <w:szCs w:val="24"/>
          <w:lang w:val="es-ES"/>
        </w:rPr>
      </w:pPr>
      <w:r w:rsidRPr="004B2624">
        <w:rPr>
          <w:rFonts w:ascii="Arial" w:hAnsi="Arial" w:cs="Arial"/>
          <w:bCs/>
          <w:i/>
          <w:sz w:val="24"/>
          <w:szCs w:val="24"/>
          <w:lang w:val="es-ES"/>
        </w:rPr>
        <w:t>Pues bien, de todas estas características que se han mencionado emerge que una vez que se da el supuesto de hecho que el legislador ha señalado como comienzo del término de caducidad, él indefectiblemente empieza a correr y en ningún caso queda en manos de alguna de las partes la posibilidad de variar el término prefijado en la ley.</w:t>
      </w:r>
    </w:p>
    <w:p w14:paraId="141207AB" w14:textId="77777777" w:rsidR="00E50FF4" w:rsidRPr="004B2624" w:rsidRDefault="00E50FF4" w:rsidP="00E50FF4">
      <w:pPr>
        <w:spacing w:line="360" w:lineRule="auto"/>
        <w:jc w:val="both"/>
        <w:rPr>
          <w:rFonts w:ascii="Arial" w:hAnsi="Arial" w:cs="Arial"/>
          <w:bCs/>
          <w:i/>
          <w:sz w:val="24"/>
          <w:szCs w:val="24"/>
          <w:lang w:val="es-ES"/>
        </w:rPr>
      </w:pPr>
    </w:p>
    <w:p w14:paraId="12BCF142" w14:textId="77777777" w:rsidR="00E50FF4" w:rsidRPr="004B2624" w:rsidRDefault="00E50FF4" w:rsidP="00E50FF4">
      <w:pPr>
        <w:spacing w:line="360" w:lineRule="auto"/>
        <w:jc w:val="both"/>
        <w:rPr>
          <w:rFonts w:ascii="Arial" w:hAnsi="Arial" w:cs="Arial"/>
          <w:bCs/>
          <w:i/>
          <w:sz w:val="24"/>
          <w:szCs w:val="24"/>
          <w:lang w:val="es-ES"/>
        </w:rPr>
      </w:pPr>
      <w:r w:rsidRPr="004B2624">
        <w:rPr>
          <w:rFonts w:ascii="Arial" w:hAnsi="Arial" w:cs="Arial"/>
          <w:bCs/>
          <w:i/>
          <w:sz w:val="24"/>
          <w:szCs w:val="24"/>
          <w:lang w:val="es-ES"/>
        </w:rPr>
        <w:t xml:space="preserve">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que si el plazo legalmente previsto para realizar la liquidación concluye sin que esta se hubiere hecho, irremediablemente el término de caducidad habrá empezado a correr a partir de la </w:t>
      </w:r>
      <w:r w:rsidRPr="004B2624">
        <w:rPr>
          <w:rFonts w:ascii="Arial" w:hAnsi="Arial" w:cs="Arial"/>
          <w:bCs/>
          <w:i/>
          <w:sz w:val="24"/>
          <w:szCs w:val="24"/>
          <w:lang w:val="es-ES"/>
        </w:rPr>
        <w:lastRenderedPageBreak/>
        <w:t>conclusión de este último momento y por ende ninguna incidencia tendrá en el término de caducidad una liquidación posterior.</w:t>
      </w:r>
    </w:p>
    <w:p w14:paraId="7580250C" w14:textId="77777777" w:rsidR="00E50FF4" w:rsidRPr="004B2624" w:rsidRDefault="00E50FF4" w:rsidP="00E50FF4">
      <w:pPr>
        <w:spacing w:line="360" w:lineRule="auto"/>
        <w:jc w:val="both"/>
        <w:rPr>
          <w:rFonts w:ascii="Arial" w:hAnsi="Arial" w:cs="Arial"/>
          <w:bCs/>
          <w:i/>
          <w:sz w:val="24"/>
          <w:szCs w:val="24"/>
          <w:lang w:val="es-ES"/>
        </w:rPr>
      </w:pPr>
    </w:p>
    <w:p w14:paraId="501A46C7" w14:textId="77777777" w:rsidR="00E50FF4" w:rsidRDefault="00E50FF4" w:rsidP="00E50FF4">
      <w:pPr>
        <w:spacing w:line="360" w:lineRule="auto"/>
        <w:jc w:val="both"/>
        <w:rPr>
          <w:rFonts w:ascii="Arial" w:hAnsi="Arial" w:cs="Arial"/>
          <w:bCs/>
          <w:i/>
          <w:sz w:val="24"/>
          <w:szCs w:val="24"/>
          <w:lang w:val="es-ES"/>
        </w:rPr>
      </w:pPr>
      <w:r w:rsidRPr="004B2624">
        <w:rPr>
          <w:rFonts w:ascii="Arial" w:hAnsi="Arial" w:cs="Arial"/>
          <w:bCs/>
          <w:i/>
          <w:sz w:val="24"/>
          <w:szCs w:val="24"/>
          <w:lang w:val="es-ES"/>
        </w:rPr>
        <w:t>Sostener lo contrario sería tanto como argumentar que el término de caducidad puede quedar al arbitrio de alguna de las partes.</w:t>
      </w:r>
    </w:p>
    <w:p w14:paraId="1B1A1F3B" w14:textId="77777777" w:rsidR="00E50FF4" w:rsidRPr="004B2624" w:rsidRDefault="00E50FF4" w:rsidP="00E50FF4">
      <w:pPr>
        <w:spacing w:line="360" w:lineRule="auto"/>
        <w:jc w:val="both"/>
        <w:rPr>
          <w:rFonts w:ascii="Arial" w:hAnsi="Arial" w:cs="Arial"/>
          <w:bCs/>
          <w:i/>
          <w:sz w:val="24"/>
          <w:szCs w:val="24"/>
          <w:lang w:val="es-ES"/>
        </w:rPr>
      </w:pPr>
    </w:p>
    <w:p w14:paraId="542CD33A" w14:textId="77777777" w:rsidR="00E50FF4" w:rsidRPr="004B2624" w:rsidRDefault="00E50FF4" w:rsidP="00E50FF4">
      <w:pPr>
        <w:spacing w:line="360" w:lineRule="auto"/>
        <w:jc w:val="both"/>
        <w:rPr>
          <w:rFonts w:ascii="Arial" w:hAnsi="Arial" w:cs="Arial"/>
          <w:bCs/>
          <w:i/>
          <w:sz w:val="24"/>
          <w:szCs w:val="24"/>
          <w:lang w:val="es-ES"/>
        </w:rPr>
      </w:pPr>
      <w:r w:rsidRPr="004B2624">
        <w:rPr>
          <w:rFonts w:ascii="Arial" w:hAnsi="Arial" w:cs="Arial"/>
          <w:bCs/>
          <w:i/>
          <w:sz w:val="24"/>
          <w:szCs w:val="24"/>
          <w:lang w:val="es-ES"/>
        </w:rPr>
        <w:t>En efecto, de no ser como se viene afirmando se llegaría a la extraña e ilegal situación de existir un término de caducidad superior al previsto en la ley en virtud de la decisión de alguna de las partes, tal como ocurriría por ejemplo en la hipótesis en que la liquidación del contrato viene a hacerse después de haber transcurrido trece (13) o más meses desde que concluyeron los plazos legalmente previstos para liquidar el contrato.</w:t>
      </w:r>
    </w:p>
    <w:p w14:paraId="56B04C22" w14:textId="77777777" w:rsidR="00E50FF4" w:rsidRPr="004B2624" w:rsidRDefault="00E50FF4" w:rsidP="00E50FF4">
      <w:pPr>
        <w:spacing w:line="360" w:lineRule="auto"/>
        <w:jc w:val="both"/>
        <w:rPr>
          <w:rFonts w:ascii="Arial" w:hAnsi="Arial" w:cs="Arial"/>
          <w:bCs/>
          <w:i/>
          <w:sz w:val="24"/>
          <w:szCs w:val="24"/>
          <w:lang w:val="es-ES"/>
        </w:rPr>
      </w:pPr>
    </w:p>
    <w:p w14:paraId="44659C0D" w14:textId="77777777" w:rsidR="00E50FF4" w:rsidRPr="004B2624" w:rsidRDefault="00E50FF4" w:rsidP="00E50FF4">
      <w:pPr>
        <w:spacing w:line="360" w:lineRule="auto"/>
        <w:jc w:val="both"/>
        <w:rPr>
          <w:rFonts w:ascii="Arial" w:hAnsi="Arial" w:cs="Arial"/>
          <w:bCs/>
          <w:i/>
          <w:sz w:val="24"/>
          <w:szCs w:val="24"/>
          <w:lang w:val="es-ES"/>
        </w:rPr>
      </w:pPr>
      <w:r w:rsidRPr="004B2624">
        <w:rPr>
          <w:rFonts w:ascii="Arial" w:hAnsi="Arial" w:cs="Arial"/>
          <w:bCs/>
          <w:i/>
          <w:sz w:val="24"/>
          <w:szCs w:val="24"/>
          <w:lang w:val="es-ES"/>
        </w:rPr>
        <w:t>Y es que la posición que aquí se critica impondría la obligada pero errada e ilegal conclusión consistente en que el término de caducidad ya no sería de dos años contados a partir del momento en que vencieron los términos legales para liquidar el contrato, sino de treinta y tres o más meses (13 o más desde el vencimiento de los términos legales para liquidar el contrato y 24 más a partir de la liquidación extemporánea), todo por decisión de quien o quienes liquidaron el contrato por fuera de los términos legalmente previstos para ello.”</w:t>
      </w:r>
      <w:r w:rsidRPr="004B2624">
        <w:rPr>
          <w:rFonts w:ascii="Arial" w:hAnsi="Arial" w:cs="Arial"/>
          <w:bCs/>
          <w:i/>
          <w:sz w:val="24"/>
          <w:szCs w:val="24"/>
          <w:vertAlign w:val="superscript"/>
          <w:lang w:val="es-ES"/>
        </w:rPr>
        <w:footnoteReference w:id="8"/>
      </w:r>
      <w:r w:rsidRPr="004B2624">
        <w:rPr>
          <w:rFonts w:ascii="Arial" w:hAnsi="Arial" w:cs="Arial"/>
          <w:bCs/>
          <w:i/>
          <w:sz w:val="24"/>
          <w:szCs w:val="24"/>
          <w:lang w:val="es-ES"/>
        </w:rPr>
        <w:t xml:space="preserve">  </w:t>
      </w:r>
    </w:p>
    <w:bookmarkEnd w:id="1"/>
    <w:p w14:paraId="0920878D" w14:textId="77777777" w:rsidR="00E50FF4" w:rsidRPr="004B2624" w:rsidRDefault="00E50FF4" w:rsidP="00E50FF4">
      <w:pPr>
        <w:spacing w:line="360" w:lineRule="auto"/>
        <w:jc w:val="both"/>
        <w:rPr>
          <w:rFonts w:ascii="Arial" w:hAnsi="Arial" w:cs="Arial"/>
          <w:b/>
          <w:bCs/>
          <w:sz w:val="24"/>
          <w:szCs w:val="24"/>
          <w:lang w:val="es-ES"/>
        </w:rPr>
      </w:pPr>
    </w:p>
    <w:p w14:paraId="3FFCE41F" w14:textId="77777777" w:rsidR="00E50FF4" w:rsidRPr="00FE31A4" w:rsidRDefault="00E50FF4" w:rsidP="00E50FF4">
      <w:pPr>
        <w:numPr>
          <w:ilvl w:val="0"/>
          <w:numId w:val="3"/>
        </w:numPr>
        <w:tabs>
          <w:tab w:val="left" w:pos="284"/>
        </w:tabs>
        <w:overflowPunct/>
        <w:autoSpaceDE/>
        <w:autoSpaceDN/>
        <w:adjustRightInd/>
        <w:spacing w:line="360" w:lineRule="auto"/>
        <w:ind w:left="0" w:firstLine="0"/>
        <w:jc w:val="both"/>
        <w:textAlignment w:val="auto"/>
        <w:rPr>
          <w:rFonts w:ascii="Arial" w:hAnsi="Arial" w:cs="Arial"/>
          <w:b/>
          <w:bCs/>
          <w:sz w:val="24"/>
          <w:szCs w:val="24"/>
          <w:lang w:val="es-ES"/>
        </w:rPr>
      </w:pPr>
      <w:r>
        <w:rPr>
          <w:rFonts w:ascii="Arial" w:hAnsi="Arial" w:cs="Arial"/>
          <w:b/>
          <w:bCs/>
          <w:sz w:val="24"/>
          <w:szCs w:val="24"/>
          <w:lang w:val="es-ES"/>
        </w:rPr>
        <w:t>C</w:t>
      </w:r>
      <w:r w:rsidRPr="00FE31A4">
        <w:rPr>
          <w:rFonts w:ascii="Arial" w:hAnsi="Arial" w:cs="Arial"/>
          <w:b/>
          <w:bCs/>
          <w:sz w:val="24"/>
          <w:szCs w:val="24"/>
          <w:lang w:val="es-ES"/>
        </w:rPr>
        <w:t>aso concreto.</w:t>
      </w:r>
    </w:p>
    <w:p w14:paraId="63C84011" w14:textId="77777777" w:rsidR="00E50FF4" w:rsidRDefault="00E50FF4" w:rsidP="00E50FF4">
      <w:pPr>
        <w:spacing w:line="360" w:lineRule="auto"/>
        <w:jc w:val="both"/>
        <w:rPr>
          <w:rFonts w:ascii="Arial" w:hAnsi="Arial" w:cs="Arial"/>
          <w:bCs/>
          <w:sz w:val="24"/>
          <w:szCs w:val="24"/>
          <w:lang w:val="es-ES"/>
        </w:rPr>
      </w:pPr>
    </w:p>
    <w:p w14:paraId="144EBEF8" w14:textId="77777777" w:rsidR="00E50FF4" w:rsidRDefault="00E50FF4" w:rsidP="00E50FF4">
      <w:pPr>
        <w:spacing w:line="360" w:lineRule="auto"/>
        <w:jc w:val="both"/>
        <w:rPr>
          <w:rFonts w:ascii="Arial" w:hAnsi="Arial" w:cs="Arial"/>
          <w:bCs/>
          <w:sz w:val="24"/>
          <w:szCs w:val="24"/>
          <w:lang w:val="es-ES"/>
        </w:rPr>
      </w:pPr>
      <w:r>
        <w:rPr>
          <w:rFonts w:ascii="Arial" w:hAnsi="Arial" w:cs="Arial"/>
          <w:bCs/>
          <w:sz w:val="24"/>
          <w:szCs w:val="24"/>
          <w:lang w:val="es-ES"/>
        </w:rPr>
        <w:t>La Sala encuentra probado que en el mes de diciembre de 1999 las Empresas Públicas de Medellín E.S.P. elaboraron unos pliegos de condiciones y especificaciones correspondientes a la contratación No. 003203, cuyo objeto era la construcción y venta de acometidas, instalaciones internas y puesta en servicio para la distribución de gas natural en las zonas de cobertura del servicio.</w:t>
      </w:r>
    </w:p>
    <w:p w14:paraId="2C00EE10" w14:textId="77777777" w:rsidR="00E50FF4" w:rsidRDefault="00E50FF4" w:rsidP="00E50FF4">
      <w:pPr>
        <w:spacing w:line="360" w:lineRule="auto"/>
        <w:jc w:val="both"/>
        <w:rPr>
          <w:rFonts w:ascii="Arial" w:hAnsi="Arial" w:cs="Arial"/>
          <w:bCs/>
          <w:sz w:val="24"/>
          <w:szCs w:val="24"/>
          <w:lang w:val="es-ES"/>
        </w:rPr>
      </w:pPr>
    </w:p>
    <w:p w14:paraId="3AB9979B" w14:textId="77777777" w:rsidR="00E50FF4" w:rsidRDefault="00E50FF4" w:rsidP="00E50FF4">
      <w:pPr>
        <w:spacing w:line="360" w:lineRule="auto"/>
        <w:jc w:val="both"/>
        <w:rPr>
          <w:rFonts w:ascii="Arial" w:hAnsi="Arial" w:cs="Arial"/>
          <w:bCs/>
          <w:sz w:val="24"/>
          <w:szCs w:val="24"/>
          <w:lang w:val="es-ES"/>
        </w:rPr>
      </w:pPr>
      <w:r>
        <w:rPr>
          <w:rFonts w:ascii="Arial" w:hAnsi="Arial" w:cs="Arial"/>
          <w:bCs/>
          <w:sz w:val="24"/>
          <w:szCs w:val="24"/>
          <w:lang w:val="es-ES"/>
        </w:rPr>
        <w:t>Mediante oficio AERG-047 la empresa de servicios públicos le comunicó a la representante legal del Consorcio Gloria Jenny Mejía Sierra – Ingenieros Consultores Ltda, José Luis Jaramillo G – Nora Elena Morales Aramburo – Guillermo León Velásquez Saldarriaga, que había sido aceptada su oferta para la Contratación No. 003203 – Contrato 6107090.</w:t>
      </w:r>
    </w:p>
    <w:p w14:paraId="7CF9ED32" w14:textId="77777777" w:rsidR="00E50FF4" w:rsidRDefault="00E50FF4" w:rsidP="00E50FF4">
      <w:pPr>
        <w:spacing w:line="360" w:lineRule="auto"/>
        <w:jc w:val="both"/>
        <w:rPr>
          <w:rFonts w:ascii="Arial" w:hAnsi="Arial" w:cs="Arial"/>
          <w:bCs/>
          <w:sz w:val="24"/>
          <w:szCs w:val="24"/>
          <w:lang w:val="es-ES"/>
        </w:rPr>
      </w:pPr>
    </w:p>
    <w:p w14:paraId="1B0D99D7" w14:textId="77777777" w:rsidR="00E50FF4" w:rsidRDefault="00E50FF4" w:rsidP="00E50FF4">
      <w:pPr>
        <w:spacing w:line="360" w:lineRule="auto"/>
        <w:jc w:val="both"/>
        <w:rPr>
          <w:rFonts w:ascii="Arial" w:hAnsi="Arial" w:cs="Arial"/>
          <w:bCs/>
          <w:sz w:val="24"/>
          <w:szCs w:val="24"/>
          <w:lang w:val="es-ES"/>
        </w:rPr>
      </w:pPr>
      <w:r w:rsidRPr="004B2624">
        <w:rPr>
          <w:rFonts w:ascii="Arial" w:hAnsi="Arial" w:cs="Arial"/>
          <w:bCs/>
          <w:sz w:val="24"/>
          <w:szCs w:val="24"/>
          <w:lang w:val="es-ES"/>
        </w:rPr>
        <w:t>De acuerdo con lo expresado</w:t>
      </w:r>
      <w:r>
        <w:rPr>
          <w:rFonts w:ascii="Arial" w:hAnsi="Arial" w:cs="Arial"/>
          <w:bCs/>
          <w:sz w:val="24"/>
          <w:szCs w:val="24"/>
          <w:lang w:val="es-ES"/>
        </w:rPr>
        <w:t xml:space="preserve"> en el pliego de condiciones y en la Aceptación de la oferta  de la Contratación No. 003203 correspondiente al Contrato No. 6107090</w:t>
      </w:r>
      <w:r w:rsidRPr="004B2624">
        <w:rPr>
          <w:rFonts w:ascii="Arial" w:hAnsi="Arial" w:cs="Arial"/>
          <w:bCs/>
          <w:sz w:val="24"/>
          <w:szCs w:val="24"/>
          <w:lang w:val="es-ES"/>
        </w:rPr>
        <w:t xml:space="preserve">, el plazo de ejecución </w:t>
      </w:r>
      <w:r>
        <w:rPr>
          <w:rFonts w:ascii="Arial" w:hAnsi="Arial" w:cs="Arial"/>
          <w:bCs/>
          <w:sz w:val="24"/>
          <w:szCs w:val="24"/>
          <w:lang w:val="es-ES"/>
        </w:rPr>
        <w:t>inicial se estableció en</w:t>
      </w:r>
      <w:r w:rsidRPr="004B2624">
        <w:rPr>
          <w:rFonts w:ascii="Arial" w:hAnsi="Arial" w:cs="Arial"/>
          <w:bCs/>
          <w:sz w:val="24"/>
          <w:szCs w:val="24"/>
          <w:lang w:val="es-ES"/>
        </w:rPr>
        <w:t xml:space="preserve"> </w:t>
      </w:r>
      <w:r>
        <w:rPr>
          <w:rFonts w:ascii="Arial" w:hAnsi="Arial" w:cs="Arial"/>
          <w:bCs/>
          <w:sz w:val="24"/>
          <w:szCs w:val="24"/>
          <w:lang w:val="es-ES"/>
        </w:rPr>
        <w:t xml:space="preserve">ciento setenta (170) días calendario contados a partir del acta de iniciación,  finalizando el 28 de julio de 2000. </w:t>
      </w:r>
    </w:p>
    <w:p w14:paraId="73D39E8D" w14:textId="77777777" w:rsidR="00E50FF4" w:rsidRDefault="00E50FF4" w:rsidP="00E50FF4">
      <w:pPr>
        <w:spacing w:line="360" w:lineRule="auto"/>
        <w:jc w:val="both"/>
        <w:rPr>
          <w:rFonts w:ascii="Arial" w:hAnsi="Arial" w:cs="Arial"/>
          <w:bCs/>
          <w:sz w:val="24"/>
          <w:szCs w:val="24"/>
          <w:lang w:val="es-ES"/>
        </w:rPr>
      </w:pPr>
    </w:p>
    <w:p w14:paraId="18767213" w14:textId="77777777" w:rsidR="00E50FF4" w:rsidRDefault="00E50FF4" w:rsidP="00E50FF4">
      <w:pPr>
        <w:spacing w:line="360" w:lineRule="auto"/>
        <w:jc w:val="both"/>
        <w:rPr>
          <w:rFonts w:ascii="Arial" w:hAnsi="Arial" w:cs="Arial"/>
          <w:bCs/>
          <w:sz w:val="24"/>
          <w:szCs w:val="24"/>
          <w:lang w:val="es-ES"/>
        </w:rPr>
      </w:pPr>
      <w:r>
        <w:rPr>
          <w:rFonts w:ascii="Arial" w:hAnsi="Arial" w:cs="Arial"/>
          <w:bCs/>
          <w:sz w:val="24"/>
          <w:szCs w:val="24"/>
          <w:lang w:val="es-ES"/>
        </w:rPr>
        <w:t>Sin embargo, por iniciativa de EE.PP.M a través de oficio 89047 del 28 de junio se le indicó al contratista el deseo de ampliar en sesenta (60) días más el plazo inicial para culminar el plan establecido.</w:t>
      </w:r>
    </w:p>
    <w:p w14:paraId="1302F748" w14:textId="77777777" w:rsidR="00E50FF4" w:rsidRDefault="00E50FF4" w:rsidP="00E50FF4">
      <w:pPr>
        <w:spacing w:line="360" w:lineRule="auto"/>
        <w:jc w:val="both"/>
        <w:rPr>
          <w:rFonts w:ascii="Arial" w:hAnsi="Arial" w:cs="Arial"/>
          <w:bCs/>
          <w:sz w:val="24"/>
          <w:szCs w:val="24"/>
          <w:lang w:val="es-ES"/>
        </w:rPr>
      </w:pPr>
    </w:p>
    <w:p w14:paraId="73D5375B" w14:textId="77777777" w:rsidR="00E50FF4" w:rsidRDefault="00E50FF4" w:rsidP="00E50FF4">
      <w:pPr>
        <w:spacing w:line="360" w:lineRule="auto"/>
        <w:jc w:val="both"/>
        <w:rPr>
          <w:rFonts w:ascii="Arial" w:hAnsi="Arial" w:cs="Arial"/>
          <w:bCs/>
          <w:sz w:val="24"/>
          <w:szCs w:val="24"/>
          <w:lang w:val="es-ES"/>
        </w:rPr>
      </w:pPr>
      <w:r>
        <w:rPr>
          <w:rFonts w:ascii="Arial" w:hAnsi="Arial" w:cs="Arial"/>
          <w:bCs/>
          <w:sz w:val="24"/>
          <w:szCs w:val="24"/>
          <w:lang w:val="es-ES"/>
        </w:rPr>
        <w:t>De allí que, el plazo total de ejecución fue de doscientos treinta días (230) contados a partir del</w:t>
      </w:r>
      <w:r w:rsidRPr="004B2624">
        <w:rPr>
          <w:rFonts w:ascii="Arial" w:hAnsi="Arial" w:cs="Arial"/>
          <w:bCs/>
          <w:sz w:val="24"/>
          <w:szCs w:val="24"/>
          <w:lang w:val="es-ES"/>
        </w:rPr>
        <w:t xml:space="preserve"> </w:t>
      </w:r>
      <w:r>
        <w:rPr>
          <w:rFonts w:ascii="Arial" w:hAnsi="Arial" w:cs="Arial"/>
          <w:bCs/>
          <w:sz w:val="24"/>
          <w:szCs w:val="24"/>
          <w:lang w:val="es-ES"/>
        </w:rPr>
        <w:t>10 de febrero de 2000</w:t>
      </w:r>
      <w:r w:rsidRPr="004B2624">
        <w:rPr>
          <w:rFonts w:ascii="Arial" w:hAnsi="Arial" w:cs="Arial"/>
          <w:bCs/>
          <w:sz w:val="24"/>
          <w:szCs w:val="24"/>
          <w:vertAlign w:val="superscript"/>
          <w:lang w:val="es-ES"/>
        </w:rPr>
        <w:footnoteReference w:id="9"/>
      </w:r>
      <w:r>
        <w:rPr>
          <w:rFonts w:ascii="Arial" w:hAnsi="Arial" w:cs="Arial"/>
          <w:bCs/>
          <w:sz w:val="24"/>
          <w:szCs w:val="24"/>
          <w:lang w:val="es-ES"/>
        </w:rPr>
        <w:t xml:space="preserve"> y p</w:t>
      </w:r>
      <w:r w:rsidRPr="004B2624">
        <w:rPr>
          <w:rFonts w:ascii="Arial" w:hAnsi="Arial" w:cs="Arial"/>
          <w:bCs/>
          <w:sz w:val="24"/>
          <w:szCs w:val="24"/>
          <w:lang w:val="es-ES"/>
        </w:rPr>
        <w:t>or consiguiente</w:t>
      </w:r>
      <w:r>
        <w:rPr>
          <w:rFonts w:ascii="Arial" w:hAnsi="Arial" w:cs="Arial"/>
          <w:bCs/>
          <w:sz w:val="24"/>
          <w:szCs w:val="24"/>
          <w:lang w:val="es-ES"/>
        </w:rPr>
        <w:t>,</w:t>
      </w:r>
      <w:r w:rsidRPr="004B2624">
        <w:rPr>
          <w:rFonts w:ascii="Arial" w:hAnsi="Arial" w:cs="Arial"/>
          <w:bCs/>
          <w:sz w:val="24"/>
          <w:szCs w:val="24"/>
          <w:lang w:val="es-ES"/>
        </w:rPr>
        <w:t xml:space="preserve"> el mencionado contrato se terminó el </w:t>
      </w:r>
      <w:r>
        <w:rPr>
          <w:rFonts w:ascii="Arial" w:hAnsi="Arial" w:cs="Arial"/>
          <w:bCs/>
          <w:sz w:val="24"/>
          <w:szCs w:val="24"/>
          <w:lang w:val="es-ES"/>
        </w:rPr>
        <w:t>26 de septiembre de 2000.</w:t>
      </w:r>
    </w:p>
    <w:p w14:paraId="55B992B9" w14:textId="77777777" w:rsidR="00E50FF4" w:rsidRDefault="00E50FF4" w:rsidP="00E50FF4">
      <w:pPr>
        <w:spacing w:line="360" w:lineRule="auto"/>
        <w:jc w:val="both"/>
        <w:rPr>
          <w:rFonts w:ascii="Arial" w:hAnsi="Arial" w:cs="Arial"/>
          <w:bCs/>
          <w:sz w:val="24"/>
          <w:szCs w:val="24"/>
          <w:lang w:val="es-ES"/>
        </w:rPr>
      </w:pPr>
    </w:p>
    <w:p w14:paraId="4B3E9601" w14:textId="77777777" w:rsidR="00E50FF4" w:rsidRPr="008E40E3" w:rsidRDefault="00E50FF4" w:rsidP="00E50FF4">
      <w:pPr>
        <w:spacing w:line="360" w:lineRule="auto"/>
        <w:jc w:val="both"/>
        <w:rPr>
          <w:rFonts w:ascii="Arial" w:hAnsi="Arial" w:cs="Arial"/>
          <w:bCs/>
          <w:i/>
          <w:sz w:val="24"/>
          <w:szCs w:val="24"/>
          <w:lang w:val="es-ES"/>
        </w:rPr>
      </w:pPr>
      <w:r w:rsidRPr="004B2624">
        <w:rPr>
          <w:rFonts w:ascii="Arial" w:hAnsi="Arial" w:cs="Arial"/>
          <w:bCs/>
          <w:sz w:val="24"/>
          <w:szCs w:val="24"/>
          <w:lang w:val="es-ES"/>
        </w:rPr>
        <w:t xml:space="preserve">El contrato que celebraron las partes, como ya se ha dicho reiteradamente, se terminó el </w:t>
      </w:r>
      <w:r>
        <w:rPr>
          <w:rFonts w:ascii="Arial" w:hAnsi="Arial" w:cs="Arial"/>
          <w:bCs/>
          <w:sz w:val="24"/>
          <w:szCs w:val="24"/>
          <w:lang w:val="es-ES"/>
        </w:rPr>
        <w:t>26</w:t>
      </w:r>
      <w:r w:rsidRPr="004B2624">
        <w:rPr>
          <w:rFonts w:ascii="Arial" w:hAnsi="Arial" w:cs="Arial"/>
          <w:bCs/>
          <w:sz w:val="24"/>
          <w:szCs w:val="24"/>
          <w:lang w:val="es-ES"/>
        </w:rPr>
        <w:t xml:space="preserve"> de </w:t>
      </w:r>
      <w:r>
        <w:rPr>
          <w:rFonts w:ascii="Arial" w:hAnsi="Arial" w:cs="Arial"/>
          <w:bCs/>
          <w:sz w:val="24"/>
          <w:szCs w:val="24"/>
          <w:lang w:val="es-ES"/>
        </w:rPr>
        <w:t>septiembre</w:t>
      </w:r>
      <w:r w:rsidRPr="004B2624">
        <w:rPr>
          <w:rFonts w:ascii="Arial" w:hAnsi="Arial" w:cs="Arial"/>
          <w:bCs/>
          <w:sz w:val="24"/>
          <w:szCs w:val="24"/>
          <w:lang w:val="es-ES"/>
        </w:rPr>
        <w:t xml:space="preserve"> de </w:t>
      </w:r>
      <w:r>
        <w:rPr>
          <w:rFonts w:ascii="Arial" w:hAnsi="Arial" w:cs="Arial"/>
          <w:bCs/>
          <w:sz w:val="24"/>
          <w:szCs w:val="24"/>
          <w:lang w:val="es-ES"/>
        </w:rPr>
        <w:t xml:space="preserve">2000, fecha a partir de la cual se debía cumplir con lo indicado en el numeral 6.17 de los pliegos de condiciones de la contratación en comento, relacionado con la liquidación del contrato </w:t>
      </w:r>
      <w:r w:rsidRPr="008E40E3">
        <w:rPr>
          <w:rFonts w:ascii="Arial" w:hAnsi="Arial" w:cs="Arial"/>
          <w:bCs/>
          <w:i/>
          <w:sz w:val="24"/>
          <w:szCs w:val="24"/>
          <w:lang w:val="es-ES"/>
        </w:rPr>
        <w:t>“Una vez recibidas las obras y en un término que no exceda de sesenta (60) días calendario, EE.PP.M. suscribirá con EL CONTRATISTA un acta de liquidación del contrato. En esta etapa se acordarán los ajustes revisiones, reconocimientos y transacciones a que haya lugar. Si no se llega a un acuerdo para liquidar el contrato, EE.PP.M lo hará y tomará las medidas que sean necesarias para cumplir con las obligaciones y exigir los derechos que resulten de la liquidación, según sea el caso.”</w:t>
      </w:r>
    </w:p>
    <w:p w14:paraId="3B0D7330" w14:textId="77777777" w:rsidR="00E50FF4" w:rsidRDefault="00E50FF4" w:rsidP="00E50FF4">
      <w:pPr>
        <w:spacing w:line="360" w:lineRule="auto"/>
        <w:jc w:val="both"/>
        <w:rPr>
          <w:rFonts w:ascii="Arial" w:hAnsi="Arial" w:cs="Arial"/>
          <w:bCs/>
          <w:sz w:val="24"/>
          <w:szCs w:val="24"/>
          <w:lang w:val="es-ES"/>
        </w:rPr>
      </w:pPr>
    </w:p>
    <w:p w14:paraId="0E08D594" w14:textId="77777777" w:rsidR="00E50FF4" w:rsidRDefault="00E50FF4" w:rsidP="00E50FF4">
      <w:pPr>
        <w:spacing w:line="360" w:lineRule="auto"/>
        <w:jc w:val="both"/>
        <w:rPr>
          <w:rFonts w:ascii="Arial" w:hAnsi="Arial" w:cs="Arial"/>
          <w:bCs/>
          <w:sz w:val="24"/>
          <w:szCs w:val="24"/>
          <w:lang w:val="es-ES"/>
        </w:rPr>
      </w:pPr>
      <w:r>
        <w:rPr>
          <w:rFonts w:ascii="Arial" w:hAnsi="Arial" w:cs="Arial"/>
          <w:bCs/>
          <w:sz w:val="24"/>
          <w:szCs w:val="24"/>
          <w:lang w:val="es-ES"/>
        </w:rPr>
        <w:t xml:space="preserve">Así las cosas y ante el fracaso de la entidad demandada tendiente a lograr la suscripción del acta de liquidación bilateral por parte del contratista, dicha la entidad procedió a realizar la liquidación unilateral del contrato 6107090 suscrito con el Consorcio GMS –NEMA – GLVS - IC Consultores,  el día 17 de agosto de 2001. </w:t>
      </w:r>
    </w:p>
    <w:p w14:paraId="03F639C7" w14:textId="77777777" w:rsidR="00E50FF4" w:rsidRDefault="00E50FF4" w:rsidP="00E50FF4">
      <w:pPr>
        <w:spacing w:line="360" w:lineRule="auto"/>
        <w:jc w:val="both"/>
        <w:rPr>
          <w:rFonts w:ascii="Arial" w:hAnsi="Arial" w:cs="Arial"/>
          <w:bCs/>
          <w:sz w:val="24"/>
          <w:szCs w:val="24"/>
          <w:lang w:val="es-ES"/>
        </w:rPr>
      </w:pPr>
    </w:p>
    <w:p w14:paraId="181344D0" w14:textId="77777777" w:rsidR="00E50FF4" w:rsidRPr="004B2624" w:rsidRDefault="00E50FF4" w:rsidP="00E50FF4">
      <w:pPr>
        <w:spacing w:line="360" w:lineRule="auto"/>
        <w:jc w:val="both"/>
        <w:rPr>
          <w:rFonts w:ascii="Arial" w:hAnsi="Arial" w:cs="Arial"/>
          <w:bCs/>
          <w:sz w:val="24"/>
          <w:szCs w:val="24"/>
          <w:lang w:val="es-ES"/>
        </w:rPr>
      </w:pPr>
      <w:r>
        <w:rPr>
          <w:rFonts w:ascii="Arial" w:hAnsi="Arial" w:cs="Arial"/>
          <w:bCs/>
          <w:sz w:val="24"/>
          <w:szCs w:val="24"/>
          <w:lang w:val="es-ES"/>
        </w:rPr>
        <w:t xml:space="preserve">Ahora, </w:t>
      </w:r>
      <w:r w:rsidRPr="004B2624">
        <w:rPr>
          <w:rFonts w:ascii="Arial" w:hAnsi="Arial" w:cs="Arial"/>
          <w:bCs/>
          <w:sz w:val="24"/>
          <w:szCs w:val="24"/>
          <w:lang w:val="es-ES"/>
        </w:rPr>
        <w:t>el término de caducidad de dos años</w:t>
      </w:r>
      <w:r w:rsidRPr="002C5E55">
        <w:rPr>
          <w:rFonts w:ascii="Arial" w:hAnsi="Arial" w:cs="Arial"/>
          <w:bCs/>
          <w:sz w:val="24"/>
          <w:szCs w:val="24"/>
          <w:lang w:val="es-ES"/>
        </w:rPr>
        <w:t xml:space="preserve"> de que habla</w:t>
      </w:r>
      <w:r>
        <w:rPr>
          <w:rFonts w:ascii="Arial" w:hAnsi="Arial" w:cs="Arial"/>
          <w:bCs/>
          <w:sz w:val="24"/>
          <w:szCs w:val="24"/>
          <w:lang w:val="es-ES"/>
        </w:rPr>
        <w:t xml:space="preserve"> el numeral 10 literal d) del artículo 136 del Código Contencioso Administrativo, en los casos de los contratos que requieran liquidación y esta sea efectuada unilateralmente por la administración se debe contar desde la ejecutoria del acto que la apruebe.</w:t>
      </w:r>
    </w:p>
    <w:p w14:paraId="364397E9" w14:textId="77777777" w:rsidR="00E50FF4" w:rsidRDefault="00E50FF4" w:rsidP="00E50FF4">
      <w:pPr>
        <w:spacing w:line="360" w:lineRule="auto"/>
        <w:jc w:val="both"/>
        <w:rPr>
          <w:rFonts w:ascii="Arial" w:hAnsi="Arial" w:cs="Arial"/>
          <w:bCs/>
          <w:sz w:val="24"/>
          <w:szCs w:val="24"/>
          <w:lang w:val="es-ES"/>
        </w:rPr>
      </w:pPr>
    </w:p>
    <w:p w14:paraId="5A278FE6" w14:textId="77777777" w:rsidR="00E50FF4" w:rsidRPr="00B82514" w:rsidRDefault="00E50FF4" w:rsidP="00E50FF4">
      <w:pPr>
        <w:spacing w:line="360" w:lineRule="auto"/>
        <w:jc w:val="both"/>
        <w:rPr>
          <w:rFonts w:ascii="Arial" w:hAnsi="Arial" w:cs="Arial"/>
          <w:bCs/>
          <w:sz w:val="24"/>
          <w:szCs w:val="24"/>
          <w:lang w:val="es-ES"/>
        </w:rPr>
      </w:pPr>
      <w:r w:rsidRPr="00B82514">
        <w:rPr>
          <w:rFonts w:ascii="Arial" w:hAnsi="Arial" w:cs="Arial"/>
          <w:bCs/>
          <w:sz w:val="24"/>
          <w:szCs w:val="24"/>
          <w:lang w:val="es-ES"/>
        </w:rPr>
        <w:lastRenderedPageBreak/>
        <w:t>Entonces, habiendo terminado el contrato el 26 de septiembre de 2000, los sesenta (60) días acordados por las partes para la liquidación bilateral vencieron el 26 de noviembre de 2000, y como no se señaló expresamente plazo para efectuar la liquidación unilateral se debe acudir al indicado en la ley, esto es, los dos (2) meses subsiguientes, los cuales culminaron el 26 de enero de 2001</w:t>
      </w:r>
      <w:r>
        <w:rPr>
          <w:rFonts w:ascii="Arial" w:hAnsi="Arial" w:cs="Arial"/>
          <w:bCs/>
          <w:sz w:val="24"/>
          <w:szCs w:val="24"/>
          <w:lang w:val="es-ES"/>
        </w:rPr>
        <w:t>,</w:t>
      </w:r>
      <w:r w:rsidRPr="00B82514">
        <w:rPr>
          <w:rFonts w:ascii="Arial" w:hAnsi="Arial" w:cs="Arial"/>
          <w:bCs/>
          <w:sz w:val="24"/>
          <w:szCs w:val="24"/>
          <w:lang w:val="es-ES"/>
        </w:rPr>
        <w:t xml:space="preserve"> </w:t>
      </w:r>
      <w:r>
        <w:rPr>
          <w:rFonts w:ascii="Arial" w:hAnsi="Arial" w:cs="Arial"/>
          <w:bCs/>
          <w:sz w:val="24"/>
          <w:szCs w:val="24"/>
          <w:lang w:val="es-ES"/>
        </w:rPr>
        <w:t>es decir el 26 de enero de 2003 se consolidó la caducidad de los dos años.</w:t>
      </w:r>
    </w:p>
    <w:p w14:paraId="3AC8449E" w14:textId="77777777" w:rsidR="00E50FF4" w:rsidRPr="00B82514" w:rsidRDefault="00E50FF4" w:rsidP="00E50FF4">
      <w:pPr>
        <w:spacing w:line="360" w:lineRule="auto"/>
        <w:jc w:val="both"/>
        <w:rPr>
          <w:rFonts w:ascii="Arial" w:hAnsi="Arial" w:cs="Arial"/>
          <w:bCs/>
          <w:sz w:val="24"/>
          <w:szCs w:val="24"/>
          <w:lang w:val="es-ES"/>
        </w:rPr>
      </w:pPr>
    </w:p>
    <w:p w14:paraId="2FFD47FA" w14:textId="77777777" w:rsidR="00E50FF4" w:rsidRPr="00B82514" w:rsidRDefault="00E50FF4" w:rsidP="00E50FF4">
      <w:pPr>
        <w:spacing w:line="360" w:lineRule="auto"/>
        <w:jc w:val="both"/>
        <w:rPr>
          <w:rFonts w:ascii="Arial" w:hAnsi="Arial" w:cs="Arial"/>
          <w:bCs/>
          <w:sz w:val="24"/>
          <w:szCs w:val="24"/>
          <w:lang w:val="es-ES"/>
        </w:rPr>
      </w:pPr>
      <w:r w:rsidRPr="00B82514">
        <w:rPr>
          <w:rFonts w:ascii="Arial" w:hAnsi="Arial" w:cs="Arial"/>
          <w:bCs/>
          <w:sz w:val="24"/>
          <w:szCs w:val="24"/>
          <w:lang w:val="es-ES"/>
        </w:rPr>
        <w:t xml:space="preserve">Es decir, que si la demanda se presentó </w:t>
      </w:r>
      <w:r w:rsidRPr="00B82514">
        <w:rPr>
          <w:rFonts w:ascii="Arial" w:hAnsi="Arial" w:cs="Arial"/>
          <w:bCs/>
          <w:sz w:val="24"/>
          <w:szCs w:val="24"/>
        </w:rPr>
        <w:t>14 de abril de 2004</w:t>
      </w:r>
      <w:r w:rsidRPr="00B82514">
        <w:rPr>
          <w:rStyle w:val="Refdenotaalpie"/>
          <w:rFonts w:ascii="Arial" w:hAnsi="Arial" w:cs="Arial"/>
          <w:bCs/>
          <w:sz w:val="24"/>
          <w:szCs w:val="24"/>
        </w:rPr>
        <w:footnoteReference w:id="10"/>
      </w:r>
      <w:r w:rsidRPr="00B82514">
        <w:rPr>
          <w:rFonts w:ascii="Arial" w:hAnsi="Arial" w:cs="Arial"/>
          <w:bCs/>
          <w:sz w:val="24"/>
          <w:szCs w:val="24"/>
          <w:lang w:val="es-ES"/>
        </w:rPr>
        <w:t xml:space="preserve"> es evidente que la caducidad ya había operado puesto que, como ya se dijo, la liquidación extemporánea ninguna incidencia tiene en el término de caducidad ya que este empezó a correr de manera irremediable desde que concluyeron los plazos legales para realizarla.</w:t>
      </w:r>
    </w:p>
    <w:p w14:paraId="22BF0ED9" w14:textId="77777777" w:rsidR="00E50FF4" w:rsidRPr="00B82514" w:rsidRDefault="00E50FF4" w:rsidP="00E50FF4">
      <w:pPr>
        <w:spacing w:line="360" w:lineRule="auto"/>
        <w:jc w:val="both"/>
        <w:rPr>
          <w:rFonts w:ascii="Arial" w:hAnsi="Arial" w:cs="Arial"/>
          <w:bCs/>
          <w:sz w:val="24"/>
          <w:szCs w:val="24"/>
          <w:lang w:val="es-ES"/>
        </w:rPr>
      </w:pPr>
    </w:p>
    <w:p w14:paraId="16A96A2F" w14:textId="77777777" w:rsidR="00E50FF4" w:rsidRPr="00B82514" w:rsidRDefault="00E50FF4" w:rsidP="00E50FF4">
      <w:pPr>
        <w:spacing w:line="360" w:lineRule="auto"/>
        <w:jc w:val="both"/>
        <w:rPr>
          <w:rFonts w:ascii="Arial" w:hAnsi="Arial" w:cs="Arial"/>
          <w:bCs/>
          <w:sz w:val="24"/>
          <w:szCs w:val="24"/>
          <w:lang w:val="es-ES"/>
        </w:rPr>
      </w:pPr>
      <w:r w:rsidRPr="00B82514">
        <w:rPr>
          <w:rFonts w:ascii="Arial" w:hAnsi="Arial" w:cs="Arial"/>
          <w:bCs/>
          <w:sz w:val="24"/>
          <w:szCs w:val="24"/>
          <w:lang w:val="es-ES"/>
        </w:rPr>
        <w:t>No obstante y en gracia de discusión, la Sala observa que a la misma conclusión se llega si se tiene en cuenta para contabilizar el término de caducidad, que como el contrato culminó el 26 de septiembre de 2000 y las obras fueron recibidas en marzo de 2001, como consta en el resumen para la liquidación unilateral del contrato de EEPP de Medellín</w:t>
      </w:r>
      <w:r w:rsidRPr="00B82514">
        <w:rPr>
          <w:rStyle w:val="Refdenotaalpie"/>
          <w:rFonts w:ascii="Arial" w:hAnsi="Arial" w:cs="Arial"/>
          <w:bCs/>
          <w:sz w:val="24"/>
          <w:szCs w:val="24"/>
          <w:lang w:val="es-ES"/>
        </w:rPr>
        <w:footnoteReference w:id="11"/>
      </w:r>
      <w:r w:rsidRPr="00B82514">
        <w:rPr>
          <w:rFonts w:ascii="Arial" w:hAnsi="Arial" w:cs="Arial"/>
          <w:bCs/>
          <w:sz w:val="24"/>
          <w:szCs w:val="24"/>
          <w:lang w:val="es-ES"/>
        </w:rPr>
        <w:t>, los sesenta (60) días acordados por las partes para la liquidación bilateral vencieron en mayo de 2001, como no se señaló expresamente plazo para efectuar la liquidación unilateral se debe acudir al indicado en la Ley, esto es, a los dos (2) meses subsiguientes, los cuales culminaron en julio de 2001, es decir, que la caducidad de dos (2) años, en este supuesto, se consolidó en julio de 2003.</w:t>
      </w:r>
    </w:p>
    <w:p w14:paraId="7C5B4E42" w14:textId="77777777" w:rsidR="00E50FF4" w:rsidRPr="00B82514" w:rsidRDefault="00E50FF4" w:rsidP="00E50FF4">
      <w:pPr>
        <w:spacing w:line="360" w:lineRule="auto"/>
        <w:jc w:val="both"/>
        <w:rPr>
          <w:rFonts w:ascii="Arial" w:hAnsi="Arial" w:cs="Arial"/>
          <w:bCs/>
          <w:sz w:val="24"/>
          <w:szCs w:val="24"/>
          <w:lang w:val="es-ES"/>
        </w:rPr>
      </w:pPr>
    </w:p>
    <w:p w14:paraId="55D63B3A" w14:textId="77777777" w:rsidR="00E50FF4" w:rsidRDefault="00E50FF4" w:rsidP="00E50FF4">
      <w:pPr>
        <w:spacing w:line="360" w:lineRule="auto"/>
        <w:jc w:val="both"/>
        <w:rPr>
          <w:rFonts w:ascii="Arial" w:hAnsi="Arial" w:cs="Arial"/>
          <w:bCs/>
          <w:sz w:val="24"/>
          <w:szCs w:val="24"/>
          <w:lang w:val="es-ES"/>
        </w:rPr>
      </w:pPr>
      <w:r w:rsidRPr="00B82514">
        <w:rPr>
          <w:rFonts w:ascii="Arial" w:hAnsi="Arial" w:cs="Arial"/>
          <w:bCs/>
          <w:sz w:val="24"/>
          <w:szCs w:val="24"/>
          <w:lang w:val="es-ES"/>
        </w:rPr>
        <w:t>A igual conclusión se llega, si se toma la fecha de ejecutoria del acta de liquidación unilateral, esto es, del 23 de agosto de 2001, pues el 23 de agosto de 2003, ya había operado el fenómeno jurídico de la caducidad y la demanda solo se presentó hasta el 14 de abril de 2004, es decir, 9 meses después de que había caducado la acción, situación que le impide a la Sala resolver de fondo el presente asunto.</w:t>
      </w:r>
      <w:r>
        <w:rPr>
          <w:rFonts w:ascii="Arial" w:hAnsi="Arial" w:cs="Arial"/>
          <w:bCs/>
          <w:sz w:val="24"/>
          <w:szCs w:val="24"/>
          <w:lang w:val="es-ES"/>
        </w:rPr>
        <w:t xml:space="preserve">  </w:t>
      </w:r>
    </w:p>
    <w:p w14:paraId="16AB06A6" w14:textId="77777777" w:rsidR="00E50FF4" w:rsidRDefault="00E50FF4" w:rsidP="00E50FF4">
      <w:pPr>
        <w:spacing w:line="360" w:lineRule="auto"/>
        <w:jc w:val="both"/>
        <w:rPr>
          <w:rFonts w:ascii="Arial" w:hAnsi="Arial" w:cs="Arial"/>
          <w:bCs/>
          <w:sz w:val="24"/>
          <w:szCs w:val="24"/>
          <w:lang w:val="es-ES"/>
        </w:rPr>
      </w:pPr>
    </w:p>
    <w:p w14:paraId="3A2ADB55" w14:textId="77777777" w:rsidR="00E50FF4" w:rsidRPr="000A7E58" w:rsidRDefault="00E50FF4" w:rsidP="00E50FF4">
      <w:pPr>
        <w:spacing w:line="360" w:lineRule="auto"/>
        <w:jc w:val="both"/>
        <w:rPr>
          <w:rFonts w:ascii="Arial" w:hAnsi="Arial" w:cs="Arial"/>
          <w:bCs/>
          <w:sz w:val="24"/>
          <w:szCs w:val="24"/>
          <w:lang w:val="es-ES"/>
        </w:rPr>
      </w:pPr>
      <w:r>
        <w:rPr>
          <w:rFonts w:ascii="Arial" w:hAnsi="Arial" w:cs="Arial"/>
          <w:bCs/>
          <w:sz w:val="24"/>
          <w:szCs w:val="24"/>
          <w:lang w:val="es-ES"/>
        </w:rPr>
        <w:t>Finalmente, aale la pena</w:t>
      </w:r>
      <w:r w:rsidRPr="000A7E58">
        <w:rPr>
          <w:rFonts w:ascii="Arial" w:hAnsi="Arial" w:cs="Arial"/>
          <w:bCs/>
          <w:sz w:val="24"/>
          <w:szCs w:val="24"/>
          <w:lang w:val="es-ES"/>
        </w:rPr>
        <w:t xml:space="preserve"> señalar por parte de esta Sala </w:t>
      </w:r>
      <w:r>
        <w:rPr>
          <w:rFonts w:ascii="Arial" w:hAnsi="Arial" w:cs="Arial"/>
          <w:bCs/>
          <w:sz w:val="24"/>
          <w:szCs w:val="24"/>
          <w:lang w:val="es-ES"/>
        </w:rPr>
        <w:t xml:space="preserve">y </w:t>
      </w:r>
      <w:r w:rsidRPr="000A7E58">
        <w:rPr>
          <w:rFonts w:ascii="Arial" w:hAnsi="Arial" w:cs="Arial"/>
          <w:bCs/>
          <w:sz w:val="24"/>
          <w:szCs w:val="24"/>
          <w:lang w:val="es-ES"/>
        </w:rPr>
        <w:t xml:space="preserve">para que no haya lugar a dudas sobre la operancia del fenómeno de la caducidad en el caso en comento, que </w:t>
      </w:r>
      <w:r>
        <w:rPr>
          <w:rFonts w:ascii="Arial" w:hAnsi="Arial" w:cs="Arial"/>
          <w:bCs/>
          <w:sz w:val="24"/>
          <w:szCs w:val="24"/>
          <w:lang w:val="es-ES"/>
        </w:rPr>
        <w:t xml:space="preserve">si bien es cierto </w:t>
      </w:r>
      <w:r w:rsidRPr="000A7E58">
        <w:rPr>
          <w:rFonts w:ascii="Arial" w:hAnsi="Arial" w:cs="Arial"/>
          <w:bCs/>
          <w:sz w:val="24"/>
          <w:szCs w:val="24"/>
          <w:lang w:val="es-ES"/>
        </w:rPr>
        <w:t xml:space="preserve">que los demandantes en cumplimiento del requisito de procedibilidad </w:t>
      </w:r>
      <w:r>
        <w:rPr>
          <w:rFonts w:ascii="Arial" w:hAnsi="Arial" w:cs="Arial"/>
          <w:bCs/>
          <w:sz w:val="24"/>
          <w:szCs w:val="24"/>
          <w:lang w:val="es-ES"/>
        </w:rPr>
        <w:t>convocaron</w:t>
      </w:r>
      <w:r w:rsidRPr="000A7E58">
        <w:rPr>
          <w:rFonts w:ascii="Arial" w:hAnsi="Arial" w:cs="Arial"/>
          <w:bCs/>
          <w:sz w:val="24"/>
          <w:szCs w:val="24"/>
          <w:lang w:val="es-ES"/>
        </w:rPr>
        <w:t xml:space="preserve"> al demandado a audiencia de conciliación a través de solicitud que hicieran ante la Cámara de Comercio del Oriente Antioqueño</w:t>
      </w:r>
      <w:r>
        <w:rPr>
          <w:rFonts w:ascii="Arial" w:hAnsi="Arial" w:cs="Arial"/>
          <w:bCs/>
          <w:sz w:val="24"/>
          <w:szCs w:val="24"/>
          <w:lang w:val="es-ES"/>
        </w:rPr>
        <w:t>,</w:t>
      </w:r>
      <w:r w:rsidRPr="000A7E58">
        <w:rPr>
          <w:rFonts w:ascii="Arial" w:hAnsi="Arial" w:cs="Arial"/>
          <w:bCs/>
          <w:sz w:val="24"/>
          <w:szCs w:val="24"/>
          <w:lang w:val="es-ES"/>
        </w:rPr>
        <w:t xml:space="preserve"> el 19 de </w:t>
      </w:r>
      <w:r w:rsidRPr="000A7E58">
        <w:rPr>
          <w:rFonts w:ascii="Arial" w:hAnsi="Arial" w:cs="Arial"/>
          <w:bCs/>
          <w:sz w:val="24"/>
          <w:szCs w:val="24"/>
          <w:lang w:val="es-ES"/>
        </w:rPr>
        <w:lastRenderedPageBreak/>
        <w:t xml:space="preserve">noviembre de 2003, la cual fue celebrada el 24 de noviembre de 2003, </w:t>
      </w:r>
      <w:r>
        <w:rPr>
          <w:rFonts w:ascii="Arial" w:hAnsi="Arial" w:cs="Arial"/>
          <w:bCs/>
          <w:sz w:val="24"/>
          <w:szCs w:val="24"/>
          <w:lang w:val="es-ES"/>
        </w:rPr>
        <w:t>también lo es que dicha solicitud, no tuvo efecto suspensivo</w:t>
      </w:r>
      <w:r w:rsidRPr="000A7E58">
        <w:rPr>
          <w:rFonts w:ascii="Arial" w:hAnsi="Arial" w:cs="Arial"/>
          <w:bCs/>
          <w:sz w:val="24"/>
          <w:szCs w:val="24"/>
          <w:lang w:val="es-ES"/>
        </w:rPr>
        <w:t xml:space="preserve"> sobre el térm</w:t>
      </w:r>
      <w:r>
        <w:rPr>
          <w:rFonts w:ascii="Arial" w:hAnsi="Arial" w:cs="Arial"/>
          <w:bCs/>
          <w:sz w:val="24"/>
          <w:szCs w:val="24"/>
          <w:lang w:val="es-ES"/>
        </w:rPr>
        <w:t>ino de caducidad, pues</w:t>
      </w:r>
      <w:r w:rsidRPr="000A7E58">
        <w:rPr>
          <w:rFonts w:ascii="Arial" w:hAnsi="Arial" w:cs="Arial"/>
          <w:bCs/>
          <w:sz w:val="24"/>
          <w:szCs w:val="24"/>
          <w:lang w:val="es-ES"/>
        </w:rPr>
        <w:t xml:space="preserve"> como quedó dicho en el párrafos anteriores, el fenómeno ya había operado desde julio de 2003, es decir, que para la fecha de la solicitud de conciliación, esto es, noviembre de 2003, ya la acción se encontraba caducada, evidenciándose de esta manera</w:t>
      </w:r>
      <w:r>
        <w:rPr>
          <w:rFonts w:ascii="Arial" w:hAnsi="Arial" w:cs="Arial"/>
          <w:bCs/>
          <w:sz w:val="24"/>
          <w:szCs w:val="24"/>
          <w:lang w:val="es-ES"/>
        </w:rPr>
        <w:t>,</w:t>
      </w:r>
      <w:r w:rsidRPr="000A7E58">
        <w:rPr>
          <w:rFonts w:ascii="Arial" w:hAnsi="Arial" w:cs="Arial"/>
          <w:bCs/>
          <w:sz w:val="24"/>
          <w:szCs w:val="24"/>
          <w:lang w:val="es-ES"/>
        </w:rPr>
        <w:t xml:space="preserve"> que es</w:t>
      </w:r>
      <w:r>
        <w:rPr>
          <w:rFonts w:ascii="Arial" w:hAnsi="Arial" w:cs="Arial"/>
          <w:bCs/>
          <w:sz w:val="24"/>
          <w:szCs w:val="24"/>
          <w:lang w:val="es-ES"/>
        </w:rPr>
        <w:t>te mecanismo d</w:t>
      </w:r>
      <w:r w:rsidRPr="000A7E58">
        <w:rPr>
          <w:rFonts w:ascii="Arial" w:hAnsi="Arial" w:cs="Arial"/>
          <w:bCs/>
          <w:sz w:val="24"/>
          <w:szCs w:val="24"/>
          <w:lang w:val="es-ES"/>
        </w:rPr>
        <w:t xml:space="preserve">e solución de controversias establecido en la ley, no tuvo incidencia alguna en el periodo de los dos años establecidos por la Ley para acudir a la acción contractual. </w:t>
      </w:r>
    </w:p>
    <w:p w14:paraId="192D1B3B" w14:textId="77777777" w:rsidR="00E50FF4" w:rsidRPr="004B2624" w:rsidRDefault="00E50FF4" w:rsidP="00E50FF4">
      <w:pPr>
        <w:spacing w:line="360" w:lineRule="auto"/>
        <w:jc w:val="both"/>
        <w:rPr>
          <w:rFonts w:ascii="Arial" w:hAnsi="Arial" w:cs="Arial"/>
          <w:bCs/>
          <w:sz w:val="24"/>
          <w:szCs w:val="24"/>
          <w:lang w:val="es-ES"/>
        </w:rPr>
      </w:pPr>
    </w:p>
    <w:p w14:paraId="727A679E" w14:textId="77777777" w:rsidR="00E50FF4" w:rsidRPr="004B2624" w:rsidRDefault="00E50FF4" w:rsidP="00E50FF4">
      <w:pPr>
        <w:spacing w:line="360" w:lineRule="auto"/>
        <w:jc w:val="both"/>
        <w:rPr>
          <w:rFonts w:ascii="Arial" w:hAnsi="Arial" w:cs="Arial"/>
          <w:bCs/>
          <w:sz w:val="24"/>
          <w:szCs w:val="24"/>
          <w:lang w:val="es-ES"/>
        </w:rPr>
      </w:pPr>
      <w:r w:rsidRPr="004B2624">
        <w:rPr>
          <w:rFonts w:ascii="Arial" w:hAnsi="Arial" w:cs="Arial"/>
          <w:bCs/>
          <w:sz w:val="24"/>
          <w:szCs w:val="24"/>
          <w:lang w:val="es-ES"/>
        </w:rPr>
        <w:t xml:space="preserve">El Tribunal, sin percatarse de la operancia de la caducidad, </w:t>
      </w:r>
      <w:r>
        <w:rPr>
          <w:rFonts w:ascii="Arial" w:hAnsi="Arial" w:cs="Arial"/>
          <w:bCs/>
          <w:sz w:val="24"/>
          <w:szCs w:val="24"/>
          <w:lang w:val="es-ES"/>
        </w:rPr>
        <w:t>declaró probadas otras excepciones</w:t>
      </w:r>
      <w:r w:rsidRPr="004B2624">
        <w:rPr>
          <w:rFonts w:ascii="Arial" w:hAnsi="Arial" w:cs="Arial"/>
          <w:bCs/>
          <w:sz w:val="24"/>
          <w:szCs w:val="24"/>
          <w:lang w:val="es-ES"/>
        </w:rPr>
        <w:t xml:space="preserve">, razón por la cual la sentencia apelada debe ser </w:t>
      </w:r>
      <w:r>
        <w:rPr>
          <w:rFonts w:ascii="Arial" w:hAnsi="Arial" w:cs="Arial"/>
          <w:bCs/>
          <w:sz w:val="24"/>
          <w:szCs w:val="24"/>
          <w:lang w:val="es-ES"/>
        </w:rPr>
        <w:t xml:space="preserve">modificada </w:t>
      </w:r>
      <w:r w:rsidRPr="004B2624">
        <w:rPr>
          <w:rFonts w:ascii="Arial" w:hAnsi="Arial" w:cs="Arial"/>
          <w:bCs/>
          <w:sz w:val="24"/>
          <w:szCs w:val="24"/>
          <w:lang w:val="es-ES"/>
        </w:rPr>
        <w:t xml:space="preserve">para simplemente declarar </w:t>
      </w:r>
      <w:r>
        <w:rPr>
          <w:rFonts w:ascii="Arial" w:hAnsi="Arial" w:cs="Arial"/>
          <w:bCs/>
          <w:sz w:val="24"/>
          <w:szCs w:val="24"/>
          <w:lang w:val="es-ES"/>
        </w:rPr>
        <w:t xml:space="preserve">probada de oficio </w:t>
      </w:r>
      <w:r w:rsidRPr="004B2624">
        <w:rPr>
          <w:rFonts w:ascii="Arial" w:hAnsi="Arial" w:cs="Arial"/>
          <w:bCs/>
          <w:sz w:val="24"/>
          <w:szCs w:val="24"/>
          <w:lang w:val="es-ES"/>
        </w:rPr>
        <w:t xml:space="preserve">la </w:t>
      </w:r>
      <w:r>
        <w:rPr>
          <w:rFonts w:ascii="Arial" w:hAnsi="Arial" w:cs="Arial"/>
          <w:bCs/>
          <w:sz w:val="24"/>
          <w:szCs w:val="24"/>
          <w:lang w:val="es-ES"/>
        </w:rPr>
        <w:t xml:space="preserve">excepción de </w:t>
      </w:r>
      <w:r w:rsidRPr="004B2624">
        <w:rPr>
          <w:rFonts w:ascii="Arial" w:hAnsi="Arial" w:cs="Arial"/>
          <w:bCs/>
          <w:sz w:val="24"/>
          <w:szCs w:val="24"/>
          <w:lang w:val="es-ES"/>
        </w:rPr>
        <w:t>caducidad de la acción.</w:t>
      </w:r>
    </w:p>
    <w:p w14:paraId="5CE619A6" w14:textId="77777777" w:rsidR="00E50FF4" w:rsidRPr="004B2624" w:rsidRDefault="00E50FF4" w:rsidP="00E50FF4">
      <w:pPr>
        <w:spacing w:line="360" w:lineRule="auto"/>
        <w:jc w:val="both"/>
        <w:rPr>
          <w:rFonts w:ascii="Arial" w:hAnsi="Arial" w:cs="Arial"/>
          <w:bCs/>
          <w:sz w:val="24"/>
          <w:szCs w:val="24"/>
          <w:lang w:val="es-ES"/>
        </w:rPr>
      </w:pPr>
      <w:r w:rsidRPr="004B2624">
        <w:rPr>
          <w:rFonts w:ascii="Arial" w:hAnsi="Arial" w:cs="Arial"/>
          <w:bCs/>
          <w:sz w:val="24"/>
          <w:szCs w:val="24"/>
          <w:lang w:val="es-ES"/>
        </w:rPr>
        <w:t xml:space="preserve"> </w:t>
      </w:r>
    </w:p>
    <w:p w14:paraId="0272DBE3" w14:textId="77777777" w:rsidR="00E50FF4" w:rsidRPr="004B2624" w:rsidRDefault="00E50FF4" w:rsidP="00E50FF4">
      <w:pPr>
        <w:spacing w:line="360" w:lineRule="auto"/>
        <w:jc w:val="both"/>
        <w:rPr>
          <w:rFonts w:ascii="Arial" w:hAnsi="Arial" w:cs="Arial"/>
          <w:bCs/>
          <w:sz w:val="24"/>
          <w:szCs w:val="24"/>
          <w:lang w:val="es-ES"/>
        </w:rPr>
      </w:pPr>
      <w:r w:rsidRPr="004B2624">
        <w:rPr>
          <w:rFonts w:ascii="Arial" w:hAnsi="Arial" w:cs="Arial"/>
          <w:bCs/>
          <w:sz w:val="24"/>
          <w:szCs w:val="24"/>
          <w:lang w:val="es-ES"/>
        </w:rPr>
        <w:t>En mérito de lo expuesto la Subsección C de la Sección Tercera de la Sala de lo Contencioso Administrativo del Consejo de Estado, administrando justicia en nombre</w:t>
      </w:r>
      <w:r>
        <w:rPr>
          <w:rFonts w:ascii="Arial" w:hAnsi="Arial" w:cs="Arial"/>
          <w:bCs/>
          <w:sz w:val="24"/>
          <w:szCs w:val="24"/>
          <w:lang w:val="es-ES"/>
        </w:rPr>
        <w:t xml:space="preserve"> la de la República </w:t>
      </w:r>
      <w:r w:rsidRPr="004B2624">
        <w:rPr>
          <w:rFonts w:ascii="Arial" w:hAnsi="Arial" w:cs="Arial"/>
          <w:bCs/>
          <w:sz w:val="24"/>
          <w:szCs w:val="24"/>
          <w:lang w:val="es-ES"/>
        </w:rPr>
        <w:t xml:space="preserve">y por autoridad de la ley, </w:t>
      </w:r>
    </w:p>
    <w:p w14:paraId="0B6A3A22" w14:textId="77777777" w:rsidR="00E50FF4" w:rsidRPr="004B2624" w:rsidRDefault="00E50FF4" w:rsidP="00E50FF4">
      <w:pPr>
        <w:spacing w:line="360" w:lineRule="auto"/>
        <w:jc w:val="both"/>
        <w:rPr>
          <w:rFonts w:ascii="Arial" w:hAnsi="Arial" w:cs="Arial"/>
          <w:b/>
          <w:bCs/>
          <w:sz w:val="24"/>
          <w:szCs w:val="24"/>
          <w:lang w:val="es-ES"/>
        </w:rPr>
      </w:pPr>
    </w:p>
    <w:p w14:paraId="0544D358" w14:textId="77777777" w:rsidR="00E50FF4" w:rsidRDefault="00E50FF4" w:rsidP="00E50FF4">
      <w:pPr>
        <w:spacing w:line="360" w:lineRule="auto"/>
        <w:jc w:val="center"/>
        <w:rPr>
          <w:rFonts w:ascii="Arial" w:hAnsi="Arial" w:cs="Arial"/>
          <w:b/>
          <w:bCs/>
          <w:sz w:val="24"/>
          <w:szCs w:val="24"/>
          <w:lang w:val="es-ES"/>
        </w:rPr>
      </w:pPr>
      <w:r w:rsidRPr="004B2624">
        <w:rPr>
          <w:rFonts w:ascii="Arial" w:hAnsi="Arial" w:cs="Arial"/>
          <w:b/>
          <w:bCs/>
          <w:sz w:val="24"/>
          <w:szCs w:val="24"/>
          <w:lang w:val="es-ES"/>
        </w:rPr>
        <w:t>R E S U E L V E</w:t>
      </w:r>
    </w:p>
    <w:p w14:paraId="3C6C88CA" w14:textId="77777777" w:rsidR="00E50FF4" w:rsidRPr="004B2624" w:rsidRDefault="00E50FF4" w:rsidP="00E50FF4">
      <w:pPr>
        <w:spacing w:line="360" w:lineRule="auto"/>
        <w:ind w:left="709"/>
        <w:jc w:val="center"/>
        <w:rPr>
          <w:rFonts w:ascii="Arial" w:hAnsi="Arial" w:cs="Arial"/>
          <w:b/>
          <w:bCs/>
          <w:sz w:val="24"/>
          <w:szCs w:val="24"/>
          <w:lang w:val="es-ES"/>
        </w:rPr>
      </w:pPr>
    </w:p>
    <w:p w14:paraId="2AC86FF3" w14:textId="77777777" w:rsidR="00E50FF4" w:rsidRPr="004B2624" w:rsidRDefault="00E50FF4" w:rsidP="00E50FF4">
      <w:pPr>
        <w:spacing w:line="360" w:lineRule="auto"/>
        <w:jc w:val="both"/>
        <w:rPr>
          <w:rFonts w:ascii="Arial" w:hAnsi="Arial" w:cs="Arial"/>
          <w:bCs/>
          <w:sz w:val="24"/>
          <w:szCs w:val="24"/>
          <w:lang w:val="es-ES"/>
        </w:rPr>
      </w:pPr>
      <w:r>
        <w:rPr>
          <w:rFonts w:ascii="Arial" w:hAnsi="Arial" w:cs="Arial"/>
          <w:b/>
          <w:bCs/>
          <w:sz w:val="24"/>
          <w:szCs w:val="24"/>
          <w:lang w:val="es-ES"/>
        </w:rPr>
        <w:t>PRIMERO: MODIFICAR</w:t>
      </w:r>
      <w:r w:rsidRPr="004B2624">
        <w:rPr>
          <w:rFonts w:ascii="Arial" w:hAnsi="Arial" w:cs="Arial"/>
          <w:b/>
          <w:bCs/>
          <w:sz w:val="24"/>
          <w:szCs w:val="24"/>
          <w:lang w:val="es-ES"/>
        </w:rPr>
        <w:t xml:space="preserve"> </w:t>
      </w:r>
      <w:r w:rsidRPr="004B2624">
        <w:rPr>
          <w:rFonts w:ascii="Arial" w:hAnsi="Arial" w:cs="Arial"/>
          <w:bCs/>
          <w:sz w:val="24"/>
          <w:szCs w:val="24"/>
          <w:lang w:val="es-ES"/>
        </w:rPr>
        <w:t xml:space="preserve">la sentencia apelada y en su lugar </w:t>
      </w:r>
      <w:r>
        <w:rPr>
          <w:rFonts w:ascii="Arial" w:hAnsi="Arial" w:cs="Arial"/>
          <w:b/>
          <w:bCs/>
          <w:sz w:val="24"/>
          <w:szCs w:val="24"/>
          <w:lang w:val="es-ES"/>
        </w:rPr>
        <w:t xml:space="preserve">DECLARAR </w:t>
      </w:r>
      <w:r w:rsidRPr="001F734E">
        <w:rPr>
          <w:rFonts w:ascii="Arial" w:hAnsi="Arial" w:cs="Arial"/>
          <w:bCs/>
          <w:sz w:val="24"/>
          <w:szCs w:val="24"/>
          <w:lang w:val="es-ES"/>
        </w:rPr>
        <w:t>de oficio</w:t>
      </w:r>
      <w:r>
        <w:rPr>
          <w:rFonts w:ascii="Arial" w:hAnsi="Arial" w:cs="Arial"/>
          <w:b/>
          <w:bCs/>
          <w:sz w:val="24"/>
          <w:szCs w:val="24"/>
          <w:lang w:val="es-ES"/>
        </w:rPr>
        <w:t xml:space="preserve"> </w:t>
      </w:r>
      <w:r w:rsidRPr="004B2624">
        <w:rPr>
          <w:rFonts w:ascii="Arial" w:hAnsi="Arial" w:cs="Arial"/>
          <w:bCs/>
          <w:sz w:val="24"/>
          <w:szCs w:val="24"/>
          <w:lang w:val="es-ES"/>
        </w:rPr>
        <w:t xml:space="preserve">la </w:t>
      </w:r>
      <w:r>
        <w:rPr>
          <w:rFonts w:ascii="Arial" w:hAnsi="Arial" w:cs="Arial"/>
          <w:bCs/>
          <w:sz w:val="24"/>
          <w:szCs w:val="24"/>
          <w:lang w:val="es-ES"/>
        </w:rPr>
        <w:t xml:space="preserve">excepción de </w:t>
      </w:r>
      <w:r w:rsidRPr="004B2624">
        <w:rPr>
          <w:rFonts w:ascii="Arial" w:hAnsi="Arial" w:cs="Arial"/>
          <w:bCs/>
          <w:sz w:val="24"/>
          <w:szCs w:val="24"/>
          <w:lang w:val="es-ES"/>
        </w:rPr>
        <w:t>caducidad de la acción.</w:t>
      </w:r>
    </w:p>
    <w:p w14:paraId="667B838F" w14:textId="77777777" w:rsidR="00E50FF4" w:rsidRDefault="00E50FF4" w:rsidP="00E50FF4">
      <w:pPr>
        <w:spacing w:line="360" w:lineRule="auto"/>
        <w:jc w:val="both"/>
        <w:rPr>
          <w:rFonts w:ascii="Arial" w:hAnsi="Arial" w:cs="Arial"/>
          <w:b/>
          <w:bCs/>
          <w:sz w:val="24"/>
          <w:szCs w:val="24"/>
          <w:lang w:val="es-ES"/>
        </w:rPr>
      </w:pPr>
    </w:p>
    <w:p w14:paraId="2B72ED53" w14:textId="77777777" w:rsidR="00E50FF4" w:rsidRDefault="00E50FF4" w:rsidP="00E50FF4">
      <w:pPr>
        <w:spacing w:line="360" w:lineRule="auto"/>
        <w:jc w:val="both"/>
        <w:rPr>
          <w:rFonts w:ascii="Arial" w:hAnsi="Arial" w:cs="Arial"/>
          <w:bCs/>
          <w:sz w:val="24"/>
          <w:szCs w:val="24"/>
          <w:lang w:val="es-ES"/>
        </w:rPr>
      </w:pPr>
      <w:r w:rsidRPr="004B2624">
        <w:rPr>
          <w:rFonts w:ascii="Arial" w:hAnsi="Arial" w:cs="Arial"/>
          <w:b/>
          <w:bCs/>
          <w:sz w:val="24"/>
          <w:szCs w:val="24"/>
          <w:lang w:val="es-ES"/>
        </w:rPr>
        <w:t xml:space="preserve">SEGUNDO: </w:t>
      </w:r>
      <w:r w:rsidRPr="004B2624">
        <w:rPr>
          <w:rFonts w:ascii="Arial" w:hAnsi="Arial" w:cs="Arial"/>
          <w:bCs/>
          <w:sz w:val="24"/>
          <w:szCs w:val="24"/>
          <w:lang w:val="es-ES"/>
        </w:rPr>
        <w:t>Devolver el expediente al Tribunal de origen.</w:t>
      </w:r>
      <w:r w:rsidRPr="004B2624">
        <w:rPr>
          <w:rFonts w:ascii="Arial" w:hAnsi="Arial" w:cs="Arial"/>
          <w:b/>
          <w:bCs/>
          <w:sz w:val="24"/>
          <w:szCs w:val="24"/>
          <w:lang w:val="es-ES"/>
        </w:rPr>
        <w:t xml:space="preserve"> </w:t>
      </w:r>
    </w:p>
    <w:p w14:paraId="730763F6" w14:textId="77777777" w:rsidR="00E50FF4" w:rsidRPr="00115708" w:rsidRDefault="00E50FF4" w:rsidP="00115708">
      <w:pPr>
        <w:jc w:val="both"/>
        <w:rPr>
          <w:rFonts w:ascii="Arial" w:hAnsi="Arial" w:cs="Arial"/>
          <w:bCs/>
          <w:sz w:val="24"/>
          <w:szCs w:val="24"/>
          <w:lang w:val="es-ES"/>
        </w:rPr>
      </w:pPr>
    </w:p>
    <w:p w14:paraId="7D92DA43" w14:textId="77777777" w:rsidR="00E50FF4" w:rsidRPr="00115708" w:rsidRDefault="00E50FF4" w:rsidP="00115708">
      <w:pPr>
        <w:jc w:val="center"/>
        <w:rPr>
          <w:rFonts w:ascii="Arial" w:hAnsi="Arial" w:cs="Arial"/>
          <w:b/>
          <w:bCs/>
          <w:sz w:val="24"/>
          <w:szCs w:val="24"/>
          <w:lang w:val="es-ES"/>
        </w:rPr>
      </w:pPr>
      <w:r w:rsidRPr="00115708">
        <w:rPr>
          <w:rFonts w:ascii="Arial" w:hAnsi="Arial" w:cs="Arial"/>
          <w:b/>
          <w:bCs/>
          <w:sz w:val="24"/>
          <w:szCs w:val="24"/>
          <w:lang w:val="es-ES"/>
        </w:rPr>
        <w:t>CÓPIESE, NOTIFÍQUESE Y CÚMPLASE</w:t>
      </w:r>
    </w:p>
    <w:p w14:paraId="05CC2CF6" w14:textId="77777777" w:rsidR="00E50FF4" w:rsidRPr="00115708" w:rsidRDefault="00E50FF4" w:rsidP="00115708">
      <w:pPr>
        <w:jc w:val="both"/>
        <w:rPr>
          <w:rFonts w:ascii="Arial" w:hAnsi="Arial" w:cs="Arial"/>
          <w:bCs/>
          <w:sz w:val="24"/>
          <w:szCs w:val="24"/>
          <w:highlight w:val="yellow"/>
          <w:lang w:val="es-ES"/>
        </w:rPr>
      </w:pPr>
    </w:p>
    <w:p w14:paraId="04E58D26" w14:textId="77777777" w:rsidR="00E50FF4" w:rsidRPr="00115708" w:rsidRDefault="00E50FF4" w:rsidP="00115708">
      <w:pPr>
        <w:jc w:val="both"/>
        <w:rPr>
          <w:rFonts w:ascii="Arial" w:hAnsi="Arial" w:cs="Arial"/>
          <w:sz w:val="24"/>
          <w:szCs w:val="24"/>
          <w:highlight w:val="yellow"/>
          <w:lang w:val="es-ES"/>
        </w:rPr>
      </w:pPr>
    </w:p>
    <w:p w14:paraId="75648B9F" w14:textId="77777777" w:rsidR="00E50FF4" w:rsidRPr="00115708" w:rsidRDefault="00E50FF4" w:rsidP="00115708">
      <w:pPr>
        <w:jc w:val="both"/>
        <w:rPr>
          <w:rFonts w:ascii="Arial" w:hAnsi="Arial" w:cs="Arial"/>
          <w:sz w:val="24"/>
          <w:szCs w:val="24"/>
          <w:highlight w:val="yellow"/>
          <w:lang w:val="es-ES"/>
        </w:rPr>
      </w:pPr>
    </w:p>
    <w:p w14:paraId="2D4D4208" w14:textId="77777777" w:rsidR="00E50FF4" w:rsidRPr="00115708" w:rsidRDefault="00E50FF4" w:rsidP="00115708">
      <w:pPr>
        <w:jc w:val="both"/>
        <w:rPr>
          <w:rFonts w:ascii="Arial" w:hAnsi="Arial" w:cs="Arial"/>
          <w:sz w:val="24"/>
          <w:szCs w:val="24"/>
          <w:highlight w:val="yellow"/>
          <w:lang w:val="es-ES"/>
        </w:rPr>
      </w:pPr>
    </w:p>
    <w:p w14:paraId="07EAFCB5" w14:textId="77777777" w:rsidR="00E50FF4" w:rsidRPr="00115708" w:rsidRDefault="00E50FF4" w:rsidP="00115708">
      <w:pPr>
        <w:jc w:val="center"/>
        <w:rPr>
          <w:rFonts w:ascii="Arial" w:hAnsi="Arial" w:cs="Arial"/>
          <w:b/>
          <w:sz w:val="24"/>
          <w:szCs w:val="24"/>
          <w:lang w:val="es-ES"/>
        </w:rPr>
      </w:pPr>
      <w:r w:rsidRPr="00115708">
        <w:rPr>
          <w:rFonts w:ascii="Arial" w:hAnsi="Arial" w:cs="Arial"/>
          <w:b/>
          <w:sz w:val="24"/>
          <w:szCs w:val="24"/>
          <w:lang w:val="es-ES"/>
        </w:rPr>
        <w:t>JAIME ORLANDO SANTOFIMIO GAMBOA</w:t>
      </w:r>
    </w:p>
    <w:p w14:paraId="5CED7063" w14:textId="77777777" w:rsidR="00E50FF4" w:rsidRPr="00115708" w:rsidRDefault="00E50FF4" w:rsidP="00115708">
      <w:pPr>
        <w:jc w:val="center"/>
        <w:rPr>
          <w:rFonts w:ascii="Arial" w:hAnsi="Arial" w:cs="Arial"/>
          <w:b/>
          <w:sz w:val="24"/>
          <w:szCs w:val="24"/>
          <w:lang w:val="es-ES"/>
        </w:rPr>
      </w:pPr>
      <w:r w:rsidRPr="00115708">
        <w:rPr>
          <w:rFonts w:ascii="Arial" w:hAnsi="Arial" w:cs="Arial"/>
          <w:b/>
          <w:sz w:val="24"/>
          <w:szCs w:val="24"/>
        </w:rPr>
        <w:t>Presidente de la Sala</w:t>
      </w:r>
    </w:p>
    <w:p w14:paraId="1BFD6E7E" w14:textId="77777777" w:rsidR="00E50FF4" w:rsidRDefault="00E50FF4" w:rsidP="00DA66AE">
      <w:pPr>
        <w:jc w:val="center"/>
        <w:rPr>
          <w:rFonts w:ascii="Arial" w:hAnsi="Arial" w:cs="Arial"/>
          <w:sz w:val="24"/>
          <w:szCs w:val="24"/>
          <w:highlight w:val="yellow"/>
          <w:lang w:val="es-ES"/>
        </w:rPr>
      </w:pPr>
    </w:p>
    <w:p w14:paraId="64849A28" w14:textId="77777777" w:rsidR="00115708" w:rsidRPr="00115708" w:rsidRDefault="00115708" w:rsidP="00DA66AE">
      <w:pPr>
        <w:jc w:val="center"/>
        <w:rPr>
          <w:rFonts w:ascii="Arial" w:hAnsi="Arial" w:cs="Arial"/>
          <w:sz w:val="24"/>
          <w:szCs w:val="24"/>
          <w:highlight w:val="yellow"/>
          <w:lang w:val="es-ES"/>
        </w:rPr>
      </w:pPr>
    </w:p>
    <w:p w14:paraId="4E1AEE2F" w14:textId="77777777" w:rsidR="00E50FF4" w:rsidRPr="00115708" w:rsidRDefault="00E50FF4" w:rsidP="00115708">
      <w:pPr>
        <w:jc w:val="center"/>
        <w:rPr>
          <w:rFonts w:ascii="Arial" w:hAnsi="Arial" w:cs="Arial"/>
          <w:b/>
          <w:sz w:val="24"/>
          <w:szCs w:val="24"/>
          <w:highlight w:val="yellow"/>
          <w:lang w:val="es-ES"/>
        </w:rPr>
      </w:pPr>
    </w:p>
    <w:p w14:paraId="7A30725D" w14:textId="77777777" w:rsidR="00E50FF4" w:rsidRPr="00115708" w:rsidRDefault="00E50FF4" w:rsidP="00115708">
      <w:pPr>
        <w:jc w:val="center"/>
        <w:rPr>
          <w:rFonts w:ascii="Arial" w:hAnsi="Arial" w:cs="Arial"/>
          <w:b/>
          <w:sz w:val="24"/>
          <w:szCs w:val="24"/>
          <w:highlight w:val="yellow"/>
          <w:lang w:val="es-ES"/>
        </w:rPr>
      </w:pPr>
    </w:p>
    <w:p w14:paraId="2FA04C34" w14:textId="77777777" w:rsidR="00E50FF4" w:rsidRPr="00115708" w:rsidRDefault="00E50FF4" w:rsidP="00115708">
      <w:pPr>
        <w:pStyle w:val="Textoindependiente2"/>
        <w:spacing w:after="0" w:line="240" w:lineRule="auto"/>
        <w:jc w:val="center"/>
        <w:outlineLvl w:val="0"/>
        <w:rPr>
          <w:rFonts w:ascii="Arial" w:hAnsi="Arial" w:cs="Arial"/>
          <w:b/>
          <w:sz w:val="24"/>
          <w:szCs w:val="24"/>
        </w:rPr>
      </w:pPr>
      <w:r w:rsidRPr="00115708">
        <w:rPr>
          <w:rFonts w:ascii="Arial" w:hAnsi="Arial" w:cs="Arial"/>
          <w:b/>
          <w:sz w:val="24"/>
          <w:szCs w:val="24"/>
        </w:rPr>
        <w:t>OLGA MÉLIDA VALLE DE DE LA HOZ</w:t>
      </w:r>
    </w:p>
    <w:p w14:paraId="33982874" w14:textId="77777777" w:rsidR="00E50FF4" w:rsidRPr="00115708" w:rsidRDefault="00E50FF4" w:rsidP="00115708">
      <w:pPr>
        <w:pStyle w:val="Textoindependiente2"/>
        <w:tabs>
          <w:tab w:val="left" w:pos="2670"/>
        </w:tabs>
        <w:spacing w:after="0" w:line="240" w:lineRule="auto"/>
        <w:jc w:val="center"/>
        <w:outlineLvl w:val="0"/>
        <w:rPr>
          <w:rFonts w:ascii="Arial" w:hAnsi="Arial" w:cs="Arial"/>
          <w:b/>
          <w:sz w:val="24"/>
          <w:szCs w:val="24"/>
        </w:rPr>
      </w:pPr>
      <w:r w:rsidRPr="00115708">
        <w:rPr>
          <w:rFonts w:ascii="Arial" w:hAnsi="Arial" w:cs="Arial"/>
          <w:b/>
          <w:sz w:val="24"/>
          <w:szCs w:val="24"/>
        </w:rPr>
        <w:t>Magistrada</w:t>
      </w:r>
    </w:p>
    <w:p w14:paraId="6F54C181" w14:textId="77777777" w:rsidR="00E50FF4" w:rsidRPr="00115708" w:rsidRDefault="00E50FF4" w:rsidP="00115708">
      <w:pPr>
        <w:rPr>
          <w:rFonts w:ascii="Arial" w:hAnsi="Arial" w:cs="Arial"/>
          <w:i/>
          <w:sz w:val="24"/>
          <w:szCs w:val="24"/>
        </w:rPr>
      </w:pPr>
    </w:p>
    <w:p w14:paraId="21906A20" w14:textId="77777777" w:rsidR="00E50FF4" w:rsidRPr="00115708" w:rsidRDefault="00E50FF4" w:rsidP="00115708">
      <w:pPr>
        <w:rPr>
          <w:rFonts w:ascii="Arial" w:hAnsi="Arial" w:cs="Arial"/>
          <w:i/>
          <w:sz w:val="24"/>
          <w:szCs w:val="24"/>
        </w:rPr>
      </w:pPr>
    </w:p>
    <w:p w14:paraId="3C4415A2" w14:textId="77777777" w:rsidR="00E50FF4" w:rsidRPr="00115708" w:rsidRDefault="00E50FF4" w:rsidP="00115708">
      <w:pPr>
        <w:rPr>
          <w:rFonts w:ascii="Arial" w:hAnsi="Arial" w:cs="Arial"/>
          <w:i/>
          <w:sz w:val="24"/>
          <w:szCs w:val="24"/>
        </w:rPr>
      </w:pPr>
    </w:p>
    <w:p w14:paraId="1AFEB0AF" w14:textId="77777777" w:rsidR="00E50FF4" w:rsidRPr="00115708" w:rsidRDefault="00E50FF4" w:rsidP="00115708">
      <w:pPr>
        <w:rPr>
          <w:rFonts w:ascii="Arial" w:hAnsi="Arial" w:cs="Arial"/>
          <w:i/>
          <w:sz w:val="24"/>
          <w:szCs w:val="24"/>
        </w:rPr>
      </w:pPr>
    </w:p>
    <w:p w14:paraId="37CCF255" w14:textId="77777777" w:rsidR="00E50FF4" w:rsidRPr="00115708" w:rsidRDefault="00E50FF4" w:rsidP="00115708">
      <w:pPr>
        <w:jc w:val="center"/>
        <w:outlineLvl w:val="0"/>
        <w:rPr>
          <w:rFonts w:ascii="Arial" w:hAnsi="Arial" w:cs="Arial"/>
          <w:b/>
          <w:sz w:val="24"/>
          <w:szCs w:val="24"/>
        </w:rPr>
      </w:pPr>
      <w:r w:rsidRPr="00115708">
        <w:rPr>
          <w:rFonts w:ascii="Arial" w:hAnsi="Arial" w:cs="Arial"/>
          <w:b/>
          <w:sz w:val="24"/>
          <w:szCs w:val="24"/>
        </w:rPr>
        <w:t>GUILLERMO SÁNCHEZ LUQUE</w:t>
      </w:r>
    </w:p>
    <w:p w14:paraId="4C7968AA" w14:textId="77777777" w:rsidR="00E50FF4" w:rsidRDefault="00E50FF4" w:rsidP="00115708">
      <w:pPr>
        <w:jc w:val="center"/>
        <w:rPr>
          <w:rFonts w:ascii="Arial" w:hAnsi="Arial" w:cs="Arial"/>
          <w:b/>
          <w:sz w:val="24"/>
          <w:szCs w:val="24"/>
        </w:rPr>
      </w:pPr>
      <w:r w:rsidRPr="00115708">
        <w:rPr>
          <w:rFonts w:ascii="Arial" w:hAnsi="Arial" w:cs="Arial"/>
          <w:b/>
          <w:sz w:val="24"/>
          <w:szCs w:val="24"/>
        </w:rPr>
        <w:t>Magistrado</w:t>
      </w:r>
    </w:p>
    <w:p w14:paraId="68B12E07" w14:textId="77777777" w:rsidR="00081B91" w:rsidRPr="00115708" w:rsidRDefault="00081B91" w:rsidP="00115708">
      <w:pPr>
        <w:jc w:val="center"/>
        <w:rPr>
          <w:rFonts w:ascii="Arial" w:hAnsi="Arial" w:cs="Arial"/>
          <w:i/>
          <w:sz w:val="24"/>
          <w:szCs w:val="24"/>
        </w:rPr>
      </w:pPr>
    </w:p>
    <w:sectPr w:rsidR="00081B91" w:rsidRPr="00115708" w:rsidSect="00043371">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17F0" w14:textId="77777777" w:rsidR="005C7503" w:rsidRDefault="005C7503">
      <w:r>
        <w:separator/>
      </w:r>
    </w:p>
  </w:endnote>
  <w:endnote w:type="continuationSeparator" w:id="0">
    <w:p w14:paraId="485525DB" w14:textId="77777777" w:rsidR="005C7503" w:rsidRDefault="005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7EF3D" w14:textId="77777777" w:rsidR="005C7503" w:rsidRDefault="005C7503">
      <w:r>
        <w:separator/>
      </w:r>
    </w:p>
  </w:footnote>
  <w:footnote w:type="continuationSeparator" w:id="0">
    <w:p w14:paraId="6A396595" w14:textId="77777777" w:rsidR="005C7503" w:rsidRDefault="005C7503">
      <w:r>
        <w:continuationSeparator/>
      </w:r>
    </w:p>
  </w:footnote>
  <w:footnote w:id="1">
    <w:p w14:paraId="22B90C07" w14:textId="77777777" w:rsidR="00E50FF4" w:rsidRPr="00E50AE3" w:rsidRDefault="00E50FF4" w:rsidP="00E50FF4">
      <w:pPr>
        <w:pStyle w:val="Textonotapie"/>
        <w:jc w:val="both"/>
        <w:rPr>
          <w:rFonts w:ascii="Arial" w:hAnsi="Arial"/>
          <w:lang w:val="es-CO"/>
        </w:rPr>
      </w:pPr>
      <w:r w:rsidRPr="00E50AE3">
        <w:rPr>
          <w:rStyle w:val="Refdenotaalpie"/>
          <w:rFonts w:ascii="Arial" w:hAnsi="Arial"/>
        </w:rPr>
        <w:footnoteRef/>
      </w:r>
      <w:r w:rsidRPr="00E50AE3">
        <w:rPr>
          <w:rFonts w:ascii="Arial" w:hAnsi="Arial"/>
        </w:rPr>
        <w:t xml:space="preserve"> </w:t>
      </w:r>
      <w:r w:rsidRPr="00E50AE3">
        <w:rPr>
          <w:rFonts w:ascii="Arial" w:hAnsi="Arial"/>
          <w:lang w:val="es-CO"/>
        </w:rPr>
        <w:t xml:space="preserve">Fls. </w:t>
      </w:r>
      <w:smartTag w:uri="urn:schemas-microsoft-com:office:smarttags" w:element="metricconverter">
        <w:smartTagPr>
          <w:attr w:name="ProductID" w:val="2 a"/>
        </w:smartTagPr>
        <w:r w:rsidRPr="00E50AE3">
          <w:rPr>
            <w:rFonts w:ascii="Arial" w:hAnsi="Arial"/>
            <w:lang w:val="es-CO"/>
          </w:rPr>
          <w:t>2 a</w:t>
        </w:r>
      </w:smartTag>
      <w:r w:rsidRPr="00E50AE3">
        <w:rPr>
          <w:rFonts w:ascii="Arial" w:hAnsi="Arial"/>
          <w:lang w:val="es-CO"/>
        </w:rPr>
        <w:t xml:space="preserve"> 28 del C.1. </w:t>
      </w:r>
    </w:p>
  </w:footnote>
  <w:footnote w:id="2">
    <w:p w14:paraId="300F2550" w14:textId="77777777" w:rsidR="00E50FF4" w:rsidRPr="001325D6" w:rsidRDefault="00E50FF4" w:rsidP="00E50FF4">
      <w:pPr>
        <w:pStyle w:val="Textonotapie"/>
        <w:rPr>
          <w:rFonts w:ascii="Arial" w:hAnsi="Arial" w:cs="Arial"/>
          <w:lang w:val="es-ES_tradnl"/>
        </w:rPr>
      </w:pPr>
      <w:r w:rsidRPr="001325D6">
        <w:rPr>
          <w:rStyle w:val="Refdenotaalpie"/>
          <w:rFonts w:ascii="Arial" w:hAnsi="Arial" w:cs="Arial"/>
        </w:rPr>
        <w:footnoteRef/>
      </w:r>
      <w:r w:rsidRPr="001325D6">
        <w:rPr>
          <w:rFonts w:ascii="Arial" w:hAnsi="Arial" w:cs="Arial"/>
        </w:rPr>
        <w:t xml:space="preserve"> Luego de ser subsanada </w:t>
      </w:r>
      <w:r w:rsidRPr="001325D6">
        <w:rPr>
          <w:rFonts w:ascii="Arial" w:hAnsi="Arial" w:cs="Arial"/>
          <w:lang w:val="es-ES_tradnl"/>
        </w:rPr>
        <w:t xml:space="preserve">Fls. 76 y </w:t>
      </w:r>
      <w:smartTag w:uri="urn:schemas-microsoft-com:office:smarttags" w:element="metricconverter">
        <w:smartTagPr>
          <w:attr w:name="ProductID" w:val="84 C"/>
        </w:smartTagPr>
        <w:r w:rsidRPr="001325D6">
          <w:rPr>
            <w:rFonts w:ascii="Arial" w:hAnsi="Arial" w:cs="Arial"/>
            <w:lang w:val="es-ES_tradnl"/>
          </w:rPr>
          <w:t>84 C</w:t>
        </w:r>
      </w:smartTag>
      <w:r w:rsidRPr="001325D6">
        <w:rPr>
          <w:rFonts w:ascii="Arial" w:hAnsi="Arial" w:cs="Arial"/>
          <w:lang w:val="es-ES_tradnl"/>
        </w:rPr>
        <w:t>.1</w:t>
      </w:r>
    </w:p>
  </w:footnote>
  <w:footnote w:id="3">
    <w:p w14:paraId="50172D74" w14:textId="77777777" w:rsidR="00E50FF4" w:rsidRPr="008A308D" w:rsidRDefault="00E50FF4" w:rsidP="00E50FF4">
      <w:pPr>
        <w:pStyle w:val="Textonotapie"/>
        <w:rPr>
          <w:rFonts w:ascii="Arial" w:hAnsi="Arial" w:cs="Arial"/>
          <w:lang w:val="en-US"/>
        </w:rPr>
      </w:pPr>
      <w:r w:rsidRPr="00EA431B">
        <w:rPr>
          <w:rStyle w:val="Refdenotaalpie"/>
          <w:rFonts w:ascii="Arial" w:hAnsi="Arial" w:cs="Arial"/>
        </w:rPr>
        <w:footnoteRef/>
      </w:r>
      <w:r w:rsidRPr="008A308D">
        <w:rPr>
          <w:rFonts w:ascii="Arial" w:hAnsi="Arial" w:cs="Arial"/>
          <w:lang w:val="en-US"/>
        </w:rPr>
        <w:t xml:space="preserve"> Fls. 96- </w:t>
      </w:r>
      <w:smartTag w:uri="urn:schemas-microsoft-com:office:smarttags" w:element="metricconverter">
        <w:smartTagPr>
          <w:attr w:name="ProductID" w:val="130C"/>
        </w:smartTagPr>
        <w:r w:rsidRPr="008A308D">
          <w:rPr>
            <w:rFonts w:ascii="Arial" w:hAnsi="Arial" w:cs="Arial"/>
            <w:lang w:val="en-US"/>
          </w:rPr>
          <w:t>130C</w:t>
        </w:r>
      </w:smartTag>
      <w:r w:rsidRPr="008A308D">
        <w:rPr>
          <w:rFonts w:ascii="Arial" w:hAnsi="Arial" w:cs="Arial"/>
          <w:lang w:val="en-US"/>
        </w:rPr>
        <w:t>.1</w:t>
      </w:r>
    </w:p>
  </w:footnote>
  <w:footnote w:id="4">
    <w:p w14:paraId="2437883E" w14:textId="77777777" w:rsidR="00E50FF4" w:rsidRPr="008A308D" w:rsidRDefault="00E50FF4" w:rsidP="00E50FF4">
      <w:pPr>
        <w:pStyle w:val="Textonotapie"/>
        <w:rPr>
          <w:rFonts w:ascii="Arial" w:hAnsi="Arial" w:cs="Arial"/>
          <w:lang w:val="en-US"/>
        </w:rPr>
      </w:pPr>
      <w:r w:rsidRPr="009B0B98">
        <w:rPr>
          <w:rStyle w:val="Refdenotaalpie"/>
          <w:rFonts w:ascii="Arial" w:hAnsi="Arial" w:cs="Arial"/>
        </w:rPr>
        <w:footnoteRef/>
      </w:r>
      <w:r w:rsidRPr="008A308D">
        <w:rPr>
          <w:rFonts w:ascii="Arial" w:hAnsi="Arial" w:cs="Arial"/>
          <w:lang w:val="en-US"/>
        </w:rPr>
        <w:t xml:space="preserve"> Fl. </w:t>
      </w:r>
      <w:smartTag w:uri="urn:schemas-microsoft-com:office:smarttags" w:element="metricconverter">
        <w:smartTagPr>
          <w:attr w:name="ProductID" w:val="312 C"/>
        </w:smartTagPr>
        <w:r w:rsidRPr="008A308D">
          <w:rPr>
            <w:rFonts w:ascii="Arial" w:hAnsi="Arial" w:cs="Arial"/>
            <w:lang w:val="en-US"/>
          </w:rPr>
          <w:t>312 C</w:t>
        </w:r>
      </w:smartTag>
      <w:r w:rsidRPr="008A308D">
        <w:rPr>
          <w:rFonts w:ascii="Arial" w:hAnsi="Arial" w:cs="Arial"/>
          <w:lang w:val="en-US"/>
        </w:rPr>
        <w:t>. 2</w:t>
      </w:r>
    </w:p>
  </w:footnote>
  <w:footnote w:id="5">
    <w:p w14:paraId="017288D8" w14:textId="77777777" w:rsidR="00E50FF4" w:rsidRPr="008A308D" w:rsidRDefault="00E50FF4" w:rsidP="00E50FF4">
      <w:pPr>
        <w:pStyle w:val="Textonotapie"/>
        <w:rPr>
          <w:rFonts w:ascii="Arial" w:hAnsi="Arial" w:cs="Arial"/>
          <w:lang w:val="en-US"/>
        </w:rPr>
      </w:pPr>
      <w:r>
        <w:rPr>
          <w:rStyle w:val="Refdenotaalpie"/>
        </w:rPr>
        <w:footnoteRef/>
      </w:r>
      <w:r w:rsidRPr="008A308D">
        <w:rPr>
          <w:lang w:val="en-US"/>
        </w:rPr>
        <w:t xml:space="preserve"> </w:t>
      </w:r>
      <w:r w:rsidRPr="008A308D">
        <w:rPr>
          <w:rFonts w:ascii="Arial" w:hAnsi="Arial" w:cs="Arial"/>
          <w:lang w:val="en-US"/>
        </w:rPr>
        <w:t xml:space="preserve">Fl. </w:t>
      </w:r>
      <w:smartTag w:uri="urn:schemas-microsoft-com:office:smarttags" w:element="metricconverter">
        <w:smartTagPr>
          <w:attr w:name="ProductID" w:val="320 C"/>
        </w:smartTagPr>
        <w:r w:rsidRPr="008A308D">
          <w:rPr>
            <w:rFonts w:ascii="Arial" w:hAnsi="Arial" w:cs="Arial"/>
            <w:lang w:val="en-US"/>
          </w:rPr>
          <w:t>320 C</w:t>
        </w:r>
      </w:smartTag>
      <w:r w:rsidRPr="008A308D">
        <w:rPr>
          <w:rFonts w:ascii="Arial" w:hAnsi="Arial" w:cs="Arial"/>
          <w:lang w:val="en-US"/>
        </w:rPr>
        <w:t>. 2</w:t>
      </w:r>
    </w:p>
  </w:footnote>
  <w:footnote w:id="6">
    <w:p w14:paraId="21F8838A" w14:textId="77777777" w:rsidR="00E50FF4" w:rsidRPr="009B0B98" w:rsidRDefault="00E50FF4" w:rsidP="00E50FF4">
      <w:pPr>
        <w:pStyle w:val="Textonotapie"/>
        <w:rPr>
          <w:rFonts w:ascii="Arial" w:hAnsi="Arial" w:cs="Arial"/>
          <w:lang w:val="es-ES_tradnl"/>
        </w:rPr>
      </w:pPr>
      <w:r>
        <w:rPr>
          <w:rStyle w:val="Refdenotaalpie"/>
        </w:rPr>
        <w:footnoteRef/>
      </w:r>
      <w:r>
        <w:t xml:space="preserve"> </w:t>
      </w:r>
      <w:r>
        <w:rPr>
          <w:rFonts w:ascii="Arial" w:hAnsi="Arial" w:cs="Arial"/>
          <w:lang w:val="es-ES_tradnl"/>
        </w:rPr>
        <w:t>Fl.475 C. 2</w:t>
      </w:r>
    </w:p>
  </w:footnote>
  <w:footnote w:id="7">
    <w:p w14:paraId="55DAFA08" w14:textId="77777777" w:rsidR="00E50FF4" w:rsidRPr="00442D1D" w:rsidRDefault="00E50FF4" w:rsidP="00E50FF4">
      <w:pPr>
        <w:pStyle w:val="Textonotapie"/>
        <w:rPr>
          <w:rFonts w:ascii="Arial" w:hAnsi="Arial" w:cs="Arial"/>
          <w:lang w:val="es-ES_tradnl"/>
        </w:rPr>
      </w:pPr>
      <w:r w:rsidRPr="00442D1D">
        <w:rPr>
          <w:rStyle w:val="Refdenotaalpie"/>
          <w:rFonts w:ascii="Arial" w:hAnsi="Arial" w:cs="Arial"/>
        </w:rPr>
        <w:footnoteRef/>
      </w:r>
      <w:r w:rsidRPr="00442D1D">
        <w:rPr>
          <w:rFonts w:ascii="Arial" w:hAnsi="Arial" w:cs="Arial"/>
        </w:rPr>
        <w:t xml:space="preserve"> </w:t>
      </w:r>
      <w:r w:rsidRPr="00442D1D">
        <w:rPr>
          <w:rFonts w:ascii="Arial" w:hAnsi="Arial" w:cs="Arial"/>
          <w:lang w:val="es-ES_tradnl"/>
        </w:rPr>
        <w:t xml:space="preserve">Fls. 525 – </w:t>
      </w:r>
      <w:smartTag w:uri="urn:schemas-microsoft-com:office:smarttags" w:element="metricconverter">
        <w:smartTagPr>
          <w:attr w:name="ProductID" w:val="528 C"/>
        </w:smartTagPr>
        <w:r w:rsidRPr="00442D1D">
          <w:rPr>
            <w:rFonts w:ascii="Arial" w:hAnsi="Arial" w:cs="Arial"/>
            <w:lang w:val="es-ES_tradnl"/>
          </w:rPr>
          <w:t>528 C</w:t>
        </w:r>
      </w:smartTag>
      <w:r w:rsidRPr="00442D1D">
        <w:rPr>
          <w:rFonts w:ascii="Arial" w:hAnsi="Arial" w:cs="Arial"/>
          <w:lang w:val="es-ES_tradnl"/>
        </w:rPr>
        <w:t>. Ppal</w:t>
      </w:r>
    </w:p>
  </w:footnote>
  <w:footnote w:id="8">
    <w:p w14:paraId="4CB6F363" w14:textId="77777777" w:rsidR="00E50FF4" w:rsidRPr="00173472" w:rsidRDefault="00E50FF4" w:rsidP="00E50FF4">
      <w:pPr>
        <w:pStyle w:val="Textonotapie"/>
        <w:jc w:val="both"/>
        <w:rPr>
          <w:rFonts w:ascii="Arial" w:hAnsi="Arial" w:cs="Arial"/>
          <w:lang w:val="es-CO"/>
        </w:rPr>
      </w:pPr>
      <w:r w:rsidRPr="00173472">
        <w:rPr>
          <w:rStyle w:val="Refdenotaalpie"/>
          <w:rFonts w:ascii="Arial" w:hAnsi="Arial" w:cs="Arial"/>
        </w:rPr>
        <w:footnoteRef/>
      </w:r>
      <w:r w:rsidRPr="00173472">
        <w:rPr>
          <w:rFonts w:ascii="Arial" w:hAnsi="Arial" w:cs="Arial"/>
        </w:rPr>
        <w:t xml:space="preserve"> </w:t>
      </w:r>
      <w:r w:rsidRPr="00173472">
        <w:rPr>
          <w:rFonts w:ascii="Arial" w:hAnsi="Arial" w:cs="Arial"/>
          <w:lang w:val="es-CO"/>
        </w:rPr>
        <w:t>Consejo de Estado, Sala de lo Contencioso Administrativo, Sección Tercera, Subsección C, sentencia del 24 de julio de 2013; Expediente 23136.Consejo de Estado, Sala de lo Contencioso Administrativo, Sección Tercera, Subsección C, sentencia del 30 de enero de 2013, Expediente 23136.</w:t>
      </w:r>
    </w:p>
  </w:footnote>
  <w:footnote w:id="9">
    <w:p w14:paraId="21A40378" w14:textId="77777777" w:rsidR="00E50FF4" w:rsidRPr="004D2280" w:rsidRDefault="00E50FF4" w:rsidP="00E50FF4">
      <w:pPr>
        <w:pStyle w:val="Textonotapie"/>
        <w:jc w:val="both"/>
        <w:rPr>
          <w:rFonts w:ascii="Arial" w:hAnsi="Arial" w:cs="Arial"/>
        </w:rPr>
      </w:pPr>
      <w:r w:rsidRPr="004D2280">
        <w:rPr>
          <w:rStyle w:val="Refdenotaalpie"/>
          <w:rFonts w:ascii="Arial" w:hAnsi="Arial" w:cs="Arial"/>
        </w:rPr>
        <w:footnoteRef/>
      </w:r>
      <w:r w:rsidRPr="004D2280">
        <w:rPr>
          <w:rFonts w:ascii="Arial" w:hAnsi="Arial" w:cs="Arial"/>
        </w:rPr>
        <w:t xml:space="preserve"> Fl. </w:t>
      </w:r>
      <w:smartTag w:uri="urn:schemas-microsoft-com:office:smarttags" w:element="metricconverter">
        <w:smartTagPr>
          <w:attr w:name="ProductID" w:val="133 C"/>
        </w:smartTagPr>
        <w:r w:rsidRPr="004D2280">
          <w:rPr>
            <w:rFonts w:ascii="Arial" w:hAnsi="Arial" w:cs="Arial"/>
          </w:rPr>
          <w:t>133 C</w:t>
        </w:r>
      </w:smartTag>
      <w:r w:rsidRPr="004D2280">
        <w:rPr>
          <w:rFonts w:ascii="Arial" w:hAnsi="Arial" w:cs="Arial"/>
        </w:rPr>
        <w:t>. 1</w:t>
      </w:r>
    </w:p>
  </w:footnote>
  <w:footnote w:id="10">
    <w:p w14:paraId="2C25D8A7" w14:textId="77777777" w:rsidR="00E50FF4" w:rsidRPr="00E50AE3" w:rsidRDefault="00E50FF4" w:rsidP="00E50FF4">
      <w:pPr>
        <w:pStyle w:val="Textonotapie"/>
        <w:jc w:val="both"/>
        <w:rPr>
          <w:rFonts w:ascii="Arial" w:hAnsi="Arial"/>
          <w:lang w:val="es-CO"/>
        </w:rPr>
      </w:pPr>
      <w:r w:rsidRPr="00A52BA3">
        <w:rPr>
          <w:rStyle w:val="Refdenotaalpie"/>
          <w:rFonts w:ascii="Arial" w:hAnsi="Arial" w:cs="Arial"/>
        </w:rPr>
        <w:footnoteRef/>
      </w:r>
      <w:r w:rsidRPr="00A52BA3">
        <w:rPr>
          <w:rFonts w:ascii="Arial" w:hAnsi="Arial" w:cs="Arial"/>
        </w:rPr>
        <w:t xml:space="preserve"> </w:t>
      </w:r>
      <w:r w:rsidRPr="00A52BA3">
        <w:rPr>
          <w:rFonts w:ascii="Arial" w:hAnsi="Arial" w:cs="Arial"/>
          <w:lang w:val="es-CO"/>
        </w:rPr>
        <w:t xml:space="preserve">Fls. </w:t>
      </w:r>
      <w:smartTag w:uri="urn:schemas-microsoft-com:office:smarttags" w:element="metricconverter">
        <w:smartTagPr>
          <w:attr w:name="ProductID" w:val="2 a"/>
        </w:smartTagPr>
        <w:r w:rsidRPr="00A52BA3">
          <w:rPr>
            <w:rFonts w:ascii="Arial" w:hAnsi="Arial" w:cs="Arial"/>
            <w:lang w:val="es-CO"/>
          </w:rPr>
          <w:t>2 a</w:t>
        </w:r>
      </w:smartTag>
      <w:r w:rsidRPr="00A52BA3">
        <w:rPr>
          <w:rFonts w:ascii="Arial" w:hAnsi="Arial" w:cs="Arial"/>
          <w:lang w:val="es-CO"/>
        </w:rPr>
        <w:t xml:space="preserve"> 28 del</w:t>
      </w:r>
      <w:r w:rsidRPr="00E50AE3">
        <w:rPr>
          <w:rFonts w:ascii="Arial" w:hAnsi="Arial"/>
          <w:lang w:val="es-CO"/>
        </w:rPr>
        <w:t xml:space="preserve"> C.1. </w:t>
      </w:r>
    </w:p>
  </w:footnote>
  <w:footnote w:id="11">
    <w:p w14:paraId="42F55223" w14:textId="77777777" w:rsidR="00E50FF4" w:rsidRPr="00A52BA3" w:rsidRDefault="00E50FF4" w:rsidP="00E50FF4">
      <w:pPr>
        <w:pStyle w:val="Textonotapie"/>
        <w:rPr>
          <w:rFonts w:ascii="Arial" w:hAnsi="Arial" w:cs="Arial"/>
          <w:lang w:val="es-CO"/>
        </w:rPr>
      </w:pPr>
      <w:r w:rsidRPr="00A52BA3">
        <w:rPr>
          <w:rStyle w:val="Refdenotaalpie"/>
          <w:rFonts w:ascii="Arial" w:hAnsi="Arial" w:cs="Arial"/>
        </w:rPr>
        <w:footnoteRef/>
      </w:r>
      <w:r w:rsidRPr="00A52BA3">
        <w:rPr>
          <w:rFonts w:ascii="Arial" w:hAnsi="Arial" w:cs="Arial"/>
        </w:rPr>
        <w:t xml:space="preserve"> </w:t>
      </w:r>
      <w:r w:rsidRPr="00A52BA3">
        <w:rPr>
          <w:rFonts w:ascii="Arial" w:hAnsi="Arial" w:cs="Arial"/>
          <w:lang w:val="es-CO"/>
        </w:rPr>
        <w:t xml:space="preserve">Fl.451 C.2.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89A"/>
    <w:multiLevelType w:val="hybridMultilevel"/>
    <w:tmpl w:val="5802C562"/>
    <w:lvl w:ilvl="0" w:tplc="C1C43638">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7602A3"/>
    <w:multiLevelType w:val="hybridMultilevel"/>
    <w:tmpl w:val="3FB6B12A"/>
    <w:lvl w:ilvl="0" w:tplc="3B76A5F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853B52"/>
    <w:multiLevelType w:val="multilevel"/>
    <w:tmpl w:val="4F2E202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E7"/>
    <w:rsid w:val="000113A0"/>
    <w:rsid w:val="00013242"/>
    <w:rsid w:val="000166AE"/>
    <w:rsid w:val="0002182A"/>
    <w:rsid w:val="00026577"/>
    <w:rsid w:val="00030E00"/>
    <w:rsid w:val="00037B7E"/>
    <w:rsid w:val="000413F0"/>
    <w:rsid w:val="00041B8A"/>
    <w:rsid w:val="00043371"/>
    <w:rsid w:val="00051874"/>
    <w:rsid w:val="00055461"/>
    <w:rsid w:val="00056772"/>
    <w:rsid w:val="00064B98"/>
    <w:rsid w:val="000701D6"/>
    <w:rsid w:val="000759B0"/>
    <w:rsid w:val="00077F65"/>
    <w:rsid w:val="000804B0"/>
    <w:rsid w:val="00081625"/>
    <w:rsid w:val="00081B91"/>
    <w:rsid w:val="00084991"/>
    <w:rsid w:val="00086416"/>
    <w:rsid w:val="000867C7"/>
    <w:rsid w:val="00092A33"/>
    <w:rsid w:val="00092BE1"/>
    <w:rsid w:val="000A2716"/>
    <w:rsid w:val="000A47B2"/>
    <w:rsid w:val="000B1FDA"/>
    <w:rsid w:val="000B2692"/>
    <w:rsid w:val="000B2F2E"/>
    <w:rsid w:val="000C133E"/>
    <w:rsid w:val="000C52D9"/>
    <w:rsid w:val="000D2709"/>
    <w:rsid w:val="000D2E2E"/>
    <w:rsid w:val="000D4F19"/>
    <w:rsid w:val="000D5C5B"/>
    <w:rsid w:val="000D5FC6"/>
    <w:rsid w:val="000D7067"/>
    <w:rsid w:val="000D76A4"/>
    <w:rsid w:val="000F22A1"/>
    <w:rsid w:val="000F2D3B"/>
    <w:rsid w:val="000F3FA8"/>
    <w:rsid w:val="000F55C2"/>
    <w:rsid w:val="000F79C8"/>
    <w:rsid w:val="00101E66"/>
    <w:rsid w:val="001073CF"/>
    <w:rsid w:val="0011061E"/>
    <w:rsid w:val="00111228"/>
    <w:rsid w:val="0011128D"/>
    <w:rsid w:val="00113521"/>
    <w:rsid w:val="001138FF"/>
    <w:rsid w:val="00115708"/>
    <w:rsid w:val="00115824"/>
    <w:rsid w:val="00115932"/>
    <w:rsid w:val="00121B42"/>
    <w:rsid w:val="00124B9C"/>
    <w:rsid w:val="00126BE7"/>
    <w:rsid w:val="001308CD"/>
    <w:rsid w:val="00130E55"/>
    <w:rsid w:val="001327B9"/>
    <w:rsid w:val="00132BB6"/>
    <w:rsid w:val="00136656"/>
    <w:rsid w:val="00137EB6"/>
    <w:rsid w:val="001431BB"/>
    <w:rsid w:val="0014431B"/>
    <w:rsid w:val="00151DCD"/>
    <w:rsid w:val="00154539"/>
    <w:rsid w:val="00163A19"/>
    <w:rsid w:val="00170094"/>
    <w:rsid w:val="001709E9"/>
    <w:rsid w:val="00172275"/>
    <w:rsid w:val="00173419"/>
    <w:rsid w:val="0017523B"/>
    <w:rsid w:val="00181123"/>
    <w:rsid w:val="001910C5"/>
    <w:rsid w:val="00191E8C"/>
    <w:rsid w:val="0019657C"/>
    <w:rsid w:val="00196EBB"/>
    <w:rsid w:val="001A1F45"/>
    <w:rsid w:val="001A53BA"/>
    <w:rsid w:val="001A5FBD"/>
    <w:rsid w:val="001A7C7F"/>
    <w:rsid w:val="001B1309"/>
    <w:rsid w:val="001B2636"/>
    <w:rsid w:val="001B4D1E"/>
    <w:rsid w:val="001B6B06"/>
    <w:rsid w:val="001C04DB"/>
    <w:rsid w:val="001C09E2"/>
    <w:rsid w:val="001C4F32"/>
    <w:rsid w:val="001C7090"/>
    <w:rsid w:val="001D6F3F"/>
    <w:rsid w:val="001E0175"/>
    <w:rsid w:val="001F6D0B"/>
    <w:rsid w:val="001F7E56"/>
    <w:rsid w:val="00202F15"/>
    <w:rsid w:val="0020319D"/>
    <w:rsid w:val="00203B58"/>
    <w:rsid w:val="002078E3"/>
    <w:rsid w:val="00207D9F"/>
    <w:rsid w:val="002102E5"/>
    <w:rsid w:val="00213374"/>
    <w:rsid w:val="0021497E"/>
    <w:rsid w:val="00216AA8"/>
    <w:rsid w:val="00222592"/>
    <w:rsid w:val="002321C7"/>
    <w:rsid w:val="00232347"/>
    <w:rsid w:val="002430CB"/>
    <w:rsid w:val="00244F5C"/>
    <w:rsid w:val="0024516E"/>
    <w:rsid w:val="00245CA6"/>
    <w:rsid w:val="00252DD9"/>
    <w:rsid w:val="00255E08"/>
    <w:rsid w:val="00257961"/>
    <w:rsid w:val="00260693"/>
    <w:rsid w:val="0026421F"/>
    <w:rsid w:val="00266211"/>
    <w:rsid w:val="00266D8D"/>
    <w:rsid w:val="00273829"/>
    <w:rsid w:val="00275E8D"/>
    <w:rsid w:val="0028515A"/>
    <w:rsid w:val="0028645E"/>
    <w:rsid w:val="00287F00"/>
    <w:rsid w:val="00296933"/>
    <w:rsid w:val="00296CF0"/>
    <w:rsid w:val="002A30F2"/>
    <w:rsid w:val="002A36B0"/>
    <w:rsid w:val="002A4807"/>
    <w:rsid w:val="002A535D"/>
    <w:rsid w:val="002A5440"/>
    <w:rsid w:val="002A5DF7"/>
    <w:rsid w:val="002A6D45"/>
    <w:rsid w:val="002A7A4E"/>
    <w:rsid w:val="002B04A0"/>
    <w:rsid w:val="002B1D87"/>
    <w:rsid w:val="002B4B36"/>
    <w:rsid w:val="002B54A1"/>
    <w:rsid w:val="002B66C8"/>
    <w:rsid w:val="002C1659"/>
    <w:rsid w:val="002C2E45"/>
    <w:rsid w:val="002C2EC9"/>
    <w:rsid w:val="002C2FA2"/>
    <w:rsid w:val="002C6CED"/>
    <w:rsid w:val="002C6F47"/>
    <w:rsid w:val="002D18B9"/>
    <w:rsid w:val="002D2B72"/>
    <w:rsid w:val="002D2E12"/>
    <w:rsid w:val="002D3606"/>
    <w:rsid w:val="002D397A"/>
    <w:rsid w:val="002D3E4E"/>
    <w:rsid w:val="002D5316"/>
    <w:rsid w:val="002D60C5"/>
    <w:rsid w:val="002E0B8D"/>
    <w:rsid w:val="002E3C6E"/>
    <w:rsid w:val="002E4379"/>
    <w:rsid w:val="002E7AE5"/>
    <w:rsid w:val="002F0BAA"/>
    <w:rsid w:val="003061A0"/>
    <w:rsid w:val="00306A19"/>
    <w:rsid w:val="00311439"/>
    <w:rsid w:val="00313472"/>
    <w:rsid w:val="0033086A"/>
    <w:rsid w:val="003338DC"/>
    <w:rsid w:val="00335771"/>
    <w:rsid w:val="0034438F"/>
    <w:rsid w:val="00345695"/>
    <w:rsid w:val="003501A1"/>
    <w:rsid w:val="00351777"/>
    <w:rsid w:val="00360DBB"/>
    <w:rsid w:val="00361517"/>
    <w:rsid w:val="00361CC9"/>
    <w:rsid w:val="0038274C"/>
    <w:rsid w:val="00383260"/>
    <w:rsid w:val="00383C12"/>
    <w:rsid w:val="00385482"/>
    <w:rsid w:val="0039062E"/>
    <w:rsid w:val="00390AAB"/>
    <w:rsid w:val="003A0646"/>
    <w:rsid w:val="003A11F2"/>
    <w:rsid w:val="003A1A62"/>
    <w:rsid w:val="003A3631"/>
    <w:rsid w:val="003A4986"/>
    <w:rsid w:val="003A73E0"/>
    <w:rsid w:val="003B0232"/>
    <w:rsid w:val="003B0484"/>
    <w:rsid w:val="003B1554"/>
    <w:rsid w:val="003B4168"/>
    <w:rsid w:val="003B7200"/>
    <w:rsid w:val="003C2136"/>
    <w:rsid w:val="003C2F01"/>
    <w:rsid w:val="003C6214"/>
    <w:rsid w:val="003D2884"/>
    <w:rsid w:val="003D52F3"/>
    <w:rsid w:val="003D77B3"/>
    <w:rsid w:val="003E3A8B"/>
    <w:rsid w:val="003E4BA4"/>
    <w:rsid w:val="003E63CE"/>
    <w:rsid w:val="003F02B3"/>
    <w:rsid w:val="003F0D1C"/>
    <w:rsid w:val="003F58E4"/>
    <w:rsid w:val="003F5B7B"/>
    <w:rsid w:val="003F6AF3"/>
    <w:rsid w:val="0040247D"/>
    <w:rsid w:val="00407272"/>
    <w:rsid w:val="00411B79"/>
    <w:rsid w:val="004127F6"/>
    <w:rsid w:val="0041460D"/>
    <w:rsid w:val="00425D8F"/>
    <w:rsid w:val="0042705B"/>
    <w:rsid w:val="00450FC9"/>
    <w:rsid w:val="00452F72"/>
    <w:rsid w:val="00453714"/>
    <w:rsid w:val="00453C4D"/>
    <w:rsid w:val="004557DD"/>
    <w:rsid w:val="00464210"/>
    <w:rsid w:val="00467F44"/>
    <w:rsid w:val="00470B19"/>
    <w:rsid w:val="00472AE0"/>
    <w:rsid w:val="0047354C"/>
    <w:rsid w:val="004763D7"/>
    <w:rsid w:val="00480088"/>
    <w:rsid w:val="00480AFE"/>
    <w:rsid w:val="004859A4"/>
    <w:rsid w:val="00492597"/>
    <w:rsid w:val="0049352D"/>
    <w:rsid w:val="00494037"/>
    <w:rsid w:val="004949A0"/>
    <w:rsid w:val="004A2B05"/>
    <w:rsid w:val="004A581F"/>
    <w:rsid w:val="004A5C94"/>
    <w:rsid w:val="004A6FE3"/>
    <w:rsid w:val="004A71E7"/>
    <w:rsid w:val="004B23BF"/>
    <w:rsid w:val="004B2720"/>
    <w:rsid w:val="004B3D99"/>
    <w:rsid w:val="004C0398"/>
    <w:rsid w:val="004C0E1B"/>
    <w:rsid w:val="004C4A85"/>
    <w:rsid w:val="004C6066"/>
    <w:rsid w:val="004D69EE"/>
    <w:rsid w:val="004D7C91"/>
    <w:rsid w:val="004E0B0E"/>
    <w:rsid w:val="004E3352"/>
    <w:rsid w:val="004E6AC1"/>
    <w:rsid w:val="004E72A0"/>
    <w:rsid w:val="004E7500"/>
    <w:rsid w:val="004F2DCD"/>
    <w:rsid w:val="004F53B3"/>
    <w:rsid w:val="004F5B5A"/>
    <w:rsid w:val="00500BD4"/>
    <w:rsid w:val="00505F94"/>
    <w:rsid w:val="00510325"/>
    <w:rsid w:val="00512E14"/>
    <w:rsid w:val="00512F92"/>
    <w:rsid w:val="00515295"/>
    <w:rsid w:val="005233BD"/>
    <w:rsid w:val="00523926"/>
    <w:rsid w:val="005261AA"/>
    <w:rsid w:val="005308DE"/>
    <w:rsid w:val="00532DB0"/>
    <w:rsid w:val="00536311"/>
    <w:rsid w:val="00540398"/>
    <w:rsid w:val="00541066"/>
    <w:rsid w:val="00541775"/>
    <w:rsid w:val="00545EC0"/>
    <w:rsid w:val="00547D0E"/>
    <w:rsid w:val="00550312"/>
    <w:rsid w:val="005541D6"/>
    <w:rsid w:val="00555664"/>
    <w:rsid w:val="00557169"/>
    <w:rsid w:val="00557CEE"/>
    <w:rsid w:val="00561C67"/>
    <w:rsid w:val="005656BA"/>
    <w:rsid w:val="005668C1"/>
    <w:rsid w:val="005669AC"/>
    <w:rsid w:val="0057155A"/>
    <w:rsid w:val="00572B70"/>
    <w:rsid w:val="00575C57"/>
    <w:rsid w:val="00576BAC"/>
    <w:rsid w:val="00576CDC"/>
    <w:rsid w:val="00587E13"/>
    <w:rsid w:val="00591066"/>
    <w:rsid w:val="00595D6D"/>
    <w:rsid w:val="005A1161"/>
    <w:rsid w:val="005A356F"/>
    <w:rsid w:val="005A6C16"/>
    <w:rsid w:val="005B2311"/>
    <w:rsid w:val="005B2400"/>
    <w:rsid w:val="005B67A2"/>
    <w:rsid w:val="005C1B45"/>
    <w:rsid w:val="005C3EF3"/>
    <w:rsid w:val="005C7503"/>
    <w:rsid w:val="005C7BDC"/>
    <w:rsid w:val="005D5567"/>
    <w:rsid w:val="005D6741"/>
    <w:rsid w:val="005D7DD6"/>
    <w:rsid w:val="005E18C1"/>
    <w:rsid w:val="005E2CA9"/>
    <w:rsid w:val="005E452C"/>
    <w:rsid w:val="005E47B2"/>
    <w:rsid w:val="005E54EA"/>
    <w:rsid w:val="005E6E0E"/>
    <w:rsid w:val="005F087F"/>
    <w:rsid w:val="005F13BB"/>
    <w:rsid w:val="006006CF"/>
    <w:rsid w:val="006065BE"/>
    <w:rsid w:val="006112F1"/>
    <w:rsid w:val="00612F3E"/>
    <w:rsid w:val="00615DDD"/>
    <w:rsid w:val="006178B6"/>
    <w:rsid w:val="00622FEE"/>
    <w:rsid w:val="00624D68"/>
    <w:rsid w:val="00630018"/>
    <w:rsid w:val="00630E86"/>
    <w:rsid w:val="00632877"/>
    <w:rsid w:val="00633C60"/>
    <w:rsid w:val="00637E93"/>
    <w:rsid w:val="00640CAF"/>
    <w:rsid w:val="00641994"/>
    <w:rsid w:val="00642EAE"/>
    <w:rsid w:val="00644E68"/>
    <w:rsid w:val="00653164"/>
    <w:rsid w:val="0065406C"/>
    <w:rsid w:val="0066093F"/>
    <w:rsid w:val="00682535"/>
    <w:rsid w:val="00686755"/>
    <w:rsid w:val="006905DF"/>
    <w:rsid w:val="006917F9"/>
    <w:rsid w:val="00694D6E"/>
    <w:rsid w:val="006952BC"/>
    <w:rsid w:val="0069720A"/>
    <w:rsid w:val="006B0AAA"/>
    <w:rsid w:val="006B2F5D"/>
    <w:rsid w:val="006B5BA2"/>
    <w:rsid w:val="006C1327"/>
    <w:rsid w:val="006C7175"/>
    <w:rsid w:val="006C7747"/>
    <w:rsid w:val="006D5123"/>
    <w:rsid w:val="006D7E34"/>
    <w:rsid w:val="006E09D5"/>
    <w:rsid w:val="006E2216"/>
    <w:rsid w:val="006E2A5F"/>
    <w:rsid w:val="006E686D"/>
    <w:rsid w:val="006F0130"/>
    <w:rsid w:val="006F13E5"/>
    <w:rsid w:val="006F6F0B"/>
    <w:rsid w:val="00700249"/>
    <w:rsid w:val="00702689"/>
    <w:rsid w:val="00703FDB"/>
    <w:rsid w:val="0070415D"/>
    <w:rsid w:val="00707343"/>
    <w:rsid w:val="00711839"/>
    <w:rsid w:val="00716A6F"/>
    <w:rsid w:val="007229BB"/>
    <w:rsid w:val="00724EF7"/>
    <w:rsid w:val="00732D41"/>
    <w:rsid w:val="00737811"/>
    <w:rsid w:val="00746F04"/>
    <w:rsid w:val="007561AC"/>
    <w:rsid w:val="00770E20"/>
    <w:rsid w:val="00776184"/>
    <w:rsid w:val="007855EF"/>
    <w:rsid w:val="00790455"/>
    <w:rsid w:val="00793057"/>
    <w:rsid w:val="00795580"/>
    <w:rsid w:val="007A2263"/>
    <w:rsid w:val="007A2BEF"/>
    <w:rsid w:val="007A5664"/>
    <w:rsid w:val="007B0CE1"/>
    <w:rsid w:val="007B22B8"/>
    <w:rsid w:val="007C1A70"/>
    <w:rsid w:val="007D13FB"/>
    <w:rsid w:val="007D24E7"/>
    <w:rsid w:val="007D78DB"/>
    <w:rsid w:val="007E1383"/>
    <w:rsid w:val="007E4E2F"/>
    <w:rsid w:val="007E7B5E"/>
    <w:rsid w:val="007F17E9"/>
    <w:rsid w:val="007F567F"/>
    <w:rsid w:val="00800BBC"/>
    <w:rsid w:val="00806E42"/>
    <w:rsid w:val="0081114D"/>
    <w:rsid w:val="0081155F"/>
    <w:rsid w:val="00811BA8"/>
    <w:rsid w:val="00812EC2"/>
    <w:rsid w:val="0081496E"/>
    <w:rsid w:val="008154BF"/>
    <w:rsid w:val="00816FA4"/>
    <w:rsid w:val="0082086E"/>
    <w:rsid w:val="008211FB"/>
    <w:rsid w:val="00821F6A"/>
    <w:rsid w:val="0082314C"/>
    <w:rsid w:val="00834452"/>
    <w:rsid w:val="0083537F"/>
    <w:rsid w:val="00835D74"/>
    <w:rsid w:val="00837041"/>
    <w:rsid w:val="00837B36"/>
    <w:rsid w:val="00837D2C"/>
    <w:rsid w:val="00852A09"/>
    <w:rsid w:val="008603CD"/>
    <w:rsid w:val="00860900"/>
    <w:rsid w:val="00865E14"/>
    <w:rsid w:val="008670D8"/>
    <w:rsid w:val="0088187E"/>
    <w:rsid w:val="00881C6D"/>
    <w:rsid w:val="00881D3F"/>
    <w:rsid w:val="00883D06"/>
    <w:rsid w:val="00884AEE"/>
    <w:rsid w:val="00887556"/>
    <w:rsid w:val="008901A4"/>
    <w:rsid w:val="008931BB"/>
    <w:rsid w:val="0089336A"/>
    <w:rsid w:val="00895C52"/>
    <w:rsid w:val="008A16B7"/>
    <w:rsid w:val="008B382A"/>
    <w:rsid w:val="008C47BC"/>
    <w:rsid w:val="008D0AF0"/>
    <w:rsid w:val="008D31E0"/>
    <w:rsid w:val="008D4D46"/>
    <w:rsid w:val="008E3E70"/>
    <w:rsid w:val="008F113E"/>
    <w:rsid w:val="008F5C44"/>
    <w:rsid w:val="009009C7"/>
    <w:rsid w:val="00903C6B"/>
    <w:rsid w:val="00904BE7"/>
    <w:rsid w:val="00916207"/>
    <w:rsid w:val="00920B66"/>
    <w:rsid w:val="00922936"/>
    <w:rsid w:val="00923338"/>
    <w:rsid w:val="0092563E"/>
    <w:rsid w:val="00931513"/>
    <w:rsid w:val="00934FA7"/>
    <w:rsid w:val="00936E03"/>
    <w:rsid w:val="009403F7"/>
    <w:rsid w:val="00940EE1"/>
    <w:rsid w:val="0094584D"/>
    <w:rsid w:val="00947ECA"/>
    <w:rsid w:val="00961686"/>
    <w:rsid w:val="00963836"/>
    <w:rsid w:val="00963B4A"/>
    <w:rsid w:val="0096646B"/>
    <w:rsid w:val="009702C4"/>
    <w:rsid w:val="00970C91"/>
    <w:rsid w:val="00970D57"/>
    <w:rsid w:val="009762A8"/>
    <w:rsid w:val="00985823"/>
    <w:rsid w:val="00986707"/>
    <w:rsid w:val="00986CA0"/>
    <w:rsid w:val="009905E4"/>
    <w:rsid w:val="00993316"/>
    <w:rsid w:val="00993C23"/>
    <w:rsid w:val="009966D2"/>
    <w:rsid w:val="0099758D"/>
    <w:rsid w:val="009A016D"/>
    <w:rsid w:val="009A0B60"/>
    <w:rsid w:val="009A10C1"/>
    <w:rsid w:val="009A2319"/>
    <w:rsid w:val="009A4E0D"/>
    <w:rsid w:val="009B18AE"/>
    <w:rsid w:val="009B63D5"/>
    <w:rsid w:val="009C650C"/>
    <w:rsid w:val="009D5483"/>
    <w:rsid w:val="009E4175"/>
    <w:rsid w:val="009E67E6"/>
    <w:rsid w:val="009E68CE"/>
    <w:rsid w:val="009E691A"/>
    <w:rsid w:val="009F2D44"/>
    <w:rsid w:val="00A0680F"/>
    <w:rsid w:val="00A177AF"/>
    <w:rsid w:val="00A2545D"/>
    <w:rsid w:val="00A2745F"/>
    <w:rsid w:val="00A31304"/>
    <w:rsid w:val="00A318DC"/>
    <w:rsid w:val="00A33189"/>
    <w:rsid w:val="00A40ACF"/>
    <w:rsid w:val="00A40D2C"/>
    <w:rsid w:val="00A438B8"/>
    <w:rsid w:val="00A4735F"/>
    <w:rsid w:val="00A513FA"/>
    <w:rsid w:val="00A533ED"/>
    <w:rsid w:val="00A5517F"/>
    <w:rsid w:val="00A607E4"/>
    <w:rsid w:val="00A60CBA"/>
    <w:rsid w:val="00A650E3"/>
    <w:rsid w:val="00A65DAC"/>
    <w:rsid w:val="00A7091C"/>
    <w:rsid w:val="00A712F0"/>
    <w:rsid w:val="00A72335"/>
    <w:rsid w:val="00A734C6"/>
    <w:rsid w:val="00A75DB3"/>
    <w:rsid w:val="00A76DFE"/>
    <w:rsid w:val="00A81260"/>
    <w:rsid w:val="00A8409A"/>
    <w:rsid w:val="00A84EA6"/>
    <w:rsid w:val="00A94046"/>
    <w:rsid w:val="00A9787C"/>
    <w:rsid w:val="00AA0AE4"/>
    <w:rsid w:val="00AA128A"/>
    <w:rsid w:val="00AA2C47"/>
    <w:rsid w:val="00AB7D49"/>
    <w:rsid w:val="00AC4020"/>
    <w:rsid w:val="00AC457A"/>
    <w:rsid w:val="00AD09FE"/>
    <w:rsid w:val="00AD2C98"/>
    <w:rsid w:val="00AD370D"/>
    <w:rsid w:val="00AD3AB5"/>
    <w:rsid w:val="00AD5368"/>
    <w:rsid w:val="00AE0F53"/>
    <w:rsid w:val="00AE2BD6"/>
    <w:rsid w:val="00AF0B20"/>
    <w:rsid w:val="00AF0CCC"/>
    <w:rsid w:val="00AF1CDB"/>
    <w:rsid w:val="00AF568B"/>
    <w:rsid w:val="00AF5800"/>
    <w:rsid w:val="00B029EF"/>
    <w:rsid w:val="00B03BBE"/>
    <w:rsid w:val="00B10AF7"/>
    <w:rsid w:val="00B13131"/>
    <w:rsid w:val="00B141CA"/>
    <w:rsid w:val="00B16162"/>
    <w:rsid w:val="00B2075C"/>
    <w:rsid w:val="00B22132"/>
    <w:rsid w:val="00B231F9"/>
    <w:rsid w:val="00B23A45"/>
    <w:rsid w:val="00B24111"/>
    <w:rsid w:val="00B26F13"/>
    <w:rsid w:val="00B2733C"/>
    <w:rsid w:val="00B3286D"/>
    <w:rsid w:val="00B40009"/>
    <w:rsid w:val="00B41008"/>
    <w:rsid w:val="00B574C5"/>
    <w:rsid w:val="00B61044"/>
    <w:rsid w:val="00B61CDB"/>
    <w:rsid w:val="00B64B54"/>
    <w:rsid w:val="00B71269"/>
    <w:rsid w:val="00B73316"/>
    <w:rsid w:val="00B77482"/>
    <w:rsid w:val="00B77D59"/>
    <w:rsid w:val="00B819BD"/>
    <w:rsid w:val="00B8291D"/>
    <w:rsid w:val="00B86A6E"/>
    <w:rsid w:val="00BA0D91"/>
    <w:rsid w:val="00BA5632"/>
    <w:rsid w:val="00BA672C"/>
    <w:rsid w:val="00BA76E1"/>
    <w:rsid w:val="00BB540C"/>
    <w:rsid w:val="00BB5646"/>
    <w:rsid w:val="00BB78F6"/>
    <w:rsid w:val="00BC14C3"/>
    <w:rsid w:val="00BC5212"/>
    <w:rsid w:val="00BD521F"/>
    <w:rsid w:val="00BD5435"/>
    <w:rsid w:val="00BE2223"/>
    <w:rsid w:val="00BE3DE0"/>
    <w:rsid w:val="00BE446F"/>
    <w:rsid w:val="00BE49FE"/>
    <w:rsid w:val="00BE6207"/>
    <w:rsid w:val="00BE6F11"/>
    <w:rsid w:val="00BE713B"/>
    <w:rsid w:val="00BE79D9"/>
    <w:rsid w:val="00BF21C5"/>
    <w:rsid w:val="00BF636D"/>
    <w:rsid w:val="00BF68B3"/>
    <w:rsid w:val="00C016A6"/>
    <w:rsid w:val="00C028D0"/>
    <w:rsid w:val="00C033FB"/>
    <w:rsid w:val="00C042DB"/>
    <w:rsid w:val="00C051F0"/>
    <w:rsid w:val="00C0681A"/>
    <w:rsid w:val="00C06827"/>
    <w:rsid w:val="00C16C1B"/>
    <w:rsid w:val="00C17D32"/>
    <w:rsid w:val="00C21D7D"/>
    <w:rsid w:val="00C3356C"/>
    <w:rsid w:val="00C37444"/>
    <w:rsid w:val="00C54E85"/>
    <w:rsid w:val="00C55881"/>
    <w:rsid w:val="00C579C2"/>
    <w:rsid w:val="00C6012F"/>
    <w:rsid w:val="00C60956"/>
    <w:rsid w:val="00C62CF3"/>
    <w:rsid w:val="00C64913"/>
    <w:rsid w:val="00C65C4A"/>
    <w:rsid w:val="00C708D3"/>
    <w:rsid w:val="00C7672D"/>
    <w:rsid w:val="00C926BD"/>
    <w:rsid w:val="00CA0F3D"/>
    <w:rsid w:val="00CA28B1"/>
    <w:rsid w:val="00CA48E6"/>
    <w:rsid w:val="00CA52E3"/>
    <w:rsid w:val="00CB7724"/>
    <w:rsid w:val="00CB7C0B"/>
    <w:rsid w:val="00CC1FA0"/>
    <w:rsid w:val="00CD3D77"/>
    <w:rsid w:val="00CE097E"/>
    <w:rsid w:val="00CE4AA2"/>
    <w:rsid w:val="00CE5215"/>
    <w:rsid w:val="00CE52B4"/>
    <w:rsid w:val="00CE6449"/>
    <w:rsid w:val="00CF2046"/>
    <w:rsid w:val="00CF2468"/>
    <w:rsid w:val="00CF2A82"/>
    <w:rsid w:val="00CF7F9C"/>
    <w:rsid w:val="00D02029"/>
    <w:rsid w:val="00D075AD"/>
    <w:rsid w:val="00D12829"/>
    <w:rsid w:val="00D20D6A"/>
    <w:rsid w:val="00D22E64"/>
    <w:rsid w:val="00D2692A"/>
    <w:rsid w:val="00D27BFA"/>
    <w:rsid w:val="00D33BDE"/>
    <w:rsid w:val="00D37C4F"/>
    <w:rsid w:val="00D43676"/>
    <w:rsid w:val="00D43B86"/>
    <w:rsid w:val="00D4591C"/>
    <w:rsid w:val="00D45DF9"/>
    <w:rsid w:val="00D46826"/>
    <w:rsid w:val="00D53B2E"/>
    <w:rsid w:val="00D541BB"/>
    <w:rsid w:val="00D56AFE"/>
    <w:rsid w:val="00D61126"/>
    <w:rsid w:val="00D67F32"/>
    <w:rsid w:val="00D77B62"/>
    <w:rsid w:val="00D83F69"/>
    <w:rsid w:val="00D85864"/>
    <w:rsid w:val="00D85C50"/>
    <w:rsid w:val="00D903F8"/>
    <w:rsid w:val="00D920B9"/>
    <w:rsid w:val="00D923C1"/>
    <w:rsid w:val="00D92FF6"/>
    <w:rsid w:val="00D94265"/>
    <w:rsid w:val="00DA131B"/>
    <w:rsid w:val="00DA2FD4"/>
    <w:rsid w:val="00DA40AC"/>
    <w:rsid w:val="00DA5A65"/>
    <w:rsid w:val="00DA66AE"/>
    <w:rsid w:val="00DB4B13"/>
    <w:rsid w:val="00DC147F"/>
    <w:rsid w:val="00DC3BD1"/>
    <w:rsid w:val="00DC733E"/>
    <w:rsid w:val="00DC7568"/>
    <w:rsid w:val="00DD0B6B"/>
    <w:rsid w:val="00DD5396"/>
    <w:rsid w:val="00DD79F2"/>
    <w:rsid w:val="00DE3166"/>
    <w:rsid w:val="00DE33F9"/>
    <w:rsid w:val="00DE5244"/>
    <w:rsid w:val="00DE608C"/>
    <w:rsid w:val="00DE7256"/>
    <w:rsid w:val="00DF1145"/>
    <w:rsid w:val="00DF31C6"/>
    <w:rsid w:val="00DF3A30"/>
    <w:rsid w:val="00DF490D"/>
    <w:rsid w:val="00DF4BC5"/>
    <w:rsid w:val="00DF588D"/>
    <w:rsid w:val="00DF62B9"/>
    <w:rsid w:val="00E1178B"/>
    <w:rsid w:val="00E118B1"/>
    <w:rsid w:val="00E12A7C"/>
    <w:rsid w:val="00E22242"/>
    <w:rsid w:val="00E22DCA"/>
    <w:rsid w:val="00E26F3C"/>
    <w:rsid w:val="00E27741"/>
    <w:rsid w:val="00E337C7"/>
    <w:rsid w:val="00E353A3"/>
    <w:rsid w:val="00E406C5"/>
    <w:rsid w:val="00E41CE3"/>
    <w:rsid w:val="00E44CA2"/>
    <w:rsid w:val="00E46420"/>
    <w:rsid w:val="00E50FF4"/>
    <w:rsid w:val="00E539F7"/>
    <w:rsid w:val="00E5418B"/>
    <w:rsid w:val="00E65B0E"/>
    <w:rsid w:val="00E6787E"/>
    <w:rsid w:val="00E70BD5"/>
    <w:rsid w:val="00E71073"/>
    <w:rsid w:val="00E751A8"/>
    <w:rsid w:val="00E77F5B"/>
    <w:rsid w:val="00E81955"/>
    <w:rsid w:val="00E83AA9"/>
    <w:rsid w:val="00E86B89"/>
    <w:rsid w:val="00E86E42"/>
    <w:rsid w:val="00E923C6"/>
    <w:rsid w:val="00E92FD1"/>
    <w:rsid w:val="00EA0F76"/>
    <w:rsid w:val="00EA1189"/>
    <w:rsid w:val="00EA22D2"/>
    <w:rsid w:val="00EA4AF6"/>
    <w:rsid w:val="00EA51CC"/>
    <w:rsid w:val="00EB2C3E"/>
    <w:rsid w:val="00EB4A18"/>
    <w:rsid w:val="00EC0849"/>
    <w:rsid w:val="00EC1B06"/>
    <w:rsid w:val="00ED1AAA"/>
    <w:rsid w:val="00EE77A8"/>
    <w:rsid w:val="00EF54C0"/>
    <w:rsid w:val="00EF7AA7"/>
    <w:rsid w:val="00F106F2"/>
    <w:rsid w:val="00F14974"/>
    <w:rsid w:val="00F174D2"/>
    <w:rsid w:val="00F27F7B"/>
    <w:rsid w:val="00F32BA8"/>
    <w:rsid w:val="00F42E50"/>
    <w:rsid w:val="00F44B51"/>
    <w:rsid w:val="00F45242"/>
    <w:rsid w:val="00F4537C"/>
    <w:rsid w:val="00F5171D"/>
    <w:rsid w:val="00F54C63"/>
    <w:rsid w:val="00F56655"/>
    <w:rsid w:val="00F60035"/>
    <w:rsid w:val="00F617D7"/>
    <w:rsid w:val="00F7310D"/>
    <w:rsid w:val="00F7505E"/>
    <w:rsid w:val="00F8127F"/>
    <w:rsid w:val="00F822D6"/>
    <w:rsid w:val="00F85998"/>
    <w:rsid w:val="00F87EBC"/>
    <w:rsid w:val="00F93491"/>
    <w:rsid w:val="00FA299E"/>
    <w:rsid w:val="00FA7A27"/>
    <w:rsid w:val="00FB0848"/>
    <w:rsid w:val="00FB3BD2"/>
    <w:rsid w:val="00FC5811"/>
    <w:rsid w:val="00FC6779"/>
    <w:rsid w:val="00FC7727"/>
    <w:rsid w:val="00FD2038"/>
    <w:rsid w:val="00FD26A9"/>
    <w:rsid w:val="00FD4B3A"/>
    <w:rsid w:val="00FD64E7"/>
    <w:rsid w:val="00FF1CF4"/>
    <w:rsid w:val="00FF60D1"/>
    <w:rsid w:val="00FF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4ECE4E7"/>
  <w15:chartTrackingRefBased/>
  <w15:docId w15:val="{E2E6E12D-6D99-4540-9CA2-FED9B9C8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F4"/>
    <w:pPr>
      <w:overflowPunct w:val="0"/>
      <w:autoSpaceDE w:val="0"/>
      <w:autoSpaceDN w:val="0"/>
      <w:adjustRightInd w:val="0"/>
      <w:textAlignment w:val="baseline"/>
    </w:pPr>
    <w:rPr>
      <w:rFonts w:ascii="Roman PS" w:hAnsi="Roman P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E50FF4"/>
    <w:pPr>
      <w:overflowPunct/>
      <w:autoSpaceDE/>
      <w:autoSpaceDN/>
      <w:adjustRightInd/>
      <w:textAlignment w:val="auto"/>
    </w:pPr>
    <w:rPr>
      <w:rFonts w:ascii="Times New Roman" w:hAnsi="Times New Roman"/>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E50FF4"/>
    <w:rPr>
      <w:lang w:val="es-ES" w:eastAsia="es-ES" w:bidi="ar-SA"/>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E50FF4"/>
    <w:rPr>
      <w:vertAlign w:val="superscript"/>
    </w:rPr>
  </w:style>
  <w:style w:type="paragraph" w:styleId="Textoindependiente2">
    <w:name w:val="Body Text 2"/>
    <w:basedOn w:val="Normal"/>
    <w:link w:val="Textoindependiente2Car"/>
    <w:unhideWhenUsed/>
    <w:rsid w:val="00E50FF4"/>
    <w:pPr>
      <w:overflowPunct/>
      <w:autoSpaceDE/>
      <w:autoSpaceDN/>
      <w:adjustRightInd/>
      <w:spacing w:after="120" w:line="480" w:lineRule="auto"/>
      <w:textAlignment w:val="auto"/>
    </w:pPr>
    <w:rPr>
      <w:rFonts w:ascii="Calibri" w:eastAsia="Calibri" w:hAnsi="Calibri"/>
      <w:sz w:val="22"/>
      <w:szCs w:val="22"/>
      <w:lang w:val="es-CO" w:eastAsia="en-US"/>
    </w:rPr>
  </w:style>
  <w:style w:type="character" w:customStyle="1" w:styleId="Textoindependiente2Car">
    <w:name w:val="Texto independiente 2 Car"/>
    <w:link w:val="Textoindependiente2"/>
    <w:rsid w:val="00E50FF4"/>
    <w:rPr>
      <w:rFonts w:ascii="Calibri" w:eastAsia="Calibri" w:hAnsi="Calibri"/>
      <w:sz w:val="22"/>
      <w:szCs w:val="22"/>
      <w:lang w:val="es-CO" w:eastAsia="en-US" w:bidi="ar-SA"/>
    </w:rPr>
  </w:style>
  <w:style w:type="paragraph" w:customStyle="1" w:styleId="Cuadrculaclara-nfasis31">
    <w:name w:val="Cuadrícula clara - Énfasis 31"/>
    <w:basedOn w:val="Normal"/>
    <w:qFormat/>
    <w:rsid w:val="00E50FF4"/>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FCC551F-7F36-42ED-8AC4-818D017BF5B5}">
  <ds:schemaRefs>
    <ds:schemaRef ds:uri="http://schemas.microsoft.com/sharepoint/v3/contenttype/forms"/>
  </ds:schemaRefs>
</ds:datastoreItem>
</file>

<file path=customXml/itemProps2.xml><?xml version="1.0" encoding="utf-8"?>
<ds:datastoreItem xmlns:ds="http://schemas.openxmlformats.org/officeDocument/2006/customXml" ds:itemID="{1DD87BC1-8F38-461A-8060-BFFE7BA9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861E4-241D-4C38-B88E-9BC13BF3BCD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3703</Words>
  <Characters>21109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SO_SEC_3</dc:creator>
  <cp:keywords/>
  <cp:lastModifiedBy>Nina María Padrón</cp:lastModifiedBy>
  <cp:revision>4</cp:revision>
  <dcterms:created xsi:type="dcterms:W3CDTF">2020-06-21T20:08:00Z</dcterms:created>
  <dcterms:modified xsi:type="dcterms:W3CDTF">2020-06-21T20:08:00Z</dcterms:modified>
</cp:coreProperties>
</file>