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871" w:rsidRPr="00650024" w:rsidRDefault="00010587" w:rsidP="00267385">
      <w:pPr>
        <w:spacing w:line="240" w:lineRule="auto"/>
        <w:jc w:val="both"/>
        <w:rPr>
          <w:rFonts w:ascii="Arial" w:hAnsi="Arial" w:cs="Arial"/>
          <w:b/>
        </w:rPr>
      </w:pPr>
      <w:r w:rsidRPr="00650024">
        <w:rPr>
          <w:rFonts w:ascii="Arial" w:hAnsi="Arial" w:cs="Arial"/>
          <w:b/>
        </w:rPr>
        <w:t>DAÑO ANTIJURIDICO</w:t>
      </w:r>
      <w:r w:rsidR="00650024">
        <w:rPr>
          <w:rFonts w:ascii="Arial" w:hAnsi="Arial" w:cs="Arial"/>
          <w:b/>
        </w:rPr>
        <w:t xml:space="preserve"> </w:t>
      </w:r>
      <w:r w:rsidR="00090DB0">
        <w:rPr>
          <w:rFonts w:ascii="Arial" w:hAnsi="Arial" w:cs="Arial"/>
          <w:b/>
        </w:rPr>
        <w:t>–</w:t>
      </w:r>
      <w:r w:rsidRPr="00650024">
        <w:rPr>
          <w:rFonts w:ascii="Arial" w:hAnsi="Arial" w:cs="Arial"/>
        </w:rPr>
        <w:t xml:space="preserve"> </w:t>
      </w:r>
      <w:r w:rsidR="00090DB0" w:rsidRPr="00090DB0">
        <w:rPr>
          <w:rFonts w:ascii="Arial" w:hAnsi="Arial" w:cs="Arial"/>
          <w:b/>
        </w:rPr>
        <w:t xml:space="preserve">Indemnización </w:t>
      </w:r>
      <w:r w:rsidR="00090DB0">
        <w:rPr>
          <w:rFonts w:ascii="Arial" w:hAnsi="Arial" w:cs="Arial"/>
          <w:b/>
        </w:rPr>
        <w:t>–</w:t>
      </w:r>
      <w:r w:rsidR="00090DB0" w:rsidRPr="00650024">
        <w:rPr>
          <w:rFonts w:ascii="Arial" w:hAnsi="Arial" w:cs="Arial"/>
        </w:rPr>
        <w:t xml:space="preserve"> </w:t>
      </w:r>
      <w:r w:rsidRPr="00650024">
        <w:rPr>
          <w:rFonts w:ascii="Arial" w:hAnsi="Arial" w:cs="Arial"/>
          <w:b/>
        </w:rPr>
        <w:t>Acción procedente</w:t>
      </w:r>
      <w:r w:rsidR="00090DB0">
        <w:rPr>
          <w:rFonts w:ascii="Arial" w:hAnsi="Arial" w:cs="Arial"/>
          <w:b/>
        </w:rPr>
        <w:t xml:space="preserve"> –</w:t>
      </w:r>
      <w:r w:rsidRPr="00650024">
        <w:rPr>
          <w:rFonts w:ascii="Arial" w:hAnsi="Arial" w:cs="Arial"/>
          <w:b/>
        </w:rPr>
        <w:t xml:space="preserve"> Reparación directa </w:t>
      </w:r>
    </w:p>
    <w:p w:rsidR="00010587" w:rsidRPr="00650024" w:rsidRDefault="00010587" w:rsidP="00267385">
      <w:pPr>
        <w:spacing w:line="240" w:lineRule="auto"/>
        <w:jc w:val="both"/>
        <w:rPr>
          <w:rFonts w:ascii="Arial" w:hAnsi="Arial" w:cs="Arial"/>
        </w:rPr>
      </w:pPr>
    </w:p>
    <w:p w:rsidR="00010587" w:rsidRPr="00650024" w:rsidRDefault="00010587" w:rsidP="00267385">
      <w:pPr>
        <w:spacing w:line="240" w:lineRule="auto"/>
        <w:jc w:val="both"/>
        <w:textAlignment w:val="baseline"/>
        <w:rPr>
          <w:rFonts w:ascii="Arial" w:eastAsia="Times New Roman" w:hAnsi="Arial" w:cs="Arial"/>
          <w:lang w:val="es-ES" w:eastAsia="es-ES"/>
        </w:rPr>
      </w:pPr>
      <w:r w:rsidRPr="00650024">
        <w:rPr>
          <w:rFonts w:ascii="Arial" w:eastAsia="Times New Roman" w:hAnsi="Arial" w:cs="Arial"/>
          <w:lang w:val="es-ES" w:eastAsia="es-ES"/>
        </w:rPr>
        <w:t xml:space="preserve">La acción idónea para canalizar las pretensiones que busquen la indemnización proveniente de un daño antijurídico producido por la omisión de un deber legal imputable a una entidad pública es la de reparación directa. </w:t>
      </w:r>
    </w:p>
    <w:p w:rsidR="00010587" w:rsidRPr="00650024" w:rsidRDefault="00010587" w:rsidP="00267385">
      <w:pPr>
        <w:spacing w:line="240" w:lineRule="auto"/>
        <w:jc w:val="both"/>
        <w:rPr>
          <w:rFonts w:ascii="Arial" w:hAnsi="Arial" w:cs="Arial"/>
          <w:b/>
        </w:rPr>
      </w:pPr>
    </w:p>
    <w:p w:rsidR="00010587" w:rsidRPr="00650024" w:rsidRDefault="00010587" w:rsidP="00267385">
      <w:pPr>
        <w:spacing w:line="240" w:lineRule="auto"/>
        <w:jc w:val="both"/>
        <w:rPr>
          <w:rFonts w:ascii="Arial" w:hAnsi="Arial" w:cs="Arial"/>
        </w:rPr>
      </w:pPr>
      <w:r w:rsidRPr="00650024">
        <w:rPr>
          <w:rFonts w:ascii="Arial" w:hAnsi="Arial" w:cs="Arial"/>
          <w:b/>
        </w:rPr>
        <w:t xml:space="preserve">CADUCIDAD </w:t>
      </w:r>
      <w:r w:rsidR="00090DB0">
        <w:rPr>
          <w:rFonts w:ascii="Arial" w:hAnsi="Arial" w:cs="Arial"/>
          <w:b/>
        </w:rPr>
        <w:t>DE LA ACCIÒN –</w:t>
      </w:r>
      <w:r w:rsidRPr="00650024">
        <w:rPr>
          <w:rFonts w:ascii="Arial" w:hAnsi="Arial" w:cs="Arial"/>
          <w:b/>
        </w:rPr>
        <w:t xml:space="preserve"> </w:t>
      </w:r>
      <w:r w:rsidR="00CB20DB" w:rsidRPr="00650024">
        <w:rPr>
          <w:rFonts w:ascii="Arial" w:hAnsi="Arial" w:cs="Arial"/>
          <w:b/>
        </w:rPr>
        <w:t xml:space="preserve">Seguridad jurídica – Sanción – Carga Procesal </w:t>
      </w:r>
      <w:r w:rsidR="007C5926" w:rsidRPr="00650024">
        <w:rPr>
          <w:rFonts w:ascii="Arial" w:hAnsi="Arial" w:cs="Arial"/>
          <w:b/>
        </w:rPr>
        <w:t>de las partes</w:t>
      </w:r>
      <w:r w:rsidR="007C5926" w:rsidRPr="00650024">
        <w:rPr>
          <w:rFonts w:ascii="Arial" w:hAnsi="Arial" w:cs="Arial"/>
        </w:rPr>
        <w:t xml:space="preserve"> </w:t>
      </w:r>
    </w:p>
    <w:p w:rsidR="007C5926" w:rsidRPr="00650024" w:rsidRDefault="007C5926" w:rsidP="00267385">
      <w:pPr>
        <w:spacing w:line="240" w:lineRule="auto"/>
        <w:jc w:val="both"/>
        <w:rPr>
          <w:rFonts w:ascii="Arial" w:hAnsi="Arial" w:cs="Arial"/>
        </w:rPr>
      </w:pPr>
    </w:p>
    <w:p w:rsidR="007C5926" w:rsidRPr="00650024" w:rsidRDefault="007C5926" w:rsidP="00267385">
      <w:pPr>
        <w:overflowPunct w:val="0"/>
        <w:autoSpaceDE w:val="0"/>
        <w:autoSpaceDN w:val="0"/>
        <w:adjustRightInd w:val="0"/>
        <w:spacing w:line="240" w:lineRule="auto"/>
        <w:jc w:val="both"/>
        <w:textAlignment w:val="baseline"/>
        <w:rPr>
          <w:rFonts w:ascii="Arial" w:eastAsia="Times New Roman" w:hAnsi="Arial" w:cs="Arial"/>
          <w:lang w:val="es-ES_tradnl" w:eastAsia="es-ES"/>
        </w:rPr>
      </w:pPr>
      <w:r w:rsidRPr="00650024">
        <w:rPr>
          <w:rFonts w:ascii="Arial" w:eastAsia="Times New Roman" w:hAnsi="Arial" w:cs="Arial"/>
          <w:lang w:val="es-ES_tradnl" w:eastAsia="es-ES"/>
        </w:rPr>
        <w:t>La jurisprudencia ha señalado que, para garantizar la seguridad jurídica de los sujetos procesales, el legislador instituyó la figura de la caducidad como una sanción en los eventos en que determinadas acciones judiciales no se ejerzan en un término específico. En este sentido, los interesados tienen la carga procesal de poner en funcionamiento el aparato jurisdiccional del Estado dentro del plazo fijado por la ley; de no hacerlo en tiempo, no podrán obtener la satisfacción del derecho reclamado por la vía jurisdiccional. Las normas de caducidad tienen fundamento en la seguridad jurídica que debe imperar en todo ordenamiento, en el sentido de impedir que ciertas situaciones jurídicas permanezcan indefinidas en el tiempo. En otros términos, el legislador establece unos plazos razonables para que las personas, en ejercicio del derecho de acción, acudan a la jurisdicción con el fin de satisfacer sus pretensiones.</w:t>
      </w:r>
    </w:p>
    <w:p w:rsidR="007C5926" w:rsidRPr="00650024" w:rsidRDefault="007C5926" w:rsidP="00267385">
      <w:pPr>
        <w:overflowPunct w:val="0"/>
        <w:autoSpaceDE w:val="0"/>
        <w:autoSpaceDN w:val="0"/>
        <w:adjustRightInd w:val="0"/>
        <w:spacing w:line="240" w:lineRule="auto"/>
        <w:jc w:val="both"/>
        <w:textAlignment w:val="baseline"/>
        <w:rPr>
          <w:rFonts w:ascii="Arial" w:eastAsia="Times New Roman" w:hAnsi="Arial" w:cs="Arial"/>
          <w:lang w:val="es-ES_tradnl" w:eastAsia="es-ES"/>
        </w:rPr>
      </w:pPr>
    </w:p>
    <w:p w:rsidR="007C5926" w:rsidRPr="00650024" w:rsidRDefault="007C5926" w:rsidP="00267385">
      <w:pPr>
        <w:overflowPunct w:val="0"/>
        <w:autoSpaceDE w:val="0"/>
        <w:autoSpaceDN w:val="0"/>
        <w:adjustRightInd w:val="0"/>
        <w:spacing w:line="240" w:lineRule="auto"/>
        <w:jc w:val="both"/>
        <w:textAlignment w:val="baseline"/>
        <w:rPr>
          <w:rFonts w:ascii="Arial" w:eastAsia="Times New Roman" w:hAnsi="Arial" w:cs="Arial"/>
          <w:b/>
          <w:lang w:val="es-ES_tradnl" w:eastAsia="es-ES"/>
        </w:rPr>
      </w:pPr>
      <w:r w:rsidRPr="00650024">
        <w:rPr>
          <w:rFonts w:ascii="Arial" w:eastAsia="Times New Roman" w:hAnsi="Arial" w:cs="Arial"/>
          <w:b/>
          <w:lang w:val="es-ES_tradnl" w:eastAsia="es-ES"/>
        </w:rPr>
        <w:t xml:space="preserve">CADUCIDAD </w:t>
      </w:r>
      <w:r w:rsidR="00090DB0">
        <w:rPr>
          <w:rFonts w:ascii="Arial" w:eastAsia="Times New Roman" w:hAnsi="Arial" w:cs="Arial"/>
          <w:b/>
          <w:lang w:val="es-ES_tradnl" w:eastAsia="es-ES"/>
        </w:rPr>
        <w:t xml:space="preserve">DE LA ACCIÒN </w:t>
      </w:r>
      <w:r w:rsidRPr="00650024">
        <w:rPr>
          <w:rFonts w:ascii="Arial" w:eastAsia="Times New Roman" w:hAnsi="Arial" w:cs="Arial"/>
          <w:b/>
          <w:lang w:val="es-ES_tradnl" w:eastAsia="es-ES"/>
        </w:rPr>
        <w:t xml:space="preserve">– Acción de reparación directa – Término para ejercer la acción – Código Contencioso Administrativo </w:t>
      </w:r>
    </w:p>
    <w:p w:rsidR="007C5926" w:rsidRPr="00650024" w:rsidRDefault="007C5926" w:rsidP="00267385">
      <w:pPr>
        <w:overflowPunct w:val="0"/>
        <w:autoSpaceDE w:val="0"/>
        <w:autoSpaceDN w:val="0"/>
        <w:adjustRightInd w:val="0"/>
        <w:spacing w:line="240" w:lineRule="auto"/>
        <w:jc w:val="both"/>
        <w:textAlignment w:val="baseline"/>
        <w:rPr>
          <w:rFonts w:ascii="Arial" w:eastAsia="Times New Roman" w:hAnsi="Arial" w:cs="Arial"/>
          <w:lang w:val="es-ES_tradnl" w:eastAsia="es-ES"/>
        </w:rPr>
      </w:pPr>
    </w:p>
    <w:p w:rsidR="007C5926" w:rsidRPr="00650024" w:rsidRDefault="007C5926" w:rsidP="00267385">
      <w:pPr>
        <w:spacing w:line="240" w:lineRule="auto"/>
        <w:jc w:val="both"/>
        <w:textAlignment w:val="baseline"/>
        <w:rPr>
          <w:rFonts w:ascii="Arial" w:eastAsia="Times New Roman" w:hAnsi="Arial" w:cs="Arial"/>
          <w:lang w:eastAsia="es-ES"/>
        </w:rPr>
      </w:pPr>
      <w:r w:rsidRPr="00650024">
        <w:rPr>
          <w:rFonts w:ascii="Arial" w:eastAsia="Times New Roman" w:hAnsi="Arial" w:cs="Arial"/>
          <w:lang w:eastAsia="es-ES"/>
        </w:rPr>
        <w:t>Como la acción idónea para acudir a esta jurisdicción es la de reparación directa, el término para demandar es de dos (2) años, pues las normas de carácter procesal son de aplicación inmediata, por lo cual, para efectos del cómputo del término de caducidad, hay que tener en cuenta que, para el momento en que ocurrió la omisión que se alega como hecho generador de la responsabilidad, la ley procesal vigente en esta materia era  la contenida en el artículo 136 del C.C.A., de modo que el término de caducidad se debe empezar a contar a partir del día siguiente a aquel en que se produjo el daño o en que el demandante tuvo o debió tener conocimiento de éste.</w:t>
      </w:r>
    </w:p>
    <w:p w:rsidR="007C5926" w:rsidRPr="00650024" w:rsidRDefault="007C5926" w:rsidP="00267385">
      <w:pPr>
        <w:overflowPunct w:val="0"/>
        <w:autoSpaceDE w:val="0"/>
        <w:autoSpaceDN w:val="0"/>
        <w:adjustRightInd w:val="0"/>
        <w:spacing w:line="240" w:lineRule="auto"/>
        <w:jc w:val="both"/>
        <w:textAlignment w:val="baseline"/>
        <w:rPr>
          <w:rFonts w:ascii="Arial" w:eastAsia="Times New Roman" w:hAnsi="Arial" w:cs="Arial"/>
          <w:lang w:val="es-ES_tradnl" w:eastAsia="es-ES"/>
        </w:rPr>
      </w:pPr>
    </w:p>
    <w:p w:rsidR="007C5926" w:rsidRPr="00650024" w:rsidRDefault="007C5926" w:rsidP="00267385">
      <w:pPr>
        <w:overflowPunct w:val="0"/>
        <w:autoSpaceDE w:val="0"/>
        <w:autoSpaceDN w:val="0"/>
        <w:adjustRightInd w:val="0"/>
        <w:spacing w:line="240" w:lineRule="auto"/>
        <w:jc w:val="both"/>
        <w:textAlignment w:val="baseline"/>
        <w:rPr>
          <w:rFonts w:ascii="Arial" w:eastAsia="Times New Roman" w:hAnsi="Arial" w:cs="Arial"/>
          <w:lang w:val="es-ES_tradnl" w:eastAsia="es-ES"/>
        </w:rPr>
      </w:pPr>
      <w:r w:rsidRPr="00650024">
        <w:rPr>
          <w:rFonts w:ascii="Arial" w:eastAsia="Times New Roman" w:hAnsi="Arial" w:cs="Arial"/>
          <w:b/>
          <w:lang w:val="es-ES_tradnl" w:eastAsia="es-ES"/>
        </w:rPr>
        <w:t xml:space="preserve">ADQUISICIÓN DE INMUEBLES POR ENAJENACIÓN VOLUNTARIA </w:t>
      </w:r>
      <w:r w:rsidR="00B70632">
        <w:rPr>
          <w:rFonts w:ascii="Arial" w:eastAsia="Times New Roman" w:hAnsi="Arial" w:cs="Arial"/>
          <w:b/>
          <w:lang w:val="es-ES_tradnl" w:eastAsia="es-ES"/>
        </w:rPr>
        <w:t>‒</w:t>
      </w:r>
      <w:r w:rsidRPr="00650024">
        <w:rPr>
          <w:rFonts w:ascii="Arial" w:eastAsia="Times New Roman" w:hAnsi="Arial" w:cs="Arial"/>
          <w:b/>
          <w:lang w:val="es-ES_tradnl" w:eastAsia="es-ES"/>
        </w:rPr>
        <w:t xml:space="preserve"> EXPROPIACIÓN</w:t>
      </w:r>
      <w:r w:rsidR="00B70632">
        <w:rPr>
          <w:rFonts w:ascii="Arial" w:eastAsia="Times New Roman" w:hAnsi="Arial" w:cs="Arial"/>
          <w:b/>
          <w:lang w:val="es-ES_tradnl" w:eastAsia="es-ES"/>
        </w:rPr>
        <w:t xml:space="preserve"> CON</w:t>
      </w:r>
      <w:r w:rsidRPr="00650024">
        <w:rPr>
          <w:rFonts w:ascii="Arial" w:eastAsia="Times New Roman" w:hAnsi="Arial" w:cs="Arial"/>
          <w:b/>
          <w:lang w:val="es-ES_tradnl" w:eastAsia="es-ES"/>
        </w:rPr>
        <w:t xml:space="preserve"> FINES DE UTILIDAD PÚBLICA </w:t>
      </w:r>
      <w:r w:rsidR="00911493" w:rsidRPr="00650024">
        <w:rPr>
          <w:rFonts w:ascii="Arial" w:eastAsia="Times New Roman" w:hAnsi="Arial" w:cs="Arial"/>
          <w:b/>
          <w:lang w:val="es-ES_tradnl" w:eastAsia="es-ES"/>
        </w:rPr>
        <w:t>–</w:t>
      </w:r>
      <w:r w:rsidRPr="00650024">
        <w:rPr>
          <w:rFonts w:ascii="Arial" w:eastAsia="Times New Roman" w:hAnsi="Arial" w:cs="Arial"/>
          <w:b/>
          <w:lang w:val="es-ES_tradnl" w:eastAsia="es-ES"/>
        </w:rPr>
        <w:t xml:space="preserve"> </w:t>
      </w:r>
      <w:r w:rsidR="00911493" w:rsidRPr="00650024">
        <w:rPr>
          <w:rFonts w:ascii="Arial" w:eastAsia="Times New Roman" w:hAnsi="Arial" w:cs="Arial"/>
          <w:b/>
          <w:lang w:val="es-ES_tradnl" w:eastAsia="es-ES"/>
        </w:rPr>
        <w:t>Uso de bienes</w:t>
      </w:r>
      <w:r w:rsidR="00911493" w:rsidRPr="00650024">
        <w:rPr>
          <w:rFonts w:ascii="Arial" w:eastAsia="Times New Roman" w:hAnsi="Arial" w:cs="Arial"/>
          <w:lang w:val="es-ES_tradnl" w:eastAsia="es-ES"/>
        </w:rPr>
        <w:t xml:space="preserve"> </w:t>
      </w:r>
      <w:r w:rsidR="00911493" w:rsidRPr="00650024">
        <w:rPr>
          <w:rFonts w:ascii="Arial" w:eastAsia="Times New Roman" w:hAnsi="Arial" w:cs="Arial"/>
          <w:b/>
          <w:lang w:val="es-ES_tradnl" w:eastAsia="es-ES"/>
        </w:rPr>
        <w:t>inmuebles para la finalidad – Término para el uso de los bienes inmuebles</w:t>
      </w:r>
      <w:r w:rsidR="00650024">
        <w:rPr>
          <w:rFonts w:ascii="Arial" w:eastAsia="Times New Roman" w:hAnsi="Arial" w:cs="Arial"/>
          <w:b/>
          <w:lang w:val="es-ES_tradnl" w:eastAsia="es-ES"/>
        </w:rPr>
        <w:t xml:space="preserve"> </w:t>
      </w:r>
      <w:bookmarkStart w:id="0" w:name="_GoBack"/>
      <w:bookmarkEnd w:id="0"/>
    </w:p>
    <w:p w:rsidR="007C5926" w:rsidRPr="00650024" w:rsidRDefault="007C5926" w:rsidP="00267385">
      <w:pPr>
        <w:spacing w:line="240" w:lineRule="auto"/>
        <w:jc w:val="both"/>
        <w:rPr>
          <w:rFonts w:ascii="Arial" w:hAnsi="Arial" w:cs="Arial"/>
        </w:rPr>
      </w:pPr>
    </w:p>
    <w:p w:rsidR="00950CC4" w:rsidRPr="00650024" w:rsidRDefault="00575FC3" w:rsidP="00267385">
      <w:pPr>
        <w:spacing w:line="240" w:lineRule="auto"/>
        <w:rPr>
          <w:rFonts w:ascii="Arial" w:eastAsia="Times New Roman" w:hAnsi="Arial" w:cs="Arial"/>
          <w:lang w:eastAsia="es-ES"/>
        </w:rPr>
      </w:pPr>
      <w:r w:rsidRPr="00650024">
        <w:rPr>
          <w:rFonts w:ascii="Arial" w:eastAsia="Times New Roman" w:hAnsi="Arial" w:cs="Arial"/>
          <w:lang w:eastAsia="es-ES"/>
        </w:rPr>
        <w:t>El capítulo III de la Ley 9 de 1989 estableció los instrumentos para la adquisición de inmuebles por enajenación voluntaria y por expropiación destinados para fines de utilidad pública o interés social, inmuebles que debían ser aplicados a los fines para los cuales fueron adquiridos dentro de un término máximo de cinco (5) años contados a partir del perfeccionamiento de la compraventa o de la transferencia del derecho de propiedad a favor de la entidad expropiante, so pena de  tener que enajenarlos a más tardar a la fecha de vencimiento del referido término.</w:t>
      </w:r>
    </w:p>
    <w:p w:rsidR="00943667" w:rsidRPr="00650024" w:rsidRDefault="00943667" w:rsidP="00267385">
      <w:pPr>
        <w:spacing w:line="240" w:lineRule="auto"/>
        <w:rPr>
          <w:rFonts w:ascii="Arial" w:eastAsia="Times New Roman" w:hAnsi="Arial" w:cs="Arial"/>
          <w:lang w:eastAsia="es-ES"/>
        </w:rPr>
      </w:pPr>
    </w:p>
    <w:p w:rsidR="00943667" w:rsidRPr="00650024" w:rsidRDefault="00943667" w:rsidP="00267385">
      <w:pPr>
        <w:spacing w:line="240" w:lineRule="auto"/>
        <w:jc w:val="both"/>
        <w:rPr>
          <w:rFonts w:ascii="Arial" w:eastAsia="Times New Roman" w:hAnsi="Arial" w:cs="Arial"/>
          <w:b/>
          <w:lang w:eastAsia="es-ES"/>
        </w:rPr>
      </w:pPr>
      <w:r w:rsidRPr="00650024">
        <w:rPr>
          <w:rFonts w:ascii="Arial" w:eastAsia="Times New Roman" w:hAnsi="Arial" w:cs="Arial"/>
          <w:b/>
          <w:lang w:eastAsia="es-ES"/>
        </w:rPr>
        <w:t xml:space="preserve">ENAJENACIÓN VOLUNTARIA DIRECTA </w:t>
      </w:r>
      <w:r w:rsidR="00090DB0">
        <w:rPr>
          <w:rFonts w:ascii="Arial" w:hAnsi="Arial" w:cs="Arial"/>
          <w:b/>
        </w:rPr>
        <w:t xml:space="preserve">– </w:t>
      </w:r>
      <w:r w:rsidRPr="00650024">
        <w:rPr>
          <w:rFonts w:ascii="Arial" w:eastAsia="Times New Roman" w:hAnsi="Arial" w:cs="Arial"/>
          <w:b/>
          <w:lang w:eastAsia="es-ES"/>
        </w:rPr>
        <w:t>Oferta preferente a los propietarios – Notificación al propietario – Término para responder</w:t>
      </w:r>
    </w:p>
    <w:p w:rsidR="00943667" w:rsidRPr="00650024" w:rsidRDefault="00943667" w:rsidP="00267385">
      <w:pPr>
        <w:spacing w:line="240" w:lineRule="auto"/>
        <w:jc w:val="both"/>
        <w:rPr>
          <w:rFonts w:ascii="Arial" w:eastAsia="Times New Roman" w:hAnsi="Arial" w:cs="Arial"/>
          <w:lang w:eastAsia="es-ES"/>
        </w:rPr>
      </w:pPr>
    </w:p>
    <w:p w:rsidR="00943667" w:rsidRPr="00650024" w:rsidRDefault="00943667" w:rsidP="00267385">
      <w:pPr>
        <w:spacing w:line="240" w:lineRule="auto"/>
        <w:jc w:val="both"/>
        <w:textAlignment w:val="baseline"/>
        <w:rPr>
          <w:rFonts w:ascii="Arial" w:eastAsia="Times New Roman" w:hAnsi="Arial" w:cs="Arial"/>
          <w:lang w:eastAsia="es-ES"/>
        </w:rPr>
      </w:pPr>
      <w:r w:rsidRPr="00650024">
        <w:rPr>
          <w:rFonts w:ascii="Arial" w:eastAsia="Times New Roman" w:hAnsi="Arial" w:cs="Arial"/>
          <w:lang w:eastAsia="es-ES"/>
        </w:rPr>
        <w:t>El inmueble adquirido por enajenación voluntaria o expropiación debe ofrecerse de manera preferente a los propietarios anteriores, para lo cual, se les debe notificar la intención de vender y ellos disponen de un plazo de dos (2) meses para aceptar o rechazar la oferta, vencido dicho término sin que se manifiesten, los bienes pueden ser vendidos.</w:t>
      </w:r>
    </w:p>
    <w:p w:rsidR="00943667" w:rsidRPr="00650024" w:rsidRDefault="00943667" w:rsidP="00267385">
      <w:pPr>
        <w:spacing w:line="240" w:lineRule="auto"/>
        <w:jc w:val="both"/>
        <w:rPr>
          <w:rFonts w:ascii="Arial" w:hAnsi="Arial" w:cs="Arial"/>
        </w:rPr>
      </w:pPr>
    </w:p>
    <w:p w:rsidR="00943667" w:rsidRPr="00650024" w:rsidRDefault="00943667" w:rsidP="00267385">
      <w:pPr>
        <w:spacing w:line="240" w:lineRule="auto"/>
        <w:jc w:val="both"/>
        <w:rPr>
          <w:rFonts w:ascii="Arial" w:hAnsi="Arial" w:cs="Arial"/>
          <w:b/>
        </w:rPr>
      </w:pPr>
      <w:r w:rsidRPr="00650024">
        <w:rPr>
          <w:rFonts w:ascii="Arial" w:hAnsi="Arial" w:cs="Arial"/>
          <w:b/>
        </w:rPr>
        <w:t>ENAJENACIÓN VOLUNTARIA DIRECTA</w:t>
      </w:r>
      <w:r w:rsidR="00090DB0">
        <w:rPr>
          <w:rFonts w:ascii="Arial" w:hAnsi="Arial" w:cs="Arial"/>
          <w:b/>
        </w:rPr>
        <w:t xml:space="preserve"> – </w:t>
      </w:r>
      <w:r w:rsidRPr="00650024">
        <w:rPr>
          <w:rFonts w:ascii="Arial" w:hAnsi="Arial" w:cs="Arial"/>
          <w:b/>
        </w:rPr>
        <w:t>Oferta de compra al propietario del bien – Falta en el cumplimiento de la formalidad – Vicia de nulidad absoluta el procedimiento – Exigencia del cumplimiento de la obligación de la administración</w:t>
      </w:r>
    </w:p>
    <w:p w:rsidR="00943667" w:rsidRPr="00650024" w:rsidRDefault="00943667" w:rsidP="00267385">
      <w:pPr>
        <w:spacing w:line="240" w:lineRule="auto"/>
        <w:jc w:val="both"/>
        <w:rPr>
          <w:rFonts w:ascii="Arial" w:hAnsi="Arial" w:cs="Arial"/>
        </w:rPr>
      </w:pPr>
    </w:p>
    <w:p w:rsidR="00943667" w:rsidRPr="00650024" w:rsidRDefault="00943667" w:rsidP="00267385">
      <w:pPr>
        <w:spacing w:line="240" w:lineRule="auto"/>
        <w:jc w:val="both"/>
        <w:rPr>
          <w:rFonts w:ascii="Arial" w:eastAsia="Times New Roman" w:hAnsi="Arial" w:cs="Arial"/>
          <w:lang w:eastAsia="es-ES"/>
        </w:rPr>
      </w:pPr>
      <w:r w:rsidRPr="00650024">
        <w:rPr>
          <w:rFonts w:ascii="Arial" w:eastAsia="Times New Roman" w:hAnsi="Arial" w:cs="Arial"/>
          <w:lang w:eastAsia="es-ES"/>
        </w:rPr>
        <w:t xml:space="preserve">El artículo 34 de la referida ley 9 estableció que la venta que se realice sin tener en cuenta la anterior formalidad es absolutamente nula y que los propietarios anteriores o causahabiente pueden exigir el cumplimiento de la citada obligación a través de la vía ejecutiva, la cual caduca dos (2) meses después del vencimiento del mencionado término de cinco (5) años.     </w:t>
      </w:r>
    </w:p>
    <w:p w:rsidR="000D706D" w:rsidRPr="00650024" w:rsidRDefault="000D706D" w:rsidP="00267385">
      <w:pPr>
        <w:spacing w:line="240" w:lineRule="auto"/>
        <w:jc w:val="both"/>
        <w:rPr>
          <w:rFonts w:ascii="Arial" w:eastAsia="Times New Roman" w:hAnsi="Arial" w:cs="Arial"/>
          <w:lang w:eastAsia="es-ES"/>
        </w:rPr>
      </w:pPr>
    </w:p>
    <w:p w:rsidR="000D706D" w:rsidRPr="00650024" w:rsidRDefault="000D706D" w:rsidP="00267385">
      <w:pPr>
        <w:spacing w:line="240" w:lineRule="auto"/>
        <w:jc w:val="both"/>
        <w:rPr>
          <w:rFonts w:ascii="Arial" w:eastAsia="Times New Roman" w:hAnsi="Arial" w:cs="Arial"/>
          <w:lang w:eastAsia="es-ES"/>
        </w:rPr>
      </w:pPr>
      <w:r w:rsidRPr="00650024">
        <w:rPr>
          <w:rFonts w:ascii="Arial" w:eastAsia="Times New Roman" w:hAnsi="Arial" w:cs="Arial"/>
          <w:b/>
          <w:lang w:eastAsia="es-ES"/>
        </w:rPr>
        <w:lastRenderedPageBreak/>
        <w:t xml:space="preserve">CADUCIDAD </w:t>
      </w:r>
      <w:r w:rsidR="00090DB0">
        <w:rPr>
          <w:rFonts w:ascii="Arial" w:eastAsia="Times New Roman" w:hAnsi="Arial" w:cs="Arial"/>
          <w:b/>
          <w:lang w:eastAsia="es-ES"/>
        </w:rPr>
        <w:t xml:space="preserve">DE LA ACCIÒN </w:t>
      </w:r>
      <w:r w:rsidRPr="00650024">
        <w:rPr>
          <w:rFonts w:ascii="Arial" w:eastAsia="Times New Roman" w:hAnsi="Arial" w:cs="Arial"/>
          <w:b/>
          <w:lang w:eastAsia="es-ES"/>
        </w:rPr>
        <w:t>–</w:t>
      </w:r>
      <w:r w:rsidRPr="00650024">
        <w:rPr>
          <w:rFonts w:ascii="Arial" w:eastAsia="Times New Roman" w:hAnsi="Arial" w:cs="Arial"/>
          <w:lang w:eastAsia="es-ES"/>
        </w:rPr>
        <w:t xml:space="preserve"> </w:t>
      </w:r>
      <w:r w:rsidRPr="00650024">
        <w:rPr>
          <w:rFonts w:ascii="Arial" w:eastAsia="Times New Roman" w:hAnsi="Arial" w:cs="Arial"/>
          <w:b/>
          <w:lang w:eastAsia="es-ES"/>
        </w:rPr>
        <w:t xml:space="preserve">Acción de reparación directa </w:t>
      </w:r>
      <w:r w:rsidR="00090DB0">
        <w:rPr>
          <w:rFonts w:ascii="Arial" w:hAnsi="Arial" w:cs="Arial"/>
          <w:b/>
        </w:rPr>
        <w:t>–</w:t>
      </w:r>
      <w:r w:rsidRPr="00650024">
        <w:rPr>
          <w:rFonts w:ascii="Arial" w:eastAsia="Times New Roman" w:hAnsi="Arial" w:cs="Arial"/>
          <w:b/>
          <w:lang w:eastAsia="es-ES"/>
        </w:rPr>
        <w:t xml:space="preserve"> Momento a partir del cual se contabiliza</w:t>
      </w:r>
      <w:r w:rsidRPr="00650024">
        <w:rPr>
          <w:rFonts w:ascii="Arial" w:eastAsia="Times New Roman" w:hAnsi="Arial" w:cs="Arial"/>
          <w:lang w:eastAsia="es-ES"/>
        </w:rPr>
        <w:t xml:space="preserve"> </w:t>
      </w:r>
    </w:p>
    <w:p w:rsidR="000D706D" w:rsidRPr="00650024" w:rsidRDefault="000D706D" w:rsidP="00267385">
      <w:pPr>
        <w:spacing w:line="240" w:lineRule="auto"/>
        <w:jc w:val="both"/>
        <w:rPr>
          <w:rFonts w:ascii="Arial" w:eastAsia="Times New Roman" w:hAnsi="Arial" w:cs="Arial"/>
          <w:lang w:eastAsia="es-ES"/>
        </w:rPr>
      </w:pPr>
    </w:p>
    <w:p w:rsidR="000D706D" w:rsidRPr="00650024" w:rsidRDefault="000D706D" w:rsidP="00267385">
      <w:pPr>
        <w:spacing w:line="240" w:lineRule="auto"/>
        <w:jc w:val="both"/>
        <w:textAlignment w:val="baseline"/>
        <w:rPr>
          <w:rFonts w:ascii="Arial" w:eastAsia="Times New Roman" w:hAnsi="Arial" w:cs="Arial"/>
          <w:lang w:eastAsia="es-ES"/>
        </w:rPr>
      </w:pPr>
      <w:r w:rsidRPr="00650024">
        <w:rPr>
          <w:rFonts w:ascii="Arial" w:eastAsia="Times New Roman" w:hAnsi="Arial" w:cs="Arial"/>
          <w:lang w:eastAsia="es-ES"/>
        </w:rPr>
        <w:t>Con el fin de contabilizar el término de caducidad, debe precisarse el momento en que el demandante tuvo conocimiento del daño alegado.</w:t>
      </w:r>
    </w:p>
    <w:p w:rsidR="000D706D" w:rsidRPr="00943667" w:rsidRDefault="000D706D" w:rsidP="00943667">
      <w:pPr>
        <w:spacing w:line="240" w:lineRule="auto"/>
        <w:jc w:val="both"/>
        <w:rPr>
          <w:rFonts w:ascii="Arial" w:hAnsi="Arial" w:cs="Arial"/>
          <w:sz w:val="24"/>
          <w:szCs w:val="24"/>
        </w:rPr>
      </w:pPr>
    </w:p>
    <w:p w:rsidR="00950CC4" w:rsidRDefault="00950CC4" w:rsidP="0066727B">
      <w:pPr>
        <w:spacing w:line="240" w:lineRule="auto"/>
        <w:jc w:val="center"/>
        <w:rPr>
          <w:rFonts w:ascii="Arial" w:hAnsi="Arial" w:cs="Arial"/>
          <w:b/>
          <w:sz w:val="24"/>
          <w:szCs w:val="24"/>
        </w:rPr>
      </w:pPr>
    </w:p>
    <w:p w:rsidR="0066727B" w:rsidRPr="00DC20AB" w:rsidRDefault="0066727B" w:rsidP="0066727B">
      <w:pPr>
        <w:spacing w:line="240" w:lineRule="auto"/>
        <w:jc w:val="center"/>
        <w:rPr>
          <w:rFonts w:ascii="Arial" w:hAnsi="Arial" w:cs="Arial"/>
          <w:b/>
          <w:sz w:val="24"/>
          <w:szCs w:val="24"/>
        </w:rPr>
      </w:pPr>
      <w:r w:rsidRPr="00DC20AB">
        <w:rPr>
          <w:rFonts w:ascii="Arial" w:hAnsi="Arial" w:cs="Arial"/>
          <w:b/>
          <w:sz w:val="24"/>
          <w:szCs w:val="24"/>
        </w:rPr>
        <w:t>CONSEJO DE ESTADO</w:t>
      </w:r>
    </w:p>
    <w:p w:rsidR="0066727B" w:rsidRPr="00DC20AB" w:rsidRDefault="0066727B" w:rsidP="0066727B">
      <w:pPr>
        <w:spacing w:line="240" w:lineRule="auto"/>
        <w:jc w:val="center"/>
        <w:rPr>
          <w:rFonts w:ascii="Arial" w:hAnsi="Arial" w:cs="Arial"/>
          <w:b/>
          <w:sz w:val="24"/>
          <w:szCs w:val="24"/>
        </w:rPr>
      </w:pPr>
    </w:p>
    <w:p w:rsidR="0066727B" w:rsidRPr="00DC20AB" w:rsidRDefault="0066727B" w:rsidP="0066727B">
      <w:pPr>
        <w:spacing w:line="240" w:lineRule="auto"/>
        <w:jc w:val="center"/>
        <w:rPr>
          <w:rFonts w:ascii="Arial" w:hAnsi="Arial" w:cs="Arial"/>
          <w:b/>
          <w:sz w:val="24"/>
          <w:szCs w:val="24"/>
        </w:rPr>
      </w:pPr>
      <w:r w:rsidRPr="00DC20AB">
        <w:rPr>
          <w:rFonts w:ascii="Arial" w:hAnsi="Arial" w:cs="Arial"/>
          <w:b/>
          <w:sz w:val="24"/>
          <w:szCs w:val="24"/>
        </w:rPr>
        <w:t>SALA DE LO CONTENCIOSO ADMINISTRATIVO</w:t>
      </w:r>
    </w:p>
    <w:p w:rsidR="0066727B" w:rsidRPr="00DC20AB" w:rsidRDefault="0066727B" w:rsidP="0066727B">
      <w:pPr>
        <w:spacing w:line="240" w:lineRule="auto"/>
        <w:jc w:val="center"/>
        <w:rPr>
          <w:rFonts w:ascii="Arial" w:hAnsi="Arial" w:cs="Arial"/>
          <w:b/>
          <w:sz w:val="24"/>
          <w:szCs w:val="24"/>
        </w:rPr>
      </w:pPr>
    </w:p>
    <w:p w:rsidR="0066727B" w:rsidRPr="00DC20AB" w:rsidRDefault="0066727B" w:rsidP="0066727B">
      <w:pPr>
        <w:spacing w:line="240" w:lineRule="auto"/>
        <w:jc w:val="center"/>
        <w:rPr>
          <w:rFonts w:ascii="Arial" w:hAnsi="Arial" w:cs="Arial"/>
          <w:b/>
          <w:sz w:val="24"/>
          <w:szCs w:val="24"/>
        </w:rPr>
      </w:pPr>
      <w:r w:rsidRPr="00DC20AB">
        <w:rPr>
          <w:rFonts w:ascii="Arial" w:hAnsi="Arial" w:cs="Arial"/>
          <w:b/>
          <w:sz w:val="24"/>
          <w:szCs w:val="24"/>
        </w:rPr>
        <w:t>SECCIÓN TERCERA</w:t>
      </w:r>
    </w:p>
    <w:p w:rsidR="0066727B" w:rsidRPr="00DC20AB" w:rsidRDefault="0066727B" w:rsidP="0066727B">
      <w:pPr>
        <w:spacing w:line="240" w:lineRule="auto"/>
        <w:jc w:val="center"/>
        <w:rPr>
          <w:rFonts w:ascii="Arial" w:hAnsi="Arial" w:cs="Arial"/>
          <w:b/>
          <w:sz w:val="24"/>
          <w:szCs w:val="24"/>
        </w:rPr>
      </w:pPr>
    </w:p>
    <w:p w:rsidR="0066727B" w:rsidRPr="00DC20AB" w:rsidRDefault="0066727B" w:rsidP="0066727B">
      <w:pPr>
        <w:spacing w:line="240" w:lineRule="auto"/>
        <w:jc w:val="center"/>
        <w:rPr>
          <w:rFonts w:ascii="Arial" w:hAnsi="Arial" w:cs="Arial"/>
          <w:b/>
          <w:sz w:val="24"/>
          <w:szCs w:val="24"/>
        </w:rPr>
      </w:pPr>
      <w:r w:rsidRPr="00DC20AB">
        <w:rPr>
          <w:rFonts w:ascii="Arial" w:hAnsi="Arial" w:cs="Arial"/>
          <w:b/>
          <w:sz w:val="24"/>
          <w:szCs w:val="24"/>
        </w:rPr>
        <w:t>SUBSECCIÓN A</w:t>
      </w:r>
    </w:p>
    <w:p w:rsidR="0066727B" w:rsidRPr="00DC20AB" w:rsidRDefault="0066727B" w:rsidP="0066727B">
      <w:pPr>
        <w:spacing w:line="240" w:lineRule="auto"/>
        <w:jc w:val="center"/>
        <w:rPr>
          <w:rFonts w:ascii="Arial" w:hAnsi="Arial" w:cs="Arial"/>
          <w:b/>
          <w:sz w:val="24"/>
          <w:szCs w:val="24"/>
        </w:rPr>
      </w:pPr>
    </w:p>
    <w:p w:rsidR="0066727B" w:rsidRPr="00DC20AB" w:rsidRDefault="0066727B" w:rsidP="0066727B">
      <w:pPr>
        <w:spacing w:line="240" w:lineRule="auto"/>
        <w:jc w:val="center"/>
        <w:rPr>
          <w:rFonts w:ascii="Arial" w:hAnsi="Arial" w:cs="Arial"/>
          <w:b/>
          <w:sz w:val="24"/>
          <w:szCs w:val="24"/>
        </w:rPr>
      </w:pPr>
      <w:r w:rsidRPr="00DC20AB">
        <w:rPr>
          <w:rFonts w:ascii="Arial" w:hAnsi="Arial" w:cs="Arial"/>
          <w:b/>
          <w:sz w:val="24"/>
          <w:szCs w:val="24"/>
        </w:rPr>
        <w:t xml:space="preserve">Consejero ponente: </w:t>
      </w:r>
      <w:r>
        <w:rPr>
          <w:rFonts w:ascii="Arial" w:hAnsi="Arial" w:cs="Arial"/>
          <w:b/>
          <w:sz w:val="24"/>
          <w:szCs w:val="24"/>
        </w:rPr>
        <w:t>CARLOS ALBERTO ZAMBRANO BARRERA</w:t>
      </w:r>
    </w:p>
    <w:p w:rsidR="0066727B" w:rsidRPr="00DC20AB" w:rsidRDefault="0066727B" w:rsidP="0066727B">
      <w:pPr>
        <w:spacing w:line="240" w:lineRule="auto"/>
        <w:jc w:val="both"/>
        <w:rPr>
          <w:rFonts w:ascii="Arial" w:hAnsi="Arial" w:cs="Arial"/>
          <w:sz w:val="24"/>
          <w:szCs w:val="24"/>
        </w:rPr>
      </w:pPr>
    </w:p>
    <w:p w:rsidR="0066727B" w:rsidRDefault="0066727B" w:rsidP="0066727B">
      <w:pPr>
        <w:spacing w:line="240" w:lineRule="auto"/>
        <w:jc w:val="both"/>
        <w:rPr>
          <w:rFonts w:ascii="Arial" w:hAnsi="Arial" w:cs="Arial"/>
          <w:sz w:val="24"/>
          <w:szCs w:val="24"/>
        </w:rPr>
      </w:pPr>
      <w:r w:rsidRPr="0066727B">
        <w:rPr>
          <w:rFonts w:ascii="Arial" w:hAnsi="Arial" w:cs="Arial"/>
          <w:sz w:val="24"/>
          <w:szCs w:val="24"/>
        </w:rPr>
        <w:t>Bogotá D.C., veintidós (22) de junio de dos mil diecisiete (2017)</w:t>
      </w:r>
    </w:p>
    <w:p w:rsidR="0066727B" w:rsidRPr="0066727B" w:rsidRDefault="0066727B" w:rsidP="0066727B">
      <w:pPr>
        <w:spacing w:line="240" w:lineRule="auto"/>
        <w:jc w:val="both"/>
        <w:rPr>
          <w:rFonts w:ascii="Arial" w:hAnsi="Arial" w:cs="Arial"/>
          <w:sz w:val="24"/>
          <w:szCs w:val="24"/>
        </w:rPr>
      </w:pPr>
    </w:p>
    <w:p w:rsidR="0066727B" w:rsidRDefault="0066727B" w:rsidP="0066727B">
      <w:pPr>
        <w:spacing w:line="240" w:lineRule="auto"/>
        <w:jc w:val="both"/>
        <w:rPr>
          <w:rFonts w:ascii="Arial" w:hAnsi="Arial" w:cs="Arial"/>
          <w:b/>
          <w:sz w:val="24"/>
          <w:szCs w:val="24"/>
        </w:rPr>
      </w:pPr>
      <w:r w:rsidRPr="00DC20AB">
        <w:rPr>
          <w:rFonts w:ascii="Arial" w:hAnsi="Arial" w:cs="Arial"/>
          <w:b/>
          <w:sz w:val="24"/>
          <w:szCs w:val="24"/>
        </w:rPr>
        <w:t xml:space="preserve">Radicación número: </w:t>
      </w:r>
      <w:r w:rsidRPr="0066727B">
        <w:rPr>
          <w:rFonts w:ascii="Arial" w:hAnsi="Arial" w:cs="Arial"/>
          <w:b/>
          <w:sz w:val="24"/>
          <w:szCs w:val="24"/>
        </w:rPr>
        <w:t>05</w:t>
      </w:r>
      <w:r w:rsidR="00B31871">
        <w:rPr>
          <w:rFonts w:ascii="Arial" w:hAnsi="Arial" w:cs="Arial"/>
          <w:b/>
          <w:sz w:val="24"/>
          <w:szCs w:val="24"/>
        </w:rPr>
        <w:t>001-23-33-000-2015-00204-00 (54</w:t>
      </w:r>
      <w:r w:rsidRPr="0066727B">
        <w:rPr>
          <w:rFonts w:ascii="Arial" w:hAnsi="Arial" w:cs="Arial"/>
          <w:b/>
          <w:sz w:val="24"/>
          <w:szCs w:val="24"/>
        </w:rPr>
        <w:t>780)</w:t>
      </w:r>
    </w:p>
    <w:p w:rsidR="0066727B" w:rsidRPr="0066727B" w:rsidRDefault="0066727B" w:rsidP="0066727B">
      <w:pPr>
        <w:spacing w:line="240" w:lineRule="auto"/>
        <w:jc w:val="both"/>
        <w:rPr>
          <w:rFonts w:ascii="Arial" w:hAnsi="Arial" w:cs="Arial"/>
          <w:b/>
          <w:sz w:val="24"/>
          <w:szCs w:val="24"/>
        </w:rPr>
      </w:pPr>
    </w:p>
    <w:p w:rsidR="0066727B" w:rsidRPr="0066727B" w:rsidRDefault="0066727B" w:rsidP="0066727B">
      <w:pPr>
        <w:spacing w:line="240" w:lineRule="auto"/>
        <w:jc w:val="both"/>
        <w:rPr>
          <w:rFonts w:ascii="Arial" w:hAnsi="Arial" w:cs="Arial"/>
          <w:b/>
          <w:sz w:val="24"/>
          <w:szCs w:val="24"/>
        </w:rPr>
      </w:pPr>
      <w:r w:rsidRPr="00DC20AB">
        <w:rPr>
          <w:rFonts w:ascii="Arial" w:hAnsi="Arial" w:cs="Arial"/>
          <w:b/>
          <w:sz w:val="24"/>
          <w:szCs w:val="24"/>
        </w:rPr>
        <w:t xml:space="preserve">Actor: </w:t>
      </w:r>
      <w:r w:rsidRPr="0066727B">
        <w:rPr>
          <w:rFonts w:ascii="Arial" w:hAnsi="Arial" w:cs="Arial"/>
          <w:b/>
          <w:sz w:val="24"/>
          <w:szCs w:val="24"/>
        </w:rPr>
        <w:t>RODRIGO DE JESÚS ESTRADA RAMÍREZ</w:t>
      </w:r>
    </w:p>
    <w:p w:rsidR="0066727B" w:rsidRPr="00DC20AB" w:rsidRDefault="0066727B" w:rsidP="0066727B">
      <w:pPr>
        <w:spacing w:line="240" w:lineRule="auto"/>
        <w:jc w:val="both"/>
        <w:rPr>
          <w:rFonts w:ascii="Arial" w:hAnsi="Arial" w:cs="Arial"/>
          <w:b/>
          <w:sz w:val="24"/>
          <w:szCs w:val="24"/>
        </w:rPr>
      </w:pPr>
    </w:p>
    <w:p w:rsidR="0066727B" w:rsidRPr="0066727B" w:rsidRDefault="0066727B" w:rsidP="0066727B">
      <w:pPr>
        <w:spacing w:line="240" w:lineRule="auto"/>
        <w:jc w:val="both"/>
        <w:rPr>
          <w:rFonts w:ascii="Arial" w:hAnsi="Arial" w:cs="Arial"/>
          <w:b/>
          <w:sz w:val="24"/>
          <w:szCs w:val="24"/>
        </w:rPr>
      </w:pPr>
      <w:r w:rsidRPr="00DC20AB">
        <w:rPr>
          <w:rFonts w:ascii="Arial" w:hAnsi="Arial" w:cs="Arial"/>
          <w:b/>
          <w:sz w:val="24"/>
          <w:szCs w:val="24"/>
        </w:rPr>
        <w:t xml:space="preserve">Demandado: </w:t>
      </w:r>
      <w:r w:rsidRPr="0066727B">
        <w:rPr>
          <w:rFonts w:ascii="Arial" w:hAnsi="Arial" w:cs="Arial"/>
          <w:b/>
          <w:sz w:val="24"/>
          <w:szCs w:val="24"/>
        </w:rPr>
        <w:t>MUNICIPIO DE ITAGÜÍ</w:t>
      </w:r>
    </w:p>
    <w:p w:rsidR="0066727B" w:rsidRPr="00DC20AB" w:rsidRDefault="0066727B" w:rsidP="0066727B">
      <w:pPr>
        <w:spacing w:line="240" w:lineRule="auto"/>
        <w:jc w:val="both"/>
        <w:rPr>
          <w:rFonts w:ascii="Arial" w:hAnsi="Arial" w:cs="Arial"/>
          <w:b/>
          <w:sz w:val="24"/>
          <w:szCs w:val="24"/>
        </w:rPr>
      </w:pPr>
    </w:p>
    <w:p w:rsidR="0066727B" w:rsidRPr="00DC20AB" w:rsidRDefault="0066727B" w:rsidP="0066727B">
      <w:pPr>
        <w:spacing w:line="240" w:lineRule="auto"/>
        <w:jc w:val="both"/>
        <w:rPr>
          <w:rFonts w:ascii="Arial" w:hAnsi="Arial" w:cs="Arial"/>
          <w:b/>
          <w:sz w:val="24"/>
          <w:szCs w:val="24"/>
        </w:rPr>
      </w:pPr>
    </w:p>
    <w:p w:rsidR="0066727B" w:rsidRPr="0066727B" w:rsidRDefault="0066727B" w:rsidP="0066727B">
      <w:pPr>
        <w:spacing w:line="240" w:lineRule="auto"/>
        <w:jc w:val="both"/>
        <w:rPr>
          <w:rFonts w:ascii="Arial" w:hAnsi="Arial" w:cs="Arial"/>
          <w:b/>
          <w:sz w:val="24"/>
          <w:szCs w:val="24"/>
        </w:rPr>
      </w:pPr>
      <w:r>
        <w:rPr>
          <w:rFonts w:ascii="Arial" w:hAnsi="Arial" w:cs="Arial"/>
          <w:b/>
          <w:sz w:val="24"/>
          <w:szCs w:val="24"/>
        </w:rPr>
        <w:t>Referencia:</w:t>
      </w:r>
      <w:r w:rsidRPr="00052E80">
        <w:rPr>
          <w:rFonts w:ascii="Arial" w:hAnsi="Arial" w:cs="Arial"/>
          <w:b/>
          <w:sz w:val="24"/>
          <w:szCs w:val="24"/>
        </w:rPr>
        <w:t xml:space="preserve"> </w:t>
      </w:r>
      <w:r w:rsidRPr="0066727B">
        <w:rPr>
          <w:rFonts w:ascii="Arial" w:hAnsi="Arial" w:cs="Arial"/>
          <w:b/>
          <w:sz w:val="24"/>
          <w:szCs w:val="24"/>
        </w:rPr>
        <w:t>ACCIÓN DE CONTROVERSIAS CONTRACTUALES</w:t>
      </w:r>
    </w:p>
    <w:p w:rsidR="0066727B" w:rsidRDefault="0066727B" w:rsidP="0066727B">
      <w:pPr>
        <w:spacing w:line="240" w:lineRule="auto"/>
        <w:jc w:val="both"/>
        <w:rPr>
          <w:rFonts w:ascii="Arial" w:hAnsi="Arial" w:cs="Arial"/>
          <w:b/>
          <w:sz w:val="24"/>
          <w:szCs w:val="24"/>
        </w:rPr>
      </w:pPr>
    </w:p>
    <w:p w:rsidR="0066727B" w:rsidRDefault="0066727B" w:rsidP="0066727B">
      <w:pPr>
        <w:spacing w:line="240" w:lineRule="auto"/>
        <w:jc w:val="both"/>
        <w:rPr>
          <w:rFonts w:ascii="Arial" w:hAnsi="Arial" w:cs="Arial"/>
          <w:b/>
          <w:sz w:val="24"/>
          <w:szCs w:val="24"/>
        </w:rPr>
      </w:pPr>
    </w:p>
    <w:p w:rsidR="0066727B" w:rsidRDefault="0066727B" w:rsidP="0066727B">
      <w:pPr>
        <w:spacing w:line="240" w:lineRule="auto"/>
        <w:jc w:val="both"/>
        <w:rPr>
          <w:rFonts w:ascii="Arial" w:hAnsi="Arial" w:cs="Arial"/>
          <w:b/>
          <w:sz w:val="24"/>
          <w:szCs w:val="24"/>
        </w:rPr>
      </w:pPr>
    </w:p>
    <w:p w:rsidR="00A57244" w:rsidRPr="0093381E" w:rsidRDefault="00A57244" w:rsidP="00A57244">
      <w:pPr>
        <w:spacing w:line="360" w:lineRule="auto"/>
        <w:jc w:val="both"/>
        <w:rPr>
          <w:rFonts w:ascii="Century Gothic" w:eastAsia="Times New Roman" w:hAnsi="Century Gothic" w:cs="Tahoma"/>
          <w:lang w:eastAsia="es-ES"/>
        </w:rPr>
      </w:pPr>
      <w:r w:rsidRPr="0093381E">
        <w:rPr>
          <w:rFonts w:ascii="Century Gothic" w:eastAsia="Times New Roman" w:hAnsi="Century Gothic" w:cs="Tahoma"/>
          <w:lang w:eastAsia="es-ES"/>
        </w:rPr>
        <w:t>Decide la Sala el recurso</w:t>
      </w:r>
      <w:r>
        <w:rPr>
          <w:rFonts w:ascii="Century Gothic" w:eastAsia="Times New Roman" w:hAnsi="Century Gothic" w:cs="Tahoma"/>
          <w:lang w:eastAsia="es-ES"/>
        </w:rPr>
        <w:t xml:space="preserve"> de apelación interpuesto por el apoderado</w:t>
      </w:r>
      <w:r w:rsidRPr="0093381E">
        <w:rPr>
          <w:rFonts w:ascii="Century Gothic" w:eastAsia="Times New Roman" w:hAnsi="Century Gothic" w:cs="Tahoma"/>
          <w:lang w:eastAsia="es-ES"/>
        </w:rPr>
        <w:t xml:space="preserve"> de la parte demandante contra</w:t>
      </w:r>
      <w:r>
        <w:rPr>
          <w:rFonts w:ascii="Century Gothic" w:eastAsia="Times New Roman" w:hAnsi="Century Gothic" w:cs="Tahoma"/>
          <w:lang w:eastAsia="es-ES"/>
        </w:rPr>
        <w:t xml:space="preserve"> el auto del</w:t>
      </w:r>
      <w:r w:rsidRPr="0093381E">
        <w:rPr>
          <w:rFonts w:ascii="Century Gothic" w:eastAsia="Times New Roman" w:hAnsi="Century Gothic" w:cs="Tahoma"/>
          <w:lang w:eastAsia="es-ES"/>
        </w:rPr>
        <w:t xml:space="preserve"> </w:t>
      </w:r>
      <w:r>
        <w:rPr>
          <w:rFonts w:ascii="Century Gothic" w:eastAsia="Times New Roman" w:hAnsi="Century Gothic" w:cs="Tahoma"/>
          <w:lang w:eastAsia="es-ES"/>
        </w:rPr>
        <w:t>29 de abril de 2015 proferido</w:t>
      </w:r>
      <w:r w:rsidRPr="0093381E">
        <w:rPr>
          <w:rFonts w:ascii="Century Gothic" w:eastAsia="Times New Roman" w:hAnsi="Century Gothic" w:cs="Tahoma"/>
          <w:lang w:eastAsia="es-ES"/>
        </w:rPr>
        <w:t xml:space="preserve"> por el Tribunal Administrativo de</w:t>
      </w:r>
      <w:r>
        <w:rPr>
          <w:rFonts w:ascii="Century Gothic" w:eastAsia="Times New Roman" w:hAnsi="Century Gothic" w:cs="Tahoma"/>
          <w:lang w:eastAsia="es-ES"/>
        </w:rPr>
        <w:t xml:space="preserve"> Antioquia,</w:t>
      </w:r>
      <w:r w:rsidRPr="0093381E">
        <w:rPr>
          <w:rFonts w:ascii="Century Gothic" w:eastAsia="Times New Roman" w:hAnsi="Century Gothic" w:cs="Tahoma"/>
          <w:lang w:eastAsia="es-ES"/>
        </w:rPr>
        <w:t xml:space="preserve"> </w:t>
      </w:r>
      <w:r>
        <w:rPr>
          <w:rFonts w:ascii="Century Gothic" w:eastAsia="Times New Roman" w:hAnsi="Century Gothic" w:cs="Tahoma"/>
          <w:lang w:eastAsia="es-ES"/>
        </w:rPr>
        <w:t>mediante el cual se rechazó la demanda.</w:t>
      </w:r>
    </w:p>
    <w:p w:rsidR="00A57244" w:rsidRPr="0093381E" w:rsidRDefault="00A57244" w:rsidP="00A57244">
      <w:pPr>
        <w:rPr>
          <w:lang w:eastAsia="es-ES"/>
        </w:rPr>
      </w:pPr>
    </w:p>
    <w:p w:rsidR="00A57244" w:rsidRPr="0093381E" w:rsidRDefault="00A57244" w:rsidP="00A57244">
      <w:pPr>
        <w:jc w:val="center"/>
        <w:rPr>
          <w:rFonts w:ascii="Century Gothic" w:eastAsia="Times New Roman" w:hAnsi="Century Gothic" w:cs="Tahoma"/>
          <w:b/>
          <w:lang w:eastAsia="es-ES"/>
        </w:rPr>
      </w:pPr>
      <w:r w:rsidRPr="0093381E">
        <w:rPr>
          <w:rFonts w:ascii="Century Gothic" w:eastAsia="Times New Roman" w:hAnsi="Century Gothic" w:cs="Tahoma"/>
          <w:b/>
          <w:lang w:eastAsia="es-ES"/>
        </w:rPr>
        <w:t>ANTECEDENTES</w:t>
      </w:r>
    </w:p>
    <w:p w:rsidR="00A57244" w:rsidRPr="0093381E" w:rsidRDefault="00A57244" w:rsidP="00A57244">
      <w:pPr>
        <w:pStyle w:val="Sinespaciado"/>
        <w:rPr>
          <w:lang w:eastAsia="es-ES"/>
        </w:rPr>
      </w:pPr>
    </w:p>
    <w:p w:rsidR="00A57244" w:rsidRPr="0093381E" w:rsidRDefault="00A57244" w:rsidP="00A57244">
      <w:pPr>
        <w:spacing w:line="360" w:lineRule="auto"/>
        <w:contextualSpacing/>
        <w:jc w:val="both"/>
        <w:rPr>
          <w:rFonts w:ascii="Century Gothic" w:eastAsia="Times New Roman" w:hAnsi="Century Gothic" w:cs="Tahoma"/>
          <w:b/>
          <w:lang w:eastAsia="es-ES"/>
        </w:rPr>
      </w:pPr>
      <w:r w:rsidRPr="0093381E">
        <w:rPr>
          <w:rFonts w:ascii="Century Gothic" w:eastAsia="Times New Roman" w:hAnsi="Century Gothic" w:cs="Tahoma"/>
          <w:b/>
          <w:lang w:eastAsia="es-ES"/>
        </w:rPr>
        <w:t>La demanda</w:t>
      </w:r>
      <w:r w:rsidRPr="0093381E">
        <w:rPr>
          <w:rFonts w:ascii="Century Gothic" w:eastAsia="Times New Roman" w:hAnsi="Century Gothic" w:cs="Tahoma"/>
          <w:b/>
          <w:lang w:eastAsia="es-ES"/>
        </w:rPr>
        <w:tab/>
      </w:r>
      <w:r w:rsidRPr="0093381E">
        <w:rPr>
          <w:rFonts w:ascii="Century Gothic" w:eastAsia="Times New Roman" w:hAnsi="Century Gothic" w:cs="Tahoma"/>
          <w:b/>
          <w:lang w:eastAsia="es-ES"/>
        </w:rPr>
        <w:br/>
      </w:r>
    </w:p>
    <w:p w:rsidR="00A57244" w:rsidRDefault="00A57244" w:rsidP="00A57244">
      <w:pPr>
        <w:spacing w:line="360" w:lineRule="auto"/>
        <w:jc w:val="both"/>
        <w:rPr>
          <w:rFonts w:ascii="Century Gothic" w:eastAsia="Times New Roman" w:hAnsi="Century Gothic" w:cs="Tahoma"/>
          <w:lang w:eastAsia="es-ES"/>
        </w:rPr>
      </w:pPr>
      <w:r w:rsidRPr="0093381E">
        <w:rPr>
          <w:rFonts w:ascii="Century Gothic" w:eastAsia="Times New Roman" w:hAnsi="Century Gothic" w:cs="Tahoma"/>
          <w:lang w:eastAsia="es-ES"/>
        </w:rPr>
        <w:t>1.</w:t>
      </w:r>
      <w:r>
        <w:rPr>
          <w:rFonts w:ascii="Century Gothic" w:eastAsia="Times New Roman" w:hAnsi="Century Gothic" w:cs="Tahoma"/>
          <w:lang w:eastAsia="es-ES"/>
        </w:rPr>
        <w:t xml:space="preserve"> El 23 de enero de 2015, Rodrigo de Jesús Estrada Ramírez, por intermedio de apoderado judicial y en ejercicio de la acción </w:t>
      </w:r>
      <w:r w:rsidRPr="00882A06">
        <w:rPr>
          <w:rFonts w:ascii="Century Gothic" w:eastAsia="Times New Roman" w:hAnsi="Century Gothic" w:cs="Tahoma"/>
          <w:lang w:eastAsia="es-ES"/>
        </w:rPr>
        <w:t xml:space="preserve">de </w:t>
      </w:r>
      <w:r>
        <w:rPr>
          <w:rFonts w:ascii="Century Gothic" w:eastAsia="Times New Roman" w:hAnsi="Century Gothic" w:cs="Tahoma"/>
          <w:lang w:eastAsia="es-ES"/>
        </w:rPr>
        <w:t>controversias contractuales, formuló</w:t>
      </w:r>
      <w:r w:rsidRPr="00882A06">
        <w:rPr>
          <w:rFonts w:ascii="Century Gothic" w:eastAsia="Times New Roman" w:hAnsi="Century Gothic" w:cs="Tahoma"/>
          <w:lang w:eastAsia="es-ES"/>
        </w:rPr>
        <w:t xml:space="preserve"> demanda contra el</w:t>
      </w:r>
      <w:r>
        <w:rPr>
          <w:rFonts w:ascii="Century Gothic" w:eastAsia="Times New Roman" w:hAnsi="Century Gothic" w:cs="Tahoma"/>
          <w:lang w:eastAsia="es-ES"/>
        </w:rPr>
        <w:t xml:space="preserve"> </w:t>
      </w:r>
      <w:r>
        <w:rPr>
          <w:rFonts w:ascii="Century Gothic" w:eastAsia="Times New Roman" w:hAnsi="Century Gothic" w:cs="Tahoma"/>
          <w:bCs/>
          <w:lang w:eastAsia="es-ES"/>
        </w:rPr>
        <w:t>municipio de Itagüí</w:t>
      </w:r>
      <w:r w:rsidRPr="00882A06">
        <w:rPr>
          <w:rFonts w:ascii="Century Gothic" w:eastAsia="Times New Roman" w:hAnsi="Century Gothic" w:cs="Tahoma"/>
          <w:lang w:eastAsia="es-ES"/>
        </w:rPr>
        <w:t>, con el fin de que se</w:t>
      </w:r>
      <w:r>
        <w:rPr>
          <w:rFonts w:ascii="Century Gothic" w:eastAsia="Times New Roman" w:hAnsi="Century Gothic" w:cs="Tahoma"/>
          <w:lang w:eastAsia="es-ES"/>
        </w:rPr>
        <w:t xml:space="preserve"> </w:t>
      </w:r>
      <w:r w:rsidRPr="00FE471E">
        <w:rPr>
          <w:rFonts w:ascii="Century Gothic" w:eastAsia="Times New Roman" w:hAnsi="Century Gothic" w:cs="Tahoma"/>
          <w:i/>
          <w:lang w:eastAsia="es-ES"/>
        </w:rPr>
        <w:t>“declare patrimonialmente responsable por la omisión antijurídica constitutiva de incumplimiento de la obligación de retrovender de forma preferencial los inmuebles objeto de la presente demanda a los anteriores propietarios y a los causahabientes de la sociedad estrada autos limitada</w:t>
      </w:r>
      <w:r>
        <w:rPr>
          <w:rFonts w:ascii="Century Gothic" w:eastAsia="Times New Roman" w:hAnsi="Century Gothic" w:cs="Tahoma"/>
          <w:i/>
          <w:lang w:eastAsia="es-ES"/>
        </w:rPr>
        <w:t xml:space="preserve"> (sic)</w:t>
      </w:r>
      <w:r w:rsidRPr="00FE471E">
        <w:rPr>
          <w:rFonts w:ascii="Century Gothic" w:eastAsia="Times New Roman" w:hAnsi="Century Gothic" w:cs="Tahoma"/>
          <w:i/>
          <w:lang w:eastAsia="es-ES"/>
        </w:rPr>
        <w:t xml:space="preserve"> que ocasionó daño antijurídico”</w:t>
      </w:r>
      <w:r>
        <w:rPr>
          <w:rStyle w:val="Refdenotaalpie"/>
          <w:rFonts w:ascii="Century Gothic" w:eastAsia="Times New Roman" w:hAnsi="Century Gothic" w:cs="Tahoma"/>
          <w:i/>
          <w:lang w:eastAsia="es-ES"/>
        </w:rPr>
        <w:footnoteReference w:id="1"/>
      </w:r>
      <w:r>
        <w:rPr>
          <w:rFonts w:ascii="Century Gothic" w:eastAsia="Times New Roman" w:hAnsi="Century Gothic" w:cs="Tahoma"/>
          <w:lang w:eastAsia="es-ES"/>
        </w:rPr>
        <w:t xml:space="preserve">; en consecuencia, solicitó indemnización en la modalidad de lucro cesante y perjuicios morales. </w:t>
      </w:r>
    </w:p>
    <w:p w:rsidR="00A57244" w:rsidRPr="0093381E" w:rsidRDefault="00A57244" w:rsidP="00A57244">
      <w:pPr>
        <w:pStyle w:val="Sinespaciado"/>
        <w:rPr>
          <w:lang w:eastAsia="es-ES"/>
        </w:rPr>
      </w:pPr>
    </w:p>
    <w:p w:rsidR="00A57244" w:rsidRDefault="00A57244" w:rsidP="00A57244">
      <w:pPr>
        <w:spacing w:line="360" w:lineRule="auto"/>
        <w:jc w:val="both"/>
        <w:rPr>
          <w:rFonts w:ascii="Century Gothic" w:eastAsia="Times New Roman" w:hAnsi="Century Gothic"/>
          <w:lang w:eastAsia="es-ES"/>
        </w:rPr>
      </w:pPr>
      <w:r w:rsidRPr="0093381E">
        <w:rPr>
          <w:rFonts w:ascii="Century Gothic" w:eastAsia="Times New Roman" w:hAnsi="Century Gothic"/>
          <w:lang w:eastAsia="es-ES"/>
        </w:rPr>
        <w:lastRenderedPageBreak/>
        <w:t xml:space="preserve">2. </w:t>
      </w:r>
      <w:r>
        <w:rPr>
          <w:rFonts w:ascii="Century Gothic" w:eastAsia="Times New Roman" w:hAnsi="Century Gothic"/>
          <w:lang w:eastAsia="es-ES"/>
        </w:rPr>
        <w:t>Como fundamentos fácticos de la demanda,</w:t>
      </w:r>
      <w:r w:rsidRPr="0093381E">
        <w:rPr>
          <w:rFonts w:ascii="Century Gothic" w:eastAsia="Times New Roman" w:hAnsi="Century Gothic"/>
          <w:lang w:eastAsia="es-ES"/>
        </w:rPr>
        <w:t xml:space="preserve"> </w:t>
      </w:r>
      <w:r>
        <w:rPr>
          <w:rFonts w:ascii="Century Gothic" w:eastAsia="Times New Roman" w:hAnsi="Century Gothic"/>
          <w:lang w:eastAsia="es-ES"/>
        </w:rPr>
        <w:t>señaló los siguientes:</w:t>
      </w:r>
    </w:p>
    <w:p w:rsidR="00A57244" w:rsidRDefault="00A57244" w:rsidP="00A57244">
      <w:pPr>
        <w:spacing w:line="360" w:lineRule="auto"/>
        <w:jc w:val="both"/>
        <w:rPr>
          <w:rFonts w:ascii="Century Gothic" w:eastAsia="Times New Roman" w:hAnsi="Century Gothic"/>
          <w:lang w:eastAsia="es-ES"/>
        </w:rPr>
      </w:pPr>
      <w:r>
        <w:rPr>
          <w:rFonts w:ascii="Century Gothic" w:eastAsia="Times New Roman" w:hAnsi="Century Gothic"/>
          <w:lang w:eastAsia="es-ES"/>
        </w:rPr>
        <w:t xml:space="preserve">a. Mediante escritura pública 421 de 30 de junio de 1995, el municipio de Itagüí y la sociedad Estrada Autos Ltda., de la que el actor es causahabiente, celebraron un contrato de compraventa bajo la modalidad de enajenación voluntaria directa, establecida en el artículo 34 de la Ley 9 de 1989, de </w:t>
      </w:r>
      <w:r w:rsidRPr="004F52CD">
        <w:rPr>
          <w:rFonts w:ascii="Century Gothic" w:eastAsia="Times New Roman" w:hAnsi="Century Gothic"/>
          <w:lang w:eastAsia="es-ES"/>
        </w:rPr>
        <w:t xml:space="preserve">dos lotes </w:t>
      </w:r>
      <w:r>
        <w:rPr>
          <w:rFonts w:ascii="Century Gothic" w:eastAsia="Times New Roman" w:hAnsi="Century Gothic"/>
          <w:lang w:eastAsia="es-ES"/>
        </w:rPr>
        <w:br/>
      </w:r>
    </w:p>
    <w:p w:rsidR="00A57244" w:rsidRDefault="00A57244" w:rsidP="00A57244">
      <w:pPr>
        <w:pStyle w:val="Sinespaciado"/>
        <w:rPr>
          <w:lang w:eastAsia="es-ES"/>
        </w:rPr>
      </w:pPr>
    </w:p>
    <w:p w:rsidR="00A57244" w:rsidRPr="005E3E58" w:rsidRDefault="00A57244" w:rsidP="00A57244">
      <w:pPr>
        <w:spacing w:line="360" w:lineRule="auto"/>
        <w:jc w:val="both"/>
        <w:rPr>
          <w:rFonts w:ascii="Century Gothic" w:eastAsia="Times New Roman" w:hAnsi="Century Gothic"/>
          <w:lang w:eastAsia="es-ES"/>
        </w:rPr>
      </w:pPr>
      <w:r w:rsidRPr="004F52CD">
        <w:rPr>
          <w:rFonts w:ascii="Century Gothic" w:eastAsia="Times New Roman" w:hAnsi="Century Gothic"/>
          <w:lang w:eastAsia="es-ES"/>
        </w:rPr>
        <w:t xml:space="preserve">de terreno </w:t>
      </w:r>
      <w:r w:rsidRPr="00CC66CB">
        <w:rPr>
          <w:rFonts w:ascii="Century Gothic" w:hAnsi="Century Gothic" w:cs="Arial"/>
          <w:spacing w:val="2"/>
        </w:rPr>
        <w:t>identificados con las matrículas inmobiliarias Nos. 001-536065 y 001-536066</w:t>
      </w:r>
      <w:r>
        <w:rPr>
          <w:rFonts w:ascii="Century Gothic" w:hAnsi="Century Gothic" w:cs="Arial"/>
          <w:spacing w:val="2"/>
        </w:rPr>
        <w:t>.</w:t>
      </w:r>
    </w:p>
    <w:p w:rsidR="00A57244" w:rsidRDefault="00A57244" w:rsidP="00A57244">
      <w:pPr>
        <w:pStyle w:val="Sinespaciado"/>
        <w:rPr>
          <w:lang w:eastAsia="es-ES"/>
        </w:rPr>
      </w:pPr>
      <w:r>
        <w:rPr>
          <w:highlight w:val="yellow"/>
          <w:lang w:eastAsia="es-ES"/>
        </w:rPr>
        <w:t xml:space="preserve">  </w:t>
      </w:r>
      <w:r>
        <w:rPr>
          <w:lang w:eastAsia="es-ES"/>
        </w:rPr>
        <w:t xml:space="preserve"> </w:t>
      </w:r>
    </w:p>
    <w:p w:rsidR="00A57244" w:rsidRDefault="00A57244" w:rsidP="00A57244">
      <w:pPr>
        <w:spacing w:line="360" w:lineRule="auto"/>
        <w:jc w:val="both"/>
        <w:rPr>
          <w:rFonts w:ascii="Arial" w:hAnsi="Arial" w:cs="Arial"/>
          <w:spacing w:val="2"/>
          <w:sz w:val="24"/>
          <w:szCs w:val="24"/>
        </w:rPr>
      </w:pPr>
      <w:r>
        <w:rPr>
          <w:rFonts w:ascii="Century Gothic" w:eastAsia="Times New Roman" w:hAnsi="Century Gothic"/>
          <w:lang w:eastAsia="es-ES"/>
        </w:rPr>
        <w:t xml:space="preserve">b. A través de escritura pública 422 de 30 de junio de 1995, el ente territorial adquirió, bajo la mencionada modalidad, trece lotes de terrero </w:t>
      </w:r>
      <w:r w:rsidRPr="00CC66CB">
        <w:rPr>
          <w:rFonts w:ascii="Century Gothic" w:eastAsia="Times New Roman" w:hAnsi="Century Gothic"/>
          <w:lang w:eastAsia="es-ES"/>
        </w:rPr>
        <w:t>identificados con matrículas inmobiliarias</w:t>
      </w:r>
      <w:r w:rsidRPr="00CC66CB">
        <w:rPr>
          <w:rFonts w:ascii="Century Gothic" w:hAnsi="Century Gothic" w:cs="Arial"/>
          <w:spacing w:val="2"/>
        </w:rPr>
        <w:t xml:space="preserve"> 001-0301350, 001-0301351, 001-0301352, 001-0301353, 001-0301354, 001-0301355, 001-0301356, 001-0301357, 001-0301358, 001-0301</w:t>
      </w:r>
      <w:r>
        <w:rPr>
          <w:rFonts w:ascii="Century Gothic" w:hAnsi="Century Gothic" w:cs="Arial"/>
          <w:spacing w:val="2"/>
        </w:rPr>
        <w:t>359, 001-0301360, 001-0301361 y</w:t>
      </w:r>
      <w:r w:rsidRPr="00CC66CB">
        <w:rPr>
          <w:rFonts w:ascii="Century Gothic" w:hAnsi="Century Gothic" w:cs="Arial"/>
          <w:spacing w:val="2"/>
        </w:rPr>
        <w:t xml:space="preserve"> 001-0526782</w:t>
      </w:r>
      <w:r>
        <w:rPr>
          <w:rFonts w:ascii="Century Gothic" w:hAnsi="Century Gothic" w:cs="Arial"/>
          <w:spacing w:val="2"/>
        </w:rPr>
        <w:t>, todos</w:t>
      </w:r>
      <w:r w:rsidRPr="00CC66CB">
        <w:rPr>
          <w:rFonts w:ascii="Century Gothic" w:hAnsi="Century Gothic" w:cs="Arial"/>
          <w:spacing w:val="2"/>
        </w:rPr>
        <w:t xml:space="preserve"> de propiedad de la referida sociedad.</w:t>
      </w:r>
      <w:r>
        <w:rPr>
          <w:rFonts w:ascii="Arial" w:hAnsi="Arial" w:cs="Arial"/>
          <w:spacing w:val="2"/>
          <w:sz w:val="24"/>
          <w:szCs w:val="24"/>
        </w:rPr>
        <w:t xml:space="preserve"> </w:t>
      </w:r>
    </w:p>
    <w:p w:rsidR="00A57244" w:rsidRDefault="00A57244" w:rsidP="00A57244">
      <w:pPr>
        <w:pStyle w:val="Sinespaciado"/>
        <w:rPr>
          <w:lang w:eastAsia="es-ES"/>
        </w:rPr>
      </w:pPr>
    </w:p>
    <w:p w:rsidR="00A57244" w:rsidRDefault="00A57244" w:rsidP="00A57244">
      <w:pPr>
        <w:spacing w:line="360" w:lineRule="auto"/>
        <w:jc w:val="both"/>
        <w:rPr>
          <w:rFonts w:ascii="Century Gothic" w:eastAsia="Times New Roman" w:hAnsi="Century Gothic"/>
          <w:lang w:eastAsia="es-ES"/>
        </w:rPr>
      </w:pPr>
      <w:r>
        <w:rPr>
          <w:rFonts w:ascii="Century Gothic" w:eastAsia="Times New Roman" w:hAnsi="Century Gothic"/>
          <w:lang w:eastAsia="es-ES"/>
        </w:rPr>
        <w:t xml:space="preserve">c. Con escritura pública 722 de 31 de octubre de 1995 se englobaron los señalados terrenos en el folio de matrícula inmobiliaria 001-676398, los cuales serían destinados para la construcción de la Ciudadela Universitaria del municipio de Itagüí.  </w:t>
      </w:r>
    </w:p>
    <w:p w:rsidR="00A57244" w:rsidRDefault="00A57244" w:rsidP="00A57244">
      <w:pPr>
        <w:pStyle w:val="Sinespaciado"/>
        <w:rPr>
          <w:lang w:eastAsia="es-ES"/>
        </w:rPr>
      </w:pPr>
    </w:p>
    <w:p w:rsidR="00A57244" w:rsidRDefault="00A57244" w:rsidP="00A57244">
      <w:pPr>
        <w:spacing w:line="360" w:lineRule="auto"/>
        <w:jc w:val="both"/>
        <w:rPr>
          <w:rFonts w:ascii="Century Gothic" w:hAnsi="Century Gothic" w:cs="Arial"/>
          <w:spacing w:val="2"/>
        </w:rPr>
      </w:pPr>
      <w:r>
        <w:rPr>
          <w:rFonts w:ascii="Century Gothic" w:eastAsia="Times New Roman" w:hAnsi="Century Gothic"/>
          <w:lang w:eastAsia="es-ES"/>
        </w:rPr>
        <w:t xml:space="preserve">d. </w:t>
      </w:r>
      <w:r w:rsidRPr="00DC0B4D">
        <w:rPr>
          <w:rFonts w:ascii="Century Gothic" w:eastAsia="Times New Roman" w:hAnsi="Century Gothic"/>
          <w:lang w:eastAsia="es-ES"/>
        </w:rPr>
        <w:t xml:space="preserve">Mediante escritura pública 1854 de 23 de agosto de 1999, el ente territorial demandado enajenó al Área Metropolitana del Valle de Aburrá </w:t>
      </w:r>
      <w:r>
        <w:rPr>
          <w:rFonts w:ascii="Century Gothic" w:eastAsia="Times New Roman" w:hAnsi="Century Gothic"/>
          <w:lang w:eastAsia="es-ES"/>
        </w:rPr>
        <w:t xml:space="preserve">la totalidad de </w:t>
      </w:r>
      <w:r w:rsidRPr="00DC0B4D">
        <w:rPr>
          <w:rFonts w:ascii="Century Gothic" w:eastAsia="Times New Roman" w:hAnsi="Century Gothic"/>
          <w:lang w:eastAsia="es-ES"/>
        </w:rPr>
        <w:t>los</w:t>
      </w:r>
      <w:r>
        <w:rPr>
          <w:rFonts w:ascii="Century Gothic" w:eastAsia="Times New Roman" w:hAnsi="Century Gothic"/>
          <w:lang w:eastAsia="es-ES"/>
        </w:rPr>
        <w:t xml:space="preserve"> lotes antes mencionados (15 en total)</w:t>
      </w:r>
      <w:r w:rsidRPr="00DC0B4D">
        <w:rPr>
          <w:rFonts w:ascii="Century Gothic" w:eastAsia="Times New Roman" w:hAnsi="Century Gothic"/>
          <w:lang w:eastAsia="es-ES"/>
        </w:rPr>
        <w:t xml:space="preserve">, sin ofrecerlos previamente a los anteriores propietarios, </w:t>
      </w:r>
      <w:r w:rsidRPr="00DC0B4D">
        <w:rPr>
          <w:rFonts w:ascii="Century Gothic" w:hAnsi="Century Gothic" w:cs="Arial"/>
          <w:spacing w:val="2"/>
        </w:rPr>
        <w:t xml:space="preserve">desconociendo el derecho de preferencia de que trata el artículo 34 de la Ley 9 de 1989, debido a que los inmuebles no fueron utilizados para desarrollar el proyecto para el </w:t>
      </w:r>
      <w:r>
        <w:rPr>
          <w:rFonts w:ascii="Century Gothic" w:hAnsi="Century Gothic" w:cs="Arial"/>
          <w:spacing w:val="2"/>
        </w:rPr>
        <w:t xml:space="preserve">cual </w:t>
      </w:r>
      <w:r w:rsidRPr="00DC0B4D">
        <w:rPr>
          <w:rFonts w:ascii="Century Gothic" w:hAnsi="Century Gothic" w:cs="Arial"/>
          <w:spacing w:val="2"/>
        </w:rPr>
        <w:t>estaban destinados.</w:t>
      </w:r>
    </w:p>
    <w:p w:rsidR="00A57244" w:rsidRDefault="00A57244" w:rsidP="00A57244">
      <w:pPr>
        <w:pStyle w:val="Sinespaciado"/>
      </w:pPr>
    </w:p>
    <w:p w:rsidR="00A57244" w:rsidRDefault="00A57244" w:rsidP="00A57244">
      <w:pPr>
        <w:spacing w:line="360" w:lineRule="auto"/>
        <w:jc w:val="both"/>
        <w:rPr>
          <w:rFonts w:ascii="Century Gothic" w:hAnsi="Century Gothic" w:cs="Arial"/>
          <w:spacing w:val="2"/>
        </w:rPr>
      </w:pPr>
      <w:r>
        <w:rPr>
          <w:rFonts w:ascii="Century Gothic" w:hAnsi="Century Gothic" w:cs="Arial"/>
          <w:spacing w:val="2"/>
        </w:rPr>
        <w:t xml:space="preserve">e. Respecto del término para hacer uso de la acción judicial de la referencia, el actor indicó que no tiene caducidad, sino que le es aplicable la prescripción de que trata el artículo 55 de la Ley 80 de 1993, esto es, 20 años contados a partir de la fecha de ocurrencia de los hechos que se configuraron el 23 de agosto de 1999. </w:t>
      </w:r>
    </w:p>
    <w:p w:rsidR="00A57244" w:rsidRPr="00F1552F" w:rsidRDefault="00A57244" w:rsidP="00A57244">
      <w:pPr>
        <w:pStyle w:val="Sinespaciado"/>
        <w:rPr>
          <w:rFonts w:ascii="Arial" w:hAnsi="Arial" w:cs="Arial"/>
          <w:sz w:val="24"/>
          <w:szCs w:val="24"/>
        </w:rPr>
      </w:pPr>
    </w:p>
    <w:p w:rsidR="00A57244" w:rsidRPr="0093381E" w:rsidRDefault="00A57244" w:rsidP="00A57244">
      <w:pPr>
        <w:tabs>
          <w:tab w:val="left" w:pos="720"/>
        </w:tabs>
        <w:spacing w:line="360" w:lineRule="auto"/>
        <w:ind w:right="1124"/>
        <w:contextualSpacing/>
        <w:jc w:val="both"/>
        <w:rPr>
          <w:rFonts w:ascii="Century Gothic" w:eastAsia="Times New Roman" w:hAnsi="Century Gothic" w:cs="Tahoma"/>
          <w:sz w:val="20"/>
          <w:szCs w:val="20"/>
          <w:lang w:eastAsia="es-ES"/>
        </w:rPr>
      </w:pPr>
      <w:r w:rsidRPr="0093381E">
        <w:rPr>
          <w:rFonts w:ascii="Century Gothic" w:eastAsia="Times New Roman" w:hAnsi="Century Gothic" w:cs="Tahoma"/>
          <w:b/>
          <w:lang w:eastAsia="es-ES"/>
        </w:rPr>
        <w:t xml:space="preserve">La decisión apelada </w:t>
      </w:r>
    </w:p>
    <w:p w:rsidR="00A57244" w:rsidRDefault="00A57244" w:rsidP="00A57244">
      <w:pPr>
        <w:pStyle w:val="Sinespaciado"/>
        <w:rPr>
          <w:lang w:eastAsia="es-ES"/>
        </w:rPr>
      </w:pPr>
    </w:p>
    <w:p w:rsidR="00A57244" w:rsidRDefault="00A57244" w:rsidP="00A57244">
      <w:pPr>
        <w:spacing w:line="360" w:lineRule="auto"/>
        <w:jc w:val="both"/>
        <w:rPr>
          <w:rFonts w:ascii="Century Gothic" w:eastAsia="Times New Roman" w:hAnsi="Century Gothic" w:cs="Tahoma"/>
          <w:lang w:eastAsia="es-ES"/>
        </w:rPr>
      </w:pPr>
      <w:r>
        <w:rPr>
          <w:lang w:eastAsia="es-ES"/>
        </w:rPr>
        <w:t>El</w:t>
      </w:r>
      <w:r>
        <w:rPr>
          <w:rFonts w:ascii="Century Gothic" w:eastAsia="Times New Roman" w:hAnsi="Century Gothic" w:cs="Tahoma"/>
          <w:lang w:eastAsia="es-ES"/>
        </w:rPr>
        <w:t xml:space="preserve"> </w:t>
      </w:r>
      <w:r w:rsidRPr="0093381E">
        <w:rPr>
          <w:rFonts w:ascii="Century Gothic" w:eastAsia="Times New Roman" w:hAnsi="Century Gothic" w:cs="Tahoma"/>
          <w:lang w:eastAsia="es-ES"/>
        </w:rPr>
        <w:t>Tribunal Administrativo de</w:t>
      </w:r>
      <w:r>
        <w:rPr>
          <w:rFonts w:ascii="Century Gothic" w:eastAsia="Times New Roman" w:hAnsi="Century Gothic" w:cs="Tahoma"/>
          <w:lang w:eastAsia="es-ES"/>
        </w:rPr>
        <w:t xml:space="preserve"> Antioquia, Sala de Decisión Oral, mediante auto de 29 de abril de 2015 rechazó la demanda, por encontrarse caducada; al efecto, consideró que, en primer lugar, el artículo 55 de la Ley 80 de 1993 hace referencia a un término de prescripción que era un fenómeno de caducidad aplicable solo para las conductas antijurídicas y no para discutir otro tipo de pretensiones como</w:t>
      </w:r>
      <w:r>
        <w:rPr>
          <w:rFonts w:ascii="Century Gothic" w:eastAsia="Times New Roman" w:hAnsi="Century Gothic" w:cs="Tahoma"/>
          <w:lang w:eastAsia="es-ES"/>
        </w:rPr>
        <w:br/>
      </w:r>
      <w:r>
        <w:rPr>
          <w:rFonts w:ascii="Century Gothic" w:eastAsia="Times New Roman" w:hAnsi="Century Gothic" w:cs="Tahoma"/>
          <w:lang w:eastAsia="es-ES"/>
        </w:rPr>
        <w:br/>
      </w:r>
      <w:r>
        <w:rPr>
          <w:rFonts w:ascii="Century Gothic" w:eastAsia="Times New Roman" w:hAnsi="Century Gothic" w:cs="Tahoma"/>
          <w:lang w:eastAsia="es-ES"/>
        </w:rPr>
        <w:br/>
      </w:r>
      <w:r>
        <w:rPr>
          <w:rFonts w:ascii="Century Gothic" w:eastAsia="Times New Roman" w:hAnsi="Century Gothic" w:cs="Tahoma"/>
          <w:lang w:eastAsia="es-ES"/>
        </w:rPr>
        <w:lastRenderedPageBreak/>
        <w:t xml:space="preserve">la validez del contrato o el hecho del príncipe, las cuales se regían por lo establecido en el Decreto 01 de 1984. </w:t>
      </w:r>
    </w:p>
    <w:p w:rsidR="00A57244" w:rsidRPr="00E522A6" w:rsidRDefault="00A57244" w:rsidP="00A57244">
      <w:pPr>
        <w:pStyle w:val="Sinespaciado"/>
        <w:spacing w:line="360" w:lineRule="auto"/>
        <w:jc w:val="both"/>
        <w:rPr>
          <w:rFonts w:ascii="Century Gothic" w:hAnsi="Century Gothic"/>
          <w:lang w:eastAsia="es-ES"/>
        </w:rPr>
      </w:pPr>
      <w:r>
        <w:rPr>
          <w:lang w:eastAsia="es-ES"/>
        </w:rPr>
        <w:br/>
      </w:r>
      <w:r w:rsidRPr="00E522A6">
        <w:rPr>
          <w:rFonts w:ascii="Century Gothic" w:hAnsi="Century Gothic"/>
          <w:lang w:eastAsia="es-ES"/>
        </w:rPr>
        <w:t>En segundo término, los hechos que generaron el supuesto daño por el cual se demanda ocurrieron el 23 de agos</w:t>
      </w:r>
      <w:r>
        <w:rPr>
          <w:rFonts w:ascii="Century Gothic" w:hAnsi="Century Gothic"/>
          <w:lang w:eastAsia="es-ES"/>
        </w:rPr>
        <w:t>to de 1999, fecha en la que el m</w:t>
      </w:r>
      <w:r w:rsidRPr="00E522A6">
        <w:rPr>
          <w:rFonts w:ascii="Century Gothic" w:hAnsi="Century Gothic"/>
          <w:lang w:eastAsia="es-ES"/>
        </w:rPr>
        <w:t>unicipio de Itagüí celebró el contrato de compraventa con el Área Metropolitana de Aburrá, época en la que se encontraba vigente la Ley 446 de 1998 que consagraba el término de caducidad de la acción contractual de 2 años</w:t>
      </w:r>
      <w:r>
        <w:rPr>
          <w:rFonts w:ascii="Century Gothic" w:hAnsi="Century Gothic"/>
          <w:lang w:eastAsia="es-ES"/>
        </w:rPr>
        <w:t>, razón por la cual el plazo</w:t>
      </w:r>
      <w:r w:rsidRPr="00E522A6">
        <w:rPr>
          <w:rFonts w:ascii="Century Gothic" w:hAnsi="Century Gothic"/>
          <w:lang w:eastAsia="es-ES"/>
        </w:rPr>
        <w:t xml:space="preserve"> para demandar venció el 24 de agosto de 2001, de tal suerte que, al haber demandado el 23 de enero de 2015</w:t>
      </w:r>
      <w:r>
        <w:rPr>
          <w:rFonts w:ascii="Century Gothic" w:hAnsi="Century Gothic"/>
          <w:lang w:eastAsia="es-ES"/>
        </w:rPr>
        <w:t>,</w:t>
      </w:r>
      <w:r w:rsidRPr="00E522A6">
        <w:rPr>
          <w:rFonts w:ascii="Century Gothic" w:hAnsi="Century Gothic"/>
          <w:lang w:eastAsia="es-ES"/>
        </w:rPr>
        <w:t xml:space="preserve"> la acci</w:t>
      </w:r>
      <w:r>
        <w:rPr>
          <w:rFonts w:ascii="Century Gothic" w:hAnsi="Century Gothic"/>
          <w:lang w:eastAsia="es-ES"/>
        </w:rPr>
        <w:t>ón fue interpuesta por fuera de tiempo</w:t>
      </w:r>
      <w:r w:rsidRPr="00E522A6">
        <w:rPr>
          <w:rFonts w:ascii="Century Gothic" w:hAnsi="Century Gothic"/>
          <w:lang w:eastAsia="es-ES"/>
        </w:rPr>
        <w:t xml:space="preserve">. </w:t>
      </w:r>
    </w:p>
    <w:p w:rsidR="00A57244" w:rsidRDefault="00A57244" w:rsidP="00A57244">
      <w:pPr>
        <w:spacing w:line="360" w:lineRule="auto"/>
        <w:jc w:val="both"/>
        <w:rPr>
          <w:rFonts w:ascii="Century Gothic" w:eastAsia="Times New Roman" w:hAnsi="Century Gothic" w:cs="Tahoma"/>
          <w:lang w:eastAsia="es-ES"/>
        </w:rPr>
      </w:pPr>
    </w:p>
    <w:p w:rsidR="00A57244" w:rsidRPr="0093381E" w:rsidRDefault="00A57244" w:rsidP="00A57244">
      <w:pPr>
        <w:spacing w:line="360" w:lineRule="auto"/>
        <w:ind w:right="-136"/>
        <w:contextualSpacing/>
        <w:jc w:val="both"/>
        <w:rPr>
          <w:rFonts w:ascii="Century Gothic" w:eastAsia="Times New Roman" w:hAnsi="Century Gothic"/>
          <w:b/>
          <w:lang w:val="es-ES_tradnl" w:eastAsia="es-ES"/>
        </w:rPr>
      </w:pPr>
      <w:r w:rsidRPr="0093381E">
        <w:rPr>
          <w:rFonts w:ascii="Century Gothic" w:eastAsia="Times New Roman" w:hAnsi="Century Gothic"/>
          <w:b/>
          <w:lang w:val="es-ES_tradnl" w:eastAsia="es-ES"/>
        </w:rPr>
        <w:t>Recurso de apelación</w:t>
      </w:r>
    </w:p>
    <w:p w:rsidR="00A57244" w:rsidRPr="0093381E" w:rsidRDefault="00A57244" w:rsidP="00A57244">
      <w:pPr>
        <w:widowControl w:val="0"/>
        <w:tabs>
          <w:tab w:val="left" w:pos="360"/>
        </w:tabs>
        <w:ind w:left="720"/>
        <w:rPr>
          <w:rFonts w:ascii="Century Gothic" w:eastAsia="Times New Roman" w:hAnsi="Century Gothic"/>
          <w:b/>
          <w:lang w:val="es-ES_tradnl" w:eastAsia="es-ES"/>
        </w:rPr>
      </w:pPr>
    </w:p>
    <w:p w:rsidR="00A57244" w:rsidRDefault="00A57244" w:rsidP="00A57244">
      <w:pPr>
        <w:overflowPunct w:val="0"/>
        <w:autoSpaceDE w:val="0"/>
        <w:autoSpaceDN w:val="0"/>
        <w:adjustRightInd w:val="0"/>
        <w:spacing w:line="360" w:lineRule="auto"/>
        <w:jc w:val="both"/>
        <w:textAlignment w:val="baseline"/>
        <w:rPr>
          <w:rFonts w:ascii="Century Gothic" w:eastAsia="Times New Roman" w:hAnsi="Century Gothic"/>
          <w:lang w:val="es-ES_tradnl" w:eastAsia="es-ES"/>
        </w:rPr>
      </w:pPr>
      <w:r w:rsidRPr="0093381E">
        <w:rPr>
          <w:rFonts w:ascii="Century Gothic" w:eastAsia="Times New Roman" w:hAnsi="Century Gothic"/>
          <w:lang w:val="es-ES_tradnl" w:eastAsia="es-ES"/>
        </w:rPr>
        <w:t xml:space="preserve">Inconforme con la decisión anterior, </w:t>
      </w:r>
      <w:r>
        <w:rPr>
          <w:rFonts w:ascii="Century Gothic" w:eastAsia="Times New Roman" w:hAnsi="Century Gothic"/>
          <w:lang w:val="es-ES_tradnl" w:eastAsia="es-ES"/>
        </w:rPr>
        <w:t>el apoderado</w:t>
      </w:r>
      <w:r w:rsidRPr="0093381E">
        <w:rPr>
          <w:rFonts w:ascii="Century Gothic" w:eastAsia="Times New Roman" w:hAnsi="Century Gothic"/>
          <w:lang w:val="es-ES_tradnl" w:eastAsia="es-ES"/>
        </w:rPr>
        <w:t xml:space="preserve"> de la parte demandante interpuso recurso de apelación.</w:t>
      </w:r>
      <w:r>
        <w:rPr>
          <w:rFonts w:ascii="Century Gothic" w:eastAsia="Times New Roman" w:hAnsi="Century Gothic"/>
          <w:lang w:val="es-ES_tradnl" w:eastAsia="es-ES"/>
        </w:rPr>
        <w:t xml:space="preserve"> Sostuvo que el Tribunal erró al interpretar que el término de caducidad de que trata el artículo 55 de la Ley 80 de 1993 fue derogado por la Ley 446 de 1998, pues, pese a que la decisión se fundó en providencias del Consejo de Estado, dicho análisis no tuvo en cuenta el artículo 3 de la Ley 153 de 1887 que establece los supuestos de hecho para entender insubsistente a una determinada norma. Además, según lo indicado por la Sección Tercera de esta Corporación (</w:t>
      </w:r>
      <w:proofErr w:type="spellStart"/>
      <w:r>
        <w:rPr>
          <w:rFonts w:ascii="Century Gothic" w:eastAsia="Times New Roman" w:hAnsi="Century Gothic"/>
          <w:lang w:val="es-ES_tradnl" w:eastAsia="es-ES"/>
        </w:rPr>
        <w:t>Exp</w:t>
      </w:r>
      <w:proofErr w:type="spellEnd"/>
      <w:r>
        <w:rPr>
          <w:rFonts w:ascii="Century Gothic" w:eastAsia="Times New Roman" w:hAnsi="Century Gothic"/>
          <w:lang w:val="es-ES_tradnl" w:eastAsia="es-ES"/>
        </w:rPr>
        <w:t xml:space="preserve">. 24371), en materia de caducidad, las normas vigentes al momento de celebrar el contrato resultan inmodificables y, en consecuencia,  son las que se deben aplicar, sin importar que, con posterioridad, el término respectivo sea modificado. </w:t>
      </w:r>
    </w:p>
    <w:p w:rsidR="00A57244" w:rsidRDefault="00A57244" w:rsidP="00A57244">
      <w:pPr>
        <w:pStyle w:val="Sinespaciado"/>
        <w:rPr>
          <w:lang w:val="es-ES_tradnl" w:eastAsia="es-ES"/>
        </w:rPr>
      </w:pPr>
    </w:p>
    <w:p w:rsidR="00A57244" w:rsidRDefault="00A57244" w:rsidP="00A5724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Century Gothic" w:eastAsia="Times New Roman" w:hAnsi="Century Gothic" w:cs="Arial"/>
          <w:b/>
          <w:bCs/>
          <w:caps/>
          <w:lang w:val="es-ES_tradnl" w:eastAsia="es-ES"/>
        </w:rPr>
      </w:pPr>
      <w:r w:rsidRPr="0093381E">
        <w:rPr>
          <w:rFonts w:ascii="Century Gothic" w:eastAsia="Times New Roman" w:hAnsi="Century Gothic" w:cs="Arial"/>
          <w:b/>
          <w:bCs/>
          <w:caps/>
          <w:lang w:val="es-ES_tradnl" w:eastAsia="es-ES"/>
        </w:rPr>
        <w:t>CONSIDERACIONES</w:t>
      </w:r>
    </w:p>
    <w:p w:rsidR="00A57244" w:rsidRPr="0093381E" w:rsidRDefault="00A57244" w:rsidP="00A57244">
      <w:pPr>
        <w:spacing w:line="360" w:lineRule="auto"/>
        <w:rPr>
          <w:rFonts w:ascii="Times New Roman" w:eastAsia="Times New Roman" w:hAnsi="Times New Roman"/>
          <w:sz w:val="24"/>
          <w:szCs w:val="24"/>
          <w:lang w:val="es-ES_tradnl" w:eastAsia="es-ES"/>
        </w:rPr>
      </w:pPr>
    </w:p>
    <w:p w:rsidR="00A57244" w:rsidRPr="0093381E" w:rsidRDefault="00A57244" w:rsidP="00A57244">
      <w:pPr>
        <w:spacing w:line="360" w:lineRule="auto"/>
        <w:rPr>
          <w:rFonts w:ascii="Century Gothic" w:hAnsi="Century Gothic"/>
          <w:b/>
        </w:rPr>
      </w:pPr>
      <w:r>
        <w:rPr>
          <w:rFonts w:ascii="Century Gothic" w:hAnsi="Century Gothic"/>
          <w:b/>
        </w:rPr>
        <w:t>Procedencia del recurso</w:t>
      </w:r>
    </w:p>
    <w:p w:rsidR="00A57244" w:rsidRDefault="00A57244" w:rsidP="00A57244">
      <w:pPr>
        <w:spacing w:line="360" w:lineRule="auto"/>
        <w:rPr>
          <w:rFonts w:ascii="Century Gothic" w:hAnsi="Century Gothic"/>
          <w:b/>
        </w:rPr>
      </w:pPr>
    </w:p>
    <w:p w:rsidR="00A57244" w:rsidRPr="0093381E" w:rsidRDefault="00A57244" w:rsidP="00A57244">
      <w:pPr>
        <w:overflowPunct w:val="0"/>
        <w:autoSpaceDE w:val="0"/>
        <w:autoSpaceDN w:val="0"/>
        <w:adjustRightInd w:val="0"/>
        <w:spacing w:line="360" w:lineRule="auto"/>
        <w:contextualSpacing/>
        <w:jc w:val="both"/>
        <w:rPr>
          <w:rFonts w:ascii="Century Gothic" w:eastAsia="Times New Roman" w:hAnsi="Century Gothic"/>
          <w:color w:val="000000"/>
          <w:lang w:val="es-ES_tradnl" w:eastAsia="es-ES"/>
        </w:rPr>
      </w:pPr>
      <w:r w:rsidRPr="0093381E">
        <w:rPr>
          <w:rFonts w:ascii="Century Gothic" w:eastAsia="Times New Roman" w:hAnsi="Century Gothic" w:cs="Tahoma"/>
          <w:lang w:val="es-ES_tradnl" w:eastAsia="es-ES"/>
        </w:rPr>
        <w:t>El recurso de apelación resulta procedente, comoquiera que fue interpuesto oportunamente y busca controvertir una providencia apelable</w:t>
      </w:r>
      <w:r>
        <w:rPr>
          <w:rFonts w:ascii="Century Gothic" w:eastAsia="Times New Roman" w:hAnsi="Century Gothic"/>
          <w:color w:val="000000"/>
          <w:lang w:val="es-ES_tradnl" w:eastAsia="es-ES"/>
        </w:rPr>
        <w:t>, en los términos del numeral 1</w:t>
      </w:r>
      <w:r w:rsidRPr="0093381E">
        <w:rPr>
          <w:rFonts w:ascii="Century Gothic" w:eastAsia="Times New Roman" w:hAnsi="Century Gothic"/>
          <w:color w:val="000000"/>
          <w:lang w:val="es-ES_tradnl" w:eastAsia="es-ES"/>
        </w:rPr>
        <w:t xml:space="preserve"> del artículo </w:t>
      </w:r>
      <w:r>
        <w:rPr>
          <w:rFonts w:ascii="Century Gothic" w:eastAsia="Times New Roman" w:hAnsi="Century Gothic"/>
          <w:color w:val="000000"/>
          <w:lang w:val="es-ES_tradnl" w:eastAsia="es-ES"/>
        </w:rPr>
        <w:t>243</w:t>
      </w:r>
      <w:r w:rsidRPr="0093381E">
        <w:rPr>
          <w:rFonts w:ascii="Century Gothic" w:eastAsia="Times New Roman" w:hAnsi="Century Gothic"/>
          <w:color w:val="000000"/>
          <w:lang w:val="es-ES_tradnl" w:eastAsia="es-ES"/>
        </w:rPr>
        <w:t xml:space="preserve"> del C.P.A.C.A.</w:t>
      </w:r>
    </w:p>
    <w:p w:rsidR="00A57244" w:rsidRDefault="00A57244" w:rsidP="00A57244">
      <w:pPr>
        <w:spacing w:line="360" w:lineRule="auto"/>
        <w:jc w:val="both"/>
        <w:textAlignment w:val="baseline"/>
        <w:rPr>
          <w:rFonts w:ascii="Century Gothic" w:eastAsia="Times New Roman" w:hAnsi="Century Gothic"/>
          <w:b/>
          <w:lang w:val="es-ES" w:eastAsia="es-ES"/>
        </w:rPr>
      </w:pPr>
    </w:p>
    <w:p w:rsidR="00A57244" w:rsidRDefault="00A57244" w:rsidP="00A57244">
      <w:pPr>
        <w:spacing w:line="360" w:lineRule="auto"/>
        <w:jc w:val="both"/>
        <w:textAlignment w:val="baseline"/>
        <w:rPr>
          <w:rFonts w:ascii="Century Gothic" w:eastAsia="Times New Roman" w:hAnsi="Century Gothic"/>
          <w:b/>
          <w:lang w:val="es-ES" w:eastAsia="es-ES"/>
        </w:rPr>
      </w:pPr>
    </w:p>
    <w:p w:rsidR="00A57244" w:rsidRDefault="00A57244" w:rsidP="00A57244">
      <w:pPr>
        <w:spacing w:line="360" w:lineRule="auto"/>
        <w:jc w:val="both"/>
        <w:textAlignment w:val="baseline"/>
        <w:rPr>
          <w:rFonts w:ascii="Century Gothic" w:eastAsia="Times New Roman" w:hAnsi="Century Gothic"/>
          <w:b/>
          <w:lang w:val="es-ES" w:eastAsia="es-ES"/>
        </w:rPr>
      </w:pPr>
    </w:p>
    <w:p w:rsidR="00A57244" w:rsidRPr="0093381E" w:rsidRDefault="00A57244" w:rsidP="00A57244">
      <w:pPr>
        <w:spacing w:line="360" w:lineRule="auto"/>
        <w:jc w:val="both"/>
        <w:textAlignment w:val="baseline"/>
        <w:rPr>
          <w:rFonts w:ascii="Century Gothic" w:eastAsia="Times New Roman" w:hAnsi="Century Gothic"/>
          <w:b/>
          <w:lang w:val="es-ES" w:eastAsia="es-ES"/>
        </w:rPr>
      </w:pPr>
      <w:r w:rsidRPr="0093381E">
        <w:rPr>
          <w:rFonts w:ascii="Century Gothic" w:eastAsia="Times New Roman" w:hAnsi="Century Gothic"/>
          <w:b/>
          <w:lang w:val="es-ES" w:eastAsia="es-ES"/>
        </w:rPr>
        <w:t>Acción procedente</w:t>
      </w:r>
    </w:p>
    <w:p w:rsidR="00A57244" w:rsidRDefault="00A57244" w:rsidP="00A57244">
      <w:pPr>
        <w:pStyle w:val="Sinespaciado"/>
        <w:rPr>
          <w:lang w:val="es-ES" w:eastAsia="es-ES"/>
        </w:rPr>
      </w:pPr>
    </w:p>
    <w:p w:rsidR="00A57244" w:rsidRDefault="00A57244" w:rsidP="00A57244">
      <w:pPr>
        <w:spacing w:line="360" w:lineRule="auto"/>
        <w:jc w:val="both"/>
        <w:textAlignment w:val="baseline"/>
        <w:rPr>
          <w:rFonts w:ascii="Century Gothic" w:eastAsia="Times New Roman" w:hAnsi="Century Gothic"/>
          <w:lang w:val="es-ES" w:eastAsia="es-ES"/>
        </w:rPr>
      </w:pPr>
      <w:r>
        <w:rPr>
          <w:rFonts w:ascii="Century Gothic" w:eastAsia="Times New Roman" w:hAnsi="Century Gothic"/>
          <w:lang w:val="es-ES" w:eastAsia="es-ES"/>
        </w:rPr>
        <w:t xml:space="preserve">La acción </w:t>
      </w:r>
      <w:r w:rsidRPr="0096310F">
        <w:rPr>
          <w:rFonts w:ascii="Century Gothic" w:eastAsia="Times New Roman" w:hAnsi="Century Gothic"/>
          <w:lang w:val="es-ES" w:eastAsia="es-ES"/>
        </w:rPr>
        <w:t xml:space="preserve">idónea para canalizar las pretensiones </w:t>
      </w:r>
      <w:r>
        <w:rPr>
          <w:rFonts w:ascii="Century Gothic" w:eastAsia="Times New Roman" w:hAnsi="Century Gothic"/>
          <w:lang w:val="es-ES" w:eastAsia="es-ES"/>
        </w:rPr>
        <w:t>que busquen la indemnización proveniente de un daño antijurídico</w:t>
      </w:r>
      <w:r w:rsidRPr="0096310F">
        <w:rPr>
          <w:rFonts w:ascii="Century Gothic" w:eastAsia="Times New Roman" w:hAnsi="Century Gothic"/>
          <w:lang w:val="es-ES" w:eastAsia="es-ES"/>
        </w:rPr>
        <w:t xml:space="preserve"> producido por la omisión de un deber legal imputable a una entidad pública es la de reparación directa. </w:t>
      </w:r>
    </w:p>
    <w:p w:rsidR="00A57244" w:rsidRPr="0096310F" w:rsidRDefault="00A57244" w:rsidP="00A57244">
      <w:pPr>
        <w:spacing w:line="360" w:lineRule="auto"/>
        <w:jc w:val="both"/>
        <w:textAlignment w:val="baseline"/>
        <w:rPr>
          <w:rFonts w:ascii="Century Gothic" w:eastAsia="Times New Roman" w:hAnsi="Century Gothic"/>
          <w:lang w:val="es-ES" w:eastAsia="es-ES"/>
        </w:rPr>
      </w:pPr>
    </w:p>
    <w:p w:rsidR="00A57244" w:rsidRDefault="00A57244" w:rsidP="00A57244">
      <w:pPr>
        <w:spacing w:line="360" w:lineRule="auto"/>
        <w:jc w:val="both"/>
        <w:textAlignment w:val="baseline"/>
        <w:rPr>
          <w:rFonts w:ascii="Century Gothic" w:eastAsia="Times New Roman" w:hAnsi="Century Gothic" w:cs="Arial"/>
          <w:lang w:val="es-ES" w:eastAsia="es-ES"/>
        </w:rPr>
      </w:pPr>
      <w:r>
        <w:rPr>
          <w:rFonts w:ascii="Century Gothic" w:eastAsia="Times New Roman" w:hAnsi="Century Gothic" w:cs="Arial"/>
          <w:lang w:val="es-ES" w:eastAsia="es-ES"/>
        </w:rPr>
        <w:t>En ese orden de ideas y teniendo en cuenta lo señalado por esta Corporación en un asunto similar al caso bajo estudio</w:t>
      </w:r>
      <w:r>
        <w:rPr>
          <w:rStyle w:val="Refdenotaalpie"/>
          <w:rFonts w:ascii="Century Gothic" w:eastAsia="Times New Roman" w:hAnsi="Century Gothic" w:cs="Arial"/>
          <w:lang w:val="es-ES" w:eastAsia="es-ES"/>
        </w:rPr>
        <w:footnoteReference w:id="2"/>
      </w:r>
      <w:r>
        <w:rPr>
          <w:rFonts w:ascii="Century Gothic" w:eastAsia="Times New Roman" w:hAnsi="Century Gothic" w:cs="Arial"/>
          <w:lang w:val="es-ES" w:eastAsia="es-ES"/>
        </w:rPr>
        <w:t xml:space="preserve">, se observa que las súplicas de la demanda están dirigidas a que el municipio de Itagüí repare el presunto daño que ocasionó por la omisión del deber legal consagrado en el artículo 34 de la Ley 9 de 1984, esto es, no haber notificado al demandante, de manera preferencial, sobre la intención de vender los inmuebles adquiridos para la construcción de la Ciudadela Universitaria de ese ente territorial, de lo que se advierte que no se trata de una controversia contractual, como pretende el actor, pues, no se controvierte el incumplimiento de los referidos contratos de compraventa y sí, por el contrario, las súplicas de la demanda guardan estrecha relación con el objeto de la reparación directa; por lo tanto, corresponde impartir el trámite previsto en la ley para esta última acción. </w:t>
      </w:r>
    </w:p>
    <w:p w:rsidR="00A57244" w:rsidRDefault="00A57244" w:rsidP="00A57244">
      <w:pPr>
        <w:spacing w:line="360" w:lineRule="auto"/>
        <w:jc w:val="both"/>
        <w:textAlignment w:val="baseline"/>
        <w:rPr>
          <w:rFonts w:ascii="Century Gothic" w:eastAsia="Times New Roman" w:hAnsi="Century Gothic" w:cs="Arial"/>
          <w:lang w:val="es-ES" w:eastAsia="es-ES"/>
        </w:rPr>
      </w:pPr>
    </w:p>
    <w:p w:rsidR="00A57244" w:rsidRPr="0093381E" w:rsidRDefault="00A57244" w:rsidP="00A57244">
      <w:pPr>
        <w:spacing w:line="360" w:lineRule="auto"/>
        <w:jc w:val="both"/>
        <w:rPr>
          <w:rFonts w:ascii="Century Gothic" w:eastAsia="Times New Roman" w:hAnsi="Century Gothic"/>
          <w:b/>
          <w:szCs w:val="24"/>
          <w:lang w:val="es-ES" w:eastAsia="es-ES"/>
        </w:rPr>
      </w:pPr>
      <w:r w:rsidRPr="004A40AF">
        <w:rPr>
          <w:rFonts w:ascii="Century Gothic" w:eastAsia="Times New Roman" w:hAnsi="Century Gothic"/>
          <w:b/>
          <w:szCs w:val="24"/>
          <w:lang w:val="es-ES" w:eastAsia="es-ES"/>
        </w:rPr>
        <w:t xml:space="preserve">Caducidad </w:t>
      </w:r>
    </w:p>
    <w:p w:rsidR="00A57244" w:rsidRPr="0093381E" w:rsidRDefault="00A57244" w:rsidP="00A57244">
      <w:pPr>
        <w:spacing w:line="360" w:lineRule="auto"/>
        <w:jc w:val="both"/>
        <w:rPr>
          <w:rFonts w:ascii="Century Gothic" w:eastAsia="Times New Roman" w:hAnsi="Century Gothic"/>
          <w:b/>
          <w:szCs w:val="24"/>
          <w:lang w:val="es-ES" w:eastAsia="es-ES"/>
        </w:rPr>
      </w:pPr>
    </w:p>
    <w:p w:rsidR="00A57244" w:rsidRPr="002111E7" w:rsidRDefault="00A57244" w:rsidP="00A57244">
      <w:pPr>
        <w:overflowPunct w:val="0"/>
        <w:autoSpaceDE w:val="0"/>
        <w:autoSpaceDN w:val="0"/>
        <w:adjustRightInd w:val="0"/>
        <w:spacing w:line="360" w:lineRule="auto"/>
        <w:jc w:val="both"/>
        <w:textAlignment w:val="baseline"/>
        <w:rPr>
          <w:rFonts w:ascii="Century Gothic" w:eastAsia="Times New Roman" w:hAnsi="Century Gothic" w:cs="Tahoma"/>
          <w:lang w:val="es-ES_tradnl" w:eastAsia="es-ES"/>
        </w:rPr>
      </w:pPr>
      <w:r w:rsidRPr="002111E7">
        <w:rPr>
          <w:rFonts w:ascii="Century Gothic" w:eastAsia="Times New Roman" w:hAnsi="Century Gothic" w:cs="Tahoma"/>
          <w:lang w:val="es-ES_tradnl" w:eastAsia="es-ES"/>
        </w:rPr>
        <w:t>La jurisprudencia ha señalado que, para garantizar la seguridad jurídica de los sujetos procesales, el legislador instituyó la figura de la caducidad como una sanción en los eventos en que determinadas acciones judiciales no se ejerzan en un término específico. En este sentido, los interesados tienen la carga procesal de poner en funcionamiento el aparato jurisdiccional del Estado dentro del plazo fijado por la ley; de no hacerlo en tiempo, no podrán obtener la satisfacción del derecho reclamado por la vía jurisdiccional.</w:t>
      </w:r>
    </w:p>
    <w:p w:rsidR="00A57244" w:rsidRPr="002111E7" w:rsidRDefault="00A57244" w:rsidP="00A57244">
      <w:pPr>
        <w:overflowPunct w:val="0"/>
        <w:autoSpaceDE w:val="0"/>
        <w:autoSpaceDN w:val="0"/>
        <w:adjustRightInd w:val="0"/>
        <w:spacing w:line="360" w:lineRule="auto"/>
        <w:jc w:val="both"/>
        <w:textAlignment w:val="baseline"/>
        <w:rPr>
          <w:rFonts w:ascii="Century Gothic" w:eastAsia="Times New Roman" w:hAnsi="Century Gothic" w:cs="Tahoma"/>
          <w:lang w:val="es-ES_tradnl" w:eastAsia="es-ES"/>
        </w:rPr>
      </w:pPr>
    </w:p>
    <w:p w:rsidR="00A57244" w:rsidRDefault="00A57244" w:rsidP="00A57244">
      <w:pPr>
        <w:overflowPunct w:val="0"/>
        <w:autoSpaceDE w:val="0"/>
        <w:autoSpaceDN w:val="0"/>
        <w:adjustRightInd w:val="0"/>
        <w:spacing w:line="360" w:lineRule="auto"/>
        <w:jc w:val="both"/>
        <w:textAlignment w:val="baseline"/>
        <w:rPr>
          <w:rFonts w:ascii="Century Gothic" w:eastAsia="Times New Roman" w:hAnsi="Century Gothic" w:cs="Tahoma"/>
          <w:lang w:val="es-ES_tradnl" w:eastAsia="es-ES"/>
        </w:rPr>
      </w:pPr>
      <w:r w:rsidRPr="002111E7">
        <w:rPr>
          <w:rFonts w:ascii="Century Gothic" w:eastAsia="Times New Roman" w:hAnsi="Century Gothic" w:cs="Tahoma"/>
          <w:lang w:val="es-ES_tradnl" w:eastAsia="es-ES"/>
        </w:rPr>
        <w:t>Las normas de caducidad tienen fundamento en la seguridad jurídica que debe imperar en todo ordenamiento, en el sentido de impedir que ciertas situaciones jurídicas permanezcan indefinidas en el tiempo. En otros términos, el legislador establece unos plazos razonables para que las personas, en ejercicio del derecho de acción, acudan a la jurisdicción con el fin de satisfacer sus pretensiones.</w:t>
      </w:r>
    </w:p>
    <w:p w:rsidR="00A57244" w:rsidRDefault="00A57244" w:rsidP="00A57244">
      <w:pPr>
        <w:overflowPunct w:val="0"/>
        <w:autoSpaceDE w:val="0"/>
        <w:autoSpaceDN w:val="0"/>
        <w:adjustRightInd w:val="0"/>
        <w:spacing w:line="360" w:lineRule="auto"/>
        <w:jc w:val="both"/>
        <w:textAlignment w:val="baseline"/>
        <w:rPr>
          <w:rFonts w:ascii="Century Gothic" w:eastAsia="Times New Roman" w:hAnsi="Century Gothic" w:cs="Tahoma"/>
          <w:lang w:val="es-ES_tradnl" w:eastAsia="es-ES"/>
        </w:rPr>
      </w:pPr>
    </w:p>
    <w:p w:rsidR="00A57244" w:rsidRDefault="00A57244" w:rsidP="00A57244">
      <w:pPr>
        <w:pStyle w:val="Sinespaciado"/>
        <w:rPr>
          <w:lang w:val="es-ES_tradnl"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sidRPr="002111E7">
        <w:rPr>
          <w:rFonts w:ascii="Century Gothic" w:eastAsia="Times New Roman" w:hAnsi="Century Gothic" w:cs="Tahoma"/>
          <w:lang w:val="es-ES_tradnl" w:eastAsia="es-ES"/>
        </w:rPr>
        <w:t xml:space="preserve">En el presente asunto, </w:t>
      </w:r>
      <w:r>
        <w:rPr>
          <w:rFonts w:ascii="Century Gothic" w:eastAsia="Times New Roman" w:hAnsi="Century Gothic" w:cs="Tahoma"/>
          <w:lang w:val="es-ES_tradnl" w:eastAsia="es-ES"/>
        </w:rPr>
        <w:t xml:space="preserve">como se precisó, </w:t>
      </w:r>
      <w:r w:rsidRPr="002111E7">
        <w:rPr>
          <w:rFonts w:ascii="Century Gothic" w:eastAsia="Times New Roman" w:hAnsi="Century Gothic" w:cs="Tahoma"/>
          <w:lang w:val="es-ES_tradnl" w:eastAsia="es-ES"/>
        </w:rPr>
        <w:t xml:space="preserve">las pretensiones de la demanda están encaminadas a obtener el resarcimiento </w:t>
      </w:r>
      <w:r>
        <w:rPr>
          <w:rFonts w:ascii="Century Gothic" w:eastAsia="Times New Roman" w:hAnsi="Century Gothic" w:cs="Tahoma"/>
          <w:lang w:val="es-ES_tradnl" w:eastAsia="es-ES"/>
        </w:rPr>
        <w:t>del perjuicio causado</w:t>
      </w:r>
      <w:r w:rsidRPr="002111E7">
        <w:rPr>
          <w:rFonts w:ascii="Century Gothic" w:eastAsia="Times New Roman" w:hAnsi="Century Gothic" w:cs="Tahoma"/>
          <w:lang w:val="es-ES_tradnl" w:eastAsia="es-ES"/>
        </w:rPr>
        <w:t xml:space="preserve"> al demandante con las acciones y omisiones en que incurrió la administración </w:t>
      </w:r>
      <w:r>
        <w:rPr>
          <w:rFonts w:ascii="Century Gothic" w:eastAsia="Times New Roman" w:hAnsi="Century Gothic" w:cs="Tahoma"/>
          <w:lang w:val="es-ES_tradnl" w:eastAsia="es-ES"/>
        </w:rPr>
        <w:t>municipal,</w:t>
      </w:r>
      <w:r w:rsidRPr="002111E7">
        <w:rPr>
          <w:rFonts w:ascii="Century Gothic" w:eastAsia="Times New Roman" w:hAnsi="Century Gothic" w:cs="Tahoma"/>
          <w:lang w:val="es-ES_tradnl" w:eastAsia="es-ES"/>
        </w:rPr>
        <w:t xml:space="preserve"> que</w:t>
      </w:r>
      <w:r>
        <w:rPr>
          <w:rFonts w:ascii="Century Gothic" w:eastAsia="Times New Roman" w:hAnsi="Century Gothic" w:cs="Tahoma"/>
          <w:lang w:val="es-ES_tradnl" w:eastAsia="es-ES"/>
        </w:rPr>
        <w:t>, le</w:t>
      </w:r>
      <w:r w:rsidRPr="002111E7">
        <w:rPr>
          <w:rFonts w:ascii="Century Gothic" w:eastAsia="Times New Roman" w:hAnsi="Century Gothic" w:cs="Tahoma"/>
          <w:lang w:val="es-ES_tradnl" w:eastAsia="es-ES"/>
        </w:rPr>
        <w:t xml:space="preserve"> </w:t>
      </w:r>
      <w:r w:rsidRPr="002111E7">
        <w:rPr>
          <w:rFonts w:ascii="Century Gothic" w:eastAsia="Times New Roman" w:hAnsi="Century Gothic" w:cs="Tahoma"/>
          <w:lang w:eastAsia="es-ES"/>
        </w:rPr>
        <w:t>impidieron</w:t>
      </w:r>
      <w:r>
        <w:rPr>
          <w:rFonts w:ascii="Century Gothic" w:eastAsia="Times New Roman" w:hAnsi="Century Gothic" w:cs="Tahoma"/>
          <w:lang w:eastAsia="es-ES"/>
        </w:rPr>
        <w:t xml:space="preserve"> hacer uso del derecho preferencial irrenunciable a adquirir nuevamente los </w:t>
      </w:r>
      <w:r w:rsidRPr="006D6972">
        <w:rPr>
          <w:rFonts w:ascii="Century Gothic" w:eastAsia="Times New Roman" w:hAnsi="Century Gothic" w:cs="Tahoma"/>
          <w:lang w:eastAsia="es-ES"/>
        </w:rPr>
        <w:t xml:space="preserve">predios identificados </w:t>
      </w:r>
      <w:r w:rsidRPr="006D6972">
        <w:rPr>
          <w:rFonts w:ascii="Century Gothic" w:hAnsi="Century Gothic" w:cs="Arial"/>
          <w:spacing w:val="2"/>
        </w:rPr>
        <w:t>con l</w:t>
      </w:r>
      <w:r>
        <w:rPr>
          <w:rFonts w:ascii="Century Gothic" w:hAnsi="Century Gothic" w:cs="Arial"/>
          <w:spacing w:val="2"/>
        </w:rPr>
        <w:t>as matrículas inmobiliarias</w:t>
      </w:r>
      <w:r w:rsidRPr="006D6972">
        <w:rPr>
          <w:rFonts w:ascii="Century Gothic" w:hAnsi="Century Gothic" w:cs="Arial"/>
          <w:spacing w:val="2"/>
        </w:rPr>
        <w:t xml:space="preserve"> 001-536065 y 001-536066,</w:t>
      </w:r>
      <w:r w:rsidRPr="006934BF">
        <w:rPr>
          <w:rFonts w:ascii="Century Gothic" w:hAnsi="Century Gothic" w:cs="Arial"/>
          <w:spacing w:val="2"/>
        </w:rPr>
        <w:t xml:space="preserve"> </w:t>
      </w:r>
      <w:r w:rsidRPr="006D6972">
        <w:rPr>
          <w:rFonts w:ascii="Century Gothic" w:hAnsi="Century Gothic" w:cs="Arial"/>
          <w:spacing w:val="2"/>
        </w:rPr>
        <w:t>001-0301350</w:t>
      </w:r>
      <w:r>
        <w:rPr>
          <w:rFonts w:ascii="Century Gothic" w:hAnsi="Century Gothic" w:cs="Arial"/>
          <w:spacing w:val="2"/>
        </w:rPr>
        <w:t>,</w:t>
      </w:r>
      <w:r w:rsidRPr="006D6972">
        <w:rPr>
          <w:rFonts w:ascii="Century Gothic" w:eastAsia="Times New Roman" w:hAnsi="Century Gothic" w:cs="Tahoma"/>
          <w:lang w:eastAsia="es-ES"/>
        </w:rPr>
        <w:t xml:space="preserve"> </w:t>
      </w:r>
      <w:r w:rsidRPr="006D6972">
        <w:rPr>
          <w:rFonts w:ascii="Century Gothic" w:hAnsi="Century Gothic" w:cs="Arial"/>
          <w:spacing w:val="2"/>
        </w:rPr>
        <w:t>001-</w:t>
      </w:r>
      <w:r w:rsidRPr="006D6972">
        <w:rPr>
          <w:rFonts w:ascii="Century Gothic" w:hAnsi="Century Gothic" w:cs="Arial"/>
          <w:spacing w:val="2"/>
        </w:rPr>
        <w:lastRenderedPageBreak/>
        <w:t>0301351, 001-0301352, 001-0301353, 001-0301354, 001-0301355, 001-0301356, 001-0301357, 001-0301358, 001-03</w:t>
      </w:r>
      <w:r>
        <w:rPr>
          <w:rFonts w:ascii="Century Gothic" w:hAnsi="Century Gothic" w:cs="Arial"/>
          <w:spacing w:val="2"/>
        </w:rPr>
        <w:t>01359, 001-0301360, 001-0301361 y</w:t>
      </w:r>
      <w:r w:rsidRPr="006D6972">
        <w:rPr>
          <w:rFonts w:ascii="Century Gothic" w:hAnsi="Century Gothic" w:cs="Arial"/>
          <w:spacing w:val="2"/>
        </w:rPr>
        <w:t xml:space="preserve"> 001-0526782</w:t>
      </w:r>
      <w:r>
        <w:rPr>
          <w:rFonts w:ascii="Century Gothic" w:eastAsia="Times New Roman" w:hAnsi="Century Gothic" w:cs="Tahoma"/>
          <w:lang w:eastAsia="es-ES"/>
        </w:rPr>
        <w:t>.</w:t>
      </w: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 xml:space="preserve">Por lo anterior, no es de recibo el argumento expuesto por la parte demandante, según el cual el término para ejercer la acción interpuesta es el señalado en el artículo 55 de la Ley 80 de 1993, esto es, 20 años, los cuales, según su parecer, deben ser contabilizados desde la fecha de la omisión en que incurrió el ente demandado, constitutiva del incumplimiento de la obligación de ofrecer de manera prevalente los citados terrenos a Estrada Autos Ltda. </w:t>
      </w: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sidRPr="00F04161">
        <w:rPr>
          <w:rFonts w:ascii="Century Gothic" w:eastAsia="Times New Roman" w:hAnsi="Century Gothic" w:cs="Tahoma"/>
          <w:lang w:eastAsia="es-ES"/>
        </w:rPr>
        <w:t>En efecto, como la acción idónea para acudir a esta jurisdicción es la de reparación directa, el término para demandar es de dos (2) años, pues las normas de carácter procesal son de aplicación inmediata, por lo cual, para efectos del cómputo del término de caducidad, hay que tener en cuenta que, para el momento en que ocurrió la omisión que se alega como hecho generador de la responsabilidad, la ley procesal vigente en esta materia era  la contenida en el artículo 136 del C.C.A., de modo que el término de caducidad se debe empezar a contar a partir del día siguiente a aquel en que se produjo el daño o en que el demandante tuvo o debió tener conocimiento de éste.</w:t>
      </w: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 xml:space="preserve">Ahora bien, teniendo en cuenta que el presunto daño que alega el actor tiene como sustento la supuesta omisión del deber legal consagrado en el artículo 34 de la Ley 9 de 1984, corresponde determinar desde cuándo se debe contabilizar el término de caducidad. </w:t>
      </w: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Así, se advierte que el capítulo III de la Ley 9 de 1989 estableció los instrumentos para la adquisición de inmuebles por enajenación voluntaria y por expropiación destinados para fines de utilidad pública o interés social, inmuebles que debían ser aplicados a los fines para los cuales fueron adquiridos dentro de un término máximo de cinco (5) años contados a partir del perfeccionamiento de la compraventa o de la transferencia del derec</w:t>
      </w:r>
      <w:r w:rsidR="00B31871">
        <w:rPr>
          <w:rFonts w:ascii="Century Gothic" w:eastAsia="Times New Roman" w:hAnsi="Century Gothic" w:cs="Tahoma"/>
          <w:lang w:eastAsia="es-ES"/>
        </w:rPr>
        <w:t xml:space="preserve">ho de propiedad a favor de la </w:t>
      </w:r>
      <w:r>
        <w:rPr>
          <w:rFonts w:ascii="Century Gothic" w:eastAsia="Times New Roman" w:hAnsi="Century Gothic" w:cs="Tahoma"/>
          <w:lang w:eastAsia="es-ES"/>
        </w:rPr>
        <w:t xml:space="preserve">entidad expropiante, so pena de  tener que enajenarlos a más tardar a la fecha de vencimiento del referido término. </w:t>
      </w:r>
    </w:p>
    <w:p w:rsidR="00A57244" w:rsidRDefault="00A57244" w:rsidP="00A57244">
      <w:pPr>
        <w:pStyle w:val="Sinespaciado"/>
        <w:rPr>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En este último evento, el inmueble adquirido por enajenación voluntaria o expropiación debe ofrecerse de manera preferente a los propietarios anteriores, para lo cual, se les debe notificar la intención de vender y ellos disponen de un plazo de dos (2) meses para aceptar o rechazar la oferta, vencido dicho término sin que se manifiesten, los bienes pueden ser vendidos.</w:t>
      </w:r>
    </w:p>
    <w:p w:rsidR="00A57244" w:rsidRDefault="00A57244" w:rsidP="00A57244">
      <w:pPr>
        <w:rPr>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 xml:space="preserve">A su turno, el artículo 34 de la referida ley 9 estableció que la venta que se realice sin tener en cuenta la anterior formalidad es absolutamente nula y que los propietarios anteriores o causahabiente pueden exigir el cumplimiento de la citada obligación a través de la vía ejecutiva, la cual caduca dos (2) meses después del vencimiento del mencionado término de cinco (5) años.     </w:t>
      </w: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De acuerdo con lo anterior y con el fin de contabilizar el término de caducidad, debe precisarse el momento en que el demandante tuvo conocimiento del daño alegado.</w:t>
      </w: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Default="00A57244" w:rsidP="00A57244">
      <w:pPr>
        <w:spacing w:line="360" w:lineRule="auto"/>
        <w:jc w:val="both"/>
        <w:textAlignment w:val="baseline"/>
        <w:rPr>
          <w:rFonts w:ascii="Century Gothic" w:eastAsia="Times New Roman" w:hAnsi="Century Gothic" w:cs="Tahoma"/>
          <w:lang w:eastAsia="es-ES"/>
        </w:rPr>
      </w:pPr>
      <w:r>
        <w:rPr>
          <w:rFonts w:ascii="Century Gothic" w:eastAsia="Times New Roman" w:hAnsi="Century Gothic" w:cs="Tahoma"/>
          <w:lang w:eastAsia="es-ES"/>
        </w:rPr>
        <w:t>Pues bien, de conformidad con las pruebas allegadas al plenario, se observa que, a través de escrituras públicas 421 y 422 de 30 de junio de 1995, e</w:t>
      </w:r>
      <w:r w:rsidRPr="0044039B">
        <w:rPr>
          <w:rFonts w:ascii="Century Gothic" w:eastAsia="Times New Roman" w:hAnsi="Century Gothic" w:cs="Tahoma"/>
          <w:lang w:eastAsia="es-ES"/>
        </w:rPr>
        <w:t>l municipio de Itagüí adquirió</w:t>
      </w:r>
      <w:r>
        <w:rPr>
          <w:rFonts w:ascii="Century Gothic" w:eastAsia="Times New Roman" w:hAnsi="Century Gothic" w:cs="Tahoma"/>
          <w:lang w:eastAsia="es-ES"/>
        </w:rPr>
        <w:t>,</w:t>
      </w:r>
      <w:r w:rsidRPr="0044039B">
        <w:rPr>
          <w:rFonts w:ascii="Century Gothic" w:eastAsia="Times New Roman" w:hAnsi="Century Gothic" w:cs="Tahoma"/>
          <w:lang w:eastAsia="es-ES"/>
        </w:rPr>
        <w:t xml:space="preserve"> </w:t>
      </w:r>
      <w:r>
        <w:rPr>
          <w:rFonts w:ascii="Century Gothic" w:eastAsia="Times New Roman" w:hAnsi="Century Gothic" w:cs="Tahoma"/>
          <w:lang w:eastAsia="es-ES"/>
        </w:rPr>
        <w:t>bajo la modalidad de</w:t>
      </w:r>
      <w:r w:rsidRPr="0044039B">
        <w:rPr>
          <w:rFonts w:ascii="Century Gothic" w:eastAsia="Times New Roman" w:hAnsi="Century Gothic" w:cs="Tahoma"/>
          <w:lang w:eastAsia="es-ES"/>
        </w:rPr>
        <w:t xml:space="preserve"> enajenación voluntaria de que trata la Ley 9 de 1989</w:t>
      </w:r>
      <w:r>
        <w:rPr>
          <w:rFonts w:ascii="Century Gothic" w:eastAsia="Times New Roman" w:hAnsi="Century Gothic" w:cs="Tahoma"/>
          <w:lang w:eastAsia="es-ES"/>
        </w:rPr>
        <w:t>,</w:t>
      </w:r>
      <w:r w:rsidRPr="0044039B">
        <w:rPr>
          <w:rFonts w:ascii="Century Gothic" w:eastAsia="Times New Roman" w:hAnsi="Century Gothic" w:cs="Tahoma"/>
          <w:lang w:eastAsia="es-ES"/>
        </w:rPr>
        <w:t xml:space="preserve"> un total de 15 lotes de terreno de propiedad de </w:t>
      </w:r>
      <w:r>
        <w:rPr>
          <w:rFonts w:ascii="Century Gothic" w:eastAsia="Times New Roman" w:hAnsi="Century Gothic" w:cs="Tahoma"/>
          <w:lang w:eastAsia="es-ES"/>
        </w:rPr>
        <w:t xml:space="preserve">Estrada Autos </w:t>
      </w:r>
      <w:proofErr w:type="spellStart"/>
      <w:r>
        <w:rPr>
          <w:rFonts w:ascii="Century Gothic" w:eastAsia="Times New Roman" w:hAnsi="Century Gothic" w:cs="Tahoma"/>
          <w:lang w:eastAsia="es-ES"/>
        </w:rPr>
        <w:t>Ltda</w:t>
      </w:r>
      <w:proofErr w:type="spellEnd"/>
      <w:r w:rsidRPr="0044039B">
        <w:rPr>
          <w:rFonts w:ascii="Century Gothic" w:eastAsia="Times New Roman" w:hAnsi="Century Gothic" w:cs="Tahoma"/>
          <w:lang w:eastAsia="es-ES"/>
        </w:rPr>
        <w:t xml:space="preserve">, los cuales serían destinados a la construcción de una ciudadela </w:t>
      </w:r>
      <w:r>
        <w:rPr>
          <w:rFonts w:ascii="Century Gothic" w:eastAsia="Times New Roman" w:hAnsi="Century Gothic" w:cs="Tahoma"/>
          <w:lang w:eastAsia="es-ES"/>
        </w:rPr>
        <w:t>universitaria para el municipio; posteriormente, los mismos inmuebles fueron englobados  mediante escritura pública 722 de 31 de octubre del mismo año y, finalmente, vendidos al Área Metropolitana del Valle de Aburrá por escritura pública 1854 del 23 de agosto de 1999, pero (esto último) sin que el municipio de Itagüí hubiese notificado a los anteriores propietarios de los inmuebles su intención de venderlos. Tampoco se evidencia la fecha en la cual el actor tuvo conocimiento del daño que alega, es decir, de la venta de los bienes al área Metropolitana del Valle de Aburrá.</w:t>
      </w:r>
    </w:p>
    <w:p w:rsidR="00A57244" w:rsidRDefault="00A57244" w:rsidP="00A57244">
      <w:pPr>
        <w:spacing w:line="360" w:lineRule="auto"/>
        <w:jc w:val="both"/>
        <w:textAlignment w:val="baseline"/>
        <w:rPr>
          <w:rFonts w:ascii="Century Gothic" w:eastAsia="Times New Roman" w:hAnsi="Century Gothic" w:cs="Tahoma"/>
          <w:lang w:eastAsia="es-ES"/>
        </w:rPr>
      </w:pPr>
    </w:p>
    <w:p w:rsidR="00A57244" w:rsidRPr="00F04161" w:rsidRDefault="00A57244" w:rsidP="00A57244">
      <w:pPr>
        <w:spacing w:line="360" w:lineRule="auto"/>
        <w:jc w:val="both"/>
        <w:textAlignment w:val="baseline"/>
        <w:rPr>
          <w:rFonts w:ascii="Century Gothic" w:eastAsia="Times New Roman" w:hAnsi="Century Gothic" w:cs="Arial"/>
          <w:lang w:val="es-ES" w:eastAsia="es-ES"/>
        </w:rPr>
      </w:pPr>
      <w:r w:rsidRPr="00F04161">
        <w:rPr>
          <w:rFonts w:ascii="Century Gothic" w:hAnsi="Century Gothic"/>
        </w:rPr>
        <w:t xml:space="preserve">En este orden de ideas, </w:t>
      </w:r>
      <w:r w:rsidRPr="00F04161">
        <w:rPr>
          <w:rFonts w:ascii="Century Gothic" w:eastAsia="Times New Roman" w:hAnsi="Century Gothic" w:cs="Arial"/>
          <w:lang w:val="es-ES" w:eastAsia="es-ES"/>
        </w:rPr>
        <w:t>el término de caducidad de la acción de reparación directa, en principio, debería contabilizarse desde el momento en que el municipio de Itagüí omitió el deber de notificar d</w:t>
      </w:r>
      <w:r w:rsidR="00B31871">
        <w:rPr>
          <w:rFonts w:ascii="Century Gothic" w:eastAsia="Times New Roman" w:hAnsi="Century Gothic" w:cs="Arial"/>
          <w:lang w:val="es-ES" w:eastAsia="es-ES"/>
        </w:rPr>
        <w:t xml:space="preserve">e manera preferente a la citada </w:t>
      </w:r>
      <w:r w:rsidRPr="00F04161">
        <w:rPr>
          <w:rFonts w:ascii="Century Gothic" w:eastAsia="Times New Roman" w:hAnsi="Century Gothic" w:cs="Arial"/>
          <w:lang w:val="es-ES" w:eastAsia="es-ES"/>
        </w:rPr>
        <w:t>sociedad por ser la propietaria anterior de los inmuebles, pues fue ello lo que ocasionó el perjuicio que se pretende declarar y resarcir por esta vía judicial; sin embargo, como se dejó anotado, no se encuentra acreditada la fecha en que el actor tuvo conocimiento de este suceso, r</w:t>
      </w:r>
      <w:r w:rsidR="00B31871">
        <w:rPr>
          <w:rFonts w:ascii="Century Gothic" w:eastAsia="Times New Roman" w:hAnsi="Century Gothic" w:cs="Arial"/>
          <w:lang w:val="es-ES" w:eastAsia="es-ES"/>
        </w:rPr>
        <w:t xml:space="preserve">azón por la cual, el término de </w:t>
      </w:r>
      <w:r w:rsidRPr="00F04161">
        <w:rPr>
          <w:rFonts w:ascii="Century Gothic" w:eastAsia="Times New Roman" w:hAnsi="Century Gothic" w:cs="Arial"/>
          <w:lang w:val="es-ES" w:eastAsia="es-ES"/>
        </w:rPr>
        <w:t xml:space="preserve">caducidad debe contarse a partir del día siguiente a aquel en que se registró la escritura de compraventa entre el municipio de </w:t>
      </w:r>
      <w:proofErr w:type="spellStart"/>
      <w:r w:rsidRPr="00F04161">
        <w:rPr>
          <w:rFonts w:ascii="Century Gothic" w:eastAsia="Times New Roman" w:hAnsi="Century Gothic" w:cs="Arial"/>
          <w:lang w:val="es-ES" w:eastAsia="es-ES"/>
        </w:rPr>
        <w:t>Itagüi</w:t>
      </w:r>
      <w:proofErr w:type="spellEnd"/>
      <w:r w:rsidRPr="00F04161">
        <w:rPr>
          <w:rFonts w:ascii="Century Gothic" w:eastAsia="Times New Roman" w:hAnsi="Century Gothic" w:cs="Arial"/>
          <w:lang w:val="es-ES" w:eastAsia="es-ES"/>
        </w:rPr>
        <w:t xml:space="preserve"> y el Área Metropolitana del Valle de Aburrá</w:t>
      </w:r>
      <w:r w:rsidRPr="00F04161">
        <w:rPr>
          <w:rStyle w:val="Refdenotaalpie"/>
          <w:rFonts w:ascii="Century Gothic" w:eastAsia="Times New Roman" w:hAnsi="Century Gothic" w:cs="Arial"/>
          <w:lang w:val="es-ES" w:eastAsia="es-ES"/>
        </w:rPr>
        <w:footnoteReference w:id="3"/>
      </w:r>
      <w:r w:rsidRPr="00F04161">
        <w:rPr>
          <w:rFonts w:ascii="Century Gothic" w:eastAsia="Times New Roman" w:hAnsi="Century Gothic" w:cs="Arial"/>
          <w:lang w:val="es-ES" w:eastAsia="es-ES"/>
        </w:rPr>
        <w:t>, en atención a que, a partir de ese momento, se surtió la publicación de ese acto.</w:t>
      </w:r>
    </w:p>
    <w:p w:rsidR="00A57244" w:rsidRPr="00F04161" w:rsidRDefault="00A57244" w:rsidP="00A57244">
      <w:pPr>
        <w:spacing w:line="360" w:lineRule="auto"/>
        <w:jc w:val="both"/>
        <w:textAlignment w:val="baseline"/>
        <w:rPr>
          <w:rFonts w:ascii="Century Gothic" w:eastAsia="Times New Roman" w:hAnsi="Century Gothic" w:cs="Arial"/>
          <w:lang w:val="es-ES" w:eastAsia="es-ES"/>
        </w:rPr>
      </w:pPr>
    </w:p>
    <w:p w:rsidR="00A57244" w:rsidRDefault="00A57244" w:rsidP="00A57244">
      <w:pPr>
        <w:spacing w:line="360" w:lineRule="auto"/>
        <w:jc w:val="both"/>
        <w:textAlignment w:val="baseline"/>
        <w:rPr>
          <w:rFonts w:ascii="Century Gothic" w:eastAsia="Times New Roman" w:hAnsi="Century Gothic" w:cs="Arial"/>
          <w:lang w:val="es-ES" w:eastAsia="es-ES"/>
        </w:rPr>
      </w:pPr>
      <w:r w:rsidRPr="00F04161">
        <w:rPr>
          <w:rFonts w:ascii="Century Gothic" w:eastAsia="Times New Roman" w:hAnsi="Century Gothic" w:cs="Arial"/>
          <w:lang w:val="es-ES" w:eastAsia="es-ES"/>
        </w:rPr>
        <w:t xml:space="preserve">Teniendo en cuenta lo anterior, el término de caducidad inició el 7 de septiembre de 1999, día siguiente al registro de la escritura de compraventa 1854 del 23 de agosto de </w:t>
      </w:r>
      <w:r w:rsidRPr="00F04161">
        <w:rPr>
          <w:rFonts w:ascii="Century Gothic" w:eastAsia="Times New Roman" w:hAnsi="Century Gothic" w:cs="Arial"/>
          <w:lang w:val="es-ES" w:eastAsia="es-ES"/>
        </w:rPr>
        <w:lastRenderedPageBreak/>
        <w:t>ese mismo año y feneció el 7 de septiembre de 2001, con lo cual se observa que, para el momento en que fue presentada la demanda (23 de enero de 2015), ya había operado el fenómeno jurídico de la caducidad de la acción, como quiera que expiró el término establecido en el numeral 8 del artículo 136 del Código Contencioso Administrativo, norma aplicable al caso concreto para efectos del conteo del término de caducidad, por ser la que se encontraba vigente para cuando dicho término empezó a correr.</w:t>
      </w:r>
      <w:r>
        <w:rPr>
          <w:rFonts w:ascii="Century Gothic" w:eastAsia="Times New Roman" w:hAnsi="Century Gothic" w:cs="Arial"/>
          <w:lang w:val="es-ES" w:eastAsia="es-ES"/>
        </w:rPr>
        <w:t xml:space="preserve">   </w:t>
      </w:r>
    </w:p>
    <w:p w:rsidR="00A57244" w:rsidRDefault="00A57244" w:rsidP="00A57244">
      <w:pPr>
        <w:spacing w:line="360" w:lineRule="auto"/>
        <w:jc w:val="both"/>
        <w:textAlignment w:val="baseline"/>
        <w:rPr>
          <w:rFonts w:ascii="Century Gothic" w:eastAsia="Times New Roman" w:hAnsi="Century Gothic" w:cs="Arial"/>
          <w:lang w:val="es-ES" w:eastAsia="es-ES"/>
        </w:rPr>
      </w:pPr>
    </w:p>
    <w:p w:rsidR="00A57244" w:rsidRDefault="00A57244" w:rsidP="00A57244">
      <w:pPr>
        <w:spacing w:line="360" w:lineRule="auto"/>
        <w:jc w:val="both"/>
        <w:textAlignment w:val="baseline"/>
        <w:rPr>
          <w:rFonts w:ascii="Century Gothic" w:hAnsi="Century Gothic"/>
        </w:rPr>
      </w:pPr>
      <w:r>
        <w:rPr>
          <w:rFonts w:ascii="Century Gothic" w:hAnsi="Century Gothic"/>
        </w:rPr>
        <w:t>De conformidad con lo</w:t>
      </w:r>
      <w:r w:rsidRPr="00DA5071">
        <w:rPr>
          <w:rFonts w:ascii="Century Gothic" w:hAnsi="Century Gothic"/>
        </w:rPr>
        <w:t xml:space="preserve"> anterior, la Sala confirmará la decisión </w:t>
      </w:r>
      <w:r>
        <w:rPr>
          <w:rFonts w:ascii="Century Gothic" w:hAnsi="Century Gothic"/>
        </w:rPr>
        <w:t>apelada,</w:t>
      </w:r>
      <w:r w:rsidRPr="00DA5071">
        <w:rPr>
          <w:rFonts w:ascii="Century Gothic" w:hAnsi="Century Gothic"/>
        </w:rPr>
        <w:t xml:space="preserve"> a través de la cual se </w:t>
      </w:r>
      <w:r>
        <w:rPr>
          <w:rFonts w:ascii="Century Gothic" w:hAnsi="Century Gothic"/>
        </w:rPr>
        <w:t xml:space="preserve">rechazó la demanda por </w:t>
      </w:r>
      <w:r w:rsidRPr="00DA5071">
        <w:rPr>
          <w:rFonts w:ascii="Century Gothic" w:hAnsi="Century Gothic"/>
        </w:rPr>
        <w:t>caducidad de la acción</w:t>
      </w:r>
      <w:r>
        <w:rPr>
          <w:rFonts w:ascii="Century Gothic" w:hAnsi="Century Gothic"/>
        </w:rPr>
        <w:t>.</w:t>
      </w:r>
    </w:p>
    <w:p w:rsidR="00A57244" w:rsidRDefault="00A57244" w:rsidP="00A57244">
      <w:pPr>
        <w:spacing w:line="360" w:lineRule="auto"/>
        <w:jc w:val="both"/>
        <w:textAlignment w:val="baseline"/>
        <w:rPr>
          <w:rFonts w:ascii="Century Gothic" w:hAnsi="Century Gothic"/>
        </w:rPr>
      </w:pPr>
    </w:p>
    <w:p w:rsidR="00A57244" w:rsidRPr="00DA5071" w:rsidRDefault="00A57244" w:rsidP="00A57244">
      <w:pPr>
        <w:spacing w:line="360" w:lineRule="auto"/>
        <w:jc w:val="both"/>
        <w:textAlignment w:val="baseline"/>
        <w:rPr>
          <w:rFonts w:ascii="Century Gothic" w:hAnsi="Century Gothic"/>
        </w:rPr>
      </w:pPr>
    </w:p>
    <w:p w:rsidR="00A57244" w:rsidRPr="0093381E" w:rsidRDefault="00A57244" w:rsidP="00A57244">
      <w:pPr>
        <w:widowControl w:val="0"/>
        <w:autoSpaceDE w:val="0"/>
        <w:autoSpaceDN w:val="0"/>
        <w:adjustRightInd w:val="0"/>
        <w:spacing w:line="360" w:lineRule="auto"/>
        <w:ind w:right="20"/>
        <w:jc w:val="both"/>
        <w:rPr>
          <w:rFonts w:ascii="Century Gothic" w:eastAsia="Times New Roman" w:hAnsi="Century Gothic"/>
          <w:lang w:eastAsia="es-ES"/>
        </w:rPr>
      </w:pPr>
      <w:r w:rsidRPr="0093381E">
        <w:rPr>
          <w:rFonts w:ascii="Century Gothic" w:eastAsia="Times New Roman" w:hAnsi="Century Gothic"/>
          <w:lang w:eastAsia="es-ES"/>
        </w:rPr>
        <w:t>En mérito de lo expuesto, se</w:t>
      </w:r>
    </w:p>
    <w:p w:rsidR="00A57244" w:rsidRDefault="00A57244" w:rsidP="00A57244">
      <w:pPr>
        <w:pStyle w:val="Sinespaciado"/>
        <w:rPr>
          <w:lang w:eastAsia="es-ES"/>
        </w:rPr>
      </w:pPr>
    </w:p>
    <w:p w:rsidR="00A57244" w:rsidRDefault="00A57244" w:rsidP="00A57244">
      <w:pPr>
        <w:pStyle w:val="Sinespaciado"/>
        <w:rPr>
          <w:lang w:eastAsia="es-ES"/>
        </w:rPr>
      </w:pPr>
    </w:p>
    <w:p w:rsidR="00A57244" w:rsidRPr="0093381E" w:rsidRDefault="00A57244" w:rsidP="00A57244">
      <w:pPr>
        <w:jc w:val="center"/>
        <w:rPr>
          <w:rFonts w:ascii="Century Gothic" w:eastAsia="Times New Roman" w:hAnsi="Century Gothic" w:cs="Tahoma"/>
          <w:b/>
          <w:lang w:eastAsia="es-ES"/>
        </w:rPr>
      </w:pPr>
      <w:r w:rsidRPr="0093381E">
        <w:rPr>
          <w:rFonts w:ascii="Century Gothic" w:eastAsia="Times New Roman" w:hAnsi="Century Gothic" w:cs="Tahoma"/>
          <w:b/>
          <w:lang w:eastAsia="es-ES"/>
        </w:rPr>
        <w:t>R E S U E L V E:</w:t>
      </w:r>
    </w:p>
    <w:p w:rsidR="00A57244" w:rsidRDefault="00A57244" w:rsidP="00A57244">
      <w:pPr>
        <w:pStyle w:val="Sinespaciado"/>
        <w:rPr>
          <w:lang w:val="es-ES_tradnl" w:eastAsia="es-ES"/>
        </w:rPr>
      </w:pPr>
    </w:p>
    <w:p w:rsidR="00A57244" w:rsidRPr="0093381E" w:rsidRDefault="00A57244" w:rsidP="00A57244">
      <w:pPr>
        <w:pStyle w:val="Sinespaciado"/>
        <w:rPr>
          <w:lang w:val="es-ES_tradnl" w:eastAsia="es-ES"/>
        </w:rPr>
      </w:pPr>
    </w:p>
    <w:p w:rsidR="00A57244" w:rsidRDefault="00A57244" w:rsidP="00A57244">
      <w:pPr>
        <w:spacing w:line="360" w:lineRule="auto"/>
        <w:jc w:val="both"/>
        <w:rPr>
          <w:rFonts w:ascii="Century Gothic" w:eastAsia="Times New Roman" w:hAnsi="Century Gothic" w:cs="Tahoma"/>
          <w:lang w:eastAsia="es-ES"/>
        </w:rPr>
      </w:pPr>
      <w:r w:rsidRPr="0093381E">
        <w:rPr>
          <w:rFonts w:ascii="Century Gothic" w:eastAsia="Times New Roman" w:hAnsi="Century Gothic" w:cs="Tahoma"/>
          <w:b/>
          <w:lang w:eastAsia="es-ES"/>
        </w:rPr>
        <w:t xml:space="preserve">PRIMERO: CONFÍRMASE </w:t>
      </w:r>
      <w:r w:rsidRPr="0093381E">
        <w:rPr>
          <w:rFonts w:ascii="Century Gothic" w:eastAsia="Times New Roman" w:hAnsi="Century Gothic" w:cs="Tahoma"/>
          <w:lang w:eastAsia="es-ES"/>
        </w:rPr>
        <w:t>la decisión tomada por el Tribunal Administrativo de</w:t>
      </w:r>
      <w:r>
        <w:rPr>
          <w:rFonts w:ascii="Century Gothic" w:eastAsia="Times New Roman" w:hAnsi="Century Gothic" w:cs="Tahoma"/>
          <w:lang w:eastAsia="es-ES"/>
        </w:rPr>
        <w:t xml:space="preserve"> Antioquia</w:t>
      </w:r>
      <w:r w:rsidRPr="0093381E">
        <w:rPr>
          <w:rFonts w:ascii="Century Gothic" w:eastAsia="Times New Roman" w:hAnsi="Century Gothic" w:cs="Tahoma"/>
          <w:lang w:eastAsia="es-ES"/>
        </w:rPr>
        <w:t xml:space="preserve"> el </w:t>
      </w:r>
      <w:r>
        <w:rPr>
          <w:rFonts w:ascii="Century Gothic" w:eastAsia="Times New Roman" w:hAnsi="Century Gothic" w:cs="Tahoma"/>
          <w:lang w:eastAsia="es-ES"/>
        </w:rPr>
        <w:t>29 de abril de 2015</w:t>
      </w:r>
      <w:r w:rsidRPr="0093381E">
        <w:rPr>
          <w:rFonts w:ascii="Century Gothic" w:eastAsia="Times New Roman" w:hAnsi="Century Gothic" w:cs="Tahoma"/>
          <w:lang w:eastAsia="es-ES"/>
        </w:rPr>
        <w:t>, a través de la cual se</w:t>
      </w:r>
      <w:r>
        <w:rPr>
          <w:rFonts w:ascii="Century Gothic" w:eastAsia="Times New Roman" w:hAnsi="Century Gothic" w:cs="Tahoma"/>
          <w:lang w:eastAsia="es-ES"/>
        </w:rPr>
        <w:t xml:space="preserve"> rechazó la demanda por caducidad. </w:t>
      </w:r>
    </w:p>
    <w:p w:rsidR="00A57244" w:rsidRDefault="00A57244" w:rsidP="00A57244">
      <w:pPr>
        <w:spacing w:line="360" w:lineRule="auto"/>
        <w:jc w:val="both"/>
        <w:rPr>
          <w:rFonts w:ascii="Century Gothic" w:eastAsia="Times New Roman" w:hAnsi="Century Gothic" w:cs="Tahoma"/>
          <w:lang w:eastAsia="es-ES"/>
        </w:rPr>
      </w:pPr>
    </w:p>
    <w:p w:rsidR="00A57244" w:rsidRDefault="00A57244" w:rsidP="00A57244">
      <w:pPr>
        <w:spacing w:line="360" w:lineRule="auto"/>
        <w:jc w:val="both"/>
        <w:rPr>
          <w:rFonts w:ascii="Century Gothic" w:eastAsia="Times New Roman" w:hAnsi="Century Gothic"/>
          <w:b/>
          <w:lang w:val="es-ES" w:eastAsia="es-ES"/>
        </w:rPr>
      </w:pPr>
    </w:p>
    <w:p w:rsidR="00A57244" w:rsidRDefault="00A57244" w:rsidP="00A57244">
      <w:pPr>
        <w:spacing w:line="360" w:lineRule="auto"/>
        <w:jc w:val="both"/>
        <w:rPr>
          <w:rFonts w:ascii="Century Gothic" w:eastAsia="Times New Roman" w:hAnsi="Century Gothic"/>
          <w:b/>
          <w:lang w:val="es-ES" w:eastAsia="es-ES"/>
        </w:rPr>
      </w:pPr>
    </w:p>
    <w:p w:rsidR="00A57244" w:rsidRDefault="00A57244" w:rsidP="00A57244">
      <w:pPr>
        <w:spacing w:line="360" w:lineRule="auto"/>
        <w:jc w:val="both"/>
        <w:rPr>
          <w:rFonts w:ascii="Century Gothic" w:eastAsia="Times New Roman" w:hAnsi="Century Gothic"/>
          <w:lang w:val="es-ES" w:eastAsia="es-ES"/>
        </w:rPr>
      </w:pPr>
      <w:r w:rsidRPr="0093381E">
        <w:rPr>
          <w:rFonts w:ascii="Century Gothic" w:eastAsia="Times New Roman" w:hAnsi="Century Gothic"/>
          <w:b/>
          <w:lang w:val="es-ES" w:eastAsia="es-ES"/>
        </w:rPr>
        <w:t>SEGUNDO:</w:t>
      </w:r>
      <w:r w:rsidRPr="0093381E">
        <w:rPr>
          <w:rFonts w:ascii="Century Gothic" w:eastAsia="Times New Roman" w:hAnsi="Century Gothic"/>
          <w:lang w:val="es-ES" w:eastAsia="es-ES"/>
        </w:rPr>
        <w:t xml:space="preserve"> En firme este proveído, </w:t>
      </w:r>
      <w:r w:rsidRPr="0093381E">
        <w:rPr>
          <w:rFonts w:ascii="Century Gothic" w:eastAsia="Times New Roman" w:hAnsi="Century Gothic"/>
          <w:b/>
          <w:lang w:val="es-ES" w:eastAsia="es-ES"/>
        </w:rPr>
        <w:t xml:space="preserve">DEVUÉLVASE </w:t>
      </w:r>
      <w:r w:rsidRPr="0093381E">
        <w:rPr>
          <w:rFonts w:ascii="Century Gothic" w:eastAsia="Times New Roman" w:hAnsi="Century Gothic"/>
          <w:lang w:val="es-ES" w:eastAsia="es-ES"/>
        </w:rPr>
        <w:t>el proceso al Tribunal de origen, para lo de su cargo.</w:t>
      </w:r>
    </w:p>
    <w:p w:rsidR="00A57244" w:rsidRDefault="00A57244" w:rsidP="00A57244">
      <w:pPr>
        <w:spacing w:line="360" w:lineRule="auto"/>
        <w:jc w:val="both"/>
        <w:rPr>
          <w:rFonts w:ascii="Century Gothic" w:eastAsia="Times New Roman" w:hAnsi="Century Gothic"/>
          <w:lang w:val="es-ES" w:eastAsia="es-ES"/>
        </w:rPr>
      </w:pPr>
    </w:p>
    <w:p w:rsidR="00A57244" w:rsidRDefault="00A57244" w:rsidP="00A57244">
      <w:pPr>
        <w:spacing w:line="360" w:lineRule="auto"/>
        <w:jc w:val="both"/>
        <w:rPr>
          <w:rFonts w:ascii="Century Gothic" w:eastAsia="Times New Roman" w:hAnsi="Century Gothic"/>
          <w:lang w:val="es-ES" w:eastAsia="es-ES"/>
        </w:rPr>
      </w:pPr>
    </w:p>
    <w:p w:rsidR="00A57244" w:rsidRPr="0093381E" w:rsidRDefault="00A57244" w:rsidP="00A57244">
      <w:pPr>
        <w:pStyle w:val="Sinespaciado"/>
        <w:rPr>
          <w:lang w:val="es-ES" w:eastAsia="es-ES"/>
        </w:rPr>
      </w:pPr>
    </w:p>
    <w:p w:rsidR="00A57244" w:rsidRPr="0093381E" w:rsidRDefault="00A57244" w:rsidP="00A57244">
      <w:pPr>
        <w:jc w:val="center"/>
        <w:rPr>
          <w:rFonts w:ascii="Century Gothic" w:eastAsia="Times New Roman" w:hAnsi="Century Gothic" w:cs="Tahoma"/>
          <w:b/>
          <w:lang w:eastAsia="es-ES"/>
        </w:rPr>
      </w:pPr>
      <w:r>
        <w:rPr>
          <w:rFonts w:ascii="Century Gothic" w:eastAsia="Times New Roman" w:hAnsi="Century Gothic" w:cs="Tahoma"/>
          <w:b/>
          <w:lang w:eastAsia="es-ES"/>
        </w:rPr>
        <w:t>N</w:t>
      </w:r>
      <w:r w:rsidRPr="0093381E">
        <w:rPr>
          <w:rFonts w:ascii="Century Gothic" w:eastAsia="Times New Roman" w:hAnsi="Century Gothic" w:cs="Tahoma"/>
          <w:b/>
          <w:lang w:eastAsia="es-ES"/>
        </w:rPr>
        <w:t>OTIFÍQUESE Y CÚMPLASE</w:t>
      </w:r>
    </w:p>
    <w:p w:rsidR="00A57244" w:rsidRDefault="00A57244" w:rsidP="00A57244">
      <w:pPr>
        <w:pStyle w:val="Sinespaciado"/>
        <w:rPr>
          <w:lang w:eastAsia="es-ES"/>
        </w:rPr>
      </w:pPr>
    </w:p>
    <w:p w:rsidR="00A57244" w:rsidRDefault="00A57244" w:rsidP="00A57244">
      <w:pPr>
        <w:pStyle w:val="Sinespaciado"/>
        <w:rPr>
          <w:lang w:eastAsia="es-ES"/>
        </w:rPr>
      </w:pPr>
    </w:p>
    <w:p w:rsidR="00A57244" w:rsidRDefault="00A57244" w:rsidP="00A57244">
      <w:pPr>
        <w:pStyle w:val="Sinespaciado"/>
        <w:rPr>
          <w:lang w:eastAsia="es-ES"/>
        </w:rPr>
      </w:pPr>
    </w:p>
    <w:p w:rsidR="00A57244" w:rsidRDefault="00A57244" w:rsidP="00A57244">
      <w:pPr>
        <w:pStyle w:val="Sinespaciado"/>
        <w:rPr>
          <w:lang w:eastAsia="es-ES"/>
        </w:rPr>
      </w:pPr>
    </w:p>
    <w:p w:rsidR="00A57244" w:rsidRPr="0093381E" w:rsidRDefault="00A57244" w:rsidP="00A57244">
      <w:pPr>
        <w:pStyle w:val="Sinespaciado"/>
        <w:rPr>
          <w:lang w:val="es-ES" w:eastAsia="es-ES"/>
        </w:rPr>
      </w:pPr>
    </w:p>
    <w:p w:rsidR="00A57244" w:rsidRDefault="00A57244" w:rsidP="00A57244">
      <w:pPr>
        <w:rPr>
          <w:rFonts w:ascii="Century Gothic" w:eastAsia="Times New Roman" w:hAnsi="Century Gothic"/>
          <w:b/>
          <w:lang w:val="es-ES" w:eastAsia="es-ES"/>
        </w:rPr>
      </w:pPr>
      <w:r w:rsidRPr="0093381E">
        <w:rPr>
          <w:rFonts w:ascii="Century Gothic" w:eastAsia="Times New Roman" w:hAnsi="Century Gothic"/>
          <w:b/>
          <w:lang w:val="es-ES" w:eastAsia="es-ES"/>
        </w:rPr>
        <w:t>MARTA NUBIA VELÁSQUEZ RICO</w:t>
      </w:r>
      <w:r w:rsidRPr="0093381E">
        <w:rPr>
          <w:rFonts w:ascii="Century Gothic" w:eastAsia="Times New Roman" w:hAnsi="Century Gothic"/>
          <w:b/>
          <w:lang w:val="es-ES" w:eastAsia="es-ES"/>
        </w:rPr>
        <w:tab/>
      </w:r>
      <w:r w:rsidRPr="0093381E">
        <w:rPr>
          <w:rFonts w:ascii="Century Gothic" w:eastAsia="Times New Roman" w:hAnsi="Century Gothic"/>
          <w:b/>
          <w:lang w:val="es-ES" w:eastAsia="es-ES"/>
        </w:rPr>
        <w:tab/>
      </w:r>
      <w:r w:rsidRPr="0093381E">
        <w:rPr>
          <w:rFonts w:ascii="Century Gothic" w:eastAsia="Times New Roman" w:hAnsi="Century Gothic"/>
          <w:b/>
          <w:lang w:val="es-ES" w:eastAsia="es-ES"/>
        </w:rPr>
        <w:tab/>
        <w:t xml:space="preserve">  </w:t>
      </w:r>
      <w:r w:rsidRPr="0093381E">
        <w:rPr>
          <w:rFonts w:ascii="Century Gothic" w:eastAsia="Times New Roman" w:hAnsi="Century Gothic"/>
          <w:b/>
          <w:lang w:val="es-ES" w:eastAsia="es-ES"/>
        </w:rPr>
        <w:tab/>
        <w:t xml:space="preserve">    HERNÁN ANDRADE RINCÓN</w:t>
      </w:r>
      <w:r w:rsidRPr="0093381E">
        <w:rPr>
          <w:rFonts w:ascii="Century Gothic" w:eastAsia="Times New Roman" w:hAnsi="Century Gothic"/>
          <w:b/>
          <w:lang w:val="es-ES" w:eastAsia="es-ES"/>
        </w:rPr>
        <w:tab/>
      </w:r>
      <w:r w:rsidRPr="0093381E">
        <w:rPr>
          <w:rFonts w:ascii="Century Gothic" w:eastAsia="Times New Roman" w:hAnsi="Century Gothic"/>
          <w:b/>
          <w:lang w:val="es-ES" w:eastAsia="es-ES"/>
        </w:rPr>
        <w:tab/>
      </w:r>
      <w:r w:rsidRPr="0093381E">
        <w:rPr>
          <w:rFonts w:ascii="Century Gothic" w:eastAsia="Times New Roman" w:hAnsi="Century Gothic"/>
          <w:b/>
          <w:lang w:val="es-ES" w:eastAsia="es-ES"/>
        </w:rPr>
        <w:tab/>
      </w:r>
      <w:r w:rsidRPr="0093381E">
        <w:rPr>
          <w:rFonts w:ascii="Century Gothic" w:eastAsia="Times New Roman" w:hAnsi="Century Gothic"/>
          <w:b/>
          <w:lang w:val="es-ES" w:eastAsia="es-ES"/>
        </w:rPr>
        <w:tab/>
      </w:r>
    </w:p>
    <w:p w:rsidR="00A57244" w:rsidRDefault="00A57244" w:rsidP="00A57244">
      <w:pPr>
        <w:pStyle w:val="Sinespaciado"/>
        <w:rPr>
          <w:lang w:val="es-ES" w:eastAsia="es-ES"/>
        </w:rPr>
      </w:pPr>
    </w:p>
    <w:p w:rsidR="00A57244" w:rsidRDefault="00A57244" w:rsidP="00A57244">
      <w:pPr>
        <w:pStyle w:val="Sinespaciado"/>
        <w:rPr>
          <w:lang w:val="es-ES" w:eastAsia="es-ES"/>
        </w:rPr>
      </w:pPr>
    </w:p>
    <w:p w:rsidR="00A57244" w:rsidRDefault="00A57244" w:rsidP="00A57244">
      <w:pPr>
        <w:pStyle w:val="Sinespaciado"/>
        <w:rPr>
          <w:lang w:val="es-ES" w:eastAsia="es-ES"/>
        </w:rPr>
      </w:pPr>
    </w:p>
    <w:p w:rsidR="00A57244" w:rsidRPr="0093381E" w:rsidRDefault="00A57244" w:rsidP="00A57244">
      <w:pPr>
        <w:pStyle w:val="Sinespaciado"/>
        <w:rPr>
          <w:lang w:val="es-ES" w:eastAsia="es-ES"/>
        </w:rPr>
      </w:pPr>
    </w:p>
    <w:p w:rsidR="00A57244" w:rsidRPr="0093381E" w:rsidRDefault="00A57244" w:rsidP="00A57244">
      <w:pPr>
        <w:pStyle w:val="Sinespaciado"/>
        <w:rPr>
          <w:rFonts w:ascii="Century Gothic" w:eastAsia="Times New Roman" w:hAnsi="Century Gothic"/>
          <w:b/>
          <w:lang w:val="es-ES" w:eastAsia="es-ES"/>
        </w:rPr>
      </w:pPr>
      <w:r w:rsidRPr="0093381E">
        <w:rPr>
          <w:lang w:val="es-ES" w:eastAsia="es-ES"/>
        </w:rPr>
        <w:t xml:space="preserve">                                 </w:t>
      </w:r>
    </w:p>
    <w:p w:rsidR="00A57244" w:rsidRDefault="00A57244" w:rsidP="00A57244">
      <w:pPr>
        <w:jc w:val="center"/>
      </w:pPr>
      <w:r w:rsidRPr="0093381E">
        <w:rPr>
          <w:rFonts w:ascii="Century Gothic" w:eastAsia="Times New Roman" w:hAnsi="Century Gothic"/>
          <w:b/>
          <w:lang w:val="es-ES" w:eastAsia="es-ES"/>
        </w:rPr>
        <w:t xml:space="preserve">    CARLOS ALBERTO ZAMBRANO BARRERA</w:t>
      </w:r>
    </w:p>
    <w:p w:rsidR="00A63B9B" w:rsidRDefault="00A63B9B" w:rsidP="00A63B9B"/>
    <w:p w:rsidR="0062276B" w:rsidRDefault="0062276B"/>
    <w:sectPr w:rsidR="0062276B" w:rsidSect="00561A7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F00" w:rsidRDefault="006B4F00" w:rsidP="00A57244">
      <w:pPr>
        <w:spacing w:line="240" w:lineRule="auto"/>
      </w:pPr>
      <w:r>
        <w:separator/>
      </w:r>
    </w:p>
  </w:endnote>
  <w:endnote w:type="continuationSeparator" w:id="0">
    <w:p w:rsidR="006B4F00" w:rsidRDefault="006B4F00" w:rsidP="00A57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F00" w:rsidRDefault="006B4F00" w:rsidP="00A57244">
      <w:pPr>
        <w:spacing w:line="240" w:lineRule="auto"/>
      </w:pPr>
      <w:r>
        <w:separator/>
      </w:r>
    </w:p>
  </w:footnote>
  <w:footnote w:type="continuationSeparator" w:id="0">
    <w:p w:rsidR="006B4F00" w:rsidRDefault="006B4F00" w:rsidP="00A57244">
      <w:pPr>
        <w:spacing w:line="240" w:lineRule="auto"/>
      </w:pPr>
      <w:r>
        <w:continuationSeparator/>
      </w:r>
    </w:p>
  </w:footnote>
  <w:footnote w:id="1">
    <w:p w:rsidR="00A57244" w:rsidRPr="00750E2B" w:rsidRDefault="00A57244" w:rsidP="00A57244">
      <w:pPr>
        <w:pStyle w:val="Textonotapie"/>
        <w:rPr>
          <w:rFonts w:ascii="Century Gothic" w:hAnsi="Century Gothic"/>
          <w:sz w:val="16"/>
          <w:szCs w:val="16"/>
        </w:rPr>
      </w:pPr>
      <w:r w:rsidRPr="00750E2B">
        <w:rPr>
          <w:rStyle w:val="Refdenotaalpie"/>
          <w:rFonts w:ascii="Century Gothic" w:hAnsi="Century Gothic"/>
          <w:sz w:val="16"/>
          <w:szCs w:val="16"/>
        </w:rPr>
        <w:footnoteRef/>
      </w:r>
      <w:r>
        <w:rPr>
          <w:rFonts w:ascii="Century Gothic" w:hAnsi="Century Gothic"/>
          <w:sz w:val="16"/>
          <w:szCs w:val="16"/>
        </w:rPr>
        <w:t xml:space="preserve"> </w:t>
      </w:r>
      <w:r w:rsidRPr="00750E2B">
        <w:rPr>
          <w:rFonts w:ascii="Century Gothic" w:hAnsi="Century Gothic"/>
          <w:sz w:val="16"/>
          <w:szCs w:val="16"/>
        </w:rPr>
        <w:t xml:space="preserve">Folio 5 cuaderno principal. </w:t>
      </w:r>
    </w:p>
  </w:footnote>
  <w:footnote w:id="2">
    <w:p w:rsidR="00A57244" w:rsidRPr="004A40AF" w:rsidRDefault="00A57244" w:rsidP="00A57244">
      <w:pPr>
        <w:pStyle w:val="Textonotapie"/>
        <w:rPr>
          <w:rFonts w:ascii="Century Gothic" w:hAnsi="Century Gothic"/>
          <w:sz w:val="18"/>
          <w:szCs w:val="18"/>
        </w:rPr>
      </w:pPr>
      <w:r w:rsidRPr="004A40AF">
        <w:rPr>
          <w:rStyle w:val="Refdenotaalpie"/>
          <w:rFonts w:ascii="Century Gothic" w:hAnsi="Century Gothic"/>
          <w:sz w:val="18"/>
          <w:szCs w:val="18"/>
        </w:rPr>
        <w:footnoteRef/>
      </w:r>
      <w:r w:rsidRPr="004A40AF">
        <w:rPr>
          <w:rFonts w:ascii="Century Gothic" w:hAnsi="Century Gothic"/>
          <w:sz w:val="18"/>
          <w:szCs w:val="18"/>
        </w:rPr>
        <w:t xml:space="preserve"> </w:t>
      </w:r>
      <w:r>
        <w:rPr>
          <w:rFonts w:ascii="Century Gothic" w:hAnsi="Century Gothic"/>
          <w:sz w:val="18"/>
          <w:szCs w:val="18"/>
        </w:rPr>
        <w:t>Consejo de Estado, Sala de lo Contencioso Administrativo, Sección Tercera, sentencia del 21 de septiembre de 2016, radicado 55.564</w:t>
      </w:r>
      <w:r w:rsidRPr="004A40AF">
        <w:rPr>
          <w:rFonts w:ascii="Century Gothic" w:hAnsi="Century Gothic"/>
          <w:sz w:val="18"/>
          <w:szCs w:val="18"/>
        </w:rPr>
        <w:t>.</w:t>
      </w:r>
    </w:p>
  </w:footnote>
  <w:footnote w:id="3">
    <w:p w:rsidR="00A57244" w:rsidRPr="00E95101" w:rsidRDefault="00A57244" w:rsidP="00A57244">
      <w:pPr>
        <w:pStyle w:val="Textonotapie"/>
        <w:spacing w:line="240" w:lineRule="auto"/>
        <w:jc w:val="both"/>
        <w:rPr>
          <w:rFonts w:ascii="Century Gothic" w:hAnsi="Century Gothic"/>
          <w:sz w:val="16"/>
        </w:rPr>
      </w:pPr>
      <w:r w:rsidRPr="00E95101">
        <w:rPr>
          <w:rStyle w:val="Refdenotaalpie"/>
          <w:rFonts w:ascii="Century Gothic" w:hAnsi="Century Gothic"/>
          <w:sz w:val="16"/>
        </w:rPr>
        <w:footnoteRef/>
      </w:r>
      <w:r w:rsidRPr="00E95101">
        <w:rPr>
          <w:rFonts w:ascii="Century Gothic" w:hAnsi="Century Gothic"/>
          <w:sz w:val="16"/>
        </w:rPr>
        <w:t xml:space="preserve"> Anotación hecha el 6 de septiembre de 1999, en el certificado de tradición y libertad visible a folio 47, cuaderno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9B"/>
    <w:rsid w:val="00010587"/>
    <w:rsid w:val="0007079A"/>
    <w:rsid w:val="00090DB0"/>
    <w:rsid w:val="000D706D"/>
    <w:rsid w:val="001B1421"/>
    <w:rsid w:val="00267385"/>
    <w:rsid w:val="002850A8"/>
    <w:rsid w:val="002879A0"/>
    <w:rsid w:val="002917ED"/>
    <w:rsid w:val="002A6FE7"/>
    <w:rsid w:val="003F57DC"/>
    <w:rsid w:val="00456BDD"/>
    <w:rsid w:val="00525018"/>
    <w:rsid w:val="00530C33"/>
    <w:rsid w:val="00561A7D"/>
    <w:rsid w:val="00572128"/>
    <w:rsid w:val="00575FC3"/>
    <w:rsid w:val="0062276B"/>
    <w:rsid w:val="00634A1D"/>
    <w:rsid w:val="00650024"/>
    <w:rsid w:val="0066727B"/>
    <w:rsid w:val="006B4F00"/>
    <w:rsid w:val="006F35B0"/>
    <w:rsid w:val="007C5926"/>
    <w:rsid w:val="008E074D"/>
    <w:rsid w:val="00911493"/>
    <w:rsid w:val="00943667"/>
    <w:rsid w:val="00950CC4"/>
    <w:rsid w:val="00991097"/>
    <w:rsid w:val="009C0582"/>
    <w:rsid w:val="009F411B"/>
    <w:rsid w:val="00A13720"/>
    <w:rsid w:val="00A57244"/>
    <w:rsid w:val="00A63B9B"/>
    <w:rsid w:val="00A7722F"/>
    <w:rsid w:val="00B156C5"/>
    <w:rsid w:val="00B31871"/>
    <w:rsid w:val="00B52F15"/>
    <w:rsid w:val="00B70632"/>
    <w:rsid w:val="00BD6693"/>
    <w:rsid w:val="00CB20DB"/>
    <w:rsid w:val="00D2491C"/>
    <w:rsid w:val="00D86D40"/>
    <w:rsid w:val="00DC0911"/>
    <w:rsid w:val="00E42067"/>
    <w:rsid w:val="00F3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07B8"/>
  <w15:chartTrackingRefBased/>
  <w15:docId w15:val="{D78D4C89-728B-4DE2-A5E9-A130EEC3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57244"/>
    <w:pPr>
      <w:spacing w:after="160" w:line="259" w:lineRule="auto"/>
    </w:pPr>
    <w:rPr>
      <w:sz w:val="20"/>
      <w:szCs w:val="20"/>
    </w:rPr>
  </w:style>
  <w:style w:type="character" w:customStyle="1" w:styleId="TextonotapieCar">
    <w:name w:val="Texto nota pie Car"/>
    <w:link w:val="Textonotapie"/>
    <w:uiPriority w:val="99"/>
    <w:rsid w:val="00A57244"/>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nhideWhenUsed/>
    <w:qFormat/>
    <w:rsid w:val="00A57244"/>
    <w:rPr>
      <w:vertAlign w:val="superscript"/>
    </w:rPr>
  </w:style>
  <w:style w:type="paragraph" w:styleId="Sinespaciado">
    <w:name w:val="No Spacing"/>
    <w:uiPriority w:val="1"/>
    <w:qFormat/>
    <w:rsid w:val="00A57244"/>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7DD9B-63D5-462B-A0F1-9252C0C45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EFCFE-F9B4-4A0B-82EC-5EEE76995B66}">
  <ds:schemaRefs>
    <ds:schemaRef ds:uri="http://schemas.microsoft.com/sharepoint/v3/contenttype/forms"/>
  </ds:schemaRefs>
</ds:datastoreItem>
</file>

<file path=customXml/itemProps3.xml><?xml version="1.0" encoding="utf-8"?>
<ds:datastoreItem xmlns:ds="http://schemas.openxmlformats.org/officeDocument/2006/customXml" ds:itemID="{A6B6E9A9-1D3F-490C-97A3-2081770B3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jmanuel.castillo.lopez@gmail.com</cp:lastModifiedBy>
  <cp:revision>3</cp:revision>
  <dcterms:created xsi:type="dcterms:W3CDTF">2020-06-04T17:56:00Z</dcterms:created>
  <dcterms:modified xsi:type="dcterms:W3CDTF">2020-06-22T21:23:00Z</dcterms:modified>
</cp:coreProperties>
</file>