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5B335" w14:textId="28C77539" w:rsidR="004E173E" w:rsidRPr="00D94BF0" w:rsidRDefault="00721821" w:rsidP="004E173E">
      <w:pPr>
        <w:spacing w:line="240" w:lineRule="auto"/>
        <w:jc w:val="both"/>
        <w:rPr>
          <w:rFonts w:ascii="Arial" w:eastAsia="Arial Unicode MS" w:hAnsi="Arial" w:cs="Arial"/>
          <w:b/>
          <w:bCs/>
          <w:color w:val="000000"/>
          <w:sz w:val="24"/>
          <w:szCs w:val="24"/>
        </w:rPr>
      </w:pPr>
      <w:r w:rsidRPr="00D94BF0">
        <w:rPr>
          <w:rFonts w:ascii="Arial" w:eastAsia="Arial Unicode MS" w:hAnsi="Arial" w:cs="Arial"/>
          <w:b/>
          <w:bCs/>
          <w:color w:val="000000"/>
          <w:sz w:val="24"/>
          <w:szCs w:val="24"/>
        </w:rPr>
        <w:t xml:space="preserve">APELACIÓN </w:t>
      </w:r>
      <w:r w:rsidR="00CB0998">
        <w:rPr>
          <w:rFonts w:ascii="Arial" w:eastAsia="Arial Unicode MS" w:hAnsi="Arial" w:cs="Arial"/>
          <w:b/>
          <w:bCs/>
          <w:color w:val="000000"/>
          <w:sz w:val="24"/>
          <w:szCs w:val="24"/>
        </w:rPr>
        <w:t xml:space="preserve">DE </w:t>
      </w:r>
      <w:r w:rsidRPr="00D94BF0">
        <w:rPr>
          <w:rFonts w:ascii="Arial" w:eastAsia="Arial Unicode MS" w:hAnsi="Arial" w:cs="Arial"/>
          <w:b/>
          <w:bCs/>
          <w:color w:val="000000"/>
          <w:sz w:val="24"/>
          <w:szCs w:val="24"/>
        </w:rPr>
        <w:t>AUTO</w:t>
      </w:r>
      <w:r w:rsidR="00CB0998">
        <w:rPr>
          <w:rFonts w:ascii="Arial" w:eastAsia="Arial Unicode MS" w:hAnsi="Arial" w:cs="Arial"/>
          <w:b/>
          <w:bCs/>
          <w:color w:val="000000"/>
          <w:sz w:val="24"/>
          <w:szCs w:val="24"/>
        </w:rPr>
        <w:t xml:space="preserve"> ‒ </w:t>
      </w:r>
      <w:bookmarkStart w:id="0" w:name="_GoBack"/>
      <w:bookmarkEnd w:id="0"/>
      <w:r w:rsidR="00CB0998">
        <w:rPr>
          <w:rFonts w:ascii="Arial" w:eastAsia="Arial Unicode MS" w:hAnsi="Arial" w:cs="Arial"/>
          <w:b/>
          <w:bCs/>
          <w:color w:val="000000"/>
          <w:sz w:val="24"/>
          <w:szCs w:val="24"/>
        </w:rPr>
        <w:t xml:space="preserve">Caducidad de la acción </w:t>
      </w:r>
      <w:r w:rsidR="004105FD">
        <w:rPr>
          <w:rFonts w:ascii="Arial" w:eastAsia="Arial Unicode MS" w:hAnsi="Arial" w:cs="Arial"/>
          <w:b/>
          <w:bCs/>
          <w:color w:val="000000"/>
          <w:sz w:val="24"/>
          <w:szCs w:val="24"/>
        </w:rPr>
        <w:t>–</w:t>
      </w:r>
      <w:r w:rsidR="004E173E" w:rsidRPr="00D94BF0">
        <w:rPr>
          <w:rFonts w:ascii="Arial" w:eastAsia="Arial Unicode MS" w:hAnsi="Arial" w:cs="Arial"/>
          <w:b/>
          <w:bCs/>
          <w:color w:val="000000"/>
          <w:sz w:val="24"/>
          <w:szCs w:val="24"/>
        </w:rPr>
        <w:t xml:space="preserve"> </w:t>
      </w:r>
      <w:r w:rsidR="004105FD">
        <w:rPr>
          <w:rFonts w:ascii="Arial" w:eastAsia="Arial Unicode MS" w:hAnsi="Arial" w:cs="Arial"/>
          <w:b/>
          <w:bCs/>
          <w:color w:val="000000"/>
          <w:sz w:val="24"/>
          <w:szCs w:val="24"/>
        </w:rPr>
        <w:t>Competencia</w:t>
      </w:r>
    </w:p>
    <w:p w14:paraId="4678B52C" w14:textId="77777777" w:rsidR="004E173E" w:rsidRDefault="004E173E" w:rsidP="004E173E">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val="es-ES_tradnl" w:eastAsia="es-CO"/>
        </w:rPr>
      </w:pPr>
      <w:r w:rsidRPr="004239B3">
        <w:rPr>
          <w:rFonts w:ascii="Arial" w:eastAsia="Arial Unicode MS" w:hAnsi="Arial" w:cs="Arial"/>
          <w:bCs/>
          <w:color w:val="000000"/>
          <w:sz w:val="24"/>
          <w:szCs w:val="24"/>
          <w:lang w:eastAsia="es-CO"/>
        </w:rPr>
        <w:t xml:space="preserve">Esta Corporación es la competente para conocer del presente </w:t>
      </w:r>
      <w:r w:rsidRPr="004239B3">
        <w:rPr>
          <w:rFonts w:ascii="Arial" w:eastAsia="Arial Unicode MS" w:hAnsi="Arial" w:cs="Arial"/>
          <w:bCs/>
          <w:sz w:val="24"/>
          <w:szCs w:val="24"/>
          <w:lang w:eastAsia="es-CO"/>
        </w:rPr>
        <w:t xml:space="preserve">asunto, en segunda instancia, en los términos del artículo 150 del CPACA, </w:t>
      </w:r>
      <w:r w:rsidRPr="004239B3">
        <w:rPr>
          <w:rFonts w:ascii="Arial" w:hAnsi="Arial" w:cs="Arial"/>
          <w:sz w:val="24"/>
          <w:szCs w:val="24"/>
        </w:rPr>
        <w:t>modificado por el artículo 615 de la Ley 1564 de 2012,</w:t>
      </w:r>
      <w:r w:rsidRPr="004239B3">
        <w:rPr>
          <w:rFonts w:ascii="Arial" w:eastAsia="Arial Unicode MS" w:hAnsi="Arial" w:cs="Arial"/>
          <w:bCs/>
          <w:sz w:val="24"/>
          <w:szCs w:val="24"/>
          <w:lang w:eastAsia="es-CO"/>
        </w:rPr>
        <w:t xml:space="preserve"> codificación aplicable al presente asunto,</w:t>
      </w:r>
      <w:r w:rsidRPr="004239B3">
        <w:rPr>
          <w:rFonts w:ascii="Arial" w:eastAsia="Arial Unicode MS" w:hAnsi="Arial" w:cs="Arial"/>
          <w:bCs/>
          <w:color w:val="000000"/>
          <w:sz w:val="24"/>
          <w:szCs w:val="24"/>
          <w:lang w:eastAsia="es-CO"/>
        </w:rPr>
        <w:t xml:space="preserve"> toda vez que al superar el presente</w:t>
      </w:r>
      <w:r w:rsidRPr="003E1882">
        <w:rPr>
          <w:rFonts w:ascii="Arial" w:eastAsia="Arial Unicode MS" w:hAnsi="Arial" w:cs="Arial"/>
          <w:bCs/>
          <w:color w:val="000000"/>
          <w:sz w:val="24"/>
          <w:szCs w:val="24"/>
          <w:lang w:eastAsia="es-CO"/>
        </w:rPr>
        <w:t xml:space="preserve"> proceso la cuantía de 500 salarios mínimos legales mensuales vigentes correspondía al </w:t>
      </w:r>
      <w:r w:rsidRPr="003E1882">
        <w:rPr>
          <w:rFonts w:ascii="Arial" w:eastAsia="Arial Unicode MS" w:hAnsi="Arial" w:cs="Arial"/>
          <w:bCs/>
          <w:i/>
          <w:color w:val="000000"/>
          <w:sz w:val="24"/>
          <w:szCs w:val="24"/>
          <w:lang w:eastAsia="es-CO"/>
        </w:rPr>
        <w:t>a quo</w:t>
      </w:r>
      <w:r w:rsidRPr="003E1882">
        <w:rPr>
          <w:rFonts w:ascii="Arial" w:eastAsia="Arial Unicode MS" w:hAnsi="Arial" w:cs="Arial"/>
          <w:bCs/>
          <w:color w:val="000000"/>
          <w:sz w:val="24"/>
          <w:szCs w:val="24"/>
          <w:lang w:eastAsia="es-CO"/>
        </w:rPr>
        <w:t xml:space="preserve"> conocerlo en primera instancia y la providencia cuestionada es susceptible de apelación, en los términos del numeral 3 del artículo 243 del </w:t>
      </w:r>
      <w:r w:rsidRPr="003E1882">
        <w:rPr>
          <w:rFonts w:ascii="Arial" w:eastAsia="Arial Unicode MS" w:hAnsi="Arial" w:cs="Arial"/>
          <w:bCs/>
          <w:i/>
          <w:color w:val="000000"/>
          <w:sz w:val="24"/>
          <w:szCs w:val="24"/>
          <w:lang w:eastAsia="es-CO"/>
        </w:rPr>
        <w:t>ejusdem</w:t>
      </w:r>
      <w:r w:rsidRPr="003E1882">
        <w:rPr>
          <w:rFonts w:ascii="Arial" w:eastAsia="Arial Unicode MS" w:hAnsi="Arial" w:cs="Arial"/>
          <w:bCs/>
          <w:color w:val="000000"/>
          <w:sz w:val="24"/>
          <w:szCs w:val="24"/>
          <w:lang w:eastAsia="es-CO"/>
        </w:rPr>
        <w:t>.</w:t>
      </w:r>
      <w:r>
        <w:rPr>
          <w:rFonts w:ascii="Arial" w:eastAsia="Arial Unicode MS" w:hAnsi="Arial" w:cs="Arial"/>
          <w:bCs/>
          <w:color w:val="000000"/>
          <w:sz w:val="24"/>
          <w:szCs w:val="24"/>
        </w:rPr>
        <w:t xml:space="preserve"> </w:t>
      </w:r>
      <w:r w:rsidRPr="003E1882">
        <w:rPr>
          <w:rFonts w:ascii="Arial" w:eastAsia="Arial Unicode MS" w:hAnsi="Arial" w:cs="Arial"/>
          <w:bCs/>
          <w:color w:val="000000"/>
          <w:sz w:val="24"/>
          <w:szCs w:val="24"/>
          <w:lang w:eastAsia="es-CO"/>
        </w:rPr>
        <w:t>Además, a la Sección le asignaron este tipo de asuntos de forma interna.</w:t>
      </w:r>
      <w:r>
        <w:rPr>
          <w:rFonts w:ascii="Arial" w:eastAsia="Arial Unicode MS" w:hAnsi="Arial" w:cs="Arial"/>
          <w:bCs/>
          <w:color w:val="000000"/>
          <w:sz w:val="24"/>
          <w:szCs w:val="24"/>
        </w:rPr>
        <w:t xml:space="preserve"> </w:t>
      </w:r>
      <w:r w:rsidRPr="003E1882">
        <w:rPr>
          <w:rFonts w:ascii="Arial" w:eastAsia="Arial Unicode MS" w:hAnsi="Arial" w:cs="Arial"/>
          <w:bCs/>
          <w:color w:val="000000"/>
          <w:sz w:val="24"/>
          <w:szCs w:val="24"/>
          <w:lang w:val="es-ES" w:eastAsia="es-CO"/>
        </w:rPr>
        <w:t>Por último, acogiendo la postura mayoritaria de la Sala de Subsección, corresponde al despacho proferir la decisión en el presente asunto, de conformidad con lo establecido en el artículo 125 de la Ley 1437.</w:t>
      </w:r>
    </w:p>
    <w:p w14:paraId="1FCB2650" w14:textId="77777777" w:rsidR="004E173E" w:rsidRDefault="004E173E" w:rsidP="004E173E">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val="es-ES_tradnl" w:eastAsia="es-CO"/>
        </w:rPr>
      </w:pPr>
    </w:p>
    <w:p w14:paraId="4F898FEC" w14:textId="1ABC18B4" w:rsidR="004E173E" w:rsidRPr="00D94BF0" w:rsidRDefault="004E173E" w:rsidP="004E173E">
      <w:pPr>
        <w:spacing w:line="240" w:lineRule="auto"/>
        <w:jc w:val="both"/>
        <w:rPr>
          <w:rFonts w:ascii="Arial" w:hAnsi="Arial" w:cs="Arial"/>
          <w:b/>
          <w:sz w:val="24"/>
          <w:szCs w:val="24"/>
        </w:rPr>
      </w:pPr>
      <w:r w:rsidRPr="00D94BF0">
        <w:rPr>
          <w:rFonts w:ascii="Arial" w:hAnsi="Arial" w:cs="Arial"/>
          <w:b/>
          <w:sz w:val="24"/>
          <w:szCs w:val="24"/>
        </w:rPr>
        <w:t xml:space="preserve">ENRIQUECIMIENTO SIN </w:t>
      </w:r>
      <w:r w:rsidR="00D94BF0">
        <w:rPr>
          <w:rFonts w:ascii="Arial" w:hAnsi="Arial" w:cs="Arial"/>
          <w:b/>
          <w:sz w:val="24"/>
          <w:szCs w:val="24"/>
        </w:rPr>
        <w:t xml:space="preserve">JUSTA </w:t>
      </w:r>
      <w:r w:rsidRPr="00D94BF0">
        <w:rPr>
          <w:rFonts w:ascii="Arial" w:hAnsi="Arial" w:cs="Arial"/>
          <w:b/>
          <w:sz w:val="24"/>
          <w:szCs w:val="24"/>
        </w:rPr>
        <w:t>CAUSA</w:t>
      </w:r>
      <w:r w:rsidR="004239B3">
        <w:rPr>
          <w:rFonts w:ascii="Arial" w:hAnsi="Arial" w:cs="Arial"/>
          <w:b/>
          <w:sz w:val="24"/>
          <w:szCs w:val="24"/>
        </w:rPr>
        <w:t xml:space="preserve"> –</w:t>
      </w:r>
      <w:r w:rsidRPr="00D94BF0">
        <w:rPr>
          <w:rFonts w:ascii="Arial" w:hAnsi="Arial" w:cs="Arial"/>
          <w:b/>
          <w:sz w:val="24"/>
          <w:szCs w:val="24"/>
        </w:rPr>
        <w:t xml:space="preserve"> Caducidad </w:t>
      </w:r>
    </w:p>
    <w:p w14:paraId="6B6327CC" w14:textId="77777777" w:rsidR="004E173E" w:rsidRPr="00476F29" w:rsidRDefault="004E173E" w:rsidP="004E173E">
      <w:pPr>
        <w:spacing w:line="240" w:lineRule="auto"/>
        <w:jc w:val="both"/>
        <w:rPr>
          <w:rFonts w:ascii="Arial" w:hAnsi="Arial" w:cs="Arial"/>
          <w:sz w:val="24"/>
          <w:szCs w:val="24"/>
        </w:rPr>
      </w:pPr>
      <w:r w:rsidRPr="00476F29">
        <w:rPr>
          <w:rFonts w:ascii="Arial" w:eastAsia="Arial Unicode MS" w:hAnsi="Arial" w:cs="Arial"/>
          <w:sz w:val="24"/>
          <w:szCs w:val="24"/>
        </w:rPr>
        <w:t xml:space="preserve">Como el medio de control por enriquecimiento sin justa causa sería la acción de reparación directa, la cuestión que sigue es preguntarse desde cuándo inició el cómputo de la caducidad procesal. Al respecto, precisa señalar que </w:t>
      </w:r>
      <w:r w:rsidRPr="00476F29">
        <w:rPr>
          <w:rFonts w:ascii="Arial" w:hAnsi="Arial" w:cs="Arial"/>
          <w:sz w:val="24"/>
          <w:szCs w:val="24"/>
        </w:rPr>
        <w:t>por regla general corresponde al momento en que se dio el empobrecimiento y el correlativo enriquecimiento, sin esperar reclamación por parte del afectado</w:t>
      </w:r>
      <w:r>
        <w:rPr>
          <w:rFonts w:ascii="Arial" w:hAnsi="Arial" w:cs="Arial"/>
          <w:sz w:val="24"/>
          <w:szCs w:val="24"/>
        </w:rPr>
        <w:t>…</w:t>
      </w:r>
      <w:r w:rsidRPr="003E1882">
        <w:rPr>
          <w:rFonts w:ascii="Arial" w:hAnsi="Arial" w:cs="Arial"/>
          <w:sz w:val="24"/>
          <w:szCs w:val="24"/>
        </w:rPr>
        <w:t xml:space="preserve">Siendo así, es desde este momento y no a partir de la terminación del contrato, como lo sostuvo el </w:t>
      </w:r>
      <w:r w:rsidRPr="003E1882">
        <w:rPr>
          <w:rFonts w:ascii="Arial" w:hAnsi="Arial" w:cs="Arial"/>
          <w:i/>
          <w:sz w:val="24"/>
          <w:szCs w:val="24"/>
        </w:rPr>
        <w:t>a quo</w:t>
      </w:r>
      <w:r w:rsidRPr="003E1882">
        <w:rPr>
          <w:rFonts w:ascii="Arial" w:hAnsi="Arial" w:cs="Arial"/>
          <w:sz w:val="24"/>
          <w:szCs w:val="24"/>
        </w:rPr>
        <w:t xml:space="preserve">, que debe empezarse a contabilizar el término de caducidad, toda vez que fue al suscribir el acta de recibo de la obra que el contratista se enteró sobre la suerte de las reclamaciones que aquí formula. Así las cosas, es claro </w:t>
      </w:r>
      <w:proofErr w:type="gramStart"/>
      <w:r w:rsidRPr="003E1882">
        <w:rPr>
          <w:rFonts w:ascii="Arial" w:hAnsi="Arial" w:cs="Arial"/>
          <w:sz w:val="24"/>
          <w:szCs w:val="24"/>
        </w:rPr>
        <w:t>que</w:t>
      </w:r>
      <w:proofErr w:type="gramEnd"/>
      <w:r w:rsidRPr="003E1882">
        <w:rPr>
          <w:rFonts w:ascii="Arial" w:hAnsi="Arial" w:cs="Arial"/>
          <w:sz w:val="24"/>
          <w:szCs w:val="24"/>
        </w:rPr>
        <w:t xml:space="preserve"> desde esa fecha y la presentación de la demanda, el 11 de julio de 2016 (fl. 60, c. 1), la oportunidad para presentar el medio de control estaba más que vencida</w:t>
      </w:r>
    </w:p>
    <w:p w14:paraId="55FABFDC" w14:textId="77777777" w:rsidR="003E1882" w:rsidRDefault="003E1882" w:rsidP="00F418C0">
      <w:pPr>
        <w:spacing w:after="0" w:line="240" w:lineRule="auto"/>
        <w:jc w:val="center"/>
        <w:rPr>
          <w:rFonts w:ascii="Arial" w:hAnsi="Arial" w:cs="Arial"/>
          <w:sz w:val="24"/>
          <w:szCs w:val="24"/>
          <w:lang w:val="es-ES"/>
        </w:rPr>
      </w:pPr>
    </w:p>
    <w:p w14:paraId="0F9F336A" w14:textId="77777777" w:rsidR="0046766C" w:rsidRPr="003E1882" w:rsidRDefault="0046766C" w:rsidP="00F418C0">
      <w:pPr>
        <w:spacing w:after="0" w:line="240" w:lineRule="auto"/>
        <w:jc w:val="center"/>
        <w:rPr>
          <w:rFonts w:ascii="Arial" w:hAnsi="Arial" w:cs="Arial"/>
          <w:sz w:val="24"/>
          <w:szCs w:val="24"/>
          <w:lang w:val="es-ES"/>
        </w:rPr>
      </w:pPr>
    </w:p>
    <w:p w14:paraId="698430D6" w14:textId="77777777" w:rsidR="00DE6193" w:rsidRPr="003E1882" w:rsidRDefault="00DE6193" w:rsidP="00F418C0">
      <w:pPr>
        <w:pStyle w:val="Ttulo"/>
        <w:widowControl w:val="0"/>
        <w:spacing w:line="240" w:lineRule="auto"/>
        <w:ind w:right="0"/>
      </w:pPr>
      <w:r w:rsidRPr="003E1882">
        <w:t>CONSEJO DE ESTADO</w:t>
      </w:r>
    </w:p>
    <w:p w14:paraId="0F527EF3" w14:textId="77777777" w:rsidR="00DE6193" w:rsidRPr="003E1882" w:rsidRDefault="00DE6193" w:rsidP="00F418C0">
      <w:pPr>
        <w:pStyle w:val="Ttulo"/>
        <w:widowControl w:val="0"/>
        <w:spacing w:line="240" w:lineRule="auto"/>
        <w:ind w:right="0"/>
      </w:pPr>
    </w:p>
    <w:p w14:paraId="6ADCF7C2" w14:textId="77777777" w:rsidR="00DE6193" w:rsidRPr="003E1882" w:rsidRDefault="00DE6193" w:rsidP="00F418C0">
      <w:pPr>
        <w:pStyle w:val="Ttulo"/>
        <w:widowControl w:val="0"/>
        <w:spacing w:line="240" w:lineRule="auto"/>
        <w:ind w:right="0"/>
      </w:pPr>
      <w:r w:rsidRPr="003E1882">
        <w:t>SALA DE LO CONTENCIOSO ADMINISTRATIVO</w:t>
      </w:r>
    </w:p>
    <w:p w14:paraId="3A19B241" w14:textId="77777777" w:rsidR="00DE6193" w:rsidRPr="003E1882" w:rsidRDefault="00DE6193" w:rsidP="00F418C0">
      <w:pPr>
        <w:pStyle w:val="Ttulo"/>
        <w:widowControl w:val="0"/>
        <w:spacing w:line="240" w:lineRule="auto"/>
        <w:ind w:right="0"/>
      </w:pPr>
    </w:p>
    <w:p w14:paraId="06D84D4B" w14:textId="77777777" w:rsidR="00DE6193" w:rsidRPr="003E1882" w:rsidRDefault="00DE6193" w:rsidP="00F418C0">
      <w:pPr>
        <w:widowControl w:val="0"/>
        <w:spacing w:after="0" w:line="240" w:lineRule="auto"/>
        <w:jc w:val="center"/>
        <w:rPr>
          <w:rFonts w:ascii="Arial" w:hAnsi="Arial" w:cs="Arial"/>
          <w:b/>
          <w:bCs/>
          <w:sz w:val="24"/>
          <w:szCs w:val="24"/>
        </w:rPr>
      </w:pPr>
      <w:r w:rsidRPr="003E1882">
        <w:rPr>
          <w:rFonts w:ascii="Arial" w:hAnsi="Arial" w:cs="Arial"/>
          <w:b/>
          <w:bCs/>
          <w:sz w:val="24"/>
          <w:szCs w:val="24"/>
        </w:rPr>
        <w:t>SECCIÓN TERCERA</w:t>
      </w:r>
    </w:p>
    <w:p w14:paraId="3319FC61" w14:textId="77777777" w:rsidR="00DE6193" w:rsidRPr="003E1882" w:rsidRDefault="00DE6193" w:rsidP="00F418C0">
      <w:pPr>
        <w:widowControl w:val="0"/>
        <w:spacing w:after="0" w:line="240" w:lineRule="auto"/>
        <w:jc w:val="center"/>
        <w:rPr>
          <w:rFonts w:ascii="Arial" w:hAnsi="Arial" w:cs="Arial"/>
          <w:b/>
          <w:bCs/>
          <w:sz w:val="24"/>
          <w:szCs w:val="24"/>
        </w:rPr>
      </w:pPr>
    </w:p>
    <w:p w14:paraId="06F3EFAE" w14:textId="77777777" w:rsidR="00DE6193" w:rsidRPr="003E1882" w:rsidRDefault="00DE6193" w:rsidP="00F418C0">
      <w:pPr>
        <w:widowControl w:val="0"/>
        <w:spacing w:after="0" w:line="240" w:lineRule="auto"/>
        <w:jc w:val="center"/>
        <w:rPr>
          <w:rFonts w:ascii="Arial" w:hAnsi="Arial" w:cs="Arial"/>
          <w:b/>
          <w:bCs/>
          <w:sz w:val="24"/>
          <w:szCs w:val="24"/>
        </w:rPr>
      </w:pPr>
      <w:r w:rsidRPr="003E1882">
        <w:rPr>
          <w:rFonts w:ascii="Arial" w:hAnsi="Arial" w:cs="Arial"/>
          <w:b/>
          <w:bCs/>
          <w:sz w:val="24"/>
          <w:szCs w:val="24"/>
        </w:rPr>
        <w:t>SUBSECCIÓN B</w:t>
      </w:r>
    </w:p>
    <w:p w14:paraId="573EA2E7" w14:textId="77777777" w:rsidR="00DE6193" w:rsidRPr="003E1882" w:rsidRDefault="00DE6193" w:rsidP="00F418C0">
      <w:pPr>
        <w:widowControl w:val="0"/>
        <w:spacing w:after="0" w:line="240" w:lineRule="auto"/>
        <w:jc w:val="center"/>
        <w:rPr>
          <w:rFonts w:ascii="Arial" w:hAnsi="Arial" w:cs="Arial"/>
          <w:sz w:val="24"/>
          <w:szCs w:val="24"/>
        </w:rPr>
      </w:pPr>
    </w:p>
    <w:p w14:paraId="18FC56B4" w14:textId="77777777" w:rsidR="00DE6193" w:rsidRPr="003E1882" w:rsidRDefault="00DE6193" w:rsidP="00F418C0">
      <w:pPr>
        <w:pStyle w:val="Ttulo"/>
        <w:widowControl w:val="0"/>
        <w:spacing w:line="240" w:lineRule="auto"/>
        <w:ind w:right="0"/>
      </w:pPr>
      <w:r w:rsidRPr="003E1882">
        <w:t>Consejero ponente: RAMIRO PAZOS GUERRERO</w:t>
      </w:r>
    </w:p>
    <w:p w14:paraId="2397089D" w14:textId="77777777" w:rsidR="00DE6193" w:rsidRPr="003E1882" w:rsidRDefault="00DE6193" w:rsidP="00F418C0">
      <w:pPr>
        <w:spacing w:after="0" w:line="240" w:lineRule="auto"/>
        <w:jc w:val="both"/>
        <w:rPr>
          <w:rFonts w:ascii="Arial" w:eastAsia="Arial Unicode MS" w:hAnsi="Arial" w:cs="Arial"/>
          <w:b/>
          <w:bCs/>
          <w:color w:val="1D1B11"/>
          <w:sz w:val="24"/>
          <w:szCs w:val="24"/>
        </w:rPr>
      </w:pPr>
    </w:p>
    <w:p w14:paraId="743244FA" w14:textId="77777777" w:rsidR="00121A4D" w:rsidRPr="003E1882" w:rsidRDefault="00121A4D" w:rsidP="00F418C0">
      <w:pPr>
        <w:spacing w:after="0" w:line="240" w:lineRule="auto"/>
        <w:jc w:val="both"/>
        <w:rPr>
          <w:rFonts w:ascii="Arial" w:hAnsi="Arial" w:cs="Arial"/>
          <w:sz w:val="24"/>
          <w:szCs w:val="24"/>
        </w:rPr>
      </w:pPr>
      <w:r w:rsidRPr="003E1882">
        <w:rPr>
          <w:rFonts w:ascii="Arial" w:eastAsia="Arial Unicode MS" w:hAnsi="Arial" w:cs="Arial"/>
          <w:sz w:val="24"/>
          <w:szCs w:val="24"/>
          <w:lang w:eastAsia="es-ES"/>
        </w:rPr>
        <w:t>Bogotá, D.C., veinticuatro (24) de octubre de dos mil dieciocho (2018)</w:t>
      </w:r>
    </w:p>
    <w:p w14:paraId="478D11C6" w14:textId="77777777" w:rsidR="00121A4D" w:rsidRPr="003E1882" w:rsidRDefault="00121A4D" w:rsidP="00F418C0">
      <w:pPr>
        <w:tabs>
          <w:tab w:val="center" w:pos="4252"/>
          <w:tab w:val="right" w:pos="8504"/>
        </w:tabs>
        <w:spacing w:after="0" w:line="240" w:lineRule="auto"/>
        <w:jc w:val="both"/>
        <w:rPr>
          <w:rFonts w:ascii="Arial" w:eastAsia="Arial Unicode MS" w:hAnsi="Arial" w:cs="Arial"/>
          <w:b/>
          <w:sz w:val="24"/>
          <w:szCs w:val="24"/>
          <w:lang w:eastAsia="es-ES"/>
        </w:rPr>
      </w:pPr>
    </w:p>
    <w:p w14:paraId="09EFA296"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r w:rsidRPr="003E1882">
        <w:rPr>
          <w:rFonts w:ascii="Arial" w:eastAsia="Arial Unicode MS" w:hAnsi="Arial" w:cs="Arial"/>
          <w:b/>
          <w:sz w:val="24"/>
          <w:szCs w:val="24"/>
          <w:lang w:eastAsia="es-ES"/>
        </w:rPr>
        <w:t>Radicación número: 25000-23-36-000-2016-01392-00(60006)</w:t>
      </w:r>
    </w:p>
    <w:p w14:paraId="493D1D2C"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p>
    <w:p w14:paraId="4895022B"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r w:rsidRPr="003E1882">
        <w:rPr>
          <w:rFonts w:ascii="Arial" w:eastAsia="Arial Unicode MS" w:hAnsi="Arial" w:cs="Arial"/>
          <w:b/>
          <w:sz w:val="24"/>
          <w:szCs w:val="24"/>
          <w:lang w:eastAsia="es-ES"/>
        </w:rPr>
        <w:t>Actor:</w:t>
      </w:r>
      <w:r w:rsidRPr="003E1882">
        <w:rPr>
          <w:rFonts w:ascii="Arial" w:eastAsia="Arial Unicode MS" w:hAnsi="Arial" w:cs="Arial"/>
          <w:b/>
          <w:bCs/>
          <w:sz w:val="24"/>
          <w:szCs w:val="24"/>
          <w:lang w:eastAsia="es-ES"/>
        </w:rPr>
        <w:t xml:space="preserve"> INGENIERÍA CIVIL, VÍAS Y ALCANTARILLADO S.A., INCIVIAL S.A</w:t>
      </w:r>
    </w:p>
    <w:p w14:paraId="1780F5A7"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p>
    <w:p w14:paraId="495CCCD4"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r w:rsidRPr="003E1882">
        <w:rPr>
          <w:rFonts w:ascii="Arial" w:eastAsia="Arial Unicode MS" w:hAnsi="Arial" w:cs="Arial"/>
          <w:b/>
          <w:sz w:val="24"/>
          <w:szCs w:val="24"/>
          <w:lang w:eastAsia="es-ES"/>
        </w:rPr>
        <w:t>Demandado:</w:t>
      </w:r>
      <w:r w:rsidRPr="003E1882">
        <w:rPr>
          <w:rFonts w:ascii="Arial" w:eastAsia="Arial Unicode MS" w:hAnsi="Arial" w:cs="Arial"/>
          <w:b/>
          <w:bCs/>
          <w:sz w:val="24"/>
          <w:szCs w:val="24"/>
          <w:lang w:eastAsia="es-ES"/>
        </w:rPr>
        <w:t xml:space="preserve"> INSTITUTO NACIONAL DE VÍAS, INVÍAS</w:t>
      </w:r>
    </w:p>
    <w:p w14:paraId="082AAD99"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p>
    <w:p w14:paraId="68526C1E"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p>
    <w:p w14:paraId="3D0ABB2D"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p>
    <w:p w14:paraId="5FBB85FC"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b/>
          <w:sz w:val="24"/>
          <w:szCs w:val="24"/>
          <w:lang w:eastAsia="es-ES"/>
        </w:rPr>
      </w:pPr>
      <w:r w:rsidRPr="003E1882">
        <w:rPr>
          <w:rFonts w:ascii="Arial" w:eastAsia="Arial Unicode MS" w:hAnsi="Arial" w:cs="Arial"/>
          <w:b/>
          <w:sz w:val="24"/>
          <w:szCs w:val="24"/>
          <w:lang w:eastAsia="es-ES"/>
        </w:rPr>
        <w:t xml:space="preserve">Referencia: MEDIO DE CONTROL DE REPARACIÓN DIRECTA </w:t>
      </w:r>
    </w:p>
    <w:p w14:paraId="3810102E"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sz w:val="24"/>
          <w:szCs w:val="24"/>
          <w:lang w:eastAsia="es-ES"/>
        </w:rPr>
      </w:pPr>
    </w:p>
    <w:p w14:paraId="5B49834F" w14:textId="77777777" w:rsidR="00DE6193" w:rsidRPr="003E1882" w:rsidRDefault="00DE6193" w:rsidP="00F418C0">
      <w:pPr>
        <w:tabs>
          <w:tab w:val="center" w:pos="4252"/>
          <w:tab w:val="right" w:pos="8504"/>
        </w:tabs>
        <w:spacing w:after="0" w:line="240" w:lineRule="auto"/>
        <w:jc w:val="both"/>
        <w:rPr>
          <w:rFonts w:ascii="Arial" w:eastAsia="Arial Unicode MS" w:hAnsi="Arial" w:cs="Arial"/>
          <w:sz w:val="24"/>
          <w:szCs w:val="24"/>
          <w:lang w:eastAsia="es-ES"/>
        </w:rPr>
      </w:pPr>
    </w:p>
    <w:p w14:paraId="2E3F5C4B" w14:textId="77777777" w:rsidR="00121A4D" w:rsidRPr="003E1882" w:rsidRDefault="00121A4D" w:rsidP="00F418C0">
      <w:pPr>
        <w:tabs>
          <w:tab w:val="left" w:pos="3184"/>
        </w:tabs>
        <w:spacing w:after="0" w:line="240" w:lineRule="auto"/>
        <w:jc w:val="both"/>
        <w:rPr>
          <w:rFonts w:ascii="Arial" w:eastAsia="Arial Unicode MS" w:hAnsi="Arial" w:cs="Arial"/>
          <w:sz w:val="24"/>
          <w:szCs w:val="24"/>
        </w:rPr>
      </w:pPr>
    </w:p>
    <w:p w14:paraId="4FC486FB" w14:textId="77777777" w:rsidR="00121A4D" w:rsidRPr="003E1882" w:rsidRDefault="00121A4D" w:rsidP="00F418C0">
      <w:pPr>
        <w:pStyle w:val="Textoindependiente"/>
        <w:rPr>
          <w:sz w:val="24"/>
          <w:szCs w:val="24"/>
        </w:rPr>
      </w:pPr>
      <w:r w:rsidRPr="003E1882">
        <w:rPr>
          <w:rFonts w:eastAsia="Calibri"/>
          <w:sz w:val="24"/>
          <w:szCs w:val="24"/>
          <w:lang w:val="es-ES" w:eastAsia="en-US"/>
        </w:rPr>
        <w:lastRenderedPageBreak/>
        <w:t>Acogiendo la postura mayoritaria adoptada por la Sala de Subsección</w:t>
      </w:r>
      <w:r w:rsidRPr="003E1882">
        <w:rPr>
          <w:rFonts w:eastAsia="Calibri"/>
          <w:sz w:val="24"/>
          <w:szCs w:val="24"/>
          <w:vertAlign w:val="superscript"/>
          <w:lang w:val="es-ES" w:eastAsia="en-US"/>
        </w:rPr>
        <w:footnoteReference w:id="1"/>
      </w:r>
      <w:r w:rsidRPr="003E1882">
        <w:rPr>
          <w:rFonts w:eastAsia="Calibri"/>
          <w:sz w:val="24"/>
          <w:szCs w:val="24"/>
          <w:lang w:val="es-ES" w:eastAsia="en-US"/>
        </w:rPr>
        <w:t>, procede el despacho</w:t>
      </w:r>
      <w:r w:rsidRPr="003E1882">
        <w:rPr>
          <w:sz w:val="24"/>
          <w:szCs w:val="24"/>
        </w:rPr>
        <w:t xml:space="preserve"> a decidir el recurso de apelación interpuesto por la sociedad Ingeniería Civil, Vías y Alcantarillado S.A., Incivial S.A. en adelante, en contra del auto del 5 de abril de 2017, a través del cual el Tribunal Administrativo de Cundinamarca, Sección Tercera, Subsección B, declaró probada la caducidad del medio de control de reparación directa y respecto del de controversias contractuales remitió por competencia al Tribunal Administrativo de Nariño.</w:t>
      </w:r>
    </w:p>
    <w:p w14:paraId="417B2DF0" w14:textId="77777777" w:rsidR="00121A4D" w:rsidRPr="003E1882" w:rsidRDefault="00121A4D" w:rsidP="00F418C0">
      <w:pPr>
        <w:spacing w:after="0" w:line="240" w:lineRule="auto"/>
        <w:jc w:val="both"/>
        <w:rPr>
          <w:rFonts w:ascii="Arial" w:eastAsia="Arial Unicode MS" w:hAnsi="Arial" w:cs="Arial"/>
          <w:b/>
          <w:sz w:val="24"/>
          <w:szCs w:val="24"/>
        </w:rPr>
      </w:pPr>
    </w:p>
    <w:p w14:paraId="2D9E3977" w14:textId="77777777" w:rsidR="00121A4D" w:rsidRPr="003E1882" w:rsidRDefault="00121A4D" w:rsidP="00F418C0">
      <w:pPr>
        <w:spacing w:after="0" w:line="240" w:lineRule="auto"/>
        <w:jc w:val="center"/>
        <w:rPr>
          <w:rFonts w:ascii="Arial" w:eastAsia="Arial Unicode MS" w:hAnsi="Arial" w:cs="Arial"/>
          <w:b/>
          <w:sz w:val="24"/>
          <w:szCs w:val="24"/>
        </w:rPr>
      </w:pPr>
      <w:r w:rsidRPr="003E1882">
        <w:rPr>
          <w:rFonts w:ascii="Arial" w:eastAsia="Arial Unicode MS" w:hAnsi="Arial" w:cs="Arial"/>
          <w:b/>
          <w:sz w:val="24"/>
          <w:szCs w:val="24"/>
        </w:rPr>
        <w:t>I. ANTECEDENTES</w:t>
      </w:r>
    </w:p>
    <w:p w14:paraId="2A0F4593" w14:textId="77777777" w:rsidR="00121A4D" w:rsidRPr="003E1882" w:rsidRDefault="00121A4D" w:rsidP="00F418C0">
      <w:pPr>
        <w:spacing w:after="0" w:line="240" w:lineRule="auto"/>
        <w:jc w:val="both"/>
        <w:rPr>
          <w:rFonts w:ascii="Arial" w:eastAsia="Arial Unicode MS" w:hAnsi="Arial" w:cs="Arial"/>
          <w:b/>
          <w:sz w:val="24"/>
          <w:szCs w:val="24"/>
        </w:rPr>
      </w:pPr>
    </w:p>
    <w:p w14:paraId="26ECECD9" w14:textId="77777777" w:rsidR="00121A4D" w:rsidRPr="003E1882" w:rsidRDefault="00121A4D" w:rsidP="00F418C0">
      <w:pPr>
        <w:pStyle w:val="Textoindependiente"/>
        <w:rPr>
          <w:rFonts w:eastAsia="Arial Unicode MS"/>
          <w:sz w:val="24"/>
          <w:szCs w:val="24"/>
        </w:rPr>
      </w:pPr>
      <w:r w:rsidRPr="003E1882">
        <w:rPr>
          <w:rFonts w:eastAsia="Arial Unicode MS"/>
          <w:sz w:val="24"/>
          <w:szCs w:val="24"/>
        </w:rPr>
        <w:t xml:space="preserve">1. </w:t>
      </w:r>
      <w:r w:rsidRPr="003E1882">
        <w:rPr>
          <w:rFonts w:eastAsia="Arial Unicode MS"/>
          <w:i/>
          <w:sz w:val="24"/>
          <w:szCs w:val="24"/>
        </w:rPr>
        <w:t>La demanda.</w:t>
      </w:r>
      <w:r w:rsidRPr="003E1882">
        <w:rPr>
          <w:rFonts w:eastAsia="Arial Unicode MS"/>
          <w:sz w:val="24"/>
          <w:szCs w:val="24"/>
        </w:rPr>
        <w:t xml:space="preserve"> El 11 de julio de 2016 (fl. 60, c. 1), </w:t>
      </w:r>
      <w:r w:rsidRPr="003E1882">
        <w:rPr>
          <w:sz w:val="24"/>
          <w:szCs w:val="24"/>
        </w:rPr>
        <w:t xml:space="preserve">Incivial S.A. </w:t>
      </w:r>
      <w:r w:rsidRPr="003E1882">
        <w:rPr>
          <w:rFonts w:eastAsia="Arial Unicode MS"/>
          <w:sz w:val="24"/>
          <w:szCs w:val="24"/>
        </w:rPr>
        <w:t xml:space="preserve">demandó a través del medio de reparación directa al Instituto Nacional de Vías, en adelante Invías (fls. 5 a 60, c. 1). Como pretensiones solicitaron (fls., c. 1): </w:t>
      </w:r>
    </w:p>
    <w:p w14:paraId="6A470F81" w14:textId="77777777" w:rsidR="00121A4D" w:rsidRPr="003E1882" w:rsidRDefault="00121A4D" w:rsidP="00F418C0">
      <w:pPr>
        <w:spacing w:after="0" w:line="240" w:lineRule="auto"/>
        <w:ind w:left="567" w:right="760"/>
        <w:jc w:val="both"/>
        <w:rPr>
          <w:rFonts w:ascii="Arial" w:eastAsia="Arial Unicode MS" w:hAnsi="Arial" w:cs="Arial"/>
          <w:i/>
          <w:sz w:val="24"/>
          <w:szCs w:val="24"/>
        </w:rPr>
      </w:pPr>
    </w:p>
    <w:p w14:paraId="432ABD6D"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PRIMERA:  Que se declare que el INSTITUTO NACIONAL DE VÍAS INVÍAS, anteriormente FONDO VIAL NACIONAL, se enriqueció injustamente en empobrecimiento correlativo del patrimonio económico de la Firma INGENIERIA CIVIL VÍAS Y ALCANTARILLADOS S.A. INCIVIAL S.A., en la suma de $1.304’218.116.oo referidos a precios fecha de cierre de la Licitación pública, o sea, Octubre de 1984, la cual se detalla en los párrafos siguientes de esta demanda, más la suma de $351’700.913.oo correspondiente al valor del Costo Financiero por Demora en Pagos ya actualizado a 30 de Septiembre de 1995, fecha de vencimiento del Contrato 651/1984 o en las cuantías que se determinen dentro del proceso, a título de daño emergente, más actualización e intereses comerciales hasta la fecha en que sea pagada la obligación, sufriendo así un desequilibrio económico por los perjuicios ocasionados durante la ejecución del contrato No. 651 de 1984 y sus contratos adicionales. </w:t>
      </w:r>
    </w:p>
    <w:p w14:paraId="59B1D836" w14:textId="77777777" w:rsidR="00121A4D" w:rsidRPr="003E1882" w:rsidRDefault="00121A4D" w:rsidP="00F418C0">
      <w:pPr>
        <w:pStyle w:val="Sinespaciado"/>
        <w:ind w:left="567" w:right="618"/>
        <w:jc w:val="both"/>
        <w:rPr>
          <w:rFonts w:ascii="Arial" w:hAnsi="Arial" w:cs="Arial"/>
          <w:i/>
          <w:sz w:val="24"/>
          <w:szCs w:val="24"/>
        </w:rPr>
      </w:pPr>
    </w:p>
    <w:p w14:paraId="16C072C0"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El valor anteriormente indicado, se discrimina así:</w:t>
      </w:r>
    </w:p>
    <w:p w14:paraId="6FFEEF23" w14:textId="77777777" w:rsidR="00121A4D" w:rsidRPr="003E1882" w:rsidRDefault="00121A4D" w:rsidP="00F418C0">
      <w:pPr>
        <w:pStyle w:val="Sinespaciado"/>
        <w:ind w:left="567" w:right="618"/>
        <w:jc w:val="both"/>
        <w:rPr>
          <w:rFonts w:ascii="Arial" w:hAnsi="Arial" w:cs="Arial"/>
          <w:i/>
          <w:sz w:val="24"/>
          <w:szCs w:val="24"/>
        </w:rPr>
      </w:pPr>
    </w:p>
    <w:p w14:paraId="2229052E"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LA INEFICIENCIA DE LA MAQUINARIA, esto es, la mayor permanencia de Equipos del contratista en el sitio de la Obra, la suma de $426’057.023 referidos a precios fecha de cierre de la Licitación, o sea, </w:t>
      </w:r>
      <w:proofErr w:type="gramStart"/>
      <w:r w:rsidRPr="003E1882">
        <w:rPr>
          <w:rFonts w:ascii="Arial" w:hAnsi="Arial" w:cs="Arial"/>
          <w:i/>
          <w:sz w:val="24"/>
          <w:szCs w:val="24"/>
        </w:rPr>
        <w:t>Octubre</w:t>
      </w:r>
      <w:proofErr w:type="gramEnd"/>
      <w:r w:rsidRPr="003E1882">
        <w:rPr>
          <w:rFonts w:ascii="Arial" w:hAnsi="Arial" w:cs="Arial"/>
          <w:i/>
          <w:sz w:val="24"/>
          <w:szCs w:val="24"/>
        </w:rPr>
        <w:t xml:space="preserve"> de 1984, cuya liquidación se explica en el numeral VIII. PROCEDIMIENTO PARA LA CUANTIFICACION de este capítulo. </w:t>
      </w:r>
    </w:p>
    <w:p w14:paraId="1AB88C1B" w14:textId="77777777" w:rsidR="00121A4D" w:rsidRPr="003E1882" w:rsidRDefault="00121A4D" w:rsidP="00F418C0">
      <w:pPr>
        <w:pStyle w:val="Sinespaciado"/>
        <w:ind w:left="567" w:right="618"/>
        <w:jc w:val="both"/>
        <w:rPr>
          <w:rFonts w:ascii="Arial" w:hAnsi="Arial" w:cs="Arial"/>
          <w:i/>
          <w:sz w:val="24"/>
          <w:szCs w:val="24"/>
        </w:rPr>
      </w:pPr>
    </w:p>
    <w:p w14:paraId="34E3ABD8"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LA INEFICIENCIA DEL PERSONAL Y LOS RECURSOS DE ADMINISTRACIÓN, esto es, la mayor permanencia de Personal y Recursos Administrativos en el sitio de la Obra, la suma de $186’391.184 referidos a precios fecha de cierre de la </w:t>
      </w:r>
      <w:r w:rsidRPr="003E1882">
        <w:rPr>
          <w:rFonts w:ascii="Arial" w:hAnsi="Arial" w:cs="Arial"/>
          <w:i/>
          <w:sz w:val="24"/>
          <w:szCs w:val="24"/>
        </w:rPr>
        <w:lastRenderedPageBreak/>
        <w:t xml:space="preserve">Licitación, o sea, </w:t>
      </w:r>
      <w:proofErr w:type="gramStart"/>
      <w:r w:rsidRPr="003E1882">
        <w:rPr>
          <w:rFonts w:ascii="Arial" w:hAnsi="Arial" w:cs="Arial"/>
          <w:i/>
          <w:sz w:val="24"/>
          <w:szCs w:val="24"/>
        </w:rPr>
        <w:t>Octubre</w:t>
      </w:r>
      <w:proofErr w:type="gramEnd"/>
      <w:r w:rsidRPr="003E1882">
        <w:rPr>
          <w:rFonts w:ascii="Arial" w:hAnsi="Arial" w:cs="Arial"/>
          <w:i/>
          <w:sz w:val="24"/>
          <w:szCs w:val="24"/>
        </w:rPr>
        <w:t xml:space="preserve"> de 1984, cuya liquidación se explica en el numeral 3.2 de este capítulo. </w:t>
      </w:r>
    </w:p>
    <w:p w14:paraId="1D44549D" w14:textId="77777777" w:rsidR="00121A4D" w:rsidRPr="003E1882" w:rsidRDefault="00121A4D" w:rsidP="00F418C0">
      <w:pPr>
        <w:pStyle w:val="Sinespaciado"/>
        <w:ind w:left="567" w:right="618"/>
        <w:jc w:val="both"/>
        <w:rPr>
          <w:rFonts w:ascii="Arial" w:hAnsi="Arial" w:cs="Arial"/>
          <w:i/>
          <w:sz w:val="24"/>
          <w:szCs w:val="24"/>
        </w:rPr>
      </w:pPr>
    </w:p>
    <w:p w14:paraId="616EC806"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LA UTILIDAD DEJADA DE PERCIBIR, en la ejecución de la obra, la suma de $103’032.842 referidos a precios fecha de cierre de la Licitación, o sea, </w:t>
      </w:r>
      <w:proofErr w:type="gramStart"/>
      <w:r w:rsidRPr="003E1882">
        <w:rPr>
          <w:rFonts w:ascii="Arial" w:hAnsi="Arial" w:cs="Arial"/>
          <w:i/>
          <w:sz w:val="24"/>
          <w:szCs w:val="24"/>
        </w:rPr>
        <w:t>Octubre</w:t>
      </w:r>
      <w:proofErr w:type="gramEnd"/>
      <w:r w:rsidRPr="003E1882">
        <w:rPr>
          <w:rFonts w:ascii="Arial" w:hAnsi="Arial" w:cs="Arial"/>
          <w:i/>
          <w:sz w:val="24"/>
          <w:szCs w:val="24"/>
        </w:rPr>
        <w:t xml:space="preserve"> de 1984, cuya liquidación se explica en el numeral 3.3 de este capítulo. </w:t>
      </w:r>
    </w:p>
    <w:p w14:paraId="71FC88D6" w14:textId="77777777" w:rsidR="00121A4D" w:rsidRPr="003E1882" w:rsidRDefault="00121A4D" w:rsidP="00F418C0">
      <w:pPr>
        <w:pStyle w:val="Sinespaciado"/>
        <w:ind w:left="567" w:right="618"/>
        <w:jc w:val="both"/>
        <w:rPr>
          <w:rFonts w:ascii="Arial" w:hAnsi="Arial" w:cs="Arial"/>
          <w:i/>
          <w:sz w:val="24"/>
          <w:szCs w:val="24"/>
        </w:rPr>
      </w:pPr>
    </w:p>
    <w:p w14:paraId="001A60D9"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MAYORES COSTOS EN EXPLOTACIÓN DE CANTERAS esto es los mayores valores pagados por INCIVIAL S.A. para la explotación de las canteras del contrato y las obras de acceso a las canteras, la suma de $27’472.400 referidos a precios fecha de cierre de la Licitación pública, o sea, 18 de Octubre de 1984, cuya liquidación se explica en el numeral VIII. PROCEDIMIENTO PARA LA CUANTIFICACIÓN de este capítulo. </w:t>
      </w:r>
    </w:p>
    <w:p w14:paraId="0F0215EA" w14:textId="77777777" w:rsidR="00121A4D" w:rsidRPr="003E1882" w:rsidRDefault="00121A4D" w:rsidP="00F418C0">
      <w:pPr>
        <w:pStyle w:val="Sinespaciado"/>
        <w:ind w:left="567" w:right="618"/>
        <w:jc w:val="both"/>
        <w:rPr>
          <w:rFonts w:ascii="Arial" w:hAnsi="Arial" w:cs="Arial"/>
          <w:i/>
          <w:sz w:val="24"/>
          <w:szCs w:val="24"/>
        </w:rPr>
      </w:pPr>
    </w:p>
    <w:p w14:paraId="5E0F6482" w14:textId="77777777" w:rsidR="00121A4D" w:rsidRPr="003E1882" w:rsidRDefault="00121A4D" w:rsidP="00F418C0">
      <w:pPr>
        <w:pStyle w:val="Sinespaciado"/>
        <w:ind w:left="567" w:right="618"/>
        <w:jc w:val="both"/>
        <w:rPr>
          <w:rFonts w:ascii="Arial" w:hAnsi="Arial" w:cs="Arial"/>
          <w:i/>
          <w:sz w:val="24"/>
          <w:szCs w:val="24"/>
        </w:rPr>
      </w:pPr>
    </w:p>
    <w:p w14:paraId="0F8FC7C5"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EL SOBRECOSTO OCASIONADO POR LA MAYOR DIFICULTAD EN ACARREOS POR CAMBIO DE CANTERAS, la suma de $100’725.525 referidos a precios fecha de cierre de la Licitación, o sea, 18 de </w:t>
      </w:r>
      <w:proofErr w:type="gramStart"/>
      <w:r w:rsidRPr="003E1882">
        <w:rPr>
          <w:rFonts w:ascii="Arial" w:hAnsi="Arial" w:cs="Arial"/>
          <w:i/>
          <w:sz w:val="24"/>
          <w:szCs w:val="24"/>
        </w:rPr>
        <w:t>Octubre</w:t>
      </w:r>
      <w:proofErr w:type="gramEnd"/>
      <w:r w:rsidRPr="003E1882">
        <w:rPr>
          <w:rFonts w:ascii="Arial" w:hAnsi="Arial" w:cs="Arial"/>
          <w:i/>
          <w:sz w:val="24"/>
          <w:szCs w:val="24"/>
        </w:rPr>
        <w:t xml:space="preserve"> de 1984, cuya liquidación se explica en el numeral VIII. PROCEDIMIENTO PARA LA CUANTIFICACIÓN de este capítulo. </w:t>
      </w:r>
    </w:p>
    <w:p w14:paraId="19EF95E1"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CONCEPTO DE OBRAS PENDIENTES DE PAGO NO INCLUIDAS EN ACTAS, la suma de $ 6’138.240 referidos a precios fecha de cierre de la Licitación, o sea, 18 de </w:t>
      </w:r>
      <w:proofErr w:type="gramStart"/>
      <w:r w:rsidRPr="003E1882">
        <w:rPr>
          <w:rFonts w:ascii="Arial" w:hAnsi="Arial" w:cs="Arial"/>
          <w:i/>
          <w:sz w:val="24"/>
          <w:szCs w:val="24"/>
        </w:rPr>
        <w:t>Octubre</w:t>
      </w:r>
      <w:proofErr w:type="gramEnd"/>
      <w:r w:rsidRPr="003E1882">
        <w:rPr>
          <w:rFonts w:ascii="Arial" w:hAnsi="Arial" w:cs="Arial"/>
          <w:i/>
          <w:sz w:val="24"/>
          <w:szCs w:val="24"/>
        </w:rPr>
        <w:t xml:space="preserve"> de 1984, cuya liquidación se explica en el numeral VIII. PROCEDIMIENTO PARA LA CUANTIFICACIÓN de este capítulo. </w:t>
      </w:r>
    </w:p>
    <w:p w14:paraId="17558CE4" w14:textId="77777777" w:rsidR="00121A4D" w:rsidRPr="003E1882" w:rsidRDefault="00121A4D" w:rsidP="00F418C0">
      <w:pPr>
        <w:pStyle w:val="Sinespaciado"/>
        <w:ind w:left="567" w:right="618"/>
        <w:jc w:val="both"/>
        <w:rPr>
          <w:rFonts w:ascii="Arial" w:hAnsi="Arial" w:cs="Arial"/>
          <w:i/>
          <w:sz w:val="24"/>
          <w:szCs w:val="24"/>
        </w:rPr>
      </w:pPr>
    </w:p>
    <w:p w14:paraId="480ACA7D"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LA UTILIZACIÓN PARA EL PAGO DE PRECIOS UNITARIOS POR DEBAJO DE LOS SOLICITADOS POR EL CONTRATISTA, la suma de $395’929.460 referidos a precios fecha de cierre de la Licitación, o sea, 18 de </w:t>
      </w:r>
      <w:proofErr w:type="gramStart"/>
      <w:r w:rsidRPr="003E1882">
        <w:rPr>
          <w:rFonts w:ascii="Arial" w:hAnsi="Arial" w:cs="Arial"/>
          <w:i/>
          <w:sz w:val="24"/>
          <w:szCs w:val="24"/>
        </w:rPr>
        <w:t>Octubre</w:t>
      </w:r>
      <w:proofErr w:type="gramEnd"/>
      <w:r w:rsidRPr="003E1882">
        <w:rPr>
          <w:rFonts w:ascii="Arial" w:hAnsi="Arial" w:cs="Arial"/>
          <w:i/>
          <w:sz w:val="24"/>
          <w:szCs w:val="24"/>
        </w:rPr>
        <w:t xml:space="preserve"> de 1984, cuya liquidación se explica en el numeral VIII. PROCEDIMIENTO PARA LA CUANTIFICACIÓN de este capítulo. </w:t>
      </w:r>
    </w:p>
    <w:p w14:paraId="6106F812" w14:textId="77777777" w:rsidR="00121A4D" w:rsidRPr="003E1882" w:rsidRDefault="00121A4D" w:rsidP="00F418C0">
      <w:pPr>
        <w:pStyle w:val="Sinespaciado"/>
        <w:ind w:left="567" w:right="618"/>
        <w:jc w:val="both"/>
        <w:rPr>
          <w:rFonts w:ascii="Arial" w:hAnsi="Arial" w:cs="Arial"/>
          <w:i/>
          <w:sz w:val="24"/>
          <w:szCs w:val="24"/>
        </w:rPr>
      </w:pPr>
    </w:p>
    <w:p w14:paraId="6367C27F"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EXCEDENTES DEL MAYOR VALOR PAGADO POR IMPUESTO A LAS VENTAS “IVA”, la suma de $ 45’525.211 CUYO VALOR DEBERÁ SER ESTUDIADO Y CONFIRMADO POR LOS PERITOS DESIGNADOS EN EL PROCESO referidos a precios fecha de cierre de la Licitación, o sea, 18 de </w:t>
      </w:r>
      <w:proofErr w:type="gramStart"/>
      <w:r w:rsidRPr="003E1882">
        <w:rPr>
          <w:rFonts w:ascii="Arial" w:hAnsi="Arial" w:cs="Arial"/>
          <w:i/>
          <w:sz w:val="24"/>
          <w:szCs w:val="24"/>
        </w:rPr>
        <w:t>Octubre</w:t>
      </w:r>
      <w:proofErr w:type="gramEnd"/>
      <w:r w:rsidRPr="003E1882">
        <w:rPr>
          <w:rFonts w:ascii="Arial" w:hAnsi="Arial" w:cs="Arial"/>
          <w:i/>
          <w:sz w:val="24"/>
          <w:szCs w:val="24"/>
        </w:rPr>
        <w:t xml:space="preserve"> de 1984, cuya liquidación se explica en el numeral VIII. PROCEDIMIENTO PARA LA CUANTIFICACIÓN de este capítulo. </w:t>
      </w:r>
    </w:p>
    <w:p w14:paraId="1E9D7AEC" w14:textId="77777777" w:rsidR="00121A4D" w:rsidRPr="003E1882" w:rsidRDefault="00121A4D" w:rsidP="00F418C0">
      <w:pPr>
        <w:pStyle w:val="Sinespaciado"/>
        <w:ind w:left="567" w:right="618"/>
        <w:jc w:val="both"/>
        <w:rPr>
          <w:rFonts w:ascii="Arial" w:hAnsi="Arial" w:cs="Arial"/>
          <w:i/>
          <w:sz w:val="24"/>
          <w:szCs w:val="24"/>
        </w:rPr>
      </w:pPr>
    </w:p>
    <w:p w14:paraId="1A818215"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SOBRECOSTOS POR MAYORES VALORES PAGADOS SOBRE IMPUESTOS DE LEY, la suma de $ 12’946.231 referidos a precios fecha de cierre de la Licitación, o sea, 18 de </w:t>
      </w:r>
      <w:proofErr w:type="gramStart"/>
      <w:r w:rsidRPr="003E1882">
        <w:rPr>
          <w:rFonts w:ascii="Arial" w:hAnsi="Arial" w:cs="Arial"/>
          <w:i/>
          <w:sz w:val="24"/>
          <w:szCs w:val="24"/>
        </w:rPr>
        <w:t>Octubre</w:t>
      </w:r>
      <w:proofErr w:type="gramEnd"/>
      <w:r w:rsidRPr="003E1882">
        <w:rPr>
          <w:rFonts w:ascii="Arial" w:hAnsi="Arial" w:cs="Arial"/>
          <w:i/>
          <w:sz w:val="24"/>
          <w:szCs w:val="24"/>
        </w:rPr>
        <w:t xml:space="preserve"> de 1984, o la cantidad que se verifique por peritaje que ordene el Despacho dentro del proceso, cuya liquidación se explica en el numeral VIII. PROCEDIMIENTO PARA LA CUANTIFICACIÓN de este capítulo.  </w:t>
      </w:r>
    </w:p>
    <w:p w14:paraId="75682B01" w14:textId="77777777" w:rsidR="00121A4D" w:rsidRPr="003E1882" w:rsidRDefault="00121A4D" w:rsidP="00F418C0">
      <w:pPr>
        <w:pStyle w:val="Sinespaciado"/>
        <w:ind w:left="567" w:right="618"/>
        <w:jc w:val="both"/>
        <w:rPr>
          <w:rFonts w:ascii="Arial" w:hAnsi="Arial" w:cs="Arial"/>
          <w:i/>
          <w:sz w:val="24"/>
          <w:szCs w:val="24"/>
        </w:rPr>
      </w:pPr>
    </w:p>
    <w:p w14:paraId="3846BB3A"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Por concepto de enriquecimiento injusto de la demandada y el correlativo empobrecimiento patrimonial de mi poderdante debido a las sumas que adeuda INVÍAS a INCIVIAL S.A. por demoras en los pagos de las actas de obra y de ajustes, correspondientes a VALOR DE LA MORA MAS EL COSTO FINANCIERO POR DEMORA EN PAGOS DE LAS ACTAS tramitadas para las obras de la carretera, la suma de $351’</w:t>
      </w:r>
      <w:proofErr w:type="gramStart"/>
      <w:r w:rsidRPr="003E1882">
        <w:rPr>
          <w:rFonts w:ascii="Arial" w:hAnsi="Arial" w:cs="Arial"/>
          <w:i/>
          <w:sz w:val="24"/>
          <w:szCs w:val="24"/>
        </w:rPr>
        <w:t>700.913.oo</w:t>
      </w:r>
      <w:proofErr w:type="gramEnd"/>
      <w:r w:rsidRPr="003E1882">
        <w:rPr>
          <w:rFonts w:ascii="Arial" w:hAnsi="Arial" w:cs="Arial"/>
          <w:i/>
          <w:sz w:val="24"/>
          <w:szCs w:val="24"/>
        </w:rPr>
        <w:t xml:space="preserve"> referidos a Septiembre 30 de 1995 fecha de vencimiento final del contrato No. 745/95, correspondiente al último plazo del contrato 651 de 1984, cuya liquidación se explica en el numeral VIII. PROCEDIMIENTO PARA LA CUANTIFICACIÓN de este capítulo. </w:t>
      </w:r>
    </w:p>
    <w:p w14:paraId="0C896F46" w14:textId="77777777" w:rsidR="00121A4D" w:rsidRPr="003E1882" w:rsidRDefault="00121A4D" w:rsidP="00F418C0">
      <w:pPr>
        <w:pStyle w:val="Sinespaciado"/>
        <w:ind w:left="567" w:right="618"/>
        <w:jc w:val="both"/>
        <w:rPr>
          <w:rFonts w:ascii="Arial" w:hAnsi="Arial" w:cs="Arial"/>
          <w:i/>
          <w:sz w:val="24"/>
          <w:szCs w:val="24"/>
        </w:rPr>
      </w:pPr>
    </w:p>
    <w:p w14:paraId="0F7E83AF"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Por concepto de enriquecimiento injusto de la demandada y el correlativo empobrecimiento patrimonial de mi poderdante debido a las sumas que adeuda INVÍAS a INCIVIAL S.A. POR EL VALOR DE LOS </w:t>
      </w:r>
      <w:proofErr w:type="gramStart"/>
      <w:r w:rsidRPr="003E1882">
        <w:rPr>
          <w:rFonts w:ascii="Arial" w:hAnsi="Arial" w:cs="Arial"/>
          <w:i/>
          <w:sz w:val="24"/>
          <w:szCs w:val="24"/>
        </w:rPr>
        <w:t>COSTOS  FINANCIEROS</w:t>
      </w:r>
      <w:proofErr w:type="gramEnd"/>
      <w:r w:rsidRPr="003E1882">
        <w:rPr>
          <w:rFonts w:ascii="Arial" w:hAnsi="Arial" w:cs="Arial"/>
          <w:i/>
          <w:sz w:val="24"/>
          <w:szCs w:val="24"/>
        </w:rPr>
        <w:t xml:space="preserve"> DE LAS PRETENSIONES HASTA LA FECHA EN LA CUAL SE PRODUZCA EFECTIVAMENTE EL PAGO.  </w:t>
      </w:r>
    </w:p>
    <w:p w14:paraId="038E8D58" w14:textId="77777777" w:rsidR="00121A4D" w:rsidRPr="003E1882" w:rsidRDefault="00121A4D" w:rsidP="00F418C0">
      <w:pPr>
        <w:pStyle w:val="Sinespaciado"/>
        <w:ind w:left="567" w:right="618"/>
        <w:jc w:val="both"/>
        <w:rPr>
          <w:rFonts w:ascii="Arial" w:hAnsi="Arial" w:cs="Arial"/>
          <w:i/>
          <w:sz w:val="24"/>
          <w:szCs w:val="24"/>
        </w:rPr>
      </w:pPr>
    </w:p>
    <w:p w14:paraId="0ED1285D"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SEGUNDA:  Que como consecuencia de la anterior declaración y a título de indemnización, se declare que el INSTITUTO NACIONAL DE VÍAS INVÍAS, anteriormente FONDO VIAL NACIONAL, se enriqueció injustamente en empobrecimiento correlativo del patrimonio económico de la Firma INGENIERÍA CIVIL VÍAS Y ALCANTARILLADOS S.A. INCIVIAL S.A., en la suma de $ 1.304’218.116 referidos a precios fecha de cierre de la Licitación pública, o sea, Octubre de 1984, la cual se detalla en los párrafos siguientes de esta demanda, más la suma de $351’700.913 correspondiente al valor del Costo Financiero por Demora en Pagos actualizados a Septiembre 30 de 1995, fecha de vencimiento del contrato 651/1984.</w:t>
      </w:r>
    </w:p>
    <w:p w14:paraId="09061E87" w14:textId="77777777" w:rsidR="00121A4D" w:rsidRPr="003E1882" w:rsidRDefault="00121A4D" w:rsidP="00F418C0">
      <w:pPr>
        <w:pStyle w:val="Sinespaciado"/>
        <w:ind w:left="567" w:right="618"/>
        <w:jc w:val="both"/>
        <w:rPr>
          <w:rFonts w:ascii="Arial" w:hAnsi="Arial" w:cs="Arial"/>
          <w:i/>
          <w:sz w:val="24"/>
          <w:szCs w:val="24"/>
        </w:rPr>
      </w:pPr>
    </w:p>
    <w:p w14:paraId="4ACDD0FF"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TERCERA:  Que se condene al INSTITUTO NACIONAL DE VÍAS INVÍAS a pagar a favor de mi mandante, la actualización de los valores anteriormente indicados desde el 18 de Octubre de 1984, (fecha de cierre de convocatoria), para la suma de $1.304’218.116 y desde el 1 de octubre de 1995 para la suma de $351’700.913 correspondiente al valor del Costo Financiero por Demora en Pagos, hasta la fecha de ejecutoria del fallo que emita el h. Tribunal Administrativo de Cundinamarca quien conocerá de esta acción de Enriquecimiento sin Causa, con índices IPC del DANE, junto con los intereses moratorios preceptuados por el artículo 884 del Código de Comercio, de acuerdo con las tasas efectivas de intereses moratorios certificados por la Superintendencia Financiera de Colombia, a título de lucro cesante. </w:t>
      </w:r>
    </w:p>
    <w:p w14:paraId="54D7AA11" w14:textId="77777777" w:rsidR="00121A4D" w:rsidRPr="003E1882" w:rsidRDefault="00121A4D" w:rsidP="00F418C0">
      <w:pPr>
        <w:pStyle w:val="Sinespaciado"/>
        <w:ind w:left="567" w:right="618"/>
        <w:jc w:val="both"/>
        <w:rPr>
          <w:rFonts w:ascii="Arial" w:hAnsi="Arial" w:cs="Arial"/>
          <w:i/>
          <w:sz w:val="24"/>
          <w:szCs w:val="24"/>
        </w:rPr>
      </w:pPr>
    </w:p>
    <w:p w14:paraId="70A42970"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CUARTA:  A reconocerles y pagarles </w:t>
      </w:r>
      <w:proofErr w:type="gramStart"/>
      <w:r w:rsidRPr="003E1882">
        <w:rPr>
          <w:rFonts w:ascii="Arial" w:hAnsi="Arial" w:cs="Arial"/>
          <w:i/>
          <w:sz w:val="24"/>
          <w:szCs w:val="24"/>
        </w:rPr>
        <w:t>por  las</w:t>
      </w:r>
      <w:proofErr w:type="gramEnd"/>
      <w:r w:rsidRPr="003E1882">
        <w:rPr>
          <w:rFonts w:ascii="Arial" w:hAnsi="Arial" w:cs="Arial"/>
          <w:i/>
          <w:sz w:val="24"/>
          <w:szCs w:val="24"/>
        </w:rPr>
        <w:t xml:space="preserve"> sumas ordenadas en la providencia que dicte ese Despacho, los intereses moratorios conforme </w:t>
      </w:r>
      <w:r w:rsidRPr="003E1882">
        <w:rPr>
          <w:rFonts w:ascii="Arial" w:hAnsi="Arial" w:cs="Arial"/>
          <w:i/>
          <w:sz w:val="24"/>
          <w:szCs w:val="24"/>
        </w:rPr>
        <w:lastRenderedPageBreak/>
        <w:t>con el procedimiento y la tasa  prevista en el artículo 192 del Código Contencioso Administrativo o Ley 1437 de 2012, desde la ejecutoria de la providencia hasta la fecha efectiva de pago por parte de la demandada.</w:t>
      </w:r>
    </w:p>
    <w:p w14:paraId="64D690AA" w14:textId="77777777" w:rsidR="00121A4D" w:rsidRPr="003E1882" w:rsidRDefault="00121A4D" w:rsidP="00F418C0">
      <w:pPr>
        <w:pStyle w:val="Sinespaciado"/>
        <w:ind w:left="567" w:right="618"/>
        <w:jc w:val="both"/>
        <w:rPr>
          <w:rFonts w:ascii="Arial" w:hAnsi="Arial" w:cs="Arial"/>
          <w:i/>
          <w:sz w:val="24"/>
          <w:szCs w:val="24"/>
        </w:rPr>
      </w:pPr>
    </w:p>
    <w:p w14:paraId="1678C804"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QUINTA O PRIMERA SUBSIDIARIA: En el evento que se desestime el pago de intereses previstos en el artículo 884 del Código de Comercio, se condene al Instituto Nacional de Vías INVÍAS al reconocimiento y pago de la actualización con Índices de Precios al Consumidor Colombia IPC más los intereses moratorios del 12% efectivo anual sobre el valor actualizado, en la forma que está prevista en el artículo 4, numeral 8 de la Ley 80 de 1993.</w:t>
      </w:r>
    </w:p>
    <w:p w14:paraId="329DF767" w14:textId="77777777" w:rsidR="00121A4D" w:rsidRPr="003E1882" w:rsidRDefault="00121A4D" w:rsidP="00F418C0">
      <w:pPr>
        <w:pStyle w:val="Sinespaciado"/>
        <w:ind w:left="567" w:right="618"/>
        <w:jc w:val="both"/>
        <w:rPr>
          <w:rFonts w:ascii="Arial" w:hAnsi="Arial" w:cs="Arial"/>
          <w:i/>
          <w:sz w:val="24"/>
          <w:szCs w:val="24"/>
        </w:rPr>
      </w:pPr>
    </w:p>
    <w:p w14:paraId="7128FBDD"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SEXTA O SEGUNDA SUBSIDIARIA:  Que en el evento que se considere no probadas las sumas de dinero anteriormente indicadas, la condena se profiera en abstracto, para que conforme a lo dispuesto en artículos 307 y 308 del Código de Procedimiento Civil mediante incidente de regulación de perjuicios, se determine el quantum de dicha condena.  (Artículo 172 del Código Contencioso Administrativo).</w:t>
      </w:r>
    </w:p>
    <w:p w14:paraId="4C533822" w14:textId="77777777" w:rsidR="00121A4D" w:rsidRPr="003E1882" w:rsidRDefault="00121A4D" w:rsidP="00F418C0">
      <w:pPr>
        <w:pStyle w:val="Sinespaciado"/>
        <w:ind w:left="567" w:right="618"/>
        <w:jc w:val="both"/>
        <w:rPr>
          <w:rFonts w:ascii="Arial" w:hAnsi="Arial" w:cs="Arial"/>
          <w:i/>
          <w:sz w:val="24"/>
          <w:szCs w:val="24"/>
        </w:rPr>
      </w:pPr>
    </w:p>
    <w:p w14:paraId="2F9D4B17"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SÉPTIMA:  Que sobre las sumas de dinero que se establezcan en la sentencia favorable a INCIVIAL S.A. y a cargo de la parte condenada, se proceda una vez en firme dicha providencia, a la liquidación y pago de la actualización y los intereses de que trata el Artículo 177 del Código Contencioso Administrativo, y a lo regulado por la Ley 1437 de 2011 a las tasas máximas moratorias y efectivas publicadas por la Superintendencia Financiera de Colombia, a partir de la fecha de ejecutoria de la sentencia y hasta la fecha en que se pague el valor liquidado en la misma sentencia, </w:t>
      </w:r>
    </w:p>
    <w:p w14:paraId="405689EC" w14:textId="77777777" w:rsidR="00121A4D" w:rsidRPr="003E1882" w:rsidRDefault="00121A4D" w:rsidP="00F418C0">
      <w:pPr>
        <w:pStyle w:val="Sinespaciado"/>
        <w:ind w:left="567" w:right="618"/>
        <w:jc w:val="both"/>
        <w:rPr>
          <w:rFonts w:ascii="Arial" w:hAnsi="Arial" w:cs="Arial"/>
          <w:i/>
          <w:sz w:val="24"/>
          <w:szCs w:val="24"/>
        </w:rPr>
      </w:pPr>
    </w:p>
    <w:p w14:paraId="52F5F109"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OCTAVA: Que se condene a la entidad demandada INSTITUTO NACIONAL DE VÍAS INVÍAS, a pagar el valor de las costas y gastos procesales, incluidos en estos los honorarios de abogado.</w:t>
      </w:r>
    </w:p>
    <w:p w14:paraId="402CB8FE" w14:textId="77777777" w:rsidR="00121A4D" w:rsidRPr="003E1882" w:rsidRDefault="00121A4D" w:rsidP="00F418C0">
      <w:pPr>
        <w:pStyle w:val="Sinespaciado"/>
        <w:ind w:left="567" w:right="618"/>
        <w:jc w:val="both"/>
        <w:rPr>
          <w:rFonts w:ascii="Arial" w:hAnsi="Arial" w:cs="Arial"/>
          <w:i/>
          <w:sz w:val="24"/>
          <w:szCs w:val="24"/>
        </w:rPr>
      </w:pPr>
    </w:p>
    <w:p w14:paraId="0EC1B022"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Los dineros consignados en las anteriores </w:t>
      </w:r>
      <w:proofErr w:type="gramStart"/>
      <w:r w:rsidRPr="003E1882">
        <w:rPr>
          <w:rFonts w:ascii="Arial" w:hAnsi="Arial" w:cs="Arial"/>
          <w:i/>
          <w:sz w:val="24"/>
          <w:szCs w:val="24"/>
        </w:rPr>
        <w:t>pretensiones,  no</w:t>
      </w:r>
      <w:proofErr w:type="gramEnd"/>
      <w:r w:rsidRPr="003E1882">
        <w:rPr>
          <w:rFonts w:ascii="Arial" w:hAnsi="Arial" w:cs="Arial"/>
          <w:i/>
          <w:sz w:val="24"/>
          <w:szCs w:val="24"/>
        </w:rPr>
        <w:t xml:space="preserve"> han sido pagados por I INVÍAS ni por ninguna entidad del Estado Colombiano a INCIVIAL S.A., por lo cual los mismos se adeudan en su totalidad a mi representado INCIVIAL S.A.   </w:t>
      </w:r>
    </w:p>
    <w:p w14:paraId="378EC33F" w14:textId="77777777" w:rsidR="00121A4D" w:rsidRPr="003E1882" w:rsidRDefault="00121A4D" w:rsidP="00F418C0">
      <w:pPr>
        <w:pStyle w:val="Sinespaciado"/>
        <w:ind w:left="567" w:right="618"/>
        <w:jc w:val="both"/>
        <w:rPr>
          <w:rFonts w:ascii="Arial" w:hAnsi="Arial" w:cs="Arial"/>
          <w:i/>
          <w:sz w:val="24"/>
          <w:szCs w:val="24"/>
        </w:rPr>
      </w:pPr>
    </w:p>
    <w:p w14:paraId="7AE518E2"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Esta deuda de INVÍAS con INCIVIAL S.A. se produjo por la realización de obras ejecutadas, recibidas por la interventoría y dadas al servicio a la comunidad,  que aunque relativas al objeto propio del contrato inicial, dieron lugar a un valor por encima del que fue pagado por EL FONDO VIAL NACIONAL –hoy INVÍAS- durante la ejecución del contrato, hecho acreditado con el dictamen pericial practicado por PERITOS de la Sociedad Colombiana de Ingenieros Doctores Julio Ordóñez y Jaime Farías, que se adjunta. </w:t>
      </w:r>
    </w:p>
    <w:p w14:paraId="41F87D81" w14:textId="77777777" w:rsidR="00121A4D" w:rsidRPr="003E1882" w:rsidRDefault="00121A4D" w:rsidP="00F418C0">
      <w:pPr>
        <w:spacing w:after="0" w:line="240" w:lineRule="auto"/>
        <w:ind w:left="567" w:right="760"/>
        <w:jc w:val="both"/>
        <w:rPr>
          <w:rFonts w:ascii="Arial" w:eastAsia="Arial Unicode MS" w:hAnsi="Arial" w:cs="Arial"/>
          <w:i/>
          <w:sz w:val="24"/>
          <w:szCs w:val="24"/>
        </w:rPr>
      </w:pPr>
      <w:r w:rsidRPr="003E1882">
        <w:rPr>
          <w:rFonts w:ascii="Arial" w:eastAsia="Arial Unicode MS" w:hAnsi="Arial" w:cs="Arial"/>
          <w:i/>
          <w:sz w:val="24"/>
          <w:szCs w:val="24"/>
        </w:rPr>
        <w:t xml:space="preserve"> </w:t>
      </w:r>
    </w:p>
    <w:p w14:paraId="74F38AD0"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 xml:space="preserve">1.1. Los hechos de la demanda se transcriben a continuación así (fls. 7 a 14, c. 1):  </w:t>
      </w:r>
    </w:p>
    <w:p w14:paraId="3E213C4F" w14:textId="77777777" w:rsidR="00121A4D" w:rsidRPr="003E1882" w:rsidRDefault="00121A4D" w:rsidP="00F418C0">
      <w:pPr>
        <w:spacing w:after="0" w:line="240" w:lineRule="auto"/>
        <w:jc w:val="both"/>
        <w:rPr>
          <w:rFonts w:ascii="Arial" w:eastAsia="Arial Unicode MS" w:hAnsi="Arial" w:cs="Arial"/>
          <w:sz w:val="24"/>
          <w:szCs w:val="24"/>
        </w:rPr>
      </w:pPr>
    </w:p>
    <w:p w14:paraId="1C136829"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1. El Contrato No. 651 de 1984, se suscribió previo tramite de la licitación pública número 021 de 1984 que fue abierta en septiembre 18 de 1984 y se cerró en octubre 18 de 1984, habiéndose adjudicado a SÁNCHEZ INGENIEROS LTDA. el 21 de noviembre de 1984.</w:t>
      </w:r>
    </w:p>
    <w:p w14:paraId="2F8FAEFC" w14:textId="77777777" w:rsidR="00121A4D" w:rsidRPr="003E1882" w:rsidRDefault="00121A4D" w:rsidP="00F418C0">
      <w:pPr>
        <w:pStyle w:val="Sinespaciado"/>
        <w:ind w:left="567" w:right="760"/>
        <w:jc w:val="both"/>
        <w:rPr>
          <w:rFonts w:ascii="Arial" w:hAnsi="Arial" w:cs="Arial"/>
          <w:i/>
          <w:sz w:val="24"/>
          <w:szCs w:val="24"/>
        </w:rPr>
      </w:pPr>
    </w:p>
    <w:p w14:paraId="3638B4F7"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lastRenderedPageBreak/>
        <w:t>2. El objeto de dicho contrato es la Pavimentación de la Carretera Ipiales – Gualmatán, del K 0+ 000 al K 22 + 240</w:t>
      </w:r>
    </w:p>
    <w:p w14:paraId="38834325" w14:textId="77777777" w:rsidR="00121A4D" w:rsidRPr="003E1882" w:rsidRDefault="00121A4D" w:rsidP="00F418C0">
      <w:pPr>
        <w:pStyle w:val="Sinespaciado"/>
        <w:ind w:left="567" w:right="760"/>
        <w:jc w:val="both"/>
        <w:rPr>
          <w:rFonts w:ascii="Arial" w:hAnsi="Arial" w:cs="Arial"/>
          <w:i/>
          <w:sz w:val="24"/>
          <w:szCs w:val="24"/>
        </w:rPr>
      </w:pPr>
    </w:p>
    <w:p w14:paraId="1EB3ACFF"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3. La obra se inició en abril 26 de 1985.</w:t>
      </w:r>
    </w:p>
    <w:p w14:paraId="6E008235" w14:textId="77777777" w:rsidR="00121A4D" w:rsidRPr="003E1882" w:rsidRDefault="00121A4D" w:rsidP="00F418C0">
      <w:pPr>
        <w:pStyle w:val="Sinespaciado"/>
        <w:ind w:left="567" w:right="760"/>
        <w:jc w:val="both"/>
        <w:rPr>
          <w:rFonts w:ascii="Arial" w:hAnsi="Arial" w:cs="Arial"/>
          <w:i/>
          <w:sz w:val="24"/>
          <w:szCs w:val="24"/>
        </w:rPr>
      </w:pPr>
    </w:p>
    <w:p w14:paraId="249027B6"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4. En 1986 SÁNCHEZ INGENIEROS LTDA. cedió el contrato con aprobación del FONDO VIAL NACIONAL a la firma CONSAS LTDA., la cual realizó parte de las obras.</w:t>
      </w:r>
    </w:p>
    <w:p w14:paraId="49503FB7" w14:textId="77777777" w:rsidR="00121A4D" w:rsidRPr="003E1882" w:rsidRDefault="00121A4D" w:rsidP="00F418C0">
      <w:pPr>
        <w:pStyle w:val="Sinespaciado"/>
        <w:ind w:left="567" w:right="760"/>
        <w:jc w:val="both"/>
        <w:rPr>
          <w:rFonts w:ascii="Arial" w:hAnsi="Arial" w:cs="Arial"/>
          <w:i/>
          <w:sz w:val="24"/>
          <w:szCs w:val="24"/>
        </w:rPr>
      </w:pPr>
    </w:p>
    <w:p w14:paraId="26A93E14"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5. Ante las dificultades que se presentaron para la ejecución, CONSAS LTDA. cedió el contrato a mi representada INGENIERÍA CIVIL VÍAS Y ALCANTARILLADOS S.A. INCIVIAL S.A. con contrato 088 de 1988, en marzo 25 de 1988, con la aprobación del FONDO VIAL NACIONAL.</w:t>
      </w:r>
    </w:p>
    <w:p w14:paraId="45BF3CA3" w14:textId="77777777" w:rsidR="00121A4D" w:rsidRPr="003E1882" w:rsidRDefault="00121A4D" w:rsidP="00F418C0">
      <w:pPr>
        <w:pStyle w:val="Sinespaciado"/>
        <w:ind w:left="567" w:right="760"/>
        <w:jc w:val="both"/>
        <w:rPr>
          <w:rFonts w:ascii="Arial" w:hAnsi="Arial" w:cs="Arial"/>
          <w:i/>
          <w:sz w:val="24"/>
          <w:szCs w:val="24"/>
        </w:rPr>
      </w:pPr>
    </w:p>
    <w:p w14:paraId="54861BF8"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6. INCIVIAL S.A. inicio trabajos en mayo 30 de 1988.</w:t>
      </w:r>
    </w:p>
    <w:p w14:paraId="37EBE25E" w14:textId="77777777" w:rsidR="00121A4D" w:rsidRPr="003E1882" w:rsidRDefault="00121A4D" w:rsidP="00F418C0">
      <w:pPr>
        <w:pStyle w:val="Sinespaciado"/>
        <w:ind w:left="567" w:right="760"/>
        <w:jc w:val="both"/>
        <w:rPr>
          <w:rFonts w:ascii="Arial" w:hAnsi="Arial" w:cs="Arial"/>
          <w:i/>
          <w:sz w:val="24"/>
          <w:szCs w:val="24"/>
        </w:rPr>
      </w:pPr>
    </w:p>
    <w:p w14:paraId="6F5811DA"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7. El objeto del contrato es</w:t>
      </w:r>
      <w:proofErr w:type="gramStart"/>
      <w:r w:rsidRPr="003E1882">
        <w:rPr>
          <w:rFonts w:ascii="Arial" w:hAnsi="Arial" w:cs="Arial"/>
          <w:i/>
          <w:sz w:val="24"/>
          <w:szCs w:val="24"/>
        </w:rPr>
        <w:t>:  ‘</w:t>
      </w:r>
      <w:proofErr w:type="gramEnd"/>
      <w:r w:rsidRPr="003E1882">
        <w:rPr>
          <w:rFonts w:ascii="Arial" w:hAnsi="Arial" w:cs="Arial"/>
          <w:i/>
          <w:sz w:val="24"/>
          <w:szCs w:val="24"/>
        </w:rPr>
        <w:t>LA EJECUCIÓN DE LAS OBRAS QUE SEAN NECESARIAS PARA LA PAVIMENTACIÓN DE LA CARRETERA IPIALES – GUALMATÁN”  y su valor inicial fue  $225’963.836, habiéndose llegado a un valor final de $3.096’891.457.48, COMO SE ESTABLECE EN LA RELACIÓN DE CONTRATOS QUE SE TRANSCRIBE A CONTINUACIÓN:</w:t>
      </w:r>
    </w:p>
    <w:p w14:paraId="20B1D301" w14:textId="77777777" w:rsidR="00121A4D" w:rsidRPr="003E1882" w:rsidRDefault="00121A4D" w:rsidP="00F418C0">
      <w:pPr>
        <w:pStyle w:val="Prrafodelista"/>
        <w:rPr>
          <w:rFonts w:ascii="Arial" w:hAnsi="Arial" w:cs="Arial"/>
        </w:rPr>
      </w:pPr>
    </w:p>
    <w:tbl>
      <w:tblPr>
        <w:tblW w:w="874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276"/>
        <w:gridCol w:w="1701"/>
        <w:gridCol w:w="1276"/>
        <w:gridCol w:w="1701"/>
        <w:gridCol w:w="1608"/>
      </w:tblGrid>
      <w:tr w:rsidR="00121A4D" w:rsidRPr="003E1882" w14:paraId="51FA8577" w14:textId="77777777" w:rsidTr="00DB4FB7">
        <w:tc>
          <w:tcPr>
            <w:tcW w:w="1186" w:type="dxa"/>
            <w:shd w:val="clear" w:color="auto" w:fill="auto"/>
          </w:tcPr>
          <w:p w14:paraId="60F89C1C" w14:textId="77777777" w:rsidR="00121A4D" w:rsidRPr="003E1882" w:rsidRDefault="00121A4D" w:rsidP="00F418C0">
            <w:pPr>
              <w:pStyle w:val="Prrafodelista"/>
              <w:ind w:left="0"/>
              <w:jc w:val="center"/>
              <w:rPr>
                <w:rFonts w:ascii="Arial" w:hAnsi="Arial" w:cs="Arial"/>
                <w:b/>
              </w:rPr>
            </w:pPr>
            <w:r w:rsidRPr="003E1882">
              <w:rPr>
                <w:rFonts w:ascii="Arial" w:hAnsi="Arial" w:cs="Arial"/>
                <w:b/>
              </w:rPr>
              <w:t>Contratos</w:t>
            </w:r>
          </w:p>
        </w:tc>
        <w:tc>
          <w:tcPr>
            <w:tcW w:w="1276" w:type="dxa"/>
            <w:shd w:val="clear" w:color="auto" w:fill="auto"/>
          </w:tcPr>
          <w:p w14:paraId="3C89DAB4" w14:textId="77777777" w:rsidR="00121A4D" w:rsidRPr="003E1882" w:rsidRDefault="00121A4D" w:rsidP="00F418C0">
            <w:pPr>
              <w:pStyle w:val="Prrafodelista"/>
              <w:ind w:left="0"/>
              <w:jc w:val="center"/>
              <w:rPr>
                <w:rFonts w:ascii="Arial" w:hAnsi="Arial" w:cs="Arial"/>
                <w:b/>
              </w:rPr>
            </w:pPr>
            <w:r w:rsidRPr="003E1882">
              <w:rPr>
                <w:rFonts w:ascii="Arial" w:hAnsi="Arial" w:cs="Arial"/>
                <w:b/>
              </w:rPr>
              <w:t>Iniciación</w:t>
            </w:r>
          </w:p>
        </w:tc>
        <w:tc>
          <w:tcPr>
            <w:tcW w:w="1701" w:type="dxa"/>
            <w:shd w:val="clear" w:color="auto" w:fill="auto"/>
          </w:tcPr>
          <w:p w14:paraId="0F9800E3" w14:textId="77777777" w:rsidR="00121A4D" w:rsidRPr="003E1882" w:rsidRDefault="00121A4D" w:rsidP="00F418C0">
            <w:pPr>
              <w:pStyle w:val="Prrafodelista"/>
              <w:ind w:left="0"/>
              <w:jc w:val="center"/>
              <w:rPr>
                <w:rFonts w:ascii="Arial" w:hAnsi="Arial" w:cs="Arial"/>
                <w:b/>
              </w:rPr>
            </w:pPr>
            <w:r w:rsidRPr="003E1882">
              <w:rPr>
                <w:rFonts w:ascii="Arial" w:hAnsi="Arial" w:cs="Arial"/>
                <w:b/>
              </w:rPr>
              <w:t>Vencimiento</w:t>
            </w:r>
          </w:p>
        </w:tc>
        <w:tc>
          <w:tcPr>
            <w:tcW w:w="1276" w:type="dxa"/>
            <w:shd w:val="clear" w:color="auto" w:fill="auto"/>
          </w:tcPr>
          <w:p w14:paraId="5566C19B" w14:textId="77777777" w:rsidR="00121A4D" w:rsidRPr="003E1882" w:rsidRDefault="00121A4D" w:rsidP="00F418C0">
            <w:pPr>
              <w:pStyle w:val="Prrafodelista"/>
              <w:ind w:left="0"/>
              <w:jc w:val="center"/>
              <w:rPr>
                <w:rFonts w:ascii="Arial" w:hAnsi="Arial" w:cs="Arial"/>
                <w:b/>
              </w:rPr>
            </w:pPr>
            <w:r w:rsidRPr="003E1882">
              <w:rPr>
                <w:rFonts w:ascii="Arial" w:hAnsi="Arial" w:cs="Arial"/>
                <w:b/>
              </w:rPr>
              <w:t>Plazo</w:t>
            </w:r>
          </w:p>
        </w:tc>
        <w:tc>
          <w:tcPr>
            <w:tcW w:w="1701" w:type="dxa"/>
            <w:shd w:val="clear" w:color="auto" w:fill="auto"/>
          </w:tcPr>
          <w:p w14:paraId="621E398A" w14:textId="77777777" w:rsidR="00121A4D" w:rsidRPr="003E1882" w:rsidRDefault="00121A4D" w:rsidP="00F418C0">
            <w:pPr>
              <w:pStyle w:val="Prrafodelista"/>
              <w:ind w:left="0"/>
              <w:jc w:val="center"/>
              <w:rPr>
                <w:rFonts w:ascii="Arial" w:hAnsi="Arial" w:cs="Arial"/>
                <w:b/>
              </w:rPr>
            </w:pPr>
            <w:r w:rsidRPr="003E1882">
              <w:rPr>
                <w:rFonts w:ascii="Arial" w:hAnsi="Arial" w:cs="Arial"/>
                <w:b/>
              </w:rPr>
              <w:t>Valor</w:t>
            </w:r>
          </w:p>
        </w:tc>
        <w:tc>
          <w:tcPr>
            <w:tcW w:w="1608" w:type="dxa"/>
            <w:shd w:val="clear" w:color="auto" w:fill="auto"/>
          </w:tcPr>
          <w:p w14:paraId="3C9241FE" w14:textId="77777777" w:rsidR="00121A4D" w:rsidRPr="003E1882" w:rsidRDefault="00121A4D" w:rsidP="00F418C0">
            <w:pPr>
              <w:pStyle w:val="Prrafodelista"/>
              <w:ind w:left="0"/>
              <w:jc w:val="center"/>
              <w:rPr>
                <w:rFonts w:ascii="Arial" w:hAnsi="Arial" w:cs="Arial"/>
                <w:b/>
              </w:rPr>
            </w:pPr>
            <w:r w:rsidRPr="003E1882">
              <w:rPr>
                <w:rFonts w:ascii="Arial" w:hAnsi="Arial" w:cs="Arial"/>
                <w:b/>
              </w:rPr>
              <w:t>Clase</w:t>
            </w:r>
          </w:p>
        </w:tc>
      </w:tr>
      <w:tr w:rsidR="00121A4D" w:rsidRPr="003E1882" w14:paraId="2356597B" w14:textId="77777777" w:rsidTr="00DB4FB7">
        <w:tc>
          <w:tcPr>
            <w:tcW w:w="1186" w:type="dxa"/>
            <w:shd w:val="clear" w:color="auto" w:fill="auto"/>
          </w:tcPr>
          <w:p w14:paraId="12DEF80E" w14:textId="77777777" w:rsidR="00121A4D" w:rsidRPr="003E1882" w:rsidRDefault="00121A4D" w:rsidP="00F418C0">
            <w:pPr>
              <w:pStyle w:val="Prrafodelista"/>
              <w:ind w:left="0"/>
              <w:jc w:val="center"/>
              <w:rPr>
                <w:rFonts w:ascii="Arial" w:hAnsi="Arial" w:cs="Arial"/>
              </w:rPr>
            </w:pPr>
            <w:r w:rsidRPr="003E1882">
              <w:rPr>
                <w:rFonts w:ascii="Arial" w:hAnsi="Arial" w:cs="Arial"/>
              </w:rPr>
              <w:t>651/84</w:t>
            </w:r>
          </w:p>
        </w:tc>
        <w:tc>
          <w:tcPr>
            <w:tcW w:w="1276" w:type="dxa"/>
            <w:shd w:val="clear" w:color="auto" w:fill="auto"/>
          </w:tcPr>
          <w:p w14:paraId="0EDEF20D" w14:textId="77777777" w:rsidR="00121A4D" w:rsidRPr="003E1882" w:rsidRDefault="00121A4D" w:rsidP="00F418C0">
            <w:pPr>
              <w:pStyle w:val="Prrafodelista"/>
              <w:ind w:left="0"/>
              <w:jc w:val="center"/>
              <w:rPr>
                <w:rFonts w:ascii="Arial" w:hAnsi="Arial" w:cs="Arial"/>
              </w:rPr>
            </w:pPr>
            <w:r w:rsidRPr="003E1882">
              <w:rPr>
                <w:rFonts w:ascii="Arial" w:hAnsi="Arial" w:cs="Arial"/>
              </w:rPr>
              <w:t>01-03-85</w:t>
            </w:r>
          </w:p>
        </w:tc>
        <w:tc>
          <w:tcPr>
            <w:tcW w:w="1701" w:type="dxa"/>
            <w:shd w:val="clear" w:color="auto" w:fill="auto"/>
          </w:tcPr>
          <w:p w14:paraId="19F8A2B5" w14:textId="77777777" w:rsidR="00121A4D" w:rsidRPr="003E1882" w:rsidRDefault="00121A4D" w:rsidP="00F418C0">
            <w:pPr>
              <w:pStyle w:val="Prrafodelista"/>
              <w:ind w:left="0"/>
              <w:jc w:val="center"/>
              <w:rPr>
                <w:rFonts w:ascii="Arial" w:hAnsi="Arial" w:cs="Arial"/>
              </w:rPr>
            </w:pPr>
            <w:r w:rsidRPr="003E1882">
              <w:rPr>
                <w:rFonts w:ascii="Arial" w:hAnsi="Arial" w:cs="Arial"/>
              </w:rPr>
              <w:t>01-03-86</w:t>
            </w:r>
          </w:p>
        </w:tc>
        <w:tc>
          <w:tcPr>
            <w:tcW w:w="1276" w:type="dxa"/>
            <w:shd w:val="clear" w:color="auto" w:fill="auto"/>
          </w:tcPr>
          <w:p w14:paraId="7286C641" w14:textId="77777777" w:rsidR="00121A4D" w:rsidRPr="003E1882" w:rsidRDefault="00121A4D" w:rsidP="00F418C0">
            <w:pPr>
              <w:pStyle w:val="Prrafodelista"/>
              <w:ind w:left="0"/>
              <w:jc w:val="center"/>
              <w:rPr>
                <w:rFonts w:ascii="Arial" w:hAnsi="Arial" w:cs="Arial"/>
              </w:rPr>
            </w:pPr>
            <w:r w:rsidRPr="003E1882">
              <w:rPr>
                <w:rFonts w:ascii="Arial" w:hAnsi="Arial" w:cs="Arial"/>
              </w:rPr>
              <w:t>12 meses</w:t>
            </w:r>
          </w:p>
        </w:tc>
        <w:tc>
          <w:tcPr>
            <w:tcW w:w="1701" w:type="dxa"/>
            <w:shd w:val="clear" w:color="auto" w:fill="auto"/>
          </w:tcPr>
          <w:p w14:paraId="377096E9" w14:textId="77777777" w:rsidR="00121A4D" w:rsidRPr="003E1882" w:rsidRDefault="00121A4D" w:rsidP="00F418C0">
            <w:pPr>
              <w:pStyle w:val="Prrafodelista"/>
              <w:ind w:left="0"/>
              <w:jc w:val="center"/>
              <w:rPr>
                <w:rFonts w:ascii="Arial" w:hAnsi="Arial" w:cs="Arial"/>
              </w:rPr>
            </w:pPr>
            <w:r w:rsidRPr="003E1882">
              <w:rPr>
                <w:rFonts w:ascii="Arial" w:hAnsi="Arial" w:cs="Arial"/>
              </w:rPr>
              <w:t>$ 225’963.836</w:t>
            </w:r>
          </w:p>
        </w:tc>
        <w:tc>
          <w:tcPr>
            <w:tcW w:w="1608" w:type="dxa"/>
            <w:shd w:val="clear" w:color="auto" w:fill="auto"/>
          </w:tcPr>
          <w:p w14:paraId="755A46AD" w14:textId="77777777" w:rsidR="00121A4D" w:rsidRPr="003E1882" w:rsidRDefault="00121A4D" w:rsidP="00F418C0">
            <w:pPr>
              <w:pStyle w:val="Prrafodelista"/>
              <w:ind w:left="0"/>
              <w:jc w:val="center"/>
              <w:rPr>
                <w:rFonts w:ascii="Arial" w:hAnsi="Arial" w:cs="Arial"/>
              </w:rPr>
            </w:pPr>
            <w:r w:rsidRPr="003E1882">
              <w:rPr>
                <w:rFonts w:ascii="Arial" w:hAnsi="Arial" w:cs="Arial"/>
              </w:rPr>
              <w:t>Principal</w:t>
            </w:r>
          </w:p>
        </w:tc>
      </w:tr>
      <w:tr w:rsidR="00121A4D" w:rsidRPr="003E1882" w14:paraId="52CB4999" w14:textId="77777777" w:rsidTr="00DB4FB7">
        <w:tc>
          <w:tcPr>
            <w:tcW w:w="1186" w:type="dxa"/>
            <w:shd w:val="clear" w:color="auto" w:fill="auto"/>
          </w:tcPr>
          <w:p w14:paraId="42B37643" w14:textId="77777777" w:rsidR="00121A4D" w:rsidRPr="003E1882" w:rsidRDefault="00121A4D" w:rsidP="00F418C0">
            <w:pPr>
              <w:pStyle w:val="Prrafodelista"/>
              <w:ind w:left="0"/>
              <w:jc w:val="center"/>
              <w:rPr>
                <w:rFonts w:ascii="Arial" w:hAnsi="Arial" w:cs="Arial"/>
              </w:rPr>
            </w:pPr>
            <w:r w:rsidRPr="003E1882">
              <w:rPr>
                <w:rFonts w:ascii="Arial" w:hAnsi="Arial" w:cs="Arial"/>
              </w:rPr>
              <w:t>030/86</w:t>
            </w:r>
          </w:p>
        </w:tc>
        <w:tc>
          <w:tcPr>
            <w:tcW w:w="1276" w:type="dxa"/>
            <w:shd w:val="clear" w:color="auto" w:fill="auto"/>
          </w:tcPr>
          <w:p w14:paraId="79CCB31D" w14:textId="77777777" w:rsidR="00121A4D" w:rsidRPr="003E1882" w:rsidRDefault="00121A4D" w:rsidP="00F418C0">
            <w:pPr>
              <w:pStyle w:val="Prrafodelista"/>
              <w:ind w:left="0"/>
              <w:jc w:val="center"/>
              <w:rPr>
                <w:rFonts w:ascii="Arial" w:hAnsi="Arial" w:cs="Arial"/>
              </w:rPr>
            </w:pPr>
            <w:r w:rsidRPr="003E1882">
              <w:rPr>
                <w:rFonts w:ascii="Arial" w:hAnsi="Arial" w:cs="Arial"/>
              </w:rPr>
              <w:t>28-02-86</w:t>
            </w:r>
          </w:p>
        </w:tc>
        <w:tc>
          <w:tcPr>
            <w:tcW w:w="1701" w:type="dxa"/>
            <w:shd w:val="clear" w:color="auto" w:fill="auto"/>
          </w:tcPr>
          <w:p w14:paraId="3D006A61" w14:textId="77777777" w:rsidR="00121A4D" w:rsidRPr="003E1882" w:rsidRDefault="00121A4D" w:rsidP="00F418C0">
            <w:pPr>
              <w:pStyle w:val="Prrafodelista"/>
              <w:ind w:left="0"/>
              <w:jc w:val="center"/>
              <w:rPr>
                <w:rFonts w:ascii="Arial" w:hAnsi="Arial" w:cs="Arial"/>
              </w:rPr>
            </w:pPr>
            <w:r w:rsidRPr="003E1882">
              <w:rPr>
                <w:rFonts w:ascii="Arial" w:hAnsi="Arial" w:cs="Arial"/>
              </w:rPr>
              <w:t>28-08-86</w:t>
            </w:r>
          </w:p>
        </w:tc>
        <w:tc>
          <w:tcPr>
            <w:tcW w:w="1276" w:type="dxa"/>
            <w:shd w:val="clear" w:color="auto" w:fill="auto"/>
          </w:tcPr>
          <w:p w14:paraId="53FDD50B" w14:textId="77777777" w:rsidR="00121A4D" w:rsidRPr="003E1882" w:rsidRDefault="00121A4D" w:rsidP="00F418C0">
            <w:pPr>
              <w:pStyle w:val="Prrafodelista"/>
              <w:ind w:left="0"/>
              <w:jc w:val="center"/>
              <w:rPr>
                <w:rFonts w:ascii="Arial" w:hAnsi="Arial" w:cs="Arial"/>
              </w:rPr>
            </w:pPr>
            <w:r w:rsidRPr="003E1882">
              <w:rPr>
                <w:rFonts w:ascii="Arial" w:hAnsi="Arial" w:cs="Arial"/>
              </w:rPr>
              <w:t>Cesión</w:t>
            </w:r>
          </w:p>
        </w:tc>
        <w:tc>
          <w:tcPr>
            <w:tcW w:w="1701" w:type="dxa"/>
            <w:shd w:val="clear" w:color="auto" w:fill="auto"/>
          </w:tcPr>
          <w:p w14:paraId="4BE2DD9D" w14:textId="77777777" w:rsidR="00121A4D" w:rsidRPr="003E1882" w:rsidRDefault="00121A4D" w:rsidP="00F418C0">
            <w:pPr>
              <w:pStyle w:val="Prrafodelista"/>
              <w:ind w:left="0"/>
              <w:jc w:val="center"/>
              <w:rPr>
                <w:rFonts w:ascii="Arial" w:hAnsi="Arial" w:cs="Arial"/>
              </w:rPr>
            </w:pPr>
            <w:r w:rsidRPr="003E1882">
              <w:rPr>
                <w:rFonts w:ascii="Arial" w:hAnsi="Arial" w:cs="Arial"/>
              </w:rPr>
              <w:t>Sánchez a Consas</w:t>
            </w:r>
          </w:p>
        </w:tc>
        <w:tc>
          <w:tcPr>
            <w:tcW w:w="1608" w:type="dxa"/>
            <w:shd w:val="clear" w:color="auto" w:fill="auto"/>
          </w:tcPr>
          <w:p w14:paraId="595CA8F9" w14:textId="77777777" w:rsidR="00121A4D" w:rsidRPr="003E1882" w:rsidRDefault="00121A4D" w:rsidP="00F418C0">
            <w:pPr>
              <w:pStyle w:val="Prrafodelista"/>
              <w:ind w:left="0"/>
              <w:jc w:val="center"/>
              <w:rPr>
                <w:rFonts w:ascii="Arial" w:hAnsi="Arial" w:cs="Arial"/>
              </w:rPr>
            </w:pPr>
          </w:p>
        </w:tc>
      </w:tr>
      <w:tr w:rsidR="00121A4D" w:rsidRPr="003E1882" w14:paraId="5B2BD4B9" w14:textId="77777777" w:rsidTr="00DB4FB7">
        <w:tc>
          <w:tcPr>
            <w:tcW w:w="1186" w:type="dxa"/>
            <w:shd w:val="clear" w:color="auto" w:fill="auto"/>
          </w:tcPr>
          <w:p w14:paraId="5BD3570F" w14:textId="77777777" w:rsidR="00121A4D" w:rsidRPr="003E1882" w:rsidRDefault="00121A4D" w:rsidP="00F418C0">
            <w:pPr>
              <w:pStyle w:val="Prrafodelista"/>
              <w:ind w:left="0"/>
              <w:jc w:val="center"/>
              <w:rPr>
                <w:rFonts w:ascii="Arial" w:hAnsi="Arial" w:cs="Arial"/>
              </w:rPr>
            </w:pPr>
            <w:r w:rsidRPr="003E1882">
              <w:rPr>
                <w:rFonts w:ascii="Arial" w:hAnsi="Arial" w:cs="Arial"/>
              </w:rPr>
              <w:t>030/86</w:t>
            </w:r>
          </w:p>
        </w:tc>
        <w:tc>
          <w:tcPr>
            <w:tcW w:w="1276" w:type="dxa"/>
            <w:shd w:val="clear" w:color="auto" w:fill="auto"/>
          </w:tcPr>
          <w:p w14:paraId="55BFCA8A" w14:textId="77777777" w:rsidR="00121A4D" w:rsidRPr="003E1882" w:rsidRDefault="00121A4D" w:rsidP="00F418C0">
            <w:pPr>
              <w:pStyle w:val="Prrafodelista"/>
              <w:ind w:left="0"/>
              <w:jc w:val="center"/>
              <w:rPr>
                <w:rFonts w:ascii="Arial" w:hAnsi="Arial" w:cs="Arial"/>
              </w:rPr>
            </w:pPr>
            <w:r w:rsidRPr="003E1882">
              <w:rPr>
                <w:rFonts w:ascii="Arial" w:hAnsi="Arial" w:cs="Arial"/>
              </w:rPr>
              <w:t>28-02-86</w:t>
            </w:r>
          </w:p>
        </w:tc>
        <w:tc>
          <w:tcPr>
            <w:tcW w:w="1701" w:type="dxa"/>
            <w:shd w:val="clear" w:color="auto" w:fill="auto"/>
          </w:tcPr>
          <w:p w14:paraId="39CA0625" w14:textId="77777777" w:rsidR="00121A4D" w:rsidRPr="003E1882" w:rsidRDefault="00121A4D" w:rsidP="00F418C0">
            <w:pPr>
              <w:pStyle w:val="Prrafodelista"/>
              <w:ind w:left="0"/>
              <w:jc w:val="center"/>
              <w:rPr>
                <w:rFonts w:ascii="Arial" w:hAnsi="Arial" w:cs="Arial"/>
              </w:rPr>
            </w:pPr>
            <w:r w:rsidRPr="003E1882">
              <w:rPr>
                <w:rFonts w:ascii="Arial" w:hAnsi="Arial" w:cs="Arial"/>
              </w:rPr>
              <w:t>28-08-86</w:t>
            </w:r>
          </w:p>
        </w:tc>
        <w:tc>
          <w:tcPr>
            <w:tcW w:w="1276" w:type="dxa"/>
            <w:shd w:val="clear" w:color="auto" w:fill="auto"/>
          </w:tcPr>
          <w:p w14:paraId="165A9681" w14:textId="77777777" w:rsidR="00121A4D" w:rsidRPr="003E1882" w:rsidRDefault="00121A4D" w:rsidP="00F418C0">
            <w:pPr>
              <w:pStyle w:val="Prrafodelista"/>
              <w:ind w:left="0"/>
              <w:jc w:val="center"/>
              <w:rPr>
                <w:rFonts w:ascii="Arial" w:hAnsi="Arial" w:cs="Arial"/>
              </w:rPr>
            </w:pPr>
            <w:r w:rsidRPr="003E1882">
              <w:rPr>
                <w:rFonts w:ascii="Arial" w:hAnsi="Arial" w:cs="Arial"/>
              </w:rPr>
              <w:t>6 meses</w:t>
            </w:r>
          </w:p>
        </w:tc>
        <w:tc>
          <w:tcPr>
            <w:tcW w:w="1701" w:type="dxa"/>
            <w:shd w:val="clear" w:color="auto" w:fill="auto"/>
          </w:tcPr>
          <w:p w14:paraId="2C4C9D45"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123A21B5" w14:textId="77777777" w:rsidR="00121A4D" w:rsidRPr="003E1882" w:rsidRDefault="00121A4D" w:rsidP="00F418C0">
            <w:pPr>
              <w:pStyle w:val="Prrafodelista"/>
              <w:ind w:left="0"/>
              <w:jc w:val="center"/>
              <w:rPr>
                <w:rFonts w:ascii="Arial" w:hAnsi="Arial" w:cs="Arial"/>
              </w:rPr>
            </w:pPr>
            <w:r w:rsidRPr="003E1882">
              <w:rPr>
                <w:rFonts w:ascii="Arial" w:hAnsi="Arial" w:cs="Arial"/>
              </w:rPr>
              <w:t>1ª Adición prórroga</w:t>
            </w:r>
          </w:p>
        </w:tc>
      </w:tr>
      <w:tr w:rsidR="00121A4D" w:rsidRPr="003E1882" w14:paraId="056976EF" w14:textId="77777777" w:rsidTr="00DB4FB7">
        <w:tc>
          <w:tcPr>
            <w:tcW w:w="1186" w:type="dxa"/>
            <w:shd w:val="clear" w:color="auto" w:fill="auto"/>
          </w:tcPr>
          <w:p w14:paraId="3B8CB159" w14:textId="77777777" w:rsidR="00121A4D" w:rsidRPr="003E1882" w:rsidRDefault="00121A4D" w:rsidP="00F418C0">
            <w:pPr>
              <w:pStyle w:val="Prrafodelista"/>
              <w:ind w:left="0"/>
              <w:jc w:val="center"/>
              <w:rPr>
                <w:rFonts w:ascii="Arial" w:hAnsi="Arial" w:cs="Arial"/>
              </w:rPr>
            </w:pPr>
            <w:r w:rsidRPr="003E1882">
              <w:rPr>
                <w:rFonts w:ascii="Arial" w:hAnsi="Arial" w:cs="Arial"/>
              </w:rPr>
              <w:t>399/86</w:t>
            </w:r>
          </w:p>
        </w:tc>
        <w:tc>
          <w:tcPr>
            <w:tcW w:w="1276" w:type="dxa"/>
            <w:shd w:val="clear" w:color="auto" w:fill="auto"/>
          </w:tcPr>
          <w:p w14:paraId="1F7C6BA4" w14:textId="77777777" w:rsidR="00121A4D" w:rsidRPr="003E1882" w:rsidRDefault="00121A4D" w:rsidP="00F418C0">
            <w:pPr>
              <w:pStyle w:val="Prrafodelista"/>
              <w:ind w:left="0"/>
              <w:jc w:val="center"/>
              <w:rPr>
                <w:rFonts w:ascii="Arial" w:hAnsi="Arial" w:cs="Arial"/>
              </w:rPr>
            </w:pPr>
            <w:r w:rsidRPr="003E1882">
              <w:rPr>
                <w:rFonts w:ascii="Arial" w:hAnsi="Arial" w:cs="Arial"/>
              </w:rPr>
              <w:t>20-08-86</w:t>
            </w:r>
          </w:p>
        </w:tc>
        <w:tc>
          <w:tcPr>
            <w:tcW w:w="1701" w:type="dxa"/>
            <w:shd w:val="clear" w:color="auto" w:fill="auto"/>
          </w:tcPr>
          <w:p w14:paraId="033A30EC" w14:textId="77777777" w:rsidR="00121A4D" w:rsidRPr="003E1882" w:rsidRDefault="00121A4D" w:rsidP="00F418C0">
            <w:pPr>
              <w:pStyle w:val="Prrafodelista"/>
              <w:ind w:left="0"/>
              <w:jc w:val="center"/>
              <w:rPr>
                <w:rFonts w:ascii="Arial" w:hAnsi="Arial" w:cs="Arial"/>
              </w:rPr>
            </w:pPr>
            <w:r w:rsidRPr="003E1882">
              <w:rPr>
                <w:rFonts w:ascii="Arial" w:hAnsi="Arial" w:cs="Arial"/>
              </w:rPr>
              <w:t>28-03-87</w:t>
            </w:r>
          </w:p>
        </w:tc>
        <w:tc>
          <w:tcPr>
            <w:tcW w:w="1276" w:type="dxa"/>
            <w:shd w:val="clear" w:color="auto" w:fill="auto"/>
          </w:tcPr>
          <w:p w14:paraId="6A738601" w14:textId="77777777" w:rsidR="00121A4D" w:rsidRPr="003E1882" w:rsidRDefault="00121A4D" w:rsidP="00F418C0">
            <w:pPr>
              <w:pStyle w:val="Prrafodelista"/>
              <w:ind w:left="0"/>
              <w:jc w:val="center"/>
              <w:rPr>
                <w:rFonts w:ascii="Arial" w:hAnsi="Arial" w:cs="Arial"/>
              </w:rPr>
            </w:pPr>
            <w:r w:rsidRPr="003E1882">
              <w:rPr>
                <w:rFonts w:ascii="Arial" w:hAnsi="Arial" w:cs="Arial"/>
              </w:rPr>
              <w:t>7 meses</w:t>
            </w:r>
          </w:p>
        </w:tc>
        <w:tc>
          <w:tcPr>
            <w:tcW w:w="1701" w:type="dxa"/>
            <w:shd w:val="clear" w:color="auto" w:fill="auto"/>
          </w:tcPr>
          <w:p w14:paraId="6CE8BE03"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37CE6E47" w14:textId="77777777" w:rsidR="00121A4D" w:rsidRPr="003E1882" w:rsidRDefault="00121A4D" w:rsidP="00F418C0">
            <w:pPr>
              <w:pStyle w:val="Prrafodelista"/>
              <w:ind w:left="0"/>
              <w:jc w:val="center"/>
              <w:rPr>
                <w:rFonts w:ascii="Arial" w:hAnsi="Arial" w:cs="Arial"/>
              </w:rPr>
            </w:pPr>
            <w:r w:rsidRPr="003E1882">
              <w:rPr>
                <w:rFonts w:ascii="Arial" w:hAnsi="Arial" w:cs="Arial"/>
              </w:rPr>
              <w:t>2ª Adición prórroga</w:t>
            </w:r>
          </w:p>
        </w:tc>
      </w:tr>
      <w:tr w:rsidR="00121A4D" w:rsidRPr="003E1882" w14:paraId="7FF76062" w14:textId="77777777" w:rsidTr="00DB4FB7">
        <w:tc>
          <w:tcPr>
            <w:tcW w:w="1186" w:type="dxa"/>
            <w:shd w:val="clear" w:color="auto" w:fill="auto"/>
          </w:tcPr>
          <w:p w14:paraId="3A0459D5" w14:textId="77777777" w:rsidR="00121A4D" w:rsidRPr="003E1882" w:rsidRDefault="00121A4D" w:rsidP="00F418C0">
            <w:pPr>
              <w:pStyle w:val="Prrafodelista"/>
              <w:ind w:left="0"/>
              <w:jc w:val="center"/>
              <w:rPr>
                <w:rFonts w:ascii="Arial" w:hAnsi="Arial" w:cs="Arial"/>
              </w:rPr>
            </w:pPr>
            <w:r w:rsidRPr="003E1882">
              <w:rPr>
                <w:rFonts w:ascii="Arial" w:hAnsi="Arial" w:cs="Arial"/>
              </w:rPr>
              <w:t>009/87</w:t>
            </w:r>
          </w:p>
        </w:tc>
        <w:tc>
          <w:tcPr>
            <w:tcW w:w="1276" w:type="dxa"/>
            <w:shd w:val="clear" w:color="auto" w:fill="auto"/>
          </w:tcPr>
          <w:p w14:paraId="53F72442" w14:textId="77777777" w:rsidR="00121A4D" w:rsidRPr="003E1882" w:rsidRDefault="00121A4D" w:rsidP="00F418C0">
            <w:pPr>
              <w:pStyle w:val="Prrafodelista"/>
              <w:ind w:left="0"/>
              <w:jc w:val="center"/>
              <w:rPr>
                <w:rFonts w:ascii="Arial" w:hAnsi="Arial" w:cs="Arial"/>
              </w:rPr>
            </w:pPr>
            <w:r w:rsidRPr="003E1882">
              <w:rPr>
                <w:rFonts w:ascii="Arial" w:hAnsi="Arial" w:cs="Arial"/>
              </w:rPr>
              <w:t>03-07-87</w:t>
            </w:r>
          </w:p>
        </w:tc>
        <w:tc>
          <w:tcPr>
            <w:tcW w:w="1701" w:type="dxa"/>
            <w:shd w:val="clear" w:color="auto" w:fill="auto"/>
          </w:tcPr>
          <w:p w14:paraId="4B36D6B0" w14:textId="77777777" w:rsidR="00121A4D" w:rsidRPr="003E1882" w:rsidRDefault="00121A4D" w:rsidP="00F418C0">
            <w:pPr>
              <w:pStyle w:val="Prrafodelista"/>
              <w:ind w:left="0"/>
              <w:jc w:val="center"/>
              <w:rPr>
                <w:rFonts w:ascii="Arial" w:hAnsi="Arial" w:cs="Arial"/>
              </w:rPr>
            </w:pPr>
            <w:r w:rsidRPr="003E1882">
              <w:rPr>
                <w:rFonts w:ascii="Arial" w:hAnsi="Arial" w:cs="Arial"/>
              </w:rPr>
              <w:t>30-05-88</w:t>
            </w:r>
          </w:p>
        </w:tc>
        <w:tc>
          <w:tcPr>
            <w:tcW w:w="1276" w:type="dxa"/>
            <w:shd w:val="clear" w:color="auto" w:fill="auto"/>
          </w:tcPr>
          <w:p w14:paraId="11D6E832" w14:textId="77777777" w:rsidR="00121A4D" w:rsidRPr="003E1882" w:rsidRDefault="00121A4D" w:rsidP="00F418C0">
            <w:pPr>
              <w:pStyle w:val="Prrafodelista"/>
              <w:ind w:left="0"/>
              <w:jc w:val="center"/>
              <w:rPr>
                <w:rFonts w:ascii="Arial" w:hAnsi="Arial" w:cs="Arial"/>
              </w:rPr>
            </w:pPr>
            <w:r w:rsidRPr="003E1882">
              <w:rPr>
                <w:rFonts w:ascii="Arial" w:hAnsi="Arial" w:cs="Arial"/>
              </w:rPr>
              <w:t>14 meses</w:t>
            </w:r>
          </w:p>
        </w:tc>
        <w:tc>
          <w:tcPr>
            <w:tcW w:w="1701" w:type="dxa"/>
            <w:shd w:val="clear" w:color="auto" w:fill="auto"/>
          </w:tcPr>
          <w:p w14:paraId="7C9679DC"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33CDF9DD" w14:textId="77777777" w:rsidR="00121A4D" w:rsidRPr="003E1882" w:rsidRDefault="00121A4D" w:rsidP="00F418C0">
            <w:pPr>
              <w:pStyle w:val="Prrafodelista"/>
              <w:ind w:left="0"/>
              <w:jc w:val="center"/>
              <w:rPr>
                <w:rFonts w:ascii="Arial" w:hAnsi="Arial" w:cs="Arial"/>
              </w:rPr>
            </w:pPr>
            <w:r w:rsidRPr="003E1882">
              <w:rPr>
                <w:rFonts w:ascii="Arial" w:hAnsi="Arial" w:cs="Arial"/>
              </w:rPr>
              <w:t>3ª Adición prórroga</w:t>
            </w:r>
          </w:p>
        </w:tc>
      </w:tr>
      <w:tr w:rsidR="00121A4D" w:rsidRPr="003E1882" w14:paraId="0B802C1B" w14:textId="77777777" w:rsidTr="00DB4FB7">
        <w:tc>
          <w:tcPr>
            <w:tcW w:w="1186" w:type="dxa"/>
            <w:shd w:val="clear" w:color="auto" w:fill="auto"/>
          </w:tcPr>
          <w:p w14:paraId="50398C48" w14:textId="77777777" w:rsidR="00121A4D" w:rsidRPr="003E1882" w:rsidRDefault="00121A4D" w:rsidP="00F418C0">
            <w:pPr>
              <w:pStyle w:val="Prrafodelista"/>
              <w:ind w:left="0"/>
              <w:jc w:val="center"/>
              <w:rPr>
                <w:rFonts w:ascii="Arial" w:hAnsi="Arial" w:cs="Arial"/>
              </w:rPr>
            </w:pPr>
            <w:r w:rsidRPr="003E1882">
              <w:rPr>
                <w:rFonts w:ascii="Arial" w:hAnsi="Arial" w:cs="Arial"/>
              </w:rPr>
              <w:t>088/88</w:t>
            </w:r>
          </w:p>
        </w:tc>
        <w:tc>
          <w:tcPr>
            <w:tcW w:w="1276" w:type="dxa"/>
            <w:shd w:val="clear" w:color="auto" w:fill="auto"/>
          </w:tcPr>
          <w:p w14:paraId="4AC78996" w14:textId="77777777" w:rsidR="00121A4D" w:rsidRPr="003E1882" w:rsidRDefault="00121A4D" w:rsidP="00F418C0">
            <w:pPr>
              <w:pStyle w:val="Prrafodelista"/>
              <w:ind w:left="0"/>
              <w:jc w:val="center"/>
              <w:rPr>
                <w:rFonts w:ascii="Arial" w:hAnsi="Arial" w:cs="Arial"/>
              </w:rPr>
            </w:pPr>
            <w:r w:rsidRPr="003E1882">
              <w:rPr>
                <w:rFonts w:ascii="Arial" w:hAnsi="Arial" w:cs="Arial"/>
              </w:rPr>
              <w:t>04-08-88</w:t>
            </w:r>
          </w:p>
        </w:tc>
        <w:tc>
          <w:tcPr>
            <w:tcW w:w="1701" w:type="dxa"/>
            <w:shd w:val="clear" w:color="auto" w:fill="auto"/>
          </w:tcPr>
          <w:p w14:paraId="63F61AC1" w14:textId="77777777" w:rsidR="00121A4D" w:rsidRPr="003E1882" w:rsidRDefault="00121A4D" w:rsidP="00F418C0">
            <w:pPr>
              <w:pStyle w:val="Prrafodelista"/>
              <w:ind w:left="0"/>
              <w:jc w:val="center"/>
              <w:rPr>
                <w:rFonts w:ascii="Arial" w:hAnsi="Arial" w:cs="Arial"/>
              </w:rPr>
            </w:pPr>
            <w:r w:rsidRPr="003E1882">
              <w:rPr>
                <w:rFonts w:ascii="Arial" w:hAnsi="Arial" w:cs="Arial"/>
              </w:rPr>
              <w:t>30-05-88</w:t>
            </w:r>
          </w:p>
        </w:tc>
        <w:tc>
          <w:tcPr>
            <w:tcW w:w="1276" w:type="dxa"/>
            <w:shd w:val="clear" w:color="auto" w:fill="auto"/>
          </w:tcPr>
          <w:p w14:paraId="736D4117" w14:textId="77777777" w:rsidR="00121A4D" w:rsidRPr="003E1882" w:rsidRDefault="00121A4D" w:rsidP="00F418C0">
            <w:pPr>
              <w:pStyle w:val="Prrafodelista"/>
              <w:ind w:left="0"/>
              <w:jc w:val="center"/>
              <w:rPr>
                <w:rFonts w:ascii="Arial" w:hAnsi="Arial" w:cs="Arial"/>
              </w:rPr>
            </w:pPr>
            <w:r w:rsidRPr="003E1882">
              <w:rPr>
                <w:rFonts w:ascii="Arial" w:hAnsi="Arial" w:cs="Arial"/>
              </w:rPr>
              <w:t>Cesión</w:t>
            </w:r>
          </w:p>
        </w:tc>
        <w:tc>
          <w:tcPr>
            <w:tcW w:w="1701" w:type="dxa"/>
            <w:shd w:val="clear" w:color="auto" w:fill="auto"/>
          </w:tcPr>
          <w:p w14:paraId="41670D89" w14:textId="77777777" w:rsidR="00121A4D" w:rsidRPr="003E1882" w:rsidRDefault="00121A4D" w:rsidP="00F418C0">
            <w:pPr>
              <w:pStyle w:val="Prrafodelista"/>
              <w:ind w:left="0"/>
              <w:jc w:val="center"/>
              <w:rPr>
                <w:rFonts w:ascii="Arial" w:hAnsi="Arial" w:cs="Arial"/>
              </w:rPr>
            </w:pPr>
            <w:r w:rsidRPr="003E1882">
              <w:rPr>
                <w:rFonts w:ascii="Arial" w:hAnsi="Arial" w:cs="Arial"/>
              </w:rPr>
              <w:t>Consas a Incivial</w:t>
            </w:r>
          </w:p>
        </w:tc>
        <w:tc>
          <w:tcPr>
            <w:tcW w:w="1608" w:type="dxa"/>
            <w:shd w:val="clear" w:color="auto" w:fill="auto"/>
          </w:tcPr>
          <w:p w14:paraId="297F161D" w14:textId="77777777" w:rsidR="00121A4D" w:rsidRPr="003E1882" w:rsidRDefault="00121A4D" w:rsidP="00F418C0">
            <w:pPr>
              <w:pStyle w:val="Prrafodelista"/>
              <w:ind w:left="0"/>
              <w:jc w:val="center"/>
              <w:rPr>
                <w:rFonts w:ascii="Arial" w:hAnsi="Arial" w:cs="Arial"/>
              </w:rPr>
            </w:pPr>
          </w:p>
        </w:tc>
      </w:tr>
      <w:tr w:rsidR="00121A4D" w:rsidRPr="003E1882" w14:paraId="373094DE" w14:textId="77777777" w:rsidTr="00DB4FB7">
        <w:tc>
          <w:tcPr>
            <w:tcW w:w="1186" w:type="dxa"/>
            <w:shd w:val="clear" w:color="auto" w:fill="auto"/>
          </w:tcPr>
          <w:p w14:paraId="4F28CBEB" w14:textId="77777777" w:rsidR="00121A4D" w:rsidRPr="003E1882" w:rsidRDefault="00121A4D" w:rsidP="00F418C0">
            <w:pPr>
              <w:pStyle w:val="Prrafodelista"/>
              <w:ind w:left="0"/>
              <w:jc w:val="center"/>
              <w:rPr>
                <w:rFonts w:ascii="Arial" w:hAnsi="Arial" w:cs="Arial"/>
              </w:rPr>
            </w:pPr>
            <w:r w:rsidRPr="003E1882">
              <w:rPr>
                <w:rFonts w:ascii="Arial" w:hAnsi="Arial" w:cs="Arial"/>
              </w:rPr>
              <w:t>209/88</w:t>
            </w:r>
          </w:p>
        </w:tc>
        <w:tc>
          <w:tcPr>
            <w:tcW w:w="1276" w:type="dxa"/>
            <w:shd w:val="clear" w:color="auto" w:fill="auto"/>
          </w:tcPr>
          <w:p w14:paraId="6B23D47B" w14:textId="77777777" w:rsidR="00121A4D" w:rsidRPr="003E1882" w:rsidRDefault="00121A4D" w:rsidP="00F418C0">
            <w:pPr>
              <w:pStyle w:val="Prrafodelista"/>
              <w:ind w:left="0"/>
              <w:jc w:val="center"/>
              <w:rPr>
                <w:rFonts w:ascii="Arial" w:hAnsi="Arial" w:cs="Arial"/>
              </w:rPr>
            </w:pPr>
            <w:r w:rsidRPr="003E1882">
              <w:rPr>
                <w:rFonts w:ascii="Arial" w:hAnsi="Arial" w:cs="Arial"/>
              </w:rPr>
              <w:t>04-04-88</w:t>
            </w:r>
          </w:p>
        </w:tc>
        <w:tc>
          <w:tcPr>
            <w:tcW w:w="1701" w:type="dxa"/>
            <w:shd w:val="clear" w:color="auto" w:fill="auto"/>
          </w:tcPr>
          <w:p w14:paraId="589B51EB" w14:textId="77777777" w:rsidR="00121A4D" w:rsidRPr="003E1882" w:rsidRDefault="00121A4D" w:rsidP="00F418C0">
            <w:pPr>
              <w:pStyle w:val="Prrafodelista"/>
              <w:ind w:left="0"/>
              <w:jc w:val="center"/>
              <w:rPr>
                <w:rFonts w:ascii="Arial" w:hAnsi="Arial" w:cs="Arial"/>
              </w:rPr>
            </w:pPr>
            <w:r w:rsidRPr="003E1882">
              <w:rPr>
                <w:rFonts w:ascii="Arial" w:hAnsi="Arial" w:cs="Arial"/>
              </w:rPr>
              <w:t>30-05-89</w:t>
            </w:r>
          </w:p>
        </w:tc>
        <w:tc>
          <w:tcPr>
            <w:tcW w:w="1276" w:type="dxa"/>
            <w:shd w:val="clear" w:color="auto" w:fill="auto"/>
          </w:tcPr>
          <w:p w14:paraId="59A2791D" w14:textId="77777777" w:rsidR="00121A4D" w:rsidRPr="003E1882" w:rsidRDefault="00121A4D" w:rsidP="00F418C0">
            <w:pPr>
              <w:pStyle w:val="Prrafodelista"/>
              <w:ind w:left="0"/>
              <w:jc w:val="center"/>
              <w:rPr>
                <w:rFonts w:ascii="Arial" w:hAnsi="Arial" w:cs="Arial"/>
              </w:rPr>
            </w:pPr>
            <w:r w:rsidRPr="003E1882">
              <w:rPr>
                <w:rFonts w:ascii="Arial" w:hAnsi="Arial" w:cs="Arial"/>
              </w:rPr>
              <w:t>12 meses</w:t>
            </w:r>
          </w:p>
        </w:tc>
        <w:tc>
          <w:tcPr>
            <w:tcW w:w="1701" w:type="dxa"/>
            <w:shd w:val="clear" w:color="auto" w:fill="auto"/>
          </w:tcPr>
          <w:p w14:paraId="490D3815"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1B2D62B6" w14:textId="77777777" w:rsidR="00121A4D" w:rsidRPr="003E1882" w:rsidRDefault="00121A4D" w:rsidP="00F418C0">
            <w:pPr>
              <w:pStyle w:val="Prrafodelista"/>
              <w:ind w:left="0"/>
              <w:jc w:val="center"/>
              <w:rPr>
                <w:rFonts w:ascii="Arial" w:hAnsi="Arial" w:cs="Arial"/>
              </w:rPr>
            </w:pPr>
            <w:r w:rsidRPr="003E1882">
              <w:rPr>
                <w:rFonts w:ascii="Arial" w:hAnsi="Arial" w:cs="Arial"/>
              </w:rPr>
              <w:t>4ª Adición prórroga</w:t>
            </w:r>
          </w:p>
        </w:tc>
      </w:tr>
      <w:tr w:rsidR="00121A4D" w:rsidRPr="003E1882" w14:paraId="01CEFCC6" w14:textId="77777777" w:rsidTr="00DB4FB7">
        <w:tc>
          <w:tcPr>
            <w:tcW w:w="1186" w:type="dxa"/>
            <w:shd w:val="clear" w:color="auto" w:fill="auto"/>
          </w:tcPr>
          <w:p w14:paraId="5DCBDDB1" w14:textId="77777777" w:rsidR="00121A4D" w:rsidRPr="003E1882" w:rsidRDefault="00121A4D" w:rsidP="00F418C0">
            <w:pPr>
              <w:pStyle w:val="Prrafodelista"/>
              <w:ind w:left="0"/>
              <w:jc w:val="center"/>
              <w:rPr>
                <w:rFonts w:ascii="Arial" w:hAnsi="Arial" w:cs="Arial"/>
              </w:rPr>
            </w:pPr>
            <w:r w:rsidRPr="003E1882">
              <w:rPr>
                <w:rFonts w:ascii="Arial" w:hAnsi="Arial" w:cs="Arial"/>
              </w:rPr>
              <w:t>646/88</w:t>
            </w:r>
          </w:p>
        </w:tc>
        <w:tc>
          <w:tcPr>
            <w:tcW w:w="1276" w:type="dxa"/>
            <w:shd w:val="clear" w:color="auto" w:fill="auto"/>
          </w:tcPr>
          <w:p w14:paraId="7104AF5B" w14:textId="77777777" w:rsidR="00121A4D" w:rsidRPr="003E1882" w:rsidRDefault="00121A4D" w:rsidP="00F418C0">
            <w:pPr>
              <w:pStyle w:val="Prrafodelista"/>
              <w:ind w:left="0"/>
              <w:jc w:val="center"/>
              <w:rPr>
                <w:rFonts w:ascii="Arial" w:hAnsi="Arial" w:cs="Arial"/>
              </w:rPr>
            </w:pPr>
            <w:r w:rsidRPr="003E1882">
              <w:rPr>
                <w:rFonts w:ascii="Arial" w:hAnsi="Arial" w:cs="Arial"/>
              </w:rPr>
              <w:t>27-12-88</w:t>
            </w:r>
          </w:p>
        </w:tc>
        <w:tc>
          <w:tcPr>
            <w:tcW w:w="1701" w:type="dxa"/>
            <w:shd w:val="clear" w:color="auto" w:fill="auto"/>
          </w:tcPr>
          <w:p w14:paraId="5BC83104" w14:textId="77777777" w:rsidR="00121A4D" w:rsidRPr="003E1882" w:rsidRDefault="00121A4D" w:rsidP="00F418C0">
            <w:pPr>
              <w:pStyle w:val="Prrafodelista"/>
              <w:ind w:left="0"/>
              <w:jc w:val="center"/>
              <w:rPr>
                <w:rFonts w:ascii="Arial" w:hAnsi="Arial" w:cs="Arial"/>
              </w:rPr>
            </w:pPr>
            <w:r w:rsidRPr="003E1882">
              <w:rPr>
                <w:rFonts w:ascii="Arial" w:hAnsi="Arial" w:cs="Arial"/>
              </w:rPr>
              <w:t>30-05-89</w:t>
            </w:r>
          </w:p>
        </w:tc>
        <w:tc>
          <w:tcPr>
            <w:tcW w:w="1276" w:type="dxa"/>
            <w:shd w:val="clear" w:color="auto" w:fill="auto"/>
          </w:tcPr>
          <w:p w14:paraId="2A0D4324" w14:textId="77777777" w:rsidR="00121A4D" w:rsidRPr="003E1882" w:rsidRDefault="00121A4D" w:rsidP="00F418C0">
            <w:pPr>
              <w:pStyle w:val="Prrafodelista"/>
              <w:ind w:left="0"/>
              <w:jc w:val="center"/>
              <w:rPr>
                <w:rFonts w:ascii="Arial" w:hAnsi="Arial" w:cs="Arial"/>
              </w:rPr>
            </w:pPr>
          </w:p>
        </w:tc>
        <w:tc>
          <w:tcPr>
            <w:tcW w:w="1701" w:type="dxa"/>
            <w:shd w:val="clear" w:color="auto" w:fill="auto"/>
          </w:tcPr>
          <w:p w14:paraId="59D58A01" w14:textId="77777777" w:rsidR="00121A4D" w:rsidRPr="003E1882" w:rsidRDefault="00121A4D" w:rsidP="00F418C0">
            <w:pPr>
              <w:pStyle w:val="Prrafodelista"/>
              <w:ind w:left="0"/>
              <w:jc w:val="center"/>
              <w:rPr>
                <w:rFonts w:ascii="Arial" w:hAnsi="Arial" w:cs="Arial"/>
              </w:rPr>
            </w:pPr>
            <w:r w:rsidRPr="003E1882">
              <w:rPr>
                <w:rFonts w:ascii="Arial" w:hAnsi="Arial" w:cs="Arial"/>
              </w:rPr>
              <w:t>$   95’523.398</w:t>
            </w:r>
          </w:p>
        </w:tc>
        <w:tc>
          <w:tcPr>
            <w:tcW w:w="1608" w:type="dxa"/>
            <w:shd w:val="clear" w:color="auto" w:fill="auto"/>
          </w:tcPr>
          <w:p w14:paraId="701C1E9A" w14:textId="77777777" w:rsidR="00121A4D" w:rsidRPr="003E1882" w:rsidRDefault="00121A4D" w:rsidP="00F418C0">
            <w:pPr>
              <w:pStyle w:val="Prrafodelista"/>
              <w:ind w:left="0"/>
              <w:jc w:val="center"/>
              <w:rPr>
                <w:rFonts w:ascii="Arial" w:hAnsi="Arial" w:cs="Arial"/>
              </w:rPr>
            </w:pPr>
            <w:r w:rsidRPr="003E1882">
              <w:rPr>
                <w:rFonts w:ascii="Arial" w:hAnsi="Arial" w:cs="Arial"/>
              </w:rPr>
              <w:t>Aumento valor</w:t>
            </w:r>
          </w:p>
        </w:tc>
      </w:tr>
      <w:tr w:rsidR="00121A4D" w:rsidRPr="003E1882" w14:paraId="3AEDAECB" w14:textId="77777777" w:rsidTr="00DB4FB7">
        <w:tc>
          <w:tcPr>
            <w:tcW w:w="1186" w:type="dxa"/>
            <w:shd w:val="clear" w:color="auto" w:fill="auto"/>
          </w:tcPr>
          <w:p w14:paraId="7CC3F119" w14:textId="77777777" w:rsidR="00121A4D" w:rsidRPr="003E1882" w:rsidRDefault="00121A4D" w:rsidP="00F418C0">
            <w:pPr>
              <w:pStyle w:val="Prrafodelista"/>
              <w:ind w:left="0"/>
              <w:jc w:val="center"/>
              <w:rPr>
                <w:rFonts w:ascii="Arial" w:hAnsi="Arial" w:cs="Arial"/>
              </w:rPr>
            </w:pPr>
            <w:r w:rsidRPr="003E1882">
              <w:rPr>
                <w:rFonts w:ascii="Arial" w:hAnsi="Arial" w:cs="Arial"/>
              </w:rPr>
              <w:t>191/89</w:t>
            </w:r>
          </w:p>
        </w:tc>
        <w:tc>
          <w:tcPr>
            <w:tcW w:w="1276" w:type="dxa"/>
            <w:shd w:val="clear" w:color="auto" w:fill="auto"/>
          </w:tcPr>
          <w:p w14:paraId="04053CA1" w14:textId="77777777" w:rsidR="00121A4D" w:rsidRPr="003E1882" w:rsidRDefault="00121A4D" w:rsidP="00F418C0">
            <w:pPr>
              <w:pStyle w:val="Prrafodelista"/>
              <w:ind w:left="0"/>
              <w:jc w:val="center"/>
              <w:rPr>
                <w:rFonts w:ascii="Arial" w:hAnsi="Arial" w:cs="Arial"/>
              </w:rPr>
            </w:pPr>
            <w:r w:rsidRPr="003E1882">
              <w:rPr>
                <w:rFonts w:ascii="Arial" w:hAnsi="Arial" w:cs="Arial"/>
              </w:rPr>
              <w:t>30-05-89</w:t>
            </w:r>
          </w:p>
        </w:tc>
        <w:tc>
          <w:tcPr>
            <w:tcW w:w="1701" w:type="dxa"/>
            <w:shd w:val="clear" w:color="auto" w:fill="auto"/>
          </w:tcPr>
          <w:p w14:paraId="57F3B04C" w14:textId="77777777" w:rsidR="00121A4D" w:rsidRPr="003E1882" w:rsidRDefault="00121A4D" w:rsidP="00F418C0">
            <w:pPr>
              <w:pStyle w:val="Prrafodelista"/>
              <w:ind w:left="0"/>
              <w:jc w:val="center"/>
              <w:rPr>
                <w:rFonts w:ascii="Arial" w:hAnsi="Arial" w:cs="Arial"/>
              </w:rPr>
            </w:pPr>
            <w:r w:rsidRPr="003E1882">
              <w:rPr>
                <w:rFonts w:ascii="Arial" w:hAnsi="Arial" w:cs="Arial"/>
              </w:rPr>
              <w:t>30-11-89</w:t>
            </w:r>
          </w:p>
        </w:tc>
        <w:tc>
          <w:tcPr>
            <w:tcW w:w="1276" w:type="dxa"/>
            <w:shd w:val="clear" w:color="auto" w:fill="auto"/>
          </w:tcPr>
          <w:p w14:paraId="3ABF3C36" w14:textId="77777777" w:rsidR="00121A4D" w:rsidRPr="003E1882" w:rsidRDefault="00121A4D" w:rsidP="00F418C0">
            <w:pPr>
              <w:pStyle w:val="Prrafodelista"/>
              <w:ind w:left="0"/>
              <w:jc w:val="center"/>
              <w:rPr>
                <w:rFonts w:ascii="Arial" w:hAnsi="Arial" w:cs="Arial"/>
              </w:rPr>
            </w:pPr>
            <w:r w:rsidRPr="003E1882">
              <w:rPr>
                <w:rFonts w:ascii="Arial" w:hAnsi="Arial" w:cs="Arial"/>
              </w:rPr>
              <w:t>6 meses</w:t>
            </w:r>
          </w:p>
        </w:tc>
        <w:tc>
          <w:tcPr>
            <w:tcW w:w="1701" w:type="dxa"/>
            <w:shd w:val="clear" w:color="auto" w:fill="auto"/>
          </w:tcPr>
          <w:p w14:paraId="5575ACF9"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1E799FA1" w14:textId="77777777" w:rsidR="00121A4D" w:rsidRPr="003E1882" w:rsidRDefault="00121A4D" w:rsidP="00F418C0">
            <w:pPr>
              <w:pStyle w:val="Prrafodelista"/>
              <w:ind w:left="0"/>
              <w:jc w:val="center"/>
              <w:rPr>
                <w:rFonts w:ascii="Arial" w:hAnsi="Arial" w:cs="Arial"/>
              </w:rPr>
            </w:pPr>
            <w:r w:rsidRPr="003E1882">
              <w:rPr>
                <w:rFonts w:ascii="Arial" w:hAnsi="Arial" w:cs="Arial"/>
              </w:rPr>
              <w:t>5ª Adición prórroga</w:t>
            </w:r>
          </w:p>
        </w:tc>
      </w:tr>
      <w:tr w:rsidR="00121A4D" w:rsidRPr="003E1882" w14:paraId="4F95369F" w14:textId="77777777" w:rsidTr="00DB4FB7">
        <w:tc>
          <w:tcPr>
            <w:tcW w:w="1186" w:type="dxa"/>
            <w:shd w:val="clear" w:color="auto" w:fill="auto"/>
          </w:tcPr>
          <w:p w14:paraId="4B576A47" w14:textId="77777777" w:rsidR="00121A4D" w:rsidRPr="003E1882" w:rsidRDefault="00121A4D" w:rsidP="00F418C0">
            <w:pPr>
              <w:pStyle w:val="Prrafodelista"/>
              <w:ind w:left="0"/>
              <w:jc w:val="center"/>
              <w:rPr>
                <w:rFonts w:ascii="Arial" w:hAnsi="Arial" w:cs="Arial"/>
              </w:rPr>
            </w:pPr>
            <w:r w:rsidRPr="003E1882">
              <w:rPr>
                <w:rFonts w:ascii="Arial" w:hAnsi="Arial" w:cs="Arial"/>
              </w:rPr>
              <w:t>689/89</w:t>
            </w:r>
          </w:p>
        </w:tc>
        <w:tc>
          <w:tcPr>
            <w:tcW w:w="1276" w:type="dxa"/>
            <w:shd w:val="clear" w:color="auto" w:fill="auto"/>
          </w:tcPr>
          <w:p w14:paraId="7394F909" w14:textId="77777777" w:rsidR="00121A4D" w:rsidRPr="003E1882" w:rsidRDefault="00121A4D" w:rsidP="00F418C0">
            <w:pPr>
              <w:pStyle w:val="Prrafodelista"/>
              <w:ind w:left="0"/>
              <w:jc w:val="center"/>
              <w:rPr>
                <w:rFonts w:ascii="Arial" w:hAnsi="Arial" w:cs="Arial"/>
              </w:rPr>
            </w:pPr>
            <w:r w:rsidRPr="003E1882">
              <w:rPr>
                <w:rFonts w:ascii="Arial" w:hAnsi="Arial" w:cs="Arial"/>
              </w:rPr>
              <w:t>7-12-89</w:t>
            </w:r>
          </w:p>
        </w:tc>
        <w:tc>
          <w:tcPr>
            <w:tcW w:w="1701" w:type="dxa"/>
            <w:shd w:val="clear" w:color="auto" w:fill="auto"/>
          </w:tcPr>
          <w:p w14:paraId="3522C6E8" w14:textId="77777777" w:rsidR="00121A4D" w:rsidRPr="003E1882" w:rsidRDefault="00121A4D" w:rsidP="00F418C0">
            <w:pPr>
              <w:pStyle w:val="Prrafodelista"/>
              <w:ind w:left="0"/>
              <w:jc w:val="center"/>
              <w:rPr>
                <w:rFonts w:ascii="Arial" w:hAnsi="Arial" w:cs="Arial"/>
              </w:rPr>
            </w:pPr>
            <w:r w:rsidRPr="003E1882">
              <w:rPr>
                <w:rFonts w:ascii="Arial" w:hAnsi="Arial" w:cs="Arial"/>
              </w:rPr>
              <w:t>30-03-90</w:t>
            </w:r>
          </w:p>
        </w:tc>
        <w:tc>
          <w:tcPr>
            <w:tcW w:w="1276" w:type="dxa"/>
            <w:shd w:val="clear" w:color="auto" w:fill="auto"/>
          </w:tcPr>
          <w:p w14:paraId="123576D8" w14:textId="77777777" w:rsidR="00121A4D" w:rsidRPr="003E1882" w:rsidRDefault="00121A4D" w:rsidP="00F418C0">
            <w:pPr>
              <w:pStyle w:val="Prrafodelista"/>
              <w:ind w:left="0"/>
              <w:jc w:val="center"/>
              <w:rPr>
                <w:rFonts w:ascii="Arial" w:hAnsi="Arial" w:cs="Arial"/>
              </w:rPr>
            </w:pPr>
            <w:r w:rsidRPr="003E1882">
              <w:rPr>
                <w:rFonts w:ascii="Arial" w:hAnsi="Arial" w:cs="Arial"/>
              </w:rPr>
              <w:t>4 meses</w:t>
            </w:r>
          </w:p>
        </w:tc>
        <w:tc>
          <w:tcPr>
            <w:tcW w:w="1701" w:type="dxa"/>
            <w:shd w:val="clear" w:color="auto" w:fill="auto"/>
          </w:tcPr>
          <w:p w14:paraId="281CF7AA"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7A55FB43" w14:textId="77777777" w:rsidR="00121A4D" w:rsidRPr="003E1882" w:rsidRDefault="00121A4D" w:rsidP="00F418C0">
            <w:pPr>
              <w:pStyle w:val="Prrafodelista"/>
              <w:ind w:left="0"/>
              <w:jc w:val="center"/>
              <w:rPr>
                <w:rFonts w:ascii="Arial" w:hAnsi="Arial" w:cs="Arial"/>
              </w:rPr>
            </w:pPr>
            <w:r w:rsidRPr="003E1882">
              <w:rPr>
                <w:rFonts w:ascii="Arial" w:hAnsi="Arial" w:cs="Arial"/>
              </w:rPr>
              <w:t>6ª Adición prórroga</w:t>
            </w:r>
          </w:p>
        </w:tc>
      </w:tr>
      <w:tr w:rsidR="00121A4D" w:rsidRPr="003E1882" w14:paraId="039D463C" w14:textId="77777777" w:rsidTr="00DB4FB7">
        <w:tc>
          <w:tcPr>
            <w:tcW w:w="1186" w:type="dxa"/>
            <w:shd w:val="clear" w:color="auto" w:fill="auto"/>
          </w:tcPr>
          <w:p w14:paraId="2A5D4037" w14:textId="77777777" w:rsidR="00121A4D" w:rsidRPr="003E1882" w:rsidRDefault="00121A4D" w:rsidP="00F418C0">
            <w:pPr>
              <w:pStyle w:val="Prrafodelista"/>
              <w:ind w:left="0"/>
              <w:jc w:val="center"/>
              <w:rPr>
                <w:rFonts w:ascii="Arial" w:hAnsi="Arial" w:cs="Arial"/>
              </w:rPr>
            </w:pPr>
            <w:r w:rsidRPr="003E1882">
              <w:rPr>
                <w:rFonts w:ascii="Arial" w:hAnsi="Arial" w:cs="Arial"/>
              </w:rPr>
              <w:t>104/90</w:t>
            </w:r>
          </w:p>
        </w:tc>
        <w:tc>
          <w:tcPr>
            <w:tcW w:w="1276" w:type="dxa"/>
            <w:shd w:val="clear" w:color="auto" w:fill="auto"/>
          </w:tcPr>
          <w:p w14:paraId="56753846" w14:textId="77777777" w:rsidR="00121A4D" w:rsidRPr="003E1882" w:rsidRDefault="00121A4D" w:rsidP="00F418C0">
            <w:pPr>
              <w:pStyle w:val="Prrafodelista"/>
              <w:ind w:left="0"/>
              <w:jc w:val="center"/>
              <w:rPr>
                <w:rFonts w:ascii="Arial" w:hAnsi="Arial" w:cs="Arial"/>
              </w:rPr>
            </w:pPr>
            <w:r w:rsidRPr="003E1882">
              <w:rPr>
                <w:rFonts w:ascii="Arial" w:hAnsi="Arial" w:cs="Arial"/>
              </w:rPr>
              <w:t>30-03-90</w:t>
            </w:r>
          </w:p>
        </w:tc>
        <w:tc>
          <w:tcPr>
            <w:tcW w:w="1701" w:type="dxa"/>
            <w:shd w:val="clear" w:color="auto" w:fill="auto"/>
          </w:tcPr>
          <w:p w14:paraId="69FCBB68" w14:textId="77777777" w:rsidR="00121A4D" w:rsidRPr="003E1882" w:rsidRDefault="00121A4D" w:rsidP="00F418C0">
            <w:pPr>
              <w:pStyle w:val="Prrafodelista"/>
              <w:ind w:left="0"/>
              <w:jc w:val="center"/>
              <w:rPr>
                <w:rFonts w:ascii="Arial" w:hAnsi="Arial" w:cs="Arial"/>
              </w:rPr>
            </w:pPr>
            <w:r w:rsidRPr="003E1882">
              <w:rPr>
                <w:rFonts w:ascii="Arial" w:hAnsi="Arial" w:cs="Arial"/>
              </w:rPr>
              <w:t>28-02-91</w:t>
            </w:r>
          </w:p>
        </w:tc>
        <w:tc>
          <w:tcPr>
            <w:tcW w:w="1276" w:type="dxa"/>
            <w:shd w:val="clear" w:color="auto" w:fill="auto"/>
          </w:tcPr>
          <w:p w14:paraId="1FAE66CA" w14:textId="77777777" w:rsidR="00121A4D" w:rsidRPr="003E1882" w:rsidRDefault="00121A4D" w:rsidP="00F418C0">
            <w:pPr>
              <w:pStyle w:val="Prrafodelista"/>
              <w:ind w:left="0"/>
              <w:jc w:val="center"/>
              <w:rPr>
                <w:rFonts w:ascii="Arial" w:hAnsi="Arial" w:cs="Arial"/>
              </w:rPr>
            </w:pPr>
            <w:r w:rsidRPr="003E1882">
              <w:rPr>
                <w:rFonts w:ascii="Arial" w:hAnsi="Arial" w:cs="Arial"/>
              </w:rPr>
              <w:t>11 meses</w:t>
            </w:r>
          </w:p>
        </w:tc>
        <w:tc>
          <w:tcPr>
            <w:tcW w:w="1701" w:type="dxa"/>
            <w:shd w:val="clear" w:color="auto" w:fill="auto"/>
          </w:tcPr>
          <w:p w14:paraId="00AA1D57" w14:textId="77777777" w:rsidR="00121A4D" w:rsidRPr="003E1882" w:rsidRDefault="00121A4D" w:rsidP="00F418C0">
            <w:pPr>
              <w:pStyle w:val="Prrafodelista"/>
              <w:ind w:left="0"/>
              <w:jc w:val="center"/>
              <w:rPr>
                <w:rFonts w:ascii="Arial" w:hAnsi="Arial" w:cs="Arial"/>
              </w:rPr>
            </w:pPr>
            <w:r w:rsidRPr="003E1882">
              <w:rPr>
                <w:rFonts w:ascii="Arial" w:hAnsi="Arial" w:cs="Arial"/>
              </w:rPr>
              <w:t>$   95’000.000</w:t>
            </w:r>
          </w:p>
        </w:tc>
        <w:tc>
          <w:tcPr>
            <w:tcW w:w="1608" w:type="dxa"/>
            <w:shd w:val="clear" w:color="auto" w:fill="auto"/>
          </w:tcPr>
          <w:p w14:paraId="193450CC" w14:textId="77777777" w:rsidR="00121A4D" w:rsidRPr="003E1882" w:rsidRDefault="00121A4D" w:rsidP="00F418C0">
            <w:pPr>
              <w:pStyle w:val="Prrafodelista"/>
              <w:ind w:left="0"/>
              <w:jc w:val="center"/>
              <w:rPr>
                <w:rFonts w:ascii="Arial" w:hAnsi="Arial" w:cs="Arial"/>
              </w:rPr>
            </w:pPr>
            <w:r w:rsidRPr="003E1882">
              <w:rPr>
                <w:rFonts w:ascii="Arial" w:hAnsi="Arial" w:cs="Arial"/>
              </w:rPr>
              <w:t>Aumento valor</w:t>
            </w:r>
          </w:p>
          <w:p w14:paraId="070C72D0" w14:textId="77777777" w:rsidR="00121A4D" w:rsidRPr="003E1882" w:rsidRDefault="00121A4D" w:rsidP="00F418C0">
            <w:pPr>
              <w:pStyle w:val="Prrafodelista"/>
              <w:ind w:left="0"/>
              <w:jc w:val="center"/>
              <w:rPr>
                <w:rFonts w:ascii="Arial" w:hAnsi="Arial" w:cs="Arial"/>
              </w:rPr>
            </w:pPr>
            <w:r w:rsidRPr="003E1882">
              <w:rPr>
                <w:rFonts w:ascii="Arial" w:hAnsi="Arial" w:cs="Arial"/>
              </w:rPr>
              <w:t>7ª Adición prórroga</w:t>
            </w:r>
          </w:p>
        </w:tc>
      </w:tr>
      <w:tr w:rsidR="00121A4D" w:rsidRPr="003E1882" w14:paraId="0C4AC0AC" w14:textId="77777777" w:rsidTr="00DB4FB7">
        <w:tc>
          <w:tcPr>
            <w:tcW w:w="1186" w:type="dxa"/>
            <w:shd w:val="clear" w:color="auto" w:fill="auto"/>
          </w:tcPr>
          <w:p w14:paraId="439C0B28" w14:textId="77777777" w:rsidR="00121A4D" w:rsidRPr="003E1882" w:rsidRDefault="00121A4D" w:rsidP="00F418C0">
            <w:pPr>
              <w:pStyle w:val="Prrafodelista"/>
              <w:ind w:left="0"/>
              <w:jc w:val="center"/>
              <w:rPr>
                <w:rFonts w:ascii="Arial" w:hAnsi="Arial" w:cs="Arial"/>
              </w:rPr>
            </w:pPr>
            <w:r w:rsidRPr="003E1882">
              <w:rPr>
                <w:rFonts w:ascii="Arial" w:hAnsi="Arial" w:cs="Arial"/>
              </w:rPr>
              <w:t>005/91</w:t>
            </w:r>
          </w:p>
        </w:tc>
        <w:tc>
          <w:tcPr>
            <w:tcW w:w="1276" w:type="dxa"/>
            <w:shd w:val="clear" w:color="auto" w:fill="auto"/>
          </w:tcPr>
          <w:p w14:paraId="5464C4D3" w14:textId="77777777" w:rsidR="00121A4D" w:rsidRPr="003E1882" w:rsidRDefault="00121A4D" w:rsidP="00F418C0">
            <w:pPr>
              <w:pStyle w:val="Prrafodelista"/>
              <w:ind w:left="0"/>
              <w:jc w:val="center"/>
              <w:rPr>
                <w:rFonts w:ascii="Arial" w:hAnsi="Arial" w:cs="Arial"/>
              </w:rPr>
            </w:pPr>
            <w:r w:rsidRPr="003E1882">
              <w:rPr>
                <w:rFonts w:ascii="Arial" w:hAnsi="Arial" w:cs="Arial"/>
              </w:rPr>
              <w:t>5-03-91</w:t>
            </w:r>
          </w:p>
        </w:tc>
        <w:tc>
          <w:tcPr>
            <w:tcW w:w="1701" w:type="dxa"/>
            <w:shd w:val="clear" w:color="auto" w:fill="auto"/>
          </w:tcPr>
          <w:p w14:paraId="38DFB928" w14:textId="77777777" w:rsidR="00121A4D" w:rsidRPr="003E1882" w:rsidRDefault="00121A4D" w:rsidP="00F418C0">
            <w:pPr>
              <w:pStyle w:val="Prrafodelista"/>
              <w:ind w:left="0"/>
              <w:jc w:val="center"/>
              <w:rPr>
                <w:rFonts w:ascii="Arial" w:hAnsi="Arial" w:cs="Arial"/>
              </w:rPr>
            </w:pPr>
            <w:r w:rsidRPr="003E1882">
              <w:rPr>
                <w:rFonts w:ascii="Arial" w:hAnsi="Arial" w:cs="Arial"/>
              </w:rPr>
              <w:t>28-07-91</w:t>
            </w:r>
          </w:p>
        </w:tc>
        <w:tc>
          <w:tcPr>
            <w:tcW w:w="1276" w:type="dxa"/>
            <w:shd w:val="clear" w:color="auto" w:fill="auto"/>
          </w:tcPr>
          <w:p w14:paraId="79CEF996" w14:textId="77777777" w:rsidR="00121A4D" w:rsidRPr="003E1882" w:rsidRDefault="00121A4D" w:rsidP="00F418C0">
            <w:pPr>
              <w:pStyle w:val="Prrafodelista"/>
              <w:ind w:left="0"/>
              <w:jc w:val="center"/>
              <w:rPr>
                <w:rFonts w:ascii="Arial" w:hAnsi="Arial" w:cs="Arial"/>
              </w:rPr>
            </w:pPr>
            <w:r w:rsidRPr="003E1882">
              <w:rPr>
                <w:rFonts w:ascii="Arial" w:hAnsi="Arial" w:cs="Arial"/>
              </w:rPr>
              <w:t>5 meses</w:t>
            </w:r>
          </w:p>
        </w:tc>
        <w:tc>
          <w:tcPr>
            <w:tcW w:w="1701" w:type="dxa"/>
            <w:shd w:val="clear" w:color="auto" w:fill="auto"/>
          </w:tcPr>
          <w:p w14:paraId="1449E954"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7288FC7A" w14:textId="77777777" w:rsidR="00121A4D" w:rsidRPr="003E1882" w:rsidRDefault="00121A4D" w:rsidP="00F418C0">
            <w:pPr>
              <w:pStyle w:val="Prrafodelista"/>
              <w:ind w:left="0"/>
              <w:jc w:val="center"/>
              <w:rPr>
                <w:rFonts w:ascii="Arial" w:hAnsi="Arial" w:cs="Arial"/>
              </w:rPr>
            </w:pPr>
            <w:r w:rsidRPr="003E1882">
              <w:rPr>
                <w:rFonts w:ascii="Arial" w:hAnsi="Arial" w:cs="Arial"/>
              </w:rPr>
              <w:t>8ª Adición prórroga</w:t>
            </w:r>
          </w:p>
        </w:tc>
      </w:tr>
      <w:tr w:rsidR="00121A4D" w:rsidRPr="003E1882" w14:paraId="46F6F61F" w14:textId="77777777" w:rsidTr="00DB4FB7">
        <w:tc>
          <w:tcPr>
            <w:tcW w:w="1186" w:type="dxa"/>
            <w:shd w:val="clear" w:color="auto" w:fill="auto"/>
          </w:tcPr>
          <w:p w14:paraId="2ACE2CC6" w14:textId="77777777" w:rsidR="00121A4D" w:rsidRPr="003E1882" w:rsidRDefault="00121A4D" w:rsidP="00F418C0">
            <w:pPr>
              <w:pStyle w:val="Prrafodelista"/>
              <w:ind w:left="0"/>
              <w:jc w:val="center"/>
              <w:rPr>
                <w:rFonts w:ascii="Arial" w:hAnsi="Arial" w:cs="Arial"/>
              </w:rPr>
            </w:pPr>
            <w:r w:rsidRPr="003E1882">
              <w:rPr>
                <w:rFonts w:ascii="Arial" w:hAnsi="Arial" w:cs="Arial"/>
              </w:rPr>
              <w:t>244/91</w:t>
            </w:r>
          </w:p>
        </w:tc>
        <w:tc>
          <w:tcPr>
            <w:tcW w:w="1276" w:type="dxa"/>
            <w:shd w:val="clear" w:color="auto" w:fill="auto"/>
          </w:tcPr>
          <w:p w14:paraId="42987ACD" w14:textId="77777777" w:rsidR="00121A4D" w:rsidRPr="003E1882" w:rsidRDefault="00121A4D" w:rsidP="00F418C0">
            <w:pPr>
              <w:pStyle w:val="Prrafodelista"/>
              <w:ind w:left="0"/>
              <w:jc w:val="center"/>
              <w:rPr>
                <w:rFonts w:ascii="Arial" w:hAnsi="Arial" w:cs="Arial"/>
              </w:rPr>
            </w:pPr>
            <w:r w:rsidRPr="003E1882">
              <w:rPr>
                <w:rFonts w:ascii="Arial" w:hAnsi="Arial" w:cs="Arial"/>
              </w:rPr>
              <w:t>6-06-91</w:t>
            </w:r>
          </w:p>
        </w:tc>
        <w:tc>
          <w:tcPr>
            <w:tcW w:w="1701" w:type="dxa"/>
            <w:shd w:val="clear" w:color="auto" w:fill="auto"/>
          </w:tcPr>
          <w:p w14:paraId="6EABE043" w14:textId="77777777" w:rsidR="00121A4D" w:rsidRPr="003E1882" w:rsidRDefault="00121A4D" w:rsidP="00F418C0">
            <w:pPr>
              <w:pStyle w:val="Prrafodelista"/>
              <w:ind w:left="0"/>
              <w:jc w:val="center"/>
              <w:rPr>
                <w:rFonts w:ascii="Arial" w:hAnsi="Arial" w:cs="Arial"/>
              </w:rPr>
            </w:pPr>
            <w:r w:rsidRPr="003E1882">
              <w:rPr>
                <w:rFonts w:ascii="Arial" w:hAnsi="Arial" w:cs="Arial"/>
              </w:rPr>
              <w:t>28-07-91</w:t>
            </w:r>
          </w:p>
        </w:tc>
        <w:tc>
          <w:tcPr>
            <w:tcW w:w="1276" w:type="dxa"/>
            <w:shd w:val="clear" w:color="auto" w:fill="auto"/>
          </w:tcPr>
          <w:p w14:paraId="52C769B8" w14:textId="77777777" w:rsidR="00121A4D" w:rsidRPr="003E1882" w:rsidRDefault="00121A4D" w:rsidP="00F418C0">
            <w:pPr>
              <w:pStyle w:val="Prrafodelista"/>
              <w:ind w:left="0"/>
              <w:jc w:val="center"/>
              <w:rPr>
                <w:rFonts w:ascii="Arial" w:hAnsi="Arial" w:cs="Arial"/>
              </w:rPr>
            </w:pPr>
          </w:p>
        </w:tc>
        <w:tc>
          <w:tcPr>
            <w:tcW w:w="1701" w:type="dxa"/>
            <w:shd w:val="clear" w:color="auto" w:fill="auto"/>
          </w:tcPr>
          <w:p w14:paraId="472F8997" w14:textId="77777777" w:rsidR="00121A4D" w:rsidRPr="003E1882" w:rsidRDefault="00121A4D" w:rsidP="00F418C0">
            <w:pPr>
              <w:pStyle w:val="Prrafodelista"/>
              <w:ind w:left="0"/>
              <w:jc w:val="center"/>
              <w:rPr>
                <w:rFonts w:ascii="Arial" w:hAnsi="Arial" w:cs="Arial"/>
              </w:rPr>
            </w:pPr>
            <w:proofErr w:type="gramStart"/>
            <w:r w:rsidRPr="003E1882">
              <w:rPr>
                <w:rFonts w:ascii="Arial" w:hAnsi="Arial" w:cs="Arial"/>
              </w:rPr>
              <w:t>$  200</w:t>
            </w:r>
            <w:proofErr w:type="gramEnd"/>
            <w:r w:rsidRPr="003E1882">
              <w:rPr>
                <w:rFonts w:ascii="Arial" w:hAnsi="Arial" w:cs="Arial"/>
              </w:rPr>
              <w:t>’000.000</w:t>
            </w:r>
          </w:p>
        </w:tc>
        <w:tc>
          <w:tcPr>
            <w:tcW w:w="1608" w:type="dxa"/>
            <w:shd w:val="clear" w:color="auto" w:fill="auto"/>
          </w:tcPr>
          <w:p w14:paraId="05BE4638" w14:textId="77777777" w:rsidR="00121A4D" w:rsidRPr="003E1882" w:rsidRDefault="00121A4D" w:rsidP="00F418C0">
            <w:pPr>
              <w:pStyle w:val="Prrafodelista"/>
              <w:ind w:left="0"/>
              <w:jc w:val="center"/>
              <w:rPr>
                <w:rFonts w:ascii="Arial" w:hAnsi="Arial" w:cs="Arial"/>
              </w:rPr>
            </w:pPr>
            <w:r w:rsidRPr="003E1882">
              <w:rPr>
                <w:rFonts w:ascii="Arial" w:hAnsi="Arial" w:cs="Arial"/>
              </w:rPr>
              <w:t>Aumento valor</w:t>
            </w:r>
          </w:p>
          <w:p w14:paraId="6F987615" w14:textId="77777777" w:rsidR="00121A4D" w:rsidRPr="003E1882" w:rsidRDefault="00121A4D" w:rsidP="00F418C0">
            <w:pPr>
              <w:pStyle w:val="Prrafodelista"/>
              <w:ind w:left="0"/>
              <w:jc w:val="center"/>
              <w:rPr>
                <w:rFonts w:ascii="Arial" w:hAnsi="Arial" w:cs="Arial"/>
              </w:rPr>
            </w:pPr>
            <w:r w:rsidRPr="003E1882">
              <w:rPr>
                <w:rFonts w:ascii="Arial" w:hAnsi="Arial" w:cs="Arial"/>
              </w:rPr>
              <w:t xml:space="preserve">9ª Adición </w:t>
            </w:r>
            <w:r w:rsidRPr="003E1882">
              <w:rPr>
                <w:rFonts w:ascii="Arial" w:hAnsi="Arial" w:cs="Arial"/>
              </w:rPr>
              <w:lastRenderedPageBreak/>
              <w:t>prórroga</w:t>
            </w:r>
          </w:p>
        </w:tc>
      </w:tr>
      <w:tr w:rsidR="00121A4D" w:rsidRPr="003E1882" w14:paraId="45AD9BF3" w14:textId="77777777" w:rsidTr="00DB4FB7">
        <w:tc>
          <w:tcPr>
            <w:tcW w:w="1186" w:type="dxa"/>
            <w:shd w:val="clear" w:color="auto" w:fill="auto"/>
          </w:tcPr>
          <w:p w14:paraId="0B4CCBB9" w14:textId="77777777" w:rsidR="00121A4D" w:rsidRPr="003E1882" w:rsidRDefault="00121A4D" w:rsidP="00F418C0">
            <w:pPr>
              <w:pStyle w:val="Prrafodelista"/>
              <w:ind w:left="0"/>
              <w:jc w:val="center"/>
              <w:rPr>
                <w:rFonts w:ascii="Arial" w:hAnsi="Arial" w:cs="Arial"/>
              </w:rPr>
            </w:pPr>
            <w:r w:rsidRPr="003E1882">
              <w:rPr>
                <w:rFonts w:ascii="Arial" w:hAnsi="Arial" w:cs="Arial"/>
              </w:rPr>
              <w:lastRenderedPageBreak/>
              <w:t>513/91</w:t>
            </w:r>
          </w:p>
        </w:tc>
        <w:tc>
          <w:tcPr>
            <w:tcW w:w="1276" w:type="dxa"/>
            <w:shd w:val="clear" w:color="auto" w:fill="auto"/>
          </w:tcPr>
          <w:p w14:paraId="1C301E20" w14:textId="77777777" w:rsidR="00121A4D" w:rsidRPr="003E1882" w:rsidRDefault="00121A4D" w:rsidP="00F418C0">
            <w:pPr>
              <w:pStyle w:val="Prrafodelista"/>
              <w:ind w:left="0"/>
              <w:jc w:val="center"/>
              <w:rPr>
                <w:rFonts w:ascii="Arial" w:hAnsi="Arial" w:cs="Arial"/>
              </w:rPr>
            </w:pPr>
            <w:r w:rsidRPr="003E1882">
              <w:rPr>
                <w:rFonts w:ascii="Arial" w:hAnsi="Arial" w:cs="Arial"/>
              </w:rPr>
              <w:t>28-07-91</w:t>
            </w:r>
          </w:p>
        </w:tc>
        <w:tc>
          <w:tcPr>
            <w:tcW w:w="1701" w:type="dxa"/>
            <w:shd w:val="clear" w:color="auto" w:fill="auto"/>
          </w:tcPr>
          <w:p w14:paraId="7D0061A7" w14:textId="77777777" w:rsidR="00121A4D" w:rsidRPr="003E1882" w:rsidRDefault="00121A4D" w:rsidP="00F418C0">
            <w:pPr>
              <w:pStyle w:val="Prrafodelista"/>
              <w:ind w:left="0"/>
              <w:jc w:val="center"/>
              <w:rPr>
                <w:rFonts w:ascii="Arial" w:hAnsi="Arial" w:cs="Arial"/>
              </w:rPr>
            </w:pPr>
            <w:r w:rsidRPr="003E1882">
              <w:rPr>
                <w:rFonts w:ascii="Arial" w:hAnsi="Arial" w:cs="Arial"/>
              </w:rPr>
              <w:t>28-11-91</w:t>
            </w:r>
          </w:p>
        </w:tc>
        <w:tc>
          <w:tcPr>
            <w:tcW w:w="1276" w:type="dxa"/>
            <w:shd w:val="clear" w:color="auto" w:fill="auto"/>
          </w:tcPr>
          <w:p w14:paraId="12AF2E12" w14:textId="77777777" w:rsidR="00121A4D" w:rsidRPr="003E1882" w:rsidRDefault="00121A4D" w:rsidP="00F418C0">
            <w:pPr>
              <w:pStyle w:val="Prrafodelista"/>
              <w:ind w:left="0"/>
              <w:jc w:val="center"/>
              <w:rPr>
                <w:rFonts w:ascii="Arial" w:hAnsi="Arial" w:cs="Arial"/>
              </w:rPr>
            </w:pPr>
            <w:r w:rsidRPr="003E1882">
              <w:rPr>
                <w:rFonts w:ascii="Arial" w:hAnsi="Arial" w:cs="Arial"/>
              </w:rPr>
              <w:t>4 meses</w:t>
            </w:r>
          </w:p>
        </w:tc>
        <w:tc>
          <w:tcPr>
            <w:tcW w:w="1701" w:type="dxa"/>
            <w:shd w:val="clear" w:color="auto" w:fill="auto"/>
          </w:tcPr>
          <w:p w14:paraId="65871951"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0AE31BC9" w14:textId="77777777" w:rsidR="00121A4D" w:rsidRPr="003E1882" w:rsidRDefault="00121A4D" w:rsidP="00F418C0">
            <w:pPr>
              <w:pStyle w:val="Prrafodelista"/>
              <w:ind w:left="0"/>
              <w:jc w:val="center"/>
              <w:rPr>
                <w:rFonts w:ascii="Arial" w:hAnsi="Arial" w:cs="Arial"/>
              </w:rPr>
            </w:pPr>
            <w:r w:rsidRPr="003E1882">
              <w:rPr>
                <w:rFonts w:ascii="Arial" w:hAnsi="Arial" w:cs="Arial"/>
              </w:rPr>
              <w:t>10ª Adición prórroga</w:t>
            </w:r>
          </w:p>
        </w:tc>
      </w:tr>
      <w:tr w:rsidR="00121A4D" w:rsidRPr="003E1882" w14:paraId="78430B67" w14:textId="77777777" w:rsidTr="00DB4FB7">
        <w:tc>
          <w:tcPr>
            <w:tcW w:w="1186" w:type="dxa"/>
            <w:shd w:val="clear" w:color="auto" w:fill="auto"/>
          </w:tcPr>
          <w:p w14:paraId="3044A061" w14:textId="77777777" w:rsidR="00121A4D" w:rsidRPr="003E1882" w:rsidRDefault="00121A4D" w:rsidP="00F418C0">
            <w:pPr>
              <w:pStyle w:val="Prrafodelista"/>
              <w:ind w:left="0"/>
              <w:jc w:val="center"/>
              <w:rPr>
                <w:rFonts w:ascii="Arial" w:hAnsi="Arial" w:cs="Arial"/>
              </w:rPr>
            </w:pPr>
            <w:r w:rsidRPr="003E1882">
              <w:rPr>
                <w:rFonts w:ascii="Arial" w:hAnsi="Arial" w:cs="Arial"/>
              </w:rPr>
              <w:t>870/91</w:t>
            </w:r>
          </w:p>
        </w:tc>
        <w:tc>
          <w:tcPr>
            <w:tcW w:w="1276" w:type="dxa"/>
            <w:shd w:val="clear" w:color="auto" w:fill="auto"/>
          </w:tcPr>
          <w:p w14:paraId="53C980AE" w14:textId="77777777" w:rsidR="00121A4D" w:rsidRPr="003E1882" w:rsidRDefault="00121A4D" w:rsidP="00F418C0">
            <w:pPr>
              <w:pStyle w:val="Prrafodelista"/>
              <w:ind w:left="0"/>
              <w:jc w:val="center"/>
              <w:rPr>
                <w:rFonts w:ascii="Arial" w:hAnsi="Arial" w:cs="Arial"/>
              </w:rPr>
            </w:pPr>
            <w:r w:rsidRPr="003E1882">
              <w:rPr>
                <w:rFonts w:ascii="Arial" w:hAnsi="Arial" w:cs="Arial"/>
              </w:rPr>
              <w:t>30-01-92</w:t>
            </w:r>
          </w:p>
        </w:tc>
        <w:tc>
          <w:tcPr>
            <w:tcW w:w="1701" w:type="dxa"/>
            <w:shd w:val="clear" w:color="auto" w:fill="auto"/>
          </w:tcPr>
          <w:p w14:paraId="745A6C13" w14:textId="77777777" w:rsidR="00121A4D" w:rsidRPr="003E1882" w:rsidRDefault="00121A4D" w:rsidP="00F418C0">
            <w:pPr>
              <w:pStyle w:val="Prrafodelista"/>
              <w:ind w:left="0"/>
              <w:jc w:val="center"/>
              <w:rPr>
                <w:rFonts w:ascii="Arial" w:hAnsi="Arial" w:cs="Arial"/>
              </w:rPr>
            </w:pPr>
            <w:r w:rsidRPr="003E1882">
              <w:rPr>
                <w:rFonts w:ascii="Arial" w:hAnsi="Arial" w:cs="Arial"/>
              </w:rPr>
              <w:t>28-06-92</w:t>
            </w:r>
          </w:p>
        </w:tc>
        <w:tc>
          <w:tcPr>
            <w:tcW w:w="1276" w:type="dxa"/>
            <w:shd w:val="clear" w:color="auto" w:fill="auto"/>
          </w:tcPr>
          <w:p w14:paraId="4BF0FF13" w14:textId="77777777" w:rsidR="00121A4D" w:rsidRPr="003E1882" w:rsidRDefault="00121A4D" w:rsidP="00F418C0">
            <w:pPr>
              <w:pStyle w:val="Prrafodelista"/>
              <w:ind w:left="0"/>
              <w:jc w:val="center"/>
              <w:rPr>
                <w:rFonts w:ascii="Arial" w:hAnsi="Arial" w:cs="Arial"/>
              </w:rPr>
            </w:pPr>
            <w:r w:rsidRPr="003E1882">
              <w:rPr>
                <w:rFonts w:ascii="Arial" w:hAnsi="Arial" w:cs="Arial"/>
              </w:rPr>
              <w:t>7 meses</w:t>
            </w:r>
          </w:p>
        </w:tc>
        <w:tc>
          <w:tcPr>
            <w:tcW w:w="1701" w:type="dxa"/>
            <w:shd w:val="clear" w:color="auto" w:fill="auto"/>
          </w:tcPr>
          <w:p w14:paraId="77766493"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13FD5217" w14:textId="77777777" w:rsidR="00121A4D" w:rsidRPr="003E1882" w:rsidRDefault="00121A4D" w:rsidP="00F418C0">
            <w:pPr>
              <w:pStyle w:val="Prrafodelista"/>
              <w:ind w:left="0"/>
              <w:jc w:val="center"/>
              <w:rPr>
                <w:rFonts w:ascii="Arial" w:hAnsi="Arial" w:cs="Arial"/>
              </w:rPr>
            </w:pPr>
            <w:r w:rsidRPr="003E1882">
              <w:rPr>
                <w:rFonts w:ascii="Arial" w:hAnsi="Arial" w:cs="Arial"/>
              </w:rPr>
              <w:t>11ª Adición prórroga</w:t>
            </w:r>
          </w:p>
        </w:tc>
      </w:tr>
      <w:tr w:rsidR="00121A4D" w:rsidRPr="003E1882" w14:paraId="5E45AE64" w14:textId="77777777" w:rsidTr="00DB4FB7">
        <w:tc>
          <w:tcPr>
            <w:tcW w:w="1186" w:type="dxa"/>
            <w:shd w:val="clear" w:color="auto" w:fill="auto"/>
          </w:tcPr>
          <w:p w14:paraId="3F196076" w14:textId="77777777" w:rsidR="00121A4D" w:rsidRPr="003E1882" w:rsidRDefault="00121A4D" w:rsidP="00F418C0">
            <w:pPr>
              <w:pStyle w:val="Prrafodelista"/>
              <w:ind w:left="0"/>
              <w:jc w:val="center"/>
              <w:rPr>
                <w:rFonts w:ascii="Arial" w:hAnsi="Arial" w:cs="Arial"/>
              </w:rPr>
            </w:pPr>
            <w:r w:rsidRPr="003E1882">
              <w:rPr>
                <w:rFonts w:ascii="Arial" w:hAnsi="Arial" w:cs="Arial"/>
              </w:rPr>
              <w:t>458/92</w:t>
            </w:r>
          </w:p>
        </w:tc>
        <w:tc>
          <w:tcPr>
            <w:tcW w:w="1276" w:type="dxa"/>
            <w:shd w:val="clear" w:color="auto" w:fill="auto"/>
          </w:tcPr>
          <w:p w14:paraId="4B965407" w14:textId="77777777" w:rsidR="00121A4D" w:rsidRPr="003E1882" w:rsidRDefault="00121A4D" w:rsidP="00F418C0">
            <w:pPr>
              <w:pStyle w:val="Prrafodelista"/>
              <w:ind w:left="0"/>
              <w:jc w:val="center"/>
              <w:rPr>
                <w:rFonts w:ascii="Arial" w:hAnsi="Arial" w:cs="Arial"/>
              </w:rPr>
            </w:pPr>
            <w:r w:rsidRPr="003E1882">
              <w:rPr>
                <w:rFonts w:ascii="Arial" w:hAnsi="Arial" w:cs="Arial"/>
              </w:rPr>
              <w:t>26-06-92</w:t>
            </w:r>
          </w:p>
        </w:tc>
        <w:tc>
          <w:tcPr>
            <w:tcW w:w="1701" w:type="dxa"/>
            <w:shd w:val="clear" w:color="auto" w:fill="auto"/>
          </w:tcPr>
          <w:p w14:paraId="61225D1E" w14:textId="77777777" w:rsidR="00121A4D" w:rsidRPr="003E1882" w:rsidRDefault="00121A4D" w:rsidP="00F418C0">
            <w:pPr>
              <w:pStyle w:val="Prrafodelista"/>
              <w:ind w:left="0"/>
              <w:jc w:val="center"/>
              <w:rPr>
                <w:rFonts w:ascii="Arial" w:hAnsi="Arial" w:cs="Arial"/>
              </w:rPr>
            </w:pPr>
            <w:r w:rsidRPr="003E1882">
              <w:rPr>
                <w:rFonts w:ascii="Arial" w:hAnsi="Arial" w:cs="Arial"/>
              </w:rPr>
              <w:t>30-12-92</w:t>
            </w:r>
          </w:p>
        </w:tc>
        <w:tc>
          <w:tcPr>
            <w:tcW w:w="1276" w:type="dxa"/>
            <w:shd w:val="clear" w:color="auto" w:fill="auto"/>
          </w:tcPr>
          <w:p w14:paraId="7E5B3A29" w14:textId="77777777" w:rsidR="00121A4D" w:rsidRPr="003E1882" w:rsidRDefault="00121A4D" w:rsidP="00F418C0">
            <w:pPr>
              <w:pStyle w:val="Prrafodelista"/>
              <w:ind w:left="0"/>
              <w:jc w:val="center"/>
              <w:rPr>
                <w:rFonts w:ascii="Arial" w:hAnsi="Arial" w:cs="Arial"/>
              </w:rPr>
            </w:pPr>
            <w:r w:rsidRPr="003E1882">
              <w:rPr>
                <w:rFonts w:ascii="Arial" w:hAnsi="Arial" w:cs="Arial"/>
              </w:rPr>
              <w:t>6 meses</w:t>
            </w:r>
          </w:p>
        </w:tc>
        <w:tc>
          <w:tcPr>
            <w:tcW w:w="1701" w:type="dxa"/>
            <w:shd w:val="clear" w:color="auto" w:fill="auto"/>
          </w:tcPr>
          <w:p w14:paraId="0CD3372D"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1DF86BA0" w14:textId="77777777" w:rsidR="00121A4D" w:rsidRPr="003E1882" w:rsidRDefault="00121A4D" w:rsidP="00F418C0">
            <w:pPr>
              <w:pStyle w:val="Prrafodelista"/>
              <w:ind w:left="0"/>
              <w:jc w:val="center"/>
              <w:rPr>
                <w:rFonts w:ascii="Arial" w:hAnsi="Arial" w:cs="Arial"/>
              </w:rPr>
            </w:pPr>
            <w:r w:rsidRPr="003E1882">
              <w:rPr>
                <w:rFonts w:ascii="Arial" w:hAnsi="Arial" w:cs="Arial"/>
              </w:rPr>
              <w:t>12ª Adición prórroga</w:t>
            </w:r>
          </w:p>
        </w:tc>
      </w:tr>
      <w:tr w:rsidR="00121A4D" w:rsidRPr="003E1882" w14:paraId="1C32B44B" w14:textId="77777777" w:rsidTr="00DB4FB7">
        <w:tc>
          <w:tcPr>
            <w:tcW w:w="1186" w:type="dxa"/>
            <w:shd w:val="clear" w:color="auto" w:fill="auto"/>
          </w:tcPr>
          <w:p w14:paraId="3240274B" w14:textId="77777777" w:rsidR="00121A4D" w:rsidRPr="003E1882" w:rsidRDefault="00121A4D" w:rsidP="00F418C0">
            <w:pPr>
              <w:pStyle w:val="Prrafodelista"/>
              <w:ind w:left="0"/>
              <w:jc w:val="center"/>
              <w:rPr>
                <w:rFonts w:ascii="Arial" w:hAnsi="Arial" w:cs="Arial"/>
              </w:rPr>
            </w:pPr>
            <w:r w:rsidRPr="003E1882">
              <w:rPr>
                <w:rFonts w:ascii="Arial" w:hAnsi="Arial" w:cs="Arial"/>
              </w:rPr>
              <w:t>950/92</w:t>
            </w:r>
          </w:p>
        </w:tc>
        <w:tc>
          <w:tcPr>
            <w:tcW w:w="1276" w:type="dxa"/>
            <w:shd w:val="clear" w:color="auto" w:fill="auto"/>
          </w:tcPr>
          <w:p w14:paraId="6230307A" w14:textId="77777777" w:rsidR="00121A4D" w:rsidRPr="003E1882" w:rsidRDefault="00121A4D" w:rsidP="00F418C0">
            <w:pPr>
              <w:pStyle w:val="Prrafodelista"/>
              <w:ind w:left="0"/>
              <w:jc w:val="center"/>
              <w:rPr>
                <w:rFonts w:ascii="Arial" w:hAnsi="Arial" w:cs="Arial"/>
              </w:rPr>
            </w:pPr>
            <w:r w:rsidRPr="003E1882">
              <w:rPr>
                <w:rFonts w:ascii="Arial" w:hAnsi="Arial" w:cs="Arial"/>
              </w:rPr>
              <w:t>30-12-92</w:t>
            </w:r>
          </w:p>
        </w:tc>
        <w:tc>
          <w:tcPr>
            <w:tcW w:w="1701" w:type="dxa"/>
            <w:shd w:val="clear" w:color="auto" w:fill="auto"/>
          </w:tcPr>
          <w:p w14:paraId="6DC0960E" w14:textId="77777777" w:rsidR="00121A4D" w:rsidRPr="003E1882" w:rsidRDefault="00121A4D" w:rsidP="00F418C0">
            <w:pPr>
              <w:pStyle w:val="Prrafodelista"/>
              <w:ind w:left="0"/>
              <w:jc w:val="center"/>
              <w:rPr>
                <w:rFonts w:ascii="Arial" w:hAnsi="Arial" w:cs="Arial"/>
              </w:rPr>
            </w:pPr>
            <w:r w:rsidRPr="003E1882">
              <w:rPr>
                <w:rFonts w:ascii="Arial" w:hAnsi="Arial" w:cs="Arial"/>
              </w:rPr>
              <w:t>30-06-93</w:t>
            </w:r>
          </w:p>
        </w:tc>
        <w:tc>
          <w:tcPr>
            <w:tcW w:w="1276" w:type="dxa"/>
            <w:shd w:val="clear" w:color="auto" w:fill="auto"/>
          </w:tcPr>
          <w:p w14:paraId="104979D8" w14:textId="77777777" w:rsidR="00121A4D" w:rsidRPr="003E1882" w:rsidRDefault="00121A4D" w:rsidP="00F418C0">
            <w:pPr>
              <w:pStyle w:val="Prrafodelista"/>
              <w:ind w:left="0"/>
              <w:jc w:val="center"/>
              <w:rPr>
                <w:rFonts w:ascii="Arial" w:hAnsi="Arial" w:cs="Arial"/>
              </w:rPr>
            </w:pPr>
            <w:r w:rsidRPr="003E1882">
              <w:rPr>
                <w:rFonts w:ascii="Arial" w:hAnsi="Arial" w:cs="Arial"/>
              </w:rPr>
              <w:t>6 meses</w:t>
            </w:r>
          </w:p>
        </w:tc>
        <w:tc>
          <w:tcPr>
            <w:tcW w:w="1701" w:type="dxa"/>
            <w:shd w:val="clear" w:color="auto" w:fill="auto"/>
          </w:tcPr>
          <w:p w14:paraId="6DD41687"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7C7128AF" w14:textId="77777777" w:rsidR="00121A4D" w:rsidRPr="003E1882" w:rsidRDefault="00121A4D" w:rsidP="00F418C0">
            <w:pPr>
              <w:pStyle w:val="Prrafodelista"/>
              <w:ind w:left="0"/>
              <w:jc w:val="center"/>
              <w:rPr>
                <w:rFonts w:ascii="Arial" w:hAnsi="Arial" w:cs="Arial"/>
              </w:rPr>
            </w:pPr>
            <w:r w:rsidRPr="003E1882">
              <w:rPr>
                <w:rFonts w:ascii="Arial" w:hAnsi="Arial" w:cs="Arial"/>
              </w:rPr>
              <w:t>13ª Adición prórroga</w:t>
            </w:r>
          </w:p>
        </w:tc>
      </w:tr>
      <w:tr w:rsidR="00121A4D" w:rsidRPr="003E1882" w14:paraId="4A75A5BA" w14:textId="77777777" w:rsidTr="00DB4FB7">
        <w:tc>
          <w:tcPr>
            <w:tcW w:w="1186" w:type="dxa"/>
            <w:shd w:val="clear" w:color="auto" w:fill="auto"/>
          </w:tcPr>
          <w:p w14:paraId="603B5851" w14:textId="77777777" w:rsidR="00121A4D" w:rsidRPr="003E1882" w:rsidRDefault="00121A4D" w:rsidP="00F418C0">
            <w:pPr>
              <w:pStyle w:val="Prrafodelista"/>
              <w:ind w:left="0"/>
              <w:jc w:val="center"/>
              <w:rPr>
                <w:rFonts w:ascii="Arial" w:hAnsi="Arial" w:cs="Arial"/>
              </w:rPr>
            </w:pPr>
            <w:r w:rsidRPr="003E1882">
              <w:rPr>
                <w:rFonts w:ascii="Arial" w:hAnsi="Arial" w:cs="Arial"/>
              </w:rPr>
              <w:t>559/93</w:t>
            </w:r>
          </w:p>
        </w:tc>
        <w:tc>
          <w:tcPr>
            <w:tcW w:w="1276" w:type="dxa"/>
            <w:shd w:val="clear" w:color="auto" w:fill="auto"/>
          </w:tcPr>
          <w:p w14:paraId="5FB808AB" w14:textId="77777777" w:rsidR="00121A4D" w:rsidRPr="003E1882" w:rsidRDefault="00121A4D" w:rsidP="00F418C0">
            <w:pPr>
              <w:pStyle w:val="Prrafodelista"/>
              <w:ind w:left="0"/>
              <w:jc w:val="center"/>
              <w:rPr>
                <w:rFonts w:ascii="Arial" w:hAnsi="Arial" w:cs="Arial"/>
              </w:rPr>
            </w:pPr>
            <w:r w:rsidRPr="003E1882">
              <w:rPr>
                <w:rFonts w:ascii="Arial" w:hAnsi="Arial" w:cs="Arial"/>
              </w:rPr>
              <w:t>30-06-93</w:t>
            </w:r>
          </w:p>
        </w:tc>
        <w:tc>
          <w:tcPr>
            <w:tcW w:w="1701" w:type="dxa"/>
            <w:shd w:val="clear" w:color="auto" w:fill="auto"/>
          </w:tcPr>
          <w:p w14:paraId="323181E1" w14:textId="77777777" w:rsidR="00121A4D" w:rsidRPr="003E1882" w:rsidRDefault="00121A4D" w:rsidP="00F418C0">
            <w:pPr>
              <w:pStyle w:val="Prrafodelista"/>
              <w:ind w:left="0"/>
              <w:jc w:val="center"/>
              <w:rPr>
                <w:rFonts w:ascii="Arial" w:hAnsi="Arial" w:cs="Arial"/>
              </w:rPr>
            </w:pPr>
            <w:r w:rsidRPr="003E1882">
              <w:rPr>
                <w:rFonts w:ascii="Arial" w:hAnsi="Arial" w:cs="Arial"/>
              </w:rPr>
              <w:t>30-06-94</w:t>
            </w:r>
          </w:p>
        </w:tc>
        <w:tc>
          <w:tcPr>
            <w:tcW w:w="1276" w:type="dxa"/>
            <w:shd w:val="clear" w:color="auto" w:fill="auto"/>
          </w:tcPr>
          <w:p w14:paraId="305074F3" w14:textId="77777777" w:rsidR="00121A4D" w:rsidRPr="003E1882" w:rsidRDefault="00121A4D" w:rsidP="00F418C0">
            <w:pPr>
              <w:pStyle w:val="Prrafodelista"/>
              <w:ind w:left="0"/>
              <w:jc w:val="center"/>
              <w:rPr>
                <w:rFonts w:ascii="Arial" w:hAnsi="Arial" w:cs="Arial"/>
              </w:rPr>
            </w:pPr>
            <w:r w:rsidRPr="003E1882">
              <w:rPr>
                <w:rFonts w:ascii="Arial" w:hAnsi="Arial" w:cs="Arial"/>
              </w:rPr>
              <w:t>12 meses</w:t>
            </w:r>
          </w:p>
        </w:tc>
        <w:tc>
          <w:tcPr>
            <w:tcW w:w="1701" w:type="dxa"/>
            <w:shd w:val="clear" w:color="auto" w:fill="auto"/>
          </w:tcPr>
          <w:p w14:paraId="19A34A73"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286BCBC9" w14:textId="77777777" w:rsidR="00121A4D" w:rsidRPr="003E1882" w:rsidRDefault="00121A4D" w:rsidP="00F418C0">
            <w:pPr>
              <w:pStyle w:val="Prrafodelista"/>
              <w:ind w:left="0"/>
              <w:jc w:val="center"/>
              <w:rPr>
                <w:rFonts w:ascii="Arial" w:hAnsi="Arial" w:cs="Arial"/>
              </w:rPr>
            </w:pPr>
            <w:r w:rsidRPr="003E1882">
              <w:rPr>
                <w:rFonts w:ascii="Arial" w:hAnsi="Arial" w:cs="Arial"/>
              </w:rPr>
              <w:t>14ª Adición prórroga</w:t>
            </w:r>
          </w:p>
        </w:tc>
      </w:tr>
      <w:tr w:rsidR="00121A4D" w:rsidRPr="003E1882" w14:paraId="7362B95B" w14:textId="77777777" w:rsidTr="00DB4FB7">
        <w:tc>
          <w:tcPr>
            <w:tcW w:w="1186" w:type="dxa"/>
            <w:shd w:val="clear" w:color="auto" w:fill="auto"/>
          </w:tcPr>
          <w:p w14:paraId="1E63A3E5" w14:textId="77777777" w:rsidR="00121A4D" w:rsidRPr="003E1882" w:rsidRDefault="00121A4D" w:rsidP="00F418C0">
            <w:pPr>
              <w:pStyle w:val="Prrafodelista"/>
              <w:ind w:left="0"/>
              <w:jc w:val="center"/>
              <w:rPr>
                <w:rFonts w:ascii="Arial" w:hAnsi="Arial" w:cs="Arial"/>
              </w:rPr>
            </w:pPr>
            <w:r w:rsidRPr="003E1882">
              <w:rPr>
                <w:rFonts w:ascii="Arial" w:hAnsi="Arial" w:cs="Arial"/>
              </w:rPr>
              <w:t>334/94</w:t>
            </w:r>
          </w:p>
        </w:tc>
        <w:tc>
          <w:tcPr>
            <w:tcW w:w="1276" w:type="dxa"/>
            <w:shd w:val="clear" w:color="auto" w:fill="auto"/>
          </w:tcPr>
          <w:p w14:paraId="6F933B11" w14:textId="77777777" w:rsidR="00121A4D" w:rsidRPr="003E1882" w:rsidRDefault="00121A4D" w:rsidP="00F418C0">
            <w:pPr>
              <w:pStyle w:val="Prrafodelista"/>
              <w:ind w:left="0"/>
              <w:jc w:val="center"/>
              <w:rPr>
                <w:rFonts w:ascii="Arial" w:hAnsi="Arial" w:cs="Arial"/>
              </w:rPr>
            </w:pPr>
            <w:r w:rsidRPr="003E1882">
              <w:rPr>
                <w:rFonts w:ascii="Arial" w:hAnsi="Arial" w:cs="Arial"/>
              </w:rPr>
              <w:t>30-06-94</w:t>
            </w:r>
          </w:p>
        </w:tc>
        <w:tc>
          <w:tcPr>
            <w:tcW w:w="1701" w:type="dxa"/>
            <w:shd w:val="clear" w:color="auto" w:fill="auto"/>
          </w:tcPr>
          <w:p w14:paraId="7E4DE1D3" w14:textId="77777777" w:rsidR="00121A4D" w:rsidRPr="003E1882" w:rsidRDefault="00121A4D" w:rsidP="00F418C0">
            <w:pPr>
              <w:pStyle w:val="Prrafodelista"/>
              <w:ind w:left="0"/>
              <w:jc w:val="center"/>
              <w:rPr>
                <w:rFonts w:ascii="Arial" w:hAnsi="Arial" w:cs="Arial"/>
              </w:rPr>
            </w:pPr>
            <w:r w:rsidRPr="003E1882">
              <w:rPr>
                <w:rFonts w:ascii="Arial" w:hAnsi="Arial" w:cs="Arial"/>
              </w:rPr>
              <w:t>31-12-94</w:t>
            </w:r>
          </w:p>
        </w:tc>
        <w:tc>
          <w:tcPr>
            <w:tcW w:w="1276" w:type="dxa"/>
            <w:shd w:val="clear" w:color="auto" w:fill="auto"/>
          </w:tcPr>
          <w:p w14:paraId="0CDD562A" w14:textId="77777777" w:rsidR="00121A4D" w:rsidRPr="003E1882" w:rsidRDefault="00121A4D" w:rsidP="00F418C0">
            <w:pPr>
              <w:pStyle w:val="Prrafodelista"/>
              <w:ind w:left="0"/>
              <w:jc w:val="center"/>
              <w:rPr>
                <w:rFonts w:ascii="Arial" w:hAnsi="Arial" w:cs="Arial"/>
              </w:rPr>
            </w:pPr>
            <w:r w:rsidRPr="003E1882">
              <w:rPr>
                <w:rFonts w:ascii="Arial" w:hAnsi="Arial" w:cs="Arial"/>
              </w:rPr>
              <w:t>6 meses</w:t>
            </w:r>
          </w:p>
        </w:tc>
        <w:tc>
          <w:tcPr>
            <w:tcW w:w="1701" w:type="dxa"/>
            <w:shd w:val="clear" w:color="auto" w:fill="auto"/>
          </w:tcPr>
          <w:p w14:paraId="223F3C23"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6EF2CB00" w14:textId="77777777" w:rsidR="00121A4D" w:rsidRPr="003E1882" w:rsidRDefault="00121A4D" w:rsidP="00F418C0">
            <w:pPr>
              <w:pStyle w:val="Prrafodelista"/>
              <w:ind w:left="0"/>
              <w:jc w:val="center"/>
              <w:rPr>
                <w:rFonts w:ascii="Arial" w:hAnsi="Arial" w:cs="Arial"/>
              </w:rPr>
            </w:pPr>
            <w:r w:rsidRPr="003E1882">
              <w:rPr>
                <w:rFonts w:ascii="Arial" w:hAnsi="Arial" w:cs="Arial"/>
              </w:rPr>
              <w:t>15ª Adición prórroga</w:t>
            </w:r>
          </w:p>
        </w:tc>
      </w:tr>
      <w:tr w:rsidR="00121A4D" w:rsidRPr="003E1882" w14:paraId="1CBF3BBC" w14:textId="77777777" w:rsidTr="00DB4FB7">
        <w:tc>
          <w:tcPr>
            <w:tcW w:w="1186" w:type="dxa"/>
            <w:shd w:val="clear" w:color="auto" w:fill="auto"/>
          </w:tcPr>
          <w:p w14:paraId="2D6DC9BA" w14:textId="77777777" w:rsidR="00121A4D" w:rsidRPr="003E1882" w:rsidRDefault="00121A4D" w:rsidP="00F418C0">
            <w:pPr>
              <w:pStyle w:val="Prrafodelista"/>
              <w:ind w:left="0"/>
              <w:jc w:val="center"/>
              <w:rPr>
                <w:rFonts w:ascii="Arial" w:hAnsi="Arial" w:cs="Arial"/>
              </w:rPr>
            </w:pPr>
            <w:r w:rsidRPr="003E1882">
              <w:rPr>
                <w:rFonts w:ascii="Arial" w:hAnsi="Arial" w:cs="Arial"/>
              </w:rPr>
              <w:t>949/94</w:t>
            </w:r>
          </w:p>
        </w:tc>
        <w:tc>
          <w:tcPr>
            <w:tcW w:w="1276" w:type="dxa"/>
            <w:shd w:val="clear" w:color="auto" w:fill="auto"/>
          </w:tcPr>
          <w:p w14:paraId="67E0AD2C" w14:textId="77777777" w:rsidR="00121A4D" w:rsidRPr="003E1882" w:rsidRDefault="00121A4D" w:rsidP="00F418C0">
            <w:pPr>
              <w:pStyle w:val="Prrafodelista"/>
              <w:ind w:left="0"/>
              <w:jc w:val="center"/>
              <w:rPr>
                <w:rFonts w:ascii="Arial" w:hAnsi="Arial" w:cs="Arial"/>
              </w:rPr>
            </w:pPr>
            <w:r w:rsidRPr="003E1882">
              <w:rPr>
                <w:rFonts w:ascii="Arial" w:hAnsi="Arial" w:cs="Arial"/>
              </w:rPr>
              <w:t>31-12-94</w:t>
            </w:r>
          </w:p>
        </w:tc>
        <w:tc>
          <w:tcPr>
            <w:tcW w:w="1701" w:type="dxa"/>
            <w:shd w:val="clear" w:color="auto" w:fill="auto"/>
          </w:tcPr>
          <w:p w14:paraId="31607190" w14:textId="77777777" w:rsidR="00121A4D" w:rsidRPr="003E1882" w:rsidRDefault="00121A4D" w:rsidP="00F418C0">
            <w:pPr>
              <w:pStyle w:val="Prrafodelista"/>
              <w:ind w:left="0"/>
              <w:jc w:val="center"/>
              <w:rPr>
                <w:rFonts w:ascii="Arial" w:hAnsi="Arial" w:cs="Arial"/>
              </w:rPr>
            </w:pPr>
            <w:r w:rsidRPr="003E1882">
              <w:rPr>
                <w:rFonts w:ascii="Arial" w:hAnsi="Arial" w:cs="Arial"/>
              </w:rPr>
              <w:t>30-06-95</w:t>
            </w:r>
          </w:p>
        </w:tc>
        <w:tc>
          <w:tcPr>
            <w:tcW w:w="1276" w:type="dxa"/>
            <w:shd w:val="clear" w:color="auto" w:fill="auto"/>
          </w:tcPr>
          <w:p w14:paraId="5BF16F76" w14:textId="77777777" w:rsidR="00121A4D" w:rsidRPr="003E1882" w:rsidRDefault="00121A4D" w:rsidP="00F418C0">
            <w:pPr>
              <w:pStyle w:val="Prrafodelista"/>
              <w:ind w:left="0"/>
              <w:jc w:val="center"/>
              <w:rPr>
                <w:rFonts w:ascii="Arial" w:hAnsi="Arial" w:cs="Arial"/>
              </w:rPr>
            </w:pPr>
            <w:r w:rsidRPr="003E1882">
              <w:rPr>
                <w:rFonts w:ascii="Arial" w:hAnsi="Arial" w:cs="Arial"/>
              </w:rPr>
              <w:t>6 meses</w:t>
            </w:r>
          </w:p>
        </w:tc>
        <w:tc>
          <w:tcPr>
            <w:tcW w:w="1701" w:type="dxa"/>
            <w:shd w:val="clear" w:color="auto" w:fill="auto"/>
          </w:tcPr>
          <w:p w14:paraId="584DED03"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408A828D" w14:textId="77777777" w:rsidR="00121A4D" w:rsidRPr="003E1882" w:rsidRDefault="00121A4D" w:rsidP="00F418C0">
            <w:pPr>
              <w:pStyle w:val="Prrafodelista"/>
              <w:ind w:left="0"/>
              <w:jc w:val="center"/>
              <w:rPr>
                <w:rFonts w:ascii="Arial" w:hAnsi="Arial" w:cs="Arial"/>
              </w:rPr>
            </w:pPr>
            <w:r w:rsidRPr="003E1882">
              <w:rPr>
                <w:rFonts w:ascii="Arial" w:hAnsi="Arial" w:cs="Arial"/>
              </w:rPr>
              <w:t>16ª Adición prórroga</w:t>
            </w:r>
          </w:p>
        </w:tc>
      </w:tr>
      <w:tr w:rsidR="00121A4D" w:rsidRPr="003E1882" w14:paraId="74B7247B" w14:textId="77777777" w:rsidTr="00DB4FB7">
        <w:tc>
          <w:tcPr>
            <w:tcW w:w="1186" w:type="dxa"/>
            <w:shd w:val="clear" w:color="auto" w:fill="auto"/>
          </w:tcPr>
          <w:p w14:paraId="6F634CF9" w14:textId="77777777" w:rsidR="00121A4D" w:rsidRPr="003E1882" w:rsidRDefault="00121A4D" w:rsidP="00F418C0">
            <w:pPr>
              <w:pStyle w:val="Prrafodelista"/>
              <w:ind w:left="0"/>
              <w:jc w:val="center"/>
              <w:rPr>
                <w:rFonts w:ascii="Arial" w:hAnsi="Arial" w:cs="Arial"/>
              </w:rPr>
            </w:pPr>
            <w:r w:rsidRPr="003E1882">
              <w:rPr>
                <w:rFonts w:ascii="Arial" w:hAnsi="Arial" w:cs="Arial"/>
              </w:rPr>
              <w:t>745/95</w:t>
            </w:r>
          </w:p>
        </w:tc>
        <w:tc>
          <w:tcPr>
            <w:tcW w:w="1276" w:type="dxa"/>
            <w:shd w:val="clear" w:color="auto" w:fill="auto"/>
          </w:tcPr>
          <w:p w14:paraId="4F8CD6B4" w14:textId="77777777" w:rsidR="00121A4D" w:rsidRPr="003E1882" w:rsidRDefault="00121A4D" w:rsidP="00F418C0">
            <w:pPr>
              <w:pStyle w:val="Prrafodelista"/>
              <w:ind w:left="0"/>
              <w:jc w:val="center"/>
              <w:rPr>
                <w:rFonts w:ascii="Arial" w:hAnsi="Arial" w:cs="Arial"/>
              </w:rPr>
            </w:pPr>
            <w:r w:rsidRPr="003E1882">
              <w:rPr>
                <w:rFonts w:ascii="Arial" w:hAnsi="Arial" w:cs="Arial"/>
              </w:rPr>
              <w:t>30-06-95</w:t>
            </w:r>
          </w:p>
        </w:tc>
        <w:tc>
          <w:tcPr>
            <w:tcW w:w="1701" w:type="dxa"/>
            <w:shd w:val="clear" w:color="auto" w:fill="auto"/>
          </w:tcPr>
          <w:p w14:paraId="6915A71B" w14:textId="77777777" w:rsidR="00121A4D" w:rsidRPr="003E1882" w:rsidRDefault="00121A4D" w:rsidP="00F418C0">
            <w:pPr>
              <w:pStyle w:val="Prrafodelista"/>
              <w:ind w:left="0"/>
              <w:jc w:val="center"/>
              <w:rPr>
                <w:rFonts w:ascii="Arial" w:hAnsi="Arial" w:cs="Arial"/>
              </w:rPr>
            </w:pPr>
            <w:r w:rsidRPr="003E1882">
              <w:rPr>
                <w:rFonts w:ascii="Arial" w:hAnsi="Arial" w:cs="Arial"/>
              </w:rPr>
              <w:t>30-09-95</w:t>
            </w:r>
          </w:p>
        </w:tc>
        <w:tc>
          <w:tcPr>
            <w:tcW w:w="1276" w:type="dxa"/>
            <w:shd w:val="clear" w:color="auto" w:fill="auto"/>
          </w:tcPr>
          <w:p w14:paraId="7EB8B057" w14:textId="77777777" w:rsidR="00121A4D" w:rsidRPr="003E1882" w:rsidRDefault="00121A4D" w:rsidP="00F418C0">
            <w:pPr>
              <w:pStyle w:val="Prrafodelista"/>
              <w:ind w:left="0"/>
              <w:jc w:val="center"/>
              <w:rPr>
                <w:rFonts w:ascii="Arial" w:hAnsi="Arial" w:cs="Arial"/>
              </w:rPr>
            </w:pPr>
            <w:r w:rsidRPr="003E1882">
              <w:rPr>
                <w:rFonts w:ascii="Arial" w:hAnsi="Arial" w:cs="Arial"/>
              </w:rPr>
              <w:t>3 meses</w:t>
            </w:r>
          </w:p>
        </w:tc>
        <w:tc>
          <w:tcPr>
            <w:tcW w:w="1701" w:type="dxa"/>
            <w:shd w:val="clear" w:color="auto" w:fill="auto"/>
          </w:tcPr>
          <w:p w14:paraId="0E51EB46" w14:textId="77777777" w:rsidR="00121A4D" w:rsidRPr="003E1882" w:rsidRDefault="00121A4D" w:rsidP="00F418C0">
            <w:pPr>
              <w:pStyle w:val="Prrafodelista"/>
              <w:ind w:left="0"/>
              <w:jc w:val="center"/>
              <w:rPr>
                <w:rFonts w:ascii="Arial" w:hAnsi="Arial" w:cs="Arial"/>
              </w:rPr>
            </w:pPr>
          </w:p>
        </w:tc>
        <w:tc>
          <w:tcPr>
            <w:tcW w:w="1608" w:type="dxa"/>
            <w:shd w:val="clear" w:color="auto" w:fill="auto"/>
          </w:tcPr>
          <w:p w14:paraId="77BBA508" w14:textId="77777777" w:rsidR="00121A4D" w:rsidRPr="003E1882" w:rsidRDefault="00121A4D" w:rsidP="00F418C0">
            <w:pPr>
              <w:pStyle w:val="Prrafodelista"/>
              <w:ind w:left="0"/>
              <w:jc w:val="center"/>
              <w:rPr>
                <w:rFonts w:ascii="Arial" w:hAnsi="Arial" w:cs="Arial"/>
              </w:rPr>
            </w:pPr>
            <w:r w:rsidRPr="003E1882">
              <w:rPr>
                <w:rFonts w:ascii="Arial" w:hAnsi="Arial" w:cs="Arial"/>
              </w:rPr>
              <w:t>17ª Adición prórroga</w:t>
            </w:r>
          </w:p>
        </w:tc>
      </w:tr>
      <w:tr w:rsidR="00121A4D" w:rsidRPr="003E1882" w14:paraId="3ACF6B4D" w14:textId="77777777" w:rsidTr="00DB4FB7">
        <w:tc>
          <w:tcPr>
            <w:tcW w:w="1186" w:type="dxa"/>
            <w:shd w:val="clear" w:color="auto" w:fill="auto"/>
          </w:tcPr>
          <w:p w14:paraId="30FF7733" w14:textId="77777777" w:rsidR="00121A4D" w:rsidRPr="003E1882" w:rsidRDefault="00121A4D" w:rsidP="00F418C0">
            <w:pPr>
              <w:pStyle w:val="Prrafodelista"/>
              <w:ind w:left="0"/>
              <w:jc w:val="center"/>
              <w:rPr>
                <w:rFonts w:ascii="Arial" w:hAnsi="Arial" w:cs="Arial"/>
              </w:rPr>
            </w:pPr>
          </w:p>
        </w:tc>
        <w:tc>
          <w:tcPr>
            <w:tcW w:w="1276" w:type="dxa"/>
            <w:shd w:val="clear" w:color="auto" w:fill="auto"/>
          </w:tcPr>
          <w:p w14:paraId="538CA463" w14:textId="77777777" w:rsidR="00121A4D" w:rsidRPr="003E1882" w:rsidRDefault="00121A4D" w:rsidP="00F418C0">
            <w:pPr>
              <w:pStyle w:val="Prrafodelista"/>
              <w:ind w:left="0"/>
              <w:jc w:val="center"/>
              <w:rPr>
                <w:rFonts w:ascii="Arial" w:hAnsi="Arial" w:cs="Arial"/>
              </w:rPr>
            </w:pPr>
          </w:p>
        </w:tc>
        <w:tc>
          <w:tcPr>
            <w:tcW w:w="1701" w:type="dxa"/>
            <w:shd w:val="clear" w:color="auto" w:fill="auto"/>
          </w:tcPr>
          <w:p w14:paraId="558B4108" w14:textId="77777777" w:rsidR="00121A4D" w:rsidRPr="003E1882" w:rsidRDefault="00121A4D" w:rsidP="00F418C0">
            <w:pPr>
              <w:pStyle w:val="Prrafodelista"/>
              <w:ind w:left="0"/>
              <w:jc w:val="center"/>
              <w:rPr>
                <w:rFonts w:ascii="Arial" w:hAnsi="Arial" w:cs="Arial"/>
              </w:rPr>
            </w:pPr>
            <w:proofErr w:type="gramStart"/>
            <w:r w:rsidRPr="003E1882">
              <w:rPr>
                <w:rFonts w:ascii="Arial" w:hAnsi="Arial" w:cs="Arial"/>
              </w:rPr>
              <w:t>Total</w:t>
            </w:r>
            <w:proofErr w:type="gramEnd"/>
            <w:r w:rsidRPr="003E1882">
              <w:rPr>
                <w:rFonts w:ascii="Arial" w:hAnsi="Arial" w:cs="Arial"/>
              </w:rPr>
              <w:t xml:space="preserve"> Plazo</w:t>
            </w:r>
          </w:p>
        </w:tc>
        <w:tc>
          <w:tcPr>
            <w:tcW w:w="1276" w:type="dxa"/>
            <w:shd w:val="clear" w:color="auto" w:fill="auto"/>
          </w:tcPr>
          <w:p w14:paraId="5A4AAC4B" w14:textId="77777777" w:rsidR="00121A4D" w:rsidRPr="003E1882" w:rsidRDefault="00121A4D" w:rsidP="00F418C0">
            <w:pPr>
              <w:pStyle w:val="Prrafodelista"/>
              <w:ind w:left="0"/>
              <w:jc w:val="center"/>
              <w:rPr>
                <w:rFonts w:ascii="Arial" w:hAnsi="Arial" w:cs="Arial"/>
              </w:rPr>
            </w:pPr>
            <w:r w:rsidRPr="003E1882">
              <w:rPr>
                <w:rFonts w:ascii="Arial" w:hAnsi="Arial" w:cs="Arial"/>
              </w:rPr>
              <w:t>125.13 meses</w:t>
            </w:r>
          </w:p>
        </w:tc>
        <w:tc>
          <w:tcPr>
            <w:tcW w:w="1701" w:type="dxa"/>
            <w:shd w:val="clear" w:color="auto" w:fill="auto"/>
          </w:tcPr>
          <w:p w14:paraId="7DC091A8" w14:textId="77777777" w:rsidR="00121A4D" w:rsidRPr="003E1882" w:rsidRDefault="00121A4D" w:rsidP="00F418C0">
            <w:pPr>
              <w:pStyle w:val="Prrafodelista"/>
              <w:ind w:left="0"/>
              <w:jc w:val="center"/>
              <w:rPr>
                <w:rFonts w:ascii="Arial" w:hAnsi="Arial" w:cs="Arial"/>
              </w:rPr>
            </w:pPr>
            <w:r w:rsidRPr="003E1882">
              <w:rPr>
                <w:rFonts w:ascii="Arial" w:hAnsi="Arial" w:cs="Arial"/>
              </w:rPr>
              <w:t>Partir de Acta de Iniciación</w:t>
            </w:r>
          </w:p>
        </w:tc>
        <w:tc>
          <w:tcPr>
            <w:tcW w:w="1608" w:type="dxa"/>
            <w:shd w:val="clear" w:color="auto" w:fill="auto"/>
          </w:tcPr>
          <w:p w14:paraId="5FA0E71F" w14:textId="77777777" w:rsidR="00121A4D" w:rsidRPr="003E1882" w:rsidRDefault="00121A4D" w:rsidP="00F418C0">
            <w:pPr>
              <w:pStyle w:val="Prrafodelista"/>
              <w:ind w:left="0"/>
              <w:jc w:val="center"/>
              <w:rPr>
                <w:rFonts w:ascii="Arial" w:hAnsi="Arial" w:cs="Arial"/>
              </w:rPr>
            </w:pPr>
          </w:p>
        </w:tc>
      </w:tr>
    </w:tbl>
    <w:p w14:paraId="4254370C" w14:textId="77777777" w:rsidR="00121A4D" w:rsidRPr="003E1882" w:rsidRDefault="00121A4D" w:rsidP="00F418C0">
      <w:pPr>
        <w:pStyle w:val="Prrafodelista"/>
        <w:rPr>
          <w:rFonts w:ascii="Arial" w:hAnsi="Arial" w:cs="Arial"/>
        </w:rPr>
      </w:pPr>
    </w:p>
    <w:p w14:paraId="33D0AB8A"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VALOR FINAL BÁSICO</w:t>
      </w:r>
      <w:r w:rsidRPr="003E1882">
        <w:rPr>
          <w:rFonts w:ascii="Arial" w:hAnsi="Arial" w:cs="Arial"/>
          <w:i/>
          <w:sz w:val="24"/>
          <w:szCs w:val="24"/>
        </w:rPr>
        <w:tab/>
      </w:r>
      <w:r w:rsidRPr="003E1882">
        <w:rPr>
          <w:rFonts w:ascii="Arial" w:hAnsi="Arial" w:cs="Arial"/>
          <w:i/>
          <w:sz w:val="24"/>
          <w:szCs w:val="24"/>
        </w:rPr>
        <w:tab/>
      </w:r>
      <w:proofErr w:type="gramStart"/>
      <w:r w:rsidRPr="003E1882">
        <w:rPr>
          <w:rFonts w:ascii="Arial" w:hAnsi="Arial" w:cs="Arial"/>
          <w:i/>
          <w:sz w:val="24"/>
          <w:szCs w:val="24"/>
        </w:rPr>
        <w:t xml:space="preserve">=  </w:t>
      </w:r>
      <w:r w:rsidRPr="003E1882">
        <w:rPr>
          <w:rFonts w:ascii="Arial" w:hAnsi="Arial" w:cs="Arial"/>
          <w:i/>
          <w:sz w:val="24"/>
          <w:szCs w:val="24"/>
        </w:rPr>
        <w:tab/>
      </w:r>
      <w:proofErr w:type="gramEnd"/>
      <w:r w:rsidRPr="003E1882">
        <w:rPr>
          <w:rFonts w:ascii="Arial" w:hAnsi="Arial" w:cs="Arial"/>
          <w:i/>
          <w:sz w:val="24"/>
          <w:szCs w:val="24"/>
        </w:rPr>
        <w:t>$   616.487.234.oo</w:t>
      </w:r>
    </w:p>
    <w:p w14:paraId="6751A15A"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VALOR AJUSTES</w:t>
      </w:r>
      <w:r w:rsidRPr="003E1882">
        <w:rPr>
          <w:rFonts w:ascii="Arial" w:hAnsi="Arial" w:cs="Arial"/>
          <w:i/>
          <w:sz w:val="24"/>
          <w:szCs w:val="24"/>
        </w:rPr>
        <w:tab/>
      </w:r>
      <w:r w:rsidRPr="003E1882">
        <w:rPr>
          <w:rFonts w:ascii="Arial" w:hAnsi="Arial" w:cs="Arial"/>
          <w:i/>
          <w:sz w:val="24"/>
          <w:szCs w:val="24"/>
        </w:rPr>
        <w:tab/>
      </w:r>
      <w:r w:rsidRPr="003E1882">
        <w:rPr>
          <w:rFonts w:ascii="Arial" w:hAnsi="Arial" w:cs="Arial"/>
          <w:i/>
          <w:sz w:val="24"/>
          <w:szCs w:val="24"/>
        </w:rPr>
        <w:tab/>
      </w:r>
      <w:proofErr w:type="gramStart"/>
      <w:r w:rsidRPr="003E1882">
        <w:rPr>
          <w:rFonts w:ascii="Arial" w:hAnsi="Arial" w:cs="Arial"/>
          <w:i/>
          <w:sz w:val="24"/>
          <w:szCs w:val="24"/>
        </w:rPr>
        <w:t xml:space="preserve">=  </w:t>
      </w:r>
      <w:r w:rsidRPr="003E1882">
        <w:rPr>
          <w:rFonts w:ascii="Arial" w:hAnsi="Arial" w:cs="Arial"/>
          <w:i/>
          <w:sz w:val="24"/>
          <w:szCs w:val="24"/>
        </w:rPr>
        <w:tab/>
      </w:r>
      <w:proofErr w:type="gramEnd"/>
      <w:r w:rsidRPr="003E1882">
        <w:rPr>
          <w:rFonts w:ascii="Arial" w:hAnsi="Arial" w:cs="Arial"/>
          <w:i/>
          <w:sz w:val="24"/>
          <w:szCs w:val="24"/>
        </w:rPr>
        <w:t>$ 2.480’404.223.48</w:t>
      </w:r>
    </w:p>
    <w:p w14:paraId="41A7D9D4"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VALOR TOTAL CONTRATO</w:t>
      </w:r>
      <w:r w:rsidRPr="003E1882">
        <w:rPr>
          <w:rFonts w:ascii="Arial" w:hAnsi="Arial" w:cs="Arial"/>
          <w:i/>
          <w:sz w:val="24"/>
          <w:szCs w:val="24"/>
        </w:rPr>
        <w:tab/>
        <w:t xml:space="preserve">= </w:t>
      </w:r>
      <w:r w:rsidRPr="003E1882">
        <w:rPr>
          <w:rFonts w:ascii="Arial" w:hAnsi="Arial" w:cs="Arial"/>
          <w:i/>
          <w:sz w:val="24"/>
          <w:szCs w:val="24"/>
        </w:rPr>
        <w:tab/>
        <w:t xml:space="preserve"> $ 3.096’891.457.48</w:t>
      </w:r>
    </w:p>
    <w:p w14:paraId="5F5C7594" w14:textId="77777777" w:rsidR="00121A4D" w:rsidRPr="003E1882" w:rsidRDefault="00121A4D" w:rsidP="00F418C0">
      <w:pPr>
        <w:pStyle w:val="Sinespaciado"/>
        <w:ind w:left="567" w:right="760"/>
        <w:jc w:val="both"/>
        <w:rPr>
          <w:rFonts w:ascii="Arial" w:hAnsi="Arial" w:cs="Arial"/>
          <w:i/>
          <w:sz w:val="24"/>
          <w:szCs w:val="24"/>
        </w:rPr>
      </w:pPr>
    </w:p>
    <w:p w14:paraId="79178741"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TERMINACIÓN DEL CONTRATO</w:t>
      </w:r>
      <w:r w:rsidRPr="003E1882">
        <w:rPr>
          <w:rFonts w:ascii="Arial" w:hAnsi="Arial" w:cs="Arial"/>
          <w:i/>
          <w:sz w:val="24"/>
          <w:szCs w:val="24"/>
        </w:rPr>
        <w:tab/>
        <w:t xml:space="preserve">= </w:t>
      </w:r>
      <w:proofErr w:type="gramStart"/>
      <w:r w:rsidRPr="003E1882">
        <w:rPr>
          <w:rFonts w:ascii="Arial" w:hAnsi="Arial" w:cs="Arial"/>
          <w:i/>
          <w:sz w:val="24"/>
          <w:szCs w:val="24"/>
        </w:rPr>
        <w:t>Septiembre</w:t>
      </w:r>
      <w:proofErr w:type="gramEnd"/>
      <w:r w:rsidRPr="003E1882">
        <w:rPr>
          <w:rFonts w:ascii="Arial" w:hAnsi="Arial" w:cs="Arial"/>
          <w:i/>
          <w:sz w:val="24"/>
          <w:szCs w:val="24"/>
        </w:rPr>
        <w:t xml:space="preserve"> 30/95</w:t>
      </w:r>
    </w:p>
    <w:p w14:paraId="16ACB650" w14:textId="77777777" w:rsidR="00121A4D" w:rsidRPr="003E1882" w:rsidRDefault="00121A4D" w:rsidP="00F418C0">
      <w:pPr>
        <w:pStyle w:val="Sinespaciado"/>
        <w:ind w:left="567" w:right="760"/>
        <w:jc w:val="both"/>
        <w:rPr>
          <w:rFonts w:ascii="Arial" w:hAnsi="Arial" w:cs="Arial"/>
          <w:i/>
          <w:sz w:val="24"/>
          <w:szCs w:val="24"/>
        </w:rPr>
      </w:pPr>
    </w:p>
    <w:p w14:paraId="7ADACB8A"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SUSPENSIONES DE LA EJECUCIÓN:</w:t>
      </w:r>
    </w:p>
    <w:p w14:paraId="36BF5AFB" w14:textId="77777777" w:rsidR="00121A4D" w:rsidRPr="003E1882" w:rsidRDefault="00121A4D" w:rsidP="00F418C0">
      <w:pPr>
        <w:pStyle w:val="Sinespaciado"/>
        <w:ind w:left="567" w:right="760"/>
        <w:jc w:val="both"/>
        <w:rPr>
          <w:rFonts w:ascii="Arial" w:hAnsi="Arial" w:cs="Arial"/>
          <w:i/>
          <w:sz w:val="24"/>
          <w:szCs w:val="24"/>
        </w:rPr>
      </w:pPr>
    </w:p>
    <w:p w14:paraId="66120DBF"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 xml:space="preserve">Enero a diciembre de 1988 (Acta No. 47) </w:t>
      </w:r>
    </w:p>
    <w:p w14:paraId="5DA64BED"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Diciembre 1988 hasta noviembre de 1989 continuas suspensiones. Diciembre – enero – febrero – marzo y abril de 1991 / 1992 suspensión por falta de recursos presupuestales.</w:t>
      </w:r>
    </w:p>
    <w:p w14:paraId="4FBBA062"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En febrero de 1993 paralización</w:t>
      </w:r>
    </w:p>
    <w:p w14:paraId="6C04AEE8"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Entre agosto y octubre de 1993 suspensión.</w:t>
      </w:r>
    </w:p>
    <w:p w14:paraId="0AB6FC49"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Continúan las suspensiones hasta marzo de 1994.</w:t>
      </w:r>
    </w:p>
    <w:p w14:paraId="28F935B1"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Entre marzo y abril de 1995 no se ejecutó obra</w:t>
      </w:r>
    </w:p>
    <w:p w14:paraId="7B8D917A"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Del 1 al 22 de julio de 1995 suspensión.</w:t>
      </w:r>
    </w:p>
    <w:p w14:paraId="0112EEC9" w14:textId="77777777" w:rsidR="00121A4D" w:rsidRPr="003E1882" w:rsidRDefault="00121A4D" w:rsidP="00F418C0">
      <w:pPr>
        <w:pStyle w:val="Sinespaciado"/>
        <w:ind w:left="567" w:right="760"/>
        <w:jc w:val="both"/>
        <w:rPr>
          <w:rFonts w:ascii="Arial" w:hAnsi="Arial" w:cs="Arial"/>
          <w:i/>
          <w:sz w:val="24"/>
          <w:szCs w:val="24"/>
        </w:rPr>
      </w:pPr>
    </w:p>
    <w:p w14:paraId="4E5F3311"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Las causas de estos hechos están debidamente probadas con los documentos que se aportan dentro de la correspondencia recibida y despachada por la demandante, por causas como se observa de la simple lectura, totalmente imputables al hoy Instituto Nacional de Vías.</w:t>
      </w:r>
    </w:p>
    <w:p w14:paraId="3536E6CC" w14:textId="77777777" w:rsidR="00121A4D" w:rsidRPr="003E1882" w:rsidRDefault="00121A4D" w:rsidP="00F418C0">
      <w:pPr>
        <w:pStyle w:val="Sinespaciado"/>
        <w:ind w:left="567" w:right="760"/>
        <w:jc w:val="both"/>
        <w:rPr>
          <w:rFonts w:ascii="Arial" w:hAnsi="Arial" w:cs="Arial"/>
          <w:i/>
          <w:sz w:val="24"/>
          <w:szCs w:val="24"/>
        </w:rPr>
      </w:pPr>
    </w:p>
    <w:p w14:paraId="1640FA53"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No obstante que las causas descritas eran imputables únicamente al CONTRATANTE, el 30 de septiembre de 1995 el contrato fue terminado unilateralmente por el Instituto Nacional de Vías INVÍAS, quien se negó a conceder nueva prórroga al CONTRATISTA.</w:t>
      </w:r>
    </w:p>
    <w:p w14:paraId="55D0104D" w14:textId="77777777" w:rsidR="00121A4D" w:rsidRPr="003E1882" w:rsidRDefault="00121A4D" w:rsidP="00F418C0">
      <w:pPr>
        <w:pStyle w:val="Sinespaciado"/>
        <w:ind w:left="567" w:right="760"/>
        <w:jc w:val="both"/>
        <w:rPr>
          <w:rFonts w:ascii="Arial" w:hAnsi="Arial" w:cs="Arial"/>
          <w:i/>
          <w:sz w:val="24"/>
          <w:szCs w:val="24"/>
        </w:rPr>
      </w:pPr>
    </w:p>
    <w:p w14:paraId="2A0E451F" w14:textId="77777777" w:rsidR="00121A4D" w:rsidRPr="003E1882" w:rsidRDefault="00121A4D" w:rsidP="00F418C0">
      <w:pPr>
        <w:pStyle w:val="Sinespaciado"/>
        <w:ind w:left="567" w:right="760"/>
        <w:jc w:val="both"/>
        <w:rPr>
          <w:rFonts w:ascii="Arial" w:hAnsi="Arial" w:cs="Arial"/>
          <w:i/>
          <w:sz w:val="24"/>
          <w:szCs w:val="24"/>
        </w:rPr>
      </w:pPr>
      <w:r w:rsidRPr="003E1882">
        <w:rPr>
          <w:rFonts w:ascii="Arial" w:hAnsi="Arial" w:cs="Arial"/>
          <w:i/>
          <w:sz w:val="24"/>
          <w:szCs w:val="24"/>
        </w:rPr>
        <w:t xml:space="preserve">El 5 de septiembre de 1996, mi mandante recibió de INVÍAS una comunicación mediante la cual se le convocó para iniciar los trámites necesarios para la liquidación del </w:t>
      </w:r>
      <w:proofErr w:type="gramStart"/>
      <w:r w:rsidRPr="003E1882">
        <w:rPr>
          <w:rFonts w:ascii="Arial" w:hAnsi="Arial" w:cs="Arial"/>
          <w:i/>
          <w:sz w:val="24"/>
          <w:szCs w:val="24"/>
        </w:rPr>
        <w:t>Contrato.  .</w:t>
      </w:r>
      <w:proofErr w:type="gramEnd"/>
      <w:r w:rsidRPr="003E1882">
        <w:rPr>
          <w:rFonts w:ascii="Arial" w:hAnsi="Arial" w:cs="Arial"/>
          <w:i/>
          <w:sz w:val="24"/>
          <w:szCs w:val="24"/>
        </w:rPr>
        <w:t xml:space="preserve"> El 10 de septiembre de 1996 se suscribió el ACTA DE RECIBO DEFINITIVO DE LA OBRA, en que se hizo una liquidación unilateral del contrato por parte de INVÍAS, suscrita por los Doctores, LUIS G SUÁREZ VELANDIA, Director Regional Nariño de INVÍAS y por los funcionarios de INVÍAS Jorge Luis </w:t>
      </w:r>
      <w:r w:rsidRPr="003E1882">
        <w:rPr>
          <w:rFonts w:ascii="Arial" w:hAnsi="Arial" w:cs="Arial"/>
          <w:i/>
          <w:sz w:val="24"/>
          <w:szCs w:val="24"/>
        </w:rPr>
        <w:lastRenderedPageBreak/>
        <w:t>Flórez Segura y Eduardo Caiza Flórez, documento que se anexa a la presente demanda. –folio 399-</w:t>
      </w:r>
    </w:p>
    <w:p w14:paraId="007E865D" w14:textId="77777777" w:rsidR="00121A4D" w:rsidRPr="003E1882" w:rsidRDefault="00121A4D" w:rsidP="00F418C0">
      <w:pPr>
        <w:spacing w:after="0" w:line="240" w:lineRule="auto"/>
        <w:jc w:val="both"/>
        <w:rPr>
          <w:rFonts w:ascii="Arial" w:eastAsia="Arial Unicode MS" w:hAnsi="Arial" w:cs="Arial"/>
          <w:sz w:val="24"/>
          <w:szCs w:val="24"/>
        </w:rPr>
      </w:pPr>
    </w:p>
    <w:p w14:paraId="10F557EF"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 xml:space="preserve">Con base en los anteriores hechos individualizó las siguientes causas de los perjuicios reclamados: (i) mayor permanencia en la obra; (ii) mayores costos por la explotación de canteras; (iii) intereses de mora en el pago de las actas; (iv) sobrecostos por acarreos adicionales; (v) obras pendientes de pago no incluidas en las actas; (vi) sobrecostos por excedentes no reconocidos por el pago del IVA, y (vi) sobrecostos por mayor valor pagado sobre impuestos de ley.  </w:t>
      </w:r>
    </w:p>
    <w:p w14:paraId="2F3B1D81" w14:textId="77777777" w:rsidR="00121A4D" w:rsidRPr="003E1882" w:rsidRDefault="00121A4D" w:rsidP="00F418C0">
      <w:pPr>
        <w:spacing w:after="0" w:line="240" w:lineRule="auto"/>
        <w:jc w:val="both"/>
        <w:rPr>
          <w:rFonts w:ascii="Arial" w:eastAsia="Arial Unicode MS" w:hAnsi="Arial" w:cs="Arial"/>
          <w:sz w:val="24"/>
          <w:szCs w:val="24"/>
        </w:rPr>
      </w:pPr>
    </w:p>
    <w:p w14:paraId="09E7AD41"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 xml:space="preserve">2. El 13 de marzo de 2017, el </w:t>
      </w:r>
      <w:r w:rsidRPr="003E1882">
        <w:rPr>
          <w:rFonts w:ascii="Arial" w:eastAsia="Arial Unicode MS" w:hAnsi="Arial" w:cs="Arial"/>
          <w:i/>
          <w:sz w:val="24"/>
          <w:szCs w:val="24"/>
        </w:rPr>
        <w:t>a quo,</w:t>
      </w:r>
      <w:r w:rsidRPr="003E1882">
        <w:rPr>
          <w:rFonts w:ascii="Arial" w:eastAsia="Arial Unicode MS" w:hAnsi="Arial" w:cs="Arial"/>
          <w:sz w:val="24"/>
          <w:szCs w:val="24"/>
        </w:rPr>
        <w:t xml:space="preserve"> previo a admitir, ordenó a la parte actora que precisara el medio de control presentado (fls. 64 a 66, c. 1). </w:t>
      </w:r>
    </w:p>
    <w:p w14:paraId="17EE481B" w14:textId="77777777" w:rsidR="00121A4D" w:rsidRPr="003E1882" w:rsidRDefault="00121A4D" w:rsidP="00F418C0">
      <w:pPr>
        <w:spacing w:after="0" w:line="240" w:lineRule="auto"/>
        <w:jc w:val="both"/>
        <w:rPr>
          <w:rFonts w:ascii="Arial" w:eastAsia="Arial Unicode MS" w:hAnsi="Arial" w:cs="Arial"/>
          <w:sz w:val="24"/>
          <w:szCs w:val="24"/>
        </w:rPr>
      </w:pPr>
    </w:p>
    <w:p w14:paraId="2B50F975"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 xml:space="preserve">3. El 22 de marzo de 2017, la accionante precisó que </w:t>
      </w:r>
      <w:r w:rsidRPr="003E1882">
        <w:rPr>
          <w:rFonts w:ascii="Arial" w:eastAsia="Arial Unicode MS" w:hAnsi="Arial" w:cs="Arial"/>
          <w:i/>
          <w:sz w:val="24"/>
          <w:szCs w:val="24"/>
        </w:rPr>
        <w:t>“lo que perseguimos no es el incumplimiento de las obligaciones contractuales… sino la reparación patrimonial por el no pago de los dineros que dejó de cancelar la entidad del Estado”. Así, cuando se habla de “incumplimiento de acciones contractuales”, estamos hablando de una acción de tipo contractual eminentemente y, cuando hablamos de la “reparación por el no pago”, nos referimos a una acción de enriquecimiento sin causa o acción in rem verso, que necesariamente deviene de un contrato”</w:t>
      </w:r>
      <w:r w:rsidRPr="003E1882">
        <w:rPr>
          <w:rFonts w:ascii="Arial" w:eastAsia="Arial Unicode MS" w:hAnsi="Arial" w:cs="Arial"/>
          <w:sz w:val="24"/>
          <w:szCs w:val="24"/>
        </w:rPr>
        <w:t xml:space="preserve"> (fl. 70, c. 1). </w:t>
      </w:r>
    </w:p>
    <w:p w14:paraId="5C7EBDD4" w14:textId="77777777" w:rsidR="00121A4D" w:rsidRPr="003E1882" w:rsidRDefault="00121A4D" w:rsidP="00F418C0">
      <w:pPr>
        <w:spacing w:after="0" w:line="240" w:lineRule="auto"/>
        <w:jc w:val="both"/>
        <w:rPr>
          <w:rFonts w:ascii="Arial" w:eastAsia="Arial Unicode MS" w:hAnsi="Arial" w:cs="Arial"/>
          <w:sz w:val="24"/>
          <w:szCs w:val="24"/>
        </w:rPr>
      </w:pPr>
    </w:p>
    <w:p w14:paraId="054558AE"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 xml:space="preserve">4. </w:t>
      </w:r>
      <w:r w:rsidRPr="003E1882">
        <w:rPr>
          <w:rFonts w:ascii="Arial" w:eastAsia="Arial Unicode MS" w:hAnsi="Arial" w:cs="Arial"/>
          <w:i/>
          <w:sz w:val="24"/>
          <w:szCs w:val="24"/>
        </w:rPr>
        <w:t>La decisión cuestionada.</w:t>
      </w:r>
      <w:r w:rsidRPr="003E1882">
        <w:rPr>
          <w:rFonts w:ascii="Arial" w:eastAsia="Arial Unicode MS" w:hAnsi="Arial" w:cs="Arial"/>
          <w:sz w:val="24"/>
          <w:szCs w:val="24"/>
        </w:rPr>
        <w:t xml:space="preserve"> El </w:t>
      </w:r>
      <w:r w:rsidRPr="003E1882">
        <w:rPr>
          <w:rFonts w:ascii="Arial" w:eastAsia="Arial Unicode MS" w:hAnsi="Arial" w:cs="Arial"/>
          <w:i/>
          <w:sz w:val="24"/>
          <w:szCs w:val="24"/>
        </w:rPr>
        <w:t>a quo</w:t>
      </w:r>
      <w:r w:rsidRPr="003E1882">
        <w:rPr>
          <w:rFonts w:ascii="Arial" w:eastAsia="Arial Unicode MS" w:hAnsi="Arial" w:cs="Arial"/>
          <w:sz w:val="24"/>
          <w:szCs w:val="24"/>
        </w:rPr>
        <w:t xml:space="preserve"> mediante auto del 5 de abril de 2017 (fls. 72 a 83, c. 2) consideró que la naturaleza del proceso era contractual, en particular, bajo el marco del contrato de obra n.° 651 de 1984, el que fue suscrito entre las partes en litigio; sin embargo, recordó que en cumplimiento de su auto del 13 de marzo de 2017 la parte actora manifestó que la acción que instauraba era la de un enriquecimiento sin causa. Siendo así, en aras de privilegiar el acceso a la administración de justicia, afirmó que el medio de control para esa pretensión era el de reparación directa. </w:t>
      </w:r>
    </w:p>
    <w:p w14:paraId="5067C129" w14:textId="77777777" w:rsidR="00121A4D" w:rsidRPr="003E1882" w:rsidRDefault="00121A4D" w:rsidP="00F418C0">
      <w:pPr>
        <w:spacing w:after="0" w:line="240" w:lineRule="auto"/>
        <w:jc w:val="both"/>
        <w:rPr>
          <w:rFonts w:ascii="Arial" w:eastAsia="Arial Unicode MS" w:hAnsi="Arial" w:cs="Arial"/>
          <w:sz w:val="24"/>
          <w:szCs w:val="24"/>
        </w:rPr>
      </w:pPr>
    </w:p>
    <w:p w14:paraId="376A1358"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Una vez analizada la caducidad de ese medio de control concluyó que debía contarse desde la terminación del contrato, esto es, el 30 de septiembre de 1995. Desde esa fecha hasta la presentación de la demanda el 11 de julio de 2016 consideró superado con creces la oportunidad para accionar, sin que pudiera contarse la caducidad con fundamento en lo dispuesto en el artículo 55 de la Ley 80 de 1993, toda vez que ello se reserva para asuntos de estirpe contractual, naturaleza a la cual escapan las pretensiones de enriquecimiento sin causa.</w:t>
      </w:r>
    </w:p>
    <w:p w14:paraId="7B74DB73" w14:textId="77777777" w:rsidR="00121A4D" w:rsidRPr="003E1882" w:rsidRDefault="00121A4D" w:rsidP="00F418C0">
      <w:pPr>
        <w:spacing w:after="0" w:line="240" w:lineRule="auto"/>
        <w:jc w:val="both"/>
        <w:rPr>
          <w:rFonts w:ascii="Arial" w:eastAsia="Arial Unicode MS" w:hAnsi="Arial" w:cs="Arial"/>
          <w:sz w:val="24"/>
          <w:szCs w:val="24"/>
        </w:rPr>
      </w:pPr>
    </w:p>
    <w:p w14:paraId="4D13CBBA"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Frente al medio de control de controversias contractuales, que consideró el procedente, el</w:t>
      </w:r>
      <w:r w:rsidRPr="003E1882">
        <w:rPr>
          <w:rFonts w:ascii="Arial" w:eastAsia="Arial Unicode MS" w:hAnsi="Arial" w:cs="Arial"/>
          <w:i/>
          <w:sz w:val="24"/>
          <w:szCs w:val="24"/>
        </w:rPr>
        <w:t xml:space="preserve"> a quo</w:t>
      </w:r>
      <w:r w:rsidRPr="003E1882">
        <w:rPr>
          <w:rFonts w:ascii="Arial" w:eastAsia="Arial Unicode MS" w:hAnsi="Arial" w:cs="Arial"/>
          <w:sz w:val="24"/>
          <w:szCs w:val="24"/>
        </w:rPr>
        <w:t xml:space="preserve"> precisó que como el contrato se ejecutó en el departamento de Nariño y la cuantía era superior a los 500 salarios mínimos mensuales le correspondía su conocimiento en primera instancia al Tribunal Administrativo de Nariño. </w:t>
      </w:r>
    </w:p>
    <w:p w14:paraId="0B7B8FA4" w14:textId="77777777" w:rsidR="00121A4D" w:rsidRPr="003E1882" w:rsidRDefault="00121A4D" w:rsidP="00F418C0">
      <w:pPr>
        <w:spacing w:after="0" w:line="240" w:lineRule="auto"/>
        <w:jc w:val="both"/>
        <w:rPr>
          <w:rFonts w:ascii="Arial" w:eastAsia="Arial Unicode MS" w:hAnsi="Arial" w:cs="Arial"/>
          <w:sz w:val="24"/>
          <w:szCs w:val="24"/>
        </w:rPr>
      </w:pPr>
    </w:p>
    <w:p w14:paraId="1E423DBA" w14:textId="77777777" w:rsidR="00121A4D" w:rsidRPr="003E1882" w:rsidRDefault="00121A4D" w:rsidP="00F418C0">
      <w:pPr>
        <w:spacing w:after="0" w:line="240" w:lineRule="auto"/>
        <w:jc w:val="both"/>
        <w:rPr>
          <w:rFonts w:ascii="Arial" w:eastAsia="Arial Unicode MS" w:hAnsi="Arial" w:cs="Arial"/>
          <w:i/>
          <w:sz w:val="24"/>
          <w:szCs w:val="24"/>
        </w:rPr>
      </w:pPr>
      <w:r w:rsidRPr="003E1882">
        <w:rPr>
          <w:rFonts w:ascii="Arial" w:eastAsia="Arial Unicode MS" w:hAnsi="Arial" w:cs="Arial"/>
          <w:sz w:val="24"/>
          <w:szCs w:val="24"/>
        </w:rPr>
        <w:t xml:space="preserve">Con base en lo expuesto, declaró la caducidad del medio de control de reparación directa y remitió el asunto al Tribunal Administrativo de Nariño para lo de su cargo.   </w:t>
      </w:r>
      <w:r w:rsidRPr="003E1882">
        <w:rPr>
          <w:rFonts w:ascii="Arial" w:eastAsia="Arial Unicode MS" w:hAnsi="Arial" w:cs="Arial"/>
          <w:i/>
          <w:sz w:val="24"/>
          <w:szCs w:val="24"/>
        </w:rPr>
        <w:t xml:space="preserve"> </w:t>
      </w:r>
    </w:p>
    <w:p w14:paraId="6E46D66B" w14:textId="77777777" w:rsidR="00121A4D" w:rsidRPr="003E1882" w:rsidRDefault="00121A4D" w:rsidP="00F418C0">
      <w:pPr>
        <w:spacing w:after="0" w:line="240" w:lineRule="auto"/>
        <w:jc w:val="both"/>
        <w:rPr>
          <w:rFonts w:ascii="Arial" w:eastAsia="Arial Unicode MS" w:hAnsi="Arial" w:cs="Arial"/>
          <w:sz w:val="24"/>
          <w:szCs w:val="24"/>
        </w:rPr>
      </w:pPr>
    </w:p>
    <w:p w14:paraId="2E9CBC83" w14:textId="77777777" w:rsidR="00121A4D" w:rsidRPr="003E1882" w:rsidRDefault="00121A4D" w:rsidP="00F418C0">
      <w:pPr>
        <w:pStyle w:val="Sinespaciado"/>
        <w:jc w:val="both"/>
        <w:rPr>
          <w:rFonts w:ascii="Arial" w:hAnsi="Arial" w:cs="Arial"/>
          <w:sz w:val="24"/>
          <w:szCs w:val="24"/>
        </w:rPr>
      </w:pPr>
      <w:r w:rsidRPr="003E1882">
        <w:rPr>
          <w:rFonts w:ascii="Arial" w:hAnsi="Arial" w:cs="Arial"/>
          <w:sz w:val="24"/>
          <w:szCs w:val="24"/>
        </w:rPr>
        <w:t xml:space="preserve">5. El 21 de abril de 2017 (fl. 87, c. 2), la parte actora presentó recurso de apelación (fls. 87 y 88, c. 2). Para el efecto, insistió que el término de caducidad para el presente asunto era de 20 años, tal como lo disponía el artículo 55 de la Ley 80 de 1993; de otro lado, afirmó que el numeral 10 del artículo 28 del CGP dispone que, en los procesos contenciosos en lo que sea parte una entidad territorial o descentralizado </w:t>
      </w:r>
      <w:proofErr w:type="gramStart"/>
      <w:r w:rsidRPr="003E1882">
        <w:rPr>
          <w:rFonts w:ascii="Arial" w:hAnsi="Arial" w:cs="Arial"/>
          <w:sz w:val="24"/>
          <w:szCs w:val="24"/>
        </w:rPr>
        <w:t>pro servicios</w:t>
      </w:r>
      <w:proofErr w:type="gramEnd"/>
      <w:r w:rsidRPr="003E1882">
        <w:rPr>
          <w:rFonts w:ascii="Arial" w:hAnsi="Arial" w:cs="Arial"/>
          <w:sz w:val="24"/>
          <w:szCs w:val="24"/>
        </w:rPr>
        <w:t xml:space="preserve"> o cualquier otra entidad pública, conocerá de manera privativa el juez del domicilio de la respectiva entidad. En consecuencia, siendo </w:t>
      </w:r>
      <w:r w:rsidRPr="003E1882">
        <w:rPr>
          <w:rFonts w:ascii="Arial" w:hAnsi="Arial" w:cs="Arial"/>
          <w:sz w:val="24"/>
          <w:szCs w:val="24"/>
        </w:rPr>
        <w:lastRenderedPageBreak/>
        <w:t xml:space="preserve">demandado el Invías, que tiene su domicilio en Cundinamarca, el Tribunal </w:t>
      </w:r>
      <w:r w:rsidRPr="003E1882">
        <w:rPr>
          <w:rFonts w:ascii="Arial" w:hAnsi="Arial" w:cs="Arial"/>
          <w:i/>
          <w:sz w:val="24"/>
          <w:szCs w:val="24"/>
        </w:rPr>
        <w:t>a quo</w:t>
      </w:r>
      <w:r w:rsidRPr="003E1882">
        <w:rPr>
          <w:rFonts w:ascii="Arial" w:hAnsi="Arial" w:cs="Arial"/>
          <w:sz w:val="24"/>
          <w:szCs w:val="24"/>
        </w:rPr>
        <w:t xml:space="preserve"> es el competente para conocer del asunto.  </w:t>
      </w:r>
    </w:p>
    <w:p w14:paraId="4DF8A7F5" w14:textId="77777777" w:rsidR="00121A4D" w:rsidRPr="003E1882" w:rsidRDefault="00121A4D" w:rsidP="00F418C0">
      <w:pPr>
        <w:spacing w:after="0" w:line="240" w:lineRule="auto"/>
        <w:jc w:val="both"/>
        <w:rPr>
          <w:rFonts w:ascii="Arial" w:eastAsia="Arial Unicode MS" w:hAnsi="Arial" w:cs="Arial"/>
          <w:sz w:val="24"/>
          <w:szCs w:val="24"/>
        </w:rPr>
      </w:pPr>
    </w:p>
    <w:p w14:paraId="57504EF3" w14:textId="77777777" w:rsidR="00121A4D" w:rsidRPr="003E1882" w:rsidRDefault="00121A4D" w:rsidP="00F418C0">
      <w:pPr>
        <w:spacing w:after="0" w:line="240" w:lineRule="auto"/>
        <w:jc w:val="center"/>
        <w:rPr>
          <w:rFonts w:ascii="Arial" w:eastAsia="Arial Unicode MS" w:hAnsi="Arial" w:cs="Arial"/>
          <w:b/>
          <w:sz w:val="24"/>
          <w:szCs w:val="24"/>
        </w:rPr>
      </w:pPr>
      <w:r w:rsidRPr="003E1882">
        <w:rPr>
          <w:rFonts w:ascii="Arial" w:eastAsia="Arial Unicode MS" w:hAnsi="Arial" w:cs="Arial"/>
          <w:b/>
          <w:sz w:val="24"/>
          <w:szCs w:val="24"/>
        </w:rPr>
        <w:t>II. CONSIDERACIONES</w:t>
      </w:r>
    </w:p>
    <w:p w14:paraId="3EF19E2A"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sz w:val="24"/>
          <w:szCs w:val="24"/>
          <w:lang w:eastAsia="es-ES"/>
        </w:rPr>
      </w:pPr>
    </w:p>
    <w:p w14:paraId="564D7B96"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
          <w:bCs/>
          <w:color w:val="000000"/>
          <w:sz w:val="24"/>
          <w:szCs w:val="24"/>
          <w:lang w:eastAsia="es-CO"/>
        </w:rPr>
      </w:pPr>
      <w:r w:rsidRPr="003E1882">
        <w:rPr>
          <w:rFonts w:ascii="Arial" w:eastAsia="Arial Unicode MS" w:hAnsi="Arial" w:cs="Arial"/>
          <w:b/>
          <w:bCs/>
          <w:color w:val="000000"/>
          <w:sz w:val="24"/>
          <w:szCs w:val="24"/>
          <w:lang w:eastAsia="es-CO"/>
        </w:rPr>
        <w:t>1. COMPETENCIA</w:t>
      </w:r>
    </w:p>
    <w:p w14:paraId="758B0A85"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p>
    <w:p w14:paraId="721F9922"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r w:rsidRPr="003E1882">
        <w:rPr>
          <w:rFonts w:ascii="Arial" w:eastAsia="Arial Unicode MS" w:hAnsi="Arial" w:cs="Arial"/>
          <w:bCs/>
          <w:color w:val="000000"/>
          <w:sz w:val="24"/>
          <w:szCs w:val="24"/>
          <w:lang w:eastAsia="es-CO"/>
        </w:rPr>
        <w:t xml:space="preserve">Esta Corporación es la competente para conocer del presente </w:t>
      </w:r>
      <w:r w:rsidRPr="003E1882">
        <w:rPr>
          <w:rFonts w:ascii="Arial" w:eastAsia="Arial Unicode MS" w:hAnsi="Arial" w:cs="Arial"/>
          <w:bCs/>
          <w:sz w:val="24"/>
          <w:szCs w:val="24"/>
          <w:lang w:eastAsia="es-CO"/>
        </w:rPr>
        <w:t>asunto, en segunda instancia, en los términos del artículo 150 del CPACA</w:t>
      </w:r>
      <w:r w:rsidRPr="003E1882">
        <w:rPr>
          <w:rStyle w:val="Refdenotaalpie"/>
          <w:rFonts w:ascii="Arial" w:eastAsia="Arial Unicode MS" w:hAnsi="Arial" w:cs="Arial"/>
          <w:bCs/>
          <w:sz w:val="24"/>
          <w:szCs w:val="24"/>
          <w:lang w:eastAsia="es-CO"/>
        </w:rPr>
        <w:footnoteReference w:id="2"/>
      </w:r>
      <w:r w:rsidRPr="003E1882">
        <w:rPr>
          <w:rFonts w:ascii="Arial" w:eastAsia="Arial Unicode MS" w:hAnsi="Arial" w:cs="Arial"/>
          <w:bCs/>
          <w:sz w:val="24"/>
          <w:szCs w:val="24"/>
          <w:lang w:eastAsia="es-CO"/>
        </w:rPr>
        <w:t xml:space="preserve">, </w:t>
      </w:r>
      <w:r w:rsidRPr="003E1882">
        <w:rPr>
          <w:rFonts w:ascii="Arial" w:hAnsi="Arial" w:cs="Arial"/>
          <w:sz w:val="24"/>
          <w:szCs w:val="24"/>
        </w:rPr>
        <w:t>modificado por el artículo </w:t>
      </w:r>
      <w:hyperlink r:id="rId9" w:anchor="615" w:history="1">
        <w:r w:rsidRPr="003E1882">
          <w:rPr>
            <w:rStyle w:val="Hipervnculo"/>
            <w:rFonts w:ascii="Arial" w:hAnsi="Arial" w:cs="Arial"/>
            <w:sz w:val="24"/>
            <w:szCs w:val="24"/>
          </w:rPr>
          <w:t>615</w:t>
        </w:r>
      </w:hyperlink>
      <w:r w:rsidRPr="003E1882">
        <w:rPr>
          <w:rFonts w:ascii="Arial" w:hAnsi="Arial" w:cs="Arial"/>
          <w:sz w:val="24"/>
          <w:szCs w:val="24"/>
        </w:rPr>
        <w:t> de la Ley 1564 de 2012,</w:t>
      </w:r>
      <w:r w:rsidRPr="003E1882">
        <w:rPr>
          <w:rFonts w:ascii="Arial" w:eastAsia="Arial Unicode MS" w:hAnsi="Arial" w:cs="Arial"/>
          <w:bCs/>
          <w:sz w:val="24"/>
          <w:szCs w:val="24"/>
          <w:lang w:eastAsia="es-CO"/>
        </w:rPr>
        <w:t xml:space="preserve"> codificación aplicable al presente asunto</w:t>
      </w:r>
      <w:r w:rsidRPr="003E1882">
        <w:rPr>
          <w:rStyle w:val="Refdenotaalpie"/>
          <w:rFonts w:ascii="Arial" w:eastAsia="Arial Unicode MS" w:hAnsi="Arial" w:cs="Arial"/>
          <w:bCs/>
          <w:sz w:val="24"/>
          <w:szCs w:val="24"/>
          <w:lang w:eastAsia="es-CO"/>
        </w:rPr>
        <w:footnoteReference w:id="3"/>
      </w:r>
      <w:r w:rsidRPr="003E1882">
        <w:rPr>
          <w:rFonts w:ascii="Arial" w:eastAsia="Arial Unicode MS" w:hAnsi="Arial" w:cs="Arial"/>
          <w:bCs/>
          <w:sz w:val="24"/>
          <w:szCs w:val="24"/>
          <w:lang w:eastAsia="es-CO"/>
        </w:rPr>
        <w:t>,</w:t>
      </w:r>
      <w:r w:rsidRPr="003E1882">
        <w:rPr>
          <w:rFonts w:ascii="Arial" w:eastAsia="Arial Unicode MS" w:hAnsi="Arial" w:cs="Arial"/>
          <w:bCs/>
          <w:color w:val="000000"/>
          <w:sz w:val="24"/>
          <w:szCs w:val="24"/>
          <w:lang w:eastAsia="es-CO"/>
        </w:rPr>
        <w:t xml:space="preserve"> toda vez que al superar el presente proceso la cuantía de 500 salarios mínimos legales mensuales vigentes</w:t>
      </w:r>
      <w:r w:rsidRPr="003E1882">
        <w:rPr>
          <w:rStyle w:val="Refdenotaalpie"/>
          <w:rFonts w:ascii="Arial" w:eastAsia="Arial Unicode MS" w:hAnsi="Arial" w:cs="Arial"/>
          <w:bCs/>
          <w:color w:val="000000"/>
          <w:sz w:val="24"/>
          <w:szCs w:val="24"/>
          <w:lang w:eastAsia="es-CO"/>
        </w:rPr>
        <w:footnoteReference w:id="4"/>
      </w:r>
      <w:r w:rsidRPr="003E1882">
        <w:rPr>
          <w:rFonts w:ascii="Arial" w:eastAsia="Arial Unicode MS" w:hAnsi="Arial" w:cs="Arial"/>
          <w:bCs/>
          <w:color w:val="000000"/>
          <w:sz w:val="24"/>
          <w:szCs w:val="24"/>
          <w:lang w:eastAsia="es-CO"/>
        </w:rPr>
        <w:t xml:space="preserve"> correspondía al </w:t>
      </w:r>
      <w:r w:rsidRPr="003E1882">
        <w:rPr>
          <w:rFonts w:ascii="Arial" w:eastAsia="Arial Unicode MS" w:hAnsi="Arial" w:cs="Arial"/>
          <w:bCs/>
          <w:i/>
          <w:color w:val="000000"/>
          <w:sz w:val="24"/>
          <w:szCs w:val="24"/>
          <w:lang w:eastAsia="es-CO"/>
        </w:rPr>
        <w:t>a quo</w:t>
      </w:r>
      <w:r w:rsidRPr="003E1882">
        <w:rPr>
          <w:rFonts w:ascii="Arial" w:eastAsia="Arial Unicode MS" w:hAnsi="Arial" w:cs="Arial"/>
          <w:bCs/>
          <w:color w:val="000000"/>
          <w:sz w:val="24"/>
          <w:szCs w:val="24"/>
          <w:lang w:eastAsia="es-CO"/>
        </w:rPr>
        <w:t xml:space="preserve"> conocerlo en primera instancia y la providencia cuestionada es susceptible de apelación, en los términos del numeral 3 del artículo 243 del </w:t>
      </w:r>
      <w:r w:rsidRPr="003E1882">
        <w:rPr>
          <w:rFonts w:ascii="Arial" w:eastAsia="Arial Unicode MS" w:hAnsi="Arial" w:cs="Arial"/>
          <w:bCs/>
          <w:i/>
          <w:color w:val="000000"/>
          <w:sz w:val="24"/>
          <w:szCs w:val="24"/>
          <w:lang w:eastAsia="es-CO"/>
        </w:rPr>
        <w:t>ejusdem</w:t>
      </w:r>
      <w:r w:rsidRPr="003E1882">
        <w:rPr>
          <w:rFonts w:ascii="Arial" w:eastAsia="Arial Unicode MS" w:hAnsi="Arial" w:cs="Arial"/>
          <w:bCs/>
          <w:color w:val="000000"/>
          <w:sz w:val="24"/>
          <w:szCs w:val="24"/>
          <w:lang w:eastAsia="es-CO"/>
        </w:rPr>
        <w:t>.</w:t>
      </w:r>
    </w:p>
    <w:p w14:paraId="4142A144"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p>
    <w:p w14:paraId="3431878B"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r w:rsidRPr="003E1882">
        <w:rPr>
          <w:rFonts w:ascii="Arial" w:eastAsia="Arial Unicode MS" w:hAnsi="Arial" w:cs="Arial"/>
          <w:bCs/>
          <w:color w:val="000000"/>
          <w:sz w:val="24"/>
          <w:szCs w:val="24"/>
          <w:lang w:eastAsia="es-CO"/>
        </w:rPr>
        <w:t>Además, a la Sección le asignaron este tipo de asuntos de forma interna</w:t>
      </w:r>
      <w:r w:rsidRPr="003E1882">
        <w:rPr>
          <w:rStyle w:val="Refdenotaalpie"/>
          <w:rFonts w:ascii="Arial" w:eastAsia="Arial Unicode MS" w:hAnsi="Arial" w:cs="Arial"/>
          <w:bCs/>
          <w:color w:val="000000"/>
          <w:sz w:val="24"/>
          <w:szCs w:val="24"/>
          <w:lang w:eastAsia="es-CO"/>
        </w:rPr>
        <w:footnoteReference w:id="5"/>
      </w:r>
      <w:r w:rsidRPr="003E1882">
        <w:rPr>
          <w:rFonts w:ascii="Arial" w:eastAsia="Arial Unicode MS" w:hAnsi="Arial" w:cs="Arial"/>
          <w:bCs/>
          <w:color w:val="000000"/>
          <w:sz w:val="24"/>
          <w:szCs w:val="24"/>
          <w:lang w:eastAsia="es-CO"/>
        </w:rPr>
        <w:t>.</w:t>
      </w:r>
    </w:p>
    <w:p w14:paraId="6B29B12A"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p>
    <w:p w14:paraId="397E9803"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val="es-ES" w:eastAsia="es-CO"/>
        </w:rPr>
      </w:pPr>
      <w:r w:rsidRPr="003E1882">
        <w:rPr>
          <w:rFonts w:ascii="Arial" w:eastAsia="Arial Unicode MS" w:hAnsi="Arial" w:cs="Arial"/>
          <w:bCs/>
          <w:color w:val="000000"/>
          <w:sz w:val="24"/>
          <w:szCs w:val="24"/>
          <w:lang w:val="es-ES" w:eastAsia="es-CO"/>
        </w:rPr>
        <w:t>Por último, acogiendo la postura mayoritaria de la Sala de Subsección</w:t>
      </w:r>
      <w:r w:rsidRPr="003E1882">
        <w:rPr>
          <w:rFonts w:ascii="Arial" w:eastAsia="Arial Unicode MS" w:hAnsi="Arial" w:cs="Arial"/>
          <w:bCs/>
          <w:color w:val="000000"/>
          <w:sz w:val="24"/>
          <w:szCs w:val="24"/>
          <w:vertAlign w:val="superscript"/>
          <w:lang w:val="es-ES" w:eastAsia="es-CO"/>
        </w:rPr>
        <w:footnoteReference w:id="6"/>
      </w:r>
      <w:r w:rsidRPr="003E1882">
        <w:rPr>
          <w:rFonts w:ascii="Arial" w:eastAsia="Arial Unicode MS" w:hAnsi="Arial" w:cs="Arial"/>
          <w:bCs/>
          <w:color w:val="000000"/>
          <w:sz w:val="24"/>
          <w:szCs w:val="24"/>
          <w:lang w:val="es-ES" w:eastAsia="es-CO"/>
        </w:rPr>
        <w:t>, corresponde al despacho proferir la decisión en el presente asunto, de conformidad con lo establecido en el artículo 125 de la Ley 1437.</w:t>
      </w:r>
    </w:p>
    <w:p w14:paraId="489A7964" w14:textId="77777777" w:rsidR="00121A4D" w:rsidRPr="003E1882" w:rsidRDefault="00121A4D" w:rsidP="00F418C0">
      <w:pPr>
        <w:pStyle w:val="Sinespaciado"/>
        <w:jc w:val="both"/>
        <w:rPr>
          <w:rFonts w:ascii="Arial" w:hAnsi="Arial" w:cs="Arial"/>
          <w:sz w:val="24"/>
          <w:szCs w:val="24"/>
          <w:lang w:eastAsia="es-CO"/>
        </w:rPr>
      </w:pPr>
    </w:p>
    <w:p w14:paraId="692FC40C" w14:textId="77777777" w:rsidR="00121A4D" w:rsidRPr="003E1882" w:rsidRDefault="00121A4D" w:rsidP="00F418C0">
      <w:pPr>
        <w:pStyle w:val="Sinespaciado"/>
        <w:jc w:val="both"/>
        <w:rPr>
          <w:rFonts w:ascii="Arial" w:hAnsi="Arial" w:cs="Arial"/>
          <w:b/>
          <w:sz w:val="24"/>
          <w:szCs w:val="24"/>
          <w:lang w:eastAsia="es-CO"/>
        </w:rPr>
      </w:pPr>
      <w:r w:rsidRPr="003E1882">
        <w:rPr>
          <w:rFonts w:ascii="Arial" w:hAnsi="Arial" w:cs="Arial"/>
          <w:b/>
          <w:sz w:val="24"/>
          <w:szCs w:val="24"/>
          <w:lang w:eastAsia="es-CO"/>
        </w:rPr>
        <w:t xml:space="preserve">2. PROCEDENCIA Y OPORTUNIDAD DEL RECURSO  </w:t>
      </w:r>
    </w:p>
    <w:p w14:paraId="6880EE94" w14:textId="77777777" w:rsidR="00121A4D" w:rsidRPr="003E1882" w:rsidRDefault="00121A4D" w:rsidP="00F418C0">
      <w:pPr>
        <w:pStyle w:val="Sinespaciado"/>
        <w:jc w:val="both"/>
        <w:rPr>
          <w:rFonts w:ascii="Arial" w:hAnsi="Arial" w:cs="Arial"/>
          <w:b/>
          <w:sz w:val="24"/>
          <w:szCs w:val="24"/>
          <w:lang w:eastAsia="es-CO"/>
        </w:rPr>
      </w:pPr>
    </w:p>
    <w:p w14:paraId="354D8506"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r w:rsidRPr="003E1882">
        <w:rPr>
          <w:rFonts w:ascii="Arial" w:eastAsia="Arial Unicode MS" w:hAnsi="Arial" w:cs="Arial"/>
          <w:bCs/>
          <w:color w:val="000000"/>
          <w:sz w:val="24"/>
          <w:szCs w:val="24"/>
          <w:lang w:eastAsia="es-CO"/>
        </w:rPr>
        <w:t xml:space="preserve">El auto que declara la caducidad dictado por un tribunal administrativo en primera instancia, como ocurre en el </w:t>
      </w:r>
      <w:proofErr w:type="gramStart"/>
      <w:r w:rsidRPr="003E1882">
        <w:rPr>
          <w:rFonts w:ascii="Arial" w:eastAsia="Arial Unicode MS" w:hAnsi="Arial" w:cs="Arial"/>
          <w:bCs/>
          <w:i/>
          <w:color w:val="000000"/>
          <w:sz w:val="24"/>
          <w:szCs w:val="24"/>
          <w:lang w:eastAsia="es-CO"/>
        </w:rPr>
        <w:t>sub lite</w:t>
      </w:r>
      <w:proofErr w:type="gramEnd"/>
      <w:r w:rsidRPr="003E1882">
        <w:rPr>
          <w:rFonts w:ascii="Arial" w:eastAsia="Arial Unicode MS" w:hAnsi="Arial" w:cs="Arial"/>
          <w:bCs/>
          <w:color w:val="000000"/>
          <w:sz w:val="24"/>
          <w:szCs w:val="24"/>
          <w:lang w:eastAsia="es-CO"/>
        </w:rPr>
        <w:t>, es apelable de conformidad con el artículo 243.3 del CPACA.</w:t>
      </w:r>
    </w:p>
    <w:p w14:paraId="79F5082D" w14:textId="77777777" w:rsidR="00121A4D" w:rsidRPr="003E1882" w:rsidRDefault="00121A4D" w:rsidP="00F418C0">
      <w:pPr>
        <w:pStyle w:val="Sinespaciado"/>
        <w:jc w:val="both"/>
        <w:rPr>
          <w:rFonts w:ascii="Arial" w:hAnsi="Arial" w:cs="Arial"/>
          <w:sz w:val="24"/>
          <w:szCs w:val="24"/>
        </w:rPr>
      </w:pPr>
    </w:p>
    <w:p w14:paraId="48478DC0" w14:textId="77777777" w:rsidR="00121A4D" w:rsidRPr="003E1882" w:rsidRDefault="00121A4D" w:rsidP="00F418C0">
      <w:pPr>
        <w:pStyle w:val="Sinespaciado"/>
        <w:jc w:val="both"/>
        <w:rPr>
          <w:rFonts w:ascii="Arial" w:hAnsi="Arial" w:cs="Arial"/>
          <w:sz w:val="24"/>
          <w:szCs w:val="24"/>
        </w:rPr>
      </w:pPr>
      <w:r w:rsidRPr="003E1882">
        <w:rPr>
          <w:rFonts w:ascii="Arial" w:hAnsi="Arial" w:cs="Arial"/>
          <w:sz w:val="24"/>
          <w:szCs w:val="24"/>
        </w:rPr>
        <w:t xml:space="preserve">De otro lado, según el numeral 2 del artículo 244 del CPACA dispone que la apelación en contra de la providencia que se dicte por fuera de audiencia deberá interponerse y sustentarse dentro de los tres días siguientes a su notificación por estado. En el </w:t>
      </w:r>
      <w:proofErr w:type="gramStart"/>
      <w:r w:rsidRPr="003E1882">
        <w:rPr>
          <w:rFonts w:ascii="Arial" w:hAnsi="Arial" w:cs="Arial"/>
          <w:i/>
          <w:sz w:val="24"/>
          <w:szCs w:val="24"/>
        </w:rPr>
        <w:t>sub lite</w:t>
      </w:r>
      <w:proofErr w:type="gramEnd"/>
      <w:r w:rsidRPr="003E1882">
        <w:rPr>
          <w:rFonts w:ascii="Arial" w:hAnsi="Arial" w:cs="Arial"/>
          <w:sz w:val="24"/>
          <w:szCs w:val="24"/>
        </w:rPr>
        <w:t xml:space="preserve">, la notificación por estado se surtió el 18 de abril de 2017, </w:t>
      </w:r>
      <w:r w:rsidRPr="003E1882">
        <w:rPr>
          <w:rFonts w:ascii="Arial" w:hAnsi="Arial" w:cs="Arial"/>
          <w:sz w:val="24"/>
          <w:szCs w:val="24"/>
        </w:rPr>
        <w:lastRenderedPageBreak/>
        <w:t>mientras que la apelación se presentó el 21 del mismo mes y año (fls. 83 rev. y 87, c. 2), es decir, oportunamente.</w:t>
      </w:r>
    </w:p>
    <w:p w14:paraId="7C15CBB3" w14:textId="77777777" w:rsidR="00121A4D" w:rsidRPr="003E1882" w:rsidRDefault="00121A4D" w:rsidP="00F418C0">
      <w:pPr>
        <w:pStyle w:val="Sinespaciado"/>
        <w:jc w:val="both"/>
        <w:rPr>
          <w:rFonts w:ascii="Arial" w:hAnsi="Arial" w:cs="Arial"/>
          <w:sz w:val="24"/>
          <w:szCs w:val="24"/>
        </w:rPr>
      </w:pPr>
    </w:p>
    <w:p w14:paraId="6B3480C5"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3E1882">
        <w:rPr>
          <w:rFonts w:ascii="Arial" w:eastAsia="Arial Unicode MS" w:hAnsi="Arial" w:cs="Arial"/>
          <w:b/>
          <w:color w:val="000000"/>
          <w:sz w:val="24"/>
          <w:szCs w:val="24"/>
          <w:lang w:eastAsia="es-CO"/>
        </w:rPr>
        <w:t xml:space="preserve">3. </w:t>
      </w:r>
      <w:r w:rsidRPr="003E1882">
        <w:rPr>
          <w:rFonts w:ascii="Arial" w:eastAsia="Arial Unicode MS" w:hAnsi="Arial" w:cs="Arial"/>
          <w:b/>
          <w:sz w:val="24"/>
          <w:szCs w:val="24"/>
        </w:rPr>
        <w:t>DEL CASO CONCRETO</w:t>
      </w:r>
    </w:p>
    <w:p w14:paraId="583CF163"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b/>
          <w:sz w:val="24"/>
          <w:szCs w:val="24"/>
        </w:rPr>
      </w:pPr>
    </w:p>
    <w:p w14:paraId="35054B7E"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 xml:space="preserve">El despacho confirmará la decisión del </w:t>
      </w:r>
      <w:r w:rsidRPr="003E1882">
        <w:rPr>
          <w:rFonts w:ascii="Arial" w:eastAsia="Arial Unicode MS" w:hAnsi="Arial" w:cs="Arial"/>
          <w:i/>
          <w:sz w:val="24"/>
          <w:szCs w:val="24"/>
        </w:rPr>
        <w:t>a quo</w:t>
      </w:r>
      <w:r w:rsidRPr="003E1882">
        <w:rPr>
          <w:rFonts w:ascii="Arial" w:eastAsia="Arial Unicode MS" w:hAnsi="Arial" w:cs="Arial"/>
          <w:sz w:val="24"/>
          <w:szCs w:val="24"/>
        </w:rPr>
        <w:t xml:space="preserve">. Para el efecto, es claro que las pretensiones tienen una clara fuente contractual, en tanto fue en el marco del contrato del contrato de obra n.° 651 de 1984 que surgieron las siguientes reclamaciones de la demanda: (i) la mayor permanencia en la obra; (ii) los mayores costos por la explotación de canteras; (iii) los intereses de mora en el pago de las actas; (iv) los sobrecostos por acarreos adicionales; (v) las obras pendientes de pago no incluidas en las actas; (vi) los sobrecostos por excedentes no reconocidos por el pago del IVA, y (vi) los sobrecostos por mayor valor pagado sobre impuestos de ley. </w:t>
      </w:r>
    </w:p>
    <w:p w14:paraId="272DE329"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eastAsia="Arial Unicode MS" w:hAnsi="Arial" w:cs="Arial"/>
          <w:sz w:val="24"/>
          <w:szCs w:val="24"/>
        </w:rPr>
        <w:t xml:space="preserve">Ahora, como bien lo dijo el </w:t>
      </w:r>
      <w:r w:rsidRPr="003E1882">
        <w:rPr>
          <w:rFonts w:ascii="Arial" w:eastAsia="Arial Unicode MS" w:hAnsi="Arial" w:cs="Arial"/>
          <w:i/>
          <w:sz w:val="24"/>
          <w:szCs w:val="24"/>
        </w:rPr>
        <w:t>a quo</w:t>
      </w:r>
      <w:r w:rsidRPr="003E1882">
        <w:rPr>
          <w:rFonts w:ascii="Arial" w:eastAsia="Arial Unicode MS" w:hAnsi="Arial" w:cs="Arial"/>
          <w:sz w:val="24"/>
          <w:szCs w:val="24"/>
        </w:rPr>
        <w:t>, de esas reclamaciones algunas podrían tener una fuente extracontractual al carecer de los requisitos formales contractuales. Ellas serían (iv) los sobrecostos por acarreos adicionales y (v) las obras pendientes de pago no incluidas en las actas. En efecto, la falta de los requisitos contractuales para legalizar esas actividades y obras limitaría su reclamación a una reparación directa por enriquecimiento sin justa causa, cuya prosperidad estaría sujeta a lo señalado por el Pleno de la Sección</w:t>
      </w:r>
      <w:r w:rsidRPr="003E1882">
        <w:rPr>
          <w:rStyle w:val="Refdenotaalpie"/>
          <w:rFonts w:ascii="Arial" w:eastAsia="Arial Unicode MS" w:hAnsi="Arial" w:cs="Arial"/>
          <w:sz w:val="24"/>
          <w:szCs w:val="24"/>
        </w:rPr>
        <w:footnoteReference w:id="7"/>
      </w:r>
      <w:r w:rsidRPr="003E1882">
        <w:rPr>
          <w:rFonts w:ascii="Arial" w:eastAsia="Arial Unicode MS" w:hAnsi="Arial" w:cs="Arial"/>
          <w:sz w:val="24"/>
          <w:szCs w:val="24"/>
        </w:rPr>
        <w:t xml:space="preserve">.  </w:t>
      </w:r>
    </w:p>
    <w:p w14:paraId="26707330" w14:textId="77777777" w:rsidR="00121A4D" w:rsidRPr="003E1882" w:rsidRDefault="00121A4D" w:rsidP="00F418C0">
      <w:pPr>
        <w:spacing w:after="0" w:line="240" w:lineRule="auto"/>
        <w:jc w:val="both"/>
        <w:rPr>
          <w:rFonts w:ascii="Arial" w:eastAsia="Arial Unicode MS" w:hAnsi="Arial" w:cs="Arial"/>
          <w:sz w:val="24"/>
          <w:szCs w:val="24"/>
        </w:rPr>
      </w:pPr>
    </w:p>
    <w:p w14:paraId="42FFC35E" w14:textId="77777777" w:rsidR="00121A4D" w:rsidRPr="003E1882" w:rsidRDefault="00121A4D" w:rsidP="00F418C0">
      <w:pPr>
        <w:spacing w:after="0" w:line="240" w:lineRule="auto"/>
        <w:jc w:val="both"/>
        <w:rPr>
          <w:rFonts w:ascii="Arial" w:hAnsi="Arial" w:cs="Arial"/>
          <w:sz w:val="24"/>
          <w:szCs w:val="24"/>
        </w:rPr>
      </w:pPr>
      <w:r w:rsidRPr="003E1882">
        <w:rPr>
          <w:rFonts w:ascii="Arial" w:eastAsia="Arial Unicode MS" w:hAnsi="Arial" w:cs="Arial"/>
          <w:sz w:val="24"/>
          <w:szCs w:val="24"/>
        </w:rPr>
        <w:t xml:space="preserve">Como el medio de control por enriquecimiento sin justa causa sería la acción de reparación directa, la cuestión que sigue es preguntarse desde cuándo inició el cómputo de la caducidad procesal. Al respecto, precisa </w:t>
      </w:r>
      <w:proofErr w:type="gramStart"/>
      <w:r w:rsidRPr="003E1882">
        <w:rPr>
          <w:rFonts w:ascii="Arial" w:eastAsia="Arial Unicode MS" w:hAnsi="Arial" w:cs="Arial"/>
          <w:sz w:val="24"/>
          <w:szCs w:val="24"/>
        </w:rPr>
        <w:t>señalar</w:t>
      </w:r>
      <w:proofErr w:type="gramEnd"/>
      <w:r w:rsidRPr="003E1882">
        <w:rPr>
          <w:rFonts w:ascii="Arial" w:eastAsia="Arial Unicode MS" w:hAnsi="Arial" w:cs="Arial"/>
          <w:sz w:val="24"/>
          <w:szCs w:val="24"/>
        </w:rPr>
        <w:t xml:space="preserve"> que </w:t>
      </w:r>
      <w:r w:rsidRPr="003E1882">
        <w:rPr>
          <w:rFonts w:ascii="Arial" w:hAnsi="Arial" w:cs="Arial"/>
          <w:sz w:val="24"/>
          <w:szCs w:val="24"/>
        </w:rPr>
        <w:t>por regla general corresponde al momento en que se dio el empobrecimiento y el correlativo enriquecimiento, sin esperar reclamación por parte del afectado. Sobre el particular, esta Subsección se ha pronunciado así</w:t>
      </w:r>
      <w:r w:rsidRPr="003E1882">
        <w:rPr>
          <w:rStyle w:val="Refdenotaalpie"/>
          <w:rFonts w:ascii="Arial" w:hAnsi="Arial" w:cs="Arial"/>
          <w:sz w:val="24"/>
          <w:szCs w:val="24"/>
        </w:rPr>
        <w:footnoteReference w:id="8"/>
      </w:r>
      <w:r w:rsidRPr="003E1882">
        <w:rPr>
          <w:rFonts w:ascii="Arial" w:hAnsi="Arial" w:cs="Arial"/>
          <w:sz w:val="24"/>
          <w:szCs w:val="24"/>
        </w:rPr>
        <w:t>:</w:t>
      </w:r>
    </w:p>
    <w:p w14:paraId="68F6B933" w14:textId="77777777" w:rsidR="00121A4D" w:rsidRPr="003E1882" w:rsidRDefault="00121A4D" w:rsidP="00F418C0">
      <w:pPr>
        <w:spacing w:after="0" w:line="240" w:lineRule="auto"/>
        <w:jc w:val="both"/>
        <w:rPr>
          <w:rFonts w:ascii="Arial" w:hAnsi="Arial" w:cs="Arial"/>
          <w:sz w:val="24"/>
          <w:szCs w:val="24"/>
        </w:rPr>
      </w:pPr>
    </w:p>
    <w:p w14:paraId="5C2BC160"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18. Al respecto, considera la Sala que la caducidad constituye una sanción objetiva de carácter legal, que no se puede sujetar a circunstancias personales, motivo por el cual el inicio del término de </w:t>
      </w:r>
      <w:proofErr w:type="gramStart"/>
      <w:r w:rsidRPr="003E1882">
        <w:rPr>
          <w:rFonts w:ascii="Arial" w:hAnsi="Arial" w:cs="Arial"/>
          <w:i/>
          <w:sz w:val="24"/>
          <w:szCs w:val="24"/>
        </w:rPr>
        <w:t>la misma</w:t>
      </w:r>
      <w:proofErr w:type="gramEnd"/>
      <w:r w:rsidRPr="003E1882">
        <w:rPr>
          <w:rFonts w:ascii="Arial" w:hAnsi="Arial" w:cs="Arial"/>
          <w:i/>
          <w:sz w:val="24"/>
          <w:szCs w:val="24"/>
        </w:rPr>
        <w:t xml:space="preserve"> no puede depender, en exclusiva, de la voluntad o el hacer de las partes. Así lo ha dicho esta Corporación:</w:t>
      </w:r>
    </w:p>
    <w:p w14:paraId="15A676A4" w14:textId="77777777" w:rsidR="00121A4D" w:rsidRPr="003E1882" w:rsidRDefault="00121A4D" w:rsidP="00F418C0">
      <w:pPr>
        <w:pStyle w:val="Sinespaciado"/>
        <w:ind w:left="567" w:right="618"/>
        <w:jc w:val="both"/>
        <w:rPr>
          <w:rFonts w:ascii="Arial" w:hAnsi="Arial" w:cs="Arial"/>
          <w:i/>
          <w:sz w:val="24"/>
          <w:szCs w:val="24"/>
        </w:rPr>
      </w:pPr>
    </w:p>
    <w:p w14:paraId="2E22213C"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El término de caducidad está edificado sobre la conveniencia de señalar un plazo objetivo, sin consideración a situaciones personales, invariable, para que quien se pretenda titular de un derecho opte por accionar o no. </w:t>
      </w:r>
    </w:p>
    <w:p w14:paraId="6E61C25A" w14:textId="77777777" w:rsidR="00121A4D" w:rsidRPr="003E1882" w:rsidRDefault="00121A4D" w:rsidP="00F418C0">
      <w:pPr>
        <w:pStyle w:val="Sinespaciado"/>
        <w:ind w:left="567" w:right="618"/>
        <w:jc w:val="both"/>
        <w:rPr>
          <w:rFonts w:ascii="Arial" w:hAnsi="Arial" w:cs="Arial"/>
          <w:i/>
          <w:sz w:val="24"/>
          <w:szCs w:val="24"/>
        </w:rPr>
      </w:pPr>
    </w:p>
    <w:p w14:paraId="3769E271" w14:textId="77777777" w:rsidR="00121A4D" w:rsidRPr="003E1882" w:rsidRDefault="00121A4D" w:rsidP="00F418C0">
      <w:pPr>
        <w:pStyle w:val="Sinespaciado"/>
        <w:ind w:left="567" w:right="618"/>
        <w:jc w:val="both"/>
        <w:rPr>
          <w:rFonts w:ascii="Arial" w:hAnsi="Arial" w:cs="Arial"/>
          <w:i/>
          <w:sz w:val="24"/>
          <w:szCs w:val="24"/>
          <w:vertAlign w:val="superscript"/>
        </w:rPr>
      </w:pPr>
      <w:r w:rsidRPr="003E1882">
        <w:rPr>
          <w:rFonts w:ascii="Arial" w:hAnsi="Arial" w:cs="Arial"/>
          <w:i/>
          <w:sz w:val="24"/>
          <w:szCs w:val="24"/>
        </w:rPr>
        <w:t>Es por lo anterior que se da aplicación a la máxima latina "contra non volenten agere non currit prescriptio", es decir que el término de caducidad no puede ser materia de convención, antes de que se cumpla, ni después de transcurrido puede renunciarse</w:t>
      </w:r>
      <w:r w:rsidRPr="003E1882">
        <w:rPr>
          <w:rStyle w:val="Refdenotaalpie"/>
          <w:rFonts w:ascii="Arial" w:hAnsi="Arial" w:cs="Arial"/>
          <w:i/>
          <w:sz w:val="24"/>
          <w:szCs w:val="24"/>
        </w:rPr>
        <w:footnoteReference w:id="9"/>
      </w:r>
      <w:r w:rsidRPr="003E1882">
        <w:rPr>
          <w:rFonts w:ascii="Arial" w:hAnsi="Arial" w:cs="Arial"/>
          <w:i/>
          <w:sz w:val="24"/>
          <w:szCs w:val="24"/>
          <w:vertAlign w:val="superscript"/>
        </w:rPr>
        <w:t>.</w:t>
      </w:r>
    </w:p>
    <w:p w14:paraId="7420EAAE" w14:textId="77777777" w:rsidR="00121A4D" w:rsidRPr="003E1882" w:rsidRDefault="00121A4D" w:rsidP="00F418C0">
      <w:pPr>
        <w:pStyle w:val="Sinespaciado"/>
        <w:ind w:left="567" w:right="618"/>
        <w:jc w:val="both"/>
        <w:rPr>
          <w:rFonts w:ascii="Arial" w:hAnsi="Arial" w:cs="Arial"/>
          <w:i/>
          <w:sz w:val="24"/>
          <w:szCs w:val="24"/>
        </w:rPr>
      </w:pPr>
    </w:p>
    <w:p w14:paraId="2DD8090D" w14:textId="77777777" w:rsidR="00121A4D" w:rsidRPr="003E1882" w:rsidRDefault="00121A4D" w:rsidP="00F418C0">
      <w:pPr>
        <w:pStyle w:val="Sinespaciado"/>
        <w:ind w:left="567" w:right="618"/>
        <w:jc w:val="both"/>
        <w:rPr>
          <w:rFonts w:ascii="Arial" w:hAnsi="Arial" w:cs="Arial"/>
          <w:i/>
          <w:sz w:val="24"/>
          <w:szCs w:val="24"/>
        </w:rPr>
      </w:pPr>
      <w:r w:rsidRPr="003E1882">
        <w:rPr>
          <w:rFonts w:ascii="Arial" w:hAnsi="Arial" w:cs="Arial"/>
          <w:i/>
          <w:sz w:val="24"/>
          <w:szCs w:val="24"/>
        </w:rPr>
        <w:t xml:space="preserve">19. De este modo, para efectos de contabilizar la caducidad de la acción no se debe esperar a que la parte demandante pierda sus esperanzas de que los bienes que aduce </w:t>
      </w:r>
      <w:proofErr w:type="gramStart"/>
      <w:r w:rsidRPr="003E1882">
        <w:rPr>
          <w:rFonts w:ascii="Arial" w:hAnsi="Arial" w:cs="Arial"/>
          <w:i/>
          <w:sz w:val="24"/>
          <w:szCs w:val="24"/>
        </w:rPr>
        <w:t>ha</w:t>
      </w:r>
      <w:proofErr w:type="gramEnd"/>
      <w:r w:rsidRPr="003E1882">
        <w:rPr>
          <w:rFonts w:ascii="Arial" w:hAnsi="Arial" w:cs="Arial"/>
          <w:i/>
          <w:sz w:val="24"/>
          <w:szCs w:val="24"/>
        </w:rPr>
        <w:t xml:space="preserve"> perdido por causa de la administración </w:t>
      </w:r>
      <w:r w:rsidRPr="003E1882">
        <w:rPr>
          <w:rFonts w:ascii="Arial" w:hAnsi="Arial" w:cs="Arial"/>
          <w:i/>
          <w:sz w:val="24"/>
          <w:szCs w:val="24"/>
        </w:rPr>
        <w:lastRenderedPageBreak/>
        <w:t>aparezcan, puesto que sería tanto como establecer el inicio del término al arbitrio de la voluntad de uno de los contendientes.</w:t>
      </w:r>
    </w:p>
    <w:p w14:paraId="53E00AAB" w14:textId="77777777" w:rsidR="00121A4D" w:rsidRPr="003E1882" w:rsidRDefault="00121A4D" w:rsidP="00F418C0">
      <w:pPr>
        <w:spacing w:after="0" w:line="240" w:lineRule="auto"/>
        <w:jc w:val="both"/>
        <w:rPr>
          <w:rFonts w:ascii="Arial" w:hAnsi="Arial" w:cs="Arial"/>
          <w:sz w:val="24"/>
          <w:szCs w:val="24"/>
        </w:rPr>
      </w:pPr>
    </w:p>
    <w:p w14:paraId="55061EE2" w14:textId="77777777" w:rsidR="00121A4D" w:rsidRPr="003E1882" w:rsidRDefault="00121A4D" w:rsidP="00F418C0">
      <w:pPr>
        <w:spacing w:after="0" w:line="240" w:lineRule="auto"/>
        <w:jc w:val="both"/>
        <w:rPr>
          <w:rFonts w:ascii="Arial" w:hAnsi="Arial" w:cs="Arial"/>
          <w:sz w:val="24"/>
          <w:szCs w:val="24"/>
        </w:rPr>
      </w:pPr>
      <w:r w:rsidRPr="003E1882">
        <w:rPr>
          <w:rFonts w:ascii="Arial" w:hAnsi="Arial" w:cs="Arial"/>
          <w:sz w:val="24"/>
          <w:szCs w:val="24"/>
        </w:rPr>
        <w:t>Sin embargo, es posible contar excepcionalmente desde el momento en que la administración le comunicó al administrado su decisión de no pagar, cuando es la primera quien ha generado confianza legítima en el segundo a través de comunicaciones donde le dan expectativas de pago o se encuentran sometidas a un trámite administrativo para el efecto</w:t>
      </w:r>
      <w:r w:rsidRPr="003E1882">
        <w:rPr>
          <w:rStyle w:val="Refdenotaalpie"/>
          <w:rFonts w:ascii="Arial" w:hAnsi="Arial" w:cs="Arial"/>
          <w:sz w:val="24"/>
          <w:szCs w:val="24"/>
        </w:rPr>
        <w:footnoteReference w:id="10"/>
      </w:r>
      <w:r w:rsidRPr="003E1882">
        <w:rPr>
          <w:rFonts w:ascii="Arial" w:hAnsi="Arial" w:cs="Arial"/>
          <w:sz w:val="24"/>
          <w:szCs w:val="24"/>
        </w:rPr>
        <w:t xml:space="preserve">. </w:t>
      </w:r>
    </w:p>
    <w:p w14:paraId="66DB98FE" w14:textId="77777777" w:rsidR="00121A4D" w:rsidRPr="003E1882" w:rsidRDefault="00121A4D" w:rsidP="00F418C0">
      <w:pPr>
        <w:spacing w:after="0" w:line="240" w:lineRule="auto"/>
        <w:jc w:val="both"/>
        <w:rPr>
          <w:rFonts w:ascii="Arial" w:hAnsi="Arial" w:cs="Arial"/>
          <w:sz w:val="24"/>
          <w:szCs w:val="24"/>
        </w:rPr>
      </w:pPr>
    </w:p>
    <w:p w14:paraId="118940C3" w14:textId="77777777" w:rsidR="00121A4D" w:rsidRPr="003E1882" w:rsidRDefault="00121A4D" w:rsidP="00F418C0">
      <w:pPr>
        <w:spacing w:after="0" w:line="240" w:lineRule="auto"/>
        <w:jc w:val="both"/>
        <w:rPr>
          <w:rFonts w:ascii="Arial" w:hAnsi="Arial" w:cs="Arial"/>
          <w:sz w:val="24"/>
          <w:szCs w:val="24"/>
        </w:rPr>
      </w:pPr>
      <w:r w:rsidRPr="003E1882">
        <w:rPr>
          <w:rFonts w:ascii="Arial" w:hAnsi="Arial" w:cs="Arial"/>
          <w:sz w:val="24"/>
          <w:szCs w:val="24"/>
        </w:rPr>
        <w:t xml:space="preserve">En el </w:t>
      </w:r>
      <w:proofErr w:type="gramStart"/>
      <w:r w:rsidRPr="003E1882">
        <w:rPr>
          <w:rFonts w:ascii="Arial" w:hAnsi="Arial" w:cs="Arial"/>
          <w:i/>
          <w:sz w:val="24"/>
          <w:szCs w:val="24"/>
        </w:rPr>
        <w:t>sub lite</w:t>
      </w:r>
      <w:proofErr w:type="gramEnd"/>
      <w:r w:rsidRPr="003E1882">
        <w:rPr>
          <w:rFonts w:ascii="Arial" w:hAnsi="Arial" w:cs="Arial"/>
          <w:sz w:val="24"/>
          <w:szCs w:val="24"/>
        </w:rPr>
        <w:t xml:space="preserve">, se tiene que el acuerdo en estudio estaba sujeto al trámite liquidatorio, en atención a la naturaleza de tracto sucesivo del contrato de obra. Por lo tanto, es claro que solo hasta el agotamiento de este trámite, la administración definiría la posibilidad de pago de lo reclamado; sin embargo, ese trámite no finalizó, pero si obra el acta de recibo definitivo del 13 de septiembre de 1996 en la que se dejaron consignadas las cantidades de obra que se reconocerían (fls. 534 a 539, c. 2 pruebas). </w:t>
      </w:r>
    </w:p>
    <w:p w14:paraId="59862F50" w14:textId="77777777" w:rsidR="00121A4D" w:rsidRPr="003E1882" w:rsidRDefault="00121A4D" w:rsidP="00F418C0">
      <w:pPr>
        <w:spacing w:after="0" w:line="240" w:lineRule="auto"/>
        <w:jc w:val="both"/>
        <w:rPr>
          <w:rFonts w:ascii="Arial" w:hAnsi="Arial" w:cs="Arial"/>
          <w:sz w:val="24"/>
          <w:szCs w:val="24"/>
        </w:rPr>
      </w:pPr>
    </w:p>
    <w:p w14:paraId="0BD1EBEE" w14:textId="77777777" w:rsidR="00121A4D" w:rsidRPr="003E1882" w:rsidRDefault="00121A4D" w:rsidP="00F418C0">
      <w:pPr>
        <w:spacing w:after="0" w:line="240" w:lineRule="auto"/>
        <w:jc w:val="both"/>
        <w:rPr>
          <w:rFonts w:ascii="Arial" w:hAnsi="Arial" w:cs="Arial"/>
          <w:sz w:val="24"/>
          <w:szCs w:val="24"/>
        </w:rPr>
      </w:pPr>
      <w:r w:rsidRPr="003E1882">
        <w:rPr>
          <w:rFonts w:ascii="Arial" w:hAnsi="Arial" w:cs="Arial"/>
          <w:sz w:val="24"/>
          <w:szCs w:val="24"/>
        </w:rPr>
        <w:t xml:space="preserve">Siendo así, es desde este momento y no a partir de la terminación del contrato, como lo sostuvo el </w:t>
      </w:r>
      <w:r w:rsidRPr="003E1882">
        <w:rPr>
          <w:rFonts w:ascii="Arial" w:hAnsi="Arial" w:cs="Arial"/>
          <w:i/>
          <w:sz w:val="24"/>
          <w:szCs w:val="24"/>
        </w:rPr>
        <w:t>a quo</w:t>
      </w:r>
      <w:r w:rsidRPr="003E1882">
        <w:rPr>
          <w:rFonts w:ascii="Arial" w:hAnsi="Arial" w:cs="Arial"/>
          <w:sz w:val="24"/>
          <w:szCs w:val="24"/>
        </w:rPr>
        <w:t xml:space="preserve">, que debe empezarse a contabilizar el término de caducidad, toda vez que fue al suscribir el acta de recibo de la obra que el contratista se enteró sobre la suerte de las reclamaciones que aquí formula. Así las cosas, es claro </w:t>
      </w:r>
      <w:proofErr w:type="gramStart"/>
      <w:r w:rsidRPr="003E1882">
        <w:rPr>
          <w:rFonts w:ascii="Arial" w:hAnsi="Arial" w:cs="Arial"/>
          <w:sz w:val="24"/>
          <w:szCs w:val="24"/>
        </w:rPr>
        <w:t>que</w:t>
      </w:r>
      <w:proofErr w:type="gramEnd"/>
      <w:r w:rsidRPr="003E1882">
        <w:rPr>
          <w:rFonts w:ascii="Arial" w:hAnsi="Arial" w:cs="Arial"/>
          <w:sz w:val="24"/>
          <w:szCs w:val="24"/>
        </w:rPr>
        <w:t xml:space="preserve"> desde esa fecha y la presentación de la demanda, el 11 de julio de 2016 (fl. 60, c. 1), la oportunidad para presentar el medio de control estaba más que vencida. En consecuencia, se impone confirmar la decisión del </w:t>
      </w:r>
      <w:r w:rsidRPr="003E1882">
        <w:rPr>
          <w:rFonts w:ascii="Arial" w:hAnsi="Arial" w:cs="Arial"/>
          <w:i/>
          <w:sz w:val="24"/>
          <w:szCs w:val="24"/>
        </w:rPr>
        <w:t>a quo</w:t>
      </w:r>
      <w:r w:rsidRPr="003E1882">
        <w:rPr>
          <w:rFonts w:ascii="Arial" w:hAnsi="Arial" w:cs="Arial"/>
          <w:sz w:val="24"/>
          <w:szCs w:val="24"/>
        </w:rPr>
        <w:t xml:space="preserve"> en este sentido.  </w:t>
      </w:r>
    </w:p>
    <w:p w14:paraId="0F54B11A" w14:textId="77777777" w:rsidR="00121A4D" w:rsidRPr="003E1882" w:rsidRDefault="00121A4D" w:rsidP="00F418C0">
      <w:pPr>
        <w:spacing w:after="0" w:line="240" w:lineRule="auto"/>
        <w:jc w:val="both"/>
        <w:rPr>
          <w:rFonts w:ascii="Arial" w:hAnsi="Arial" w:cs="Arial"/>
          <w:sz w:val="24"/>
          <w:szCs w:val="24"/>
        </w:rPr>
      </w:pPr>
    </w:p>
    <w:p w14:paraId="3F1AE94B" w14:textId="77777777" w:rsidR="00121A4D" w:rsidRPr="003E1882" w:rsidRDefault="00121A4D" w:rsidP="00F418C0">
      <w:pPr>
        <w:spacing w:after="0" w:line="240" w:lineRule="auto"/>
        <w:jc w:val="both"/>
        <w:rPr>
          <w:rFonts w:ascii="Arial" w:hAnsi="Arial" w:cs="Arial"/>
          <w:sz w:val="24"/>
          <w:szCs w:val="24"/>
        </w:rPr>
      </w:pPr>
      <w:r w:rsidRPr="003E1882">
        <w:rPr>
          <w:rFonts w:ascii="Arial" w:hAnsi="Arial" w:cs="Arial"/>
          <w:sz w:val="24"/>
          <w:szCs w:val="24"/>
        </w:rPr>
        <w:t>Vale aclarar que no resulta aplicable el término del artículo 55 de la Ley 80 de 1993, toda vez que el análisis anterior se efectuó en el marco de una relación jurídica extracontractual, donde resulta inaplicable la citada norma, en tanto ella es propia de un escenario contractual.</w:t>
      </w:r>
    </w:p>
    <w:p w14:paraId="0674BA97" w14:textId="77777777" w:rsidR="00121A4D" w:rsidRPr="003E1882" w:rsidRDefault="00121A4D" w:rsidP="00F418C0">
      <w:pPr>
        <w:spacing w:after="0" w:line="240" w:lineRule="auto"/>
        <w:jc w:val="both"/>
        <w:rPr>
          <w:rFonts w:ascii="Arial" w:hAnsi="Arial" w:cs="Arial"/>
          <w:sz w:val="24"/>
          <w:szCs w:val="24"/>
        </w:rPr>
      </w:pPr>
    </w:p>
    <w:p w14:paraId="4726EC40" w14:textId="77777777" w:rsidR="00121A4D" w:rsidRPr="003E1882" w:rsidRDefault="00121A4D" w:rsidP="00F418C0">
      <w:pPr>
        <w:spacing w:after="0" w:line="240" w:lineRule="auto"/>
        <w:jc w:val="both"/>
        <w:rPr>
          <w:rFonts w:ascii="Arial" w:eastAsia="Arial Unicode MS" w:hAnsi="Arial" w:cs="Arial"/>
          <w:sz w:val="24"/>
          <w:szCs w:val="24"/>
        </w:rPr>
      </w:pPr>
      <w:r w:rsidRPr="003E1882">
        <w:rPr>
          <w:rFonts w:ascii="Arial" w:hAnsi="Arial" w:cs="Arial"/>
          <w:sz w:val="24"/>
          <w:szCs w:val="24"/>
        </w:rPr>
        <w:t>De otro lado, con respecto a las demás reclamaciones que tienen una clara fuente contractual, se tiene que efectivamente el contrato se ejecutó en el departamento de Nariño, con mayor precisión en el sector k0+000-k22+240 de la vía entre Ipiales y Gualmatán (fl. 535, c. 2 pruebas, acta de recibo definitivo de la obra). En esos términos y en atención a que el presente asunto contractual supera los 500 salarios mínimos legales mensuales vigentes</w:t>
      </w:r>
      <w:r w:rsidRPr="003E1882">
        <w:rPr>
          <w:rStyle w:val="Refdenotaalpie"/>
          <w:rFonts w:ascii="Arial" w:eastAsia="Arial Unicode MS" w:hAnsi="Arial" w:cs="Arial"/>
          <w:bCs/>
          <w:color w:val="000000"/>
          <w:sz w:val="24"/>
          <w:szCs w:val="24"/>
          <w:lang w:eastAsia="es-CO"/>
        </w:rPr>
        <w:footnoteReference w:id="11"/>
      </w:r>
      <w:r w:rsidRPr="003E1882">
        <w:rPr>
          <w:rFonts w:ascii="Arial" w:eastAsia="Arial Unicode MS" w:hAnsi="Arial" w:cs="Arial"/>
          <w:bCs/>
          <w:color w:val="000000"/>
          <w:sz w:val="24"/>
          <w:szCs w:val="24"/>
          <w:lang w:eastAsia="es-CO"/>
        </w:rPr>
        <w:t xml:space="preserve"> </w:t>
      </w:r>
      <w:r w:rsidRPr="003E1882">
        <w:rPr>
          <w:rFonts w:ascii="Arial" w:hAnsi="Arial" w:cs="Arial"/>
          <w:sz w:val="24"/>
          <w:szCs w:val="24"/>
        </w:rPr>
        <w:t xml:space="preserve">le corresponde su conocimiento al Tribunal Administrativo de Nariño, en los términos de los artículos 152.5 y 156.4 del CPACA. Siendo así, se confirmará la decisión del </w:t>
      </w:r>
      <w:r w:rsidRPr="003E1882">
        <w:rPr>
          <w:rFonts w:ascii="Arial" w:hAnsi="Arial" w:cs="Arial"/>
          <w:i/>
          <w:sz w:val="24"/>
          <w:szCs w:val="24"/>
        </w:rPr>
        <w:t>a quo</w:t>
      </w:r>
      <w:r w:rsidRPr="003E1882">
        <w:rPr>
          <w:rFonts w:ascii="Arial" w:hAnsi="Arial" w:cs="Arial"/>
          <w:sz w:val="24"/>
          <w:szCs w:val="24"/>
        </w:rPr>
        <w:t xml:space="preserve"> en su integridad.  </w:t>
      </w:r>
    </w:p>
    <w:p w14:paraId="3B423256" w14:textId="77777777" w:rsidR="00121A4D" w:rsidRPr="003E1882" w:rsidRDefault="00121A4D" w:rsidP="00F418C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14:paraId="7591D3F9" w14:textId="77777777" w:rsidR="00121A4D" w:rsidRPr="003E1882" w:rsidRDefault="00121A4D" w:rsidP="00F418C0">
      <w:pPr>
        <w:pStyle w:val="Sinespaciado"/>
        <w:ind w:right="51"/>
        <w:jc w:val="both"/>
        <w:rPr>
          <w:rFonts w:ascii="Arial" w:hAnsi="Arial" w:cs="Arial"/>
          <w:sz w:val="24"/>
          <w:szCs w:val="24"/>
        </w:rPr>
      </w:pPr>
      <w:r w:rsidRPr="003E1882">
        <w:rPr>
          <w:rFonts w:ascii="Arial" w:hAnsi="Arial" w:cs="Arial"/>
          <w:sz w:val="24"/>
          <w:szCs w:val="24"/>
        </w:rPr>
        <w:t>En mérito de lo expuesto, el despacho,</w:t>
      </w:r>
    </w:p>
    <w:p w14:paraId="767DE347" w14:textId="77777777" w:rsidR="00121A4D" w:rsidRPr="003E1882" w:rsidRDefault="00121A4D" w:rsidP="00F418C0">
      <w:pPr>
        <w:spacing w:after="0" w:line="240" w:lineRule="auto"/>
        <w:jc w:val="center"/>
        <w:rPr>
          <w:rFonts w:ascii="Arial" w:eastAsia="Arial Unicode MS" w:hAnsi="Arial" w:cs="Arial"/>
          <w:b/>
          <w:color w:val="1D1B11"/>
          <w:sz w:val="24"/>
          <w:szCs w:val="24"/>
        </w:rPr>
      </w:pPr>
    </w:p>
    <w:p w14:paraId="56850351" w14:textId="77777777" w:rsidR="00121A4D" w:rsidRPr="003E1882" w:rsidRDefault="00121A4D" w:rsidP="00F418C0">
      <w:pPr>
        <w:spacing w:after="0" w:line="240" w:lineRule="auto"/>
        <w:jc w:val="center"/>
        <w:rPr>
          <w:rFonts w:ascii="Arial" w:eastAsia="Arial Unicode MS" w:hAnsi="Arial" w:cs="Arial"/>
          <w:b/>
          <w:sz w:val="24"/>
          <w:szCs w:val="24"/>
        </w:rPr>
      </w:pPr>
      <w:r w:rsidRPr="003E1882">
        <w:rPr>
          <w:rFonts w:ascii="Arial" w:eastAsia="Arial Unicode MS" w:hAnsi="Arial" w:cs="Arial"/>
          <w:b/>
          <w:sz w:val="24"/>
          <w:szCs w:val="24"/>
        </w:rPr>
        <w:t>RESUELVE</w:t>
      </w:r>
    </w:p>
    <w:p w14:paraId="47DD2340" w14:textId="77777777" w:rsidR="00121A4D" w:rsidRPr="003E1882" w:rsidRDefault="00121A4D" w:rsidP="00F418C0">
      <w:pPr>
        <w:pStyle w:val="Sinespaciado"/>
        <w:jc w:val="both"/>
        <w:rPr>
          <w:rFonts w:ascii="Arial" w:hAnsi="Arial" w:cs="Arial"/>
          <w:sz w:val="24"/>
          <w:szCs w:val="24"/>
        </w:rPr>
      </w:pPr>
    </w:p>
    <w:p w14:paraId="099E2C83" w14:textId="77777777" w:rsidR="00121A4D" w:rsidRPr="003E1882" w:rsidRDefault="00121A4D" w:rsidP="00F418C0">
      <w:pPr>
        <w:pStyle w:val="Sinespaciado"/>
        <w:jc w:val="both"/>
        <w:rPr>
          <w:rFonts w:ascii="Arial" w:hAnsi="Arial" w:cs="Arial"/>
          <w:sz w:val="24"/>
          <w:szCs w:val="24"/>
        </w:rPr>
      </w:pPr>
      <w:r w:rsidRPr="003E1882">
        <w:rPr>
          <w:rFonts w:ascii="Arial" w:hAnsi="Arial" w:cs="Arial"/>
          <w:b/>
          <w:sz w:val="24"/>
          <w:szCs w:val="24"/>
        </w:rPr>
        <w:t xml:space="preserve">PRIMERO: CONFIRMAR </w:t>
      </w:r>
      <w:r w:rsidRPr="003E1882">
        <w:rPr>
          <w:rFonts w:ascii="Arial" w:hAnsi="Arial" w:cs="Arial"/>
          <w:sz w:val="24"/>
          <w:szCs w:val="24"/>
        </w:rPr>
        <w:t>el auto del 5 de abril de 2017, por medio del cual el Tribunal Administrativo de Cundinamarca, Sección Tercera, Subsección B, declaró la caducidad del medio de control reparación directa y remitió el medio de controversias contractuales al Tribunal Administrativo de Nariño.</w:t>
      </w:r>
    </w:p>
    <w:p w14:paraId="141E6466" w14:textId="77777777" w:rsidR="00121A4D" w:rsidRPr="003E1882" w:rsidRDefault="00121A4D" w:rsidP="00F418C0">
      <w:pPr>
        <w:pStyle w:val="Sinespaciado"/>
        <w:jc w:val="both"/>
        <w:rPr>
          <w:rFonts w:ascii="Arial" w:hAnsi="Arial" w:cs="Arial"/>
          <w:sz w:val="24"/>
          <w:szCs w:val="24"/>
        </w:rPr>
      </w:pPr>
    </w:p>
    <w:p w14:paraId="6CFE697B" w14:textId="77777777" w:rsidR="00121A4D" w:rsidRPr="003E1882" w:rsidRDefault="00121A4D" w:rsidP="00F418C0">
      <w:pPr>
        <w:pStyle w:val="Sinespaciado"/>
        <w:jc w:val="both"/>
        <w:rPr>
          <w:rFonts w:ascii="Arial" w:hAnsi="Arial" w:cs="Arial"/>
          <w:sz w:val="24"/>
          <w:szCs w:val="24"/>
        </w:rPr>
      </w:pPr>
      <w:r w:rsidRPr="003E1882">
        <w:rPr>
          <w:rFonts w:ascii="Arial" w:hAnsi="Arial" w:cs="Arial"/>
          <w:b/>
          <w:sz w:val="24"/>
          <w:szCs w:val="24"/>
        </w:rPr>
        <w:t xml:space="preserve">SEGUNDO: </w:t>
      </w:r>
      <w:r w:rsidRPr="003E1882">
        <w:rPr>
          <w:rFonts w:ascii="Arial" w:hAnsi="Arial" w:cs="Arial"/>
          <w:sz w:val="24"/>
          <w:szCs w:val="24"/>
        </w:rPr>
        <w:t xml:space="preserve">En firme esta decisión, </w:t>
      </w:r>
      <w:r w:rsidRPr="003E1882">
        <w:rPr>
          <w:rFonts w:ascii="Arial" w:hAnsi="Arial" w:cs="Arial"/>
          <w:b/>
          <w:sz w:val="24"/>
          <w:szCs w:val="24"/>
        </w:rPr>
        <w:t>REMÍTASE</w:t>
      </w:r>
      <w:r w:rsidRPr="003E1882">
        <w:rPr>
          <w:rFonts w:ascii="Arial" w:hAnsi="Arial" w:cs="Arial"/>
          <w:sz w:val="24"/>
          <w:szCs w:val="24"/>
        </w:rPr>
        <w:t xml:space="preserve"> al Tribunal Administrativo de Nariño para lo de su cargo. </w:t>
      </w:r>
    </w:p>
    <w:p w14:paraId="77217802" w14:textId="77777777" w:rsidR="00121A4D" w:rsidRPr="003E1882" w:rsidRDefault="00121A4D" w:rsidP="00F418C0">
      <w:pPr>
        <w:spacing w:after="0" w:line="240" w:lineRule="auto"/>
        <w:jc w:val="both"/>
        <w:rPr>
          <w:rFonts w:ascii="Arial" w:hAnsi="Arial" w:cs="Arial"/>
          <w:sz w:val="24"/>
          <w:szCs w:val="24"/>
        </w:rPr>
      </w:pPr>
    </w:p>
    <w:p w14:paraId="5A05ED52" w14:textId="77777777" w:rsidR="00121A4D" w:rsidRPr="003E1882" w:rsidRDefault="00121A4D" w:rsidP="00F418C0">
      <w:pPr>
        <w:spacing w:after="0" w:line="240" w:lineRule="auto"/>
        <w:jc w:val="center"/>
        <w:rPr>
          <w:rFonts w:ascii="Arial" w:eastAsia="Arial Unicode MS" w:hAnsi="Arial" w:cs="Arial"/>
          <w:sz w:val="24"/>
          <w:szCs w:val="24"/>
        </w:rPr>
      </w:pPr>
      <w:r w:rsidRPr="003E1882">
        <w:rPr>
          <w:rFonts w:ascii="Arial" w:eastAsia="Arial Unicode MS" w:hAnsi="Arial" w:cs="Arial"/>
          <w:b/>
          <w:sz w:val="24"/>
          <w:szCs w:val="24"/>
        </w:rPr>
        <w:t>NOTIFÍQUESE Y CÚMPLASE</w:t>
      </w:r>
    </w:p>
    <w:p w14:paraId="306E41B9" w14:textId="77777777" w:rsidR="00121A4D" w:rsidRPr="003E1882" w:rsidRDefault="00121A4D" w:rsidP="00F418C0">
      <w:pPr>
        <w:pStyle w:val="Sinespaciado"/>
        <w:jc w:val="center"/>
        <w:rPr>
          <w:rFonts w:ascii="Arial" w:hAnsi="Arial" w:cs="Arial"/>
          <w:b/>
          <w:sz w:val="24"/>
          <w:szCs w:val="24"/>
        </w:rPr>
      </w:pPr>
    </w:p>
    <w:p w14:paraId="10DC355F" w14:textId="77777777" w:rsidR="00121A4D" w:rsidRPr="003E1882" w:rsidRDefault="00121A4D" w:rsidP="00F418C0">
      <w:pPr>
        <w:pStyle w:val="Sinespaciado"/>
        <w:jc w:val="center"/>
        <w:rPr>
          <w:rFonts w:ascii="Arial" w:hAnsi="Arial" w:cs="Arial"/>
          <w:b/>
          <w:sz w:val="24"/>
          <w:szCs w:val="24"/>
        </w:rPr>
      </w:pPr>
    </w:p>
    <w:p w14:paraId="6AF824D9" w14:textId="77777777" w:rsidR="00121A4D" w:rsidRPr="003E1882" w:rsidRDefault="00121A4D" w:rsidP="00F418C0">
      <w:pPr>
        <w:pStyle w:val="Sinespaciado"/>
        <w:jc w:val="center"/>
        <w:rPr>
          <w:rFonts w:ascii="Arial" w:hAnsi="Arial" w:cs="Arial"/>
          <w:b/>
          <w:sz w:val="24"/>
          <w:szCs w:val="24"/>
        </w:rPr>
      </w:pPr>
    </w:p>
    <w:p w14:paraId="4CAA8088" w14:textId="77777777" w:rsidR="00121A4D" w:rsidRPr="003E1882" w:rsidRDefault="00121A4D" w:rsidP="00F418C0">
      <w:pPr>
        <w:pStyle w:val="Sinespaciado"/>
        <w:jc w:val="center"/>
        <w:rPr>
          <w:rFonts w:ascii="Arial" w:hAnsi="Arial" w:cs="Arial"/>
          <w:b/>
          <w:sz w:val="24"/>
          <w:szCs w:val="24"/>
        </w:rPr>
      </w:pPr>
    </w:p>
    <w:p w14:paraId="4411CA3B" w14:textId="77777777" w:rsidR="00121A4D" w:rsidRPr="003E1882" w:rsidRDefault="00121A4D" w:rsidP="00F418C0">
      <w:pPr>
        <w:spacing w:after="0" w:line="240" w:lineRule="auto"/>
        <w:jc w:val="center"/>
        <w:rPr>
          <w:rFonts w:ascii="Arial" w:eastAsia="Arial Unicode MS" w:hAnsi="Arial" w:cs="Arial"/>
          <w:b/>
          <w:bCs/>
          <w:sz w:val="24"/>
          <w:szCs w:val="24"/>
        </w:rPr>
      </w:pPr>
      <w:r w:rsidRPr="003E1882">
        <w:rPr>
          <w:rFonts w:ascii="Arial" w:eastAsia="Arial Unicode MS" w:hAnsi="Arial" w:cs="Arial"/>
          <w:b/>
          <w:bCs/>
          <w:sz w:val="24"/>
          <w:szCs w:val="24"/>
        </w:rPr>
        <w:t>RAMIRO PAZOS GUERRERO</w:t>
      </w:r>
    </w:p>
    <w:p w14:paraId="798817B1" w14:textId="77777777" w:rsidR="00121A4D" w:rsidRPr="003E1882" w:rsidRDefault="00121A4D" w:rsidP="00F418C0">
      <w:pPr>
        <w:pStyle w:val="Sinespaciado"/>
        <w:jc w:val="center"/>
        <w:rPr>
          <w:rFonts w:ascii="Arial" w:hAnsi="Arial" w:cs="Arial"/>
          <w:b/>
          <w:sz w:val="24"/>
          <w:szCs w:val="24"/>
        </w:rPr>
      </w:pPr>
      <w:r w:rsidRPr="003E1882">
        <w:rPr>
          <w:rFonts w:ascii="Arial" w:hAnsi="Arial" w:cs="Arial"/>
          <w:b/>
          <w:sz w:val="24"/>
          <w:szCs w:val="24"/>
        </w:rPr>
        <w:t xml:space="preserve">         Magistrado</w:t>
      </w:r>
      <w:r w:rsidRPr="003E1882">
        <w:rPr>
          <w:rFonts w:ascii="Arial" w:eastAsia="Arial Unicode MS" w:hAnsi="Arial" w:cs="Arial"/>
          <w:b/>
          <w:bCs/>
          <w:sz w:val="24"/>
          <w:szCs w:val="24"/>
        </w:rPr>
        <w:tab/>
      </w:r>
      <w:r w:rsidRPr="003E1882">
        <w:rPr>
          <w:rFonts w:ascii="Arial" w:eastAsia="Arial Unicode MS" w:hAnsi="Arial" w:cs="Arial"/>
          <w:b/>
          <w:bCs/>
          <w:sz w:val="24"/>
          <w:szCs w:val="24"/>
        </w:rPr>
        <w:tab/>
      </w:r>
    </w:p>
    <w:p w14:paraId="7501CE78" w14:textId="77777777" w:rsidR="00420BF7" w:rsidRPr="003E1882" w:rsidRDefault="00420BF7" w:rsidP="00F418C0">
      <w:pPr>
        <w:spacing w:after="0" w:line="240" w:lineRule="auto"/>
        <w:rPr>
          <w:rFonts w:ascii="Arial" w:hAnsi="Arial" w:cs="Arial"/>
          <w:sz w:val="24"/>
          <w:szCs w:val="24"/>
        </w:rPr>
      </w:pPr>
    </w:p>
    <w:p w14:paraId="615AC475" w14:textId="77777777" w:rsidR="00693953" w:rsidRPr="003E1882" w:rsidRDefault="00693953" w:rsidP="00F418C0">
      <w:pPr>
        <w:spacing w:after="0" w:line="240" w:lineRule="auto"/>
        <w:rPr>
          <w:rFonts w:ascii="Arial" w:hAnsi="Arial" w:cs="Arial"/>
          <w:sz w:val="24"/>
          <w:szCs w:val="24"/>
        </w:rPr>
      </w:pPr>
    </w:p>
    <w:sectPr w:rsidR="00693953" w:rsidRPr="003E1882" w:rsidSect="00DE6193">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7D30D" w14:textId="77777777" w:rsidR="000F434E" w:rsidRDefault="000F434E" w:rsidP="00121A4D">
      <w:pPr>
        <w:spacing w:after="0" w:line="240" w:lineRule="auto"/>
      </w:pPr>
      <w:r>
        <w:separator/>
      </w:r>
    </w:p>
  </w:endnote>
  <w:endnote w:type="continuationSeparator" w:id="0">
    <w:p w14:paraId="197A5CA3" w14:textId="77777777" w:rsidR="000F434E" w:rsidRDefault="000F434E" w:rsidP="0012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EF79B" w14:textId="77777777" w:rsidR="000F434E" w:rsidRDefault="000F434E" w:rsidP="00121A4D">
      <w:pPr>
        <w:spacing w:after="0" w:line="240" w:lineRule="auto"/>
      </w:pPr>
      <w:r>
        <w:separator/>
      </w:r>
    </w:p>
  </w:footnote>
  <w:footnote w:type="continuationSeparator" w:id="0">
    <w:p w14:paraId="7E848F1A" w14:textId="77777777" w:rsidR="000F434E" w:rsidRDefault="000F434E" w:rsidP="00121A4D">
      <w:pPr>
        <w:spacing w:after="0" w:line="240" w:lineRule="auto"/>
      </w:pPr>
      <w:r>
        <w:continuationSeparator/>
      </w:r>
    </w:p>
  </w:footnote>
  <w:footnote w:id="1">
    <w:p w14:paraId="0AD56A50" w14:textId="77777777" w:rsidR="00121A4D" w:rsidRPr="00FD1F7E" w:rsidRDefault="00121A4D" w:rsidP="00121A4D">
      <w:pPr>
        <w:pStyle w:val="Textonotapie"/>
        <w:jc w:val="both"/>
        <w:rPr>
          <w:rFonts w:ascii="Arial" w:hAnsi="Arial" w:cs="Arial"/>
          <w:b w:val="0"/>
          <w:i/>
          <w:color w:val="000000"/>
          <w:sz w:val="22"/>
          <w:szCs w:val="22"/>
        </w:rPr>
      </w:pPr>
      <w:r w:rsidRPr="00FD1F7E">
        <w:rPr>
          <w:rStyle w:val="Refdenotaalpie"/>
          <w:rFonts w:ascii="Arial" w:hAnsi="Arial" w:cs="Arial"/>
          <w:b w:val="0"/>
          <w:color w:val="000000"/>
          <w:sz w:val="22"/>
          <w:szCs w:val="22"/>
        </w:rPr>
        <w:footnoteRef/>
      </w:r>
      <w:r w:rsidRPr="00FD1F7E">
        <w:rPr>
          <w:rFonts w:ascii="Arial" w:hAnsi="Arial" w:cs="Arial"/>
          <w:b w:val="0"/>
          <w:color w:val="000000"/>
          <w:sz w:val="22"/>
          <w:szCs w:val="22"/>
        </w:rPr>
        <w:t xml:space="preserve"> </w:t>
      </w:r>
      <w:r w:rsidRPr="00FD1F7E">
        <w:rPr>
          <w:rFonts w:ascii="Arial" w:hAnsi="Arial" w:cs="Arial"/>
          <w:b w:val="0"/>
          <w:color w:val="000000"/>
          <w:sz w:val="22"/>
          <w:szCs w:val="22"/>
          <w:lang w:val="es-CO"/>
        </w:rPr>
        <w:t xml:space="preserve">Debido a que la postura mayoritaria de la Sala de Subsección señala que la presente decisión corresponde al magistrado ponente, se acoge la misma y se procede a emitir un pronunciamiento en el asunto de la referencia. No obstante, se aclara que, a sentir del suscrito magistrado, la decisión debió ser adoptada por la Sala en razón a que podría tener la vocación de dar por terminado el proceso de manera total o parcial, cuestión que es más que suficiente para dar aplicación a la competencia asignada en el artículo 125 de la Ley 1437 de 2011, concordante con los numerales 1, 2, 3 y 4 del artículo 243 </w:t>
      </w:r>
      <w:r w:rsidRPr="00FD1F7E">
        <w:rPr>
          <w:rFonts w:ascii="Arial" w:hAnsi="Arial" w:cs="Arial"/>
          <w:b w:val="0"/>
          <w:i/>
          <w:color w:val="000000"/>
          <w:sz w:val="22"/>
          <w:szCs w:val="22"/>
          <w:lang w:val="es-CO"/>
        </w:rPr>
        <w:t>ibidem.</w:t>
      </w:r>
    </w:p>
    <w:p w14:paraId="385C4293" w14:textId="77777777" w:rsidR="00121A4D" w:rsidRPr="005470F4" w:rsidRDefault="00121A4D" w:rsidP="00121A4D">
      <w:pPr>
        <w:pStyle w:val="Textonotapie"/>
        <w:jc w:val="both"/>
        <w:rPr>
          <w:rFonts w:ascii="Arial" w:hAnsi="Arial" w:cs="Arial"/>
          <w:i/>
          <w:sz w:val="22"/>
          <w:szCs w:val="22"/>
          <w:lang w:val="es-CO"/>
        </w:rPr>
      </w:pPr>
    </w:p>
  </w:footnote>
  <w:footnote w:id="2">
    <w:p w14:paraId="4672CE21" w14:textId="77777777" w:rsidR="00121A4D" w:rsidRPr="00BF218D" w:rsidRDefault="00121A4D" w:rsidP="00121A4D">
      <w:pPr>
        <w:pStyle w:val="Sinespaciado"/>
        <w:jc w:val="both"/>
        <w:rPr>
          <w:rFonts w:ascii="Arial" w:hAnsi="Arial" w:cs="Arial"/>
        </w:rPr>
      </w:pPr>
      <w:r w:rsidRPr="00BF218D">
        <w:rPr>
          <w:rStyle w:val="Refdenotaalpie"/>
          <w:rFonts w:ascii="Arial" w:hAnsi="Arial" w:cs="Arial"/>
        </w:rPr>
        <w:footnoteRef/>
      </w:r>
      <w:r w:rsidRPr="00BF218D">
        <w:rPr>
          <w:rFonts w:ascii="Arial" w:hAnsi="Arial" w:cs="Arial"/>
        </w:rPr>
        <w:t xml:space="preserve"> Dicha norma, en su parte pertinente, dispone: </w:t>
      </w:r>
      <w:r w:rsidRPr="00BF218D">
        <w:rPr>
          <w:rFonts w:ascii="Arial" w:hAnsi="Arial" w:cs="Arial"/>
          <w:i/>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r w:rsidRPr="00BF218D">
        <w:rPr>
          <w:rFonts w:ascii="Arial" w:hAnsi="Arial" w:cs="Arial"/>
        </w:rPr>
        <w:t>.</w:t>
      </w:r>
    </w:p>
  </w:footnote>
  <w:footnote w:id="3">
    <w:p w14:paraId="3D5AA1D4" w14:textId="77777777" w:rsidR="00121A4D" w:rsidRDefault="00121A4D" w:rsidP="00121A4D">
      <w:pPr>
        <w:pStyle w:val="Textonotapie"/>
        <w:jc w:val="both"/>
        <w:rPr>
          <w:rFonts w:ascii="Arial" w:hAnsi="Arial" w:cs="Arial"/>
          <w:b w:val="0"/>
          <w:sz w:val="22"/>
          <w:szCs w:val="22"/>
        </w:rPr>
      </w:pPr>
    </w:p>
    <w:p w14:paraId="58FF13B0" w14:textId="77777777" w:rsidR="00121A4D" w:rsidRDefault="00121A4D" w:rsidP="00121A4D">
      <w:pPr>
        <w:pStyle w:val="Textonotapie"/>
        <w:jc w:val="both"/>
        <w:rPr>
          <w:rFonts w:ascii="Arial" w:hAnsi="Arial" w:cs="Arial"/>
          <w:b w:val="0"/>
          <w:sz w:val="22"/>
          <w:szCs w:val="22"/>
          <w:lang w:val="es-CO"/>
        </w:rPr>
      </w:pPr>
      <w:r w:rsidRPr="008C080B">
        <w:rPr>
          <w:rStyle w:val="Refdenotaalpie"/>
          <w:rFonts w:ascii="Arial" w:hAnsi="Arial" w:cs="Arial"/>
          <w:b w:val="0"/>
          <w:sz w:val="22"/>
          <w:szCs w:val="22"/>
        </w:rPr>
        <w:footnoteRef/>
      </w:r>
      <w:r w:rsidRPr="008C080B">
        <w:rPr>
          <w:rFonts w:ascii="Arial" w:hAnsi="Arial" w:cs="Arial"/>
          <w:b w:val="0"/>
          <w:sz w:val="22"/>
          <w:szCs w:val="22"/>
        </w:rPr>
        <w:t xml:space="preserve"> </w:t>
      </w:r>
      <w:r w:rsidRPr="008C080B">
        <w:rPr>
          <w:rFonts w:ascii="Arial" w:hAnsi="Arial" w:cs="Arial"/>
          <w:b w:val="0"/>
          <w:sz w:val="22"/>
          <w:szCs w:val="22"/>
          <w:lang w:val="es-CO"/>
        </w:rPr>
        <w:t xml:space="preserve">Presentada la demanda el </w:t>
      </w:r>
      <w:r>
        <w:rPr>
          <w:rFonts w:ascii="Arial" w:hAnsi="Arial" w:cs="Arial"/>
          <w:b w:val="0"/>
          <w:sz w:val="22"/>
          <w:szCs w:val="22"/>
          <w:lang w:val="es-CO"/>
        </w:rPr>
        <w:t>11 de julio de 2016</w:t>
      </w:r>
      <w:r w:rsidRPr="008C080B">
        <w:rPr>
          <w:rFonts w:ascii="Arial" w:hAnsi="Arial" w:cs="Arial"/>
          <w:b w:val="0"/>
          <w:sz w:val="22"/>
          <w:szCs w:val="22"/>
          <w:lang w:val="es-CO"/>
        </w:rPr>
        <w:t xml:space="preserve"> es claro que el procedimiento aplicable es el contenido en el CPACA, tal como lo dispone su artículo 308. </w:t>
      </w:r>
    </w:p>
    <w:p w14:paraId="4CA32054" w14:textId="77777777" w:rsidR="00121A4D" w:rsidRPr="00A729C0" w:rsidRDefault="00121A4D" w:rsidP="00121A4D">
      <w:pPr>
        <w:pStyle w:val="Textonotapie"/>
        <w:jc w:val="both"/>
        <w:rPr>
          <w:lang w:val="es-CO"/>
        </w:rPr>
      </w:pPr>
    </w:p>
  </w:footnote>
  <w:footnote w:id="4">
    <w:p w14:paraId="291C04BE" w14:textId="77777777" w:rsidR="00121A4D" w:rsidRPr="008E5191" w:rsidRDefault="00121A4D" w:rsidP="00121A4D">
      <w:pPr>
        <w:pStyle w:val="Textonotapie"/>
        <w:jc w:val="both"/>
        <w:rPr>
          <w:rFonts w:ascii="Arial" w:hAnsi="Arial" w:cs="Arial"/>
          <w:b w:val="0"/>
          <w:sz w:val="22"/>
          <w:szCs w:val="22"/>
          <w:lang w:val="es-CO"/>
        </w:rPr>
      </w:pPr>
      <w:r w:rsidRPr="008E5191">
        <w:rPr>
          <w:rStyle w:val="Refdenotaalpie"/>
          <w:rFonts w:ascii="Arial" w:hAnsi="Arial" w:cs="Arial"/>
          <w:b w:val="0"/>
          <w:sz w:val="22"/>
          <w:szCs w:val="22"/>
        </w:rPr>
        <w:footnoteRef/>
      </w:r>
      <w:r w:rsidRPr="008E5191">
        <w:rPr>
          <w:rFonts w:ascii="Arial" w:hAnsi="Arial" w:cs="Arial"/>
          <w:b w:val="0"/>
          <w:sz w:val="22"/>
          <w:szCs w:val="22"/>
        </w:rPr>
        <w:t xml:space="preserve"> La mayor pretensión fue de $426.057.023</w:t>
      </w:r>
      <w:r w:rsidRPr="008E5191">
        <w:rPr>
          <w:rFonts w:ascii="Arial" w:hAnsi="Arial" w:cs="Arial"/>
          <w:b w:val="0"/>
          <w:sz w:val="22"/>
          <w:szCs w:val="22"/>
          <w:lang w:val="es-CO"/>
        </w:rPr>
        <w:t xml:space="preserve"> (fl. 19, c. 1, acápite de Valor de la mayor pretensión</w:t>
      </w:r>
      <w:r>
        <w:rPr>
          <w:rFonts w:ascii="Arial" w:hAnsi="Arial" w:cs="Arial"/>
          <w:b w:val="0"/>
          <w:sz w:val="22"/>
          <w:szCs w:val="22"/>
          <w:lang w:val="es-CO"/>
        </w:rPr>
        <w:t>).</w:t>
      </w:r>
    </w:p>
  </w:footnote>
  <w:footnote w:id="5">
    <w:p w14:paraId="32EEB8C7" w14:textId="77777777" w:rsidR="00121A4D" w:rsidRPr="006C5CD9" w:rsidRDefault="00121A4D" w:rsidP="00121A4D">
      <w:pPr>
        <w:overflowPunct w:val="0"/>
        <w:autoSpaceDE w:val="0"/>
        <w:autoSpaceDN w:val="0"/>
        <w:adjustRightInd w:val="0"/>
        <w:spacing w:after="0" w:line="240" w:lineRule="auto"/>
        <w:jc w:val="both"/>
        <w:textAlignment w:val="baseline"/>
      </w:pPr>
      <w:r w:rsidRPr="00F60E97">
        <w:rPr>
          <w:rStyle w:val="Refdenotaalpie"/>
          <w:rFonts w:ascii="Arial" w:hAnsi="Arial" w:cs="Arial"/>
        </w:rPr>
        <w:footnoteRef/>
      </w:r>
      <w:r w:rsidRPr="00F60E97">
        <w:rPr>
          <w:rFonts w:ascii="Arial" w:hAnsi="Arial" w:cs="Arial"/>
        </w:rPr>
        <w:t xml:space="preserve"> </w:t>
      </w:r>
      <w:r>
        <w:rPr>
          <w:rFonts w:ascii="Arial" w:hAnsi="Arial" w:cs="Arial"/>
        </w:rPr>
        <w:t>E</w:t>
      </w:r>
      <w:r w:rsidRPr="00F60E97">
        <w:rPr>
          <w:rFonts w:ascii="Arial" w:eastAsia="Arial Unicode MS" w:hAnsi="Arial" w:cs="Arial"/>
          <w:bCs/>
          <w:lang w:eastAsia="es-CO"/>
        </w:rPr>
        <w:t>l artículo 1 del Acuerdo 55 de 2003, modificatorio del artículo 13 del Acuerdo 58 de 1999, impone el conocimiento a esta Sección de los</w:t>
      </w:r>
      <w:r>
        <w:rPr>
          <w:rFonts w:ascii="Arial" w:eastAsia="Arial Unicode MS" w:hAnsi="Arial" w:cs="Arial"/>
          <w:bCs/>
          <w:lang w:eastAsia="es-CO"/>
        </w:rPr>
        <w:t xml:space="preserve"> asuntos contractuales</w:t>
      </w:r>
      <w:r w:rsidRPr="00F60E97">
        <w:rPr>
          <w:rFonts w:ascii="Arial" w:eastAsia="Arial Unicode MS" w:hAnsi="Arial" w:cs="Arial"/>
          <w:bCs/>
          <w:lang w:eastAsia="es-CO"/>
        </w:rPr>
        <w:t xml:space="preserve">. </w:t>
      </w:r>
    </w:p>
  </w:footnote>
  <w:footnote w:id="6">
    <w:p w14:paraId="0B337646" w14:textId="77777777" w:rsidR="00121A4D" w:rsidRDefault="00121A4D" w:rsidP="00121A4D">
      <w:pPr>
        <w:overflowPunct w:val="0"/>
        <w:autoSpaceDE w:val="0"/>
        <w:autoSpaceDN w:val="0"/>
        <w:adjustRightInd w:val="0"/>
        <w:spacing w:after="0" w:line="240" w:lineRule="auto"/>
        <w:jc w:val="both"/>
        <w:textAlignment w:val="baseline"/>
      </w:pPr>
    </w:p>
    <w:p w14:paraId="504D15F3" w14:textId="77777777" w:rsidR="00121A4D" w:rsidRPr="00F351A4" w:rsidRDefault="00121A4D" w:rsidP="00121A4D">
      <w:pPr>
        <w:overflowPunct w:val="0"/>
        <w:autoSpaceDE w:val="0"/>
        <w:autoSpaceDN w:val="0"/>
        <w:adjustRightInd w:val="0"/>
        <w:spacing w:after="0" w:line="240" w:lineRule="auto"/>
        <w:jc w:val="both"/>
        <w:textAlignment w:val="baseline"/>
        <w:rPr>
          <w:rFonts w:ascii="Arial" w:eastAsia="Arial Unicode MS" w:hAnsi="Arial" w:cs="Arial"/>
          <w:bCs/>
          <w:color w:val="000000"/>
          <w:sz w:val="26"/>
          <w:szCs w:val="26"/>
          <w:lang w:eastAsia="es-CO"/>
        </w:rPr>
      </w:pPr>
      <w:r w:rsidRPr="004E6FE1">
        <w:rPr>
          <w:rStyle w:val="Refdenotaalpie"/>
          <w:rFonts w:ascii="Arial" w:hAnsi="Arial" w:cs="Arial"/>
          <w:highlight w:val="yellow"/>
        </w:rPr>
        <w:footnoteRef/>
      </w:r>
      <w:r w:rsidRPr="004E6FE1">
        <w:rPr>
          <w:highlight w:val="yellow"/>
        </w:rPr>
        <w:t xml:space="preserve"> </w:t>
      </w:r>
      <w:r w:rsidRPr="004E6FE1">
        <w:rPr>
          <w:rFonts w:ascii="Arial" w:hAnsi="Arial" w:cs="Arial"/>
          <w:highlight w:val="yellow"/>
        </w:rPr>
        <w:t xml:space="preserve">Debido a que la postura mayoritaria de la Sala de Subsección señala que la presente decisión corresponde al magistrado ponente, se acoge la misma y se procede a emitir un pronunciamiento en el asunto de la referencia. No obstante, se aclara que, a sentir del suscrito magistrado, la decisión debió ser adoptada por la Sala en razón a que podría tener la vocación de dar por terminado el proceso de manera total o parcial, cuestión que es más que suficiente para dar aplicación a la competencia asignada en el artículo 125 de la Ley 1437 de 2011, concordante con los numerales 1, 2, 3 y 4 del artículo 243 </w:t>
      </w:r>
      <w:r w:rsidRPr="004E6FE1">
        <w:rPr>
          <w:rFonts w:ascii="Arial" w:hAnsi="Arial" w:cs="Arial"/>
          <w:i/>
          <w:highlight w:val="yellow"/>
        </w:rPr>
        <w:t>ibidem</w:t>
      </w:r>
      <w:r w:rsidRPr="004E6FE1">
        <w:rPr>
          <w:rFonts w:ascii="Arial" w:hAnsi="Arial" w:cs="Arial"/>
          <w:highlight w:val="yellow"/>
        </w:rPr>
        <w:t>.</w:t>
      </w:r>
    </w:p>
    <w:p w14:paraId="384FDFCC" w14:textId="77777777" w:rsidR="00121A4D" w:rsidRPr="00E92C5F" w:rsidRDefault="00121A4D" w:rsidP="00121A4D">
      <w:pPr>
        <w:pStyle w:val="Textonotapie"/>
        <w:rPr>
          <w:lang w:val="es-CO"/>
        </w:rPr>
      </w:pPr>
    </w:p>
  </w:footnote>
  <w:footnote w:id="7">
    <w:p w14:paraId="6B496AC0" w14:textId="77777777" w:rsidR="00121A4D" w:rsidRDefault="00121A4D" w:rsidP="00121A4D">
      <w:pPr>
        <w:pStyle w:val="Textonotapie"/>
        <w:jc w:val="both"/>
        <w:rPr>
          <w:rFonts w:ascii="Arial" w:hAnsi="Arial" w:cs="Arial"/>
          <w:b w:val="0"/>
          <w:sz w:val="22"/>
          <w:szCs w:val="22"/>
        </w:rPr>
      </w:pPr>
      <w:r w:rsidRPr="00BF390B">
        <w:rPr>
          <w:rStyle w:val="Refdenotaalpie"/>
          <w:rFonts w:ascii="Arial" w:hAnsi="Arial" w:cs="Arial"/>
          <w:b w:val="0"/>
          <w:sz w:val="22"/>
          <w:szCs w:val="22"/>
        </w:rPr>
        <w:footnoteRef/>
      </w:r>
      <w:r w:rsidRPr="00BF390B">
        <w:rPr>
          <w:rFonts w:ascii="Arial" w:hAnsi="Arial" w:cs="Arial"/>
          <w:b w:val="0"/>
          <w:sz w:val="22"/>
          <w:szCs w:val="22"/>
        </w:rPr>
        <w:t xml:space="preserve"> Cfr. Consejo de Estado, Sección Tercera, sentencia del 19 de noviembre de 2012, exp. 24.897, M.P. Jaime Orlando Santofimio Gamboa. </w:t>
      </w:r>
    </w:p>
    <w:p w14:paraId="7A913930" w14:textId="77777777" w:rsidR="00121A4D" w:rsidRPr="00BF390B" w:rsidRDefault="00121A4D" w:rsidP="00121A4D">
      <w:pPr>
        <w:pStyle w:val="Textonotapie"/>
        <w:jc w:val="both"/>
        <w:rPr>
          <w:rFonts w:ascii="Arial" w:hAnsi="Arial" w:cs="Arial"/>
          <w:b w:val="0"/>
          <w:sz w:val="22"/>
          <w:szCs w:val="22"/>
          <w:lang w:val="es-CO"/>
        </w:rPr>
      </w:pPr>
    </w:p>
  </w:footnote>
  <w:footnote w:id="8">
    <w:p w14:paraId="304BE6F1" w14:textId="77777777" w:rsidR="00121A4D" w:rsidRPr="00AD1734" w:rsidRDefault="00121A4D" w:rsidP="00121A4D">
      <w:pPr>
        <w:pStyle w:val="Textonotapie"/>
        <w:jc w:val="both"/>
        <w:rPr>
          <w:rFonts w:ascii="Arial" w:hAnsi="Arial" w:cs="Arial"/>
          <w:b w:val="0"/>
          <w:sz w:val="22"/>
          <w:szCs w:val="22"/>
        </w:rPr>
      </w:pPr>
      <w:r w:rsidRPr="00AD1734">
        <w:rPr>
          <w:rStyle w:val="Refdenotaalpie"/>
          <w:rFonts w:ascii="Arial" w:hAnsi="Arial" w:cs="Arial"/>
          <w:b w:val="0"/>
          <w:sz w:val="22"/>
          <w:szCs w:val="22"/>
        </w:rPr>
        <w:footnoteRef/>
      </w:r>
      <w:r w:rsidRPr="00AD1734">
        <w:rPr>
          <w:rFonts w:ascii="Arial" w:hAnsi="Arial" w:cs="Arial"/>
          <w:b w:val="0"/>
          <w:sz w:val="22"/>
          <w:szCs w:val="22"/>
        </w:rPr>
        <w:t xml:space="preserve"> Consejo de Estad</w:t>
      </w:r>
      <w:r>
        <w:rPr>
          <w:rFonts w:ascii="Arial" w:hAnsi="Arial" w:cs="Arial"/>
          <w:b w:val="0"/>
          <w:sz w:val="22"/>
          <w:szCs w:val="22"/>
        </w:rPr>
        <w:t xml:space="preserve">o, Sección Tercera, Subsección </w:t>
      </w:r>
      <w:r w:rsidRPr="00AD1734">
        <w:rPr>
          <w:rFonts w:ascii="Arial" w:hAnsi="Arial" w:cs="Arial"/>
          <w:b w:val="0"/>
          <w:sz w:val="22"/>
          <w:szCs w:val="22"/>
        </w:rPr>
        <w:t>B, auto del 30 de octubre de 2013, exp. 46</w:t>
      </w:r>
      <w:r>
        <w:rPr>
          <w:rFonts w:ascii="Arial" w:hAnsi="Arial" w:cs="Arial"/>
          <w:b w:val="0"/>
          <w:sz w:val="22"/>
          <w:szCs w:val="22"/>
        </w:rPr>
        <w:t>.</w:t>
      </w:r>
      <w:r w:rsidRPr="00AD1734">
        <w:rPr>
          <w:rFonts w:ascii="Arial" w:hAnsi="Arial" w:cs="Arial"/>
          <w:b w:val="0"/>
          <w:sz w:val="22"/>
          <w:szCs w:val="22"/>
        </w:rPr>
        <w:t>448</w:t>
      </w:r>
      <w:r>
        <w:rPr>
          <w:rFonts w:ascii="Arial" w:hAnsi="Arial" w:cs="Arial"/>
          <w:b w:val="0"/>
          <w:sz w:val="22"/>
          <w:szCs w:val="22"/>
        </w:rPr>
        <w:t>, M</w:t>
      </w:r>
      <w:r w:rsidRPr="00AD1734">
        <w:rPr>
          <w:rFonts w:ascii="Arial" w:hAnsi="Arial" w:cs="Arial"/>
          <w:b w:val="0"/>
          <w:sz w:val="22"/>
          <w:szCs w:val="22"/>
        </w:rPr>
        <w:t>.P. Danilo Rojas Betancourth.</w:t>
      </w:r>
    </w:p>
  </w:footnote>
  <w:footnote w:id="9">
    <w:p w14:paraId="6AE772CE" w14:textId="77777777" w:rsidR="00121A4D" w:rsidRPr="00040F72" w:rsidRDefault="00121A4D" w:rsidP="00121A4D">
      <w:pPr>
        <w:pStyle w:val="Textonotapie"/>
        <w:jc w:val="both"/>
        <w:rPr>
          <w:rFonts w:ascii="Arial" w:hAnsi="Arial" w:cs="Arial"/>
          <w:b w:val="0"/>
          <w:sz w:val="22"/>
          <w:szCs w:val="22"/>
        </w:rPr>
      </w:pPr>
      <w:r w:rsidRPr="00040F72">
        <w:rPr>
          <w:rStyle w:val="Refdenotaalpie"/>
          <w:rFonts w:ascii="Arial" w:hAnsi="Arial" w:cs="Arial"/>
          <w:b w:val="0"/>
          <w:sz w:val="22"/>
          <w:szCs w:val="22"/>
        </w:rPr>
        <w:footnoteRef/>
      </w:r>
      <w:r w:rsidRPr="00040F72">
        <w:rPr>
          <w:rFonts w:ascii="Arial" w:hAnsi="Arial" w:cs="Arial"/>
          <w:b w:val="0"/>
          <w:sz w:val="22"/>
          <w:szCs w:val="22"/>
        </w:rPr>
        <w:t xml:space="preserve"> </w:t>
      </w:r>
      <w:r>
        <w:rPr>
          <w:rFonts w:ascii="Arial" w:hAnsi="Arial" w:cs="Arial"/>
          <w:b w:val="0"/>
          <w:sz w:val="22"/>
          <w:szCs w:val="22"/>
        </w:rPr>
        <w:t xml:space="preserve">Cita original: </w:t>
      </w:r>
      <w:r w:rsidRPr="00040F72">
        <w:rPr>
          <w:rFonts w:ascii="Arial" w:hAnsi="Arial" w:cs="Arial"/>
          <w:b w:val="0"/>
          <w:sz w:val="22"/>
          <w:szCs w:val="22"/>
        </w:rPr>
        <w:t xml:space="preserve">[6] </w:t>
      </w:r>
      <w:r w:rsidRPr="00040F72">
        <w:rPr>
          <w:rFonts w:ascii="Arial" w:hAnsi="Arial" w:cs="Arial"/>
          <w:b w:val="0"/>
          <w:i/>
          <w:sz w:val="22"/>
          <w:szCs w:val="22"/>
        </w:rPr>
        <w:t>“</w:t>
      </w:r>
      <w:r w:rsidRPr="00040F72">
        <w:rPr>
          <w:rFonts w:ascii="Arial" w:hAnsi="Arial" w:cs="Arial"/>
          <w:b w:val="0"/>
          <w:i/>
          <w:sz w:val="22"/>
          <w:szCs w:val="22"/>
          <w:lang w:val="es-MX"/>
        </w:rPr>
        <w:t xml:space="preserve">Consejo de Estado, Sección Tercera, sentencia de 11 de mayo de 2000, exp. </w:t>
      </w:r>
      <w:r w:rsidRPr="00040F72">
        <w:rPr>
          <w:rFonts w:ascii="Arial" w:hAnsi="Arial" w:cs="Arial"/>
          <w:b w:val="0"/>
          <w:i/>
          <w:sz w:val="22"/>
          <w:szCs w:val="22"/>
        </w:rPr>
        <w:t>12200, C.P. María Elena Giraldo Gómez”</w:t>
      </w:r>
      <w:r w:rsidRPr="00040F72">
        <w:rPr>
          <w:rFonts w:ascii="Arial" w:hAnsi="Arial" w:cs="Arial"/>
          <w:b w:val="0"/>
          <w:sz w:val="22"/>
          <w:szCs w:val="22"/>
        </w:rPr>
        <w:t>.</w:t>
      </w:r>
    </w:p>
    <w:p w14:paraId="4C2C3F13" w14:textId="77777777" w:rsidR="00121A4D" w:rsidRPr="00040F72" w:rsidRDefault="00121A4D" w:rsidP="00121A4D">
      <w:pPr>
        <w:pStyle w:val="Textonotapie"/>
        <w:jc w:val="both"/>
        <w:rPr>
          <w:rFonts w:ascii="Arial" w:hAnsi="Arial" w:cs="Arial"/>
          <w:b w:val="0"/>
          <w:sz w:val="22"/>
          <w:szCs w:val="22"/>
          <w:lang w:val="es-MX"/>
        </w:rPr>
      </w:pPr>
    </w:p>
  </w:footnote>
  <w:footnote w:id="10">
    <w:p w14:paraId="587C87A7" w14:textId="77777777" w:rsidR="00121A4D" w:rsidRPr="00162032" w:rsidRDefault="00121A4D" w:rsidP="00121A4D">
      <w:pPr>
        <w:pStyle w:val="Textonotapie"/>
        <w:jc w:val="both"/>
        <w:rPr>
          <w:rFonts w:ascii="Arial" w:hAnsi="Arial" w:cs="Arial"/>
          <w:b w:val="0"/>
          <w:sz w:val="22"/>
          <w:szCs w:val="22"/>
        </w:rPr>
      </w:pPr>
      <w:r w:rsidRPr="00162032">
        <w:rPr>
          <w:rStyle w:val="Refdenotaalpie"/>
          <w:rFonts w:ascii="Arial" w:hAnsi="Arial" w:cs="Arial"/>
          <w:b w:val="0"/>
          <w:sz w:val="22"/>
          <w:szCs w:val="22"/>
        </w:rPr>
        <w:footnoteRef/>
      </w:r>
      <w:r w:rsidRPr="00162032">
        <w:rPr>
          <w:rFonts w:ascii="Arial" w:hAnsi="Arial" w:cs="Arial"/>
          <w:b w:val="0"/>
          <w:sz w:val="22"/>
          <w:szCs w:val="22"/>
        </w:rPr>
        <w:t xml:space="preserve"> Consejo de Estado, Sección Tercera, sentencia del 30 de noviembre del 2000, exp. 11895, M.P. Alier Eduardo Hernández Enríquez. Efectivamente, la Sección también ha sostenido: </w:t>
      </w:r>
      <w:r>
        <w:rPr>
          <w:rFonts w:ascii="Arial" w:hAnsi="Arial" w:cs="Arial"/>
          <w:b w:val="0"/>
          <w:i/>
          <w:sz w:val="22"/>
          <w:szCs w:val="22"/>
        </w:rPr>
        <w:t>“</w:t>
      </w:r>
      <w:r w:rsidRPr="00162032">
        <w:rPr>
          <w:rFonts w:ascii="Arial" w:hAnsi="Arial" w:cs="Arial"/>
          <w:b w:val="0"/>
          <w:i/>
          <w:sz w:val="22"/>
          <w:szCs w:val="22"/>
        </w:rPr>
        <w:t>Sin embargo, la Sala considera necesario reiterar que, en casos como el presente, el término de caducidad debe contarse a partir de la fecha en que se deba entender consolidado el daño reclamado, lo que aquí habría ocurrido en la fecha en que se le comunicó oficialmente al señor Eulises Barón, por parte de la entidad demandada, la imposibilidad de cancelarle las cuentas de cobro presentadas por los bienes que, según sus afirmaciones, le había suministrado.  Reitera la Sala, en relación con este tema, lo expresado en la sentencia del 6 de septiembre de 1991, citada anteriormente, en el sentido de que “Exigirle a la... actora una actividad jurisdiccional previa a la negativa oficial de pago y sancionarla porque no demandó el reconocimiento de un derecho cuya negativa antes ignoraba, sería ir en contra del sentido común y de una equitativa valoración de lo sucedido”.</w:t>
      </w:r>
      <w:r w:rsidRPr="00162032">
        <w:rPr>
          <w:rFonts w:ascii="Arial" w:hAnsi="Arial" w:cs="Arial"/>
          <w:b w:val="0"/>
          <w:sz w:val="22"/>
          <w:szCs w:val="22"/>
        </w:rPr>
        <w:t xml:space="preserve"> </w:t>
      </w:r>
    </w:p>
  </w:footnote>
  <w:footnote w:id="11">
    <w:p w14:paraId="3C6D0402" w14:textId="77777777" w:rsidR="00121A4D" w:rsidRPr="008E5191" w:rsidRDefault="00121A4D" w:rsidP="00121A4D">
      <w:pPr>
        <w:pStyle w:val="Textonotapie"/>
        <w:jc w:val="both"/>
        <w:rPr>
          <w:rFonts w:ascii="Arial" w:hAnsi="Arial" w:cs="Arial"/>
          <w:b w:val="0"/>
          <w:sz w:val="22"/>
          <w:szCs w:val="22"/>
          <w:lang w:val="es-CO"/>
        </w:rPr>
      </w:pPr>
      <w:r w:rsidRPr="008E5191">
        <w:rPr>
          <w:rStyle w:val="Refdenotaalpie"/>
          <w:rFonts w:ascii="Arial" w:hAnsi="Arial" w:cs="Arial"/>
          <w:b w:val="0"/>
          <w:sz w:val="22"/>
          <w:szCs w:val="22"/>
        </w:rPr>
        <w:footnoteRef/>
      </w:r>
      <w:r w:rsidRPr="008E5191">
        <w:rPr>
          <w:rFonts w:ascii="Arial" w:hAnsi="Arial" w:cs="Arial"/>
          <w:b w:val="0"/>
          <w:sz w:val="22"/>
          <w:szCs w:val="22"/>
        </w:rPr>
        <w:t xml:space="preserve"> La mayor pretensión fue de $426.057.023</w:t>
      </w:r>
      <w:r w:rsidRPr="008E5191">
        <w:rPr>
          <w:rFonts w:ascii="Arial" w:hAnsi="Arial" w:cs="Arial"/>
          <w:b w:val="0"/>
          <w:sz w:val="22"/>
          <w:szCs w:val="22"/>
          <w:lang w:val="es-CO"/>
        </w:rPr>
        <w:t xml:space="preserve"> (fl. 19, c. 1, acápite de Valor de la mayor pretensión</w:t>
      </w:r>
      <w:r>
        <w:rPr>
          <w:rFonts w:ascii="Arial" w:hAnsi="Arial" w:cs="Arial"/>
          <w:b w:val="0"/>
          <w:sz w:val="22"/>
          <w:szCs w:val="22"/>
          <w:lang w:val="es-C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F7"/>
    <w:rsid w:val="000F434E"/>
    <w:rsid w:val="00102A1B"/>
    <w:rsid w:val="00121A4D"/>
    <w:rsid w:val="00180F25"/>
    <w:rsid w:val="0021627A"/>
    <w:rsid w:val="003E1882"/>
    <w:rsid w:val="004105FD"/>
    <w:rsid w:val="00420BF7"/>
    <w:rsid w:val="004239B3"/>
    <w:rsid w:val="0046766C"/>
    <w:rsid w:val="004C2197"/>
    <w:rsid w:val="004E173E"/>
    <w:rsid w:val="00593444"/>
    <w:rsid w:val="00693953"/>
    <w:rsid w:val="00721821"/>
    <w:rsid w:val="00791886"/>
    <w:rsid w:val="0091324E"/>
    <w:rsid w:val="00A163B7"/>
    <w:rsid w:val="00B06B4E"/>
    <w:rsid w:val="00B36E02"/>
    <w:rsid w:val="00BC308A"/>
    <w:rsid w:val="00C30D66"/>
    <w:rsid w:val="00CB0998"/>
    <w:rsid w:val="00D94BF0"/>
    <w:rsid w:val="00DB4FB7"/>
    <w:rsid w:val="00DE6193"/>
    <w:rsid w:val="00F418C0"/>
    <w:rsid w:val="00FA3CE9"/>
    <w:rsid w:val="00FD1F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BD773"/>
  <w15:docId w15:val="{45CEC1FD-7195-4564-9D6A-F09BECE8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1A4D"/>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121A4D"/>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121A4D"/>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C"/>
    <w:basedOn w:val="Normal"/>
    <w:link w:val="TextonotapieCar1"/>
    <w:qFormat/>
    <w:rsid w:val="00121A4D"/>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121A4D"/>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121A4D"/>
    <w:rPr>
      <w:rFonts w:ascii="Century Gothic" w:eastAsia="Times New Roman" w:hAnsi="Century Gothic"/>
      <w:b/>
      <w:kern w:val="28"/>
      <w:lang w:val="es-ES_tradnl" w:eastAsia="es-ES"/>
    </w:rPr>
  </w:style>
  <w:style w:type="paragraph" w:styleId="Prrafodelista">
    <w:name w:val="List Paragraph"/>
    <w:basedOn w:val="Normal"/>
    <w:uiPriority w:val="34"/>
    <w:qFormat/>
    <w:rsid w:val="00121A4D"/>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styleId="Sinespaciado">
    <w:name w:val="No Spacing"/>
    <w:link w:val="SinespaciadoCar"/>
    <w:qFormat/>
    <w:rsid w:val="00121A4D"/>
    <w:rPr>
      <w:sz w:val="22"/>
      <w:szCs w:val="22"/>
      <w:lang w:val="es-ES" w:eastAsia="en-US"/>
    </w:rPr>
  </w:style>
  <w:style w:type="character" w:styleId="Hipervnculo">
    <w:name w:val="Hyperlink"/>
    <w:uiPriority w:val="99"/>
    <w:unhideWhenUsed/>
    <w:rsid w:val="00121A4D"/>
    <w:rPr>
      <w:color w:val="0000FF"/>
      <w:u w:val="single"/>
    </w:rPr>
  </w:style>
  <w:style w:type="character" w:customStyle="1" w:styleId="SinespaciadoCar">
    <w:name w:val="Sin espaciado Car"/>
    <w:link w:val="Sinespaciado"/>
    <w:rsid w:val="00121A4D"/>
    <w:rPr>
      <w:sz w:val="22"/>
      <w:szCs w:val="22"/>
      <w:lang w:val="es-ES" w:eastAsia="en-US"/>
    </w:rPr>
  </w:style>
  <w:style w:type="paragraph" w:styleId="Encabezado">
    <w:name w:val="header"/>
    <w:basedOn w:val="Normal"/>
    <w:link w:val="EncabezadoCar"/>
    <w:uiPriority w:val="99"/>
    <w:unhideWhenUsed/>
    <w:rsid w:val="00121A4D"/>
    <w:pPr>
      <w:tabs>
        <w:tab w:val="center" w:pos="4419"/>
        <w:tab w:val="right" w:pos="8838"/>
      </w:tabs>
    </w:pPr>
  </w:style>
  <w:style w:type="character" w:customStyle="1" w:styleId="EncabezadoCar">
    <w:name w:val="Encabezado Car"/>
    <w:link w:val="Encabezado"/>
    <w:uiPriority w:val="99"/>
    <w:rsid w:val="00121A4D"/>
    <w:rPr>
      <w:sz w:val="22"/>
      <w:szCs w:val="22"/>
      <w:lang w:eastAsia="en-US"/>
    </w:rPr>
  </w:style>
  <w:style w:type="paragraph" w:styleId="Piedepgina">
    <w:name w:val="footer"/>
    <w:basedOn w:val="Normal"/>
    <w:link w:val="PiedepginaCar"/>
    <w:uiPriority w:val="99"/>
    <w:unhideWhenUsed/>
    <w:rsid w:val="00121A4D"/>
    <w:pPr>
      <w:tabs>
        <w:tab w:val="center" w:pos="4419"/>
        <w:tab w:val="right" w:pos="8838"/>
      </w:tabs>
    </w:pPr>
  </w:style>
  <w:style w:type="character" w:customStyle="1" w:styleId="PiedepginaCar">
    <w:name w:val="Pie de página Car"/>
    <w:link w:val="Piedepgina"/>
    <w:uiPriority w:val="99"/>
    <w:rsid w:val="00121A4D"/>
    <w:rPr>
      <w:sz w:val="22"/>
      <w:szCs w:val="22"/>
      <w:lang w:eastAsia="en-US"/>
    </w:rPr>
  </w:style>
  <w:style w:type="paragraph" w:styleId="Ttulo">
    <w:name w:val="Title"/>
    <w:basedOn w:val="Normal"/>
    <w:link w:val="TtuloCar"/>
    <w:qFormat/>
    <w:rsid w:val="00DE6193"/>
    <w:pPr>
      <w:overflowPunct w:val="0"/>
      <w:autoSpaceDE w:val="0"/>
      <w:autoSpaceDN w:val="0"/>
      <w:adjustRightInd w:val="0"/>
      <w:spacing w:after="0" w:line="480" w:lineRule="auto"/>
      <w:ind w:right="23"/>
      <w:jc w:val="center"/>
      <w:textAlignment w:val="baseline"/>
    </w:pPr>
    <w:rPr>
      <w:rFonts w:ascii="Arial" w:eastAsia="Times New Roman" w:hAnsi="Arial" w:cs="Arial"/>
      <w:b/>
      <w:bCs/>
      <w:sz w:val="24"/>
      <w:szCs w:val="24"/>
      <w:lang w:val="es-ES" w:eastAsia="es-ES"/>
    </w:rPr>
  </w:style>
  <w:style w:type="character" w:customStyle="1" w:styleId="TtuloCar">
    <w:name w:val="Título Car"/>
    <w:link w:val="Ttulo"/>
    <w:rsid w:val="00DE6193"/>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ecretariasenado.gov.co/senado/basedoc/ley_1564_2012_pr0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9B7F8-AA2D-424D-92A4-7DEFE947E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FEC2E-669C-477E-AA55-874955BB410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03B0A6A-466B-4984-89B8-535AE8A22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4417</Words>
  <Characters>24295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28655</CharactersWithSpaces>
  <SharedDoc>false</SharedDoc>
  <HLinks>
    <vt:vector size="6" baseType="variant">
      <vt:variant>
        <vt:i4>1966179</vt:i4>
      </vt:variant>
      <vt:variant>
        <vt:i4>0</vt:i4>
      </vt:variant>
      <vt:variant>
        <vt:i4>0</vt:i4>
      </vt:variant>
      <vt:variant>
        <vt:i4>5</vt:i4>
      </vt:variant>
      <vt:variant>
        <vt:lpwstr>http://www.secretariasenado.gov.co/senado/basedoc/ley_1564_2012_pr014.html</vt:lpwstr>
      </vt:variant>
      <vt:variant>
        <vt:lpwstr>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jmanuel.castillo.lopez@gmail.com</cp:lastModifiedBy>
  <cp:revision>6</cp:revision>
  <dcterms:created xsi:type="dcterms:W3CDTF">2020-06-13T22:07:00Z</dcterms:created>
  <dcterms:modified xsi:type="dcterms:W3CDTF">2020-06-22T22:07:00Z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