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C2" w:rsidRPr="00774CAA" w:rsidRDefault="00775B55" w:rsidP="00147E6E">
      <w:pPr>
        <w:widowControl w:val="0"/>
        <w:autoSpaceDE w:val="0"/>
        <w:autoSpaceDN w:val="0"/>
        <w:adjustRightInd w:val="0"/>
        <w:spacing w:line="240" w:lineRule="auto"/>
        <w:rPr>
          <w:rFonts w:cs="Arial"/>
          <w:sz w:val="22"/>
          <w:szCs w:val="22"/>
        </w:rPr>
      </w:pPr>
      <w:r>
        <w:rPr>
          <w:rFonts w:cs="Arial"/>
          <w:b/>
          <w:sz w:val="22"/>
          <w:szCs w:val="22"/>
        </w:rPr>
        <w:t xml:space="preserve">RESPONSABILIDAD CONTRACTUAL - </w:t>
      </w:r>
      <w:r w:rsidR="005C503F" w:rsidRPr="00774CAA">
        <w:rPr>
          <w:rFonts w:cs="Arial"/>
          <w:b/>
          <w:sz w:val="22"/>
          <w:szCs w:val="22"/>
        </w:rPr>
        <w:t>R</w:t>
      </w:r>
      <w:r w:rsidRPr="00774CAA">
        <w:rPr>
          <w:rFonts w:cs="Arial"/>
          <w:b/>
          <w:sz w:val="22"/>
          <w:szCs w:val="22"/>
        </w:rPr>
        <w:t xml:space="preserve">esponsabilidad de los contratistas </w:t>
      </w:r>
      <w:r>
        <w:rPr>
          <w:rFonts w:cs="Arial"/>
          <w:b/>
          <w:sz w:val="22"/>
          <w:szCs w:val="22"/>
        </w:rPr>
        <w:t>-</w:t>
      </w:r>
      <w:r w:rsidRPr="00774CAA">
        <w:rPr>
          <w:rFonts w:cs="Arial"/>
          <w:b/>
          <w:sz w:val="22"/>
          <w:szCs w:val="22"/>
        </w:rPr>
        <w:t xml:space="preserve"> </w:t>
      </w:r>
      <w:r>
        <w:rPr>
          <w:rFonts w:cs="Arial"/>
          <w:b/>
          <w:sz w:val="22"/>
          <w:szCs w:val="22"/>
        </w:rPr>
        <w:t>P</w:t>
      </w:r>
      <w:r w:rsidRPr="00774CAA">
        <w:rPr>
          <w:rFonts w:cs="Arial"/>
          <w:b/>
          <w:sz w:val="22"/>
          <w:szCs w:val="22"/>
        </w:rPr>
        <w:t>rescripción de las acciones</w:t>
      </w:r>
      <w:r w:rsidR="005C503F" w:rsidRPr="00774CAA">
        <w:rPr>
          <w:rFonts w:cs="Arial"/>
          <w:b/>
          <w:sz w:val="22"/>
          <w:szCs w:val="22"/>
        </w:rPr>
        <w:t xml:space="preserve"> </w:t>
      </w:r>
      <w:r>
        <w:rPr>
          <w:rFonts w:cs="Arial"/>
          <w:b/>
          <w:sz w:val="22"/>
          <w:szCs w:val="22"/>
        </w:rPr>
        <w:t xml:space="preserve">- </w:t>
      </w:r>
      <w:r w:rsidR="005C503F" w:rsidRPr="00774CAA">
        <w:rPr>
          <w:rFonts w:cs="Arial"/>
          <w:b/>
          <w:sz w:val="22"/>
          <w:szCs w:val="22"/>
        </w:rPr>
        <w:t xml:space="preserve">Alcance </w:t>
      </w:r>
      <w:r>
        <w:rPr>
          <w:rFonts w:cs="Arial"/>
          <w:b/>
          <w:sz w:val="22"/>
          <w:szCs w:val="22"/>
        </w:rPr>
        <w:t>Ley 80 de 1993 -</w:t>
      </w:r>
      <w:r w:rsidR="005C503F" w:rsidRPr="00774CAA">
        <w:rPr>
          <w:rFonts w:cs="Arial"/>
          <w:b/>
          <w:sz w:val="22"/>
          <w:szCs w:val="22"/>
        </w:rPr>
        <w:t xml:space="preserve"> Desarrollo jurisprudencial </w:t>
      </w:r>
    </w:p>
    <w:p w:rsidR="002E46C2" w:rsidRPr="00774CAA" w:rsidRDefault="002E46C2" w:rsidP="00147E6E">
      <w:pPr>
        <w:pStyle w:val="Puesto1"/>
        <w:jc w:val="both"/>
        <w:rPr>
          <w:szCs w:val="22"/>
        </w:rPr>
      </w:pPr>
    </w:p>
    <w:p w:rsidR="007B0976" w:rsidRPr="00774CAA" w:rsidRDefault="005C503F" w:rsidP="00147E6E">
      <w:pPr>
        <w:spacing w:line="240" w:lineRule="auto"/>
        <w:rPr>
          <w:rFonts w:cs="Arial"/>
          <w:bCs/>
          <w:color w:val="000000"/>
          <w:sz w:val="22"/>
          <w:szCs w:val="22"/>
          <w:shd w:val="clear" w:color="auto" w:fill="FFFFFF"/>
        </w:rPr>
      </w:pPr>
      <w:r w:rsidRPr="00774CAA">
        <w:rPr>
          <w:rFonts w:cs="Arial"/>
          <w:bCs/>
          <w:color w:val="000000"/>
          <w:sz w:val="22"/>
          <w:szCs w:val="22"/>
          <w:shd w:val="clear" w:color="auto" w:fill="FFFFFF"/>
        </w:rPr>
        <w:t xml:space="preserve">La Sala acoge y reitera la jurisprudencia que se consolidó en la Sección Tercera del Consejo de Estado, precisamente en un caso particular relacionado con los contratos celebrados por el IDEMA, según consta en la sentencia de marzo 21 de 2007 (expediente 29102), providencia en la que se reconoció el término de 20 años para instaurar la acción, en un proceso que culminó con la declaración de incumplimiento y la consecuente condena al contratista y a la compañía aseguradora garante. </w:t>
      </w:r>
      <w:r w:rsidR="007B0976" w:rsidRPr="00774CAA">
        <w:rPr>
          <w:rFonts w:cs="Arial"/>
          <w:bCs/>
          <w:color w:val="000000"/>
          <w:sz w:val="22"/>
          <w:szCs w:val="22"/>
          <w:shd w:val="clear" w:color="auto" w:fill="FFFFFF"/>
        </w:rPr>
        <w:t xml:space="preserve">(…) la jurisprudencia en relación con el término para demandar el incumplimiento del contrato estatal en vigencia de la Ley 80 de 1993, antes de la reforma introducida por la Ley 446 de 1998, si bien con algunas variantes, ha sido reiterada por las distintas subsecciones de la Sección Tercera del Consejo de Estado en diversas providencias. </w:t>
      </w:r>
    </w:p>
    <w:p w:rsidR="005C503F" w:rsidRPr="00774CAA" w:rsidRDefault="005C503F" w:rsidP="00147E6E">
      <w:pPr>
        <w:spacing w:line="240" w:lineRule="auto"/>
        <w:rPr>
          <w:rFonts w:cs="Arial"/>
          <w:bCs/>
          <w:color w:val="000000"/>
          <w:sz w:val="22"/>
          <w:szCs w:val="22"/>
          <w:shd w:val="clear" w:color="auto" w:fill="FFFFFF"/>
        </w:rPr>
      </w:pPr>
    </w:p>
    <w:p w:rsidR="005C503F" w:rsidRPr="00774CAA" w:rsidRDefault="00775B55" w:rsidP="00147E6E">
      <w:pPr>
        <w:spacing w:line="240" w:lineRule="auto"/>
        <w:rPr>
          <w:rFonts w:cs="Arial"/>
          <w:b/>
          <w:sz w:val="22"/>
          <w:szCs w:val="22"/>
        </w:rPr>
      </w:pPr>
      <w:r>
        <w:rPr>
          <w:rFonts w:cs="Arial"/>
          <w:b/>
          <w:sz w:val="22"/>
          <w:szCs w:val="22"/>
        </w:rPr>
        <w:t xml:space="preserve">RESPONSABILIDAD - </w:t>
      </w:r>
      <w:r w:rsidR="007B0976" w:rsidRPr="00774CAA">
        <w:rPr>
          <w:rFonts w:cs="Arial"/>
          <w:b/>
          <w:sz w:val="22"/>
          <w:szCs w:val="22"/>
        </w:rPr>
        <w:t xml:space="preserve">Alcance </w:t>
      </w:r>
      <w:r>
        <w:rPr>
          <w:rFonts w:cs="Arial"/>
          <w:b/>
          <w:sz w:val="22"/>
          <w:szCs w:val="22"/>
        </w:rPr>
        <w:t>Ley 80 de 1993 -</w:t>
      </w:r>
      <w:r w:rsidR="007B0976" w:rsidRPr="00774CAA">
        <w:rPr>
          <w:rFonts w:cs="Arial"/>
          <w:b/>
          <w:sz w:val="22"/>
          <w:szCs w:val="22"/>
        </w:rPr>
        <w:t xml:space="preserve"> Reiteración jurisprudencial </w:t>
      </w:r>
    </w:p>
    <w:p w:rsidR="007B0976" w:rsidRPr="00774CAA" w:rsidRDefault="007B0976" w:rsidP="00147E6E">
      <w:pPr>
        <w:spacing w:line="240" w:lineRule="auto"/>
        <w:rPr>
          <w:rFonts w:cs="Arial"/>
          <w:sz w:val="22"/>
          <w:szCs w:val="22"/>
        </w:rPr>
      </w:pPr>
    </w:p>
    <w:p w:rsidR="007B0976" w:rsidRPr="00774CAA" w:rsidRDefault="007B0976" w:rsidP="00147E6E">
      <w:pPr>
        <w:spacing w:line="240" w:lineRule="auto"/>
        <w:rPr>
          <w:rFonts w:cs="Arial"/>
          <w:bCs/>
          <w:color w:val="000000"/>
          <w:sz w:val="22"/>
          <w:szCs w:val="22"/>
          <w:shd w:val="clear" w:color="auto" w:fill="FFFFFF"/>
        </w:rPr>
      </w:pPr>
      <w:r w:rsidRPr="00774CAA">
        <w:rPr>
          <w:rFonts w:cs="Arial"/>
          <w:bCs/>
          <w:color w:val="000000"/>
          <w:sz w:val="22"/>
          <w:szCs w:val="22"/>
          <w:shd w:val="clear" w:color="auto" w:fill="FFFFFF"/>
        </w:rPr>
        <w:t xml:space="preserve">La Sala reitera la jurisprudencia que se acaba de reseñar y determina la aplicación especial, para el caso </w:t>
      </w:r>
      <w:r w:rsidRPr="00774CAA">
        <w:rPr>
          <w:rFonts w:cs="Arial"/>
          <w:bCs/>
          <w:i/>
          <w:color w:val="000000"/>
          <w:sz w:val="22"/>
          <w:szCs w:val="22"/>
          <w:shd w:val="clear" w:color="auto" w:fill="FFFFFF"/>
        </w:rPr>
        <w:t>sub lite,</w:t>
      </w:r>
      <w:r w:rsidRPr="00774CAA">
        <w:rPr>
          <w:rFonts w:cs="Arial"/>
          <w:bCs/>
          <w:color w:val="000000"/>
          <w:sz w:val="22"/>
          <w:szCs w:val="22"/>
          <w:shd w:val="clear" w:color="auto" w:fill="FFFFFF"/>
        </w:rPr>
        <w:t xml:space="preserve"> de los artículos 52 y 55 de la Ley 80 de 1993, esto es, la observancia del término de 20 años para demandar el incumplimiento del contrato, en relación con aquellos eventos ocurridos antes de la expedición de la Ley 446 de 1998. Lo anterior resulta pertinente, sin desconocer las diferencias entre las figuras de caducidad de la acción contractual y prescripción del derecho a la reclamación.</w:t>
      </w:r>
    </w:p>
    <w:p w:rsidR="007B0976" w:rsidRPr="00774CAA" w:rsidRDefault="007B0976" w:rsidP="00147E6E">
      <w:pPr>
        <w:spacing w:line="240" w:lineRule="auto"/>
        <w:rPr>
          <w:rFonts w:cs="Arial"/>
          <w:bCs/>
          <w:color w:val="000000"/>
          <w:sz w:val="22"/>
          <w:szCs w:val="22"/>
          <w:shd w:val="clear" w:color="auto" w:fill="FFFFFF"/>
        </w:rPr>
      </w:pPr>
    </w:p>
    <w:p w:rsidR="005C503F" w:rsidRPr="00774CAA" w:rsidRDefault="00FD5C3E" w:rsidP="00147E6E">
      <w:pPr>
        <w:spacing w:line="240" w:lineRule="auto"/>
        <w:rPr>
          <w:rFonts w:cs="Arial"/>
          <w:b/>
          <w:bCs/>
          <w:color w:val="000000"/>
          <w:sz w:val="22"/>
          <w:szCs w:val="22"/>
          <w:shd w:val="clear" w:color="auto" w:fill="FFFFFF"/>
        </w:rPr>
      </w:pPr>
      <w:r w:rsidRPr="00774CAA">
        <w:rPr>
          <w:rFonts w:cs="Arial"/>
          <w:b/>
          <w:bCs/>
          <w:color w:val="000000"/>
          <w:sz w:val="22"/>
          <w:szCs w:val="22"/>
          <w:shd w:val="clear" w:color="auto" w:fill="FFFFFF"/>
        </w:rPr>
        <w:t xml:space="preserve">CADUCIDAD </w:t>
      </w:r>
      <w:r w:rsidR="00775B55">
        <w:rPr>
          <w:rFonts w:cs="Arial"/>
          <w:b/>
          <w:bCs/>
          <w:color w:val="000000"/>
          <w:sz w:val="22"/>
          <w:szCs w:val="22"/>
          <w:shd w:val="clear" w:color="auto" w:fill="FFFFFF"/>
        </w:rPr>
        <w:t>DE LA ACCIÓN Y PRESCRIPCIÓN -</w:t>
      </w:r>
      <w:r w:rsidRPr="00774CAA">
        <w:rPr>
          <w:rFonts w:cs="Arial"/>
          <w:b/>
          <w:bCs/>
          <w:color w:val="000000"/>
          <w:sz w:val="22"/>
          <w:szCs w:val="22"/>
          <w:shd w:val="clear" w:color="auto" w:fill="FFFFFF"/>
        </w:rPr>
        <w:t xml:space="preserve"> Diferencias </w:t>
      </w:r>
    </w:p>
    <w:p w:rsidR="005C503F" w:rsidRPr="00774CAA" w:rsidRDefault="005C503F" w:rsidP="00147E6E">
      <w:pPr>
        <w:pStyle w:val="Puesto1"/>
        <w:jc w:val="both"/>
        <w:rPr>
          <w:szCs w:val="22"/>
        </w:rPr>
      </w:pPr>
    </w:p>
    <w:p w:rsidR="00FD5C3E" w:rsidRPr="00774CAA" w:rsidRDefault="00FD5C3E" w:rsidP="00147E6E">
      <w:pPr>
        <w:pStyle w:val="Puesto1"/>
        <w:jc w:val="both"/>
        <w:rPr>
          <w:rFonts w:eastAsia="Times New Roman"/>
          <w:b w:val="0"/>
          <w:color w:val="000000"/>
          <w:szCs w:val="22"/>
          <w:shd w:val="clear" w:color="auto" w:fill="FFFFFF"/>
          <w:lang w:val="es-ES"/>
        </w:rPr>
      </w:pPr>
      <w:r w:rsidRPr="00774CAA">
        <w:rPr>
          <w:rFonts w:eastAsia="Times New Roman"/>
          <w:b w:val="0"/>
          <w:color w:val="000000"/>
          <w:szCs w:val="22"/>
          <w:shd w:val="clear" w:color="auto" w:fill="FFFFFF"/>
          <w:lang w:val="es-ES"/>
        </w:rPr>
        <w:t xml:space="preserve">Frente a la normativa actualmente vigente acerca del ejercicio oportuno del medio de control contractual, la Sala reitera las diferencias entre caducidad y prescripción y advierte la aplicación de la primera de las figuras- esto es, la caducidad- para efecto de determinar la época en que debe entablarse la demanda por incumplimiento del contrato estatal. (…) cabe señalar, sin hesitación alguna, que la prescripción y la caducidad son dos instituciones jurídicas distintas, puesto que la primera extingue el derecho, mientras que la segunda extingue la acción, por lo que no es posible que las normas relativas a la prescripción se apliquen a la caducidad o viceversa. “Ahora bien, para efecto de explicar la razón de la improcedencia de la aplicación de la prescripción al caso concreto, es necesario precisar que el conocimiento de los procesos originados en cualquiera de las pretensiones antes señaladas, entre ellas la de incumplimiento del contrato que adujo el demandante, corresponde a esta jurisdicción de conformidad con lo dispuesto en el inciso segundo del  artículo 104 de la Ley 1437 de 2011 -norma legal que otorga competencia general sobre el particular. </w:t>
      </w:r>
    </w:p>
    <w:p w:rsidR="00FD5C3E" w:rsidRPr="00774CAA" w:rsidRDefault="00FD5C3E" w:rsidP="00147E6E">
      <w:pPr>
        <w:pStyle w:val="Puesto1"/>
        <w:jc w:val="both"/>
        <w:rPr>
          <w:rFonts w:eastAsia="Times New Roman"/>
          <w:b w:val="0"/>
          <w:color w:val="000000"/>
          <w:szCs w:val="22"/>
          <w:shd w:val="clear" w:color="auto" w:fill="FFFFFF"/>
          <w:lang w:val="es-ES"/>
        </w:rPr>
      </w:pPr>
    </w:p>
    <w:p w:rsidR="00FD5C3E" w:rsidRPr="00774CAA" w:rsidRDefault="00FD5C3E" w:rsidP="00147E6E">
      <w:pPr>
        <w:pStyle w:val="Puesto1"/>
        <w:jc w:val="both"/>
        <w:rPr>
          <w:rFonts w:eastAsia="Times New Roman"/>
          <w:b w:val="0"/>
          <w:color w:val="000000"/>
          <w:szCs w:val="22"/>
          <w:shd w:val="clear" w:color="auto" w:fill="FFFFFF"/>
          <w:lang w:val="es-ES"/>
        </w:rPr>
      </w:pPr>
      <w:r w:rsidRPr="00774CAA">
        <w:rPr>
          <w:rFonts w:eastAsia="Times New Roman"/>
          <w:color w:val="000000"/>
          <w:szCs w:val="22"/>
          <w:shd w:val="clear" w:color="auto" w:fill="FFFFFF"/>
          <w:lang w:val="es-ES"/>
        </w:rPr>
        <w:t xml:space="preserve">CADUCIDAD </w:t>
      </w:r>
      <w:r w:rsidR="00775B55">
        <w:rPr>
          <w:rFonts w:eastAsia="Times New Roman"/>
          <w:color w:val="000000"/>
          <w:szCs w:val="22"/>
          <w:shd w:val="clear" w:color="auto" w:fill="FFFFFF"/>
          <w:lang w:val="es-ES"/>
        </w:rPr>
        <w:t xml:space="preserve">DE LA ACCIÓN </w:t>
      </w:r>
      <w:r w:rsidR="001E1D3A">
        <w:rPr>
          <w:rFonts w:eastAsia="Times New Roman"/>
          <w:color w:val="000000"/>
          <w:szCs w:val="22"/>
          <w:shd w:val="clear" w:color="auto" w:fill="FFFFFF"/>
          <w:lang w:val="es-ES"/>
        </w:rPr>
        <w:t>-</w:t>
      </w:r>
      <w:r w:rsidRPr="00774CAA">
        <w:rPr>
          <w:rFonts w:eastAsia="Times New Roman"/>
          <w:color w:val="000000"/>
          <w:szCs w:val="22"/>
          <w:shd w:val="clear" w:color="auto" w:fill="FFFFFF"/>
          <w:lang w:val="es-ES"/>
        </w:rPr>
        <w:t xml:space="preserve"> Naturaleza</w:t>
      </w:r>
      <w:r w:rsidR="00775B55">
        <w:rPr>
          <w:rFonts w:eastAsia="Times New Roman"/>
          <w:color w:val="000000"/>
          <w:szCs w:val="22"/>
          <w:shd w:val="clear" w:color="auto" w:fill="FFFFFF"/>
          <w:lang w:val="es-ES"/>
        </w:rPr>
        <w:t xml:space="preserve"> -</w:t>
      </w:r>
      <w:r w:rsidRPr="00774CAA">
        <w:rPr>
          <w:rFonts w:eastAsia="Times New Roman"/>
          <w:color w:val="000000"/>
          <w:szCs w:val="22"/>
          <w:shd w:val="clear" w:color="auto" w:fill="FFFFFF"/>
          <w:lang w:val="es-ES"/>
        </w:rPr>
        <w:t xml:space="preserve"> Plazo</w:t>
      </w:r>
      <w:r w:rsidRPr="00774CAA">
        <w:rPr>
          <w:rFonts w:eastAsia="Times New Roman"/>
          <w:b w:val="0"/>
          <w:color w:val="000000"/>
          <w:szCs w:val="22"/>
          <w:shd w:val="clear" w:color="auto" w:fill="FFFFFF"/>
          <w:lang w:val="es-ES"/>
        </w:rPr>
        <w:t xml:space="preserve"> </w:t>
      </w:r>
    </w:p>
    <w:p w:rsidR="00FD5C3E" w:rsidRPr="00774CAA" w:rsidRDefault="00FD5C3E" w:rsidP="00147E6E">
      <w:pPr>
        <w:pStyle w:val="Puesto1"/>
        <w:jc w:val="both"/>
        <w:rPr>
          <w:rFonts w:eastAsia="Times New Roman"/>
          <w:b w:val="0"/>
          <w:color w:val="000000"/>
          <w:szCs w:val="22"/>
          <w:shd w:val="clear" w:color="auto" w:fill="FFFFFF"/>
          <w:lang w:val="es-ES"/>
        </w:rPr>
      </w:pPr>
    </w:p>
    <w:p w:rsidR="000B71B5" w:rsidRPr="00774CAA" w:rsidRDefault="00FD5C3E" w:rsidP="00147E6E">
      <w:pPr>
        <w:spacing w:line="240" w:lineRule="auto"/>
        <w:rPr>
          <w:rFonts w:cs="Arial"/>
          <w:sz w:val="22"/>
          <w:szCs w:val="22"/>
        </w:rPr>
      </w:pPr>
      <w:r w:rsidRPr="00774CAA">
        <w:rPr>
          <w:color w:val="000000"/>
          <w:sz w:val="22"/>
          <w:szCs w:val="22"/>
          <w:shd w:val="clear" w:color="auto" w:fill="FFFFFF"/>
        </w:rPr>
        <w:t>Las normas relativas a la caducidad de la acción son de naturaleza procesal, pese a que tienen un trasfondo sustancial, porque limitan en el tiempo el ejercicio del derecho público de acción, por consiguiente, los límites objetivo - temporales que extinguen con el paso del tiempo la posibilidad de poner en funcionamiento el aparato jurisdiccional se encuentran supeditados a la normatividad imperante al momento en que acontece el supuesto que permite acudir a la jurisdicción, en procura de la protección o de la satisfacción del derecho subjetivo conculcado, de manera que la inactividad del administrado, por el período determinado en la ley, genera inexorablemente la caducidad de la acción. Tal planteamiento se acompasa con lo previsto por los artículos 38 y 40 de la Ley 153 de 1887”</w:t>
      </w:r>
      <w:r w:rsidRPr="00774CAA">
        <w:rPr>
          <w:b/>
          <w:color w:val="000000"/>
          <w:sz w:val="22"/>
          <w:szCs w:val="22"/>
          <w:shd w:val="clear" w:color="auto" w:fill="FFFFFF"/>
        </w:rPr>
        <w:t xml:space="preserve">. </w:t>
      </w:r>
      <w:r w:rsidR="000B71B5" w:rsidRPr="00774CAA">
        <w:rPr>
          <w:b/>
          <w:color w:val="000000"/>
          <w:sz w:val="22"/>
          <w:szCs w:val="22"/>
          <w:shd w:val="clear" w:color="auto" w:fill="FFFFFF"/>
        </w:rPr>
        <w:t xml:space="preserve">(…) </w:t>
      </w:r>
      <w:r w:rsidR="000B71B5" w:rsidRPr="00774CAA">
        <w:rPr>
          <w:rFonts w:cs="Arial"/>
          <w:sz w:val="22"/>
          <w:szCs w:val="22"/>
        </w:rPr>
        <w:t>La jurisprudencia que ahora se reitera sostiene, en términos generales, que debió admitirse el plazo de 20 años para las acciones en relación con las controversias contractuales en daño antijurídico por incumplimiento, durante el lapso en que tuvo lugar la aplicación de la modificación introducida por el artículo 55 de la Ley 80 de 1993, esto es, hasta la expedición de la Ley 446 de 1998, que cambió el cómputo de la acción de controversias contractuales y unificó el término de la caducidad de la acción contractual en dos años, sin perjuicio de la observancia del fenómeno de la prescripción, en los términos de ley.</w:t>
      </w:r>
    </w:p>
    <w:p w:rsidR="00FD5C3E" w:rsidRPr="00774CAA" w:rsidRDefault="00FD5C3E" w:rsidP="00147E6E">
      <w:pPr>
        <w:pStyle w:val="Puesto1"/>
        <w:jc w:val="both"/>
        <w:rPr>
          <w:rFonts w:eastAsia="Times New Roman"/>
          <w:b w:val="0"/>
          <w:color w:val="000000"/>
          <w:szCs w:val="22"/>
          <w:shd w:val="clear" w:color="auto" w:fill="FFFFFF"/>
          <w:lang w:val="es-ES"/>
        </w:rPr>
      </w:pPr>
    </w:p>
    <w:p w:rsidR="000B71B5" w:rsidRPr="00774CAA" w:rsidRDefault="000B71B5" w:rsidP="00147E6E">
      <w:pPr>
        <w:pStyle w:val="Puesto1"/>
        <w:jc w:val="both"/>
        <w:rPr>
          <w:rFonts w:eastAsia="Times New Roman"/>
          <w:b w:val="0"/>
          <w:color w:val="000000"/>
          <w:szCs w:val="22"/>
          <w:shd w:val="clear" w:color="auto" w:fill="FFFFFF"/>
          <w:lang w:val="es-ES"/>
        </w:rPr>
      </w:pPr>
      <w:r w:rsidRPr="00774CAA">
        <w:rPr>
          <w:rFonts w:eastAsia="Times New Roman"/>
          <w:color w:val="000000"/>
          <w:szCs w:val="22"/>
          <w:shd w:val="clear" w:color="auto" w:fill="FFFFFF"/>
          <w:lang w:val="es-ES"/>
        </w:rPr>
        <w:t xml:space="preserve">CONCILIACIÓN </w:t>
      </w:r>
      <w:r w:rsidR="00775B55">
        <w:rPr>
          <w:rFonts w:eastAsia="Times New Roman"/>
          <w:color w:val="000000"/>
          <w:szCs w:val="22"/>
          <w:shd w:val="clear" w:color="auto" w:fill="FFFFFF"/>
          <w:lang w:val="es-ES"/>
        </w:rPr>
        <w:t>JUDICIAL - Ley 23 de 1991 -</w:t>
      </w:r>
      <w:r w:rsidRPr="00774CAA">
        <w:rPr>
          <w:rFonts w:eastAsia="Times New Roman"/>
          <w:color w:val="000000"/>
          <w:szCs w:val="22"/>
          <w:shd w:val="clear" w:color="auto" w:fill="FFFFFF"/>
          <w:lang w:val="es-ES"/>
        </w:rPr>
        <w:t xml:space="preserve"> Trámite especial</w:t>
      </w:r>
      <w:r w:rsidRPr="00774CAA">
        <w:rPr>
          <w:rFonts w:eastAsia="Times New Roman"/>
          <w:b w:val="0"/>
          <w:color w:val="000000"/>
          <w:szCs w:val="22"/>
          <w:shd w:val="clear" w:color="auto" w:fill="FFFFFF"/>
          <w:lang w:val="es-ES"/>
        </w:rPr>
        <w:t xml:space="preserve"> </w:t>
      </w:r>
    </w:p>
    <w:p w:rsidR="000B71B5" w:rsidRPr="00774CAA" w:rsidRDefault="000B71B5" w:rsidP="00147E6E">
      <w:pPr>
        <w:pStyle w:val="Puesto1"/>
        <w:jc w:val="both"/>
        <w:rPr>
          <w:rFonts w:eastAsia="Times New Roman"/>
          <w:b w:val="0"/>
          <w:color w:val="000000"/>
          <w:szCs w:val="22"/>
          <w:shd w:val="clear" w:color="auto" w:fill="FFFFFF"/>
          <w:lang w:val="es-ES"/>
        </w:rPr>
      </w:pPr>
    </w:p>
    <w:p w:rsidR="000B71B5" w:rsidRPr="00774CAA" w:rsidRDefault="000B71B5" w:rsidP="00147E6E">
      <w:pPr>
        <w:pStyle w:val="Puesto1"/>
        <w:jc w:val="both"/>
        <w:rPr>
          <w:b w:val="0"/>
          <w:szCs w:val="22"/>
        </w:rPr>
      </w:pPr>
      <w:r w:rsidRPr="00774CAA">
        <w:rPr>
          <w:b w:val="0"/>
          <w:szCs w:val="22"/>
        </w:rPr>
        <w:t xml:space="preserve">Se encontraba vigente la Ley 23 de 1991, la cual disponía un trámite especial para el acta de conciliación, con la intervención del agente delegado ante la jurisdicción de lo contencioso administrativo. La conciliación en materia administrativa solo alcanzaba los efectos de la cosa juzgada, una vez aprobada por el Consejero o Magistrado al que correspondiera el reparto, según lo disponía el artículo 60 de la Ley 23 de 1991. </w:t>
      </w:r>
    </w:p>
    <w:p w:rsidR="000B71B5" w:rsidRPr="00774CAA" w:rsidRDefault="000B71B5" w:rsidP="00147E6E">
      <w:pPr>
        <w:pStyle w:val="Puesto1"/>
        <w:jc w:val="both"/>
        <w:rPr>
          <w:b w:val="0"/>
          <w:szCs w:val="22"/>
        </w:rPr>
      </w:pPr>
    </w:p>
    <w:p w:rsidR="000B71B5" w:rsidRPr="00774CAA" w:rsidRDefault="00775B55" w:rsidP="00147E6E">
      <w:pPr>
        <w:pStyle w:val="Puesto1"/>
        <w:jc w:val="both"/>
        <w:rPr>
          <w:rFonts w:eastAsia="Times New Roman"/>
          <w:b w:val="0"/>
          <w:color w:val="000000"/>
          <w:szCs w:val="22"/>
          <w:shd w:val="clear" w:color="auto" w:fill="FFFFFF"/>
          <w:lang w:val="es-ES"/>
        </w:rPr>
      </w:pPr>
      <w:r>
        <w:rPr>
          <w:rFonts w:eastAsia="Times New Roman"/>
          <w:color w:val="000000"/>
          <w:szCs w:val="22"/>
          <w:shd w:val="clear" w:color="auto" w:fill="FFFFFF"/>
          <w:lang w:val="es-ES"/>
        </w:rPr>
        <w:t>DAÑO - Liquidación de perjuicios - Código Civil -</w:t>
      </w:r>
      <w:r w:rsidR="008B3C94" w:rsidRPr="00774CAA">
        <w:rPr>
          <w:rFonts w:eastAsia="Times New Roman"/>
          <w:color w:val="000000"/>
          <w:szCs w:val="22"/>
          <w:shd w:val="clear" w:color="auto" w:fill="FFFFFF"/>
          <w:lang w:val="es-ES"/>
        </w:rPr>
        <w:t xml:space="preserve"> Daño </w:t>
      </w:r>
    </w:p>
    <w:p w:rsidR="008B3C94" w:rsidRPr="00774CAA" w:rsidRDefault="008B3C94" w:rsidP="00147E6E">
      <w:pPr>
        <w:pStyle w:val="Puesto1"/>
        <w:jc w:val="both"/>
        <w:rPr>
          <w:rFonts w:eastAsia="Times New Roman"/>
          <w:b w:val="0"/>
          <w:color w:val="000000"/>
          <w:szCs w:val="22"/>
          <w:shd w:val="clear" w:color="auto" w:fill="FFFFFF"/>
          <w:lang w:val="es-ES"/>
        </w:rPr>
      </w:pPr>
    </w:p>
    <w:p w:rsidR="008B3C94" w:rsidRPr="00774CAA" w:rsidRDefault="008B3C94" w:rsidP="00147E6E">
      <w:pPr>
        <w:pStyle w:val="Puesto1"/>
        <w:jc w:val="both"/>
        <w:rPr>
          <w:b w:val="0"/>
          <w:szCs w:val="22"/>
        </w:rPr>
      </w:pPr>
      <w:r w:rsidRPr="00774CAA">
        <w:rPr>
          <w:b w:val="0"/>
          <w:szCs w:val="22"/>
        </w:rPr>
        <w:t xml:space="preserve">Con apoyo en el artículo 1613 del Código Civil, se accederá, a la actualización del daño causado por la no entrega del arroz objeto del trueque, con base en el valor acreditado en el proceso, ajustado con el índice de precios al consumidor, tomando como índice inicial el de la fecha en que se configuró el incumplimiento. </w:t>
      </w:r>
    </w:p>
    <w:p w:rsidR="008B3C94" w:rsidRPr="00774CAA" w:rsidRDefault="008B3C94" w:rsidP="00147E6E">
      <w:pPr>
        <w:pStyle w:val="Puesto1"/>
        <w:jc w:val="both"/>
        <w:rPr>
          <w:b w:val="0"/>
          <w:szCs w:val="22"/>
        </w:rPr>
      </w:pPr>
    </w:p>
    <w:p w:rsidR="008B3C94" w:rsidRPr="00774CAA" w:rsidRDefault="00775B55" w:rsidP="00147E6E">
      <w:pPr>
        <w:pStyle w:val="Puesto1"/>
        <w:jc w:val="both"/>
        <w:rPr>
          <w:rFonts w:eastAsia="Times New Roman"/>
          <w:b w:val="0"/>
          <w:color w:val="000000"/>
          <w:szCs w:val="22"/>
          <w:shd w:val="clear" w:color="auto" w:fill="FFFFFF"/>
          <w:lang w:val="es-ES"/>
        </w:rPr>
      </w:pPr>
      <w:r>
        <w:rPr>
          <w:rFonts w:eastAsia="Times New Roman"/>
          <w:color w:val="000000"/>
          <w:szCs w:val="22"/>
          <w:shd w:val="clear" w:color="auto" w:fill="FFFFFF"/>
          <w:lang w:val="es-ES"/>
        </w:rPr>
        <w:t>INTERESES -</w:t>
      </w:r>
      <w:r w:rsidR="008B3C94" w:rsidRPr="00774CAA">
        <w:rPr>
          <w:rFonts w:eastAsia="Times New Roman"/>
          <w:color w:val="000000"/>
          <w:szCs w:val="22"/>
          <w:shd w:val="clear" w:color="auto" w:fill="FFFFFF"/>
          <w:lang w:val="es-ES"/>
        </w:rPr>
        <w:t xml:space="preserve"> Concepto</w:t>
      </w:r>
    </w:p>
    <w:p w:rsidR="008B3C94" w:rsidRPr="00774CAA" w:rsidRDefault="008B3C94" w:rsidP="00147E6E">
      <w:pPr>
        <w:pStyle w:val="Puesto1"/>
        <w:jc w:val="both"/>
        <w:rPr>
          <w:rFonts w:eastAsia="Times New Roman"/>
          <w:b w:val="0"/>
          <w:color w:val="000000"/>
          <w:szCs w:val="22"/>
          <w:shd w:val="clear" w:color="auto" w:fill="FFFFFF"/>
          <w:lang w:val="es-ES"/>
        </w:rPr>
      </w:pPr>
    </w:p>
    <w:p w:rsidR="008B3C94" w:rsidRPr="00774CAA" w:rsidRDefault="008B3C94" w:rsidP="00147E6E">
      <w:pPr>
        <w:widowControl w:val="0"/>
        <w:spacing w:line="240" w:lineRule="auto"/>
        <w:rPr>
          <w:rFonts w:cs="Arial"/>
          <w:bCs/>
          <w:sz w:val="22"/>
          <w:szCs w:val="22"/>
          <w:lang w:val="es-ES_tradnl"/>
        </w:rPr>
      </w:pPr>
      <w:r w:rsidRPr="00774CAA">
        <w:rPr>
          <w:rFonts w:cs="Arial"/>
          <w:sz w:val="22"/>
          <w:szCs w:val="22"/>
          <w:lang w:val="es-ES_tradnl"/>
        </w:rPr>
        <w:t xml:space="preserve">El concepto de intereses puede ser empleado en una doble acepción, siendo la primera, el costo de oportunidad del dinero y la segunda, la medida para cuantificar un perjuicio, esta última, con independencia de que el litigio verse o no sobre el incumplimiento de obligaciones dinerarias. </w:t>
      </w:r>
      <w:r w:rsidRPr="00774CAA">
        <w:rPr>
          <w:rFonts w:cs="Arial"/>
          <w:bCs/>
          <w:sz w:val="22"/>
          <w:szCs w:val="22"/>
          <w:lang w:val="es-ES_tradnl"/>
        </w:rPr>
        <w:t xml:space="preserve">Precisamente, el reconocimiento de intereses moratorios como base para liquidar el valor del perjuicio resulta viable de acuerdo con la jurisprudencia de unificación de la Sala Plena de la Sección Tercera del Consejo de Estado, la cual establece que se pueden reconocer intereses moratorios, a título de indemnización de perjuicios. </w:t>
      </w:r>
    </w:p>
    <w:p w:rsidR="008B3C94" w:rsidRPr="00774CAA" w:rsidRDefault="008B3C94" w:rsidP="00147E6E">
      <w:pPr>
        <w:widowControl w:val="0"/>
        <w:spacing w:line="240" w:lineRule="auto"/>
        <w:rPr>
          <w:rFonts w:cs="Arial"/>
          <w:bCs/>
          <w:sz w:val="22"/>
          <w:szCs w:val="22"/>
          <w:lang w:val="es-ES_tradnl"/>
        </w:rPr>
      </w:pPr>
    </w:p>
    <w:p w:rsidR="008B3C94" w:rsidRPr="00774CAA" w:rsidRDefault="00775B55" w:rsidP="00147E6E">
      <w:pPr>
        <w:widowControl w:val="0"/>
        <w:spacing w:line="240" w:lineRule="auto"/>
        <w:rPr>
          <w:bCs/>
          <w:sz w:val="22"/>
          <w:szCs w:val="22"/>
          <w:lang w:val="es-ES_tradnl"/>
        </w:rPr>
      </w:pPr>
      <w:r>
        <w:rPr>
          <w:b/>
          <w:bCs/>
          <w:sz w:val="22"/>
          <w:szCs w:val="22"/>
          <w:lang w:val="es-ES_tradnl"/>
        </w:rPr>
        <w:t xml:space="preserve">PERJUCIOS - Cálculo - </w:t>
      </w:r>
      <w:r w:rsidR="00A673BE" w:rsidRPr="00774CAA">
        <w:rPr>
          <w:b/>
          <w:bCs/>
          <w:sz w:val="22"/>
          <w:szCs w:val="22"/>
          <w:lang w:val="es-ES_tradnl"/>
        </w:rPr>
        <w:t xml:space="preserve"> </w:t>
      </w:r>
      <w:r>
        <w:rPr>
          <w:b/>
          <w:bCs/>
          <w:sz w:val="22"/>
          <w:szCs w:val="22"/>
          <w:lang w:val="es-ES_tradnl"/>
        </w:rPr>
        <w:t>A</w:t>
      </w:r>
      <w:r w:rsidR="00A673BE" w:rsidRPr="00774CAA">
        <w:rPr>
          <w:b/>
          <w:bCs/>
          <w:sz w:val="22"/>
          <w:szCs w:val="22"/>
          <w:lang w:val="es-ES_tradnl"/>
        </w:rPr>
        <w:t>ctualización</w:t>
      </w:r>
      <w:r w:rsidR="00A673BE" w:rsidRPr="00774CAA">
        <w:rPr>
          <w:bCs/>
          <w:sz w:val="22"/>
          <w:szCs w:val="22"/>
          <w:lang w:val="es-ES_tradnl"/>
        </w:rPr>
        <w:t xml:space="preserve"> </w:t>
      </w:r>
    </w:p>
    <w:p w:rsidR="00A673BE" w:rsidRPr="00774CAA" w:rsidRDefault="00A673BE" w:rsidP="00147E6E">
      <w:pPr>
        <w:widowControl w:val="0"/>
        <w:spacing w:line="240" w:lineRule="auto"/>
        <w:rPr>
          <w:bCs/>
          <w:sz w:val="22"/>
          <w:szCs w:val="22"/>
          <w:lang w:val="es-ES_tradnl"/>
        </w:rPr>
      </w:pPr>
    </w:p>
    <w:p w:rsidR="00A673BE" w:rsidRPr="00774CAA" w:rsidRDefault="00A673BE" w:rsidP="00147E6E">
      <w:pPr>
        <w:widowControl w:val="0"/>
        <w:spacing w:line="240" w:lineRule="auto"/>
        <w:rPr>
          <w:rFonts w:cs="Arial"/>
          <w:sz w:val="22"/>
          <w:szCs w:val="22"/>
        </w:rPr>
      </w:pPr>
      <w:r w:rsidRPr="00774CAA">
        <w:rPr>
          <w:rFonts w:cs="Arial"/>
          <w:sz w:val="22"/>
          <w:szCs w:val="22"/>
        </w:rPr>
        <w:t>El cálculo del perjuicio con base en el 6% establecido en el artículo 1617 del Código Civil se debe adelantar en forma separada de la actualización, sin incluir incrementos o ajustes dentro de la misma fórmula, como por ejemplo la variación anual del IPC, dado que esos mecanismos de ajuste se excluyen dentro del régimen del interés simple, que en casos como el presente, se utiliza para efectos de establecer el lucro cesante como parte del perjuicio.</w:t>
      </w:r>
    </w:p>
    <w:p w:rsidR="00B80816" w:rsidRPr="00774CAA" w:rsidRDefault="00B80816" w:rsidP="008B3C94">
      <w:pPr>
        <w:widowControl w:val="0"/>
        <w:rPr>
          <w:rFonts w:cs="Arial"/>
          <w:sz w:val="22"/>
          <w:szCs w:val="22"/>
        </w:rPr>
      </w:pPr>
    </w:p>
    <w:p w:rsidR="00C85395" w:rsidRDefault="00C85395" w:rsidP="002E46C2">
      <w:pPr>
        <w:pStyle w:val="Puesto1"/>
        <w:rPr>
          <w:sz w:val="24"/>
        </w:rPr>
      </w:pPr>
      <w:r w:rsidRPr="004C2FAC">
        <w:rPr>
          <w:sz w:val="24"/>
        </w:rPr>
        <w:t>CONSEJO DE ESTADO</w:t>
      </w:r>
    </w:p>
    <w:p w:rsidR="00725A33" w:rsidRPr="004C2FAC" w:rsidRDefault="00725A33" w:rsidP="002E46C2">
      <w:pPr>
        <w:pStyle w:val="Puesto1"/>
        <w:rPr>
          <w:sz w:val="24"/>
        </w:rPr>
      </w:pPr>
    </w:p>
    <w:p w:rsidR="00C85395" w:rsidRDefault="00C85395" w:rsidP="002E46C2">
      <w:pPr>
        <w:pStyle w:val="Puesto1"/>
        <w:rPr>
          <w:sz w:val="24"/>
        </w:rPr>
      </w:pPr>
      <w:r w:rsidRPr="004C2FAC">
        <w:rPr>
          <w:sz w:val="24"/>
        </w:rPr>
        <w:t>SALA DE LO CONTENCIOSO ADMINISTRATIVO</w:t>
      </w:r>
    </w:p>
    <w:p w:rsidR="00725A33" w:rsidRPr="004C2FAC" w:rsidRDefault="00725A33" w:rsidP="002E46C2">
      <w:pPr>
        <w:pStyle w:val="Puesto1"/>
        <w:rPr>
          <w:sz w:val="24"/>
        </w:rPr>
      </w:pPr>
    </w:p>
    <w:p w:rsidR="00725A33" w:rsidRDefault="000E6697" w:rsidP="002E46C2">
      <w:pPr>
        <w:pStyle w:val="Puesto1"/>
        <w:rPr>
          <w:sz w:val="24"/>
        </w:rPr>
      </w:pPr>
      <w:r w:rsidRPr="004C2FAC">
        <w:rPr>
          <w:sz w:val="24"/>
        </w:rPr>
        <w:t>SECCIÓ</w:t>
      </w:r>
      <w:r w:rsidR="00C85395" w:rsidRPr="004C2FAC">
        <w:rPr>
          <w:sz w:val="24"/>
        </w:rPr>
        <w:t>N TERCERA</w:t>
      </w:r>
      <w:r w:rsidR="00725A33">
        <w:rPr>
          <w:sz w:val="24"/>
        </w:rPr>
        <w:t xml:space="preserve"> </w:t>
      </w:r>
    </w:p>
    <w:p w:rsidR="00725A33" w:rsidRDefault="00725A33" w:rsidP="002E46C2">
      <w:pPr>
        <w:pStyle w:val="Puesto1"/>
        <w:rPr>
          <w:sz w:val="24"/>
        </w:rPr>
      </w:pPr>
    </w:p>
    <w:p w:rsidR="00C85395" w:rsidRPr="004C2FAC" w:rsidRDefault="000E6697" w:rsidP="002E46C2">
      <w:pPr>
        <w:pStyle w:val="Puesto1"/>
        <w:rPr>
          <w:sz w:val="24"/>
        </w:rPr>
      </w:pPr>
      <w:r w:rsidRPr="004C2FAC">
        <w:rPr>
          <w:sz w:val="24"/>
        </w:rPr>
        <w:t>SUBSECCIÓ</w:t>
      </w:r>
      <w:r w:rsidR="009479F7" w:rsidRPr="004C2FAC">
        <w:rPr>
          <w:sz w:val="24"/>
        </w:rPr>
        <w:t>N A</w:t>
      </w:r>
    </w:p>
    <w:p w:rsidR="00C85395" w:rsidRPr="004C2FAC" w:rsidRDefault="00C85395" w:rsidP="002E46C2">
      <w:pPr>
        <w:pStyle w:val="Encabezado"/>
        <w:spacing w:line="240" w:lineRule="auto"/>
        <w:jc w:val="center"/>
        <w:rPr>
          <w:rFonts w:cs="Arial"/>
          <w:b/>
          <w:szCs w:val="24"/>
          <w:lang w:val="es-CO"/>
        </w:rPr>
      </w:pPr>
    </w:p>
    <w:p w:rsidR="00C85395" w:rsidRPr="004C2FAC" w:rsidRDefault="00C85395" w:rsidP="002E46C2">
      <w:pPr>
        <w:pStyle w:val="Encabezado"/>
        <w:spacing w:line="240" w:lineRule="auto"/>
        <w:jc w:val="center"/>
        <w:rPr>
          <w:rFonts w:cs="Arial"/>
          <w:spacing w:val="-3"/>
          <w:szCs w:val="24"/>
          <w:lang w:val="es-CO"/>
        </w:rPr>
      </w:pPr>
      <w:r w:rsidRPr="004C2FAC">
        <w:rPr>
          <w:rFonts w:cs="Arial"/>
          <w:b/>
          <w:szCs w:val="24"/>
          <w:lang w:val="es-CO"/>
        </w:rPr>
        <w:t>Consej</w:t>
      </w:r>
      <w:r w:rsidR="00F556DB" w:rsidRPr="004C2FAC">
        <w:rPr>
          <w:rFonts w:cs="Arial"/>
          <w:b/>
          <w:szCs w:val="24"/>
          <w:lang w:val="es-CO"/>
        </w:rPr>
        <w:t>er</w:t>
      </w:r>
      <w:r w:rsidR="00961FDA" w:rsidRPr="004C2FAC">
        <w:rPr>
          <w:rFonts w:cs="Arial"/>
          <w:b/>
          <w:szCs w:val="24"/>
          <w:lang w:val="es-CO"/>
        </w:rPr>
        <w:t>a</w:t>
      </w:r>
      <w:r w:rsidR="00F556DB" w:rsidRPr="004C2FAC">
        <w:rPr>
          <w:rFonts w:cs="Arial"/>
          <w:b/>
          <w:szCs w:val="24"/>
          <w:lang w:val="es-CO"/>
        </w:rPr>
        <w:t xml:space="preserve"> </w:t>
      </w:r>
      <w:r w:rsidR="00725A33">
        <w:rPr>
          <w:rFonts w:cs="Arial"/>
          <w:b/>
          <w:szCs w:val="24"/>
          <w:lang w:val="es-CO"/>
        </w:rPr>
        <w:t>p</w:t>
      </w:r>
      <w:r w:rsidR="00F556DB" w:rsidRPr="004C2FAC">
        <w:rPr>
          <w:rFonts w:cs="Arial"/>
          <w:b/>
          <w:szCs w:val="24"/>
          <w:lang w:val="es-CO"/>
        </w:rPr>
        <w:t>onente: MA</w:t>
      </w:r>
      <w:r w:rsidR="00961FDA" w:rsidRPr="004C2FAC">
        <w:rPr>
          <w:rFonts w:cs="Arial"/>
          <w:b/>
          <w:szCs w:val="24"/>
          <w:lang w:val="es-CO"/>
        </w:rPr>
        <w:t>RTA NUBIA VELÁSQUEZ RICO</w:t>
      </w:r>
    </w:p>
    <w:p w:rsidR="00ED77A2" w:rsidRPr="004C2FAC" w:rsidRDefault="00ED77A2" w:rsidP="002E46C2">
      <w:pPr>
        <w:spacing w:line="240" w:lineRule="auto"/>
        <w:rPr>
          <w:rFonts w:cs="Arial"/>
        </w:rPr>
      </w:pPr>
    </w:p>
    <w:p w:rsidR="00F21484" w:rsidRPr="004C2FAC" w:rsidRDefault="00F21484" w:rsidP="002E46C2">
      <w:pPr>
        <w:pStyle w:val="Saludo"/>
        <w:spacing w:line="240" w:lineRule="auto"/>
        <w:rPr>
          <w:rFonts w:cs="Arial"/>
        </w:rPr>
      </w:pPr>
      <w:r w:rsidRPr="004C2FAC">
        <w:rPr>
          <w:rFonts w:cs="Arial"/>
        </w:rPr>
        <w:t>B</w:t>
      </w:r>
      <w:r w:rsidR="00025C7D" w:rsidRPr="004C2FAC">
        <w:rPr>
          <w:rFonts w:cs="Arial"/>
        </w:rPr>
        <w:t>ogotá</w:t>
      </w:r>
      <w:r w:rsidR="00725A33">
        <w:rPr>
          <w:rFonts w:cs="Arial"/>
        </w:rPr>
        <w:t>,</w:t>
      </w:r>
      <w:r w:rsidR="00025C7D" w:rsidRPr="004C2FAC">
        <w:rPr>
          <w:rFonts w:cs="Arial"/>
        </w:rPr>
        <w:t xml:space="preserve"> D.C.,</w:t>
      </w:r>
      <w:r w:rsidR="00A0041D" w:rsidRPr="004C2FAC">
        <w:rPr>
          <w:rFonts w:cs="Arial"/>
        </w:rPr>
        <w:t xml:space="preserve"> doce (12) </w:t>
      </w:r>
      <w:r w:rsidR="003D2359" w:rsidRPr="004C2FAC">
        <w:rPr>
          <w:rFonts w:cs="Arial"/>
        </w:rPr>
        <w:t xml:space="preserve">de </w:t>
      </w:r>
      <w:r w:rsidR="00A0041D" w:rsidRPr="004C2FAC">
        <w:rPr>
          <w:rFonts w:cs="Arial"/>
        </w:rPr>
        <w:t xml:space="preserve">octubre </w:t>
      </w:r>
      <w:r w:rsidR="00C6529F" w:rsidRPr="004C2FAC">
        <w:rPr>
          <w:rFonts w:cs="Arial"/>
        </w:rPr>
        <w:t xml:space="preserve">de </w:t>
      </w:r>
      <w:r w:rsidR="003D2359" w:rsidRPr="004C2FAC">
        <w:rPr>
          <w:rFonts w:cs="Arial"/>
        </w:rPr>
        <w:t xml:space="preserve">dos mil </w:t>
      </w:r>
      <w:r w:rsidR="00F773C8" w:rsidRPr="004C2FAC">
        <w:rPr>
          <w:rFonts w:cs="Arial"/>
        </w:rPr>
        <w:t>dieci</w:t>
      </w:r>
      <w:r w:rsidR="00CF3F7F" w:rsidRPr="004C2FAC">
        <w:rPr>
          <w:rFonts w:cs="Arial"/>
        </w:rPr>
        <w:t>siete</w:t>
      </w:r>
      <w:r w:rsidR="003D2359" w:rsidRPr="004C2FAC">
        <w:rPr>
          <w:rFonts w:cs="Arial"/>
        </w:rPr>
        <w:t xml:space="preserve"> (201</w:t>
      </w:r>
      <w:r w:rsidR="00CF3F7F" w:rsidRPr="004C2FAC">
        <w:rPr>
          <w:rFonts w:cs="Arial"/>
        </w:rPr>
        <w:t>7</w:t>
      </w:r>
      <w:r w:rsidR="003D2359" w:rsidRPr="004C2FAC">
        <w:rPr>
          <w:rFonts w:cs="Arial"/>
        </w:rPr>
        <w:t>)</w:t>
      </w:r>
    </w:p>
    <w:p w:rsidR="0009687C" w:rsidRPr="004C2FAC" w:rsidRDefault="0009687C" w:rsidP="002E46C2">
      <w:pPr>
        <w:spacing w:line="240" w:lineRule="auto"/>
        <w:rPr>
          <w:rFonts w:cs="Arial"/>
          <w:b/>
        </w:rPr>
      </w:pPr>
    </w:p>
    <w:p w:rsidR="00F21484" w:rsidRPr="004C2FAC" w:rsidRDefault="00CF3F7F" w:rsidP="002E46C2">
      <w:pPr>
        <w:widowControl w:val="0"/>
        <w:autoSpaceDE w:val="0"/>
        <w:autoSpaceDN w:val="0"/>
        <w:adjustRightInd w:val="0"/>
        <w:spacing w:line="240" w:lineRule="auto"/>
        <w:rPr>
          <w:rFonts w:cs="Arial"/>
          <w:b/>
        </w:rPr>
      </w:pPr>
      <w:r w:rsidRPr="004C2FAC">
        <w:rPr>
          <w:rFonts w:cs="Arial"/>
          <w:b/>
        </w:rPr>
        <w:t>Radicación</w:t>
      </w:r>
      <w:r w:rsidR="00725A33">
        <w:rPr>
          <w:rFonts w:cs="Arial"/>
          <w:b/>
        </w:rPr>
        <w:t xml:space="preserve"> número</w:t>
      </w:r>
      <w:r w:rsidRPr="004C2FAC">
        <w:rPr>
          <w:rFonts w:cs="Arial"/>
          <w:b/>
        </w:rPr>
        <w:t xml:space="preserve">: </w:t>
      </w:r>
      <w:bookmarkStart w:id="0" w:name="_GoBack"/>
      <w:r w:rsidRPr="004C2FAC">
        <w:rPr>
          <w:rFonts w:cs="Arial"/>
          <w:b/>
        </w:rPr>
        <w:t>25000</w:t>
      </w:r>
      <w:r w:rsidR="00725A33">
        <w:rPr>
          <w:rFonts w:cs="Arial"/>
          <w:b/>
        </w:rPr>
        <w:t>-</w:t>
      </w:r>
      <w:r w:rsidRPr="004C2FAC">
        <w:rPr>
          <w:rFonts w:cs="Arial"/>
          <w:b/>
        </w:rPr>
        <w:t>23</w:t>
      </w:r>
      <w:r w:rsidR="00725A33">
        <w:rPr>
          <w:rFonts w:cs="Arial"/>
          <w:b/>
        </w:rPr>
        <w:t>-</w:t>
      </w:r>
      <w:r w:rsidRPr="004C2FAC">
        <w:rPr>
          <w:rFonts w:cs="Arial"/>
          <w:b/>
        </w:rPr>
        <w:t>26</w:t>
      </w:r>
      <w:r w:rsidR="00725A33">
        <w:rPr>
          <w:rFonts w:cs="Arial"/>
          <w:b/>
        </w:rPr>
        <w:t>-</w:t>
      </w:r>
      <w:r w:rsidRPr="004C2FAC">
        <w:rPr>
          <w:rFonts w:cs="Arial"/>
          <w:b/>
        </w:rPr>
        <w:t>000</w:t>
      </w:r>
      <w:r w:rsidR="00725A33">
        <w:rPr>
          <w:rFonts w:cs="Arial"/>
          <w:b/>
        </w:rPr>
        <w:t>-</w:t>
      </w:r>
      <w:r w:rsidRPr="004C2FAC">
        <w:rPr>
          <w:rFonts w:cs="Arial"/>
          <w:b/>
        </w:rPr>
        <w:t>2005</w:t>
      </w:r>
      <w:r w:rsidR="00725A33">
        <w:rPr>
          <w:rFonts w:cs="Arial"/>
          <w:b/>
        </w:rPr>
        <w:t>-</w:t>
      </w:r>
      <w:r w:rsidRPr="004C2FAC">
        <w:rPr>
          <w:rFonts w:cs="Arial"/>
          <w:b/>
        </w:rPr>
        <w:t>00177</w:t>
      </w:r>
      <w:r w:rsidR="00725A33">
        <w:rPr>
          <w:rFonts w:cs="Arial"/>
          <w:b/>
        </w:rPr>
        <w:t>-01</w:t>
      </w:r>
      <w:bookmarkEnd w:id="0"/>
      <w:r w:rsidRPr="004C2FAC">
        <w:rPr>
          <w:rFonts w:cs="Arial"/>
          <w:b/>
        </w:rPr>
        <w:t>(53239)</w:t>
      </w:r>
    </w:p>
    <w:p w:rsidR="00BA77BD" w:rsidRPr="004C2FAC" w:rsidRDefault="00BA77BD" w:rsidP="002E46C2">
      <w:pPr>
        <w:widowControl w:val="0"/>
        <w:autoSpaceDE w:val="0"/>
        <w:autoSpaceDN w:val="0"/>
        <w:adjustRightInd w:val="0"/>
        <w:spacing w:line="240" w:lineRule="auto"/>
        <w:ind w:left="2124" w:hanging="2124"/>
        <w:rPr>
          <w:rFonts w:cs="Arial"/>
          <w:b/>
        </w:rPr>
      </w:pPr>
    </w:p>
    <w:p w:rsidR="00CF3F7F" w:rsidRPr="004C2FAC" w:rsidRDefault="00CF3F7F" w:rsidP="002E46C2">
      <w:pPr>
        <w:widowControl w:val="0"/>
        <w:autoSpaceDE w:val="0"/>
        <w:autoSpaceDN w:val="0"/>
        <w:adjustRightInd w:val="0"/>
        <w:spacing w:line="240" w:lineRule="auto"/>
        <w:ind w:left="2124" w:hanging="2124"/>
        <w:rPr>
          <w:rFonts w:cs="Arial"/>
          <w:b/>
        </w:rPr>
      </w:pPr>
      <w:r w:rsidRPr="004C2FAC">
        <w:rPr>
          <w:rFonts w:cs="Arial"/>
          <w:b/>
        </w:rPr>
        <w:t>Actor: MINISTERIO DE AGR</w:t>
      </w:r>
      <w:r w:rsidR="004D5AFB" w:rsidRPr="004C2FAC">
        <w:rPr>
          <w:rFonts w:cs="Arial"/>
          <w:b/>
        </w:rPr>
        <w:t>I</w:t>
      </w:r>
      <w:r w:rsidRPr="004C2FAC">
        <w:rPr>
          <w:rFonts w:cs="Arial"/>
          <w:b/>
        </w:rPr>
        <w:t>CULTURA Y DESARROLLO RURAL</w:t>
      </w:r>
    </w:p>
    <w:p w:rsidR="00CF3F7F" w:rsidRPr="004C2FAC" w:rsidRDefault="00CF3F7F" w:rsidP="002E46C2">
      <w:pPr>
        <w:widowControl w:val="0"/>
        <w:autoSpaceDE w:val="0"/>
        <w:autoSpaceDN w:val="0"/>
        <w:adjustRightInd w:val="0"/>
        <w:spacing w:line="240" w:lineRule="auto"/>
        <w:ind w:left="2124" w:hanging="2124"/>
        <w:rPr>
          <w:rFonts w:cs="Arial"/>
          <w:b/>
        </w:rPr>
      </w:pPr>
    </w:p>
    <w:p w:rsidR="00CF3F7F" w:rsidRPr="004C2FAC" w:rsidRDefault="00CF3F7F" w:rsidP="002E46C2">
      <w:pPr>
        <w:widowControl w:val="0"/>
        <w:autoSpaceDE w:val="0"/>
        <w:autoSpaceDN w:val="0"/>
        <w:adjustRightInd w:val="0"/>
        <w:spacing w:line="240" w:lineRule="auto"/>
        <w:rPr>
          <w:rFonts w:cs="Arial"/>
          <w:b/>
        </w:rPr>
      </w:pPr>
      <w:r w:rsidRPr="004C2FAC">
        <w:rPr>
          <w:rFonts w:cs="Arial"/>
          <w:b/>
        </w:rPr>
        <w:t>Demandado</w:t>
      </w:r>
      <w:r w:rsidR="00341811" w:rsidRPr="004C2FAC">
        <w:rPr>
          <w:rFonts w:cs="Arial"/>
          <w:b/>
        </w:rPr>
        <w:t xml:space="preserve">: </w:t>
      </w:r>
      <w:r w:rsidR="00E23E25" w:rsidRPr="004C2FAC">
        <w:rPr>
          <w:rFonts w:cs="Arial"/>
          <w:b/>
        </w:rPr>
        <w:t>COMPAÑ</w:t>
      </w:r>
      <w:r w:rsidR="00D85B83" w:rsidRPr="004C2FAC">
        <w:rPr>
          <w:rFonts w:cs="Arial"/>
          <w:b/>
        </w:rPr>
        <w:t>Í</w:t>
      </w:r>
      <w:r w:rsidR="00E23E25" w:rsidRPr="004C2FAC">
        <w:rPr>
          <w:rFonts w:cs="Arial"/>
          <w:b/>
        </w:rPr>
        <w:t xml:space="preserve">A COLOMBIANA DE CEREALES COLCEREALES S.A. </w:t>
      </w:r>
      <w:r w:rsidR="00E23E25" w:rsidRPr="004C2FAC">
        <w:rPr>
          <w:rFonts w:cs="Arial"/>
          <w:b/>
        </w:rPr>
        <w:lastRenderedPageBreak/>
        <w:t xml:space="preserve">Y LIBERTY SEGUROS S.A. (ANTES LATINOAMERICANA DE SEGUROS S.A.) </w:t>
      </w:r>
    </w:p>
    <w:p w:rsidR="00E23E25" w:rsidRPr="004C2FAC" w:rsidRDefault="00E23E25" w:rsidP="002E46C2">
      <w:pPr>
        <w:widowControl w:val="0"/>
        <w:autoSpaceDE w:val="0"/>
        <w:autoSpaceDN w:val="0"/>
        <w:adjustRightInd w:val="0"/>
        <w:spacing w:line="240" w:lineRule="auto"/>
        <w:rPr>
          <w:rFonts w:cs="Arial"/>
        </w:rPr>
      </w:pPr>
    </w:p>
    <w:p w:rsidR="004A518A" w:rsidRDefault="004A518A" w:rsidP="002E46C2">
      <w:pPr>
        <w:widowControl w:val="0"/>
        <w:autoSpaceDE w:val="0"/>
        <w:autoSpaceDN w:val="0"/>
        <w:adjustRightInd w:val="0"/>
        <w:spacing w:line="240" w:lineRule="auto"/>
        <w:rPr>
          <w:rFonts w:cs="Arial"/>
        </w:rPr>
      </w:pPr>
    </w:p>
    <w:p w:rsidR="00725A33" w:rsidRPr="00725A33" w:rsidRDefault="00725A33" w:rsidP="002E46C2">
      <w:pPr>
        <w:widowControl w:val="0"/>
        <w:autoSpaceDE w:val="0"/>
        <w:autoSpaceDN w:val="0"/>
        <w:adjustRightInd w:val="0"/>
        <w:spacing w:line="240" w:lineRule="auto"/>
        <w:rPr>
          <w:rFonts w:cs="Arial"/>
          <w:b/>
        </w:rPr>
      </w:pPr>
    </w:p>
    <w:p w:rsidR="00725A33" w:rsidRPr="00725A33" w:rsidRDefault="00725A33" w:rsidP="002E46C2">
      <w:pPr>
        <w:widowControl w:val="0"/>
        <w:autoSpaceDE w:val="0"/>
        <w:autoSpaceDN w:val="0"/>
        <w:adjustRightInd w:val="0"/>
        <w:spacing w:line="240" w:lineRule="auto"/>
        <w:rPr>
          <w:rFonts w:cs="Arial"/>
          <w:b/>
        </w:rPr>
      </w:pPr>
      <w:r w:rsidRPr="00725A33">
        <w:rPr>
          <w:rFonts w:cs="Arial"/>
          <w:b/>
        </w:rPr>
        <w:t>Referencia: APELACIÓN SENTENCIA – ACCIÓN DE CONTROVERSIAS CONTRACTUALES</w:t>
      </w:r>
    </w:p>
    <w:p w:rsidR="00725A33" w:rsidRDefault="00725A33" w:rsidP="002E46C2">
      <w:pPr>
        <w:widowControl w:val="0"/>
        <w:autoSpaceDE w:val="0"/>
        <w:autoSpaceDN w:val="0"/>
        <w:adjustRightInd w:val="0"/>
        <w:spacing w:line="240" w:lineRule="auto"/>
        <w:rPr>
          <w:rFonts w:cs="Arial"/>
        </w:rPr>
      </w:pPr>
    </w:p>
    <w:p w:rsidR="00725A33" w:rsidRDefault="00725A33" w:rsidP="002E46C2">
      <w:pPr>
        <w:widowControl w:val="0"/>
        <w:autoSpaceDE w:val="0"/>
        <w:autoSpaceDN w:val="0"/>
        <w:adjustRightInd w:val="0"/>
        <w:spacing w:line="240" w:lineRule="auto"/>
        <w:rPr>
          <w:rFonts w:cs="Arial"/>
        </w:rPr>
      </w:pPr>
    </w:p>
    <w:p w:rsidR="00725A33" w:rsidRPr="004C2FAC" w:rsidRDefault="00725A33" w:rsidP="00E23E25">
      <w:pPr>
        <w:widowControl w:val="0"/>
        <w:autoSpaceDE w:val="0"/>
        <w:autoSpaceDN w:val="0"/>
        <w:adjustRightInd w:val="0"/>
        <w:spacing w:line="240" w:lineRule="auto"/>
        <w:rPr>
          <w:rFonts w:cs="Arial"/>
        </w:rPr>
      </w:pPr>
    </w:p>
    <w:p w:rsidR="002D40B7" w:rsidRPr="004C2FAC" w:rsidRDefault="002D40B7" w:rsidP="002D40B7">
      <w:pPr>
        <w:widowControl w:val="0"/>
        <w:autoSpaceDE w:val="0"/>
        <w:autoSpaceDN w:val="0"/>
        <w:adjustRightInd w:val="0"/>
        <w:spacing w:line="276" w:lineRule="auto"/>
        <w:rPr>
          <w:rFonts w:cs="Arial"/>
        </w:rPr>
      </w:pPr>
      <w:r w:rsidRPr="004C2FAC">
        <w:rPr>
          <w:rFonts w:cs="Arial"/>
          <w:b/>
        </w:rPr>
        <w:t>T</w:t>
      </w:r>
      <w:r w:rsidR="004A518A" w:rsidRPr="004C2FAC">
        <w:rPr>
          <w:rFonts w:cs="Arial"/>
          <w:b/>
        </w:rPr>
        <w:t>emas</w:t>
      </w:r>
      <w:r w:rsidRPr="004C2FAC">
        <w:rPr>
          <w:rFonts w:cs="Arial"/>
        </w:rPr>
        <w:t xml:space="preserve">: CADUCIDAD Y PRESCRIPCIÓN DE LA ACCIÓN CONTRACTUAL – </w:t>
      </w:r>
      <w:r w:rsidR="004E7C47" w:rsidRPr="004C2FAC">
        <w:rPr>
          <w:rFonts w:cs="Arial"/>
        </w:rPr>
        <w:t>t</w:t>
      </w:r>
      <w:r w:rsidR="000E12FE" w:rsidRPr="004C2FAC">
        <w:rPr>
          <w:rFonts w:cs="Arial"/>
        </w:rPr>
        <w:t>é</w:t>
      </w:r>
      <w:r w:rsidR="004E7C47" w:rsidRPr="004C2FAC">
        <w:rPr>
          <w:rFonts w:cs="Arial"/>
        </w:rPr>
        <w:t xml:space="preserve">rmino de 20 años </w:t>
      </w:r>
      <w:r w:rsidRPr="004C2FAC">
        <w:rPr>
          <w:rFonts w:cs="Arial"/>
        </w:rPr>
        <w:t>en vigencia de la Ley 80 de 1993, antes de la modificación de la Ley 446 de 1998</w:t>
      </w:r>
      <w:r w:rsidR="004E7C47" w:rsidRPr="004C2FAC">
        <w:rPr>
          <w:rFonts w:cs="Arial"/>
        </w:rPr>
        <w:t xml:space="preserve"> </w:t>
      </w:r>
      <w:r w:rsidRPr="004C2FAC">
        <w:rPr>
          <w:rFonts w:cs="Arial"/>
        </w:rPr>
        <w:t>/ IDEMA –</w:t>
      </w:r>
      <w:r w:rsidR="00490D1D" w:rsidRPr="004C2FAC">
        <w:rPr>
          <w:rFonts w:cs="Arial"/>
        </w:rPr>
        <w:t xml:space="preserve"> </w:t>
      </w:r>
      <w:r w:rsidR="0031642D" w:rsidRPr="004C2FAC">
        <w:rPr>
          <w:rFonts w:cs="Arial"/>
        </w:rPr>
        <w:t>liquidación -</w:t>
      </w:r>
      <w:r w:rsidRPr="004C2FAC">
        <w:rPr>
          <w:rFonts w:cs="Arial"/>
        </w:rPr>
        <w:t xml:space="preserve"> </w:t>
      </w:r>
      <w:r w:rsidR="0031642D" w:rsidRPr="004C2FAC">
        <w:rPr>
          <w:rFonts w:cs="Arial"/>
        </w:rPr>
        <w:t xml:space="preserve">legitimación en la causa por parte del </w:t>
      </w:r>
      <w:r w:rsidR="00856D15" w:rsidRPr="004C2FAC">
        <w:rPr>
          <w:rFonts w:cs="Arial"/>
        </w:rPr>
        <w:t>Ministerio de Agricultura y Desarrollo Rural</w:t>
      </w:r>
      <w:r w:rsidR="00D85B83" w:rsidRPr="004C2FAC">
        <w:rPr>
          <w:rFonts w:cs="Arial"/>
        </w:rPr>
        <w:t xml:space="preserve"> </w:t>
      </w:r>
      <w:r w:rsidR="00856D15" w:rsidRPr="004C2FAC">
        <w:rPr>
          <w:rFonts w:cs="Arial"/>
        </w:rPr>
        <w:t xml:space="preserve">/ </w:t>
      </w:r>
      <w:r w:rsidRPr="004C2FAC">
        <w:rPr>
          <w:rFonts w:cs="Arial"/>
        </w:rPr>
        <w:t>PRESCRIPCIÓN DE LA ACCIÓN DERIVADA DEL CONTRATO DE SEGURO</w:t>
      </w:r>
      <w:r w:rsidR="004E7C47" w:rsidRPr="004C2FAC">
        <w:rPr>
          <w:rFonts w:cs="Arial"/>
        </w:rPr>
        <w:t xml:space="preserve"> – artículo 1081 C</w:t>
      </w:r>
      <w:r w:rsidR="00856D15" w:rsidRPr="004C2FAC">
        <w:rPr>
          <w:rFonts w:cs="Arial"/>
        </w:rPr>
        <w:t>.</w:t>
      </w:r>
      <w:r w:rsidR="004E7C47" w:rsidRPr="004C2FAC">
        <w:rPr>
          <w:rFonts w:cs="Arial"/>
        </w:rPr>
        <w:t>C</w:t>
      </w:r>
      <w:r w:rsidR="00F66C6C" w:rsidRPr="004C2FAC">
        <w:rPr>
          <w:rFonts w:cs="Arial"/>
        </w:rPr>
        <w:t>o</w:t>
      </w:r>
      <w:r w:rsidR="00D85B83" w:rsidRPr="004C2FAC">
        <w:rPr>
          <w:rFonts w:cs="Arial"/>
        </w:rPr>
        <w:t xml:space="preserve"> -</w:t>
      </w:r>
      <w:r w:rsidR="00F66C6C" w:rsidRPr="004C2FAC">
        <w:rPr>
          <w:rFonts w:cs="Arial"/>
        </w:rPr>
        <w:t xml:space="preserve"> la entidad contratante tiene un plazo de dos años para presentar la demanda en el caso de pretender la indemnización derivada del contrato</w:t>
      </w:r>
      <w:r w:rsidR="00856D15" w:rsidRPr="004C2FAC">
        <w:rPr>
          <w:rFonts w:cs="Arial"/>
        </w:rPr>
        <w:t xml:space="preserve"> de seguro</w:t>
      </w:r>
      <w:r w:rsidR="00D85B83" w:rsidRPr="004C2FAC">
        <w:rPr>
          <w:rFonts w:cs="Arial"/>
        </w:rPr>
        <w:t>.</w:t>
      </w:r>
      <w:r w:rsidR="004E7C47" w:rsidRPr="004C2FAC">
        <w:rPr>
          <w:rFonts w:cs="Arial"/>
        </w:rPr>
        <w:t xml:space="preserve"> </w:t>
      </w:r>
    </w:p>
    <w:p w:rsidR="00BA77BD" w:rsidRPr="004C2FAC" w:rsidRDefault="00BA77BD" w:rsidP="00BA77BD">
      <w:pPr>
        <w:widowControl w:val="0"/>
        <w:autoSpaceDE w:val="0"/>
        <w:autoSpaceDN w:val="0"/>
        <w:adjustRightInd w:val="0"/>
        <w:spacing w:line="240" w:lineRule="auto"/>
        <w:ind w:left="2124" w:hanging="2124"/>
        <w:rPr>
          <w:rFonts w:cs="Arial"/>
        </w:rPr>
      </w:pPr>
    </w:p>
    <w:p w:rsidR="00BA77BD" w:rsidRDefault="00BA77BD" w:rsidP="00BA77BD">
      <w:pPr>
        <w:widowControl w:val="0"/>
        <w:autoSpaceDE w:val="0"/>
        <w:autoSpaceDN w:val="0"/>
        <w:adjustRightInd w:val="0"/>
        <w:spacing w:line="240" w:lineRule="auto"/>
        <w:ind w:left="2124" w:hanging="2124"/>
        <w:rPr>
          <w:rFonts w:cs="Arial"/>
        </w:rPr>
      </w:pPr>
    </w:p>
    <w:p w:rsidR="002E46C2" w:rsidRPr="004C2FAC" w:rsidRDefault="002E46C2" w:rsidP="00BA77BD">
      <w:pPr>
        <w:widowControl w:val="0"/>
        <w:autoSpaceDE w:val="0"/>
        <w:autoSpaceDN w:val="0"/>
        <w:adjustRightInd w:val="0"/>
        <w:spacing w:line="240" w:lineRule="auto"/>
        <w:ind w:left="2124" w:hanging="2124"/>
        <w:rPr>
          <w:rFonts w:cs="Arial"/>
        </w:rPr>
      </w:pPr>
    </w:p>
    <w:p w:rsidR="00F21484" w:rsidRPr="004C2FAC" w:rsidRDefault="00F21484" w:rsidP="00296BBA">
      <w:pPr>
        <w:widowControl w:val="0"/>
        <w:autoSpaceDE w:val="0"/>
        <w:autoSpaceDN w:val="0"/>
        <w:adjustRightInd w:val="0"/>
        <w:rPr>
          <w:rFonts w:cs="Arial"/>
        </w:rPr>
      </w:pPr>
      <w:r w:rsidRPr="004C2FAC">
        <w:rPr>
          <w:rFonts w:cs="Arial"/>
        </w:rPr>
        <w:t xml:space="preserve">Conoce la Sala </w:t>
      </w:r>
      <w:r w:rsidR="00C71714" w:rsidRPr="004C2FAC">
        <w:rPr>
          <w:rFonts w:cs="Arial"/>
        </w:rPr>
        <w:t>el</w:t>
      </w:r>
      <w:r w:rsidR="00F53FED" w:rsidRPr="004C2FAC">
        <w:rPr>
          <w:rFonts w:cs="Arial"/>
        </w:rPr>
        <w:t xml:space="preserve"> recurso de apelación presentado</w:t>
      </w:r>
      <w:r w:rsidR="00021148" w:rsidRPr="004C2FAC">
        <w:rPr>
          <w:rFonts w:cs="Arial"/>
        </w:rPr>
        <w:t xml:space="preserve"> por la parte</w:t>
      </w:r>
      <w:r w:rsidR="00C71714" w:rsidRPr="004C2FAC">
        <w:rPr>
          <w:rFonts w:cs="Arial"/>
        </w:rPr>
        <w:t xml:space="preserve"> </w:t>
      </w:r>
      <w:r w:rsidR="00296BBA" w:rsidRPr="004C2FAC">
        <w:rPr>
          <w:rFonts w:cs="Arial"/>
        </w:rPr>
        <w:t>demandante</w:t>
      </w:r>
      <w:r w:rsidR="00C71714" w:rsidRPr="004C2FAC">
        <w:rPr>
          <w:rFonts w:cs="Arial"/>
        </w:rPr>
        <w:t xml:space="preserve"> </w:t>
      </w:r>
      <w:r w:rsidR="00F53FED" w:rsidRPr="004C2FAC">
        <w:rPr>
          <w:rFonts w:cs="Arial"/>
        </w:rPr>
        <w:t>contra</w:t>
      </w:r>
      <w:r w:rsidR="00E875E6" w:rsidRPr="004C2FAC">
        <w:rPr>
          <w:rFonts w:cs="Arial"/>
        </w:rPr>
        <w:t xml:space="preserve"> la sentencia proferida por </w:t>
      </w:r>
      <w:r w:rsidR="007E4317" w:rsidRPr="004C2FAC">
        <w:rPr>
          <w:rFonts w:cs="Arial"/>
        </w:rPr>
        <w:t>el Tribunal Administrativo de</w:t>
      </w:r>
      <w:r w:rsidR="005445E9" w:rsidRPr="004C2FAC">
        <w:rPr>
          <w:rFonts w:cs="Arial"/>
        </w:rPr>
        <w:t xml:space="preserve"> </w:t>
      </w:r>
      <w:r w:rsidR="00296BBA" w:rsidRPr="004C2FAC">
        <w:rPr>
          <w:rFonts w:cs="Arial"/>
        </w:rPr>
        <w:t>Cundinamarca, Sección Tercera – Subsección C de descongestión</w:t>
      </w:r>
      <w:r w:rsidR="00346B74" w:rsidRPr="004C2FAC">
        <w:rPr>
          <w:rFonts w:cs="Arial"/>
        </w:rPr>
        <w:t>,</w:t>
      </w:r>
      <w:r w:rsidR="005114BC" w:rsidRPr="004C2FAC">
        <w:rPr>
          <w:rFonts w:cs="Arial"/>
        </w:rPr>
        <w:t xml:space="preserve"> </w:t>
      </w:r>
      <w:r w:rsidR="00E875E6" w:rsidRPr="004C2FAC">
        <w:rPr>
          <w:rFonts w:cs="Arial"/>
        </w:rPr>
        <w:t xml:space="preserve">el </w:t>
      </w:r>
      <w:r w:rsidR="00296BBA" w:rsidRPr="004C2FAC">
        <w:rPr>
          <w:rFonts w:cs="Arial"/>
        </w:rPr>
        <w:t xml:space="preserve">veintiuno </w:t>
      </w:r>
      <w:r w:rsidR="00A15E12" w:rsidRPr="004C2FAC">
        <w:rPr>
          <w:rFonts w:cs="Arial"/>
        </w:rPr>
        <w:t>(</w:t>
      </w:r>
      <w:r w:rsidR="00296BBA" w:rsidRPr="004C2FAC">
        <w:rPr>
          <w:rFonts w:cs="Arial"/>
        </w:rPr>
        <w:t>21</w:t>
      </w:r>
      <w:r w:rsidR="00A15E12" w:rsidRPr="004C2FAC">
        <w:rPr>
          <w:rFonts w:cs="Arial"/>
        </w:rPr>
        <w:t xml:space="preserve">) </w:t>
      </w:r>
      <w:r w:rsidR="00E875E6" w:rsidRPr="004C2FAC">
        <w:rPr>
          <w:rFonts w:cs="Arial"/>
        </w:rPr>
        <w:t>de</w:t>
      </w:r>
      <w:r w:rsidR="00296BBA" w:rsidRPr="004C2FAC">
        <w:rPr>
          <w:rFonts w:cs="Arial"/>
        </w:rPr>
        <w:t xml:space="preserve"> agosto de dos mil catorce</w:t>
      </w:r>
      <w:r w:rsidR="005445E9" w:rsidRPr="004C2FAC">
        <w:rPr>
          <w:rFonts w:cs="Arial"/>
        </w:rPr>
        <w:t xml:space="preserve"> </w:t>
      </w:r>
      <w:r w:rsidR="00BD3675" w:rsidRPr="004C2FAC">
        <w:rPr>
          <w:rFonts w:cs="Arial"/>
        </w:rPr>
        <w:t>(</w:t>
      </w:r>
      <w:r w:rsidR="00312E2A" w:rsidRPr="004C2FAC">
        <w:rPr>
          <w:rFonts w:cs="Arial"/>
        </w:rPr>
        <w:t>20</w:t>
      </w:r>
      <w:r w:rsidR="00296BBA" w:rsidRPr="004C2FAC">
        <w:rPr>
          <w:rFonts w:cs="Arial"/>
        </w:rPr>
        <w:t>14</w:t>
      </w:r>
      <w:r w:rsidR="00E875E6" w:rsidRPr="004C2FAC">
        <w:rPr>
          <w:rFonts w:cs="Arial"/>
        </w:rPr>
        <w:t>)</w:t>
      </w:r>
      <w:r w:rsidRPr="004C2FAC">
        <w:rPr>
          <w:rFonts w:cs="Arial"/>
        </w:rPr>
        <w:t>, mediante la cual se dispuso</w:t>
      </w:r>
      <w:r w:rsidR="00296BBA" w:rsidRPr="004C2FAC">
        <w:rPr>
          <w:rFonts w:cs="Arial"/>
        </w:rPr>
        <w:t xml:space="preserve"> (se transcribe </w:t>
      </w:r>
      <w:r w:rsidR="00350CA9" w:rsidRPr="004C2FAC">
        <w:rPr>
          <w:rFonts w:cs="Arial"/>
        </w:rPr>
        <w:t xml:space="preserve">de forma </w:t>
      </w:r>
      <w:r w:rsidR="00296BBA" w:rsidRPr="004C2FAC">
        <w:rPr>
          <w:rFonts w:cs="Arial"/>
        </w:rPr>
        <w:t>literal incluso con posibles errores)</w:t>
      </w:r>
      <w:r w:rsidRPr="004C2FAC">
        <w:rPr>
          <w:rFonts w:cs="Arial"/>
        </w:rPr>
        <w:t>:</w:t>
      </w:r>
    </w:p>
    <w:p w:rsidR="00C71714" w:rsidRPr="004C2FAC" w:rsidRDefault="00C71714" w:rsidP="00BA77BD">
      <w:pPr>
        <w:pStyle w:val="Textoindependienteprimerasangra2"/>
        <w:ind w:left="0" w:firstLine="0"/>
        <w:jc w:val="left"/>
        <w:rPr>
          <w:rFonts w:cs="Arial"/>
          <w:b/>
          <w:i/>
          <w:sz w:val="20"/>
          <w:szCs w:val="20"/>
        </w:rPr>
      </w:pPr>
    </w:p>
    <w:p w:rsidR="00296BBA" w:rsidRPr="004C2FAC" w:rsidRDefault="00312E2A" w:rsidP="009250D8">
      <w:pPr>
        <w:pStyle w:val="Textoindependienteprimerasangra2"/>
        <w:spacing w:line="276" w:lineRule="auto"/>
        <w:ind w:left="567" w:right="902" w:firstLine="0"/>
        <w:rPr>
          <w:rFonts w:cs="Arial"/>
          <w:i/>
          <w:sz w:val="22"/>
          <w:szCs w:val="22"/>
        </w:rPr>
      </w:pPr>
      <w:r w:rsidRPr="004C2FAC">
        <w:rPr>
          <w:rFonts w:cs="Arial"/>
          <w:i/>
          <w:sz w:val="22"/>
          <w:szCs w:val="22"/>
        </w:rPr>
        <w:t>“</w:t>
      </w:r>
      <w:r w:rsidR="00296BBA" w:rsidRPr="004C2FAC">
        <w:rPr>
          <w:rFonts w:cs="Arial"/>
          <w:b/>
          <w:i/>
          <w:sz w:val="22"/>
          <w:szCs w:val="22"/>
        </w:rPr>
        <w:t xml:space="preserve">PRIMERO.- DECLÁRASE </w:t>
      </w:r>
      <w:r w:rsidR="00296BBA" w:rsidRPr="004C2FAC">
        <w:rPr>
          <w:rFonts w:cs="Arial"/>
          <w:i/>
          <w:sz w:val="22"/>
          <w:szCs w:val="22"/>
        </w:rPr>
        <w:t>que, en el presente caso, ha operado el fenómeno jurídico de la caducidad de la acción.</w:t>
      </w:r>
    </w:p>
    <w:p w:rsidR="00F773C8" w:rsidRPr="004C2FAC" w:rsidRDefault="00296BBA" w:rsidP="009250D8">
      <w:pPr>
        <w:pStyle w:val="Textoindependienteprimerasangra2"/>
        <w:spacing w:line="276" w:lineRule="auto"/>
        <w:ind w:left="567" w:right="902" w:firstLine="0"/>
        <w:rPr>
          <w:rFonts w:cs="Arial"/>
          <w:i/>
          <w:sz w:val="22"/>
          <w:szCs w:val="22"/>
        </w:rPr>
      </w:pPr>
      <w:r w:rsidRPr="004C2FAC">
        <w:rPr>
          <w:rFonts w:cs="Arial"/>
          <w:i/>
          <w:sz w:val="22"/>
          <w:szCs w:val="22"/>
        </w:rPr>
        <w:t xml:space="preserve"> </w:t>
      </w:r>
    </w:p>
    <w:p w:rsidR="001A45EE" w:rsidRPr="004C2FAC" w:rsidRDefault="001A45EE" w:rsidP="009250D8">
      <w:pPr>
        <w:pStyle w:val="Textoindependienteprimerasangra2"/>
        <w:spacing w:line="276" w:lineRule="auto"/>
        <w:ind w:left="567" w:right="902" w:firstLine="0"/>
        <w:rPr>
          <w:rFonts w:cs="Arial"/>
          <w:i/>
          <w:sz w:val="22"/>
          <w:szCs w:val="22"/>
        </w:rPr>
      </w:pPr>
      <w:r w:rsidRPr="004C2FAC">
        <w:rPr>
          <w:rFonts w:cs="Arial"/>
          <w:i/>
          <w:sz w:val="22"/>
          <w:szCs w:val="22"/>
        </w:rPr>
        <w:t>”</w:t>
      </w:r>
      <w:r w:rsidR="00296BBA" w:rsidRPr="004C2FAC">
        <w:rPr>
          <w:rFonts w:cs="Arial"/>
          <w:b/>
          <w:i/>
          <w:sz w:val="22"/>
          <w:szCs w:val="22"/>
        </w:rPr>
        <w:t>SEGUNDO.-</w:t>
      </w:r>
      <w:r w:rsidR="00C6529F" w:rsidRPr="004C2FAC">
        <w:rPr>
          <w:rFonts w:cs="Arial"/>
          <w:i/>
          <w:sz w:val="22"/>
          <w:szCs w:val="22"/>
        </w:rPr>
        <w:t>.</w:t>
      </w:r>
      <w:r w:rsidR="00296BBA" w:rsidRPr="004C2FAC">
        <w:rPr>
          <w:rFonts w:cs="Arial"/>
          <w:i/>
          <w:sz w:val="22"/>
          <w:szCs w:val="22"/>
        </w:rPr>
        <w:t>Sin condena en costas.</w:t>
      </w:r>
    </w:p>
    <w:p w:rsidR="00296BBA" w:rsidRPr="004C2FAC" w:rsidRDefault="00296BBA" w:rsidP="009250D8">
      <w:pPr>
        <w:pStyle w:val="Textoindependienteprimerasangra2"/>
        <w:spacing w:line="276" w:lineRule="auto"/>
        <w:ind w:left="567" w:right="902" w:firstLine="0"/>
        <w:rPr>
          <w:rFonts w:cs="Arial"/>
          <w:i/>
          <w:sz w:val="22"/>
          <w:szCs w:val="22"/>
        </w:rPr>
      </w:pPr>
    </w:p>
    <w:p w:rsidR="00296BBA" w:rsidRPr="004C2FAC" w:rsidRDefault="00296BBA" w:rsidP="009250D8">
      <w:pPr>
        <w:pStyle w:val="Textoindependienteprimerasangra2"/>
        <w:spacing w:line="276" w:lineRule="auto"/>
        <w:ind w:left="567" w:right="902" w:firstLine="0"/>
        <w:rPr>
          <w:rFonts w:cs="Arial"/>
          <w:i/>
          <w:sz w:val="22"/>
          <w:szCs w:val="22"/>
        </w:rPr>
      </w:pPr>
      <w:r w:rsidRPr="004C2FAC">
        <w:rPr>
          <w:rFonts w:cs="Arial"/>
          <w:i/>
          <w:sz w:val="22"/>
          <w:szCs w:val="22"/>
        </w:rPr>
        <w:t>“</w:t>
      </w:r>
      <w:r w:rsidRPr="004C2FAC">
        <w:rPr>
          <w:rFonts w:cs="Arial"/>
          <w:b/>
          <w:i/>
          <w:sz w:val="22"/>
          <w:szCs w:val="22"/>
        </w:rPr>
        <w:t xml:space="preserve">TERCERO.- </w:t>
      </w:r>
      <w:r w:rsidRPr="004C2FAC">
        <w:rPr>
          <w:rFonts w:cs="Arial"/>
          <w:i/>
          <w:sz w:val="22"/>
          <w:szCs w:val="22"/>
        </w:rPr>
        <w:t>Por Secretaría liquídense los gastos del proceso y en caso de remanentes devuélvanse a la parte actora, pasado dos años sin que estos sean reclamados, se declarará, previo el trámite legal, la prescripción de los mismos”.</w:t>
      </w:r>
    </w:p>
    <w:p w:rsidR="0015263D" w:rsidRPr="004C2FAC" w:rsidRDefault="0015263D" w:rsidP="00A93840">
      <w:pPr>
        <w:widowControl w:val="0"/>
        <w:autoSpaceDE w:val="0"/>
        <w:autoSpaceDN w:val="0"/>
        <w:adjustRightInd w:val="0"/>
        <w:spacing w:line="276" w:lineRule="auto"/>
        <w:ind w:left="851" w:right="567"/>
        <w:jc w:val="center"/>
        <w:rPr>
          <w:rFonts w:cs="Arial"/>
          <w:b/>
          <w:sz w:val="22"/>
          <w:szCs w:val="22"/>
        </w:rPr>
      </w:pPr>
    </w:p>
    <w:p w:rsidR="004A518A" w:rsidRPr="004C2FAC" w:rsidRDefault="004A518A" w:rsidP="00A93840">
      <w:pPr>
        <w:widowControl w:val="0"/>
        <w:autoSpaceDE w:val="0"/>
        <w:autoSpaceDN w:val="0"/>
        <w:adjustRightInd w:val="0"/>
        <w:spacing w:line="276" w:lineRule="auto"/>
        <w:ind w:left="851" w:right="567"/>
        <w:jc w:val="center"/>
        <w:rPr>
          <w:rFonts w:cs="Arial"/>
          <w:b/>
          <w:sz w:val="22"/>
          <w:szCs w:val="22"/>
        </w:rPr>
      </w:pPr>
    </w:p>
    <w:p w:rsidR="00F21484" w:rsidRPr="004C2FAC" w:rsidRDefault="00F21484" w:rsidP="00F82E49">
      <w:pPr>
        <w:pStyle w:val="Lista"/>
        <w:jc w:val="center"/>
        <w:rPr>
          <w:rFonts w:ascii="Arial" w:hAnsi="Arial" w:cs="Arial"/>
          <w:b/>
        </w:rPr>
      </w:pPr>
      <w:r w:rsidRPr="004C2FAC">
        <w:rPr>
          <w:rFonts w:ascii="Arial" w:hAnsi="Arial" w:cs="Arial"/>
          <w:b/>
        </w:rPr>
        <w:t>I.</w:t>
      </w:r>
      <w:r w:rsidR="00E759BE" w:rsidRPr="004C2FAC">
        <w:rPr>
          <w:rFonts w:ascii="Arial" w:hAnsi="Arial" w:cs="Arial"/>
          <w:b/>
        </w:rPr>
        <w:tab/>
      </w:r>
      <w:r w:rsidRPr="004C2FAC">
        <w:rPr>
          <w:rFonts w:ascii="Arial" w:hAnsi="Arial" w:cs="Arial"/>
          <w:b/>
        </w:rPr>
        <w:t>A N T E C E D E N T E S</w:t>
      </w:r>
    </w:p>
    <w:p w:rsidR="00F00A7F" w:rsidRPr="004C2FAC" w:rsidRDefault="00F00A7F" w:rsidP="00F21484">
      <w:pPr>
        <w:rPr>
          <w:rFonts w:cs="Arial"/>
          <w:b/>
        </w:rPr>
      </w:pPr>
    </w:p>
    <w:p w:rsidR="00F21484" w:rsidRPr="004C2FAC" w:rsidRDefault="00F21484" w:rsidP="00F82E49">
      <w:pPr>
        <w:pStyle w:val="Lista2"/>
        <w:ind w:left="0" w:firstLine="0"/>
        <w:rPr>
          <w:rFonts w:cs="Arial"/>
          <w:b/>
        </w:rPr>
      </w:pPr>
      <w:r w:rsidRPr="004C2FAC">
        <w:rPr>
          <w:rFonts w:cs="Arial"/>
          <w:b/>
        </w:rPr>
        <w:t>1.</w:t>
      </w:r>
      <w:r w:rsidR="009D0836" w:rsidRPr="004C2FAC">
        <w:rPr>
          <w:rFonts w:cs="Arial"/>
          <w:b/>
        </w:rPr>
        <w:t xml:space="preserve"> </w:t>
      </w:r>
      <w:r w:rsidRPr="004C2FAC">
        <w:rPr>
          <w:rFonts w:cs="Arial"/>
          <w:b/>
        </w:rPr>
        <w:t>La demanda</w:t>
      </w:r>
    </w:p>
    <w:p w:rsidR="00F21484" w:rsidRPr="004C2FAC" w:rsidRDefault="00F21484" w:rsidP="00F21484">
      <w:pPr>
        <w:widowControl w:val="0"/>
        <w:autoSpaceDE w:val="0"/>
        <w:autoSpaceDN w:val="0"/>
        <w:adjustRightInd w:val="0"/>
        <w:rPr>
          <w:rFonts w:cs="Arial"/>
        </w:rPr>
      </w:pPr>
    </w:p>
    <w:p w:rsidR="003076F9" w:rsidRPr="004C2FAC" w:rsidRDefault="00F21484" w:rsidP="002001B2">
      <w:pPr>
        <w:pStyle w:val="Continuarlista2"/>
        <w:ind w:left="0"/>
        <w:rPr>
          <w:rFonts w:cs="Arial"/>
        </w:rPr>
      </w:pPr>
      <w:r w:rsidRPr="004C2FAC">
        <w:rPr>
          <w:rFonts w:cs="Arial"/>
        </w:rPr>
        <w:lastRenderedPageBreak/>
        <w:t>M</w:t>
      </w:r>
      <w:r w:rsidR="00EA0EB1" w:rsidRPr="004C2FAC">
        <w:rPr>
          <w:rFonts w:cs="Arial"/>
        </w:rPr>
        <w:t>ediante demanda presentada</w:t>
      </w:r>
      <w:r w:rsidR="00AA67A0" w:rsidRPr="004C2FAC">
        <w:rPr>
          <w:rFonts w:cs="Arial"/>
        </w:rPr>
        <w:t xml:space="preserve"> </w:t>
      </w:r>
      <w:r w:rsidR="00FD5088" w:rsidRPr="004C2FAC">
        <w:rPr>
          <w:rFonts w:cs="Arial"/>
        </w:rPr>
        <w:t xml:space="preserve">el </w:t>
      </w:r>
      <w:r w:rsidR="003168C1" w:rsidRPr="004C2FAC">
        <w:rPr>
          <w:rFonts w:cs="Arial"/>
        </w:rPr>
        <w:t xml:space="preserve">10 </w:t>
      </w:r>
      <w:r w:rsidR="00FD5088" w:rsidRPr="004C2FAC">
        <w:rPr>
          <w:rFonts w:cs="Arial"/>
        </w:rPr>
        <w:t xml:space="preserve">de </w:t>
      </w:r>
      <w:r w:rsidR="003168C1" w:rsidRPr="004C2FAC">
        <w:rPr>
          <w:rFonts w:cs="Arial"/>
        </w:rPr>
        <w:t>diciembre de 2004</w:t>
      </w:r>
      <w:r w:rsidR="00A91511" w:rsidRPr="004C2FAC">
        <w:rPr>
          <w:rFonts w:cs="Arial"/>
        </w:rPr>
        <w:t>,</w:t>
      </w:r>
      <w:r w:rsidR="003168C1" w:rsidRPr="004C2FAC">
        <w:rPr>
          <w:rFonts w:cs="Arial"/>
        </w:rPr>
        <w:t xml:space="preserve"> el Ministerio de Agricultura y Desarrollo Rural</w:t>
      </w:r>
      <w:r w:rsidR="00B27AFF" w:rsidRPr="004C2FAC">
        <w:rPr>
          <w:rFonts w:cs="Arial"/>
        </w:rPr>
        <w:t xml:space="preserve">, </w:t>
      </w:r>
      <w:r w:rsidR="00D85B83" w:rsidRPr="004C2FAC">
        <w:rPr>
          <w:rFonts w:cs="Arial"/>
        </w:rPr>
        <w:t>que dijo obrar en el término del artículo 55 de la L</w:t>
      </w:r>
      <w:r w:rsidR="00A91511" w:rsidRPr="004C2FAC">
        <w:rPr>
          <w:rFonts w:cs="Arial"/>
        </w:rPr>
        <w:t>e</w:t>
      </w:r>
      <w:r w:rsidR="00D85B83" w:rsidRPr="004C2FAC">
        <w:rPr>
          <w:rFonts w:cs="Arial"/>
        </w:rPr>
        <w:t xml:space="preserve">y 80 de 1993 y en ejercicio </w:t>
      </w:r>
      <w:r w:rsidR="00FD5088" w:rsidRPr="004C2FAC">
        <w:rPr>
          <w:rFonts w:cs="Arial"/>
        </w:rPr>
        <w:t xml:space="preserve">de la acción </w:t>
      </w:r>
      <w:r w:rsidR="003168C1" w:rsidRPr="004C2FAC">
        <w:rPr>
          <w:rFonts w:cs="Arial"/>
        </w:rPr>
        <w:t xml:space="preserve">contractual prevista en el </w:t>
      </w:r>
      <w:r w:rsidR="007A0264" w:rsidRPr="004C2FAC">
        <w:rPr>
          <w:rFonts w:cs="Arial"/>
        </w:rPr>
        <w:t xml:space="preserve">artículo 87 del Código Contencioso Administrativo, </w:t>
      </w:r>
      <w:r w:rsidRPr="004C2FAC">
        <w:rPr>
          <w:rFonts w:cs="Arial"/>
        </w:rPr>
        <w:t>solicit</w:t>
      </w:r>
      <w:r w:rsidR="00AC64D6" w:rsidRPr="004C2FAC">
        <w:rPr>
          <w:rFonts w:cs="Arial"/>
        </w:rPr>
        <w:t>ó</w:t>
      </w:r>
      <w:r w:rsidRPr="004C2FAC">
        <w:rPr>
          <w:rFonts w:cs="Arial"/>
        </w:rPr>
        <w:t xml:space="preserve"> las siguientes declaraciones y condenas</w:t>
      </w:r>
      <w:r w:rsidR="00F5352D" w:rsidRPr="004C2FAC">
        <w:rPr>
          <w:rFonts w:cs="Arial"/>
        </w:rPr>
        <w:t xml:space="preserve"> contra</w:t>
      </w:r>
      <w:r w:rsidR="004B723D" w:rsidRPr="004C2FAC">
        <w:rPr>
          <w:rFonts w:cs="Arial"/>
        </w:rPr>
        <w:t xml:space="preserve"> </w:t>
      </w:r>
      <w:r w:rsidR="003168C1" w:rsidRPr="004C2FAC">
        <w:rPr>
          <w:rFonts w:cs="Arial"/>
        </w:rPr>
        <w:t xml:space="preserve">la </w:t>
      </w:r>
      <w:r w:rsidR="0008600E" w:rsidRPr="004C2FAC">
        <w:rPr>
          <w:rFonts w:cs="Arial"/>
        </w:rPr>
        <w:t xml:space="preserve">sociedad denominada Compañía Colombiana de Cereales </w:t>
      </w:r>
      <w:r w:rsidR="007143B3" w:rsidRPr="004C2FAC">
        <w:rPr>
          <w:rFonts w:cs="Arial"/>
        </w:rPr>
        <w:t>COLCEREALES S.A.</w:t>
      </w:r>
      <w:r w:rsidR="007143B3" w:rsidRPr="004C2FAC">
        <w:rPr>
          <w:rStyle w:val="Refdenotaalpie"/>
          <w:rFonts w:cs="Arial"/>
        </w:rPr>
        <w:footnoteReference w:id="1"/>
      </w:r>
      <w:r w:rsidR="007143B3" w:rsidRPr="004C2FAC">
        <w:rPr>
          <w:rFonts w:cs="Arial"/>
        </w:rPr>
        <w:t xml:space="preserve"> y </w:t>
      </w:r>
      <w:r w:rsidR="00AF47F2" w:rsidRPr="004C2FAC">
        <w:rPr>
          <w:rFonts w:cs="Arial"/>
        </w:rPr>
        <w:t xml:space="preserve">contra </w:t>
      </w:r>
      <w:r w:rsidR="0008600E" w:rsidRPr="004C2FAC">
        <w:rPr>
          <w:rFonts w:cs="Arial"/>
        </w:rPr>
        <w:t xml:space="preserve">Latinoamericana de Seguros </w:t>
      </w:r>
      <w:r w:rsidR="002206F7" w:rsidRPr="004C2FAC">
        <w:rPr>
          <w:rFonts w:cs="Arial"/>
        </w:rPr>
        <w:t>S.A. (</w:t>
      </w:r>
      <w:r w:rsidR="00F472B3" w:rsidRPr="004C2FAC">
        <w:rPr>
          <w:rFonts w:cs="Arial"/>
        </w:rPr>
        <w:t xml:space="preserve">hoy </w:t>
      </w:r>
      <w:r w:rsidR="0008600E" w:rsidRPr="004C2FAC">
        <w:rPr>
          <w:rFonts w:cs="Arial"/>
        </w:rPr>
        <w:t>Liberty Seguros</w:t>
      </w:r>
      <w:r w:rsidR="00F472B3" w:rsidRPr="004C2FAC">
        <w:rPr>
          <w:rFonts w:cs="Arial"/>
        </w:rPr>
        <w:t xml:space="preserve"> S.A.</w:t>
      </w:r>
      <w:r w:rsidR="00EB7479" w:rsidRPr="004C2FAC">
        <w:rPr>
          <w:rStyle w:val="Refdenotaalpie"/>
          <w:rFonts w:cs="Arial"/>
        </w:rPr>
        <w:footnoteReference w:id="2"/>
      </w:r>
      <w:r w:rsidR="00F472B3" w:rsidRPr="004C2FAC">
        <w:rPr>
          <w:rFonts w:cs="Arial"/>
        </w:rPr>
        <w:t>)</w:t>
      </w:r>
      <w:r w:rsidR="008D4E6C" w:rsidRPr="004C2FAC">
        <w:rPr>
          <w:rFonts w:cs="Arial"/>
        </w:rPr>
        <w:t xml:space="preserve">: </w:t>
      </w:r>
    </w:p>
    <w:p w:rsidR="005F786C" w:rsidRPr="004C2FAC" w:rsidRDefault="005F786C" w:rsidP="002001B2">
      <w:pPr>
        <w:pStyle w:val="Continuarlista2"/>
        <w:ind w:left="0"/>
        <w:rPr>
          <w:rFonts w:cs="Arial"/>
        </w:rPr>
      </w:pPr>
    </w:p>
    <w:p w:rsidR="007F54E8" w:rsidRPr="004C2FAC" w:rsidRDefault="001B5D42" w:rsidP="00B55DFF">
      <w:pPr>
        <w:pStyle w:val="Continuarlista2"/>
        <w:spacing w:line="276" w:lineRule="auto"/>
        <w:ind w:left="708" w:right="567" w:hanging="141"/>
        <w:rPr>
          <w:rFonts w:cs="Arial"/>
          <w:b/>
          <w:i/>
          <w:sz w:val="22"/>
          <w:szCs w:val="22"/>
        </w:rPr>
      </w:pPr>
      <w:r w:rsidRPr="004C2FAC">
        <w:rPr>
          <w:rFonts w:cs="Arial"/>
          <w:i/>
          <w:sz w:val="22"/>
          <w:szCs w:val="22"/>
        </w:rPr>
        <w:t>“</w:t>
      </w:r>
      <w:r w:rsidR="007F54E8" w:rsidRPr="004C2FAC">
        <w:rPr>
          <w:rFonts w:cs="Arial"/>
          <w:b/>
          <w:i/>
          <w:sz w:val="22"/>
          <w:szCs w:val="22"/>
        </w:rPr>
        <w:t>CONTRATO DE</w:t>
      </w:r>
      <w:r w:rsidR="007F54E8" w:rsidRPr="004C2FAC">
        <w:rPr>
          <w:rFonts w:cs="Arial"/>
          <w:i/>
          <w:sz w:val="22"/>
          <w:szCs w:val="22"/>
        </w:rPr>
        <w:t xml:space="preserve"> </w:t>
      </w:r>
      <w:r w:rsidR="007F54E8" w:rsidRPr="004C2FAC">
        <w:rPr>
          <w:rFonts w:cs="Arial"/>
          <w:b/>
          <w:i/>
          <w:sz w:val="22"/>
          <w:szCs w:val="22"/>
        </w:rPr>
        <w:t>TRUEQUE DIRECTO No. 8861 de SEPTIEMBRE DE 1995</w:t>
      </w:r>
    </w:p>
    <w:p w:rsidR="007F54E8" w:rsidRPr="004C2FAC" w:rsidRDefault="007F54E8" w:rsidP="008A449B">
      <w:pPr>
        <w:pStyle w:val="Continuarlista2"/>
        <w:spacing w:line="276" w:lineRule="auto"/>
        <w:ind w:left="567" w:right="567"/>
        <w:rPr>
          <w:rFonts w:cs="Arial"/>
          <w:i/>
          <w:sz w:val="22"/>
          <w:szCs w:val="22"/>
        </w:rPr>
      </w:pPr>
    </w:p>
    <w:p w:rsidR="00551832" w:rsidRPr="004C2FAC" w:rsidRDefault="00D057C5" w:rsidP="008A449B">
      <w:pPr>
        <w:pStyle w:val="Continuarlista2"/>
        <w:spacing w:line="276" w:lineRule="auto"/>
        <w:ind w:left="567" w:right="567"/>
        <w:rPr>
          <w:rFonts w:cs="Arial"/>
          <w:i/>
          <w:sz w:val="22"/>
          <w:szCs w:val="22"/>
        </w:rPr>
      </w:pPr>
      <w:r w:rsidRPr="004C2FAC">
        <w:rPr>
          <w:rFonts w:cs="Arial"/>
          <w:i/>
          <w:sz w:val="22"/>
          <w:szCs w:val="22"/>
        </w:rPr>
        <w:t>“</w:t>
      </w:r>
      <w:r w:rsidR="001B5D42" w:rsidRPr="004C2FAC">
        <w:rPr>
          <w:rFonts w:cs="Arial"/>
          <w:b/>
          <w:i/>
          <w:sz w:val="22"/>
          <w:szCs w:val="22"/>
        </w:rPr>
        <w:t>PRIMERA</w:t>
      </w:r>
      <w:r w:rsidR="00551832" w:rsidRPr="004C2FAC">
        <w:rPr>
          <w:rFonts w:cs="Arial"/>
          <w:i/>
          <w:sz w:val="22"/>
          <w:szCs w:val="22"/>
        </w:rPr>
        <w:t>.-</w:t>
      </w:r>
      <w:r w:rsidR="001B5D42" w:rsidRPr="004C2FAC">
        <w:rPr>
          <w:rFonts w:cs="Arial"/>
          <w:i/>
          <w:sz w:val="22"/>
          <w:szCs w:val="22"/>
        </w:rPr>
        <w:t xml:space="preserve"> Que se declare que el co</w:t>
      </w:r>
      <w:r w:rsidR="000B0E70" w:rsidRPr="004C2FAC">
        <w:rPr>
          <w:rFonts w:cs="Arial"/>
          <w:i/>
          <w:sz w:val="22"/>
          <w:szCs w:val="22"/>
        </w:rPr>
        <w:t>n</w:t>
      </w:r>
      <w:r w:rsidR="001B5D42" w:rsidRPr="004C2FAC">
        <w:rPr>
          <w:rFonts w:cs="Arial"/>
          <w:i/>
          <w:sz w:val="22"/>
          <w:szCs w:val="22"/>
        </w:rPr>
        <w:t>trato de tr</w:t>
      </w:r>
      <w:r w:rsidR="000B0E70" w:rsidRPr="004C2FAC">
        <w:rPr>
          <w:rFonts w:cs="Arial"/>
          <w:i/>
          <w:sz w:val="22"/>
          <w:szCs w:val="22"/>
        </w:rPr>
        <w:t>u</w:t>
      </w:r>
      <w:r w:rsidR="001B5D42" w:rsidRPr="004C2FAC">
        <w:rPr>
          <w:rFonts w:cs="Arial"/>
          <w:i/>
          <w:sz w:val="22"/>
          <w:szCs w:val="22"/>
        </w:rPr>
        <w:t>eque directo No. 8861 de septiembre de 1995 celebrado entre el IDEMA y COLCEREALES S.A.  (quien actúo a través de la firma comisionista de Bolsa TORRRES CORT</w:t>
      </w:r>
      <w:r w:rsidR="000B0E70" w:rsidRPr="004C2FAC">
        <w:rPr>
          <w:rFonts w:cs="Arial"/>
          <w:i/>
          <w:sz w:val="22"/>
          <w:szCs w:val="22"/>
        </w:rPr>
        <w:t>É</w:t>
      </w:r>
      <w:r w:rsidR="001B5D42" w:rsidRPr="004C2FAC">
        <w:rPr>
          <w:rFonts w:cs="Arial"/>
          <w:i/>
          <w:sz w:val="22"/>
          <w:szCs w:val="22"/>
        </w:rPr>
        <w:t>S Y CIA); y que consistió en la entrega de arroz blanco grados 2,</w:t>
      </w:r>
      <w:r w:rsidR="000B0E70" w:rsidRPr="004C2FAC">
        <w:rPr>
          <w:rFonts w:cs="Arial"/>
          <w:i/>
          <w:sz w:val="22"/>
          <w:szCs w:val="22"/>
        </w:rPr>
        <w:t xml:space="preserve"> </w:t>
      </w:r>
      <w:r w:rsidR="001B5D42" w:rsidRPr="004C2FAC">
        <w:rPr>
          <w:rFonts w:cs="Arial"/>
          <w:i/>
          <w:sz w:val="22"/>
          <w:szCs w:val="22"/>
        </w:rPr>
        <w:t>3,</w:t>
      </w:r>
      <w:r w:rsidR="000B0E70" w:rsidRPr="004C2FAC">
        <w:rPr>
          <w:rFonts w:cs="Arial"/>
          <w:i/>
          <w:sz w:val="22"/>
          <w:szCs w:val="22"/>
        </w:rPr>
        <w:t xml:space="preserve"> </w:t>
      </w:r>
      <w:r w:rsidR="001B5D42" w:rsidRPr="004C2FAC">
        <w:rPr>
          <w:rFonts w:cs="Arial"/>
          <w:i/>
          <w:sz w:val="22"/>
          <w:szCs w:val="22"/>
        </w:rPr>
        <w:t xml:space="preserve">4, por arroz blanco grado </w:t>
      </w:r>
      <w:r w:rsidR="00551832" w:rsidRPr="004C2FAC">
        <w:rPr>
          <w:rFonts w:cs="Arial"/>
          <w:i/>
          <w:sz w:val="22"/>
          <w:szCs w:val="22"/>
        </w:rPr>
        <w:t>1 en cantidad de 3’400.000 kilos de arroz blanco grado 1 al IDEMA dentro del plazo fijado; fue incumplido por la demandada COMPAÑÍA COLOMBIANA DE CEREALES S.A.</w:t>
      </w:r>
    </w:p>
    <w:p w:rsidR="000B0E70" w:rsidRPr="004C2FAC" w:rsidRDefault="000B0E70" w:rsidP="008A449B">
      <w:pPr>
        <w:pStyle w:val="Continuarlista2"/>
        <w:spacing w:line="276" w:lineRule="auto"/>
        <w:ind w:left="567" w:right="567"/>
        <w:rPr>
          <w:rFonts w:cs="Arial"/>
          <w:i/>
          <w:sz w:val="22"/>
          <w:szCs w:val="22"/>
        </w:rPr>
      </w:pPr>
    </w:p>
    <w:p w:rsidR="00D63B94" w:rsidRPr="004C2FAC" w:rsidRDefault="00551832" w:rsidP="008A449B">
      <w:pPr>
        <w:pStyle w:val="Continuarlista2"/>
        <w:spacing w:line="276" w:lineRule="auto"/>
        <w:ind w:left="567" w:right="567"/>
        <w:rPr>
          <w:rFonts w:cs="Arial"/>
          <w:i/>
          <w:sz w:val="22"/>
          <w:szCs w:val="22"/>
        </w:rPr>
      </w:pPr>
      <w:r w:rsidRPr="004C2FAC">
        <w:rPr>
          <w:rFonts w:cs="Arial"/>
          <w:i/>
          <w:sz w:val="22"/>
          <w:szCs w:val="22"/>
        </w:rPr>
        <w:t>“</w:t>
      </w:r>
      <w:r w:rsidRPr="004C2FAC">
        <w:rPr>
          <w:rFonts w:cs="Arial"/>
          <w:b/>
          <w:i/>
          <w:sz w:val="22"/>
          <w:szCs w:val="22"/>
        </w:rPr>
        <w:t>SEGUNDA</w:t>
      </w:r>
      <w:r w:rsidRPr="004C2FAC">
        <w:rPr>
          <w:rFonts w:cs="Arial"/>
          <w:i/>
          <w:sz w:val="22"/>
          <w:szCs w:val="22"/>
        </w:rPr>
        <w:t>.- Que como consecuencia de la declaración que antecede</w:t>
      </w:r>
      <w:r w:rsidR="000B0E70" w:rsidRPr="004C2FAC">
        <w:rPr>
          <w:rFonts w:cs="Arial"/>
          <w:i/>
          <w:sz w:val="22"/>
          <w:szCs w:val="22"/>
        </w:rPr>
        <w:t xml:space="preserve">, se condene a la COMPAÑÍA COLOMBIANA DE CEREALES COLCEREALES S.A. a pagar al INSTITUTO DE MERCADEO AGROPECUARIO </w:t>
      </w:r>
      <w:r w:rsidR="00D85B83" w:rsidRPr="004C2FAC">
        <w:rPr>
          <w:rFonts w:cs="Arial"/>
          <w:i/>
          <w:sz w:val="22"/>
          <w:szCs w:val="22"/>
        </w:rPr>
        <w:t>‘</w:t>
      </w:r>
      <w:r w:rsidR="000B0E70" w:rsidRPr="004C2FAC">
        <w:rPr>
          <w:rFonts w:cs="Arial"/>
          <w:i/>
          <w:sz w:val="22"/>
          <w:szCs w:val="22"/>
        </w:rPr>
        <w:t>IDEMA</w:t>
      </w:r>
      <w:r w:rsidR="00D85B83" w:rsidRPr="004C2FAC">
        <w:rPr>
          <w:rFonts w:cs="Arial"/>
          <w:i/>
          <w:sz w:val="22"/>
          <w:szCs w:val="22"/>
        </w:rPr>
        <w:t>’</w:t>
      </w:r>
      <w:r w:rsidR="000B0E70" w:rsidRPr="004C2FAC">
        <w:rPr>
          <w:rFonts w:cs="Arial"/>
          <w:i/>
          <w:sz w:val="22"/>
          <w:szCs w:val="22"/>
        </w:rPr>
        <w:t xml:space="preserve"> </w:t>
      </w:r>
      <w:r w:rsidR="00137151" w:rsidRPr="004C2FAC">
        <w:rPr>
          <w:rFonts w:cs="Arial"/>
          <w:i/>
          <w:sz w:val="22"/>
          <w:szCs w:val="22"/>
        </w:rPr>
        <w:t>hoy la NACIÓN MINISTERIO DE AGRICULTURA Y DESARROLLO RURAL, a título de indemnización la suma que resulte de multiplicar el valor de un (1) kilo de arroz blanco grado (1) para la época de la negociación, por 3’400.000 kilos</w:t>
      </w:r>
      <w:r w:rsidR="000E17BE" w:rsidRPr="004C2FAC">
        <w:rPr>
          <w:rFonts w:cs="Arial"/>
          <w:i/>
          <w:sz w:val="22"/>
          <w:szCs w:val="22"/>
        </w:rPr>
        <w:t xml:space="preserve">. Valor que debe ser objeto, de una parte, de actualización con base en el índice de precios </w:t>
      </w:r>
      <w:r w:rsidR="00F26A41" w:rsidRPr="004C2FAC">
        <w:rPr>
          <w:rFonts w:cs="Arial"/>
          <w:i/>
          <w:sz w:val="22"/>
          <w:szCs w:val="22"/>
        </w:rPr>
        <w:t xml:space="preserve">al consumidor (IPC) y de otra parte, sobre la misma se </w:t>
      </w:r>
      <w:r w:rsidR="008A7356" w:rsidRPr="004C2FAC">
        <w:rPr>
          <w:rFonts w:cs="Arial"/>
          <w:i/>
          <w:sz w:val="22"/>
          <w:szCs w:val="22"/>
        </w:rPr>
        <w:t>tienen que reconocer los intereses legales previstos en el inciso 2º del numeral 8º del artículo 4º de la Ley 80 de 1993 y el artículo 1º del Decreto 679 de 1994</w:t>
      </w:r>
      <w:r w:rsidR="009947E1" w:rsidRPr="004C2FAC">
        <w:rPr>
          <w:rFonts w:cs="Arial"/>
          <w:i/>
          <w:sz w:val="22"/>
          <w:szCs w:val="22"/>
        </w:rPr>
        <w:t>.</w:t>
      </w:r>
      <w:r w:rsidR="008A7356" w:rsidRPr="004C2FAC">
        <w:rPr>
          <w:rFonts w:cs="Arial"/>
          <w:i/>
          <w:sz w:val="22"/>
          <w:szCs w:val="22"/>
        </w:rPr>
        <w:t xml:space="preserve"> La determinación de la actualización se hará por período anual con base en el IPC acumulado por año o fracción. Los intereses, igualmente, se liquidarán por años co</w:t>
      </w:r>
      <w:r w:rsidR="00D63B94" w:rsidRPr="004C2FAC">
        <w:rPr>
          <w:rFonts w:cs="Arial"/>
          <w:i/>
          <w:sz w:val="22"/>
          <w:szCs w:val="22"/>
        </w:rPr>
        <w:t>mpletos o fracciones.</w:t>
      </w:r>
    </w:p>
    <w:p w:rsidR="00D63B94" w:rsidRPr="004C2FAC" w:rsidRDefault="00D63B94" w:rsidP="008A449B">
      <w:pPr>
        <w:pStyle w:val="Continuarlista2"/>
        <w:spacing w:line="276" w:lineRule="auto"/>
        <w:ind w:left="567" w:right="567"/>
        <w:rPr>
          <w:rFonts w:cs="Arial"/>
          <w:i/>
          <w:sz w:val="22"/>
          <w:szCs w:val="22"/>
        </w:rPr>
      </w:pPr>
    </w:p>
    <w:p w:rsidR="00171F58" w:rsidRPr="004C2FAC" w:rsidRDefault="00D057C5" w:rsidP="008A449B">
      <w:pPr>
        <w:pStyle w:val="Continuarlista2"/>
        <w:spacing w:line="276" w:lineRule="auto"/>
        <w:ind w:left="567" w:right="567"/>
        <w:rPr>
          <w:rFonts w:cs="Arial"/>
          <w:i/>
          <w:sz w:val="22"/>
          <w:szCs w:val="22"/>
        </w:rPr>
      </w:pPr>
      <w:r w:rsidRPr="004C2FAC">
        <w:rPr>
          <w:rFonts w:cs="Arial"/>
          <w:i/>
          <w:sz w:val="22"/>
          <w:szCs w:val="22"/>
        </w:rPr>
        <w:t>“</w:t>
      </w:r>
      <w:r w:rsidR="00D63B94" w:rsidRPr="004C2FAC">
        <w:rPr>
          <w:rFonts w:cs="Arial"/>
          <w:b/>
          <w:i/>
          <w:sz w:val="22"/>
          <w:szCs w:val="22"/>
        </w:rPr>
        <w:t>TERCERA</w:t>
      </w:r>
      <w:r w:rsidR="00171F58" w:rsidRPr="004C2FAC">
        <w:rPr>
          <w:rFonts w:cs="Arial"/>
          <w:i/>
          <w:sz w:val="22"/>
          <w:szCs w:val="22"/>
        </w:rPr>
        <w:t>.</w:t>
      </w:r>
      <w:r w:rsidR="00D63B94" w:rsidRPr="004C2FAC">
        <w:rPr>
          <w:rFonts w:cs="Arial"/>
          <w:i/>
          <w:sz w:val="22"/>
          <w:szCs w:val="22"/>
        </w:rPr>
        <w:t>- Que como consecuencia de la anterior declaración, que antecede, se declare la ocurrencia del riesgo cubierto por la póliza de cumplimiento número 231844 de LATINOAMERICANA DE SEGUROS S.A. a favor del INSTITUTO DE MERCADEO AGROPECUARIO</w:t>
      </w:r>
      <w:r w:rsidR="00171F58" w:rsidRPr="004C2FAC">
        <w:rPr>
          <w:rFonts w:cs="Arial"/>
          <w:i/>
          <w:sz w:val="22"/>
          <w:szCs w:val="22"/>
        </w:rPr>
        <w:t xml:space="preserve"> </w:t>
      </w:r>
      <w:r w:rsidR="00291BDA" w:rsidRPr="004C2FAC">
        <w:rPr>
          <w:rFonts w:cs="Arial"/>
          <w:i/>
          <w:sz w:val="22"/>
          <w:szCs w:val="22"/>
        </w:rPr>
        <w:t>‘</w:t>
      </w:r>
      <w:r w:rsidR="00171F58" w:rsidRPr="004C2FAC">
        <w:rPr>
          <w:rFonts w:cs="Arial"/>
          <w:i/>
          <w:sz w:val="22"/>
          <w:szCs w:val="22"/>
        </w:rPr>
        <w:t>IDEMA</w:t>
      </w:r>
      <w:r w:rsidR="00291BDA" w:rsidRPr="004C2FAC">
        <w:rPr>
          <w:rFonts w:cs="Arial"/>
          <w:i/>
          <w:sz w:val="22"/>
          <w:szCs w:val="22"/>
        </w:rPr>
        <w:t>’</w:t>
      </w:r>
      <w:r w:rsidR="00171F58" w:rsidRPr="004C2FAC">
        <w:rPr>
          <w:rFonts w:cs="Arial"/>
          <w:i/>
          <w:sz w:val="22"/>
          <w:szCs w:val="22"/>
        </w:rPr>
        <w:t xml:space="preserve"> hoy la NACIÓN –</w:t>
      </w:r>
      <w:r w:rsidR="00171F58" w:rsidRPr="004C2FAC">
        <w:rPr>
          <w:rFonts w:cs="Arial"/>
          <w:i/>
          <w:sz w:val="22"/>
          <w:szCs w:val="22"/>
        </w:rPr>
        <w:lastRenderedPageBreak/>
        <w:t>MINISTERIO DE AGRICULTURA Y DESARROLLO RURAL. La citada póliza fue expedida el 2 de octubre de 1995.</w:t>
      </w:r>
    </w:p>
    <w:p w:rsidR="00171F58" w:rsidRPr="004C2FAC" w:rsidRDefault="00171F58" w:rsidP="008A449B">
      <w:pPr>
        <w:pStyle w:val="Continuarlista2"/>
        <w:spacing w:line="276" w:lineRule="auto"/>
        <w:ind w:left="567" w:right="567"/>
        <w:rPr>
          <w:rFonts w:cs="Arial"/>
          <w:i/>
          <w:sz w:val="22"/>
          <w:szCs w:val="22"/>
        </w:rPr>
      </w:pPr>
    </w:p>
    <w:p w:rsidR="007F54E8" w:rsidRPr="004C2FAC" w:rsidRDefault="00D057C5" w:rsidP="008A449B">
      <w:pPr>
        <w:pStyle w:val="Continuarlista2"/>
        <w:spacing w:line="276" w:lineRule="auto"/>
        <w:ind w:left="567" w:right="567"/>
        <w:rPr>
          <w:rFonts w:cs="Arial"/>
          <w:i/>
          <w:sz w:val="22"/>
          <w:szCs w:val="22"/>
        </w:rPr>
      </w:pPr>
      <w:r w:rsidRPr="004C2FAC">
        <w:rPr>
          <w:rFonts w:cs="Arial"/>
          <w:i/>
          <w:sz w:val="22"/>
          <w:szCs w:val="22"/>
        </w:rPr>
        <w:t>“</w:t>
      </w:r>
      <w:r w:rsidR="00171F58" w:rsidRPr="004C2FAC">
        <w:rPr>
          <w:rFonts w:cs="Arial"/>
          <w:b/>
          <w:i/>
          <w:sz w:val="22"/>
          <w:szCs w:val="22"/>
        </w:rPr>
        <w:t>CUARTA</w:t>
      </w:r>
      <w:r w:rsidR="00171F58" w:rsidRPr="004C2FAC">
        <w:rPr>
          <w:rFonts w:cs="Arial"/>
          <w:i/>
          <w:sz w:val="22"/>
          <w:szCs w:val="22"/>
        </w:rPr>
        <w:t>.- Que como consecuencia de la declaración anterior, se declare que LATINOAMERICANA DE SEGUROS S</w:t>
      </w:r>
      <w:r w:rsidR="00291BDA" w:rsidRPr="004C2FAC">
        <w:rPr>
          <w:rFonts w:cs="Arial"/>
          <w:i/>
          <w:sz w:val="22"/>
          <w:szCs w:val="22"/>
        </w:rPr>
        <w:t>.</w:t>
      </w:r>
      <w:r w:rsidR="00171F58" w:rsidRPr="004C2FAC">
        <w:rPr>
          <w:rFonts w:cs="Arial"/>
          <w:i/>
          <w:sz w:val="22"/>
          <w:szCs w:val="22"/>
        </w:rPr>
        <w:t>A</w:t>
      </w:r>
      <w:r w:rsidR="00291BDA" w:rsidRPr="004C2FAC">
        <w:rPr>
          <w:rFonts w:cs="Arial"/>
          <w:i/>
          <w:sz w:val="22"/>
          <w:szCs w:val="22"/>
        </w:rPr>
        <w:t>.</w:t>
      </w:r>
      <w:r w:rsidR="00171F58" w:rsidRPr="004C2FAC">
        <w:rPr>
          <w:rFonts w:cs="Arial"/>
          <w:i/>
          <w:sz w:val="22"/>
          <w:szCs w:val="22"/>
        </w:rPr>
        <w:t xml:space="preserve"> está obligada pagar al INSTITUTO DE MERCADEO AGROPECUARIO </w:t>
      </w:r>
      <w:r w:rsidR="00291BDA" w:rsidRPr="004C2FAC">
        <w:rPr>
          <w:rFonts w:cs="Arial"/>
          <w:i/>
          <w:sz w:val="22"/>
          <w:szCs w:val="22"/>
        </w:rPr>
        <w:t>‘</w:t>
      </w:r>
      <w:r w:rsidR="00171F58" w:rsidRPr="004C2FAC">
        <w:rPr>
          <w:rFonts w:cs="Arial"/>
          <w:i/>
          <w:sz w:val="22"/>
          <w:szCs w:val="22"/>
        </w:rPr>
        <w:t>IDEMA</w:t>
      </w:r>
      <w:r w:rsidR="00291BDA" w:rsidRPr="004C2FAC">
        <w:rPr>
          <w:rFonts w:cs="Arial"/>
          <w:i/>
          <w:sz w:val="22"/>
          <w:szCs w:val="22"/>
        </w:rPr>
        <w:t>’</w:t>
      </w:r>
      <w:r w:rsidR="00171F58" w:rsidRPr="004C2FAC">
        <w:rPr>
          <w:rFonts w:cs="Arial"/>
          <w:i/>
          <w:sz w:val="22"/>
          <w:szCs w:val="22"/>
        </w:rPr>
        <w:t xml:space="preserve"> hoy la NACIÓN </w:t>
      </w:r>
      <w:r w:rsidR="007F54E8" w:rsidRPr="004C2FAC">
        <w:rPr>
          <w:rFonts w:cs="Arial"/>
          <w:i/>
          <w:sz w:val="22"/>
          <w:szCs w:val="22"/>
        </w:rPr>
        <w:t>– MINISTERIO DE AGRICULTURA Y DESARROLLO RURAL la suma equivalente al monto del perjuicio patrimonial sufrido por esa entidad y hasta la concurrencia del valor asegurado en la póliza descrita en la tercera pretensión.</w:t>
      </w:r>
    </w:p>
    <w:p w:rsidR="007F54E8" w:rsidRPr="004C2FAC" w:rsidRDefault="007F54E8" w:rsidP="008A449B">
      <w:pPr>
        <w:pStyle w:val="Continuarlista2"/>
        <w:spacing w:line="276" w:lineRule="auto"/>
        <w:ind w:left="567" w:right="567"/>
        <w:rPr>
          <w:rFonts w:cs="Arial"/>
          <w:i/>
          <w:sz w:val="22"/>
          <w:szCs w:val="22"/>
        </w:rPr>
      </w:pPr>
    </w:p>
    <w:p w:rsidR="008A7356" w:rsidRPr="004C2FAC" w:rsidRDefault="00D057C5" w:rsidP="008A449B">
      <w:pPr>
        <w:pStyle w:val="Continuarlista2"/>
        <w:spacing w:line="276" w:lineRule="auto"/>
        <w:ind w:left="567" w:right="567"/>
        <w:rPr>
          <w:rFonts w:cs="Arial"/>
          <w:b/>
          <w:i/>
          <w:sz w:val="22"/>
          <w:szCs w:val="22"/>
        </w:rPr>
      </w:pPr>
      <w:r w:rsidRPr="004C2FAC">
        <w:rPr>
          <w:rFonts w:cs="Arial"/>
          <w:i/>
          <w:sz w:val="22"/>
          <w:szCs w:val="22"/>
        </w:rPr>
        <w:t>“</w:t>
      </w:r>
      <w:r w:rsidR="007F54E8" w:rsidRPr="004C2FAC">
        <w:rPr>
          <w:rFonts w:cs="Arial"/>
          <w:b/>
          <w:i/>
          <w:sz w:val="22"/>
          <w:szCs w:val="22"/>
        </w:rPr>
        <w:t>TRUEQUE No. DT 13074 y 13075</w:t>
      </w:r>
    </w:p>
    <w:p w:rsidR="007F54E8" w:rsidRPr="004C2FAC" w:rsidRDefault="007F54E8" w:rsidP="008A449B">
      <w:pPr>
        <w:pStyle w:val="Continuarlista2"/>
        <w:spacing w:line="276" w:lineRule="auto"/>
        <w:ind w:left="567" w:right="567"/>
        <w:rPr>
          <w:rFonts w:cs="Arial"/>
          <w:i/>
          <w:sz w:val="22"/>
          <w:szCs w:val="22"/>
        </w:rPr>
      </w:pPr>
    </w:p>
    <w:p w:rsidR="00244294" w:rsidRPr="004C2FAC" w:rsidRDefault="00D057C5" w:rsidP="008A449B">
      <w:pPr>
        <w:pStyle w:val="Continuarlista2"/>
        <w:spacing w:line="276" w:lineRule="auto"/>
        <w:ind w:left="567" w:right="567"/>
        <w:rPr>
          <w:rFonts w:cs="Arial"/>
          <w:i/>
          <w:sz w:val="22"/>
          <w:szCs w:val="22"/>
        </w:rPr>
      </w:pPr>
      <w:r w:rsidRPr="004C2FAC">
        <w:rPr>
          <w:rFonts w:cs="Arial"/>
          <w:i/>
          <w:sz w:val="22"/>
          <w:szCs w:val="22"/>
        </w:rPr>
        <w:t>“</w:t>
      </w:r>
      <w:r w:rsidR="00F01167" w:rsidRPr="004C2FAC">
        <w:rPr>
          <w:rFonts w:cs="Arial"/>
          <w:b/>
          <w:i/>
          <w:sz w:val="22"/>
          <w:szCs w:val="22"/>
        </w:rPr>
        <w:t>QUINTA</w:t>
      </w:r>
      <w:r w:rsidR="00F01167" w:rsidRPr="004C2FAC">
        <w:rPr>
          <w:rFonts w:cs="Arial"/>
          <w:i/>
          <w:sz w:val="22"/>
          <w:szCs w:val="22"/>
        </w:rPr>
        <w:t xml:space="preserve">.- Que se declare que el acuerdo celebrado en la rueda de negocios número 13 de </w:t>
      </w:r>
      <w:r w:rsidR="00355995" w:rsidRPr="004C2FAC">
        <w:rPr>
          <w:rFonts w:cs="Arial"/>
          <w:i/>
          <w:sz w:val="22"/>
          <w:szCs w:val="22"/>
        </w:rPr>
        <w:t>F</w:t>
      </w:r>
      <w:r w:rsidR="00F01167" w:rsidRPr="004C2FAC">
        <w:rPr>
          <w:rFonts w:cs="Arial"/>
          <w:i/>
          <w:sz w:val="22"/>
          <w:szCs w:val="22"/>
        </w:rPr>
        <w:t>ebrero 14 de 1995, realizada en la Bolsa A</w:t>
      </w:r>
      <w:r w:rsidR="00296BBA" w:rsidRPr="004C2FAC">
        <w:rPr>
          <w:rFonts w:cs="Arial"/>
          <w:i/>
          <w:sz w:val="22"/>
          <w:szCs w:val="22"/>
        </w:rPr>
        <w:t>g</w:t>
      </w:r>
      <w:r w:rsidR="00F01167" w:rsidRPr="004C2FAC">
        <w:rPr>
          <w:rFonts w:cs="Arial"/>
          <w:i/>
          <w:sz w:val="22"/>
          <w:szCs w:val="22"/>
        </w:rPr>
        <w:t>ropecuaria S.A. en el cual se efectuó la operación de trueque No. DT</w:t>
      </w:r>
      <w:r w:rsidR="00D1306D" w:rsidRPr="004C2FAC">
        <w:rPr>
          <w:rFonts w:cs="Arial"/>
          <w:i/>
          <w:sz w:val="22"/>
          <w:szCs w:val="22"/>
        </w:rPr>
        <w:t xml:space="preserve"> </w:t>
      </w:r>
      <w:r w:rsidR="00F01167" w:rsidRPr="004C2FAC">
        <w:rPr>
          <w:rFonts w:cs="Arial"/>
          <w:i/>
          <w:sz w:val="22"/>
          <w:szCs w:val="22"/>
        </w:rPr>
        <w:t xml:space="preserve">- 13074 y 13075, suscrito </w:t>
      </w:r>
      <w:r w:rsidR="00A0605C" w:rsidRPr="004C2FAC">
        <w:rPr>
          <w:rFonts w:cs="Arial"/>
          <w:i/>
          <w:sz w:val="22"/>
          <w:szCs w:val="22"/>
        </w:rPr>
        <w:t xml:space="preserve">entre el IDEMA y COLCEREALES S.A; y que consistió en la entrega de arroz paddy </w:t>
      </w:r>
      <w:r w:rsidR="00D1306D" w:rsidRPr="004C2FAC">
        <w:rPr>
          <w:rFonts w:cs="Arial"/>
          <w:i/>
          <w:sz w:val="22"/>
          <w:szCs w:val="22"/>
        </w:rPr>
        <w:t xml:space="preserve">por arroz </w:t>
      </w:r>
      <w:r w:rsidR="00A0605C" w:rsidRPr="004C2FAC">
        <w:rPr>
          <w:rFonts w:cs="Arial"/>
          <w:i/>
          <w:sz w:val="22"/>
          <w:szCs w:val="22"/>
        </w:rPr>
        <w:t>blanco grado 2 en cantidad de 493.000 kilos de arroz blanco al IDEMA dentro del plazo fijado, fue incumplido por la demandada COMPAÑÍA COLOMBIANA DE CEREALES COLCEREALES S.A.</w:t>
      </w:r>
    </w:p>
    <w:p w:rsidR="00244294" w:rsidRPr="004C2FAC" w:rsidRDefault="00244294" w:rsidP="008A449B">
      <w:pPr>
        <w:pStyle w:val="Continuarlista2"/>
        <w:spacing w:line="276" w:lineRule="auto"/>
        <w:ind w:left="567" w:right="567"/>
        <w:rPr>
          <w:rFonts w:cs="Arial"/>
          <w:i/>
          <w:sz w:val="22"/>
          <w:szCs w:val="22"/>
        </w:rPr>
      </w:pPr>
    </w:p>
    <w:p w:rsidR="009947E1" w:rsidRPr="004C2FAC" w:rsidRDefault="00244294" w:rsidP="008A449B">
      <w:pPr>
        <w:pStyle w:val="Continuarlista2"/>
        <w:spacing w:line="276" w:lineRule="auto"/>
        <w:ind w:left="567" w:right="567"/>
        <w:rPr>
          <w:rFonts w:cs="Arial"/>
          <w:i/>
          <w:sz w:val="22"/>
          <w:szCs w:val="22"/>
        </w:rPr>
      </w:pPr>
      <w:r w:rsidRPr="004C2FAC">
        <w:rPr>
          <w:rFonts w:cs="Arial"/>
          <w:i/>
          <w:sz w:val="22"/>
          <w:szCs w:val="22"/>
        </w:rPr>
        <w:t>“</w:t>
      </w:r>
      <w:r w:rsidRPr="004C2FAC">
        <w:rPr>
          <w:rFonts w:cs="Arial"/>
          <w:b/>
          <w:i/>
          <w:sz w:val="22"/>
          <w:szCs w:val="22"/>
        </w:rPr>
        <w:t>SEXTA</w:t>
      </w:r>
      <w:r w:rsidR="00322B12" w:rsidRPr="004C2FAC">
        <w:rPr>
          <w:rFonts w:cs="Arial"/>
          <w:i/>
          <w:sz w:val="22"/>
          <w:szCs w:val="22"/>
        </w:rPr>
        <w:t>.-</w:t>
      </w:r>
      <w:r w:rsidRPr="004C2FAC">
        <w:rPr>
          <w:rFonts w:cs="Arial"/>
          <w:i/>
          <w:sz w:val="22"/>
          <w:szCs w:val="22"/>
        </w:rPr>
        <w:t xml:space="preserve"> Que como consecuencia de la declaración que antecede, se condene a la COMPAÑÍA COLOMBIANA DE CEREALES COLCEREALES S.A. a parar al INSTITUTO DE MERCADEO AGROPECUARIO ‘IDEMA’ hoy la NACIÓN MINISTERIO DE AGRICULTURA Y DESARROLLO RURAL, a título de indemnización</w:t>
      </w:r>
      <w:r w:rsidR="003572C6" w:rsidRPr="004C2FAC">
        <w:rPr>
          <w:rFonts w:cs="Arial"/>
          <w:i/>
          <w:sz w:val="22"/>
          <w:szCs w:val="22"/>
        </w:rPr>
        <w:t xml:space="preserve"> la suma que resulte de multiplicar el valor de un (1) kilo de arroz blanco grado (1) para la época de la negociación, por 493.000 kilos. </w:t>
      </w:r>
      <w:r w:rsidR="009947E1" w:rsidRPr="004C2FAC">
        <w:rPr>
          <w:rFonts w:cs="Arial"/>
          <w:i/>
          <w:sz w:val="22"/>
          <w:szCs w:val="22"/>
        </w:rPr>
        <w:t>Valor que debe ser objeto, de una parte, de actualización con base en el índice de precios al consumidor (IPC) y de otra parte, sobre la misma se tienen que reconocer los intereses legales previstos en el inciso 2º del numeral 8º del artículo 4º de la Ley 80 de 1993 y el artículo 1º del Decreto 679 de 1994. La determinación de la actualización se hará por período anual con base en el IPC acumulado por año o fracción. Los intereses, igualmente, se liquidarán por años completos o fracciones.</w:t>
      </w:r>
    </w:p>
    <w:p w:rsidR="009947E1" w:rsidRPr="004C2FAC" w:rsidRDefault="009947E1" w:rsidP="008A449B">
      <w:pPr>
        <w:pStyle w:val="Continuarlista2"/>
        <w:spacing w:line="276" w:lineRule="auto"/>
        <w:ind w:left="567" w:right="567"/>
        <w:rPr>
          <w:rFonts w:cs="Arial"/>
          <w:i/>
          <w:sz w:val="22"/>
          <w:szCs w:val="22"/>
        </w:rPr>
      </w:pPr>
    </w:p>
    <w:p w:rsidR="00291BDA" w:rsidRPr="004C2FAC" w:rsidRDefault="00322B12" w:rsidP="008A449B">
      <w:pPr>
        <w:pStyle w:val="Continuarlista2"/>
        <w:spacing w:line="276" w:lineRule="auto"/>
        <w:ind w:left="567" w:right="567"/>
        <w:rPr>
          <w:rFonts w:cs="Arial"/>
          <w:i/>
          <w:sz w:val="22"/>
          <w:szCs w:val="22"/>
        </w:rPr>
      </w:pPr>
      <w:r w:rsidRPr="004C2FAC">
        <w:rPr>
          <w:rFonts w:cs="Arial"/>
          <w:i/>
          <w:sz w:val="22"/>
          <w:szCs w:val="22"/>
        </w:rPr>
        <w:t>“</w:t>
      </w:r>
      <w:r w:rsidR="009947E1" w:rsidRPr="004C2FAC">
        <w:rPr>
          <w:rFonts w:cs="Arial"/>
          <w:b/>
          <w:i/>
          <w:sz w:val="22"/>
          <w:szCs w:val="22"/>
        </w:rPr>
        <w:t>SÉPTIMA</w:t>
      </w:r>
      <w:r w:rsidR="009947E1" w:rsidRPr="004C2FAC">
        <w:rPr>
          <w:rFonts w:cs="Arial"/>
          <w:i/>
          <w:sz w:val="22"/>
          <w:szCs w:val="22"/>
        </w:rPr>
        <w:t xml:space="preserve">.- Que como consecuencia de la declaración anterior, se declare la ocurrencia del riesgo cubierto por la póliza de cumplimiento número </w:t>
      </w:r>
      <w:r w:rsidR="001301D5" w:rsidRPr="004C2FAC">
        <w:rPr>
          <w:rFonts w:cs="Arial"/>
          <w:i/>
          <w:sz w:val="22"/>
          <w:szCs w:val="22"/>
        </w:rPr>
        <w:t xml:space="preserve">193363 </w:t>
      </w:r>
      <w:r w:rsidR="009947E1" w:rsidRPr="004C2FAC">
        <w:rPr>
          <w:rFonts w:cs="Arial"/>
          <w:i/>
          <w:sz w:val="22"/>
          <w:szCs w:val="22"/>
        </w:rPr>
        <w:t xml:space="preserve">de LATINOAMERICANA DE SEGUROS S.A. </w:t>
      </w:r>
      <w:r w:rsidR="00B93146" w:rsidRPr="004C2FAC">
        <w:rPr>
          <w:rFonts w:cs="Arial"/>
          <w:i/>
          <w:sz w:val="22"/>
          <w:szCs w:val="22"/>
        </w:rPr>
        <w:t>(</w:t>
      </w:r>
      <w:r w:rsidR="001301D5" w:rsidRPr="004C2FAC">
        <w:rPr>
          <w:rFonts w:cs="Arial"/>
          <w:i/>
          <w:sz w:val="22"/>
          <w:szCs w:val="22"/>
        </w:rPr>
        <w:t xml:space="preserve">y certificados de modificación 213564, 222587, </w:t>
      </w:r>
      <w:r w:rsidR="00E72FAA" w:rsidRPr="004C2FAC">
        <w:rPr>
          <w:rFonts w:cs="Arial"/>
          <w:i/>
          <w:sz w:val="22"/>
          <w:szCs w:val="22"/>
        </w:rPr>
        <w:t xml:space="preserve">231071, </w:t>
      </w:r>
      <w:r w:rsidR="001301D5" w:rsidRPr="004C2FAC">
        <w:rPr>
          <w:rFonts w:cs="Arial"/>
          <w:i/>
          <w:sz w:val="22"/>
          <w:szCs w:val="22"/>
        </w:rPr>
        <w:t>238</w:t>
      </w:r>
      <w:r w:rsidR="00E72FAA" w:rsidRPr="004C2FAC">
        <w:rPr>
          <w:rFonts w:cs="Arial"/>
          <w:i/>
          <w:sz w:val="22"/>
          <w:szCs w:val="22"/>
        </w:rPr>
        <w:t>1</w:t>
      </w:r>
      <w:r w:rsidR="001301D5" w:rsidRPr="004C2FAC">
        <w:rPr>
          <w:rFonts w:cs="Arial"/>
          <w:i/>
          <w:sz w:val="22"/>
          <w:szCs w:val="22"/>
        </w:rPr>
        <w:t>56, 238180</w:t>
      </w:r>
      <w:r w:rsidR="00E72FAA" w:rsidRPr="004C2FAC">
        <w:rPr>
          <w:rFonts w:cs="Arial"/>
          <w:i/>
          <w:sz w:val="22"/>
          <w:szCs w:val="22"/>
        </w:rPr>
        <w:t>,</w:t>
      </w:r>
      <w:r w:rsidR="001301D5" w:rsidRPr="004C2FAC">
        <w:rPr>
          <w:rFonts w:cs="Arial"/>
          <w:i/>
          <w:sz w:val="22"/>
          <w:szCs w:val="22"/>
        </w:rPr>
        <w:t xml:space="preserve"> 238611 y 252681); expedida a </w:t>
      </w:r>
      <w:r w:rsidR="009947E1" w:rsidRPr="004C2FAC">
        <w:rPr>
          <w:rFonts w:cs="Arial"/>
          <w:i/>
          <w:sz w:val="22"/>
          <w:szCs w:val="22"/>
        </w:rPr>
        <w:t xml:space="preserve">favor del INSTITUTO DE MERCADEO AGROPECUARIO </w:t>
      </w:r>
      <w:r w:rsidR="001301D5" w:rsidRPr="004C2FAC">
        <w:rPr>
          <w:rFonts w:cs="Arial"/>
          <w:i/>
          <w:sz w:val="22"/>
          <w:szCs w:val="22"/>
        </w:rPr>
        <w:t>‘</w:t>
      </w:r>
      <w:r w:rsidR="009947E1" w:rsidRPr="004C2FAC">
        <w:rPr>
          <w:rFonts w:cs="Arial"/>
          <w:i/>
          <w:sz w:val="22"/>
          <w:szCs w:val="22"/>
        </w:rPr>
        <w:t>IDEMA</w:t>
      </w:r>
      <w:r w:rsidR="001301D5" w:rsidRPr="004C2FAC">
        <w:rPr>
          <w:rFonts w:cs="Arial"/>
          <w:i/>
          <w:sz w:val="22"/>
          <w:szCs w:val="22"/>
        </w:rPr>
        <w:t>’</w:t>
      </w:r>
      <w:r w:rsidR="009947E1" w:rsidRPr="004C2FAC">
        <w:rPr>
          <w:rFonts w:cs="Arial"/>
          <w:i/>
          <w:sz w:val="22"/>
          <w:szCs w:val="22"/>
        </w:rPr>
        <w:t xml:space="preserve"> hoy la NACIÓN –</w:t>
      </w:r>
      <w:r w:rsidR="001301D5" w:rsidRPr="004C2FAC">
        <w:rPr>
          <w:rFonts w:cs="Arial"/>
          <w:i/>
          <w:sz w:val="22"/>
          <w:szCs w:val="22"/>
        </w:rPr>
        <w:t xml:space="preserve"> </w:t>
      </w:r>
      <w:r w:rsidR="009947E1" w:rsidRPr="004C2FAC">
        <w:rPr>
          <w:rFonts w:cs="Arial"/>
          <w:i/>
          <w:sz w:val="22"/>
          <w:szCs w:val="22"/>
        </w:rPr>
        <w:t xml:space="preserve">MINISTERIO DE AGRICULTURA Y DESARROLLO RURAL. </w:t>
      </w:r>
    </w:p>
    <w:p w:rsidR="00291BDA" w:rsidRPr="004C2FAC" w:rsidRDefault="00291BDA" w:rsidP="008A449B">
      <w:pPr>
        <w:pStyle w:val="Continuarlista2"/>
        <w:spacing w:line="276" w:lineRule="auto"/>
        <w:ind w:left="567" w:right="567"/>
        <w:rPr>
          <w:rFonts w:cs="Arial"/>
          <w:i/>
          <w:sz w:val="22"/>
          <w:szCs w:val="22"/>
        </w:rPr>
      </w:pPr>
    </w:p>
    <w:p w:rsidR="00291BDA" w:rsidRPr="004C2FAC" w:rsidRDefault="00322B12" w:rsidP="008A449B">
      <w:pPr>
        <w:pStyle w:val="Continuarlista2"/>
        <w:spacing w:line="276" w:lineRule="auto"/>
        <w:ind w:left="567" w:right="567"/>
        <w:rPr>
          <w:rFonts w:cs="Arial"/>
          <w:i/>
          <w:sz w:val="22"/>
          <w:szCs w:val="22"/>
        </w:rPr>
      </w:pPr>
      <w:r w:rsidRPr="004C2FAC">
        <w:rPr>
          <w:rFonts w:cs="Arial"/>
          <w:i/>
          <w:sz w:val="22"/>
          <w:szCs w:val="22"/>
        </w:rPr>
        <w:t>“</w:t>
      </w:r>
      <w:r w:rsidR="00291BDA" w:rsidRPr="004C2FAC">
        <w:rPr>
          <w:rFonts w:cs="Arial"/>
          <w:b/>
          <w:i/>
          <w:sz w:val="22"/>
          <w:szCs w:val="22"/>
        </w:rPr>
        <w:t>OCTAVA</w:t>
      </w:r>
      <w:r w:rsidR="00291BDA" w:rsidRPr="004C2FAC">
        <w:rPr>
          <w:rFonts w:cs="Arial"/>
          <w:i/>
          <w:sz w:val="22"/>
          <w:szCs w:val="22"/>
        </w:rPr>
        <w:t>.- Que como consecuencia de la declaración anterior, se declare que LATINOAMERICANA DE SEGUROS S</w:t>
      </w:r>
      <w:r w:rsidR="004104BD" w:rsidRPr="004C2FAC">
        <w:rPr>
          <w:rFonts w:cs="Arial"/>
          <w:i/>
          <w:sz w:val="22"/>
          <w:szCs w:val="22"/>
        </w:rPr>
        <w:t>.</w:t>
      </w:r>
      <w:r w:rsidR="00291BDA" w:rsidRPr="004C2FAC">
        <w:rPr>
          <w:rFonts w:cs="Arial"/>
          <w:i/>
          <w:sz w:val="22"/>
          <w:szCs w:val="22"/>
        </w:rPr>
        <w:t>A</w:t>
      </w:r>
      <w:r w:rsidR="004104BD" w:rsidRPr="004C2FAC">
        <w:rPr>
          <w:rFonts w:cs="Arial"/>
          <w:i/>
          <w:sz w:val="22"/>
          <w:szCs w:val="22"/>
        </w:rPr>
        <w:t>.</w:t>
      </w:r>
      <w:r w:rsidR="00291BDA" w:rsidRPr="004C2FAC">
        <w:rPr>
          <w:rFonts w:cs="Arial"/>
          <w:i/>
          <w:sz w:val="22"/>
          <w:szCs w:val="22"/>
        </w:rPr>
        <w:t xml:space="preserve"> está obligada pagar al INSTITUTO DE MERCADEO AGROPECUARIO ‘IDEMA’ hoy la NACIÓN – MINISTERIO DE AGRICULTURA Y DESARROLLO RURAL la suma equivalente al monto del </w:t>
      </w:r>
      <w:r w:rsidR="00291BDA" w:rsidRPr="004C2FAC">
        <w:rPr>
          <w:rFonts w:cs="Arial"/>
          <w:i/>
          <w:sz w:val="22"/>
          <w:szCs w:val="22"/>
        </w:rPr>
        <w:lastRenderedPageBreak/>
        <w:t>perjuicio ´patrimonial sufrido por esa entidad y hasta la concurrencia del valor asegurado en la póliza descrita en la séptima pretensión.</w:t>
      </w:r>
    </w:p>
    <w:p w:rsidR="009947E1" w:rsidRPr="004C2FAC" w:rsidRDefault="009947E1" w:rsidP="008A449B">
      <w:pPr>
        <w:pStyle w:val="Continuarlista2"/>
        <w:spacing w:line="276" w:lineRule="auto"/>
        <w:ind w:left="567" w:right="567"/>
        <w:rPr>
          <w:rFonts w:cs="Arial"/>
          <w:i/>
          <w:sz w:val="22"/>
          <w:szCs w:val="22"/>
        </w:rPr>
      </w:pPr>
    </w:p>
    <w:p w:rsidR="009947E1" w:rsidRPr="004C2FAC" w:rsidRDefault="00A91511" w:rsidP="008A449B">
      <w:pPr>
        <w:pStyle w:val="Continuarlista2"/>
        <w:spacing w:line="276" w:lineRule="auto"/>
        <w:ind w:left="567" w:right="567"/>
        <w:rPr>
          <w:rFonts w:cs="Arial"/>
          <w:b/>
          <w:i/>
          <w:sz w:val="22"/>
          <w:szCs w:val="22"/>
        </w:rPr>
      </w:pPr>
      <w:r w:rsidRPr="004C2FAC">
        <w:rPr>
          <w:rFonts w:cs="Arial"/>
          <w:i/>
          <w:sz w:val="22"/>
          <w:szCs w:val="22"/>
        </w:rPr>
        <w:t>“</w:t>
      </w:r>
      <w:r w:rsidR="004104BD" w:rsidRPr="004C2FAC">
        <w:rPr>
          <w:rFonts w:cs="Arial"/>
          <w:b/>
          <w:i/>
          <w:sz w:val="22"/>
          <w:szCs w:val="22"/>
        </w:rPr>
        <w:t>TRUEQUE No. DT 13066 y 13067</w:t>
      </w:r>
    </w:p>
    <w:p w:rsidR="004104BD" w:rsidRPr="004C2FAC" w:rsidRDefault="004104BD" w:rsidP="008A449B">
      <w:pPr>
        <w:pStyle w:val="Continuarlista2"/>
        <w:spacing w:line="276" w:lineRule="auto"/>
        <w:ind w:left="567" w:right="567"/>
        <w:rPr>
          <w:rFonts w:cs="Arial"/>
          <w:i/>
          <w:sz w:val="22"/>
          <w:szCs w:val="22"/>
        </w:rPr>
      </w:pPr>
    </w:p>
    <w:p w:rsidR="004104BD" w:rsidRPr="004C2FAC" w:rsidRDefault="00322B12" w:rsidP="008A449B">
      <w:pPr>
        <w:pStyle w:val="Continuarlista2"/>
        <w:spacing w:line="276" w:lineRule="auto"/>
        <w:ind w:left="567" w:right="567"/>
        <w:rPr>
          <w:rFonts w:cs="Arial"/>
          <w:i/>
          <w:sz w:val="22"/>
          <w:szCs w:val="22"/>
        </w:rPr>
      </w:pPr>
      <w:r w:rsidRPr="004C2FAC">
        <w:rPr>
          <w:rFonts w:cs="Arial"/>
          <w:i/>
          <w:sz w:val="22"/>
          <w:szCs w:val="22"/>
        </w:rPr>
        <w:t>“</w:t>
      </w:r>
      <w:r w:rsidR="004104BD" w:rsidRPr="004C2FAC">
        <w:rPr>
          <w:rFonts w:cs="Arial"/>
          <w:b/>
          <w:i/>
          <w:sz w:val="22"/>
          <w:szCs w:val="22"/>
        </w:rPr>
        <w:t>NOVENA</w:t>
      </w:r>
      <w:r w:rsidR="004104BD" w:rsidRPr="004C2FAC">
        <w:rPr>
          <w:rFonts w:cs="Arial"/>
          <w:i/>
          <w:sz w:val="22"/>
          <w:szCs w:val="22"/>
        </w:rPr>
        <w:t xml:space="preserve">: Que se declare que el acuerdo celebrado en la rueda de negocios número 13 de </w:t>
      </w:r>
      <w:r w:rsidR="00355995" w:rsidRPr="004C2FAC">
        <w:rPr>
          <w:rFonts w:cs="Arial"/>
          <w:i/>
          <w:sz w:val="22"/>
          <w:szCs w:val="22"/>
        </w:rPr>
        <w:t>f</w:t>
      </w:r>
      <w:r w:rsidR="004104BD" w:rsidRPr="004C2FAC">
        <w:rPr>
          <w:rFonts w:cs="Arial"/>
          <w:i/>
          <w:sz w:val="22"/>
          <w:szCs w:val="22"/>
        </w:rPr>
        <w:t xml:space="preserve">ebrero 14 de 1995, realizada en la Bolsa </w:t>
      </w:r>
      <w:r w:rsidR="00355995" w:rsidRPr="004C2FAC">
        <w:rPr>
          <w:rFonts w:cs="Arial"/>
          <w:i/>
          <w:sz w:val="22"/>
          <w:szCs w:val="22"/>
        </w:rPr>
        <w:t xml:space="preserve">Nacional </w:t>
      </w:r>
      <w:r w:rsidR="004104BD" w:rsidRPr="004C2FAC">
        <w:rPr>
          <w:rFonts w:cs="Arial"/>
          <w:i/>
          <w:sz w:val="22"/>
          <w:szCs w:val="22"/>
        </w:rPr>
        <w:t>Agropecuaria S.A. en el cual se efectuó la operación de trueque No. DT- 130</w:t>
      </w:r>
      <w:r w:rsidR="00355995" w:rsidRPr="004C2FAC">
        <w:rPr>
          <w:rFonts w:cs="Arial"/>
          <w:i/>
          <w:sz w:val="22"/>
          <w:szCs w:val="22"/>
        </w:rPr>
        <w:t>66</w:t>
      </w:r>
      <w:r w:rsidR="004104BD" w:rsidRPr="004C2FAC">
        <w:rPr>
          <w:rFonts w:cs="Arial"/>
          <w:i/>
          <w:sz w:val="22"/>
          <w:szCs w:val="22"/>
        </w:rPr>
        <w:t xml:space="preserve"> y 130</w:t>
      </w:r>
      <w:r w:rsidR="00355995" w:rsidRPr="004C2FAC">
        <w:rPr>
          <w:rFonts w:cs="Arial"/>
          <w:i/>
          <w:sz w:val="22"/>
          <w:szCs w:val="22"/>
        </w:rPr>
        <w:t>67</w:t>
      </w:r>
      <w:r w:rsidR="004104BD" w:rsidRPr="004C2FAC">
        <w:rPr>
          <w:rFonts w:cs="Arial"/>
          <w:i/>
          <w:sz w:val="22"/>
          <w:szCs w:val="22"/>
        </w:rPr>
        <w:t xml:space="preserve">, suscrito entre el IDEMA y COLCEREALES S.A; y que consistió en la entrega de arroz paddy </w:t>
      </w:r>
      <w:r w:rsidR="00355995" w:rsidRPr="004C2FAC">
        <w:rPr>
          <w:rFonts w:cs="Arial"/>
          <w:i/>
          <w:sz w:val="22"/>
          <w:szCs w:val="22"/>
        </w:rPr>
        <w:t xml:space="preserve">por arroz </w:t>
      </w:r>
      <w:r w:rsidR="004104BD" w:rsidRPr="004C2FAC">
        <w:rPr>
          <w:rFonts w:cs="Arial"/>
          <w:i/>
          <w:sz w:val="22"/>
          <w:szCs w:val="22"/>
        </w:rPr>
        <w:t xml:space="preserve">blanco en cantidad de </w:t>
      </w:r>
      <w:r w:rsidR="00D1306D" w:rsidRPr="004C2FAC">
        <w:rPr>
          <w:rFonts w:cs="Arial"/>
          <w:i/>
          <w:sz w:val="22"/>
          <w:szCs w:val="22"/>
        </w:rPr>
        <w:t>318.750</w:t>
      </w:r>
      <w:r w:rsidR="004104BD" w:rsidRPr="004C2FAC">
        <w:rPr>
          <w:rFonts w:cs="Arial"/>
          <w:i/>
          <w:sz w:val="22"/>
          <w:szCs w:val="22"/>
        </w:rPr>
        <w:t xml:space="preserve"> kilos de arroz blanco al IDEMA dentro del plazo fijado</w:t>
      </w:r>
      <w:r w:rsidR="00D1306D" w:rsidRPr="004C2FAC">
        <w:rPr>
          <w:rFonts w:cs="Arial"/>
          <w:i/>
          <w:sz w:val="22"/>
          <w:szCs w:val="22"/>
        </w:rPr>
        <w:t>;</w:t>
      </w:r>
      <w:r w:rsidR="004104BD" w:rsidRPr="004C2FAC">
        <w:rPr>
          <w:rFonts w:cs="Arial"/>
          <w:i/>
          <w:sz w:val="22"/>
          <w:szCs w:val="22"/>
        </w:rPr>
        <w:t xml:space="preserve"> fue incumplido por la demandada COMPAÑÍA COLOMBIANA DE CEREALES COLCEREALES S.A.</w:t>
      </w:r>
    </w:p>
    <w:p w:rsidR="004104BD" w:rsidRPr="004C2FAC" w:rsidRDefault="004104BD" w:rsidP="008A449B">
      <w:pPr>
        <w:pStyle w:val="Continuarlista2"/>
        <w:spacing w:line="276" w:lineRule="auto"/>
        <w:ind w:left="567" w:right="567"/>
        <w:rPr>
          <w:rFonts w:cs="Arial"/>
          <w:i/>
          <w:sz w:val="22"/>
          <w:szCs w:val="22"/>
        </w:rPr>
      </w:pPr>
    </w:p>
    <w:p w:rsidR="00D1306D" w:rsidRPr="004C2FAC" w:rsidRDefault="00322B12" w:rsidP="008A449B">
      <w:pPr>
        <w:pStyle w:val="Continuarlista2"/>
        <w:spacing w:line="276" w:lineRule="auto"/>
        <w:ind w:left="567" w:right="567"/>
        <w:rPr>
          <w:rFonts w:cs="Arial"/>
          <w:i/>
          <w:sz w:val="22"/>
          <w:szCs w:val="22"/>
        </w:rPr>
      </w:pPr>
      <w:r w:rsidRPr="004C2FAC">
        <w:rPr>
          <w:rFonts w:cs="Arial"/>
          <w:i/>
          <w:sz w:val="22"/>
          <w:szCs w:val="22"/>
        </w:rPr>
        <w:t>“</w:t>
      </w:r>
      <w:r w:rsidR="00D1306D" w:rsidRPr="004C2FAC">
        <w:rPr>
          <w:rFonts w:cs="Arial"/>
          <w:b/>
          <w:i/>
          <w:sz w:val="22"/>
          <w:szCs w:val="22"/>
        </w:rPr>
        <w:t>DÉCIMA</w:t>
      </w:r>
      <w:r w:rsidR="00D1306D" w:rsidRPr="004C2FAC">
        <w:rPr>
          <w:rFonts w:cs="Arial"/>
          <w:i/>
          <w:sz w:val="22"/>
          <w:szCs w:val="22"/>
        </w:rPr>
        <w:t>: Que como consecuencia de la declaración que antecede, se condene a la COMPAÑÍA COLOMBIANA DE CEREALES COLCEREALES S.A. a pa</w:t>
      </w:r>
      <w:r w:rsidR="00D85B83" w:rsidRPr="004C2FAC">
        <w:rPr>
          <w:rFonts w:cs="Arial"/>
          <w:i/>
          <w:sz w:val="22"/>
          <w:szCs w:val="22"/>
        </w:rPr>
        <w:t>g</w:t>
      </w:r>
      <w:r w:rsidR="00D1306D" w:rsidRPr="004C2FAC">
        <w:rPr>
          <w:rFonts w:cs="Arial"/>
          <w:i/>
          <w:sz w:val="22"/>
          <w:szCs w:val="22"/>
        </w:rPr>
        <w:t xml:space="preserve">ar al INSTITUTO DE MERCADEO AGROPECUARIO ‘IDEMA’ hoy la NACIÓN MINISTERIO DE AGRICULTURA Y DESARROLLO RURAL, a título de indemnización la suma que resulte de multiplicar el valor de un (1) kilo de arroz blanco grado (1) para la época de la negociación, por </w:t>
      </w:r>
      <w:r w:rsidR="00634781" w:rsidRPr="004C2FAC">
        <w:rPr>
          <w:rFonts w:cs="Arial"/>
          <w:i/>
          <w:sz w:val="22"/>
          <w:szCs w:val="22"/>
        </w:rPr>
        <w:t>318.750</w:t>
      </w:r>
      <w:r w:rsidR="00D1306D" w:rsidRPr="004C2FAC">
        <w:rPr>
          <w:rFonts w:cs="Arial"/>
          <w:i/>
          <w:sz w:val="22"/>
          <w:szCs w:val="22"/>
        </w:rPr>
        <w:t xml:space="preserve"> kilos. Valor que debe ser objeto, de una parte, de actualización con base en el índice de precios al consumidor (IPC) y de otra parte, sobre la misma se tienen que reconocer los intereses legales previstos en el inciso 2º del numeral 8º del artículo 4º de la Ley 80 de 1993 y el artículo 1º del Decreto 679 de 1994. La determinación de la actualización se hará por período anual con base en el IPC acumulado por año o fracción. Los intereses, igualmente, se liquidarán por años completos o fracciones.</w:t>
      </w:r>
    </w:p>
    <w:p w:rsidR="008A7356" w:rsidRPr="004C2FAC" w:rsidRDefault="008A7356" w:rsidP="008A449B">
      <w:pPr>
        <w:pStyle w:val="Continuarlista2"/>
        <w:spacing w:line="276" w:lineRule="auto"/>
        <w:ind w:left="567" w:right="567"/>
        <w:rPr>
          <w:rFonts w:cs="Arial"/>
          <w:i/>
          <w:sz w:val="22"/>
          <w:szCs w:val="22"/>
        </w:rPr>
      </w:pPr>
    </w:p>
    <w:p w:rsidR="00DF0F91" w:rsidRPr="004C2FAC" w:rsidRDefault="008A449B" w:rsidP="008A449B">
      <w:pPr>
        <w:pStyle w:val="Continuarlista2"/>
        <w:spacing w:line="276" w:lineRule="auto"/>
        <w:ind w:left="567" w:right="567"/>
        <w:rPr>
          <w:rFonts w:cs="Arial"/>
          <w:i/>
          <w:sz w:val="22"/>
          <w:szCs w:val="22"/>
        </w:rPr>
      </w:pPr>
      <w:r w:rsidRPr="004C2FAC">
        <w:rPr>
          <w:rFonts w:cs="Arial"/>
          <w:i/>
          <w:sz w:val="22"/>
          <w:szCs w:val="22"/>
        </w:rPr>
        <w:t>“</w:t>
      </w:r>
      <w:r w:rsidR="00634781" w:rsidRPr="004C2FAC">
        <w:rPr>
          <w:rFonts w:cs="Arial"/>
          <w:b/>
          <w:i/>
          <w:sz w:val="22"/>
          <w:szCs w:val="22"/>
        </w:rPr>
        <w:t>DÉCIMA PRIMERA</w:t>
      </w:r>
      <w:r w:rsidR="00634781" w:rsidRPr="004C2FAC">
        <w:rPr>
          <w:rFonts w:cs="Arial"/>
          <w:i/>
          <w:sz w:val="22"/>
          <w:szCs w:val="22"/>
        </w:rPr>
        <w:t xml:space="preserve">:  </w:t>
      </w:r>
      <w:r w:rsidR="00DF0F91" w:rsidRPr="004C2FAC">
        <w:rPr>
          <w:rFonts w:cs="Arial"/>
          <w:i/>
          <w:sz w:val="22"/>
          <w:szCs w:val="22"/>
        </w:rPr>
        <w:t>Que como consecuencia de la declaración anterior, que antecede, se declare la ocurrencia del riesgo cubierto por la póliza de cumplimiento número 193364 de LATINOAMERICANA DE SEGUROS S.A. (y certificados de modificación No. 248022); expedida a favor del INSTITUTO DE MERCADEO AGROPECUARIO ‘IDEMA’ hoy la NACIÓN – MINISTERIO DE AGRICULTURA Y DESARROLLO RURAL.</w:t>
      </w:r>
    </w:p>
    <w:p w:rsidR="00DF0F91" w:rsidRPr="004C2FAC" w:rsidRDefault="00DF0F91" w:rsidP="008A449B">
      <w:pPr>
        <w:pStyle w:val="Continuarlista2"/>
        <w:spacing w:line="276" w:lineRule="auto"/>
        <w:ind w:left="567" w:right="567"/>
        <w:rPr>
          <w:rFonts w:cs="Arial"/>
          <w:i/>
          <w:sz w:val="22"/>
          <w:szCs w:val="22"/>
        </w:rPr>
      </w:pPr>
    </w:p>
    <w:p w:rsidR="003578F0" w:rsidRPr="004C2FAC" w:rsidRDefault="008A449B" w:rsidP="008A449B">
      <w:pPr>
        <w:pStyle w:val="Continuarlista2"/>
        <w:spacing w:line="276" w:lineRule="auto"/>
        <w:ind w:left="567" w:right="567"/>
        <w:rPr>
          <w:rFonts w:cs="Arial"/>
          <w:i/>
          <w:sz w:val="22"/>
          <w:szCs w:val="22"/>
        </w:rPr>
      </w:pPr>
      <w:r w:rsidRPr="004C2FAC">
        <w:rPr>
          <w:rFonts w:cs="Arial"/>
          <w:i/>
          <w:sz w:val="22"/>
          <w:szCs w:val="22"/>
        </w:rPr>
        <w:t>“</w:t>
      </w:r>
      <w:r w:rsidR="00DF0F91" w:rsidRPr="004C2FAC">
        <w:rPr>
          <w:rFonts w:cs="Arial"/>
          <w:b/>
          <w:i/>
          <w:sz w:val="22"/>
          <w:szCs w:val="22"/>
        </w:rPr>
        <w:t>DÉCIMA SEGUNDA</w:t>
      </w:r>
      <w:r w:rsidR="00DF0F91" w:rsidRPr="004C2FAC">
        <w:rPr>
          <w:rFonts w:cs="Arial"/>
          <w:i/>
          <w:sz w:val="22"/>
          <w:szCs w:val="22"/>
        </w:rPr>
        <w:t xml:space="preserve">: </w:t>
      </w:r>
      <w:r w:rsidR="003578F0" w:rsidRPr="004C2FAC">
        <w:rPr>
          <w:rFonts w:cs="Arial"/>
          <w:i/>
          <w:sz w:val="22"/>
          <w:szCs w:val="22"/>
        </w:rPr>
        <w:t>Que como consecuencia de la declaración anterior, se declare que LATINOAMERICANA DE SEGUROS S.A. está obligada pagar al INSTITUTO DE MERCADEO AGROPECUARIO ‘IDEMA’ hoy la NACIÓN – MINISTERIO DE AGRICULTURA Y DESARROLLO RURAL la suma equivalente al monto del perjuicio ´patrimonial sufrido por esa entidad y hasta la concurrencia del valor asegurado en la póliza descrita en la séptima pretensión.</w:t>
      </w:r>
    </w:p>
    <w:p w:rsidR="003578F0" w:rsidRPr="004C2FAC" w:rsidRDefault="003578F0" w:rsidP="008A449B">
      <w:pPr>
        <w:pStyle w:val="Continuarlista2"/>
        <w:spacing w:line="276" w:lineRule="auto"/>
        <w:ind w:left="567" w:right="567"/>
        <w:rPr>
          <w:rFonts w:cs="Arial"/>
          <w:i/>
          <w:sz w:val="22"/>
          <w:szCs w:val="22"/>
        </w:rPr>
      </w:pPr>
    </w:p>
    <w:p w:rsidR="003578F0" w:rsidRPr="004C2FAC" w:rsidRDefault="008A449B" w:rsidP="008A449B">
      <w:pPr>
        <w:pStyle w:val="Continuarlista2"/>
        <w:spacing w:line="276" w:lineRule="auto"/>
        <w:ind w:left="567" w:right="567"/>
        <w:rPr>
          <w:rFonts w:cs="Arial"/>
          <w:i/>
          <w:sz w:val="22"/>
          <w:szCs w:val="22"/>
        </w:rPr>
      </w:pPr>
      <w:r w:rsidRPr="004C2FAC">
        <w:rPr>
          <w:rFonts w:cs="Arial"/>
          <w:i/>
          <w:sz w:val="22"/>
          <w:szCs w:val="22"/>
        </w:rPr>
        <w:t>“</w:t>
      </w:r>
      <w:r w:rsidR="003578F0" w:rsidRPr="004C2FAC">
        <w:rPr>
          <w:rFonts w:cs="Arial"/>
          <w:b/>
          <w:i/>
          <w:sz w:val="22"/>
          <w:szCs w:val="22"/>
        </w:rPr>
        <w:t>PARA TODAS LAS ANTERIORES PRETENSIONES</w:t>
      </w:r>
      <w:r w:rsidR="003578F0" w:rsidRPr="004C2FAC">
        <w:rPr>
          <w:rFonts w:cs="Arial"/>
          <w:i/>
          <w:sz w:val="22"/>
          <w:szCs w:val="22"/>
        </w:rPr>
        <w:t>:</w:t>
      </w:r>
    </w:p>
    <w:p w:rsidR="00F77089" w:rsidRPr="004C2FAC" w:rsidRDefault="00F77089" w:rsidP="008A449B">
      <w:pPr>
        <w:pStyle w:val="Continuarlista2"/>
        <w:spacing w:line="276" w:lineRule="auto"/>
        <w:ind w:left="567" w:right="567"/>
        <w:rPr>
          <w:rFonts w:cs="Arial"/>
          <w:i/>
          <w:sz w:val="22"/>
          <w:szCs w:val="22"/>
        </w:rPr>
      </w:pPr>
    </w:p>
    <w:p w:rsidR="00E05E77" w:rsidRPr="004C2FAC" w:rsidRDefault="008A449B" w:rsidP="008A449B">
      <w:pPr>
        <w:pStyle w:val="Continuarlista2"/>
        <w:spacing w:line="276" w:lineRule="auto"/>
        <w:ind w:left="567" w:right="567"/>
        <w:rPr>
          <w:rFonts w:cs="Arial"/>
          <w:i/>
          <w:sz w:val="22"/>
          <w:szCs w:val="22"/>
        </w:rPr>
      </w:pPr>
      <w:r w:rsidRPr="004C2FAC">
        <w:rPr>
          <w:rFonts w:cs="Arial"/>
          <w:i/>
          <w:sz w:val="22"/>
          <w:szCs w:val="22"/>
        </w:rPr>
        <w:t>“</w:t>
      </w:r>
      <w:r w:rsidR="003578F0" w:rsidRPr="004C2FAC">
        <w:rPr>
          <w:rFonts w:cs="Arial"/>
          <w:b/>
          <w:i/>
          <w:sz w:val="22"/>
          <w:szCs w:val="22"/>
        </w:rPr>
        <w:t>DÉCIMA TERCERA:</w:t>
      </w:r>
      <w:r w:rsidR="003578F0" w:rsidRPr="004C2FAC">
        <w:rPr>
          <w:rFonts w:cs="Arial"/>
          <w:i/>
          <w:sz w:val="22"/>
          <w:szCs w:val="22"/>
        </w:rPr>
        <w:t xml:space="preserve"> </w:t>
      </w:r>
      <w:r w:rsidR="00E05E77" w:rsidRPr="004C2FAC">
        <w:rPr>
          <w:rFonts w:cs="Arial"/>
          <w:i/>
          <w:sz w:val="22"/>
          <w:szCs w:val="22"/>
        </w:rPr>
        <w:t>Q</w:t>
      </w:r>
      <w:r w:rsidR="003578F0" w:rsidRPr="004C2FAC">
        <w:rPr>
          <w:rFonts w:cs="Arial"/>
          <w:i/>
          <w:sz w:val="22"/>
          <w:szCs w:val="22"/>
        </w:rPr>
        <w:t>ue los demandados quedan obligados a dar cumplimiento a la sentencia</w:t>
      </w:r>
      <w:r w:rsidR="00E05E77" w:rsidRPr="004C2FAC">
        <w:rPr>
          <w:rFonts w:cs="Arial"/>
          <w:i/>
          <w:sz w:val="22"/>
          <w:szCs w:val="22"/>
        </w:rPr>
        <w:t xml:space="preserve"> dentro del término señalado por el artículo 179 del </w:t>
      </w:r>
      <w:r w:rsidR="00E05E77" w:rsidRPr="004C2FAC">
        <w:rPr>
          <w:rFonts w:cs="Arial"/>
          <w:i/>
          <w:sz w:val="22"/>
          <w:szCs w:val="22"/>
        </w:rPr>
        <w:lastRenderedPageBreak/>
        <w:t xml:space="preserve">C.C.A. en concordancia con lo previsto en los artículos 334 y 339 del Código de Procedimiento Civil. </w:t>
      </w:r>
    </w:p>
    <w:p w:rsidR="00E05E77" w:rsidRPr="004C2FAC" w:rsidRDefault="00E05E77" w:rsidP="008A449B">
      <w:pPr>
        <w:pStyle w:val="Continuarlista2"/>
        <w:spacing w:line="276" w:lineRule="auto"/>
        <w:ind w:left="567" w:right="567"/>
        <w:rPr>
          <w:rFonts w:cs="Arial"/>
          <w:i/>
          <w:sz w:val="22"/>
          <w:szCs w:val="22"/>
        </w:rPr>
      </w:pPr>
    </w:p>
    <w:p w:rsidR="00923B2F" w:rsidRPr="004C2FAC" w:rsidRDefault="008A449B" w:rsidP="00923B2F">
      <w:pPr>
        <w:pStyle w:val="Continuarlista2"/>
        <w:spacing w:line="276" w:lineRule="auto"/>
        <w:ind w:left="567" w:right="567"/>
        <w:rPr>
          <w:rFonts w:cs="Arial"/>
          <w:i/>
          <w:sz w:val="22"/>
          <w:szCs w:val="22"/>
        </w:rPr>
      </w:pPr>
      <w:r w:rsidRPr="004C2FAC">
        <w:rPr>
          <w:rFonts w:cs="Arial"/>
          <w:i/>
          <w:sz w:val="22"/>
          <w:szCs w:val="22"/>
        </w:rPr>
        <w:t>“</w:t>
      </w:r>
      <w:r w:rsidR="00E05E77" w:rsidRPr="004C2FAC">
        <w:rPr>
          <w:rFonts w:cs="Arial"/>
          <w:b/>
          <w:i/>
          <w:sz w:val="22"/>
          <w:szCs w:val="22"/>
        </w:rPr>
        <w:t>DÉCIMA CUARTA:</w:t>
      </w:r>
      <w:r w:rsidR="00E05E77" w:rsidRPr="004C2FAC">
        <w:rPr>
          <w:rFonts w:cs="Arial"/>
          <w:i/>
          <w:sz w:val="22"/>
          <w:szCs w:val="22"/>
        </w:rPr>
        <w:t xml:space="preserve"> Teniendo en cuenta la co</w:t>
      </w:r>
      <w:r w:rsidRPr="004C2FAC">
        <w:rPr>
          <w:rFonts w:cs="Arial"/>
          <w:i/>
          <w:sz w:val="22"/>
          <w:szCs w:val="22"/>
        </w:rPr>
        <w:t>n</w:t>
      </w:r>
      <w:r w:rsidR="00E05E77" w:rsidRPr="004C2FAC">
        <w:rPr>
          <w:rFonts w:cs="Arial"/>
          <w:i/>
          <w:sz w:val="22"/>
          <w:szCs w:val="22"/>
        </w:rPr>
        <w:t xml:space="preserve">ducta </w:t>
      </w:r>
      <w:r w:rsidRPr="004C2FAC">
        <w:rPr>
          <w:rFonts w:cs="Arial"/>
          <w:i/>
          <w:sz w:val="22"/>
          <w:szCs w:val="22"/>
        </w:rPr>
        <w:t>a</w:t>
      </w:r>
      <w:r w:rsidR="00E05E77" w:rsidRPr="004C2FAC">
        <w:rPr>
          <w:rFonts w:cs="Arial"/>
          <w:i/>
          <w:sz w:val="22"/>
          <w:szCs w:val="22"/>
        </w:rPr>
        <w:t>sumida por las parte</w:t>
      </w:r>
      <w:r w:rsidRPr="004C2FAC">
        <w:rPr>
          <w:rFonts w:cs="Arial"/>
          <w:i/>
          <w:sz w:val="22"/>
          <w:szCs w:val="22"/>
        </w:rPr>
        <w:t>s</w:t>
      </w:r>
      <w:r w:rsidR="00E05E77" w:rsidRPr="004C2FAC">
        <w:rPr>
          <w:rFonts w:cs="Arial"/>
          <w:i/>
          <w:sz w:val="22"/>
          <w:szCs w:val="22"/>
        </w:rPr>
        <w:t>, condenar en costas a la parte vencida en el proceso en los términos del artículo 171 C.C.A. modificado por el artículo 55 de la Ley 446 de 1998</w:t>
      </w:r>
      <w:r w:rsidRPr="004C2FAC">
        <w:rPr>
          <w:rFonts w:cs="Arial"/>
          <w:i/>
          <w:sz w:val="22"/>
          <w:szCs w:val="22"/>
        </w:rPr>
        <w:t>”</w:t>
      </w:r>
      <w:r w:rsidRPr="004C2FAC">
        <w:rPr>
          <w:rStyle w:val="Refdenotaalpie"/>
          <w:rFonts w:cs="Arial"/>
          <w:i/>
          <w:sz w:val="22"/>
          <w:szCs w:val="22"/>
        </w:rPr>
        <w:footnoteReference w:id="3"/>
      </w:r>
      <w:r w:rsidR="00E05E77" w:rsidRPr="004C2FAC">
        <w:rPr>
          <w:rFonts w:cs="Arial"/>
          <w:i/>
          <w:sz w:val="22"/>
          <w:szCs w:val="22"/>
        </w:rPr>
        <w:t>.</w:t>
      </w:r>
    </w:p>
    <w:p w:rsidR="00B9262F" w:rsidRPr="004C2FAC" w:rsidRDefault="00B9262F" w:rsidP="0090169C">
      <w:pPr>
        <w:pStyle w:val="Lista3"/>
        <w:ind w:left="0" w:firstLine="0"/>
        <w:rPr>
          <w:rFonts w:cs="Arial"/>
          <w:b/>
        </w:rPr>
      </w:pPr>
    </w:p>
    <w:p w:rsidR="00F21484" w:rsidRPr="004C2FAC" w:rsidRDefault="00F21484" w:rsidP="0090169C">
      <w:pPr>
        <w:pStyle w:val="Lista3"/>
        <w:ind w:left="0" w:firstLine="0"/>
        <w:rPr>
          <w:rFonts w:cs="Arial"/>
          <w:b/>
        </w:rPr>
      </w:pPr>
      <w:r w:rsidRPr="004C2FAC">
        <w:rPr>
          <w:rFonts w:cs="Arial"/>
          <w:b/>
        </w:rPr>
        <w:t>2.</w:t>
      </w:r>
      <w:r w:rsidR="009D0836" w:rsidRPr="004C2FAC">
        <w:rPr>
          <w:rFonts w:cs="Arial"/>
          <w:b/>
        </w:rPr>
        <w:t xml:space="preserve"> </w:t>
      </w:r>
      <w:r w:rsidRPr="004C2FAC">
        <w:rPr>
          <w:rFonts w:cs="Arial"/>
          <w:b/>
        </w:rPr>
        <w:t>Los hechos</w:t>
      </w:r>
    </w:p>
    <w:p w:rsidR="005E0015" w:rsidRPr="004C2FAC" w:rsidRDefault="005E0015" w:rsidP="0090169C">
      <w:pPr>
        <w:widowControl w:val="0"/>
        <w:autoSpaceDE w:val="0"/>
        <w:autoSpaceDN w:val="0"/>
        <w:adjustRightInd w:val="0"/>
        <w:rPr>
          <w:rFonts w:cs="Arial"/>
          <w:lang w:val="es-MX"/>
        </w:rPr>
      </w:pPr>
    </w:p>
    <w:p w:rsidR="00D45ABC" w:rsidRPr="004C2FAC" w:rsidRDefault="00D45ABC" w:rsidP="0090169C">
      <w:pPr>
        <w:pStyle w:val="Textoindependiente"/>
        <w:rPr>
          <w:rFonts w:cs="Arial"/>
          <w:szCs w:val="24"/>
        </w:rPr>
      </w:pPr>
      <w:r w:rsidRPr="004C2FAC">
        <w:rPr>
          <w:rFonts w:cs="Arial"/>
          <w:szCs w:val="24"/>
          <w:lang w:val="es-CO"/>
        </w:rPr>
        <w:t>E</w:t>
      </w:r>
      <w:r w:rsidRPr="004C2FAC">
        <w:rPr>
          <w:rFonts w:cs="Arial"/>
          <w:szCs w:val="24"/>
        </w:rPr>
        <w:t>n el escrito de demanda</w:t>
      </w:r>
      <w:r w:rsidR="004E6E35" w:rsidRPr="004C2FAC">
        <w:rPr>
          <w:rFonts w:cs="Arial"/>
          <w:szCs w:val="24"/>
        </w:rPr>
        <w:t>,</w:t>
      </w:r>
      <w:r w:rsidR="00FD5088" w:rsidRPr="004C2FAC">
        <w:rPr>
          <w:rFonts w:cs="Arial"/>
          <w:szCs w:val="24"/>
        </w:rPr>
        <w:t xml:space="preserve"> </w:t>
      </w:r>
      <w:r w:rsidR="000E12FE" w:rsidRPr="004C2FAC">
        <w:rPr>
          <w:rFonts w:cs="Arial"/>
          <w:szCs w:val="24"/>
        </w:rPr>
        <w:t xml:space="preserve">el Ministerio de Agricultura y Desarrollo Rural </w:t>
      </w:r>
      <w:r w:rsidRPr="004C2FAC">
        <w:rPr>
          <w:rFonts w:cs="Arial"/>
          <w:szCs w:val="24"/>
        </w:rPr>
        <w:t>narró los siguientes hechos</w:t>
      </w:r>
      <w:r w:rsidR="000E6932" w:rsidRPr="004C2FAC">
        <w:rPr>
          <w:rFonts w:cs="Arial"/>
          <w:szCs w:val="24"/>
        </w:rPr>
        <w:t xml:space="preserve"> (se resumen siguiendo el mismo orden de la demanda)</w:t>
      </w:r>
      <w:r w:rsidRPr="004C2FAC">
        <w:rPr>
          <w:rFonts w:cs="Arial"/>
          <w:szCs w:val="24"/>
        </w:rPr>
        <w:t>:</w:t>
      </w:r>
    </w:p>
    <w:p w:rsidR="00F82E49" w:rsidRPr="004C2FAC" w:rsidRDefault="00F82E49" w:rsidP="0090169C">
      <w:pPr>
        <w:pStyle w:val="Lista2"/>
        <w:ind w:left="0" w:firstLine="0"/>
        <w:rPr>
          <w:rFonts w:cs="Arial"/>
          <w:b/>
        </w:rPr>
      </w:pPr>
    </w:p>
    <w:p w:rsidR="006C2829" w:rsidRPr="004C2FAC" w:rsidRDefault="000E12FE" w:rsidP="0090169C">
      <w:pPr>
        <w:pStyle w:val="Lista2"/>
        <w:ind w:left="0" w:firstLine="0"/>
        <w:rPr>
          <w:rFonts w:cs="Arial"/>
          <w:b/>
        </w:rPr>
      </w:pPr>
      <w:r w:rsidRPr="004C2FAC">
        <w:rPr>
          <w:rFonts w:cs="Arial"/>
          <w:b/>
        </w:rPr>
        <w:t xml:space="preserve">2.1. </w:t>
      </w:r>
      <w:r w:rsidRPr="004C2FAC">
        <w:rPr>
          <w:rFonts w:cs="Arial"/>
        </w:rPr>
        <w:t xml:space="preserve">El 21 de </w:t>
      </w:r>
      <w:r w:rsidR="002D73AD" w:rsidRPr="004C2FAC">
        <w:rPr>
          <w:rFonts w:cs="Arial"/>
        </w:rPr>
        <w:t xml:space="preserve">septiembre </w:t>
      </w:r>
      <w:r w:rsidRPr="004C2FAC">
        <w:rPr>
          <w:rFonts w:cs="Arial"/>
        </w:rPr>
        <w:t xml:space="preserve">de 1995, COLCEREALES, </w:t>
      </w:r>
      <w:r w:rsidR="00A672D4" w:rsidRPr="004C2FAC">
        <w:rPr>
          <w:rFonts w:cs="Arial"/>
        </w:rPr>
        <w:t xml:space="preserve">actuando </w:t>
      </w:r>
      <w:r w:rsidRPr="004C2FAC">
        <w:rPr>
          <w:rFonts w:cs="Arial"/>
        </w:rPr>
        <w:t xml:space="preserve">a través del comisionista de bolsa </w:t>
      </w:r>
      <w:r w:rsidR="002D73AD" w:rsidRPr="004C2FAC">
        <w:rPr>
          <w:rFonts w:cs="Arial"/>
        </w:rPr>
        <w:t>Torres Cortés y Cía</w:t>
      </w:r>
      <w:r w:rsidRPr="004C2FAC">
        <w:rPr>
          <w:rFonts w:cs="Arial"/>
        </w:rPr>
        <w:t>, celebró con el IDEMA el contrato de trueque directo No. 8861</w:t>
      </w:r>
      <w:r w:rsidR="006C2829" w:rsidRPr="004C2FAC">
        <w:rPr>
          <w:rFonts w:cs="Arial"/>
        </w:rPr>
        <w:t xml:space="preserve">. Dicha operación consistía en que el IDEMA entregaría a COLCEREALES cinco mil toneladas </w:t>
      </w:r>
      <w:r w:rsidR="008F7BDD" w:rsidRPr="004C2FAC">
        <w:rPr>
          <w:rFonts w:cs="Arial"/>
        </w:rPr>
        <w:t xml:space="preserve">(5.000) </w:t>
      </w:r>
      <w:r w:rsidR="006C2829" w:rsidRPr="004C2FAC">
        <w:rPr>
          <w:rFonts w:cs="Arial"/>
        </w:rPr>
        <w:t>de arroz blanco, grados 2, 3 y 4 y, a su vez, COLCEREALES le entregaría al IDEMA, tres mil cuatrocientas toneladas</w:t>
      </w:r>
      <w:r w:rsidR="00C36CDB" w:rsidRPr="004C2FAC">
        <w:rPr>
          <w:rFonts w:cs="Arial"/>
        </w:rPr>
        <w:t xml:space="preserve"> (3.400)</w:t>
      </w:r>
      <w:r w:rsidR="006C2829" w:rsidRPr="004C2FAC">
        <w:rPr>
          <w:rFonts w:cs="Arial"/>
        </w:rPr>
        <w:t xml:space="preserve"> de arroz blanco grado 1.</w:t>
      </w:r>
    </w:p>
    <w:p w:rsidR="006C2829" w:rsidRPr="004C2FAC" w:rsidRDefault="006C2829" w:rsidP="0090169C">
      <w:pPr>
        <w:pStyle w:val="Lista2"/>
        <w:ind w:left="0" w:firstLine="0"/>
        <w:rPr>
          <w:rFonts w:cs="Arial"/>
          <w:b/>
        </w:rPr>
      </w:pPr>
    </w:p>
    <w:p w:rsidR="00C36CDB" w:rsidRPr="004C2FAC" w:rsidRDefault="006C2829" w:rsidP="0090169C">
      <w:pPr>
        <w:pStyle w:val="Lista2"/>
        <w:ind w:left="0" w:firstLine="0"/>
        <w:rPr>
          <w:rFonts w:cs="Arial"/>
        </w:rPr>
      </w:pPr>
      <w:r w:rsidRPr="004C2FAC">
        <w:rPr>
          <w:rFonts w:cs="Arial"/>
          <w:b/>
        </w:rPr>
        <w:t>2</w:t>
      </w:r>
      <w:r w:rsidR="00C36CDB" w:rsidRPr="004C2FAC">
        <w:rPr>
          <w:rFonts w:cs="Arial"/>
          <w:b/>
        </w:rPr>
        <w:t>.</w:t>
      </w:r>
      <w:r w:rsidRPr="004C2FAC">
        <w:rPr>
          <w:rFonts w:cs="Arial"/>
          <w:b/>
        </w:rPr>
        <w:t>2</w:t>
      </w:r>
      <w:r w:rsidR="00C36CDB" w:rsidRPr="004C2FAC">
        <w:rPr>
          <w:rFonts w:cs="Arial"/>
          <w:b/>
        </w:rPr>
        <w:t>.</w:t>
      </w:r>
      <w:r w:rsidRPr="004C2FAC">
        <w:rPr>
          <w:rFonts w:cs="Arial"/>
          <w:b/>
        </w:rPr>
        <w:t xml:space="preserve"> </w:t>
      </w:r>
      <w:r w:rsidRPr="004C2FAC">
        <w:rPr>
          <w:rFonts w:cs="Arial"/>
        </w:rPr>
        <w:t>El 24 de febrero de 199</w:t>
      </w:r>
      <w:r w:rsidR="00DD75BF" w:rsidRPr="004C2FAC">
        <w:rPr>
          <w:rFonts w:cs="Arial"/>
        </w:rPr>
        <w:t xml:space="preserve">5, </w:t>
      </w:r>
      <w:r w:rsidR="00514008" w:rsidRPr="004C2FAC">
        <w:rPr>
          <w:rFonts w:cs="Arial"/>
        </w:rPr>
        <w:t xml:space="preserve">Torres </w:t>
      </w:r>
      <w:r w:rsidR="00A672D4" w:rsidRPr="004C2FAC">
        <w:rPr>
          <w:rFonts w:cs="Arial"/>
        </w:rPr>
        <w:t>Cortés</w:t>
      </w:r>
      <w:r w:rsidR="00514008" w:rsidRPr="004C2FAC">
        <w:rPr>
          <w:rFonts w:cs="Arial"/>
        </w:rPr>
        <w:t xml:space="preserve"> y Cía realizó </w:t>
      </w:r>
      <w:r w:rsidR="00DD75BF" w:rsidRPr="004C2FAC">
        <w:rPr>
          <w:rFonts w:cs="Arial"/>
        </w:rPr>
        <w:t>las operaciones de trueque DT 13074, 13075, 13066 y 13067, obrando por cuenta de COLCEREALES, de conformidad con las cuales</w:t>
      </w:r>
      <w:r w:rsidR="009C6B50" w:rsidRPr="004C2FAC">
        <w:rPr>
          <w:rFonts w:cs="Arial"/>
        </w:rPr>
        <w:t xml:space="preserve">, según la  demanda, </w:t>
      </w:r>
      <w:r w:rsidR="00DD75BF" w:rsidRPr="004C2FAC">
        <w:rPr>
          <w:rFonts w:cs="Arial"/>
        </w:rPr>
        <w:t xml:space="preserve"> e</w:t>
      </w:r>
      <w:r w:rsidR="008F7BDD" w:rsidRPr="004C2FAC">
        <w:rPr>
          <w:rFonts w:cs="Arial"/>
        </w:rPr>
        <w:t xml:space="preserve">l </w:t>
      </w:r>
      <w:r w:rsidR="00C36CDB" w:rsidRPr="004C2FAC">
        <w:rPr>
          <w:rFonts w:cs="Arial"/>
        </w:rPr>
        <w:t>IDEMA</w:t>
      </w:r>
      <w:r w:rsidR="008F7BDD" w:rsidRPr="004C2FAC">
        <w:rPr>
          <w:rFonts w:cs="Arial"/>
        </w:rPr>
        <w:t xml:space="preserve"> entregar</w:t>
      </w:r>
      <w:r w:rsidR="00C36CDB" w:rsidRPr="004C2FAC">
        <w:rPr>
          <w:rFonts w:cs="Arial"/>
        </w:rPr>
        <w:t>ía</w:t>
      </w:r>
      <w:r w:rsidR="008F7BDD" w:rsidRPr="004C2FAC">
        <w:rPr>
          <w:rFonts w:cs="Arial"/>
        </w:rPr>
        <w:t xml:space="preserve"> mil toneladas de arroz paddy </w:t>
      </w:r>
      <w:r w:rsidR="00C36CDB" w:rsidRPr="004C2FAC">
        <w:rPr>
          <w:rFonts w:cs="Arial"/>
        </w:rPr>
        <w:t xml:space="preserve">(1.000) </w:t>
      </w:r>
      <w:r w:rsidR="008F7BDD" w:rsidRPr="004C2FAC">
        <w:rPr>
          <w:rFonts w:cs="Arial"/>
        </w:rPr>
        <w:t>a cambio de</w:t>
      </w:r>
      <w:r w:rsidR="00DD75BF" w:rsidRPr="004C2FAC">
        <w:rPr>
          <w:rFonts w:cs="Arial"/>
        </w:rPr>
        <w:t xml:space="preserve"> </w:t>
      </w:r>
      <w:r w:rsidR="008F7BDD" w:rsidRPr="004C2FAC">
        <w:rPr>
          <w:rFonts w:cs="Arial"/>
        </w:rPr>
        <w:t>cu</w:t>
      </w:r>
      <w:r w:rsidR="00DD75BF" w:rsidRPr="004C2FAC">
        <w:rPr>
          <w:rFonts w:cs="Arial"/>
        </w:rPr>
        <w:t xml:space="preserve">atrocientos noventa y tres </w:t>
      </w:r>
      <w:r w:rsidR="008F7BDD" w:rsidRPr="004C2FAC">
        <w:rPr>
          <w:rFonts w:cs="Arial"/>
        </w:rPr>
        <w:t xml:space="preserve">toneladas </w:t>
      </w:r>
      <w:r w:rsidR="00C36CDB" w:rsidRPr="004C2FAC">
        <w:rPr>
          <w:rFonts w:cs="Arial"/>
        </w:rPr>
        <w:t xml:space="preserve">(493) </w:t>
      </w:r>
      <w:r w:rsidR="008F7BDD" w:rsidRPr="004C2FAC">
        <w:rPr>
          <w:rFonts w:cs="Arial"/>
        </w:rPr>
        <w:t>de arroz blanco que le debía entregar COLCEREALES</w:t>
      </w:r>
      <w:r w:rsidR="00C36CDB" w:rsidRPr="004C2FAC">
        <w:rPr>
          <w:rFonts w:cs="Arial"/>
        </w:rPr>
        <w:t>.</w:t>
      </w:r>
    </w:p>
    <w:p w:rsidR="00C36CDB" w:rsidRPr="004C2FAC" w:rsidRDefault="00C36CDB" w:rsidP="0090169C">
      <w:pPr>
        <w:pStyle w:val="Lista2"/>
        <w:ind w:left="0" w:firstLine="0"/>
        <w:rPr>
          <w:rFonts w:cs="Arial"/>
        </w:rPr>
      </w:pPr>
    </w:p>
    <w:p w:rsidR="00C36CDB" w:rsidRPr="004C2FAC" w:rsidRDefault="00C36CDB" w:rsidP="0090169C">
      <w:pPr>
        <w:pStyle w:val="Lista2"/>
        <w:ind w:left="0" w:firstLine="0"/>
        <w:rPr>
          <w:rFonts w:cs="Arial"/>
        </w:rPr>
      </w:pPr>
      <w:r w:rsidRPr="004C2FAC">
        <w:rPr>
          <w:rFonts w:cs="Arial"/>
          <w:b/>
        </w:rPr>
        <w:t xml:space="preserve">2.3. </w:t>
      </w:r>
      <w:r w:rsidRPr="004C2FAC">
        <w:rPr>
          <w:rFonts w:cs="Arial"/>
        </w:rPr>
        <w:t>Entre las partes contratante surgieron muchas discrepancias sobre la ejecución y el cumplimiento de las obligaciones.</w:t>
      </w:r>
    </w:p>
    <w:p w:rsidR="00C36CDB" w:rsidRPr="004C2FAC" w:rsidRDefault="00C36CDB" w:rsidP="0090169C">
      <w:pPr>
        <w:pStyle w:val="Lista2"/>
        <w:ind w:left="0" w:firstLine="0"/>
        <w:rPr>
          <w:rFonts w:cs="Arial"/>
        </w:rPr>
      </w:pPr>
    </w:p>
    <w:p w:rsidR="000D0F31" w:rsidRPr="004C2FAC" w:rsidRDefault="00C36CDB" w:rsidP="0090169C">
      <w:pPr>
        <w:pStyle w:val="Lista2"/>
        <w:ind w:left="0" w:firstLine="0"/>
        <w:rPr>
          <w:rFonts w:cs="Arial"/>
        </w:rPr>
      </w:pPr>
      <w:r w:rsidRPr="004C2FAC">
        <w:rPr>
          <w:rFonts w:cs="Arial"/>
          <w:b/>
        </w:rPr>
        <w:t xml:space="preserve">2.4. </w:t>
      </w:r>
      <w:r w:rsidR="00BD3AB2" w:rsidRPr="004C2FAC">
        <w:rPr>
          <w:rFonts w:cs="Arial"/>
        </w:rPr>
        <w:t xml:space="preserve">En noviembre de 1996, COLCEREALES y el IDEMA suscribieron un </w:t>
      </w:r>
      <w:r w:rsidR="00A109CC" w:rsidRPr="004C2FAC">
        <w:rPr>
          <w:rFonts w:cs="Arial"/>
        </w:rPr>
        <w:t xml:space="preserve">documento denominado </w:t>
      </w:r>
      <w:r w:rsidR="00BD3AB2" w:rsidRPr="004C2FAC">
        <w:rPr>
          <w:rFonts w:cs="Arial"/>
        </w:rPr>
        <w:t>acta de conciliación y dación</w:t>
      </w:r>
      <w:r w:rsidR="000E6932" w:rsidRPr="004C2FAC">
        <w:rPr>
          <w:rFonts w:cs="Arial"/>
        </w:rPr>
        <w:t xml:space="preserve"> </w:t>
      </w:r>
      <w:r w:rsidR="00BD3AB2" w:rsidRPr="004C2FAC">
        <w:rPr>
          <w:rFonts w:cs="Arial"/>
        </w:rPr>
        <w:t xml:space="preserve">en pago, en el cual COLCEREALES se comprometió a entregar en dación en pago un inmueble denominado </w:t>
      </w:r>
      <w:r w:rsidR="00514008" w:rsidRPr="004C2FAC">
        <w:rPr>
          <w:rFonts w:cs="Arial"/>
          <w:i/>
        </w:rPr>
        <w:t>“</w:t>
      </w:r>
      <w:r w:rsidR="00BD3AB2" w:rsidRPr="004C2FAC">
        <w:rPr>
          <w:rFonts w:cs="Arial"/>
          <w:i/>
        </w:rPr>
        <w:t>MOLINO ARROCERA AGUALINDA</w:t>
      </w:r>
      <w:r w:rsidR="00514008" w:rsidRPr="004C2FAC">
        <w:rPr>
          <w:rFonts w:cs="Arial"/>
          <w:i/>
        </w:rPr>
        <w:t>”</w:t>
      </w:r>
      <w:r w:rsidR="00BD3AB2" w:rsidRPr="004C2FAC">
        <w:rPr>
          <w:rFonts w:cs="Arial"/>
        </w:rPr>
        <w:t xml:space="preserve">, ubicado en Puerto López </w:t>
      </w:r>
      <w:r w:rsidR="000D0F31" w:rsidRPr="004C2FAC">
        <w:rPr>
          <w:rFonts w:cs="Arial"/>
        </w:rPr>
        <w:t>–</w:t>
      </w:r>
      <w:r w:rsidR="00BD3AB2" w:rsidRPr="004C2FAC">
        <w:rPr>
          <w:rFonts w:cs="Arial"/>
        </w:rPr>
        <w:t xml:space="preserve"> Meta</w:t>
      </w:r>
      <w:r w:rsidR="000E6932" w:rsidRPr="004C2FAC">
        <w:rPr>
          <w:rFonts w:cs="Arial"/>
        </w:rPr>
        <w:t>.</w:t>
      </w:r>
    </w:p>
    <w:p w:rsidR="000D0F31" w:rsidRPr="004C2FAC" w:rsidRDefault="000D0F31" w:rsidP="0090169C">
      <w:pPr>
        <w:pStyle w:val="Lista2"/>
        <w:ind w:left="0" w:firstLine="0"/>
        <w:rPr>
          <w:rFonts w:cs="Arial"/>
        </w:rPr>
      </w:pPr>
    </w:p>
    <w:p w:rsidR="0010328E" w:rsidRPr="004C2FAC" w:rsidRDefault="000D0F31" w:rsidP="0090169C">
      <w:pPr>
        <w:pStyle w:val="Lista2"/>
        <w:ind w:left="0" w:firstLine="0"/>
        <w:rPr>
          <w:rFonts w:cs="Arial"/>
        </w:rPr>
      </w:pPr>
      <w:r w:rsidRPr="004C2FAC">
        <w:rPr>
          <w:rFonts w:cs="Arial"/>
          <w:b/>
        </w:rPr>
        <w:t xml:space="preserve">2.5. </w:t>
      </w:r>
      <w:r w:rsidRPr="004C2FAC">
        <w:rPr>
          <w:rFonts w:cs="Arial"/>
        </w:rPr>
        <w:t>El IDEMA solicitó un aval</w:t>
      </w:r>
      <w:r w:rsidR="000E6932" w:rsidRPr="004C2FAC">
        <w:rPr>
          <w:rFonts w:cs="Arial"/>
        </w:rPr>
        <w:t>úo</w:t>
      </w:r>
      <w:r w:rsidRPr="004C2FAC">
        <w:rPr>
          <w:rFonts w:cs="Arial"/>
        </w:rPr>
        <w:t xml:space="preserve"> del inmueble a la Lonja de Propiedad Raíz de Villavicencio, el cual arrojó la suma de $2.199</w:t>
      </w:r>
      <w:r w:rsidR="000E6932" w:rsidRPr="004C2FAC">
        <w:rPr>
          <w:rFonts w:cs="Arial"/>
        </w:rPr>
        <w:t>’</w:t>
      </w:r>
      <w:r w:rsidRPr="004C2FAC">
        <w:rPr>
          <w:rFonts w:cs="Arial"/>
        </w:rPr>
        <w:t>861.000, valor estimado en el año 1996.</w:t>
      </w:r>
      <w:r w:rsidRPr="004C2FAC">
        <w:rPr>
          <w:rFonts w:cs="Arial"/>
          <w:b/>
        </w:rPr>
        <w:t xml:space="preserve"> </w:t>
      </w:r>
      <w:r w:rsidRPr="004C2FAC">
        <w:rPr>
          <w:rFonts w:cs="Arial"/>
        </w:rPr>
        <w:t xml:space="preserve">Dicho avalúo fue aprobado por el IDEMA mediante </w:t>
      </w:r>
      <w:r w:rsidR="0010328E" w:rsidRPr="004C2FAC">
        <w:rPr>
          <w:rFonts w:cs="Arial"/>
        </w:rPr>
        <w:t>comunicación de noviembre 26 de 1996, empero</w:t>
      </w:r>
      <w:r w:rsidR="000E6932" w:rsidRPr="004C2FAC">
        <w:rPr>
          <w:rFonts w:cs="Arial"/>
        </w:rPr>
        <w:t>, según indicó la parte actora,</w:t>
      </w:r>
      <w:r w:rsidR="0010328E" w:rsidRPr="004C2FAC">
        <w:rPr>
          <w:rFonts w:cs="Arial"/>
        </w:rPr>
        <w:t xml:space="preserve"> COLCEREALES nunca cumplió con su obligación de aceptar el avalúo, ni con la de transferir el inmueble a</w:t>
      </w:r>
      <w:r w:rsidR="000E6932" w:rsidRPr="004C2FAC">
        <w:rPr>
          <w:rFonts w:cs="Arial"/>
        </w:rPr>
        <w:t xml:space="preserve"> favor del</w:t>
      </w:r>
      <w:r w:rsidR="0010328E" w:rsidRPr="004C2FAC">
        <w:rPr>
          <w:rFonts w:cs="Arial"/>
        </w:rPr>
        <w:t xml:space="preserve"> IDEMA</w:t>
      </w:r>
      <w:r w:rsidR="000E6932" w:rsidRPr="004C2FAC">
        <w:rPr>
          <w:rFonts w:cs="Arial"/>
        </w:rPr>
        <w:t>,</w:t>
      </w:r>
      <w:r w:rsidR="0010328E" w:rsidRPr="004C2FAC">
        <w:rPr>
          <w:rFonts w:cs="Arial"/>
        </w:rPr>
        <w:t xml:space="preserve"> a través de la escritura pública correspondiente.</w:t>
      </w:r>
    </w:p>
    <w:p w:rsidR="0010328E" w:rsidRPr="004C2FAC" w:rsidRDefault="0010328E" w:rsidP="0090169C">
      <w:pPr>
        <w:pStyle w:val="Lista2"/>
        <w:ind w:left="0" w:firstLine="0"/>
        <w:rPr>
          <w:rFonts w:cs="Arial"/>
        </w:rPr>
      </w:pPr>
    </w:p>
    <w:p w:rsidR="00692EAB" w:rsidRPr="004C2FAC" w:rsidRDefault="0010328E" w:rsidP="0090169C">
      <w:pPr>
        <w:pStyle w:val="Lista2"/>
        <w:ind w:left="0" w:firstLine="0"/>
        <w:rPr>
          <w:rFonts w:cs="Arial"/>
          <w:b/>
        </w:rPr>
      </w:pPr>
      <w:r w:rsidRPr="004C2FAC">
        <w:rPr>
          <w:rFonts w:cs="Arial"/>
          <w:b/>
        </w:rPr>
        <w:t>2.</w:t>
      </w:r>
      <w:r w:rsidR="00B9262F" w:rsidRPr="004C2FAC">
        <w:rPr>
          <w:rFonts w:cs="Arial"/>
          <w:b/>
        </w:rPr>
        <w:t>6</w:t>
      </w:r>
      <w:r w:rsidRPr="004C2FAC">
        <w:rPr>
          <w:rFonts w:cs="Arial"/>
          <w:b/>
        </w:rPr>
        <w:t xml:space="preserve">. </w:t>
      </w:r>
      <w:r w:rsidRPr="004C2FAC">
        <w:rPr>
          <w:rFonts w:cs="Arial"/>
        </w:rPr>
        <w:t>El acuerdo de dación en pago estableció unas condiciones</w:t>
      </w:r>
      <w:r w:rsidR="00692EAB" w:rsidRPr="004C2FAC">
        <w:rPr>
          <w:rFonts w:cs="Arial"/>
        </w:rPr>
        <w:t xml:space="preserve"> según las cuales COLCEREALES debía aceptar el </w:t>
      </w:r>
      <w:r w:rsidR="000E6932" w:rsidRPr="004C2FAC">
        <w:rPr>
          <w:rFonts w:cs="Arial"/>
        </w:rPr>
        <w:t xml:space="preserve">avalúo del </w:t>
      </w:r>
      <w:r w:rsidR="00692EAB" w:rsidRPr="004C2FAC">
        <w:rPr>
          <w:rFonts w:cs="Arial"/>
        </w:rPr>
        <w:t xml:space="preserve">inmueble </w:t>
      </w:r>
      <w:r w:rsidR="000E6932" w:rsidRPr="004C2FAC">
        <w:rPr>
          <w:rFonts w:cs="Arial"/>
        </w:rPr>
        <w:t xml:space="preserve">con el fin de que </w:t>
      </w:r>
      <w:r w:rsidR="00692EAB" w:rsidRPr="004C2FAC">
        <w:rPr>
          <w:rFonts w:cs="Arial"/>
        </w:rPr>
        <w:t>se procediera a fijar la fecha y hora para suscribir la escritura pública</w:t>
      </w:r>
      <w:r w:rsidR="000E6932" w:rsidRPr="004C2FAC">
        <w:rPr>
          <w:rFonts w:cs="Arial"/>
        </w:rPr>
        <w:t>,</w:t>
      </w:r>
      <w:r w:rsidR="00692EAB" w:rsidRPr="004C2FAC">
        <w:rPr>
          <w:rFonts w:cs="Arial"/>
        </w:rPr>
        <w:t xml:space="preserve"> lo cual no cumplió.</w:t>
      </w:r>
    </w:p>
    <w:p w:rsidR="00692EAB" w:rsidRPr="004C2FAC" w:rsidRDefault="00692EAB" w:rsidP="0090169C">
      <w:pPr>
        <w:pStyle w:val="Lista2"/>
        <w:ind w:left="0" w:firstLine="0"/>
        <w:rPr>
          <w:rFonts w:cs="Arial"/>
          <w:b/>
        </w:rPr>
      </w:pPr>
    </w:p>
    <w:p w:rsidR="0043026B" w:rsidRPr="004C2FAC" w:rsidRDefault="00692EAB" w:rsidP="0090169C">
      <w:pPr>
        <w:pStyle w:val="Lista2"/>
        <w:ind w:left="0" w:firstLine="0"/>
        <w:rPr>
          <w:rFonts w:cs="Arial"/>
        </w:rPr>
      </w:pPr>
      <w:r w:rsidRPr="004C2FAC">
        <w:rPr>
          <w:rFonts w:cs="Arial"/>
          <w:b/>
        </w:rPr>
        <w:t>2.</w:t>
      </w:r>
      <w:r w:rsidR="00B9262F" w:rsidRPr="004C2FAC">
        <w:rPr>
          <w:rFonts w:cs="Arial"/>
          <w:b/>
        </w:rPr>
        <w:t>7</w:t>
      </w:r>
      <w:r w:rsidRPr="004C2FAC">
        <w:rPr>
          <w:rFonts w:cs="Arial"/>
          <w:b/>
        </w:rPr>
        <w:t xml:space="preserve">. </w:t>
      </w:r>
      <w:r w:rsidR="00A109CC" w:rsidRPr="004C2FAC">
        <w:rPr>
          <w:rFonts w:cs="Arial"/>
        </w:rPr>
        <w:t>Según narró la parte actora,</w:t>
      </w:r>
      <w:r w:rsidR="00A109CC" w:rsidRPr="004C2FAC">
        <w:rPr>
          <w:rFonts w:cs="Arial"/>
          <w:b/>
        </w:rPr>
        <w:t xml:space="preserve"> </w:t>
      </w:r>
      <w:r w:rsidR="0039782E" w:rsidRPr="004C2FAC">
        <w:rPr>
          <w:rFonts w:cs="Arial"/>
        </w:rPr>
        <w:t>a</w:t>
      </w:r>
      <w:r w:rsidRPr="004C2FAC">
        <w:rPr>
          <w:rFonts w:cs="Arial"/>
        </w:rPr>
        <w:t>l no cumplirse las condiciones a que estaba sometida el ac</w:t>
      </w:r>
      <w:r w:rsidR="00A109CC" w:rsidRPr="004C2FAC">
        <w:rPr>
          <w:rFonts w:cs="Arial"/>
        </w:rPr>
        <w:t>uerdo de dación en pago</w:t>
      </w:r>
      <w:r w:rsidRPr="004C2FAC">
        <w:rPr>
          <w:rFonts w:cs="Arial"/>
        </w:rPr>
        <w:t>, no se produjo la novación de las ob</w:t>
      </w:r>
      <w:r w:rsidR="000E6932" w:rsidRPr="004C2FAC">
        <w:rPr>
          <w:rFonts w:cs="Arial"/>
        </w:rPr>
        <w:t>l</w:t>
      </w:r>
      <w:r w:rsidRPr="004C2FAC">
        <w:rPr>
          <w:rFonts w:cs="Arial"/>
        </w:rPr>
        <w:t>igaci</w:t>
      </w:r>
      <w:r w:rsidR="000E6932" w:rsidRPr="004C2FAC">
        <w:rPr>
          <w:rFonts w:cs="Arial"/>
        </w:rPr>
        <w:t>o</w:t>
      </w:r>
      <w:r w:rsidRPr="004C2FAC">
        <w:rPr>
          <w:rFonts w:cs="Arial"/>
        </w:rPr>
        <w:t xml:space="preserve">nes </w:t>
      </w:r>
      <w:r w:rsidR="000E6932" w:rsidRPr="004C2FAC">
        <w:rPr>
          <w:rFonts w:cs="Arial"/>
        </w:rPr>
        <w:t xml:space="preserve">pendientes </w:t>
      </w:r>
      <w:r w:rsidR="005C0D68" w:rsidRPr="004C2FAC">
        <w:rPr>
          <w:rFonts w:cs="Arial"/>
        </w:rPr>
        <w:t xml:space="preserve">por razón del incumplimiento </w:t>
      </w:r>
      <w:r w:rsidR="000E6932" w:rsidRPr="004C2FAC">
        <w:rPr>
          <w:rFonts w:cs="Arial"/>
        </w:rPr>
        <w:t>de</w:t>
      </w:r>
      <w:r w:rsidR="00A109CC" w:rsidRPr="004C2FAC">
        <w:rPr>
          <w:rFonts w:cs="Arial"/>
        </w:rPr>
        <w:t xml:space="preserve"> los contratos de </w:t>
      </w:r>
      <w:r w:rsidR="000E6932" w:rsidRPr="004C2FAC">
        <w:rPr>
          <w:rFonts w:cs="Arial"/>
        </w:rPr>
        <w:t xml:space="preserve">trueque de arroz y, como </w:t>
      </w:r>
      <w:r w:rsidRPr="004C2FAC">
        <w:rPr>
          <w:rFonts w:cs="Arial"/>
        </w:rPr>
        <w:t>consecuencia</w:t>
      </w:r>
      <w:r w:rsidR="000E6932" w:rsidRPr="004C2FAC">
        <w:rPr>
          <w:rFonts w:cs="Arial"/>
        </w:rPr>
        <w:t xml:space="preserve">; </w:t>
      </w:r>
      <w:r w:rsidRPr="004C2FAC">
        <w:rPr>
          <w:rFonts w:cs="Arial"/>
        </w:rPr>
        <w:t>continuaba incumplida la obligación original a cargo de COLCEREALES</w:t>
      </w:r>
      <w:r w:rsidR="0043026B" w:rsidRPr="004C2FAC">
        <w:rPr>
          <w:rFonts w:cs="Arial"/>
        </w:rPr>
        <w:t>, consistente en entregar el arroz, l</w:t>
      </w:r>
      <w:r w:rsidR="0039782E" w:rsidRPr="004C2FAC">
        <w:rPr>
          <w:rFonts w:cs="Arial"/>
        </w:rPr>
        <w:t>a</w:t>
      </w:r>
      <w:r w:rsidR="0043026B" w:rsidRPr="004C2FAC">
        <w:rPr>
          <w:rFonts w:cs="Arial"/>
        </w:rPr>
        <w:t xml:space="preserve"> cual n</w:t>
      </w:r>
      <w:r w:rsidR="000E6932" w:rsidRPr="004C2FAC">
        <w:rPr>
          <w:rFonts w:cs="Arial"/>
        </w:rPr>
        <w:t>unca s</w:t>
      </w:r>
      <w:r w:rsidR="0043026B" w:rsidRPr="004C2FAC">
        <w:rPr>
          <w:rFonts w:cs="Arial"/>
        </w:rPr>
        <w:t>e cumplió.</w:t>
      </w:r>
    </w:p>
    <w:p w:rsidR="0043026B" w:rsidRPr="004C2FAC" w:rsidRDefault="0043026B" w:rsidP="0090169C">
      <w:pPr>
        <w:pStyle w:val="Lista2"/>
        <w:ind w:left="0" w:firstLine="0"/>
        <w:rPr>
          <w:rFonts w:cs="Arial"/>
        </w:rPr>
      </w:pPr>
    </w:p>
    <w:p w:rsidR="002B4008" w:rsidRPr="004C2FAC" w:rsidRDefault="0043026B" w:rsidP="0090169C">
      <w:pPr>
        <w:pStyle w:val="Lista2"/>
        <w:ind w:left="0" w:firstLine="0"/>
        <w:rPr>
          <w:rFonts w:cs="Arial"/>
        </w:rPr>
      </w:pPr>
      <w:r w:rsidRPr="004C2FAC">
        <w:rPr>
          <w:rFonts w:cs="Arial"/>
          <w:b/>
        </w:rPr>
        <w:t>2.</w:t>
      </w:r>
      <w:r w:rsidR="00B9262F" w:rsidRPr="004C2FAC">
        <w:rPr>
          <w:rFonts w:cs="Arial"/>
          <w:b/>
        </w:rPr>
        <w:t>8</w:t>
      </w:r>
      <w:r w:rsidRPr="004C2FAC">
        <w:rPr>
          <w:rFonts w:cs="Arial"/>
          <w:b/>
        </w:rPr>
        <w:t xml:space="preserve">. </w:t>
      </w:r>
      <w:r w:rsidR="000E6932" w:rsidRPr="004C2FAC">
        <w:rPr>
          <w:rFonts w:cs="Arial"/>
        </w:rPr>
        <w:t>De acuerdo con l</w:t>
      </w:r>
      <w:r w:rsidR="0039782E" w:rsidRPr="004C2FAC">
        <w:rPr>
          <w:rFonts w:cs="Arial"/>
        </w:rPr>
        <w:t xml:space="preserve">a demanda, </w:t>
      </w:r>
      <w:r w:rsidR="000E6932" w:rsidRPr="004C2FAC">
        <w:rPr>
          <w:rFonts w:cs="Arial"/>
        </w:rPr>
        <w:t>e</w:t>
      </w:r>
      <w:r w:rsidRPr="004C2FAC">
        <w:rPr>
          <w:rFonts w:cs="Arial"/>
        </w:rPr>
        <w:t>l contrato de</w:t>
      </w:r>
      <w:r w:rsidR="007A0452" w:rsidRPr="004C2FAC">
        <w:rPr>
          <w:rFonts w:cs="Arial"/>
        </w:rPr>
        <w:t xml:space="preserve"> </w:t>
      </w:r>
      <w:r w:rsidRPr="004C2FAC">
        <w:rPr>
          <w:rFonts w:cs="Arial"/>
        </w:rPr>
        <w:t>trueque No. 8861 fue garantizado con la póliza de seguro 231844</w:t>
      </w:r>
      <w:r w:rsidR="0039782E" w:rsidRPr="004C2FAC">
        <w:rPr>
          <w:rFonts w:cs="Arial"/>
        </w:rPr>
        <w:t>,</w:t>
      </w:r>
      <w:r w:rsidRPr="004C2FAC">
        <w:rPr>
          <w:rFonts w:cs="Arial"/>
        </w:rPr>
        <w:t xml:space="preserve"> expedida por Latinoamericana de Seguros S.A.</w:t>
      </w:r>
      <w:r w:rsidR="002B4008" w:rsidRPr="004C2FAC">
        <w:rPr>
          <w:rFonts w:cs="Arial"/>
        </w:rPr>
        <w:t xml:space="preserve"> el 2 de octubre de 1995</w:t>
      </w:r>
      <w:r w:rsidRPr="004C2FAC">
        <w:rPr>
          <w:rFonts w:cs="Arial"/>
        </w:rPr>
        <w:t xml:space="preserve">; las operaciones de trueque DT 13074 y 13075 </w:t>
      </w:r>
      <w:r w:rsidR="002B4008" w:rsidRPr="004C2FAC">
        <w:rPr>
          <w:rFonts w:cs="Arial"/>
        </w:rPr>
        <w:t xml:space="preserve">fueron garantizadas </w:t>
      </w:r>
      <w:r w:rsidRPr="004C2FAC">
        <w:rPr>
          <w:rFonts w:cs="Arial"/>
        </w:rPr>
        <w:t>con la póliza de seguro 193363 de la misma aseguradora</w:t>
      </w:r>
      <w:r w:rsidR="007A0452" w:rsidRPr="004C2FAC">
        <w:rPr>
          <w:rFonts w:cs="Arial"/>
        </w:rPr>
        <w:t xml:space="preserve">, </w:t>
      </w:r>
      <w:r w:rsidR="002B4008" w:rsidRPr="004C2FAC">
        <w:rPr>
          <w:rFonts w:cs="Arial"/>
        </w:rPr>
        <w:t>expedida el 20 de febrero de 1995, adicionada en varias oportunidades y prorrogada hasta el 1º de noviembre de 1996</w:t>
      </w:r>
      <w:r w:rsidR="008D2A1D" w:rsidRPr="004C2FAC">
        <w:rPr>
          <w:rFonts w:cs="Arial"/>
        </w:rPr>
        <w:t xml:space="preserve"> y</w:t>
      </w:r>
      <w:r w:rsidR="002B4008" w:rsidRPr="004C2FAC">
        <w:rPr>
          <w:rFonts w:cs="Arial"/>
        </w:rPr>
        <w:t xml:space="preserve"> </w:t>
      </w:r>
      <w:r w:rsidR="007A0452" w:rsidRPr="004C2FAC">
        <w:rPr>
          <w:rFonts w:cs="Arial"/>
        </w:rPr>
        <w:t>las operaciones de trueque DT 13066 y 13067 fueron garantizadas con la póliza de seguro 193364 expedida por la misma aseguradora</w:t>
      </w:r>
      <w:r w:rsidR="002B4008" w:rsidRPr="004C2FAC">
        <w:rPr>
          <w:rFonts w:cs="Arial"/>
        </w:rPr>
        <w:t xml:space="preserve">, </w:t>
      </w:r>
      <w:r w:rsidR="008D2A1D" w:rsidRPr="004C2FAC">
        <w:rPr>
          <w:rFonts w:cs="Arial"/>
        </w:rPr>
        <w:t xml:space="preserve">prorrogada </w:t>
      </w:r>
      <w:r w:rsidR="002B4008" w:rsidRPr="004C2FAC">
        <w:rPr>
          <w:rFonts w:cs="Arial"/>
        </w:rPr>
        <w:t>con vigencia hasta el 15 de julio de 1996</w:t>
      </w:r>
      <w:r w:rsidR="007A0452" w:rsidRPr="004C2FAC">
        <w:rPr>
          <w:rFonts w:cs="Arial"/>
        </w:rPr>
        <w:t>.</w:t>
      </w:r>
    </w:p>
    <w:p w:rsidR="008D2A1D" w:rsidRPr="004C2FAC" w:rsidRDefault="008D2A1D" w:rsidP="0090169C">
      <w:pPr>
        <w:pStyle w:val="Lista2"/>
        <w:ind w:left="0" w:firstLine="0"/>
        <w:rPr>
          <w:rFonts w:cs="Arial"/>
        </w:rPr>
      </w:pPr>
    </w:p>
    <w:p w:rsidR="008D2A1D" w:rsidRPr="004C2FAC" w:rsidRDefault="008D2A1D" w:rsidP="0090169C">
      <w:pPr>
        <w:pStyle w:val="Lista2"/>
        <w:ind w:left="0" w:firstLine="0"/>
        <w:rPr>
          <w:rFonts w:cs="Arial"/>
        </w:rPr>
      </w:pPr>
      <w:r w:rsidRPr="004C2FAC">
        <w:rPr>
          <w:rFonts w:cs="Arial"/>
          <w:b/>
        </w:rPr>
        <w:t>2.</w:t>
      </w:r>
      <w:r w:rsidR="00293818" w:rsidRPr="004C2FAC">
        <w:rPr>
          <w:rFonts w:cs="Arial"/>
          <w:b/>
        </w:rPr>
        <w:t>9</w:t>
      </w:r>
      <w:r w:rsidRPr="004C2FAC">
        <w:rPr>
          <w:rFonts w:cs="Arial"/>
          <w:b/>
        </w:rPr>
        <w:t xml:space="preserve">. </w:t>
      </w:r>
      <w:r w:rsidR="003C681E" w:rsidRPr="004C2FAC">
        <w:rPr>
          <w:rFonts w:cs="Arial"/>
        </w:rPr>
        <w:t xml:space="preserve">Según afirmó </w:t>
      </w:r>
      <w:r w:rsidR="00293818" w:rsidRPr="004C2FAC">
        <w:rPr>
          <w:rFonts w:cs="Arial"/>
        </w:rPr>
        <w:t xml:space="preserve">el </w:t>
      </w:r>
      <w:r w:rsidR="003C681E" w:rsidRPr="004C2FAC">
        <w:rPr>
          <w:rFonts w:cs="Arial"/>
        </w:rPr>
        <w:t>demandante, e</w:t>
      </w:r>
      <w:r w:rsidRPr="004C2FAC">
        <w:rPr>
          <w:rFonts w:cs="Arial"/>
        </w:rPr>
        <w:t>l IDEMA entregó a COLCEREALES el arroz acordado dentro de las operaciones de trueque</w:t>
      </w:r>
      <w:r w:rsidR="0039782E" w:rsidRPr="004C2FAC">
        <w:rPr>
          <w:rFonts w:cs="Arial"/>
        </w:rPr>
        <w:t>,</w:t>
      </w:r>
      <w:r w:rsidRPr="004C2FAC">
        <w:rPr>
          <w:rFonts w:cs="Arial"/>
        </w:rPr>
        <w:t xml:space="preserve"> pero COLCEREALES incumplió con las entregas a su cargo.</w:t>
      </w:r>
    </w:p>
    <w:p w:rsidR="008D2A1D" w:rsidRPr="004C2FAC" w:rsidRDefault="008D2A1D" w:rsidP="0090169C">
      <w:pPr>
        <w:pStyle w:val="Lista2"/>
        <w:ind w:left="0" w:firstLine="0"/>
        <w:rPr>
          <w:rFonts w:cs="Arial"/>
          <w:b/>
        </w:rPr>
      </w:pPr>
    </w:p>
    <w:p w:rsidR="003D178D" w:rsidRPr="004C2FAC" w:rsidRDefault="003D178D" w:rsidP="0090169C">
      <w:pPr>
        <w:pStyle w:val="Continuarlista2"/>
        <w:ind w:left="0"/>
        <w:rPr>
          <w:rFonts w:cs="Arial"/>
          <w:b/>
        </w:rPr>
      </w:pPr>
      <w:r w:rsidRPr="004C2FAC">
        <w:rPr>
          <w:rFonts w:cs="Arial"/>
          <w:b/>
        </w:rPr>
        <w:lastRenderedPageBreak/>
        <w:t>3. Concepto de violación</w:t>
      </w:r>
    </w:p>
    <w:p w:rsidR="000E2AD6" w:rsidRPr="004C2FAC" w:rsidRDefault="000E2AD6" w:rsidP="0090169C">
      <w:pPr>
        <w:pStyle w:val="Continuarlista2"/>
        <w:ind w:left="0"/>
        <w:rPr>
          <w:rFonts w:cs="Arial"/>
        </w:rPr>
      </w:pPr>
    </w:p>
    <w:p w:rsidR="00C81A08" w:rsidRPr="004C2FAC" w:rsidRDefault="000E2AD6" w:rsidP="008D4E6C">
      <w:pPr>
        <w:pStyle w:val="Continuarlista2"/>
        <w:ind w:left="0"/>
        <w:rPr>
          <w:rFonts w:cs="Arial"/>
        </w:rPr>
      </w:pPr>
      <w:r w:rsidRPr="004C2FAC">
        <w:rPr>
          <w:rFonts w:cs="Arial"/>
        </w:rPr>
        <w:t xml:space="preserve">La parte </w:t>
      </w:r>
      <w:r w:rsidR="008B03BA" w:rsidRPr="004C2FAC">
        <w:rPr>
          <w:rFonts w:cs="Arial"/>
        </w:rPr>
        <w:t xml:space="preserve">actora </w:t>
      </w:r>
      <w:r w:rsidRPr="004C2FAC">
        <w:rPr>
          <w:rFonts w:cs="Arial"/>
        </w:rPr>
        <w:t>i</w:t>
      </w:r>
      <w:r w:rsidR="006323F5" w:rsidRPr="004C2FAC">
        <w:rPr>
          <w:rFonts w:cs="Arial"/>
        </w:rPr>
        <w:t>nvocó</w:t>
      </w:r>
      <w:r w:rsidR="003C681E" w:rsidRPr="004C2FAC">
        <w:rPr>
          <w:rFonts w:cs="Arial"/>
        </w:rPr>
        <w:t>,</w:t>
      </w:r>
      <w:r w:rsidR="006323F5" w:rsidRPr="004C2FAC">
        <w:rPr>
          <w:rFonts w:cs="Arial"/>
        </w:rPr>
        <w:t xml:space="preserve"> </w:t>
      </w:r>
      <w:r w:rsidR="008A0DF1" w:rsidRPr="004C2FAC">
        <w:rPr>
          <w:rFonts w:cs="Arial"/>
        </w:rPr>
        <w:t xml:space="preserve">como apoyo de sus pretensiones, los artículos 13, 55 y 75 de la Ley 80 de 1993, así como los artículos </w:t>
      </w:r>
      <w:r w:rsidR="00C81A08" w:rsidRPr="004C2FAC">
        <w:rPr>
          <w:rFonts w:cs="Arial"/>
        </w:rPr>
        <w:t xml:space="preserve">1602, 1603, 1608, 1613, 1614, 1615 y 1692 </w:t>
      </w:r>
      <w:r w:rsidR="008A0DF1" w:rsidRPr="004C2FAC">
        <w:rPr>
          <w:rFonts w:cs="Arial"/>
        </w:rPr>
        <w:t>del Código Civil</w:t>
      </w:r>
      <w:r w:rsidR="00DA7344" w:rsidRPr="004C2FAC">
        <w:rPr>
          <w:rFonts w:cs="Arial"/>
        </w:rPr>
        <w:t>, referidos a las obligaciones contractuales</w:t>
      </w:r>
      <w:r w:rsidR="0039782E" w:rsidRPr="004C2FAC">
        <w:rPr>
          <w:rFonts w:cs="Arial"/>
        </w:rPr>
        <w:t>,</w:t>
      </w:r>
      <w:r w:rsidR="008A0DF1" w:rsidRPr="004C2FAC">
        <w:rPr>
          <w:rFonts w:cs="Arial"/>
        </w:rPr>
        <w:t xml:space="preserve"> y el título V del Libro </w:t>
      </w:r>
      <w:r w:rsidR="00C81A08" w:rsidRPr="004C2FAC">
        <w:rPr>
          <w:rFonts w:cs="Arial"/>
        </w:rPr>
        <w:t xml:space="preserve">Cuarto del </w:t>
      </w:r>
      <w:r w:rsidR="008A0DF1" w:rsidRPr="004C2FAC">
        <w:rPr>
          <w:rFonts w:cs="Arial"/>
        </w:rPr>
        <w:t>Código de Comercio</w:t>
      </w:r>
      <w:r w:rsidR="00C81A08" w:rsidRPr="004C2FAC">
        <w:rPr>
          <w:rFonts w:cs="Arial"/>
        </w:rPr>
        <w:t>, correspondiente a los contratos y obligaciones mercantiles.</w:t>
      </w:r>
    </w:p>
    <w:p w:rsidR="00C81A08" w:rsidRPr="004C2FAC" w:rsidRDefault="00C81A08" w:rsidP="008D4E6C">
      <w:pPr>
        <w:pStyle w:val="Continuarlista2"/>
        <w:ind w:left="0"/>
        <w:rPr>
          <w:rFonts w:cs="Arial"/>
        </w:rPr>
      </w:pPr>
    </w:p>
    <w:p w:rsidR="00F21484" w:rsidRPr="004C2FAC" w:rsidRDefault="0015263D" w:rsidP="0090169C">
      <w:pPr>
        <w:pStyle w:val="Lista3"/>
        <w:ind w:left="0" w:firstLine="0"/>
        <w:rPr>
          <w:rFonts w:cs="Arial"/>
          <w:b/>
        </w:rPr>
      </w:pPr>
      <w:r w:rsidRPr="004C2FAC">
        <w:rPr>
          <w:rFonts w:cs="Arial"/>
          <w:b/>
        </w:rPr>
        <w:t>4</w:t>
      </w:r>
      <w:r w:rsidR="00F21484" w:rsidRPr="004C2FAC">
        <w:rPr>
          <w:rFonts w:cs="Arial"/>
          <w:b/>
        </w:rPr>
        <w:t>.</w:t>
      </w:r>
      <w:r w:rsidR="00CE2A56" w:rsidRPr="004C2FAC">
        <w:rPr>
          <w:rFonts w:cs="Arial"/>
          <w:b/>
        </w:rPr>
        <w:t xml:space="preserve"> </w:t>
      </w:r>
      <w:r w:rsidR="00F21484" w:rsidRPr="004C2FAC">
        <w:rPr>
          <w:rFonts w:cs="Arial"/>
          <w:b/>
        </w:rPr>
        <w:t>Actuación procesal</w:t>
      </w:r>
    </w:p>
    <w:p w:rsidR="00F21484" w:rsidRPr="004C2FAC" w:rsidRDefault="00F21484" w:rsidP="0090169C">
      <w:pPr>
        <w:rPr>
          <w:rFonts w:cs="Arial"/>
          <w:bCs/>
          <w:iCs/>
        </w:rPr>
      </w:pPr>
    </w:p>
    <w:p w:rsidR="00CB0A90" w:rsidRPr="004C2FAC" w:rsidRDefault="0015263D" w:rsidP="00CB0A90">
      <w:pPr>
        <w:pStyle w:val="Lista4"/>
        <w:ind w:left="0" w:firstLine="0"/>
        <w:rPr>
          <w:rFonts w:cs="Arial"/>
        </w:rPr>
      </w:pPr>
      <w:r w:rsidRPr="004C2FAC">
        <w:rPr>
          <w:rFonts w:cs="Arial"/>
          <w:b/>
        </w:rPr>
        <w:t>4</w:t>
      </w:r>
      <w:r w:rsidR="00265D85" w:rsidRPr="004C2FAC">
        <w:rPr>
          <w:rFonts w:cs="Arial"/>
          <w:b/>
        </w:rPr>
        <w:t>.1.</w:t>
      </w:r>
      <w:r w:rsidR="00CE2A56" w:rsidRPr="004C2FAC">
        <w:rPr>
          <w:rFonts w:cs="Arial"/>
          <w:b/>
        </w:rPr>
        <w:t xml:space="preserve"> </w:t>
      </w:r>
      <w:r w:rsidR="0098368A" w:rsidRPr="004C2FAC">
        <w:rPr>
          <w:rFonts w:cs="Arial"/>
        </w:rPr>
        <w:t>E</w:t>
      </w:r>
      <w:r w:rsidR="00F21484" w:rsidRPr="004C2FAC">
        <w:rPr>
          <w:rFonts w:cs="Arial"/>
        </w:rPr>
        <w:t>l Tribunal Administrativo de</w:t>
      </w:r>
      <w:r w:rsidR="000E2AD6" w:rsidRPr="004C2FAC">
        <w:rPr>
          <w:rFonts w:cs="Arial"/>
        </w:rPr>
        <w:t xml:space="preserve"> </w:t>
      </w:r>
      <w:r w:rsidR="0023091D" w:rsidRPr="004C2FAC">
        <w:rPr>
          <w:rFonts w:cs="Arial"/>
        </w:rPr>
        <w:t>Cundinamarca admitió la demanda el 31 de marzo de 2005</w:t>
      </w:r>
      <w:r w:rsidR="0023091D" w:rsidRPr="004C2FAC">
        <w:rPr>
          <w:rStyle w:val="Refdenotaalpie"/>
          <w:rFonts w:cs="Arial"/>
        </w:rPr>
        <w:footnoteReference w:id="4"/>
      </w:r>
      <w:r w:rsidR="00E73832" w:rsidRPr="004C2FAC">
        <w:rPr>
          <w:rFonts w:cs="Arial"/>
        </w:rPr>
        <w:t xml:space="preserve"> </w:t>
      </w:r>
      <w:r w:rsidR="00D057C5" w:rsidRPr="004C2FAC">
        <w:rPr>
          <w:rFonts w:cs="Arial"/>
        </w:rPr>
        <w:t>y decretó las pruebas mediante auto de</w:t>
      </w:r>
      <w:r w:rsidR="00FD4510" w:rsidRPr="004C2FAC">
        <w:rPr>
          <w:rFonts w:cs="Arial"/>
        </w:rPr>
        <w:t xml:space="preserve"> 19 de julio de 2007</w:t>
      </w:r>
      <w:r w:rsidR="00FD4510" w:rsidRPr="004C2FAC">
        <w:rPr>
          <w:rStyle w:val="Refdenotaalpie"/>
          <w:rFonts w:cs="Arial"/>
        </w:rPr>
        <w:footnoteReference w:id="5"/>
      </w:r>
      <w:r w:rsidR="00BB1537" w:rsidRPr="004C2FAC">
        <w:rPr>
          <w:rFonts w:cs="Arial"/>
        </w:rPr>
        <w:t>.</w:t>
      </w:r>
      <w:r w:rsidR="00D057C5" w:rsidRPr="004C2FAC">
        <w:rPr>
          <w:rFonts w:cs="Arial"/>
        </w:rPr>
        <w:t xml:space="preserve"> </w:t>
      </w:r>
    </w:p>
    <w:p w:rsidR="003B10EC" w:rsidRPr="004C2FAC" w:rsidRDefault="003B10EC" w:rsidP="0090169C">
      <w:pPr>
        <w:pStyle w:val="Lista2"/>
        <w:ind w:left="0" w:firstLine="0"/>
        <w:rPr>
          <w:rFonts w:cs="Arial"/>
          <w:b/>
        </w:rPr>
      </w:pPr>
    </w:p>
    <w:p w:rsidR="00D057C5" w:rsidRPr="004C2FAC" w:rsidRDefault="00D057C5" w:rsidP="0090169C">
      <w:pPr>
        <w:pStyle w:val="Lista2"/>
        <w:ind w:left="0" w:firstLine="0"/>
        <w:rPr>
          <w:rFonts w:cs="Arial"/>
        </w:rPr>
      </w:pPr>
      <w:r w:rsidRPr="004C2FAC">
        <w:rPr>
          <w:rFonts w:cs="Arial"/>
          <w:b/>
        </w:rPr>
        <w:t>4.2.</w:t>
      </w:r>
      <w:r w:rsidRPr="004C2FAC">
        <w:rPr>
          <w:rFonts w:cs="Arial"/>
        </w:rPr>
        <w:t xml:space="preserve"> Realizado el emplazamiento</w:t>
      </w:r>
      <w:r w:rsidR="0011264C" w:rsidRPr="004C2FAC">
        <w:rPr>
          <w:rStyle w:val="Refdenotaalpie"/>
          <w:rFonts w:cs="Arial"/>
        </w:rPr>
        <w:footnoteReference w:id="6"/>
      </w:r>
      <w:r w:rsidR="0011264C" w:rsidRPr="004C2FAC">
        <w:rPr>
          <w:rFonts w:cs="Arial"/>
        </w:rPr>
        <w:t>,</w:t>
      </w:r>
      <w:r w:rsidRPr="004C2FAC">
        <w:rPr>
          <w:rFonts w:cs="Arial"/>
        </w:rPr>
        <w:t xml:space="preserve"> se designó un curador </w:t>
      </w:r>
      <w:r w:rsidRPr="004C2FAC">
        <w:rPr>
          <w:rFonts w:cs="Arial"/>
          <w:i/>
        </w:rPr>
        <w:t>ad litem</w:t>
      </w:r>
      <w:r w:rsidRPr="004C2FAC">
        <w:rPr>
          <w:rFonts w:cs="Arial"/>
        </w:rPr>
        <w:t xml:space="preserve"> para representar a COLCEREALES.</w:t>
      </w:r>
    </w:p>
    <w:p w:rsidR="00750B62" w:rsidRPr="004C2FAC" w:rsidRDefault="00750B62" w:rsidP="0090169C">
      <w:pPr>
        <w:pStyle w:val="Lista2"/>
        <w:ind w:left="0" w:firstLine="0"/>
        <w:rPr>
          <w:rFonts w:cs="Arial"/>
          <w:b/>
        </w:rPr>
      </w:pPr>
    </w:p>
    <w:p w:rsidR="00750B62" w:rsidRPr="004C2FAC" w:rsidRDefault="00750B62" w:rsidP="0090169C">
      <w:pPr>
        <w:pStyle w:val="Lista2"/>
        <w:ind w:left="0" w:firstLine="0"/>
        <w:rPr>
          <w:rFonts w:cs="Arial"/>
          <w:b/>
        </w:rPr>
      </w:pPr>
    </w:p>
    <w:p w:rsidR="00750B62" w:rsidRPr="004C2FAC" w:rsidRDefault="00750B62" w:rsidP="0090169C">
      <w:pPr>
        <w:pStyle w:val="Lista2"/>
        <w:ind w:left="0" w:firstLine="0"/>
        <w:rPr>
          <w:rFonts w:cs="Arial"/>
          <w:b/>
        </w:rPr>
      </w:pPr>
    </w:p>
    <w:p w:rsidR="00750B62" w:rsidRPr="004C2FAC" w:rsidRDefault="00750B62" w:rsidP="0090169C">
      <w:pPr>
        <w:pStyle w:val="Lista2"/>
        <w:ind w:left="0" w:firstLine="0"/>
        <w:rPr>
          <w:rFonts w:cs="Arial"/>
          <w:b/>
        </w:rPr>
      </w:pPr>
    </w:p>
    <w:p w:rsidR="00F21484" w:rsidRPr="004C2FAC" w:rsidRDefault="0015263D" w:rsidP="0090169C">
      <w:pPr>
        <w:pStyle w:val="Lista2"/>
        <w:ind w:left="0" w:firstLine="0"/>
        <w:rPr>
          <w:rFonts w:cs="Arial"/>
          <w:b/>
        </w:rPr>
      </w:pPr>
      <w:r w:rsidRPr="004C2FAC">
        <w:rPr>
          <w:rFonts w:cs="Arial"/>
          <w:b/>
        </w:rPr>
        <w:t>4</w:t>
      </w:r>
      <w:r w:rsidR="0009687C" w:rsidRPr="004C2FAC">
        <w:rPr>
          <w:rFonts w:cs="Arial"/>
          <w:b/>
        </w:rPr>
        <w:t>.</w:t>
      </w:r>
      <w:r w:rsidR="003C681E" w:rsidRPr="004C2FAC">
        <w:rPr>
          <w:rFonts w:cs="Arial"/>
          <w:b/>
        </w:rPr>
        <w:t>3</w:t>
      </w:r>
      <w:r w:rsidR="0009687C" w:rsidRPr="004C2FAC">
        <w:rPr>
          <w:rFonts w:cs="Arial"/>
          <w:b/>
        </w:rPr>
        <w:t>.</w:t>
      </w:r>
      <w:r w:rsidR="006144E0" w:rsidRPr="004C2FAC">
        <w:rPr>
          <w:rFonts w:cs="Arial"/>
          <w:b/>
        </w:rPr>
        <w:t xml:space="preserve"> </w:t>
      </w:r>
      <w:r w:rsidR="00F21484" w:rsidRPr="004C2FAC">
        <w:rPr>
          <w:rFonts w:cs="Arial"/>
          <w:b/>
        </w:rPr>
        <w:t>Contestación de la demanda</w:t>
      </w:r>
    </w:p>
    <w:p w:rsidR="00F21484" w:rsidRPr="004C2FAC" w:rsidRDefault="00F21484" w:rsidP="00F21484">
      <w:pPr>
        <w:rPr>
          <w:rFonts w:cs="Arial"/>
          <w:b/>
          <w:bCs/>
          <w:iCs/>
        </w:rPr>
      </w:pPr>
    </w:p>
    <w:p w:rsidR="00E704D1" w:rsidRPr="004C2FAC" w:rsidRDefault="00D057C5" w:rsidP="0090169C">
      <w:pPr>
        <w:pStyle w:val="Continuarlista2"/>
        <w:ind w:left="0"/>
        <w:rPr>
          <w:rFonts w:cs="Arial"/>
          <w:i/>
        </w:rPr>
      </w:pPr>
      <w:r w:rsidRPr="004C2FAC">
        <w:rPr>
          <w:rFonts w:cs="Arial"/>
        </w:rPr>
        <w:t xml:space="preserve">El curador </w:t>
      </w:r>
      <w:r w:rsidRPr="004C2FAC">
        <w:rPr>
          <w:rFonts w:cs="Arial"/>
          <w:i/>
        </w:rPr>
        <w:t>ad litem</w:t>
      </w:r>
      <w:r w:rsidR="00693574" w:rsidRPr="004C2FAC">
        <w:rPr>
          <w:rFonts w:cs="Arial"/>
          <w:i/>
        </w:rPr>
        <w:t xml:space="preserve"> </w:t>
      </w:r>
      <w:r w:rsidR="00693574" w:rsidRPr="004C2FAC">
        <w:rPr>
          <w:rFonts w:cs="Arial"/>
        </w:rPr>
        <w:t xml:space="preserve">contestó la </w:t>
      </w:r>
      <w:r w:rsidR="00CE191E" w:rsidRPr="004C2FAC">
        <w:rPr>
          <w:rFonts w:cs="Arial"/>
        </w:rPr>
        <w:t xml:space="preserve">demanda </w:t>
      </w:r>
      <w:r w:rsidRPr="004C2FAC">
        <w:rPr>
          <w:rFonts w:cs="Arial"/>
        </w:rPr>
        <w:t xml:space="preserve">en representación de COLCEREALES </w:t>
      </w:r>
      <w:r w:rsidR="00CE191E" w:rsidRPr="004C2FAC">
        <w:rPr>
          <w:rFonts w:cs="Arial"/>
        </w:rPr>
        <w:t>y</w:t>
      </w:r>
      <w:r w:rsidR="00E704D1" w:rsidRPr="004C2FAC">
        <w:rPr>
          <w:rFonts w:cs="Arial"/>
        </w:rPr>
        <w:t>,</w:t>
      </w:r>
      <w:r w:rsidR="00CE191E" w:rsidRPr="004C2FAC">
        <w:rPr>
          <w:rFonts w:cs="Arial"/>
        </w:rPr>
        <w:t xml:space="preserve"> en relación con cada uno de los hechos</w:t>
      </w:r>
      <w:r w:rsidR="00E704D1" w:rsidRPr="004C2FAC">
        <w:rPr>
          <w:rFonts w:cs="Arial"/>
        </w:rPr>
        <w:t>,</w:t>
      </w:r>
      <w:r w:rsidR="00CE191E" w:rsidRPr="004C2FAC">
        <w:rPr>
          <w:rFonts w:cs="Arial"/>
        </w:rPr>
        <w:t xml:space="preserve"> afirmó: </w:t>
      </w:r>
      <w:r w:rsidR="00CE191E" w:rsidRPr="004C2FAC">
        <w:rPr>
          <w:rFonts w:cs="Arial"/>
          <w:i/>
        </w:rPr>
        <w:t>“No me consta que se pruebe”</w:t>
      </w:r>
      <w:r w:rsidR="00CE191E" w:rsidRPr="004C2FAC">
        <w:rPr>
          <w:rStyle w:val="Refdenotaalpie"/>
          <w:rFonts w:cs="Arial"/>
          <w:i/>
        </w:rPr>
        <w:footnoteReference w:id="7"/>
      </w:r>
      <w:r w:rsidR="00CE191E" w:rsidRPr="004C2FAC">
        <w:rPr>
          <w:rFonts w:cs="Arial"/>
          <w:i/>
        </w:rPr>
        <w:t xml:space="preserve">. </w:t>
      </w:r>
    </w:p>
    <w:p w:rsidR="00E704D1" w:rsidRPr="004C2FAC" w:rsidRDefault="00E704D1" w:rsidP="0090169C">
      <w:pPr>
        <w:pStyle w:val="Continuarlista2"/>
        <w:ind w:left="0"/>
        <w:rPr>
          <w:rFonts w:cs="Arial"/>
        </w:rPr>
      </w:pPr>
    </w:p>
    <w:p w:rsidR="00F1290D" w:rsidRPr="004C2FAC" w:rsidRDefault="00E704D1" w:rsidP="0090169C">
      <w:pPr>
        <w:pStyle w:val="Continuarlista2"/>
        <w:ind w:left="0"/>
        <w:rPr>
          <w:rFonts w:cs="Arial"/>
        </w:rPr>
      </w:pPr>
      <w:r w:rsidRPr="004C2FAC">
        <w:rPr>
          <w:rFonts w:cs="Arial"/>
        </w:rPr>
        <w:t>Liberty Seguros S.A.</w:t>
      </w:r>
      <w:r w:rsidR="00DA7344" w:rsidRPr="004C2FAC">
        <w:rPr>
          <w:rFonts w:cs="Arial"/>
        </w:rPr>
        <w:t xml:space="preserve"> </w:t>
      </w:r>
      <w:r w:rsidR="003C681E" w:rsidRPr="004C2FAC">
        <w:rPr>
          <w:rFonts w:cs="Arial"/>
        </w:rPr>
        <w:t>contest</w:t>
      </w:r>
      <w:r w:rsidR="00BB1537" w:rsidRPr="004C2FAC">
        <w:rPr>
          <w:rFonts w:cs="Arial"/>
        </w:rPr>
        <w:t>ó</w:t>
      </w:r>
      <w:r w:rsidR="003C681E" w:rsidRPr="004C2FAC">
        <w:rPr>
          <w:rFonts w:cs="Arial"/>
        </w:rPr>
        <w:t xml:space="preserve"> la demanda y </w:t>
      </w:r>
      <w:r w:rsidR="00DA7344" w:rsidRPr="004C2FAC">
        <w:rPr>
          <w:rFonts w:cs="Arial"/>
        </w:rPr>
        <w:t xml:space="preserve">afirmó que las obligaciones de la compañía aseguradora cesaron </w:t>
      </w:r>
      <w:r w:rsidR="00845CED" w:rsidRPr="004C2FAC">
        <w:rPr>
          <w:rFonts w:cs="Arial"/>
        </w:rPr>
        <w:t>a partir de la firma del acuerdo de dación en pago</w:t>
      </w:r>
      <w:r w:rsidR="002D3D0C" w:rsidRPr="004C2FAC">
        <w:rPr>
          <w:rFonts w:cs="Arial"/>
        </w:rPr>
        <w:t xml:space="preserve">. </w:t>
      </w:r>
    </w:p>
    <w:p w:rsidR="00F1290D" w:rsidRPr="004C2FAC" w:rsidRDefault="00F1290D" w:rsidP="0090169C">
      <w:pPr>
        <w:pStyle w:val="Continuarlista2"/>
        <w:ind w:left="0"/>
        <w:rPr>
          <w:rFonts w:cs="Arial"/>
        </w:rPr>
      </w:pPr>
    </w:p>
    <w:p w:rsidR="007A4151" w:rsidRPr="004C2FAC" w:rsidRDefault="002D3D0C" w:rsidP="0090169C">
      <w:pPr>
        <w:pStyle w:val="Continuarlista2"/>
        <w:ind w:left="0"/>
        <w:rPr>
          <w:rFonts w:cs="Arial"/>
        </w:rPr>
      </w:pPr>
      <w:r w:rsidRPr="004C2FAC">
        <w:rPr>
          <w:rFonts w:cs="Arial"/>
        </w:rPr>
        <w:lastRenderedPageBreak/>
        <w:t>E</w:t>
      </w:r>
      <w:r w:rsidR="00845CED" w:rsidRPr="004C2FAC">
        <w:rPr>
          <w:rFonts w:cs="Arial"/>
        </w:rPr>
        <w:t xml:space="preserve">n todo caso, </w:t>
      </w:r>
      <w:r w:rsidRPr="004C2FAC">
        <w:rPr>
          <w:rFonts w:cs="Arial"/>
        </w:rPr>
        <w:t xml:space="preserve">hizo notar que </w:t>
      </w:r>
      <w:r w:rsidR="00845CED" w:rsidRPr="004C2FAC">
        <w:rPr>
          <w:rFonts w:cs="Arial"/>
        </w:rPr>
        <w:t>el IDEMA</w:t>
      </w:r>
      <w:r w:rsidR="00BB1537" w:rsidRPr="004C2FAC">
        <w:rPr>
          <w:rFonts w:cs="Arial"/>
        </w:rPr>
        <w:t>,</w:t>
      </w:r>
      <w:r w:rsidR="00845CED" w:rsidRPr="004C2FAC">
        <w:rPr>
          <w:rFonts w:cs="Arial"/>
        </w:rPr>
        <w:t xml:space="preserve"> conociendo del incumplimiento</w:t>
      </w:r>
      <w:r w:rsidR="00BB1537" w:rsidRPr="004C2FAC">
        <w:rPr>
          <w:rFonts w:cs="Arial"/>
        </w:rPr>
        <w:t>,</w:t>
      </w:r>
      <w:r w:rsidR="00845CED" w:rsidRPr="004C2FAC">
        <w:rPr>
          <w:rFonts w:cs="Arial"/>
        </w:rPr>
        <w:t xml:space="preserve"> declaró la existencia del riesgo </w:t>
      </w:r>
      <w:r w:rsidR="00BB1537" w:rsidRPr="004C2FAC">
        <w:rPr>
          <w:rFonts w:cs="Arial"/>
        </w:rPr>
        <w:t>y</w:t>
      </w:r>
      <w:r w:rsidR="00845CED" w:rsidRPr="004C2FAC">
        <w:rPr>
          <w:rFonts w:cs="Arial"/>
        </w:rPr>
        <w:t xml:space="preserve"> </w:t>
      </w:r>
      <w:r w:rsidR="009629B3" w:rsidRPr="004C2FAC">
        <w:rPr>
          <w:rFonts w:cs="Arial"/>
        </w:rPr>
        <w:t xml:space="preserve">la </w:t>
      </w:r>
      <w:r w:rsidR="00845CED" w:rsidRPr="004C2FAC">
        <w:rPr>
          <w:rFonts w:cs="Arial"/>
        </w:rPr>
        <w:t>efectiv</w:t>
      </w:r>
      <w:r w:rsidR="009629B3" w:rsidRPr="004C2FAC">
        <w:rPr>
          <w:rFonts w:cs="Arial"/>
        </w:rPr>
        <w:t>idad</w:t>
      </w:r>
      <w:r w:rsidR="00845CED" w:rsidRPr="004C2FAC">
        <w:rPr>
          <w:rFonts w:cs="Arial"/>
        </w:rPr>
        <w:t xml:space="preserve"> </w:t>
      </w:r>
      <w:r w:rsidR="009629B3" w:rsidRPr="004C2FAC">
        <w:rPr>
          <w:rFonts w:cs="Arial"/>
        </w:rPr>
        <w:t xml:space="preserve">de </w:t>
      </w:r>
      <w:r w:rsidR="00845CED" w:rsidRPr="004C2FAC">
        <w:rPr>
          <w:rFonts w:cs="Arial"/>
        </w:rPr>
        <w:t xml:space="preserve">las pólizas </w:t>
      </w:r>
      <w:r w:rsidR="009D1258" w:rsidRPr="004C2FAC">
        <w:rPr>
          <w:rFonts w:cs="Arial"/>
        </w:rPr>
        <w:t xml:space="preserve">de seguro, </w:t>
      </w:r>
      <w:r w:rsidR="00845CED" w:rsidRPr="004C2FAC">
        <w:rPr>
          <w:rFonts w:cs="Arial"/>
        </w:rPr>
        <w:t xml:space="preserve">mediante las </w:t>
      </w:r>
      <w:r w:rsidR="009D1258" w:rsidRPr="004C2FAC">
        <w:rPr>
          <w:rFonts w:cs="Arial"/>
        </w:rPr>
        <w:t>R</w:t>
      </w:r>
      <w:r w:rsidR="00845CED" w:rsidRPr="004C2FAC">
        <w:rPr>
          <w:rFonts w:cs="Arial"/>
        </w:rPr>
        <w:t xml:space="preserve">esoluciones 217 </w:t>
      </w:r>
      <w:r w:rsidR="007A4151" w:rsidRPr="004C2FAC">
        <w:rPr>
          <w:rFonts w:cs="Arial"/>
        </w:rPr>
        <w:t xml:space="preserve">y 225 </w:t>
      </w:r>
      <w:r w:rsidR="00845CED" w:rsidRPr="004C2FAC">
        <w:rPr>
          <w:rFonts w:cs="Arial"/>
        </w:rPr>
        <w:t>de 5 de mayo de 1997</w:t>
      </w:r>
      <w:r w:rsidR="007A4151" w:rsidRPr="004C2FAC">
        <w:rPr>
          <w:rFonts w:cs="Arial"/>
        </w:rPr>
        <w:t xml:space="preserve">, </w:t>
      </w:r>
      <w:r w:rsidR="003C681E" w:rsidRPr="004C2FAC">
        <w:rPr>
          <w:rFonts w:cs="Arial"/>
        </w:rPr>
        <w:t xml:space="preserve">actos administrativos que </w:t>
      </w:r>
      <w:r w:rsidR="007A4151" w:rsidRPr="004C2FAC">
        <w:rPr>
          <w:rFonts w:cs="Arial"/>
        </w:rPr>
        <w:t>revocó con posterioridad</w:t>
      </w:r>
      <w:r w:rsidR="00F1290D" w:rsidRPr="004C2FAC">
        <w:rPr>
          <w:rFonts w:cs="Arial"/>
        </w:rPr>
        <w:t>. S</w:t>
      </w:r>
      <w:r w:rsidR="003C681E" w:rsidRPr="004C2FAC">
        <w:rPr>
          <w:rFonts w:cs="Arial"/>
        </w:rPr>
        <w:t xml:space="preserve">egún advirtió la </w:t>
      </w:r>
      <w:r w:rsidR="00293818" w:rsidRPr="004C2FAC">
        <w:rPr>
          <w:rFonts w:cs="Arial"/>
        </w:rPr>
        <w:t xml:space="preserve">compañía aseguradora </w:t>
      </w:r>
      <w:r w:rsidR="003C681E" w:rsidRPr="004C2FAC">
        <w:rPr>
          <w:rFonts w:cs="Arial"/>
        </w:rPr>
        <w:t xml:space="preserve">demandada, el IDEMA </w:t>
      </w:r>
      <w:r w:rsidR="007A4151" w:rsidRPr="004C2FAC">
        <w:rPr>
          <w:rFonts w:cs="Arial"/>
        </w:rPr>
        <w:t xml:space="preserve">dejó operar la prescripción derivada del contrato de seguro, dado que desde las citadas resoluciones </w:t>
      </w:r>
      <w:r w:rsidR="00F1290D" w:rsidRPr="004C2FAC">
        <w:rPr>
          <w:rFonts w:cs="Arial"/>
        </w:rPr>
        <w:t xml:space="preserve">se </w:t>
      </w:r>
      <w:r w:rsidR="009D1258" w:rsidRPr="004C2FAC">
        <w:rPr>
          <w:rFonts w:cs="Arial"/>
        </w:rPr>
        <w:t xml:space="preserve">hizo constar </w:t>
      </w:r>
      <w:r w:rsidR="00BB1537" w:rsidRPr="004C2FAC">
        <w:rPr>
          <w:rFonts w:cs="Arial"/>
        </w:rPr>
        <w:t>que</w:t>
      </w:r>
      <w:r w:rsidR="007A4151" w:rsidRPr="004C2FAC">
        <w:rPr>
          <w:rFonts w:cs="Arial"/>
        </w:rPr>
        <w:t xml:space="preserve"> </w:t>
      </w:r>
      <w:r w:rsidR="00F1290D" w:rsidRPr="004C2FAC">
        <w:rPr>
          <w:rFonts w:cs="Arial"/>
        </w:rPr>
        <w:t xml:space="preserve">esa entidad </w:t>
      </w:r>
      <w:r w:rsidR="007A4151" w:rsidRPr="004C2FAC">
        <w:rPr>
          <w:rFonts w:cs="Arial"/>
        </w:rPr>
        <w:t xml:space="preserve">tuvo conocimiento de los hechos que configuraron el </w:t>
      </w:r>
      <w:r w:rsidR="00F1290D" w:rsidRPr="004C2FAC">
        <w:rPr>
          <w:rFonts w:cs="Arial"/>
        </w:rPr>
        <w:t xml:space="preserve">supuesto </w:t>
      </w:r>
      <w:r w:rsidR="007A4151" w:rsidRPr="004C2FAC">
        <w:rPr>
          <w:rFonts w:cs="Arial"/>
        </w:rPr>
        <w:t xml:space="preserve">incumplimiento. </w:t>
      </w:r>
    </w:p>
    <w:p w:rsidR="00E704D1" w:rsidRPr="004C2FAC" w:rsidRDefault="00E704D1" w:rsidP="0090169C">
      <w:pPr>
        <w:pStyle w:val="Continuarlista2"/>
        <w:ind w:left="0"/>
        <w:rPr>
          <w:rFonts w:cs="Arial"/>
        </w:rPr>
      </w:pPr>
    </w:p>
    <w:p w:rsidR="00753F3B" w:rsidRPr="004C2FAC" w:rsidRDefault="003C681E" w:rsidP="0090169C">
      <w:pPr>
        <w:pStyle w:val="Continuarlista2"/>
        <w:ind w:left="0"/>
        <w:rPr>
          <w:rFonts w:cs="Arial"/>
        </w:rPr>
      </w:pPr>
      <w:r w:rsidRPr="004C2FAC">
        <w:rPr>
          <w:rFonts w:cs="Arial"/>
        </w:rPr>
        <w:t>La compañía aseguradora i</w:t>
      </w:r>
      <w:r w:rsidR="00114348" w:rsidRPr="004C2FAC">
        <w:rPr>
          <w:rFonts w:cs="Arial"/>
        </w:rPr>
        <w:t>nvocó</w:t>
      </w:r>
      <w:r w:rsidRPr="004C2FAC">
        <w:rPr>
          <w:rFonts w:cs="Arial"/>
        </w:rPr>
        <w:t>,</w:t>
      </w:r>
      <w:r w:rsidR="00114348" w:rsidRPr="004C2FAC">
        <w:rPr>
          <w:rFonts w:cs="Arial"/>
        </w:rPr>
        <w:t xml:space="preserve"> como </w:t>
      </w:r>
      <w:r w:rsidR="00F1290D" w:rsidRPr="004C2FAC">
        <w:rPr>
          <w:rFonts w:cs="Arial"/>
        </w:rPr>
        <w:t xml:space="preserve">defensas y </w:t>
      </w:r>
      <w:r w:rsidR="00114348" w:rsidRPr="004C2FAC">
        <w:rPr>
          <w:rFonts w:cs="Arial"/>
          <w:b/>
        </w:rPr>
        <w:t>excepciones</w:t>
      </w:r>
      <w:r w:rsidRPr="004C2FAC">
        <w:rPr>
          <w:rFonts w:cs="Arial"/>
          <w:b/>
        </w:rPr>
        <w:t>,</w:t>
      </w:r>
      <w:r w:rsidR="00114348" w:rsidRPr="004C2FAC">
        <w:rPr>
          <w:rFonts w:cs="Arial"/>
        </w:rPr>
        <w:t xml:space="preserve"> l</w:t>
      </w:r>
      <w:r w:rsidR="00157C6D" w:rsidRPr="004C2FAC">
        <w:rPr>
          <w:rFonts w:cs="Arial"/>
        </w:rPr>
        <w:t>a</w:t>
      </w:r>
      <w:r w:rsidRPr="004C2FAC">
        <w:rPr>
          <w:rFonts w:cs="Arial"/>
        </w:rPr>
        <w:t>s siguientes</w:t>
      </w:r>
      <w:r w:rsidR="00114348" w:rsidRPr="004C2FAC">
        <w:rPr>
          <w:rFonts w:cs="Arial"/>
        </w:rPr>
        <w:t xml:space="preserve">: </w:t>
      </w:r>
      <w:r w:rsidR="00114348" w:rsidRPr="004C2FAC">
        <w:rPr>
          <w:rFonts w:cs="Arial"/>
          <w:b/>
        </w:rPr>
        <w:t>i)</w:t>
      </w:r>
      <w:r w:rsidR="00D57FA6" w:rsidRPr="004C2FAC">
        <w:rPr>
          <w:rFonts w:cs="Arial"/>
          <w:b/>
        </w:rPr>
        <w:t xml:space="preserve"> </w:t>
      </w:r>
      <w:r w:rsidR="00D57FA6" w:rsidRPr="004C2FAC">
        <w:rPr>
          <w:rFonts w:cs="Arial"/>
        </w:rPr>
        <w:t>la ausencia de fundamentos de hecho y de derecho</w:t>
      </w:r>
      <w:r w:rsidR="00BC3F7E" w:rsidRPr="004C2FAC">
        <w:rPr>
          <w:rFonts w:cs="Arial"/>
        </w:rPr>
        <w:t xml:space="preserve">, dado </w:t>
      </w:r>
      <w:r w:rsidR="00B150AA" w:rsidRPr="004C2FAC">
        <w:rPr>
          <w:rFonts w:cs="Arial"/>
        </w:rPr>
        <w:t xml:space="preserve">que </w:t>
      </w:r>
      <w:r w:rsidR="004D6317" w:rsidRPr="004C2FAC">
        <w:rPr>
          <w:rFonts w:cs="Arial"/>
        </w:rPr>
        <w:t>no e</w:t>
      </w:r>
      <w:r w:rsidRPr="004C2FAC">
        <w:rPr>
          <w:rFonts w:cs="Arial"/>
        </w:rPr>
        <w:t>ra</w:t>
      </w:r>
      <w:r w:rsidR="004D6317" w:rsidRPr="004C2FAC">
        <w:rPr>
          <w:rFonts w:cs="Arial"/>
        </w:rPr>
        <w:t xml:space="preserve"> viable acudir a</w:t>
      </w:r>
      <w:r w:rsidR="00F1290D" w:rsidRPr="004C2FAC">
        <w:rPr>
          <w:rFonts w:cs="Arial"/>
        </w:rPr>
        <w:t xml:space="preserve">l artículo 87 del CCA </w:t>
      </w:r>
      <w:r w:rsidRPr="004C2FAC">
        <w:rPr>
          <w:rFonts w:cs="Arial"/>
        </w:rPr>
        <w:t xml:space="preserve">para </w:t>
      </w:r>
      <w:r w:rsidR="004D6317" w:rsidRPr="004C2FAC">
        <w:rPr>
          <w:rFonts w:cs="Arial"/>
        </w:rPr>
        <w:t>las acciones relacionadas con la responsabilidad del contratista, la cual además deb</w:t>
      </w:r>
      <w:r w:rsidRPr="004C2FAC">
        <w:rPr>
          <w:rFonts w:cs="Arial"/>
        </w:rPr>
        <w:t>ía</w:t>
      </w:r>
      <w:r w:rsidR="004D6317" w:rsidRPr="004C2FAC">
        <w:rPr>
          <w:rFonts w:cs="Arial"/>
        </w:rPr>
        <w:t xml:space="preserve"> fundarse en la demostración de la culpa, de acuerdo con el artículo 1604 del Código Civil; </w:t>
      </w:r>
      <w:r w:rsidR="00114348" w:rsidRPr="004C2FAC">
        <w:rPr>
          <w:rFonts w:cs="Arial"/>
          <w:b/>
        </w:rPr>
        <w:t>ii)</w:t>
      </w:r>
      <w:r w:rsidR="00114348" w:rsidRPr="004C2FAC">
        <w:rPr>
          <w:rFonts w:cs="Arial"/>
        </w:rPr>
        <w:t xml:space="preserve"> </w:t>
      </w:r>
      <w:r w:rsidR="00D57FA6" w:rsidRPr="004C2FAC">
        <w:rPr>
          <w:rFonts w:cs="Arial"/>
        </w:rPr>
        <w:t xml:space="preserve">la ausencia de responsabilidad de la aseguradora, la cual hizo consistir en que </w:t>
      </w:r>
      <w:r w:rsidR="00BC3F7E" w:rsidRPr="004C2FAC">
        <w:rPr>
          <w:rFonts w:cs="Arial"/>
        </w:rPr>
        <w:t>mediante las póliza de cumplimiento no se g</w:t>
      </w:r>
      <w:r w:rsidR="00D57FA6" w:rsidRPr="004C2FAC">
        <w:rPr>
          <w:rFonts w:cs="Arial"/>
        </w:rPr>
        <w:t xml:space="preserve">arantizó la responsabilidad civil ni penal de COLCEREALES; </w:t>
      </w:r>
      <w:r w:rsidR="00114348" w:rsidRPr="004C2FAC">
        <w:rPr>
          <w:rFonts w:cs="Arial"/>
          <w:b/>
        </w:rPr>
        <w:t>iii)</w:t>
      </w:r>
      <w:r w:rsidR="00114348" w:rsidRPr="004C2FAC">
        <w:rPr>
          <w:rFonts w:cs="Arial"/>
        </w:rPr>
        <w:t xml:space="preserve"> </w:t>
      </w:r>
      <w:r w:rsidR="00BC3F7E" w:rsidRPr="004C2FAC">
        <w:rPr>
          <w:rFonts w:cs="Arial"/>
        </w:rPr>
        <w:t>la caducidad</w:t>
      </w:r>
      <w:r w:rsidR="00D57FA6" w:rsidRPr="004C2FAC">
        <w:rPr>
          <w:rFonts w:cs="Arial"/>
        </w:rPr>
        <w:t xml:space="preserve"> de la acción de controversias contractuales, por </w:t>
      </w:r>
      <w:r w:rsidRPr="004C2FAC">
        <w:rPr>
          <w:rFonts w:cs="Arial"/>
        </w:rPr>
        <w:t xml:space="preserve">cuanto a la fecha de la demanda habían </w:t>
      </w:r>
      <w:r w:rsidR="00D57FA6" w:rsidRPr="004C2FAC">
        <w:rPr>
          <w:rFonts w:cs="Arial"/>
        </w:rPr>
        <w:t>transcurrido más de dos años desde el incumplimiento de los contratos</w:t>
      </w:r>
      <w:r w:rsidR="00335FAA" w:rsidRPr="004C2FAC">
        <w:rPr>
          <w:rFonts w:cs="Arial"/>
        </w:rPr>
        <w:t>;</w:t>
      </w:r>
      <w:r w:rsidR="00335FAA" w:rsidRPr="004C2FAC">
        <w:rPr>
          <w:rFonts w:cs="Arial"/>
          <w:b/>
        </w:rPr>
        <w:t xml:space="preserve"> iv)</w:t>
      </w:r>
      <w:r w:rsidR="00335FAA" w:rsidRPr="004C2FAC">
        <w:rPr>
          <w:rFonts w:cs="Arial"/>
        </w:rPr>
        <w:t xml:space="preserve"> la falta de legitimación activa y pasiva del Ministerio de Agricultura y Desarrollo Rural; </w:t>
      </w:r>
      <w:r w:rsidR="00335FAA" w:rsidRPr="004C2FAC">
        <w:rPr>
          <w:rFonts w:cs="Arial"/>
          <w:b/>
        </w:rPr>
        <w:t>v)</w:t>
      </w:r>
      <w:r w:rsidR="00335FAA" w:rsidRPr="004C2FAC">
        <w:rPr>
          <w:rFonts w:cs="Arial"/>
        </w:rPr>
        <w:t xml:space="preserve"> la ausencia de responsabilidad de la compañía aseguradora, dado que ella no suscribió el acuerdo de dación en pago; </w:t>
      </w:r>
      <w:r w:rsidR="00335FAA" w:rsidRPr="004C2FAC">
        <w:rPr>
          <w:rFonts w:cs="Arial"/>
          <w:b/>
        </w:rPr>
        <w:t>vi)</w:t>
      </w:r>
      <w:r w:rsidR="00335FAA" w:rsidRPr="004C2FAC">
        <w:rPr>
          <w:rFonts w:cs="Arial"/>
        </w:rPr>
        <w:t xml:space="preserve"> la prescripción del contrato de seguro</w:t>
      </w:r>
      <w:r w:rsidR="002D3D0C" w:rsidRPr="004C2FAC">
        <w:rPr>
          <w:rFonts w:cs="Arial"/>
        </w:rPr>
        <w:t xml:space="preserve"> de conformidad con el artículo 1081 del Código de Comercio </w:t>
      </w:r>
      <w:r w:rsidR="00335FAA" w:rsidRPr="004C2FAC">
        <w:rPr>
          <w:rFonts w:cs="Arial"/>
        </w:rPr>
        <w:t>y</w:t>
      </w:r>
      <w:r w:rsidR="00B150AA" w:rsidRPr="004C2FAC">
        <w:rPr>
          <w:rFonts w:cs="Arial"/>
        </w:rPr>
        <w:t>,</w:t>
      </w:r>
      <w:r w:rsidR="00335FAA" w:rsidRPr="004C2FAC">
        <w:rPr>
          <w:rFonts w:cs="Arial"/>
        </w:rPr>
        <w:t xml:space="preserve"> </w:t>
      </w:r>
      <w:r w:rsidR="00753F3B" w:rsidRPr="004C2FAC">
        <w:rPr>
          <w:rFonts w:cs="Arial"/>
          <w:b/>
        </w:rPr>
        <w:t>vii)</w:t>
      </w:r>
      <w:r w:rsidR="00753F3B" w:rsidRPr="004C2FAC">
        <w:rPr>
          <w:rFonts w:cs="Arial"/>
        </w:rPr>
        <w:t xml:space="preserve"> el límite del valor asegurado, </w:t>
      </w:r>
      <w:r w:rsidRPr="004C2FAC">
        <w:rPr>
          <w:rFonts w:cs="Arial"/>
        </w:rPr>
        <w:t xml:space="preserve">de conformidad con lo que establece el artículo 1079 del Código de Comercio, </w:t>
      </w:r>
      <w:r w:rsidR="00753F3B" w:rsidRPr="004C2FAC">
        <w:rPr>
          <w:rFonts w:cs="Arial"/>
        </w:rPr>
        <w:t xml:space="preserve">el cual </w:t>
      </w:r>
      <w:r w:rsidRPr="004C2FAC">
        <w:rPr>
          <w:rFonts w:cs="Arial"/>
        </w:rPr>
        <w:t xml:space="preserve">pidió que se tuviera </w:t>
      </w:r>
      <w:r w:rsidR="00753F3B" w:rsidRPr="004C2FAC">
        <w:rPr>
          <w:rFonts w:cs="Arial"/>
        </w:rPr>
        <w:t>en cuenta en el evento en que no prosper</w:t>
      </w:r>
      <w:r w:rsidR="00FA58B2" w:rsidRPr="004C2FAC">
        <w:rPr>
          <w:rFonts w:cs="Arial"/>
        </w:rPr>
        <w:t>aran</w:t>
      </w:r>
      <w:r w:rsidR="00753F3B" w:rsidRPr="004C2FAC">
        <w:rPr>
          <w:rFonts w:cs="Arial"/>
        </w:rPr>
        <w:t xml:space="preserve"> las defensas y excepciones presentadas</w:t>
      </w:r>
      <w:r w:rsidRPr="004C2FAC">
        <w:rPr>
          <w:rFonts w:cs="Arial"/>
        </w:rPr>
        <w:t>.</w:t>
      </w:r>
      <w:r w:rsidR="00753F3B" w:rsidRPr="004C2FAC">
        <w:rPr>
          <w:rFonts w:cs="Arial"/>
        </w:rPr>
        <w:t xml:space="preserve"> </w:t>
      </w:r>
    </w:p>
    <w:p w:rsidR="00FD4510" w:rsidRPr="004C2FAC" w:rsidRDefault="00FD4510" w:rsidP="00F11F08">
      <w:pPr>
        <w:pStyle w:val="Lista2"/>
        <w:ind w:left="0" w:firstLine="0"/>
        <w:rPr>
          <w:rFonts w:cs="Arial"/>
          <w:b/>
        </w:rPr>
      </w:pPr>
    </w:p>
    <w:p w:rsidR="00054130" w:rsidRPr="004C2FAC" w:rsidRDefault="00923B2F" w:rsidP="00F11F08">
      <w:pPr>
        <w:pStyle w:val="Lista2"/>
        <w:ind w:left="0" w:firstLine="0"/>
        <w:rPr>
          <w:rFonts w:cs="Arial"/>
          <w:b/>
        </w:rPr>
      </w:pPr>
      <w:r w:rsidRPr="004C2FAC">
        <w:rPr>
          <w:rFonts w:cs="Arial"/>
          <w:b/>
        </w:rPr>
        <w:t>4.</w:t>
      </w:r>
      <w:r w:rsidR="003B246F" w:rsidRPr="004C2FAC">
        <w:rPr>
          <w:rFonts w:cs="Arial"/>
          <w:b/>
        </w:rPr>
        <w:t>4</w:t>
      </w:r>
      <w:r w:rsidRPr="004C2FAC">
        <w:rPr>
          <w:rFonts w:cs="Arial"/>
          <w:b/>
        </w:rPr>
        <w:t xml:space="preserve">. El concepto del Ministerio Público </w:t>
      </w:r>
    </w:p>
    <w:p w:rsidR="00923B2F" w:rsidRPr="004C2FAC" w:rsidRDefault="00923B2F" w:rsidP="00F11F08">
      <w:pPr>
        <w:pStyle w:val="Lista2"/>
        <w:ind w:left="0" w:firstLine="0"/>
        <w:rPr>
          <w:rFonts w:cs="Arial"/>
          <w:b/>
        </w:rPr>
      </w:pPr>
    </w:p>
    <w:p w:rsidR="004D5AFB" w:rsidRPr="004C2FAC" w:rsidRDefault="00923B2F" w:rsidP="00F11F08">
      <w:pPr>
        <w:pStyle w:val="Lista2"/>
        <w:ind w:left="0" w:firstLine="0"/>
        <w:rPr>
          <w:rFonts w:cs="Arial"/>
        </w:rPr>
      </w:pPr>
      <w:r w:rsidRPr="004C2FAC">
        <w:rPr>
          <w:rFonts w:cs="Arial"/>
        </w:rPr>
        <w:t>El Procurado</w:t>
      </w:r>
      <w:r w:rsidR="004D5AFB" w:rsidRPr="004C2FAC">
        <w:rPr>
          <w:rFonts w:cs="Arial"/>
        </w:rPr>
        <w:t xml:space="preserve">r </w:t>
      </w:r>
      <w:r w:rsidRPr="004C2FAC">
        <w:rPr>
          <w:rFonts w:cs="Arial"/>
        </w:rPr>
        <w:t>11 Judicial Admin</w:t>
      </w:r>
      <w:r w:rsidR="004D5AFB" w:rsidRPr="004C2FAC">
        <w:rPr>
          <w:rFonts w:cs="Arial"/>
        </w:rPr>
        <w:t>i</w:t>
      </w:r>
      <w:r w:rsidRPr="004C2FAC">
        <w:rPr>
          <w:rFonts w:cs="Arial"/>
        </w:rPr>
        <w:t xml:space="preserve">strativo II, </w:t>
      </w:r>
      <w:r w:rsidR="004D5AFB" w:rsidRPr="004C2FAC">
        <w:rPr>
          <w:rFonts w:cs="Arial"/>
        </w:rPr>
        <w:t xml:space="preserve">en su concepto, </w:t>
      </w:r>
      <w:r w:rsidRPr="004C2FAC">
        <w:rPr>
          <w:rFonts w:cs="Arial"/>
        </w:rPr>
        <w:t>e</w:t>
      </w:r>
      <w:r w:rsidR="00634DBE" w:rsidRPr="004C2FAC">
        <w:rPr>
          <w:rFonts w:cs="Arial"/>
        </w:rPr>
        <w:t>stimó que el término de la prescripción derivada del contrato de seguro solamente deb</w:t>
      </w:r>
      <w:r w:rsidR="004D5AFB" w:rsidRPr="004C2FAC">
        <w:rPr>
          <w:rFonts w:cs="Arial"/>
        </w:rPr>
        <w:t>ía</w:t>
      </w:r>
      <w:r w:rsidR="00634DBE" w:rsidRPr="004C2FAC">
        <w:rPr>
          <w:rFonts w:cs="Arial"/>
        </w:rPr>
        <w:t xml:space="preserve"> contarse a partir de la sentencia que declarara el incumplimiento del contrato.</w:t>
      </w:r>
    </w:p>
    <w:p w:rsidR="004D5AFB" w:rsidRPr="004C2FAC" w:rsidRDefault="004D5AFB" w:rsidP="00F11F08">
      <w:pPr>
        <w:pStyle w:val="Lista2"/>
        <w:ind w:left="0" w:firstLine="0"/>
        <w:rPr>
          <w:rFonts w:cs="Arial"/>
        </w:rPr>
      </w:pPr>
    </w:p>
    <w:p w:rsidR="00923B2F" w:rsidRPr="004C2FAC" w:rsidRDefault="00FA58B2" w:rsidP="00F11F08">
      <w:pPr>
        <w:pStyle w:val="Lista2"/>
        <w:ind w:left="0" w:firstLine="0"/>
        <w:rPr>
          <w:rFonts w:cs="Arial"/>
        </w:rPr>
      </w:pPr>
      <w:r w:rsidRPr="004C2FAC">
        <w:rPr>
          <w:rFonts w:cs="Arial"/>
        </w:rPr>
        <w:lastRenderedPageBreak/>
        <w:t xml:space="preserve">Como </w:t>
      </w:r>
      <w:r w:rsidR="00634DBE" w:rsidRPr="004C2FAC">
        <w:rPr>
          <w:rFonts w:cs="Arial"/>
        </w:rPr>
        <w:t>apoy</w:t>
      </w:r>
      <w:r w:rsidRPr="004C2FAC">
        <w:rPr>
          <w:rFonts w:cs="Arial"/>
        </w:rPr>
        <w:t xml:space="preserve">o de su concepto sostuvo que </w:t>
      </w:r>
      <w:r w:rsidR="00634DBE" w:rsidRPr="004C2FAC">
        <w:rPr>
          <w:rFonts w:cs="Arial"/>
        </w:rPr>
        <w:t>la po</w:t>
      </w:r>
      <w:r w:rsidR="003C681E" w:rsidRPr="004C2FAC">
        <w:rPr>
          <w:rFonts w:cs="Arial"/>
        </w:rPr>
        <w:t xml:space="preserve">testad </w:t>
      </w:r>
      <w:r w:rsidR="00634DBE" w:rsidRPr="004C2FAC">
        <w:rPr>
          <w:rFonts w:cs="Arial"/>
        </w:rPr>
        <w:t xml:space="preserve">de declarar </w:t>
      </w:r>
      <w:r w:rsidR="003C681E" w:rsidRPr="004C2FAC">
        <w:rPr>
          <w:rFonts w:cs="Arial"/>
        </w:rPr>
        <w:t>en forma unilateral e</w:t>
      </w:r>
      <w:r w:rsidR="00634DBE" w:rsidRPr="004C2FAC">
        <w:rPr>
          <w:rFonts w:cs="Arial"/>
        </w:rPr>
        <w:t>l incumplimi</w:t>
      </w:r>
      <w:r w:rsidR="00E90207" w:rsidRPr="004C2FAC">
        <w:rPr>
          <w:rFonts w:cs="Arial"/>
        </w:rPr>
        <w:t>e</w:t>
      </w:r>
      <w:r w:rsidR="00634DBE" w:rsidRPr="004C2FAC">
        <w:rPr>
          <w:rFonts w:cs="Arial"/>
        </w:rPr>
        <w:t>nto del contrato</w:t>
      </w:r>
      <w:r w:rsidR="003C681E" w:rsidRPr="004C2FAC">
        <w:rPr>
          <w:rFonts w:cs="Arial"/>
        </w:rPr>
        <w:t xml:space="preserve"> </w:t>
      </w:r>
      <w:r w:rsidR="00634DBE" w:rsidRPr="004C2FAC">
        <w:rPr>
          <w:rFonts w:cs="Arial"/>
        </w:rPr>
        <w:t>desapareció en vigencia de la Ley 80 de 1993</w:t>
      </w:r>
      <w:r w:rsidRPr="004C2FAC">
        <w:rPr>
          <w:rFonts w:cs="Arial"/>
        </w:rPr>
        <w:t xml:space="preserve"> y, por ello, </w:t>
      </w:r>
      <w:r w:rsidR="00E90207" w:rsidRPr="004C2FAC">
        <w:rPr>
          <w:rFonts w:cs="Arial"/>
          <w:i/>
        </w:rPr>
        <w:t>“el acto administrativo como detonante del siniestro fue reemplazado por la sentencia judicial”</w:t>
      </w:r>
      <w:r w:rsidR="00E90207" w:rsidRPr="004C2FAC">
        <w:rPr>
          <w:rFonts w:cs="Arial"/>
        </w:rPr>
        <w:t xml:space="preserve">. </w:t>
      </w:r>
      <w:r w:rsidR="003C681E" w:rsidRPr="004C2FAC">
        <w:rPr>
          <w:rFonts w:cs="Arial"/>
        </w:rPr>
        <w:t>Por otra parte</w:t>
      </w:r>
      <w:r w:rsidRPr="004C2FAC">
        <w:rPr>
          <w:rFonts w:cs="Arial"/>
        </w:rPr>
        <w:t>,</w:t>
      </w:r>
      <w:r w:rsidR="003C681E" w:rsidRPr="004C2FAC">
        <w:rPr>
          <w:rFonts w:cs="Arial"/>
        </w:rPr>
        <w:t xml:space="preserve"> observó que </w:t>
      </w:r>
      <w:r w:rsidR="00E90207" w:rsidRPr="004C2FAC">
        <w:rPr>
          <w:rFonts w:cs="Arial"/>
        </w:rPr>
        <w:t>el incumplimiento de COLCEREALES se encontró probado</w:t>
      </w:r>
      <w:r w:rsidR="004D5AFB" w:rsidRPr="004C2FAC">
        <w:rPr>
          <w:rFonts w:cs="Arial"/>
        </w:rPr>
        <w:t xml:space="preserve"> en el proceso</w:t>
      </w:r>
      <w:r w:rsidR="00E90207" w:rsidRPr="004C2FAC">
        <w:rPr>
          <w:rFonts w:cs="Arial"/>
          <w:i/>
        </w:rPr>
        <w:t>, “al punto que precisamente</w:t>
      </w:r>
      <w:r w:rsidR="002A5317" w:rsidRPr="004C2FAC">
        <w:rPr>
          <w:rFonts w:cs="Arial"/>
          <w:i/>
        </w:rPr>
        <w:t xml:space="preserve"> celebró en principio un</w:t>
      </w:r>
      <w:r w:rsidR="002A5317" w:rsidRPr="004C2FAC">
        <w:rPr>
          <w:rFonts w:cs="Arial"/>
          <w:b/>
          <w:i/>
        </w:rPr>
        <w:t xml:space="preserve"> </w:t>
      </w:r>
      <w:r w:rsidR="002A5317" w:rsidRPr="004C2FAC">
        <w:rPr>
          <w:rFonts w:cs="Arial"/>
          <w:i/>
        </w:rPr>
        <w:t>negocio jurídico de dación en pago”</w:t>
      </w:r>
      <w:r w:rsidR="002A5317" w:rsidRPr="004C2FAC">
        <w:rPr>
          <w:rStyle w:val="Refdenotaalpie"/>
          <w:rFonts w:cs="Arial"/>
        </w:rPr>
        <w:footnoteReference w:id="8"/>
      </w:r>
      <w:r w:rsidR="002A5317" w:rsidRPr="004C2FAC">
        <w:rPr>
          <w:rFonts w:cs="Arial"/>
        </w:rPr>
        <w:t>.</w:t>
      </w:r>
      <w:r w:rsidR="00E90207" w:rsidRPr="004C2FAC">
        <w:rPr>
          <w:rFonts w:cs="Arial"/>
        </w:rPr>
        <w:t xml:space="preserve"> </w:t>
      </w:r>
    </w:p>
    <w:p w:rsidR="009D1258" w:rsidRPr="004C2FAC" w:rsidRDefault="009D1258" w:rsidP="00F11F08">
      <w:pPr>
        <w:pStyle w:val="Lista2"/>
        <w:ind w:left="0" w:firstLine="0"/>
        <w:rPr>
          <w:rFonts w:cs="Arial"/>
        </w:rPr>
      </w:pPr>
    </w:p>
    <w:p w:rsidR="00F21484" w:rsidRPr="004C2FAC" w:rsidRDefault="009D1258" w:rsidP="00F11F08">
      <w:pPr>
        <w:pStyle w:val="Lista2"/>
        <w:ind w:left="0" w:firstLine="0"/>
        <w:rPr>
          <w:rFonts w:cs="Arial"/>
          <w:b/>
        </w:rPr>
      </w:pPr>
      <w:r w:rsidRPr="004C2FAC">
        <w:rPr>
          <w:rFonts w:cs="Arial"/>
          <w:b/>
        </w:rPr>
        <w:t>5.</w:t>
      </w:r>
      <w:r w:rsidR="00077B4B" w:rsidRPr="004C2FAC">
        <w:rPr>
          <w:rFonts w:cs="Arial"/>
          <w:b/>
        </w:rPr>
        <w:t xml:space="preserve"> </w:t>
      </w:r>
      <w:r w:rsidR="00F21484" w:rsidRPr="004C2FAC">
        <w:rPr>
          <w:rFonts w:cs="Arial"/>
          <w:b/>
        </w:rPr>
        <w:t>La sentencia impugnada</w:t>
      </w:r>
    </w:p>
    <w:p w:rsidR="00D550F9" w:rsidRPr="004C2FAC" w:rsidRDefault="00D550F9" w:rsidP="00D550F9">
      <w:pPr>
        <w:numPr>
          <w:ilvl w:val="12"/>
          <w:numId w:val="0"/>
        </w:numPr>
        <w:rPr>
          <w:rFonts w:cs="Arial"/>
          <w:bCs/>
        </w:rPr>
      </w:pPr>
    </w:p>
    <w:p w:rsidR="00E704D1" w:rsidRPr="004C2FAC" w:rsidRDefault="00D550F9" w:rsidP="00E704D1">
      <w:pPr>
        <w:pStyle w:val="Continuarlista2"/>
        <w:ind w:left="0"/>
        <w:rPr>
          <w:rFonts w:cs="Arial"/>
        </w:rPr>
      </w:pPr>
      <w:r w:rsidRPr="004C2FAC">
        <w:rPr>
          <w:rFonts w:cs="Arial"/>
        </w:rPr>
        <w:t xml:space="preserve">El Tribunal </w:t>
      </w:r>
      <w:r w:rsidR="00E704D1" w:rsidRPr="004C2FAC">
        <w:rPr>
          <w:rFonts w:cs="Arial"/>
        </w:rPr>
        <w:t>Administrativo de Cundinamarca, Sección Tercera – Subsección C de descongestión, profirió sentencia el veintiuno (21) de agosto de dos mil catorce (2014), mediante la cual declaró que en el presente caso operó la caducidad de la acción.</w:t>
      </w:r>
    </w:p>
    <w:p w:rsidR="00D07561" w:rsidRPr="004C2FAC" w:rsidRDefault="00E704D1" w:rsidP="00E704D1">
      <w:pPr>
        <w:pStyle w:val="Continuarlista2"/>
        <w:ind w:left="0"/>
        <w:rPr>
          <w:rFonts w:cs="Arial"/>
          <w:lang w:val="es-MX"/>
        </w:rPr>
      </w:pPr>
      <w:r w:rsidRPr="004C2FAC">
        <w:rPr>
          <w:rFonts w:cs="Arial"/>
          <w:lang w:val="es-MX"/>
        </w:rPr>
        <w:t xml:space="preserve"> </w:t>
      </w:r>
    </w:p>
    <w:p w:rsidR="00D550F9" w:rsidRPr="004C2FAC" w:rsidRDefault="00D550F9" w:rsidP="00D07561">
      <w:pPr>
        <w:pStyle w:val="Continuarlista2"/>
        <w:ind w:left="0"/>
        <w:rPr>
          <w:rFonts w:cs="Arial"/>
          <w:lang w:val="es-MX"/>
        </w:rPr>
      </w:pPr>
      <w:r w:rsidRPr="004C2FAC">
        <w:rPr>
          <w:rFonts w:cs="Arial"/>
          <w:lang w:val="es-MX"/>
        </w:rPr>
        <w:t xml:space="preserve">El Tribunal </w:t>
      </w:r>
      <w:r w:rsidRPr="004C2FAC">
        <w:rPr>
          <w:rFonts w:cs="Arial"/>
          <w:i/>
          <w:lang w:val="es-MX"/>
        </w:rPr>
        <w:t>a quo</w:t>
      </w:r>
      <w:r w:rsidRPr="004C2FAC">
        <w:rPr>
          <w:rFonts w:cs="Arial"/>
          <w:lang w:val="es-MX"/>
        </w:rPr>
        <w:t xml:space="preserve"> apoyó su decisión en las siguientes consideraciones:</w:t>
      </w:r>
    </w:p>
    <w:p w:rsidR="00D057C5" w:rsidRPr="004C2FAC" w:rsidRDefault="00E704D1" w:rsidP="00C56CF1">
      <w:pPr>
        <w:pStyle w:val="Lista2"/>
        <w:ind w:left="0" w:firstLine="0"/>
        <w:rPr>
          <w:rFonts w:cs="Arial"/>
          <w:lang w:val="es-MX"/>
        </w:rPr>
      </w:pPr>
      <w:r w:rsidRPr="004C2FAC">
        <w:rPr>
          <w:rFonts w:cs="Arial"/>
          <w:lang w:val="es-MX"/>
        </w:rPr>
        <w:t>Observó que la demanda se instauró para que se declar</w:t>
      </w:r>
      <w:r w:rsidR="00054354" w:rsidRPr="004C2FAC">
        <w:rPr>
          <w:rFonts w:cs="Arial"/>
          <w:lang w:val="es-MX"/>
        </w:rPr>
        <w:t>ara</w:t>
      </w:r>
      <w:r w:rsidRPr="004C2FAC">
        <w:rPr>
          <w:rFonts w:cs="Arial"/>
          <w:lang w:val="es-MX"/>
        </w:rPr>
        <w:t xml:space="preserve"> el incumplimiento del contrato de trueque directo No. 8861 y </w:t>
      </w:r>
      <w:r w:rsidR="00054354" w:rsidRPr="004C2FAC">
        <w:rPr>
          <w:rFonts w:cs="Arial"/>
          <w:lang w:val="es-MX"/>
        </w:rPr>
        <w:t xml:space="preserve">de </w:t>
      </w:r>
      <w:r w:rsidRPr="004C2FAC">
        <w:rPr>
          <w:rFonts w:cs="Arial"/>
          <w:lang w:val="es-MX"/>
        </w:rPr>
        <w:t>los acuerdos de trueque Nos. 13074, 13075, 13066 y 13067, los cuales fueron celebrados en el año 1995.</w:t>
      </w:r>
      <w:r w:rsidR="008D324C" w:rsidRPr="004C2FAC">
        <w:rPr>
          <w:rFonts w:cs="Arial"/>
          <w:lang w:val="es-MX"/>
        </w:rPr>
        <w:t xml:space="preserve"> </w:t>
      </w:r>
    </w:p>
    <w:p w:rsidR="00D057C5" w:rsidRPr="004C2FAC" w:rsidRDefault="00D057C5" w:rsidP="00C56CF1">
      <w:pPr>
        <w:pStyle w:val="Lista2"/>
        <w:ind w:left="0" w:firstLine="0"/>
        <w:rPr>
          <w:rFonts w:cs="Arial"/>
          <w:lang w:val="es-MX"/>
        </w:rPr>
      </w:pPr>
    </w:p>
    <w:p w:rsidR="00D057C5" w:rsidRPr="004C2FAC" w:rsidRDefault="00737028" w:rsidP="00C56CF1">
      <w:pPr>
        <w:pStyle w:val="Lista2"/>
        <w:ind w:left="0" w:firstLine="0"/>
        <w:rPr>
          <w:rFonts w:cs="Arial"/>
          <w:lang w:val="es-MX"/>
        </w:rPr>
      </w:pPr>
      <w:r w:rsidRPr="004C2FAC">
        <w:rPr>
          <w:rFonts w:cs="Arial"/>
          <w:lang w:val="es-MX"/>
        </w:rPr>
        <w:t xml:space="preserve">Afirmó </w:t>
      </w:r>
      <w:r w:rsidR="008D324C" w:rsidRPr="004C2FAC">
        <w:rPr>
          <w:rFonts w:cs="Arial"/>
          <w:lang w:val="es-MX"/>
        </w:rPr>
        <w:t>que las pretensiones de la demanda no correspond</w:t>
      </w:r>
      <w:r w:rsidRPr="004C2FAC">
        <w:rPr>
          <w:rFonts w:cs="Arial"/>
          <w:lang w:val="es-MX"/>
        </w:rPr>
        <w:t>ían</w:t>
      </w:r>
      <w:r w:rsidR="008D324C" w:rsidRPr="004C2FAC">
        <w:rPr>
          <w:rFonts w:cs="Arial"/>
          <w:lang w:val="es-MX"/>
        </w:rPr>
        <w:t xml:space="preserve"> a la </w:t>
      </w:r>
      <w:r w:rsidR="003C681E" w:rsidRPr="004C2FAC">
        <w:rPr>
          <w:rFonts w:cs="Arial"/>
          <w:lang w:val="es-MX"/>
        </w:rPr>
        <w:t xml:space="preserve">de la </w:t>
      </w:r>
      <w:r w:rsidR="008D324C" w:rsidRPr="004C2FAC">
        <w:rPr>
          <w:rFonts w:cs="Arial"/>
          <w:lang w:val="es-MX"/>
        </w:rPr>
        <w:t xml:space="preserve">acción prevista en el artículo 55 de la Ley 80 de 1993, </w:t>
      </w:r>
      <w:r w:rsidR="008D324C" w:rsidRPr="004C2FAC">
        <w:rPr>
          <w:rFonts w:cs="Arial"/>
          <w:i/>
          <w:lang w:val="es-MX"/>
        </w:rPr>
        <w:t>“pues esta hace referencia a la responsabilidad civil, distinta a la de</w:t>
      </w:r>
      <w:r w:rsidR="00054354" w:rsidRPr="004C2FAC">
        <w:rPr>
          <w:rFonts w:cs="Arial"/>
          <w:i/>
          <w:lang w:val="es-MX"/>
        </w:rPr>
        <w:t>l incumplimiento de las obligaciones propias del contrato”</w:t>
      </w:r>
      <w:r w:rsidR="00054354" w:rsidRPr="004C2FAC">
        <w:rPr>
          <w:rStyle w:val="Refdenotaalpie"/>
          <w:rFonts w:cs="Arial"/>
          <w:lang w:val="es-MX"/>
        </w:rPr>
        <w:footnoteReference w:id="9"/>
      </w:r>
      <w:r w:rsidR="00054354" w:rsidRPr="004C2FAC">
        <w:rPr>
          <w:rFonts w:cs="Arial"/>
          <w:lang w:val="es-MX"/>
        </w:rPr>
        <w:t>.</w:t>
      </w:r>
      <w:r w:rsidR="003610C3" w:rsidRPr="004C2FAC">
        <w:rPr>
          <w:rFonts w:cs="Arial"/>
          <w:lang w:val="es-MX"/>
        </w:rPr>
        <w:t xml:space="preserve"> </w:t>
      </w:r>
    </w:p>
    <w:p w:rsidR="00D057C5" w:rsidRPr="004C2FAC" w:rsidRDefault="00D057C5" w:rsidP="00C56CF1">
      <w:pPr>
        <w:pStyle w:val="Lista2"/>
        <w:ind w:left="0" w:firstLine="0"/>
        <w:rPr>
          <w:rFonts w:cs="Arial"/>
          <w:lang w:val="es-MX"/>
        </w:rPr>
      </w:pPr>
    </w:p>
    <w:p w:rsidR="003610C3" w:rsidRPr="004C2FAC" w:rsidRDefault="003610C3" w:rsidP="00C56CF1">
      <w:pPr>
        <w:pStyle w:val="Lista2"/>
        <w:ind w:left="0" w:firstLine="0"/>
        <w:rPr>
          <w:rFonts w:cs="Arial"/>
          <w:lang w:val="es-MX"/>
        </w:rPr>
      </w:pPr>
      <w:r w:rsidRPr="004C2FAC">
        <w:rPr>
          <w:rFonts w:cs="Arial"/>
          <w:lang w:val="es-MX"/>
        </w:rPr>
        <w:t>Por otra parte</w:t>
      </w:r>
      <w:r w:rsidR="00E964C5" w:rsidRPr="004C2FAC">
        <w:rPr>
          <w:rFonts w:cs="Arial"/>
          <w:lang w:val="es-MX"/>
        </w:rPr>
        <w:t xml:space="preserve">, el Tribunal </w:t>
      </w:r>
      <w:r w:rsidR="00E964C5" w:rsidRPr="004C2FAC">
        <w:rPr>
          <w:rFonts w:cs="Arial"/>
          <w:i/>
          <w:lang w:val="es-MX"/>
        </w:rPr>
        <w:t>a quo</w:t>
      </w:r>
      <w:r w:rsidR="00E964C5" w:rsidRPr="004C2FAC">
        <w:rPr>
          <w:rFonts w:cs="Arial"/>
          <w:lang w:val="es-MX"/>
        </w:rPr>
        <w:t xml:space="preserve"> </w:t>
      </w:r>
      <w:r w:rsidR="00B30B8D" w:rsidRPr="004C2FAC">
        <w:rPr>
          <w:rFonts w:cs="Arial"/>
          <w:lang w:val="es-MX"/>
        </w:rPr>
        <w:t xml:space="preserve">reseñó </w:t>
      </w:r>
      <w:r w:rsidRPr="004C2FAC">
        <w:rPr>
          <w:rFonts w:cs="Arial"/>
          <w:lang w:val="es-MX"/>
        </w:rPr>
        <w:t>que la</w:t>
      </w:r>
      <w:r w:rsidR="00900396" w:rsidRPr="004C2FAC">
        <w:rPr>
          <w:rFonts w:cs="Arial"/>
          <w:lang w:val="es-MX"/>
        </w:rPr>
        <w:t xml:space="preserve">s pretensiones de la </w:t>
      </w:r>
      <w:r w:rsidRPr="004C2FAC">
        <w:rPr>
          <w:rFonts w:cs="Arial"/>
          <w:lang w:val="es-MX"/>
        </w:rPr>
        <w:t xml:space="preserve">demanda no se </w:t>
      </w:r>
      <w:r w:rsidR="00900396" w:rsidRPr="004C2FAC">
        <w:rPr>
          <w:rFonts w:cs="Arial"/>
          <w:lang w:val="es-MX"/>
        </w:rPr>
        <w:t xml:space="preserve">fundaron en el acta de conciliación y acuerdo de </w:t>
      </w:r>
      <w:r w:rsidRPr="004C2FAC">
        <w:rPr>
          <w:rFonts w:cs="Arial"/>
          <w:lang w:val="es-MX"/>
        </w:rPr>
        <w:t xml:space="preserve">dación en pago que </w:t>
      </w:r>
      <w:r w:rsidR="00D057C5" w:rsidRPr="004C2FAC">
        <w:rPr>
          <w:rFonts w:cs="Arial"/>
          <w:lang w:val="es-MX"/>
        </w:rPr>
        <w:t xml:space="preserve">celebraron las partes para </w:t>
      </w:r>
      <w:r w:rsidR="005C5C86" w:rsidRPr="004C2FAC">
        <w:rPr>
          <w:rFonts w:cs="Arial"/>
          <w:lang w:val="es-MX"/>
        </w:rPr>
        <w:t xml:space="preserve">dar </w:t>
      </w:r>
      <w:r w:rsidR="00D057C5" w:rsidRPr="004C2FAC">
        <w:rPr>
          <w:rFonts w:cs="Arial"/>
          <w:lang w:val="es-MX"/>
        </w:rPr>
        <w:t>soluci</w:t>
      </w:r>
      <w:r w:rsidR="005C5C86" w:rsidRPr="004C2FAC">
        <w:rPr>
          <w:rFonts w:cs="Arial"/>
          <w:lang w:val="es-MX"/>
        </w:rPr>
        <w:t>ón a</w:t>
      </w:r>
      <w:r w:rsidR="00D057C5" w:rsidRPr="004C2FAC">
        <w:rPr>
          <w:rFonts w:cs="Arial"/>
          <w:lang w:val="es-MX"/>
        </w:rPr>
        <w:t xml:space="preserve">l incumplimiento contractual, </w:t>
      </w:r>
      <w:r w:rsidR="003C681E" w:rsidRPr="004C2FAC">
        <w:rPr>
          <w:rFonts w:cs="Arial"/>
          <w:lang w:val="es-MX"/>
        </w:rPr>
        <w:t>el</w:t>
      </w:r>
      <w:r w:rsidR="00900396" w:rsidRPr="004C2FAC">
        <w:rPr>
          <w:rFonts w:cs="Arial"/>
          <w:lang w:val="es-MX"/>
        </w:rPr>
        <w:t xml:space="preserve"> </w:t>
      </w:r>
      <w:r w:rsidR="00D057C5" w:rsidRPr="004C2FAC">
        <w:rPr>
          <w:rFonts w:cs="Arial"/>
          <w:lang w:val="es-MX"/>
        </w:rPr>
        <w:t xml:space="preserve">cual </w:t>
      </w:r>
      <w:r w:rsidRPr="004C2FAC">
        <w:rPr>
          <w:rFonts w:cs="Arial"/>
          <w:lang w:val="es-MX"/>
        </w:rPr>
        <w:t xml:space="preserve">se </w:t>
      </w:r>
      <w:r w:rsidR="00D057C5" w:rsidRPr="004C2FAC">
        <w:rPr>
          <w:rFonts w:cs="Arial"/>
          <w:lang w:val="es-MX"/>
        </w:rPr>
        <w:t xml:space="preserve">debía </w:t>
      </w:r>
      <w:r w:rsidRPr="004C2FAC">
        <w:rPr>
          <w:rFonts w:cs="Arial"/>
          <w:lang w:val="es-MX"/>
        </w:rPr>
        <w:t>concretar el 16 de diciembre de 1996</w:t>
      </w:r>
      <w:r w:rsidR="00900396" w:rsidRPr="004C2FAC">
        <w:rPr>
          <w:rFonts w:cs="Arial"/>
          <w:lang w:val="es-MX"/>
        </w:rPr>
        <w:t>, empero no llegó a realizarse</w:t>
      </w:r>
      <w:r w:rsidRPr="004C2FAC">
        <w:rPr>
          <w:rFonts w:cs="Arial"/>
          <w:lang w:val="es-MX"/>
        </w:rPr>
        <w:t>.</w:t>
      </w:r>
    </w:p>
    <w:p w:rsidR="00054354" w:rsidRPr="004C2FAC" w:rsidRDefault="00054354" w:rsidP="00C56CF1">
      <w:pPr>
        <w:pStyle w:val="Lista2"/>
        <w:ind w:left="0" w:firstLine="0"/>
        <w:rPr>
          <w:rFonts w:cs="Arial"/>
          <w:lang w:val="es-MX"/>
        </w:rPr>
      </w:pPr>
    </w:p>
    <w:p w:rsidR="008D324C" w:rsidRPr="004C2FAC" w:rsidRDefault="00054354" w:rsidP="00C56CF1">
      <w:pPr>
        <w:pStyle w:val="Lista2"/>
        <w:ind w:left="0" w:firstLine="0"/>
        <w:rPr>
          <w:rFonts w:cs="Arial"/>
          <w:lang w:val="es-MX"/>
        </w:rPr>
      </w:pPr>
      <w:r w:rsidRPr="004C2FAC">
        <w:rPr>
          <w:rFonts w:cs="Arial"/>
          <w:lang w:val="es-MX"/>
        </w:rPr>
        <w:lastRenderedPageBreak/>
        <w:t>Como consecuencia, p</w:t>
      </w:r>
      <w:r w:rsidR="00E704D1" w:rsidRPr="004C2FAC">
        <w:rPr>
          <w:rFonts w:cs="Arial"/>
          <w:lang w:val="es-MX"/>
        </w:rPr>
        <w:t xml:space="preserve">ara efectos de </w:t>
      </w:r>
      <w:r w:rsidRPr="004C2FAC">
        <w:rPr>
          <w:rFonts w:cs="Arial"/>
          <w:lang w:val="es-MX"/>
        </w:rPr>
        <w:t xml:space="preserve">establecer </w:t>
      </w:r>
      <w:r w:rsidR="00E704D1" w:rsidRPr="004C2FAC">
        <w:rPr>
          <w:rFonts w:cs="Arial"/>
          <w:lang w:val="es-MX"/>
        </w:rPr>
        <w:t>la caducidad de la acción</w:t>
      </w:r>
      <w:r w:rsidRPr="004C2FAC">
        <w:rPr>
          <w:rFonts w:cs="Arial"/>
          <w:lang w:val="es-MX"/>
        </w:rPr>
        <w:t xml:space="preserve"> de controversias contractuales</w:t>
      </w:r>
      <w:r w:rsidR="00E704D1" w:rsidRPr="004C2FAC">
        <w:rPr>
          <w:rFonts w:cs="Arial"/>
          <w:lang w:val="es-MX"/>
        </w:rPr>
        <w:t xml:space="preserve">, </w:t>
      </w:r>
      <w:r w:rsidRPr="004C2FAC">
        <w:rPr>
          <w:rFonts w:cs="Arial"/>
          <w:lang w:val="es-MX"/>
        </w:rPr>
        <w:t xml:space="preserve">en torno del incumplimiento del contrato, </w:t>
      </w:r>
      <w:r w:rsidR="00E704D1" w:rsidRPr="004C2FAC">
        <w:rPr>
          <w:rFonts w:cs="Arial"/>
          <w:lang w:val="es-MX"/>
        </w:rPr>
        <w:t xml:space="preserve">el Tribunal </w:t>
      </w:r>
      <w:r w:rsidR="00E704D1" w:rsidRPr="004C2FAC">
        <w:rPr>
          <w:rFonts w:cs="Arial"/>
          <w:i/>
          <w:lang w:val="es-MX"/>
        </w:rPr>
        <w:t>a quo</w:t>
      </w:r>
      <w:r w:rsidR="00E704D1" w:rsidRPr="004C2FAC">
        <w:rPr>
          <w:rFonts w:cs="Arial"/>
          <w:lang w:val="es-MX"/>
        </w:rPr>
        <w:t xml:space="preserve"> estimó aplicable el </w:t>
      </w:r>
      <w:r w:rsidR="003C681E" w:rsidRPr="004C2FAC">
        <w:rPr>
          <w:rFonts w:cs="Arial"/>
          <w:lang w:val="es-MX"/>
        </w:rPr>
        <w:t xml:space="preserve">plazo de dos años fijado en el </w:t>
      </w:r>
      <w:r w:rsidR="00E704D1" w:rsidRPr="004C2FAC">
        <w:rPr>
          <w:rFonts w:cs="Arial"/>
          <w:lang w:val="es-MX"/>
        </w:rPr>
        <w:t>art</w:t>
      </w:r>
      <w:r w:rsidR="005C5C86" w:rsidRPr="004C2FAC">
        <w:rPr>
          <w:rFonts w:cs="Arial"/>
          <w:lang w:val="es-MX"/>
        </w:rPr>
        <w:t>í</w:t>
      </w:r>
      <w:r w:rsidR="00E704D1" w:rsidRPr="004C2FAC">
        <w:rPr>
          <w:rFonts w:cs="Arial"/>
          <w:lang w:val="es-MX"/>
        </w:rPr>
        <w:t>culo 136 del Código Contencioso Administrativo, tal c</w:t>
      </w:r>
      <w:r w:rsidRPr="004C2FAC">
        <w:rPr>
          <w:rFonts w:cs="Arial"/>
          <w:lang w:val="es-MX"/>
        </w:rPr>
        <w:t>o</w:t>
      </w:r>
      <w:r w:rsidR="00E704D1" w:rsidRPr="004C2FAC">
        <w:rPr>
          <w:rFonts w:cs="Arial"/>
          <w:lang w:val="es-MX"/>
        </w:rPr>
        <w:t>mo fue modificado por el Decreto 2304 de 19</w:t>
      </w:r>
      <w:r w:rsidR="003C681E" w:rsidRPr="004C2FAC">
        <w:rPr>
          <w:rFonts w:cs="Arial"/>
          <w:lang w:val="es-MX"/>
        </w:rPr>
        <w:t>89</w:t>
      </w:r>
      <w:r w:rsidR="00E704D1" w:rsidRPr="004C2FAC">
        <w:rPr>
          <w:rFonts w:cs="Arial"/>
          <w:lang w:val="es-MX"/>
        </w:rPr>
        <w:t xml:space="preserve">, </w:t>
      </w:r>
      <w:r w:rsidRPr="004C2FAC">
        <w:rPr>
          <w:rFonts w:cs="Arial"/>
          <w:lang w:val="es-MX"/>
        </w:rPr>
        <w:t xml:space="preserve">teniendo en cuenta, además, que </w:t>
      </w:r>
      <w:r w:rsidR="00E704D1" w:rsidRPr="004C2FAC">
        <w:rPr>
          <w:rFonts w:cs="Arial"/>
          <w:lang w:val="es-MX"/>
        </w:rPr>
        <w:t xml:space="preserve">para </w:t>
      </w:r>
      <w:r w:rsidR="00B30B8D" w:rsidRPr="004C2FAC">
        <w:rPr>
          <w:rFonts w:cs="Arial"/>
          <w:lang w:val="es-MX"/>
        </w:rPr>
        <w:t xml:space="preserve">la fecha del incumplimiento </w:t>
      </w:r>
      <w:r w:rsidR="00E704D1" w:rsidRPr="004C2FAC">
        <w:rPr>
          <w:rFonts w:cs="Arial"/>
          <w:lang w:val="es-MX"/>
        </w:rPr>
        <w:t>no había entrado a regir la Ley 446 de 1998</w:t>
      </w:r>
      <w:r w:rsidRPr="004C2FAC">
        <w:rPr>
          <w:rFonts w:cs="Arial"/>
          <w:lang w:val="es-MX"/>
        </w:rPr>
        <w:t>, que in</w:t>
      </w:r>
      <w:r w:rsidR="003610C3" w:rsidRPr="004C2FAC">
        <w:rPr>
          <w:rFonts w:cs="Arial"/>
          <w:lang w:val="es-MX"/>
        </w:rPr>
        <w:t>t</w:t>
      </w:r>
      <w:r w:rsidRPr="004C2FAC">
        <w:rPr>
          <w:rFonts w:cs="Arial"/>
          <w:lang w:val="es-MX"/>
        </w:rPr>
        <w:t xml:space="preserve">rodujo algunas modificaciones al </w:t>
      </w:r>
      <w:r w:rsidR="0053730A" w:rsidRPr="004C2FAC">
        <w:rPr>
          <w:rFonts w:cs="Arial"/>
          <w:lang w:val="es-MX"/>
        </w:rPr>
        <w:t>re</w:t>
      </w:r>
      <w:r w:rsidRPr="004C2FAC">
        <w:rPr>
          <w:rFonts w:cs="Arial"/>
          <w:lang w:val="es-MX"/>
        </w:rPr>
        <w:t xml:space="preserve">ferido artículo </w:t>
      </w:r>
      <w:r w:rsidR="00D057C5" w:rsidRPr="004C2FAC">
        <w:rPr>
          <w:rFonts w:cs="Arial"/>
          <w:lang w:val="es-MX"/>
        </w:rPr>
        <w:t>136</w:t>
      </w:r>
      <w:r w:rsidRPr="004C2FAC">
        <w:rPr>
          <w:rFonts w:cs="Arial"/>
          <w:lang w:val="es-MX"/>
        </w:rPr>
        <w:t>.</w:t>
      </w:r>
    </w:p>
    <w:p w:rsidR="003610C3" w:rsidRPr="004C2FAC" w:rsidRDefault="003610C3" w:rsidP="00C56CF1">
      <w:pPr>
        <w:pStyle w:val="Lista2"/>
        <w:ind w:left="0" w:firstLine="0"/>
        <w:rPr>
          <w:rFonts w:cs="Arial"/>
          <w:b/>
          <w:lang w:val="es-MX"/>
        </w:rPr>
      </w:pPr>
    </w:p>
    <w:p w:rsidR="00755991" w:rsidRPr="004C2FAC" w:rsidRDefault="00054354" w:rsidP="00C56CF1">
      <w:pPr>
        <w:pStyle w:val="Lista2"/>
        <w:ind w:left="0" w:firstLine="0"/>
        <w:rPr>
          <w:rFonts w:cs="Arial"/>
          <w:lang w:val="es-MX"/>
        </w:rPr>
      </w:pPr>
      <w:r w:rsidRPr="004C2FAC">
        <w:rPr>
          <w:rFonts w:cs="Arial"/>
          <w:lang w:val="es-MX"/>
        </w:rPr>
        <w:t xml:space="preserve">El Tribunal </w:t>
      </w:r>
      <w:r w:rsidRPr="004C2FAC">
        <w:rPr>
          <w:rFonts w:cs="Arial"/>
          <w:i/>
          <w:lang w:val="es-MX"/>
        </w:rPr>
        <w:t>a quo</w:t>
      </w:r>
      <w:r w:rsidRPr="004C2FAC">
        <w:rPr>
          <w:rFonts w:cs="Arial"/>
          <w:lang w:val="es-MX"/>
        </w:rPr>
        <w:t xml:space="preserve"> agregó que, en su entender, la </w:t>
      </w:r>
      <w:r w:rsidR="00755991" w:rsidRPr="004C2FAC">
        <w:rPr>
          <w:rFonts w:cs="Arial"/>
          <w:lang w:val="es-MX"/>
        </w:rPr>
        <w:t xml:space="preserve">acción civil </w:t>
      </w:r>
      <w:r w:rsidR="0053730A" w:rsidRPr="004C2FAC">
        <w:rPr>
          <w:rFonts w:cs="Arial"/>
          <w:lang w:val="es-MX"/>
        </w:rPr>
        <w:t xml:space="preserve">referida en </w:t>
      </w:r>
      <w:r w:rsidR="00755991" w:rsidRPr="004C2FAC">
        <w:rPr>
          <w:rFonts w:cs="Arial"/>
          <w:lang w:val="es-MX"/>
        </w:rPr>
        <w:t>los artículos 50, 51, 52 y 53 de la Ley 80 de 1993, “</w:t>
      </w:r>
      <w:r w:rsidR="00755991" w:rsidRPr="004C2FAC">
        <w:rPr>
          <w:rFonts w:cs="Arial"/>
          <w:i/>
          <w:lang w:val="es-MX"/>
        </w:rPr>
        <w:t>no regulaba en forma concreta el término de la caducidad de la acción contractual, sino la prescripción de la acción civil, penal y disciplinaria, específicamente la responsabilidad civil del contratista al tenor de lo normado en el artículo 52 de la misma disposición”</w:t>
      </w:r>
      <w:r w:rsidR="00755991" w:rsidRPr="004C2FAC">
        <w:rPr>
          <w:rStyle w:val="Refdenotaalpie"/>
          <w:rFonts w:cs="Arial"/>
          <w:i/>
          <w:lang w:val="es-MX"/>
        </w:rPr>
        <w:footnoteReference w:id="10"/>
      </w:r>
      <w:r w:rsidR="00755991" w:rsidRPr="004C2FAC">
        <w:rPr>
          <w:rFonts w:cs="Arial"/>
          <w:i/>
          <w:lang w:val="es-MX"/>
        </w:rPr>
        <w:t>.</w:t>
      </w:r>
    </w:p>
    <w:p w:rsidR="00755991" w:rsidRPr="004C2FAC" w:rsidRDefault="00755991" w:rsidP="00C56CF1">
      <w:pPr>
        <w:pStyle w:val="Lista2"/>
        <w:ind w:left="0" w:firstLine="0"/>
        <w:rPr>
          <w:rFonts w:cs="Arial"/>
          <w:lang w:val="es-MX"/>
        </w:rPr>
      </w:pPr>
    </w:p>
    <w:p w:rsidR="000E11D0" w:rsidRPr="004C2FAC" w:rsidRDefault="005D2486" w:rsidP="00C56CF1">
      <w:pPr>
        <w:pStyle w:val="Lista2"/>
        <w:ind w:left="0" w:firstLine="0"/>
        <w:rPr>
          <w:rFonts w:cs="Arial"/>
          <w:i/>
          <w:lang w:val="es-MX"/>
        </w:rPr>
      </w:pPr>
      <w:r w:rsidRPr="004C2FAC">
        <w:rPr>
          <w:rFonts w:cs="Arial"/>
          <w:lang w:val="es-MX"/>
        </w:rPr>
        <w:t>Para fundar las anteriores apreciaciones</w:t>
      </w:r>
      <w:r w:rsidR="00266A4A" w:rsidRPr="004C2FAC">
        <w:rPr>
          <w:rFonts w:cs="Arial"/>
          <w:lang w:val="es-MX"/>
        </w:rPr>
        <w:t>,</w:t>
      </w:r>
      <w:r w:rsidRPr="004C2FAC">
        <w:rPr>
          <w:rFonts w:cs="Arial"/>
          <w:lang w:val="es-MX"/>
        </w:rPr>
        <w:t xml:space="preserve"> </w:t>
      </w:r>
      <w:r w:rsidR="00755991" w:rsidRPr="004C2FAC">
        <w:rPr>
          <w:rFonts w:cs="Arial"/>
          <w:lang w:val="es-MX"/>
        </w:rPr>
        <w:t xml:space="preserve">el Tribunal </w:t>
      </w:r>
      <w:r w:rsidR="00755991" w:rsidRPr="004C2FAC">
        <w:rPr>
          <w:rFonts w:cs="Arial"/>
          <w:i/>
          <w:lang w:val="es-MX"/>
        </w:rPr>
        <w:t>a quo</w:t>
      </w:r>
      <w:r w:rsidR="00755991" w:rsidRPr="004C2FAC">
        <w:rPr>
          <w:rFonts w:cs="Arial"/>
          <w:lang w:val="es-MX"/>
        </w:rPr>
        <w:t xml:space="preserve"> citó la sentencia C-574 de 1998, proferida por la Corte Constitucional </w:t>
      </w:r>
      <w:r w:rsidR="000E11D0" w:rsidRPr="004C2FAC">
        <w:rPr>
          <w:rFonts w:cs="Arial"/>
          <w:lang w:val="es-MX"/>
        </w:rPr>
        <w:t xml:space="preserve">al declarar la exequibilidad del artículo 55 de la Ley 80 de 1993, dado que en esa providencia la Corte Constitucional distinguió </w:t>
      </w:r>
      <w:r w:rsidR="00755991" w:rsidRPr="004C2FAC">
        <w:rPr>
          <w:rFonts w:cs="Arial"/>
          <w:lang w:val="es-MX"/>
        </w:rPr>
        <w:t>entre</w:t>
      </w:r>
      <w:r w:rsidR="0053730A" w:rsidRPr="004C2FAC">
        <w:rPr>
          <w:rFonts w:cs="Arial"/>
          <w:lang w:val="es-MX"/>
        </w:rPr>
        <w:t>:</w:t>
      </w:r>
      <w:r w:rsidR="00755991" w:rsidRPr="004C2FAC">
        <w:rPr>
          <w:rFonts w:cs="Arial"/>
          <w:lang w:val="es-MX"/>
        </w:rPr>
        <w:t xml:space="preserve"> </w:t>
      </w:r>
      <w:r w:rsidR="0053730A" w:rsidRPr="004C2FAC">
        <w:rPr>
          <w:rFonts w:cs="Arial"/>
          <w:b/>
          <w:lang w:val="es-MX"/>
        </w:rPr>
        <w:t>i)</w:t>
      </w:r>
      <w:r w:rsidR="0053730A" w:rsidRPr="004C2FAC">
        <w:rPr>
          <w:rFonts w:cs="Arial"/>
          <w:lang w:val="es-MX"/>
        </w:rPr>
        <w:t xml:space="preserve"> </w:t>
      </w:r>
      <w:r w:rsidR="00755991" w:rsidRPr="004C2FAC">
        <w:rPr>
          <w:rFonts w:cs="Arial"/>
          <w:lang w:val="es-MX"/>
        </w:rPr>
        <w:t>la</w:t>
      </w:r>
      <w:r w:rsidR="000E11D0" w:rsidRPr="004C2FAC">
        <w:rPr>
          <w:rFonts w:cs="Arial"/>
          <w:lang w:val="es-MX"/>
        </w:rPr>
        <w:t xml:space="preserve"> acción de naturaleza meramente civil, contenida en el citado artículo 55, </w:t>
      </w:r>
      <w:r w:rsidR="0053730A" w:rsidRPr="004C2FAC">
        <w:rPr>
          <w:rFonts w:cs="Arial"/>
          <w:lang w:val="es-MX"/>
        </w:rPr>
        <w:t>la cual fue e</w:t>
      </w:r>
      <w:r w:rsidR="000E11D0" w:rsidRPr="004C2FAC">
        <w:rPr>
          <w:rFonts w:cs="Arial"/>
          <w:lang w:val="es-MX"/>
        </w:rPr>
        <w:t xml:space="preserve">stablecida para las </w:t>
      </w:r>
      <w:r w:rsidR="00755991" w:rsidRPr="004C2FAC">
        <w:rPr>
          <w:rFonts w:cs="Arial"/>
          <w:i/>
          <w:lang w:val="es-MX"/>
        </w:rPr>
        <w:t>“conductas positivas o negativas imputables a las entidades públicas, que causan perjuicio a los contratistas derivadas de la inobservancia de normas civiles que rigen su actividad contractual”</w:t>
      </w:r>
      <w:r w:rsidR="0053730A" w:rsidRPr="004C2FAC">
        <w:rPr>
          <w:rFonts w:cs="Arial"/>
          <w:lang w:val="es-MX"/>
        </w:rPr>
        <w:t xml:space="preserve">, </w:t>
      </w:r>
      <w:r w:rsidR="000E11D0" w:rsidRPr="004C2FAC">
        <w:rPr>
          <w:rFonts w:cs="Arial"/>
          <w:lang w:val="es-MX"/>
        </w:rPr>
        <w:t xml:space="preserve">y </w:t>
      </w:r>
      <w:r w:rsidR="0053730A" w:rsidRPr="004C2FAC">
        <w:rPr>
          <w:rFonts w:cs="Arial"/>
          <w:b/>
          <w:lang w:val="es-MX"/>
        </w:rPr>
        <w:t>ii)</w:t>
      </w:r>
      <w:r w:rsidR="0053730A" w:rsidRPr="004C2FAC">
        <w:rPr>
          <w:rFonts w:cs="Arial"/>
          <w:lang w:val="es-MX"/>
        </w:rPr>
        <w:t xml:space="preserve"> </w:t>
      </w:r>
      <w:r w:rsidR="000E11D0" w:rsidRPr="004C2FAC">
        <w:rPr>
          <w:rFonts w:cs="Arial"/>
          <w:i/>
          <w:lang w:val="es-MX"/>
        </w:rPr>
        <w:t>“las acciones contractuales, fundadas en normas de derecho público a que se refiere el art. 87 del CCA”.</w:t>
      </w:r>
    </w:p>
    <w:p w:rsidR="000E11D0" w:rsidRPr="004C2FAC" w:rsidRDefault="000E11D0" w:rsidP="00C56CF1">
      <w:pPr>
        <w:pStyle w:val="Lista2"/>
        <w:ind w:left="0" w:firstLine="0"/>
        <w:rPr>
          <w:rFonts w:cs="Arial"/>
          <w:lang w:val="es-MX"/>
        </w:rPr>
      </w:pPr>
    </w:p>
    <w:p w:rsidR="009E260E" w:rsidRPr="004C2FAC" w:rsidRDefault="000E11D0" w:rsidP="00C56CF1">
      <w:pPr>
        <w:pStyle w:val="Lista2"/>
        <w:ind w:left="0" w:firstLine="0"/>
        <w:rPr>
          <w:rFonts w:cs="Arial"/>
          <w:i/>
          <w:lang w:val="es-MX"/>
        </w:rPr>
      </w:pPr>
      <w:r w:rsidRPr="004C2FAC">
        <w:rPr>
          <w:rFonts w:cs="Arial"/>
          <w:lang w:val="es-MX"/>
        </w:rPr>
        <w:t xml:space="preserve">Adicionalmente, el Tribunal </w:t>
      </w:r>
      <w:r w:rsidRPr="004C2FAC">
        <w:rPr>
          <w:rFonts w:cs="Arial"/>
          <w:i/>
          <w:lang w:val="es-MX"/>
        </w:rPr>
        <w:t>a quo</w:t>
      </w:r>
      <w:r w:rsidRPr="004C2FAC">
        <w:rPr>
          <w:rFonts w:cs="Arial"/>
          <w:lang w:val="es-MX"/>
        </w:rPr>
        <w:t xml:space="preserve"> transcribió </w:t>
      </w:r>
      <w:r w:rsidR="0053730A" w:rsidRPr="004C2FAC">
        <w:rPr>
          <w:rFonts w:cs="Arial"/>
          <w:lang w:val="es-MX"/>
        </w:rPr>
        <w:t>-</w:t>
      </w:r>
      <w:r w:rsidRPr="004C2FAC">
        <w:rPr>
          <w:rFonts w:cs="Arial"/>
          <w:lang w:val="es-MX"/>
        </w:rPr>
        <w:t>en e</w:t>
      </w:r>
      <w:r w:rsidR="003610C3" w:rsidRPr="004C2FAC">
        <w:rPr>
          <w:rFonts w:cs="Arial"/>
          <w:lang w:val="es-MX"/>
        </w:rPr>
        <w:t>x</w:t>
      </w:r>
      <w:r w:rsidRPr="004C2FAC">
        <w:rPr>
          <w:rFonts w:cs="Arial"/>
          <w:lang w:val="es-MX"/>
        </w:rPr>
        <w:t>tenso</w:t>
      </w:r>
      <w:r w:rsidR="0053730A" w:rsidRPr="004C2FAC">
        <w:rPr>
          <w:rFonts w:cs="Arial"/>
          <w:lang w:val="es-MX"/>
        </w:rPr>
        <w:t>-</w:t>
      </w:r>
      <w:r w:rsidRPr="004C2FAC">
        <w:rPr>
          <w:rFonts w:cs="Arial"/>
          <w:lang w:val="es-MX"/>
        </w:rPr>
        <w:t xml:space="preserve"> la sentencia C 563 de 1998, en la cual la Corte Constitucional declaró la exequibilidad  de los artículos 52 y 53 de la Ley 80 de 1993. </w:t>
      </w:r>
      <w:r w:rsidR="00D057C5" w:rsidRPr="004C2FAC">
        <w:rPr>
          <w:rFonts w:cs="Arial"/>
          <w:lang w:val="es-MX"/>
        </w:rPr>
        <w:t>Destacó que e</w:t>
      </w:r>
      <w:r w:rsidRPr="004C2FAC">
        <w:rPr>
          <w:rFonts w:cs="Arial"/>
          <w:lang w:val="es-MX"/>
        </w:rPr>
        <w:t xml:space="preserve">n esa sentencia la Corte Constitucional reiteró que las </w:t>
      </w:r>
      <w:r w:rsidR="0053730A" w:rsidRPr="004C2FAC">
        <w:rPr>
          <w:rFonts w:cs="Arial"/>
          <w:lang w:val="es-MX"/>
        </w:rPr>
        <w:t xml:space="preserve">aludidas </w:t>
      </w:r>
      <w:r w:rsidRPr="004C2FAC">
        <w:rPr>
          <w:rFonts w:cs="Arial"/>
          <w:lang w:val="es-MX"/>
        </w:rPr>
        <w:t>normas se</w:t>
      </w:r>
      <w:r w:rsidR="009E260E" w:rsidRPr="004C2FAC">
        <w:rPr>
          <w:rFonts w:cs="Arial"/>
          <w:lang w:val="es-MX"/>
        </w:rPr>
        <w:t xml:space="preserve"> </w:t>
      </w:r>
      <w:r w:rsidRPr="004C2FAC">
        <w:rPr>
          <w:rFonts w:cs="Arial"/>
          <w:lang w:val="es-MX"/>
        </w:rPr>
        <w:t xml:space="preserve">enmarcaban dentro de la noción general de responsabilidad que </w:t>
      </w:r>
      <w:r w:rsidR="009E260E" w:rsidRPr="004C2FAC">
        <w:rPr>
          <w:rFonts w:cs="Arial"/>
          <w:lang w:val="es-MX"/>
        </w:rPr>
        <w:t xml:space="preserve">para todo contratista </w:t>
      </w:r>
      <w:r w:rsidR="009E260E" w:rsidRPr="004C2FAC">
        <w:rPr>
          <w:rFonts w:cs="Arial"/>
          <w:i/>
          <w:lang w:val="es-MX"/>
        </w:rPr>
        <w:t xml:space="preserve">“se deduce, como es apenas lógico y normal del cumplimiento o no de sus obligaciones contractuales y de las acciones y </w:t>
      </w:r>
      <w:r w:rsidR="009E260E" w:rsidRPr="004C2FAC">
        <w:rPr>
          <w:rFonts w:cs="Arial"/>
          <w:i/>
          <w:lang w:val="es-MX"/>
        </w:rPr>
        <w:lastRenderedPageBreak/>
        <w:t>omisiones anti</w:t>
      </w:r>
      <w:r w:rsidR="00D057C5" w:rsidRPr="004C2FAC">
        <w:rPr>
          <w:rFonts w:cs="Arial"/>
          <w:i/>
          <w:lang w:val="es-MX"/>
        </w:rPr>
        <w:t>j</w:t>
      </w:r>
      <w:r w:rsidR="009E260E" w:rsidRPr="004C2FAC">
        <w:rPr>
          <w:rFonts w:cs="Arial"/>
          <w:i/>
          <w:lang w:val="es-MX"/>
        </w:rPr>
        <w:t>urídicas en que estos puedan haber incurrido en la celebración y ejecución de los correspondientes contratos”</w:t>
      </w:r>
      <w:r w:rsidR="009E260E" w:rsidRPr="004C2FAC">
        <w:rPr>
          <w:rStyle w:val="Refdenotaalpie"/>
          <w:rFonts w:cs="Arial"/>
          <w:i/>
          <w:lang w:val="es-MX"/>
        </w:rPr>
        <w:footnoteReference w:id="11"/>
      </w:r>
      <w:r w:rsidR="009E260E" w:rsidRPr="004C2FAC">
        <w:rPr>
          <w:rFonts w:cs="Arial"/>
          <w:i/>
          <w:lang w:val="es-MX"/>
        </w:rPr>
        <w:t>.</w:t>
      </w:r>
    </w:p>
    <w:p w:rsidR="003610C3" w:rsidRPr="004C2FAC" w:rsidRDefault="003610C3" w:rsidP="00C56CF1">
      <w:pPr>
        <w:pStyle w:val="Lista2"/>
        <w:ind w:left="0" w:firstLine="0"/>
        <w:rPr>
          <w:rFonts w:cs="Arial"/>
          <w:lang w:val="es-MX"/>
        </w:rPr>
      </w:pPr>
    </w:p>
    <w:p w:rsidR="003610C3" w:rsidRPr="004C2FAC" w:rsidRDefault="009E260E" w:rsidP="00C56CF1">
      <w:pPr>
        <w:pStyle w:val="Lista2"/>
        <w:ind w:left="0" w:firstLine="0"/>
        <w:rPr>
          <w:rFonts w:cs="Arial"/>
          <w:lang w:val="es-MX"/>
        </w:rPr>
      </w:pPr>
      <w:r w:rsidRPr="004C2FAC">
        <w:rPr>
          <w:rFonts w:cs="Arial"/>
          <w:lang w:val="es-MX"/>
        </w:rPr>
        <w:t>Por otra parte, teniendo en cuenta que para la fecha de presentación de la demanda -10 de diciembre de 2004- se encontraba rigiendo el artículo 44 de la Ley 446 de 1998, “</w:t>
      </w:r>
      <w:r w:rsidRPr="004C2FAC">
        <w:rPr>
          <w:rFonts w:cs="Arial"/>
          <w:i/>
          <w:lang w:val="es-MX"/>
        </w:rPr>
        <w:t>que modificó los términos para la interposición de la acción contractual”</w:t>
      </w:r>
      <w:r w:rsidRPr="004C2FAC">
        <w:rPr>
          <w:rFonts w:cs="Arial"/>
          <w:lang w:val="es-MX"/>
        </w:rPr>
        <w:t xml:space="preserve">, el Tribunal </w:t>
      </w:r>
      <w:r w:rsidRPr="004C2FAC">
        <w:rPr>
          <w:rFonts w:cs="Arial"/>
          <w:i/>
          <w:lang w:val="es-MX"/>
        </w:rPr>
        <w:t>a quo</w:t>
      </w:r>
      <w:r w:rsidRPr="004C2FAC">
        <w:rPr>
          <w:rFonts w:cs="Arial"/>
          <w:lang w:val="es-MX"/>
        </w:rPr>
        <w:t xml:space="preserve"> estimó aplicable el término de caducidad </w:t>
      </w:r>
      <w:r w:rsidR="0053730A" w:rsidRPr="004C2FAC">
        <w:rPr>
          <w:rFonts w:cs="Arial"/>
          <w:lang w:val="es-MX"/>
        </w:rPr>
        <w:t xml:space="preserve">de dos años </w:t>
      </w:r>
      <w:r w:rsidRPr="004C2FAC">
        <w:rPr>
          <w:rFonts w:cs="Arial"/>
          <w:lang w:val="es-MX"/>
        </w:rPr>
        <w:t>para los contratos que requieran liquidación</w:t>
      </w:r>
      <w:r w:rsidR="005929B7" w:rsidRPr="004C2FAC">
        <w:rPr>
          <w:rFonts w:cs="Arial"/>
          <w:lang w:val="es-MX"/>
        </w:rPr>
        <w:t xml:space="preserve">, tal como se dispuso en la modificación al artículo 87 del CCA. </w:t>
      </w:r>
    </w:p>
    <w:p w:rsidR="003610C3" w:rsidRPr="004C2FAC" w:rsidRDefault="003610C3" w:rsidP="00C56CF1">
      <w:pPr>
        <w:pStyle w:val="Lista2"/>
        <w:ind w:left="0" w:firstLine="0"/>
        <w:rPr>
          <w:rFonts w:cs="Arial"/>
          <w:lang w:val="es-MX"/>
        </w:rPr>
      </w:pPr>
    </w:p>
    <w:p w:rsidR="005929B7" w:rsidRPr="004C2FAC" w:rsidRDefault="005929B7" w:rsidP="00C56CF1">
      <w:pPr>
        <w:pStyle w:val="Lista2"/>
        <w:ind w:left="0" w:firstLine="0"/>
        <w:rPr>
          <w:rFonts w:cs="Arial"/>
          <w:lang w:val="es-MX"/>
        </w:rPr>
      </w:pPr>
      <w:r w:rsidRPr="004C2FAC">
        <w:rPr>
          <w:rFonts w:cs="Arial"/>
          <w:lang w:val="es-MX"/>
        </w:rPr>
        <w:t xml:space="preserve">Para apoyar </w:t>
      </w:r>
      <w:r w:rsidR="005D2486" w:rsidRPr="004C2FAC">
        <w:rPr>
          <w:rFonts w:cs="Arial"/>
          <w:lang w:val="es-MX"/>
        </w:rPr>
        <w:t>este último análisis</w:t>
      </w:r>
      <w:r w:rsidR="003610C3" w:rsidRPr="004C2FAC">
        <w:rPr>
          <w:rFonts w:cs="Arial"/>
          <w:lang w:val="es-MX"/>
        </w:rPr>
        <w:t xml:space="preserve">, el </w:t>
      </w:r>
      <w:r w:rsidR="0053730A" w:rsidRPr="004C2FAC">
        <w:rPr>
          <w:rFonts w:cs="Arial"/>
          <w:lang w:val="es-MX"/>
        </w:rPr>
        <w:t xml:space="preserve">citado </w:t>
      </w:r>
      <w:r w:rsidR="003610C3" w:rsidRPr="004C2FAC">
        <w:rPr>
          <w:rFonts w:cs="Arial"/>
          <w:lang w:val="es-MX"/>
        </w:rPr>
        <w:t xml:space="preserve">Tribunal </w:t>
      </w:r>
      <w:r w:rsidRPr="004C2FAC">
        <w:rPr>
          <w:rFonts w:cs="Arial"/>
          <w:lang w:val="es-MX"/>
        </w:rPr>
        <w:t>invocó el artículo 40 de la Ley 153 de 1887, del cual dedujo que (se transcribe literal incluso con posibles errores):</w:t>
      </w:r>
    </w:p>
    <w:p w:rsidR="005929B7" w:rsidRPr="004C2FAC" w:rsidRDefault="005929B7" w:rsidP="00C56CF1">
      <w:pPr>
        <w:pStyle w:val="Lista2"/>
        <w:ind w:left="0" w:firstLine="0"/>
        <w:rPr>
          <w:rFonts w:cs="Arial"/>
          <w:b/>
          <w:lang w:val="es-MX"/>
        </w:rPr>
      </w:pPr>
    </w:p>
    <w:p w:rsidR="005929B7" w:rsidRPr="004C2FAC" w:rsidRDefault="005929B7" w:rsidP="009250D8">
      <w:pPr>
        <w:pStyle w:val="Lista2"/>
        <w:spacing w:line="276" w:lineRule="auto"/>
        <w:ind w:left="567" w:right="902" w:firstLine="0"/>
        <w:rPr>
          <w:rFonts w:cs="Arial"/>
          <w:i/>
          <w:sz w:val="22"/>
          <w:szCs w:val="22"/>
          <w:lang w:val="es-MX"/>
        </w:rPr>
      </w:pPr>
      <w:r w:rsidRPr="004C2FAC">
        <w:rPr>
          <w:rFonts w:cs="Arial"/>
          <w:i/>
          <w:sz w:val="22"/>
          <w:szCs w:val="22"/>
          <w:lang w:val="es-MX"/>
        </w:rPr>
        <w:t>”</w:t>
      </w:r>
      <w:r w:rsidR="003610C3" w:rsidRPr="004C2FAC">
        <w:rPr>
          <w:rFonts w:cs="Arial"/>
          <w:i/>
          <w:sz w:val="22"/>
          <w:szCs w:val="22"/>
          <w:lang w:val="es-MX"/>
        </w:rPr>
        <w:t xml:space="preserve">(…) </w:t>
      </w:r>
      <w:r w:rsidRPr="004C2FAC">
        <w:rPr>
          <w:rFonts w:cs="Arial"/>
          <w:i/>
          <w:sz w:val="22"/>
          <w:szCs w:val="22"/>
          <w:lang w:val="es-MX"/>
        </w:rPr>
        <w:t>las normas procesales como las que dan cuenta de la caducidad de la acción, se aplican inmediatamente entre en vigencia las nuevas disposiciones procesales, sin perjuicio de los términos que hubiesen empezado a correr y las actuaciones y diligencias iniciadas con antelación a la expedición de la nueva norma procesal culminen de conformidad con la ley procesal antigua”</w:t>
      </w:r>
      <w:r w:rsidRPr="004C2FAC">
        <w:rPr>
          <w:rStyle w:val="Refdenotaalpie"/>
          <w:rFonts w:cs="Arial"/>
          <w:i/>
          <w:sz w:val="22"/>
          <w:szCs w:val="22"/>
          <w:lang w:val="es-MX"/>
        </w:rPr>
        <w:footnoteReference w:id="12"/>
      </w:r>
      <w:r w:rsidRPr="004C2FAC">
        <w:rPr>
          <w:rFonts w:cs="Arial"/>
          <w:i/>
          <w:sz w:val="22"/>
          <w:szCs w:val="22"/>
          <w:lang w:val="es-MX"/>
        </w:rPr>
        <w:t>.</w:t>
      </w:r>
    </w:p>
    <w:p w:rsidR="005929B7" w:rsidRPr="004C2FAC" w:rsidRDefault="005929B7" w:rsidP="00D057C5">
      <w:pPr>
        <w:pStyle w:val="Lista2"/>
        <w:spacing w:line="276" w:lineRule="auto"/>
        <w:ind w:left="0" w:firstLine="0"/>
        <w:rPr>
          <w:rFonts w:cs="Arial"/>
          <w:lang w:val="es-MX"/>
        </w:rPr>
      </w:pPr>
    </w:p>
    <w:p w:rsidR="00056B50" w:rsidRPr="004C2FAC" w:rsidRDefault="005929B7" w:rsidP="00C56CF1">
      <w:pPr>
        <w:pStyle w:val="Lista2"/>
        <w:ind w:left="0" w:firstLine="0"/>
        <w:rPr>
          <w:rFonts w:cs="Arial"/>
          <w:lang w:val="es-MX"/>
        </w:rPr>
      </w:pPr>
      <w:r w:rsidRPr="004C2FAC">
        <w:rPr>
          <w:rFonts w:cs="Arial"/>
          <w:lang w:val="es-MX"/>
        </w:rPr>
        <w:t xml:space="preserve">No obstante, el Tribunal </w:t>
      </w:r>
      <w:r w:rsidRPr="004C2FAC">
        <w:rPr>
          <w:rFonts w:cs="Arial"/>
          <w:i/>
          <w:lang w:val="es-MX"/>
        </w:rPr>
        <w:t>a quo</w:t>
      </w:r>
      <w:r w:rsidRPr="004C2FAC">
        <w:rPr>
          <w:rFonts w:cs="Arial"/>
          <w:lang w:val="es-MX"/>
        </w:rPr>
        <w:t xml:space="preserve"> observó que aunque el contrato No. 8861 no requería liquidación, por cuanto no correspondía a un contrato de tracto sucesivo, </w:t>
      </w:r>
      <w:r w:rsidR="003610C3" w:rsidRPr="004C2FAC">
        <w:rPr>
          <w:rFonts w:cs="Arial"/>
          <w:lang w:val="es-MX"/>
        </w:rPr>
        <w:t>sino de trueque</w:t>
      </w:r>
      <w:r w:rsidR="00266A4A" w:rsidRPr="004C2FAC">
        <w:rPr>
          <w:rFonts w:cs="Arial"/>
          <w:lang w:val="es-MX"/>
        </w:rPr>
        <w:t>,</w:t>
      </w:r>
      <w:r w:rsidR="003610C3" w:rsidRPr="004C2FAC">
        <w:rPr>
          <w:rFonts w:cs="Arial"/>
          <w:lang w:val="es-MX"/>
        </w:rPr>
        <w:t xml:space="preserve"> que debió cumplirse el 2 de diciembre de 1995, </w:t>
      </w:r>
      <w:r w:rsidRPr="004C2FAC">
        <w:rPr>
          <w:rFonts w:cs="Arial"/>
          <w:i/>
          <w:lang w:val="es-MX"/>
        </w:rPr>
        <w:t>“lo cierto es que igualmente puede señalarse que el mismo se prolongó en el tiempo”</w:t>
      </w:r>
      <w:r w:rsidRPr="004C2FAC">
        <w:rPr>
          <w:rFonts w:cs="Arial"/>
          <w:lang w:val="es-MX"/>
        </w:rPr>
        <w:t xml:space="preserve">, </w:t>
      </w:r>
      <w:r w:rsidR="003610C3" w:rsidRPr="004C2FAC">
        <w:rPr>
          <w:rFonts w:cs="Arial"/>
          <w:lang w:val="es-MX"/>
        </w:rPr>
        <w:t>dado que</w:t>
      </w:r>
      <w:r w:rsidRPr="004C2FAC">
        <w:rPr>
          <w:rFonts w:cs="Arial"/>
          <w:lang w:val="es-MX"/>
        </w:rPr>
        <w:t xml:space="preserve"> así lo deja</w:t>
      </w:r>
      <w:r w:rsidR="003610C3" w:rsidRPr="004C2FAC">
        <w:rPr>
          <w:rFonts w:cs="Arial"/>
          <w:lang w:val="es-MX"/>
        </w:rPr>
        <w:t>ba</w:t>
      </w:r>
      <w:r w:rsidRPr="004C2FAC">
        <w:rPr>
          <w:rFonts w:cs="Arial"/>
          <w:lang w:val="es-MX"/>
        </w:rPr>
        <w:t xml:space="preserve"> entrever el </w:t>
      </w:r>
      <w:r w:rsidR="003610C3" w:rsidRPr="004C2FAC">
        <w:rPr>
          <w:rFonts w:cs="Arial"/>
          <w:lang w:val="es-MX"/>
        </w:rPr>
        <w:t xml:space="preserve">documento suscrito por el gerente del IDEMA, mediante el cual otorgó un plazo para cumplir hasta el 22 de noviembre de 1996, </w:t>
      </w:r>
      <w:r w:rsidR="003610C3" w:rsidRPr="004C2FAC">
        <w:rPr>
          <w:rFonts w:cs="Arial"/>
          <w:i/>
          <w:lang w:val="es-MX"/>
        </w:rPr>
        <w:t xml:space="preserve">“por lo que a partir de ese momento debió </w:t>
      </w:r>
      <w:r w:rsidR="00056B50" w:rsidRPr="004C2FAC">
        <w:rPr>
          <w:rFonts w:cs="Arial"/>
          <w:i/>
          <w:lang w:val="es-MX"/>
        </w:rPr>
        <w:t>contabilizarse el término de cuatro meses para la liquidación bilateral, dos meses más para la liquidación unilateral y dos años m</w:t>
      </w:r>
      <w:r w:rsidR="00B13922" w:rsidRPr="004C2FAC">
        <w:rPr>
          <w:rFonts w:cs="Arial"/>
          <w:i/>
          <w:lang w:val="es-MX"/>
        </w:rPr>
        <w:t>á</w:t>
      </w:r>
      <w:r w:rsidR="00056B50" w:rsidRPr="004C2FAC">
        <w:rPr>
          <w:rFonts w:cs="Arial"/>
          <w:i/>
          <w:lang w:val="es-MX"/>
        </w:rPr>
        <w:t>s para la caducidad de la acción, con lo que la parte actora debió demandar a m</w:t>
      </w:r>
      <w:r w:rsidR="00B13922" w:rsidRPr="004C2FAC">
        <w:rPr>
          <w:rFonts w:cs="Arial"/>
          <w:i/>
          <w:lang w:val="es-MX"/>
        </w:rPr>
        <w:t>á</w:t>
      </w:r>
      <w:r w:rsidR="00056B50" w:rsidRPr="004C2FAC">
        <w:rPr>
          <w:rFonts w:cs="Arial"/>
          <w:i/>
          <w:lang w:val="es-MX"/>
        </w:rPr>
        <w:t xml:space="preserve">s tardar el </w:t>
      </w:r>
      <w:r w:rsidR="00056B50" w:rsidRPr="004C2FAC">
        <w:rPr>
          <w:rFonts w:cs="Arial"/>
          <w:i/>
          <w:lang w:val="es-MX"/>
        </w:rPr>
        <w:lastRenderedPageBreak/>
        <w:t>22 de mayo de 1999, pero como la demanda se presentó para el año de 2004, ya había caducado la acción”</w:t>
      </w:r>
      <w:r w:rsidR="00056B50" w:rsidRPr="004C2FAC">
        <w:rPr>
          <w:rStyle w:val="Refdenotaalpie"/>
          <w:rFonts w:cs="Arial"/>
          <w:i/>
          <w:lang w:val="es-MX"/>
        </w:rPr>
        <w:footnoteReference w:id="13"/>
      </w:r>
      <w:r w:rsidR="00056B50" w:rsidRPr="004C2FAC">
        <w:rPr>
          <w:rFonts w:cs="Arial"/>
          <w:lang w:val="es-MX"/>
        </w:rPr>
        <w:t>.</w:t>
      </w:r>
    </w:p>
    <w:p w:rsidR="00056B50" w:rsidRPr="004C2FAC" w:rsidRDefault="00056B50" w:rsidP="00C56CF1">
      <w:pPr>
        <w:pStyle w:val="Lista2"/>
        <w:ind w:left="0" w:firstLine="0"/>
        <w:rPr>
          <w:rFonts w:cs="Arial"/>
          <w:lang w:val="es-MX"/>
        </w:rPr>
      </w:pPr>
    </w:p>
    <w:p w:rsidR="00056B50" w:rsidRPr="004C2FAC" w:rsidRDefault="00056B50" w:rsidP="00C56CF1">
      <w:pPr>
        <w:pStyle w:val="Lista2"/>
        <w:ind w:left="0" w:firstLine="0"/>
        <w:rPr>
          <w:rFonts w:cs="Arial"/>
          <w:lang w:val="es-MX"/>
        </w:rPr>
      </w:pPr>
      <w:r w:rsidRPr="004C2FAC">
        <w:rPr>
          <w:rFonts w:cs="Arial"/>
          <w:lang w:val="es-MX"/>
        </w:rPr>
        <w:t>Como consecuencia, en la sentencia de primera instancia se declaró la caducidad de la acción.</w:t>
      </w:r>
    </w:p>
    <w:p w:rsidR="00056B50" w:rsidRPr="004C2FAC" w:rsidRDefault="00056B50" w:rsidP="00C56CF1">
      <w:pPr>
        <w:pStyle w:val="Lista2"/>
        <w:ind w:left="0" w:firstLine="0"/>
        <w:rPr>
          <w:rFonts w:cs="Arial"/>
          <w:b/>
          <w:lang w:val="es-MX"/>
        </w:rPr>
      </w:pPr>
    </w:p>
    <w:p w:rsidR="000E6697" w:rsidRPr="004C2FAC" w:rsidRDefault="009D1258" w:rsidP="00C56CF1">
      <w:pPr>
        <w:pStyle w:val="Lista2"/>
        <w:ind w:left="0" w:firstLine="0"/>
        <w:rPr>
          <w:rFonts w:cs="Arial"/>
          <w:b/>
          <w:lang w:val="es-MX"/>
        </w:rPr>
      </w:pPr>
      <w:r w:rsidRPr="004C2FAC">
        <w:rPr>
          <w:rFonts w:cs="Arial"/>
          <w:b/>
          <w:lang w:val="es-MX"/>
        </w:rPr>
        <w:t>6.</w:t>
      </w:r>
      <w:r w:rsidR="00A25E83" w:rsidRPr="004C2FAC">
        <w:rPr>
          <w:rFonts w:cs="Arial"/>
          <w:b/>
          <w:lang w:val="es-MX"/>
        </w:rPr>
        <w:t xml:space="preserve"> </w:t>
      </w:r>
      <w:r w:rsidR="00484F35" w:rsidRPr="004C2FAC">
        <w:rPr>
          <w:rFonts w:cs="Arial"/>
          <w:b/>
          <w:lang w:val="es-MX"/>
        </w:rPr>
        <w:t>El</w:t>
      </w:r>
      <w:r w:rsidR="000E6697" w:rsidRPr="004C2FAC">
        <w:rPr>
          <w:rFonts w:cs="Arial"/>
          <w:b/>
          <w:lang w:val="es-MX"/>
        </w:rPr>
        <w:t xml:space="preserve"> recurso de apelación</w:t>
      </w:r>
      <w:r w:rsidR="00F21484" w:rsidRPr="004C2FAC">
        <w:rPr>
          <w:rFonts w:cs="Arial"/>
          <w:b/>
          <w:lang w:val="es-MX"/>
        </w:rPr>
        <w:t xml:space="preserve"> </w:t>
      </w:r>
    </w:p>
    <w:p w:rsidR="00751B7F" w:rsidRPr="004C2FAC" w:rsidRDefault="00751B7F" w:rsidP="00F21484">
      <w:pPr>
        <w:rPr>
          <w:rFonts w:cs="Arial"/>
          <w:bCs/>
          <w:lang w:val="es-MX"/>
        </w:rPr>
      </w:pPr>
    </w:p>
    <w:p w:rsidR="00967C77" w:rsidRPr="004C2FAC" w:rsidRDefault="001F0AE7" w:rsidP="007B4785">
      <w:pPr>
        <w:pStyle w:val="Textoindependiente"/>
        <w:rPr>
          <w:rFonts w:cs="Arial"/>
          <w:szCs w:val="24"/>
        </w:rPr>
      </w:pPr>
      <w:r w:rsidRPr="004C2FAC">
        <w:rPr>
          <w:rFonts w:cs="Arial"/>
          <w:szCs w:val="24"/>
        </w:rPr>
        <w:t>El</w:t>
      </w:r>
      <w:r w:rsidR="00D70853" w:rsidRPr="004C2FAC">
        <w:rPr>
          <w:rFonts w:cs="Arial"/>
          <w:szCs w:val="24"/>
        </w:rPr>
        <w:t xml:space="preserve"> </w:t>
      </w:r>
      <w:r w:rsidR="00106CCD" w:rsidRPr="004C2FAC">
        <w:rPr>
          <w:rFonts w:cs="Arial"/>
          <w:szCs w:val="24"/>
        </w:rPr>
        <w:t xml:space="preserve">demandante </w:t>
      </w:r>
      <w:r w:rsidR="00033A87" w:rsidRPr="004C2FAC">
        <w:rPr>
          <w:rFonts w:cs="Arial"/>
          <w:szCs w:val="24"/>
        </w:rPr>
        <w:t>impugn</w:t>
      </w:r>
      <w:r w:rsidR="00E84FE1" w:rsidRPr="004C2FAC">
        <w:rPr>
          <w:rFonts w:cs="Arial"/>
          <w:szCs w:val="24"/>
        </w:rPr>
        <w:t>ó</w:t>
      </w:r>
      <w:r w:rsidR="00033A87" w:rsidRPr="004C2FAC">
        <w:rPr>
          <w:rFonts w:cs="Arial"/>
          <w:szCs w:val="24"/>
        </w:rPr>
        <w:t xml:space="preserve"> la </w:t>
      </w:r>
      <w:r w:rsidR="00DA568E" w:rsidRPr="004C2FAC">
        <w:rPr>
          <w:rFonts w:cs="Arial"/>
          <w:szCs w:val="24"/>
        </w:rPr>
        <w:t>sentencia de primera instancia</w:t>
      </w:r>
      <w:r w:rsidR="00B13922" w:rsidRPr="004C2FAC">
        <w:rPr>
          <w:rFonts w:cs="Arial"/>
          <w:szCs w:val="24"/>
        </w:rPr>
        <w:t>,</w:t>
      </w:r>
      <w:r w:rsidR="00C56CF1" w:rsidRPr="004C2FAC">
        <w:rPr>
          <w:rFonts w:cs="Arial"/>
          <w:szCs w:val="24"/>
        </w:rPr>
        <w:t xml:space="preserve"> </w:t>
      </w:r>
      <w:r w:rsidR="00DD2969" w:rsidRPr="004C2FAC">
        <w:rPr>
          <w:rFonts w:cs="Arial"/>
          <w:szCs w:val="24"/>
        </w:rPr>
        <w:t xml:space="preserve">el </w:t>
      </w:r>
      <w:r w:rsidR="00967C77" w:rsidRPr="004C2FAC">
        <w:rPr>
          <w:rFonts w:cs="Arial"/>
          <w:szCs w:val="24"/>
        </w:rPr>
        <w:t xml:space="preserve">15 de septiembre de 2014, a través del recurso de apelación que sustentó en el mismo escrito. </w:t>
      </w:r>
    </w:p>
    <w:p w:rsidR="00967C77" w:rsidRPr="004C2FAC" w:rsidRDefault="00967C77" w:rsidP="007B4785">
      <w:pPr>
        <w:pStyle w:val="Textoindependiente"/>
        <w:rPr>
          <w:rFonts w:cs="Arial"/>
          <w:szCs w:val="24"/>
        </w:rPr>
      </w:pPr>
    </w:p>
    <w:p w:rsidR="00042911" w:rsidRPr="004C2FAC" w:rsidRDefault="00967C77" w:rsidP="007B4785">
      <w:pPr>
        <w:pStyle w:val="Textoindependiente"/>
        <w:rPr>
          <w:rFonts w:cs="Arial"/>
          <w:szCs w:val="24"/>
        </w:rPr>
      </w:pPr>
      <w:r w:rsidRPr="004C2FAC">
        <w:rPr>
          <w:rFonts w:cs="Arial"/>
          <w:szCs w:val="24"/>
        </w:rPr>
        <w:t xml:space="preserve">En su apelación, </w:t>
      </w:r>
      <w:r w:rsidR="001F0AE7" w:rsidRPr="004C2FAC">
        <w:rPr>
          <w:rFonts w:cs="Arial"/>
          <w:szCs w:val="24"/>
        </w:rPr>
        <w:t>el</w:t>
      </w:r>
      <w:r w:rsidRPr="004C2FAC">
        <w:rPr>
          <w:rFonts w:cs="Arial"/>
          <w:szCs w:val="24"/>
        </w:rPr>
        <w:t xml:space="preserve"> demandante </w:t>
      </w:r>
      <w:r w:rsidR="00C06CD5" w:rsidRPr="004C2FAC">
        <w:rPr>
          <w:rFonts w:cs="Arial"/>
          <w:szCs w:val="24"/>
        </w:rPr>
        <w:t xml:space="preserve">afirmó </w:t>
      </w:r>
      <w:r w:rsidR="00343E13" w:rsidRPr="004C2FAC">
        <w:rPr>
          <w:rFonts w:cs="Arial"/>
          <w:szCs w:val="24"/>
        </w:rPr>
        <w:t xml:space="preserve">que </w:t>
      </w:r>
      <w:r w:rsidR="0090187A" w:rsidRPr="004C2FAC">
        <w:rPr>
          <w:rFonts w:cs="Arial"/>
          <w:szCs w:val="24"/>
        </w:rPr>
        <w:t xml:space="preserve">las partes </w:t>
      </w:r>
      <w:r w:rsidR="00042911" w:rsidRPr="004C2FAC">
        <w:rPr>
          <w:rFonts w:cs="Arial"/>
          <w:szCs w:val="24"/>
        </w:rPr>
        <w:t>celebraron una conciliación en noviembre de 1996, la cual</w:t>
      </w:r>
      <w:r w:rsidR="001F0AE7" w:rsidRPr="004C2FAC">
        <w:rPr>
          <w:rFonts w:cs="Arial"/>
          <w:szCs w:val="24"/>
        </w:rPr>
        <w:t xml:space="preserve"> </w:t>
      </w:r>
      <w:r w:rsidR="00042911" w:rsidRPr="004C2FAC">
        <w:rPr>
          <w:rFonts w:cs="Arial"/>
          <w:szCs w:val="24"/>
        </w:rPr>
        <w:t xml:space="preserve">no se cumplió por parte de </w:t>
      </w:r>
      <w:r w:rsidR="00293818" w:rsidRPr="004C2FAC">
        <w:rPr>
          <w:rFonts w:cs="Arial"/>
          <w:szCs w:val="24"/>
        </w:rPr>
        <w:t>COLCEREALES</w:t>
      </w:r>
      <w:r w:rsidR="00042911" w:rsidRPr="004C2FAC">
        <w:rPr>
          <w:rFonts w:cs="Arial"/>
          <w:szCs w:val="24"/>
        </w:rPr>
        <w:t xml:space="preserve">, por </w:t>
      </w:r>
      <w:r w:rsidR="001F0AE7" w:rsidRPr="004C2FAC">
        <w:rPr>
          <w:rFonts w:cs="Arial"/>
          <w:szCs w:val="24"/>
        </w:rPr>
        <w:t xml:space="preserve">ello, estimó que </w:t>
      </w:r>
      <w:r w:rsidR="0090187A" w:rsidRPr="004C2FAC">
        <w:rPr>
          <w:rFonts w:cs="Arial"/>
          <w:szCs w:val="24"/>
        </w:rPr>
        <w:t xml:space="preserve">desde </w:t>
      </w:r>
      <w:r w:rsidR="00042911" w:rsidRPr="004C2FAC">
        <w:rPr>
          <w:rFonts w:cs="Arial"/>
          <w:szCs w:val="24"/>
        </w:rPr>
        <w:t xml:space="preserve">allí se contaba el término de </w:t>
      </w:r>
      <w:r w:rsidR="00343E13" w:rsidRPr="004C2FAC">
        <w:rPr>
          <w:rFonts w:cs="Arial"/>
          <w:szCs w:val="24"/>
        </w:rPr>
        <w:t>20 años</w:t>
      </w:r>
      <w:r w:rsidR="00042911" w:rsidRPr="004C2FAC">
        <w:rPr>
          <w:rFonts w:cs="Arial"/>
          <w:szCs w:val="24"/>
        </w:rPr>
        <w:t>, p</w:t>
      </w:r>
      <w:r w:rsidR="0062614B" w:rsidRPr="004C2FAC">
        <w:rPr>
          <w:rFonts w:cs="Arial"/>
          <w:szCs w:val="24"/>
        </w:rPr>
        <w:t xml:space="preserve">revisto en </w:t>
      </w:r>
      <w:r w:rsidR="00042911" w:rsidRPr="004C2FAC">
        <w:rPr>
          <w:rFonts w:cs="Arial"/>
          <w:szCs w:val="24"/>
        </w:rPr>
        <w:t>el artículo 55 de la Ley 80 de 1993</w:t>
      </w:r>
      <w:r w:rsidR="0053730A" w:rsidRPr="004C2FAC">
        <w:rPr>
          <w:rFonts w:cs="Arial"/>
          <w:szCs w:val="24"/>
        </w:rPr>
        <w:t xml:space="preserve">. </w:t>
      </w:r>
      <w:r w:rsidR="001F0AE7" w:rsidRPr="004C2FAC">
        <w:rPr>
          <w:rFonts w:cs="Arial"/>
          <w:szCs w:val="24"/>
        </w:rPr>
        <w:t xml:space="preserve">Así las cosas, advirtió </w:t>
      </w:r>
      <w:r w:rsidR="0053730A" w:rsidRPr="004C2FAC">
        <w:rPr>
          <w:rFonts w:cs="Arial"/>
          <w:szCs w:val="24"/>
        </w:rPr>
        <w:t xml:space="preserve">que </w:t>
      </w:r>
      <w:r w:rsidR="0090187A" w:rsidRPr="004C2FAC">
        <w:rPr>
          <w:rFonts w:cs="Arial"/>
          <w:szCs w:val="24"/>
        </w:rPr>
        <w:t>la demanda se había presentado en tiempo, el 10 de diciembre de 2004.</w:t>
      </w:r>
      <w:r w:rsidR="00042911" w:rsidRPr="004C2FAC">
        <w:rPr>
          <w:rFonts w:cs="Arial"/>
          <w:szCs w:val="24"/>
        </w:rPr>
        <w:t xml:space="preserve"> </w:t>
      </w:r>
      <w:r w:rsidR="001F0AE7" w:rsidRPr="004C2FAC">
        <w:rPr>
          <w:rFonts w:cs="Arial"/>
          <w:szCs w:val="24"/>
        </w:rPr>
        <w:t xml:space="preserve">El </w:t>
      </w:r>
      <w:r w:rsidR="0090187A" w:rsidRPr="004C2FAC">
        <w:rPr>
          <w:rFonts w:cs="Arial"/>
          <w:szCs w:val="24"/>
        </w:rPr>
        <w:t>apelante</w:t>
      </w:r>
      <w:r w:rsidR="00042911" w:rsidRPr="004C2FAC">
        <w:rPr>
          <w:rFonts w:cs="Arial"/>
          <w:szCs w:val="24"/>
        </w:rPr>
        <w:t xml:space="preserve"> destacó lo siguiente:</w:t>
      </w:r>
    </w:p>
    <w:p w:rsidR="00343E13" w:rsidRPr="004C2FAC" w:rsidRDefault="00042911" w:rsidP="007B4785">
      <w:pPr>
        <w:pStyle w:val="Textoindependiente"/>
        <w:rPr>
          <w:rFonts w:cs="Arial"/>
          <w:szCs w:val="24"/>
        </w:rPr>
      </w:pPr>
      <w:r w:rsidRPr="004C2FAC">
        <w:rPr>
          <w:rFonts w:cs="Arial"/>
          <w:szCs w:val="24"/>
        </w:rPr>
        <w:t xml:space="preserve"> </w:t>
      </w:r>
    </w:p>
    <w:p w:rsidR="00343E13" w:rsidRPr="004C2FAC" w:rsidRDefault="00343E13" w:rsidP="0090187A">
      <w:pPr>
        <w:pStyle w:val="Textoindependiente"/>
        <w:spacing w:line="276" w:lineRule="auto"/>
        <w:ind w:left="567" w:right="567"/>
        <w:rPr>
          <w:rFonts w:cs="Arial"/>
          <w:i/>
          <w:sz w:val="22"/>
          <w:szCs w:val="22"/>
        </w:rPr>
      </w:pPr>
      <w:r w:rsidRPr="004C2FAC">
        <w:rPr>
          <w:rFonts w:cs="Arial"/>
          <w:i/>
          <w:sz w:val="22"/>
          <w:szCs w:val="22"/>
        </w:rPr>
        <w:t>“Como lo señala la jurisprudencia transcrita, los cambios de legislación introdujeron modificaciones al término para accionar, así, si la reclamación judicial se hubiere efectuado durante la vigencia del Decreto 01 de 1984, pero antes de la ley 80 el término de caducidad era de dos años; si se ejercía después de la ley 80 de 1993 y antes de la ley 446 de 1998, se contabilizaba el término de prescripción de 20 años, pero si se demandaba después de la ley 446 de 1998, se cuenta con dos años para incoar la acción”</w:t>
      </w:r>
      <w:r w:rsidRPr="004C2FAC">
        <w:rPr>
          <w:rStyle w:val="Refdenotaalpie"/>
          <w:rFonts w:cs="Arial"/>
          <w:i/>
          <w:sz w:val="22"/>
          <w:szCs w:val="22"/>
        </w:rPr>
        <w:footnoteReference w:id="14"/>
      </w:r>
      <w:r w:rsidRPr="004C2FAC">
        <w:rPr>
          <w:rFonts w:cs="Arial"/>
          <w:i/>
          <w:sz w:val="22"/>
          <w:szCs w:val="22"/>
        </w:rPr>
        <w:t>.</w:t>
      </w:r>
    </w:p>
    <w:p w:rsidR="00967C77" w:rsidRPr="004C2FAC" w:rsidRDefault="00967C77" w:rsidP="007B4785">
      <w:pPr>
        <w:pStyle w:val="Textoindependiente"/>
        <w:rPr>
          <w:rFonts w:cs="Arial"/>
          <w:szCs w:val="24"/>
        </w:rPr>
      </w:pPr>
    </w:p>
    <w:p w:rsidR="00110C19" w:rsidRPr="004C2FAC" w:rsidRDefault="00343E13" w:rsidP="007B4785">
      <w:pPr>
        <w:pStyle w:val="Textoindependiente"/>
        <w:rPr>
          <w:rFonts w:cs="Arial"/>
          <w:szCs w:val="24"/>
        </w:rPr>
      </w:pPr>
      <w:r w:rsidRPr="004C2FAC">
        <w:rPr>
          <w:rFonts w:cs="Arial"/>
          <w:szCs w:val="24"/>
        </w:rPr>
        <w:t xml:space="preserve">Adicionalmente, </w:t>
      </w:r>
      <w:r w:rsidR="001F0AE7" w:rsidRPr="004C2FAC">
        <w:rPr>
          <w:rFonts w:cs="Arial"/>
          <w:szCs w:val="24"/>
        </w:rPr>
        <w:t>el</w:t>
      </w:r>
      <w:r w:rsidRPr="004C2FAC">
        <w:rPr>
          <w:rFonts w:cs="Arial"/>
          <w:szCs w:val="24"/>
        </w:rPr>
        <w:t xml:space="preserve"> apelante invocó l</w:t>
      </w:r>
      <w:r w:rsidR="00042911" w:rsidRPr="004C2FAC">
        <w:rPr>
          <w:rFonts w:cs="Arial"/>
          <w:szCs w:val="24"/>
        </w:rPr>
        <w:t>os pronunciamientos de</w:t>
      </w:r>
      <w:r w:rsidR="00110C19" w:rsidRPr="004C2FAC">
        <w:rPr>
          <w:rFonts w:cs="Arial"/>
          <w:szCs w:val="24"/>
        </w:rPr>
        <w:t xml:space="preserve"> la Sección Tercera del </w:t>
      </w:r>
      <w:r w:rsidR="00042911" w:rsidRPr="004C2FAC">
        <w:rPr>
          <w:rFonts w:cs="Arial"/>
          <w:szCs w:val="24"/>
        </w:rPr>
        <w:t xml:space="preserve">Consejo de Estado, contenidos en la </w:t>
      </w:r>
      <w:r w:rsidRPr="004C2FAC">
        <w:rPr>
          <w:rFonts w:cs="Arial"/>
          <w:szCs w:val="24"/>
        </w:rPr>
        <w:t>sentencia del 5 de diciembre de 2006 (exp, 13750</w:t>
      </w:r>
      <w:r w:rsidR="00042911" w:rsidRPr="004C2FAC">
        <w:rPr>
          <w:rFonts w:cs="Arial"/>
          <w:szCs w:val="24"/>
        </w:rPr>
        <w:t xml:space="preserve">) y las variantes </w:t>
      </w:r>
      <w:r w:rsidR="0053730A" w:rsidRPr="004C2FAC">
        <w:rPr>
          <w:rFonts w:cs="Arial"/>
          <w:szCs w:val="24"/>
        </w:rPr>
        <w:t xml:space="preserve">contenidas en </w:t>
      </w:r>
      <w:r w:rsidR="00042911" w:rsidRPr="004C2FAC">
        <w:rPr>
          <w:rFonts w:cs="Arial"/>
          <w:szCs w:val="24"/>
        </w:rPr>
        <w:t>las providencias de 16 de junio y 31 de agosto de 2005 (expedientes 29866 y 29440), de acuerdo con las cuales la caducidad es una institución de estirpe procesal</w:t>
      </w:r>
      <w:r w:rsidR="00FF414D" w:rsidRPr="004C2FAC">
        <w:rPr>
          <w:rFonts w:cs="Arial"/>
          <w:szCs w:val="24"/>
        </w:rPr>
        <w:t>,</w:t>
      </w:r>
      <w:r w:rsidR="00110C19" w:rsidRPr="004C2FAC">
        <w:rPr>
          <w:rFonts w:cs="Arial"/>
          <w:szCs w:val="24"/>
        </w:rPr>
        <w:t xml:space="preserve"> empero</w:t>
      </w:r>
      <w:r w:rsidR="00FF414D" w:rsidRPr="004C2FAC">
        <w:rPr>
          <w:rFonts w:cs="Arial"/>
          <w:szCs w:val="24"/>
        </w:rPr>
        <w:t>,</w:t>
      </w:r>
      <w:r w:rsidR="00110C19" w:rsidRPr="004C2FAC">
        <w:rPr>
          <w:rFonts w:cs="Arial"/>
          <w:szCs w:val="24"/>
        </w:rPr>
        <w:t xml:space="preserve"> frente a los casos de aplicación de la ley en el tiempo, se debe </w:t>
      </w:r>
      <w:r w:rsidR="0062614B" w:rsidRPr="004C2FAC">
        <w:rPr>
          <w:rFonts w:cs="Arial"/>
          <w:szCs w:val="24"/>
        </w:rPr>
        <w:t xml:space="preserve">observar que el término </w:t>
      </w:r>
      <w:r w:rsidR="00FF414D" w:rsidRPr="004C2FAC">
        <w:rPr>
          <w:rFonts w:cs="Arial"/>
          <w:szCs w:val="24"/>
        </w:rPr>
        <w:t xml:space="preserve">para presentar la demanda </w:t>
      </w:r>
      <w:r w:rsidR="0062614B" w:rsidRPr="004C2FAC">
        <w:rPr>
          <w:rFonts w:cs="Arial"/>
          <w:szCs w:val="24"/>
        </w:rPr>
        <w:t xml:space="preserve">se rige </w:t>
      </w:r>
      <w:r w:rsidR="0062614B" w:rsidRPr="004C2FAC">
        <w:rPr>
          <w:rFonts w:cs="Arial"/>
          <w:szCs w:val="24"/>
        </w:rPr>
        <w:lastRenderedPageBreak/>
        <w:t xml:space="preserve">por </w:t>
      </w:r>
      <w:r w:rsidR="00110C19" w:rsidRPr="004C2FAC">
        <w:rPr>
          <w:rFonts w:cs="Arial"/>
          <w:szCs w:val="24"/>
        </w:rPr>
        <w:t xml:space="preserve">la ley vigente al momento en que </w:t>
      </w:r>
      <w:r w:rsidR="00042911" w:rsidRPr="004C2FAC">
        <w:rPr>
          <w:rFonts w:cs="Arial"/>
          <w:szCs w:val="24"/>
        </w:rPr>
        <w:t>hubiese empezado a correr, de conformidad con el art</w:t>
      </w:r>
      <w:r w:rsidR="00011810" w:rsidRPr="004C2FAC">
        <w:rPr>
          <w:rFonts w:cs="Arial"/>
          <w:szCs w:val="24"/>
        </w:rPr>
        <w:t>í</w:t>
      </w:r>
      <w:r w:rsidR="00042911" w:rsidRPr="004C2FAC">
        <w:rPr>
          <w:rFonts w:cs="Arial"/>
          <w:szCs w:val="24"/>
        </w:rPr>
        <w:t>culo 40 de la Ley 153 de 1887</w:t>
      </w:r>
      <w:r w:rsidR="00110C19" w:rsidRPr="004C2FAC">
        <w:rPr>
          <w:rFonts w:cs="Arial"/>
          <w:szCs w:val="24"/>
        </w:rPr>
        <w:t>.</w:t>
      </w:r>
    </w:p>
    <w:p w:rsidR="00110C19" w:rsidRPr="004C2FAC" w:rsidRDefault="00110C19" w:rsidP="007B4785">
      <w:pPr>
        <w:pStyle w:val="Textoindependiente"/>
        <w:rPr>
          <w:rFonts w:cs="Arial"/>
          <w:szCs w:val="24"/>
        </w:rPr>
      </w:pPr>
    </w:p>
    <w:p w:rsidR="008C004D" w:rsidRPr="004C2FAC" w:rsidRDefault="00110C19" w:rsidP="007B4785">
      <w:pPr>
        <w:pStyle w:val="Textoindependiente"/>
        <w:rPr>
          <w:rFonts w:cs="Arial"/>
          <w:i/>
          <w:szCs w:val="24"/>
        </w:rPr>
      </w:pPr>
      <w:r w:rsidRPr="004C2FAC">
        <w:rPr>
          <w:rFonts w:cs="Arial"/>
          <w:szCs w:val="24"/>
        </w:rPr>
        <w:t xml:space="preserve">Por otra parte, </w:t>
      </w:r>
      <w:r w:rsidR="001F0AE7" w:rsidRPr="004C2FAC">
        <w:rPr>
          <w:rFonts w:cs="Arial"/>
          <w:szCs w:val="24"/>
        </w:rPr>
        <w:t xml:space="preserve">el </w:t>
      </w:r>
      <w:r w:rsidRPr="004C2FAC">
        <w:rPr>
          <w:rFonts w:cs="Arial"/>
          <w:szCs w:val="24"/>
        </w:rPr>
        <w:t xml:space="preserve">apelante indicó que aunque la sentencia no se refirió a prescripción de la acción derivada del contrato de seguro, se </w:t>
      </w:r>
      <w:r w:rsidR="0062614B" w:rsidRPr="004C2FAC">
        <w:rPr>
          <w:rFonts w:cs="Arial"/>
          <w:szCs w:val="24"/>
        </w:rPr>
        <w:t xml:space="preserve">puede </w:t>
      </w:r>
      <w:r w:rsidRPr="004C2FAC">
        <w:rPr>
          <w:rFonts w:cs="Arial"/>
          <w:szCs w:val="24"/>
        </w:rPr>
        <w:t xml:space="preserve">advertir que la misma solo </w:t>
      </w:r>
      <w:r w:rsidRPr="004C2FAC">
        <w:rPr>
          <w:rFonts w:cs="Arial"/>
          <w:i/>
          <w:szCs w:val="24"/>
        </w:rPr>
        <w:t>“deberá comenzar a contarse a partir de la ejecutoria” d</w:t>
      </w:r>
      <w:r w:rsidRPr="004C2FAC">
        <w:rPr>
          <w:rFonts w:cs="Arial"/>
          <w:szCs w:val="24"/>
        </w:rPr>
        <w:t>e la providencia que declare el incumplimiento</w:t>
      </w:r>
      <w:r w:rsidR="00E964C5" w:rsidRPr="004C2FAC">
        <w:rPr>
          <w:rFonts w:cs="Arial"/>
          <w:szCs w:val="24"/>
        </w:rPr>
        <w:t xml:space="preserve"> del contrato</w:t>
      </w:r>
      <w:r w:rsidRPr="004C2FAC">
        <w:rPr>
          <w:rFonts w:cs="Arial"/>
          <w:szCs w:val="24"/>
        </w:rPr>
        <w:t>, “</w:t>
      </w:r>
      <w:r w:rsidRPr="004C2FAC">
        <w:rPr>
          <w:rFonts w:cs="Arial"/>
          <w:i/>
          <w:szCs w:val="24"/>
        </w:rPr>
        <w:t xml:space="preserve">pues ella en suma equivale a lo que antes sería </w:t>
      </w:r>
      <w:r w:rsidR="008C004D" w:rsidRPr="004C2FAC">
        <w:rPr>
          <w:rFonts w:cs="Arial"/>
          <w:i/>
          <w:szCs w:val="24"/>
        </w:rPr>
        <w:t>el acto administrativo que declaró el incumplimiento”.</w:t>
      </w:r>
    </w:p>
    <w:p w:rsidR="008C004D" w:rsidRPr="004C2FAC" w:rsidRDefault="008C004D" w:rsidP="007B4785">
      <w:pPr>
        <w:pStyle w:val="Textoindependiente"/>
        <w:rPr>
          <w:rFonts w:cs="Arial"/>
          <w:szCs w:val="24"/>
        </w:rPr>
      </w:pPr>
    </w:p>
    <w:p w:rsidR="00967C77" w:rsidRPr="004C2FAC" w:rsidRDefault="00967C77" w:rsidP="007B4785">
      <w:pPr>
        <w:pStyle w:val="Textoindependiente"/>
        <w:rPr>
          <w:rFonts w:cs="Arial"/>
          <w:szCs w:val="24"/>
        </w:rPr>
      </w:pPr>
      <w:r w:rsidRPr="004C2FAC">
        <w:rPr>
          <w:rFonts w:cs="Arial"/>
          <w:szCs w:val="24"/>
        </w:rPr>
        <w:t>Recibido el expediente</w:t>
      </w:r>
      <w:r w:rsidR="008C004D" w:rsidRPr="004C2FAC">
        <w:rPr>
          <w:rFonts w:cs="Arial"/>
          <w:szCs w:val="24"/>
        </w:rPr>
        <w:t xml:space="preserve"> en</w:t>
      </w:r>
      <w:r w:rsidRPr="004C2FAC">
        <w:rPr>
          <w:rFonts w:cs="Arial"/>
          <w:szCs w:val="24"/>
        </w:rPr>
        <w:t xml:space="preserve"> el Consejo de Estado</w:t>
      </w:r>
      <w:r w:rsidR="008C004D" w:rsidRPr="004C2FAC">
        <w:rPr>
          <w:rFonts w:cs="Arial"/>
          <w:szCs w:val="24"/>
        </w:rPr>
        <w:t xml:space="preserve">, se </w:t>
      </w:r>
      <w:r w:rsidRPr="004C2FAC">
        <w:rPr>
          <w:rFonts w:cs="Arial"/>
          <w:szCs w:val="24"/>
        </w:rPr>
        <w:t>admitió el recurso de apelación, el 13 de marzo de 2015, mediante auto del Consejero ponente.</w:t>
      </w:r>
    </w:p>
    <w:p w:rsidR="00967C77" w:rsidRPr="004C2FAC" w:rsidRDefault="00967C77" w:rsidP="007B4785">
      <w:pPr>
        <w:pStyle w:val="Textoindependiente"/>
        <w:rPr>
          <w:rFonts w:cs="Arial"/>
          <w:szCs w:val="24"/>
        </w:rPr>
      </w:pPr>
    </w:p>
    <w:p w:rsidR="00771917" w:rsidRPr="004C2FAC" w:rsidRDefault="00FF414D" w:rsidP="00484F35">
      <w:pPr>
        <w:rPr>
          <w:rFonts w:cs="Arial"/>
          <w:b/>
          <w:bCs/>
          <w:lang w:val="es-MX"/>
        </w:rPr>
      </w:pPr>
      <w:r w:rsidRPr="004C2FAC">
        <w:rPr>
          <w:rFonts w:cs="Arial"/>
          <w:b/>
          <w:bCs/>
          <w:lang w:val="es-MX"/>
        </w:rPr>
        <w:t>7.</w:t>
      </w:r>
      <w:r w:rsidR="00B82FEE" w:rsidRPr="004C2FAC">
        <w:rPr>
          <w:rFonts w:cs="Arial"/>
          <w:b/>
          <w:bCs/>
          <w:lang w:val="es-MX"/>
        </w:rPr>
        <w:t xml:space="preserve"> </w:t>
      </w:r>
      <w:r w:rsidR="007B4785" w:rsidRPr="004C2FAC">
        <w:rPr>
          <w:rFonts w:cs="Arial"/>
          <w:b/>
          <w:bCs/>
          <w:lang w:val="es-MX"/>
        </w:rPr>
        <w:t>Alegatos en segunda instancia</w:t>
      </w:r>
    </w:p>
    <w:p w:rsidR="007B4785" w:rsidRPr="004C2FAC" w:rsidRDefault="007B4785" w:rsidP="00484F35">
      <w:pPr>
        <w:rPr>
          <w:rFonts w:cs="Arial"/>
          <w:bCs/>
          <w:lang w:val="es-MX"/>
        </w:rPr>
      </w:pPr>
    </w:p>
    <w:p w:rsidR="008C004D" w:rsidRPr="004C2FAC" w:rsidRDefault="00B82FEE" w:rsidP="000519A7">
      <w:pPr>
        <w:rPr>
          <w:rFonts w:cs="Arial"/>
          <w:bCs/>
          <w:lang w:val="es-MX"/>
        </w:rPr>
      </w:pPr>
      <w:r w:rsidRPr="004C2FAC">
        <w:rPr>
          <w:rFonts w:cs="Arial"/>
          <w:bCs/>
          <w:lang w:val="es-MX"/>
        </w:rPr>
        <w:t xml:space="preserve">En la oportunidad para alegar, </w:t>
      </w:r>
      <w:r w:rsidR="008C004D" w:rsidRPr="004C2FAC">
        <w:rPr>
          <w:rFonts w:cs="Arial"/>
          <w:bCs/>
          <w:lang w:val="es-MX"/>
        </w:rPr>
        <w:t>la parte demandante reiteró los argumentos del recurso de apelación.</w:t>
      </w:r>
    </w:p>
    <w:p w:rsidR="008C004D" w:rsidRPr="004C2FAC" w:rsidRDefault="008C004D" w:rsidP="000519A7">
      <w:pPr>
        <w:rPr>
          <w:rFonts w:cs="Arial"/>
          <w:bCs/>
          <w:lang w:val="es-MX"/>
        </w:rPr>
      </w:pPr>
    </w:p>
    <w:p w:rsidR="00E60549" w:rsidRPr="004C2FAC" w:rsidRDefault="008C004D" w:rsidP="000519A7">
      <w:pPr>
        <w:rPr>
          <w:rFonts w:cs="Arial"/>
          <w:bCs/>
          <w:lang w:val="es-MX"/>
        </w:rPr>
      </w:pPr>
      <w:r w:rsidRPr="004C2FAC">
        <w:rPr>
          <w:rFonts w:cs="Arial"/>
          <w:bCs/>
          <w:lang w:val="es-MX"/>
        </w:rPr>
        <w:t xml:space="preserve">Por </w:t>
      </w:r>
      <w:r w:rsidR="0053730A" w:rsidRPr="004C2FAC">
        <w:rPr>
          <w:rFonts w:cs="Arial"/>
          <w:bCs/>
          <w:lang w:val="es-MX"/>
        </w:rPr>
        <w:t>su</w:t>
      </w:r>
      <w:r w:rsidRPr="004C2FAC">
        <w:rPr>
          <w:rFonts w:cs="Arial"/>
          <w:bCs/>
          <w:lang w:val="es-MX"/>
        </w:rPr>
        <w:t xml:space="preserve"> parte, Liberty Seguros S.A.</w:t>
      </w:r>
      <w:r w:rsidR="00122E0F" w:rsidRPr="004C2FAC">
        <w:rPr>
          <w:rFonts w:cs="Arial"/>
          <w:bCs/>
          <w:lang w:val="es-MX"/>
        </w:rPr>
        <w:t xml:space="preserve"> presentó su alegato en el sentido de compartir y reafirmar la sentencia de primera instancia, es decir</w:t>
      </w:r>
      <w:r w:rsidR="00B13922" w:rsidRPr="004C2FAC">
        <w:rPr>
          <w:rFonts w:cs="Arial"/>
          <w:bCs/>
          <w:lang w:val="es-MX"/>
        </w:rPr>
        <w:t>,</w:t>
      </w:r>
      <w:r w:rsidR="00122E0F" w:rsidRPr="004C2FAC">
        <w:rPr>
          <w:rFonts w:cs="Arial"/>
          <w:bCs/>
          <w:lang w:val="es-MX"/>
        </w:rPr>
        <w:t xml:space="preserve"> que </w:t>
      </w:r>
      <w:r w:rsidR="0053730A" w:rsidRPr="004C2FAC">
        <w:rPr>
          <w:rFonts w:cs="Arial"/>
          <w:bCs/>
          <w:lang w:val="es-MX"/>
        </w:rPr>
        <w:t xml:space="preserve">estimó ocurrida </w:t>
      </w:r>
      <w:r w:rsidR="00C92E53" w:rsidRPr="004C2FAC">
        <w:rPr>
          <w:rFonts w:cs="Arial"/>
          <w:bCs/>
          <w:lang w:val="es-MX"/>
        </w:rPr>
        <w:t>la caducidad de la acción</w:t>
      </w:r>
      <w:r w:rsidR="00B13922" w:rsidRPr="004C2FAC">
        <w:rPr>
          <w:rFonts w:cs="Arial"/>
          <w:bCs/>
          <w:lang w:val="es-MX"/>
        </w:rPr>
        <w:t>,</w:t>
      </w:r>
      <w:r w:rsidR="00C92E53" w:rsidRPr="004C2FAC">
        <w:rPr>
          <w:rFonts w:cs="Arial"/>
          <w:bCs/>
          <w:lang w:val="es-MX"/>
        </w:rPr>
        <w:t xml:space="preserve"> dado que </w:t>
      </w:r>
      <w:r w:rsidR="00011810" w:rsidRPr="004C2FAC">
        <w:rPr>
          <w:rFonts w:cs="Arial"/>
          <w:bCs/>
          <w:lang w:val="es-MX"/>
        </w:rPr>
        <w:t xml:space="preserve">el acuerdo de </w:t>
      </w:r>
      <w:r w:rsidR="00122E0F" w:rsidRPr="004C2FAC">
        <w:rPr>
          <w:rFonts w:cs="Arial"/>
          <w:bCs/>
          <w:lang w:val="es-MX"/>
        </w:rPr>
        <w:t>conciliación</w:t>
      </w:r>
      <w:r w:rsidR="00E60549" w:rsidRPr="004C2FAC">
        <w:rPr>
          <w:rFonts w:cs="Arial"/>
          <w:bCs/>
          <w:lang w:val="es-MX"/>
        </w:rPr>
        <w:t>, en el cual se evidenció el incumplimiento de las obligaciones,</w:t>
      </w:r>
      <w:r w:rsidR="00122E0F" w:rsidRPr="004C2FAC">
        <w:rPr>
          <w:rFonts w:cs="Arial"/>
          <w:bCs/>
          <w:lang w:val="es-MX"/>
        </w:rPr>
        <w:t xml:space="preserve"> se </w:t>
      </w:r>
      <w:r w:rsidR="002A380C" w:rsidRPr="004C2FAC">
        <w:rPr>
          <w:rFonts w:cs="Arial"/>
          <w:bCs/>
          <w:lang w:val="es-MX"/>
        </w:rPr>
        <w:t>firmó el 18 de noviembre de 1996</w:t>
      </w:r>
      <w:r w:rsidR="00C92E53" w:rsidRPr="004C2FAC">
        <w:rPr>
          <w:rFonts w:cs="Arial"/>
          <w:bCs/>
          <w:lang w:val="es-MX"/>
        </w:rPr>
        <w:t xml:space="preserve"> y </w:t>
      </w:r>
      <w:r w:rsidR="00B549AA" w:rsidRPr="004C2FAC">
        <w:rPr>
          <w:rFonts w:cs="Arial"/>
          <w:bCs/>
          <w:lang w:val="es-MX"/>
        </w:rPr>
        <w:t xml:space="preserve">la demanda se presentó habiendo </w:t>
      </w:r>
      <w:r w:rsidR="00C92E53" w:rsidRPr="004C2FAC">
        <w:rPr>
          <w:rFonts w:cs="Arial"/>
          <w:bCs/>
          <w:lang w:val="es-MX"/>
        </w:rPr>
        <w:t>transcurrido más de dos años</w:t>
      </w:r>
      <w:r w:rsidR="00E60549" w:rsidRPr="004C2FAC">
        <w:rPr>
          <w:rFonts w:cs="Arial"/>
          <w:bCs/>
          <w:lang w:val="es-MX"/>
        </w:rPr>
        <w:t>.</w:t>
      </w:r>
    </w:p>
    <w:p w:rsidR="00011810" w:rsidRPr="004C2FAC" w:rsidRDefault="00011810" w:rsidP="000519A7">
      <w:pPr>
        <w:rPr>
          <w:rFonts w:cs="Arial"/>
          <w:bCs/>
          <w:lang w:val="es-MX"/>
        </w:rPr>
      </w:pPr>
    </w:p>
    <w:p w:rsidR="00C92E53" w:rsidRPr="004C2FAC" w:rsidRDefault="00122E0F" w:rsidP="000519A7">
      <w:pPr>
        <w:rPr>
          <w:rFonts w:cs="Arial"/>
          <w:bCs/>
          <w:lang w:val="es-MX"/>
        </w:rPr>
      </w:pPr>
      <w:r w:rsidRPr="004C2FAC">
        <w:rPr>
          <w:rFonts w:cs="Arial"/>
          <w:bCs/>
          <w:lang w:val="es-MX"/>
        </w:rPr>
        <w:t xml:space="preserve">Manifestó que el </w:t>
      </w:r>
      <w:r w:rsidR="0062614B" w:rsidRPr="004C2FAC">
        <w:rPr>
          <w:rFonts w:cs="Arial"/>
          <w:bCs/>
          <w:lang w:val="es-MX"/>
        </w:rPr>
        <w:t xml:space="preserve">plazo para la </w:t>
      </w:r>
      <w:r w:rsidR="00AD1EB8" w:rsidRPr="004C2FAC">
        <w:rPr>
          <w:rFonts w:cs="Arial"/>
          <w:bCs/>
          <w:lang w:val="es-MX"/>
        </w:rPr>
        <w:t xml:space="preserve">configuración </w:t>
      </w:r>
      <w:r w:rsidR="0062614B" w:rsidRPr="004C2FAC">
        <w:rPr>
          <w:rFonts w:cs="Arial"/>
          <w:bCs/>
          <w:lang w:val="es-MX"/>
        </w:rPr>
        <w:t xml:space="preserve">de </w:t>
      </w:r>
      <w:r w:rsidRPr="004C2FAC">
        <w:rPr>
          <w:rFonts w:cs="Arial"/>
          <w:bCs/>
          <w:lang w:val="es-MX"/>
        </w:rPr>
        <w:t xml:space="preserve">la caducidad </w:t>
      </w:r>
      <w:r w:rsidR="00AD1EB8" w:rsidRPr="004C2FAC">
        <w:rPr>
          <w:rFonts w:cs="Arial"/>
          <w:bCs/>
          <w:lang w:val="es-MX"/>
        </w:rPr>
        <w:t xml:space="preserve">de la acción </w:t>
      </w:r>
      <w:r w:rsidRPr="004C2FAC">
        <w:rPr>
          <w:rFonts w:cs="Arial"/>
          <w:bCs/>
          <w:lang w:val="es-MX"/>
        </w:rPr>
        <w:t>era el de dos años</w:t>
      </w:r>
      <w:r w:rsidR="00435CA9" w:rsidRPr="004C2FAC">
        <w:rPr>
          <w:rFonts w:cs="Arial"/>
          <w:bCs/>
          <w:lang w:val="es-MX"/>
        </w:rPr>
        <w:t xml:space="preserve">, término </w:t>
      </w:r>
      <w:r w:rsidRPr="004C2FAC">
        <w:rPr>
          <w:rFonts w:cs="Arial"/>
          <w:bCs/>
          <w:lang w:val="es-MX"/>
        </w:rPr>
        <w:t>previsto en el artículo 136 del CCA</w:t>
      </w:r>
      <w:r w:rsidR="00435CA9" w:rsidRPr="004C2FAC">
        <w:rPr>
          <w:rFonts w:cs="Arial"/>
          <w:bCs/>
          <w:lang w:val="es-MX"/>
        </w:rPr>
        <w:t>,</w:t>
      </w:r>
      <w:r w:rsidRPr="004C2FAC">
        <w:rPr>
          <w:rFonts w:cs="Arial"/>
          <w:bCs/>
          <w:lang w:val="es-MX"/>
        </w:rPr>
        <w:t xml:space="preserve"> y no el del artículo 55 de la Ley 80 de 1993, </w:t>
      </w:r>
      <w:r w:rsidR="00B13922" w:rsidRPr="004C2FAC">
        <w:rPr>
          <w:rFonts w:cs="Arial"/>
          <w:bCs/>
          <w:lang w:val="es-MX"/>
        </w:rPr>
        <w:t xml:space="preserve">toda vez </w:t>
      </w:r>
      <w:r w:rsidRPr="004C2FAC">
        <w:rPr>
          <w:rFonts w:cs="Arial"/>
          <w:bCs/>
          <w:lang w:val="es-MX"/>
        </w:rPr>
        <w:t xml:space="preserve">que este último </w:t>
      </w:r>
      <w:r w:rsidR="00AD1EB8" w:rsidRPr="004C2FAC">
        <w:rPr>
          <w:rFonts w:cs="Arial"/>
          <w:bCs/>
          <w:lang w:val="es-MX"/>
        </w:rPr>
        <w:t xml:space="preserve">solo </w:t>
      </w:r>
      <w:r w:rsidRPr="004C2FAC">
        <w:rPr>
          <w:rFonts w:cs="Arial"/>
          <w:bCs/>
          <w:lang w:val="es-MX"/>
        </w:rPr>
        <w:t xml:space="preserve">regulaba la prescripción de las acciones de responsabilidad contractual, como lo </w:t>
      </w:r>
      <w:r w:rsidR="002A380C" w:rsidRPr="004C2FAC">
        <w:rPr>
          <w:rFonts w:cs="Arial"/>
          <w:bCs/>
          <w:lang w:val="es-MX"/>
        </w:rPr>
        <w:t xml:space="preserve">indicó </w:t>
      </w:r>
      <w:r w:rsidRPr="004C2FAC">
        <w:rPr>
          <w:rFonts w:cs="Arial"/>
          <w:bCs/>
          <w:lang w:val="es-MX"/>
        </w:rPr>
        <w:t xml:space="preserve">el Tribunal </w:t>
      </w:r>
      <w:r w:rsidRPr="004C2FAC">
        <w:rPr>
          <w:rFonts w:cs="Arial"/>
          <w:bCs/>
          <w:i/>
          <w:lang w:val="es-MX"/>
        </w:rPr>
        <w:t>a quo.</w:t>
      </w:r>
      <w:r w:rsidRPr="004C2FAC">
        <w:rPr>
          <w:rFonts w:cs="Arial"/>
          <w:bCs/>
          <w:lang w:val="es-MX"/>
        </w:rPr>
        <w:t xml:space="preserve"> </w:t>
      </w:r>
    </w:p>
    <w:p w:rsidR="00C92E53" w:rsidRPr="004C2FAC" w:rsidRDefault="00C92E53" w:rsidP="000519A7">
      <w:pPr>
        <w:rPr>
          <w:rFonts w:cs="Arial"/>
          <w:bCs/>
          <w:lang w:val="es-MX"/>
        </w:rPr>
      </w:pPr>
    </w:p>
    <w:p w:rsidR="0062614B" w:rsidRPr="004C2FAC" w:rsidRDefault="00122E0F" w:rsidP="000519A7">
      <w:pPr>
        <w:rPr>
          <w:rFonts w:cs="Arial"/>
          <w:bCs/>
          <w:lang w:val="es-MX"/>
        </w:rPr>
      </w:pPr>
      <w:r w:rsidRPr="004C2FAC">
        <w:rPr>
          <w:rFonts w:cs="Arial"/>
          <w:bCs/>
          <w:lang w:val="es-MX"/>
        </w:rPr>
        <w:t xml:space="preserve">Expuso que </w:t>
      </w:r>
      <w:r w:rsidR="00B549AA" w:rsidRPr="004C2FAC">
        <w:rPr>
          <w:rFonts w:cs="Arial"/>
          <w:bCs/>
          <w:lang w:val="es-MX"/>
        </w:rPr>
        <w:t xml:space="preserve">el demandante </w:t>
      </w:r>
      <w:r w:rsidRPr="004C2FAC">
        <w:rPr>
          <w:rFonts w:cs="Arial"/>
          <w:bCs/>
          <w:lang w:val="es-MX"/>
        </w:rPr>
        <w:t>se equivocó al asimilar las acciones de responsabilidad de los contratistas con la</w:t>
      </w:r>
      <w:r w:rsidR="00AD1EB8" w:rsidRPr="004C2FAC">
        <w:rPr>
          <w:rFonts w:cs="Arial"/>
          <w:bCs/>
          <w:lang w:val="es-MX"/>
        </w:rPr>
        <w:t xml:space="preserve">s propias del </w:t>
      </w:r>
      <w:r w:rsidRPr="004C2FAC">
        <w:rPr>
          <w:rFonts w:cs="Arial"/>
          <w:bCs/>
          <w:lang w:val="es-MX"/>
        </w:rPr>
        <w:t>incumplimiento contractual.</w:t>
      </w:r>
      <w:r w:rsidR="002A380C" w:rsidRPr="004C2FAC">
        <w:rPr>
          <w:rFonts w:cs="Arial"/>
          <w:bCs/>
          <w:lang w:val="es-MX"/>
        </w:rPr>
        <w:t xml:space="preserve"> </w:t>
      </w:r>
    </w:p>
    <w:p w:rsidR="0062614B" w:rsidRPr="004C2FAC" w:rsidRDefault="0062614B" w:rsidP="000519A7">
      <w:pPr>
        <w:rPr>
          <w:rFonts w:cs="Arial"/>
          <w:bCs/>
          <w:lang w:val="es-MX"/>
        </w:rPr>
      </w:pPr>
    </w:p>
    <w:p w:rsidR="002A380C" w:rsidRPr="004C2FAC" w:rsidRDefault="002A380C" w:rsidP="000519A7">
      <w:pPr>
        <w:rPr>
          <w:rFonts w:cs="Arial"/>
          <w:bCs/>
          <w:lang w:val="es-MX"/>
        </w:rPr>
      </w:pPr>
      <w:r w:rsidRPr="004C2FAC">
        <w:rPr>
          <w:rFonts w:cs="Arial"/>
          <w:bCs/>
          <w:lang w:val="es-MX"/>
        </w:rPr>
        <w:lastRenderedPageBreak/>
        <w:t>Reiteró las diferencias entre prescripción y caducidad, de confo</w:t>
      </w:r>
      <w:r w:rsidR="00890595" w:rsidRPr="004C2FAC">
        <w:rPr>
          <w:rFonts w:cs="Arial"/>
          <w:bCs/>
          <w:lang w:val="es-MX"/>
        </w:rPr>
        <w:t>r</w:t>
      </w:r>
      <w:r w:rsidRPr="004C2FAC">
        <w:rPr>
          <w:rFonts w:cs="Arial"/>
          <w:bCs/>
          <w:lang w:val="es-MX"/>
        </w:rPr>
        <w:t>midad con la jurisprudencia que se  citó en la sentencia de primera instancia.</w:t>
      </w:r>
    </w:p>
    <w:p w:rsidR="0062614B" w:rsidRPr="004C2FAC" w:rsidRDefault="0062614B" w:rsidP="000519A7">
      <w:pPr>
        <w:rPr>
          <w:rFonts w:cs="Arial"/>
          <w:bCs/>
          <w:lang w:val="es-MX"/>
        </w:rPr>
      </w:pPr>
    </w:p>
    <w:p w:rsidR="002A380C" w:rsidRPr="004C2FAC" w:rsidRDefault="00C92E53" w:rsidP="000519A7">
      <w:pPr>
        <w:rPr>
          <w:rFonts w:cs="Arial"/>
          <w:bCs/>
          <w:lang w:val="es-MX"/>
        </w:rPr>
      </w:pPr>
      <w:r w:rsidRPr="004C2FAC">
        <w:rPr>
          <w:rFonts w:cs="Arial"/>
          <w:bCs/>
          <w:lang w:val="es-MX"/>
        </w:rPr>
        <w:t xml:space="preserve">Por otra parte, </w:t>
      </w:r>
      <w:r w:rsidR="00AD1EB8" w:rsidRPr="004C2FAC">
        <w:rPr>
          <w:rFonts w:cs="Arial"/>
          <w:bCs/>
          <w:lang w:val="es-MX"/>
        </w:rPr>
        <w:t xml:space="preserve">la compañía aseguradora </w:t>
      </w:r>
      <w:r w:rsidRPr="004C2FAC">
        <w:rPr>
          <w:rFonts w:cs="Arial"/>
          <w:bCs/>
          <w:lang w:val="es-MX"/>
        </w:rPr>
        <w:t>d</w:t>
      </w:r>
      <w:r w:rsidR="00011810" w:rsidRPr="004C2FAC">
        <w:rPr>
          <w:rFonts w:cs="Arial"/>
          <w:bCs/>
          <w:lang w:val="es-MX"/>
        </w:rPr>
        <w:t xml:space="preserve">estacó </w:t>
      </w:r>
      <w:r w:rsidR="002A380C" w:rsidRPr="004C2FAC">
        <w:rPr>
          <w:rFonts w:cs="Arial"/>
          <w:bCs/>
          <w:lang w:val="es-MX"/>
        </w:rPr>
        <w:t>que la prescripción de la acción</w:t>
      </w:r>
      <w:r w:rsidR="00B111F3" w:rsidRPr="004C2FAC">
        <w:rPr>
          <w:rFonts w:cs="Arial"/>
          <w:bCs/>
          <w:lang w:val="es-MX"/>
        </w:rPr>
        <w:t>,</w:t>
      </w:r>
      <w:r w:rsidR="002A380C" w:rsidRPr="004C2FAC">
        <w:rPr>
          <w:rFonts w:cs="Arial"/>
          <w:bCs/>
          <w:lang w:val="es-MX"/>
        </w:rPr>
        <w:t xml:space="preserve"> derivada del contrato de seguro</w:t>
      </w:r>
      <w:r w:rsidR="00B111F3" w:rsidRPr="004C2FAC">
        <w:rPr>
          <w:rFonts w:cs="Arial"/>
          <w:bCs/>
          <w:lang w:val="es-MX"/>
        </w:rPr>
        <w:t>,</w:t>
      </w:r>
      <w:r w:rsidR="002A380C" w:rsidRPr="004C2FAC">
        <w:rPr>
          <w:rFonts w:cs="Arial"/>
          <w:bCs/>
          <w:lang w:val="es-MX"/>
        </w:rPr>
        <w:t xml:space="preserve"> se rigió por el art</w:t>
      </w:r>
      <w:r w:rsidR="00011810" w:rsidRPr="004C2FAC">
        <w:rPr>
          <w:rFonts w:cs="Arial"/>
          <w:bCs/>
          <w:lang w:val="es-MX"/>
        </w:rPr>
        <w:t>í</w:t>
      </w:r>
      <w:r w:rsidR="002A380C" w:rsidRPr="004C2FAC">
        <w:rPr>
          <w:rFonts w:cs="Arial"/>
          <w:bCs/>
          <w:lang w:val="es-MX"/>
        </w:rPr>
        <w:t>culo 1081 del Código de Comercio, fenómeno que no debe confundirse con el d</w:t>
      </w:r>
      <w:r w:rsidRPr="004C2FAC">
        <w:rPr>
          <w:rFonts w:cs="Arial"/>
          <w:bCs/>
          <w:lang w:val="es-MX"/>
        </w:rPr>
        <w:t>e</w:t>
      </w:r>
      <w:r w:rsidR="002A380C" w:rsidRPr="004C2FAC">
        <w:rPr>
          <w:rFonts w:cs="Arial"/>
          <w:bCs/>
          <w:lang w:val="es-MX"/>
        </w:rPr>
        <w:t xml:space="preserve"> la caducidad de la acción</w:t>
      </w:r>
      <w:r w:rsidRPr="004C2FAC">
        <w:rPr>
          <w:rFonts w:cs="Arial"/>
          <w:bCs/>
          <w:lang w:val="es-MX"/>
        </w:rPr>
        <w:t xml:space="preserve"> contractual</w:t>
      </w:r>
      <w:r w:rsidR="002A380C" w:rsidRPr="004C2FAC">
        <w:rPr>
          <w:rFonts w:cs="Arial"/>
          <w:bCs/>
          <w:lang w:val="es-MX"/>
        </w:rPr>
        <w:t>.</w:t>
      </w:r>
    </w:p>
    <w:p w:rsidR="002A380C" w:rsidRPr="004C2FAC" w:rsidRDefault="002A380C" w:rsidP="000519A7">
      <w:pPr>
        <w:rPr>
          <w:rFonts w:cs="Arial"/>
          <w:bCs/>
          <w:lang w:val="es-MX"/>
        </w:rPr>
      </w:pPr>
    </w:p>
    <w:p w:rsidR="002A380C" w:rsidRPr="004C2FAC" w:rsidRDefault="002A380C" w:rsidP="000519A7">
      <w:pPr>
        <w:rPr>
          <w:rFonts w:cs="Arial"/>
          <w:bCs/>
          <w:lang w:val="es-MX"/>
        </w:rPr>
      </w:pPr>
      <w:r w:rsidRPr="004C2FAC">
        <w:rPr>
          <w:rFonts w:cs="Arial"/>
          <w:bCs/>
          <w:lang w:val="es-MX"/>
        </w:rPr>
        <w:t xml:space="preserve">Finalmente, </w:t>
      </w:r>
      <w:r w:rsidR="00AD1EB8" w:rsidRPr="004C2FAC">
        <w:rPr>
          <w:rFonts w:cs="Arial"/>
          <w:bCs/>
          <w:lang w:val="es-MX"/>
        </w:rPr>
        <w:t xml:space="preserve">advirtió que </w:t>
      </w:r>
      <w:r w:rsidRPr="004C2FAC">
        <w:rPr>
          <w:rFonts w:cs="Arial"/>
          <w:bCs/>
          <w:lang w:val="es-MX"/>
        </w:rPr>
        <w:t>para el caso en que se revo</w:t>
      </w:r>
      <w:r w:rsidR="00AD1EB8" w:rsidRPr="004C2FAC">
        <w:rPr>
          <w:rFonts w:cs="Arial"/>
          <w:bCs/>
          <w:lang w:val="es-MX"/>
        </w:rPr>
        <w:t xml:space="preserve">cara </w:t>
      </w:r>
      <w:r w:rsidRPr="004C2FAC">
        <w:rPr>
          <w:rFonts w:cs="Arial"/>
          <w:bCs/>
          <w:lang w:val="es-MX"/>
        </w:rPr>
        <w:t xml:space="preserve">la sentencia de primera instancia, </w:t>
      </w:r>
      <w:r w:rsidR="00AD1EB8" w:rsidRPr="004C2FAC">
        <w:rPr>
          <w:rFonts w:cs="Arial"/>
          <w:bCs/>
          <w:lang w:val="es-MX"/>
        </w:rPr>
        <w:t xml:space="preserve">debían declararse </w:t>
      </w:r>
      <w:r w:rsidRPr="004C2FAC">
        <w:rPr>
          <w:rFonts w:cs="Arial"/>
          <w:bCs/>
          <w:lang w:val="es-MX"/>
        </w:rPr>
        <w:t>probadas las excepciones pr</w:t>
      </w:r>
      <w:r w:rsidR="00AD1EB8" w:rsidRPr="004C2FAC">
        <w:rPr>
          <w:rFonts w:cs="Arial"/>
          <w:bCs/>
          <w:lang w:val="es-MX"/>
        </w:rPr>
        <w:t>esentas por la compañía de seguros</w:t>
      </w:r>
      <w:r w:rsidRPr="004C2FAC">
        <w:rPr>
          <w:rFonts w:cs="Arial"/>
          <w:bCs/>
          <w:lang w:val="es-MX"/>
        </w:rPr>
        <w:t>.</w:t>
      </w:r>
    </w:p>
    <w:p w:rsidR="000519A7" w:rsidRPr="004C2FAC" w:rsidRDefault="000519A7" w:rsidP="00484F35">
      <w:pPr>
        <w:rPr>
          <w:rFonts w:cs="Arial"/>
          <w:bCs/>
          <w:lang w:val="es-MX"/>
        </w:rPr>
      </w:pPr>
    </w:p>
    <w:p w:rsidR="002A380C" w:rsidRPr="004C2FAC" w:rsidRDefault="002A380C" w:rsidP="00484F35">
      <w:pPr>
        <w:rPr>
          <w:rFonts w:cs="Arial"/>
          <w:bCs/>
          <w:lang w:val="es-MX"/>
        </w:rPr>
      </w:pPr>
      <w:r w:rsidRPr="004C2FAC">
        <w:rPr>
          <w:rFonts w:cs="Arial"/>
          <w:bCs/>
          <w:lang w:val="es-MX"/>
        </w:rPr>
        <w:t xml:space="preserve">El Ministerio Público no intervino en la segunda instancia.  </w:t>
      </w:r>
    </w:p>
    <w:p w:rsidR="00C23021" w:rsidRPr="004C2FAC" w:rsidRDefault="00C23021" w:rsidP="00F21484">
      <w:pPr>
        <w:jc w:val="center"/>
        <w:rPr>
          <w:rFonts w:cs="Arial"/>
          <w:b/>
        </w:rPr>
      </w:pPr>
    </w:p>
    <w:p w:rsidR="00F21484" w:rsidRPr="004C2FAC" w:rsidRDefault="00F21484" w:rsidP="00E84FE1">
      <w:pPr>
        <w:pStyle w:val="Lista"/>
        <w:jc w:val="center"/>
        <w:rPr>
          <w:rFonts w:ascii="Arial" w:hAnsi="Arial" w:cs="Arial"/>
          <w:b/>
        </w:rPr>
      </w:pPr>
      <w:r w:rsidRPr="004C2FAC">
        <w:rPr>
          <w:rFonts w:ascii="Arial" w:hAnsi="Arial" w:cs="Arial"/>
          <w:b/>
        </w:rPr>
        <w:t>II.</w:t>
      </w:r>
      <w:r w:rsidR="00E759BE" w:rsidRPr="004C2FAC">
        <w:rPr>
          <w:rFonts w:ascii="Arial" w:hAnsi="Arial" w:cs="Arial"/>
          <w:b/>
        </w:rPr>
        <w:tab/>
      </w:r>
      <w:r w:rsidRPr="004C2FAC">
        <w:rPr>
          <w:rFonts w:ascii="Arial" w:hAnsi="Arial" w:cs="Arial"/>
          <w:b/>
        </w:rPr>
        <w:t>C O N S I D E R A C I O N E S</w:t>
      </w:r>
    </w:p>
    <w:p w:rsidR="00C23021" w:rsidRPr="004C2FAC" w:rsidRDefault="00C23021" w:rsidP="00050CA0">
      <w:pPr>
        <w:jc w:val="center"/>
        <w:rPr>
          <w:rFonts w:cs="Arial"/>
          <w:b/>
        </w:rPr>
      </w:pPr>
    </w:p>
    <w:p w:rsidR="00ED77A2" w:rsidRPr="004C2FAC" w:rsidRDefault="00ED77A2" w:rsidP="009265BB">
      <w:pPr>
        <w:rPr>
          <w:rFonts w:cs="Arial"/>
        </w:rPr>
      </w:pPr>
    </w:p>
    <w:p w:rsidR="0004209B" w:rsidRPr="004C2FAC" w:rsidRDefault="0052529B" w:rsidP="00164505">
      <w:pPr>
        <w:rPr>
          <w:rFonts w:cs="Arial"/>
          <w:b/>
        </w:rPr>
      </w:pPr>
      <w:r w:rsidRPr="004C2FAC">
        <w:rPr>
          <w:rFonts w:cs="Arial"/>
        </w:rPr>
        <w:t xml:space="preserve">Para resolver la segunda instancia de la presente </w:t>
      </w:r>
      <w:r w:rsidRPr="004C2FAC">
        <w:rPr>
          <w:rFonts w:cs="Arial"/>
          <w:i/>
        </w:rPr>
        <w:t>litis</w:t>
      </w:r>
      <w:r w:rsidR="00DD3E54" w:rsidRPr="004C2FAC">
        <w:rPr>
          <w:rFonts w:cs="Arial"/>
        </w:rPr>
        <w:t>, se abordará</w:t>
      </w:r>
      <w:r w:rsidRPr="004C2FAC">
        <w:rPr>
          <w:rFonts w:cs="Arial"/>
        </w:rPr>
        <w:t xml:space="preserve">n los siguientes temas: </w:t>
      </w:r>
      <w:r w:rsidR="00445973" w:rsidRPr="004C2FAC">
        <w:rPr>
          <w:rFonts w:cs="Arial"/>
          <w:b/>
        </w:rPr>
        <w:t>1</w:t>
      </w:r>
      <w:r w:rsidR="00A50912" w:rsidRPr="004C2FAC">
        <w:rPr>
          <w:rFonts w:cs="Arial"/>
          <w:b/>
        </w:rPr>
        <w:t>)</w:t>
      </w:r>
      <w:r w:rsidR="00F813EB" w:rsidRPr="004C2FAC">
        <w:rPr>
          <w:rFonts w:cs="Arial"/>
        </w:rPr>
        <w:t xml:space="preserve"> </w:t>
      </w:r>
      <w:r w:rsidR="00BF3EF6" w:rsidRPr="004C2FAC">
        <w:rPr>
          <w:rFonts w:cs="Arial"/>
        </w:rPr>
        <w:t xml:space="preserve">jurisdicción y </w:t>
      </w:r>
      <w:r w:rsidR="00CA1EB0" w:rsidRPr="004C2FAC">
        <w:rPr>
          <w:rFonts w:cs="Arial"/>
        </w:rPr>
        <w:t>c</w:t>
      </w:r>
      <w:r w:rsidR="00DF40B5" w:rsidRPr="004C2FAC">
        <w:rPr>
          <w:rFonts w:cs="Arial"/>
        </w:rPr>
        <w:t xml:space="preserve">ompetencia del Consejo de Estado; </w:t>
      </w:r>
      <w:r w:rsidR="00445973" w:rsidRPr="004C2FAC">
        <w:rPr>
          <w:rFonts w:cs="Arial"/>
          <w:b/>
        </w:rPr>
        <w:t>2</w:t>
      </w:r>
      <w:r w:rsidR="00A50912" w:rsidRPr="004C2FAC">
        <w:rPr>
          <w:rFonts w:cs="Arial"/>
          <w:b/>
        </w:rPr>
        <w:t>)</w:t>
      </w:r>
      <w:r w:rsidR="00E8149C" w:rsidRPr="004C2FAC">
        <w:rPr>
          <w:rFonts w:cs="Arial"/>
        </w:rPr>
        <w:t xml:space="preserve"> </w:t>
      </w:r>
      <w:r w:rsidR="00246A27" w:rsidRPr="004C2FAC">
        <w:rPr>
          <w:rFonts w:cs="Arial"/>
        </w:rPr>
        <w:t>oportunidad en la presentación de la demanda</w:t>
      </w:r>
      <w:r w:rsidR="0004209B" w:rsidRPr="004C2FAC">
        <w:rPr>
          <w:rFonts w:cs="Arial"/>
        </w:rPr>
        <w:t xml:space="preserve">; </w:t>
      </w:r>
      <w:r w:rsidR="0004209B" w:rsidRPr="004C2FAC">
        <w:rPr>
          <w:rFonts w:cs="Arial"/>
          <w:b/>
        </w:rPr>
        <w:t>3</w:t>
      </w:r>
      <w:r w:rsidR="00E939A0" w:rsidRPr="004C2FAC">
        <w:rPr>
          <w:rFonts w:cs="Arial"/>
          <w:b/>
        </w:rPr>
        <w:t>)</w:t>
      </w:r>
      <w:r w:rsidR="001E5BA6" w:rsidRPr="004C2FAC">
        <w:rPr>
          <w:rFonts w:cs="Arial"/>
          <w:bCs/>
          <w:color w:val="000000"/>
        </w:rPr>
        <w:t xml:space="preserve"> </w:t>
      </w:r>
      <w:r w:rsidR="00435CA9" w:rsidRPr="004C2FAC">
        <w:rPr>
          <w:rFonts w:cs="Arial"/>
          <w:bCs/>
          <w:color w:val="000000"/>
        </w:rPr>
        <w:t xml:space="preserve">análisis del acta de conciliación y acuerdo de dación en pago; </w:t>
      </w:r>
      <w:r w:rsidR="00A00CD2" w:rsidRPr="004C2FAC">
        <w:rPr>
          <w:rFonts w:cs="Arial"/>
          <w:b/>
          <w:bCs/>
          <w:color w:val="000000"/>
        </w:rPr>
        <w:t>4</w:t>
      </w:r>
      <w:r w:rsidR="00435CA9" w:rsidRPr="004C2FAC">
        <w:rPr>
          <w:rFonts w:cs="Arial"/>
          <w:b/>
          <w:bCs/>
          <w:color w:val="000000"/>
        </w:rPr>
        <w:t>)</w:t>
      </w:r>
      <w:r w:rsidR="00435CA9" w:rsidRPr="004C2FAC">
        <w:rPr>
          <w:rFonts w:cs="Arial"/>
          <w:bCs/>
          <w:color w:val="000000"/>
        </w:rPr>
        <w:t xml:space="preserve"> </w:t>
      </w:r>
      <w:r w:rsidR="0004209B" w:rsidRPr="004C2FAC">
        <w:rPr>
          <w:rFonts w:cs="Arial"/>
          <w:bCs/>
          <w:color w:val="000000"/>
        </w:rPr>
        <w:t>l</w:t>
      </w:r>
      <w:r w:rsidR="00246A27" w:rsidRPr="004C2FAC">
        <w:rPr>
          <w:rFonts w:cs="Arial"/>
        </w:rPr>
        <w:t>as pruebas aportadas al proceso;</w:t>
      </w:r>
      <w:r w:rsidR="00246A27" w:rsidRPr="004C2FAC">
        <w:rPr>
          <w:rFonts w:cs="Arial"/>
          <w:b/>
        </w:rPr>
        <w:t xml:space="preserve"> </w:t>
      </w:r>
      <w:r w:rsidR="00164505" w:rsidRPr="004C2FAC">
        <w:rPr>
          <w:rFonts w:cs="Arial"/>
          <w:b/>
        </w:rPr>
        <w:t xml:space="preserve">5) </w:t>
      </w:r>
      <w:r w:rsidR="00164505" w:rsidRPr="004C2FAC">
        <w:rPr>
          <w:rFonts w:cs="Arial"/>
        </w:rPr>
        <w:t>legitimación activa por parte del Ministerio de Agricultura y Desarrollo Rural;</w:t>
      </w:r>
      <w:r w:rsidR="00164505" w:rsidRPr="004C2FAC">
        <w:rPr>
          <w:rFonts w:cs="Arial"/>
          <w:b/>
        </w:rPr>
        <w:t xml:space="preserve"> 6) </w:t>
      </w:r>
      <w:r w:rsidR="00164505" w:rsidRPr="004C2FAC">
        <w:rPr>
          <w:rFonts w:cs="Arial"/>
        </w:rPr>
        <w:t>integración del contradictorio por pasiva;</w:t>
      </w:r>
      <w:r w:rsidR="00164505" w:rsidRPr="004C2FAC">
        <w:rPr>
          <w:rFonts w:cs="Arial"/>
          <w:b/>
        </w:rPr>
        <w:t xml:space="preserve"> 7) </w:t>
      </w:r>
      <w:r w:rsidR="00246A27" w:rsidRPr="004C2FAC">
        <w:rPr>
          <w:rFonts w:cs="Arial"/>
        </w:rPr>
        <w:t>el caso concreto</w:t>
      </w:r>
      <w:r w:rsidR="0004209B" w:rsidRPr="004C2FAC">
        <w:rPr>
          <w:rFonts w:cs="Arial"/>
          <w:b/>
        </w:rPr>
        <w:t xml:space="preserve"> </w:t>
      </w:r>
      <w:r w:rsidR="0004209B" w:rsidRPr="004C2FAC">
        <w:rPr>
          <w:rFonts w:cs="Arial"/>
        </w:rPr>
        <w:t xml:space="preserve">y </w:t>
      </w:r>
      <w:r w:rsidR="00164505" w:rsidRPr="004C2FAC">
        <w:rPr>
          <w:rFonts w:cs="Arial"/>
        </w:rPr>
        <w:t>8</w:t>
      </w:r>
      <w:r w:rsidR="0004209B" w:rsidRPr="004C2FAC">
        <w:rPr>
          <w:rFonts w:cs="Arial"/>
          <w:b/>
        </w:rPr>
        <w:t>)</w:t>
      </w:r>
      <w:r w:rsidR="0004209B" w:rsidRPr="004C2FAC">
        <w:rPr>
          <w:rFonts w:cs="Arial"/>
        </w:rPr>
        <w:t xml:space="preserve"> costas.</w:t>
      </w:r>
    </w:p>
    <w:p w:rsidR="0004209B" w:rsidRPr="004C2FAC" w:rsidRDefault="0004209B" w:rsidP="00246A27">
      <w:pPr>
        <w:pStyle w:val="Lista"/>
        <w:spacing w:line="360" w:lineRule="auto"/>
        <w:ind w:left="0" w:firstLine="0"/>
        <w:rPr>
          <w:rFonts w:ascii="Arial" w:hAnsi="Arial" w:cs="Arial"/>
        </w:rPr>
      </w:pPr>
    </w:p>
    <w:p w:rsidR="0052529B" w:rsidRPr="004C2FAC" w:rsidRDefault="0004209B" w:rsidP="00246A27">
      <w:pPr>
        <w:pStyle w:val="Lista"/>
        <w:spacing w:line="360" w:lineRule="auto"/>
        <w:ind w:left="0" w:firstLine="0"/>
        <w:rPr>
          <w:rFonts w:ascii="Arial" w:hAnsi="Arial" w:cs="Arial"/>
        </w:rPr>
      </w:pPr>
      <w:r w:rsidRPr="004C2FAC">
        <w:rPr>
          <w:rFonts w:ascii="Arial" w:hAnsi="Arial" w:cs="Arial"/>
        </w:rPr>
        <w:t xml:space="preserve">En el caso concreto se resolverán los siguientes asuntos: </w:t>
      </w:r>
      <w:r w:rsidR="00164505" w:rsidRPr="004C2FAC">
        <w:rPr>
          <w:rFonts w:ascii="Arial" w:hAnsi="Arial" w:cs="Arial"/>
          <w:b/>
        </w:rPr>
        <w:t>7</w:t>
      </w:r>
      <w:r w:rsidR="00246A27" w:rsidRPr="004C2FAC">
        <w:rPr>
          <w:rFonts w:ascii="Arial" w:hAnsi="Arial" w:cs="Arial"/>
          <w:b/>
        </w:rPr>
        <w:t>.1.)</w:t>
      </w:r>
      <w:r w:rsidR="00246A27" w:rsidRPr="004C2FAC">
        <w:rPr>
          <w:rFonts w:ascii="Arial" w:hAnsi="Arial" w:cs="Arial"/>
        </w:rPr>
        <w:t xml:space="preserve"> </w:t>
      </w:r>
      <w:r w:rsidR="00164505" w:rsidRPr="004C2FAC">
        <w:rPr>
          <w:rFonts w:ascii="Arial" w:hAnsi="Arial" w:cs="Arial"/>
        </w:rPr>
        <w:t>incumplimiento de contratista</w:t>
      </w:r>
      <w:r w:rsidR="00246A27" w:rsidRPr="004C2FAC">
        <w:rPr>
          <w:rFonts w:ascii="Arial" w:hAnsi="Arial" w:cs="Arial"/>
        </w:rPr>
        <w:t xml:space="preserve">; </w:t>
      </w:r>
      <w:r w:rsidR="00164505" w:rsidRPr="004C2FAC">
        <w:rPr>
          <w:rFonts w:ascii="Arial" w:hAnsi="Arial" w:cs="Arial"/>
          <w:b/>
        </w:rPr>
        <w:t>7</w:t>
      </w:r>
      <w:r w:rsidR="00246A27" w:rsidRPr="004C2FAC">
        <w:rPr>
          <w:rFonts w:ascii="Arial" w:hAnsi="Arial" w:cs="Arial"/>
          <w:b/>
        </w:rPr>
        <w:t>.2)</w:t>
      </w:r>
      <w:r w:rsidRPr="004C2FAC">
        <w:rPr>
          <w:rFonts w:ascii="Arial" w:hAnsi="Arial" w:cs="Arial"/>
        </w:rPr>
        <w:t xml:space="preserve"> </w:t>
      </w:r>
      <w:r w:rsidR="0041409E" w:rsidRPr="004C2FAC">
        <w:rPr>
          <w:rFonts w:ascii="Arial" w:hAnsi="Arial" w:cs="Arial"/>
        </w:rPr>
        <w:t>p</w:t>
      </w:r>
      <w:r w:rsidRPr="004C2FAC">
        <w:rPr>
          <w:rFonts w:ascii="Arial" w:hAnsi="Arial" w:cs="Arial"/>
        </w:rPr>
        <w:t xml:space="preserve">rescripción de la acción derivada del contrato </w:t>
      </w:r>
      <w:r w:rsidR="00B549AA" w:rsidRPr="004C2FAC">
        <w:rPr>
          <w:rFonts w:ascii="Arial" w:hAnsi="Arial" w:cs="Arial"/>
        </w:rPr>
        <w:t>d</w:t>
      </w:r>
      <w:r w:rsidRPr="004C2FAC">
        <w:rPr>
          <w:rFonts w:ascii="Arial" w:hAnsi="Arial" w:cs="Arial"/>
        </w:rPr>
        <w:t>e seguro.</w:t>
      </w:r>
      <w:r w:rsidR="00246A27" w:rsidRPr="004C2FAC">
        <w:rPr>
          <w:rFonts w:ascii="Arial" w:hAnsi="Arial" w:cs="Arial"/>
        </w:rPr>
        <w:t xml:space="preserve"> </w:t>
      </w:r>
    </w:p>
    <w:p w:rsidR="00C874B4" w:rsidRPr="004C2FAC" w:rsidRDefault="00C874B4" w:rsidP="00246A27">
      <w:pPr>
        <w:pStyle w:val="NormalWeb"/>
        <w:spacing w:before="0" w:beforeAutospacing="0" w:after="0" w:afterAutospacing="0"/>
        <w:rPr>
          <w:rFonts w:cs="Arial"/>
        </w:rPr>
      </w:pPr>
    </w:p>
    <w:p w:rsidR="002D40B7" w:rsidRPr="004C2FAC" w:rsidRDefault="002D40B7" w:rsidP="00246A27">
      <w:pPr>
        <w:rPr>
          <w:rFonts w:cs="Arial"/>
          <w:b/>
        </w:rPr>
      </w:pPr>
      <w:r w:rsidRPr="004C2FAC">
        <w:rPr>
          <w:rFonts w:cs="Arial"/>
          <w:b/>
        </w:rPr>
        <w:t>1.</w:t>
      </w:r>
      <w:r w:rsidR="000A0325" w:rsidRPr="004C2FAC">
        <w:rPr>
          <w:rFonts w:cs="Arial"/>
          <w:b/>
        </w:rPr>
        <w:t xml:space="preserve"> </w:t>
      </w:r>
      <w:r w:rsidRPr="004C2FAC">
        <w:rPr>
          <w:rFonts w:cs="Arial"/>
          <w:b/>
        </w:rPr>
        <w:t xml:space="preserve">Jurisdicción </w:t>
      </w:r>
      <w:r w:rsidR="000A0325" w:rsidRPr="004C2FAC">
        <w:rPr>
          <w:rFonts w:cs="Arial"/>
          <w:b/>
        </w:rPr>
        <w:t>y competencia del Consejo de Estado</w:t>
      </w:r>
    </w:p>
    <w:p w:rsidR="002D40B7" w:rsidRPr="004C2FAC" w:rsidRDefault="002D40B7" w:rsidP="00246A27">
      <w:pPr>
        <w:rPr>
          <w:rFonts w:cs="Arial"/>
        </w:rPr>
      </w:pPr>
    </w:p>
    <w:p w:rsidR="00B15F13" w:rsidRPr="004C2FAC" w:rsidRDefault="00B15F13" w:rsidP="00246A27">
      <w:pPr>
        <w:rPr>
          <w:rFonts w:cs="Arial"/>
          <w:b/>
        </w:rPr>
      </w:pPr>
      <w:r w:rsidRPr="004C2FAC">
        <w:rPr>
          <w:rFonts w:cs="Arial"/>
          <w:b/>
        </w:rPr>
        <w:t>1.1. Jurisdicción competente</w:t>
      </w:r>
    </w:p>
    <w:p w:rsidR="00B15F13" w:rsidRPr="004C2FAC" w:rsidRDefault="00B15F13" w:rsidP="00246A27">
      <w:pPr>
        <w:rPr>
          <w:rFonts w:cs="Arial"/>
        </w:rPr>
      </w:pPr>
    </w:p>
    <w:p w:rsidR="002D40B7" w:rsidRPr="004C2FAC" w:rsidRDefault="002D40B7" w:rsidP="00246A27">
      <w:pPr>
        <w:rPr>
          <w:rFonts w:cs="Arial"/>
        </w:rPr>
      </w:pPr>
      <w:r w:rsidRPr="004C2FAC">
        <w:rPr>
          <w:rFonts w:cs="Arial"/>
        </w:rPr>
        <w:lastRenderedPageBreak/>
        <w:t>Los contratos en los que se generó la controversia planteada en el presente proceso se celebraron en vigencia de la Ley 80 de 1993, por el Instituto de Mercadeo Agropecuario IDEMA, Empresa Industrial y Comerciales del Estado</w:t>
      </w:r>
      <w:r w:rsidRPr="004C2FAC">
        <w:rPr>
          <w:rStyle w:val="Refdenotaalpie"/>
          <w:rFonts w:cs="Arial"/>
        </w:rPr>
        <w:footnoteReference w:id="15"/>
      </w:r>
      <w:r w:rsidRPr="004C2FAC">
        <w:rPr>
          <w:rFonts w:cs="Arial"/>
        </w:rPr>
        <w:t>; la cual pertenecía a la categoría de las entidades estatales</w:t>
      </w:r>
      <w:r w:rsidR="00B111F3" w:rsidRPr="004C2FAC">
        <w:rPr>
          <w:rFonts w:cs="Arial"/>
        </w:rPr>
        <w:t>,</w:t>
      </w:r>
      <w:r w:rsidRPr="004C2FAC">
        <w:rPr>
          <w:rFonts w:cs="Arial"/>
        </w:rPr>
        <w:t xml:space="preserve"> de conformidad con el artículo 2 de la </w:t>
      </w:r>
      <w:r w:rsidR="00B111F3" w:rsidRPr="004C2FAC">
        <w:rPr>
          <w:rFonts w:cs="Arial"/>
        </w:rPr>
        <w:t>mencionada</w:t>
      </w:r>
      <w:r w:rsidRPr="004C2FAC">
        <w:rPr>
          <w:rFonts w:cs="Arial"/>
        </w:rPr>
        <w:t xml:space="preserve"> Ley</w:t>
      </w:r>
      <w:r w:rsidRPr="004C2FAC">
        <w:rPr>
          <w:rStyle w:val="Refdenotaalpie"/>
          <w:rFonts w:cs="Arial"/>
        </w:rPr>
        <w:footnoteReference w:id="16"/>
      </w:r>
      <w:r w:rsidRPr="004C2FAC">
        <w:rPr>
          <w:rFonts w:cs="Arial"/>
        </w:rPr>
        <w:t>.</w:t>
      </w:r>
    </w:p>
    <w:p w:rsidR="002D40B7" w:rsidRPr="004C2FAC" w:rsidRDefault="002D40B7" w:rsidP="00F76C10">
      <w:pPr>
        <w:rPr>
          <w:rFonts w:cs="Arial"/>
        </w:rPr>
      </w:pPr>
      <w:r w:rsidRPr="004C2FAC">
        <w:rPr>
          <w:rFonts w:cs="Arial"/>
        </w:rPr>
        <w:t xml:space="preserve"> </w:t>
      </w:r>
    </w:p>
    <w:p w:rsidR="002D40B7" w:rsidRPr="004C2FAC" w:rsidRDefault="0041409E" w:rsidP="00F76C10">
      <w:pPr>
        <w:pStyle w:val="Textoindependiente"/>
        <w:autoSpaceDE/>
        <w:autoSpaceDN/>
        <w:adjustRightInd/>
        <w:rPr>
          <w:rFonts w:cs="Arial"/>
          <w:szCs w:val="24"/>
          <w:lang w:val="es-CO"/>
        </w:rPr>
      </w:pPr>
      <w:r w:rsidRPr="004C2FAC">
        <w:rPr>
          <w:rFonts w:cs="Arial"/>
          <w:szCs w:val="24"/>
          <w:lang w:val="es-ES"/>
        </w:rPr>
        <w:t>D</w:t>
      </w:r>
      <w:r w:rsidR="002D40B7" w:rsidRPr="004C2FAC">
        <w:rPr>
          <w:rFonts w:cs="Arial"/>
          <w:szCs w:val="24"/>
          <w:lang w:val="es-ES"/>
        </w:rPr>
        <w:t>e acuerdo con lo dispuesto por el artículo 75</w:t>
      </w:r>
      <w:r w:rsidR="002D40B7" w:rsidRPr="004C2FAC">
        <w:rPr>
          <w:rStyle w:val="Refdenotaalpie"/>
          <w:rFonts w:cs="Arial"/>
          <w:szCs w:val="24"/>
          <w:lang w:val="es-CO"/>
        </w:rPr>
        <w:footnoteReference w:id="17"/>
      </w:r>
      <w:r w:rsidR="002D40B7" w:rsidRPr="004C2FAC">
        <w:rPr>
          <w:rFonts w:cs="Arial"/>
          <w:szCs w:val="24"/>
          <w:lang w:val="es-ES"/>
        </w:rPr>
        <w:t xml:space="preserve"> de la citada Ley 80 de 1993, la Jurisdicción de lo Contencioso Administrativo es </w:t>
      </w:r>
      <w:r w:rsidR="002D40B7" w:rsidRPr="004C2FAC">
        <w:rPr>
          <w:rFonts w:cs="Arial"/>
          <w:szCs w:val="24"/>
          <w:lang w:val="es-CO"/>
        </w:rPr>
        <w:t>la competente para conocer de los litigios originados en los contratos celebrados por las entidades estatales.</w:t>
      </w:r>
    </w:p>
    <w:p w:rsidR="002D40B7" w:rsidRPr="004C2FAC" w:rsidRDefault="002D40B7" w:rsidP="00F76C10">
      <w:pPr>
        <w:pStyle w:val="Textoindependiente"/>
        <w:autoSpaceDE/>
        <w:adjustRightInd/>
        <w:rPr>
          <w:lang w:val="es-CO"/>
        </w:rPr>
      </w:pPr>
    </w:p>
    <w:p w:rsidR="002D40B7" w:rsidRPr="004C2FAC" w:rsidRDefault="002D40B7" w:rsidP="00F76C10">
      <w:pPr>
        <w:pStyle w:val="Textoindependiente"/>
        <w:autoSpaceDE/>
        <w:autoSpaceDN/>
        <w:adjustRightInd/>
        <w:rPr>
          <w:rFonts w:cs="Arial"/>
          <w:b/>
          <w:bCs/>
        </w:rPr>
      </w:pPr>
      <w:r w:rsidRPr="004C2FAC">
        <w:rPr>
          <w:rFonts w:cs="Arial"/>
          <w:szCs w:val="24"/>
        </w:rPr>
        <w:t>A</w:t>
      </w:r>
      <w:r w:rsidR="008B49FE" w:rsidRPr="004C2FAC">
        <w:rPr>
          <w:rFonts w:cs="Arial"/>
          <w:szCs w:val="24"/>
          <w:lang w:val="es-CO"/>
        </w:rPr>
        <w:t>dicionalmente</w:t>
      </w:r>
      <w:r w:rsidRPr="004C2FAC">
        <w:rPr>
          <w:rFonts w:cs="Arial"/>
          <w:szCs w:val="24"/>
          <w:lang w:val="es-CO"/>
        </w:rPr>
        <w:t xml:space="preserve">, se tiene en cuenta que el </w:t>
      </w:r>
      <w:r w:rsidRPr="004C2FAC">
        <w:rPr>
          <w:rFonts w:cs="Arial"/>
          <w:szCs w:val="24"/>
          <w:lang w:val="es-ES"/>
        </w:rPr>
        <w:t>artículo 82 del Código Contencioso Administrativo, modificado por el artículo 30 de la Ley 446 de 1998 -vigente para la fecha en que se presentó la demanda- y posteriormente reformado por el artículo 1º de la Ley 1107 de 2006, prescribió que l</w:t>
      </w:r>
      <w:r w:rsidRPr="004C2FAC">
        <w:rPr>
          <w:rFonts w:cs="Arial"/>
          <w:szCs w:val="24"/>
        </w:rPr>
        <w:t xml:space="preserve">a Jurisdicción de lo Contencioso Administrativo estaba instituida para juzgar las controversias y litigios originados en la </w:t>
      </w:r>
      <w:r w:rsidRPr="004C2FAC">
        <w:rPr>
          <w:rFonts w:cs="Arial"/>
          <w:i/>
          <w:szCs w:val="24"/>
        </w:rPr>
        <w:t>actividad de las entidades públicas</w:t>
      </w:r>
      <w:r w:rsidR="00E964C5" w:rsidRPr="004C2FAC">
        <w:rPr>
          <w:rStyle w:val="Refdenotaalpie"/>
          <w:rFonts w:cs="Arial"/>
          <w:i/>
          <w:szCs w:val="24"/>
        </w:rPr>
        <w:footnoteReference w:id="18"/>
      </w:r>
      <w:r w:rsidR="00E964C5" w:rsidRPr="004C2FAC">
        <w:rPr>
          <w:rFonts w:cs="Arial"/>
          <w:i/>
          <w:szCs w:val="24"/>
        </w:rPr>
        <w:t>.</w:t>
      </w:r>
      <w:r w:rsidR="00E964C5" w:rsidRPr="004C2FAC">
        <w:rPr>
          <w:rFonts w:cs="Arial"/>
          <w:b/>
          <w:bCs/>
        </w:rPr>
        <w:t xml:space="preserve"> </w:t>
      </w:r>
    </w:p>
    <w:p w:rsidR="002D40B7" w:rsidRPr="004C2FAC" w:rsidRDefault="002D40B7" w:rsidP="00F76C10">
      <w:pPr>
        <w:rPr>
          <w:rFonts w:cs="Arial"/>
        </w:rPr>
      </w:pPr>
    </w:p>
    <w:p w:rsidR="00F76C10" w:rsidRPr="004C2FAC" w:rsidRDefault="00F76C10" w:rsidP="00F76C10">
      <w:r w:rsidRPr="004C2FAC">
        <w:t>Como conclusión, con fundamento en el criterio orgánico que se adoptó en la Ley 80 de 1993</w:t>
      </w:r>
      <w:r w:rsidRPr="004C2FAC">
        <w:rPr>
          <w:rStyle w:val="Refdenotaalpie"/>
        </w:rPr>
        <w:footnoteReference w:id="19"/>
      </w:r>
      <w:r w:rsidRPr="004C2FAC">
        <w:t>, en concordancia con el artículo 82 del Código Contencioso Administrativo</w:t>
      </w:r>
      <w:r w:rsidRPr="004C2FAC">
        <w:rPr>
          <w:rStyle w:val="Refdenotaalpie"/>
        </w:rPr>
        <w:footnoteReference w:id="20"/>
      </w:r>
      <w:r w:rsidRPr="004C2FAC">
        <w:t xml:space="preserve">; </w:t>
      </w:r>
      <w:r w:rsidR="00B111F3" w:rsidRPr="004C2FAC">
        <w:t xml:space="preserve">dado que </w:t>
      </w:r>
      <w:r w:rsidRPr="004C2FAC">
        <w:t>en este caso</w:t>
      </w:r>
      <w:r w:rsidR="0099012B" w:rsidRPr="004C2FAC">
        <w:t>,</w:t>
      </w:r>
      <w:r w:rsidRPr="004C2FAC">
        <w:t xml:space="preserve"> una de las partes de los contratos </w:t>
      </w:r>
      <w:r w:rsidRPr="004C2FAC">
        <w:rPr>
          <w:i/>
        </w:rPr>
        <w:t xml:space="preserve">sub judice </w:t>
      </w:r>
      <w:r w:rsidR="0099012B" w:rsidRPr="004C2FAC">
        <w:rPr>
          <w:i/>
        </w:rPr>
        <w:t xml:space="preserve">es </w:t>
      </w:r>
      <w:r w:rsidRPr="004C2FAC">
        <w:t>una entidad estatal, se confirma la competencia de la Jurisdicción de lo Contencioso Administrativo para conocer del presente litigio.</w:t>
      </w:r>
    </w:p>
    <w:p w:rsidR="00F76C10" w:rsidRPr="004C2FAC" w:rsidRDefault="00F76C10" w:rsidP="00F76C10">
      <w:pPr>
        <w:rPr>
          <w:rFonts w:cs="Arial"/>
        </w:rPr>
      </w:pPr>
    </w:p>
    <w:p w:rsidR="00C874B4" w:rsidRPr="004C2FAC" w:rsidRDefault="00483B19" w:rsidP="00F76C10">
      <w:pPr>
        <w:rPr>
          <w:rFonts w:cs="Arial"/>
          <w:b/>
          <w:color w:val="000000"/>
        </w:rPr>
      </w:pPr>
      <w:r w:rsidRPr="004C2FAC">
        <w:rPr>
          <w:rFonts w:cs="Arial"/>
          <w:b/>
          <w:color w:val="000000"/>
        </w:rPr>
        <w:t xml:space="preserve">1.2. </w:t>
      </w:r>
      <w:r w:rsidR="00B15F13" w:rsidRPr="004C2FAC">
        <w:rPr>
          <w:rFonts w:cs="Arial"/>
          <w:b/>
          <w:color w:val="000000"/>
        </w:rPr>
        <w:t>Competencia por el factor de la c</w:t>
      </w:r>
      <w:r w:rsidR="00C874B4" w:rsidRPr="004C2FAC">
        <w:rPr>
          <w:rFonts w:cs="Arial"/>
          <w:b/>
          <w:color w:val="000000"/>
        </w:rPr>
        <w:t>uantía</w:t>
      </w:r>
      <w:r w:rsidR="00B15F13" w:rsidRPr="004C2FAC">
        <w:rPr>
          <w:rFonts w:cs="Arial"/>
          <w:b/>
          <w:color w:val="000000"/>
        </w:rPr>
        <w:t xml:space="preserve"> del litigio</w:t>
      </w:r>
    </w:p>
    <w:p w:rsidR="00D979C9" w:rsidRPr="004C2FAC" w:rsidRDefault="00D979C9" w:rsidP="00F76C10">
      <w:pPr>
        <w:rPr>
          <w:rFonts w:cs="Arial"/>
          <w:b/>
          <w:color w:val="000000"/>
        </w:rPr>
      </w:pPr>
    </w:p>
    <w:p w:rsidR="002B55EC" w:rsidRPr="004C2FAC" w:rsidRDefault="002B55EC" w:rsidP="00F76C10">
      <w:pPr>
        <w:tabs>
          <w:tab w:val="left" w:pos="142"/>
        </w:tabs>
      </w:pPr>
      <w:r w:rsidRPr="004C2FAC">
        <w:t xml:space="preserve">Precisa la Sala que le asiste competencia para conocer del presente proceso en segunda instancia, toda vez que la pretensión mayor se estimó por valor de $1.916’346.250, </w:t>
      </w:r>
      <w:r w:rsidR="00D979C9" w:rsidRPr="004C2FAC">
        <w:t xml:space="preserve">el </w:t>
      </w:r>
      <w:r w:rsidRPr="004C2FAC">
        <w:t>cual era superior a la suma equivalente a 500 S.M.L.M.V. ($179’000.000)</w:t>
      </w:r>
      <w:r w:rsidRPr="004C2FAC">
        <w:rPr>
          <w:rStyle w:val="Refdenotaalpie"/>
        </w:rPr>
        <w:footnoteReference w:id="21"/>
      </w:r>
      <w:r w:rsidRPr="004C2FAC">
        <w:t xml:space="preserve">, exigida en vigencia de la Ley </w:t>
      </w:r>
      <w:r w:rsidR="00D979C9" w:rsidRPr="004C2FAC">
        <w:t>1450 de 2011</w:t>
      </w:r>
      <w:r w:rsidRPr="004C2FAC">
        <w:t>, para que un proceso contractual tuviera vocación de doble instancia.</w:t>
      </w:r>
    </w:p>
    <w:p w:rsidR="00205871" w:rsidRPr="004C2FAC" w:rsidRDefault="00483B19" w:rsidP="00E964C5">
      <w:pPr>
        <w:rPr>
          <w:rFonts w:cs="Arial"/>
          <w:b/>
        </w:rPr>
      </w:pPr>
      <w:r w:rsidRPr="004C2FAC">
        <w:rPr>
          <w:rFonts w:cs="Arial"/>
          <w:b/>
        </w:rPr>
        <w:t>2</w:t>
      </w:r>
      <w:r w:rsidR="00177B46" w:rsidRPr="004C2FAC">
        <w:rPr>
          <w:rFonts w:cs="Arial"/>
          <w:b/>
        </w:rPr>
        <w:t xml:space="preserve">. </w:t>
      </w:r>
      <w:r w:rsidR="00822904" w:rsidRPr="004C2FAC">
        <w:rPr>
          <w:rFonts w:cs="Arial"/>
          <w:b/>
        </w:rPr>
        <w:t>Oportunidad en la presentación de la demanda</w:t>
      </w:r>
      <w:r w:rsidR="00205871" w:rsidRPr="004C2FAC">
        <w:rPr>
          <w:rFonts w:cs="Arial"/>
          <w:b/>
        </w:rPr>
        <w:t xml:space="preserve"> </w:t>
      </w:r>
    </w:p>
    <w:p w:rsidR="00236D03" w:rsidRPr="004C2FAC" w:rsidRDefault="00236D03" w:rsidP="00E964C5">
      <w:pPr>
        <w:rPr>
          <w:rFonts w:cs="Arial"/>
          <w:b/>
        </w:rPr>
      </w:pPr>
    </w:p>
    <w:p w:rsidR="0065188E" w:rsidRPr="004C2FAC" w:rsidRDefault="00205325" w:rsidP="00E964C5">
      <w:pPr>
        <w:ind w:right="-284"/>
        <w:rPr>
          <w:rFonts w:cs="Arial"/>
          <w:b/>
          <w:bCs/>
          <w:color w:val="000000"/>
          <w:shd w:val="clear" w:color="auto" w:fill="FFFFFF"/>
        </w:rPr>
      </w:pPr>
      <w:r w:rsidRPr="004C2FAC">
        <w:rPr>
          <w:rFonts w:cs="Arial"/>
          <w:b/>
          <w:bCs/>
          <w:color w:val="000000"/>
          <w:shd w:val="clear" w:color="auto" w:fill="FFFFFF"/>
        </w:rPr>
        <w:t xml:space="preserve">2.1. </w:t>
      </w:r>
      <w:r w:rsidR="0065188E" w:rsidRPr="004C2FAC">
        <w:rPr>
          <w:rFonts w:cs="Arial"/>
          <w:b/>
          <w:bCs/>
          <w:color w:val="000000"/>
          <w:shd w:val="clear" w:color="auto" w:fill="FFFFFF"/>
        </w:rPr>
        <w:t xml:space="preserve">Reiteración de </w:t>
      </w:r>
      <w:r w:rsidR="00377F29" w:rsidRPr="004C2FAC">
        <w:rPr>
          <w:rFonts w:cs="Arial"/>
          <w:b/>
          <w:bCs/>
          <w:color w:val="000000"/>
          <w:shd w:val="clear" w:color="auto" w:fill="FFFFFF"/>
        </w:rPr>
        <w:t xml:space="preserve">la </w:t>
      </w:r>
      <w:r w:rsidR="0065188E" w:rsidRPr="004C2FAC">
        <w:rPr>
          <w:rFonts w:cs="Arial"/>
          <w:b/>
          <w:bCs/>
          <w:color w:val="000000"/>
          <w:shd w:val="clear" w:color="auto" w:fill="FFFFFF"/>
        </w:rPr>
        <w:t>jurisprudencia sobre el artículo 55 de la Ley 80 de 1993</w:t>
      </w:r>
    </w:p>
    <w:p w:rsidR="00E964C5" w:rsidRPr="004C2FAC" w:rsidRDefault="00E964C5" w:rsidP="00E964C5">
      <w:pPr>
        <w:rPr>
          <w:rFonts w:cs="Arial"/>
        </w:rPr>
      </w:pPr>
    </w:p>
    <w:p w:rsidR="00630122" w:rsidRPr="004C2FAC" w:rsidRDefault="00630122" w:rsidP="00E964C5">
      <w:pPr>
        <w:rPr>
          <w:rFonts w:cs="Arial"/>
        </w:rPr>
      </w:pPr>
      <w:r w:rsidRPr="004C2FAC">
        <w:rPr>
          <w:rFonts w:cs="Arial"/>
        </w:rPr>
        <w:t>En este proceso resulta necesario establecer el alcance de los artículos 52 y 55  de la Ley 80 de 1993 que el Ministerio de Agricultura y Desarrollo Rural invocó como aplicables</w:t>
      </w:r>
      <w:r w:rsidR="00822904" w:rsidRPr="004C2FAC">
        <w:rPr>
          <w:rFonts w:cs="Arial"/>
        </w:rPr>
        <w:t xml:space="preserve"> para definir la no </w:t>
      </w:r>
      <w:r w:rsidR="002A1C25" w:rsidRPr="004C2FAC">
        <w:rPr>
          <w:rFonts w:cs="Arial"/>
        </w:rPr>
        <w:t xml:space="preserve">ocurrencia </w:t>
      </w:r>
      <w:r w:rsidR="00822904" w:rsidRPr="004C2FAC">
        <w:rPr>
          <w:rFonts w:cs="Arial"/>
        </w:rPr>
        <w:t xml:space="preserve">de la caducidad de la  acción. En dichas normas </w:t>
      </w:r>
      <w:r w:rsidRPr="004C2FAC">
        <w:rPr>
          <w:rFonts w:cs="Arial"/>
        </w:rPr>
        <w:t>se dispuso:</w:t>
      </w:r>
    </w:p>
    <w:p w:rsidR="00630122" w:rsidRPr="004C2FAC" w:rsidRDefault="00630122" w:rsidP="00630122">
      <w:pPr>
        <w:rPr>
          <w:rFonts w:cs="Arial"/>
        </w:rPr>
      </w:pPr>
    </w:p>
    <w:p w:rsidR="00630122" w:rsidRPr="004C2FAC" w:rsidRDefault="00630122" w:rsidP="00630122">
      <w:pPr>
        <w:spacing w:line="276" w:lineRule="auto"/>
        <w:ind w:left="567" w:right="567"/>
        <w:rPr>
          <w:rFonts w:cs="Arial"/>
          <w:b/>
          <w:i/>
          <w:sz w:val="22"/>
          <w:szCs w:val="22"/>
        </w:rPr>
      </w:pPr>
      <w:r w:rsidRPr="004C2FAC">
        <w:rPr>
          <w:rFonts w:cs="Arial"/>
          <w:bCs/>
          <w:color w:val="000000"/>
          <w:sz w:val="22"/>
          <w:szCs w:val="22"/>
          <w:shd w:val="clear" w:color="auto" w:fill="FFFFFF"/>
        </w:rPr>
        <w:t>“</w:t>
      </w:r>
      <w:r w:rsidRPr="004C2FAC">
        <w:rPr>
          <w:rFonts w:cs="Arial"/>
          <w:bCs/>
          <w:i/>
          <w:color w:val="000000"/>
          <w:sz w:val="22"/>
          <w:szCs w:val="22"/>
          <w:shd w:val="clear" w:color="auto" w:fill="FFFFFF"/>
        </w:rPr>
        <w:t>Artículo 52º.-</w:t>
      </w:r>
      <w:r w:rsidRPr="004C2FAC">
        <w:rPr>
          <w:rFonts w:cs="Arial"/>
          <w:b/>
          <w:bCs/>
          <w:i/>
          <w:color w:val="000000"/>
          <w:sz w:val="22"/>
          <w:szCs w:val="22"/>
          <w:shd w:val="clear" w:color="auto" w:fill="FFFFFF"/>
        </w:rPr>
        <w:t> </w:t>
      </w:r>
      <w:r w:rsidRPr="004C2FAC">
        <w:rPr>
          <w:rFonts w:cs="Arial"/>
          <w:i/>
          <w:iCs/>
          <w:color w:val="000000"/>
          <w:sz w:val="22"/>
          <w:szCs w:val="22"/>
          <w:shd w:val="clear" w:color="auto" w:fill="FFFFFF"/>
        </w:rPr>
        <w:t>De la Responsabilidad de los Contratistas</w:t>
      </w:r>
      <w:r w:rsidRPr="004C2FAC">
        <w:rPr>
          <w:rFonts w:cs="Arial"/>
          <w:i/>
          <w:color w:val="000000"/>
          <w:sz w:val="22"/>
          <w:szCs w:val="22"/>
          <w:shd w:val="clear" w:color="auto" w:fill="FFFFFF"/>
        </w:rPr>
        <w:t> Los contratistas responderán civil y penalmente por sus acciones y omisiones en la actuación contractual en los términos de la ley. Los consorcios y uniones temporales responderán por las acciones y omisiones de sus integrantes, en los términos del artículo 7o. de esta Ley”.</w:t>
      </w:r>
    </w:p>
    <w:p w:rsidR="00630122" w:rsidRPr="004C2FAC" w:rsidRDefault="00630122" w:rsidP="00630122">
      <w:pPr>
        <w:spacing w:line="276" w:lineRule="auto"/>
        <w:ind w:left="567" w:right="567"/>
        <w:rPr>
          <w:rFonts w:cs="Arial"/>
          <w:b/>
          <w:i/>
          <w:sz w:val="22"/>
          <w:szCs w:val="22"/>
        </w:rPr>
      </w:pPr>
    </w:p>
    <w:p w:rsidR="00630122" w:rsidRPr="004C2FAC" w:rsidRDefault="00630122" w:rsidP="00630122">
      <w:pPr>
        <w:spacing w:line="276" w:lineRule="auto"/>
        <w:ind w:left="567" w:right="567"/>
        <w:rPr>
          <w:rFonts w:cs="Arial"/>
          <w:b/>
          <w:i/>
          <w:sz w:val="22"/>
          <w:szCs w:val="22"/>
        </w:rPr>
      </w:pPr>
      <w:r w:rsidRPr="004C2FAC">
        <w:rPr>
          <w:rFonts w:cs="Arial"/>
          <w:bCs/>
          <w:i/>
          <w:color w:val="000000"/>
          <w:sz w:val="22"/>
          <w:szCs w:val="22"/>
          <w:shd w:val="clear" w:color="auto" w:fill="FFFFFF"/>
        </w:rPr>
        <w:t>“Artículo 55.-</w:t>
      </w:r>
      <w:r w:rsidRPr="004C2FAC">
        <w:rPr>
          <w:rFonts w:cs="Arial"/>
          <w:b/>
          <w:bCs/>
          <w:i/>
          <w:color w:val="000000"/>
          <w:sz w:val="22"/>
          <w:szCs w:val="22"/>
          <w:shd w:val="clear" w:color="auto" w:fill="FFFFFF"/>
        </w:rPr>
        <w:t> </w:t>
      </w:r>
      <w:r w:rsidRPr="004C2FAC">
        <w:rPr>
          <w:rFonts w:cs="Arial"/>
          <w:i/>
          <w:iCs/>
          <w:color w:val="000000"/>
          <w:sz w:val="22"/>
          <w:szCs w:val="22"/>
          <w:shd w:val="clear" w:color="auto" w:fill="FFFFFF"/>
        </w:rPr>
        <w:t>De la Prescripción de las Acciones de Responsabilidad Contractual</w:t>
      </w:r>
      <w:r w:rsidRPr="004C2FAC">
        <w:rPr>
          <w:rFonts w:cs="Arial"/>
          <w:i/>
          <w:color w:val="000000"/>
          <w:sz w:val="22"/>
          <w:szCs w:val="22"/>
          <w:shd w:val="clear" w:color="auto" w:fill="FFFFFF"/>
        </w:rPr>
        <w:t> La acción civil derivada de las acciones y omisiones a que se refieren los artículos 50, 51, 52 y 53 de esta ley prescribirá en el término de veinte (20) años, contados a partir de la ocurrencia de los mismos. La acción disciplinaria prescribirá en diez (10) años. La acción penal prescribirá en veinte (20) años”.</w:t>
      </w:r>
      <w:r w:rsidRPr="004C2FAC">
        <w:rPr>
          <w:rFonts w:cs="Arial"/>
          <w:b/>
          <w:i/>
          <w:sz w:val="22"/>
          <w:szCs w:val="22"/>
        </w:rPr>
        <w:t xml:space="preserve"> </w:t>
      </w:r>
    </w:p>
    <w:p w:rsidR="008229AE" w:rsidRPr="004C2FAC" w:rsidRDefault="008229AE" w:rsidP="00B82FF8">
      <w:pPr>
        <w:rPr>
          <w:rFonts w:cs="Arial"/>
          <w:bCs/>
          <w:color w:val="000000"/>
          <w:shd w:val="clear" w:color="auto" w:fill="FFFFFF"/>
        </w:rPr>
      </w:pPr>
    </w:p>
    <w:p w:rsidR="00B82FF8" w:rsidRPr="004C2FAC" w:rsidRDefault="00B82FF8" w:rsidP="00B82FF8">
      <w:pPr>
        <w:rPr>
          <w:rFonts w:cs="Arial"/>
          <w:bCs/>
          <w:color w:val="000000"/>
          <w:shd w:val="clear" w:color="auto" w:fill="FFFFFF"/>
        </w:rPr>
      </w:pPr>
      <w:r w:rsidRPr="004C2FAC">
        <w:rPr>
          <w:rFonts w:cs="Arial"/>
          <w:bCs/>
          <w:color w:val="000000"/>
          <w:shd w:val="clear" w:color="auto" w:fill="FFFFFF"/>
        </w:rPr>
        <w:t>Por su pertinencia para el caso en cuestión, la Sala acoge y reitera la jurisprudencia que se consolidó en la Sección Tercera del Consejo de Estado, precisamente en un caso particular relacionado con los contratos celebrados por el IDEMA, según consta en la sentencia de marzo 21 de 2007 (expediente 29102)</w:t>
      </w:r>
      <w:r w:rsidRPr="004C2FAC">
        <w:rPr>
          <w:rStyle w:val="Refdenotaalpie"/>
          <w:rFonts w:cs="Arial"/>
          <w:bCs/>
          <w:color w:val="000000"/>
          <w:shd w:val="clear" w:color="auto" w:fill="FFFFFF"/>
        </w:rPr>
        <w:footnoteReference w:id="22"/>
      </w:r>
      <w:r w:rsidRPr="004C2FAC">
        <w:rPr>
          <w:rFonts w:cs="Arial"/>
          <w:bCs/>
          <w:color w:val="000000"/>
          <w:shd w:val="clear" w:color="auto" w:fill="FFFFFF"/>
        </w:rPr>
        <w:t>, providencia en la que se reconoció el término de 20 años para instaurar la acción</w:t>
      </w:r>
      <w:r w:rsidR="00C65AFB" w:rsidRPr="004C2FAC">
        <w:rPr>
          <w:rFonts w:cs="Arial"/>
          <w:bCs/>
          <w:color w:val="000000"/>
          <w:shd w:val="clear" w:color="auto" w:fill="FFFFFF"/>
        </w:rPr>
        <w:t>,</w:t>
      </w:r>
      <w:r w:rsidRPr="004C2FAC">
        <w:rPr>
          <w:rFonts w:cs="Arial"/>
          <w:bCs/>
          <w:color w:val="000000"/>
          <w:shd w:val="clear" w:color="auto" w:fill="FFFFFF"/>
        </w:rPr>
        <w:t xml:space="preserve"> en un proceso que culminó con la declaración de incumplimiento y la consecuente condena al contratista y a la compañía aseguradora garante. </w:t>
      </w:r>
    </w:p>
    <w:p w:rsidR="00B82FF8" w:rsidRPr="004C2FAC" w:rsidRDefault="00B82FF8" w:rsidP="00B82FF8">
      <w:pPr>
        <w:rPr>
          <w:rFonts w:cs="Arial"/>
          <w:bCs/>
          <w:color w:val="000000"/>
          <w:shd w:val="clear" w:color="auto" w:fill="FFFFFF"/>
        </w:rPr>
      </w:pPr>
    </w:p>
    <w:p w:rsidR="00B82FF8" w:rsidRPr="004C2FAC" w:rsidRDefault="00B82FF8" w:rsidP="00B82FF8">
      <w:pPr>
        <w:rPr>
          <w:rFonts w:cs="Arial"/>
          <w:bCs/>
          <w:color w:val="000000"/>
          <w:shd w:val="clear" w:color="auto" w:fill="FFFFFF"/>
        </w:rPr>
      </w:pPr>
      <w:r w:rsidRPr="004C2FAC">
        <w:rPr>
          <w:rFonts w:cs="Arial"/>
          <w:bCs/>
          <w:color w:val="000000"/>
          <w:shd w:val="clear" w:color="auto" w:fill="FFFFFF"/>
        </w:rPr>
        <w:t xml:space="preserve">En su oportunidad se dispuso: </w:t>
      </w:r>
    </w:p>
    <w:p w:rsidR="00B82FF8" w:rsidRPr="004C2FAC" w:rsidRDefault="00B82FF8" w:rsidP="00B82FF8">
      <w:pPr>
        <w:rPr>
          <w:rFonts w:cs="Arial"/>
          <w:bCs/>
          <w:color w:val="000000"/>
          <w:shd w:val="clear" w:color="auto" w:fill="FFFFFF"/>
        </w:rPr>
      </w:pPr>
    </w:p>
    <w:p w:rsidR="00B82FF8" w:rsidRPr="004C2FAC" w:rsidRDefault="00B82FF8" w:rsidP="00B82FF8">
      <w:pPr>
        <w:spacing w:line="276" w:lineRule="auto"/>
        <w:ind w:left="567" w:right="902"/>
        <w:rPr>
          <w:sz w:val="22"/>
          <w:szCs w:val="22"/>
          <w:lang w:val="es-CO"/>
        </w:rPr>
      </w:pPr>
      <w:r w:rsidRPr="004C2FAC">
        <w:rPr>
          <w:rFonts w:cs="Arial"/>
          <w:i/>
          <w:sz w:val="22"/>
          <w:szCs w:val="22"/>
          <w:lang w:val="es-CO"/>
        </w:rPr>
        <w:t xml:space="preserve">“Para resolver la excepción, teniendo en cuenta los anteriores datos, resulta pertinente hacer un recuento breve sobre las distintas disposiciones que han regulado el tema de la caducidad de la acción contractual, empezando por el CCA., que entró a regir en 1984 y estableció un término de caducidad de 2 años. Posteriormente, el artículo 55 de la ley 80 de 1993, modificando parcialmente la norma anterior, </w:t>
      </w:r>
      <w:r w:rsidRPr="004C2FAC">
        <w:rPr>
          <w:rFonts w:cs="Arial"/>
          <w:b/>
          <w:i/>
          <w:sz w:val="22"/>
          <w:szCs w:val="22"/>
          <w:lang w:val="es-CO"/>
        </w:rPr>
        <w:t>estableció en 20 años el nuevo término de caducidad</w:t>
      </w:r>
      <w:r w:rsidRPr="004C2FAC">
        <w:rPr>
          <w:rFonts w:cs="Arial"/>
          <w:i/>
          <w:sz w:val="22"/>
          <w:szCs w:val="22"/>
          <w:lang w:val="es-CO"/>
        </w:rPr>
        <w:t>. No obstante, cabe advertir, esta norma hace referencia en su texto a</w:t>
      </w:r>
      <w:r w:rsidRPr="004C2FAC">
        <w:rPr>
          <w:rFonts w:cs="Arial"/>
          <w:i/>
          <w:sz w:val="22"/>
          <w:szCs w:val="22"/>
        </w:rPr>
        <w:t xml:space="preserve"> la “prescripción” de las acciones de responsabilidad contractual, y dispuso que “la acción civil derivada de las acciones y omisiones a que se </w:t>
      </w:r>
      <w:r w:rsidRPr="004C2FAC">
        <w:rPr>
          <w:rFonts w:cs="Arial"/>
          <w:i/>
          <w:sz w:val="22"/>
          <w:szCs w:val="22"/>
        </w:rPr>
        <w:lastRenderedPageBreak/>
        <w:t xml:space="preserve">refieren los artículos 50,51, 52 y 53 de esta ley prescribirá en el término de 20 años, contados a partir de la ocurrencia de los mismos.  La acción disciplinaria prescribirá en 10 años. La acción penal prescribirá en 20 años.” </w:t>
      </w:r>
      <w:r w:rsidRPr="004C2FAC">
        <w:rPr>
          <w:rFonts w:cs="Arial"/>
          <w:i/>
          <w:sz w:val="22"/>
          <w:szCs w:val="22"/>
          <w:lang w:val="es-CO"/>
        </w:rPr>
        <w:t xml:space="preserve">Posteriormente, la ley 446 de julio de 1998, que modificó el artículo 136 del CCA. y la ley 80 de 1993, volvió a modificar el término de caducidad, (art 44. 10). </w:t>
      </w:r>
      <w:r w:rsidRPr="004C2FAC">
        <w:rPr>
          <w:rFonts w:cs="Arial"/>
          <w:i/>
          <w:sz w:val="22"/>
          <w:szCs w:val="22"/>
        </w:rPr>
        <w:t xml:space="preserve">Con esta norma se retornó a la caducidad de 2 años, como regla general, solo que esta disposición regula la forma de computar el tiempo partiendo de las diversas formas como se pueden liquidar los contratos estatales. Acorde con lo anterior, y ratificando lo expresado por el </w:t>
      </w:r>
      <w:r w:rsidRPr="004C2FAC">
        <w:rPr>
          <w:rFonts w:cs="Arial"/>
          <w:i/>
          <w:iCs/>
          <w:sz w:val="22"/>
          <w:szCs w:val="22"/>
        </w:rPr>
        <w:t>a quo</w:t>
      </w:r>
      <w:r w:rsidRPr="004C2FAC">
        <w:rPr>
          <w:rFonts w:cs="Arial"/>
          <w:i/>
          <w:sz w:val="22"/>
          <w:szCs w:val="22"/>
        </w:rPr>
        <w:t>, la disposición aplicable al caso concreto resulta ser el artículo 55 de la ley 80 de 1993, es decir, la norma que estuvo vigente tanto al momento de la celebración de las operaciones de trueque  -15 de septiembre de 1995-  como al momento de la presentación de la demanda  -23 de enero de 1998-.  Por tanto, el término de caducidad de la acción era de 20 años, mas aún cuando para la época en que se presentó la demanda no había entrado en vigencia la ley 446 de 1998</w:t>
      </w:r>
      <w:r w:rsidR="007F00F9" w:rsidRPr="004C2FAC">
        <w:rPr>
          <w:rFonts w:cs="Arial"/>
          <w:i/>
          <w:sz w:val="22"/>
          <w:szCs w:val="22"/>
        </w:rPr>
        <w:t>”</w:t>
      </w:r>
      <w:r w:rsidRPr="004C2FAC">
        <w:rPr>
          <w:sz w:val="22"/>
          <w:szCs w:val="22"/>
          <w:lang w:val="es-CO"/>
        </w:rPr>
        <w:t xml:space="preserve"> </w:t>
      </w:r>
      <w:r w:rsidR="0060000C" w:rsidRPr="004C2FAC">
        <w:rPr>
          <w:sz w:val="22"/>
          <w:szCs w:val="22"/>
          <w:lang w:val="es-CO"/>
        </w:rPr>
        <w:t xml:space="preserve">(la negrilla no es del texto). </w:t>
      </w:r>
    </w:p>
    <w:p w:rsidR="00B82FF8" w:rsidRPr="004C2FAC" w:rsidRDefault="00B82FF8" w:rsidP="00B82FF8">
      <w:pPr>
        <w:rPr>
          <w:rFonts w:cs="Arial"/>
          <w:bCs/>
          <w:color w:val="000000"/>
          <w:shd w:val="clear" w:color="auto" w:fill="FFFFFF"/>
        </w:rPr>
      </w:pPr>
    </w:p>
    <w:p w:rsidR="0065188E" w:rsidRPr="004C2FAC" w:rsidRDefault="007F00F9" w:rsidP="00F76C10">
      <w:pPr>
        <w:rPr>
          <w:rFonts w:cs="Arial"/>
          <w:bCs/>
          <w:color w:val="000000"/>
          <w:shd w:val="clear" w:color="auto" w:fill="FFFFFF"/>
        </w:rPr>
      </w:pPr>
      <w:r w:rsidRPr="004C2FAC">
        <w:rPr>
          <w:rFonts w:cs="Arial"/>
          <w:bCs/>
          <w:color w:val="000000"/>
          <w:shd w:val="clear" w:color="auto" w:fill="FFFFFF"/>
        </w:rPr>
        <w:t>No sobra advertir que l</w:t>
      </w:r>
      <w:r w:rsidR="0065188E" w:rsidRPr="004C2FAC">
        <w:rPr>
          <w:rFonts w:cs="Arial"/>
          <w:bCs/>
          <w:color w:val="000000"/>
          <w:shd w:val="clear" w:color="auto" w:fill="FFFFFF"/>
        </w:rPr>
        <w:t xml:space="preserve">a interpretación jurisprudencial </w:t>
      </w:r>
      <w:r w:rsidR="008229AE" w:rsidRPr="004C2FAC">
        <w:rPr>
          <w:rFonts w:cs="Arial"/>
          <w:bCs/>
          <w:color w:val="000000"/>
          <w:shd w:val="clear" w:color="auto" w:fill="FFFFFF"/>
        </w:rPr>
        <w:t xml:space="preserve">citada </w:t>
      </w:r>
      <w:r w:rsidRPr="004C2FAC">
        <w:rPr>
          <w:rFonts w:cs="Arial"/>
          <w:bCs/>
          <w:color w:val="000000"/>
          <w:shd w:val="clear" w:color="auto" w:fill="FFFFFF"/>
        </w:rPr>
        <w:t xml:space="preserve">se correspondió con </w:t>
      </w:r>
      <w:r w:rsidR="0065188E" w:rsidRPr="004C2FAC">
        <w:rPr>
          <w:rFonts w:cs="Arial"/>
          <w:bCs/>
          <w:color w:val="000000"/>
          <w:shd w:val="clear" w:color="auto" w:fill="FFFFFF"/>
        </w:rPr>
        <w:t xml:space="preserve">la </w:t>
      </w:r>
      <w:r w:rsidRPr="004C2FAC">
        <w:rPr>
          <w:rFonts w:cs="Arial"/>
          <w:bCs/>
          <w:color w:val="000000"/>
          <w:shd w:val="clear" w:color="auto" w:fill="FFFFFF"/>
        </w:rPr>
        <w:t xml:space="preserve">que expresó la </w:t>
      </w:r>
      <w:r w:rsidR="0065188E" w:rsidRPr="004C2FAC">
        <w:rPr>
          <w:rFonts w:cs="Arial"/>
          <w:bCs/>
          <w:color w:val="000000"/>
          <w:shd w:val="clear" w:color="auto" w:fill="FFFFFF"/>
        </w:rPr>
        <w:t xml:space="preserve">Sala Plena </w:t>
      </w:r>
      <w:r w:rsidR="00205325" w:rsidRPr="004C2FAC">
        <w:rPr>
          <w:rFonts w:cs="Arial"/>
          <w:bCs/>
          <w:color w:val="000000"/>
          <w:shd w:val="clear" w:color="auto" w:fill="FFFFFF"/>
        </w:rPr>
        <w:t xml:space="preserve">del Consejo de Estado, </w:t>
      </w:r>
      <w:r w:rsidR="00822904" w:rsidRPr="004C2FAC">
        <w:rPr>
          <w:rFonts w:cs="Arial"/>
          <w:bCs/>
          <w:color w:val="000000"/>
          <w:shd w:val="clear" w:color="auto" w:fill="FFFFFF"/>
        </w:rPr>
        <w:t xml:space="preserve">con ocasión de la </w:t>
      </w:r>
      <w:r w:rsidR="00111DF5" w:rsidRPr="004C2FAC">
        <w:rPr>
          <w:rFonts w:cs="Arial"/>
          <w:bCs/>
          <w:color w:val="000000"/>
          <w:shd w:val="clear" w:color="auto" w:fill="FFFFFF"/>
        </w:rPr>
        <w:t xml:space="preserve">incorporación de la </w:t>
      </w:r>
      <w:r w:rsidR="0065188E" w:rsidRPr="004C2FAC">
        <w:rPr>
          <w:rFonts w:cs="Arial"/>
          <w:bCs/>
          <w:color w:val="000000"/>
          <w:shd w:val="clear" w:color="auto" w:fill="FFFFFF"/>
        </w:rPr>
        <w:t xml:space="preserve">figura jurídica de la caducidad </w:t>
      </w:r>
      <w:r w:rsidR="002131D3" w:rsidRPr="004C2FAC">
        <w:rPr>
          <w:rFonts w:cs="Arial"/>
          <w:bCs/>
          <w:color w:val="000000"/>
          <w:shd w:val="clear" w:color="auto" w:fill="FFFFFF"/>
        </w:rPr>
        <w:t xml:space="preserve">adoptada en el </w:t>
      </w:r>
      <w:r w:rsidR="0065188E" w:rsidRPr="004C2FAC">
        <w:rPr>
          <w:rFonts w:cs="Arial"/>
          <w:bCs/>
          <w:color w:val="000000"/>
          <w:shd w:val="clear" w:color="auto" w:fill="FFFFFF"/>
        </w:rPr>
        <w:t>Decreto 01 de 1984 (C.C.A.), según se expuso en la sentencia de 9 de marzo de 1998</w:t>
      </w:r>
      <w:r w:rsidR="0065188E" w:rsidRPr="004C2FAC">
        <w:rPr>
          <w:rStyle w:val="Refdenotaalpie"/>
          <w:rFonts w:cs="Arial"/>
          <w:bCs/>
          <w:color w:val="000000"/>
          <w:shd w:val="clear" w:color="auto" w:fill="FFFFFF"/>
        </w:rPr>
        <w:footnoteReference w:id="23"/>
      </w:r>
      <w:r w:rsidR="0065188E" w:rsidRPr="004C2FAC">
        <w:rPr>
          <w:rFonts w:cs="Arial"/>
          <w:bCs/>
          <w:color w:val="000000"/>
          <w:shd w:val="clear" w:color="auto" w:fill="FFFFFF"/>
        </w:rPr>
        <w:t xml:space="preserve">. </w:t>
      </w:r>
    </w:p>
    <w:p w:rsidR="0065188E" w:rsidRPr="004C2FAC" w:rsidRDefault="0065188E" w:rsidP="00F76C10">
      <w:pPr>
        <w:rPr>
          <w:rFonts w:cs="Arial"/>
          <w:bCs/>
          <w:color w:val="000000"/>
          <w:shd w:val="clear" w:color="auto" w:fill="FFFFFF"/>
        </w:rPr>
      </w:pPr>
    </w:p>
    <w:p w:rsidR="0065188E" w:rsidRPr="004C2FAC" w:rsidRDefault="00C65AFB" w:rsidP="00F76C10">
      <w:pPr>
        <w:rPr>
          <w:rFonts w:cs="Arial"/>
          <w:bCs/>
          <w:color w:val="000000"/>
          <w:shd w:val="clear" w:color="auto" w:fill="FFFFFF"/>
        </w:rPr>
      </w:pPr>
      <w:r w:rsidRPr="004C2FAC">
        <w:rPr>
          <w:rFonts w:cs="Arial"/>
          <w:bCs/>
          <w:color w:val="000000"/>
          <w:shd w:val="clear" w:color="auto" w:fill="FFFFFF"/>
        </w:rPr>
        <w:t xml:space="preserve">Igualmente, </w:t>
      </w:r>
      <w:r w:rsidR="0060000C" w:rsidRPr="004C2FAC">
        <w:rPr>
          <w:rFonts w:cs="Arial"/>
          <w:bCs/>
          <w:color w:val="000000"/>
          <w:shd w:val="clear" w:color="auto" w:fill="FFFFFF"/>
        </w:rPr>
        <w:t xml:space="preserve">la jurisprudencia invocada reafirmó </w:t>
      </w:r>
      <w:r w:rsidR="00EB094F" w:rsidRPr="004C2FAC">
        <w:rPr>
          <w:rFonts w:cs="Arial"/>
          <w:bCs/>
          <w:color w:val="000000"/>
          <w:shd w:val="clear" w:color="auto" w:fill="FFFFFF"/>
        </w:rPr>
        <w:t xml:space="preserve">la </w:t>
      </w:r>
      <w:r w:rsidR="0065188E" w:rsidRPr="004C2FAC">
        <w:rPr>
          <w:rFonts w:cs="Arial"/>
          <w:bCs/>
          <w:color w:val="000000"/>
          <w:shd w:val="clear" w:color="auto" w:fill="FFFFFF"/>
        </w:rPr>
        <w:t>interpretación reiter</w:t>
      </w:r>
      <w:r w:rsidR="00EB094F" w:rsidRPr="004C2FAC">
        <w:rPr>
          <w:rFonts w:cs="Arial"/>
          <w:bCs/>
          <w:color w:val="000000"/>
          <w:shd w:val="clear" w:color="auto" w:fill="FFFFFF"/>
        </w:rPr>
        <w:t xml:space="preserve">ada de </w:t>
      </w:r>
      <w:r w:rsidR="0065188E" w:rsidRPr="004C2FAC">
        <w:rPr>
          <w:rFonts w:cs="Arial"/>
          <w:bCs/>
          <w:color w:val="000000"/>
          <w:shd w:val="clear" w:color="auto" w:fill="FFFFFF"/>
        </w:rPr>
        <w:t xml:space="preserve">la Sección Tercera del Consejo de Estado, </w:t>
      </w:r>
      <w:r w:rsidR="00204934" w:rsidRPr="004C2FAC">
        <w:rPr>
          <w:rFonts w:cs="Arial"/>
          <w:bCs/>
          <w:color w:val="000000"/>
          <w:shd w:val="clear" w:color="auto" w:fill="FFFFFF"/>
        </w:rPr>
        <w:t xml:space="preserve">la cual </w:t>
      </w:r>
      <w:r w:rsidR="0065188E" w:rsidRPr="004C2FAC">
        <w:rPr>
          <w:rFonts w:cs="Arial"/>
          <w:bCs/>
          <w:color w:val="000000"/>
          <w:shd w:val="clear" w:color="auto" w:fill="FFFFFF"/>
        </w:rPr>
        <w:t>en</w:t>
      </w:r>
      <w:r w:rsidR="00EB094F" w:rsidRPr="004C2FAC">
        <w:rPr>
          <w:rFonts w:cs="Arial"/>
          <w:bCs/>
          <w:color w:val="000000"/>
          <w:shd w:val="clear" w:color="auto" w:fill="FFFFFF"/>
        </w:rPr>
        <w:t xml:space="preserve">tendió como aplicable el término de 20 años </w:t>
      </w:r>
      <w:r w:rsidR="00377F29" w:rsidRPr="004C2FAC">
        <w:rPr>
          <w:rFonts w:cs="Arial"/>
          <w:bCs/>
          <w:color w:val="000000"/>
          <w:shd w:val="clear" w:color="auto" w:fill="FFFFFF"/>
        </w:rPr>
        <w:t>para</w:t>
      </w:r>
      <w:r w:rsidR="00EB094F" w:rsidRPr="004C2FAC">
        <w:rPr>
          <w:rFonts w:cs="Arial"/>
          <w:bCs/>
          <w:color w:val="000000"/>
          <w:shd w:val="clear" w:color="auto" w:fill="FFFFFF"/>
        </w:rPr>
        <w:t xml:space="preserve"> las acciones relacionadas con el incumplimiento del contrato, tal </w:t>
      </w:r>
      <w:r w:rsidR="00EB094F" w:rsidRPr="004C2FAC">
        <w:rPr>
          <w:rFonts w:cs="Arial"/>
          <w:bCs/>
          <w:color w:val="000000"/>
          <w:shd w:val="clear" w:color="auto" w:fill="FFFFFF"/>
        </w:rPr>
        <w:lastRenderedPageBreak/>
        <w:t xml:space="preserve">como se expuso en </w:t>
      </w:r>
      <w:r w:rsidR="0065188E" w:rsidRPr="004C2FAC">
        <w:rPr>
          <w:rFonts w:cs="Arial"/>
          <w:bCs/>
          <w:color w:val="000000"/>
          <w:shd w:val="clear" w:color="auto" w:fill="FFFFFF"/>
        </w:rPr>
        <w:t>varias providencias</w:t>
      </w:r>
      <w:r w:rsidR="00156FAE" w:rsidRPr="004C2FAC">
        <w:rPr>
          <w:rFonts w:cs="Arial"/>
          <w:bCs/>
          <w:color w:val="000000"/>
          <w:shd w:val="clear" w:color="auto" w:fill="FFFFFF"/>
        </w:rPr>
        <w:t>,</w:t>
      </w:r>
      <w:r w:rsidR="0065188E" w:rsidRPr="004C2FAC">
        <w:rPr>
          <w:rFonts w:cs="Arial"/>
          <w:bCs/>
          <w:color w:val="000000"/>
          <w:shd w:val="clear" w:color="auto" w:fill="FFFFFF"/>
        </w:rPr>
        <w:t xml:space="preserve"> expedidas con anterioridad a la demanda en este proceso, como </w:t>
      </w:r>
      <w:r w:rsidR="00822904" w:rsidRPr="004C2FAC">
        <w:rPr>
          <w:rFonts w:cs="Arial"/>
          <w:bCs/>
          <w:color w:val="000000"/>
          <w:shd w:val="clear" w:color="auto" w:fill="FFFFFF"/>
        </w:rPr>
        <w:t xml:space="preserve">fueron </w:t>
      </w:r>
      <w:r w:rsidR="0065188E" w:rsidRPr="004C2FAC">
        <w:rPr>
          <w:rFonts w:cs="Arial"/>
          <w:bCs/>
          <w:color w:val="000000"/>
          <w:shd w:val="clear" w:color="auto" w:fill="FFFFFF"/>
        </w:rPr>
        <w:t>las contenidas en el auto de 9 de marzo de 2000</w:t>
      </w:r>
      <w:r w:rsidR="0065188E" w:rsidRPr="004C2FAC">
        <w:rPr>
          <w:rStyle w:val="Refdenotaalpie"/>
          <w:rFonts w:cs="Arial"/>
          <w:bCs/>
          <w:color w:val="000000"/>
          <w:shd w:val="clear" w:color="auto" w:fill="FFFFFF"/>
        </w:rPr>
        <w:footnoteReference w:id="24"/>
      </w:r>
      <w:r w:rsidR="0065188E" w:rsidRPr="004C2FAC">
        <w:rPr>
          <w:rFonts w:cs="Arial"/>
          <w:bCs/>
          <w:color w:val="000000"/>
          <w:shd w:val="clear" w:color="auto" w:fill="FFFFFF"/>
        </w:rPr>
        <w:t xml:space="preserve"> febrero 14 de 2002</w:t>
      </w:r>
      <w:r w:rsidR="0065188E" w:rsidRPr="004C2FAC">
        <w:rPr>
          <w:rStyle w:val="Refdenotaalpie"/>
          <w:rFonts w:cs="Arial"/>
          <w:bCs/>
          <w:color w:val="000000"/>
          <w:shd w:val="clear" w:color="auto" w:fill="FFFFFF"/>
        </w:rPr>
        <w:footnoteReference w:id="25"/>
      </w:r>
      <w:r w:rsidR="0065188E" w:rsidRPr="004C2FAC">
        <w:rPr>
          <w:rFonts w:cs="Arial"/>
          <w:bCs/>
          <w:color w:val="000000"/>
          <w:shd w:val="clear" w:color="auto" w:fill="FFFFFF"/>
        </w:rPr>
        <w:t xml:space="preserve"> y enero 23 de 2003</w:t>
      </w:r>
      <w:r w:rsidR="0065188E" w:rsidRPr="004C2FAC">
        <w:rPr>
          <w:rStyle w:val="Refdenotaalpie"/>
          <w:rFonts w:cs="Arial"/>
          <w:bCs/>
          <w:color w:val="000000"/>
          <w:shd w:val="clear" w:color="auto" w:fill="FFFFFF"/>
        </w:rPr>
        <w:footnoteReference w:id="26"/>
      </w:r>
      <w:r w:rsidR="0065188E" w:rsidRPr="004C2FAC">
        <w:rPr>
          <w:rFonts w:cs="Arial"/>
          <w:bCs/>
          <w:color w:val="000000"/>
          <w:shd w:val="clear" w:color="auto" w:fill="FFFFFF"/>
        </w:rPr>
        <w:t>.</w:t>
      </w:r>
    </w:p>
    <w:p w:rsidR="0065188E" w:rsidRPr="004C2FAC" w:rsidRDefault="0065188E" w:rsidP="00F76C10">
      <w:pPr>
        <w:rPr>
          <w:rFonts w:cs="Arial"/>
          <w:bCs/>
          <w:color w:val="000000"/>
          <w:shd w:val="clear" w:color="auto" w:fill="FFFFFF"/>
        </w:rPr>
      </w:pPr>
    </w:p>
    <w:p w:rsidR="00FE4A7E" w:rsidRPr="004C2FAC" w:rsidRDefault="00204934" w:rsidP="00F76C10">
      <w:pPr>
        <w:rPr>
          <w:rFonts w:cs="Arial"/>
          <w:bCs/>
          <w:color w:val="000000"/>
          <w:shd w:val="clear" w:color="auto" w:fill="FFFFFF"/>
        </w:rPr>
      </w:pPr>
      <w:r w:rsidRPr="004C2FAC">
        <w:rPr>
          <w:rFonts w:cs="Arial"/>
          <w:bCs/>
          <w:color w:val="000000"/>
          <w:shd w:val="clear" w:color="auto" w:fill="FFFFFF"/>
        </w:rPr>
        <w:t>Además</w:t>
      </w:r>
      <w:r w:rsidR="00146162" w:rsidRPr="004C2FAC">
        <w:rPr>
          <w:rFonts w:cs="Arial"/>
          <w:bCs/>
          <w:color w:val="000000"/>
          <w:shd w:val="clear" w:color="auto" w:fill="FFFFFF"/>
        </w:rPr>
        <w:t>,</w:t>
      </w:r>
      <w:r w:rsidRPr="004C2FAC">
        <w:rPr>
          <w:rFonts w:cs="Arial"/>
          <w:bCs/>
          <w:color w:val="000000"/>
          <w:shd w:val="clear" w:color="auto" w:fill="FFFFFF"/>
        </w:rPr>
        <w:t xml:space="preserve"> en el caso específico de las </w:t>
      </w:r>
      <w:r w:rsidR="0065188E" w:rsidRPr="004C2FAC">
        <w:rPr>
          <w:rFonts w:cs="Arial"/>
          <w:bCs/>
          <w:color w:val="000000"/>
          <w:shd w:val="clear" w:color="auto" w:fill="FFFFFF"/>
        </w:rPr>
        <w:t xml:space="preserve">demandas presentadas con posterioridad a la </w:t>
      </w:r>
      <w:r w:rsidR="0074243D" w:rsidRPr="004C2FAC">
        <w:rPr>
          <w:rFonts w:cs="Arial"/>
          <w:bCs/>
          <w:color w:val="000000"/>
          <w:shd w:val="clear" w:color="auto" w:fill="FFFFFF"/>
        </w:rPr>
        <w:t xml:space="preserve">entrada en vigencia de la </w:t>
      </w:r>
      <w:r w:rsidR="0065188E" w:rsidRPr="004C2FAC">
        <w:rPr>
          <w:rFonts w:cs="Arial"/>
          <w:bCs/>
          <w:color w:val="000000"/>
          <w:shd w:val="clear" w:color="auto" w:fill="FFFFFF"/>
        </w:rPr>
        <w:t>Ley 446 de 1998, esto es</w:t>
      </w:r>
      <w:r w:rsidR="0059284E" w:rsidRPr="004C2FAC">
        <w:rPr>
          <w:rFonts w:cs="Arial"/>
          <w:bCs/>
          <w:color w:val="000000"/>
          <w:shd w:val="clear" w:color="auto" w:fill="FFFFFF"/>
        </w:rPr>
        <w:t>,</w:t>
      </w:r>
      <w:r w:rsidR="0065188E" w:rsidRPr="004C2FAC">
        <w:rPr>
          <w:rFonts w:cs="Arial"/>
          <w:bCs/>
          <w:color w:val="000000"/>
          <w:shd w:val="clear" w:color="auto" w:fill="FFFFFF"/>
        </w:rPr>
        <w:t xml:space="preserve"> </w:t>
      </w:r>
      <w:r w:rsidRPr="004C2FAC">
        <w:rPr>
          <w:rFonts w:cs="Arial"/>
          <w:bCs/>
          <w:color w:val="000000"/>
          <w:shd w:val="clear" w:color="auto" w:fill="FFFFFF"/>
        </w:rPr>
        <w:t xml:space="preserve">frente al </w:t>
      </w:r>
      <w:r w:rsidR="0065188E" w:rsidRPr="004C2FAC">
        <w:rPr>
          <w:rFonts w:cs="Arial"/>
          <w:bCs/>
          <w:color w:val="000000"/>
          <w:shd w:val="clear" w:color="auto" w:fill="FFFFFF"/>
        </w:rPr>
        <w:t xml:space="preserve">tránsito de legislación, esta Subsección indicó la aplicación del término de 20 años </w:t>
      </w:r>
      <w:r w:rsidR="00156FAE" w:rsidRPr="004C2FAC">
        <w:rPr>
          <w:rFonts w:cs="Arial"/>
          <w:bCs/>
          <w:color w:val="000000"/>
          <w:shd w:val="clear" w:color="auto" w:fill="FFFFFF"/>
        </w:rPr>
        <w:t xml:space="preserve">cuando el </w:t>
      </w:r>
      <w:r w:rsidR="00822904" w:rsidRPr="004C2FAC">
        <w:rPr>
          <w:rFonts w:cs="Arial"/>
          <w:bCs/>
          <w:color w:val="000000"/>
          <w:shd w:val="clear" w:color="auto" w:fill="FFFFFF"/>
        </w:rPr>
        <w:t xml:space="preserve">mismo </w:t>
      </w:r>
      <w:r w:rsidR="00156FAE" w:rsidRPr="004C2FAC">
        <w:rPr>
          <w:rFonts w:cs="Arial"/>
          <w:bCs/>
          <w:color w:val="000000"/>
          <w:shd w:val="clear" w:color="auto" w:fill="FFFFFF"/>
        </w:rPr>
        <w:t>hubiere empezado a correr antes de la modificación introducida por la referida ley, asunto que se resolvió</w:t>
      </w:r>
      <w:r w:rsidR="00822904" w:rsidRPr="004C2FAC">
        <w:rPr>
          <w:rFonts w:cs="Arial"/>
          <w:bCs/>
          <w:color w:val="000000"/>
          <w:shd w:val="clear" w:color="auto" w:fill="FFFFFF"/>
        </w:rPr>
        <w:t>, también</w:t>
      </w:r>
      <w:r w:rsidR="00FE4A7E" w:rsidRPr="004C2FAC">
        <w:rPr>
          <w:rFonts w:cs="Arial"/>
          <w:bCs/>
          <w:color w:val="000000"/>
          <w:shd w:val="clear" w:color="auto" w:fill="FFFFFF"/>
        </w:rPr>
        <w:t>,</w:t>
      </w:r>
      <w:r w:rsidR="00822904" w:rsidRPr="004C2FAC">
        <w:rPr>
          <w:rFonts w:cs="Arial"/>
          <w:bCs/>
          <w:color w:val="000000"/>
          <w:shd w:val="clear" w:color="auto" w:fill="FFFFFF"/>
        </w:rPr>
        <w:t xml:space="preserve"> frente a </w:t>
      </w:r>
      <w:r w:rsidR="0065188E" w:rsidRPr="004C2FAC">
        <w:rPr>
          <w:rFonts w:cs="Arial"/>
          <w:bCs/>
          <w:color w:val="000000"/>
          <w:shd w:val="clear" w:color="auto" w:fill="FFFFFF"/>
        </w:rPr>
        <w:t xml:space="preserve">una demanda por las operaciones de trueque </w:t>
      </w:r>
      <w:r w:rsidR="00822904" w:rsidRPr="004C2FAC">
        <w:rPr>
          <w:rFonts w:cs="Arial"/>
          <w:bCs/>
          <w:color w:val="000000"/>
          <w:shd w:val="clear" w:color="auto" w:fill="FFFFFF"/>
        </w:rPr>
        <w:t>d</w:t>
      </w:r>
      <w:r w:rsidR="0065188E" w:rsidRPr="004C2FAC">
        <w:rPr>
          <w:rFonts w:cs="Arial"/>
          <w:bCs/>
          <w:color w:val="000000"/>
          <w:shd w:val="clear" w:color="auto" w:fill="FFFFFF"/>
        </w:rPr>
        <w:t xml:space="preserve">e arroz celebradas por el IDEMA, la cual resulta muy similar a los hechos </w:t>
      </w:r>
      <w:r w:rsidR="00822904" w:rsidRPr="004C2FAC">
        <w:rPr>
          <w:rFonts w:cs="Arial"/>
          <w:bCs/>
          <w:color w:val="000000"/>
          <w:shd w:val="clear" w:color="auto" w:fill="FFFFFF"/>
        </w:rPr>
        <w:t xml:space="preserve">expuestos </w:t>
      </w:r>
      <w:r w:rsidR="0065188E" w:rsidRPr="004C2FAC">
        <w:rPr>
          <w:rFonts w:cs="Arial"/>
          <w:bCs/>
          <w:color w:val="000000"/>
          <w:shd w:val="clear" w:color="auto" w:fill="FFFFFF"/>
        </w:rPr>
        <w:t>en el sub</w:t>
      </w:r>
      <w:r w:rsidR="00822904" w:rsidRPr="004C2FAC">
        <w:rPr>
          <w:rFonts w:cs="Arial"/>
          <w:bCs/>
          <w:color w:val="000000"/>
          <w:shd w:val="clear" w:color="auto" w:fill="FFFFFF"/>
        </w:rPr>
        <w:t xml:space="preserve"> </w:t>
      </w:r>
      <w:r w:rsidR="0065188E" w:rsidRPr="004C2FAC">
        <w:rPr>
          <w:rFonts w:cs="Arial"/>
          <w:bCs/>
          <w:color w:val="000000"/>
          <w:shd w:val="clear" w:color="auto" w:fill="FFFFFF"/>
        </w:rPr>
        <w:t>lite</w:t>
      </w:r>
      <w:r w:rsidR="00822904" w:rsidRPr="004C2FAC">
        <w:rPr>
          <w:rFonts w:cs="Arial"/>
          <w:bCs/>
          <w:color w:val="000000"/>
          <w:shd w:val="clear" w:color="auto" w:fill="FFFFFF"/>
        </w:rPr>
        <w:t xml:space="preserve">. </w:t>
      </w:r>
    </w:p>
    <w:p w:rsidR="00FE4A7E" w:rsidRPr="004C2FAC" w:rsidRDefault="00FE4A7E" w:rsidP="00F76C10">
      <w:pPr>
        <w:rPr>
          <w:rFonts w:cs="Arial"/>
          <w:bCs/>
          <w:color w:val="000000"/>
          <w:shd w:val="clear" w:color="auto" w:fill="FFFFFF"/>
        </w:rPr>
      </w:pPr>
    </w:p>
    <w:p w:rsidR="0065188E" w:rsidRPr="004C2FAC" w:rsidRDefault="00822904" w:rsidP="00F76C10">
      <w:pPr>
        <w:rPr>
          <w:rFonts w:cs="Arial"/>
          <w:bCs/>
          <w:color w:val="000000"/>
          <w:shd w:val="clear" w:color="auto" w:fill="FFFFFF"/>
        </w:rPr>
      </w:pPr>
      <w:r w:rsidRPr="004C2FAC">
        <w:rPr>
          <w:rFonts w:cs="Arial"/>
          <w:bCs/>
          <w:color w:val="000000"/>
          <w:shd w:val="clear" w:color="auto" w:fill="FFFFFF"/>
        </w:rPr>
        <w:t>En la respectiva sentencia</w:t>
      </w:r>
      <w:r w:rsidR="00204934" w:rsidRPr="004C2FAC">
        <w:rPr>
          <w:rFonts w:cs="Arial"/>
          <w:bCs/>
          <w:color w:val="000000"/>
          <w:shd w:val="clear" w:color="auto" w:fill="FFFFFF"/>
        </w:rPr>
        <w:t xml:space="preserve">, que ahora se reitera, </w:t>
      </w:r>
      <w:r w:rsidR="004D06BF" w:rsidRPr="004C2FAC">
        <w:rPr>
          <w:rFonts w:cs="Arial"/>
          <w:bCs/>
          <w:color w:val="000000"/>
          <w:shd w:val="clear" w:color="auto" w:fill="FFFFFF"/>
        </w:rPr>
        <w:t xml:space="preserve">esta Subsección </w:t>
      </w:r>
      <w:r w:rsidRPr="004C2FAC">
        <w:rPr>
          <w:rFonts w:cs="Arial"/>
          <w:bCs/>
          <w:color w:val="000000"/>
          <w:shd w:val="clear" w:color="auto" w:fill="FFFFFF"/>
        </w:rPr>
        <w:t xml:space="preserve">precisó: </w:t>
      </w:r>
    </w:p>
    <w:p w:rsidR="0065188E" w:rsidRPr="004C2FAC" w:rsidRDefault="0065188E" w:rsidP="0065188E">
      <w:pPr>
        <w:spacing w:line="240" w:lineRule="auto"/>
        <w:ind w:right="-284"/>
        <w:rPr>
          <w:rFonts w:cs="Arial"/>
          <w:bCs/>
          <w:color w:val="000000"/>
          <w:sz w:val="20"/>
          <w:szCs w:val="20"/>
          <w:shd w:val="clear" w:color="auto" w:fill="FFFFFF"/>
        </w:rPr>
      </w:pPr>
    </w:p>
    <w:p w:rsidR="0065188E" w:rsidRPr="004C2FAC" w:rsidRDefault="0065188E" w:rsidP="00D26AC5">
      <w:pPr>
        <w:spacing w:line="276" w:lineRule="auto"/>
        <w:ind w:left="567" w:right="902"/>
        <w:rPr>
          <w:rFonts w:cs="Arial"/>
          <w:bCs/>
          <w:i/>
          <w:color w:val="000000"/>
          <w:sz w:val="22"/>
          <w:szCs w:val="22"/>
          <w:shd w:val="clear" w:color="auto" w:fill="FFFFFF"/>
        </w:rPr>
      </w:pPr>
      <w:r w:rsidRPr="004C2FAC">
        <w:rPr>
          <w:rFonts w:cs="Arial"/>
          <w:bCs/>
          <w:color w:val="000000"/>
          <w:shd w:val="clear" w:color="auto" w:fill="FFFFFF"/>
        </w:rPr>
        <w:t>“</w:t>
      </w:r>
      <w:r w:rsidRPr="004C2FAC">
        <w:rPr>
          <w:rFonts w:cs="Arial"/>
          <w:bCs/>
          <w:i/>
          <w:color w:val="000000"/>
          <w:sz w:val="22"/>
          <w:szCs w:val="22"/>
          <w:shd w:val="clear" w:color="auto" w:fill="FFFFFF"/>
        </w:rPr>
        <w:t>Ahora bien, se precisa que la disposición legal aplicable en el contrato sub judice, en efecto es la contenida en el artículo 55 de la Ley 80 de 1993, aunque la demanda se presentó el 10 de diciembre de 2004 – con posterioridad a la expedición de la Ley 446 de 1998-, toda vez que en materia del tránsito de legislación debe tenerse en cuenta la aplicación de las siguientes normas</w:t>
      </w:r>
      <w:r w:rsidRPr="004C2FAC">
        <w:rPr>
          <w:rFonts w:cs="Arial"/>
          <w:b/>
          <w:bCs/>
          <w:i/>
          <w:color w:val="000000"/>
          <w:sz w:val="22"/>
          <w:szCs w:val="22"/>
          <w:shd w:val="clear" w:color="auto" w:fill="FFFFFF"/>
        </w:rPr>
        <w:t>: i)</w:t>
      </w:r>
      <w:r w:rsidRPr="004C2FAC">
        <w:rPr>
          <w:rFonts w:cs="Arial"/>
          <w:bCs/>
          <w:i/>
          <w:color w:val="000000"/>
          <w:sz w:val="22"/>
          <w:szCs w:val="22"/>
          <w:shd w:val="clear" w:color="auto" w:fill="FFFFFF"/>
        </w:rPr>
        <w:t xml:space="preserve"> el artículo 38 de la Ley 153 de 1887 de acuerdo con el cual las reglas vigentes al momento de la celebración del contrato, </w:t>
      </w:r>
      <w:r w:rsidRPr="004C2FAC">
        <w:rPr>
          <w:rFonts w:cs="Arial"/>
          <w:bCs/>
          <w:i/>
          <w:color w:val="000000"/>
          <w:sz w:val="22"/>
          <w:szCs w:val="22"/>
          <w:shd w:val="clear" w:color="auto" w:fill="FFFFFF"/>
        </w:rPr>
        <w:lastRenderedPageBreak/>
        <w:t>son las llamadas a gobernarlo</w:t>
      </w:r>
      <w:r w:rsidRPr="004C2FAC">
        <w:rPr>
          <w:rStyle w:val="Refdenotaalpie"/>
          <w:rFonts w:cs="Arial"/>
          <w:bCs/>
          <w:i/>
          <w:color w:val="000000"/>
          <w:sz w:val="22"/>
          <w:szCs w:val="22"/>
          <w:shd w:val="clear" w:color="auto" w:fill="FFFFFF"/>
        </w:rPr>
        <w:footnoteReference w:id="27"/>
      </w:r>
      <w:r w:rsidRPr="004C2FAC">
        <w:rPr>
          <w:rFonts w:cs="Arial"/>
          <w:bCs/>
          <w:i/>
          <w:color w:val="000000"/>
          <w:sz w:val="22"/>
          <w:szCs w:val="22"/>
          <w:shd w:val="clear" w:color="auto" w:fill="FFFFFF"/>
        </w:rPr>
        <w:t xml:space="preserve"> y </w:t>
      </w:r>
      <w:r w:rsidRPr="004C2FAC">
        <w:rPr>
          <w:rFonts w:cs="Arial"/>
          <w:b/>
          <w:bCs/>
          <w:i/>
          <w:color w:val="000000"/>
          <w:sz w:val="22"/>
          <w:szCs w:val="22"/>
          <w:shd w:val="clear" w:color="auto" w:fill="FFFFFF"/>
        </w:rPr>
        <w:t>ii)</w:t>
      </w:r>
      <w:r w:rsidRPr="004C2FAC">
        <w:rPr>
          <w:rFonts w:cs="Arial"/>
          <w:bCs/>
          <w:i/>
          <w:color w:val="000000"/>
          <w:sz w:val="22"/>
          <w:szCs w:val="22"/>
          <w:shd w:val="clear" w:color="auto" w:fill="FFFFFF"/>
        </w:rPr>
        <w:t xml:space="preserve"> el artículo 40 de la misma ley</w:t>
      </w:r>
      <w:r w:rsidRPr="004C2FAC">
        <w:rPr>
          <w:rStyle w:val="Refdenotaalpie"/>
          <w:rFonts w:cs="Arial"/>
          <w:bCs/>
          <w:i/>
          <w:color w:val="000000"/>
          <w:sz w:val="22"/>
          <w:szCs w:val="22"/>
          <w:shd w:val="clear" w:color="auto" w:fill="FFFFFF"/>
        </w:rPr>
        <w:footnoteReference w:id="28"/>
      </w:r>
      <w:r w:rsidRPr="004C2FAC">
        <w:rPr>
          <w:rFonts w:cs="Arial"/>
          <w:bCs/>
          <w:i/>
          <w:color w:val="000000"/>
          <w:sz w:val="22"/>
          <w:szCs w:val="22"/>
          <w:shd w:val="clear" w:color="auto" w:fill="FFFFFF"/>
        </w:rPr>
        <w:t>, con arreglo al cual se establece una excepción a la aplicación inmediata de la ley procesal, para el evento de los términos que empezaron a correr en vigencia de la ley anterior”</w:t>
      </w:r>
      <w:r w:rsidRPr="004C2FAC">
        <w:rPr>
          <w:rStyle w:val="Refdenotaalpie"/>
          <w:rFonts w:cs="Arial"/>
          <w:bCs/>
          <w:i/>
          <w:color w:val="000000"/>
          <w:sz w:val="22"/>
          <w:szCs w:val="22"/>
          <w:shd w:val="clear" w:color="auto" w:fill="FFFFFF"/>
        </w:rPr>
        <w:footnoteReference w:id="29"/>
      </w:r>
      <w:r w:rsidRPr="004C2FAC">
        <w:rPr>
          <w:rFonts w:cs="Arial"/>
          <w:bCs/>
          <w:i/>
          <w:color w:val="000000"/>
          <w:sz w:val="22"/>
          <w:szCs w:val="22"/>
          <w:shd w:val="clear" w:color="auto" w:fill="FFFFFF"/>
        </w:rPr>
        <w:t xml:space="preserve">. </w:t>
      </w:r>
    </w:p>
    <w:p w:rsidR="0065188E" w:rsidRPr="004C2FAC" w:rsidRDefault="0065188E" w:rsidP="00D26AC5">
      <w:pPr>
        <w:ind w:right="902"/>
        <w:rPr>
          <w:rFonts w:cs="Arial"/>
          <w:bCs/>
          <w:color w:val="000000"/>
          <w:shd w:val="clear" w:color="auto" w:fill="FFFFFF"/>
        </w:rPr>
      </w:pPr>
    </w:p>
    <w:p w:rsidR="000724BD" w:rsidRPr="004C2FAC" w:rsidRDefault="008D253C" w:rsidP="00F76C10">
      <w:pPr>
        <w:rPr>
          <w:rFonts w:cs="Arial"/>
          <w:bCs/>
          <w:color w:val="000000"/>
          <w:shd w:val="clear" w:color="auto" w:fill="FFFFFF"/>
        </w:rPr>
      </w:pPr>
      <w:r w:rsidRPr="004C2FAC">
        <w:rPr>
          <w:rFonts w:cs="Arial"/>
          <w:bCs/>
          <w:color w:val="000000"/>
          <w:shd w:val="clear" w:color="auto" w:fill="FFFFFF"/>
        </w:rPr>
        <w:t xml:space="preserve">Puede advertirse que </w:t>
      </w:r>
      <w:r w:rsidR="0065188E" w:rsidRPr="004C2FAC">
        <w:rPr>
          <w:rFonts w:cs="Arial"/>
          <w:bCs/>
          <w:color w:val="000000"/>
          <w:shd w:val="clear" w:color="auto" w:fill="FFFFFF"/>
        </w:rPr>
        <w:t xml:space="preserve">la jurisprudencia en relación con el término para demandar el incumplimiento del contrato estatal </w:t>
      </w:r>
      <w:r w:rsidR="00822904" w:rsidRPr="004C2FAC">
        <w:rPr>
          <w:rFonts w:cs="Arial"/>
          <w:bCs/>
          <w:color w:val="000000"/>
          <w:shd w:val="clear" w:color="auto" w:fill="FFFFFF"/>
        </w:rPr>
        <w:t xml:space="preserve">en vigencia de </w:t>
      </w:r>
      <w:r w:rsidR="0065188E" w:rsidRPr="004C2FAC">
        <w:rPr>
          <w:rFonts w:cs="Arial"/>
          <w:bCs/>
          <w:color w:val="000000"/>
          <w:shd w:val="clear" w:color="auto" w:fill="FFFFFF"/>
        </w:rPr>
        <w:t xml:space="preserve">la Ley 80 de 1993, antes de la reforma introducida por la Ley 446 de 1998, </w:t>
      </w:r>
      <w:r w:rsidR="00B72DA7" w:rsidRPr="004C2FAC">
        <w:rPr>
          <w:rFonts w:cs="Arial"/>
          <w:bCs/>
          <w:color w:val="000000"/>
          <w:shd w:val="clear" w:color="auto" w:fill="FFFFFF"/>
        </w:rPr>
        <w:t>si bien con algunas variantes</w:t>
      </w:r>
      <w:r w:rsidR="00B72DA7" w:rsidRPr="004C2FAC">
        <w:rPr>
          <w:rStyle w:val="Refdenotaalpie"/>
          <w:rFonts w:cs="Arial"/>
          <w:bCs/>
          <w:color w:val="000000"/>
          <w:shd w:val="clear" w:color="auto" w:fill="FFFFFF"/>
        </w:rPr>
        <w:footnoteReference w:id="30"/>
      </w:r>
      <w:r w:rsidR="00B72DA7" w:rsidRPr="004C2FAC">
        <w:rPr>
          <w:rFonts w:cs="Arial"/>
          <w:bCs/>
          <w:color w:val="000000"/>
          <w:shd w:val="clear" w:color="auto" w:fill="FFFFFF"/>
        </w:rPr>
        <w:t>,</w:t>
      </w:r>
      <w:r w:rsidR="00776982" w:rsidRPr="004C2FAC">
        <w:rPr>
          <w:rFonts w:cs="Arial"/>
          <w:bCs/>
          <w:color w:val="000000"/>
          <w:shd w:val="clear" w:color="auto" w:fill="FFFFFF"/>
        </w:rPr>
        <w:t xml:space="preserve"> </w:t>
      </w:r>
      <w:r w:rsidR="0065188E" w:rsidRPr="004C2FAC">
        <w:rPr>
          <w:rFonts w:cs="Arial"/>
          <w:bCs/>
          <w:color w:val="000000"/>
          <w:shd w:val="clear" w:color="auto" w:fill="FFFFFF"/>
        </w:rPr>
        <w:t xml:space="preserve">ha sido reiterada por </w:t>
      </w:r>
      <w:r w:rsidR="004D06BF" w:rsidRPr="004C2FAC">
        <w:rPr>
          <w:rFonts w:cs="Arial"/>
          <w:bCs/>
          <w:color w:val="000000"/>
          <w:shd w:val="clear" w:color="auto" w:fill="FFFFFF"/>
        </w:rPr>
        <w:t xml:space="preserve">las distintas </w:t>
      </w:r>
      <w:r w:rsidRPr="004C2FAC">
        <w:rPr>
          <w:rFonts w:cs="Arial"/>
          <w:bCs/>
          <w:color w:val="000000"/>
          <w:shd w:val="clear" w:color="auto" w:fill="FFFFFF"/>
        </w:rPr>
        <w:t xml:space="preserve">subsecciones de la </w:t>
      </w:r>
      <w:r w:rsidR="008229AE" w:rsidRPr="004C2FAC">
        <w:rPr>
          <w:rFonts w:cs="Arial"/>
          <w:bCs/>
          <w:color w:val="000000"/>
          <w:shd w:val="clear" w:color="auto" w:fill="FFFFFF"/>
        </w:rPr>
        <w:t>S</w:t>
      </w:r>
      <w:r w:rsidR="004D06BF" w:rsidRPr="004C2FAC">
        <w:rPr>
          <w:rFonts w:cs="Arial"/>
          <w:bCs/>
          <w:color w:val="000000"/>
          <w:shd w:val="clear" w:color="auto" w:fill="FFFFFF"/>
        </w:rPr>
        <w:t>ecci</w:t>
      </w:r>
      <w:r w:rsidRPr="004C2FAC">
        <w:rPr>
          <w:rFonts w:cs="Arial"/>
          <w:bCs/>
          <w:color w:val="000000"/>
          <w:shd w:val="clear" w:color="auto" w:fill="FFFFFF"/>
        </w:rPr>
        <w:t xml:space="preserve">ón </w:t>
      </w:r>
      <w:r w:rsidR="008229AE" w:rsidRPr="004C2FAC">
        <w:rPr>
          <w:rFonts w:cs="Arial"/>
          <w:bCs/>
          <w:color w:val="000000"/>
          <w:shd w:val="clear" w:color="auto" w:fill="FFFFFF"/>
        </w:rPr>
        <w:t>T</w:t>
      </w:r>
      <w:r w:rsidRPr="004C2FAC">
        <w:rPr>
          <w:rFonts w:cs="Arial"/>
          <w:bCs/>
          <w:color w:val="000000"/>
          <w:shd w:val="clear" w:color="auto" w:fill="FFFFFF"/>
        </w:rPr>
        <w:t xml:space="preserve">ercera </w:t>
      </w:r>
      <w:r w:rsidR="004D06BF" w:rsidRPr="004C2FAC">
        <w:rPr>
          <w:rFonts w:cs="Arial"/>
          <w:bCs/>
          <w:color w:val="000000"/>
          <w:shd w:val="clear" w:color="auto" w:fill="FFFFFF"/>
        </w:rPr>
        <w:t xml:space="preserve">del </w:t>
      </w:r>
      <w:r w:rsidR="0065188E" w:rsidRPr="004C2FAC">
        <w:rPr>
          <w:rFonts w:cs="Arial"/>
          <w:bCs/>
          <w:color w:val="000000"/>
          <w:shd w:val="clear" w:color="auto" w:fill="FFFFFF"/>
        </w:rPr>
        <w:t xml:space="preserve"> Consejo de Estado en diversas </w:t>
      </w:r>
      <w:r w:rsidR="004D06BF" w:rsidRPr="004C2FAC">
        <w:rPr>
          <w:rFonts w:cs="Arial"/>
          <w:bCs/>
          <w:color w:val="000000"/>
          <w:shd w:val="clear" w:color="auto" w:fill="FFFFFF"/>
        </w:rPr>
        <w:t>providencias</w:t>
      </w:r>
      <w:r w:rsidR="00B72DA7" w:rsidRPr="004C2FAC">
        <w:rPr>
          <w:rFonts w:cs="Arial"/>
          <w:bCs/>
          <w:color w:val="000000"/>
          <w:shd w:val="clear" w:color="auto" w:fill="FFFFFF"/>
        </w:rPr>
        <w:t>.</w:t>
      </w:r>
      <w:r w:rsidR="004D06BF" w:rsidRPr="004C2FAC">
        <w:rPr>
          <w:rFonts w:cs="Arial"/>
          <w:bCs/>
          <w:color w:val="000000"/>
          <w:shd w:val="clear" w:color="auto" w:fill="FFFFFF"/>
        </w:rPr>
        <w:t xml:space="preserve"> </w:t>
      </w:r>
    </w:p>
    <w:p w:rsidR="000724BD" w:rsidRPr="004C2FAC" w:rsidRDefault="000724BD" w:rsidP="00F76C10">
      <w:pPr>
        <w:rPr>
          <w:rFonts w:cs="Arial"/>
          <w:bCs/>
          <w:color w:val="000000"/>
          <w:shd w:val="clear" w:color="auto" w:fill="FFFFFF"/>
        </w:rPr>
      </w:pPr>
    </w:p>
    <w:p w:rsidR="0065188E" w:rsidRPr="004C2FAC" w:rsidRDefault="00203D12" w:rsidP="00F76C10">
      <w:pPr>
        <w:rPr>
          <w:rFonts w:cs="Arial"/>
          <w:bCs/>
          <w:color w:val="000000"/>
          <w:shd w:val="clear" w:color="auto" w:fill="FFFFFF"/>
        </w:rPr>
      </w:pPr>
      <w:r w:rsidRPr="004C2FAC">
        <w:rPr>
          <w:rFonts w:cs="Arial"/>
          <w:bCs/>
          <w:color w:val="000000"/>
          <w:shd w:val="clear" w:color="auto" w:fill="FFFFFF"/>
        </w:rPr>
        <w:lastRenderedPageBreak/>
        <w:t xml:space="preserve">Como </w:t>
      </w:r>
      <w:r w:rsidR="0065188E" w:rsidRPr="004C2FAC">
        <w:rPr>
          <w:rFonts w:cs="Arial"/>
          <w:bCs/>
          <w:color w:val="000000"/>
          <w:shd w:val="clear" w:color="auto" w:fill="FFFFFF"/>
        </w:rPr>
        <w:t>consecuencia</w:t>
      </w:r>
      <w:r w:rsidR="00146162" w:rsidRPr="004C2FAC">
        <w:rPr>
          <w:rFonts w:cs="Arial"/>
          <w:bCs/>
          <w:color w:val="000000"/>
          <w:shd w:val="clear" w:color="auto" w:fill="FFFFFF"/>
        </w:rPr>
        <w:t>,</w:t>
      </w:r>
      <w:r w:rsidR="00C013F3" w:rsidRPr="004C2FAC">
        <w:rPr>
          <w:rFonts w:cs="Arial"/>
          <w:bCs/>
          <w:color w:val="000000"/>
          <w:shd w:val="clear" w:color="auto" w:fill="FFFFFF"/>
        </w:rPr>
        <w:t xml:space="preserve"> </w:t>
      </w:r>
      <w:r w:rsidR="0065188E" w:rsidRPr="004C2FAC">
        <w:rPr>
          <w:rFonts w:cs="Arial"/>
          <w:bCs/>
          <w:color w:val="000000"/>
          <w:shd w:val="clear" w:color="auto" w:fill="FFFFFF"/>
        </w:rPr>
        <w:t xml:space="preserve">la Sala reitera la </w:t>
      </w:r>
      <w:r w:rsidRPr="004C2FAC">
        <w:rPr>
          <w:rFonts w:cs="Arial"/>
          <w:bCs/>
          <w:color w:val="000000"/>
          <w:shd w:val="clear" w:color="auto" w:fill="FFFFFF"/>
        </w:rPr>
        <w:t xml:space="preserve">jurisprudencia que se acaba de reseñar y determina la </w:t>
      </w:r>
      <w:r w:rsidR="0065188E" w:rsidRPr="004C2FAC">
        <w:rPr>
          <w:rFonts w:cs="Arial"/>
          <w:bCs/>
          <w:color w:val="000000"/>
          <w:shd w:val="clear" w:color="auto" w:fill="FFFFFF"/>
        </w:rPr>
        <w:t>aplicación especial</w:t>
      </w:r>
      <w:r w:rsidRPr="004C2FAC">
        <w:rPr>
          <w:rFonts w:cs="Arial"/>
          <w:bCs/>
          <w:color w:val="000000"/>
          <w:shd w:val="clear" w:color="auto" w:fill="FFFFFF"/>
        </w:rPr>
        <w:t>,</w:t>
      </w:r>
      <w:r w:rsidR="0065188E" w:rsidRPr="004C2FAC">
        <w:rPr>
          <w:rFonts w:cs="Arial"/>
          <w:bCs/>
          <w:color w:val="000000"/>
          <w:shd w:val="clear" w:color="auto" w:fill="FFFFFF"/>
        </w:rPr>
        <w:t xml:space="preserve"> para el caso </w:t>
      </w:r>
      <w:r w:rsidR="0065188E" w:rsidRPr="004C2FAC">
        <w:rPr>
          <w:rFonts w:cs="Arial"/>
          <w:bCs/>
          <w:i/>
          <w:color w:val="000000"/>
          <w:shd w:val="clear" w:color="auto" w:fill="FFFFFF"/>
        </w:rPr>
        <w:t>sub lite</w:t>
      </w:r>
      <w:r w:rsidRPr="004C2FAC">
        <w:rPr>
          <w:rFonts w:cs="Arial"/>
          <w:bCs/>
          <w:i/>
          <w:color w:val="000000"/>
          <w:shd w:val="clear" w:color="auto" w:fill="FFFFFF"/>
        </w:rPr>
        <w:t>,</w:t>
      </w:r>
      <w:r w:rsidR="0065188E" w:rsidRPr="004C2FAC">
        <w:rPr>
          <w:rFonts w:cs="Arial"/>
          <w:bCs/>
          <w:color w:val="000000"/>
          <w:shd w:val="clear" w:color="auto" w:fill="FFFFFF"/>
        </w:rPr>
        <w:t xml:space="preserve"> de</w:t>
      </w:r>
      <w:r w:rsidRPr="004C2FAC">
        <w:rPr>
          <w:rFonts w:cs="Arial"/>
          <w:bCs/>
          <w:color w:val="000000"/>
          <w:shd w:val="clear" w:color="auto" w:fill="FFFFFF"/>
        </w:rPr>
        <w:t xml:space="preserve"> los</w:t>
      </w:r>
      <w:r w:rsidR="0065188E" w:rsidRPr="004C2FAC">
        <w:rPr>
          <w:rFonts w:cs="Arial"/>
          <w:bCs/>
          <w:color w:val="000000"/>
          <w:shd w:val="clear" w:color="auto" w:fill="FFFFFF"/>
        </w:rPr>
        <w:t xml:space="preserve"> artículos 52 y 55 de la Ley 80 de 1993, </w:t>
      </w:r>
      <w:r w:rsidR="00C013F3" w:rsidRPr="004C2FAC">
        <w:rPr>
          <w:rFonts w:cs="Arial"/>
          <w:bCs/>
          <w:color w:val="000000"/>
          <w:shd w:val="clear" w:color="auto" w:fill="FFFFFF"/>
        </w:rPr>
        <w:t>esto es</w:t>
      </w:r>
      <w:r w:rsidR="00B72DA7" w:rsidRPr="004C2FAC">
        <w:rPr>
          <w:rFonts w:cs="Arial"/>
          <w:bCs/>
          <w:color w:val="000000"/>
          <w:shd w:val="clear" w:color="auto" w:fill="FFFFFF"/>
        </w:rPr>
        <w:t>,</w:t>
      </w:r>
      <w:r w:rsidR="00C013F3" w:rsidRPr="004C2FAC">
        <w:rPr>
          <w:rFonts w:cs="Arial"/>
          <w:bCs/>
          <w:color w:val="000000"/>
          <w:shd w:val="clear" w:color="auto" w:fill="FFFFFF"/>
        </w:rPr>
        <w:t xml:space="preserve"> la observancia del término de 20 años para demandar el incumplimiento del contrato, en relación con aquellos eventos ocurridos antes de la expedición de la Ley 446 de 1998. Lo anterior resulta </w:t>
      </w:r>
      <w:r w:rsidR="008D253C" w:rsidRPr="004C2FAC">
        <w:rPr>
          <w:rFonts w:cs="Arial"/>
          <w:bCs/>
          <w:color w:val="000000"/>
          <w:shd w:val="clear" w:color="auto" w:fill="FFFFFF"/>
        </w:rPr>
        <w:t>pertinente,</w:t>
      </w:r>
      <w:r w:rsidR="00C013F3" w:rsidRPr="004C2FAC">
        <w:rPr>
          <w:rFonts w:cs="Arial"/>
          <w:bCs/>
          <w:color w:val="000000"/>
          <w:shd w:val="clear" w:color="auto" w:fill="FFFFFF"/>
        </w:rPr>
        <w:t xml:space="preserve"> sin </w:t>
      </w:r>
      <w:r w:rsidR="0065188E" w:rsidRPr="004C2FAC">
        <w:rPr>
          <w:rFonts w:cs="Arial"/>
          <w:bCs/>
          <w:color w:val="000000"/>
          <w:shd w:val="clear" w:color="auto" w:fill="FFFFFF"/>
        </w:rPr>
        <w:t>desconocer las diferencia</w:t>
      </w:r>
      <w:r w:rsidRPr="004C2FAC">
        <w:rPr>
          <w:rFonts w:cs="Arial"/>
          <w:bCs/>
          <w:color w:val="000000"/>
          <w:shd w:val="clear" w:color="auto" w:fill="FFFFFF"/>
        </w:rPr>
        <w:t>s</w:t>
      </w:r>
      <w:r w:rsidR="0065188E" w:rsidRPr="004C2FAC">
        <w:rPr>
          <w:rFonts w:cs="Arial"/>
          <w:bCs/>
          <w:color w:val="000000"/>
          <w:shd w:val="clear" w:color="auto" w:fill="FFFFFF"/>
        </w:rPr>
        <w:t xml:space="preserve"> entre las figuras de caducidad de la acción contractual y prescripción del derecho a la reclamación.</w:t>
      </w:r>
    </w:p>
    <w:p w:rsidR="0065188E" w:rsidRPr="004C2FAC" w:rsidRDefault="0065188E" w:rsidP="00F76C10">
      <w:pPr>
        <w:rPr>
          <w:rFonts w:cs="Arial"/>
          <w:color w:val="000000"/>
          <w:shd w:val="clear" w:color="auto" w:fill="FFFFFF"/>
        </w:rPr>
      </w:pPr>
    </w:p>
    <w:p w:rsidR="0065188E" w:rsidRPr="004C2FAC" w:rsidRDefault="00BD5EB0" w:rsidP="00F76C10">
      <w:pPr>
        <w:rPr>
          <w:rFonts w:cs="Arial"/>
          <w:color w:val="000000"/>
          <w:shd w:val="clear" w:color="auto" w:fill="FFFFFF"/>
        </w:rPr>
      </w:pPr>
      <w:r w:rsidRPr="004C2FAC">
        <w:rPr>
          <w:rFonts w:cs="Arial"/>
          <w:color w:val="000000"/>
          <w:shd w:val="clear" w:color="auto" w:fill="FFFFFF"/>
        </w:rPr>
        <w:t xml:space="preserve">En igual forma, </w:t>
      </w:r>
      <w:r w:rsidR="0065188E" w:rsidRPr="004C2FAC">
        <w:rPr>
          <w:rFonts w:cs="Arial"/>
          <w:color w:val="000000"/>
          <w:u w:val="single"/>
          <w:shd w:val="clear" w:color="auto" w:fill="FFFFFF"/>
        </w:rPr>
        <w:t>frente a la normativ</w:t>
      </w:r>
      <w:r w:rsidR="001610CA" w:rsidRPr="004C2FAC">
        <w:rPr>
          <w:rFonts w:cs="Arial"/>
          <w:color w:val="000000"/>
          <w:u w:val="single"/>
          <w:shd w:val="clear" w:color="auto" w:fill="FFFFFF"/>
        </w:rPr>
        <w:t>a</w:t>
      </w:r>
      <w:r w:rsidR="0065188E" w:rsidRPr="004C2FAC">
        <w:rPr>
          <w:rFonts w:cs="Arial"/>
          <w:color w:val="000000"/>
          <w:u w:val="single"/>
          <w:shd w:val="clear" w:color="auto" w:fill="FFFFFF"/>
        </w:rPr>
        <w:t xml:space="preserve"> actualmente vigente</w:t>
      </w:r>
      <w:r w:rsidR="0065188E" w:rsidRPr="004C2FAC">
        <w:rPr>
          <w:rFonts w:cs="Arial"/>
          <w:color w:val="000000"/>
          <w:shd w:val="clear" w:color="auto" w:fill="FFFFFF"/>
        </w:rPr>
        <w:t xml:space="preserve"> acerca del ejercicio oportuno del medio de control contractual, la Sala reitera las diferencias entre caducidad y prescripción y advierte la aplicación de la primera de las figuras- esto es</w:t>
      </w:r>
      <w:r w:rsidR="00B72DA7" w:rsidRPr="004C2FAC">
        <w:rPr>
          <w:rFonts w:cs="Arial"/>
          <w:color w:val="000000"/>
          <w:shd w:val="clear" w:color="auto" w:fill="FFFFFF"/>
        </w:rPr>
        <w:t>,</w:t>
      </w:r>
      <w:r w:rsidR="0065188E" w:rsidRPr="004C2FAC">
        <w:rPr>
          <w:rFonts w:cs="Arial"/>
          <w:color w:val="000000"/>
          <w:shd w:val="clear" w:color="auto" w:fill="FFFFFF"/>
        </w:rPr>
        <w:t xml:space="preserve"> la caducidad- para efecto de determinar la época en que debe entablarse la demanda por incumplimiento del contrato estatal, tal como se expuso en auto de 10 de julio de 2013:</w:t>
      </w:r>
    </w:p>
    <w:p w:rsidR="0065188E" w:rsidRPr="004C2FAC" w:rsidRDefault="0065188E" w:rsidP="0065188E">
      <w:pPr>
        <w:ind w:right="-142"/>
        <w:rPr>
          <w:rFonts w:cs="Arial"/>
          <w:color w:val="000000"/>
          <w:shd w:val="clear" w:color="auto" w:fill="FFFFFF"/>
        </w:rPr>
      </w:pPr>
    </w:p>
    <w:p w:rsidR="0065188E" w:rsidRPr="004C2FAC" w:rsidRDefault="0065188E" w:rsidP="00D26AC5">
      <w:pPr>
        <w:spacing w:line="276" w:lineRule="auto"/>
        <w:ind w:left="851" w:right="902"/>
        <w:rPr>
          <w:rFonts w:cs="Arial"/>
          <w:i/>
          <w:sz w:val="22"/>
          <w:szCs w:val="22"/>
        </w:rPr>
      </w:pPr>
      <w:r w:rsidRPr="004C2FAC">
        <w:rPr>
          <w:rFonts w:cs="Arial"/>
          <w:i/>
          <w:sz w:val="22"/>
          <w:szCs w:val="22"/>
        </w:rPr>
        <w:t xml:space="preserve">“En vista de que la parte demandante señaló que en el presente asunto convergen de manera concomitante las figuras de la caducidad y la prescripción, la Sala se pronunciará sobre el tema para precisar, según la normatividad aplicable, la diferencia existente entre éstas, así como la inaplicabilidad de la segunda al caso concreto. </w:t>
      </w:r>
    </w:p>
    <w:p w:rsidR="0065188E" w:rsidRPr="004C2FAC" w:rsidRDefault="0065188E" w:rsidP="00D26AC5">
      <w:pPr>
        <w:spacing w:line="276" w:lineRule="auto"/>
        <w:ind w:left="851" w:right="902"/>
        <w:rPr>
          <w:rFonts w:cs="Arial"/>
          <w:i/>
          <w:sz w:val="22"/>
          <w:szCs w:val="22"/>
        </w:rPr>
      </w:pPr>
    </w:p>
    <w:p w:rsidR="0065188E" w:rsidRPr="004C2FAC" w:rsidRDefault="0065188E" w:rsidP="00D26AC5">
      <w:pPr>
        <w:spacing w:line="276" w:lineRule="auto"/>
        <w:ind w:left="851" w:right="902"/>
        <w:rPr>
          <w:rFonts w:cs="Arial"/>
          <w:i/>
          <w:sz w:val="22"/>
          <w:szCs w:val="22"/>
        </w:rPr>
      </w:pPr>
      <w:r w:rsidRPr="004C2FAC">
        <w:rPr>
          <w:rFonts w:cs="Arial"/>
          <w:i/>
          <w:sz w:val="22"/>
          <w:szCs w:val="22"/>
        </w:rPr>
        <w:t>“Para el propósito que atrás se deja enunciado, resulta necesario hacer referencia a las diferencias relevantes que existen entre las figuras de la caducidad de la acción y la prescripción extintiva, tema al que se refirió la Sección Tercera de esta Corporación en sentencia del 27 de mayo de 2004, cuyas consideraciones se permite ahora la Sala transcribir en extenso a continuación por resultar absolutamente explicativas al respecto:</w:t>
      </w:r>
    </w:p>
    <w:p w:rsidR="0065188E" w:rsidRPr="004C2FAC" w:rsidRDefault="0065188E" w:rsidP="00D26AC5">
      <w:pPr>
        <w:spacing w:line="276" w:lineRule="auto"/>
        <w:ind w:left="851" w:right="902"/>
        <w:rPr>
          <w:rFonts w:cs="Arial"/>
          <w:i/>
          <w:sz w:val="22"/>
          <w:szCs w:val="22"/>
        </w:rPr>
      </w:pPr>
    </w:p>
    <w:p w:rsidR="0065188E" w:rsidRPr="004C2FAC" w:rsidRDefault="0065188E" w:rsidP="00D26AC5">
      <w:pPr>
        <w:spacing w:line="276" w:lineRule="auto"/>
        <w:ind w:left="851" w:right="902"/>
        <w:rPr>
          <w:rFonts w:cs="Arial"/>
          <w:i/>
          <w:sz w:val="22"/>
          <w:szCs w:val="22"/>
        </w:rPr>
      </w:pPr>
      <w:r w:rsidRPr="004C2FAC">
        <w:rPr>
          <w:rFonts w:cs="Arial"/>
          <w:i/>
          <w:sz w:val="22"/>
          <w:szCs w:val="22"/>
        </w:rPr>
        <w:t>“(…)</w:t>
      </w:r>
      <w:r w:rsidR="00130228" w:rsidRPr="004C2FAC">
        <w:rPr>
          <w:rFonts w:cs="Arial"/>
          <w:i/>
          <w:sz w:val="22"/>
          <w:szCs w:val="22"/>
        </w:rPr>
        <w:t>.</w:t>
      </w: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r w:rsidRPr="004C2FAC">
        <w:rPr>
          <w:rFonts w:cs="Arial"/>
          <w:i/>
          <w:sz w:val="22"/>
          <w:szCs w:val="22"/>
        </w:rPr>
        <w:t>“Conforme lo expuesto, cabe señalar, sin hesitación alguna, que la prescripción y la caducidad son dos instituciones jurídicas distintas, puesto que la primera extingue el derecho, mientras que la segunda extingue la acción, por lo que no es posible que las normas relativas a la prescripción se apliquen a la caducidad o viceversa.</w:t>
      </w: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r w:rsidRPr="004C2FAC">
        <w:rPr>
          <w:rFonts w:cs="Arial"/>
          <w:i/>
          <w:sz w:val="22"/>
          <w:szCs w:val="22"/>
        </w:rPr>
        <w:t xml:space="preserve">“Ahora bien, para efecto de explicar la razón de la improcedencia de la aplicación de la prescripción al caso concreto, es necesario precisar que </w:t>
      </w:r>
      <w:r w:rsidRPr="004C2FAC">
        <w:rPr>
          <w:rFonts w:cs="Arial"/>
          <w:i/>
          <w:sz w:val="22"/>
          <w:szCs w:val="22"/>
        </w:rPr>
        <w:lastRenderedPageBreak/>
        <w:t>el conocimiento de los procesos originados en cualquiera de las pretensiones antes señaladas, entre ellas la de incumplimiento del contrato que adujo el demandante, corresponde a esta jurisdicción de conformidad con lo dispuesto en el inciso segundo del  artículo 104 de la Ley 1437 de 2011 -norma legal que otorga competencia general sobre el particular-</w:t>
      </w:r>
      <w:r w:rsidRPr="004C2FAC">
        <w:rPr>
          <w:rStyle w:val="Refdenotaalpie"/>
          <w:rFonts w:cs="Arial"/>
          <w:i/>
          <w:sz w:val="22"/>
          <w:szCs w:val="22"/>
        </w:rPr>
        <w:footnoteReference w:id="31"/>
      </w:r>
      <w:r w:rsidRPr="004C2FAC">
        <w:rPr>
          <w:rFonts w:cs="Arial"/>
          <w:i/>
          <w:sz w:val="22"/>
          <w:szCs w:val="22"/>
        </w:rPr>
        <w:t>.</w:t>
      </w: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p>
    <w:p w:rsidR="0065188E" w:rsidRPr="004C2FAC" w:rsidRDefault="0065188E" w:rsidP="00D26AC5">
      <w:pPr>
        <w:overflowPunct w:val="0"/>
        <w:autoSpaceDE w:val="0"/>
        <w:autoSpaceDN w:val="0"/>
        <w:adjustRightInd w:val="0"/>
        <w:spacing w:line="276" w:lineRule="auto"/>
        <w:ind w:left="851" w:right="902"/>
        <w:textAlignment w:val="baseline"/>
        <w:rPr>
          <w:rFonts w:cs="Arial"/>
          <w:i/>
          <w:sz w:val="22"/>
          <w:szCs w:val="22"/>
        </w:rPr>
      </w:pPr>
      <w:r w:rsidRPr="004C2FAC">
        <w:rPr>
          <w:rFonts w:cs="Arial"/>
          <w:i/>
          <w:sz w:val="22"/>
          <w:szCs w:val="22"/>
        </w:rPr>
        <w:t>“Precisado lo anterior, cabe resaltar que a pesar de que en este caso el contrato cuyo incumplimiento se pretende sea declarado se rige por las normas del derecho privado</w:t>
      </w:r>
      <w:r w:rsidRPr="004C2FAC">
        <w:rPr>
          <w:rStyle w:val="Refdenotaalpie"/>
          <w:rFonts w:cs="Arial"/>
          <w:i/>
          <w:sz w:val="22"/>
          <w:szCs w:val="22"/>
        </w:rPr>
        <w:footnoteReference w:id="32"/>
      </w:r>
      <w:r w:rsidRPr="004C2FAC">
        <w:rPr>
          <w:rFonts w:cs="Arial"/>
          <w:i/>
          <w:sz w:val="22"/>
          <w:szCs w:val="22"/>
        </w:rPr>
        <w:t>, éste, en todo caso, es un contrato estatal, dado que una de la partes que lo compone es una entidad pública</w:t>
      </w:r>
      <w:r w:rsidRPr="004C2FAC">
        <w:rPr>
          <w:rStyle w:val="Refdenotaalpie"/>
          <w:rFonts w:cs="Arial"/>
          <w:i/>
          <w:sz w:val="22"/>
          <w:szCs w:val="22"/>
        </w:rPr>
        <w:footnoteReference w:id="33"/>
      </w:r>
      <w:r w:rsidRPr="004C2FAC">
        <w:rPr>
          <w:rFonts w:cs="Arial"/>
          <w:i/>
          <w:sz w:val="22"/>
          <w:szCs w:val="22"/>
        </w:rPr>
        <w:t xml:space="preserve"> y, en consecuencia, como ya de tiempo atrás lo ha señalado la jurisprudencia de esta Corporación, le son aplicables las normas procesales propias para los procesos que se surten ante la Jurisdicción de lo Contencioso Ad</w:t>
      </w:r>
      <w:r w:rsidRPr="004C2FAC">
        <w:rPr>
          <w:rFonts w:cs="Arial"/>
          <w:sz w:val="22"/>
          <w:szCs w:val="22"/>
        </w:rPr>
        <w:t>ministrativo</w:t>
      </w:r>
      <w:r w:rsidRPr="004C2FAC">
        <w:rPr>
          <w:rFonts w:cs="Arial"/>
          <w:i/>
          <w:sz w:val="22"/>
          <w:szCs w:val="22"/>
        </w:rPr>
        <w:t xml:space="preserve">, en este caso, la Ley 1437 de 2011” </w:t>
      </w:r>
      <w:r w:rsidRPr="004C2FAC">
        <w:rPr>
          <w:rStyle w:val="Refdenotaalpie"/>
          <w:rFonts w:cs="Arial"/>
          <w:i/>
          <w:sz w:val="22"/>
          <w:szCs w:val="22"/>
        </w:rPr>
        <w:footnoteReference w:id="34"/>
      </w:r>
      <w:r w:rsidRPr="004C2FAC">
        <w:rPr>
          <w:rFonts w:cs="Arial"/>
          <w:i/>
          <w:sz w:val="22"/>
          <w:szCs w:val="22"/>
        </w:rPr>
        <w:t>.</w:t>
      </w:r>
    </w:p>
    <w:p w:rsidR="0065188E" w:rsidRPr="004C2FAC" w:rsidRDefault="0065188E" w:rsidP="0065188E">
      <w:pPr>
        <w:overflowPunct w:val="0"/>
        <w:autoSpaceDE w:val="0"/>
        <w:autoSpaceDN w:val="0"/>
        <w:adjustRightInd w:val="0"/>
        <w:spacing w:line="240" w:lineRule="auto"/>
        <w:textAlignment w:val="baseline"/>
        <w:rPr>
          <w:rFonts w:cs="Arial"/>
        </w:rPr>
      </w:pPr>
    </w:p>
    <w:p w:rsidR="0065188E" w:rsidRPr="004C2FAC" w:rsidRDefault="008D253C" w:rsidP="00F76C10">
      <w:pPr>
        <w:rPr>
          <w:rFonts w:cs="Arial"/>
          <w:color w:val="000000"/>
          <w:sz w:val="27"/>
          <w:szCs w:val="27"/>
          <w:shd w:val="clear" w:color="auto" w:fill="FFFFFF"/>
        </w:rPr>
      </w:pPr>
      <w:r w:rsidRPr="004C2FAC">
        <w:rPr>
          <w:rFonts w:cs="Arial"/>
          <w:color w:val="000000"/>
          <w:shd w:val="clear" w:color="auto" w:fill="FFFFFF"/>
        </w:rPr>
        <w:t>También</w:t>
      </w:r>
      <w:r w:rsidR="0083429E" w:rsidRPr="004C2FAC">
        <w:rPr>
          <w:rFonts w:cs="Arial"/>
          <w:color w:val="000000"/>
          <w:shd w:val="clear" w:color="auto" w:fill="FFFFFF"/>
        </w:rPr>
        <w:t>,</w:t>
      </w:r>
      <w:r w:rsidRPr="004C2FAC">
        <w:rPr>
          <w:rFonts w:cs="Arial"/>
          <w:color w:val="000000"/>
          <w:shd w:val="clear" w:color="auto" w:fill="FFFFFF"/>
        </w:rPr>
        <w:t xml:space="preserve"> </w:t>
      </w:r>
      <w:r w:rsidR="0065188E" w:rsidRPr="004C2FAC">
        <w:rPr>
          <w:rFonts w:cs="Arial"/>
          <w:color w:val="000000"/>
          <w:shd w:val="clear" w:color="auto" w:fill="FFFFFF"/>
        </w:rPr>
        <w:t>se re</w:t>
      </w:r>
      <w:r w:rsidR="00A6504A" w:rsidRPr="004C2FAC">
        <w:rPr>
          <w:rFonts w:cs="Arial"/>
          <w:color w:val="000000"/>
          <w:shd w:val="clear" w:color="auto" w:fill="FFFFFF"/>
        </w:rPr>
        <w:t>afirma</w:t>
      </w:r>
      <w:r w:rsidR="0065188E" w:rsidRPr="004C2FAC">
        <w:rPr>
          <w:rFonts w:cs="Arial"/>
          <w:color w:val="000000"/>
          <w:shd w:val="clear" w:color="auto" w:fill="FFFFFF"/>
        </w:rPr>
        <w:t xml:space="preserve"> el pronunciamiento de esta Subsección en orden a </w:t>
      </w:r>
      <w:r w:rsidR="00C013F3" w:rsidRPr="004C2FAC">
        <w:rPr>
          <w:rFonts w:cs="Arial"/>
          <w:color w:val="000000"/>
          <w:shd w:val="clear" w:color="auto" w:fill="FFFFFF"/>
        </w:rPr>
        <w:t xml:space="preserve">advertir </w:t>
      </w:r>
      <w:r w:rsidR="0065188E" w:rsidRPr="004C2FAC">
        <w:rPr>
          <w:rFonts w:cs="Arial"/>
          <w:color w:val="000000"/>
          <w:shd w:val="clear" w:color="auto" w:fill="FFFFFF"/>
        </w:rPr>
        <w:t xml:space="preserve">la naturaleza de las normas relativas a la caducidad de la acción (hoy medio de control) </w:t>
      </w:r>
      <w:r w:rsidR="0065188E" w:rsidRPr="004C2FAC">
        <w:rPr>
          <w:rFonts w:cs="Arial"/>
          <w:color w:val="000000"/>
          <w:shd w:val="clear" w:color="auto" w:fill="FFFFFF"/>
        </w:rPr>
        <w:lastRenderedPageBreak/>
        <w:t xml:space="preserve">contractual y </w:t>
      </w:r>
      <w:r w:rsidR="00C013F3" w:rsidRPr="004C2FAC">
        <w:rPr>
          <w:rFonts w:cs="Arial"/>
          <w:color w:val="000000"/>
          <w:shd w:val="clear" w:color="auto" w:fill="FFFFFF"/>
        </w:rPr>
        <w:t>reafirmar e</w:t>
      </w:r>
      <w:r w:rsidR="0065188E" w:rsidRPr="004C2FAC">
        <w:rPr>
          <w:rFonts w:cs="Arial"/>
          <w:color w:val="000000"/>
          <w:shd w:val="clear" w:color="auto" w:fill="FFFFFF"/>
        </w:rPr>
        <w:t xml:space="preserve">l imperativo de </w:t>
      </w:r>
      <w:r w:rsidR="00BD5EB0" w:rsidRPr="004C2FAC">
        <w:rPr>
          <w:rFonts w:cs="Arial"/>
          <w:i/>
          <w:color w:val="000000"/>
          <w:shd w:val="clear" w:color="auto" w:fill="FFFFFF"/>
        </w:rPr>
        <w:t xml:space="preserve">aplicar </w:t>
      </w:r>
      <w:r w:rsidR="00C013F3" w:rsidRPr="004C2FAC">
        <w:rPr>
          <w:rFonts w:cs="Arial"/>
          <w:i/>
          <w:color w:val="000000"/>
          <w:shd w:val="clear" w:color="auto" w:fill="FFFFFF"/>
        </w:rPr>
        <w:t xml:space="preserve">el plazo previsto en </w:t>
      </w:r>
      <w:r w:rsidR="0065188E" w:rsidRPr="004C2FAC">
        <w:rPr>
          <w:rFonts w:cs="Arial"/>
          <w:i/>
          <w:color w:val="000000"/>
          <w:shd w:val="clear" w:color="auto" w:fill="FFFFFF"/>
        </w:rPr>
        <w:t>la norma</w:t>
      </w:r>
      <w:r w:rsidR="00C013F3" w:rsidRPr="004C2FAC">
        <w:rPr>
          <w:rFonts w:cs="Arial"/>
          <w:i/>
          <w:color w:val="000000"/>
          <w:shd w:val="clear" w:color="auto" w:fill="FFFFFF"/>
        </w:rPr>
        <w:t xml:space="preserve"> </w:t>
      </w:r>
      <w:r w:rsidR="0065188E" w:rsidRPr="004C2FAC">
        <w:rPr>
          <w:rFonts w:cs="Arial"/>
          <w:i/>
          <w:color w:val="000000"/>
          <w:shd w:val="clear" w:color="auto" w:fill="FFFFFF"/>
        </w:rPr>
        <w:t>vigente al momento que ocurre el supuesto que permite acudir a la jurisdicción</w:t>
      </w:r>
      <w:r w:rsidR="00C013F3" w:rsidRPr="004C2FAC">
        <w:rPr>
          <w:rFonts w:cs="Arial"/>
          <w:i/>
          <w:color w:val="000000"/>
          <w:shd w:val="clear" w:color="auto" w:fill="FFFFFF"/>
        </w:rPr>
        <w:t>,</w:t>
      </w:r>
      <w:r w:rsidR="00C013F3" w:rsidRPr="004C2FAC">
        <w:rPr>
          <w:rFonts w:cs="Arial"/>
          <w:color w:val="000000"/>
          <w:shd w:val="clear" w:color="auto" w:fill="FFFFFF"/>
        </w:rPr>
        <w:t xml:space="preserve"> así</w:t>
      </w:r>
      <w:r w:rsidR="0065188E" w:rsidRPr="004C2FAC">
        <w:rPr>
          <w:rFonts w:cs="Arial"/>
          <w:color w:val="000000"/>
          <w:sz w:val="27"/>
          <w:szCs w:val="27"/>
          <w:shd w:val="clear" w:color="auto" w:fill="FFFFFF"/>
        </w:rPr>
        <w:t xml:space="preserve">: </w:t>
      </w:r>
    </w:p>
    <w:p w:rsidR="0065188E" w:rsidRPr="004C2FAC" w:rsidRDefault="0065188E" w:rsidP="0065188E">
      <w:pPr>
        <w:spacing w:line="240" w:lineRule="auto"/>
        <w:rPr>
          <w:rFonts w:cs="Arial"/>
          <w:color w:val="000000"/>
          <w:sz w:val="27"/>
          <w:szCs w:val="27"/>
          <w:shd w:val="clear" w:color="auto" w:fill="FFFFFF"/>
        </w:rPr>
      </w:pPr>
    </w:p>
    <w:p w:rsidR="0065188E" w:rsidRPr="004C2FAC" w:rsidRDefault="0065188E" w:rsidP="00D26AC5">
      <w:pPr>
        <w:spacing w:line="240" w:lineRule="auto"/>
        <w:ind w:left="851" w:right="902"/>
        <w:rPr>
          <w:rFonts w:cs="Arial"/>
          <w:bCs/>
          <w:i/>
          <w:sz w:val="22"/>
          <w:szCs w:val="22"/>
        </w:rPr>
      </w:pPr>
      <w:r w:rsidRPr="004C2FAC">
        <w:rPr>
          <w:rFonts w:cs="Arial"/>
          <w:sz w:val="22"/>
          <w:szCs w:val="22"/>
        </w:rPr>
        <w:t>“</w:t>
      </w:r>
      <w:bookmarkStart w:id="3" w:name="_Hlk25828539"/>
      <w:r w:rsidRPr="004C2FAC">
        <w:rPr>
          <w:rFonts w:cs="Arial"/>
          <w:i/>
          <w:sz w:val="22"/>
          <w:szCs w:val="22"/>
        </w:rPr>
        <w:t xml:space="preserve">Las normas relativas a la caducidad de la acción son de naturaleza procesal, pese a que tienen un trasfondo sustancial, porque limitan en el tiempo el ejercicio del derecho público de acción, por consiguiente, </w:t>
      </w:r>
      <w:r w:rsidRPr="004C2FAC">
        <w:rPr>
          <w:rFonts w:cs="Arial"/>
          <w:bCs/>
          <w:i/>
          <w:sz w:val="22"/>
          <w:szCs w:val="22"/>
        </w:rPr>
        <w:t xml:space="preserve">los límites objetivo - temporales que extinguen con el paso del tiempo la posibilidad de poner en funcionamiento el aparato jurisdiccional se encuentran supeditados a la normatividad imperante al momento en que acontece el supuesto que permite acudir a la jurisdicción, en procura de la </w:t>
      </w:r>
      <w:r w:rsidRPr="004C2FAC">
        <w:rPr>
          <w:rFonts w:cs="Arial"/>
          <w:i/>
          <w:sz w:val="22"/>
          <w:szCs w:val="22"/>
        </w:rPr>
        <w:t>protección o de la satisfacción del derecho subjetivo conculcado</w:t>
      </w:r>
      <w:r w:rsidRPr="004C2FAC">
        <w:rPr>
          <w:rFonts w:cs="Arial"/>
          <w:bCs/>
          <w:i/>
          <w:sz w:val="22"/>
          <w:szCs w:val="22"/>
        </w:rPr>
        <w:t>, de manera que la inactividad del administrado, por el período determinado en la ley, genera inexorablemente la caducidad de la acción. Tal planteamiento se acompasa con lo previsto por los artículos 38 y 40 de la Ley 153 de 1887”</w:t>
      </w:r>
      <w:bookmarkEnd w:id="3"/>
      <w:r w:rsidRPr="004C2FAC">
        <w:rPr>
          <w:rStyle w:val="Refdenotaalpie"/>
          <w:rFonts w:cs="Arial"/>
          <w:bCs/>
          <w:i/>
          <w:sz w:val="22"/>
          <w:szCs w:val="22"/>
        </w:rPr>
        <w:footnoteReference w:id="35"/>
      </w:r>
      <w:r w:rsidRPr="004C2FAC">
        <w:rPr>
          <w:rFonts w:cs="Arial"/>
          <w:bCs/>
          <w:i/>
          <w:sz w:val="22"/>
          <w:szCs w:val="22"/>
        </w:rPr>
        <w:t>.</w:t>
      </w:r>
    </w:p>
    <w:p w:rsidR="0065188E" w:rsidRPr="004C2FAC" w:rsidRDefault="0065188E" w:rsidP="0065188E">
      <w:pPr>
        <w:spacing w:line="240" w:lineRule="auto"/>
        <w:ind w:left="851" w:right="283"/>
        <w:rPr>
          <w:rFonts w:cs="Arial"/>
          <w:bCs/>
        </w:rPr>
      </w:pPr>
    </w:p>
    <w:p w:rsidR="00961124" w:rsidRPr="004C2FAC" w:rsidRDefault="00961124" w:rsidP="00483B19">
      <w:pPr>
        <w:spacing w:line="240" w:lineRule="auto"/>
        <w:rPr>
          <w:rFonts w:cs="Arial"/>
          <w:b/>
        </w:rPr>
      </w:pPr>
    </w:p>
    <w:p w:rsidR="004721D3" w:rsidRPr="004C2FAC" w:rsidRDefault="00236D03" w:rsidP="00F76C10">
      <w:pPr>
        <w:spacing w:line="240" w:lineRule="auto"/>
        <w:rPr>
          <w:rFonts w:cs="Arial"/>
          <w:b/>
        </w:rPr>
      </w:pPr>
      <w:r w:rsidRPr="004C2FAC">
        <w:rPr>
          <w:rFonts w:cs="Arial"/>
          <w:b/>
        </w:rPr>
        <w:t>2.</w:t>
      </w:r>
      <w:r w:rsidR="00A27C0B" w:rsidRPr="004C2FAC">
        <w:rPr>
          <w:rFonts w:cs="Arial"/>
          <w:b/>
        </w:rPr>
        <w:t>2</w:t>
      </w:r>
      <w:r w:rsidRPr="004C2FAC">
        <w:rPr>
          <w:rFonts w:cs="Arial"/>
          <w:b/>
        </w:rPr>
        <w:t xml:space="preserve">. </w:t>
      </w:r>
      <w:r w:rsidR="00C013F3" w:rsidRPr="004C2FAC">
        <w:rPr>
          <w:rFonts w:cs="Arial"/>
          <w:b/>
        </w:rPr>
        <w:t xml:space="preserve">Razones para desestimar </w:t>
      </w:r>
      <w:r w:rsidR="006D7221" w:rsidRPr="004C2FAC">
        <w:rPr>
          <w:rFonts w:cs="Arial"/>
          <w:b/>
        </w:rPr>
        <w:t>los argumentos sobre la caducidad de la acción, expuesto</w:t>
      </w:r>
      <w:r w:rsidR="00C013F3" w:rsidRPr="004C2FAC">
        <w:rPr>
          <w:rFonts w:cs="Arial"/>
          <w:b/>
        </w:rPr>
        <w:t>s</w:t>
      </w:r>
      <w:r w:rsidR="006D7221" w:rsidRPr="004C2FAC">
        <w:rPr>
          <w:rFonts w:cs="Arial"/>
          <w:b/>
        </w:rPr>
        <w:t xml:space="preserve"> en la sentencia de primera instancia </w:t>
      </w:r>
    </w:p>
    <w:p w:rsidR="006D7221" w:rsidRPr="004C2FAC" w:rsidRDefault="006D7221" w:rsidP="00F76C10">
      <w:pPr>
        <w:spacing w:line="240" w:lineRule="auto"/>
        <w:rPr>
          <w:rFonts w:cs="Arial"/>
          <w:b/>
        </w:rPr>
      </w:pPr>
    </w:p>
    <w:p w:rsidR="00F1129C" w:rsidRPr="004C2FAC" w:rsidRDefault="00F1129C" w:rsidP="00F1129C">
      <w:pPr>
        <w:rPr>
          <w:rFonts w:cs="Arial"/>
        </w:rPr>
      </w:pPr>
      <w:r w:rsidRPr="004C2FAC">
        <w:rPr>
          <w:rFonts w:cs="Arial"/>
        </w:rPr>
        <w:t xml:space="preserve">Sin perjuicio de que se ha expuesto </w:t>
      </w:r>
      <w:r w:rsidR="00961124" w:rsidRPr="004C2FAC">
        <w:rPr>
          <w:rFonts w:cs="Arial"/>
        </w:rPr>
        <w:t xml:space="preserve">la jurisprudencia reiterada sobre el asunto en cuestión, la Sala advierte que debe pronunciarse específicamente sobre las consideraciones </w:t>
      </w:r>
      <w:r w:rsidR="00A6504A" w:rsidRPr="004C2FAC">
        <w:rPr>
          <w:rFonts w:cs="Arial"/>
        </w:rPr>
        <w:t xml:space="preserve">que realizó el </w:t>
      </w:r>
      <w:r w:rsidRPr="004C2FAC">
        <w:rPr>
          <w:rFonts w:cs="Arial"/>
        </w:rPr>
        <w:t xml:space="preserve">Tribunal </w:t>
      </w:r>
      <w:r w:rsidRPr="004C2FAC">
        <w:rPr>
          <w:rFonts w:cs="Arial"/>
          <w:i/>
        </w:rPr>
        <w:t xml:space="preserve">a </w:t>
      </w:r>
      <w:r w:rsidR="00961124" w:rsidRPr="004C2FAC">
        <w:rPr>
          <w:rFonts w:cs="Arial"/>
          <w:i/>
        </w:rPr>
        <w:t>qu</w:t>
      </w:r>
      <w:r w:rsidRPr="004C2FAC">
        <w:rPr>
          <w:rFonts w:cs="Arial"/>
          <w:i/>
        </w:rPr>
        <w:t>o</w:t>
      </w:r>
      <w:r w:rsidRPr="004C2FAC">
        <w:rPr>
          <w:rFonts w:cs="Arial"/>
        </w:rPr>
        <w:t xml:space="preserve">, </w:t>
      </w:r>
      <w:r w:rsidR="00A6504A" w:rsidRPr="004C2FAC">
        <w:rPr>
          <w:rFonts w:cs="Arial"/>
        </w:rPr>
        <w:t xml:space="preserve">las cuales </w:t>
      </w:r>
      <w:r w:rsidRPr="004C2FAC">
        <w:rPr>
          <w:rFonts w:cs="Arial"/>
        </w:rPr>
        <w:t>constituyen materia de</w:t>
      </w:r>
      <w:r w:rsidR="00A6504A" w:rsidRPr="004C2FAC">
        <w:rPr>
          <w:rFonts w:cs="Arial"/>
        </w:rPr>
        <w:t>l recurso de</w:t>
      </w:r>
      <w:r w:rsidRPr="004C2FAC">
        <w:rPr>
          <w:rFonts w:cs="Arial"/>
        </w:rPr>
        <w:t xml:space="preserve"> la apelación.</w:t>
      </w:r>
    </w:p>
    <w:p w:rsidR="00F1129C" w:rsidRPr="004C2FAC" w:rsidRDefault="00F1129C" w:rsidP="00F1129C">
      <w:pPr>
        <w:rPr>
          <w:rFonts w:cs="Arial"/>
        </w:rPr>
      </w:pPr>
    </w:p>
    <w:p w:rsidR="009B1301" w:rsidRPr="004C2FAC" w:rsidRDefault="00377F29" w:rsidP="00F76C10">
      <w:pPr>
        <w:rPr>
          <w:rFonts w:cs="Arial"/>
        </w:rPr>
      </w:pPr>
      <w:r w:rsidRPr="004C2FAC">
        <w:rPr>
          <w:rFonts w:cs="Arial"/>
        </w:rPr>
        <w:t>C</w:t>
      </w:r>
      <w:r w:rsidR="00236A65" w:rsidRPr="004C2FAC">
        <w:rPr>
          <w:rFonts w:cs="Arial"/>
        </w:rPr>
        <w:t xml:space="preserve">on base en la </w:t>
      </w:r>
      <w:r w:rsidR="00170CD5" w:rsidRPr="004C2FAC">
        <w:rPr>
          <w:rFonts w:cs="Arial"/>
        </w:rPr>
        <w:t xml:space="preserve">interpretación que </w:t>
      </w:r>
      <w:r w:rsidR="00FA4FDA" w:rsidRPr="004C2FAC">
        <w:rPr>
          <w:rFonts w:cs="Arial"/>
        </w:rPr>
        <w:t xml:space="preserve">el Tribunal </w:t>
      </w:r>
      <w:r w:rsidR="00FA4FDA" w:rsidRPr="004C2FAC">
        <w:rPr>
          <w:rFonts w:cs="Arial"/>
          <w:i/>
        </w:rPr>
        <w:t>a quo</w:t>
      </w:r>
      <w:r w:rsidR="00FA4FDA" w:rsidRPr="004C2FAC">
        <w:rPr>
          <w:rFonts w:cs="Arial"/>
        </w:rPr>
        <w:t xml:space="preserve"> </w:t>
      </w:r>
      <w:r w:rsidR="00170CD5" w:rsidRPr="004C2FAC">
        <w:rPr>
          <w:rFonts w:cs="Arial"/>
        </w:rPr>
        <w:t xml:space="preserve">dio a </w:t>
      </w:r>
      <w:r w:rsidR="0048301E" w:rsidRPr="004C2FAC">
        <w:rPr>
          <w:rFonts w:cs="Arial"/>
        </w:rPr>
        <w:t xml:space="preserve">la </w:t>
      </w:r>
      <w:r w:rsidR="00236A65" w:rsidRPr="004C2FAC">
        <w:rPr>
          <w:rFonts w:cs="Arial"/>
        </w:rPr>
        <w:t xml:space="preserve">jurisprudencia </w:t>
      </w:r>
      <w:r w:rsidR="00FA4FDA" w:rsidRPr="004C2FAC">
        <w:rPr>
          <w:rFonts w:cs="Arial"/>
        </w:rPr>
        <w:t xml:space="preserve">de la Corte Constitucional </w:t>
      </w:r>
      <w:r w:rsidR="00236A65" w:rsidRPr="004C2FAC">
        <w:rPr>
          <w:rFonts w:cs="Arial"/>
        </w:rPr>
        <w:t xml:space="preserve">que </w:t>
      </w:r>
      <w:r w:rsidR="00707B8E" w:rsidRPr="004C2FAC">
        <w:rPr>
          <w:rFonts w:cs="Arial"/>
        </w:rPr>
        <w:t xml:space="preserve">se </w:t>
      </w:r>
      <w:r w:rsidR="00236A65" w:rsidRPr="004C2FAC">
        <w:rPr>
          <w:rFonts w:cs="Arial"/>
        </w:rPr>
        <w:t>transcribió</w:t>
      </w:r>
      <w:r w:rsidR="009B1301" w:rsidRPr="004C2FAC">
        <w:rPr>
          <w:rFonts w:cs="Arial"/>
        </w:rPr>
        <w:t xml:space="preserve"> en</w:t>
      </w:r>
      <w:r w:rsidR="0011501F" w:rsidRPr="004C2FAC">
        <w:rPr>
          <w:rFonts w:cs="Arial"/>
        </w:rPr>
        <w:t xml:space="preserve"> la sentencia de primera instancia</w:t>
      </w:r>
      <w:r w:rsidR="009B1301" w:rsidRPr="004C2FAC">
        <w:rPr>
          <w:rFonts w:cs="Arial"/>
        </w:rPr>
        <w:t xml:space="preserve">, </w:t>
      </w:r>
      <w:r w:rsidR="00707B8E" w:rsidRPr="004C2FAC">
        <w:rPr>
          <w:rFonts w:cs="Arial"/>
        </w:rPr>
        <w:t xml:space="preserve">se puede reseñar que </w:t>
      </w:r>
      <w:r w:rsidR="009B1301" w:rsidRPr="004C2FAC">
        <w:rPr>
          <w:rFonts w:cs="Arial"/>
        </w:rPr>
        <w:t xml:space="preserve">de haber tenido en cuenta </w:t>
      </w:r>
      <w:r w:rsidR="00FA4FDA" w:rsidRPr="004C2FAC">
        <w:rPr>
          <w:rFonts w:cs="Arial"/>
        </w:rPr>
        <w:t>el asunto materia de la controversia,</w:t>
      </w:r>
      <w:r w:rsidR="009B1301" w:rsidRPr="004C2FAC">
        <w:rPr>
          <w:rFonts w:cs="Arial"/>
        </w:rPr>
        <w:t xml:space="preserve"> </w:t>
      </w:r>
      <w:r w:rsidR="00707B8E" w:rsidRPr="004C2FAC">
        <w:rPr>
          <w:rFonts w:cs="Arial"/>
        </w:rPr>
        <w:t xml:space="preserve">el </w:t>
      </w:r>
      <w:r w:rsidR="00707B8E" w:rsidRPr="004C2FAC">
        <w:rPr>
          <w:rFonts w:cs="Arial"/>
          <w:i/>
        </w:rPr>
        <w:t>a quo</w:t>
      </w:r>
      <w:r w:rsidR="00707B8E" w:rsidRPr="004C2FAC">
        <w:rPr>
          <w:rFonts w:cs="Arial"/>
        </w:rPr>
        <w:t xml:space="preserve"> </w:t>
      </w:r>
      <w:r w:rsidRPr="004C2FAC">
        <w:rPr>
          <w:rFonts w:cs="Arial"/>
        </w:rPr>
        <w:t>deb</w:t>
      </w:r>
      <w:r w:rsidR="00FA4FDA" w:rsidRPr="004C2FAC">
        <w:rPr>
          <w:rFonts w:cs="Arial"/>
        </w:rPr>
        <w:t xml:space="preserve">ió </w:t>
      </w:r>
      <w:r w:rsidR="00EF62E8" w:rsidRPr="004C2FAC">
        <w:rPr>
          <w:rFonts w:cs="Arial"/>
        </w:rPr>
        <w:t>llega</w:t>
      </w:r>
      <w:r w:rsidRPr="004C2FAC">
        <w:rPr>
          <w:rFonts w:cs="Arial"/>
        </w:rPr>
        <w:t xml:space="preserve">r a </w:t>
      </w:r>
      <w:r w:rsidR="00236A65" w:rsidRPr="004C2FAC">
        <w:rPr>
          <w:rFonts w:cs="Arial"/>
        </w:rPr>
        <w:t>la observancia del artículo 5</w:t>
      </w:r>
      <w:r w:rsidR="00922894" w:rsidRPr="004C2FAC">
        <w:rPr>
          <w:rFonts w:cs="Arial"/>
        </w:rPr>
        <w:t>5</w:t>
      </w:r>
      <w:r w:rsidR="00236A65" w:rsidRPr="004C2FAC">
        <w:rPr>
          <w:rFonts w:cs="Arial"/>
        </w:rPr>
        <w:t xml:space="preserve"> de la Ley 80 de 1993, en cuanto a la oportunidad en la presentación de la demanda</w:t>
      </w:r>
      <w:r w:rsidR="009B1301" w:rsidRPr="004C2FAC">
        <w:rPr>
          <w:rFonts w:cs="Arial"/>
        </w:rPr>
        <w:t xml:space="preserve"> en el término de 20 años</w:t>
      </w:r>
      <w:r w:rsidR="00F15CD8" w:rsidRPr="004C2FAC">
        <w:rPr>
          <w:rFonts w:cs="Arial"/>
        </w:rPr>
        <w:t xml:space="preserve"> y </w:t>
      </w:r>
      <w:r w:rsidR="004E476C" w:rsidRPr="004C2FAC">
        <w:rPr>
          <w:rFonts w:cs="Arial"/>
        </w:rPr>
        <w:t xml:space="preserve">no </w:t>
      </w:r>
      <w:r w:rsidR="00FF5FE8" w:rsidRPr="004C2FAC">
        <w:rPr>
          <w:rFonts w:cs="Arial"/>
        </w:rPr>
        <w:t xml:space="preserve">a </w:t>
      </w:r>
      <w:r w:rsidR="004E476C" w:rsidRPr="004C2FAC">
        <w:rPr>
          <w:rFonts w:cs="Arial"/>
        </w:rPr>
        <w:t xml:space="preserve">la </w:t>
      </w:r>
      <w:r w:rsidR="009B1301" w:rsidRPr="004C2FAC">
        <w:rPr>
          <w:rFonts w:cs="Arial"/>
        </w:rPr>
        <w:t>declara</w:t>
      </w:r>
      <w:r w:rsidR="004E476C" w:rsidRPr="004C2FAC">
        <w:rPr>
          <w:rFonts w:cs="Arial"/>
        </w:rPr>
        <w:t>toria de</w:t>
      </w:r>
      <w:r w:rsidR="009B1301" w:rsidRPr="004C2FAC">
        <w:rPr>
          <w:rFonts w:cs="Arial"/>
        </w:rPr>
        <w:t xml:space="preserve"> caducidad de la acción.</w:t>
      </w:r>
    </w:p>
    <w:p w:rsidR="00CE65DD" w:rsidRPr="004C2FAC" w:rsidRDefault="00CE65DD" w:rsidP="00F76C10">
      <w:pPr>
        <w:rPr>
          <w:rFonts w:cs="Arial"/>
        </w:rPr>
      </w:pPr>
    </w:p>
    <w:p w:rsidR="00CE65DD" w:rsidRPr="004C2FAC" w:rsidRDefault="004C1A8C" w:rsidP="00CE65DD">
      <w:pPr>
        <w:rPr>
          <w:rFonts w:cs="Arial"/>
        </w:rPr>
      </w:pPr>
      <w:r w:rsidRPr="004C2FAC">
        <w:rPr>
          <w:rFonts w:cs="Arial"/>
        </w:rPr>
        <w:lastRenderedPageBreak/>
        <w:t>En efecto, l</w:t>
      </w:r>
      <w:r w:rsidR="00CE65DD" w:rsidRPr="004C2FAC">
        <w:rPr>
          <w:rFonts w:cs="Arial"/>
        </w:rPr>
        <w:t>a providencia de primera instancia acudió a la sentencia C-574 de 1998 de la Corte Constitucional</w:t>
      </w:r>
      <w:r w:rsidR="00CE65DD" w:rsidRPr="004C2FAC">
        <w:rPr>
          <w:rStyle w:val="Refdenotaalpie"/>
          <w:rFonts w:cs="Arial"/>
        </w:rPr>
        <w:footnoteReference w:id="36"/>
      </w:r>
      <w:r w:rsidR="00CE65DD" w:rsidRPr="004C2FAC">
        <w:rPr>
          <w:rFonts w:cs="Arial"/>
        </w:rPr>
        <w:t xml:space="preserve">, en cuanto que allí se distinguió que la regla de la caducidad del artículo 136 del CCA resultaba aplicable, sin perjuicio de la prescripción establecida en el artículo 55 de la Ley 80 de 1993, para las controversias relativas a la responsabilidad de las entidades estatales que se fundaban en el </w:t>
      </w:r>
      <w:r w:rsidR="00CE65DD" w:rsidRPr="004C2FAC">
        <w:rPr>
          <w:rFonts w:cs="Arial"/>
          <w:i/>
        </w:rPr>
        <w:t xml:space="preserve">“derecho público” </w:t>
      </w:r>
      <w:r w:rsidR="00CE65DD" w:rsidRPr="004C2FAC">
        <w:rPr>
          <w:rFonts w:cs="Arial"/>
        </w:rPr>
        <w:t>de la Nación.</w:t>
      </w:r>
    </w:p>
    <w:p w:rsidR="00CE65DD" w:rsidRPr="004C2FAC" w:rsidRDefault="00CE65DD" w:rsidP="00CE65DD">
      <w:pPr>
        <w:rPr>
          <w:rFonts w:cs="Arial"/>
        </w:rPr>
      </w:pPr>
    </w:p>
    <w:p w:rsidR="00CE65DD" w:rsidRPr="004C2FAC" w:rsidRDefault="00CE65DD" w:rsidP="00CE65DD">
      <w:pPr>
        <w:rPr>
          <w:rFonts w:cs="Arial"/>
          <w:lang w:val="es-MX"/>
        </w:rPr>
      </w:pPr>
      <w:r w:rsidRPr="004C2FAC">
        <w:rPr>
          <w:rFonts w:cs="Arial"/>
          <w:lang w:val="es-MX"/>
        </w:rPr>
        <w:t xml:space="preserve">El razonamiento expuesto falla en su pertinencia, dado que el asunto litigioso en el presente caso versaba sobre el incumplimiento de un particular, precisamente en el ámbito de la responsabilidad civil del contratista por el daño causado al Estado en razón del supuesto incumplimiento. </w:t>
      </w:r>
    </w:p>
    <w:p w:rsidR="00CE65DD" w:rsidRPr="004C2FAC" w:rsidRDefault="00CE65DD" w:rsidP="00CE65DD">
      <w:pPr>
        <w:rPr>
          <w:rFonts w:cs="Arial"/>
        </w:rPr>
      </w:pPr>
    </w:p>
    <w:p w:rsidR="00CE65DD" w:rsidRPr="004C2FAC" w:rsidRDefault="00CE65DD" w:rsidP="00CE65DD">
      <w:pPr>
        <w:rPr>
          <w:rFonts w:cs="Arial"/>
        </w:rPr>
      </w:pPr>
      <w:r w:rsidRPr="004C2FAC">
        <w:rPr>
          <w:rFonts w:cs="Arial"/>
        </w:rPr>
        <w:t xml:space="preserve">Además, se advierte que el Tribunal </w:t>
      </w:r>
      <w:r w:rsidRPr="004C2FAC">
        <w:rPr>
          <w:rFonts w:cs="Arial"/>
          <w:i/>
        </w:rPr>
        <w:t>a quo</w:t>
      </w:r>
      <w:r w:rsidRPr="004C2FAC">
        <w:rPr>
          <w:rFonts w:cs="Arial"/>
        </w:rPr>
        <w:t xml:space="preserve"> en su razonamiento pasó por alto la naturaleza de las actuaciones materia de la controversia y, por ello, se equivocó al elaborar una interpretación sobre la caducidad de la acción contractual, con fundamento en la distinción expuesta en la sentencia C-574 de 1998 de la Corte Constitucional, dado que, aplicando el mismo entendimiento que se dio a la referida providencia, se ha debido advertir que las actuaciones materia de la controversia no correspondían a actos administrativos -que se regían por el derecho público de la Nación-, caso en el cual, según el Tribunal </w:t>
      </w:r>
      <w:r w:rsidRPr="004C2FAC">
        <w:rPr>
          <w:rFonts w:cs="Arial"/>
          <w:i/>
        </w:rPr>
        <w:t>a quo</w:t>
      </w:r>
      <w:r w:rsidRPr="004C2FAC">
        <w:rPr>
          <w:rFonts w:cs="Arial"/>
        </w:rPr>
        <w:t>, debía aplicar la regla de la caducidad del artículo 136 del CCA.</w:t>
      </w:r>
    </w:p>
    <w:p w:rsidR="00CE65DD" w:rsidRPr="004C2FAC" w:rsidRDefault="00CE65DD" w:rsidP="00CE65DD">
      <w:pPr>
        <w:rPr>
          <w:rFonts w:cs="Arial"/>
          <w:b/>
        </w:rPr>
      </w:pPr>
    </w:p>
    <w:p w:rsidR="00CE65DD" w:rsidRPr="004C2FAC" w:rsidRDefault="00CE65DD" w:rsidP="00CE65DD">
      <w:pPr>
        <w:rPr>
          <w:rFonts w:cs="Arial"/>
        </w:rPr>
      </w:pPr>
      <w:r w:rsidRPr="004C2FAC">
        <w:rPr>
          <w:rFonts w:cs="Arial"/>
        </w:rPr>
        <w:t xml:space="preserve">Se agrega que en la sentencia  C 563 de 1998, también citada por el Tribunal </w:t>
      </w:r>
      <w:r w:rsidRPr="004C2FAC">
        <w:rPr>
          <w:rFonts w:cs="Arial"/>
          <w:i/>
        </w:rPr>
        <w:t>a quo</w:t>
      </w:r>
      <w:r w:rsidRPr="004C2FAC">
        <w:rPr>
          <w:rFonts w:cs="Arial"/>
        </w:rPr>
        <w:t xml:space="preserve">, se precisó que el artículo 52 de la Ley 80 de 1993 permitía el ejercicio de acciones de responsabilidad contra el particular contratista que causaba un daño al Estado contratante, asunto que se corresponde con la conducta que se juzga en este caso, </w:t>
      </w:r>
      <w:r w:rsidRPr="004C2FAC">
        <w:rPr>
          <w:rFonts w:cs="Arial"/>
        </w:rPr>
        <w:lastRenderedPageBreak/>
        <w:t>dado que, en síntesis, se narró en la demanda, que en unas operaciones de trueque de arroz el contratista no entregó el producto que le correspondía, al paso que s</w:t>
      </w:r>
      <w:r w:rsidR="00F10F6A" w:rsidRPr="004C2FAC">
        <w:rPr>
          <w:rFonts w:cs="Arial"/>
        </w:rPr>
        <w:t>í</w:t>
      </w:r>
      <w:r w:rsidRPr="004C2FAC">
        <w:rPr>
          <w:rFonts w:cs="Arial"/>
        </w:rPr>
        <w:t xml:space="preserve"> retiró de las bodegas del IDEMA unas cantidades de arroz de esa entidad, de manera que la litis, en últimas, se funda en un daño antijurídico al Estado en la ejecución de</w:t>
      </w:r>
      <w:r w:rsidR="00F10F6A" w:rsidRPr="004C2FAC">
        <w:rPr>
          <w:rFonts w:cs="Arial"/>
        </w:rPr>
        <w:t xml:space="preserve"> los</w:t>
      </w:r>
      <w:r w:rsidRPr="004C2FAC">
        <w:rPr>
          <w:rFonts w:cs="Arial"/>
        </w:rPr>
        <w:t xml:space="preserve"> contrato</w:t>
      </w:r>
      <w:r w:rsidR="00F10F6A" w:rsidRPr="004C2FAC">
        <w:rPr>
          <w:rFonts w:cs="Arial"/>
        </w:rPr>
        <w:t>s</w:t>
      </w:r>
      <w:r w:rsidRPr="004C2FAC">
        <w:rPr>
          <w:rFonts w:cs="Arial"/>
        </w:rPr>
        <w:t xml:space="preserve"> de trueque y, por ello, la demanda s</w:t>
      </w:r>
      <w:r w:rsidR="00C35F82" w:rsidRPr="004C2FAC">
        <w:rPr>
          <w:rFonts w:cs="Arial"/>
        </w:rPr>
        <w:t>í</w:t>
      </w:r>
      <w:r w:rsidRPr="004C2FAC">
        <w:rPr>
          <w:rFonts w:cs="Arial"/>
        </w:rPr>
        <w:t xml:space="preserve"> podía apoyarse en los artículos 52 y 55 de la Ley 80 de 1993. </w:t>
      </w:r>
    </w:p>
    <w:p w:rsidR="00CE65DD" w:rsidRPr="004C2FAC" w:rsidRDefault="00CE65DD" w:rsidP="00CE65DD">
      <w:pPr>
        <w:rPr>
          <w:rFonts w:cs="Arial"/>
        </w:rPr>
      </w:pPr>
    </w:p>
    <w:p w:rsidR="006B54AB" w:rsidRPr="004C2FAC" w:rsidRDefault="00CE65DD" w:rsidP="00CE65DD">
      <w:pPr>
        <w:rPr>
          <w:rFonts w:cs="Arial"/>
          <w:i/>
        </w:rPr>
      </w:pPr>
      <w:r w:rsidRPr="004C2FAC">
        <w:rPr>
          <w:rFonts w:cs="Arial"/>
        </w:rPr>
        <w:t>Puede observarse que las conductas que enumeró la Corte Constitucional, a título de ejemplo, en línea de sentar la constitucionalidad del artículo 52 la Ley 80 de 1993 que otorgó temporalmente</w:t>
      </w:r>
      <w:r w:rsidRPr="004C2FAC">
        <w:rPr>
          <w:rStyle w:val="Refdenotaalpie"/>
          <w:rFonts w:cs="Arial"/>
        </w:rPr>
        <w:footnoteReference w:id="37"/>
      </w:r>
      <w:r w:rsidRPr="004C2FAC">
        <w:rPr>
          <w:rFonts w:cs="Arial"/>
        </w:rPr>
        <w:t xml:space="preserve"> un tratamiento diferencial a las acciones de responsabilidad contractual, se asemejan a las que puso de presente el Ministerio de Agricultura y Desarrollo Rural en el </w:t>
      </w:r>
      <w:r w:rsidRPr="004C2FAC">
        <w:rPr>
          <w:rFonts w:cs="Arial"/>
          <w:i/>
        </w:rPr>
        <w:t xml:space="preserve">sub lite. </w:t>
      </w:r>
    </w:p>
    <w:p w:rsidR="006B54AB" w:rsidRPr="004C2FAC" w:rsidRDefault="006B54AB" w:rsidP="00CE65DD">
      <w:pPr>
        <w:rPr>
          <w:rFonts w:cs="Arial"/>
          <w:i/>
        </w:rPr>
      </w:pPr>
    </w:p>
    <w:p w:rsidR="00260B22" w:rsidRPr="004C2FAC" w:rsidRDefault="00CE65DD" w:rsidP="00CE65DD">
      <w:pPr>
        <w:rPr>
          <w:rFonts w:cs="Arial"/>
        </w:rPr>
      </w:pPr>
      <w:r w:rsidRPr="004C2FAC">
        <w:rPr>
          <w:rFonts w:cs="Arial"/>
        </w:rPr>
        <w:t>Lo anterior</w:t>
      </w:r>
      <w:r w:rsidR="00C73A5B" w:rsidRPr="004C2FAC">
        <w:rPr>
          <w:rFonts w:cs="Arial"/>
        </w:rPr>
        <w:t>,</w:t>
      </w:r>
      <w:r w:rsidRPr="004C2FAC">
        <w:rPr>
          <w:rFonts w:cs="Arial"/>
          <w:i/>
        </w:rPr>
        <w:t xml:space="preserve"> </w:t>
      </w:r>
      <w:r w:rsidRPr="004C2FAC">
        <w:rPr>
          <w:rFonts w:cs="Arial"/>
        </w:rPr>
        <w:t xml:space="preserve">dado que la actividad del contratista constituía fuente de responsabilidad frente al Estado, </w:t>
      </w:r>
      <w:r w:rsidR="006B54AB" w:rsidRPr="004C2FAC">
        <w:rPr>
          <w:rFonts w:cs="Arial"/>
        </w:rPr>
        <w:t xml:space="preserve">teniendo en cuenta </w:t>
      </w:r>
      <w:r w:rsidRPr="004C2FAC">
        <w:rPr>
          <w:rFonts w:cs="Arial"/>
        </w:rPr>
        <w:t>que retiró los productos agropecuarios de las bodegas del IDEMA sin entregar nada a cambio, causando un daño antijurídico al Estado, el cual iba más allá del simple incumplimiento de la prestación debida</w:t>
      </w:r>
      <w:r w:rsidRPr="004C2FAC">
        <w:rPr>
          <w:rStyle w:val="Refdenotaalpie"/>
          <w:rFonts w:cs="Arial"/>
        </w:rPr>
        <w:footnoteReference w:id="38"/>
      </w:r>
      <w:r w:rsidRPr="004C2FAC">
        <w:rPr>
          <w:rFonts w:cs="Arial"/>
        </w:rPr>
        <w:t xml:space="preserve">: </w:t>
      </w:r>
    </w:p>
    <w:p w:rsidR="00260B22" w:rsidRPr="004C2FAC" w:rsidRDefault="00260B22" w:rsidP="00CE65DD">
      <w:pPr>
        <w:rPr>
          <w:rFonts w:cs="Arial"/>
        </w:rPr>
      </w:pPr>
    </w:p>
    <w:p w:rsidR="00CE65DD" w:rsidRPr="004C2FAC" w:rsidRDefault="00CE65DD" w:rsidP="00CE65DD">
      <w:pPr>
        <w:rPr>
          <w:rFonts w:cs="Arial"/>
        </w:rPr>
      </w:pPr>
      <w:r w:rsidRPr="004C2FAC">
        <w:rPr>
          <w:rFonts w:cs="Arial"/>
        </w:rPr>
        <w:t xml:space="preserve">En </w:t>
      </w:r>
      <w:r w:rsidR="00260B22" w:rsidRPr="004C2FAC">
        <w:rPr>
          <w:rFonts w:cs="Arial"/>
        </w:rPr>
        <w:t>la sentencia C 563 de 1998</w:t>
      </w:r>
      <w:r w:rsidR="00261371" w:rsidRPr="004C2FAC">
        <w:rPr>
          <w:rFonts w:cs="Arial"/>
        </w:rPr>
        <w:t xml:space="preserve">, en </w:t>
      </w:r>
      <w:r w:rsidRPr="004C2FAC">
        <w:rPr>
          <w:rFonts w:cs="Arial"/>
        </w:rPr>
        <w:t xml:space="preserve">su oportunidad la Corte Constitucional citó los </w:t>
      </w:r>
      <w:r w:rsidR="00260B22" w:rsidRPr="004C2FAC">
        <w:rPr>
          <w:rFonts w:cs="Arial"/>
        </w:rPr>
        <w:t xml:space="preserve">ejemplos de </w:t>
      </w:r>
      <w:r w:rsidR="00261371" w:rsidRPr="004C2FAC">
        <w:rPr>
          <w:rFonts w:cs="Arial"/>
        </w:rPr>
        <w:t xml:space="preserve">los </w:t>
      </w:r>
      <w:r w:rsidR="00260B22" w:rsidRPr="004C2FAC">
        <w:rPr>
          <w:rFonts w:cs="Arial"/>
        </w:rPr>
        <w:t xml:space="preserve">eventos de </w:t>
      </w:r>
      <w:r w:rsidRPr="004C2FAC">
        <w:rPr>
          <w:rFonts w:cs="Arial"/>
        </w:rPr>
        <w:t>responsabilidad del contratista así:</w:t>
      </w:r>
    </w:p>
    <w:p w:rsidR="00CE65DD" w:rsidRPr="004C2FAC" w:rsidRDefault="00CE65DD" w:rsidP="00CE65DD">
      <w:pPr>
        <w:rPr>
          <w:rFonts w:cs="Arial"/>
        </w:rPr>
      </w:pPr>
    </w:p>
    <w:p w:rsidR="00CE65DD" w:rsidRPr="004C2FAC" w:rsidRDefault="00CE65DD" w:rsidP="00CE65DD">
      <w:pPr>
        <w:spacing w:line="276" w:lineRule="auto"/>
        <w:ind w:left="567" w:right="902"/>
        <w:rPr>
          <w:sz w:val="22"/>
          <w:szCs w:val="22"/>
        </w:rPr>
      </w:pPr>
      <w:r w:rsidRPr="004C2FAC">
        <w:rPr>
          <w:i/>
          <w:sz w:val="22"/>
          <w:szCs w:val="22"/>
        </w:rPr>
        <w:t xml:space="preserve">“En la exposición de motivos del proyecto que luego se convirtió en la ley 80/93, </w:t>
      </w:r>
      <w:r w:rsidRPr="004C2FAC">
        <w:rPr>
          <w:b/>
          <w:i/>
          <w:sz w:val="22"/>
          <w:szCs w:val="22"/>
        </w:rPr>
        <w:t>se justificó</w:t>
      </w:r>
      <w:r w:rsidRPr="004C2FAC">
        <w:rPr>
          <w:i/>
          <w:sz w:val="22"/>
          <w:szCs w:val="22"/>
        </w:rPr>
        <w:t xml:space="preserve"> </w:t>
      </w:r>
      <w:r w:rsidRPr="004C2FAC">
        <w:rPr>
          <w:b/>
          <w:i/>
          <w:sz w:val="22"/>
          <w:szCs w:val="22"/>
        </w:rPr>
        <w:t>la responsabilidad de los particulares contratistas</w:t>
      </w:r>
      <w:r w:rsidRPr="004C2FAC">
        <w:rPr>
          <w:i/>
          <w:sz w:val="22"/>
          <w:szCs w:val="22"/>
        </w:rPr>
        <w:t xml:space="preserve">, asi como la de los consultores, interventores y asesores, en el sentido de que éstos </w:t>
      </w:r>
      <w:r w:rsidR="00C35F82" w:rsidRPr="004C2FAC">
        <w:rPr>
          <w:i/>
          <w:sz w:val="22"/>
          <w:szCs w:val="22"/>
        </w:rPr>
        <w:t>‘</w:t>
      </w:r>
      <w:r w:rsidRPr="004C2FAC">
        <w:rPr>
          <w:i/>
          <w:sz w:val="22"/>
          <w:szCs w:val="22"/>
        </w:rPr>
        <w:t xml:space="preserve">deberán responder civil y penalmente por las conductas dolosas o culposas </w:t>
      </w:r>
      <w:r w:rsidRPr="004C2FAC">
        <w:rPr>
          <w:b/>
          <w:i/>
          <w:sz w:val="22"/>
          <w:szCs w:val="22"/>
        </w:rPr>
        <w:t>en que incurran</w:t>
      </w:r>
      <w:r w:rsidRPr="004C2FAC">
        <w:rPr>
          <w:i/>
          <w:sz w:val="22"/>
          <w:szCs w:val="22"/>
        </w:rPr>
        <w:t xml:space="preserve"> </w:t>
      </w:r>
      <w:r w:rsidRPr="004C2FAC">
        <w:rPr>
          <w:b/>
          <w:i/>
          <w:sz w:val="22"/>
          <w:szCs w:val="22"/>
        </w:rPr>
        <w:t>en su actuar contractual</w:t>
      </w:r>
      <w:r w:rsidR="00C35F82" w:rsidRPr="004C2FAC">
        <w:rPr>
          <w:i/>
          <w:sz w:val="22"/>
          <w:szCs w:val="22"/>
        </w:rPr>
        <w:t>’</w:t>
      </w:r>
      <w:r w:rsidRPr="004C2FAC">
        <w:rPr>
          <w:i/>
          <w:sz w:val="22"/>
          <w:szCs w:val="22"/>
        </w:rPr>
        <w:t xml:space="preserve">, </w:t>
      </w:r>
      <w:r w:rsidRPr="004C2FAC">
        <w:rPr>
          <w:b/>
          <w:i/>
          <w:sz w:val="22"/>
          <w:szCs w:val="22"/>
        </w:rPr>
        <w:t>tales como</w:t>
      </w:r>
      <w:r w:rsidRPr="004C2FAC">
        <w:rPr>
          <w:i/>
          <w:sz w:val="22"/>
          <w:szCs w:val="22"/>
        </w:rPr>
        <w:t xml:space="preserve"> el participar en un proceso de selección a pesar de tener conocimiento de la inexistencia de autorizaciones para su ejecución, cuando suscriban el contrato no obstante conocer las circunstancias de inhabilidad o de incompatibilidad en que se hallan incursos; </w:t>
      </w:r>
      <w:r w:rsidRPr="004C2FAC">
        <w:rPr>
          <w:b/>
          <w:i/>
          <w:sz w:val="22"/>
          <w:szCs w:val="22"/>
        </w:rPr>
        <w:t xml:space="preserve">cuando no adopten las medidas o decisiones necesarias para iniciar el contrato en la época </w:t>
      </w:r>
      <w:r w:rsidRPr="004C2FAC">
        <w:rPr>
          <w:b/>
          <w:i/>
          <w:sz w:val="22"/>
          <w:szCs w:val="22"/>
        </w:rPr>
        <w:lastRenderedPageBreak/>
        <w:t>prevista o pactada; por obstaculizar las labores o actividades de vigilancia del contrato, así como cuando entregue bienes o preste servicios de calidad o especificaciones diferentes</w:t>
      </w:r>
      <w:r w:rsidRPr="004C2FAC">
        <w:rPr>
          <w:i/>
          <w:sz w:val="22"/>
          <w:szCs w:val="22"/>
        </w:rPr>
        <w:t>, o cuando formulen propuestas en las que se fijen condiciones económicas y de contratación artificialmente bajas con el propósito de obtener la adjudicación del contrato, entre otros casos"</w:t>
      </w:r>
      <w:r w:rsidRPr="004C2FAC">
        <w:rPr>
          <w:rStyle w:val="Refdenotaalpie"/>
          <w:i/>
          <w:sz w:val="22"/>
          <w:szCs w:val="22"/>
        </w:rPr>
        <w:footnoteReference w:id="39"/>
      </w:r>
      <w:r w:rsidRPr="004C2FAC">
        <w:rPr>
          <w:i/>
          <w:sz w:val="22"/>
          <w:szCs w:val="22"/>
        </w:rPr>
        <w:t xml:space="preserve"> </w:t>
      </w:r>
      <w:r w:rsidRPr="004C2FAC">
        <w:rPr>
          <w:sz w:val="22"/>
          <w:szCs w:val="22"/>
        </w:rPr>
        <w:t xml:space="preserve">( la negrilla no es del texto). </w:t>
      </w:r>
    </w:p>
    <w:p w:rsidR="00CE65DD" w:rsidRPr="004C2FAC" w:rsidRDefault="00CE65DD" w:rsidP="00CE65DD">
      <w:pPr>
        <w:ind w:right="-91"/>
        <w:rPr>
          <w:sz w:val="28"/>
          <w:szCs w:val="28"/>
        </w:rPr>
      </w:pPr>
    </w:p>
    <w:p w:rsidR="00CE65DD" w:rsidRPr="004C2FAC" w:rsidRDefault="00CE65DD" w:rsidP="00CE65DD">
      <w:pPr>
        <w:spacing w:line="276" w:lineRule="auto"/>
        <w:ind w:left="567" w:right="902"/>
        <w:rPr>
          <w:i/>
          <w:sz w:val="22"/>
          <w:szCs w:val="22"/>
        </w:rPr>
      </w:pPr>
      <w:r w:rsidRPr="004C2FAC">
        <w:rPr>
          <w:i/>
          <w:sz w:val="22"/>
          <w:szCs w:val="22"/>
        </w:rPr>
        <w:t>“Por lo anterior, no encuentra la Corte motivo alguno de inconstitucionalidad en las normas de los artículos 52 y 53 de la ley 80/93, en lo relativo al establecimiento de responsabilidad civil y penal de los contratistas, consultores, interventores y asesores externos. Por consiguiente, serán declarados exequibles.</w:t>
      </w:r>
    </w:p>
    <w:p w:rsidR="00CE65DD" w:rsidRPr="004C2FAC" w:rsidRDefault="00CE65DD" w:rsidP="00CE65DD">
      <w:pPr>
        <w:rPr>
          <w:rFonts w:cs="Arial"/>
        </w:rPr>
      </w:pPr>
    </w:p>
    <w:p w:rsidR="00DB08F7" w:rsidRPr="004C2FAC" w:rsidRDefault="00A62ADE" w:rsidP="00F76C10">
      <w:pPr>
        <w:rPr>
          <w:rFonts w:cs="Arial"/>
          <w:lang w:val="es-MX"/>
        </w:rPr>
      </w:pPr>
      <w:r w:rsidRPr="004C2FAC">
        <w:rPr>
          <w:rFonts w:cs="Arial"/>
          <w:lang w:val="es-MX"/>
        </w:rPr>
        <w:t xml:space="preserve">Por otra parte, </w:t>
      </w:r>
      <w:r w:rsidR="00FA4FDA" w:rsidRPr="004C2FAC">
        <w:rPr>
          <w:rFonts w:cs="Arial"/>
          <w:lang w:val="es-MX"/>
        </w:rPr>
        <w:t>aunque ello no delimit</w:t>
      </w:r>
      <w:r w:rsidR="003E7D95" w:rsidRPr="004C2FAC">
        <w:rPr>
          <w:rFonts w:cs="Arial"/>
          <w:lang w:val="es-MX"/>
        </w:rPr>
        <w:t xml:space="preserve">ó la oportunidad para presentar la demanda, se puede agregar que los </w:t>
      </w:r>
      <w:r w:rsidR="00DB08F7" w:rsidRPr="004C2FAC">
        <w:rPr>
          <w:rFonts w:cs="Arial"/>
          <w:lang w:val="es-MX"/>
        </w:rPr>
        <w:t>contratos de trueque de arroz realizados por el IDEMA en el año de 1995 se regían por el derecho privado, por tratarse de operaciones de comercialización de esa entidad, adelantadas dentro de su actividad como Empresa Industrial y Comercial del Estado, de acuerdo con la disposición contenida en el artículo 6 del Decreto 1050 de 1968</w:t>
      </w:r>
      <w:r w:rsidR="00DB08F7" w:rsidRPr="004C2FAC">
        <w:rPr>
          <w:rStyle w:val="Refdenotaalpie"/>
          <w:rFonts w:cs="Arial"/>
          <w:lang w:val="es-MX"/>
        </w:rPr>
        <w:footnoteReference w:id="40"/>
      </w:r>
      <w:r w:rsidR="00DB08F7" w:rsidRPr="004C2FAC">
        <w:rPr>
          <w:rFonts w:cs="Arial"/>
          <w:lang w:val="es-MX"/>
        </w:rPr>
        <w:t xml:space="preserve">. </w:t>
      </w:r>
    </w:p>
    <w:p w:rsidR="00DB08F7" w:rsidRPr="004C2FAC" w:rsidRDefault="00DB08F7" w:rsidP="00F76C10">
      <w:pPr>
        <w:rPr>
          <w:rFonts w:cs="Arial"/>
          <w:lang w:val="es-MX"/>
        </w:rPr>
      </w:pPr>
    </w:p>
    <w:p w:rsidR="00DB08F7" w:rsidRPr="004C2FAC" w:rsidRDefault="00DB08F7" w:rsidP="00F76C10">
      <w:pPr>
        <w:rPr>
          <w:rFonts w:cs="Arial"/>
        </w:rPr>
      </w:pPr>
      <w:r w:rsidRPr="004C2FAC">
        <w:rPr>
          <w:rFonts w:cs="Arial"/>
        </w:rPr>
        <w:t>S</w:t>
      </w:r>
      <w:r w:rsidR="00707B8E" w:rsidRPr="004C2FAC">
        <w:rPr>
          <w:rFonts w:cs="Arial"/>
        </w:rPr>
        <w:t xml:space="preserve">obre esta última precisión, se cita el </w:t>
      </w:r>
      <w:r w:rsidRPr="004C2FAC">
        <w:rPr>
          <w:rFonts w:cs="Arial"/>
        </w:rPr>
        <w:t>Decreto 2001 de octubre 6 de 1993</w:t>
      </w:r>
      <w:r w:rsidR="006C735B" w:rsidRPr="004C2FAC">
        <w:rPr>
          <w:rFonts w:cs="Arial"/>
        </w:rPr>
        <w:t xml:space="preserve">, en el cual se </w:t>
      </w:r>
      <w:r w:rsidRPr="004C2FAC">
        <w:rPr>
          <w:rFonts w:cs="Arial"/>
        </w:rPr>
        <w:t>siguió la regla de sujeción al derecho privado, para los contratos realizados por el IDEMA en desarrollo de sus actividades, así:</w:t>
      </w:r>
    </w:p>
    <w:p w:rsidR="00DB08F7" w:rsidRPr="004C2FAC" w:rsidRDefault="00DB08F7" w:rsidP="00DB08F7">
      <w:pPr>
        <w:spacing w:line="240" w:lineRule="auto"/>
        <w:rPr>
          <w:rFonts w:cs="Arial"/>
          <w:b/>
        </w:rPr>
      </w:pPr>
    </w:p>
    <w:p w:rsidR="00DB08F7" w:rsidRPr="004C2FAC" w:rsidRDefault="00DB08F7" w:rsidP="00D26AC5">
      <w:pPr>
        <w:spacing w:line="276" w:lineRule="auto"/>
        <w:ind w:left="567" w:right="902"/>
        <w:rPr>
          <w:rFonts w:cs="Arial"/>
          <w:color w:val="000000"/>
          <w:sz w:val="22"/>
          <w:szCs w:val="22"/>
        </w:rPr>
      </w:pPr>
      <w:r w:rsidRPr="004C2FAC">
        <w:rPr>
          <w:rFonts w:cs="Arial"/>
          <w:i/>
          <w:color w:val="000000"/>
          <w:sz w:val="22"/>
          <w:szCs w:val="22"/>
        </w:rPr>
        <w:t xml:space="preserve">“Artículo 16. </w:t>
      </w:r>
      <w:r w:rsidRPr="004C2FAC">
        <w:rPr>
          <w:rFonts w:cs="Arial"/>
          <w:bCs/>
          <w:i/>
          <w:color w:val="000000"/>
          <w:sz w:val="22"/>
          <w:szCs w:val="22"/>
        </w:rPr>
        <w:t>Actos y operaciones del Idema.</w:t>
      </w:r>
      <w:r w:rsidRPr="004C2FAC">
        <w:rPr>
          <w:rFonts w:cs="Arial"/>
          <w:i/>
          <w:color w:val="000000"/>
          <w:sz w:val="22"/>
          <w:szCs w:val="22"/>
        </w:rPr>
        <w:t xml:space="preserve"> En los términos establecidos por la ley, los actos y operaciones que el instituto realice para el desarrollo de sus actividades industriales y comerciales, </w:t>
      </w:r>
      <w:r w:rsidRPr="004C2FAC">
        <w:rPr>
          <w:rFonts w:cs="Arial"/>
          <w:b/>
          <w:i/>
          <w:color w:val="000000"/>
          <w:sz w:val="22"/>
          <w:szCs w:val="22"/>
        </w:rPr>
        <w:t xml:space="preserve">están sujetos a las reglas del derecho privado </w:t>
      </w:r>
      <w:r w:rsidRPr="004C2FAC">
        <w:rPr>
          <w:rFonts w:cs="Arial"/>
          <w:i/>
          <w:color w:val="000000"/>
          <w:sz w:val="22"/>
          <w:szCs w:val="22"/>
        </w:rPr>
        <w:t>y al conocimiento de la jurisdicción ordinaria</w:t>
      </w:r>
      <w:r w:rsidRPr="004C2FAC">
        <w:rPr>
          <w:rStyle w:val="Refdenotaalpie"/>
          <w:rFonts w:cs="Arial"/>
          <w:i/>
          <w:color w:val="000000"/>
          <w:sz w:val="22"/>
          <w:szCs w:val="22"/>
        </w:rPr>
        <w:footnoteReference w:id="41"/>
      </w:r>
      <w:r w:rsidRPr="004C2FAC">
        <w:rPr>
          <w:rFonts w:cs="Arial"/>
          <w:i/>
          <w:color w:val="000000"/>
          <w:sz w:val="22"/>
          <w:szCs w:val="22"/>
        </w:rPr>
        <w:t xml:space="preserve">, </w:t>
      </w:r>
      <w:r w:rsidRPr="004C2FAC">
        <w:rPr>
          <w:rFonts w:cs="Arial"/>
          <w:i/>
          <w:color w:val="000000"/>
          <w:sz w:val="22"/>
          <w:szCs w:val="22"/>
        </w:rPr>
        <w:lastRenderedPageBreak/>
        <w:t xml:space="preserve">conforme a las normas de competencia sobre la materia. Aquellos que realice para el cumplimiento de su función pública son actos administrativos, sujetos al conocimiento de la jurisdicción de lo contencioso administrativo, de conformidad con la ley” </w:t>
      </w:r>
      <w:r w:rsidRPr="004C2FAC">
        <w:rPr>
          <w:rFonts w:cs="Arial"/>
          <w:color w:val="000000"/>
          <w:sz w:val="22"/>
          <w:szCs w:val="22"/>
        </w:rPr>
        <w:t>(la negrilla no es del texto).</w:t>
      </w:r>
    </w:p>
    <w:p w:rsidR="00DB08F7" w:rsidRPr="004C2FAC" w:rsidRDefault="00DB08F7" w:rsidP="00DB08F7">
      <w:pPr>
        <w:spacing w:line="276" w:lineRule="auto"/>
        <w:ind w:left="567" w:right="567"/>
        <w:rPr>
          <w:rFonts w:cs="Arial"/>
          <w:b/>
          <w:i/>
          <w:sz w:val="22"/>
          <w:szCs w:val="22"/>
        </w:rPr>
      </w:pPr>
    </w:p>
    <w:p w:rsidR="00FF5FE8" w:rsidRPr="004C2FAC" w:rsidRDefault="003E7D95" w:rsidP="00405706">
      <w:pPr>
        <w:rPr>
          <w:rFonts w:cs="Arial"/>
        </w:rPr>
      </w:pPr>
      <w:r w:rsidRPr="004C2FAC">
        <w:rPr>
          <w:rFonts w:cs="Arial"/>
        </w:rPr>
        <w:t>Finalmente</w:t>
      </w:r>
      <w:r w:rsidR="00D06E8E" w:rsidRPr="004C2FAC">
        <w:rPr>
          <w:rFonts w:cs="Arial"/>
        </w:rPr>
        <w:t>,</w:t>
      </w:r>
      <w:r w:rsidRPr="004C2FAC">
        <w:rPr>
          <w:rFonts w:cs="Arial"/>
        </w:rPr>
        <w:t xml:space="preserve"> se puntualiza </w:t>
      </w:r>
      <w:r w:rsidR="00405706" w:rsidRPr="004C2FAC">
        <w:rPr>
          <w:rFonts w:cs="Arial"/>
        </w:rPr>
        <w:t xml:space="preserve">que </w:t>
      </w:r>
      <w:r w:rsidR="00077F67" w:rsidRPr="004C2FAC">
        <w:rPr>
          <w:rFonts w:cs="Arial"/>
        </w:rPr>
        <w:t xml:space="preserve">la sentencia de primera instancia </w:t>
      </w:r>
      <w:r w:rsidRPr="004C2FAC">
        <w:rPr>
          <w:rFonts w:cs="Arial"/>
        </w:rPr>
        <w:t xml:space="preserve">no </w:t>
      </w:r>
      <w:r w:rsidR="00405706" w:rsidRPr="004C2FAC">
        <w:rPr>
          <w:rFonts w:cs="Arial"/>
        </w:rPr>
        <w:t xml:space="preserve">tuvo en cuenta la posición del Consejo de Estado respecto de las acciones </w:t>
      </w:r>
      <w:r w:rsidR="004721D3" w:rsidRPr="004C2FAC">
        <w:rPr>
          <w:rFonts w:cs="Arial"/>
        </w:rPr>
        <w:t xml:space="preserve">sobre el incumplimiento contractual </w:t>
      </w:r>
      <w:r w:rsidR="00405706" w:rsidRPr="004C2FAC">
        <w:rPr>
          <w:rFonts w:cs="Arial"/>
        </w:rPr>
        <w:t>cuyo término de prescripción empezó a correr entre el 1º de enero de 1994</w:t>
      </w:r>
      <w:r w:rsidR="00AC463D" w:rsidRPr="004C2FAC">
        <w:rPr>
          <w:rStyle w:val="Refdenotaalpie"/>
          <w:rFonts w:cs="Arial"/>
        </w:rPr>
        <w:footnoteReference w:id="42"/>
      </w:r>
      <w:r w:rsidR="00405706" w:rsidRPr="004C2FAC">
        <w:rPr>
          <w:rFonts w:cs="Arial"/>
        </w:rPr>
        <w:t xml:space="preserve"> y el 8 de julio de 1998</w:t>
      </w:r>
      <w:r w:rsidR="00AC463D" w:rsidRPr="004C2FAC">
        <w:rPr>
          <w:rStyle w:val="Refdenotaalpie"/>
          <w:rFonts w:cs="Arial"/>
        </w:rPr>
        <w:footnoteReference w:id="43"/>
      </w:r>
      <w:r w:rsidR="002945AF" w:rsidRPr="004C2FAC">
        <w:rPr>
          <w:rFonts w:cs="Arial"/>
        </w:rPr>
        <w:t>, respecto de las cuales</w:t>
      </w:r>
      <w:r w:rsidR="00EF62E8" w:rsidRPr="004C2FAC">
        <w:rPr>
          <w:rFonts w:cs="Arial"/>
        </w:rPr>
        <w:t xml:space="preserve"> </w:t>
      </w:r>
      <w:r w:rsidR="002945AF" w:rsidRPr="004C2FAC">
        <w:rPr>
          <w:rFonts w:cs="Arial"/>
        </w:rPr>
        <w:t xml:space="preserve">resultó aplicable el </w:t>
      </w:r>
      <w:r w:rsidR="004721D3" w:rsidRPr="004C2FAC">
        <w:rPr>
          <w:rFonts w:cs="Arial"/>
        </w:rPr>
        <w:t>término de 20 años citado en el artículo 5</w:t>
      </w:r>
      <w:r w:rsidR="00FB5806" w:rsidRPr="004C2FAC">
        <w:rPr>
          <w:rFonts w:cs="Arial"/>
        </w:rPr>
        <w:t>5</w:t>
      </w:r>
      <w:r w:rsidR="004721D3" w:rsidRPr="004C2FAC">
        <w:rPr>
          <w:rFonts w:cs="Arial"/>
        </w:rPr>
        <w:t xml:space="preserve"> de la Ley 80 de 1993</w:t>
      </w:r>
      <w:r w:rsidR="00FF5FE8" w:rsidRPr="004C2FAC">
        <w:rPr>
          <w:rFonts w:cs="Arial"/>
        </w:rPr>
        <w:t>, t</w:t>
      </w:r>
      <w:r w:rsidR="00EF62E8" w:rsidRPr="004C2FAC">
        <w:rPr>
          <w:rFonts w:cs="Arial"/>
        </w:rPr>
        <w:t>al como se expuso en el acápite anterior</w:t>
      </w:r>
      <w:r w:rsidR="00FF5FE8" w:rsidRPr="004C2FAC">
        <w:rPr>
          <w:rFonts w:cs="Arial"/>
        </w:rPr>
        <w:t>.</w:t>
      </w:r>
    </w:p>
    <w:p w:rsidR="00FF5FE8" w:rsidRPr="004C2FAC" w:rsidRDefault="00FF5FE8" w:rsidP="00405706">
      <w:pPr>
        <w:rPr>
          <w:rFonts w:cs="Arial"/>
        </w:rPr>
      </w:pPr>
    </w:p>
    <w:p w:rsidR="007A18FC" w:rsidRPr="004C2FAC" w:rsidRDefault="00FF5FE8" w:rsidP="00405706">
      <w:pPr>
        <w:rPr>
          <w:rFonts w:cs="Arial"/>
        </w:rPr>
      </w:pPr>
      <w:r w:rsidRPr="004C2FAC">
        <w:rPr>
          <w:rFonts w:cs="Arial"/>
        </w:rPr>
        <w:t>L</w:t>
      </w:r>
      <w:r w:rsidR="00EF62E8" w:rsidRPr="004C2FAC">
        <w:rPr>
          <w:rFonts w:cs="Arial"/>
        </w:rPr>
        <w:t>a</w:t>
      </w:r>
      <w:r w:rsidR="00582269" w:rsidRPr="004C2FAC">
        <w:rPr>
          <w:rFonts w:cs="Arial"/>
        </w:rPr>
        <w:t xml:space="preserve"> </w:t>
      </w:r>
      <w:r w:rsidR="00077F67" w:rsidRPr="004C2FAC">
        <w:rPr>
          <w:rFonts w:cs="Arial"/>
        </w:rPr>
        <w:t>j</w:t>
      </w:r>
      <w:r w:rsidR="00AC5547" w:rsidRPr="004C2FAC">
        <w:rPr>
          <w:rFonts w:cs="Arial"/>
        </w:rPr>
        <w:t xml:space="preserve">urisprudencia </w:t>
      </w:r>
      <w:r w:rsidR="00EF62E8" w:rsidRPr="004C2FAC">
        <w:rPr>
          <w:rFonts w:cs="Arial"/>
        </w:rPr>
        <w:t xml:space="preserve">que ahora se reitera </w:t>
      </w:r>
      <w:r w:rsidR="00A61868" w:rsidRPr="004C2FAC">
        <w:rPr>
          <w:rFonts w:cs="Arial"/>
        </w:rPr>
        <w:t xml:space="preserve">sostiene, en </w:t>
      </w:r>
      <w:r w:rsidR="00E05BCD" w:rsidRPr="004C2FAC">
        <w:rPr>
          <w:rFonts w:cs="Arial"/>
        </w:rPr>
        <w:t>términos generales</w:t>
      </w:r>
      <w:r w:rsidR="00A61868" w:rsidRPr="004C2FAC">
        <w:rPr>
          <w:rFonts w:cs="Arial"/>
        </w:rPr>
        <w:t xml:space="preserve">, </w:t>
      </w:r>
      <w:r w:rsidR="00E05BCD" w:rsidRPr="004C2FAC">
        <w:rPr>
          <w:rFonts w:cs="Arial"/>
        </w:rPr>
        <w:t>que deb</w:t>
      </w:r>
      <w:r w:rsidR="00BF43CE" w:rsidRPr="004C2FAC">
        <w:rPr>
          <w:rFonts w:cs="Arial"/>
        </w:rPr>
        <w:t>ió</w:t>
      </w:r>
      <w:r w:rsidR="00E05BCD" w:rsidRPr="004C2FAC">
        <w:rPr>
          <w:rFonts w:cs="Arial"/>
        </w:rPr>
        <w:t xml:space="preserve"> </w:t>
      </w:r>
      <w:r w:rsidR="00907C38" w:rsidRPr="004C2FAC">
        <w:rPr>
          <w:rFonts w:cs="Arial"/>
        </w:rPr>
        <w:t xml:space="preserve">admitirse </w:t>
      </w:r>
      <w:r w:rsidR="00E05BCD" w:rsidRPr="004C2FAC">
        <w:rPr>
          <w:rFonts w:cs="Arial"/>
        </w:rPr>
        <w:t xml:space="preserve">el plazo de 20 años para </w:t>
      </w:r>
      <w:r w:rsidR="00BF43CE" w:rsidRPr="004C2FAC">
        <w:rPr>
          <w:rFonts w:cs="Arial"/>
        </w:rPr>
        <w:t xml:space="preserve">las acciones </w:t>
      </w:r>
      <w:r w:rsidR="00E05BCD" w:rsidRPr="004C2FAC">
        <w:rPr>
          <w:rFonts w:cs="Arial"/>
        </w:rPr>
        <w:t>en relación con l</w:t>
      </w:r>
      <w:r w:rsidR="00427150" w:rsidRPr="004C2FAC">
        <w:rPr>
          <w:rFonts w:cs="Arial"/>
        </w:rPr>
        <w:t>as</w:t>
      </w:r>
      <w:r w:rsidR="00E05BCD" w:rsidRPr="004C2FAC">
        <w:rPr>
          <w:rFonts w:cs="Arial"/>
        </w:rPr>
        <w:t xml:space="preserve"> controversias contractuales </w:t>
      </w:r>
      <w:r w:rsidR="0084223A" w:rsidRPr="004C2FAC">
        <w:rPr>
          <w:rFonts w:cs="Arial"/>
        </w:rPr>
        <w:t xml:space="preserve">en </w:t>
      </w:r>
      <w:r w:rsidR="00260B22" w:rsidRPr="004C2FAC">
        <w:rPr>
          <w:rFonts w:cs="Arial"/>
        </w:rPr>
        <w:t xml:space="preserve">daño antijurídico por </w:t>
      </w:r>
      <w:r w:rsidR="0084223A" w:rsidRPr="004C2FAC">
        <w:rPr>
          <w:rFonts w:cs="Arial"/>
        </w:rPr>
        <w:t xml:space="preserve">incumplimiento, </w:t>
      </w:r>
      <w:r w:rsidR="00377F29" w:rsidRPr="004C2FAC">
        <w:rPr>
          <w:rFonts w:cs="Arial"/>
        </w:rPr>
        <w:t xml:space="preserve">durante </w:t>
      </w:r>
      <w:r w:rsidR="0067201E" w:rsidRPr="004C2FAC">
        <w:rPr>
          <w:rFonts w:cs="Arial"/>
        </w:rPr>
        <w:t xml:space="preserve">el lapso en que tuvo lugar la </w:t>
      </w:r>
      <w:r w:rsidR="00435873" w:rsidRPr="004C2FAC">
        <w:rPr>
          <w:rFonts w:cs="Arial"/>
        </w:rPr>
        <w:t xml:space="preserve">aplicación de la </w:t>
      </w:r>
      <w:r w:rsidR="0067201E" w:rsidRPr="004C2FAC">
        <w:rPr>
          <w:rFonts w:cs="Arial"/>
        </w:rPr>
        <w:t>modificación introducida por el artículo 5</w:t>
      </w:r>
      <w:r w:rsidR="00C324A8" w:rsidRPr="004C2FAC">
        <w:rPr>
          <w:rFonts w:cs="Arial"/>
        </w:rPr>
        <w:t>5</w:t>
      </w:r>
      <w:r w:rsidR="0067201E" w:rsidRPr="004C2FAC">
        <w:rPr>
          <w:rFonts w:cs="Arial"/>
        </w:rPr>
        <w:t xml:space="preserve"> de la Ley 80 de 1993</w:t>
      </w:r>
      <w:r w:rsidR="00BF43CE" w:rsidRPr="004C2FAC">
        <w:rPr>
          <w:rFonts w:cs="Arial"/>
        </w:rPr>
        <w:t xml:space="preserve">, </w:t>
      </w:r>
      <w:r w:rsidR="00C324A8" w:rsidRPr="004C2FAC">
        <w:rPr>
          <w:rFonts w:cs="Arial"/>
        </w:rPr>
        <w:t>esto es</w:t>
      </w:r>
      <w:r w:rsidR="0048301E" w:rsidRPr="004C2FAC">
        <w:rPr>
          <w:rFonts w:cs="Arial"/>
        </w:rPr>
        <w:t>,</w:t>
      </w:r>
      <w:r w:rsidR="00C324A8" w:rsidRPr="004C2FAC">
        <w:rPr>
          <w:rFonts w:cs="Arial"/>
        </w:rPr>
        <w:t xml:space="preserve"> </w:t>
      </w:r>
      <w:r w:rsidR="00BF43CE" w:rsidRPr="004C2FAC">
        <w:rPr>
          <w:rFonts w:cs="Arial"/>
        </w:rPr>
        <w:t xml:space="preserve">hasta la expedición de la Ley 446 de 1998, </w:t>
      </w:r>
      <w:r w:rsidR="00EF62E8" w:rsidRPr="004C2FAC">
        <w:rPr>
          <w:rFonts w:cs="Arial"/>
        </w:rPr>
        <w:t xml:space="preserve">que cambió el cómputo de </w:t>
      </w:r>
      <w:r w:rsidR="00BF43CE" w:rsidRPr="004C2FAC">
        <w:rPr>
          <w:rFonts w:cs="Arial"/>
        </w:rPr>
        <w:t xml:space="preserve">la acción de controversias contractuales y unificó </w:t>
      </w:r>
      <w:r w:rsidR="0048301E" w:rsidRPr="004C2FAC">
        <w:rPr>
          <w:rFonts w:cs="Arial"/>
        </w:rPr>
        <w:t xml:space="preserve">el término de </w:t>
      </w:r>
      <w:r w:rsidR="00BF43CE" w:rsidRPr="004C2FAC">
        <w:rPr>
          <w:rFonts w:cs="Arial"/>
        </w:rPr>
        <w:t>la caducidad de la acción contractual en dos años</w:t>
      </w:r>
      <w:r w:rsidR="007A18FC" w:rsidRPr="004C2FAC">
        <w:rPr>
          <w:rFonts w:cs="Arial"/>
        </w:rPr>
        <w:t>, sin perjuicio de la observancia del fenómeno de la prescripción, en los términos de ley.</w:t>
      </w:r>
    </w:p>
    <w:p w:rsidR="00260B22" w:rsidRPr="004C2FAC" w:rsidRDefault="00260B22" w:rsidP="00405706">
      <w:pPr>
        <w:rPr>
          <w:rFonts w:cs="Arial"/>
        </w:rPr>
      </w:pPr>
    </w:p>
    <w:p w:rsidR="00D06E8E" w:rsidRPr="004C2FAC" w:rsidRDefault="00D06E8E" w:rsidP="00405706">
      <w:pPr>
        <w:rPr>
          <w:rFonts w:cs="Arial"/>
        </w:rPr>
      </w:pPr>
      <w:r w:rsidRPr="004C2FAC">
        <w:rPr>
          <w:rFonts w:cs="Arial"/>
        </w:rPr>
        <w:t>De conformidad con lo expuesto, se revocará la sentencia de primera instancia.</w:t>
      </w:r>
    </w:p>
    <w:p w:rsidR="0067201E" w:rsidRPr="004C2FAC" w:rsidRDefault="00D06E8E" w:rsidP="00405706">
      <w:pPr>
        <w:rPr>
          <w:rFonts w:cs="Arial"/>
        </w:rPr>
      </w:pPr>
      <w:r w:rsidRPr="004C2FAC">
        <w:rPr>
          <w:rFonts w:cs="Arial"/>
        </w:rPr>
        <w:t xml:space="preserve"> </w:t>
      </w:r>
    </w:p>
    <w:p w:rsidR="00006FC7" w:rsidRPr="004C2FAC" w:rsidRDefault="00006FC7" w:rsidP="00405706">
      <w:pPr>
        <w:rPr>
          <w:rFonts w:cs="Arial"/>
          <w:b/>
        </w:rPr>
      </w:pPr>
      <w:r w:rsidRPr="004C2FAC">
        <w:rPr>
          <w:rFonts w:cs="Arial"/>
          <w:b/>
        </w:rPr>
        <w:t xml:space="preserve">3. </w:t>
      </w:r>
      <w:r w:rsidR="00D06E8E" w:rsidRPr="004C2FAC">
        <w:rPr>
          <w:rFonts w:cs="Arial"/>
          <w:b/>
        </w:rPr>
        <w:t xml:space="preserve">Análisis </w:t>
      </w:r>
      <w:r w:rsidRPr="004C2FAC">
        <w:rPr>
          <w:rFonts w:cs="Arial"/>
          <w:b/>
        </w:rPr>
        <w:t>del acta de conciliación y acuerdo de dación en pago</w:t>
      </w:r>
    </w:p>
    <w:p w:rsidR="00006FC7" w:rsidRPr="004C2FAC" w:rsidRDefault="00006FC7" w:rsidP="00405706">
      <w:pPr>
        <w:rPr>
          <w:rFonts w:cs="Arial"/>
          <w:i/>
        </w:rPr>
      </w:pPr>
    </w:p>
    <w:p w:rsidR="00A34178" w:rsidRPr="004C2FAC" w:rsidRDefault="00006FC7" w:rsidP="00405706">
      <w:pPr>
        <w:rPr>
          <w:rFonts w:cs="Arial"/>
        </w:rPr>
      </w:pPr>
      <w:r w:rsidRPr="004C2FAC">
        <w:rPr>
          <w:rFonts w:cs="Arial"/>
        </w:rPr>
        <w:t xml:space="preserve">Con el fin de hacer claridad sobre el </w:t>
      </w:r>
      <w:r w:rsidR="009827F5" w:rsidRPr="004C2FAC">
        <w:rPr>
          <w:rFonts w:cs="Arial"/>
        </w:rPr>
        <w:t xml:space="preserve">alcance del documento denominado </w:t>
      </w:r>
      <w:r w:rsidR="00E267CC" w:rsidRPr="004C2FAC">
        <w:rPr>
          <w:rFonts w:cs="Arial"/>
        </w:rPr>
        <w:t>“</w:t>
      </w:r>
      <w:r w:rsidR="009827F5" w:rsidRPr="004C2FAC">
        <w:rPr>
          <w:rFonts w:cs="Arial"/>
          <w:i/>
        </w:rPr>
        <w:t>acta de conciliación y acuerdo de dación en pago</w:t>
      </w:r>
      <w:r w:rsidR="00E267CC" w:rsidRPr="004C2FAC">
        <w:rPr>
          <w:rFonts w:cs="Arial"/>
          <w:i/>
        </w:rPr>
        <w:t>”</w:t>
      </w:r>
      <w:r w:rsidR="009827F5" w:rsidRPr="004C2FAC">
        <w:rPr>
          <w:rFonts w:cs="Arial"/>
        </w:rPr>
        <w:t xml:space="preserve">, es pertinente advertir que el mismo fue suscrito </w:t>
      </w:r>
      <w:r w:rsidR="00E74B58" w:rsidRPr="004C2FAC">
        <w:rPr>
          <w:rFonts w:cs="Arial"/>
        </w:rPr>
        <w:t xml:space="preserve">entre el gerente del IDEMA y el representante de COLCEREALES, </w:t>
      </w:r>
      <w:r w:rsidR="009827F5" w:rsidRPr="004C2FAC">
        <w:rPr>
          <w:rFonts w:cs="Arial"/>
        </w:rPr>
        <w:t xml:space="preserve">el </w:t>
      </w:r>
      <w:r w:rsidR="00E74B58" w:rsidRPr="004C2FAC">
        <w:rPr>
          <w:rFonts w:cs="Arial"/>
        </w:rPr>
        <w:t xml:space="preserve">18 de noviembre de 1996, sin intervención de </w:t>
      </w:r>
      <w:r w:rsidR="00FC2CFF" w:rsidRPr="004C2FAC">
        <w:rPr>
          <w:rFonts w:cs="Arial"/>
        </w:rPr>
        <w:t xml:space="preserve">un </w:t>
      </w:r>
      <w:r w:rsidR="00E74B58" w:rsidRPr="004C2FAC">
        <w:rPr>
          <w:rFonts w:cs="Arial"/>
        </w:rPr>
        <w:t>conciliador y que no se trat</w:t>
      </w:r>
      <w:r w:rsidR="00FC2CFF" w:rsidRPr="004C2FAC">
        <w:rPr>
          <w:rFonts w:cs="Arial"/>
        </w:rPr>
        <w:t>ó</w:t>
      </w:r>
      <w:r w:rsidR="00E74B58" w:rsidRPr="004C2FAC">
        <w:rPr>
          <w:rFonts w:cs="Arial"/>
        </w:rPr>
        <w:t xml:space="preserve"> de una conciliación administrativa. </w:t>
      </w:r>
    </w:p>
    <w:p w:rsidR="00A34178" w:rsidRPr="004C2FAC" w:rsidRDefault="00A34178" w:rsidP="00405706">
      <w:pPr>
        <w:rPr>
          <w:rFonts w:cs="Arial"/>
          <w:i/>
        </w:rPr>
      </w:pPr>
    </w:p>
    <w:p w:rsidR="003C68B4" w:rsidRPr="004C2FAC" w:rsidRDefault="00E74B58" w:rsidP="00405706">
      <w:pPr>
        <w:rPr>
          <w:rFonts w:cs="Arial"/>
        </w:rPr>
      </w:pPr>
      <w:r w:rsidRPr="004C2FAC">
        <w:rPr>
          <w:rFonts w:cs="Arial"/>
        </w:rPr>
        <w:t xml:space="preserve">Se </w:t>
      </w:r>
      <w:r w:rsidR="00FC2CFF" w:rsidRPr="004C2FAC">
        <w:rPr>
          <w:rFonts w:cs="Arial"/>
        </w:rPr>
        <w:t xml:space="preserve">debe tener en cuenta que para la fecha en que se otorgó ese documento </w:t>
      </w:r>
      <w:r w:rsidR="00F72EA5" w:rsidRPr="004C2FAC">
        <w:rPr>
          <w:rFonts w:cs="Arial"/>
        </w:rPr>
        <w:t xml:space="preserve">se encontraba vigente la Ley </w:t>
      </w:r>
      <w:r w:rsidR="00EF4344" w:rsidRPr="004C2FAC">
        <w:rPr>
          <w:rFonts w:cs="Arial"/>
        </w:rPr>
        <w:t>23 de 1991</w:t>
      </w:r>
      <w:r w:rsidR="006C735B" w:rsidRPr="004C2FAC">
        <w:rPr>
          <w:rFonts w:cs="Arial"/>
        </w:rPr>
        <w:t>,</w:t>
      </w:r>
      <w:r w:rsidR="00EF4344" w:rsidRPr="004C2FAC">
        <w:rPr>
          <w:rFonts w:cs="Arial"/>
        </w:rPr>
        <w:t xml:space="preserve"> la cual disponía un trámite especial para </w:t>
      </w:r>
      <w:r w:rsidR="00FB631E" w:rsidRPr="004C2FAC">
        <w:rPr>
          <w:rFonts w:cs="Arial"/>
        </w:rPr>
        <w:t xml:space="preserve">el acta de </w:t>
      </w:r>
      <w:r w:rsidR="00EF4344" w:rsidRPr="004C2FAC">
        <w:rPr>
          <w:rFonts w:cs="Arial"/>
        </w:rPr>
        <w:t>conciliación</w:t>
      </w:r>
      <w:r w:rsidR="00F45969" w:rsidRPr="004C2FAC">
        <w:rPr>
          <w:rFonts w:cs="Arial"/>
        </w:rPr>
        <w:t>,</w:t>
      </w:r>
      <w:r w:rsidR="00EF4344" w:rsidRPr="004C2FAC">
        <w:rPr>
          <w:rFonts w:cs="Arial"/>
        </w:rPr>
        <w:t xml:space="preserve"> </w:t>
      </w:r>
      <w:r w:rsidR="001A1BEE" w:rsidRPr="004C2FAC">
        <w:rPr>
          <w:rFonts w:cs="Arial"/>
        </w:rPr>
        <w:t xml:space="preserve">con la intervención del </w:t>
      </w:r>
      <w:r w:rsidR="002B45E0" w:rsidRPr="004C2FAC">
        <w:rPr>
          <w:rFonts w:cs="Arial"/>
        </w:rPr>
        <w:t xml:space="preserve">agente </w:t>
      </w:r>
      <w:r w:rsidR="00FB631E" w:rsidRPr="004C2FAC">
        <w:rPr>
          <w:rFonts w:cs="Arial"/>
        </w:rPr>
        <w:t xml:space="preserve">delegado ante </w:t>
      </w:r>
      <w:r w:rsidR="00EF4344" w:rsidRPr="004C2FAC">
        <w:rPr>
          <w:rFonts w:cs="Arial"/>
        </w:rPr>
        <w:t>la jurisdicción de lo contencioso administrativo</w:t>
      </w:r>
      <w:r w:rsidR="001A1BEE" w:rsidRPr="004C2FAC">
        <w:rPr>
          <w:rFonts w:cs="Arial"/>
        </w:rPr>
        <w:t xml:space="preserve">. La conciliación en materia administrativa </w:t>
      </w:r>
      <w:r w:rsidR="00FB631E" w:rsidRPr="004C2FAC">
        <w:rPr>
          <w:rFonts w:cs="Arial"/>
        </w:rPr>
        <w:t xml:space="preserve">solo </w:t>
      </w:r>
      <w:r w:rsidR="001A1BEE" w:rsidRPr="004C2FAC">
        <w:rPr>
          <w:rFonts w:cs="Arial"/>
        </w:rPr>
        <w:t xml:space="preserve">alcanzaba los efectos </w:t>
      </w:r>
      <w:r w:rsidR="002B45E0" w:rsidRPr="004C2FAC">
        <w:rPr>
          <w:rFonts w:cs="Arial"/>
        </w:rPr>
        <w:t xml:space="preserve">de </w:t>
      </w:r>
      <w:r w:rsidR="00FB631E" w:rsidRPr="004C2FAC">
        <w:rPr>
          <w:rFonts w:cs="Arial"/>
        </w:rPr>
        <w:t>la cosa juzgada</w:t>
      </w:r>
      <w:r w:rsidR="001A1BEE" w:rsidRPr="004C2FAC">
        <w:rPr>
          <w:rFonts w:cs="Arial"/>
        </w:rPr>
        <w:t xml:space="preserve">, una vez </w:t>
      </w:r>
      <w:r w:rsidR="00FB631E" w:rsidRPr="004C2FAC">
        <w:rPr>
          <w:rFonts w:cs="Arial"/>
        </w:rPr>
        <w:t xml:space="preserve"> aprobada por el Consejero o Magistrado al que correspo</w:t>
      </w:r>
      <w:r w:rsidR="003C68B4" w:rsidRPr="004C2FAC">
        <w:rPr>
          <w:rFonts w:cs="Arial"/>
        </w:rPr>
        <w:t>ndiera el reparto</w:t>
      </w:r>
      <w:r w:rsidR="00E267CC" w:rsidRPr="004C2FAC">
        <w:rPr>
          <w:rFonts w:cs="Arial"/>
        </w:rPr>
        <w:t>, según lo disponía el artículo 60 de la Ley 23 de 1991</w:t>
      </w:r>
      <w:r w:rsidR="003C68B4" w:rsidRPr="004C2FAC">
        <w:rPr>
          <w:rStyle w:val="Refdenotaalpie"/>
          <w:rFonts w:cs="Arial"/>
        </w:rPr>
        <w:footnoteReference w:id="44"/>
      </w:r>
      <w:r w:rsidR="003C68B4" w:rsidRPr="004C2FAC">
        <w:rPr>
          <w:rFonts w:cs="Arial"/>
        </w:rPr>
        <w:t xml:space="preserve">. </w:t>
      </w:r>
    </w:p>
    <w:p w:rsidR="0048603E" w:rsidRPr="004C2FAC" w:rsidRDefault="0048603E" w:rsidP="00405706">
      <w:pPr>
        <w:rPr>
          <w:rFonts w:cs="Arial"/>
        </w:rPr>
      </w:pPr>
    </w:p>
    <w:p w:rsidR="005627F2" w:rsidRPr="004C2FAC" w:rsidRDefault="004D2A42" w:rsidP="00405706">
      <w:pPr>
        <w:rPr>
          <w:rFonts w:cs="Arial"/>
        </w:rPr>
      </w:pPr>
      <w:r w:rsidRPr="004C2FAC">
        <w:rPr>
          <w:rFonts w:cs="Arial"/>
        </w:rPr>
        <w:t>Además, como se verá en el detalle de las pruebas, e</w:t>
      </w:r>
      <w:r w:rsidR="00F454D3" w:rsidRPr="004C2FAC">
        <w:rPr>
          <w:rFonts w:cs="Arial"/>
        </w:rPr>
        <w:t xml:space="preserve">l documento denominado </w:t>
      </w:r>
      <w:r w:rsidR="00E267CC" w:rsidRPr="004C2FAC">
        <w:rPr>
          <w:rFonts w:cs="Arial"/>
          <w:i/>
        </w:rPr>
        <w:t>“</w:t>
      </w:r>
      <w:r w:rsidR="00F454D3" w:rsidRPr="004C2FAC">
        <w:rPr>
          <w:rFonts w:cs="Arial"/>
          <w:i/>
        </w:rPr>
        <w:t>acta de conciliación y acuerdo de dación en pago”</w:t>
      </w:r>
      <w:r w:rsidR="00F454D3" w:rsidRPr="004C2FAC">
        <w:rPr>
          <w:rFonts w:cs="Arial"/>
        </w:rPr>
        <w:t xml:space="preserve"> </w:t>
      </w:r>
      <w:r w:rsidR="00A34178" w:rsidRPr="004C2FAC">
        <w:rPr>
          <w:rFonts w:cs="Arial"/>
        </w:rPr>
        <w:t xml:space="preserve">tampoco </w:t>
      </w:r>
      <w:r w:rsidRPr="004C2FAC">
        <w:rPr>
          <w:rFonts w:cs="Arial"/>
        </w:rPr>
        <w:t>comprend</w:t>
      </w:r>
      <w:r w:rsidR="00A34178" w:rsidRPr="004C2FAC">
        <w:rPr>
          <w:rFonts w:cs="Arial"/>
        </w:rPr>
        <w:t xml:space="preserve">ió </w:t>
      </w:r>
      <w:r w:rsidR="0048603E" w:rsidRPr="004C2FAC">
        <w:rPr>
          <w:rFonts w:cs="Arial"/>
        </w:rPr>
        <w:t>un</w:t>
      </w:r>
      <w:r w:rsidR="00A34178" w:rsidRPr="004C2FAC">
        <w:rPr>
          <w:rFonts w:cs="Arial"/>
        </w:rPr>
        <w:t>a</w:t>
      </w:r>
      <w:r w:rsidR="0048603E" w:rsidRPr="004C2FAC">
        <w:rPr>
          <w:rFonts w:cs="Arial"/>
        </w:rPr>
        <w:t xml:space="preserve"> transacción</w:t>
      </w:r>
      <w:r w:rsidR="005627F2" w:rsidRPr="004C2FAC">
        <w:rPr>
          <w:rFonts w:cs="Arial"/>
        </w:rPr>
        <w:t xml:space="preserve"> </w:t>
      </w:r>
      <w:r w:rsidR="00B32E96" w:rsidRPr="004C2FAC">
        <w:rPr>
          <w:rFonts w:cs="Arial"/>
        </w:rPr>
        <w:t xml:space="preserve">en los términos del </w:t>
      </w:r>
      <w:r w:rsidR="009E65EB" w:rsidRPr="004C2FAC">
        <w:rPr>
          <w:rFonts w:cs="Arial"/>
        </w:rPr>
        <w:t>C</w:t>
      </w:r>
      <w:r w:rsidR="00B32E96" w:rsidRPr="004C2FAC">
        <w:rPr>
          <w:rFonts w:cs="Arial"/>
        </w:rPr>
        <w:t xml:space="preserve">ódigo </w:t>
      </w:r>
      <w:r w:rsidR="009E65EB" w:rsidRPr="004C2FAC">
        <w:rPr>
          <w:rFonts w:cs="Arial"/>
        </w:rPr>
        <w:t>C</w:t>
      </w:r>
      <w:r w:rsidR="00B32E96" w:rsidRPr="004C2FAC">
        <w:rPr>
          <w:rFonts w:cs="Arial"/>
        </w:rPr>
        <w:t>ivil</w:t>
      </w:r>
      <w:r w:rsidR="00B32E96" w:rsidRPr="004C2FAC">
        <w:rPr>
          <w:rStyle w:val="Refdenotaalpie"/>
          <w:rFonts w:cs="Arial"/>
        </w:rPr>
        <w:footnoteReference w:id="45"/>
      </w:r>
      <w:r w:rsidR="00B32E96" w:rsidRPr="004C2FAC">
        <w:rPr>
          <w:rFonts w:cs="Arial"/>
        </w:rPr>
        <w:t xml:space="preserve"> </w:t>
      </w:r>
      <w:r w:rsidR="005627F2" w:rsidRPr="004C2FAC">
        <w:rPr>
          <w:rFonts w:cs="Arial"/>
        </w:rPr>
        <w:t xml:space="preserve">– ni se presentó como tal en la demanda-  </w:t>
      </w:r>
      <w:r w:rsidR="0048603E" w:rsidRPr="004C2FAC">
        <w:rPr>
          <w:rFonts w:cs="Arial"/>
        </w:rPr>
        <w:t xml:space="preserve">dado que </w:t>
      </w:r>
      <w:r w:rsidR="00E267CC" w:rsidRPr="004C2FAC">
        <w:rPr>
          <w:rFonts w:cs="Arial"/>
        </w:rPr>
        <w:t xml:space="preserve">su objeto no correspondió a este tipo de contrato, </w:t>
      </w:r>
      <w:r w:rsidR="006A5B1C" w:rsidRPr="004C2FAC">
        <w:rPr>
          <w:rFonts w:cs="Arial"/>
        </w:rPr>
        <w:t xml:space="preserve">puesto que </w:t>
      </w:r>
      <w:r w:rsidR="0048603E" w:rsidRPr="004C2FAC">
        <w:rPr>
          <w:rFonts w:cs="Arial"/>
        </w:rPr>
        <w:t xml:space="preserve">no </w:t>
      </w:r>
      <w:r w:rsidR="00F454D3" w:rsidRPr="004C2FAC">
        <w:rPr>
          <w:rFonts w:cs="Arial"/>
        </w:rPr>
        <w:t>se refirió a las diferencias entre las partes y, lo que es m</w:t>
      </w:r>
      <w:r w:rsidR="00E267CC" w:rsidRPr="004C2FAC">
        <w:rPr>
          <w:rFonts w:cs="Arial"/>
        </w:rPr>
        <w:t>á</w:t>
      </w:r>
      <w:r w:rsidR="00F454D3" w:rsidRPr="004C2FAC">
        <w:rPr>
          <w:rFonts w:cs="Arial"/>
        </w:rPr>
        <w:t xml:space="preserve">s importante, no </w:t>
      </w:r>
      <w:r w:rsidR="0048603E" w:rsidRPr="004C2FAC">
        <w:rPr>
          <w:rFonts w:cs="Arial"/>
        </w:rPr>
        <w:t>con</w:t>
      </w:r>
      <w:r w:rsidR="003835D3" w:rsidRPr="004C2FAC">
        <w:rPr>
          <w:rFonts w:cs="Arial"/>
        </w:rPr>
        <w:t xml:space="preserve">cretó </w:t>
      </w:r>
      <w:r w:rsidR="0048603E" w:rsidRPr="004C2FAC">
        <w:rPr>
          <w:rFonts w:cs="Arial"/>
        </w:rPr>
        <w:t>valor</w:t>
      </w:r>
      <w:r w:rsidR="004F0E2D" w:rsidRPr="004C2FAC">
        <w:rPr>
          <w:rFonts w:cs="Arial"/>
        </w:rPr>
        <w:t xml:space="preserve"> alguno, </w:t>
      </w:r>
      <w:r w:rsidR="005627F2" w:rsidRPr="004C2FAC">
        <w:rPr>
          <w:rFonts w:cs="Arial"/>
        </w:rPr>
        <w:lastRenderedPageBreak/>
        <w:t xml:space="preserve">lo cual </w:t>
      </w:r>
      <w:r w:rsidR="004F0E2D" w:rsidRPr="004C2FAC">
        <w:rPr>
          <w:rFonts w:cs="Arial"/>
        </w:rPr>
        <w:t xml:space="preserve">resulta </w:t>
      </w:r>
      <w:r w:rsidR="005627F2" w:rsidRPr="004C2FAC">
        <w:rPr>
          <w:rFonts w:cs="Arial"/>
        </w:rPr>
        <w:t xml:space="preserve">esencial para </w:t>
      </w:r>
      <w:r w:rsidR="004F0E2D" w:rsidRPr="004C2FAC">
        <w:rPr>
          <w:rFonts w:cs="Arial"/>
        </w:rPr>
        <w:t xml:space="preserve">tratar de </w:t>
      </w:r>
      <w:r w:rsidR="005627F2" w:rsidRPr="004C2FAC">
        <w:rPr>
          <w:rFonts w:cs="Arial"/>
        </w:rPr>
        <w:t>catalogar</w:t>
      </w:r>
      <w:r w:rsidR="00B32E96" w:rsidRPr="004C2FAC">
        <w:rPr>
          <w:rFonts w:cs="Arial"/>
        </w:rPr>
        <w:t xml:space="preserve"> dicho documento </w:t>
      </w:r>
      <w:r w:rsidR="005627F2" w:rsidRPr="004C2FAC">
        <w:rPr>
          <w:rFonts w:cs="Arial"/>
        </w:rPr>
        <w:t xml:space="preserve">como una </w:t>
      </w:r>
      <w:r w:rsidR="0048603E" w:rsidRPr="004C2FAC">
        <w:rPr>
          <w:rFonts w:cs="Arial"/>
        </w:rPr>
        <w:t>transacción</w:t>
      </w:r>
      <w:r w:rsidR="00915658" w:rsidRPr="004C2FAC">
        <w:rPr>
          <w:rFonts w:cs="Arial"/>
        </w:rPr>
        <w:t xml:space="preserve"> sobre las respectivas obligaciones</w:t>
      </w:r>
      <w:r w:rsidR="0048603E" w:rsidRPr="004C2FAC">
        <w:rPr>
          <w:rFonts w:cs="Arial"/>
        </w:rPr>
        <w:t xml:space="preserve">. </w:t>
      </w:r>
    </w:p>
    <w:p w:rsidR="005627F2" w:rsidRPr="004C2FAC" w:rsidRDefault="005627F2" w:rsidP="00405706">
      <w:pPr>
        <w:rPr>
          <w:rFonts w:cs="Arial"/>
        </w:rPr>
      </w:pPr>
    </w:p>
    <w:p w:rsidR="00FF5811" w:rsidRPr="004C2FAC" w:rsidRDefault="00FF5811" w:rsidP="00FF5811">
      <w:pPr>
        <w:widowControl w:val="0"/>
        <w:autoSpaceDE w:val="0"/>
        <w:autoSpaceDN w:val="0"/>
        <w:adjustRightInd w:val="0"/>
        <w:rPr>
          <w:rFonts w:cs="Arial"/>
        </w:rPr>
      </w:pPr>
      <w:r w:rsidRPr="004C2FAC">
        <w:rPr>
          <w:rFonts w:cs="Arial"/>
        </w:rPr>
        <w:t xml:space="preserve">En el punto 1 se describió el acuerdo así (se transcribe literal, incluso con posibles errores: </w:t>
      </w:r>
    </w:p>
    <w:p w:rsidR="00FF5811" w:rsidRPr="004C2FAC" w:rsidRDefault="00FF5811" w:rsidP="00FF5811">
      <w:pPr>
        <w:widowControl w:val="0"/>
        <w:autoSpaceDE w:val="0"/>
        <w:autoSpaceDN w:val="0"/>
        <w:adjustRightInd w:val="0"/>
        <w:rPr>
          <w:rFonts w:cs="Arial"/>
          <w:b/>
        </w:rPr>
      </w:pPr>
    </w:p>
    <w:p w:rsidR="00FF5811" w:rsidRPr="004C2FAC" w:rsidRDefault="00FF5811" w:rsidP="00FF5811">
      <w:pPr>
        <w:widowControl w:val="0"/>
        <w:autoSpaceDE w:val="0"/>
        <w:autoSpaceDN w:val="0"/>
        <w:adjustRightInd w:val="0"/>
        <w:spacing w:line="276" w:lineRule="auto"/>
        <w:ind w:left="567" w:right="902"/>
        <w:rPr>
          <w:rFonts w:cs="Arial"/>
          <w:i/>
          <w:sz w:val="22"/>
          <w:szCs w:val="22"/>
        </w:rPr>
      </w:pPr>
      <w:r w:rsidRPr="004C2FAC">
        <w:rPr>
          <w:rFonts w:cs="Arial"/>
          <w:i/>
          <w:sz w:val="22"/>
          <w:szCs w:val="22"/>
        </w:rPr>
        <w:t>“(…) COLCEREALES entrega en dación en pago el inmueble denominado ‘MOLINO ARROCERA AGUALINDA’ ubicado en la vereda PACHIQUIARO, jurisdicción del municipio de Puerto López (Meta) el cual se encuentra identificado con la matricula inmobiliaria (…) y cédula catastral No. (…), por el valor de las obligaciones de entrega de arroz blanco contraídas con el IDEMA, sin que haya reclamación alguno desde el momento en que se suscriba la presente acta”.</w:t>
      </w:r>
    </w:p>
    <w:p w:rsidR="00FF5811" w:rsidRPr="004C2FAC" w:rsidRDefault="00FF5811" w:rsidP="00FF5811">
      <w:pPr>
        <w:widowControl w:val="0"/>
        <w:autoSpaceDE w:val="0"/>
        <w:autoSpaceDN w:val="0"/>
        <w:adjustRightInd w:val="0"/>
        <w:spacing w:line="276" w:lineRule="auto"/>
        <w:ind w:left="567" w:right="902"/>
        <w:rPr>
          <w:rFonts w:cs="Arial"/>
          <w:sz w:val="22"/>
          <w:szCs w:val="22"/>
        </w:rPr>
      </w:pPr>
    </w:p>
    <w:p w:rsidR="00FF5811" w:rsidRPr="004C2FAC" w:rsidRDefault="00FF5811" w:rsidP="00FF5811">
      <w:pPr>
        <w:widowControl w:val="0"/>
        <w:autoSpaceDE w:val="0"/>
        <w:autoSpaceDN w:val="0"/>
        <w:adjustRightInd w:val="0"/>
        <w:rPr>
          <w:rFonts w:cs="Arial"/>
        </w:rPr>
      </w:pPr>
      <w:r w:rsidRPr="004C2FAC">
        <w:rPr>
          <w:rFonts w:cs="Arial"/>
        </w:rPr>
        <w:t xml:space="preserve">En el punto 2 del documento se relacionaron los requisitos que COLCEREALES S.A, se comprometió a cumplir, en la siguiente forma (se transcribe textual, incluso con posibles errores): </w:t>
      </w:r>
    </w:p>
    <w:p w:rsidR="00FF5811" w:rsidRPr="004C2FAC" w:rsidRDefault="00FF5811" w:rsidP="00FF5811">
      <w:pPr>
        <w:widowControl w:val="0"/>
        <w:autoSpaceDE w:val="0"/>
        <w:autoSpaceDN w:val="0"/>
        <w:adjustRightInd w:val="0"/>
        <w:rPr>
          <w:rFonts w:cs="Arial"/>
          <w:b/>
        </w:rPr>
      </w:pPr>
    </w:p>
    <w:p w:rsidR="00FF5811" w:rsidRPr="004C2FAC" w:rsidRDefault="00FF5811" w:rsidP="00FF5811">
      <w:pPr>
        <w:widowControl w:val="0"/>
        <w:autoSpaceDE w:val="0"/>
        <w:autoSpaceDN w:val="0"/>
        <w:adjustRightInd w:val="0"/>
        <w:spacing w:line="276" w:lineRule="auto"/>
        <w:ind w:left="567" w:right="902"/>
        <w:rPr>
          <w:rFonts w:cs="Arial"/>
          <w:i/>
          <w:sz w:val="22"/>
          <w:szCs w:val="22"/>
        </w:rPr>
      </w:pPr>
      <w:r w:rsidRPr="004C2FAC">
        <w:rPr>
          <w:rFonts w:cs="Arial"/>
          <w:i/>
          <w:sz w:val="22"/>
          <w:szCs w:val="22"/>
        </w:rPr>
        <w:t>“(…) COLCEREALES S.A., por intermedio de su representante legal, doctor PARGA, se compromete a presentar previamente a la firma de la escritura, el respectivo paz y salvo con la Fiduciaria TEQUENDAMA S.A., el certificado de tradición con vigencia no mayor a 30 días, los certificados de industria y comercio, predial y complementario y todos los demás que se requieran para la firma de la escritura de dación en pago totalmente cancelado, así como la solicitud a la fiduciaria de traspaso del inmueble al INSTITUTO DE MERCADEO AGROPECUARIO IDEMA, siendo de su cargo el pago de la totalidad de los derechos de escrituración, de la eficiencia y registro ante la oficina de registro de instrumentos públicos”</w:t>
      </w:r>
      <w:r w:rsidRPr="004C2FAC">
        <w:rPr>
          <w:rStyle w:val="Refdenotaalpie"/>
          <w:rFonts w:cs="Arial"/>
          <w:i/>
          <w:sz w:val="22"/>
          <w:szCs w:val="22"/>
        </w:rPr>
        <w:footnoteReference w:id="46"/>
      </w:r>
    </w:p>
    <w:p w:rsidR="00FF5811" w:rsidRPr="004C2FAC" w:rsidRDefault="00FF5811" w:rsidP="00FF5811">
      <w:pPr>
        <w:widowControl w:val="0"/>
        <w:autoSpaceDE w:val="0"/>
        <w:autoSpaceDN w:val="0"/>
        <w:adjustRightInd w:val="0"/>
        <w:rPr>
          <w:rFonts w:cs="Arial"/>
          <w:b/>
        </w:rPr>
      </w:pPr>
    </w:p>
    <w:p w:rsidR="00FF5811" w:rsidRPr="004C2FAC" w:rsidRDefault="00FF5811" w:rsidP="00FF5811">
      <w:pPr>
        <w:widowControl w:val="0"/>
        <w:autoSpaceDE w:val="0"/>
        <w:autoSpaceDN w:val="0"/>
        <w:adjustRightInd w:val="0"/>
        <w:rPr>
          <w:rFonts w:cs="Arial"/>
        </w:rPr>
      </w:pPr>
      <w:r w:rsidRPr="004C2FAC">
        <w:rPr>
          <w:rFonts w:cs="Arial"/>
        </w:rPr>
        <w:t xml:space="preserve">En el punto 5 del documento se estableció la siguiente condición (se transcribe literal, incluso con posibles errores): </w:t>
      </w:r>
    </w:p>
    <w:p w:rsidR="00FF5811" w:rsidRPr="004C2FAC" w:rsidRDefault="00FF5811" w:rsidP="00FF5811">
      <w:pPr>
        <w:widowControl w:val="0"/>
        <w:autoSpaceDE w:val="0"/>
        <w:autoSpaceDN w:val="0"/>
        <w:adjustRightInd w:val="0"/>
        <w:rPr>
          <w:rFonts w:cs="Arial"/>
        </w:rPr>
      </w:pPr>
    </w:p>
    <w:p w:rsidR="00FF5811" w:rsidRPr="004C2FAC" w:rsidRDefault="00FF5811" w:rsidP="00D26AC5">
      <w:pPr>
        <w:widowControl w:val="0"/>
        <w:autoSpaceDE w:val="0"/>
        <w:autoSpaceDN w:val="0"/>
        <w:adjustRightInd w:val="0"/>
        <w:spacing w:line="276" w:lineRule="auto"/>
        <w:ind w:left="567" w:right="902"/>
        <w:rPr>
          <w:rFonts w:cs="Arial"/>
          <w:i/>
          <w:sz w:val="22"/>
          <w:szCs w:val="22"/>
        </w:rPr>
      </w:pPr>
      <w:r w:rsidRPr="004C2FAC">
        <w:rPr>
          <w:rFonts w:cs="Arial"/>
          <w:i/>
          <w:sz w:val="22"/>
          <w:szCs w:val="22"/>
        </w:rPr>
        <w:t xml:space="preserve">“Que COLCEREALES S.A. quedará liberado de las obligaciones inherentes al contrato 8861, y al saldo de las operaciones 13074/13075/13066/13067, tan pronto como formalice la dación en pago en favor del IDEMA ante la fiduciaria TEQUENDAMA S.A., dándole todos los derechos al Instituto sobre dicho fideicomiso, tendientes a que efectivamente obtenga a más tardar en </w:t>
      </w:r>
      <w:r w:rsidRPr="004C2FAC">
        <w:rPr>
          <w:rFonts w:cs="Arial"/>
          <w:i/>
          <w:sz w:val="22"/>
          <w:szCs w:val="22"/>
        </w:rPr>
        <w:lastRenderedPageBreak/>
        <w:t>la fecha que más adelante se indica, el otorgamiento de la escritura pública que le transfiera al IDEMA el derecho de dominio y la posesión plena sobre el inmueble descrito anteriormente</w:t>
      </w:r>
      <w:r w:rsidRPr="004C2FAC">
        <w:rPr>
          <w:rStyle w:val="Refdenotaalpie"/>
          <w:rFonts w:cs="Arial"/>
          <w:i/>
          <w:sz w:val="22"/>
          <w:szCs w:val="22"/>
        </w:rPr>
        <w:footnoteReference w:id="47"/>
      </w:r>
      <w:r w:rsidRPr="004C2FAC">
        <w:rPr>
          <w:rFonts w:cs="Arial"/>
          <w:i/>
          <w:sz w:val="22"/>
          <w:szCs w:val="22"/>
        </w:rPr>
        <w:t>”.</w:t>
      </w:r>
    </w:p>
    <w:p w:rsidR="00FF5811" w:rsidRPr="004C2FAC" w:rsidRDefault="00FF5811" w:rsidP="00FF5811">
      <w:pPr>
        <w:widowControl w:val="0"/>
        <w:autoSpaceDE w:val="0"/>
        <w:autoSpaceDN w:val="0"/>
        <w:adjustRightInd w:val="0"/>
        <w:rPr>
          <w:rFonts w:cs="Arial"/>
          <w:b/>
        </w:rPr>
      </w:pPr>
    </w:p>
    <w:p w:rsidR="00FF5811" w:rsidRPr="004C2FAC" w:rsidRDefault="00FF5811" w:rsidP="00FF5811">
      <w:pPr>
        <w:widowControl w:val="0"/>
        <w:autoSpaceDE w:val="0"/>
        <w:autoSpaceDN w:val="0"/>
        <w:adjustRightInd w:val="0"/>
        <w:rPr>
          <w:rFonts w:cs="Arial"/>
        </w:rPr>
      </w:pPr>
      <w:r w:rsidRPr="004C2FAC">
        <w:rPr>
          <w:rFonts w:cs="Arial"/>
        </w:rPr>
        <w:t xml:space="preserve">De acuerdo con el punto 6 del citado documento, </w:t>
      </w:r>
      <w:r w:rsidRPr="004C2FAC">
        <w:rPr>
          <w:rFonts w:cs="Arial"/>
          <w:i/>
        </w:rPr>
        <w:t>“si al efectuarse el avalúo, es aceptado, se fijará fecha límite para la firma de la escritura el 16 de diciembre de 1996”</w:t>
      </w:r>
      <w:r w:rsidRPr="004C2FAC">
        <w:rPr>
          <w:rStyle w:val="Refdenotaalpie"/>
          <w:rFonts w:cs="Arial"/>
          <w:i/>
        </w:rPr>
        <w:footnoteReference w:id="48"/>
      </w:r>
      <w:r w:rsidRPr="004C2FAC">
        <w:rPr>
          <w:rFonts w:cs="Arial"/>
          <w:i/>
        </w:rPr>
        <w:t>.</w:t>
      </w:r>
    </w:p>
    <w:p w:rsidR="00FF5811" w:rsidRPr="004C2FAC" w:rsidRDefault="00FF5811" w:rsidP="00405706">
      <w:pPr>
        <w:rPr>
          <w:rFonts w:cs="Arial"/>
        </w:rPr>
      </w:pPr>
    </w:p>
    <w:p w:rsidR="0064729C" w:rsidRPr="004C2FAC" w:rsidRDefault="00AF0EA7" w:rsidP="005731F0">
      <w:pPr>
        <w:rPr>
          <w:rFonts w:cs="Arial"/>
        </w:rPr>
      </w:pPr>
      <w:r w:rsidRPr="004C2FAC">
        <w:rPr>
          <w:rFonts w:cs="Arial"/>
        </w:rPr>
        <w:t xml:space="preserve">De </w:t>
      </w:r>
      <w:r w:rsidR="003835D3" w:rsidRPr="004C2FAC">
        <w:rPr>
          <w:rFonts w:cs="Arial"/>
        </w:rPr>
        <w:t xml:space="preserve">conformidad </w:t>
      </w:r>
      <w:r w:rsidRPr="004C2FAC">
        <w:rPr>
          <w:rFonts w:cs="Arial"/>
        </w:rPr>
        <w:t>con lo anterior</w:t>
      </w:r>
      <w:r w:rsidR="003835D3" w:rsidRPr="004C2FAC">
        <w:rPr>
          <w:rFonts w:cs="Arial"/>
        </w:rPr>
        <w:t>,</w:t>
      </w:r>
      <w:r w:rsidRPr="004C2FAC">
        <w:rPr>
          <w:rFonts w:cs="Arial"/>
        </w:rPr>
        <w:t xml:space="preserve"> se establece que el </w:t>
      </w:r>
      <w:r w:rsidR="005731F0" w:rsidRPr="004C2FAC">
        <w:rPr>
          <w:rFonts w:cs="Arial"/>
        </w:rPr>
        <w:t xml:space="preserve">documento </w:t>
      </w:r>
      <w:r w:rsidRPr="004C2FAC">
        <w:rPr>
          <w:rFonts w:cs="Arial"/>
        </w:rPr>
        <w:t xml:space="preserve">en cuestión </w:t>
      </w:r>
      <w:r w:rsidR="005731F0" w:rsidRPr="004C2FAC">
        <w:rPr>
          <w:rFonts w:cs="Arial"/>
        </w:rPr>
        <w:t xml:space="preserve">contenía un compromiso de dación en pago, sometido a </w:t>
      </w:r>
      <w:r w:rsidR="007E3536" w:rsidRPr="004C2FAC">
        <w:rPr>
          <w:rFonts w:cs="Arial"/>
        </w:rPr>
        <w:t xml:space="preserve">determinados </w:t>
      </w:r>
      <w:r w:rsidR="005731F0" w:rsidRPr="004C2FAC">
        <w:rPr>
          <w:rFonts w:cs="Arial"/>
        </w:rPr>
        <w:t xml:space="preserve">requisitos </w:t>
      </w:r>
      <w:r w:rsidR="007E3536" w:rsidRPr="004C2FAC">
        <w:rPr>
          <w:rFonts w:cs="Arial"/>
        </w:rPr>
        <w:t>y</w:t>
      </w:r>
      <w:r w:rsidR="005731F0" w:rsidRPr="004C2FAC">
        <w:rPr>
          <w:rFonts w:cs="Arial"/>
        </w:rPr>
        <w:t xml:space="preserve"> condiciones, que </w:t>
      </w:r>
      <w:r w:rsidR="00182804" w:rsidRPr="004C2FAC">
        <w:rPr>
          <w:rFonts w:cs="Arial"/>
        </w:rPr>
        <w:t xml:space="preserve">se </w:t>
      </w:r>
      <w:r w:rsidR="005731F0" w:rsidRPr="004C2FAC">
        <w:rPr>
          <w:rFonts w:cs="Arial"/>
        </w:rPr>
        <w:t xml:space="preserve">debían cumplir antes del 16 de diciembre de 1996, los cuales consistían en el paz y salvo del inmueble que se encontraba en cabeza de </w:t>
      </w:r>
      <w:r w:rsidR="003835D3" w:rsidRPr="004C2FAC">
        <w:rPr>
          <w:rFonts w:cs="Arial"/>
        </w:rPr>
        <w:t xml:space="preserve">la </w:t>
      </w:r>
      <w:r w:rsidR="005731F0" w:rsidRPr="004C2FAC">
        <w:rPr>
          <w:rFonts w:cs="Arial"/>
        </w:rPr>
        <w:t>Fiduciaria Tequendama</w:t>
      </w:r>
      <w:r w:rsidR="003835D3" w:rsidRPr="004C2FAC">
        <w:rPr>
          <w:rFonts w:cs="Arial"/>
        </w:rPr>
        <w:t xml:space="preserve"> S.A.</w:t>
      </w:r>
      <w:r w:rsidR="005731F0" w:rsidRPr="004C2FAC">
        <w:rPr>
          <w:rFonts w:cs="Arial"/>
        </w:rPr>
        <w:t xml:space="preserve">, la elaboración y aprobación del avalúo, </w:t>
      </w:r>
      <w:r w:rsidR="0064729C" w:rsidRPr="004C2FAC">
        <w:rPr>
          <w:rFonts w:cs="Arial"/>
        </w:rPr>
        <w:t xml:space="preserve">la prueba del </w:t>
      </w:r>
      <w:r w:rsidR="005731F0" w:rsidRPr="004C2FAC">
        <w:rPr>
          <w:rFonts w:cs="Arial"/>
        </w:rPr>
        <w:t>pago de los impuestos</w:t>
      </w:r>
      <w:r w:rsidR="00182804" w:rsidRPr="004C2FAC">
        <w:rPr>
          <w:rFonts w:cs="Arial"/>
        </w:rPr>
        <w:t xml:space="preserve"> y el </w:t>
      </w:r>
      <w:r w:rsidR="005731F0" w:rsidRPr="004C2FAC">
        <w:rPr>
          <w:rFonts w:cs="Arial"/>
        </w:rPr>
        <w:t xml:space="preserve">otorgamiento de la escritura pública </w:t>
      </w:r>
      <w:r w:rsidR="0064729C" w:rsidRPr="004C2FAC">
        <w:rPr>
          <w:rFonts w:cs="Arial"/>
        </w:rPr>
        <w:t>por parte de la fiduciaria en favor del IDEMA, con el fin de pagar las obligaciones derivadas de los contratos de trueque de arroz.</w:t>
      </w:r>
    </w:p>
    <w:p w:rsidR="005731F0" w:rsidRPr="004C2FAC" w:rsidRDefault="005731F0" w:rsidP="00405706">
      <w:pPr>
        <w:rPr>
          <w:rFonts w:cs="Arial"/>
        </w:rPr>
      </w:pPr>
    </w:p>
    <w:p w:rsidR="005627F2" w:rsidRPr="004C2FAC" w:rsidRDefault="004F0E2D" w:rsidP="00405706">
      <w:pPr>
        <w:rPr>
          <w:rFonts w:cs="Arial"/>
        </w:rPr>
      </w:pPr>
      <w:r w:rsidRPr="004C2FAC">
        <w:rPr>
          <w:rFonts w:cs="Arial"/>
        </w:rPr>
        <w:t xml:space="preserve">La Sala advierte que se </w:t>
      </w:r>
      <w:r w:rsidR="00A34178" w:rsidRPr="004C2FAC">
        <w:rPr>
          <w:rFonts w:cs="Arial"/>
        </w:rPr>
        <w:t>trató</w:t>
      </w:r>
      <w:r w:rsidR="006A5B1C" w:rsidRPr="004C2FAC">
        <w:rPr>
          <w:rFonts w:cs="Arial"/>
        </w:rPr>
        <w:t>,</w:t>
      </w:r>
      <w:r w:rsidR="00A34178" w:rsidRPr="004C2FAC">
        <w:rPr>
          <w:rFonts w:cs="Arial"/>
        </w:rPr>
        <w:t xml:space="preserve"> más bien, de un compromiso de dación en pago </w:t>
      </w:r>
      <w:r w:rsidR="00915658" w:rsidRPr="004C2FAC">
        <w:rPr>
          <w:rFonts w:cs="Arial"/>
        </w:rPr>
        <w:t xml:space="preserve">de </w:t>
      </w:r>
      <w:r w:rsidR="001F722E" w:rsidRPr="004C2FAC">
        <w:rPr>
          <w:rFonts w:cs="Arial"/>
        </w:rPr>
        <w:t xml:space="preserve">las </w:t>
      </w:r>
      <w:r w:rsidR="00915658" w:rsidRPr="004C2FAC">
        <w:rPr>
          <w:rFonts w:cs="Arial"/>
        </w:rPr>
        <w:t xml:space="preserve">obligaciones </w:t>
      </w:r>
      <w:r w:rsidR="001F722E" w:rsidRPr="004C2FAC">
        <w:rPr>
          <w:rFonts w:cs="Arial"/>
        </w:rPr>
        <w:t xml:space="preserve">originadas en los contratos de trueque de arroz que allí se </w:t>
      </w:r>
      <w:r w:rsidR="00DD4375" w:rsidRPr="004C2FAC">
        <w:rPr>
          <w:rFonts w:cs="Arial"/>
        </w:rPr>
        <w:t>mencionaron</w:t>
      </w:r>
      <w:r w:rsidR="001F722E" w:rsidRPr="004C2FAC">
        <w:rPr>
          <w:rFonts w:cs="Arial"/>
        </w:rPr>
        <w:t>, empero</w:t>
      </w:r>
      <w:r w:rsidR="0030059C" w:rsidRPr="004C2FAC">
        <w:rPr>
          <w:rFonts w:cs="Arial"/>
        </w:rPr>
        <w:t>,</w:t>
      </w:r>
      <w:r w:rsidR="001F722E" w:rsidRPr="004C2FAC">
        <w:rPr>
          <w:rFonts w:cs="Arial"/>
        </w:rPr>
        <w:t xml:space="preserve"> </w:t>
      </w:r>
      <w:r w:rsidR="00A34178" w:rsidRPr="004C2FAC">
        <w:rPr>
          <w:rFonts w:cs="Arial"/>
        </w:rPr>
        <w:t xml:space="preserve">se </w:t>
      </w:r>
      <w:r w:rsidR="00693072" w:rsidRPr="004C2FAC">
        <w:rPr>
          <w:rFonts w:cs="Arial"/>
        </w:rPr>
        <w:t xml:space="preserve">debía </w:t>
      </w:r>
      <w:r w:rsidR="00A34178" w:rsidRPr="004C2FAC">
        <w:rPr>
          <w:rFonts w:cs="Arial"/>
        </w:rPr>
        <w:t xml:space="preserve">perfeccionar bajo unas condiciones, en un plazo </w:t>
      </w:r>
      <w:r w:rsidR="001F722E" w:rsidRPr="004C2FAC">
        <w:rPr>
          <w:rFonts w:cs="Arial"/>
        </w:rPr>
        <w:t>y por el valor de avalúo que se llegara a aprobar</w:t>
      </w:r>
      <w:r w:rsidR="00DD4375" w:rsidRPr="004C2FAC">
        <w:rPr>
          <w:rFonts w:cs="Arial"/>
        </w:rPr>
        <w:t>,</w:t>
      </w:r>
      <w:r w:rsidRPr="004C2FAC">
        <w:rPr>
          <w:rFonts w:cs="Arial"/>
        </w:rPr>
        <w:t xml:space="preserve"> </w:t>
      </w:r>
      <w:r w:rsidR="00F45969" w:rsidRPr="004C2FAC">
        <w:rPr>
          <w:rFonts w:cs="Arial"/>
        </w:rPr>
        <w:t xml:space="preserve">con el fin de </w:t>
      </w:r>
      <w:r w:rsidRPr="004C2FAC">
        <w:rPr>
          <w:rFonts w:cs="Arial"/>
        </w:rPr>
        <w:t xml:space="preserve">pagar con el </w:t>
      </w:r>
      <w:r w:rsidR="003835D3" w:rsidRPr="004C2FAC">
        <w:rPr>
          <w:rFonts w:cs="Arial"/>
        </w:rPr>
        <w:t xml:space="preserve">respectivo inmueble </w:t>
      </w:r>
      <w:r w:rsidRPr="004C2FAC">
        <w:rPr>
          <w:rFonts w:cs="Arial"/>
        </w:rPr>
        <w:t>las obligaciones que en</w:t>
      </w:r>
      <w:r w:rsidR="0030059C" w:rsidRPr="004C2FAC">
        <w:rPr>
          <w:rFonts w:cs="Arial"/>
        </w:rPr>
        <w:t xml:space="preserve"> su momento </w:t>
      </w:r>
      <w:r w:rsidRPr="004C2FAC">
        <w:rPr>
          <w:rFonts w:cs="Arial"/>
        </w:rPr>
        <w:t xml:space="preserve">debían </w:t>
      </w:r>
      <w:r w:rsidR="00F45969" w:rsidRPr="004C2FAC">
        <w:rPr>
          <w:rFonts w:cs="Arial"/>
        </w:rPr>
        <w:t>cuantificarse</w:t>
      </w:r>
      <w:r w:rsidRPr="004C2FAC">
        <w:rPr>
          <w:rFonts w:cs="Arial"/>
        </w:rPr>
        <w:t xml:space="preserve">, </w:t>
      </w:r>
      <w:r w:rsidR="00B7758B" w:rsidRPr="004C2FAC">
        <w:rPr>
          <w:rFonts w:cs="Arial"/>
        </w:rPr>
        <w:t xml:space="preserve">todo lo cual </w:t>
      </w:r>
      <w:r w:rsidR="0030059C" w:rsidRPr="004C2FAC">
        <w:rPr>
          <w:rFonts w:cs="Arial"/>
        </w:rPr>
        <w:t xml:space="preserve">tenía que </w:t>
      </w:r>
      <w:r w:rsidR="00B7758B" w:rsidRPr="004C2FAC">
        <w:rPr>
          <w:rFonts w:cs="Arial"/>
        </w:rPr>
        <w:t xml:space="preserve">cumplirse dentro del </w:t>
      </w:r>
      <w:r w:rsidR="00182804" w:rsidRPr="004C2FAC">
        <w:rPr>
          <w:rFonts w:cs="Arial"/>
        </w:rPr>
        <w:t xml:space="preserve">término </w:t>
      </w:r>
      <w:r w:rsidR="001F722E" w:rsidRPr="004C2FAC">
        <w:rPr>
          <w:rFonts w:cs="Arial"/>
        </w:rPr>
        <w:t xml:space="preserve">que </w:t>
      </w:r>
      <w:r w:rsidR="00B7758B" w:rsidRPr="004C2FAC">
        <w:rPr>
          <w:rFonts w:cs="Arial"/>
        </w:rPr>
        <w:t>se fijó en e</w:t>
      </w:r>
      <w:r w:rsidR="00DD4375" w:rsidRPr="004C2FAC">
        <w:rPr>
          <w:rFonts w:cs="Arial"/>
        </w:rPr>
        <w:t>se</w:t>
      </w:r>
      <w:r w:rsidR="00B7758B" w:rsidRPr="004C2FAC">
        <w:rPr>
          <w:rFonts w:cs="Arial"/>
        </w:rPr>
        <w:t xml:space="preserve"> documento, </w:t>
      </w:r>
      <w:r w:rsidR="00DD4375" w:rsidRPr="004C2FAC">
        <w:rPr>
          <w:rFonts w:cs="Arial"/>
        </w:rPr>
        <w:t>esto es</w:t>
      </w:r>
      <w:r w:rsidR="00E26C01" w:rsidRPr="004C2FAC">
        <w:rPr>
          <w:rFonts w:cs="Arial"/>
        </w:rPr>
        <w:t>,</w:t>
      </w:r>
      <w:r w:rsidR="00DD4375" w:rsidRPr="004C2FAC">
        <w:rPr>
          <w:rFonts w:cs="Arial"/>
        </w:rPr>
        <w:t xml:space="preserve"> </w:t>
      </w:r>
      <w:r w:rsidR="0030059C" w:rsidRPr="004C2FAC">
        <w:rPr>
          <w:rFonts w:cs="Arial"/>
        </w:rPr>
        <w:t>hasta el 16 de diciembre de 1996</w:t>
      </w:r>
      <w:r w:rsidR="00F024C8" w:rsidRPr="004C2FAC">
        <w:rPr>
          <w:rFonts w:cs="Arial"/>
        </w:rPr>
        <w:t>;</w:t>
      </w:r>
      <w:r w:rsidR="0030059C" w:rsidRPr="004C2FAC">
        <w:rPr>
          <w:rFonts w:cs="Arial"/>
        </w:rPr>
        <w:t xml:space="preserve"> </w:t>
      </w:r>
      <w:r w:rsidR="00F45969" w:rsidRPr="004C2FAC">
        <w:rPr>
          <w:rFonts w:cs="Arial"/>
        </w:rPr>
        <w:t>empero, el p</w:t>
      </w:r>
      <w:r w:rsidR="00803BF2" w:rsidRPr="004C2FAC">
        <w:rPr>
          <w:rFonts w:cs="Arial"/>
        </w:rPr>
        <w:t>l</w:t>
      </w:r>
      <w:r w:rsidR="00F45969" w:rsidRPr="004C2FAC">
        <w:rPr>
          <w:rFonts w:cs="Arial"/>
        </w:rPr>
        <w:t xml:space="preserve">azo </w:t>
      </w:r>
      <w:r w:rsidR="00A34178" w:rsidRPr="004C2FAC">
        <w:rPr>
          <w:rFonts w:cs="Arial"/>
        </w:rPr>
        <w:t xml:space="preserve">expiró sin que tales </w:t>
      </w:r>
      <w:r w:rsidR="00803BF2" w:rsidRPr="004C2FAC">
        <w:rPr>
          <w:rFonts w:cs="Arial"/>
        </w:rPr>
        <w:t xml:space="preserve">requisitos y </w:t>
      </w:r>
      <w:r w:rsidR="00A34178" w:rsidRPr="004C2FAC">
        <w:rPr>
          <w:rFonts w:cs="Arial"/>
        </w:rPr>
        <w:t>condiciones se hubieran cumplido.</w:t>
      </w:r>
      <w:r w:rsidR="005627F2" w:rsidRPr="004C2FAC">
        <w:rPr>
          <w:rFonts w:cs="Arial"/>
        </w:rPr>
        <w:t xml:space="preserve"> </w:t>
      </w:r>
    </w:p>
    <w:p w:rsidR="005627F2" w:rsidRPr="004C2FAC" w:rsidRDefault="005627F2" w:rsidP="00405706">
      <w:pPr>
        <w:rPr>
          <w:rFonts w:cs="Arial"/>
        </w:rPr>
      </w:pPr>
    </w:p>
    <w:p w:rsidR="00B12BB8" w:rsidRPr="004C2FAC" w:rsidRDefault="005627F2" w:rsidP="00405706">
      <w:pPr>
        <w:rPr>
          <w:rFonts w:cs="Arial"/>
        </w:rPr>
      </w:pPr>
      <w:r w:rsidRPr="004C2FAC">
        <w:rPr>
          <w:rFonts w:cs="Arial"/>
        </w:rPr>
        <w:t xml:space="preserve">Dicho lo anterior, se deja </w:t>
      </w:r>
      <w:r w:rsidR="00B12BB8" w:rsidRPr="004C2FAC">
        <w:rPr>
          <w:rFonts w:cs="Arial"/>
        </w:rPr>
        <w:t xml:space="preserve">establecido </w:t>
      </w:r>
      <w:r w:rsidRPr="004C2FAC">
        <w:rPr>
          <w:rFonts w:cs="Arial"/>
        </w:rPr>
        <w:t xml:space="preserve">que </w:t>
      </w:r>
      <w:r w:rsidR="007575E2" w:rsidRPr="004C2FAC">
        <w:rPr>
          <w:rFonts w:cs="Arial"/>
        </w:rPr>
        <w:t>pese al título del acta</w:t>
      </w:r>
      <w:r w:rsidR="004608DE" w:rsidRPr="004C2FAC">
        <w:rPr>
          <w:rFonts w:cs="Arial"/>
        </w:rPr>
        <w:t xml:space="preserve"> que se comenta</w:t>
      </w:r>
      <w:r w:rsidR="007575E2" w:rsidRPr="004C2FAC">
        <w:rPr>
          <w:rFonts w:cs="Arial"/>
        </w:rPr>
        <w:t xml:space="preserve">, no hay lugar a entrar en el estudio </w:t>
      </w:r>
      <w:r w:rsidR="00B12BB8" w:rsidRPr="004C2FAC">
        <w:rPr>
          <w:rFonts w:cs="Arial"/>
        </w:rPr>
        <w:t xml:space="preserve">de la figura de la cosa juzgada </w:t>
      </w:r>
      <w:r w:rsidR="00B7758B" w:rsidRPr="004C2FAC">
        <w:rPr>
          <w:rFonts w:cs="Arial"/>
        </w:rPr>
        <w:t xml:space="preserve">respecto de su contenido, como tampoco procede explorar una </w:t>
      </w:r>
      <w:r w:rsidR="00B12BB8" w:rsidRPr="004C2FAC">
        <w:rPr>
          <w:rFonts w:cs="Arial"/>
        </w:rPr>
        <w:t xml:space="preserve">ineptitud de la demanda </w:t>
      </w:r>
      <w:r w:rsidR="0030059C" w:rsidRPr="004C2FAC">
        <w:rPr>
          <w:rFonts w:cs="Arial"/>
        </w:rPr>
        <w:t xml:space="preserve">derivada </w:t>
      </w:r>
      <w:r w:rsidR="0030059C" w:rsidRPr="004C2FAC">
        <w:rPr>
          <w:rFonts w:cs="Arial"/>
        </w:rPr>
        <w:lastRenderedPageBreak/>
        <w:t xml:space="preserve">de que el demandante no </w:t>
      </w:r>
      <w:r w:rsidR="00B12BB8" w:rsidRPr="004C2FAC">
        <w:rPr>
          <w:rFonts w:cs="Arial"/>
        </w:rPr>
        <w:t>bas</w:t>
      </w:r>
      <w:r w:rsidR="00803BF2" w:rsidRPr="004C2FAC">
        <w:rPr>
          <w:rFonts w:cs="Arial"/>
        </w:rPr>
        <w:t>ó</w:t>
      </w:r>
      <w:r w:rsidR="00B12BB8" w:rsidRPr="004C2FAC">
        <w:rPr>
          <w:rFonts w:cs="Arial"/>
        </w:rPr>
        <w:t xml:space="preserve"> </w:t>
      </w:r>
      <w:r w:rsidR="00B7758B" w:rsidRPr="004C2FAC">
        <w:rPr>
          <w:rFonts w:cs="Arial"/>
        </w:rPr>
        <w:t>sus</w:t>
      </w:r>
      <w:r w:rsidR="00B12BB8" w:rsidRPr="004C2FAC">
        <w:rPr>
          <w:rFonts w:cs="Arial"/>
        </w:rPr>
        <w:t xml:space="preserve"> pretensiones en ese acuerdo de dación en pago</w:t>
      </w:r>
      <w:r w:rsidR="00DD4375" w:rsidRPr="004C2FAC">
        <w:rPr>
          <w:rFonts w:cs="Arial"/>
        </w:rPr>
        <w:t>,</w:t>
      </w:r>
      <w:r w:rsidR="00B7758B" w:rsidRPr="004C2FAC">
        <w:rPr>
          <w:rFonts w:cs="Arial"/>
        </w:rPr>
        <w:t xml:space="preserve"> </w:t>
      </w:r>
      <w:r w:rsidR="00803BF2" w:rsidRPr="004C2FAC">
        <w:rPr>
          <w:rFonts w:cs="Arial"/>
        </w:rPr>
        <w:t xml:space="preserve">el cual </w:t>
      </w:r>
      <w:r w:rsidR="00B7758B" w:rsidRPr="004C2FAC">
        <w:rPr>
          <w:rFonts w:cs="Arial"/>
        </w:rPr>
        <w:t>resultó fallido</w:t>
      </w:r>
      <w:r w:rsidR="00B7758B" w:rsidRPr="004C2FAC">
        <w:rPr>
          <w:rStyle w:val="Refdenotaalpie"/>
          <w:rFonts w:cs="Arial"/>
        </w:rPr>
        <w:footnoteReference w:id="49"/>
      </w:r>
      <w:r w:rsidR="00B7758B" w:rsidRPr="004C2FAC">
        <w:rPr>
          <w:rFonts w:cs="Arial"/>
        </w:rPr>
        <w:t xml:space="preserve">. </w:t>
      </w:r>
    </w:p>
    <w:p w:rsidR="00901552" w:rsidRPr="004C2FAC" w:rsidRDefault="00901552" w:rsidP="00405706">
      <w:pPr>
        <w:rPr>
          <w:rFonts w:cs="Arial"/>
          <w:i/>
        </w:rPr>
      </w:pPr>
    </w:p>
    <w:p w:rsidR="007E3536" w:rsidRPr="004C2FAC" w:rsidRDefault="00F70F36" w:rsidP="00405706">
      <w:pPr>
        <w:rPr>
          <w:rFonts w:cs="Arial"/>
          <w:i/>
        </w:rPr>
      </w:pPr>
      <w:r w:rsidRPr="004C2FAC">
        <w:rPr>
          <w:rFonts w:cs="Arial"/>
        </w:rPr>
        <w:t>Vale la pena precisar que</w:t>
      </w:r>
      <w:r w:rsidR="00DB4FBF" w:rsidRPr="004C2FAC">
        <w:rPr>
          <w:rFonts w:cs="Arial"/>
        </w:rPr>
        <w:t>,</w:t>
      </w:r>
      <w:r w:rsidRPr="004C2FAC">
        <w:rPr>
          <w:rFonts w:cs="Arial"/>
        </w:rPr>
        <w:t xml:space="preserve"> vencido el plazo</w:t>
      </w:r>
      <w:r w:rsidR="00DB4FBF" w:rsidRPr="004C2FAC">
        <w:rPr>
          <w:rFonts w:cs="Arial"/>
        </w:rPr>
        <w:t xml:space="preserve"> fijado en el acuerdo</w:t>
      </w:r>
      <w:r w:rsidR="00E85D1E" w:rsidRPr="004C2FAC">
        <w:rPr>
          <w:rFonts w:cs="Arial"/>
        </w:rPr>
        <w:t xml:space="preserve"> de dación en pago</w:t>
      </w:r>
      <w:r w:rsidR="00DB4FBF" w:rsidRPr="004C2FAC">
        <w:rPr>
          <w:rFonts w:cs="Arial"/>
        </w:rPr>
        <w:t xml:space="preserve">, el IDEMA procedió a </w:t>
      </w:r>
      <w:r w:rsidR="00086831" w:rsidRPr="004C2FAC">
        <w:rPr>
          <w:rFonts w:cs="Arial"/>
        </w:rPr>
        <w:t xml:space="preserve">expedir los actos administrativos mediante los cuales </w:t>
      </w:r>
      <w:r w:rsidR="00DB4FBF" w:rsidRPr="004C2FAC">
        <w:rPr>
          <w:rFonts w:cs="Arial"/>
        </w:rPr>
        <w:t>declar</w:t>
      </w:r>
      <w:r w:rsidR="00086831" w:rsidRPr="004C2FAC">
        <w:rPr>
          <w:rFonts w:cs="Arial"/>
        </w:rPr>
        <w:t>ó</w:t>
      </w:r>
      <w:r w:rsidR="00DB4FBF" w:rsidRPr="004C2FAC">
        <w:rPr>
          <w:rFonts w:cs="Arial"/>
        </w:rPr>
        <w:t xml:space="preserve"> la ocurrencia del riesgo </w:t>
      </w:r>
      <w:r w:rsidR="00E85D1E" w:rsidRPr="004C2FAC">
        <w:rPr>
          <w:rFonts w:cs="Arial"/>
        </w:rPr>
        <w:t xml:space="preserve">asegurado </w:t>
      </w:r>
      <w:r w:rsidR="00DB4FBF" w:rsidRPr="004C2FAC">
        <w:rPr>
          <w:rFonts w:cs="Arial"/>
        </w:rPr>
        <w:t xml:space="preserve">y la efectividad de </w:t>
      </w:r>
      <w:r w:rsidR="00E85D1E" w:rsidRPr="004C2FAC">
        <w:rPr>
          <w:rFonts w:cs="Arial"/>
        </w:rPr>
        <w:t xml:space="preserve">las </w:t>
      </w:r>
      <w:r w:rsidR="00DB4FBF" w:rsidRPr="004C2FAC">
        <w:rPr>
          <w:rFonts w:cs="Arial"/>
        </w:rPr>
        <w:t>pólizas de seguro</w:t>
      </w:r>
      <w:r w:rsidR="00E85D1E" w:rsidRPr="004C2FAC">
        <w:rPr>
          <w:rFonts w:cs="Arial"/>
        </w:rPr>
        <w:t xml:space="preserve">. En dichos actos declaró que </w:t>
      </w:r>
      <w:r w:rsidR="005F0821" w:rsidRPr="004C2FAC">
        <w:rPr>
          <w:rFonts w:cs="Arial"/>
        </w:rPr>
        <w:t xml:space="preserve">la aseguradora estaba obligada a pagar el valor de los </w:t>
      </w:r>
      <w:r w:rsidR="00086831" w:rsidRPr="004C2FAC">
        <w:rPr>
          <w:rFonts w:cs="Arial"/>
        </w:rPr>
        <w:t>kilogramos de arroz blanco, “</w:t>
      </w:r>
      <w:r w:rsidR="00086831" w:rsidRPr="004C2FAC">
        <w:rPr>
          <w:rFonts w:cs="Arial"/>
          <w:i/>
        </w:rPr>
        <w:t>a los precios del mercado de la fecha de pago”.</w:t>
      </w:r>
      <w:r w:rsidR="005F0821" w:rsidRPr="004C2FAC">
        <w:rPr>
          <w:rFonts w:cs="Arial"/>
          <w:i/>
        </w:rPr>
        <w:t xml:space="preserve"> </w:t>
      </w:r>
    </w:p>
    <w:p w:rsidR="007E3536" w:rsidRPr="004C2FAC" w:rsidRDefault="007E3536" w:rsidP="00405706">
      <w:pPr>
        <w:rPr>
          <w:rFonts w:cs="Arial"/>
          <w:i/>
        </w:rPr>
      </w:pPr>
    </w:p>
    <w:p w:rsidR="000C613A" w:rsidRPr="004C2FAC" w:rsidRDefault="00693072" w:rsidP="00405706">
      <w:pPr>
        <w:rPr>
          <w:rFonts w:cs="Arial"/>
        </w:rPr>
      </w:pPr>
      <w:r w:rsidRPr="004C2FAC">
        <w:rPr>
          <w:rFonts w:cs="Arial"/>
        </w:rPr>
        <w:t>Tal c</w:t>
      </w:r>
      <w:r w:rsidR="000C613A" w:rsidRPr="004C2FAC">
        <w:rPr>
          <w:rFonts w:cs="Arial"/>
        </w:rPr>
        <w:t xml:space="preserve">omo se detallará en </w:t>
      </w:r>
      <w:r w:rsidRPr="004C2FAC">
        <w:rPr>
          <w:rFonts w:cs="Arial"/>
        </w:rPr>
        <w:t xml:space="preserve">el análisis de </w:t>
      </w:r>
      <w:r w:rsidR="000C613A" w:rsidRPr="004C2FAC">
        <w:rPr>
          <w:rFonts w:cs="Arial"/>
        </w:rPr>
        <w:t xml:space="preserve">las pruebas, los </w:t>
      </w:r>
      <w:r w:rsidR="00AF0EA7" w:rsidRPr="004C2FAC">
        <w:rPr>
          <w:rFonts w:cs="Arial"/>
        </w:rPr>
        <w:t xml:space="preserve">referidos </w:t>
      </w:r>
      <w:r w:rsidR="000C613A" w:rsidRPr="004C2FAC">
        <w:rPr>
          <w:rFonts w:cs="Arial"/>
        </w:rPr>
        <w:t xml:space="preserve">actos administrativos fueron revocados y el IDEMA </w:t>
      </w:r>
      <w:r w:rsidR="004608DE" w:rsidRPr="004C2FAC">
        <w:rPr>
          <w:rFonts w:cs="Arial"/>
        </w:rPr>
        <w:t xml:space="preserve">afirmó </w:t>
      </w:r>
      <w:r w:rsidR="000C613A" w:rsidRPr="004C2FAC">
        <w:rPr>
          <w:rFonts w:cs="Arial"/>
        </w:rPr>
        <w:t xml:space="preserve">que debía acudir ante al Juez del contrato, </w:t>
      </w:r>
      <w:r w:rsidR="00AF0EA7" w:rsidRPr="004C2FAC">
        <w:rPr>
          <w:rFonts w:cs="Arial"/>
        </w:rPr>
        <w:t xml:space="preserve">sin embargo, </w:t>
      </w:r>
      <w:r w:rsidR="000C613A" w:rsidRPr="004C2FAC">
        <w:rPr>
          <w:rFonts w:cs="Arial"/>
        </w:rPr>
        <w:t xml:space="preserve">esa entidad no presentó la correspondiente demanda. </w:t>
      </w:r>
    </w:p>
    <w:p w:rsidR="005F0821" w:rsidRPr="004C2FAC" w:rsidRDefault="005F0821" w:rsidP="00405706">
      <w:pPr>
        <w:rPr>
          <w:rFonts w:cs="Arial"/>
        </w:rPr>
      </w:pPr>
    </w:p>
    <w:p w:rsidR="00BE793C" w:rsidRPr="004C2FAC" w:rsidRDefault="00F124F5" w:rsidP="00BE793C">
      <w:pPr>
        <w:pStyle w:val="Lista"/>
        <w:rPr>
          <w:rFonts w:ascii="Arial" w:hAnsi="Arial" w:cs="Arial"/>
          <w:b/>
        </w:rPr>
      </w:pPr>
      <w:r w:rsidRPr="004C2FAC">
        <w:rPr>
          <w:rFonts w:ascii="Arial" w:hAnsi="Arial" w:cs="Arial"/>
          <w:b/>
        </w:rPr>
        <w:t>4</w:t>
      </w:r>
      <w:r w:rsidR="00BE793C" w:rsidRPr="004C2FAC">
        <w:rPr>
          <w:rFonts w:ascii="Arial" w:hAnsi="Arial" w:cs="Arial"/>
          <w:b/>
        </w:rPr>
        <w:t>.</w:t>
      </w:r>
      <w:r w:rsidR="004A49A0" w:rsidRPr="004C2FAC">
        <w:rPr>
          <w:rFonts w:ascii="Arial" w:hAnsi="Arial" w:cs="Arial"/>
          <w:b/>
        </w:rPr>
        <w:tab/>
      </w:r>
      <w:r w:rsidR="00BE793C" w:rsidRPr="004C2FAC">
        <w:rPr>
          <w:rFonts w:ascii="Arial" w:hAnsi="Arial" w:cs="Arial"/>
          <w:b/>
        </w:rPr>
        <w:t>Las pruebas aportadas al proceso</w:t>
      </w:r>
    </w:p>
    <w:p w:rsidR="00BE793C" w:rsidRPr="004C2FAC" w:rsidRDefault="00BE793C" w:rsidP="00BE793C">
      <w:pPr>
        <w:widowControl w:val="0"/>
        <w:rPr>
          <w:rFonts w:cs="Arial"/>
          <w:lang w:val="es-ES_tradnl"/>
        </w:rPr>
      </w:pPr>
    </w:p>
    <w:p w:rsidR="00263472" w:rsidRPr="004C2FAC" w:rsidRDefault="00F124F5" w:rsidP="00263472">
      <w:pPr>
        <w:widowControl w:val="0"/>
        <w:autoSpaceDE w:val="0"/>
        <w:autoSpaceDN w:val="0"/>
        <w:adjustRightInd w:val="0"/>
        <w:rPr>
          <w:rFonts w:cs="Arial"/>
        </w:rPr>
      </w:pPr>
      <w:r w:rsidRPr="004C2FAC">
        <w:rPr>
          <w:rFonts w:cs="Arial"/>
          <w:b/>
        </w:rPr>
        <w:t>4</w:t>
      </w:r>
      <w:r w:rsidR="009122F9" w:rsidRPr="004C2FAC">
        <w:rPr>
          <w:rFonts w:cs="Arial"/>
          <w:b/>
        </w:rPr>
        <w:t>.1.</w:t>
      </w:r>
      <w:r w:rsidR="009122F9" w:rsidRPr="004C2FAC">
        <w:rPr>
          <w:rFonts w:cs="Arial"/>
        </w:rPr>
        <w:t xml:space="preserve"> </w:t>
      </w:r>
      <w:r w:rsidR="00263472" w:rsidRPr="004C2FAC">
        <w:rPr>
          <w:rFonts w:cs="Arial"/>
        </w:rPr>
        <w:t xml:space="preserve">Conviene presentar una relación de los contratos y </w:t>
      </w:r>
      <w:r w:rsidR="0048301E" w:rsidRPr="004C2FAC">
        <w:rPr>
          <w:rFonts w:cs="Arial"/>
        </w:rPr>
        <w:t xml:space="preserve">de </w:t>
      </w:r>
      <w:r w:rsidR="00263472" w:rsidRPr="004C2FAC">
        <w:rPr>
          <w:rFonts w:cs="Arial"/>
        </w:rPr>
        <w:t xml:space="preserve">las pólizas de seguro que se probaron en este proceso, toda vez que la demanda incurrió en algunas equivocaciones </w:t>
      </w:r>
      <w:r w:rsidR="009061AB" w:rsidRPr="004C2FAC">
        <w:rPr>
          <w:rFonts w:cs="Arial"/>
        </w:rPr>
        <w:t xml:space="preserve">al citar la </w:t>
      </w:r>
      <w:r w:rsidR="00263472" w:rsidRPr="004C2FAC">
        <w:rPr>
          <w:rFonts w:cs="Arial"/>
        </w:rPr>
        <w:t>correlación entre los referidos documentos.</w:t>
      </w:r>
    </w:p>
    <w:p w:rsidR="00263472" w:rsidRPr="004C2FAC" w:rsidRDefault="00263472" w:rsidP="00263472">
      <w:pPr>
        <w:widowControl w:val="0"/>
        <w:autoSpaceDE w:val="0"/>
        <w:autoSpaceDN w:val="0"/>
        <w:adjustRightInd w:val="0"/>
        <w:rPr>
          <w:rFonts w:cs="Arial"/>
        </w:rPr>
      </w:pPr>
    </w:p>
    <w:p w:rsidR="00263472" w:rsidRPr="004C2FAC" w:rsidRDefault="00263472" w:rsidP="00263472">
      <w:pPr>
        <w:widowControl w:val="0"/>
        <w:autoSpaceDE w:val="0"/>
        <w:autoSpaceDN w:val="0"/>
        <w:adjustRightInd w:val="0"/>
        <w:rPr>
          <w:rFonts w:cs="Arial"/>
        </w:rPr>
      </w:pPr>
      <w:r w:rsidRPr="004C2FAC">
        <w:rPr>
          <w:rFonts w:cs="Arial"/>
        </w:rPr>
        <w:t>En orden cronológico, las pruebas acreditan los siguientes contratos:</w:t>
      </w:r>
    </w:p>
    <w:p w:rsidR="00F124F5" w:rsidRPr="004C2FAC" w:rsidRDefault="00F124F5" w:rsidP="00263472">
      <w:pPr>
        <w:widowControl w:val="0"/>
        <w:autoSpaceDE w:val="0"/>
        <w:autoSpaceDN w:val="0"/>
        <w:adjustRightInd w:val="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584"/>
        <w:gridCol w:w="2886"/>
      </w:tblGrid>
      <w:tr w:rsidR="00263472" w:rsidRPr="004C2FAC" w:rsidTr="00A453E8">
        <w:tc>
          <w:tcPr>
            <w:tcW w:w="3143" w:type="dxa"/>
            <w:shd w:val="clear" w:color="auto" w:fill="auto"/>
          </w:tcPr>
          <w:p w:rsidR="00263472" w:rsidRPr="00A453E8" w:rsidRDefault="00263472" w:rsidP="00A453E8">
            <w:pPr>
              <w:pStyle w:val="Continuarlista2"/>
              <w:spacing w:line="276" w:lineRule="auto"/>
              <w:ind w:left="0" w:right="200"/>
              <w:rPr>
                <w:rFonts w:cs="Arial"/>
                <w:b/>
                <w:sz w:val="22"/>
                <w:szCs w:val="22"/>
              </w:rPr>
            </w:pPr>
            <w:r w:rsidRPr="00A453E8">
              <w:rPr>
                <w:rFonts w:cs="Arial"/>
                <w:b/>
                <w:sz w:val="22"/>
                <w:szCs w:val="22"/>
              </w:rPr>
              <w:t>Contratos</w:t>
            </w:r>
          </w:p>
        </w:tc>
        <w:tc>
          <w:tcPr>
            <w:tcW w:w="2584" w:type="dxa"/>
            <w:shd w:val="clear" w:color="auto" w:fill="auto"/>
          </w:tcPr>
          <w:p w:rsidR="00263472" w:rsidRPr="00A453E8" w:rsidRDefault="00263472" w:rsidP="00A453E8">
            <w:pPr>
              <w:pStyle w:val="Continuarlista2"/>
              <w:spacing w:line="276" w:lineRule="auto"/>
              <w:ind w:left="0" w:right="567"/>
              <w:rPr>
                <w:rFonts w:cs="Arial"/>
                <w:b/>
                <w:sz w:val="22"/>
                <w:szCs w:val="22"/>
              </w:rPr>
            </w:pPr>
            <w:r w:rsidRPr="00A453E8">
              <w:rPr>
                <w:rFonts w:cs="Arial"/>
                <w:b/>
                <w:sz w:val="22"/>
                <w:szCs w:val="22"/>
              </w:rPr>
              <w:t>Objeto (</w:t>
            </w:r>
            <w:r w:rsidR="00FB25F1" w:rsidRPr="00A453E8">
              <w:rPr>
                <w:rFonts w:cs="Arial"/>
                <w:b/>
                <w:sz w:val="22"/>
                <w:szCs w:val="22"/>
              </w:rPr>
              <w:t xml:space="preserve">aquí </w:t>
            </w:r>
            <w:r w:rsidRPr="00A453E8">
              <w:rPr>
                <w:rFonts w:cs="Arial"/>
                <w:b/>
                <w:sz w:val="22"/>
                <w:szCs w:val="22"/>
              </w:rPr>
              <w:t>se cita solo la</w:t>
            </w:r>
            <w:r w:rsidR="00FB25F1" w:rsidRPr="00A453E8">
              <w:rPr>
                <w:rFonts w:cs="Arial"/>
                <w:b/>
                <w:sz w:val="22"/>
                <w:szCs w:val="22"/>
              </w:rPr>
              <w:t xml:space="preserve"> parte referida a la </w:t>
            </w:r>
            <w:r w:rsidRPr="00A453E8">
              <w:rPr>
                <w:rFonts w:cs="Arial"/>
                <w:b/>
                <w:sz w:val="22"/>
                <w:szCs w:val="22"/>
              </w:rPr>
              <w:t xml:space="preserve"> prestación </w:t>
            </w:r>
            <w:r w:rsidR="00FB25F1" w:rsidRPr="00A453E8">
              <w:rPr>
                <w:rFonts w:cs="Arial"/>
                <w:b/>
                <w:sz w:val="22"/>
                <w:szCs w:val="22"/>
              </w:rPr>
              <w:t xml:space="preserve">de entrega </w:t>
            </w:r>
            <w:r w:rsidRPr="00A453E8">
              <w:rPr>
                <w:rFonts w:cs="Arial"/>
                <w:b/>
                <w:sz w:val="22"/>
                <w:szCs w:val="22"/>
              </w:rPr>
              <w:t>a favor del IDEMA)</w:t>
            </w:r>
          </w:p>
        </w:tc>
        <w:tc>
          <w:tcPr>
            <w:tcW w:w="2886" w:type="dxa"/>
            <w:shd w:val="clear" w:color="auto" w:fill="auto"/>
          </w:tcPr>
          <w:p w:rsidR="00263472" w:rsidRPr="00A453E8" w:rsidRDefault="00263472" w:rsidP="00A453E8">
            <w:pPr>
              <w:pStyle w:val="Continuarlista2"/>
              <w:spacing w:line="276" w:lineRule="auto"/>
              <w:ind w:left="0"/>
              <w:rPr>
                <w:rFonts w:cs="Arial"/>
                <w:b/>
                <w:sz w:val="22"/>
                <w:szCs w:val="22"/>
              </w:rPr>
            </w:pPr>
            <w:r w:rsidRPr="00A453E8">
              <w:rPr>
                <w:rFonts w:cs="Arial"/>
                <w:b/>
                <w:sz w:val="22"/>
                <w:szCs w:val="22"/>
              </w:rPr>
              <w:t xml:space="preserve">Póliza </w:t>
            </w:r>
          </w:p>
        </w:tc>
      </w:tr>
      <w:tr w:rsidR="00263472" w:rsidRPr="004C2FAC" w:rsidTr="00A453E8">
        <w:tc>
          <w:tcPr>
            <w:tcW w:w="3143" w:type="dxa"/>
            <w:shd w:val="clear" w:color="auto" w:fill="auto"/>
          </w:tcPr>
          <w:p w:rsidR="00263472" w:rsidRPr="00A453E8" w:rsidRDefault="00263472" w:rsidP="00A453E8">
            <w:pPr>
              <w:pStyle w:val="Continuarlista2"/>
              <w:spacing w:line="276" w:lineRule="auto"/>
              <w:ind w:left="0" w:right="58"/>
              <w:rPr>
                <w:rFonts w:cs="Arial"/>
                <w:sz w:val="22"/>
                <w:szCs w:val="22"/>
              </w:rPr>
            </w:pPr>
            <w:r w:rsidRPr="00A453E8">
              <w:rPr>
                <w:rFonts w:cs="Arial"/>
                <w:sz w:val="22"/>
                <w:szCs w:val="22"/>
              </w:rPr>
              <w:t xml:space="preserve">Trueque No. DT 13066 y 13067, operaciones realizadas a través de la Bolsa Nacional Agropecuaria el 14 de febrero de 1995, </w:t>
            </w:r>
            <w:r w:rsidRPr="00A453E8">
              <w:rPr>
                <w:rFonts w:cs="Arial"/>
                <w:sz w:val="22"/>
                <w:szCs w:val="22"/>
              </w:rPr>
              <w:lastRenderedPageBreak/>
              <w:t>acreditadas con los  documentos de negociación expedidos por la Bolsa Nacional Agropecuaria</w:t>
            </w:r>
            <w:r w:rsidRPr="00A453E8">
              <w:rPr>
                <w:rStyle w:val="Refdenotaalpie"/>
                <w:rFonts w:cs="Arial"/>
                <w:sz w:val="22"/>
                <w:szCs w:val="22"/>
              </w:rPr>
              <w:footnoteReference w:id="50"/>
            </w:r>
            <w:r w:rsidR="00E32FBC" w:rsidRPr="00A453E8">
              <w:rPr>
                <w:rFonts w:cs="Arial"/>
                <w:sz w:val="22"/>
                <w:szCs w:val="22"/>
              </w:rPr>
              <w:t>.</w:t>
            </w:r>
          </w:p>
          <w:p w:rsidR="00E32FBC" w:rsidRPr="00A453E8" w:rsidRDefault="00E32FBC" w:rsidP="00A453E8">
            <w:pPr>
              <w:pStyle w:val="Continuarlista2"/>
              <w:spacing w:line="276" w:lineRule="auto"/>
              <w:ind w:left="0" w:right="58"/>
              <w:rPr>
                <w:rFonts w:cs="Arial"/>
                <w:sz w:val="22"/>
                <w:szCs w:val="22"/>
              </w:rPr>
            </w:pPr>
            <w:r w:rsidRPr="00A453E8">
              <w:rPr>
                <w:rFonts w:cs="Arial"/>
              </w:rPr>
              <w:t>se trató de operaciones a término con plazo de entrega hasta el 30 de marzo de 1995.</w:t>
            </w:r>
          </w:p>
          <w:p w:rsidR="00263472" w:rsidRPr="00A453E8" w:rsidRDefault="00263472" w:rsidP="00A453E8">
            <w:pPr>
              <w:pStyle w:val="Continuarlista2"/>
              <w:spacing w:line="276" w:lineRule="auto"/>
              <w:ind w:left="567" w:right="200"/>
              <w:rPr>
                <w:rFonts w:cs="Arial"/>
                <w:sz w:val="22"/>
                <w:szCs w:val="22"/>
              </w:rPr>
            </w:pPr>
          </w:p>
          <w:p w:rsidR="00263472" w:rsidRPr="00A453E8" w:rsidRDefault="00263472" w:rsidP="00A453E8">
            <w:pPr>
              <w:pStyle w:val="Continuarlista2"/>
              <w:spacing w:line="276" w:lineRule="auto"/>
              <w:ind w:left="0" w:right="200"/>
              <w:rPr>
                <w:rFonts w:cs="Arial"/>
                <w:sz w:val="22"/>
                <w:szCs w:val="22"/>
              </w:rPr>
            </w:pPr>
          </w:p>
        </w:tc>
        <w:tc>
          <w:tcPr>
            <w:tcW w:w="2584" w:type="dxa"/>
            <w:shd w:val="clear" w:color="auto" w:fill="auto"/>
          </w:tcPr>
          <w:p w:rsidR="00263472" w:rsidRPr="00A453E8" w:rsidRDefault="00263472" w:rsidP="00A453E8">
            <w:pPr>
              <w:pStyle w:val="Continuarlista2"/>
              <w:spacing w:line="276" w:lineRule="auto"/>
              <w:ind w:left="0" w:right="90"/>
              <w:rPr>
                <w:rFonts w:cs="Arial"/>
                <w:sz w:val="22"/>
                <w:szCs w:val="22"/>
              </w:rPr>
            </w:pPr>
            <w:r w:rsidRPr="00A453E8">
              <w:rPr>
                <w:rFonts w:cs="Arial"/>
                <w:sz w:val="22"/>
                <w:szCs w:val="22"/>
              </w:rPr>
              <w:lastRenderedPageBreak/>
              <w:t>Entrega de arroz paddy por arroz blanco en cantidad de 318.750 kilos de arroz blanco</w:t>
            </w:r>
          </w:p>
        </w:tc>
        <w:tc>
          <w:tcPr>
            <w:tcW w:w="2886" w:type="dxa"/>
            <w:shd w:val="clear" w:color="auto" w:fill="auto"/>
          </w:tcPr>
          <w:p w:rsidR="00263472" w:rsidRPr="00A453E8" w:rsidRDefault="00263472" w:rsidP="00A453E8">
            <w:pPr>
              <w:pStyle w:val="Continuarlista2"/>
              <w:spacing w:line="276" w:lineRule="auto"/>
              <w:ind w:left="0"/>
              <w:rPr>
                <w:rFonts w:cs="Arial"/>
                <w:sz w:val="22"/>
                <w:szCs w:val="22"/>
              </w:rPr>
            </w:pPr>
            <w:r w:rsidRPr="00A453E8">
              <w:rPr>
                <w:rFonts w:cs="Arial"/>
                <w:sz w:val="22"/>
                <w:szCs w:val="22"/>
              </w:rPr>
              <w:t xml:space="preserve">Póliza de cumplimiento número 193364 de Latinoamericana de Seguros S.A., expedida el 5 de febrero de 1995, con </w:t>
            </w:r>
            <w:r w:rsidRPr="00A453E8">
              <w:rPr>
                <w:rFonts w:cs="Arial"/>
                <w:sz w:val="22"/>
                <w:szCs w:val="22"/>
              </w:rPr>
              <w:lastRenderedPageBreak/>
              <w:t>vigencia inicial desde el 20 de febrero de 1995 hasta el 20 de mayo de 1995. Sobre esta póliza se acompañó el certificado de prórroga hasta el 15 de julio de 1996</w:t>
            </w:r>
            <w:r w:rsidRPr="00A453E8">
              <w:rPr>
                <w:rStyle w:val="Refdenotaalpie"/>
                <w:rFonts w:cs="Arial"/>
                <w:sz w:val="22"/>
                <w:szCs w:val="22"/>
              </w:rPr>
              <w:footnoteReference w:id="51"/>
            </w:r>
            <w:r w:rsidRPr="00A453E8">
              <w:rPr>
                <w:rFonts w:cs="Arial"/>
                <w:sz w:val="22"/>
                <w:szCs w:val="22"/>
              </w:rPr>
              <w:t xml:space="preserve">  </w:t>
            </w:r>
          </w:p>
        </w:tc>
      </w:tr>
    </w:tbl>
    <w:p w:rsidR="00263472" w:rsidRPr="004C2FAC" w:rsidRDefault="00263472" w:rsidP="00263472">
      <w:pPr>
        <w:widowControl w:val="0"/>
        <w:autoSpaceDE w:val="0"/>
        <w:autoSpaceDN w:val="0"/>
        <w:adjustRightInd w:val="0"/>
        <w:rPr>
          <w:rFonts w:cs="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584"/>
        <w:gridCol w:w="2886"/>
      </w:tblGrid>
      <w:tr w:rsidR="00263472" w:rsidRPr="004C2FAC" w:rsidTr="00A453E8">
        <w:tc>
          <w:tcPr>
            <w:tcW w:w="3143" w:type="dxa"/>
            <w:shd w:val="clear" w:color="auto" w:fill="auto"/>
          </w:tcPr>
          <w:p w:rsidR="00263472" w:rsidRPr="00A453E8" w:rsidRDefault="00263472" w:rsidP="00A453E8">
            <w:pPr>
              <w:pStyle w:val="Continuarlista2"/>
              <w:spacing w:line="276" w:lineRule="auto"/>
              <w:ind w:left="0" w:right="58"/>
              <w:rPr>
                <w:rFonts w:cs="Arial"/>
                <w:b/>
                <w:sz w:val="22"/>
                <w:szCs w:val="22"/>
              </w:rPr>
            </w:pPr>
            <w:r w:rsidRPr="00A453E8">
              <w:rPr>
                <w:rFonts w:cs="Arial"/>
                <w:b/>
                <w:sz w:val="22"/>
                <w:szCs w:val="22"/>
              </w:rPr>
              <w:t xml:space="preserve">Contratos </w:t>
            </w:r>
          </w:p>
        </w:tc>
        <w:tc>
          <w:tcPr>
            <w:tcW w:w="2584" w:type="dxa"/>
            <w:shd w:val="clear" w:color="auto" w:fill="auto"/>
          </w:tcPr>
          <w:p w:rsidR="00263472" w:rsidRPr="00A453E8" w:rsidRDefault="00263472" w:rsidP="00A453E8">
            <w:pPr>
              <w:pStyle w:val="Continuarlista2"/>
              <w:spacing w:line="276" w:lineRule="auto"/>
              <w:ind w:left="0" w:right="58"/>
              <w:rPr>
                <w:rFonts w:cs="Arial"/>
                <w:b/>
                <w:sz w:val="22"/>
                <w:szCs w:val="22"/>
              </w:rPr>
            </w:pPr>
            <w:r w:rsidRPr="00A453E8">
              <w:rPr>
                <w:rFonts w:cs="Arial"/>
                <w:b/>
                <w:sz w:val="22"/>
                <w:szCs w:val="22"/>
              </w:rPr>
              <w:t xml:space="preserve">Objeto </w:t>
            </w:r>
            <w:r w:rsidR="00FB25F1" w:rsidRPr="00A453E8">
              <w:rPr>
                <w:rFonts w:cs="Arial"/>
                <w:b/>
                <w:sz w:val="22"/>
                <w:szCs w:val="22"/>
              </w:rPr>
              <w:t>(aquí se cita solo la parte referida a la  prestación de entrega a favor del IDEMA)</w:t>
            </w:r>
          </w:p>
        </w:tc>
        <w:tc>
          <w:tcPr>
            <w:tcW w:w="2886" w:type="dxa"/>
            <w:shd w:val="clear" w:color="auto" w:fill="auto"/>
          </w:tcPr>
          <w:p w:rsidR="00263472" w:rsidRPr="00A453E8" w:rsidRDefault="00263472" w:rsidP="00A453E8">
            <w:pPr>
              <w:pStyle w:val="Continuarlista2"/>
              <w:spacing w:line="276" w:lineRule="auto"/>
              <w:ind w:left="0" w:right="58"/>
              <w:rPr>
                <w:rFonts w:cs="Arial"/>
                <w:b/>
                <w:sz w:val="22"/>
                <w:szCs w:val="22"/>
              </w:rPr>
            </w:pPr>
            <w:r w:rsidRPr="00A453E8">
              <w:rPr>
                <w:rFonts w:cs="Arial"/>
                <w:b/>
                <w:sz w:val="22"/>
                <w:szCs w:val="22"/>
              </w:rPr>
              <w:t xml:space="preserve">Póliza </w:t>
            </w:r>
          </w:p>
        </w:tc>
      </w:tr>
      <w:tr w:rsidR="00263472" w:rsidRPr="004C2FAC" w:rsidTr="00A453E8">
        <w:tc>
          <w:tcPr>
            <w:tcW w:w="3143" w:type="dxa"/>
            <w:shd w:val="clear" w:color="auto" w:fill="auto"/>
          </w:tcPr>
          <w:p w:rsidR="00263472" w:rsidRPr="00A453E8" w:rsidRDefault="00263472" w:rsidP="00A453E8">
            <w:pPr>
              <w:pStyle w:val="Continuarlista2"/>
              <w:spacing w:line="276" w:lineRule="auto"/>
              <w:ind w:left="0" w:right="58"/>
              <w:rPr>
                <w:rFonts w:cs="Arial"/>
                <w:sz w:val="22"/>
                <w:szCs w:val="22"/>
              </w:rPr>
            </w:pPr>
            <w:r w:rsidRPr="00A453E8">
              <w:rPr>
                <w:rFonts w:cs="Arial"/>
                <w:sz w:val="22"/>
                <w:szCs w:val="22"/>
              </w:rPr>
              <w:t>T</w:t>
            </w:r>
            <w:r w:rsidR="00FB25F1" w:rsidRPr="00A453E8">
              <w:rPr>
                <w:rFonts w:cs="Arial"/>
                <w:sz w:val="22"/>
                <w:szCs w:val="22"/>
              </w:rPr>
              <w:t>rueque</w:t>
            </w:r>
            <w:r w:rsidRPr="00A453E8">
              <w:rPr>
                <w:rFonts w:cs="Arial"/>
                <w:sz w:val="22"/>
                <w:szCs w:val="22"/>
              </w:rPr>
              <w:t xml:space="preserve"> No. DT 13074 y 13075, operaciones realizadas a través de la  Bolsa Nacional Agropecuaria el 14 de febrero de 1995</w:t>
            </w:r>
            <w:r w:rsidRPr="00A453E8">
              <w:rPr>
                <w:rStyle w:val="Refdenotaalpie"/>
                <w:rFonts w:cs="Arial"/>
                <w:sz w:val="22"/>
                <w:szCs w:val="22"/>
              </w:rPr>
              <w:footnoteReference w:id="52"/>
            </w:r>
            <w:r w:rsidRPr="00A453E8">
              <w:rPr>
                <w:rFonts w:cs="Arial"/>
                <w:sz w:val="22"/>
                <w:szCs w:val="22"/>
              </w:rPr>
              <w:t>, acreditadas con los  documentos de negociación expedidos por la Bolsa Nacional Agropecuaria</w:t>
            </w:r>
            <w:r w:rsidR="00E32FBC" w:rsidRPr="00A453E8">
              <w:rPr>
                <w:rFonts w:cs="Arial"/>
                <w:sz w:val="22"/>
                <w:szCs w:val="22"/>
              </w:rPr>
              <w:t>.</w:t>
            </w:r>
          </w:p>
          <w:p w:rsidR="00E32FBC" w:rsidRPr="00A453E8" w:rsidRDefault="00E32FBC" w:rsidP="00A453E8">
            <w:pPr>
              <w:pStyle w:val="Continuarlista2"/>
              <w:spacing w:line="276" w:lineRule="auto"/>
              <w:ind w:left="0" w:right="58"/>
              <w:rPr>
                <w:rFonts w:cs="Arial"/>
                <w:sz w:val="22"/>
                <w:szCs w:val="22"/>
              </w:rPr>
            </w:pPr>
            <w:r w:rsidRPr="00A453E8">
              <w:rPr>
                <w:rFonts w:cs="Arial"/>
                <w:sz w:val="22"/>
                <w:szCs w:val="22"/>
              </w:rPr>
              <w:t>De acuerdo con estos documentos se trató de operaciones a término con plazo de entrega hasta el 30 de marzo de 1995</w:t>
            </w:r>
          </w:p>
        </w:tc>
        <w:tc>
          <w:tcPr>
            <w:tcW w:w="2584" w:type="dxa"/>
            <w:shd w:val="clear" w:color="auto" w:fill="auto"/>
          </w:tcPr>
          <w:p w:rsidR="00263472" w:rsidRPr="00A453E8" w:rsidRDefault="00FB25F1" w:rsidP="00A453E8">
            <w:pPr>
              <w:pStyle w:val="Continuarlista2"/>
              <w:spacing w:line="276" w:lineRule="auto"/>
              <w:ind w:left="0" w:right="58"/>
              <w:rPr>
                <w:rFonts w:cs="Arial"/>
                <w:sz w:val="22"/>
                <w:szCs w:val="22"/>
              </w:rPr>
            </w:pPr>
            <w:r w:rsidRPr="00A453E8">
              <w:rPr>
                <w:rFonts w:cs="Arial"/>
                <w:sz w:val="22"/>
                <w:szCs w:val="22"/>
              </w:rPr>
              <w:t>E</w:t>
            </w:r>
            <w:r w:rsidR="00263472" w:rsidRPr="00A453E8">
              <w:rPr>
                <w:rFonts w:cs="Arial"/>
                <w:sz w:val="22"/>
                <w:szCs w:val="22"/>
              </w:rPr>
              <w:t>ntrega de arroz paddy por arroz blanco grado 2 en cantidad de 493.000 kilos de arroz blanco (493 toneladas).</w:t>
            </w:r>
          </w:p>
        </w:tc>
        <w:tc>
          <w:tcPr>
            <w:tcW w:w="2886" w:type="dxa"/>
            <w:shd w:val="clear" w:color="auto" w:fill="auto"/>
          </w:tcPr>
          <w:p w:rsidR="00263472" w:rsidRPr="00A453E8" w:rsidRDefault="009F7535" w:rsidP="00A453E8">
            <w:pPr>
              <w:pStyle w:val="Continuarlista2"/>
              <w:spacing w:line="276" w:lineRule="auto"/>
              <w:ind w:left="0" w:right="58"/>
              <w:rPr>
                <w:rFonts w:cs="Arial"/>
                <w:sz w:val="22"/>
                <w:szCs w:val="22"/>
              </w:rPr>
            </w:pPr>
            <w:r w:rsidRPr="00A453E8">
              <w:rPr>
                <w:rFonts w:cs="Arial"/>
                <w:sz w:val="22"/>
                <w:szCs w:val="22"/>
              </w:rPr>
              <w:t>P</w:t>
            </w:r>
            <w:r w:rsidR="00263472" w:rsidRPr="00A453E8">
              <w:rPr>
                <w:rFonts w:cs="Arial"/>
                <w:sz w:val="22"/>
                <w:szCs w:val="22"/>
              </w:rPr>
              <w:t xml:space="preserve">óliza de cumplimiento número 193363 de </w:t>
            </w:r>
            <w:r w:rsidRPr="00A453E8">
              <w:rPr>
                <w:rFonts w:cs="Arial"/>
                <w:sz w:val="22"/>
                <w:szCs w:val="22"/>
              </w:rPr>
              <w:t xml:space="preserve">Latinoamericana De Seguros </w:t>
            </w:r>
            <w:r w:rsidR="00263472" w:rsidRPr="00A453E8">
              <w:rPr>
                <w:rFonts w:cs="Arial"/>
                <w:sz w:val="22"/>
                <w:szCs w:val="22"/>
              </w:rPr>
              <w:t xml:space="preserve">S.A. (y certificados de modificación 213564, 222587, 231071, 230856, 238180, 238611, 248021 y 252681). La citada póliza fue expedida el 5 de febrero de 1995, con vigencia </w:t>
            </w:r>
            <w:r w:rsidRPr="00A453E8">
              <w:rPr>
                <w:rFonts w:cs="Arial"/>
                <w:sz w:val="22"/>
                <w:szCs w:val="22"/>
              </w:rPr>
              <w:t xml:space="preserve">inicial </w:t>
            </w:r>
            <w:r w:rsidR="00263472" w:rsidRPr="00A453E8">
              <w:rPr>
                <w:rFonts w:cs="Arial"/>
                <w:sz w:val="22"/>
                <w:szCs w:val="22"/>
              </w:rPr>
              <w:t>desde el 20 de febrero de 1995 hasta el 20 de mayo de 1995, Esta póliza se acompañó con su</w:t>
            </w:r>
            <w:r w:rsidR="0018168C" w:rsidRPr="00A453E8">
              <w:rPr>
                <w:rFonts w:cs="Arial"/>
                <w:sz w:val="22"/>
                <w:szCs w:val="22"/>
              </w:rPr>
              <w:t>s</w:t>
            </w:r>
            <w:r w:rsidR="00263472" w:rsidRPr="00A453E8">
              <w:rPr>
                <w:rFonts w:cs="Arial"/>
                <w:sz w:val="22"/>
                <w:szCs w:val="22"/>
              </w:rPr>
              <w:t xml:space="preserve"> certificado</w:t>
            </w:r>
            <w:r w:rsidR="0018168C" w:rsidRPr="00A453E8">
              <w:rPr>
                <w:rFonts w:cs="Arial"/>
                <w:sz w:val="22"/>
                <w:szCs w:val="22"/>
              </w:rPr>
              <w:t>s</w:t>
            </w:r>
            <w:r w:rsidR="00263472" w:rsidRPr="00A453E8">
              <w:rPr>
                <w:rFonts w:cs="Arial"/>
                <w:sz w:val="22"/>
                <w:szCs w:val="22"/>
              </w:rPr>
              <w:t xml:space="preserve"> de modificación a través de</w:t>
            </w:r>
            <w:r w:rsidR="0018168C" w:rsidRPr="00A453E8">
              <w:rPr>
                <w:rFonts w:cs="Arial"/>
                <w:sz w:val="22"/>
                <w:szCs w:val="22"/>
              </w:rPr>
              <w:t xml:space="preserve"> los cuales </w:t>
            </w:r>
            <w:r w:rsidR="00263472" w:rsidRPr="00A453E8">
              <w:rPr>
                <w:rFonts w:cs="Arial"/>
                <w:sz w:val="22"/>
                <w:szCs w:val="22"/>
              </w:rPr>
              <w:t xml:space="preserve"> se hizo constar la pr</w:t>
            </w:r>
            <w:r w:rsidR="006B1985" w:rsidRPr="00A453E8">
              <w:rPr>
                <w:rFonts w:cs="Arial"/>
                <w:sz w:val="22"/>
                <w:szCs w:val="22"/>
              </w:rPr>
              <w:t>ó</w:t>
            </w:r>
            <w:r w:rsidR="00263472" w:rsidRPr="00A453E8">
              <w:rPr>
                <w:rFonts w:cs="Arial"/>
                <w:sz w:val="22"/>
                <w:szCs w:val="22"/>
              </w:rPr>
              <w:t xml:space="preserve">rroga hasta el </w:t>
            </w:r>
            <w:r w:rsidR="0018168C" w:rsidRPr="00A453E8">
              <w:rPr>
                <w:rFonts w:cs="Arial"/>
                <w:sz w:val="22"/>
                <w:szCs w:val="22"/>
              </w:rPr>
              <w:t>30</w:t>
            </w:r>
            <w:r w:rsidR="00263472" w:rsidRPr="00A453E8">
              <w:rPr>
                <w:rFonts w:cs="Arial"/>
                <w:sz w:val="22"/>
                <w:szCs w:val="22"/>
              </w:rPr>
              <w:t xml:space="preserve"> de </w:t>
            </w:r>
            <w:r w:rsidR="0018168C" w:rsidRPr="00A453E8">
              <w:rPr>
                <w:rFonts w:cs="Arial"/>
                <w:sz w:val="22"/>
                <w:szCs w:val="22"/>
              </w:rPr>
              <w:t xml:space="preserve">diciembre </w:t>
            </w:r>
            <w:r w:rsidR="00263472" w:rsidRPr="00A453E8">
              <w:rPr>
                <w:rFonts w:cs="Arial"/>
                <w:sz w:val="22"/>
                <w:szCs w:val="22"/>
              </w:rPr>
              <w:t>de 1996</w:t>
            </w:r>
            <w:r w:rsidR="00263472" w:rsidRPr="00A453E8">
              <w:rPr>
                <w:rStyle w:val="Refdenotaalpie"/>
                <w:rFonts w:cs="Arial"/>
                <w:sz w:val="22"/>
                <w:szCs w:val="22"/>
              </w:rPr>
              <w:footnoteReference w:id="53"/>
            </w:r>
          </w:p>
        </w:tc>
      </w:tr>
    </w:tbl>
    <w:p w:rsidR="00F72367" w:rsidRPr="004C2FAC" w:rsidRDefault="00F72367" w:rsidP="00267437">
      <w:pPr>
        <w:widowControl w:val="0"/>
        <w:rPr>
          <w:rFonts w:cs="Arial"/>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584"/>
        <w:gridCol w:w="2886"/>
      </w:tblGrid>
      <w:tr w:rsidR="00263472" w:rsidRPr="004C2FAC" w:rsidTr="00A453E8">
        <w:tc>
          <w:tcPr>
            <w:tcW w:w="3143" w:type="dxa"/>
            <w:shd w:val="clear" w:color="auto" w:fill="auto"/>
          </w:tcPr>
          <w:p w:rsidR="00263472" w:rsidRPr="00A453E8" w:rsidRDefault="00263472" w:rsidP="00A453E8">
            <w:pPr>
              <w:pStyle w:val="Continuarlista2"/>
              <w:spacing w:line="276" w:lineRule="auto"/>
              <w:ind w:left="0" w:right="567"/>
              <w:rPr>
                <w:rFonts w:cs="Arial"/>
                <w:b/>
                <w:sz w:val="22"/>
                <w:szCs w:val="22"/>
              </w:rPr>
            </w:pPr>
            <w:r w:rsidRPr="00A453E8">
              <w:rPr>
                <w:rFonts w:cs="Arial"/>
                <w:b/>
                <w:sz w:val="22"/>
                <w:szCs w:val="22"/>
              </w:rPr>
              <w:lastRenderedPageBreak/>
              <w:t>Contrato</w:t>
            </w:r>
            <w:r w:rsidR="009122F9" w:rsidRPr="00A453E8">
              <w:rPr>
                <w:rFonts w:cs="Arial"/>
                <w:b/>
                <w:sz w:val="22"/>
                <w:szCs w:val="22"/>
              </w:rPr>
              <w:t>s</w:t>
            </w:r>
          </w:p>
        </w:tc>
        <w:tc>
          <w:tcPr>
            <w:tcW w:w="2584" w:type="dxa"/>
            <w:shd w:val="clear" w:color="auto" w:fill="auto"/>
          </w:tcPr>
          <w:p w:rsidR="00263472" w:rsidRPr="00A453E8" w:rsidRDefault="00263472" w:rsidP="00A453E8">
            <w:pPr>
              <w:pStyle w:val="Continuarlista2"/>
              <w:spacing w:line="276" w:lineRule="auto"/>
              <w:ind w:left="0" w:right="90"/>
              <w:rPr>
                <w:rFonts w:cs="Arial"/>
                <w:b/>
                <w:sz w:val="22"/>
                <w:szCs w:val="22"/>
              </w:rPr>
            </w:pPr>
            <w:r w:rsidRPr="00A453E8">
              <w:rPr>
                <w:rFonts w:cs="Arial"/>
                <w:b/>
                <w:sz w:val="22"/>
                <w:szCs w:val="22"/>
              </w:rPr>
              <w:t xml:space="preserve">Objeto </w:t>
            </w:r>
            <w:r w:rsidR="00FB25F1" w:rsidRPr="00A453E8">
              <w:rPr>
                <w:rFonts w:cs="Arial"/>
                <w:b/>
                <w:sz w:val="22"/>
                <w:szCs w:val="22"/>
              </w:rPr>
              <w:t>(aquí se cita solo la parte referida a la prestación de entrega a favor del IDEMA)</w:t>
            </w:r>
          </w:p>
        </w:tc>
        <w:tc>
          <w:tcPr>
            <w:tcW w:w="2886" w:type="dxa"/>
            <w:shd w:val="clear" w:color="auto" w:fill="auto"/>
          </w:tcPr>
          <w:p w:rsidR="00263472" w:rsidRPr="00A453E8" w:rsidRDefault="00263472" w:rsidP="00A453E8">
            <w:pPr>
              <w:pStyle w:val="Continuarlista2"/>
              <w:spacing w:line="276" w:lineRule="auto"/>
              <w:ind w:left="0" w:right="567"/>
              <w:rPr>
                <w:rFonts w:cs="Arial"/>
                <w:b/>
                <w:sz w:val="22"/>
                <w:szCs w:val="22"/>
              </w:rPr>
            </w:pPr>
            <w:r w:rsidRPr="00A453E8">
              <w:rPr>
                <w:rFonts w:cs="Arial"/>
                <w:b/>
                <w:sz w:val="22"/>
                <w:szCs w:val="22"/>
              </w:rPr>
              <w:t>Póliza</w:t>
            </w:r>
          </w:p>
        </w:tc>
      </w:tr>
      <w:tr w:rsidR="00263472" w:rsidRPr="004C2FAC" w:rsidTr="00A453E8">
        <w:tc>
          <w:tcPr>
            <w:tcW w:w="3143" w:type="dxa"/>
            <w:shd w:val="clear" w:color="auto" w:fill="auto"/>
          </w:tcPr>
          <w:p w:rsidR="00B465F1" w:rsidRPr="00A453E8" w:rsidRDefault="00FB25F1" w:rsidP="00A453E8">
            <w:pPr>
              <w:pStyle w:val="Continuarlista2"/>
              <w:spacing w:line="276" w:lineRule="auto"/>
              <w:ind w:left="0" w:right="567"/>
              <w:rPr>
                <w:rFonts w:cs="Arial"/>
                <w:sz w:val="22"/>
                <w:szCs w:val="22"/>
              </w:rPr>
            </w:pPr>
            <w:r w:rsidRPr="00A453E8">
              <w:rPr>
                <w:rFonts w:cs="Arial"/>
                <w:sz w:val="22"/>
                <w:szCs w:val="22"/>
              </w:rPr>
              <w:t>“</w:t>
            </w:r>
            <w:r w:rsidR="00263472" w:rsidRPr="00A453E8">
              <w:rPr>
                <w:rFonts w:cs="Arial"/>
                <w:sz w:val="22"/>
                <w:szCs w:val="22"/>
              </w:rPr>
              <w:t>CONTRATO DE TRUEQUE DIRECTO</w:t>
            </w:r>
            <w:r w:rsidRPr="00A453E8">
              <w:rPr>
                <w:rFonts w:cs="Arial"/>
                <w:sz w:val="22"/>
                <w:szCs w:val="22"/>
              </w:rPr>
              <w:t>”</w:t>
            </w:r>
            <w:r w:rsidR="00263472" w:rsidRPr="00A453E8">
              <w:rPr>
                <w:rFonts w:cs="Arial"/>
                <w:sz w:val="22"/>
                <w:szCs w:val="22"/>
              </w:rPr>
              <w:t xml:space="preserve"> No. 8861 de </w:t>
            </w:r>
            <w:r w:rsidRPr="00A453E8">
              <w:rPr>
                <w:rFonts w:cs="Arial"/>
                <w:sz w:val="22"/>
                <w:szCs w:val="22"/>
              </w:rPr>
              <w:t xml:space="preserve">septiembre de </w:t>
            </w:r>
            <w:r w:rsidR="00263472" w:rsidRPr="00A453E8">
              <w:rPr>
                <w:rFonts w:cs="Arial"/>
                <w:sz w:val="22"/>
                <w:szCs w:val="22"/>
              </w:rPr>
              <w:t>1995</w:t>
            </w:r>
            <w:r w:rsidR="00B465F1" w:rsidRPr="00A453E8">
              <w:rPr>
                <w:rFonts w:cs="Arial"/>
                <w:sz w:val="22"/>
                <w:szCs w:val="22"/>
              </w:rPr>
              <w:t xml:space="preserve">. </w:t>
            </w:r>
          </w:p>
          <w:p w:rsidR="00263472" w:rsidRPr="00A453E8" w:rsidRDefault="00B465F1" w:rsidP="00A453E8">
            <w:pPr>
              <w:pStyle w:val="Continuarlista2"/>
              <w:spacing w:line="276" w:lineRule="auto"/>
              <w:ind w:left="0" w:right="567"/>
              <w:rPr>
                <w:rFonts w:cs="Arial"/>
                <w:sz w:val="22"/>
                <w:szCs w:val="22"/>
              </w:rPr>
            </w:pPr>
            <w:r w:rsidRPr="00A453E8">
              <w:rPr>
                <w:rFonts w:cs="Arial"/>
                <w:sz w:val="22"/>
                <w:szCs w:val="22"/>
              </w:rPr>
              <w:t>De acuerdo con el numeral 4 se fijó como t</w:t>
            </w:r>
            <w:r w:rsidR="006B1985" w:rsidRPr="00A453E8">
              <w:rPr>
                <w:rFonts w:cs="Arial"/>
                <w:sz w:val="22"/>
                <w:szCs w:val="22"/>
              </w:rPr>
              <w:t>é</w:t>
            </w:r>
            <w:r w:rsidRPr="00A453E8">
              <w:rPr>
                <w:rFonts w:cs="Arial"/>
                <w:sz w:val="22"/>
                <w:szCs w:val="22"/>
              </w:rPr>
              <w:t>rmino para la negociación el 2 de diciembre de 1995.</w:t>
            </w:r>
            <w:r w:rsidR="002553CC" w:rsidRPr="00A453E8">
              <w:rPr>
                <w:rStyle w:val="Refdenotaalpie"/>
                <w:rFonts w:cs="Arial"/>
                <w:sz w:val="22"/>
                <w:szCs w:val="22"/>
              </w:rPr>
              <w:footnoteReference w:id="54"/>
            </w:r>
          </w:p>
          <w:p w:rsidR="00263472" w:rsidRPr="00A453E8" w:rsidRDefault="00263472" w:rsidP="00A453E8">
            <w:pPr>
              <w:pStyle w:val="Continuarlista2"/>
              <w:spacing w:line="276" w:lineRule="auto"/>
              <w:ind w:left="0" w:right="567"/>
              <w:rPr>
                <w:rFonts w:cs="Arial"/>
                <w:sz w:val="22"/>
                <w:szCs w:val="22"/>
              </w:rPr>
            </w:pPr>
          </w:p>
        </w:tc>
        <w:tc>
          <w:tcPr>
            <w:tcW w:w="2584" w:type="dxa"/>
            <w:shd w:val="clear" w:color="auto" w:fill="auto"/>
          </w:tcPr>
          <w:p w:rsidR="00263472" w:rsidRPr="00A453E8" w:rsidRDefault="00FB25F1" w:rsidP="00A453E8">
            <w:pPr>
              <w:pStyle w:val="Continuarlista2"/>
              <w:spacing w:line="276" w:lineRule="auto"/>
              <w:ind w:left="0" w:right="90"/>
              <w:rPr>
                <w:rFonts w:cs="Arial"/>
                <w:sz w:val="22"/>
                <w:szCs w:val="22"/>
              </w:rPr>
            </w:pPr>
            <w:r w:rsidRPr="00A453E8">
              <w:rPr>
                <w:rFonts w:cs="Arial"/>
                <w:sz w:val="22"/>
                <w:szCs w:val="22"/>
              </w:rPr>
              <w:t>E</w:t>
            </w:r>
            <w:r w:rsidR="00263472" w:rsidRPr="00A453E8">
              <w:rPr>
                <w:rFonts w:cs="Arial"/>
                <w:sz w:val="22"/>
                <w:szCs w:val="22"/>
              </w:rPr>
              <w:t xml:space="preserve">ntrega de arroz blanco grados 2, 3, 4, por arroz blanco grado 1 en cantidad de 3’400.000 kilos de arroz blanco grado 1 (3.400 toneladas). </w:t>
            </w:r>
          </w:p>
        </w:tc>
        <w:tc>
          <w:tcPr>
            <w:tcW w:w="2886" w:type="dxa"/>
            <w:shd w:val="clear" w:color="auto" w:fill="auto"/>
          </w:tcPr>
          <w:p w:rsidR="00263472" w:rsidRPr="00A453E8" w:rsidRDefault="00FB25F1" w:rsidP="00A453E8">
            <w:pPr>
              <w:pStyle w:val="Continuarlista2"/>
              <w:spacing w:line="276" w:lineRule="auto"/>
              <w:ind w:left="0"/>
              <w:rPr>
                <w:rFonts w:cs="Arial"/>
                <w:sz w:val="22"/>
                <w:szCs w:val="22"/>
              </w:rPr>
            </w:pPr>
            <w:r w:rsidRPr="00A453E8">
              <w:rPr>
                <w:rFonts w:cs="Arial"/>
                <w:sz w:val="22"/>
                <w:szCs w:val="22"/>
              </w:rPr>
              <w:t>P</w:t>
            </w:r>
            <w:r w:rsidR="00263472" w:rsidRPr="00A453E8">
              <w:rPr>
                <w:rFonts w:cs="Arial"/>
                <w:sz w:val="22"/>
                <w:szCs w:val="22"/>
              </w:rPr>
              <w:t>óliza de cumplimiento número 231844, expedida el 2 de octubre de 1995, con certificado de modificación 242562 C, mediante el cual se prorrogó la vigencia hasta el</w:t>
            </w:r>
            <w:r w:rsidRPr="00A453E8">
              <w:rPr>
                <w:rFonts w:cs="Arial"/>
                <w:sz w:val="22"/>
                <w:szCs w:val="22"/>
              </w:rPr>
              <w:t xml:space="preserve"> </w:t>
            </w:r>
            <w:r w:rsidR="00263472" w:rsidRPr="00A453E8">
              <w:rPr>
                <w:rFonts w:cs="Arial"/>
                <w:sz w:val="22"/>
                <w:szCs w:val="22"/>
              </w:rPr>
              <w:t>27 de noviembre de 1996</w:t>
            </w:r>
            <w:r w:rsidR="00263472" w:rsidRPr="00A453E8">
              <w:rPr>
                <w:rStyle w:val="Refdenotaalpie"/>
                <w:rFonts w:cs="Arial"/>
                <w:sz w:val="22"/>
                <w:szCs w:val="22"/>
              </w:rPr>
              <w:footnoteReference w:id="55"/>
            </w:r>
            <w:r w:rsidR="006B1985" w:rsidRPr="00A453E8">
              <w:rPr>
                <w:rFonts w:cs="Arial"/>
                <w:sz w:val="22"/>
                <w:szCs w:val="22"/>
              </w:rPr>
              <w:t>.</w:t>
            </w:r>
          </w:p>
        </w:tc>
      </w:tr>
    </w:tbl>
    <w:p w:rsidR="00263472" w:rsidRPr="004C2FAC" w:rsidRDefault="00263472" w:rsidP="00267437">
      <w:pPr>
        <w:widowControl w:val="0"/>
        <w:rPr>
          <w:rFonts w:cs="Arial"/>
          <w:lang w:val="es-ES_tradnl"/>
        </w:rPr>
      </w:pPr>
    </w:p>
    <w:p w:rsidR="002553CC" w:rsidRPr="004C2FAC" w:rsidRDefault="00F124F5" w:rsidP="009122F9">
      <w:pPr>
        <w:widowControl w:val="0"/>
        <w:autoSpaceDE w:val="0"/>
        <w:autoSpaceDN w:val="0"/>
        <w:adjustRightInd w:val="0"/>
        <w:rPr>
          <w:rFonts w:cs="Arial"/>
        </w:rPr>
      </w:pPr>
      <w:r w:rsidRPr="004C2FAC">
        <w:rPr>
          <w:rFonts w:cs="Arial"/>
          <w:b/>
        </w:rPr>
        <w:t>4</w:t>
      </w:r>
      <w:r w:rsidR="00D41C38" w:rsidRPr="004C2FAC">
        <w:rPr>
          <w:rFonts w:cs="Arial"/>
          <w:b/>
        </w:rPr>
        <w:t xml:space="preserve">.2. </w:t>
      </w:r>
      <w:r w:rsidR="009122F9" w:rsidRPr="004C2FAC">
        <w:rPr>
          <w:rFonts w:cs="Arial"/>
        </w:rPr>
        <w:t>La prueba del contrato 8861, suscrito por el subgerente de comercialización del IDEMA</w:t>
      </w:r>
      <w:r w:rsidR="006B1985" w:rsidRPr="004C2FAC">
        <w:rPr>
          <w:rFonts w:cs="Arial"/>
        </w:rPr>
        <w:t>,</w:t>
      </w:r>
      <w:r w:rsidR="009122F9" w:rsidRPr="004C2FAC">
        <w:rPr>
          <w:rFonts w:cs="Arial"/>
        </w:rPr>
        <w:t xml:space="preserve"> con fecha 22 de septiembre de 1995, consiste </w:t>
      </w:r>
      <w:r w:rsidR="006B1985" w:rsidRPr="004C2FAC">
        <w:rPr>
          <w:rFonts w:cs="Arial"/>
        </w:rPr>
        <w:t xml:space="preserve">en </w:t>
      </w:r>
      <w:r w:rsidR="009122F9" w:rsidRPr="004C2FAC">
        <w:rPr>
          <w:rFonts w:cs="Arial"/>
        </w:rPr>
        <w:t>una comunicación radicada con el citado número,</w:t>
      </w:r>
      <w:r w:rsidR="002553CC" w:rsidRPr="004C2FAC">
        <w:rPr>
          <w:rFonts w:cs="Arial"/>
        </w:rPr>
        <w:t xml:space="preserve"> con firma de aceptación por parte del representante legal de Torres Cortés y Cía, </w:t>
      </w:r>
      <w:r w:rsidR="009122F9" w:rsidRPr="004C2FAC">
        <w:rPr>
          <w:rFonts w:cs="Arial"/>
        </w:rPr>
        <w:t>mediante la cual se apr</w:t>
      </w:r>
      <w:r w:rsidR="006B1985" w:rsidRPr="004C2FAC">
        <w:rPr>
          <w:rFonts w:cs="Arial"/>
        </w:rPr>
        <w:t>obaron</w:t>
      </w:r>
      <w:r w:rsidR="009122F9" w:rsidRPr="004C2FAC">
        <w:rPr>
          <w:rFonts w:cs="Arial"/>
        </w:rPr>
        <w:t xml:space="preserve"> los términos y condiciones de una oferta presentada por </w:t>
      </w:r>
      <w:r w:rsidR="002553CC" w:rsidRPr="004C2FAC">
        <w:rPr>
          <w:rFonts w:cs="Arial"/>
        </w:rPr>
        <w:t xml:space="preserve">la citada </w:t>
      </w:r>
      <w:r w:rsidR="009122F9" w:rsidRPr="004C2FAC">
        <w:rPr>
          <w:rFonts w:cs="Arial"/>
        </w:rPr>
        <w:t>sociedad</w:t>
      </w:r>
      <w:r w:rsidR="002553CC" w:rsidRPr="004C2FAC">
        <w:rPr>
          <w:rFonts w:cs="Arial"/>
        </w:rPr>
        <w:t xml:space="preserve">. </w:t>
      </w:r>
    </w:p>
    <w:p w:rsidR="00D41C38" w:rsidRPr="004C2FAC" w:rsidRDefault="00D41C38" w:rsidP="009122F9">
      <w:pPr>
        <w:widowControl w:val="0"/>
        <w:autoSpaceDE w:val="0"/>
        <w:autoSpaceDN w:val="0"/>
        <w:adjustRightInd w:val="0"/>
        <w:rPr>
          <w:rFonts w:cs="Arial"/>
        </w:rPr>
      </w:pPr>
    </w:p>
    <w:p w:rsidR="009122F9" w:rsidRPr="004C2FAC" w:rsidRDefault="009122F9" w:rsidP="009122F9">
      <w:pPr>
        <w:widowControl w:val="0"/>
        <w:autoSpaceDE w:val="0"/>
        <w:autoSpaceDN w:val="0"/>
        <w:adjustRightInd w:val="0"/>
        <w:rPr>
          <w:rFonts w:cs="Arial"/>
        </w:rPr>
      </w:pPr>
      <w:r w:rsidRPr="004C2FAC">
        <w:rPr>
          <w:rFonts w:cs="Arial"/>
        </w:rPr>
        <w:t>Según el referido documento</w:t>
      </w:r>
      <w:r w:rsidR="006B1985" w:rsidRPr="004C2FAC">
        <w:rPr>
          <w:rFonts w:cs="Arial"/>
        </w:rPr>
        <w:t>,</w:t>
      </w:r>
      <w:r w:rsidRPr="004C2FAC">
        <w:rPr>
          <w:rFonts w:cs="Arial"/>
        </w:rPr>
        <w:t xml:space="preserve"> el IDEMA indicó su aceptación a la oferta de trueque propuesta por Torres Cortés y Cía y</w:t>
      </w:r>
      <w:r w:rsidR="006B1985" w:rsidRPr="004C2FAC">
        <w:rPr>
          <w:rFonts w:cs="Arial"/>
        </w:rPr>
        <w:t>,</w:t>
      </w:r>
      <w:r w:rsidRPr="004C2FAC">
        <w:rPr>
          <w:rFonts w:cs="Arial"/>
        </w:rPr>
        <w:t xml:space="preserve"> de acuerdo con ella, hizo constar que la obligación de </w:t>
      </w:r>
      <w:r w:rsidR="006B1985" w:rsidRPr="004C2FAC">
        <w:rPr>
          <w:rFonts w:cs="Arial"/>
        </w:rPr>
        <w:t>e</w:t>
      </w:r>
      <w:r w:rsidRPr="004C2FAC">
        <w:rPr>
          <w:rFonts w:cs="Arial"/>
        </w:rPr>
        <w:t xml:space="preserve">sta última consistía en entregar </w:t>
      </w:r>
      <w:r w:rsidR="00D2454F" w:rsidRPr="004C2FAC">
        <w:rPr>
          <w:rFonts w:cs="Arial"/>
        </w:rPr>
        <w:t>“</w:t>
      </w:r>
      <w:r w:rsidR="00D2454F" w:rsidRPr="004C2FAC">
        <w:rPr>
          <w:rFonts w:cs="Arial"/>
          <w:i/>
        </w:rPr>
        <w:t>por cada tonelada de arroz blanco encuéntrase grado 1 y 2 (…)</w:t>
      </w:r>
      <w:r w:rsidR="00B344A7" w:rsidRPr="004C2FAC">
        <w:rPr>
          <w:rFonts w:cs="Arial"/>
          <w:i/>
        </w:rPr>
        <w:t xml:space="preserve"> </w:t>
      </w:r>
      <w:r w:rsidRPr="004C2FAC">
        <w:rPr>
          <w:rFonts w:cs="Arial"/>
          <w:i/>
        </w:rPr>
        <w:t xml:space="preserve">689 Kilogramos de Arroz Blanco </w:t>
      </w:r>
      <w:r w:rsidR="00D2454F" w:rsidRPr="004C2FAC">
        <w:rPr>
          <w:rFonts w:cs="Arial"/>
          <w:i/>
        </w:rPr>
        <w:t>G</w:t>
      </w:r>
      <w:r w:rsidRPr="004C2FAC">
        <w:rPr>
          <w:rFonts w:cs="Arial"/>
          <w:i/>
        </w:rPr>
        <w:t xml:space="preserve">rado </w:t>
      </w:r>
      <w:r w:rsidR="00D2454F" w:rsidRPr="004C2FAC">
        <w:rPr>
          <w:rFonts w:cs="Arial"/>
          <w:i/>
        </w:rPr>
        <w:t>U</w:t>
      </w:r>
      <w:r w:rsidRPr="004C2FAC">
        <w:rPr>
          <w:rFonts w:cs="Arial"/>
          <w:i/>
        </w:rPr>
        <w:t>no”</w:t>
      </w:r>
      <w:r w:rsidRPr="004C2FAC">
        <w:rPr>
          <w:rFonts w:cs="Arial"/>
        </w:rPr>
        <w:t>, distribuidos en los sitios relacionados por el IDEMA, en sus sedes de Fontibón, Tunja, Pereira y Medellín, según se detalló en la comunicación</w:t>
      </w:r>
      <w:r w:rsidR="00B344A7" w:rsidRPr="004C2FAC">
        <w:rPr>
          <w:rStyle w:val="Refdenotaalpie"/>
          <w:rFonts w:cs="Arial"/>
        </w:rPr>
        <w:footnoteReference w:id="56"/>
      </w:r>
      <w:r w:rsidRPr="004C2FAC">
        <w:rPr>
          <w:rFonts w:cs="Arial"/>
        </w:rPr>
        <w:t>.</w:t>
      </w:r>
    </w:p>
    <w:p w:rsidR="009122F9" w:rsidRPr="004C2FAC" w:rsidRDefault="009122F9" w:rsidP="009122F9">
      <w:pPr>
        <w:widowControl w:val="0"/>
        <w:autoSpaceDE w:val="0"/>
        <w:autoSpaceDN w:val="0"/>
        <w:adjustRightInd w:val="0"/>
        <w:rPr>
          <w:rFonts w:cs="Arial"/>
        </w:rPr>
      </w:pPr>
    </w:p>
    <w:p w:rsidR="009122F9" w:rsidRPr="004C2FAC" w:rsidRDefault="009122F9" w:rsidP="009122F9">
      <w:pPr>
        <w:widowControl w:val="0"/>
        <w:autoSpaceDE w:val="0"/>
        <w:autoSpaceDN w:val="0"/>
        <w:adjustRightInd w:val="0"/>
        <w:rPr>
          <w:rFonts w:cs="Arial"/>
        </w:rPr>
      </w:pPr>
      <w:r w:rsidRPr="004C2FAC">
        <w:rPr>
          <w:rFonts w:cs="Arial"/>
        </w:rPr>
        <w:t>En concordancia con lo anterior, se observa que en la póliza de seguro 231844, expedida por Latinoamericana de Seguros S.A.</w:t>
      </w:r>
      <w:r w:rsidR="006B1985" w:rsidRPr="004C2FAC">
        <w:rPr>
          <w:rFonts w:cs="Arial"/>
        </w:rPr>
        <w:t>,</w:t>
      </w:r>
      <w:r w:rsidRPr="004C2FAC">
        <w:rPr>
          <w:rFonts w:cs="Arial"/>
        </w:rPr>
        <w:t xml:space="preserve"> aparece como tomador </w:t>
      </w:r>
      <w:r w:rsidR="00DF6FAA" w:rsidRPr="004C2FAC">
        <w:rPr>
          <w:rFonts w:cs="Arial"/>
        </w:rPr>
        <w:t xml:space="preserve">Torres </w:t>
      </w:r>
      <w:r w:rsidR="00A672D4" w:rsidRPr="004C2FAC">
        <w:rPr>
          <w:rFonts w:cs="Arial"/>
        </w:rPr>
        <w:t>Cortés</w:t>
      </w:r>
      <w:r w:rsidR="00DF6FAA" w:rsidRPr="004C2FAC">
        <w:rPr>
          <w:rFonts w:cs="Arial"/>
        </w:rPr>
        <w:t xml:space="preserve"> </w:t>
      </w:r>
      <w:r w:rsidR="00B344A7" w:rsidRPr="004C2FAC">
        <w:rPr>
          <w:rFonts w:cs="Arial"/>
        </w:rPr>
        <w:t>y</w:t>
      </w:r>
      <w:r w:rsidR="00DF6FAA" w:rsidRPr="004C2FAC">
        <w:rPr>
          <w:rFonts w:cs="Arial"/>
        </w:rPr>
        <w:t xml:space="preserve"> C</w:t>
      </w:r>
      <w:r w:rsidR="008B49FE" w:rsidRPr="004C2FAC">
        <w:rPr>
          <w:rFonts w:cs="Arial"/>
        </w:rPr>
        <w:t>í</w:t>
      </w:r>
      <w:r w:rsidR="00DF6FAA" w:rsidRPr="004C2FAC">
        <w:rPr>
          <w:rFonts w:cs="Arial"/>
        </w:rPr>
        <w:t xml:space="preserve">a </w:t>
      </w:r>
      <w:r w:rsidRPr="004C2FAC">
        <w:rPr>
          <w:rFonts w:cs="Arial"/>
        </w:rPr>
        <w:t xml:space="preserve">y como beneficiario el </w:t>
      </w:r>
      <w:r w:rsidR="00DF6FAA" w:rsidRPr="004C2FAC">
        <w:rPr>
          <w:rFonts w:cs="Arial"/>
        </w:rPr>
        <w:t>Instituto de Mercadeo Agropecuario</w:t>
      </w:r>
      <w:r w:rsidRPr="004C2FAC">
        <w:rPr>
          <w:rStyle w:val="Refdenotaalpie"/>
          <w:rFonts w:cs="Arial"/>
        </w:rPr>
        <w:footnoteReference w:id="57"/>
      </w:r>
      <w:r w:rsidRPr="004C2FAC">
        <w:rPr>
          <w:rFonts w:cs="Arial"/>
        </w:rPr>
        <w:t>.</w:t>
      </w:r>
    </w:p>
    <w:p w:rsidR="00D41C38" w:rsidRPr="004C2FAC" w:rsidRDefault="00D41C38" w:rsidP="009122F9">
      <w:pPr>
        <w:rPr>
          <w:rFonts w:cs="Arial"/>
        </w:rPr>
      </w:pPr>
    </w:p>
    <w:p w:rsidR="005041A5" w:rsidRPr="004C2FAC" w:rsidRDefault="00B81C6F" w:rsidP="009122F9">
      <w:pPr>
        <w:rPr>
          <w:rFonts w:cs="Arial"/>
        </w:rPr>
      </w:pPr>
      <w:r w:rsidRPr="004C2FAC">
        <w:rPr>
          <w:rFonts w:cs="Arial"/>
        </w:rPr>
        <w:t>Sin embargo, s</w:t>
      </w:r>
      <w:r w:rsidR="009122F9" w:rsidRPr="004C2FAC">
        <w:rPr>
          <w:rFonts w:cs="Arial"/>
        </w:rPr>
        <w:t xml:space="preserve">e corrobora </w:t>
      </w:r>
      <w:r w:rsidRPr="004C2FAC">
        <w:rPr>
          <w:rFonts w:cs="Arial"/>
        </w:rPr>
        <w:t xml:space="preserve">que Torres </w:t>
      </w:r>
      <w:r w:rsidR="00A672D4" w:rsidRPr="004C2FAC">
        <w:rPr>
          <w:rFonts w:cs="Arial"/>
        </w:rPr>
        <w:t>Cortés</w:t>
      </w:r>
      <w:r w:rsidRPr="004C2FAC">
        <w:rPr>
          <w:rFonts w:cs="Arial"/>
        </w:rPr>
        <w:t xml:space="preserve"> y Cía actuaba como representante de COLCEREALES</w:t>
      </w:r>
      <w:r w:rsidR="0039257F" w:rsidRPr="004C2FAC">
        <w:rPr>
          <w:rFonts w:cs="Arial"/>
        </w:rPr>
        <w:t>,</w:t>
      </w:r>
      <w:r w:rsidRPr="004C2FAC">
        <w:rPr>
          <w:rFonts w:cs="Arial"/>
        </w:rPr>
        <w:t xml:space="preserve"> por varias razones: </w:t>
      </w:r>
    </w:p>
    <w:p w:rsidR="00F124F5" w:rsidRPr="004C2FAC" w:rsidRDefault="00F124F5" w:rsidP="009122F9">
      <w:pPr>
        <w:rPr>
          <w:rFonts w:cs="Arial"/>
        </w:rPr>
      </w:pPr>
    </w:p>
    <w:p w:rsidR="009122F9" w:rsidRPr="004C2FAC" w:rsidRDefault="00B81C6F" w:rsidP="009122F9">
      <w:pPr>
        <w:rPr>
          <w:rFonts w:cs="Arial"/>
        </w:rPr>
      </w:pPr>
      <w:r w:rsidRPr="004C2FAC">
        <w:rPr>
          <w:rFonts w:cs="Arial"/>
          <w:b/>
        </w:rPr>
        <w:t>i)</w:t>
      </w:r>
      <w:r w:rsidRPr="004C2FAC">
        <w:rPr>
          <w:rFonts w:cs="Arial"/>
        </w:rPr>
        <w:t xml:space="preserve"> </w:t>
      </w:r>
      <w:r w:rsidR="005041A5" w:rsidRPr="004C2FAC">
        <w:rPr>
          <w:rFonts w:cs="Arial"/>
        </w:rPr>
        <w:t>E</w:t>
      </w:r>
      <w:r w:rsidR="009122F9" w:rsidRPr="004C2FAC">
        <w:rPr>
          <w:rFonts w:cs="Arial"/>
        </w:rPr>
        <w:t>n el proceso se acreditó un poder otorgado el 13 de septiembre de 1995</w:t>
      </w:r>
      <w:r w:rsidR="009122F9" w:rsidRPr="004C2FAC">
        <w:rPr>
          <w:rStyle w:val="Refdenotaalpie"/>
          <w:rFonts w:cs="Arial"/>
        </w:rPr>
        <w:footnoteReference w:id="58"/>
      </w:r>
      <w:r w:rsidR="009122F9" w:rsidRPr="004C2FAC">
        <w:rPr>
          <w:rFonts w:cs="Arial"/>
        </w:rPr>
        <w:t xml:space="preserve">, por COLCEREALES a </w:t>
      </w:r>
      <w:r w:rsidR="005041A5" w:rsidRPr="004C2FAC">
        <w:rPr>
          <w:rFonts w:cs="Arial"/>
        </w:rPr>
        <w:t xml:space="preserve">Torres </w:t>
      </w:r>
      <w:r w:rsidR="00A672D4" w:rsidRPr="004C2FAC">
        <w:rPr>
          <w:rFonts w:cs="Arial"/>
        </w:rPr>
        <w:t>Cortés</w:t>
      </w:r>
      <w:r w:rsidR="005041A5" w:rsidRPr="004C2FAC">
        <w:rPr>
          <w:rFonts w:cs="Arial"/>
        </w:rPr>
        <w:t xml:space="preserve"> y C</w:t>
      </w:r>
      <w:r w:rsidR="0039257F" w:rsidRPr="004C2FAC">
        <w:rPr>
          <w:rFonts w:cs="Arial"/>
        </w:rPr>
        <w:t>í</w:t>
      </w:r>
      <w:r w:rsidR="005041A5" w:rsidRPr="004C2FAC">
        <w:rPr>
          <w:rFonts w:cs="Arial"/>
        </w:rPr>
        <w:t xml:space="preserve">a </w:t>
      </w:r>
      <w:r w:rsidR="009122F9" w:rsidRPr="004C2FAC">
        <w:rPr>
          <w:rFonts w:cs="Arial"/>
        </w:rPr>
        <w:t xml:space="preserve">para </w:t>
      </w:r>
      <w:r w:rsidR="000E1CDC" w:rsidRPr="004C2FAC">
        <w:rPr>
          <w:rFonts w:cs="Arial"/>
        </w:rPr>
        <w:t xml:space="preserve">efectuar </w:t>
      </w:r>
      <w:r w:rsidR="009122F9" w:rsidRPr="004C2FAC">
        <w:rPr>
          <w:rFonts w:cs="Arial"/>
          <w:i/>
        </w:rPr>
        <w:t>“una operación de trueque”</w:t>
      </w:r>
      <w:r w:rsidR="009122F9" w:rsidRPr="004C2FAC">
        <w:rPr>
          <w:rFonts w:cs="Arial"/>
        </w:rPr>
        <w:t xml:space="preserve"> </w:t>
      </w:r>
      <w:r w:rsidR="000E1CDC" w:rsidRPr="004C2FAC">
        <w:rPr>
          <w:rFonts w:cs="Arial"/>
        </w:rPr>
        <w:t xml:space="preserve">el cual contenía unas </w:t>
      </w:r>
      <w:r w:rsidR="009122F9" w:rsidRPr="004C2FAC">
        <w:rPr>
          <w:rFonts w:cs="Arial"/>
        </w:rPr>
        <w:t>instrucciones especiales sobre cantidades y plazos</w:t>
      </w:r>
      <w:r w:rsidR="000E1CDC" w:rsidRPr="004C2FAC">
        <w:rPr>
          <w:rFonts w:cs="Arial"/>
        </w:rPr>
        <w:t xml:space="preserve"> y fijaba </w:t>
      </w:r>
      <w:r w:rsidR="009122F9" w:rsidRPr="004C2FAC">
        <w:rPr>
          <w:rFonts w:cs="Arial"/>
        </w:rPr>
        <w:t>un término de</w:t>
      </w:r>
      <w:r w:rsidR="009122F9" w:rsidRPr="004C2FAC">
        <w:rPr>
          <w:rFonts w:cs="Arial"/>
          <w:i/>
        </w:rPr>
        <w:t xml:space="preserve"> “10 días a partir de la oferta” </w:t>
      </w:r>
      <w:r w:rsidR="009122F9" w:rsidRPr="004C2FAC">
        <w:rPr>
          <w:rFonts w:cs="Arial"/>
        </w:rPr>
        <w:t xml:space="preserve">para su perfeccionamiento. </w:t>
      </w:r>
    </w:p>
    <w:p w:rsidR="009122F9" w:rsidRPr="004C2FAC" w:rsidRDefault="009122F9" w:rsidP="009122F9">
      <w:pPr>
        <w:widowControl w:val="0"/>
        <w:autoSpaceDE w:val="0"/>
        <w:autoSpaceDN w:val="0"/>
        <w:adjustRightInd w:val="0"/>
        <w:rPr>
          <w:rFonts w:cs="Arial"/>
        </w:rPr>
      </w:pPr>
    </w:p>
    <w:p w:rsidR="00114B42" w:rsidRPr="004C2FAC" w:rsidRDefault="005041A5" w:rsidP="009122F9">
      <w:pPr>
        <w:widowControl w:val="0"/>
        <w:autoSpaceDE w:val="0"/>
        <w:autoSpaceDN w:val="0"/>
        <w:adjustRightInd w:val="0"/>
        <w:rPr>
          <w:rFonts w:cs="Arial"/>
          <w:i/>
        </w:rPr>
      </w:pPr>
      <w:r w:rsidRPr="004C2FAC">
        <w:rPr>
          <w:rFonts w:cs="Arial"/>
          <w:b/>
        </w:rPr>
        <w:t>ii)</w:t>
      </w:r>
      <w:r w:rsidRPr="004C2FAC">
        <w:rPr>
          <w:rFonts w:cs="Arial"/>
        </w:rPr>
        <w:t xml:space="preserve"> </w:t>
      </w:r>
      <w:r w:rsidR="009122F9" w:rsidRPr="004C2FAC">
        <w:rPr>
          <w:rFonts w:cs="Arial"/>
        </w:rPr>
        <w:t>También se puede colegir la relación de COLCERALES con el llamado contrato 8861</w:t>
      </w:r>
      <w:r w:rsidR="00D41C38" w:rsidRPr="004C2FAC">
        <w:rPr>
          <w:rFonts w:cs="Arial"/>
        </w:rPr>
        <w:t xml:space="preserve"> y con los otros contratos relacionados en la demanda, </w:t>
      </w:r>
      <w:r w:rsidR="009122F9" w:rsidRPr="004C2FAC">
        <w:rPr>
          <w:rFonts w:cs="Arial"/>
        </w:rPr>
        <w:t>con fundamento en la prueba de</w:t>
      </w:r>
      <w:r w:rsidR="000E1CDC" w:rsidRPr="004C2FAC">
        <w:rPr>
          <w:rFonts w:cs="Arial"/>
        </w:rPr>
        <w:t xml:space="preserve"> la denominada </w:t>
      </w:r>
      <w:r w:rsidR="00F124F5" w:rsidRPr="004C2FAC">
        <w:rPr>
          <w:rFonts w:cs="Arial"/>
          <w:i/>
        </w:rPr>
        <w:t>“</w:t>
      </w:r>
      <w:r w:rsidR="009122F9" w:rsidRPr="004C2FAC">
        <w:rPr>
          <w:rFonts w:cs="Arial"/>
          <w:i/>
        </w:rPr>
        <w:t xml:space="preserve">acta de conciliación y </w:t>
      </w:r>
      <w:r w:rsidR="00777F45" w:rsidRPr="004C2FAC">
        <w:rPr>
          <w:rFonts w:cs="Arial"/>
          <w:i/>
        </w:rPr>
        <w:t xml:space="preserve">acuerdo de </w:t>
      </w:r>
      <w:r w:rsidR="009122F9" w:rsidRPr="004C2FAC">
        <w:rPr>
          <w:rFonts w:cs="Arial"/>
          <w:i/>
        </w:rPr>
        <w:t>dación en pago</w:t>
      </w:r>
      <w:r w:rsidR="00F124F5" w:rsidRPr="004C2FAC">
        <w:rPr>
          <w:rFonts w:cs="Arial"/>
          <w:i/>
        </w:rPr>
        <w:t>”</w:t>
      </w:r>
      <w:r w:rsidR="009122F9" w:rsidRPr="004C2FAC">
        <w:rPr>
          <w:rFonts w:cs="Arial"/>
        </w:rPr>
        <w:t xml:space="preserve"> </w:t>
      </w:r>
      <w:r w:rsidR="00CB0547" w:rsidRPr="004C2FAC">
        <w:rPr>
          <w:rFonts w:cs="Arial"/>
        </w:rPr>
        <w:t>suscrit</w:t>
      </w:r>
      <w:r w:rsidR="004700EC" w:rsidRPr="004C2FAC">
        <w:rPr>
          <w:rFonts w:cs="Arial"/>
        </w:rPr>
        <w:t>a</w:t>
      </w:r>
      <w:r w:rsidR="00CB0547" w:rsidRPr="004C2FAC">
        <w:rPr>
          <w:rFonts w:cs="Arial"/>
        </w:rPr>
        <w:t xml:space="preserve"> el 18 de noviembre de 1996 </w:t>
      </w:r>
      <w:r w:rsidR="007B4F96" w:rsidRPr="004C2FAC">
        <w:rPr>
          <w:rFonts w:cs="Arial"/>
        </w:rPr>
        <w:t>por Fernando Parga Carrizosa como representante de CO</w:t>
      </w:r>
      <w:r w:rsidR="00467C78" w:rsidRPr="004C2FAC">
        <w:rPr>
          <w:rFonts w:cs="Arial"/>
        </w:rPr>
        <w:t>L</w:t>
      </w:r>
      <w:r w:rsidR="007B4F96" w:rsidRPr="004C2FAC">
        <w:rPr>
          <w:rFonts w:cs="Arial"/>
        </w:rPr>
        <w:t xml:space="preserve">CEREALES, </w:t>
      </w:r>
      <w:r w:rsidR="00CB54CF" w:rsidRPr="004C2FAC">
        <w:rPr>
          <w:rFonts w:cs="Arial"/>
        </w:rPr>
        <w:t>e</w:t>
      </w:r>
      <w:r w:rsidR="004F1AFD" w:rsidRPr="004C2FAC">
        <w:rPr>
          <w:rFonts w:cs="Arial"/>
        </w:rPr>
        <w:t xml:space="preserve">n cuyo encabezado se indicó que las partes se reunieron </w:t>
      </w:r>
      <w:r w:rsidR="004F1AFD" w:rsidRPr="004C2FAC">
        <w:rPr>
          <w:rFonts w:cs="Arial"/>
          <w:i/>
        </w:rPr>
        <w:t xml:space="preserve">“con el fin de suscribir el presente acuerdo de conciliación y dación en pago </w:t>
      </w:r>
      <w:r w:rsidR="009122F9" w:rsidRPr="004C2FAC">
        <w:rPr>
          <w:rFonts w:cs="Arial"/>
          <w:i/>
        </w:rPr>
        <w:t>sobre las obligaciones inherentes a</w:t>
      </w:r>
      <w:r w:rsidR="008372D5" w:rsidRPr="004C2FAC">
        <w:rPr>
          <w:rFonts w:cs="Arial"/>
          <w:i/>
        </w:rPr>
        <w:t>l contrato 8861 y el saldo de operaciones de bolsa 13074/13075/13066/13067”</w:t>
      </w:r>
      <w:r w:rsidR="008372D5" w:rsidRPr="004C2FAC">
        <w:rPr>
          <w:rStyle w:val="Refdenotaalpie"/>
          <w:rFonts w:cs="Arial"/>
          <w:i/>
        </w:rPr>
        <w:footnoteReference w:id="59"/>
      </w:r>
      <w:r w:rsidR="004F1AFD" w:rsidRPr="004C2FAC">
        <w:rPr>
          <w:rFonts w:cs="Arial"/>
          <w:i/>
        </w:rPr>
        <w:t>.</w:t>
      </w:r>
      <w:r w:rsidR="00CB0547" w:rsidRPr="004C2FAC">
        <w:rPr>
          <w:rFonts w:cs="Arial"/>
          <w:i/>
        </w:rPr>
        <w:t xml:space="preserve"> </w:t>
      </w:r>
    </w:p>
    <w:p w:rsidR="00114B42" w:rsidRPr="004C2FAC" w:rsidRDefault="00114B42" w:rsidP="009122F9">
      <w:pPr>
        <w:widowControl w:val="0"/>
        <w:autoSpaceDE w:val="0"/>
        <w:autoSpaceDN w:val="0"/>
        <w:adjustRightInd w:val="0"/>
        <w:rPr>
          <w:rFonts w:cs="Arial"/>
          <w:i/>
        </w:rPr>
      </w:pPr>
    </w:p>
    <w:p w:rsidR="00CB0547" w:rsidRPr="004C2FAC" w:rsidRDefault="004700EC" w:rsidP="009122F9">
      <w:pPr>
        <w:widowControl w:val="0"/>
        <w:autoSpaceDE w:val="0"/>
        <w:autoSpaceDN w:val="0"/>
        <w:adjustRightInd w:val="0"/>
        <w:rPr>
          <w:rFonts w:cs="Arial"/>
        </w:rPr>
      </w:pPr>
      <w:r w:rsidRPr="004C2FAC">
        <w:rPr>
          <w:rFonts w:cs="Arial"/>
          <w:i/>
        </w:rPr>
        <w:t>S</w:t>
      </w:r>
      <w:r w:rsidR="004F1AFD" w:rsidRPr="004C2FAC">
        <w:rPr>
          <w:rFonts w:cs="Arial"/>
        </w:rPr>
        <w:t xml:space="preserve">i bien dichas obligaciones no fueron </w:t>
      </w:r>
      <w:r w:rsidR="00FF5811" w:rsidRPr="004C2FAC">
        <w:rPr>
          <w:rFonts w:cs="Arial"/>
        </w:rPr>
        <w:t xml:space="preserve">cuantificadas </w:t>
      </w:r>
      <w:r w:rsidR="00CB0547" w:rsidRPr="004C2FAC">
        <w:rPr>
          <w:rFonts w:cs="Arial"/>
        </w:rPr>
        <w:t>en el respectivo documento, ni se concilió suma alguna con respecto a ellas</w:t>
      </w:r>
      <w:r w:rsidRPr="004C2FAC">
        <w:rPr>
          <w:rFonts w:cs="Arial"/>
        </w:rPr>
        <w:t>, lo cierto es que COLCEREALES se enunció como respon</w:t>
      </w:r>
      <w:r w:rsidR="00114B42" w:rsidRPr="004C2FAC">
        <w:rPr>
          <w:rFonts w:cs="Arial"/>
        </w:rPr>
        <w:t>sable de los referidos contratos.</w:t>
      </w:r>
    </w:p>
    <w:p w:rsidR="009122F9" w:rsidRPr="004C2FAC" w:rsidRDefault="009122F9" w:rsidP="009122F9">
      <w:pPr>
        <w:widowControl w:val="0"/>
        <w:autoSpaceDE w:val="0"/>
        <w:autoSpaceDN w:val="0"/>
        <w:adjustRightInd w:val="0"/>
        <w:rPr>
          <w:rFonts w:cs="Arial"/>
        </w:rPr>
      </w:pPr>
    </w:p>
    <w:p w:rsidR="00FA1D83" w:rsidRPr="004C2FAC" w:rsidRDefault="009122F9" w:rsidP="009122F9">
      <w:pPr>
        <w:widowControl w:val="0"/>
        <w:autoSpaceDE w:val="0"/>
        <w:autoSpaceDN w:val="0"/>
        <w:adjustRightInd w:val="0"/>
        <w:rPr>
          <w:rFonts w:cs="Arial"/>
        </w:rPr>
      </w:pPr>
      <w:r w:rsidRPr="004C2FAC">
        <w:rPr>
          <w:rFonts w:cs="Arial"/>
        </w:rPr>
        <w:t xml:space="preserve">Nótese que las operaciones citadas en el </w:t>
      </w:r>
      <w:r w:rsidR="00781C44" w:rsidRPr="004C2FAC">
        <w:rPr>
          <w:rFonts w:cs="Arial"/>
        </w:rPr>
        <w:t xml:space="preserve">acuerdo </w:t>
      </w:r>
      <w:r w:rsidRPr="004C2FAC">
        <w:rPr>
          <w:rFonts w:cs="Arial"/>
        </w:rPr>
        <w:t xml:space="preserve">de dación en pago </w:t>
      </w:r>
      <w:r w:rsidR="00D41C38" w:rsidRPr="004C2FAC">
        <w:rPr>
          <w:rFonts w:cs="Arial"/>
        </w:rPr>
        <w:t xml:space="preserve">se </w:t>
      </w:r>
      <w:r w:rsidRPr="004C2FAC">
        <w:rPr>
          <w:rFonts w:cs="Arial"/>
        </w:rPr>
        <w:t>correspond</w:t>
      </w:r>
      <w:r w:rsidR="00D41C38" w:rsidRPr="004C2FAC">
        <w:rPr>
          <w:rFonts w:cs="Arial"/>
        </w:rPr>
        <w:t>en con las pruebas allegadas a este proceso, así</w:t>
      </w:r>
      <w:r w:rsidR="00E32FBC" w:rsidRPr="004C2FAC">
        <w:rPr>
          <w:rFonts w:cs="Arial"/>
        </w:rPr>
        <w:t xml:space="preserve">: </w:t>
      </w:r>
      <w:r w:rsidRPr="004C2FAC">
        <w:rPr>
          <w:rFonts w:cs="Arial"/>
          <w:b/>
        </w:rPr>
        <w:t>i)</w:t>
      </w:r>
      <w:r w:rsidRPr="004C2FAC">
        <w:rPr>
          <w:rFonts w:cs="Arial"/>
        </w:rPr>
        <w:t xml:space="preserve"> el saldo de las operaciones realizadas el 14 de febrero de 1995, a través de la Bolsa Nacional Agropecuaria S.A., </w:t>
      </w:r>
      <w:r w:rsidR="00D41C38" w:rsidRPr="004C2FAC">
        <w:rPr>
          <w:rFonts w:cs="Arial"/>
        </w:rPr>
        <w:t xml:space="preserve">distinguidas con los números </w:t>
      </w:r>
      <w:r w:rsidRPr="004C2FAC">
        <w:rPr>
          <w:rFonts w:cs="Arial"/>
        </w:rPr>
        <w:t xml:space="preserve">13074/13075, amparadas por la póliza </w:t>
      </w:r>
      <w:r w:rsidR="00781C44" w:rsidRPr="004C2FAC">
        <w:rPr>
          <w:rFonts w:cs="Arial"/>
        </w:rPr>
        <w:t xml:space="preserve">de cumplimiento número </w:t>
      </w:r>
      <w:r w:rsidRPr="004C2FAC">
        <w:rPr>
          <w:rFonts w:cs="Arial"/>
        </w:rPr>
        <w:t>193363</w:t>
      </w:r>
      <w:r w:rsidR="00D41C38" w:rsidRPr="004C2FAC">
        <w:rPr>
          <w:rFonts w:cs="Arial"/>
        </w:rPr>
        <w:t>;</w:t>
      </w:r>
      <w:r w:rsidRPr="004C2FAC">
        <w:rPr>
          <w:rFonts w:cs="Arial"/>
        </w:rPr>
        <w:t xml:space="preserve"> </w:t>
      </w:r>
      <w:r w:rsidRPr="004C2FAC">
        <w:rPr>
          <w:rFonts w:cs="Arial"/>
          <w:b/>
        </w:rPr>
        <w:t>ii)</w:t>
      </w:r>
      <w:r w:rsidRPr="004C2FAC">
        <w:rPr>
          <w:rFonts w:cs="Arial"/>
        </w:rPr>
        <w:t xml:space="preserve"> el saldo de las operaciones </w:t>
      </w:r>
      <w:r w:rsidR="00D41C38" w:rsidRPr="004C2FAC">
        <w:rPr>
          <w:rFonts w:cs="Arial"/>
        </w:rPr>
        <w:t xml:space="preserve">distinguidas con los números </w:t>
      </w:r>
      <w:r w:rsidRPr="004C2FAC">
        <w:rPr>
          <w:rFonts w:cs="Arial"/>
        </w:rPr>
        <w:t>13066/13067  realizadas a través de la Bolsa Nacional Agropecuaria con fecha 14 de febrero de 1995,</w:t>
      </w:r>
      <w:r w:rsidRPr="004C2FAC">
        <w:rPr>
          <w:rFonts w:cs="Arial"/>
          <w:b/>
        </w:rPr>
        <w:t xml:space="preserve"> </w:t>
      </w:r>
      <w:r w:rsidRPr="004C2FAC">
        <w:rPr>
          <w:rFonts w:cs="Arial"/>
        </w:rPr>
        <w:t xml:space="preserve">amparadas por la póliza de </w:t>
      </w:r>
      <w:r w:rsidRPr="004C2FAC">
        <w:rPr>
          <w:rFonts w:cs="Arial"/>
        </w:rPr>
        <w:lastRenderedPageBreak/>
        <w:t>cumplimiento número 193364</w:t>
      </w:r>
      <w:r w:rsidR="00B80569" w:rsidRPr="004C2FAC">
        <w:rPr>
          <w:rFonts w:cs="Arial"/>
        </w:rPr>
        <w:t xml:space="preserve"> y </w:t>
      </w:r>
      <w:r w:rsidR="00B80569" w:rsidRPr="004C2FAC">
        <w:rPr>
          <w:rFonts w:cs="Arial"/>
          <w:b/>
        </w:rPr>
        <w:t>iii)</w:t>
      </w:r>
      <w:r w:rsidR="00B80569" w:rsidRPr="004C2FAC">
        <w:rPr>
          <w:rFonts w:cs="Arial"/>
        </w:rPr>
        <w:t xml:space="preserve"> las operaciones inherentes al contrato 8861, amparadas por la póliza de cumplimiento 231844</w:t>
      </w:r>
      <w:r w:rsidR="00DE471F" w:rsidRPr="004C2FAC">
        <w:rPr>
          <w:rFonts w:cs="Arial"/>
        </w:rPr>
        <w:t xml:space="preserve">. </w:t>
      </w:r>
    </w:p>
    <w:p w:rsidR="00DE471F" w:rsidRPr="004C2FAC" w:rsidRDefault="00DE471F" w:rsidP="009122F9">
      <w:pPr>
        <w:widowControl w:val="0"/>
        <w:autoSpaceDE w:val="0"/>
        <w:autoSpaceDN w:val="0"/>
        <w:adjustRightInd w:val="0"/>
        <w:rPr>
          <w:rFonts w:cs="Arial"/>
        </w:rPr>
      </w:pPr>
    </w:p>
    <w:p w:rsidR="009122F9" w:rsidRPr="004C2FAC" w:rsidRDefault="0057014E" w:rsidP="00FA1D83">
      <w:pPr>
        <w:widowControl w:val="0"/>
        <w:autoSpaceDE w:val="0"/>
        <w:autoSpaceDN w:val="0"/>
        <w:adjustRightInd w:val="0"/>
        <w:rPr>
          <w:rFonts w:cs="Arial"/>
        </w:rPr>
      </w:pPr>
      <w:r w:rsidRPr="004C2FAC">
        <w:rPr>
          <w:rFonts w:cs="Arial"/>
          <w:b/>
        </w:rPr>
        <w:t>4</w:t>
      </w:r>
      <w:r w:rsidR="00FA1D83" w:rsidRPr="004C2FAC">
        <w:rPr>
          <w:rFonts w:cs="Arial"/>
          <w:b/>
        </w:rPr>
        <w:t>.</w:t>
      </w:r>
      <w:r w:rsidRPr="004C2FAC">
        <w:rPr>
          <w:rFonts w:cs="Arial"/>
          <w:b/>
        </w:rPr>
        <w:t>3</w:t>
      </w:r>
      <w:r w:rsidR="00FA1D83" w:rsidRPr="004C2FAC">
        <w:rPr>
          <w:rFonts w:cs="Arial"/>
          <w:b/>
        </w:rPr>
        <w:t xml:space="preserve">. </w:t>
      </w:r>
      <w:r w:rsidR="009122F9" w:rsidRPr="004C2FAC">
        <w:rPr>
          <w:rFonts w:cs="Arial"/>
        </w:rPr>
        <w:t xml:space="preserve">En el hecho </w:t>
      </w:r>
      <w:r w:rsidR="004858DF" w:rsidRPr="004C2FAC">
        <w:rPr>
          <w:rFonts w:cs="Arial"/>
        </w:rPr>
        <w:t xml:space="preserve">trece </w:t>
      </w:r>
      <w:r w:rsidR="009122F9" w:rsidRPr="004C2FAC">
        <w:rPr>
          <w:rFonts w:cs="Arial"/>
        </w:rPr>
        <w:t xml:space="preserve">de la demanda la parte actora indicó que la dación en pago </w:t>
      </w:r>
      <w:r w:rsidR="00FA383C" w:rsidRPr="004C2FAC">
        <w:rPr>
          <w:rFonts w:cs="Arial"/>
        </w:rPr>
        <w:t xml:space="preserve">ofrecida en el documento suscrito el 18 de noviembre de 1996 </w:t>
      </w:r>
      <w:r w:rsidR="009122F9" w:rsidRPr="004C2FAC">
        <w:rPr>
          <w:rFonts w:cs="Arial"/>
        </w:rPr>
        <w:t>no llegó a perfeccionarse, toda vez que COLCEREALES nunca aceptó el avalúo</w:t>
      </w:r>
      <w:r w:rsidR="00FA1D83" w:rsidRPr="004C2FAC">
        <w:rPr>
          <w:rFonts w:cs="Arial"/>
        </w:rPr>
        <w:t xml:space="preserve">. </w:t>
      </w:r>
      <w:r w:rsidRPr="004C2FAC">
        <w:rPr>
          <w:rFonts w:cs="Arial"/>
        </w:rPr>
        <w:t>L</w:t>
      </w:r>
      <w:r w:rsidR="00FA1D83" w:rsidRPr="004C2FAC">
        <w:rPr>
          <w:rFonts w:cs="Arial"/>
        </w:rPr>
        <w:t>as pruebas allegada</w:t>
      </w:r>
      <w:r w:rsidR="00B80569" w:rsidRPr="004C2FAC">
        <w:rPr>
          <w:rFonts w:cs="Arial"/>
        </w:rPr>
        <w:t>s</w:t>
      </w:r>
      <w:r w:rsidR="00FA1D83" w:rsidRPr="004C2FAC">
        <w:rPr>
          <w:rFonts w:cs="Arial"/>
        </w:rPr>
        <w:t xml:space="preserve"> al proceso precisan </w:t>
      </w:r>
      <w:r w:rsidRPr="004C2FAC">
        <w:rPr>
          <w:rFonts w:cs="Arial"/>
        </w:rPr>
        <w:t xml:space="preserve">algunas de las </w:t>
      </w:r>
      <w:r w:rsidR="00FA383C" w:rsidRPr="004C2FAC">
        <w:rPr>
          <w:rFonts w:cs="Arial"/>
        </w:rPr>
        <w:t xml:space="preserve">razones </w:t>
      </w:r>
      <w:r w:rsidR="00FA1D83" w:rsidRPr="004C2FAC">
        <w:rPr>
          <w:rFonts w:cs="Arial"/>
        </w:rPr>
        <w:t xml:space="preserve">por las cuales </w:t>
      </w:r>
      <w:r w:rsidR="00FA383C" w:rsidRPr="004C2FAC">
        <w:rPr>
          <w:rFonts w:cs="Arial"/>
        </w:rPr>
        <w:t xml:space="preserve">el compromiso de </w:t>
      </w:r>
      <w:r w:rsidR="00FA1D83" w:rsidRPr="004C2FAC">
        <w:rPr>
          <w:rFonts w:cs="Arial"/>
        </w:rPr>
        <w:t>dación en pago no se formaliz</w:t>
      </w:r>
      <w:r w:rsidR="004858DF" w:rsidRPr="004C2FAC">
        <w:rPr>
          <w:rFonts w:cs="Arial"/>
        </w:rPr>
        <w:t>ó</w:t>
      </w:r>
      <w:r w:rsidR="00FF508F" w:rsidRPr="004C2FAC">
        <w:rPr>
          <w:rFonts w:cs="Arial"/>
        </w:rPr>
        <w:t xml:space="preserve"> dentro del plazo fijado en el respectivo acuerdo</w:t>
      </w:r>
      <w:r w:rsidR="00B80569" w:rsidRPr="004C2FAC">
        <w:rPr>
          <w:rFonts w:cs="Arial"/>
        </w:rPr>
        <w:t>, en la siguiente forma</w:t>
      </w:r>
      <w:r w:rsidR="00FA1D83" w:rsidRPr="004C2FAC">
        <w:rPr>
          <w:rFonts w:cs="Arial"/>
        </w:rPr>
        <w:t>:</w:t>
      </w:r>
    </w:p>
    <w:p w:rsidR="009122F9" w:rsidRPr="004C2FAC" w:rsidRDefault="009122F9" w:rsidP="009122F9">
      <w:pPr>
        <w:rPr>
          <w:rFonts w:cs="Arial"/>
        </w:rPr>
      </w:pPr>
    </w:p>
    <w:p w:rsidR="004A4D20" w:rsidRPr="004C2FAC" w:rsidRDefault="0057014E" w:rsidP="004A4D20">
      <w:pPr>
        <w:widowControl w:val="0"/>
        <w:autoSpaceDE w:val="0"/>
        <w:autoSpaceDN w:val="0"/>
        <w:adjustRightInd w:val="0"/>
        <w:rPr>
          <w:rFonts w:cs="Arial"/>
          <w:i/>
        </w:rPr>
      </w:pPr>
      <w:r w:rsidRPr="004C2FAC">
        <w:rPr>
          <w:rFonts w:cs="Arial"/>
          <w:b/>
        </w:rPr>
        <w:t>4</w:t>
      </w:r>
      <w:r w:rsidR="004A4D20" w:rsidRPr="004C2FAC">
        <w:rPr>
          <w:rFonts w:cs="Arial"/>
          <w:b/>
        </w:rPr>
        <w:t>.</w:t>
      </w:r>
      <w:r w:rsidRPr="004C2FAC">
        <w:rPr>
          <w:rFonts w:cs="Arial"/>
          <w:b/>
        </w:rPr>
        <w:t>3</w:t>
      </w:r>
      <w:r w:rsidR="004A4D20" w:rsidRPr="004C2FAC">
        <w:rPr>
          <w:rFonts w:cs="Arial"/>
          <w:b/>
        </w:rPr>
        <w:t xml:space="preserve">.1. </w:t>
      </w:r>
      <w:r w:rsidR="004A4D20" w:rsidRPr="004C2FAC">
        <w:rPr>
          <w:rFonts w:cs="Arial"/>
        </w:rPr>
        <w:t xml:space="preserve">Obra en el expediente la comunicación de noviembre 26 de 1996, dirigida a COLCEREALES, mediante la cual el IDEMA manifestó su aceptación al avalúo del inmueble denominado MOLINO ARROCERA AGUALINDA, elaborado por </w:t>
      </w:r>
      <w:r w:rsidR="00FF11E7" w:rsidRPr="004C2FAC">
        <w:rPr>
          <w:rFonts w:cs="Arial"/>
        </w:rPr>
        <w:t xml:space="preserve">la Lonja </w:t>
      </w:r>
      <w:r w:rsidR="004858DF" w:rsidRPr="004C2FAC">
        <w:rPr>
          <w:rFonts w:cs="Arial"/>
        </w:rPr>
        <w:t>d</w:t>
      </w:r>
      <w:r w:rsidR="00FF11E7" w:rsidRPr="004C2FAC">
        <w:rPr>
          <w:rFonts w:cs="Arial"/>
        </w:rPr>
        <w:t>e Propiedad Raíz</w:t>
      </w:r>
      <w:r w:rsidR="004A4D20" w:rsidRPr="004C2FAC">
        <w:rPr>
          <w:rFonts w:cs="Arial"/>
        </w:rPr>
        <w:t xml:space="preserve"> para adelantar la dación en pago, “</w:t>
      </w:r>
      <w:r w:rsidR="004A4D20" w:rsidRPr="004C2FAC">
        <w:rPr>
          <w:rFonts w:cs="Arial"/>
          <w:i/>
        </w:rPr>
        <w:t>en las condiciones y términos suscritos en el Acta de Conciliación, acuerdo de 18 de noviembre de 1996”</w:t>
      </w:r>
      <w:r w:rsidR="004A4D20" w:rsidRPr="004C2FAC">
        <w:rPr>
          <w:rStyle w:val="Refdenotaalpie"/>
          <w:rFonts w:cs="Arial"/>
          <w:i/>
        </w:rPr>
        <w:footnoteReference w:id="60"/>
      </w:r>
      <w:r w:rsidR="004A4D20" w:rsidRPr="004C2FAC">
        <w:rPr>
          <w:rFonts w:cs="Arial"/>
          <w:i/>
        </w:rPr>
        <w:t>.</w:t>
      </w:r>
    </w:p>
    <w:p w:rsidR="004A4D20" w:rsidRPr="004C2FAC" w:rsidRDefault="004A4D20" w:rsidP="009122F9">
      <w:pPr>
        <w:rPr>
          <w:rFonts w:cs="Arial"/>
        </w:rPr>
      </w:pPr>
    </w:p>
    <w:p w:rsidR="005F7402" w:rsidRPr="004C2FAC" w:rsidRDefault="0057014E" w:rsidP="005F7402">
      <w:pPr>
        <w:widowControl w:val="0"/>
        <w:autoSpaceDE w:val="0"/>
        <w:autoSpaceDN w:val="0"/>
        <w:adjustRightInd w:val="0"/>
        <w:rPr>
          <w:rFonts w:cs="Arial"/>
        </w:rPr>
      </w:pPr>
      <w:r w:rsidRPr="004C2FAC">
        <w:rPr>
          <w:rFonts w:cs="Arial"/>
          <w:b/>
        </w:rPr>
        <w:t>4</w:t>
      </w:r>
      <w:r w:rsidR="005F7402" w:rsidRPr="004C2FAC">
        <w:rPr>
          <w:rFonts w:cs="Arial"/>
          <w:b/>
        </w:rPr>
        <w:t>.</w:t>
      </w:r>
      <w:r w:rsidRPr="004C2FAC">
        <w:rPr>
          <w:rFonts w:cs="Arial"/>
          <w:b/>
        </w:rPr>
        <w:t>3</w:t>
      </w:r>
      <w:r w:rsidR="005F7402" w:rsidRPr="004C2FAC">
        <w:rPr>
          <w:rFonts w:cs="Arial"/>
          <w:b/>
        </w:rPr>
        <w:t>.2</w:t>
      </w:r>
      <w:r w:rsidR="005F7402" w:rsidRPr="004C2FAC">
        <w:rPr>
          <w:rFonts w:cs="Arial"/>
        </w:rPr>
        <w:t xml:space="preserve">. Obra en el expediente, la comunicación de diciembre 12 de 1996 suscrita por COLCEREALES mediante la cual esa sociedad radicó ante la Superintendencia de Notariado y Registro, una solicitud para el reparto notarial de </w:t>
      </w:r>
      <w:r w:rsidR="00361CDF" w:rsidRPr="004C2FAC">
        <w:rPr>
          <w:rFonts w:cs="Arial"/>
        </w:rPr>
        <w:t xml:space="preserve">una </w:t>
      </w:r>
      <w:r w:rsidR="005F7402" w:rsidRPr="004C2FAC">
        <w:rPr>
          <w:rFonts w:cs="Arial"/>
        </w:rPr>
        <w:t xml:space="preserve">minuta de </w:t>
      </w:r>
      <w:r w:rsidR="00F70F36" w:rsidRPr="004C2FAC">
        <w:rPr>
          <w:rFonts w:cs="Arial"/>
        </w:rPr>
        <w:t>“</w:t>
      </w:r>
      <w:r w:rsidR="005F7402" w:rsidRPr="004C2FAC">
        <w:rPr>
          <w:rFonts w:cs="Arial"/>
          <w:i/>
        </w:rPr>
        <w:t>cesión</w:t>
      </w:r>
      <w:r w:rsidR="00F70F36" w:rsidRPr="004C2FAC">
        <w:rPr>
          <w:rFonts w:cs="Arial"/>
          <w:i/>
        </w:rPr>
        <w:t>”</w:t>
      </w:r>
      <w:r w:rsidR="005F7402" w:rsidRPr="004C2FAC">
        <w:rPr>
          <w:rFonts w:cs="Arial"/>
        </w:rPr>
        <w:t xml:space="preserve"> en favor del IDEMA</w:t>
      </w:r>
      <w:r w:rsidRPr="004C2FAC">
        <w:rPr>
          <w:rFonts w:cs="Arial"/>
        </w:rPr>
        <w:t>,</w:t>
      </w:r>
      <w:r w:rsidR="00361CDF" w:rsidRPr="004C2FAC">
        <w:rPr>
          <w:rFonts w:cs="Arial"/>
        </w:rPr>
        <w:t xml:space="preserve"> a título de dación en pago</w:t>
      </w:r>
      <w:r w:rsidRPr="004C2FAC">
        <w:rPr>
          <w:rFonts w:cs="Arial"/>
        </w:rPr>
        <w:t>,</w:t>
      </w:r>
      <w:r w:rsidR="00361CDF" w:rsidRPr="004C2FAC">
        <w:rPr>
          <w:rFonts w:cs="Arial"/>
        </w:rPr>
        <w:t xml:space="preserve"> sobre “</w:t>
      </w:r>
      <w:r w:rsidR="005F7402" w:rsidRPr="004C2FAC">
        <w:rPr>
          <w:rFonts w:cs="Arial"/>
          <w:i/>
        </w:rPr>
        <w:t>LOS DERECHOS OBLIGACIONES Y ACCIONES DE QUE TRATA LA ESCRITURA PÚBLICA NÚMERO 1299 DE FECHA 16 DE MARZO DE 1994, OTORGADA EN LA NOTARIA 18 DEL CÍRCULO DE BOGOTÁ”</w:t>
      </w:r>
      <w:r w:rsidR="005F7402" w:rsidRPr="004C2FAC">
        <w:rPr>
          <w:rStyle w:val="Refdenotaalpie"/>
          <w:rFonts w:cs="Arial"/>
          <w:i/>
        </w:rPr>
        <w:footnoteReference w:id="61"/>
      </w:r>
      <w:r w:rsidR="005F7402" w:rsidRPr="004C2FAC">
        <w:rPr>
          <w:rFonts w:cs="Arial"/>
          <w:i/>
        </w:rPr>
        <w:t>.</w:t>
      </w:r>
    </w:p>
    <w:p w:rsidR="005F7402" w:rsidRPr="004C2FAC" w:rsidRDefault="005F7402" w:rsidP="009122F9">
      <w:pPr>
        <w:rPr>
          <w:rFonts w:cs="Arial"/>
        </w:rPr>
      </w:pPr>
    </w:p>
    <w:p w:rsidR="009507E7" w:rsidRPr="004C2FAC" w:rsidRDefault="001535A9" w:rsidP="009507E7">
      <w:pPr>
        <w:widowControl w:val="0"/>
        <w:autoSpaceDE w:val="0"/>
        <w:autoSpaceDN w:val="0"/>
        <w:adjustRightInd w:val="0"/>
        <w:rPr>
          <w:rFonts w:cs="Arial"/>
        </w:rPr>
      </w:pPr>
      <w:r w:rsidRPr="004C2FAC">
        <w:rPr>
          <w:rFonts w:cs="Arial"/>
          <w:b/>
        </w:rPr>
        <w:t>4</w:t>
      </w:r>
      <w:r w:rsidR="00FA1D83" w:rsidRPr="004C2FAC">
        <w:rPr>
          <w:rFonts w:cs="Arial"/>
          <w:b/>
        </w:rPr>
        <w:t>.</w:t>
      </w:r>
      <w:r w:rsidRPr="004C2FAC">
        <w:rPr>
          <w:rFonts w:cs="Arial"/>
          <w:b/>
        </w:rPr>
        <w:t>3</w:t>
      </w:r>
      <w:r w:rsidR="00FA1D83" w:rsidRPr="004C2FAC">
        <w:rPr>
          <w:rFonts w:cs="Arial"/>
          <w:b/>
        </w:rPr>
        <w:t>.</w:t>
      </w:r>
      <w:r w:rsidR="005F7402" w:rsidRPr="004C2FAC">
        <w:rPr>
          <w:rFonts w:cs="Arial"/>
          <w:b/>
        </w:rPr>
        <w:t>3</w:t>
      </w:r>
      <w:r w:rsidR="00FA1D83" w:rsidRPr="004C2FAC">
        <w:rPr>
          <w:rFonts w:cs="Arial"/>
          <w:b/>
        </w:rPr>
        <w:t>.</w:t>
      </w:r>
      <w:r w:rsidR="00FA1D83" w:rsidRPr="004C2FAC">
        <w:rPr>
          <w:rFonts w:cs="Arial"/>
        </w:rPr>
        <w:t xml:space="preserve"> </w:t>
      </w:r>
      <w:r w:rsidR="009507E7" w:rsidRPr="004C2FAC">
        <w:rPr>
          <w:rFonts w:cs="Arial"/>
        </w:rPr>
        <w:t xml:space="preserve">De acuerdo con la comunicación de diciembre 16 de 1996, suscrita por el representante de </w:t>
      </w:r>
      <w:r w:rsidR="00B32B74" w:rsidRPr="004C2FAC">
        <w:rPr>
          <w:rFonts w:cs="Arial"/>
        </w:rPr>
        <w:t>COLCEREALES</w:t>
      </w:r>
      <w:r w:rsidR="009507E7" w:rsidRPr="004C2FAC">
        <w:rPr>
          <w:rFonts w:cs="Arial"/>
        </w:rPr>
        <w:t xml:space="preserve">, </w:t>
      </w:r>
      <w:r w:rsidR="00B041B2" w:rsidRPr="004C2FAC">
        <w:rPr>
          <w:rFonts w:cs="Arial"/>
        </w:rPr>
        <w:t xml:space="preserve">esa sociedad </w:t>
      </w:r>
      <w:r w:rsidR="00361CDF" w:rsidRPr="004C2FAC">
        <w:rPr>
          <w:rFonts w:cs="Arial"/>
        </w:rPr>
        <w:t xml:space="preserve">informó </w:t>
      </w:r>
      <w:r w:rsidR="009507E7" w:rsidRPr="004C2FAC">
        <w:rPr>
          <w:rFonts w:cs="Arial"/>
        </w:rPr>
        <w:t xml:space="preserve">el reparto de </w:t>
      </w:r>
      <w:r w:rsidR="00361CDF" w:rsidRPr="004C2FAC">
        <w:rPr>
          <w:rFonts w:cs="Arial"/>
        </w:rPr>
        <w:t>la</w:t>
      </w:r>
      <w:r w:rsidR="00B041B2" w:rsidRPr="004C2FAC">
        <w:rPr>
          <w:rFonts w:cs="Arial"/>
        </w:rPr>
        <w:t xml:space="preserve"> minuta </w:t>
      </w:r>
      <w:r w:rsidR="009507E7" w:rsidRPr="004C2FAC">
        <w:rPr>
          <w:rFonts w:cs="Arial"/>
        </w:rPr>
        <w:t>de cesión de derechos a</w:t>
      </w:r>
      <w:r w:rsidR="005F7402" w:rsidRPr="004C2FAC">
        <w:rPr>
          <w:rFonts w:cs="Arial"/>
        </w:rPr>
        <w:t xml:space="preserve"> favor del </w:t>
      </w:r>
      <w:r w:rsidR="009507E7" w:rsidRPr="004C2FAC">
        <w:rPr>
          <w:rFonts w:cs="Arial"/>
        </w:rPr>
        <w:t xml:space="preserve">IDEMA, </w:t>
      </w:r>
      <w:r w:rsidR="00B041B2" w:rsidRPr="004C2FAC">
        <w:rPr>
          <w:rFonts w:cs="Arial"/>
        </w:rPr>
        <w:t>de la siguiente manera</w:t>
      </w:r>
      <w:r w:rsidR="009507E7" w:rsidRPr="004C2FAC">
        <w:rPr>
          <w:rFonts w:cs="Arial"/>
        </w:rPr>
        <w:t xml:space="preserve"> (se transcribe literal incluso con posibles errores):</w:t>
      </w:r>
    </w:p>
    <w:p w:rsidR="009507E7" w:rsidRPr="004C2FAC" w:rsidRDefault="009507E7" w:rsidP="009507E7">
      <w:pPr>
        <w:widowControl w:val="0"/>
        <w:autoSpaceDE w:val="0"/>
        <w:autoSpaceDN w:val="0"/>
        <w:adjustRightInd w:val="0"/>
        <w:rPr>
          <w:rFonts w:cs="Arial"/>
          <w:b/>
        </w:rPr>
      </w:pPr>
    </w:p>
    <w:p w:rsidR="009507E7" w:rsidRPr="004C2FAC" w:rsidRDefault="00B32B74" w:rsidP="00D26AC5">
      <w:pPr>
        <w:widowControl w:val="0"/>
        <w:autoSpaceDE w:val="0"/>
        <w:autoSpaceDN w:val="0"/>
        <w:adjustRightInd w:val="0"/>
        <w:spacing w:line="276" w:lineRule="auto"/>
        <w:ind w:left="567" w:right="902"/>
        <w:rPr>
          <w:rFonts w:cs="Arial"/>
          <w:b/>
        </w:rPr>
      </w:pPr>
      <w:r w:rsidRPr="004C2FAC">
        <w:rPr>
          <w:rFonts w:cs="Arial"/>
          <w:i/>
          <w:sz w:val="22"/>
          <w:szCs w:val="22"/>
        </w:rPr>
        <w:t>“</w:t>
      </w:r>
      <w:r w:rsidR="009507E7" w:rsidRPr="004C2FAC">
        <w:rPr>
          <w:rFonts w:cs="Arial"/>
          <w:i/>
          <w:sz w:val="22"/>
          <w:szCs w:val="22"/>
        </w:rPr>
        <w:t xml:space="preserve">EN CONSECUENCIA DE LO ANTERIOR Y DANDO CUMPLIMIENTO AL </w:t>
      </w:r>
      <w:r w:rsidR="009507E7" w:rsidRPr="004C2FAC">
        <w:rPr>
          <w:rFonts w:cs="Arial"/>
          <w:i/>
          <w:sz w:val="22"/>
          <w:szCs w:val="22"/>
        </w:rPr>
        <w:lastRenderedPageBreak/>
        <w:t>ACTA DE ACUERDO DE DACIÓN EN PAGO SUSCRITA C</w:t>
      </w:r>
      <w:r w:rsidRPr="004C2FAC">
        <w:rPr>
          <w:rFonts w:cs="Arial"/>
          <w:i/>
          <w:sz w:val="22"/>
          <w:szCs w:val="22"/>
        </w:rPr>
        <w:t>O</w:t>
      </w:r>
      <w:r w:rsidR="009507E7" w:rsidRPr="004C2FAC">
        <w:rPr>
          <w:rFonts w:cs="Arial"/>
          <w:i/>
          <w:sz w:val="22"/>
          <w:szCs w:val="22"/>
        </w:rPr>
        <w:t>N EL INSTITUTO A SU BUEN CARGO, DE LA MANERA M</w:t>
      </w:r>
      <w:r w:rsidR="00B041B2" w:rsidRPr="004C2FAC">
        <w:rPr>
          <w:rFonts w:cs="Arial"/>
          <w:i/>
          <w:sz w:val="22"/>
          <w:szCs w:val="22"/>
        </w:rPr>
        <w:t>Á</w:t>
      </w:r>
      <w:r w:rsidR="009507E7" w:rsidRPr="004C2FAC">
        <w:rPr>
          <w:rFonts w:cs="Arial"/>
          <w:i/>
          <w:sz w:val="22"/>
          <w:szCs w:val="22"/>
        </w:rPr>
        <w:t>S ATENTA ME PERMITO SOLICITAR SU PRESENCIA O EN SU CASO FACULTAR A QUIEN USTED CONSIDERE PERTINENTE PARA LA FIRMA DE LA ESCRITURA EN MENCIÓN, EL DIA DE HOY 16 DE DICIEMBRE DE 1996, EN LA CITADA NOTARIA OCTAVA (…) PARA LA FORMALIZACIÓN DEL ACUERDO CONTENIDO EN EL ACTA DE ACUERDO Y DACIÓN EN PAGO SOBRE LAS OBLIGACIONES AL CONTRATO 8861 Y AL SALDO DE LAS OBLIGACIONES DE BOLSA NÚMEROS 130074/130075/13066/13067 REALIZADAS A TRAVÉS DE LA BOLSA NACIONAL AGROPECUARIA”</w:t>
      </w:r>
      <w:r w:rsidR="009507E7" w:rsidRPr="004C2FAC">
        <w:rPr>
          <w:rStyle w:val="Refdenotaalpie"/>
          <w:rFonts w:cs="Arial"/>
        </w:rPr>
        <w:footnoteReference w:id="62"/>
      </w:r>
      <w:r w:rsidRPr="004C2FAC">
        <w:rPr>
          <w:rFonts w:cs="Arial"/>
          <w:i/>
          <w:sz w:val="22"/>
          <w:szCs w:val="22"/>
        </w:rPr>
        <w:t>.</w:t>
      </w:r>
    </w:p>
    <w:p w:rsidR="009507E7" w:rsidRPr="004C2FAC" w:rsidRDefault="009507E7" w:rsidP="009507E7">
      <w:pPr>
        <w:widowControl w:val="0"/>
        <w:autoSpaceDE w:val="0"/>
        <w:autoSpaceDN w:val="0"/>
        <w:adjustRightInd w:val="0"/>
        <w:rPr>
          <w:rFonts w:cs="Arial"/>
          <w:b/>
        </w:rPr>
      </w:pPr>
    </w:p>
    <w:p w:rsidR="009122F9" w:rsidRPr="004C2FAC" w:rsidRDefault="001535A9" w:rsidP="009122F9">
      <w:pPr>
        <w:rPr>
          <w:rFonts w:cs="Arial"/>
        </w:rPr>
      </w:pPr>
      <w:r w:rsidRPr="004C2FAC">
        <w:rPr>
          <w:rFonts w:cs="Arial"/>
          <w:b/>
        </w:rPr>
        <w:t>4</w:t>
      </w:r>
      <w:r w:rsidR="00874269" w:rsidRPr="004C2FAC">
        <w:rPr>
          <w:rFonts w:cs="Arial"/>
          <w:b/>
        </w:rPr>
        <w:t>.</w:t>
      </w:r>
      <w:r w:rsidR="00102D2E" w:rsidRPr="004C2FAC">
        <w:rPr>
          <w:rFonts w:cs="Arial"/>
          <w:b/>
        </w:rPr>
        <w:t>3.</w:t>
      </w:r>
      <w:r w:rsidR="00874269" w:rsidRPr="004C2FAC">
        <w:rPr>
          <w:rFonts w:cs="Arial"/>
          <w:b/>
        </w:rPr>
        <w:t>4.</w:t>
      </w:r>
      <w:r w:rsidR="00874269" w:rsidRPr="004C2FAC">
        <w:rPr>
          <w:rFonts w:cs="Arial"/>
        </w:rPr>
        <w:t xml:space="preserve"> En relación con el acuerdo de dación en pago, se </w:t>
      </w:r>
      <w:r w:rsidR="00FF11E7" w:rsidRPr="004C2FAC">
        <w:rPr>
          <w:rFonts w:cs="Arial"/>
        </w:rPr>
        <w:t xml:space="preserve">debe </w:t>
      </w:r>
      <w:r w:rsidR="00874269" w:rsidRPr="004C2FAC">
        <w:rPr>
          <w:rFonts w:cs="Arial"/>
        </w:rPr>
        <w:t xml:space="preserve">citar el </w:t>
      </w:r>
      <w:r w:rsidR="009122F9" w:rsidRPr="004C2FAC">
        <w:rPr>
          <w:rFonts w:cs="Arial"/>
        </w:rPr>
        <w:t xml:space="preserve">memorando 003622 de 10 de junio de 1997, </w:t>
      </w:r>
      <w:r w:rsidR="00874269" w:rsidRPr="004C2FAC">
        <w:rPr>
          <w:rFonts w:cs="Arial"/>
        </w:rPr>
        <w:t xml:space="preserve">mediante el cual </w:t>
      </w:r>
      <w:r w:rsidR="009122F9" w:rsidRPr="004C2FAC">
        <w:rPr>
          <w:rFonts w:cs="Arial"/>
        </w:rPr>
        <w:t xml:space="preserve">la directora jurídica (encargada) </w:t>
      </w:r>
      <w:r w:rsidR="001869FA" w:rsidRPr="004C2FAC">
        <w:rPr>
          <w:rFonts w:cs="Arial"/>
        </w:rPr>
        <w:t>del</w:t>
      </w:r>
      <w:r w:rsidR="009122F9" w:rsidRPr="004C2FAC">
        <w:rPr>
          <w:rFonts w:cs="Arial"/>
        </w:rPr>
        <w:t xml:space="preserve"> IDEMA, le informó al Ministro de Agricultura y Desarrollo Rural sobre los antecedentes de las operaciones realizadas en 1995 y el acuerdo de dación en pago suscrito en 1996. Sobre este último indicó que no se pudo llevar a cabo</w:t>
      </w:r>
      <w:r w:rsidR="00D92CA6" w:rsidRPr="004C2FAC">
        <w:rPr>
          <w:rFonts w:cs="Arial"/>
        </w:rPr>
        <w:t>,</w:t>
      </w:r>
      <w:r w:rsidR="009122F9" w:rsidRPr="004C2FAC">
        <w:rPr>
          <w:rFonts w:cs="Arial"/>
        </w:rPr>
        <w:t xml:space="preserve"> </w:t>
      </w:r>
      <w:r w:rsidR="00D92CA6" w:rsidRPr="004C2FAC">
        <w:rPr>
          <w:rFonts w:cs="Arial"/>
        </w:rPr>
        <w:t xml:space="preserve">en su oportunidad, </w:t>
      </w:r>
      <w:r w:rsidR="009122F9" w:rsidRPr="004C2FAC">
        <w:rPr>
          <w:rFonts w:cs="Arial"/>
        </w:rPr>
        <w:t xml:space="preserve">por cuanto la sociedad </w:t>
      </w:r>
      <w:r w:rsidR="005A7EBA" w:rsidRPr="004C2FAC">
        <w:rPr>
          <w:rFonts w:cs="Arial"/>
        </w:rPr>
        <w:t>Parga y C</w:t>
      </w:r>
      <w:r w:rsidR="008B49FE" w:rsidRPr="004C2FAC">
        <w:rPr>
          <w:rFonts w:cs="Arial"/>
        </w:rPr>
        <w:t>í</w:t>
      </w:r>
      <w:r w:rsidR="005A7EBA" w:rsidRPr="004C2FAC">
        <w:rPr>
          <w:rFonts w:cs="Arial"/>
        </w:rPr>
        <w:t>a</w:t>
      </w:r>
      <w:r w:rsidR="00EF4ACF" w:rsidRPr="004C2FAC">
        <w:rPr>
          <w:rFonts w:cs="Arial"/>
        </w:rPr>
        <w:t xml:space="preserve">, supuestamente </w:t>
      </w:r>
      <w:r w:rsidR="009122F9" w:rsidRPr="004C2FAC">
        <w:rPr>
          <w:rFonts w:cs="Arial"/>
        </w:rPr>
        <w:t xml:space="preserve">representada por la misma persona que había actuado en calidad de representante legal de COLCEREALES, informó que la primera sociedad era la titular de los derechos sobre el inmueble prometido en pago y que COLCEREALES no se había registrado como propietaria para la fecha en que acordó la dación. La </w:t>
      </w:r>
      <w:r w:rsidR="001869FA" w:rsidRPr="004C2FAC">
        <w:rPr>
          <w:rFonts w:cs="Arial"/>
        </w:rPr>
        <w:t>d</w:t>
      </w:r>
      <w:r w:rsidR="009122F9" w:rsidRPr="004C2FAC">
        <w:rPr>
          <w:rFonts w:cs="Arial"/>
        </w:rPr>
        <w:t>irectora jurídica del IDEMA concluyó que COLCEREALES incumplió sus obligaciones frente al acuerdo de dación en pago y que, en su concepto, el IDEMA debía hacer efectiva la cláusula penal establecida en el acta de conciliación y dación en pago</w:t>
      </w:r>
      <w:r w:rsidR="009122F9" w:rsidRPr="004C2FAC">
        <w:rPr>
          <w:rStyle w:val="Refdenotaalpie"/>
          <w:rFonts w:cs="Arial"/>
        </w:rPr>
        <w:footnoteReference w:id="63"/>
      </w:r>
      <w:r w:rsidR="009122F9" w:rsidRPr="004C2FAC">
        <w:rPr>
          <w:rFonts w:cs="Arial"/>
        </w:rPr>
        <w:t>.</w:t>
      </w:r>
    </w:p>
    <w:p w:rsidR="009122F9" w:rsidRPr="004C2FAC" w:rsidRDefault="009122F9" w:rsidP="009122F9">
      <w:pPr>
        <w:rPr>
          <w:rFonts w:cs="Arial"/>
        </w:rPr>
      </w:pPr>
    </w:p>
    <w:p w:rsidR="009122F9" w:rsidRPr="004C2FAC" w:rsidRDefault="001535A9" w:rsidP="009122F9">
      <w:pPr>
        <w:rPr>
          <w:rFonts w:cs="Arial"/>
        </w:rPr>
      </w:pPr>
      <w:r w:rsidRPr="004C2FAC">
        <w:rPr>
          <w:rFonts w:cs="Arial"/>
          <w:b/>
        </w:rPr>
        <w:t>4</w:t>
      </w:r>
      <w:r w:rsidR="00FA1D83" w:rsidRPr="004C2FAC">
        <w:rPr>
          <w:rFonts w:cs="Arial"/>
          <w:b/>
        </w:rPr>
        <w:t>.4.</w:t>
      </w:r>
      <w:r w:rsidR="0009407B" w:rsidRPr="004C2FAC">
        <w:rPr>
          <w:rFonts w:cs="Arial"/>
          <w:b/>
        </w:rPr>
        <w:t xml:space="preserve"> </w:t>
      </w:r>
      <w:r w:rsidR="009122F9" w:rsidRPr="004C2FAC">
        <w:rPr>
          <w:rFonts w:cs="Arial"/>
        </w:rPr>
        <w:t xml:space="preserve">Posteriormente, mediante comunicación del 29 de julio de 1997, el </w:t>
      </w:r>
      <w:r w:rsidR="001869FA" w:rsidRPr="004C2FAC">
        <w:rPr>
          <w:rFonts w:cs="Arial"/>
        </w:rPr>
        <w:t xml:space="preserve">director jurídico </w:t>
      </w:r>
      <w:r w:rsidR="009122F9" w:rsidRPr="004C2FAC">
        <w:rPr>
          <w:rFonts w:cs="Arial"/>
        </w:rPr>
        <w:t>del Ministerio de Agricultura y Desarrollo Rural le dirigió al gerente del IDEMA – EN LIQUIDACIÓN</w:t>
      </w:r>
      <w:r w:rsidR="005A7EBA" w:rsidRPr="004C2FAC">
        <w:rPr>
          <w:rFonts w:cs="Arial"/>
        </w:rPr>
        <w:t>,</w:t>
      </w:r>
      <w:r w:rsidR="009122F9" w:rsidRPr="004C2FAC">
        <w:rPr>
          <w:rFonts w:cs="Arial"/>
        </w:rPr>
        <w:t xml:space="preserve"> </w:t>
      </w:r>
      <w:r w:rsidR="001869FA" w:rsidRPr="004C2FAC">
        <w:rPr>
          <w:rFonts w:cs="Arial"/>
        </w:rPr>
        <w:t>una</w:t>
      </w:r>
      <w:r w:rsidR="009122F9" w:rsidRPr="004C2FAC">
        <w:rPr>
          <w:rFonts w:cs="Arial"/>
        </w:rPr>
        <w:t xml:space="preserve"> comunicación </w:t>
      </w:r>
      <w:r w:rsidR="001869FA" w:rsidRPr="004C2FAC">
        <w:rPr>
          <w:rFonts w:cs="Arial"/>
        </w:rPr>
        <w:t xml:space="preserve">según la cual, </w:t>
      </w:r>
      <w:r w:rsidR="00EF4ACF" w:rsidRPr="004C2FAC">
        <w:rPr>
          <w:rFonts w:cs="Arial"/>
        </w:rPr>
        <w:t xml:space="preserve">uno de los socios de </w:t>
      </w:r>
      <w:r w:rsidR="005A7EBA" w:rsidRPr="004C2FAC">
        <w:rPr>
          <w:rFonts w:cs="Arial"/>
        </w:rPr>
        <w:t>Parga y C</w:t>
      </w:r>
      <w:r w:rsidR="008B49FE" w:rsidRPr="004C2FAC">
        <w:rPr>
          <w:rFonts w:cs="Arial"/>
        </w:rPr>
        <w:t>í</w:t>
      </w:r>
      <w:r w:rsidR="005A7EBA" w:rsidRPr="004C2FAC">
        <w:rPr>
          <w:rFonts w:cs="Arial"/>
        </w:rPr>
        <w:t>a</w:t>
      </w:r>
      <w:r w:rsidR="00EF4ACF" w:rsidRPr="004C2FAC">
        <w:rPr>
          <w:rFonts w:cs="Arial"/>
        </w:rPr>
        <w:t xml:space="preserve"> le explicó al Ministerio </w:t>
      </w:r>
      <w:r w:rsidR="009122F9" w:rsidRPr="004C2FAC">
        <w:rPr>
          <w:rFonts w:cs="Arial"/>
        </w:rPr>
        <w:t xml:space="preserve">las razones por las cuales el IDEMA no debía recibir </w:t>
      </w:r>
      <w:r w:rsidR="00D92CA6" w:rsidRPr="004C2FAC">
        <w:rPr>
          <w:rFonts w:cs="Arial"/>
        </w:rPr>
        <w:t>en dación en pago</w:t>
      </w:r>
      <w:r w:rsidR="00113E3D" w:rsidRPr="004C2FAC">
        <w:rPr>
          <w:rFonts w:cs="Arial"/>
        </w:rPr>
        <w:t xml:space="preserve"> del</w:t>
      </w:r>
      <w:r w:rsidR="009122F9" w:rsidRPr="004C2FAC">
        <w:rPr>
          <w:rFonts w:cs="Arial"/>
        </w:rPr>
        <w:t xml:space="preserve"> inmueble denominado </w:t>
      </w:r>
      <w:r w:rsidR="009122F9" w:rsidRPr="004C2FAC">
        <w:rPr>
          <w:rFonts w:cs="Arial"/>
          <w:i/>
        </w:rPr>
        <w:t>“Molino Agualinda”</w:t>
      </w:r>
      <w:r w:rsidR="00D92CA6" w:rsidRPr="004C2FAC">
        <w:rPr>
          <w:rFonts w:cs="Arial"/>
          <w:i/>
        </w:rPr>
        <w:t>.</w:t>
      </w:r>
      <w:r w:rsidR="009122F9" w:rsidRPr="004C2FAC">
        <w:rPr>
          <w:rFonts w:cs="Arial"/>
        </w:rPr>
        <w:t xml:space="preserve"> </w:t>
      </w:r>
    </w:p>
    <w:p w:rsidR="009122F9" w:rsidRPr="004C2FAC" w:rsidRDefault="009122F9" w:rsidP="009122F9">
      <w:pPr>
        <w:rPr>
          <w:rFonts w:cs="Arial"/>
        </w:rPr>
      </w:pPr>
    </w:p>
    <w:p w:rsidR="009122F9" w:rsidRPr="004C2FAC" w:rsidRDefault="001535A9" w:rsidP="009122F9">
      <w:pPr>
        <w:rPr>
          <w:rFonts w:cs="Arial"/>
          <w:i/>
        </w:rPr>
      </w:pPr>
      <w:r w:rsidRPr="004C2FAC">
        <w:rPr>
          <w:rFonts w:cs="Arial"/>
          <w:b/>
        </w:rPr>
        <w:lastRenderedPageBreak/>
        <w:t>4</w:t>
      </w:r>
      <w:r w:rsidR="00FA1D83" w:rsidRPr="004C2FAC">
        <w:rPr>
          <w:rFonts w:cs="Arial"/>
          <w:b/>
        </w:rPr>
        <w:t>.5.</w:t>
      </w:r>
      <w:r w:rsidR="00FA1D83" w:rsidRPr="004C2FAC">
        <w:rPr>
          <w:rFonts w:cs="Arial"/>
        </w:rPr>
        <w:t xml:space="preserve"> </w:t>
      </w:r>
      <w:r w:rsidR="009122F9" w:rsidRPr="004C2FAC">
        <w:rPr>
          <w:rFonts w:cs="Arial"/>
        </w:rPr>
        <w:t xml:space="preserve">Por otra parte, </w:t>
      </w:r>
      <w:r w:rsidR="00EF4ACF" w:rsidRPr="004C2FAC">
        <w:rPr>
          <w:rFonts w:cs="Arial"/>
        </w:rPr>
        <w:t xml:space="preserve">las pruebas allegadas al proceso permiten corroborar </w:t>
      </w:r>
      <w:r w:rsidR="009122F9" w:rsidRPr="004C2FAC">
        <w:rPr>
          <w:rFonts w:cs="Arial"/>
        </w:rPr>
        <w:t>que</w:t>
      </w:r>
      <w:r w:rsidR="00DA2CD3" w:rsidRPr="004C2FAC">
        <w:rPr>
          <w:rFonts w:cs="Arial"/>
        </w:rPr>
        <w:t xml:space="preserve"> fracasado el acuerdo de dación en pago, </w:t>
      </w:r>
      <w:r w:rsidR="009122F9" w:rsidRPr="004C2FAC">
        <w:rPr>
          <w:rFonts w:cs="Arial"/>
        </w:rPr>
        <w:t>el IDEMA procedió a declarar la ocurrencia de los siniestros e hizo efectiva las pólizas</w:t>
      </w:r>
      <w:r w:rsidR="00DA2CD3" w:rsidRPr="004C2FAC">
        <w:rPr>
          <w:rFonts w:cs="Arial"/>
        </w:rPr>
        <w:t xml:space="preserve"> </w:t>
      </w:r>
      <w:r w:rsidR="005A7EBA" w:rsidRPr="004C2FAC">
        <w:rPr>
          <w:rFonts w:cs="Arial"/>
        </w:rPr>
        <w:t xml:space="preserve">de seguro números </w:t>
      </w:r>
      <w:r w:rsidR="00DA2CD3" w:rsidRPr="004C2FAC">
        <w:rPr>
          <w:rFonts w:cs="Arial"/>
        </w:rPr>
        <w:t xml:space="preserve">193363 y </w:t>
      </w:r>
      <w:r w:rsidR="005A7EBA" w:rsidRPr="004C2FAC">
        <w:rPr>
          <w:rFonts w:cs="Arial"/>
        </w:rPr>
        <w:t>231844</w:t>
      </w:r>
      <w:r w:rsidR="009122F9" w:rsidRPr="004C2FAC">
        <w:rPr>
          <w:rFonts w:cs="Arial"/>
        </w:rPr>
        <w:t xml:space="preserve">, no obstante lo cual, Torres </w:t>
      </w:r>
      <w:r w:rsidR="00A672D4" w:rsidRPr="004C2FAC">
        <w:rPr>
          <w:rFonts w:cs="Arial"/>
        </w:rPr>
        <w:t>Cortés</w:t>
      </w:r>
      <w:r w:rsidR="009122F9" w:rsidRPr="004C2FAC">
        <w:rPr>
          <w:rFonts w:cs="Arial"/>
        </w:rPr>
        <w:t xml:space="preserve"> y C</w:t>
      </w:r>
      <w:r w:rsidR="005A7EBA" w:rsidRPr="004C2FAC">
        <w:rPr>
          <w:rFonts w:cs="Arial"/>
        </w:rPr>
        <w:t>í</w:t>
      </w:r>
      <w:r w:rsidR="009122F9" w:rsidRPr="004C2FAC">
        <w:rPr>
          <w:rFonts w:cs="Arial"/>
        </w:rPr>
        <w:t xml:space="preserve">a, </w:t>
      </w:r>
      <w:r w:rsidR="005A7EBA" w:rsidRPr="004C2FAC">
        <w:rPr>
          <w:rFonts w:cs="Arial"/>
        </w:rPr>
        <w:t>COLCEREALES</w:t>
      </w:r>
      <w:r w:rsidR="009122F9" w:rsidRPr="004C2FAC">
        <w:rPr>
          <w:rFonts w:cs="Arial"/>
        </w:rPr>
        <w:t xml:space="preserve"> y Latino</w:t>
      </w:r>
      <w:r w:rsidR="00EF7118" w:rsidRPr="004C2FAC">
        <w:rPr>
          <w:rFonts w:cs="Arial"/>
        </w:rPr>
        <w:t>a</w:t>
      </w:r>
      <w:r w:rsidR="009122F9" w:rsidRPr="004C2FAC">
        <w:rPr>
          <w:rFonts w:cs="Arial"/>
        </w:rPr>
        <w:t>mericana de Seguros presentaron sendos recursos de reposición, los cuales dieron lugar a la revoca</w:t>
      </w:r>
      <w:r w:rsidR="00CA2A42" w:rsidRPr="004C2FAC">
        <w:rPr>
          <w:rFonts w:cs="Arial"/>
        </w:rPr>
        <w:t xml:space="preserve">toria </w:t>
      </w:r>
      <w:r w:rsidR="009122F9" w:rsidRPr="004C2FAC">
        <w:rPr>
          <w:rFonts w:cs="Arial"/>
        </w:rPr>
        <w:t xml:space="preserve">de los actos administrativos por el liquidador del IDEMA, así: mediante </w:t>
      </w:r>
      <w:r w:rsidR="00A153C8" w:rsidRPr="004C2FAC">
        <w:rPr>
          <w:rFonts w:cs="Arial"/>
        </w:rPr>
        <w:t>R</w:t>
      </w:r>
      <w:r w:rsidR="009122F9" w:rsidRPr="004C2FAC">
        <w:rPr>
          <w:rFonts w:cs="Arial"/>
        </w:rPr>
        <w:t xml:space="preserve">esolución 284 de 17 de diciembre de 1997 se revocó la </w:t>
      </w:r>
      <w:r w:rsidR="00A153C8" w:rsidRPr="004C2FAC">
        <w:rPr>
          <w:rFonts w:cs="Arial"/>
        </w:rPr>
        <w:t>R</w:t>
      </w:r>
      <w:r w:rsidR="009122F9" w:rsidRPr="004C2FAC">
        <w:rPr>
          <w:rFonts w:cs="Arial"/>
        </w:rPr>
        <w:t>esolución 217 de 1997, teniendo en cuenta que</w:t>
      </w:r>
      <w:r w:rsidR="009122F9" w:rsidRPr="004C2FAC">
        <w:rPr>
          <w:rFonts w:cs="Arial"/>
          <w:i/>
        </w:rPr>
        <w:t xml:space="preserve"> “la administración debe prescindir de actuaciones unilaterales … en los contratos de derecho privado celebrados bajo la imperancia de la Ley 80 de 1993”</w:t>
      </w:r>
      <w:r w:rsidR="009122F9" w:rsidRPr="004C2FAC">
        <w:rPr>
          <w:rStyle w:val="Refdenotaalpie"/>
          <w:rFonts w:cs="Arial"/>
          <w:i/>
        </w:rPr>
        <w:footnoteReference w:id="64"/>
      </w:r>
      <w:r w:rsidR="009122F9" w:rsidRPr="004C2FAC">
        <w:rPr>
          <w:rFonts w:cs="Arial"/>
          <w:i/>
        </w:rPr>
        <w:t xml:space="preserve"> </w:t>
      </w:r>
      <w:r w:rsidR="009122F9" w:rsidRPr="004C2FAC">
        <w:rPr>
          <w:rFonts w:cs="Arial"/>
        </w:rPr>
        <w:t>y, de la misma manera, mediante Resolución 333 de 23 de diciembre de 1997 se  revocó la Resolución 225 de 1997</w:t>
      </w:r>
      <w:r w:rsidR="009122F9" w:rsidRPr="004C2FAC">
        <w:rPr>
          <w:rStyle w:val="Refdenotaalpie"/>
          <w:rFonts w:cs="Arial"/>
        </w:rPr>
        <w:footnoteReference w:id="65"/>
      </w:r>
      <w:r w:rsidR="009122F9" w:rsidRPr="004C2FAC">
        <w:rPr>
          <w:rFonts w:cs="Arial"/>
        </w:rPr>
        <w:t xml:space="preserve">, en la cual el IDEMA acogió los argumentos de COLCEREALES y de la compañía de seguros acerca de la incompetencia para declarar el incumplimiento en vigencia de la Ley 80 de 1993, </w:t>
      </w:r>
      <w:r w:rsidR="009122F9" w:rsidRPr="004C2FAC">
        <w:rPr>
          <w:rFonts w:cs="Arial"/>
          <w:i/>
        </w:rPr>
        <w:t>“debiendo entonces esta administración acudir al Juez del contrato”.</w:t>
      </w:r>
    </w:p>
    <w:p w:rsidR="000A1D1A" w:rsidRPr="004C2FAC" w:rsidRDefault="000A1D1A" w:rsidP="009122F9">
      <w:pPr>
        <w:rPr>
          <w:rFonts w:cs="Arial"/>
          <w:i/>
        </w:rPr>
      </w:pPr>
    </w:p>
    <w:p w:rsidR="00434B7B" w:rsidRPr="004C2FAC" w:rsidRDefault="00434B7B" w:rsidP="00434B7B">
      <w:pPr>
        <w:spacing w:line="240" w:lineRule="auto"/>
        <w:rPr>
          <w:rFonts w:cs="Arial"/>
          <w:b/>
        </w:rPr>
      </w:pPr>
      <w:r w:rsidRPr="004C2FAC">
        <w:rPr>
          <w:rFonts w:cs="Arial"/>
          <w:b/>
        </w:rPr>
        <w:t>5. Legitimación activa por parte del Ministerio de Agricultura y Desarrollo Rural</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Resulta de interés el examen de la legitimación activa del Ministerio de Agricultura y Desarrollo Rural, en su aspecto material, toda vez que esa entidad acudió en ejercicio de la acción contractual obrando como demandante, bajo la sola indicación de que el extinto IDEMA era </w:t>
      </w:r>
      <w:r w:rsidRPr="004C2FAC">
        <w:rPr>
          <w:rFonts w:cs="Arial"/>
          <w:i/>
        </w:rPr>
        <w:t>“hoy Ministerio de Agricultura y Desarrollo Rural”,</w:t>
      </w:r>
      <w:r w:rsidRPr="004C2FAC">
        <w:rPr>
          <w:rFonts w:cs="Arial"/>
        </w:rPr>
        <w:t xml:space="preserve"> sin especificación alguna de la circunstancia que la facultaba para obrar como </w:t>
      </w:r>
      <w:r w:rsidR="00E85818" w:rsidRPr="004C2FAC">
        <w:rPr>
          <w:rFonts w:cs="Arial"/>
        </w:rPr>
        <w:t xml:space="preserve">parte contractual idónea para demandar el incumplimiento y </w:t>
      </w:r>
      <w:r w:rsidRPr="004C2FAC">
        <w:rPr>
          <w:rFonts w:cs="Arial"/>
        </w:rPr>
        <w:t xml:space="preserve">los </w:t>
      </w:r>
      <w:r w:rsidR="00E85818" w:rsidRPr="004C2FAC">
        <w:rPr>
          <w:rFonts w:cs="Arial"/>
        </w:rPr>
        <w:t xml:space="preserve">consecuentes </w:t>
      </w:r>
      <w:r w:rsidRPr="004C2FAC">
        <w:rPr>
          <w:rFonts w:cs="Arial"/>
        </w:rPr>
        <w:t>derechos del extinto IDEMA</w:t>
      </w:r>
      <w:r w:rsidR="00DE238A" w:rsidRPr="004C2FAC">
        <w:rPr>
          <w:rFonts w:cs="Arial"/>
        </w:rPr>
        <w:t>, bajo los supuestos de la acción prevista en el artículo 52 de la Ley 80 de 1993.</w:t>
      </w:r>
      <w:r w:rsidRPr="004C2FAC">
        <w:rPr>
          <w:rFonts w:cs="Arial"/>
        </w:rPr>
        <w:t xml:space="preserve">  </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Si bien se anexó una copia del Decreto 1657 de 17 de junio de 1997, expedido con posterioridad a la celebración e incumplimiento de los contratos </w:t>
      </w:r>
      <w:r w:rsidRPr="004C2FAC">
        <w:rPr>
          <w:rFonts w:cs="Arial"/>
          <w:i/>
        </w:rPr>
        <w:t>sub lite</w:t>
      </w:r>
      <w:r w:rsidRPr="004C2FAC">
        <w:rPr>
          <w:rFonts w:cs="Arial"/>
        </w:rPr>
        <w:t xml:space="preserve">, </w:t>
      </w:r>
      <w:r w:rsidR="008D278C" w:rsidRPr="004C2FAC">
        <w:rPr>
          <w:rFonts w:cs="Arial"/>
        </w:rPr>
        <w:t xml:space="preserve">en la demanda </w:t>
      </w:r>
      <w:r w:rsidRPr="004C2FAC">
        <w:rPr>
          <w:rFonts w:cs="Arial"/>
        </w:rPr>
        <w:t xml:space="preserve">no se hizo referencia a la aplicación de esa norma, y lo cierto es que la </w:t>
      </w:r>
      <w:r w:rsidRPr="004C2FAC">
        <w:rPr>
          <w:rFonts w:cs="Arial"/>
        </w:rPr>
        <w:lastRenderedPageBreak/>
        <w:t xml:space="preserve">misma solo </w:t>
      </w:r>
      <w:r w:rsidR="008D278C" w:rsidRPr="004C2FAC">
        <w:rPr>
          <w:rFonts w:cs="Arial"/>
        </w:rPr>
        <w:t xml:space="preserve">dispuso </w:t>
      </w:r>
      <w:r w:rsidRPr="004C2FAC">
        <w:rPr>
          <w:rFonts w:cs="Arial"/>
        </w:rPr>
        <w:t xml:space="preserve">la supresión del Instituto de mercadeo Agropecuario </w:t>
      </w:r>
      <w:r w:rsidRPr="004C2FAC">
        <w:rPr>
          <w:rFonts w:cs="Arial"/>
          <w:i/>
        </w:rPr>
        <w:t>“IDEMA”</w:t>
      </w:r>
      <w:r w:rsidRPr="004C2FAC">
        <w:rPr>
          <w:rFonts w:cs="Arial"/>
        </w:rPr>
        <w:t xml:space="preserve"> y a la orden de adelantar su liquidación. </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Sin embargo, aunque las circunstancias fácticas de cada contrato podían variar, para </w:t>
      </w:r>
      <w:r w:rsidR="00F339FB" w:rsidRPr="004C2FAC">
        <w:rPr>
          <w:rFonts w:cs="Arial"/>
        </w:rPr>
        <w:t xml:space="preserve">el presente caso </w:t>
      </w:r>
      <w:r w:rsidRPr="004C2FAC">
        <w:rPr>
          <w:rFonts w:cs="Arial"/>
        </w:rPr>
        <w:t>se puede aceptar la legitimación activa del Ministerio de Agricultura y Desarrollo Rural, con fundamento en los decretos que reglamentaron la liquidación del IDEMA</w:t>
      </w:r>
      <w:r w:rsidR="008D278C" w:rsidRPr="004C2FAC">
        <w:rPr>
          <w:rFonts w:cs="Arial"/>
        </w:rPr>
        <w:t xml:space="preserve"> y </w:t>
      </w:r>
      <w:r w:rsidR="00F339FB" w:rsidRPr="004C2FAC">
        <w:rPr>
          <w:rFonts w:cs="Arial"/>
        </w:rPr>
        <w:t xml:space="preserve">en </w:t>
      </w:r>
      <w:r w:rsidR="008D278C" w:rsidRPr="004C2FAC">
        <w:rPr>
          <w:rFonts w:cs="Arial"/>
        </w:rPr>
        <w:t xml:space="preserve">las pruebas que hacen referencia </w:t>
      </w:r>
      <w:r w:rsidR="00F339FB" w:rsidRPr="004C2FAC">
        <w:rPr>
          <w:rFonts w:cs="Arial"/>
        </w:rPr>
        <w:t xml:space="preserve">concreta </w:t>
      </w:r>
      <w:r w:rsidR="008D278C" w:rsidRPr="004C2FAC">
        <w:rPr>
          <w:rFonts w:cs="Arial"/>
        </w:rPr>
        <w:t>a</w:t>
      </w:r>
      <w:r w:rsidR="00F339FB" w:rsidRPr="004C2FAC">
        <w:rPr>
          <w:rFonts w:cs="Arial"/>
        </w:rPr>
        <w:t xml:space="preserve"> las obligaciones incumplidas en los contratos de trueque de arroz de que trata este proceso dentro del</w:t>
      </w:r>
      <w:r w:rsidR="008D278C" w:rsidRPr="004C2FAC">
        <w:rPr>
          <w:rFonts w:cs="Arial"/>
        </w:rPr>
        <w:t xml:space="preserve"> contenido del acta de liquidación de esa entidad</w:t>
      </w:r>
      <w:r w:rsidRPr="004C2FAC">
        <w:rPr>
          <w:rFonts w:cs="Arial"/>
        </w:rPr>
        <w:t>, tal como pasa a explicarse a continuación:</w:t>
      </w:r>
    </w:p>
    <w:p w:rsidR="00434B7B" w:rsidRPr="004C2FAC" w:rsidRDefault="00434B7B" w:rsidP="00434B7B">
      <w:pPr>
        <w:rPr>
          <w:rFonts w:cs="Arial"/>
        </w:rPr>
      </w:pPr>
    </w:p>
    <w:p w:rsidR="00434B7B" w:rsidRPr="004C2FAC" w:rsidRDefault="00434B7B" w:rsidP="00434B7B">
      <w:pPr>
        <w:rPr>
          <w:rFonts w:cs="Arial"/>
        </w:rPr>
      </w:pPr>
      <w:r w:rsidRPr="004C2FAC">
        <w:rPr>
          <w:rFonts w:cs="Arial"/>
        </w:rPr>
        <w:t>Desde el punto de vista legal, bien se conoce que el IDEMA fue una empresa industrial y comercial del Estado, con personería jurídica propia</w:t>
      </w:r>
      <w:r w:rsidRPr="004C2FAC">
        <w:rPr>
          <w:rStyle w:val="Refdenotaalpie"/>
          <w:rFonts w:cs="Arial"/>
        </w:rPr>
        <w:footnoteReference w:id="66"/>
      </w:r>
      <w:r w:rsidRPr="004C2FAC">
        <w:rPr>
          <w:rFonts w:cs="Arial"/>
        </w:rPr>
        <w:t xml:space="preserve"> y que mediante la Ley 344 de 1996 se concedieron facultades al Presidente de la República, entendidas en el marco del numeral 19 del artículo 150 de la Constitución Política, para suprimir entidades de la rama ejecutiva, en orden a mejorar la racionalización del gasto público</w:t>
      </w:r>
      <w:r w:rsidR="00234BCE" w:rsidRPr="004C2FAC">
        <w:rPr>
          <w:rStyle w:val="Refdenotaalpie"/>
          <w:rFonts w:cs="Arial"/>
        </w:rPr>
        <w:footnoteReference w:id="67"/>
      </w:r>
      <w:r w:rsidRPr="004C2FAC">
        <w:rPr>
          <w:rFonts w:cs="Arial"/>
        </w:rPr>
        <w:t>.</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También se advierte que en desarrollo de la Ley 344 de 1996 se expidió el Decreto 1675 de 1997, mediante el cual se ordenó la liquidación del IDEMA y se estableció el paso </w:t>
      </w:r>
      <w:r w:rsidRPr="004C2FAC">
        <w:rPr>
          <w:rFonts w:cs="Arial"/>
          <w:i/>
        </w:rPr>
        <w:t>de las funciones</w:t>
      </w:r>
      <w:r w:rsidRPr="004C2FAC">
        <w:rPr>
          <w:rFonts w:cs="Arial"/>
        </w:rPr>
        <w:t xml:space="preserve"> de comercialización al Ministerio de Agricultura y Desarrollo Rural</w:t>
      </w:r>
      <w:r w:rsidR="00234BCE" w:rsidRPr="004C2FAC">
        <w:rPr>
          <w:rFonts w:cs="Arial"/>
        </w:rPr>
        <w:t>,</w:t>
      </w:r>
      <w:r w:rsidRPr="004C2FAC">
        <w:rPr>
          <w:rFonts w:cs="Arial"/>
        </w:rPr>
        <w:t xml:space="preserve"> de la siguiente manera:</w:t>
      </w:r>
    </w:p>
    <w:p w:rsidR="00434B7B" w:rsidRPr="004C2FAC" w:rsidRDefault="00434B7B" w:rsidP="00434B7B">
      <w:pPr>
        <w:rPr>
          <w:rFonts w:cs="Arial"/>
        </w:rPr>
      </w:pPr>
    </w:p>
    <w:p w:rsidR="00434B7B" w:rsidRPr="004C2FAC" w:rsidRDefault="00434B7B" w:rsidP="00D26AC5">
      <w:pPr>
        <w:spacing w:line="276" w:lineRule="auto"/>
        <w:ind w:left="851" w:right="902"/>
        <w:rPr>
          <w:rFonts w:cs="Arial"/>
          <w:i/>
          <w:sz w:val="22"/>
          <w:szCs w:val="22"/>
        </w:rPr>
      </w:pPr>
      <w:bookmarkStart w:id="4" w:name="5"/>
      <w:r w:rsidRPr="004C2FAC">
        <w:rPr>
          <w:rFonts w:cs="Arial"/>
          <w:bCs/>
          <w:i/>
          <w:sz w:val="22"/>
          <w:szCs w:val="22"/>
        </w:rPr>
        <w:t>“Artículo 5o. Traspaso de funciones.</w:t>
      </w:r>
      <w:bookmarkEnd w:id="4"/>
      <w:r w:rsidRPr="004C2FAC">
        <w:rPr>
          <w:rFonts w:cs="Arial"/>
          <w:b/>
          <w:bCs/>
          <w:i/>
          <w:sz w:val="22"/>
          <w:szCs w:val="22"/>
        </w:rPr>
        <w:t xml:space="preserve"> </w:t>
      </w:r>
      <w:r w:rsidRPr="004C2FAC">
        <w:rPr>
          <w:rFonts w:cs="Arial"/>
          <w:i/>
          <w:sz w:val="22"/>
          <w:szCs w:val="22"/>
        </w:rPr>
        <w:t>Las funciones que en materia de apoyo a la comercialización de productos de origen agropecuario y pesquero, le asigna al Idema la Ley</w:t>
      </w:r>
      <w:r w:rsidRPr="004C2FAC">
        <w:rPr>
          <w:rStyle w:val="apple-converted-space"/>
          <w:rFonts w:cs="Arial"/>
          <w:i/>
          <w:sz w:val="22"/>
          <w:szCs w:val="22"/>
        </w:rPr>
        <w:t xml:space="preserve">  101 </w:t>
      </w:r>
      <w:r w:rsidRPr="004C2FAC">
        <w:rPr>
          <w:rFonts w:cs="Arial"/>
          <w:i/>
          <w:sz w:val="22"/>
          <w:szCs w:val="22"/>
        </w:rPr>
        <w:t xml:space="preserve">de 1993, en su Capítulo 7o, </w:t>
      </w:r>
      <w:r w:rsidRPr="004C2FAC">
        <w:rPr>
          <w:rFonts w:cs="Arial"/>
          <w:i/>
          <w:sz w:val="22"/>
          <w:szCs w:val="22"/>
        </w:rPr>
        <w:lastRenderedPageBreak/>
        <w:t>artículos 48 y 49,</w:t>
      </w:r>
      <w:r w:rsidRPr="004C2FAC">
        <w:rPr>
          <w:rStyle w:val="Refdenotaalpie"/>
          <w:rFonts w:cs="Arial"/>
          <w:i/>
          <w:sz w:val="22"/>
          <w:szCs w:val="22"/>
        </w:rPr>
        <w:footnoteReference w:id="68"/>
      </w:r>
      <w:r w:rsidRPr="004C2FAC">
        <w:rPr>
          <w:rFonts w:cs="Arial"/>
          <w:i/>
          <w:sz w:val="22"/>
          <w:szCs w:val="22"/>
        </w:rPr>
        <w:t xml:space="preserve"> serán desarrolladas por el Ministerio de Agricultura y Desarrollo Rural. Para el cumplimiento de estas funciones, el Gobierno Nacional apropiará los recursos de presupuesto de inversión y los asignará en la Gestión General de dicho Ministerio”</w:t>
      </w:r>
      <w:r w:rsidR="00653E29" w:rsidRPr="004C2FAC">
        <w:rPr>
          <w:rFonts w:cs="Arial"/>
          <w:i/>
          <w:sz w:val="22"/>
          <w:szCs w:val="22"/>
        </w:rPr>
        <w:t>.</w:t>
      </w:r>
    </w:p>
    <w:p w:rsidR="00434B7B" w:rsidRPr="004C2FAC" w:rsidRDefault="00434B7B" w:rsidP="00D26AC5">
      <w:pPr>
        <w:spacing w:line="276" w:lineRule="auto"/>
        <w:ind w:left="851" w:right="902"/>
        <w:rPr>
          <w:rFonts w:cs="Arial"/>
          <w:i/>
          <w:color w:val="4B4949"/>
          <w:sz w:val="22"/>
          <w:szCs w:val="22"/>
        </w:rPr>
      </w:pPr>
    </w:p>
    <w:p w:rsidR="00434B7B" w:rsidRPr="004C2FAC" w:rsidRDefault="00434B7B" w:rsidP="00434B7B">
      <w:pPr>
        <w:rPr>
          <w:rFonts w:cs="Arial"/>
        </w:rPr>
      </w:pPr>
      <w:r w:rsidRPr="004C2FAC">
        <w:rPr>
          <w:rFonts w:cs="Arial"/>
        </w:rPr>
        <w:t xml:space="preserve">El mismo Decreto 1675 de 1997 se refirió a las reglas de enajenación de bienes y traspaso de activos, una vez concluida la liquidación del IDEMA, en la siguiente forma: </w:t>
      </w:r>
    </w:p>
    <w:p w:rsidR="00434B7B" w:rsidRPr="004C2FAC" w:rsidRDefault="00434B7B" w:rsidP="00D26AC5">
      <w:pPr>
        <w:pStyle w:val="NormalWeb"/>
        <w:spacing w:line="276" w:lineRule="auto"/>
        <w:ind w:left="851" w:right="902"/>
        <w:rPr>
          <w:rFonts w:cs="Arial"/>
          <w:i/>
          <w:sz w:val="22"/>
          <w:szCs w:val="22"/>
        </w:rPr>
      </w:pPr>
      <w:r w:rsidRPr="004C2FAC">
        <w:rPr>
          <w:rFonts w:cs="Arial"/>
          <w:bCs/>
          <w:i/>
        </w:rPr>
        <w:t>“</w:t>
      </w:r>
      <w:r w:rsidRPr="004C2FAC">
        <w:rPr>
          <w:rFonts w:cs="Arial"/>
          <w:bCs/>
          <w:i/>
          <w:sz w:val="22"/>
          <w:szCs w:val="22"/>
        </w:rPr>
        <w:t>Artículo 6. Enajenación de bienes</w:t>
      </w:r>
      <w:r w:rsidRPr="004C2FAC">
        <w:rPr>
          <w:rFonts w:cs="Arial"/>
          <w:b/>
          <w:bCs/>
          <w:i/>
          <w:sz w:val="22"/>
          <w:szCs w:val="22"/>
        </w:rPr>
        <w:t>.</w:t>
      </w:r>
      <w:r w:rsidRPr="004C2FAC">
        <w:rPr>
          <w:rStyle w:val="apple-converted-space"/>
          <w:rFonts w:cs="Arial"/>
          <w:i/>
          <w:sz w:val="22"/>
          <w:szCs w:val="22"/>
        </w:rPr>
        <w:t> </w:t>
      </w:r>
      <w:r w:rsidRPr="004C2FAC">
        <w:rPr>
          <w:rFonts w:cs="Arial"/>
          <w:i/>
          <w:sz w:val="22"/>
          <w:szCs w:val="22"/>
        </w:rPr>
        <w:t>En desarrollo de la liquidación se enajenarán los bienes, los equipos y los demás activos de propiedad de la Entidad.</w:t>
      </w:r>
    </w:p>
    <w:p w:rsidR="00434B7B" w:rsidRPr="004C2FAC" w:rsidRDefault="00434B7B" w:rsidP="00D26AC5">
      <w:pPr>
        <w:pStyle w:val="NormalWeb"/>
        <w:spacing w:line="276" w:lineRule="auto"/>
        <w:ind w:left="851" w:right="902"/>
        <w:rPr>
          <w:rFonts w:cs="Arial"/>
          <w:i/>
          <w:sz w:val="22"/>
          <w:szCs w:val="22"/>
        </w:rPr>
      </w:pPr>
      <w:r w:rsidRPr="004C2FAC">
        <w:rPr>
          <w:rFonts w:cs="Arial"/>
          <w:i/>
          <w:sz w:val="22"/>
          <w:szCs w:val="22"/>
        </w:rPr>
        <w:lastRenderedPageBreak/>
        <w:t>“Las operaciones de enajenación de los bienes se efectuarán con criterio estrictamente comercial y se ceñirán a las normas legales vigentes.</w:t>
      </w:r>
    </w:p>
    <w:p w:rsidR="00434B7B" w:rsidRPr="004C2FAC" w:rsidRDefault="00434B7B" w:rsidP="00D26AC5">
      <w:pPr>
        <w:pStyle w:val="NormalWeb"/>
        <w:spacing w:line="276" w:lineRule="auto"/>
        <w:ind w:left="851" w:right="902"/>
        <w:rPr>
          <w:rFonts w:cs="Arial"/>
          <w:i/>
          <w:sz w:val="22"/>
          <w:szCs w:val="22"/>
        </w:rPr>
      </w:pPr>
      <w:r w:rsidRPr="004C2FAC">
        <w:rPr>
          <w:rFonts w:cs="Arial"/>
          <w:i/>
          <w:sz w:val="22"/>
          <w:szCs w:val="22"/>
        </w:rPr>
        <w:t>“Las obligaciones contraídas por la Entidad, incluyendo los pasivos laborales, se cancelarán con el producto de las enajenaciones de acuerdo con el reglamento correspondiente, de conformidad con lo dispuesto en el artículo 1º del presente Decreto. Los pasivos laborales incluirán el valor correspondiente al cálculo actuarial del pasivo pensional, el cual se entregará a la entidad que deba asumir el pago de las pensiones y de Bonos Pensionales, si hubiere lugar a ello, con la preferencia reconocida por las normas vigentes a las obligaciones laborales.</w:t>
      </w:r>
    </w:p>
    <w:p w:rsidR="00434B7B" w:rsidRPr="004C2FAC" w:rsidRDefault="00434B7B" w:rsidP="00D26AC5">
      <w:pPr>
        <w:pStyle w:val="NormalWeb"/>
        <w:spacing w:line="276" w:lineRule="auto"/>
        <w:ind w:left="851" w:right="902"/>
        <w:rPr>
          <w:rFonts w:cs="Arial"/>
          <w:i/>
          <w:sz w:val="22"/>
          <w:szCs w:val="22"/>
        </w:rPr>
      </w:pPr>
      <w:r w:rsidRPr="004C2FAC">
        <w:rPr>
          <w:rFonts w:cs="Arial"/>
          <w:i/>
          <w:sz w:val="22"/>
          <w:szCs w:val="22"/>
        </w:rPr>
        <w:t>“En caso de que estos recursos sean insuficientes, las obligaciones laborales estarán a cargo de la Nación.</w:t>
      </w:r>
    </w:p>
    <w:p w:rsidR="00434B7B" w:rsidRPr="004C2FAC" w:rsidRDefault="00434B7B" w:rsidP="00D26AC5">
      <w:pPr>
        <w:pStyle w:val="NormalWeb"/>
        <w:spacing w:line="276" w:lineRule="auto"/>
        <w:ind w:left="851" w:right="902"/>
        <w:rPr>
          <w:rFonts w:cs="Arial"/>
          <w:sz w:val="22"/>
          <w:szCs w:val="22"/>
        </w:rPr>
      </w:pPr>
      <w:r w:rsidRPr="004C2FAC">
        <w:rPr>
          <w:rFonts w:cs="Arial"/>
          <w:i/>
          <w:sz w:val="22"/>
          <w:szCs w:val="22"/>
        </w:rPr>
        <w:t xml:space="preserve">“Una vez concluida la liquidación de la Entidad, los bienes no enajenados, </w:t>
      </w:r>
      <w:r w:rsidRPr="004C2FAC">
        <w:rPr>
          <w:rFonts w:cs="Arial"/>
          <w:b/>
          <w:i/>
          <w:sz w:val="22"/>
          <w:szCs w:val="22"/>
        </w:rPr>
        <w:t>derechos</w:t>
      </w:r>
      <w:r w:rsidRPr="004C2FAC">
        <w:rPr>
          <w:rFonts w:cs="Arial"/>
          <w:i/>
          <w:sz w:val="22"/>
          <w:szCs w:val="22"/>
        </w:rPr>
        <w:t xml:space="preserve">, obligaciones y archivos </w:t>
      </w:r>
      <w:r w:rsidRPr="004C2FAC">
        <w:rPr>
          <w:rFonts w:cs="Arial"/>
          <w:b/>
          <w:i/>
          <w:sz w:val="22"/>
          <w:szCs w:val="22"/>
        </w:rPr>
        <w:t>pasarán</w:t>
      </w:r>
      <w:r w:rsidRPr="004C2FAC">
        <w:rPr>
          <w:rFonts w:cs="Arial"/>
          <w:i/>
          <w:sz w:val="22"/>
          <w:szCs w:val="22"/>
        </w:rPr>
        <w:t xml:space="preserve"> a la Nación Ministerio de Agricultura y Desarrollo Rural</w:t>
      </w:r>
      <w:r w:rsidR="00B02229" w:rsidRPr="004C2FAC">
        <w:rPr>
          <w:rFonts w:cs="Arial"/>
          <w:i/>
          <w:sz w:val="22"/>
          <w:szCs w:val="22"/>
        </w:rPr>
        <w:t>”</w:t>
      </w:r>
      <w:r w:rsidR="00653E29" w:rsidRPr="004C2FAC">
        <w:rPr>
          <w:rFonts w:cs="Arial"/>
          <w:i/>
          <w:sz w:val="22"/>
          <w:szCs w:val="22"/>
        </w:rPr>
        <w:t xml:space="preserve"> </w:t>
      </w:r>
      <w:r w:rsidRPr="004C2FAC">
        <w:rPr>
          <w:rFonts w:cs="Arial"/>
          <w:sz w:val="22"/>
          <w:szCs w:val="22"/>
        </w:rPr>
        <w:t>(la negrilla no es del texto).</w:t>
      </w:r>
    </w:p>
    <w:p w:rsidR="00304446" w:rsidRPr="004C2FAC" w:rsidRDefault="00304446" w:rsidP="00304446">
      <w:pPr>
        <w:pStyle w:val="NormalWeb"/>
        <w:rPr>
          <w:rFonts w:cs="Arial"/>
        </w:rPr>
      </w:pPr>
      <w:r w:rsidRPr="004C2FAC">
        <w:rPr>
          <w:rFonts w:cs="Arial"/>
        </w:rPr>
        <w:t>Ahora bien, mediante el Decreto 2082 de 1997, reglamentario de la liquidación del IDEMA, se estableció el procedimiento en relación con la liquidación de los contratos y el traspaso de los bienes, de la siguiente forma:</w:t>
      </w:r>
    </w:p>
    <w:p w:rsidR="00304446" w:rsidRPr="004C2FAC" w:rsidRDefault="00304446" w:rsidP="00D26AC5">
      <w:pPr>
        <w:shd w:val="clear" w:color="auto" w:fill="FFFFFF"/>
        <w:spacing w:before="100" w:beforeAutospacing="1" w:after="100" w:afterAutospacing="1" w:line="276" w:lineRule="auto"/>
        <w:ind w:left="567" w:right="902"/>
        <w:rPr>
          <w:rFonts w:cs="Arial"/>
          <w:sz w:val="22"/>
          <w:szCs w:val="22"/>
          <w:lang w:val="es-ES_tradnl"/>
        </w:rPr>
      </w:pPr>
      <w:r w:rsidRPr="004C2FAC">
        <w:rPr>
          <w:rFonts w:cs="Arial"/>
          <w:bCs/>
          <w:i/>
          <w:sz w:val="22"/>
          <w:szCs w:val="22"/>
          <w:lang w:val="es-ES_tradnl"/>
        </w:rPr>
        <w:t>“Artículo 11.</w:t>
      </w:r>
      <w:r w:rsidRPr="004C2FAC">
        <w:rPr>
          <w:rFonts w:cs="Arial"/>
          <w:i/>
          <w:sz w:val="22"/>
          <w:szCs w:val="22"/>
          <w:lang w:val="es-ES_tradnl"/>
        </w:rPr>
        <w:t xml:space="preserve"> Liquidación de contratos. Los contratos que con ocasión de la supresión de la entidad se terminen, se cedan o traspasen, </w:t>
      </w:r>
      <w:r w:rsidRPr="004C2FAC">
        <w:rPr>
          <w:rFonts w:cs="Arial"/>
          <w:b/>
          <w:i/>
          <w:sz w:val="22"/>
          <w:szCs w:val="22"/>
          <w:lang w:val="es-ES_tradnl"/>
        </w:rPr>
        <w:t>deberán liquidarse previamente, de conformidad con lo previsto en la Ley 80 de 1993</w:t>
      </w:r>
      <w:r w:rsidRPr="004C2FAC">
        <w:rPr>
          <w:rFonts w:cs="Arial"/>
          <w:i/>
          <w:sz w:val="22"/>
          <w:szCs w:val="22"/>
          <w:lang w:val="es-ES_tradnl"/>
        </w:rPr>
        <w:t xml:space="preserve">, a más tardar en la fecha prevista para la terminación del proceso liquidatorio” </w:t>
      </w:r>
      <w:r w:rsidRPr="004C2FAC">
        <w:rPr>
          <w:rFonts w:cs="Arial"/>
          <w:sz w:val="22"/>
          <w:szCs w:val="22"/>
          <w:lang w:val="es-ES_tradnl"/>
        </w:rPr>
        <w:t>(la negrilla no es del texto).</w:t>
      </w:r>
    </w:p>
    <w:p w:rsidR="00304446" w:rsidRPr="004C2FAC" w:rsidRDefault="00304446" w:rsidP="00D26AC5">
      <w:pPr>
        <w:shd w:val="clear" w:color="auto" w:fill="FFFFFF"/>
        <w:spacing w:before="100" w:beforeAutospacing="1" w:after="100" w:afterAutospacing="1" w:line="276" w:lineRule="auto"/>
        <w:ind w:left="567" w:right="902"/>
        <w:rPr>
          <w:rFonts w:cs="Arial"/>
          <w:i/>
          <w:sz w:val="22"/>
          <w:szCs w:val="22"/>
        </w:rPr>
      </w:pPr>
      <w:r w:rsidRPr="004C2FAC">
        <w:rPr>
          <w:rFonts w:cs="Arial"/>
          <w:bCs/>
          <w:i/>
          <w:sz w:val="22"/>
          <w:szCs w:val="22"/>
          <w:lang w:val="es-ES_tradnl"/>
        </w:rPr>
        <w:t xml:space="preserve">“Artículo 14. </w:t>
      </w:r>
      <w:r w:rsidRPr="004C2FAC">
        <w:rPr>
          <w:rFonts w:cs="Arial"/>
          <w:i/>
          <w:sz w:val="22"/>
          <w:szCs w:val="22"/>
          <w:lang w:val="es-ES_tradnl"/>
        </w:rPr>
        <w:t>Traspaso de bienes. Según lo dispuesto en el artículo 6 del Decreto 1675 de 1997 </w:t>
      </w:r>
      <w:r w:rsidRPr="004C2FAC">
        <w:rPr>
          <w:rFonts w:cs="Arial"/>
          <w:b/>
          <w:i/>
          <w:sz w:val="22"/>
          <w:szCs w:val="22"/>
          <w:lang w:val="es-ES_tradnl"/>
        </w:rPr>
        <w:t>los bienes no enajenados, así como los derechos, obligaciones y archivos</w:t>
      </w:r>
      <w:r w:rsidRPr="004C2FAC">
        <w:rPr>
          <w:rFonts w:cs="Arial"/>
          <w:i/>
          <w:sz w:val="22"/>
          <w:szCs w:val="22"/>
          <w:lang w:val="es-ES_tradnl"/>
        </w:rPr>
        <w:t xml:space="preserve"> </w:t>
      </w:r>
      <w:r w:rsidRPr="004C2FAC">
        <w:rPr>
          <w:rFonts w:cs="Arial"/>
          <w:b/>
          <w:i/>
          <w:sz w:val="22"/>
          <w:szCs w:val="22"/>
          <w:lang w:val="es-ES_tradnl"/>
        </w:rPr>
        <w:t>se traspasarán</w:t>
      </w:r>
      <w:r w:rsidRPr="004C2FAC">
        <w:rPr>
          <w:rFonts w:cs="Arial"/>
          <w:i/>
          <w:sz w:val="22"/>
          <w:szCs w:val="22"/>
          <w:lang w:val="es-ES_tradnl"/>
        </w:rPr>
        <w:t xml:space="preserve"> a la Nación</w:t>
      </w:r>
      <w:r w:rsidRPr="004C2FAC">
        <w:rPr>
          <w:rFonts w:cs="Arial"/>
          <w:i/>
          <w:sz w:val="22"/>
          <w:szCs w:val="22"/>
          <w:lang w:val="es-ES_tradnl"/>
        </w:rPr>
        <w:noBreakHyphen/>
        <w:t>Ministerio de Agricultura y Desarrollo Rural. </w:t>
      </w:r>
    </w:p>
    <w:p w:rsidR="00304446" w:rsidRPr="004C2FAC" w:rsidRDefault="00304446" w:rsidP="00D26AC5">
      <w:pPr>
        <w:shd w:val="clear" w:color="auto" w:fill="FFFFFF"/>
        <w:spacing w:before="100" w:beforeAutospacing="1" w:after="100" w:afterAutospacing="1" w:line="276" w:lineRule="auto"/>
        <w:ind w:left="567" w:right="902"/>
        <w:rPr>
          <w:rFonts w:cs="Arial"/>
          <w:sz w:val="22"/>
          <w:szCs w:val="22"/>
        </w:rPr>
      </w:pPr>
      <w:r w:rsidRPr="004C2FAC">
        <w:rPr>
          <w:rFonts w:cs="Arial"/>
          <w:i/>
          <w:sz w:val="22"/>
          <w:szCs w:val="22"/>
          <w:lang w:val="es-ES_tradnl"/>
        </w:rPr>
        <w:t>“</w:t>
      </w:r>
      <w:r w:rsidRPr="004C2FAC">
        <w:rPr>
          <w:rFonts w:cs="Arial"/>
          <w:b/>
          <w:i/>
          <w:sz w:val="22"/>
          <w:szCs w:val="22"/>
          <w:lang w:val="es-ES_tradnl"/>
        </w:rPr>
        <w:t>Dicho traspaso se efectuará mediante acta suscrita por el Liquidador y el Ministro de Agricultura y Desarrollo Rural</w:t>
      </w:r>
      <w:r w:rsidRPr="004C2FAC">
        <w:rPr>
          <w:rFonts w:cs="Arial"/>
          <w:i/>
          <w:sz w:val="22"/>
          <w:szCs w:val="22"/>
          <w:lang w:val="es-ES_tradnl"/>
        </w:rPr>
        <w:t xml:space="preserve">, en la que se especifiquen en forma legal los bienes correspondientes. Copia auténtica del acta deberá ser publicada en el Diario Oficial e inscrita, en el caso de inmuebles, en la Oficina de Registro de Instrumentos Públicos del lugar de ubicación de cada inmueble” </w:t>
      </w:r>
      <w:r w:rsidRPr="004C2FAC">
        <w:rPr>
          <w:rFonts w:cs="Arial"/>
          <w:sz w:val="22"/>
          <w:szCs w:val="22"/>
          <w:lang w:val="es-ES_tradnl"/>
        </w:rPr>
        <w:t>(la negrilla no es del texto).</w:t>
      </w:r>
    </w:p>
    <w:p w:rsidR="00E66151" w:rsidRPr="004C2FAC" w:rsidRDefault="00304446" w:rsidP="00E66151">
      <w:pPr>
        <w:rPr>
          <w:rFonts w:cs="Arial"/>
        </w:rPr>
      </w:pPr>
      <w:r w:rsidRPr="004C2FAC">
        <w:rPr>
          <w:rFonts w:cs="Arial"/>
        </w:rPr>
        <w:t xml:space="preserve">Buscando en el </w:t>
      </w:r>
      <w:r w:rsidR="0034358B" w:rsidRPr="004C2FAC">
        <w:rPr>
          <w:rFonts w:cs="Arial"/>
        </w:rPr>
        <w:t xml:space="preserve">acervo probatorio </w:t>
      </w:r>
      <w:r w:rsidRPr="004C2FAC">
        <w:rPr>
          <w:rFonts w:cs="Arial"/>
        </w:rPr>
        <w:t xml:space="preserve">una </w:t>
      </w:r>
      <w:r w:rsidR="0034358B" w:rsidRPr="004C2FAC">
        <w:rPr>
          <w:rFonts w:cs="Arial"/>
        </w:rPr>
        <w:t xml:space="preserve">relación </w:t>
      </w:r>
      <w:r w:rsidR="006C3E20" w:rsidRPr="004C2FAC">
        <w:rPr>
          <w:rFonts w:cs="Arial"/>
        </w:rPr>
        <w:t xml:space="preserve">entre los contratos materia del litigio y </w:t>
      </w:r>
      <w:r w:rsidR="0034358B" w:rsidRPr="004C2FAC">
        <w:rPr>
          <w:rFonts w:cs="Arial"/>
        </w:rPr>
        <w:t xml:space="preserve">el acta de liquidación del IDEMA, se advierte una referencia en </w:t>
      </w:r>
      <w:r w:rsidR="00E66151" w:rsidRPr="004C2FAC">
        <w:rPr>
          <w:rFonts w:cs="Arial"/>
        </w:rPr>
        <w:t xml:space="preserve">la comunicación </w:t>
      </w:r>
      <w:r w:rsidR="00E66151" w:rsidRPr="004C2FAC">
        <w:rPr>
          <w:rFonts w:cs="Arial"/>
        </w:rPr>
        <w:lastRenderedPageBreak/>
        <w:t xml:space="preserve">de 13 de mayo de 1999, </w:t>
      </w:r>
      <w:r w:rsidR="0034358B" w:rsidRPr="004C2FAC">
        <w:rPr>
          <w:rFonts w:cs="Arial"/>
        </w:rPr>
        <w:t xml:space="preserve">suscrita por </w:t>
      </w:r>
      <w:r w:rsidR="00E66151" w:rsidRPr="004C2FAC">
        <w:rPr>
          <w:rFonts w:cs="Arial"/>
        </w:rPr>
        <w:t>el asesor del Ministerio de Agricultura y Desarrollo Rural</w:t>
      </w:r>
      <w:r w:rsidR="0034358B" w:rsidRPr="004C2FAC">
        <w:rPr>
          <w:rFonts w:cs="Arial"/>
        </w:rPr>
        <w:t>, en la cual</w:t>
      </w:r>
      <w:r w:rsidR="00E66151" w:rsidRPr="004C2FAC">
        <w:rPr>
          <w:rFonts w:cs="Arial"/>
        </w:rPr>
        <w:t xml:space="preserve"> indicó:</w:t>
      </w:r>
    </w:p>
    <w:p w:rsidR="00E66151" w:rsidRPr="004C2FAC" w:rsidRDefault="00E66151" w:rsidP="00E66151">
      <w:pPr>
        <w:rPr>
          <w:rFonts w:cs="Arial"/>
        </w:rPr>
      </w:pPr>
    </w:p>
    <w:p w:rsidR="00E66151" w:rsidRPr="004C2FAC" w:rsidRDefault="00E66151" w:rsidP="00E66151">
      <w:pPr>
        <w:spacing w:line="276" w:lineRule="auto"/>
        <w:ind w:left="567" w:right="902"/>
        <w:rPr>
          <w:rFonts w:cs="Arial"/>
          <w:i/>
          <w:sz w:val="22"/>
          <w:szCs w:val="22"/>
        </w:rPr>
      </w:pPr>
      <w:r w:rsidRPr="004C2FAC">
        <w:rPr>
          <w:rFonts w:cs="Arial"/>
          <w:i/>
          <w:sz w:val="22"/>
          <w:szCs w:val="22"/>
        </w:rPr>
        <w:t>“En relación con el Acta de Liquidación del IDEMA, el saldo a cargo de COLCEREALES S.A. por $1.726’448.880 corresponde al valor del arroz blanco debía devolver al IDEMA valorizado a $520 el kilo, sin incluir los empaques pendientes de recibo”</w:t>
      </w:r>
      <w:r w:rsidRPr="004C2FAC">
        <w:rPr>
          <w:rStyle w:val="Refdenotaalpie"/>
          <w:rFonts w:cs="Arial"/>
          <w:i/>
          <w:sz w:val="22"/>
          <w:szCs w:val="22"/>
        </w:rPr>
        <w:footnoteReference w:id="69"/>
      </w:r>
      <w:r w:rsidRPr="004C2FAC">
        <w:rPr>
          <w:rFonts w:cs="Arial"/>
          <w:i/>
          <w:sz w:val="22"/>
          <w:szCs w:val="22"/>
        </w:rPr>
        <w:t>.</w:t>
      </w:r>
    </w:p>
    <w:p w:rsidR="00E66151" w:rsidRPr="004C2FAC" w:rsidRDefault="00E66151" w:rsidP="00E66151">
      <w:pPr>
        <w:rPr>
          <w:rFonts w:cs="Arial"/>
        </w:rPr>
      </w:pPr>
    </w:p>
    <w:p w:rsidR="00E66151" w:rsidRPr="004C2FAC" w:rsidRDefault="00304446" w:rsidP="00E66151">
      <w:pPr>
        <w:rPr>
          <w:rFonts w:cs="Arial"/>
        </w:rPr>
      </w:pPr>
      <w:r w:rsidRPr="004C2FAC">
        <w:rPr>
          <w:rFonts w:cs="Arial"/>
        </w:rPr>
        <w:t>En la misma forma</w:t>
      </w:r>
      <w:r w:rsidR="00350CA9" w:rsidRPr="004C2FAC">
        <w:rPr>
          <w:rFonts w:cs="Arial"/>
        </w:rPr>
        <w:t>,</w:t>
      </w:r>
      <w:r w:rsidR="004946BA" w:rsidRPr="004C2FAC">
        <w:rPr>
          <w:rFonts w:cs="Arial"/>
        </w:rPr>
        <w:t xml:space="preserve"> se aprecia que </w:t>
      </w:r>
      <w:r w:rsidRPr="004C2FAC">
        <w:rPr>
          <w:rFonts w:cs="Arial"/>
        </w:rPr>
        <w:t>m</w:t>
      </w:r>
      <w:r w:rsidR="00E66151" w:rsidRPr="004C2FAC">
        <w:rPr>
          <w:rFonts w:cs="Arial"/>
        </w:rPr>
        <w:t xml:space="preserve">ediante comunicación de 13 de mayo de 1999, la contadora pública Haydee Casadiego López entregó </w:t>
      </w:r>
      <w:r w:rsidR="004946BA" w:rsidRPr="004C2FAC">
        <w:rPr>
          <w:rFonts w:cs="Arial"/>
        </w:rPr>
        <w:t xml:space="preserve">al Ministerio de Agricultura y Desarrollo Rural </w:t>
      </w:r>
      <w:r w:rsidR="00E66151" w:rsidRPr="004C2FAC">
        <w:rPr>
          <w:rFonts w:cs="Arial"/>
        </w:rPr>
        <w:t xml:space="preserve">el estudio contable </w:t>
      </w:r>
      <w:r w:rsidR="00E66151" w:rsidRPr="004C2FAC">
        <w:rPr>
          <w:rFonts w:cs="Arial"/>
          <w:i/>
        </w:rPr>
        <w:t>“relacionado con el análisis solicitado por la Fiscalía General de la Nación”</w:t>
      </w:r>
      <w:r w:rsidR="00E66151" w:rsidRPr="004C2FAC">
        <w:rPr>
          <w:rFonts w:cs="Arial"/>
        </w:rPr>
        <w:t xml:space="preserve"> acerca de las operaciones de trueque. En ese informe </w:t>
      </w:r>
      <w:r w:rsidR="004946BA" w:rsidRPr="004C2FAC">
        <w:rPr>
          <w:rFonts w:cs="Arial"/>
        </w:rPr>
        <w:t xml:space="preserve">aparece una anotación </w:t>
      </w:r>
      <w:r w:rsidR="00E66151" w:rsidRPr="004C2FAC">
        <w:rPr>
          <w:rFonts w:cs="Arial"/>
        </w:rPr>
        <w:t>marginal a</w:t>
      </w:r>
      <w:r w:rsidR="004946BA" w:rsidRPr="004C2FAC">
        <w:rPr>
          <w:rFonts w:cs="Arial"/>
        </w:rPr>
        <w:t>cerca de</w:t>
      </w:r>
      <w:r w:rsidR="00563577" w:rsidRPr="004C2FAC">
        <w:rPr>
          <w:rFonts w:cs="Arial"/>
        </w:rPr>
        <w:t xml:space="preserve"> que el</w:t>
      </w:r>
      <w:r w:rsidR="00E66151" w:rsidRPr="004C2FAC">
        <w:rPr>
          <w:rFonts w:cs="Arial"/>
        </w:rPr>
        <w:t xml:space="preserve"> acta de liquidación del IDEMA contenía los montos referidos a las operaciones de trueque</w:t>
      </w:r>
      <w:r w:rsidR="004946BA" w:rsidRPr="004C2FAC">
        <w:rPr>
          <w:rFonts w:cs="Arial"/>
        </w:rPr>
        <w:t xml:space="preserve"> que se debaten en este proceso</w:t>
      </w:r>
      <w:r w:rsidR="00E66151" w:rsidRPr="004C2FAC">
        <w:rPr>
          <w:rFonts w:cs="Arial"/>
        </w:rPr>
        <w:t xml:space="preserve">, según se indicó en la parte final del informe, así (se transcribe literal, incluso con posibles errores): </w:t>
      </w:r>
    </w:p>
    <w:p w:rsidR="00E66151" w:rsidRPr="004C2FAC" w:rsidRDefault="00E66151" w:rsidP="00E66151">
      <w:pPr>
        <w:rPr>
          <w:rFonts w:cs="Arial"/>
        </w:rPr>
      </w:pPr>
    </w:p>
    <w:p w:rsidR="00E66151" w:rsidRPr="004C2FAC" w:rsidRDefault="00E66151" w:rsidP="00E66151">
      <w:pPr>
        <w:spacing w:line="276" w:lineRule="auto"/>
        <w:ind w:left="567" w:right="902"/>
        <w:rPr>
          <w:rFonts w:cs="Arial"/>
          <w:i/>
          <w:sz w:val="22"/>
          <w:szCs w:val="22"/>
        </w:rPr>
      </w:pPr>
      <w:r w:rsidRPr="004C2FAC">
        <w:rPr>
          <w:rFonts w:cs="Arial"/>
          <w:i/>
          <w:sz w:val="22"/>
          <w:szCs w:val="22"/>
        </w:rPr>
        <w:t>“</w:t>
      </w:r>
      <w:r w:rsidRPr="004C2FAC">
        <w:rPr>
          <w:rFonts w:cs="Arial"/>
          <w:b/>
          <w:i/>
          <w:sz w:val="22"/>
          <w:szCs w:val="22"/>
        </w:rPr>
        <w:t>OBSERVACIÓN</w:t>
      </w:r>
      <w:r w:rsidR="004946BA" w:rsidRPr="004C2FAC">
        <w:rPr>
          <w:rFonts w:cs="Arial"/>
          <w:i/>
          <w:sz w:val="22"/>
          <w:szCs w:val="22"/>
        </w:rPr>
        <w:t>:</w:t>
      </w:r>
    </w:p>
    <w:p w:rsidR="00E66151" w:rsidRPr="004C2FAC" w:rsidRDefault="00E66151" w:rsidP="00E66151">
      <w:pPr>
        <w:spacing w:line="276" w:lineRule="auto"/>
        <w:ind w:left="567" w:right="902"/>
        <w:rPr>
          <w:rFonts w:cs="Arial"/>
          <w:i/>
          <w:sz w:val="22"/>
          <w:szCs w:val="22"/>
        </w:rPr>
      </w:pPr>
    </w:p>
    <w:p w:rsidR="00E66151" w:rsidRPr="004C2FAC" w:rsidRDefault="00E66151" w:rsidP="00E66151">
      <w:pPr>
        <w:spacing w:line="276" w:lineRule="auto"/>
        <w:ind w:left="567" w:right="902"/>
        <w:rPr>
          <w:rFonts w:cs="Arial"/>
          <w:i/>
          <w:sz w:val="22"/>
          <w:szCs w:val="22"/>
        </w:rPr>
      </w:pPr>
      <w:r w:rsidRPr="004C2FAC">
        <w:rPr>
          <w:rFonts w:cs="Arial"/>
          <w:i/>
          <w:sz w:val="22"/>
          <w:szCs w:val="22"/>
        </w:rPr>
        <w:t>“Para el acta de liquidación del IDEMA el saldo a cargo de COLCEREALES se valorizó sobre la cantidad de arroz blanco (3008,166 Kilos) que este debía devolver al IDEMA, más no sobre el Arroz Blanco (4.635,989 Kilos) entregado por el IDEMA a Colcereales, que es el saldo real a favor del IDEMA”</w:t>
      </w:r>
      <w:r w:rsidRPr="004C2FAC">
        <w:rPr>
          <w:rStyle w:val="Refdenotaalpie"/>
          <w:rFonts w:cs="Arial"/>
          <w:i/>
          <w:sz w:val="22"/>
          <w:szCs w:val="22"/>
        </w:rPr>
        <w:footnoteReference w:id="70"/>
      </w:r>
      <w:r w:rsidRPr="004C2FAC">
        <w:rPr>
          <w:rFonts w:cs="Arial"/>
          <w:i/>
          <w:sz w:val="22"/>
          <w:szCs w:val="22"/>
        </w:rPr>
        <w:t xml:space="preserve">. </w:t>
      </w:r>
    </w:p>
    <w:p w:rsidR="00E66151" w:rsidRPr="004C2FAC" w:rsidRDefault="00E66151" w:rsidP="00E66151">
      <w:pPr>
        <w:rPr>
          <w:rFonts w:cs="Arial"/>
        </w:rPr>
      </w:pPr>
    </w:p>
    <w:p w:rsidR="00E66151" w:rsidRPr="004C2FAC" w:rsidRDefault="00E66151" w:rsidP="00E66151">
      <w:pPr>
        <w:rPr>
          <w:rFonts w:cs="Arial"/>
        </w:rPr>
      </w:pPr>
      <w:r w:rsidRPr="004C2FAC">
        <w:rPr>
          <w:rFonts w:cs="Arial"/>
        </w:rPr>
        <w:t xml:space="preserve">Aunque la contadora pública que elaboró el informe indicó un desacuerdo sobre </w:t>
      </w:r>
      <w:r w:rsidR="00406BA2" w:rsidRPr="004C2FAC">
        <w:rPr>
          <w:rFonts w:cs="Arial"/>
        </w:rPr>
        <w:t xml:space="preserve">la forma como </w:t>
      </w:r>
      <w:r w:rsidRPr="004C2FAC">
        <w:rPr>
          <w:rFonts w:cs="Arial"/>
        </w:rPr>
        <w:t xml:space="preserve">debió ser relacionado </w:t>
      </w:r>
      <w:r w:rsidR="00406BA2" w:rsidRPr="004C2FAC">
        <w:rPr>
          <w:rFonts w:cs="Arial"/>
        </w:rPr>
        <w:t xml:space="preserve">el valor de la acreencia </w:t>
      </w:r>
      <w:r w:rsidRPr="004C2FAC">
        <w:rPr>
          <w:rFonts w:cs="Arial"/>
        </w:rPr>
        <w:t xml:space="preserve">en el acta de liquidación del IDEMA, para lo que importa en este asunto se </w:t>
      </w:r>
      <w:r w:rsidR="00406BA2" w:rsidRPr="004C2FAC">
        <w:rPr>
          <w:rFonts w:cs="Arial"/>
        </w:rPr>
        <w:t xml:space="preserve">puede afirmar </w:t>
      </w:r>
      <w:r w:rsidRPr="004C2FAC">
        <w:rPr>
          <w:rFonts w:cs="Arial"/>
        </w:rPr>
        <w:t xml:space="preserve">que el Ministerio de Agricultura y Desarrollo Rural recibió los derechos correspondientes a los contratos de trueque de arroz </w:t>
      </w:r>
      <w:r w:rsidR="00563577" w:rsidRPr="004C2FAC">
        <w:rPr>
          <w:rFonts w:cs="Arial"/>
        </w:rPr>
        <w:t xml:space="preserve">de que trata este proceso a través del acta de liquidación </w:t>
      </w:r>
      <w:r w:rsidRPr="004C2FAC">
        <w:rPr>
          <w:rFonts w:cs="Arial"/>
        </w:rPr>
        <w:t>y</w:t>
      </w:r>
      <w:r w:rsidR="00563577" w:rsidRPr="004C2FAC">
        <w:rPr>
          <w:rFonts w:cs="Arial"/>
        </w:rPr>
        <w:t xml:space="preserve">, por ello, se concluye que </w:t>
      </w:r>
      <w:r w:rsidRPr="004C2FAC">
        <w:rPr>
          <w:rFonts w:cs="Arial"/>
        </w:rPr>
        <w:t xml:space="preserve">estaba legitimado para incoar la acción </w:t>
      </w:r>
      <w:r w:rsidR="008A4FD8" w:rsidRPr="004C2FAC">
        <w:rPr>
          <w:rFonts w:cs="Arial"/>
        </w:rPr>
        <w:t xml:space="preserve">contractual </w:t>
      </w:r>
      <w:r w:rsidRPr="004C2FAC">
        <w:rPr>
          <w:rFonts w:cs="Arial"/>
        </w:rPr>
        <w:t>que ahora se desata.</w:t>
      </w:r>
    </w:p>
    <w:p w:rsidR="00434B7B" w:rsidRPr="004C2FAC" w:rsidRDefault="00406BA2" w:rsidP="00434B7B">
      <w:pPr>
        <w:pStyle w:val="NormalWeb"/>
        <w:rPr>
          <w:rFonts w:cs="Arial"/>
        </w:rPr>
      </w:pPr>
      <w:r w:rsidRPr="004C2FAC">
        <w:rPr>
          <w:rFonts w:cs="Arial"/>
        </w:rPr>
        <w:lastRenderedPageBreak/>
        <w:t>Así las cosas, d</w:t>
      </w:r>
      <w:r w:rsidR="00434B7B" w:rsidRPr="004C2FAC">
        <w:rPr>
          <w:rFonts w:cs="Arial"/>
        </w:rPr>
        <w:t>e conformidad con las normas ante</w:t>
      </w:r>
      <w:r w:rsidR="0034358B" w:rsidRPr="004C2FAC">
        <w:rPr>
          <w:rFonts w:cs="Arial"/>
        </w:rPr>
        <w:t>s citadas y con las referencias contenidas en las pruebas que se acaban de relacionar,</w:t>
      </w:r>
      <w:r w:rsidR="00434B7B" w:rsidRPr="004C2FAC">
        <w:rPr>
          <w:rFonts w:cs="Arial"/>
        </w:rPr>
        <w:t xml:space="preserve"> se puede concluir que frente a los contratos </w:t>
      </w:r>
      <w:r w:rsidR="00434B7B" w:rsidRPr="004C2FAC">
        <w:rPr>
          <w:rFonts w:cs="Arial"/>
          <w:i/>
        </w:rPr>
        <w:t>sub judice</w:t>
      </w:r>
      <w:r w:rsidR="00434B7B" w:rsidRPr="004C2FAC">
        <w:rPr>
          <w:rFonts w:cs="Arial"/>
        </w:rPr>
        <w:t xml:space="preserve"> el Ministerio de Agricultura y Desarrollo Rural tenia el deber de continuar con las funciones del IDEMA</w:t>
      </w:r>
      <w:r w:rsidR="00350CA9" w:rsidRPr="004C2FAC">
        <w:rPr>
          <w:rFonts w:cs="Arial"/>
        </w:rPr>
        <w:t>,</w:t>
      </w:r>
      <w:r w:rsidR="00434B7B" w:rsidRPr="004C2FAC">
        <w:rPr>
          <w:rFonts w:cs="Arial"/>
        </w:rPr>
        <w:t xml:space="preserve"> una vez </w:t>
      </w:r>
      <w:r w:rsidR="00A03E1B" w:rsidRPr="004C2FAC">
        <w:rPr>
          <w:rFonts w:cs="Arial"/>
        </w:rPr>
        <w:t xml:space="preserve">que esta última entidad </w:t>
      </w:r>
      <w:r w:rsidR="00434B7B" w:rsidRPr="004C2FAC">
        <w:rPr>
          <w:rFonts w:cs="Arial"/>
        </w:rPr>
        <w:t>entró en liquidación y, por tanto</w:t>
      </w:r>
      <w:r w:rsidR="00304446" w:rsidRPr="004C2FAC">
        <w:rPr>
          <w:rFonts w:cs="Arial"/>
        </w:rPr>
        <w:t>,</w:t>
      </w:r>
      <w:r w:rsidR="00434B7B" w:rsidRPr="004C2FAC">
        <w:rPr>
          <w:rFonts w:cs="Arial"/>
        </w:rPr>
        <w:t xml:space="preserve"> estaba dentro de sus funciones ejercer los derechos en </w:t>
      </w:r>
      <w:r w:rsidR="00A03E1B" w:rsidRPr="004C2FAC">
        <w:rPr>
          <w:rFonts w:cs="Arial"/>
        </w:rPr>
        <w:t xml:space="preserve">relación con </w:t>
      </w:r>
      <w:r w:rsidR="00434B7B" w:rsidRPr="004C2FAC">
        <w:rPr>
          <w:rFonts w:cs="Arial"/>
        </w:rPr>
        <w:t xml:space="preserve">los contratos de </w:t>
      </w:r>
      <w:r w:rsidRPr="004C2FAC">
        <w:rPr>
          <w:rFonts w:cs="Arial"/>
        </w:rPr>
        <w:t xml:space="preserve">trueque que encontró </w:t>
      </w:r>
      <w:r w:rsidR="00434B7B" w:rsidRPr="004C2FAC">
        <w:rPr>
          <w:rFonts w:cs="Arial"/>
        </w:rPr>
        <w:t xml:space="preserve">incumplidos, en orden a recuperar los bienes correspondientes, para acrecentar la masa de la referida liquidación. </w:t>
      </w:r>
    </w:p>
    <w:p w:rsidR="00301E02" w:rsidRPr="004C2FAC" w:rsidRDefault="00301E02" w:rsidP="00434B7B">
      <w:pPr>
        <w:rPr>
          <w:rFonts w:cs="Arial"/>
        </w:rPr>
      </w:pPr>
      <w:r w:rsidRPr="004C2FAC">
        <w:rPr>
          <w:rFonts w:cs="Arial"/>
        </w:rPr>
        <w:t xml:space="preserve">En resumen, en el </w:t>
      </w:r>
      <w:r w:rsidR="00434B7B" w:rsidRPr="004C2FAC">
        <w:rPr>
          <w:rFonts w:cs="Arial"/>
        </w:rPr>
        <w:t xml:space="preserve">caso concreto que se ventila en este proceso se tiene que </w:t>
      </w:r>
      <w:r w:rsidR="008A4FD8" w:rsidRPr="004C2FAC">
        <w:rPr>
          <w:rFonts w:cs="Arial"/>
        </w:rPr>
        <w:t xml:space="preserve">concluir </w:t>
      </w:r>
      <w:r w:rsidR="00434B7B" w:rsidRPr="004C2FAC">
        <w:rPr>
          <w:rFonts w:cs="Arial"/>
        </w:rPr>
        <w:t xml:space="preserve">que </w:t>
      </w:r>
      <w:r w:rsidR="00A03E1B" w:rsidRPr="004C2FAC">
        <w:rPr>
          <w:rFonts w:cs="Arial"/>
        </w:rPr>
        <w:t xml:space="preserve">aunque </w:t>
      </w:r>
      <w:r w:rsidR="00434B7B" w:rsidRPr="004C2FAC">
        <w:rPr>
          <w:rFonts w:cs="Arial"/>
        </w:rPr>
        <w:t>el Ministerio de Agricultura y Desarrollo Rural no invocó la titularidad de los derechos del extinto IDEMA en los contratos que dieron lugar a la acción impetrada</w:t>
      </w:r>
      <w:r w:rsidR="00A03E1B" w:rsidRPr="004C2FAC">
        <w:rPr>
          <w:rFonts w:cs="Arial"/>
        </w:rPr>
        <w:t>, s</w:t>
      </w:r>
      <w:r w:rsidR="007B6C69" w:rsidRPr="004C2FAC">
        <w:rPr>
          <w:rFonts w:cs="Arial"/>
        </w:rPr>
        <w:t>í</w:t>
      </w:r>
      <w:r w:rsidR="00A03E1B" w:rsidRPr="004C2FAC">
        <w:rPr>
          <w:rFonts w:cs="Arial"/>
        </w:rPr>
        <w:t xml:space="preserve"> existió referencia probatoria suficiente para inferir </w:t>
      </w:r>
      <w:r w:rsidR="002F7A87" w:rsidRPr="004C2FAC">
        <w:rPr>
          <w:rFonts w:cs="Arial"/>
        </w:rPr>
        <w:t>que los saldos por cobrar se incluyeron en el acta de liquidación del IDEMA</w:t>
      </w:r>
      <w:r w:rsidRPr="004C2FAC">
        <w:rPr>
          <w:rFonts w:cs="Arial"/>
        </w:rPr>
        <w:t xml:space="preserve"> y de allí se desprende que la parte actora tenía la legitimación activa para entablar la demanda</w:t>
      </w:r>
      <w:r w:rsidR="008A4FD8" w:rsidRPr="004C2FAC">
        <w:rPr>
          <w:rFonts w:cs="Arial"/>
        </w:rPr>
        <w:t xml:space="preserve"> en el presente proceso</w:t>
      </w:r>
      <w:r w:rsidRPr="004C2FAC">
        <w:rPr>
          <w:rFonts w:cs="Arial"/>
        </w:rPr>
        <w:t xml:space="preserve">. </w:t>
      </w:r>
    </w:p>
    <w:p w:rsidR="002F7A87" w:rsidRPr="004C2FAC" w:rsidRDefault="002F7A87" w:rsidP="00434B7B">
      <w:pPr>
        <w:rPr>
          <w:rFonts w:cs="Arial"/>
        </w:rPr>
      </w:pPr>
    </w:p>
    <w:p w:rsidR="00434B7B" w:rsidRPr="004C2FAC" w:rsidRDefault="00434B7B" w:rsidP="00434B7B">
      <w:pPr>
        <w:rPr>
          <w:rFonts w:cs="Arial"/>
        </w:rPr>
      </w:pPr>
      <w:r w:rsidRPr="004C2FAC">
        <w:rPr>
          <w:rFonts w:cs="Arial"/>
        </w:rPr>
        <w:t>Como consecuencia, no prospera la excepción de falta de legitimación material por la parte activa</w:t>
      </w:r>
      <w:r w:rsidR="00CB5240" w:rsidRPr="004C2FAC">
        <w:rPr>
          <w:rFonts w:cs="Arial"/>
        </w:rPr>
        <w:t xml:space="preserve"> y</w:t>
      </w:r>
      <w:r w:rsidR="008A4FD8" w:rsidRPr="004C2FAC">
        <w:rPr>
          <w:rFonts w:cs="Arial"/>
        </w:rPr>
        <w:t xml:space="preserve">, por ello, </w:t>
      </w:r>
      <w:r w:rsidR="00CB5240" w:rsidRPr="004C2FAC">
        <w:rPr>
          <w:rFonts w:cs="Arial"/>
        </w:rPr>
        <w:t>resulta pertinente el estudio de las pretensiones de la demanda</w:t>
      </w:r>
      <w:r w:rsidR="008A4FD8" w:rsidRPr="004C2FAC">
        <w:rPr>
          <w:rFonts w:cs="Arial"/>
        </w:rPr>
        <w:t xml:space="preserve"> en el caso concreto.</w:t>
      </w:r>
    </w:p>
    <w:p w:rsidR="00434B7B" w:rsidRPr="004C2FAC" w:rsidRDefault="00434B7B" w:rsidP="00434B7B">
      <w:pPr>
        <w:rPr>
          <w:rFonts w:cs="Arial"/>
          <w:b/>
        </w:rPr>
      </w:pPr>
    </w:p>
    <w:p w:rsidR="00434B7B" w:rsidRPr="004C2FAC" w:rsidRDefault="00434B7B" w:rsidP="00434B7B">
      <w:pPr>
        <w:rPr>
          <w:rFonts w:cs="Arial"/>
          <w:b/>
        </w:rPr>
      </w:pPr>
      <w:r w:rsidRPr="004C2FAC">
        <w:rPr>
          <w:rFonts w:cs="Arial"/>
          <w:b/>
        </w:rPr>
        <w:t xml:space="preserve">6. </w:t>
      </w:r>
      <w:r w:rsidR="00102D2E" w:rsidRPr="004C2FAC">
        <w:rPr>
          <w:rFonts w:cs="Arial"/>
          <w:b/>
        </w:rPr>
        <w:t>Integración del contradictorio por pasiva</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Por otra parte, el plenario no permite arribar a una explicación </w:t>
      </w:r>
      <w:r w:rsidR="00CB5240" w:rsidRPr="004C2FAC">
        <w:rPr>
          <w:rFonts w:cs="Arial"/>
        </w:rPr>
        <w:t xml:space="preserve">de las razones que llevaron al </w:t>
      </w:r>
      <w:r w:rsidRPr="004C2FAC">
        <w:rPr>
          <w:rFonts w:cs="Arial"/>
        </w:rPr>
        <w:t xml:space="preserve">IDEMA </w:t>
      </w:r>
      <w:r w:rsidR="00CB5240" w:rsidRPr="004C2FAC">
        <w:rPr>
          <w:rFonts w:cs="Arial"/>
        </w:rPr>
        <w:t xml:space="preserve">a </w:t>
      </w:r>
      <w:r w:rsidRPr="004C2FAC">
        <w:rPr>
          <w:rFonts w:cs="Arial"/>
        </w:rPr>
        <w:t xml:space="preserve">no adelantar acciones contra la comisionista de bolsa, Torres Cortés y Cía, pese a que en las operaciones cruzadas el 14 de febrero de 1995, esa comisionista operó en la Bolsa Nacional Agropecuaria, obrando como </w:t>
      </w:r>
      <w:r w:rsidRPr="004C2FAC">
        <w:rPr>
          <w:rFonts w:cs="Arial"/>
          <w:i/>
        </w:rPr>
        <w:t>“comisionista vendedor”</w:t>
      </w:r>
      <w:r w:rsidRPr="004C2FAC">
        <w:rPr>
          <w:rFonts w:cs="Arial"/>
        </w:rPr>
        <w:t xml:space="preserve"> y, a la vez  como “</w:t>
      </w:r>
      <w:r w:rsidRPr="004C2FAC">
        <w:rPr>
          <w:rFonts w:cs="Arial"/>
          <w:i/>
        </w:rPr>
        <w:t>comisionista comprador”</w:t>
      </w:r>
      <w:r w:rsidR="00D00E78" w:rsidRPr="004C2FAC">
        <w:rPr>
          <w:rFonts w:cs="Arial"/>
          <w:i/>
        </w:rPr>
        <w:t>,</w:t>
      </w:r>
      <w:r w:rsidRPr="004C2FAC">
        <w:rPr>
          <w:rFonts w:cs="Arial"/>
        </w:rPr>
        <w:t xml:space="preserve"> en relación con las operaciones DT 13074/ 13075 que generaron un saldo a favor del IDEMA de $164’593.000 y las operaciones DT 13066/ 13067 que </w:t>
      </w:r>
      <w:r w:rsidR="00256335" w:rsidRPr="004C2FAC">
        <w:rPr>
          <w:rFonts w:cs="Arial"/>
        </w:rPr>
        <w:t xml:space="preserve">dieron lugar a </w:t>
      </w:r>
      <w:r w:rsidRPr="004C2FAC">
        <w:rPr>
          <w:rFonts w:cs="Arial"/>
        </w:rPr>
        <w:t xml:space="preserve">un saldo a favor del IDEMA de $2’888.453.  </w:t>
      </w:r>
    </w:p>
    <w:p w:rsidR="00434B7B" w:rsidRPr="004C2FAC" w:rsidRDefault="00434B7B" w:rsidP="00434B7B">
      <w:pPr>
        <w:rPr>
          <w:rFonts w:cs="Arial"/>
        </w:rPr>
      </w:pPr>
    </w:p>
    <w:p w:rsidR="00434B7B" w:rsidRPr="004C2FAC" w:rsidRDefault="00434B7B" w:rsidP="00434B7B">
      <w:pPr>
        <w:rPr>
          <w:rFonts w:cs="Arial"/>
        </w:rPr>
      </w:pPr>
      <w:r w:rsidRPr="004C2FAC">
        <w:rPr>
          <w:rFonts w:cs="Arial"/>
        </w:rPr>
        <w:lastRenderedPageBreak/>
        <w:t xml:space="preserve">Se refiere la Sala a que, </w:t>
      </w:r>
      <w:r w:rsidR="00F001F7" w:rsidRPr="004C2FAC">
        <w:rPr>
          <w:rFonts w:cs="Arial"/>
        </w:rPr>
        <w:t xml:space="preserve">de acuerdo con </w:t>
      </w:r>
      <w:r w:rsidRPr="004C2FAC">
        <w:rPr>
          <w:rFonts w:cs="Arial"/>
        </w:rPr>
        <w:t>esa modalidad de operación ante la bolsa</w:t>
      </w:r>
      <w:r w:rsidR="00D00E78" w:rsidRPr="004C2FAC">
        <w:rPr>
          <w:rFonts w:cs="Arial"/>
        </w:rPr>
        <w:t>,</w:t>
      </w:r>
      <w:r w:rsidRPr="004C2FAC">
        <w:rPr>
          <w:rFonts w:cs="Arial"/>
        </w:rPr>
        <w:t xml:space="preserve"> existía también una relación entre el IDEMA y la comisionista de bolsa</w:t>
      </w:r>
      <w:r w:rsidR="00F001F7" w:rsidRPr="004C2FAC">
        <w:rPr>
          <w:rFonts w:cs="Arial"/>
        </w:rPr>
        <w:t xml:space="preserve"> y así lo entendió el IDEMA</w:t>
      </w:r>
      <w:r w:rsidR="005048C5" w:rsidRPr="004C2FAC">
        <w:rPr>
          <w:rFonts w:cs="Arial"/>
        </w:rPr>
        <w:t>,</w:t>
      </w:r>
      <w:r w:rsidR="00646485" w:rsidRPr="004C2FAC">
        <w:rPr>
          <w:rFonts w:cs="Arial"/>
        </w:rPr>
        <w:t xml:space="preserve"> toda vez que </w:t>
      </w:r>
      <w:r w:rsidR="00F001F7" w:rsidRPr="004C2FAC">
        <w:rPr>
          <w:rFonts w:cs="Arial"/>
        </w:rPr>
        <w:t>vincul</w:t>
      </w:r>
      <w:r w:rsidR="00646485" w:rsidRPr="004C2FAC">
        <w:rPr>
          <w:rFonts w:cs="Arial"/>
        </w:rPr>
        <w:t>ó</w:t>
      </w:r>
      <w:r w:rsidR="00F001F7" w:rsidRPr="004C2FAC">
        <w:rPr>
          <w:rFonts w:cs="Arial"/>
        </w:rPr>
        <w:t xml:space="preserve"> a esa sociedad en </w:t>
      </w:r>
      <w:r w:rsidR="00646485" w:rsidRPr="004C2FAC">
        <w:rPr>
          <w:rFonts w:cs="Arial"/>
        </w:rPr>
        <w:t xml:space="preserve">el trámite dentro de </w:t>
      </w:r>
      <w:r w:rsidRPr="004C2FAC">
        <w:rPr>
          <w:rFonts w:cs="Arial"/>
        </w:rPr>
        <w:t>la vía gubernativa</w:t>
      </w:r>
      <w:r w:rsidR="00F001F7" w:rsidRPr="004C2FAC">
        <w:rPr>
          <w:rFonts w:cs="Arial"/>
        </w:rPr>
        <w:t xml:space="preserve">, cuando </w:t>
      </w:r>
      <w:r w:rsidRPr="004C2FAC">
        <w:rPr>
          <w:rFonts w:cs="Arial"/>
        </w:rPr>
        <w:t>pretendió hacer efectiva</w:t>
      </w:r>
      <w:r w:rsidR="00F001F7" w:rsidRPr="004C2FAC">
        <w:rPr>
          <w:rFonts w:cs="Arial"/>
        </w:rPr>
        <w:t>s</w:t>
      </w:r>
      <w:r w:rsidRPr="004C2FAC">
        <w:rPr>
          <w:rFonts w:cs="Arial"/>
        </w:rPr>
        <w:t xml:space="preserve"> la</w:t>
      </w:r>
      <w:r w:rsidR="00F001F7" w:rsidRPr="004C2FAC">
        <w:rPr>
          <w:rFonts w:cs="Arial"/>
        </w:rPr>
        <w:t>s</w:t>
      </w:r>
      <w:r w:rsidRPr="004C2FAC">
        <w:rPr>
          <w:rFonts w:cs="Arial"/>
        </w:rPr>
        <w:t xml:space="preserve"> póliza</w:t>
      </w:r>
      <w:r w:rsidR="00F001F7" w:rsidRPr="004C2FAC">
        <w:rPr>
          <w:rFonts w:cs="Arial"/>
        </w:rPr>
        <w:t>s</w:t>
      </w:r>
      <w:r w:rsidRPr="004C2FAC">
        <w:rPr>
          <w:rFonts w:cs="Arial"/>
        </w:rPr>
        <w:t xml:space="preserve"> de seguro, empero </w:t>
      </w:r>
      <w:r w:rsidR="004A3B5C" w:rsidRPr="004C2FAC">
        <w:rPr>
          <w:rFonts w:cs="Arial"/>
        </w:rPr>
        <w:t xml:space="preserve">el IDEMA </w:t>
      </w:r>
      <w:r w:rsidRPr="004C2FAC">
        <w:rPr>
          <w:rFonts w:cs="Arial"/>
        </w:rPr>
        <w:t xml:space="preserve">revocó </w:t>
      </w:r>
      <w:r w:rsidR="00D00E78" w:rsidRPr="004C2FAC">
        <w:rPr>
          <w:rFonts w:cs="Arial"/>
        </w:rPr>
        <w:t xml:space="preserve">posteriormente </w:t>
      </w:r>
      <w:r w:rsidRPr="004C2FAC">
        <w:rPr>
          <w:rFonts w:cs="Arial"/>
        </w:rPr>
        <w:t xml:space="preserve">la decisión y, en el momento de demandar, años después, el Ministerio de Agricultura y Desarrollo Rural consideró </w:t>
      </w:r>
      <w:r w:rsidR="00646485" w:rsidRPr="004C2FAC">
        <w:rPr>
          <w:rFonts w:cs="Arial"/>
        </w:rPr>
        <w:t xml:space="preserve">susceptible de litigio </w:t>
      </w:r>
      <w:r w:rsidRPr="004C2FAC">
        <w:rPr>
          <w:rFonts w:cs="Arial"/>
        </w:rPr>
        <w:t xml:space="preserve">únicamente la relación contractual </w:t>
      </w:r>
      <w:r w:rsidR="00646485" w:rsidRPr="004C2FAC">
        <w:rPr>
          <w:rFonts w:cs="Arial"/>
        </w:rPr>
        <w:t xml:space="preserve">entre </w:t>
      </w:r>
      <w:r w:rsidRPr="004C2FAC">
        <w:rPr>
          <w:rFonts w:cs="Arial"/>
        </w:rPr>
        <w:t xml:space="preserve">el IDEMA </w:t>
      </w:r>
      <w:r w:rsidR="00646485" w:rsidRPr="004C2FAC">
        <w:rPr>
          <w:rFonts w:cs="Arial"/>
        </w:rPr>
        <w:t>y</w:t>
      </w:r>
      <w:r w:rsidRPr="004C2FAC">
        <w:rPr>
          <w:rFonts w:cs="Arial"/>
        </w:rPr>
        <w:t xml:space="preserve"> COLCEREALES. </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Se puntualiza que aunque las operaciones cruzadas por la bolsa no se habían cumplido en su totalidad, el IDEMA celebró con la misma comisionista </w:t>
      </w:r>
      <w:r w:rsidR="00147963" w:rsidRPr="004C2FAC">
        <w:rPr>
          <w:rFonts w:cs="Arial"/>
        </w:rPr>
        <w:t xml:space="preserve">de la bolsa </w:t>
      </w:r>
      <w:r w:rsidRPr="004C2FAC">
        <w:rPr>
          <w:rFonts w:cs="Arial"/>
        </w:rPr>
        <w:t>el contrato 8861 de 22 de septiembre de 1995, mediante trueque directo, y decidió hacer nuevas liberaciones de arroz, lo cual dio lugar a un valor incumplido de $1’803.755.053.</w:t>
      </w:r>
    </w:p>
    <w:p w:rsidR="00434B7B" w:rsidRPr="004C2FAC" w:rsidRDefault="00434B7B" w:rsidP="00434B7B">
      <w:pPr>
        <w:rPr>
          <w:rFonts w:cs="Arial"/>
        </w:rPr>
      </w:pPr>
    </w:p>
    <w:p w:rsidR="00434B7B" w:rsidRPr="004C2FAC" w:rsidRDefault="00434B7B" w:rsidP="00434B7B">
      <w:pPr>
        <w:rPr>
          <w:rFonts w:cs="Arial"/>
        </w:rPr>
      </w:pPr>
      <w:r w:rsidRPr="004C2FAC">
        <w:rPr>
          <w:rFonts w:cs="Arial"/>
        </w:rPr>
        <w:t xml:space="preserve">Sin embargo, lo cierto es que la sociedad comisionista no era un litis consorte necesario en el </w:t>
      </w:r>
      <w:r w:rsidR="00147963" w:rsidRPr="004C2FAC">
        <w:rPr>
          <w:rFonts w:cs="Arial"/>
        </w:rPr>
        <w:t xml:space="preserve">presente </w:t>
      </w:r>
      <w:r w:rsidRPr="004C2FAC">
        <w:rPr>
          <w:rFonts w:cs="Arial"/>
        </w:rPr>
        <w:t>proceso, dado que no se planteó ninguna responsabilidad derivada de su actividad</w:t>
      </w:r>
      <w:r w:rsidR="00C7588A" w:rsidRPr="004C2FAC">
        <w:rPr>
          <w:rFonts w:cs="Arial"/>
        </w:rPr>
        <w:t xml:space="preserve"> de intermediación de las respectivas operaciones de trueque.</w:t>
      </w:r>
    </w:p>
    <w:p w:rsidR="000A1D1A" w:rsidRPr="004C2FAC" w:rsidRDefault="000A1D1A" w:rsidP="009122F9">
      <w:pPr>
        <w:rPr>
          <w:rFonts w:cs="Arial"/>
          <w:i/>
        </w:rPr>
      </w:pPr>
    </w:p>
    <w:p w:rsidR="00D26AC5" w:rsidRPr="004C2FAC" w:rsidRDefault="00D26AC5" w:rsidP="009122F9">
      <w:pPr>
        <w:rPr>
          <w:rFonts w:cs="Arial"/>
          <w:i/>
        </w:rPr>
      </w:pPr>
    </w:p>
    <w:p w:rsidR="00D26AC5" w:rsidRPr="004C2FAC" w:rsidRDefault="00D26AC5" w:rsidP="009122F9">
      <w:pPr>
        <w:rPr>
          <w:rFonts w:cs="Arial"/>
          <w:i/>
        </w:rPr>
      </w:pPr>
    </w:p>
    <w:p w:rsidR="00D26AC5" w:rsidRPr="004C2FAC" w:rsidRDefault="00D26AC5" w:rsidP="009122F9">
      <w:pPr>
        <w:rPr>
          <w:rFonts w:cs="Arial"/>
          <w:i/>
        </w:rPr>
      </w:pPr>
    </w:p>
    <w:p w:rsidR="00D26AC5" w:rsidRPr="004C2FAC" w:rsidRDefault="00D26AC5" w:rsidP="009122F9">
      <w:pPr>
        <w:rPr>
          <w:rFonts w:cs="Arial"/>
          <w:i/>
        </w:rPr>
      </w:pPr>
    </w:p>
    <w:p w:rsidR="00D26AC5" w:rsidRPr="004C2FAC" w:rsidRDefault="00D26AC5" w:rsidP="009122F9">
      <w:pPr>
        <w:rPr>
          <w:rFonts w:cs="Arial"/>
          <w:i/>
        </w:rPr>
      </w:pPr>
    </w:p>
    <w:p w:rsidR="00D26AC5" w:rsidRPr="004C2FAC" w:rsidRDefault="00D26AC5" w:rsidP="009122F9">
      <w:pPr>
        <w:rPr>
          <w:rFonts w:cs="Arial"/>
          <w:i/>
        </w:rPr>
      </w:pPr>
    </w:p>
    <w:p w:rsidR="00B310AD" w:rsidRPr="004C2FAC" w:rsidRDefault="00434B7B" w:rsidP="009122F9">
      <w:pPr>
        <w:rPr>
          <w:rFonts w:cs="Arial"/>
          <w:b/>
        </w:rPr>
      </w:pPr>
      <w:r w:rsidRPr="004C2FAC">
        <w:rPr>
          <w:rFonts w:cs="Arial"/>
          <w:b/>
        </w:rPr>
        <w:t>7</w:t>
      </w:r>
      <w:r w:rsidR="00B310AD" w:rsidRPr="004C2FAC">
        <w:rPr>
          <w:rFonts w:cs="Arial"/>
          <w:b/>
        </w:rPr>
        <w:t>. El caso concreto</w:t>
      </w:r>
    </w:p>
    <w:p w:rsidR="00434B7B" w:rsidRPr="004C2FAC" w:rsidRDefault="00434B7B" w:rsidP="009122F9">
      <w:pPr>
        <w:rPr>
          <w:rFonts w:cs="Arial"/>
          <w:i/>
        </w:rPr>
      </w:pPr>
    </w:p>
    <w:p w:rsidR="00434B7B" w:rsidRPr="004C2FAC" w:rsidRDefault="00434B7B" w:rsidP="009122F9">
      <w:pPr>
        <w:rPr>
          <w:rFonts w:cs="Arial"/>
          <w:b/>
        </w:rPr>
      </w:pPr>
      <w:r w:rsidRPr="004C2FAC">
        <w:rPr>
          <w:rFonts w:cs="Arial"/>
          <w:b/>
        </w:rPr>
        <w:t>7.1. El incumplimiento de COLCEREALES</w:t>
      </w:r>
    </w:p>
    <w:p w:rsidR="00B310AD" w:rsidRPr="004C2FAC" w:rsidRDefault="00B310AD" w:rsidP="009122F9">
      <w:pPr>
        <w:rPr>
          <w:rFonts w:cs="Arial"/>
          <w:i/>
        </w:rPr>
      </w:pPr>
      <w:r w:rsidRPr="004C2FAC">
        <w:rPr>
          <w:rFonts w:cs="Arial"/>
          <w:i/>
        </w:rPr>
        <w:t xml:space="preserve"> </w:t>
      </w:r>
    </w:p>
    <w:p w:rsidR="00794FF1" w:rsidRPr="004C2FAC" w:rsidRDefault="00CA2A42" w:rsidP="00A153C8">
      <w:pPr>
        <w:rPr>
          <w:rFonts w:cs="Arial"/>
        </w:rPr>
      </w:pPr>
      <w:r w:rsidRPr="004C2FAC">
        <w:rPr>
          <w:rFonts w:cs="Arial"/>
        </w:rPr>
        <w:t>Contrario a lo decidido en primera instancia, t</w:t>
      </w:r>
      <w:r w:rsidR="00A153C8" w:rsidRPr="004C2FAC">
        <w:rPr>
          <w:rFonts w:cs="Arial"/>
        </w:rPr>
        <w:t xml:space="preserve">eniendo en cuenta que no ocurrió la caducidad de la acción, procede </w:t>
      </w:r>
      <w:r w:rsidR="00126041" w:rsidRPr="004C2FAC">
        <w:rPr>
          <w:rFonts w:cs="Arial"/>
        </w:rPr>
        <w:t xml:space="preserve">continuar con el estudio de </w:t>
      </w:r>
      <w:r w:rsidR="00A153C8" w:rsidRPr="004C2FAC">
        <w:rPr>
          <w:rFonts w:cs="Arial"/>
        </w:rPr>
        <w:t>la controversia</w:t>
      </w:r>
      <w:r w:rsidRPr="004C2FAC">
        <w:rPr>
          <w:rFonts w:cs="Arial"/>
        </w:rPr>
        <w:t xml:space="preserve"> sub júdice</w:t>
      </w:r>
      <w:r w:rsidR="00794FF1" w:rsidRPr="004C2FAC">
        <w:rPr>
          <w:rFonts w:cs="Arial"/>
        </w:rPr>
        <w:t>.</w:t>
      </w:r>
    </w:p>
    <w:p w:rsidR="00A153C8" w:rsidRPr="004C2FAC" w:rsidRDefault="00A153C8" w:rsidP="009122F9">
      <w:pPr>
        <w:rPr>
          <w:rFonts w:cs="Arial"/>
          <w:i/>
          <w:sz w:val="22"/>
          <w:szCs w:val="22"/>
        </w:rPr>
      </w:pPr>
    </w:p>
    <w:p w:rsidR="00F40D2C" w:rsidRPr="004C2FAC" w:rsidRDefault="00A153C8" w:rsidP="00CA2A42">
      <w:pPr>
        <w:rPr>
          <w:rFonts w:cs="Arial"/>
        </w:rPr>
      </w:pPr>
      <w:r w:rsidRPr="004C2FAC">
        <w:rPr>
          <w:rFonts w:cs="Arial"/>
        </w:rPr>
        <w:t>En primer lugar</w:t>
      </w:r>
      <w:r w:rsidR="00CA2A42" w:rsidRPr="004C2FAC">
        <w:rPr>
          <w:rFonts w:cs="Arial"/>
        </w:rPr>
        <w:t>,</w:t>
      </w:r>
      <w:r w:rsidRPr="004C2FAC">
        <w:rPr>
          <w:rFonts w:cs="Arial"/>
        </w:rPr>
        <w:t xml:space="preserve"> s</w:t>
      </w:r>
      <w:r w:rsidR="00B310AD" w:rsidRPr="004C2FAC">
        <w:rPr>
          <w:rFonts w:cs="Arial"/>
        </w:rPr>
        <w:t>e enc</w:t>
      </w:r>
      <w:r w:rsidRPr="004C2FAC">
        <w:rPr>
          <w:rFonts w:cs="Arial"/>
        </w:rPr>
        <w:t>u</w:t>
      </w:r>
      <w:r w:rsidR="00B310AD" w:rsidRPr="004C2FAC">
        <w:rPr>
          <w:rFonts w:cs="Arial"/>
        </w:rPr>
        <w:t>entra demostrado que COLCEREALES aceptó el incumplimiento de los contratos allegados al proceso, toda vez que re</w:t>
      </w:r>
      <w:r w:rsidR="001535A9" w:rsidRPr="004C2FAC">
        <w:rPr>
          <w:rFonts w:cs="Arial"/>
        </w:rPr>
        <w:t xml:space="preserve">firió la intención de pagar las obligaciones </w:t>
      </w:r>
      <w:r w:rsidR="00B310AD" w:rsidRPr="004C2FAC">
        <w:rPr>
          <w:rFonts w:cs="Arial"/>
        </w:rPr>
        <w:t xml:space="preserve">en el </w:t>
      </w:r>
      <w:r w:rsidR="001535A9" w:rsidRPr="004C2FAC">
        <w:rPr>
          <w:rFonts w:cs="Arial"/>
        </w:rPr>
        <w:t xml:space="preserve">fallido </w:t>
      </w:r>
      <w:r w:rsidR="00F40D2C" w:rsidRPr="004C2FAC">
        <w:rPr>
          <w:rFonts w:cs="Arial"/>
        </w:rPr>
        <w:t xml:space="preserve">acuerdo de </w:t>
      </w:r>
      <w:r w:rsidR="00B310AD" w:rsidRPr="004C2FAC">
        <w:rPr>
          <w:rFonts w:cs="Arial"/>
        </w:rPr>
        <w:t>dación en pago</w:t>
      </w:r>
      <w:r w:rsidR="006C4C5A" w:rsidRPr="004C2FAC">
        <w:rPr>
          <w:rFonts w:cs="Arial"/>
        </w:rPr>
        <w:t xml:space="preserve"> que suscribió el 18 de noviembre de 1996</w:t>
      </w:r>
      <w:r w:rsidR="00F40D2C" w:rsidRPr="004C2FAC">
        <w:rPr>
          <w:rFonts w:cs="Arial"/>
        </w:rPr>
        <w:t xml:space="preserve">, </w:t>
      </w:r>
      <w:r w:rsidR="001930D2" w:rsidRPr="004C2FAC">
        <w:rPr>
          <w:rFonts w:cs="Arial"/>
        </w:rPr>
        <w:t xml:space="preserve">aunque </w:t>
      </w:r>
      <w:r w:rsidR="00F40D2C" w:rsidRPr="004C2FAC">
        <w:rPr>
          <w:rFonts w:cs="Arial"/>
        </w:rPr>
        <w:t xml:space="preserve">no llegó a </w:t>
      </w:r>
      <w:r w:rsidR="006C4C5A" w:rsidRPr="004C2FAC">
        <w:rPr>
          <w:rFonts w:cs="Arial"/>
        </w:rPr>
        <w:t xml:space="preserve">cumplir con </w:t>
      </w:r>
      <w:r w:rsidR="00F40D2C" w:rsidRPr="004C2FAC">
        <w:rPr>
          <w:rFonts w:cs="Arial"/>
        </w:rPr>
        <w:t xml:space="preserve">la transferencia del inmueble dentro del término fijado. </w:t>
      </w:r>
    </w:p>
    <w:p w:rsidR="00F40D2C" w:rsidRPr="004C2FAC" w:rsidRDefault="00F40D2C" w:rsidP="00CA2A42">
      <w:pPr>
        <w:rPr>
          <w:rFonts w:cs="Arial"/>
        </w:rPr>
      </w:pPr>
    </w:p>
    <w:p w:rsidR="00B310AD" w:rsidRPr="004C2FAC" w:rsidRDefault="00794FF1" w:rsidP="00CA2A42">
      <w:pPr>
        <w:rPr>
          <w:rFonts w:cs="Arial"/>
        </w:rPr>
      </w:pPr>
      <w:r w:rsidRPr="004C2FAC">
        <w:rPr>
          <w:rFonts w:cs="Arial"/>
        </w:rPr>
        <w:t>También dan cuenta del incumplimiento</w:t>
      </w:r>
      <w:r w:rsidR="008D2995" w:rsidRPr="004C2FAC">
        <w:rPr>
          <w:rFonts w:cs="Arial"/>
        </w:rPr>
        <w:t xml:space="preserve"> de las obligaciones de entrega de arroz y de su valor</w:t>
      </w:r>
      <w:r w:rsidRPr="004C2FAC">
        <w:rPr>
          <w:rFonts w:cs="Arial"/>
        </w:rPr>
        <w:t xml:space="preserve"> los informes entregados al Ministerio de Agricultura y Desarrollo Rural</w:t>
      </w:r>
      <w:r w:rsidR="00484ED6" w:rsidRPr="004C2FAC">
        <w:rPr>
          <w:rStyle w:val="Refdenotaalpie"/>
          <w:rFonts w:cs="Arial"/>
        </w:rPr>
        <w:footnoteReference w:id="71"/>
      </w:r>
      <w:r w:rsidR="001A6777" w:rsidRPr="004C2FAC">
        <w:rPr>
          <w:rFonts w:cs="Arial"/>
        </w:rPr>
        <w:t xml:space="preserve"> y el dictamen pericial</w:t>
      </w:r>
      <w:r w:rsidR="001930D2" w:rsidRPr="004C2FAC">
        <w:rPr>
          <w:rFonts w:cs="Arial"/>
        </w:rPr>
        <w:t xml:space="preserve"> practicado en este proceso</w:t>
      </w:r>
      <w:r w:rsidR="001A6777" w:rsidRPr="004C2FAC">
        <w:rPr>
          <w:rStyle w:val="Refdenotaalpie"/>
          <w:rFonts w:cs="Arial"/>
        </w:rPr>
        <w:footnoteReference w:id="72"/>
      </w:r>
      <w:r w:rsidR="001A6777" w:rsidRPr="004C2FAC">
        <w:rPr>
          <w:rFonts w:cs="Arial"/>
        </w:rPr>
        <w:t>.</w:t>
      </w:r>
      <w:r w:rsidRPr="004C2FAC">
        <w:rPr>
          <w:rFonts w:cs="Arial"/>
        </w:rPr>
        <w:t xml:space="preserve"> </w:t>
      </w:r>
    </w:p>
    <w:p w:rsidR="00434B7B" w:rsidRPr="004C2FAC" w:rsidRDefault="00434B7B" w:rsidP="00574579">
      <w:pPr>
        <w:rPr>
          <w:rFonts w:cs="Arial"/>
        </w:rPr>
      </w:pPr>
    </w:p>
    <w:p w:rsidR="00434B7B" w:rsidRPr="004C2FAC" w:rsidRDefault="00434B7B" w:rsidP="00574579">
      <w:pPr>
        <w:rPr>
          <w:rFonts w:cs="Arial"/>
        </w:rPr>
      </w:pPr>
      <w:r w:rsidRPr="004C2FAC">
        <w:rPr>
          <w:rFonts w:cs="Arial"/>
        </w:rPr>
        <w:t>De acuerdo con lo anterior</w:t>
      </w:r>
      <w:r w:rsidR="00574579" w:rsidRPr="004C2FAC">
        <w:rPr>
          <w:rFonts w:cs="Arial"/>
        </w:rPr>
        <w:t xml:space="preserve">, en relación con las operaciones DT 13074/ 13075 </w:t>
      </w:r>
      <w:r w:rsidRPr="004C2FAC">
        <w:rPr>
          <w:rFonts w:cs="Arial"/>
        </w:rPr>
        <w:t xml:space="preserve">se establece que </w:t>
      </w:r>
      <w:r w:rsidR="00574579" w:rsidRPr="004C2FAC">
        <w:rPr>
          <w:rFonts w:cs="Arial"/>
        </w:rPr>
        <w:t xml:space="preserve">generaron un saldo a favor del IDEMA </w:t>
      </w:r>
      <w:r w:rsidRPr="004C2FAC">
        <w:rPr>
          <w:rFonts w:cs="Arial"/>
        </w:rPr>
        <w:t xml:space="preserve">por la suma </w:t>
      </w:r>
      <w:r w:rsidR="00574579" w:rsidRPr="004C2FAC">
        <w:rPr>
          <w:rFonts w:cs="Arial"/>
        </w:rPr>
        <w:t xml:space="preserve">de $164’593.000 y las operaciones DT 13066/ 13067 generaron un saldo a favor del IDEMA </w:t>
      </w:r>
      <w:r w:rsidRPr="004C2FAC">
        <w:rPr>
          <w:rFonts w:cs="Arial"/>
        </w:rPr>
        <w:t xml:space="preserve">por la suma de </w:t>
      </w:r>
      <w:r w:rsidR="00574579" w:rsidRPr="004C2FAC">
        <w:rPr>
          <w:rFonts w:cs="Arial"/>
        </w:rPr>
        <w:t xml:space="preserve">$2’888.453.  </w:t>
      </w:r>
    </w:p>
    <w:p w:rsidR="00703DC4" w:rsidRPr="004C2FAC" w:rsidRDefault="00703DC4" w:rsidP="00574579">
      <w:pPr>
        <w:rPr>
          <w:rFonts w:cs="Arial"/>
        </w:rPr>
      </w:pPr>
    </w:p>
    <w:p w:rsidR="00703DC4" w:rsidRPr="004C2FAC" w:rsidRDefault="00703DC4" w:rsidP="00703DC4">
      <w:pPr>
        <w:rPr>
          <w:rFonts w:cs="Arial"/>
        </w:rPr>
      </w:pPr>
      <w:r w:rsidRPr="004C2FAC">
        <w:rPr>
          <w:rFonts w:cs="Arial"/>
        </w:rPr>
        <w:t>Por otra parte, de conformidad con el resumen del saldo a cargo de COLCERALES que se determinó en el informe contable presentado por la contadora pública Haydee Casadiego López, está igualmente acreditado que el contrato 8861 de 22 de septiembre de 1995, correspondiente al trueque directo dio lugar a un valor incumplido de $1’803.755.053.</w:t>
      </w:r>
    </w:p>
    <w:p w:rsidR="00703DC4" w:rsidRPr="004C2FAC" w:rsidRDefault="00703DC4" w:rsidP="00574579">
      <w:pPr>
        <w:rPr>
          <w:rFonts w:cs="Arial"/>
        </w:rPr>
      </w:pPr>
    </w:p>
    <w:p w:rsidR="00781AB3" w:rsidRPr="004C2FAC" w:rsidRDefault="00781AB3" w:rsidP="00574579">
      <w:pPr>
        <w:rPr>
          <w:rFonts w:cs="Arial"/>
        </w:rPr>
      </w:pPr>
      <w:r w:rsidRPr="004C2FAC">
        <w:rPr>
          <w:rFonts w:cs="Arial"/>
        </w:rPr>
        <w:t>Para mayor claridad</w:t>
      </w:r>
      <w:r w:rsidR="006D41DA" w:rsidRPr="004C2FAC">
        <w:rPr>
          <w:rFonts w:cs="Arial"/>
        </w:rPr>
        <w:t>,</w:t>
      </w:r>
      <w:r w:rsidRPr="004C2FAC">
        <w:rPr>
          <w:rFonts w:cs="Arial"/>
        </w:rPr>
        <w:t xml:space="preserve"> se</w:t>
      </w:r>
      <w:r w:rsidR="00703DC4" w:rsidRPr="004C2FAC">
        <w:rPr>
          <w:rFonts w:cs="Arial"/>
        </w:rPr>
        <w:t xml:space="preserve"> explica que d</w:t>
      </w:r>
      <w:r w:rsidR="00414D4A" w:rsidRPr="004C2FAC">
        <w:rPr>
          <w:rFonts w:cs="Arial"/>
        </w:rPr>
        <w:t xml:space="preserve">e </w:t>
      </w:r>
      <w:r w:rsidRPr="004C2FAC">
        <w:rPr>
          <w:rFonts w:cs="Arial"/>
        </w:rPr>
        <w:t xml:space="preserve">conformidad </w:t>
      </w:r>
      <w:r w:rsidR="00414D4A" w:rsidRPr="004C2FAC">
        <w:rPr>
          <w:rFonts w:cs="Arial"/>
        </w:rPr>
        <w:t xml:space="preserve">con las pruebas </w:t>
      </w:r>
      <w:r w:rsidRPr="004C2FAC">
        <w:rPr>
          <w:rFonts w:cs="Arial"/>
        </w:rPr>
        <w:t xml:space="preserve">que fueron </w:t>
      </w:r>
      <w:r w:rsidR="00414D4A" w:rsidRPr="004C2FAC">
        <w:rPr>
          <w:rFonts w:cs="Arial"/>
        </w:rPr>
        <w:t>solicitadas por la compañía aseguradora y decretadas en este proceso</w:t>
      </w:r>
      <w:r w:rsidRPr="004C2FAC">
        <w:rPr>
          <w:rFonts w:cs="Arial"/>
        </w:rPr>
        <w:t xml:space="preserve">, </w:t>
      </w:r>
      <w:r w:rsidR="00414D4A" w:rsidRPr="004C2FAC">
        <w:rPr>
          <w:rFonts w:cs="Arial"/>
        </w:rPr>
        <w:t xml:space="preserve">el Ministerio de Agricultura y Desarrollo </w:t>
      </w:r>
      <w:r w:rsidRPr="004C2FAC">
        <w:rPr>
          <w:rFonts w:cs="Arial"/>
        </w:rPr>
        <w:t xml:space="preserve">Rural </w:t>
      </w:r>
      <w:r w:rsidR="004F33A3" w:rsidRPr="004C2FAC">
        <w:rPr>
          <w:rFonts w:cs="Arial"/>
        </w:rPr>
        <w:t>allegó</w:t>
      </w:r>
      <w:r w:rsidRPr="004C2FAC">
        <w:rPr>
          <w:rFonts w:cs="Arial"/>
        </w:rPr>
        <w:t xml:space="preserve"> </w:t>
      </w:r>
      <w:r w:rsidR="00414D4A" w:rsidRPr="004C2FAC">
        <w:rPr>
          <w:rFonts w:cs="Arial"/>
        </w:rPr>
        <w:t>toda la actuación administrativa relacionada con l</w:t>
      </w:r>
      <w:r w:rsidR="004141BD" w:rsidRPr="004C2FAC">
        <w:rPr>
          <w:rFonts w:cs="Arial"/>
        </w:rPr>
        <w:t xml:space="preserve">as pólizas de seguro y los contratos de </w:t>
      </w:r>
      <w:r w:rsidRPr="004C2FAC">
        <w:rPr>
          <w:rFonts w:cs="Arial"/>
        </w:rPr>
        <w:t>trueque de que trata este litigio.</w:t>
      </w:r>
      <w:r w:rsidR="006F5B69" w:rsidRPr="004C2FAC">
        <w:rPr>
          <w:rFonts w:cs="Arial"/>
        </w:rPr>
        <w:t xml:space="preserve"> </w:t>
      </w:r>
    </w:p>
    <w:p w:rsidR="00781AB3" w:rsidRPr="004C2FAC" w:rsidRDefault="00781AB3" w:rsidP="00574579">
      <w:pPr>
        <w:rPr>
          <w:rFonts w:cs="Arial"/>
        </w:rPr>
      </w:pPr>
    </w:p>
    <w:p w:rsidR="0024640E" w:rsidRPr="004C2FAC" w:rsidRDefault="006F5B69" w:rsidP="00574579">
      <w:pPr>
        <w:rPr>
          <w:rFonts w:cs="Arial"/>
        </w:rPr>
      </w:pPr>
      <w:r w:rsidRPr="004C2FAC">
        <w:rPr>
          <w:rFonts w:cs="Arial"/>
        </w:rPr>
        <w:t>Fue así como se a</w:t>
      </w:r>
      <w:r w:rsidR="004F33A3" w:rsidRPr="004C2FAC">
        <w:rPr>
          <w:rFonts w:cs="Arial"/>
        </w:rPr>
        <w:t xml:space="preserve">portaron </w:t>
      </w:r>
      <w:r w:rsidRPr="004C2FAC">
        <w:rPr>
          <w:rFonts w:cs="Arial"/>
        </w:rPr>
        <w:t>al plenario 148 folios contentivos del informe de fecha 12 de mayo de 1999 preparado por la contadora Haydee Casadiego López</w:t>
      </w:r>
      <w:r w:rsidRPr="004C2FAC">
        <w:rPr>
          <w:rStyle w:val="Refdenotaalpie"/>
          <w:rFonts w:cs="Arial"/>
        </w:rPr>
        <w:footnoteReference w:id="73"/>
      </w:r>
    </w:p>
    <w:p w:rsidR="0024640E" w:rsidRPr="004C2FAC" w:rsidRDefault="0024640E" w:rsidP="00574579">
      <w:pPr>
        <w:rPr>
          <w:rFonts w:cs="Arial"/>
        </w:rPr>
      </w:pPr>
    </w:p>
    <w:p w:rsidR="005F3A5C" w:rsidRPr="004C2FAC" w:rsidRDefault="005F3A5C" w:rsidP="00574579">
      <w:pPr>
        <w:rPr>
          <w:rFonts w:cs="Arial"/>
        </w:rPr>
      </w:pPr>
      <w:r w:rsidRPr="004C2FAC">
        <w:rPr>
          <w:rFonts w:cs="Arial"/>
        </w:rPr>
        <w:t>En su informe la citada profesional expuso</w:t>
      </w:r>
      <w:r w:rsidR="00781AB3" w:rsidRPr="004C2FAC">
        <w:rPr>
          <w:rFonts w:cs="Arial"/>
        </w:rPr>
        <w:t xml:space="preserve"> (se transcribe de manera literal, incluso con posibles errores)</w:t>
      </w:r>
      <w:r w:rsidRPr="004C2FAC">
        <w:rPr>
          <w:rFonts w:cs="Arial"/>
        </w:rPr>
        <w:t>:</w:t>
      </w:r>
    </w:p>
    <w:p w:rsidR="005F3A5C" w:rsidRPr="004C2FAC" w:rsidRDefault="005F3A5C" w:rsidP="00574579">
      <w:pPr>
        <w:rPr>
          <w:rFonts w:cs="Arial"/>
        </w:rPr>
      </w:pPr>
    </w:p>
    <w:p w:rsidR="00CE2E0B" w:rsidRPr="004C2FAC" w:rsidRDefault="005F3A5C" w:rsidP="00CA3935">
      <w:pPr>
        <w:spacing w:line="276" w:lineRule="auto"/>
        <w:ind w:left="567" w:right="902"/>
        <w:rPr>
          <w:rFonts w:cs="Arial"/>
          <w:b/>
          <w:i/>
          <w:sz w:val="22"/>
          <w:szCs w:val="22"/>
        </w:rPr>
      </w:pPr>
      <w:r w:rsidRPr="004C2FAC">
        <w:rPr>
          <w:rFonts w:cs="Arial"/>
        </w:rPr>
        <w:t>“</w:t>
      </w:r>
      <w:r w:rsidRPr="004C2FAC">
        <w:rPr>
          <w:rFonts w:cs="Arial"/>
          <w:i/>
          <w:sz w:val="22"/>
          <w:szCs w:val="22"/>
        </w:rPr>
        <w:t>A continuación me permito pr</w:t>
      </w:r>
      <w:r w:rsidR="00CA3935" w:rsidRPr="004C2FAC">
        <w:rPr>
          <w:rFonts w:cs="Arial"/>
          <w:i/>
          <w:sz w:val="22"/>
          <w:szCs w:val="22"/>
        </w:rPr>
        <w:t>e</w:t>
      </w:r>
      <w:r w:rsidRPr="004C2FAC">
        <w:rPr>
          <w:rFonts w:cs="Arial"/>
          <w:i/>
          <w:sz w:val="22"/>
          <w:szCs w:val="22"/>
        </w:rPr>
        <w:t xml:space="preserve">sentar el resultado del análisis de los documentos y registros contables correspondientes a la Ejecución de las Operaciones de Trueques Directos y a través de la Bolsa Nacional Agropecuaria adelantadas con el mandante </w:t>
      </w:r>
      <w:r w:rsidRPr="004C2FAC">
        <w:rPr>
          <w:rFonts w:cs="Arial"/>
          <w:b/>
          <w:i/>
          <w:sz w:val="22"/>
          <w:szCs w:val="22"/>
        </w:rPr>
        <w:t>COMPAÑÍA COLOMBIANA DE CEREALES COLCEREALES S.A.</w:t>
      </w:r>
    </w:p>
    <w:p w:rsidR="00CE2E0B" w:rsidRPr="004C2FAC" w:rsidRDefault="00CE2E0B" w:rsidP="00CA3935">
      <w:pPr>
        <w:spacing w:line="276" w:lineRule="auto"/>
        <w:ind w:left="567" w:right="902"/>
        <w:rPr>
          <w:rFonts w:cs="Arial"/>
          <w:i/>
          <w:sz w:val="22"/>
          <w:szCs w:val="22"/>
        </w:rPr>
      </w:pPr>
    </w:p>
    <w:p w:rsidR="00CE2E0B" w:rsidRPr="004C2FAC" w:rsidRDefault="005F5BF4" w:rsidP="00CA3935">
      <w:pPr>
        <w:spacing w:line="276" w:lineRule="auto"/>
        <w:ind w:left="567" w:right="902"/>
        <w:rPr>
          <w:rFonts w:cs="Arial"/>
          <w:b/>
          <w:i/>
          <w:sz w:val="22"/>
          <w:szCs w:val="22"/>
        </w:rPr>
      </w:pPr>
      <w:r w:rsidRPr="004C2FAC">
        <w:rPr>
          <w:rFonts w:cs="Arial"/>
          <w:i/>
          <w:sz w:val="22"/>
          <w:szCs w:val="22"/>
        </w:rPr>
        <w:t>“</w:t>
      </w:r>
      <w:r w:rsidR="00CE2E0B" w:rsidRPr="004C2FAC">
        <w:rPr>
          <w:rFonts w:cs="Arial"/>
          <w:b/>
          <w:i/>
          <w:sz w:val="22"/>
          <w:szCs w:val="22"/>
        </w:rPr>
        <w:t>1. TRUEQUE DIRECTO</w:t>
      </w:r>
    </w:p>
    <w:p w:rsidR="00CE2E0B" w:rsidRPr="004C2FAC" w:rsidRDefault="005F5BF4" w:rsidP="00CA3935">
      <w:pPr>
        <w:spacing w:line="276" w:lineRule="auto"/>
        <w:ind w:left="567" w:right="902"/>
        <w:rPr>
          <w:rFonts w:cs="Arial"/>
          <w:b/>
          <w:i/>
          <w:sz w:val="22"/>
          <w:szCs w:val="22"/>
        </w:rPr>
      </w:pPr>
      <w:r w:rsidRPr="004C2FAC">
        <w:rPr>
          <w:rFonts w:cs="Arial"/>
          <w:i/>
          <w:sz w:val="22"/>
          <w:szCs w:val="22"/>
        </w:rPr>
        <w:t>“</w:t>
      </w:r>
      <w:r w:rsidR="00CE2E0B" w:rsidRPr="004C2FAC">
        <w:rPr>
          <w:rFonts w:cs="Arial"/>
          <w:b/>
          <w:i/>
          <w:sz w:val="22"/>
          <w:szCs w:val="22"/>
        </w:rPr>
        <w:t>Contrato 8861 de Septiembre 21 de 1995</w:t>
      </w:r>
    </w:p>
    <w:p w:rsidR="00CE2E0B" w:rsidRPr="004C2FAC" w:rsidRDefault="00CE2E0B" w:rsidP="00CA3935">
      <w:pPr>
        <w:spacing w:line="276" w:lineRule="auto"/>
        <w:ind w:left="567" w:right="902"/>
        <w:rPr>
          <w:rFonts w:cs="Arial"/>
          <w:i/>
          <w:sz w:val="22"/>
          <w:szCs w:val="22"/>
        </w:rPr>
      </w:pPr>
    </w:p>
    <w:p w:rsidR="00D32F91" w:rsidRPr="004C2FAC" w:rsidRDefault="005F5BF4" w:rsidP="00CA3935">
      <w:pPr>
        <w:spacing w:line="276" w:lineRule="auto"/>
        <w:ind w:left="567" w:right="902"/>
        <w:rPr>
          <w:rFonts w:cs="Arial"/>
          <w:i/>
          <w:sz w:val="22"/>
          <w:szCs w:val="22"/>
        </w:rPr>
      </w:pPr>
      <w:r w:rsidRPr="004C2FAC">
        <w:rPr>
          <w:rFonts w:cs="Arial"/>
          <w:i/>
          <w:sz w:val="22"/>
          <w:szCs w:val="22"/>
        </w:rPr>
        <w:t>“</w:t>
      </w:r>
      <w:r w:rsidR="00CE2E0B" w:rsidRPr="004C2FAC">
        <w:rPr>
          <w:rFonts w:cs="Arial"/>
          <w:i/>
          <w:sz w:val="22"/>
          <w:szCs w:val="22"/>
        </w:rPr>
        <w:t>En esta negociación el IDEMA se comprometió a entregar 5.000 toneladas</w:t>
      </w:r>
      <w:r w:rsidR="00D32F91" w:rsidRPr="004C2FAC">
        <w:rPr>
          <w:rFonts w:cs="Arial"/>
          <w:i/>
          <w:sz w:val="22"/>
          <w:szCs w:val="22"/>
        </w:rPr>
        <w:t xml:space="preserve"> (…) y debía recibir 3.445 toneladas de arroz blanco grado uno equivalente</w:t>
      </w:r>
      <w:r w:rsidR="00E67EDE" w:rsidRPr="004C2FAC">
        <w:rPr>
          <w:rFonts w:cs="Arial"/>
          <w:i/>
          <w:sz w:val="22"/>
          <w:szCs w:val="22"/>
        </w:rPr>
        <w:t>s</w:t>
      </w:r>
      <w:r w:rsidR="00D32F91" w:rsidRPr="004C2FAC">
        <w:rPr>
          <w:rFonts w:cs="Arial"/>
          <w:i/>
          <w:sz w:val="22"/>
          <w:szCs w:val="22"/>
        </w:rPr>
        <w:t xml:space="preserve"> al 68%, como se establece en el memorando 4764 de Dicie</w:t>
      </w:r>
      <w:r w:rsidR="00E67EDE" w:rsidRPr="004C2FAC">
        <w:rPr>
          <w:rFonts w:cs="Arial"/>
          <w:i/>
          <w:sz w:val="22"/>
          <w:szCs w:val="22"/>
        </w:rPr>
        <w:t>m</w:t>
      </w:r>
      <w:r w:rsidR="00D32F91" w:rsidRPr="004C2FAC">
        <w:rPr>
          <w:rFonts w:cs="Arial"/>
          <w:i/>
          <w:sz w:val="22"/>
          <w:szCs w:val="22"/>
        </w:rPr>
        <w:t>bre 12 de 1995.</w:t>
      </w:r>
    </w:p>
    <w:p w:rsidR="00D32F91" w:rsidRPr="004C2FAC" w:rsidRDefault="00D32F91" w:rsidP="00CA3935">
      <w:pPr>
        <w:spacing w:line="276" w:lineRule="auto"/>
        <w:ind w:left="567" w:right="902"/>
        <w:rPr>
          <w:rFonts w:cs="Arial"/>
          <w:i/>
          <w:sz w:val="22"/>
          <w:szCs w:val="22"/>
        </w:rPr>
      </w:pPr>
    </w:p>
    <w:p w:rsidR="008B5256" w:rsidRPr="004C2FAC" w:rsidRDefault="005F5BF4" w:rsidP="00CA3935">
      <w:pPr>
        <w:spacing w:line="276" w:lineRule="auto"/>
        <w:ind w:left="567" w:right="902"/>
        <w:rPr>
          <w:rFonts w:cs="Arial"/>
          <w:i/>
          <w:sz w:val="22"/>
          <w:szCs w:val="22"/>
        </w:rPr>
      </w:pPr>
      <w:r w:rsidRPr="004C2FAC">
        <w:rPr>
          <w:rFonts w:cs="Arial"/>
          <w:i/>
          <w:sz w:val="22"/>
          <w:szCs w:val="22"/>
        </w:rPr>
        <w:t>“</w:t>
      </w:r>
      <w:r w:rsidR="00D32F91" w:rsidRPr="004C2FAC">
        <w:rPr>
          <w:rFonts w:cs="Arial"/>
          <w:i/>
          <w:sz w:val="22"/>
          <w:szCs w:val="22"/>
        </w:rPr>
        <w:t>En desarrollo de las operaciones el</w:t>
      </w:r>
      <w:r w:rsidR="008B5256" w:rsidRPr="004C2FAC">
        <w:rPr>
          <w:rFonts w:cs="Arial"/>
          <w:i/>
          <w:sz w:val="22"/>
          <w:szCs w:val="22"/>
        </w:rPr>
        <w:t xml:space="preserve"> </w:t>
      </w:r>
      <w:r w:rsidR="00D32F91" w:rsidRPr="004C2FAC">
        <w:rPr>
          <w:rFonts w:cs="Arial"/>
          <w:i/>
          <w:sz w:val="22"/>
          <w:szCs w:val="22"/>
        </w:rPr>
        <w:t xml:space="preserve">IDEMA entregó 4’365.989 </w:t>
      </w:r>
      <w:r w:rsidR="008B5256" w:rsidRPr="004C2FAC">
        <w:rPr>
          <w:rFonts w:cs="Arial"/>
          <w:i/>
          <w:sz w:val="22"/>
          <w:szCs w:val="22"/>
        </w:rPr>
        <w:t>kilos de arroz blanco en las dependencias de Tunja, Medellín, Cali, Fontibón, Corabastos y Pereira por un valor total de $1.803</w:t>
      </w:r>
      <w:r w:rsidR="00E67EDE" w:rsidRPr="004C2FAC">
        <w:rPr>
          <w:rFonts w:cs="Arial"/>
          <w:i/>
          <w:sz w:val="22"/>
          <w:szCs w:val="22"/>
        </w:rPr>
        <w:t>’</w:t>
      </w:r>
      <w:r w:rsidR="008B5256" w:rsidRPr="004C2FAC">
        <w:rPr>
          <w:rFonts w:cs="Arial"/>
          <w:i/>
          <w:sz w:val="22"/>
          <w:szCs w:val="22"/>
        </w:rPr>
        <w:t>755.053.</w:t>
      </w:r>
    </w:p>
    <w:p w:rsidR="008B5256" w:rsidRPr="004C2FAC" w:rsidRDefault="008B5256" w:rsidP="00CA3935">
      <w:pPr>
        <w:spacing w:line="276" w:lineRule="auto"/>
        <w:ind w:left="567" w:right="902"/>
        <w:rPr>
          <w:rFonts w:cs="Arial"/>
          <w:i/>
          <w:sz w:val="22"/>
          <w:szCs w:val="22"/>
        </w:rPr>
      </w:pPr>
    </w:p>
    <w:p w:rsidR="00DC7872" w:rsidRPr="004C2FAC" w:rsidRDefault="005F5BF4" w:rsidP="00CA3935">
      <w:pPr>
        <w:spacing w:line="276" w:lineRule="auto"/>
        <w:ind w:left="567" w:right="902"/>
        <w:rPr>
          <w:rFonts w:cs="Arial"/>
          <w:i/>
          <w:sz w:val="22"/>
          <w:szCs w:val="22"/>
        </w:rPr>
      </w:pPr>
      <w:r w:rsidRPr="004C2FAC">
        <w:rPr>
          <w:rFonts w:cs="Arial"/>
          <w:i/>
          <w:sz w:val="22"/>
          <w:szCs w:val="22"/>
        </w:rPr>
        <w:t>“</w:t>
      </w:r>
      <w:r w:rsidR="008B5256" w:rsidRPr="004C2FAC">
        <w:rPr>
          <w:rFonts w:cs="Arial"/>
          <w:i/>
          <w:sz w:val="22"/>
          <w:szCs w:val="22"/>
        </w:rPr>
        <w:t xml:space="preserve">COLCEREALES debía entregar al IDEMA 3’008.166 Kilos </w:t>
      </w:r>
      <w:r w:rsidR="00DC7872" w:rsidRPr="004C2FAC">
        <w:rPr>
          <w:rFonts w:cs="Arial"/>
          <w:i/>
          <w:sz w:val="22"/>
          <w:szCs w:val="22"/>
        </w:rPr>
        <w:t>de Arroz Blanco grado uno en las dependencia de Barranquilla, Cali, Armenia y Cartagena con plazo máximo hasta Noviembre 13 de 1</w:t>
      </w:r>
      <w:r w:rsidR="00E03EC2" w:rsidRPr="004C2FAC">
        <w:rPr>
          <w:rFonts w:cs="Arial"/>
          <w:i/>
          <w:sz w:val="22"/>
          <w:szCs w:val="22"/>
        </w:rPr>
        <w:t>996</w:t>
      </w:r>
      <w:r w:rsidR="00DC7872" w:rsidRPr="004C2FAC">
        <w:rPr>
          <w:rFonts w:cs="Arial"/>
          <w:i/>
          <w:sz w:val="22"/>
          <w:szCs w:val="22"/>
        </w:rPr>
        <w:t>, compromiso que no cumplió.</w:t>
      </w:r>
    </w:p>
    <w:p w:rsidR="00DC7872" w:rsidRPr="004C2FAC" w:rsidRDefault="00DC7872" w:rsidP="00CA3935">
      <w:pPr>
        <w:spacing w:line="276" w:lineRule="auto"/>
        <w:ind w:left="567" w:right="902"/>
        <w:rPr>
          <w:rFonts w:cs="Arial"/>
          <w:i/>
          <w:sz w:val="22"/>
          <w:szCs w:val="22"/>
        </w:rPr>
      </w:pPr>
    </w:p>
    <w:p w:rsidR="00DC7872" w:rsidRPr="004C2FAC" w:rsidRDefault="005F5BF4" w:rsidP="00CA3935">
      <w:pPr>
        <w:spacing w:line="276" w:lineRule="auto"/>
        <w:ind w:left="567" w:right="902"/>
        <w:rPr>
          <w:rFonts w:cs="Arial"/>
          <w:i/>
          <w:sz w:val="22"/>
          <w:szCs w:val="22"/>
        </w:rPr>
      </w:pPr>
      <w:r w:rsidRPr="004C2FAC">
        <w:rPr>
          <w:rFonts w:cs="Arial"/>
          <w:i/>
          <w:sz w:val="22"/>
          <w:szCs w:val="22"/>
        </w:rPr>
        <w:t>“</w:t>
      </w:r>
      <w:r w:rsidR="00DC7872" w:rsidRPr="004C2FAC">
        <w:rPr>
          <w:rFonts w:cs="Arial"/>
          <w:i/>
          <w:sz w:val="22"/>
          <w:szCs w:val="22"/>
        </w:rPr>
        <w:t>(…)</w:t>
      </w:r>
      <w:r w:rsidR="00781AB3" w:rsidRPr="004C2FAC">
        <w:rPr>
          <w:rFonts w:cs="Arial"/>
          <w:i/>
          <w:sz w:val="22"/>
          <w:szCs w:val="22"/>
        </w:rPr>
        <w:t>.</w:t>
      </w:r>
    </w:p>
    <w:p w:rsidR="00DC7872" w:rsidRPr="004C2FAC" w:rsidRDefault="00DC7872" w:rsidP="00CA3935">
      <w:pPr>
        <w:spacing w:line="276" w:lineRule="auto"/>
        <w:ind w:left="567" w:right="902"/>
        <w:rPr>
          <w:rFonts w:cs="Arial"/>
          <w:i/>
          <w:sz w:val="22"/>
          <w:szCs w:val="22"/>
        </w:rPr>
      </w:pPr>
    </w:p>
    <w:p w:rsidR="00DC7872" w:rsidRPr="004C2FAC" w:rsidRDefault="00781AB3" w:rsidP="00CA3935">
      <w:pPr>
        <w:spacing w:line="276" w:lineRule="auto"/>
        <w:ind w:left="567" w:right="902"/>
        <w:rPr>
          <w:rFonts w:cs="Arial"/>
          <w:b/>
          <w:i/>
          <w:sz w:val="22"/>
          <w:szCs w:val="22"/>
        </w:rPr>
      </w:pPr>
      <w:r w:rsidRPr="004C2FAC">
        <w:rPr>
          <w:rFonts w:cs="Arial"/>
          <w:i/>
          <w:sz w:val="22"/>
          <w:szCs w:val="22"/>
        </w:rPr>
        <w:t>“</w:t>
      </w:r>
      <w:r w:rsidRPr="004C2FAC">
        <w:rPr>
          <w:rFonts w:cs="Arial"/>
          <w:b/>
          <w:i/>
          <w:sz w:val="22"/>
          <w:szCs w:val="22"/>
        </w:rPr>
        <w:t>2. BOLSA NACIONAL AGROPECUARIA</w:t>
      </w:r>
    </w:p>
    <w:p w:rsidR="00DC7872" w:rsidRPr="004C2FAC" w:rsidRDefault="00DC7872" w:rsidP="00CA3935">
      <w:pPr>
        <w:spacing w:line="276" w:lineRule="auto"/>
        <w:ind w:left="567" w:right="902"/>
        <w:rPr>
          <w:rFonts w:cs="Arial"/>
          <w:b/>
          <w:i/>
          <w:sz w:val="22"/>
          <w:szCs w:val="22"/>
        </w:rPr>
      </w:pPr>
      <w:r w:rsidRPr="004C2FAC">
        <w:rPr>
          <w:rFonts w:cs="Arial"/>
          <w:b/>
          <w:i/>
          <w:sz w:val="22"/>
          <w:szCs w:val="22"/>
        </w:rPr>
        <w:t>Operaciones DT-13074/13075</w:t>
      </w:r>
    </w:p>
    <w:p w:rsidR="00DC7872" w:rsidRPr="004C2FAC" w:rsidRDefault="00DC7872" w:rsidP="00CA3935">
      <w:pPr>
        <w:spacing w:line="276" w:lineRule="auto"/>
        <w:ind w:left="567" w:right="902"/>
        <w:rPr>
          <w:rFonts w:cs="Arial"/>
          <w:i/>
          <w:sz w:val="22"/>
          <w:szCs w:val="22"/>
        </w:rPr>
      </w:pPr>
    </w:p>
    <w:p w:rsidR="00815728" w:rsidRPr="004C2FAC" w:rsidRDefault="005F5BF4" w:rsidP="00CA3935">
      <w:pPr>
        <w:spacing w:line="276" w:lineRule="auto"/>
        <w:ind w:left="567" w:right="902"/>
        <w:rPr>
          <w:rFonts w:cs="Arial"/>
          <w:i/>
          <w:sz w:val="22"/>
          <w:szCs w:val="22"/>
        </w:rPr>
      </w:pPr>
      <w:r w:rsidRPr="004C2FAC">
        <w:rPr>
          <w:rFonts w:cs="Arial"/>
          <w:i/>
          <w:sz w:val="22"/>
          <w:szCs w:val="22"/>
        </w:rPr>
        <w:t>“</w:t>
      </w:r>
      <w:r w:rsidR="00815728" w:rsidRPr="004C2FAC">
        <w:rPr>
          <w:rFonts w:cs="Arial"/>
          <w:i/>
          <w:sz w:val="22"/>
          <w:szCs w:val="22"/>
        </w:rPr>
        <w:t>(…)</w:t>
      </w:r>
    </w:p>
    <w:p w:rsidR="00815728" w:rsidRPr="004C2FAC" w:rsidRDefault="00815728" w:rsidP="00CA3935">
      <w:pPr>
        <w:spacing w:line="276" w:lineRule="auto"/>
        <w:ind w:left="567" w:right="902"/>
        <w:rPr>
          <w:rFonts w:cs="Arial"/>
          <w:i/>
          <w:sz w:val="22"/>
          <w:szCs w:val="22"/>
        </w:rPr>
      </w:pPr>
    </w:p>
    <w:p w:rsidR="00D44C25" w:rsidRPr="004C2FAC" w:rsidRDefault="005F5BF4" w:rsidP="00CA3935">
      <w:pPr>
        <w:spacing w:line="276" w:lineRule="auto"/>
        <w:ind w:left="567" w:right="902"/>
        <w:rPr>
          <w:rFonts w:cs="Arial"/>
          <w:i/>
          <w:sz w:val="22"/>
          <w:szCs w:val="22"/>
        </w:rPr>
      </w:pPr>
      <w:r w:rsidRPr="004C2FAC">
        <w:rPr>
          <w:rFonts w:cs="Arial"/>
          <w:i/>
          <w:sz w:val="22"/>
          <w:szCs w:val="22"/>
        </w:rPr>
        <w:t>“</w:t>
      </w:r>
      <w:r w:rsidR="00815728" w:rsidRPr="004C2FAC">
        <w:rPr>
          <w:rFonts w:cs="Arial"/>
          <w:i/>
          <w:sz w:val="22"/>
          <w:szCs w:val="22"/>
        </w:rPr>
        <w:t>En su ejecución el IDEMA entregó 1000 toneladas de arroz blanco grado tres por  $260’000.000. De las 493 toneladas de arroz blanco Colcereales solo entregó 180.906 kilos de Arroz Bl</w:t>
      </w:r>
      <w:r w:rsidR="00E67EDE" w:rsidRPr="004C2FAC">
        <w:rPr>
          <w:rFonts w:cs="Arial"/>
          <w:i/>
          <w:sz w:val="22"/>
          <w:szCs w:val="22"/>
        </w:rPr>
        <w:t>a</w:t>
      </w:r>
      <w:r w:rsidR="00815728" w:rsidRPr="004C2FAC">
        <w:rPr>
          <w:rFonts w:cs="Arial"/>
          <w:i/>
          <w:sz w:val="22"/>
          <w:szCs w:val="22"/>
        </w:rPr>
        <w:t xml:space="preserve">nco grado dos, quedando pendientes 312.094 </w:t>
      </w:r>
      <w:r w:rsidR="00E67EDE" w:rsidRPr="004C2FAC">
        <w:rPr>
          <w:rFonts w:cs="Arial"/>
          <w:i/>
          <w:sz w:val="22"/>
          <w:szCs w:val="22"/>
        </w:rPr>
        <w:t>K</w:t>
      </w:r>
      <w:r w:rsidR="00815728" w:rsidRPr="004C2FAC">
        <w:rPr>
          <w:rFonts w:cs="Arial"/>
          <w:i/>
          <w:sz w:val="22"/>
          <w:szCs w:val="22"/>
        </w:rPr>
        <w:t xml:space="preserve">ilos de Arroz </w:t>
      </w:r>
      <w:r w:rsidR="00D44C25" w:rsidRPr="004C2FAC">
        <w:rPr>
          <w:rFonts w:cs="Arial"/>
          <w:i/>
          <w:sz w:val="22"/>
          <w:szCs w:val="22"/>
        </w:rPr>
        <w:t xml:space="preserve">Blanco equivalentes a 633.050 Kilos de Arroz Paddy por $164’593.000, como saldo real a favor del </w:t>
      </w:r>
      <w:r w:rsidR="00E67EDE" w:rsidRPr="004C2FAC">
        <w:rPr>
          <w:rFonts w:cs="Arial"/>
          <w:i/>
          <w:sz w:val="22"/>
          <w:szCs w:val="22"/>
        </w:rPr>
        <w:t>IDEMA</w:t>
      </w:r>
      <w:r w:rsidR="00D44C25" w:rsidRPr="004C2FAC">
        <w:rPr>
          <w:rFonts w:cs="Arial"/>
          <w:i/>
          <w:sz w:val="22"/>
          <w:szCs w:val="22"/>
        </w:rPr>
        <w:t>,</w:t>
      </w:r>
    </w:p>
    <w:p w:rsidR="00D44C25" w:rsidRPr="004C2FAC" w:rsidRDefault="00D44C25" w:rsidP="00CA3935">
      <w:pPr>
        <w:spacing w:line="276" w:lineRule="auto"/>
        <w:ind w:left="567" w:right="902"/>
        <w:rPr>
          <w:rFonts w:cs="Arial"/>
          <w:i/>
          <w:sz w:val="22"/>
          <w:szCs w:val="22"/>
        </w:rPr>
      </w:pPr>
    </w:p>
    <w:p w:rsidR="00D44C25" w:rsidRPr="004C2FAC" w:rsidRDefault="005F5BF4" w:rsidP="00CA3935">
      <w:pPr>
        <w:spacing w:line="276" w:lineRule="auto"/>
        <w:ind w:left="567" w:right="902"/>
        <w:rPr>
          <w:rFonts w:cs="Arial"/>
          <w:i/>
          <w:sz w:val="22"/>
          <w:szCs w:val="22"/>
        </w:rPr>
      </w:pPr>
      <w:r w:rsidRPr="004C2FAC">
        <w:rPr>
          <w:rFonts w:cs="Arial"/>
          <w:i/>
          <w:sz w:val="22"/>
          <w:szCs w:val="22"/>
        </w:rPr>
        <w:t>“</w:t>
      </w:r>
      <w:r w:rsidR="00D44C25" w:rsidRPr="004C2FAC">
        <w:rPr>
          <w:rFonts w:cs="Arial"/>
          <w:i/>
          <w:sz w:val="22"/>
          <w:szCs w:val="22"/>
        </w:rPr>
        <w:t>(…</w:t>
      </w:r>
      <w:r w:rsidR="00051C12" w:rsidRPr="004C2FAC">
        <w:rPr>
          <w:rFonts w:cs="Arial"/>
          <w:i/>
          <w:sz w:val="22"/>
          <w:szCs w:val="22"/>
        </w:rPr>
        <w:t>.</w:t>
      </w:r>
      <w:r w:rsidR="00D44C25" w:rsidRPr="004C2FAC">
        <w:rPr>
          <w:rFonts w:cs="Arial"/>
          <w:i/>
          <w:sz w:val="22"/>
          <w:szCs w:val="22"/>
        </w:rPr>
        <w:t>)</w:t>
      </w:r>
    </w:p>
    <w:p w:rsidR="00D44C25" w:rsidRPr="004C2FAC" w:rsidRDefault="00D44C25" w:rsidP="00CA3935">
      <w:pPr>
        <w:spacing w:line="276" w:lineRule="auto"/>
        <w:ind w:left="567" w:right="902"/>
        <w:rPr>
          <w:rFonts w:cs="Arial"/>
          <w:i/>
          <w:sz w:val="22"/>
          <w:szCs w:val="22"/>
        </w:rPr>
      </w:pPr>
    </w:p>
    <w:p w:rsidR="00D44C25" w:rsidRPr="004C2FAC" w:rsidRDefault="005F5BF4" w:rsidP="00CA3935">
      <w:pPr>
        <w:spacing w:line="276" w:lineRule="auto"/>
        <w:ind w:left="567" w:right="902"/>
        <w:rPr>
          <w:rFonts w:cs="Arial"/>
          <w:b/>
          <w:i/>
          <w:sz w:val="22"/>
          <w:szCs w:val="22"/>
        </w:rPr>
      </w:pPr>
      <w:r w:rsidRPr="004C2FAC">
        <w:rPr>
          <w:rFonts w:cs="Arial"/>
          <w:i/>
          <w:sz w:val="22"/>
          <w:szCs w:val="22"/>
        </w:rPr>
        <w:t>“</w:t>
      </w:r>
      <w:r w:rsidR="00D44C25" w:rsidRPr="004C2FAC">
        <w:rPr>
          <w:rFonts w:cs="Arial"/>
          <w:b/>
          <w:i/>
          <w:sz w:val="22"/>
          <w:szCs w:val="22"/>
        </w:rPr>
        <w:t>3</w:t>
      </w:r>
      <w:r w:rsidR="00E67EDE" w:rsidRPr="004C2FAC">
        <w:rPr>
          <w:rFonts w:cs="Arial"/>
          <w:b/>
          <w:i/>
          <w:sz w:val="22"/>
          <w:szCs w:val="22"/>
        </w:rPr>
        <w:t>.</w:t>
      </w:r>
      <w:r w:rsidR="00D44C25" w:rsidRPr="004C2FAC">
        <w:rPr>
          <w:rFonts w:cs="Arial"/>
          <w:b/>
          <w:i/>
          <w:sz w:val="22"/>
          <w:szCs w:val="22"/>
        </w:rPr>
        <w:t xml:space="preserve"> BOLSA NACIONAL AGROPECUARIA</w:t>
      </w:r>
    </w:p>
    <w:p w:rsidR="00D44C25" w:rsidRPr="004C2FAC" w:rsidRDefault="005F5BF4" w:rsidP="00CA3935">
      <w:pPr>
        <w:spacing w:line="276" w:lineRule="auto"/>
        <w:ind w:left="567" w:right="902"/>
        <w:rPr>
          <w:rFonts w:cs="Arial"/>
          <w:b/>
          <w:i/>
          <w:sz w:val="22"/>
          <w:szCs w:val="22"/>
        </w:rPr>
      </w:pPr>
      <w:r w:rsidRPr="004C2FAC">
        <w:rPr>
          <w:rFonts w:cs="Arial"/>
          <w:i/>
          <w:sz w:val="22"/>
          <w:szCs w:val="22"/>
        </w:rPr>
        <w:t>“</w:t>
      </w:r>
      <w:r w:rsidR="00D44C25" w:rsidRPr="004C2FAC">
        <w:rPr>
          <w:rFonts w:cs="Arial"/>
          <w:b/>
          <w:i/>
          <w:sz w:val="22"/>
          <w:szCs w:val="22"/>
        </w:rPr>
        <w:t>Operaciones DT- 13066 Y 13067</w:t>
      </w:r>
    </w:p>
    <w:p w:rsidR="00D44C25" w:rsidRPr="004C2FAC" w:rsidRDefault="00D44C25" w:rsidP="00CA3935">
      <w:pPr>
        <w:spacing w:line="276" w:lineRule="auto"/>
        <w:ind w:left="567" w:right="902"/>
        <w:rPr>
          <w:rFonts w:cs="Arial"/>
          <w:i/>
          <w:sz w:val="22"/>
          <w:szCs w:val="22"/>
        </w:rPr>
      </w:pPr>
    </w:p>
    <w:p w:rsidR="00D44C25" w:rsidRPr="004C2FAC" w:rsidRDefault="005F5BF4" w:rsidP="00CA3935">
      <w:pPr>
        <w:spacing w:line="276" w:lineRule="auto"/>
        <w:ind w:left="567" w:right="902"/>
        <w:rPr>
          <w:rFonts w:cs="Arial"/>
          <w:i/>
          <w:sz w:val="22"/>
          <w:szCs w:val="22"/>
        </w:rPr>
      </w:pPr>
      <w:r w:rsidRPr="004C2FAC">
        <w:rPr>
          <w:rFonts w:cs="Arial"/>
          <w:i/>
          <w:sz w:val="22"/>
          <w:szCs w:val="22"/>
        </w:rPr>
        <w:lastRenderedPageBreak/>
        <w:t>“</w:t>
      </w:r>
      <w:r w:rsidR="00D44C25" w:rsidRPr="004C2FAC">
        <w:rPr>
          <w:rFonts w:cs="Arial"/>
          <w:i/>
          <w:sz w:val="22"/>
          <w:szCs w:val="22"/>
        </w:rPr>
        <w:t>(…)</w:t>
      </w:r>
      <w:r w:rsidR="00E67EDE" w:rsidRPr="004C2FAC">
        <w:rPr>
          <w:rFonts w:cs="Arial"/>
          <w:i/>
          <w:sz w:val="22"/>
          <w:szCs w:val="22"/>
        </w:rPr>
        <w:t>.</w:t>
      </w:r>
    </w:p>
    <w:p w:rsidR="00D44C25" w:rsidRPr="004C2FAC" w:rsidRDefault="00D44C25" w:rsidP="00CA3935">
      <w:pPr>
        <w:spacing w:line="276" w:lineRule="auto"/>
        <w:ind w:left="567" w:right="902"/>
        <w:rPr>
          <w:rFonts w:cs="Arial"/>
          <w:i/>
          <w:sz w:val="22"/>
          <w:szCs w:val="22"/>
        </w:rPr>
      </w:pPr>
    </w:p>
    <w:p w:rsidR="00E92AF2" w:rsidRPr="004C2FAC" w:rsidRDefault="005F5BF4" w:rsidP="00CA3935">
      <w:pPr>
        <w:spacing w:line="276" w:lineRule="auto"/>
        <w:ind w:left="567" w:right="902"/>
        <w:rPr>
          <w:rFonts w:cs="Arial"/>
          <w:i/>
          <w:sz w:val="22"/>
          <w:szCs w:val="22"/>
        </w:rPr>
      </w:pPr>
      <w:r w:rsidRPr="004C2FAC">
        <w:rPr>
          <w:rFonts w:cs="Arial"/>
          <w:i/>
          <w:sz w:val="22"/>
          <w:szCs w:val="22"/>
        </w:rPr>
        <w:t>“</w:t>
      </w:r>
      <w:r w:rsidR="00D44C25" w:rsidRPr="004C2FAC">
        <w:rPr>
          <w:rFonts w:cs="Arial"/>
          <w:i/>
          <w:sz w:val="22"/>
          <w:szCs w:val="22"/>
        </w:rPr>
        <w:t xml:space="preserve">En ejecución de las operaciones el IDEMA entregó 625 toneladas de Arroz Paddy grado tres y </w:t>
      </w:r>
      <w:r w:rsidR="00E67EDE" w:rsidRPr="004C2FAC">
        <w:rPr>
          <w:rFonts w:cs="Arial"/>
          <w:i/>
          <w:sz w:val="22"/>
          <w:szCs w:val="22"/>
        </w:rPr>
        <w:t xml:space="preserve">recibió </w:t>
      </w:r>
      <w:r w:rsidR="00E92AF2" w:rsidRPr="004C2FAC">
        <w:rPr>
          <w:rFonts w:cs="Arial"/>
          <w:i/>
          <w:sz w:val="22"/>
          <w:szCs w:val="22"/>
        </w:rPr>
        <w:t>318.750 Kilos de Arroz Blanco grado dos equivalentes al 51% según anexo del memorando 5107</w:t>
      </w:r>
      <w:r w:rsidR="00051C12" w:rsidRPr="004C2FAC">
        <w:rPr>
          <w:rFonts w:cs="Arial"/>
          <w:i/>
          <w:sz w:val="22"/>
          <w:szCs w:val="22"/>
        </w:rPr>
        <w:t xml:space="preserve"> </w:t>
      </w:r>
      <w:r w:rsidR="00E92AF2" w:rsidRPr="004C2FAC">
        <w:rPr>
          <w:rFonts w:cs="Arial"/>
          <w:i/>
          <w:sz w:val="22"/>
          <w:szCs w:val="22"/>
        </w:rPr>
        <w:t>de Junio 26 de 1996 y antecedentes del memorando 003622 de Junio 10 de 1997 de la Dirección General Jurídica del Ministerio de Agricultura.</w:t>
      </w:r>
    </w:p>
    <w:p w:rsidR="00E92AF2" w:rsidRPr="004C2FAC" w:rsidRDefault="00E92AF2" w:rsidP="00CA3935">
      <w:pPr>
        <w:spacing w:line="276" w:lineRule="auto"/>
        <w:ind w:left="567" w:right="902"/>
        <w:rPr>
          <w:rFonts w:cs="Arial"/>
          <w:i/>
          <w:sz w:val="22"/>
          <w:szCs w:val="22"/>
        </w:rPr>
      </w:pPr>
    </w:p>
    <w:p w:rsidR="00CA3935" w:rsidRPr="004C2FAC" w:rsidRDefault="005F5BF4" w:rsidP="00CA3935">
      <w:pPr>
        <w:spacing w:line="276" w:lineRule="auto"/>
        <w:ind w:left="567" w:right="902"/>
        <w:rPr>
          <w:rFonts w:cs="Arial"/>
          <w:i/>
          <w:sz w:val="22"/>
          <w:szCs w:val="22"/>
        </w:rPr>
      </w:pPr>
      <w:r w:rsidRPr="004C2FAC">
        <w:rPr>
          <w:rFonts w:cs="Arial"/>
          <w:i/>
          <w:sz w:val="22"/>
          <w:szCs w:val="22"/>
        </w:rPr>
        <w:t>“</w:t>
      </w:r>
      <w:r w:rsidR="00C60AF5" w:rsidRPr="004C2FAC">
        <w:rPr>
          <w:rFonts w:cs="Arial"/>
          <w:i/>
          <w:sz w:val="22"/>
          <w:szCs w:val="22"/>
        </w:rPr>
        <w:t>En el análisis de las operaciones se refleja un saldo a favor del IDEMA por $2’999.453 correspondiente al valor de 12.509 empaques de fique usado entregados con Arroz Paddy a Colcereales y pendientes de devolución al IDEMA, cuyo valor no fue inclu</w:t>
      </w:r>
      <w:r w:rsidRPr="004C2FAC">
        <w:rPr>
          <w:rFonts w:cs="Arial"/>
          <w:i/>
          <w:sz w:val="22"/>
          <w:szCs w:val="22"/>
        </w:rPr>
        <w:t>i</w:t>
      </w:r>
      <w:r w:rsidR="00C60AF5" w:rsidRPr="004C2FAC">
        <w:rPr>
          <w:rFonts w:cs="Arial"/>
          <w:i/>
          <w:sz w:val="22"/>
          <w:szCs w:val="22"/>
        </w:rPr>
        <w:t xml:space="preserve">do en el acta de liquidación </w:t>
      </w:r>
      <w:r w:rsidR="00051C12" w:rsidRPr="004C2FAC">
        <w:rPr>
          <w:rFonts w:cs="Arial"/>
          <w:i/>
          <w:sz w:val="22"/>
          <w:szCs w:val="22"/>
        </w:rPr>
        <w:t xml:space="preserve">del </w:t>
      </w:r>
      <w:r w:rsidR="00C60AF5" w:rsidRPr="004C2FAC">
        <w:rPr>
          <w:rFonts w:cs="Arial"/>
          <w:i/>
          <w:sz w:val="22"/>
          <w:szCs w:val="22"/>
        </w:rPr>
        <w:t>IDEMA</w:t>
      </w:r>
      <w:r w:rsidR="00051C12" w:rsidRPr="004C2FAC">
        <w:rPr>
          <w:rFonts w:cs="Arial"/>
          <w:i/>
          <w:sz w:val="22"/>
          <w:szCs w:val="22"/>
        </w:rPr>
        <w:t>.</w:t>
      </w:r>
    </w:p>
    <w:p w:rsidR="00CA3935" w:rsidRPr="004C2FAC" w:rsidRDefault="00CA3935" w:rsidP="00CA3935">
      <w:pPr>
        <w:spacing w:line="276" w:lineRule="auto"/>
        <w:ind w:left="567" w:right="902"/>
        <w:rPr>
          <w:rFonts w:cs="Arial"/>
          <w:i/>
          <w:sz w:val="22"/>
          <w:szCs w:val="22"/>
        </w:rPr>
      </w:pPr>
    </w:p>
    <w:p w:rsidR="00CA3935" w:rsidRPr="004C2FAC" w:rsidRDefault="005F5BF4" w:rsidP="00CA3935">
      <w:pPr>
        <w:spacing w:line="276" w:lineRule="auto"/>
        <w:ind w:left="567" w:right="902"/>
        <w:rPr>
          <w:rFonts w:cs="Arial"/>
          <w:i/>
          <w:sz w:val="22"/>
          <w:szCs w:val="22"/>
        </w:rPr>
      </w:pPr>
      <w:r w:rsidRPr="004C2FAC">
        <w:rPr>
          <w:rFonts w:cs="Arial"/>
          <w:i/>
          <w:sz w:val="22"/>
          <w:szCs w:val="22"/>
        </w:rPr>
        <w:t>“</w:t>
      </w:r>
      <w:r w:rsidR="00CA3935" w:rsidRPr="004C2FAC">
        <w:rPr>
          <w:rFonts w:cs="Arial"/>
          <w:i/>
          <w:sz w:val="22"/>
          <w:szCs w:val="22"/>
        </w:rPr>
        <w:t>De acuerdo con el análisis de las operacion</w:t>
      </w:r>
      <w:r w:rsidRPr="004C2FAC">
        <w:rPr>
          <w:rFonts w:cs="Arial"/>
          <w:i/>
          <w:sz w:val="22"/>
          <w:szCs w:val="22"/>
        </w:rPr>
        <w:t>e</w:t>
      </w:r>
      <w:r w:rsidR="00CA3935" w:rsidRPr="004C2FAC">
        <w:rPr>
          <w:rFonts w:cs="Arial"/>
          <w:i/>
          <w:sz w:val="22"/>
          <w:szCs w:val="22"/>
        </w:rPr>
        <w:t>s Colcereales debe al IDEMA a costo de productos y empaques de fique entregados, los siguientes valores</w:t>
      </w:r>
      <w:r w:rsidRPr="004C2FAC">
        <w:rPr>
          <w:rFonts w:cs="Arial"/>
          <w:i/>
          <w:sz w:val="22"/>
          <w:szCs w:val="22"/>
        </w:rPr>
        <w:t>:</w:t>
      </w:r>
    </w:p>
    <w:p w:rsidR="00EE5A0A" w:rsidRPr="004C2FAC" w:rsidRDefault="00EE5A0A" w:rsidP="00CA3935">
      <w:pPr>
        <w:spacing w:line="276" w:lineRule="auto"/>
        <w:ind w:left="567" w:right="902"/>
        <w:rPr>
          <w:rFonts w:cs="Arial"/>
          <w:i/>
          <w:sz w:val="22"/>
          <w:szCs w:val="22"/>
        </w:rPr>
      </w:pPr>
    </w:p>
    <w:p w:rsidR="00D26AC5" w:rsidRPr="004C2FAC" w:rsidRDefault="00D26AC5" w:rsidP="00CA3935">
      <w:pPr>
        <w:spacing w:line="276" w:lineRule="auto"/>
        <w:ind w:left="567" w:right="902"/>
        <w:rPr>
          <w:rFonts w:cs="Arial"/>
          <w:i/>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3809"/>
      </w:tblGrid>
      <w:tr w:rsidR="005F5BF4" w:rsidRPr="004C2FAC" w:rsidTr="00A453E8">
        <w:tc>
          <w:tcPr>
            <w:tcW w:w="4237" w:type="dxa"/>
            <w:shd w:val="clear" w:color="auto" w:fill="auto"/>
          </w:tcPr>
          <w:p w:rsidR="005F5BF4" w:rsidRPr="00A453E8" w:rsidRDefault="00EE5A0A" w:rsidP="00A453E8">
            <w:pPr>
              <w:spacing w:line="276" w:lineRule="auto"/>
              <w:ind w:right="902"/>
              <w:rPr>
                <w:rFonts w:cs="Arial"/>
                <w:i/>
                <w:sz w:val="22"/>
                <w:szCs w:val="22"/>
              </w:rPr>
            </w:pPr>
            <w:r w:rsidRPr="00A453E8">
              <w:rPr>
                <w:rFonts w:cs="Arial"/>
                <w:i/>
                <w:sz w:val="22"/>
                <w:szCs w:val="22"/>
              </w:rPr>
              <w:t>“</w:t>
            </w:r>
            <w:r w:rsidR="00FF0141" w:rsidRPr="00A453E8">
              <w:rPr>
                <w:rFonts w:cs="Arial"/>
                <w:i/>
                <w:sz w:val="22"/>
                <w:szCs w:val="22"/>
              </w:rPr>
              <w:t>TRUEQUE</w:t>
            </w:r>
          </w:p>
        </w:tc>
        <w:tc>
          <w:tcPr>
            <w:tcW w:w="3809" w:type="dxa"/>
            <w:shd w:val="clear" w:color="auto" w:fill="auto"/>
          </w:tcPr>
          <w:p w:rsidR="005F5BF4" w:rsidRPr="00A453E8" w:rsidRDefault="00FF0141" w:rsidP="00A453E8">
            <w:pPr>
              <w:spacing w:line="276" w:lineRule="auto"/>
              <w:ind w:right="902"/>
              <w:rPr>
                <w:rFonts w:cs="Arial"/>
                <w:i/>
                <w:sz w:val="22"/>
                <w:szCs w:val="22"/>
              </w:rPr>
            </w:pPr>
            <w:r w:rsidRPr="00A453E8">
              <w:rPr>
                <w:rFonts w:cs="Arial"/>
                <w:i/>
                <w:sz w:val="22"/>
                <w:szCs w:val="22"/>
              </w:rPr>
              <w:t>SALDO A FAVOR DEL IDEMA</w:t>
            </w:r>
          </w:p>
        </w:tc>
      </w:tr>
      <w:tr w:rsidR="005F5BF4" w:rsidRPr="004C2FAC" w:rsidTr="00A453E8">
        <w:tc>
          <w:tcPr>
            <w:tcW w:w="4237" w:type="dxa"/>
            <w:shd w:val="clear" w:color="auto" w:fill="auto"/>
          </w:tcPr>
          <w:p w:rsidR="005F5BF4" w:rsidRPr="00A453E8" w:rsidRDefault="00EE5A0A" w:rsidP="00A453E8">
            <w:pPr>
              <w:spacing w:line="276" w:lineRule="auto"/>
              <w:ind w:right="902"/>
              <w:rPr>
                <w:rFonts w:cs="Arial"/>
                <w:i/>
                <w:sz w:val="22"/>
                <w:szCs w:val="22"/>
              </w:rPr>
            </w:pPr>
            <w:r w:rsidRPr="00A453E8">
              <w:rPr>
                <w:rFonts w:cs="Arial"/>
                <w:i/>
                <w:sz w:val="22"/>
                <w:szCs w:val="22"/>
              </w:rPr>
              <w:t>“</w:t>
            </w:r>
            <w:r w:rsidR="00FF0141" w:rsidRPr="00A453E8">
              <w:rPr>
                <w:rFonts w:cs="Arial"/>
                <w:i/>
                <w:sz w:val="22"/>
                <w:szCs w:val="22"/>
              </w:rPr>
              <w:t>Directo contrato 8861</w:t>
            </w:r>
            <w:r w:rsidR="001E2F7A" w:rsidRPr="00A453E8">
              <w:rPr>
                <w:rFonts w:cs="Arial"/>
                <w:i/>
                <w:sz w:val="22"/>
                <w:szCs w:val="22"/>
              </w:rPr>
              <w:t xml:space="preserve"> de 1995</w:t>
            </w:r>
          </w:p>
        </w:tc>
        <w:tc>
          <w:tcPr>
            <w:tcW w:w="3809" w:type="dxa"/>
            <w:shd w:val="clear" w:color="auto" w:fill="auto"/>
          </w:tcPr>
          <w:p w:rsidR="005F5BF4" w:rsidRPr="00A453E8" w:rsidRDefault="001E2F7A" w:rsidP="00A453E8">
            <w:pPr>
              <w:spacing w:line="276" w:lineRule="auto"/>
              <w:ind w:right="902"/>
              <w:jc w:val="right"/>
              <w:rPr>
                <w:rFonts w:cs="Arial"/>
                <w:i/>
                <w:sz w:val="22"/>
                <w:szCs w:val="22"/>
              </w:rPr>
            </w:pPr>
            <w:r w:rsidRPr="00A453E8">
              <w:rPr>
                <w:rFonts w:cs="Arial"/>
                <w:i/>
                <w:sz w:val="22"/>
                <w:szCs w:val="22"/>
              </w:rPr>
              <w:t>1.803</w:t>
            </w:r>
            <w:r w:rsidR="007915E7" w:rsidRPr="00A453E8">
              <w:rPr>
                <w:rFonts w:cs="Arial"/>
                <w:i/>
                <w:sz w:val="22"/>
                <w:szCs w:val="22"/>
              </w:rPr>
              <w:t>’</w:t>
            </w:r>
            <w:r w:rsidRPr="00A453E8">
              <w:rPr>
                <w:rFonts w:cs="Arial"/>
                <w:i/>
                <w:sz w:val="22"/>
                <w:szCs w:val="22"/>
              </w:rPr>
              <w:t>755.053</w:t>
            </w:r>
          </w:p>
        </w:tc>
      </w:tr>
      <w:tr w:rsidR="005F5BF4" w:rsidRPr="004C2FAC" w:rsidTr="00A453E8">
        <w:tc>
          <w:tcPr>
            <w:tcW w:w="4237" w:type="dxa"/>
            <w:shd w:val="clear" w:color="auto" w:fill="auto"/>
          </w:tcPr>
          <w:p w:rsidR="005F5BF4" w:rsidRPr="00A453E8" w:rsidRDefault="00EE5A0A" w:rsidP="00A453E8">
            <w:pPr>
              <w:spacing w:line="276" w:lineRule="auto"/>
              <w:ind w:right="902"/>
              <w:rPr>
                <w:rFonts w:cs="Arial"/>
                <w:i/>
                <w:sz w:val="22"/>
                <w:szCs w:val="22"/>
              </w:rPr>
            </w:pPr>
            <w:r w:rsidRPr="00A453E8">
              <w:rPr>
                <w:rFonts w:cs="Arial"/>
                <w:i/>
                <w:sz w:val="22"/>
                <w:szCs w:val="22"/>
              </w:rPr>
              <w:t>“</w:t>
            </w:r>
            <w:r w:rsidR="001E2F7A" w:rsidRPr="00A453E8">
              <w:rPr>
                <w:rFonts w:cs="Arial"/>
                <w:i/>
                <w:sz w:val="22"/>
                <w:szCs w:val="22"/>
              </w:rPr>
              <w:t>BNA operación DT – 13074/13075</w:t>
            </w:r>
          </w:p>
        </w:tc>
        <w:tc>
          <w:tcPr>
            <w:tcW w:w="3809" w:type="dxa"/>
            <w:shd w:val="clear" w:color="auto" w:fill="auto"/>
          </w:tcPr>
          <w:p w:rsidR="005F5BF4" w:rsidRPr="00A453E8" w:rsidRDefault="001E2F7A" w:rsidP="00A453E8">
            <w:pPr>
              <w:spacing w:line="276" w:lineRule="auto"/>
              <w:ind w:right="902"/>
              <w:jc w:val="right"/>
              <w:rPr>
                <w:rFonts w:cs="Arial"/>
                <w:i/>
                <w:sz w:val="22"/>
                <w:szCs w:val="22"/>
              </w:rPr>
            </w:pPr>
            <w:r w:rsidRPr="00A453E8">
              <w:rPr>
                <w:rFonts w:cs="Arial"/>
                <w:i/>
                <w:sz w:val="22"/>
                <w:szCs w:val="22"/>
              </w:rPr>
              <w:t>164’593.000</w:t>
            </w:r>
          </w:p>
        </w:tc>
      </w:tr>
      <w:tr w:rsidR="005F5BF4" w:rsidRPr="004C2FAC" w:rsidTr="00A453E8">
        <w:tc>
          <w:tcPr>
            <w:tcW w:w="4237" w:type="dxa"/>
            <w:shd w:val="clear" w:color="auto" w:fill="auto"/>
          </w:tcPr>
          <w:p w:rsidR="005F5BF4" w:rsidRPr="00A453E8" w:rsidRDefault="00EE5A0A" w:rsidP="00A453E8">
            <w:pPr>
              <w:spacing w:line="276" w:lineRule="auto"/>
              <w:ind w:right="902"/>
              <w:rPr>
                <w:rFonts w:cs="Arial"/>
                <w:i/>
                <w:sz w:val="22"/>
                <w:szCs w:val="22"/>
              </w:rPr>
            </w:pPr>
            <w:r w:rsidRPr="00A453E8">
              <w:rPr>
                <w:rFonts w:cs="Arial"/>
                <w:i/>
                <w:sz w:val="22"/>
                <w:szCs w:val="22"/>
              </w:rPr>
              <w:t>“</w:t>
            </w:r>
            <w:r w:rsidR="001E2F7A" w:rsidRPr="00A453E8">
              <w:rPr>
                <w:rFonts w:cs="Arial"/>
                <w:i/>
                <w:sz w:val="22"/>
                <w:szCs w:val="22"/>
              </w:rPr>
              <w:t xml:space="preserve">BNA operación </w:t>
            </w:r>
            <w:r w:rsidR="00E73C42" w:rsidRPr="00A453E8">
              <w:rPr>
                <w:rFonts w:cs="Arial"/>
                <w:i/>
                <w:sz w:val="22"/>
                <w:szCs w:val="22"/>
              </w:rPr>
              <w:t>DT 13066/ 13967</w:t>
            </w:r>
          </w:p>
        </w:tc>
        <w:tc>
          <w:tcPr>
            <w:tcW w:w="3809" w:type="dxa"/>
            <w:shd w:val="clear" w:color="auto" w:fill="auto"/>
          </w:tcPr>
          <w:p w:rsidR="005F5BF4" w:rsidRPr="00A453E8" w:rsidRDefault="00E73C42" w:rsidP="00A453E8">
            <w:pPr>
              <w:spacing w:line="276" w:lineRule="auto"/>
              <w:ind w:right="902"/>
              <w:jc w:val="right"/>
              <w:rPr>
                <w:rFonts w:cs="Arial"/>
                <w:i/>
                <w:sz w:val="22"/>
                <w:szCs w:val="22"/>
              </w:rPr>
            </w:pPr>
            <w:r w:rsidRPr="00A453E8">
              <w:rPr>
                <w:rFonts w:cs="Arial"/>
                <w:i/>
                <w:sz w:val="22"/>
                <w:szCs w:val="22"/>
              </w:rPr>
              <w:t>2.888.453</w:t>
            </w:r>
          </w:p>
        </w:tc>
      </w:tr>
      <w:tr w:rsidR="005F5BF4" w:rsidRPr="004C2FAC" w:rsidTr="00A453E8">
        <w:tc>
          <w:tcPr>
            <w:tcW w:w="4237" w:type="dxa"/>
            <w:shd w:val="clear" w:color="auto" w:fill="auto"/>
          </w:tcPr>
          <w:p w:rsidR="005F5BF4" w:rsidRPr="00A453E8" w:rsidRDefault="00EE5A0A" w:rsidP="00A453E8">
            <w:pPr>
              <w:spacing w:line="276" w:lineRule="auto"/>
              <w:ind w:right="902"/>
              <w:rPr>
                <w:rFonts w:cs="Arial"/>
                <w:i/>
                <w:sz w:val="22"/>
                <w:szCs w:val="22"/>
              </w:rPr>
            </w:pPr>
            <w:r w:rsidRPr="00A453E8">
              <w:rPr>
                <w:rFonts w:cs="Arial"/>
                <w:i/>
                <w:sz w:val="22"/>
                <w:szCs w:val="22"/>
              </w:rPr>
              <w:t>“</w:t>
            </w:r>
            <w:r w:rsidR="00E73C42" w:rsidRPr="00A453E8">
              <w:rPr>
                <w:rFonts w:cs="Arial"/>
                <w:i/>
                <w:sz w:val="22"/>
                <w:szCs w:val="22"/>
              </w:rPr>
              <w:t xml:space="preserve">TOTAL </w:t>
            </w:r>
          </w:p>
        </w:tc>
        <w:tc>
          <w:tcPr>
            <w:tcW w:w="3809" w:type="dxa"/>
            <w:shd w:val="clear" w:color="auto" w:fill="auto"/>
          </w:tcPr>
          <w:p w:rsidR="005F5BF4" w:rsidRPr="00A453E8" w:rsidRDefault="00E73C42" w:rsidP="00A453E8">
            <w:pPr>
              <w:spacing w:line="276" w:lineRule="auto"/>
              <w:ind w:right="902"/>
              <w:jc w:val="right"/>
              <w:rPr>
                <w:rFonts w:cs="Arial"/>
                <w:i/>
                <w:sz w:val="22"/>
                <w:szCs w:val="22"/>
              </w:rPr>
            </w:pPr>
            <w:r w:rsidRPr="00A453E8">
              <w:rPr>
                <w:rFonts w:cs="Arial"/>
                <w:i/>
                <w:sz w:val="22"/>
                <w:szCs w:val="22"/>
              </w:rPr>
              <w:t>1’971.236.506</w:t>
            </w:r>
          </w:p>
        </w:tc>
      </w:tr>
    </w:tbl>
    <w:p w:rsidR="005F5BF4" w:rsidRPr="004C2FAC" w:rsidRDefault="005F5BF4" w:rsidP="00CA3935">
      <w:pPr>
        <w:spacing w:line="276" w:lineRule="auto"/>
        <w:ind w:left="567" w:right="902"/>
        <w:rPr>
          <w:rFonts w:cs="Arial"/>
          <w:i/>
          <w:sz w:val="22"/>
          <w:szCs w:val="22"/>
        </w:rPr>
      </w:pPr>
    </w:p>
    <w:p w:rsidR="00CA3935" w:rsidRPr="004C2FAC" w:rsidRDefault="00EE5A0A" w:rsidP="00CA3935">
      <w:pPr>
        <w:spacing w:line="276" w:lineRule="auto"/>
        <w:ind w:left="567" w:right="902"/>
        <w:rPr>
          <w:rFonts w:cs="Arial"/>
          <w:i/>
          <w:sz w:val="22"/>
          <w:szCs w:val="22"/>
        </w:rPr>
      </w:pPr>
      <w:r w:rsidRPr="004C2FAC">
        <w:rPr>
          <w:rFonts w:cs="Arial"/>
          <w:i/>
          <w:sz w:val="22"/>
          <w:szCs w:val="22"/>
        </w:rPr>
        <w:t>“</w:t>
      </w:r>
      <w:r w:rsidR="00E73C42" w:rsidRPr="004C2FAC">
        <w:rPr>
          <w:rFonts w:cs="Arial"/>
          <w:i/>
          <w:sz w:val="22"/>
          <w:szCs w:val="22"/>
        </w:rPr>
        <w:t>(…)</w:t>
      </w:r>
      <w:r w:rsidR="007915E7" w:rsidRPr="004C2FAC">
        <w:rPr>
          <w:rFonts w:cs="Arial"/>
          <w:i/>
          <w:sz w:val="22"/>
          <w:szCs w:val="22"/>
        </w:rPr>
        <w:t>.</w:t>
      </w:r>
      <w:r w:rsidR="00E73C42" w:rsidRPr="004C2FAC">
        <w:rPr>
          <w:rFonts w:cs="Arial"/>
          <w:i/>
          <w:sz w:val="22"/>
          <w:szCs w:val="22"/>
        </w:rPr>
        <w:t xml:space="preserve"> </w:t>
      </w:r>
    </w:p>
    <w:p w:rsidR="00CA3935" w:rsidRPr="004C2FAC" w:rsidRDefault="00CA3935" w:rsidP="00E73C42">
      <w:pPr>
        <w:ind w:left="567" w:right="902"/>
        <w:rPr>
          <w:rFonts w:cs="Arial"/>
        </w:rPr>
      </w:pPr>
    </w:p>
    <w:p w:rsidR="00962012" w:rsidRPr="004C2FAC" w:rsidRDefault="00962012" w:rsidP="00E73C42">
      <w:pPr>
        <w:ind w:left="567" w:right="902"/>
        <w:rPr>
          <w:rFonts w:cs="Arial"/>
        </w:rPr>
      </w:pPr>
    </w:p>
    <w:p w:rsidR="00E73C42" w:rsidRPr="004C2FAC" w:rsidRDefault="00EE5A0A" w:rsidP="00E73C42">
      <w:pPr>
        <w:ind w:left="567" w:right="902"/>
        <w:rPr>
          <w:rFonts w:cs="Arial"/>
        </w:rPr>
      </w:pPr>
      <w:r w:rsidRPr="004C2FAC">
        <w:rPr>
          <w:rFonts w:cs="Arial"/>
        </w:rPr>
        <w:t>“</w:t>
      </w:r>
      <w:r w:rsidR="00E73C42" w:rsidRPr="004C2FAC">
        <w:rPr>
          <w:rFonts w:cs="Arial"/>
        </w:rPr>
        <w:t xml:space="preserve">Cordialmente </w:t>
      </w:r>
    </w:p>
    <w:p w:rsidR="00E73C42" w:rsidRPr="004C2FAC" w:rsidRDefault="00E73C42" w:rsidP="00E73C42">
      <w:pPr>
        <w:ind w:left="567" w:right="902"/>
        <w:rPr>
          <w:rFonts w:cs="Arial"/>
        </w:rPr>
      </w:pPr>
    </w:p>
    <w:p w:rsidR="00E73C42" w:rsidRPr="004C2FAC" w:rsidRDefault="00EE5A0A" w:rsidP="00703DC4">
      <w:pPr>
        <w:spacing w:line="240" w:lineRule="auto"/>
        <w:ind w:left="567" w:right="902"/>
        <w:jc w:val="center"/>
        <w:rPr>
          <w:rFonts w:cs="Arial"/>
          <w:b/>
        </w:rPr>
      </w:pPr>
      <w:r w:rsidRPr="004C2FAC">
        <w:rPr>
          <w:rFonts w:cs="Arial"/>
        </w:rPr>
        <w:t>“</w:t>
      </w:r>
      <w:r w:rsidR="00E73C42" w:rsidRPr="004C2FAC">
        <w:rPr>
          <w:rFonts w:cs="Arial"/>
          <w:b/>
        </w:rPr>
        <w:t>HAYDEE CASADIEGO LÓPEZ (firmado).</w:t>
      </w:r>
    </w:p>
    <w:p w:rsidR="00E73C42" w:rsidRPr="004C2FAC" w:rsidRDefault="00E73C42" w:rsidP="00703DC4">
      <w:pPr>
        <w:spacing w:line="240" w:lineRule="auto"/>
        <w:ind w:left="567" w:right="902"/>
        <w:jc w:val="center"/>
        <w:rPr>
          <w:rFonts w:cs="Arial"/>
          <w:b/>
        </w:rPr>
      </w:pPr>
      <w:r w:rsidRPr="004C2FAC">
        <w:rPr>
          <w:rFonts w:cs="Arial"/>
          <w:b/>
        </w:rPr>
        <w:t>CONTADORA PÚBLICA TITULADA</w:t>
      </w:r>
    </w:p>
    <w:p w:rsidR="00E73C42" w:rsidRPr="004C2FAC" w:rsidRDefault="00E73C42" w:rsidP="00703DC4">
      <w:pPr>
        <w:spacing w:line="240" w:lineRule="auto"/>
        <w:ind w:left="567" w:right="902"/>
        <w:jc w:val="center"/>
        <w:rPr>
          <w:rFonts w:cs="Arial"/>
        </w:rPr>
      </w:pPr>
      <w:r w:rsidRPr="004C2FAC">
        <w:rPr>
          <w:rFonts w:cs="Arial"/>
          <w:b/>
        </w:rPr>
        <w:t>T.P. 5751- T</w:t>
      </w:r>
      <w:r w:rsidRPr="004C2FAC">
        <w:rPr>
          <w:rFonts w:cs="Arial"/>
        </w:rPr>
        <w:t>”</w:t>
      </w:r>
      <w:r w:rsidR="00703DC4" w:rsidRPr="004C2FAC">
        <w:rPr>
          <w:rStyle w:val="Refdenotaalpie"/>
          <w:rFonts w:cs="Arial"/>
        </w:rPr>
        <w:footnoteReference w:id="74"/>
      </w:r>
    </w:p>
    <w:p w:rsidR="00703DC4" w:rsidRPr="004C2FAC" w:rsidRDefault="00703DC4" w:rsidP="00574579">
      <w:pPr>
        <w:rPr>
          <w:rFonts w:cs="Arial"/>
        </w:rPr>
      </w:pPr>
    </w:p>
    <w:p w:rsidR="00271735" w:rsidRPr="004C2FAC" w:rsidRDefault="00F71BB1" w:rsidP="00574579">
      <w:pPr>
        <w:rPr>
          <w:rFonts w:cs="Arial"/>
        </w:rPr>
      </w:pPr>
      <w:r w:rsidRPr="004C2FAC">
        <w:rPr>
          <w:rFonts w:cs="Arial"/>
        </w:rPr>
        <w:t xml:space="preserve">La anterior comunicación se presentó con el documento contentivo del estudio contable de mayo de 1999 </w:t>
      </w:r>
      <w:r w:rsidR="00271735" w:rsidRPr="004C2FAC">
        <w:rPr>
          <w:rFonts w:cs="Arial"/>
        </w:rPr>
        <w:t xml:space="preserve">en </w:t>
      </w:r>
      <w:r w:rsidRPr="004C2FAC">
        <w:rPr>
          <w:rFonts w:cs="Arial"/>
        </w:rPr>
        <w:t xml:space="preserve">el cual </w:t>
      </w:r>
      <w:r w:rsidR="00271735" w:rsidRPr="004C2FAC">
        <w:rPr>
          <w:rFonts w:cs="Arial"/>
        </w:rPr>
        <w:t>se adjuntaron los memorandos</w:t>
      </w:r>
      <w:r w:rsidR="007915E7" w:rsidRPr="004C2FAC">
        <w:rPr>
          <w:rFonts w:cs="Arial"/>
        </w:rPr>
        <w:t>,</w:t>
      </w:r>
      <w:r w:rsidR="00271735" w:rsidRPr="004C2FAC">
        <w:rPr>
          <w:rFonts w:cs="Arial"/>
        </w:rPr>
        <w:t xml:space="preserve"> t</w:t>
      </w:r>
      <w:r w:rsidR="007915E7" w:rsidRPr="004C2FAC">
        <w:rPr>
          <w:rFonts w:cs="Arial"/>
        </w:rPr>
        <w:t>é</w:t>
      </w:r>
      <w:r w:rsidR="00271735" w:rsidRPr="004C2FAC">
        <w:rPr>
          <w:rFonts w:cs="Arial"/>
        </w:rPr>
        <w:t xml:space="preserve">lex </w:t>
      </w:r>
      <w:r w:rsidR="007915E7" w:rsidRPr="004C2FAC">
        <w:rPr>
          <w:rFonts w:cs="Arial"/>
        </w:rPr>
        <w:t xml:space="preserve">y </w:t>
      </w:r>
      <w:r w:rsidR="00DE1350" w:rsidRPr="004C2FAC">
        <w:rPr>
          <w:rFonts w:cs="Arial"/>
        </w:rPr>
        <w:t xml:space="preserve">las </w:t>
      </w:r>
      <w:r w:rsidR="00271735" w:rsidRPr="004C2FAC">
        <w:rPr>
          <w:rFonts w:cs="Arial"/>
        </w:rPr>
        <w:t>planillas de ajuste de inventario en los formatos establecidos por el IDEMA</w:t>
      </w:r>
      <w:r w:rsidR="007915E7" w:rsidRPr="004C2FAC">
        <w:rPr>
          <w:rFonts w:cs="Arial"/>
        </w:rPr>
        <w:t xml:space="preserve">, estos </w:t>
      </w:r>
      <w:r w:rsidR="007915E7" w:rsidRPr="004C2FAC">
        <w:rPr>
          <w:rFonts w:cs="Arial"/>
        </w:rPr>
        <w:lastRenderedPageBreak/>
        <w:t>últimos suscritos por los funcionarios de</w:t>
      </w:r>
      <w:r w:rsidR="00DE1350" w:rsidRPr="004C2FAC">
        <w:rPr>
          <w:rFonts w:cs="Arial"/>
        </w:rPr>
        <w:t xml:space="preserve"> esa entidad</w:t>
      </w:r>
      <w:r w:rsidR="000E2DF6" w:rsidRPr="004C2FAC">
        <w:rPr>
          <w:rFonts w:cs="Arial"/>
        </w:rPr>
        <w:t>, los cuales, además, no fueron refutados en el proceso</w:t>
      </w:r>
      <w:r w:rsidR="00DE1350" w:rsidRPr="004C2FAC">
        <w:rPr>
          <w:rFonts w:cs="Arial"/>
        </w:rPr>
        <w:t>.</w:t>
      </w:r>
      <w:r w:rsidR="00271735" w:rsidRPr="004C2FAC">
        <w:rPr>
          <w:rFonts w:cs="Arial"/>
        </w:rPr>
        <w:t xml:space="preserve"> </w:t>
      </w:r>
    </w:p>
    <w:p w:rsidR="00400BDF" w:rsidRPr="004C2FAC" w:rsidRDefault="00400BDF" w:rsidP="00574579">
      <w:pPr>
        <w:rPr>
          <w:rFonts w:cs="Arial"/>
        </w:rPr>
      </w:pPr>
    </w:p>
    <w:p w:rsidR="00AE5829" w:rsidRPr="004C2FAC" w:rsidRDefault="0024640E" w:rsidP="00574579">
      <w:pPr>
        <w:rPr>
          <w:rFonts w:cs="Arial"/>
        </w:rPr>
      </w:pPr>
      <w:r w:rsidRPr="004C2FAC">
        <w:rPr>
          <w:rFonts w:cs="Arial"/>
        </w:rPr>
        <w:t xml:space="preserve">Igualmente, </w:t>
      </w:r>
      <w:r w:rsidR="00703DC4" w:rsidRPr="004C2FAC">
        <w:rPr>
          <w:rFonts w:cs="Arial"/>
        </w:rPr>
        <w:t xml:space="preserve">se encuentra acreditada </w:t>
      </w:r>
      <w:r w:rsidR="00EE5A0A" w:rsidRPr="004C2FAC">
        <w:rPr>
          <w:rFonts w:cs="Arial"/>
        </w:rPr>
        <w:t xml:space="preserve">en el expediente </w:t>
      </w:r>
      <w:r w:rsidR="00703DC4" w:rsidRPr="004C2FAC">
        <w:rPr>
          <w:rFonts w:cs="Arial"/>
        </w:rPr>
        <w:t xml:space="preserve">la comunicación que remitió </w:t>
      </w:r>
      <w:r w:rsidRPr="004C2FAC">
        <w:rPr>
          <w:rFonts w:cs="Arial"/>
        </w:rPr>
        <w:t xml:space="preserve">la Bolsa Nacional Agropecuaria </w:t>
      </w:r>
      <w:r w:rsidR="00703DC4" w:rsidRPr="004C2FAC">
        <w:rPr>
          <w:rFonts w:cs="Arial"/>
        </w:rPr>
        <w:t xml:space="preserve">con los </w:t>
      </w:r>
      <w:r w:rsidR="00AE5829" w:rsidRPr="004C2FAC">
        <w:rPr>
          <w:rFonts w:cs="Arial"/>
        </w:rPr>
        <w:t>documentos contentivos de l</w:t>
      </w:r>
      <w:r w:rsidR="00EE5A0A" w:rsidRPr="004C2FAC">
        <w:rPr>
          <w:rFonts w:cs="Arial"/>
        </w:rPr>
        <w:t>os comprobantes de l</w:t>
      </w:r>
      <w:r w:rsidR="00AE5829" w:rsidRPr="004C2FAC">
        <w:rPr>
          <w:rFonts w:cs="Arial"/>
        </w:rPr>
        <w:t>as operaciones celebradas ante esa entidad</w:t>
      </w:r>
      <w:r w:rsidR="00AE5829" w:rsidRPr="004C2FAC">
        <w:rPr>
          <w:rStyle w:val="Refdenotaalpie"/>
          <w:rFonts w:cs="Arial"/>
        </w:rPr>
        <w:footnoteReference w:id="75"/>
      </w:r>
      <w:r w:rsidR="00AE5829" w:rsidRPr="004C2FAC">
        <w:rPr>
          <w:rFonts w:cs="Arial"/>
        </w:rPr>
        <w:t>.</w:t>
      </w:r>
    </w:p>
    <w:p w:rsidR="00B73E22" w:rsidRPr="004C2FAC" w:rsidRDefault="00B73E22" w:rsidP="00574579">
      <w:pPr>
        <w:rPr>
          <w:rFonts w:cs="Arial"/>
        </w:rPr>
      </w:pPr>
    </w:p>
    <w:p w:rsidR="007D1D90" w:rsidRPr="004C2FAC" w:rsidRDefault="00B73E22" w:rsidP="00574579">
      <w:pPr>
        <w:rPr>
          <w:rFonts w:cs="Arial"/>
        </w:rPr>
      </w:pPr>
      <w:r w:rsidRPr="004C2FAC">
        <w:rPr>
          <w:rFonts w:cs="Arial"/>
        </w:rPr>
        <w:t>E</w:t>
      </w:r>
      <w:r w:rsidR="00271735" w:rsidRPr="004C2FAC">
        <w:rPr>
          <w:rFonts w:cs="Arial"/>
        </w:rPr>
        <w:t>n</w:t>
      </w:r>
      <w:r w:rsidRPr="004C2FAC">
        <w:rPr>
          <w:rFonts w:cs="Arial"/>
        </w:rPr>
        <w:t xml:space="preserve"> resumen</w:t>
      </w:r>
      <w:r w:rsidR="00271735" w:rsidRPr="004C2FAC">
        <w:rPr>
          <w:rFonts w:cs="Arial"/>
        </w:rPr>
        <w:t xml:space="preserve">, </w:t>
      </w:r>
      <w:r w:rsidRPr="004C2FAC">
        <w:rPr>
          <w:rFonts w:cs="Arial"/>
        </w:rPr>
        <w:t>el saldo a cargo de COLCERALES aparece consolidado en el informe de la citada contadora pública en la suma de $1.971’105.986</w:t>
      </w:r>
      <w:r w:rsidR="00271735" w:rsidRPr="004C2FAC">
        <w:rPr>
          <w:rFonts w:cs="Arial"/>
        </w:rPr>
        <w:t xml:space="preserve">. </w:t>
      </w:r>
    </w:p>
    <w:p w:rsidR="007D1D90" w:rsidRPr="004C2FAC" w:rsidRDefault="007D1D90" w:rsidP="00574579">
      <w:pPr>
        <w:rPr>
          <w:rFonts w:cs="Arial"/>
        </w:rPr>
      </w:pPr>
    </w:p>
    <w:p w:rsidR="00F0083F" w:rsidRPr="004C2FAC" w:rsidRDefault="00271735" w:rsidP="00574579">
      <w:pPr>
        <w:rPr>
          <w:rFonts w:cs="Arial"/>
        </w:rPr>
      </w:pPr>
      <w:r w:rsidRPr="004C2FAC">
        <w:rPr>
          <w:rFonts w:cs="Arial"/>
        </w:rPr>
        <w:t xml:space="preserve">Teniendo en cuenta que el referido informe se fundó en los documentos </w:t>
      </w:r>
      <w:r w:rsidR="00992C83" w:rsidRPr="004C2FAC">
        <w:rPr>
          <w:rFonts w:cs="Arial"/>
        </w:rPr>
        <w:t xml:space="preserve">tomados de los archivos </w:t>
      </w:r>
      <w:r w:rsidRPr="004C2FAC">
        <w:rPr>
          <w:rFonts w:cs="Arial"/>
        </w:rPr>
        <w:t>del IDEMA y en los saldos contables de esa entidad, además de que fue elaborado por una pro</w:t>
      </w:r>
      <w:r w:rsidR="007D1D90" w:rsidRPr="004C2FAC">
        <w:rPr>
          <w:rFonts w:cs="Arial"/>
        </w:rPr>
        <w:t>f</w:t>
      </w:r>
      <w:r w:rsidRPr="004C2FAC">
        <w:rPr>
          <w:rFonts w:cs="Arial"/>
        </w:rPr>
        <w:t>esi</w:t>
      </w:r>
      <w:r w:rsidR="007D1D90" w:rsidRPr="004C2FAC">
        <w:rPr>
          <w:rFonts w:cs="Arial"/>
        </w:rPr>
        <w:t>o</w:t>
      </w:r>
      <w:r w:rsidRPr="004C2FAC">
        <w:rPr>
          <w:rFonts w:cs="Arial"/>
        </w:rPr>
        <w:t>nal de la contaduría pública, la Sala</w:t>
      </w:r>
      <w:r w:rsidR="00F0083F" w:rsidRPr="004C2FAC">
        <w:rPr>
          <w:rFonts w:cs="Arial"/>
        </w:rPr>
        <w:t xml:space="preserve"> acogerá </w:t>
      </w:r>
      <w:r w:rsidR="007D1D90" w:rsidRPr="004C2FAC">
        <w:rPr>
          <w:rFonts w:cs="Arial"/>
        </w:rPr>
        <w:t xml:space="preserve">la  prueba que se acaba de reseñar </w:t>
      </w:r>
      <w:r w:rsidR="00F0083F" w:rsidRPr="004C2FAC">
        <w:rPr>
          <w:rFonts w:cs="Arial"/>
        </w:rPr>
        <w:t>para fundar la condena que se proferirá en esta providencia</w:t>
      </w:r>
      <w:r w:rsidR="00052F9D" w:rsidRPr="004C2FAC">
        <w:rPr>
          <w:rStyle w:val="Refdenotaalpie"/>
          <w:rFonts w:cs="Arial"/>
        </w:rPr>
        <w:footnoteReference w:id="76"/>
      </w:r>
      <w:r w:rsidR="00F0083F" w:rsidRPr="004C2FAC">
        <w:rPr>
          <w:rFonts w:cs="Arial"/>
        </w:rPr>
        <w:t xml:space="preserve">. </w:t>
      </w:r>
    </w:p>
    <w:p w:rsidR="00F0083F" w:rsidRPr="004C2FAC" w:rsidRDefault="00F0083F" w:rsidP="00F0083F">
      <w:pPr>
        <w:rPr>
          <w:rFonts w:cs="Arial"/>
        </w:rPr>
      </w:pPr>
    </w:p>
    <w:p w:rsidR="00052F9D" w:rsidRPr="004C2FAC" w:rsidRDefault="004A3B5C" w:rsidP="00F0083F">
      <w:pPr>
        <w:rPr>
          <w:rFonts w:cs="Arial"/>
        </w:rPr>
      </w:pPr>
      <w:r w:rsidRPr="004C2FAC">
        <w:rPr>
          <w:rFonts w:cs="Arial"/>
        </w:rPr>
        <w:t>Es importante observar que n</w:t>
      </w:r>
      <w:r w:rsidR="00F0083F" w:rsidRPr="004C2FAC">
        <w:rPr>
          <w:rFonts w:cs="Arial"/>
        </w:rPr>
        <w:t>o se toma</w:t>
      </w:r>
      <w:r w:rsidRPr="004C2FAC">
        <w:rPr>
          <w:rFonts w:cs="Arial"/>
        </w:rPr>
        <w:t>rá en cuenta</w:t>
      </w:r>
      <w:r w:rsidR="00F0083F" w:rsidRPr="004C2FAC">
        <w:rPr>
          <w:rFonts w:cs="Arial"/>
        </w:rPr>
        <w:t xml:space="preserve"> el valor </w:t>
      </w:r>
      <w:r w:rsidR="009E1922" w:rsidRPr="004C2FAC">
        <w:rPr>
          <w:rFonts w:cs="Arial"/>
        </w:rPr>
        <w:t xml:space="preserve">final </w:t>
      </w:r>
      <w:r w:rsidR="00F0083F" w:rsidRPr="004C2FAC">
        <w:rPr>
          <w:rFonts w:cs="Arial"/>
        </w:rPr>
        <w:t>liquidado en el dictamen pericial practicado en este proceso</w:t>
      </w:r>
      <w:r w:rsidR="00F0083F" w:rsidRPr="004C2FAC">
        <w:rPr>
          <w:rStyle w:val="Refdenotaalpie"/>
          <w:rFonts w:cs="Arial"/>
        </w:rPr>
        <w:footnoteReference w:id="77"/>
      </w:r>
      <w:r w:rsidR="00F0083F" w:rsidRPr="004C2FAC">
        <w:rPr>
          <w:rFonts w:cs="Arial"/>
        </w:rPr>
        <w:t>, toda vez que</w:t>
      </w:r>
      <w:r w:rsidR="000E2DF6" w:rsidRPr="004C2FAC">
        <w:rPr>
          <w:rFonts w:cs="Arial"/>
        </w:rPr>
        <w:t>,</w:t>
      </w:r>
      <w:r w:rsidR="00F0083F" w:rsidRPr="004C2FAC">
        <w:rPr>
          <w:rFonts w:cs="Arial"/>
        </w:rPr>
        <w:t xml:space="preserve"> </w:t>
      </w:r>
      <w:r w:rsidR="00052F9D" w:rsidRPr="004C2FAC">
        <w:rPr>
          <w:rFonts w:cs="Arial"/>
        </w:rPr>
        <w:t xml:space="preserve">en dicha experticia, el perito se fundó en el </w:t>
      </w:r>
      <w:r w:rsidR="00052F9D" w:rsidRPr="004C2FAC">
        <w:rPr>
          <w:rFonts w:cs="Arial"/>
          <w:i/>
        </w:rPr>
        <w:t>“valor de un kilo de arroz a precios de febrero de 2011”</w:t>
      </w:r>
      <w:r w:rsidR="00052F9D" w:rsidRPr="004C2FAC">
        <w:rPr>
          <w:rFonts w:cs="Arial"/>
        </w:rPr>
        <w:t>, lo cual no se co</w:t>
      </w:r>
      <w:r w:rsidR="00925851" w:rsidRPr="004C2FAC">
        <w:rPr>
          <w:rFonts w:cs="Arial"/>
        </w:rPr>
        <w:t xml:space="preserve">rresponde </w:t>
      </w:r>
      <w:r w:rsidR="00052F9D" w:rsidRPr="004C2FAC">
        <w:rPr>
          <w:rFonts w:cs="Arial"/>
        </w:rPr>
        <w:t xml:space="preserve">con la época en que ocurrieron los hechos en el </w:t>
      </w:r>
      <w:r w:rsidR="00052F9D" w:rsidRPr="004C2FAC">
        <w:rPr>
          <w:rFonts w:cs="Arial"/>
          <w:i/>
        </w:rPr>
        <w:t>sub lite</w:t>
      </w:r>
      <w:r w:rsidR="00052F9D" w:rsidRPr="004C2FAC">
        <w:rPr>
          <w:rFonts w:cs="Arial"/>
        </w:rPr>
        <w:t>.</w:t>
      </w:r>
    </w:p>
    <w:p w:rsidR="004A3485" w:rsidRPr="004C2FAC" w:rsidRDefault="004A3485" w:rsidP="008B4E5F">
      <w:pPr>
        <w:widowControl w:val="0"/>
        <w:rPr>
          <w:rFonts w:cs="Arial"/>
          <w:lang w:val="es-ES_tradnl"/>
        </w:rPr>
      </w:pPr>
    </w:p>
    <w:p w:rsidR="0082580D" w:rsidRPr="004C2FAC" w:rsidRDefault="00E03EC2" w:rsidP="0082580D">
      <w:pPr>
        <w:pStyle w:val="Lista2"/>
        <w:ind w:left="0" w:right="51" w:firstLine="0"/>
        <w:rPr>
          <w:rFonts w:cs="Arial"/>
          <w:b/>
        </w:rPr>
      </w:pPr>
      <w:r w:rsidRPr="004C2FAC">
        <w:rPr>
          <w:rFonts w:cs="Arial"/>
          <w:b/>
          <w:lang w:val="es-ES_tradnl"/>
        </w:rPr>
        <w:t>7.2.</w:t>
      </w:r>
      <w:r w:rsidR="00F226E4" w:rsidRPr="004C2FAC">
        <w:rPr>
          <w:rFonts w:cs="Arial"/>
          <w:b/>
          <w:lang w:val="es-ES_tradnl"/>
        </w:rPr>
        <w:t xml:space="preserve"> </w:t>
      </w:r>
      <w:r w:rsidR="0082580D" w:rsidRPr="004C2FAC">
        <w:rPr>
          <w:rFonts w:cs="Arial"/>
          <w:b/>
        </w:rPr>
        <w:t xml:space="preserve">Liquidación de perjuicios </w:t>
      </w:r>
    </w:p>
    <w:p w:rsidR="00E03EC2" w:rsidRPr="004C2FAC" w:rsidRDefault="00E03EC2" w:rsidP="008B4E5F">
      <w:pPr>
        <w:widowControl w:val="0"/>
        <w:rPr>
          <w:rFonts w:cs="Arial"/>
          <w:lang w:val="es-ES_tradnl"/>
        </w:rPr>
      </w:pPr>
    </w:p>
    <w:p w:rsidR="0082580D" w:rsidRPr="004C2FAC" w:rsidRDefault="0082580D" w:rsidP="0082580D">
      <w:pPr>
        <w:widowControl w:val="0"/>
        <w:rPr>
          <w:rFonts w:cs="Arial"/>
          <w:lang w:val="es-ES_tradnl"/>
        </w:rPr>
      </w:pPr>
      <w:r w:rsidRPr="004C2FAC">
        <w:rPr>
          <w:rFonts w:cs="Arial"/>
          <w:lang w:val="es-ES_tradnl"/>
        </w:rPr>
        <w:t>Con apoyo en el artículo 1613 del Código Civil</w:t>
      </w:r>
      <w:r w:rsidR="00E60A54" w:rsidRPr="004C2FAC">
        <w:rPr>
          <w:rStyle w:val="Refdenotaalpie"/>
          <w:rFonts w:cs="Arial"/>
          <w:lang w:val="es-ES_tradnl"/>
        </w:rPr>
        <w:footnoteReference w:id="78"/>
      </w:r>
      <w:r w:rsidRPr="004C2FAC">
        <w:rPr>
          <w:rFonts w:cs="Arial"/>
          <w:lang w:val="es-ES_tradnl"/>
        </w:rPr>
        <w:t xml:space="preserve">, se accederá, a la actualización del daño causado por la no entrega del arroz objeto del trueque, con base en el valor acreditado en el proceso, </w:t>
      </w:r>
      <w:r w:rsidR="0010563C" w:rsidRPr="004C2FAC">
        <w:rPr>
          <w:rFonts w:cs="Arial"/>
          <w:lang w:val="es-ES_tradnl"/>
        </w:rPr>
        <w:t xml:space="preserve">ajustado </w:t>
      </w:r>
      <w:r w:rsidRPr="004C2FAC">
        <w:rPr>
          <w:rFonts w:cs="Arial"/>
          <w:lang w:val="es-ES_tradnl"/>
        </w:rPr>
        <w:t xml:space="preserve">con el índice de precios al consumidor, tomando como índice inicial el de la fecha en que se configuró el incumplimiento, es decir, </w:t>
      </w:r>
      <w:r w:rsidRPr="004C2FAC">
        <w:rPr>
          <w:rFonts w:cs="Arial"/>
        </w:rPr>
        <w:t xml:space="preserve">16 de diciembre de 1996, en la cual debían cumplirse los requisitos de la fallida dación </w:t>
      </w:r>
      <w:r w:rsidRPr="004C2FAC">
        <w:rPr>
          <w:rFonts w:cs="Arial"/>
        </w:rPr>
        <w:lastRenderedPageBreak/>
        <w:t>en pago.</w:t>
      </w:r>
    </w:p>
    <w:p w:rsidR="0082580D" w:rsidRPr="004C2FAC" w:rsidRDefault="0082580D" w:rsidP="0082580D">
      <w:pPr>
        <w:pStyle w:val="Lista2"/>
        <w:ind w:left="0" w:right="51" w:firstLine="0"/>
        <w:rPr>
          <w:rFonts w:cs="Arial"/>
        </w:rPr>
      </w:pPr>
    </w:p>
    <w:p w:rsidR="0082580D" w:rsidRPr="004C2FAC" w:rsidRDefault="0082580D" w:rsidP="0082580D">
      <w:pPr>
        <w:pStyle w:val="Lista2"/>
        <w:ind w:left="0" w:firstLine="0"/>
        <w:rPr>
          <w:rFonts w:cs="Arial"/>
        </w:rPr>
      </w:pPr>
      <w:r w:rsidRPr="004C2FAC">
        <w:rPr>
          <w:rFonts w:cs="Arial"/>
        </w:rPr>
        <w:t>Valor actualizado = Valor histórico x índice final</w:t>
      </w:r>
      <w:r w:rsidRPr="004C2FAC">
        <w:rPr>
          <w:rStyle w:val="Refdenotaalpie"/>
          <w:rFonts w:cs="Arial"/>
        </w:rPr>
        <w:footnoteReference w:id="79"/>
      </w:r>
      <w:r w:rsidRPr="004C2FAC">
        <w:rPr>
          <w:rFonts w:cs="Arial"/>
        </w:rPr>
        <w:t xml:space="preserve"> / índice inicial</w:t>
      </w:r>
      <w:r w:rsidRPr="004C2FAC">
        <w:rPr>
          <w:rStyle w:val="Refdenotaalpie"/>
          <w:rFonts w:cs="Arial"/>
        </w:rPr>
        <w:footnoteReference w:id="80"/>
      </w:r>
    </w:p>
    <w:p w:rsidR="0082580D" w:rsidRPr="004C2FAC" w:rsidRDefault="0082580D" w:rsidP="0082580D">
      <w:pPr>
        <w:pStyle w:val="Lista2"/>
        <w:ind w:left="0" w:firstLine="0"/>
        <w:rPr>
          <w:rFonts w:cs="Arial"/>
        </w:rPr>
      </w:pPr>
    </w:p>
    <w:p w:rsidR="0082580D" w:rsidRPr="004C2FAC" w:rsidRDefault="0082580D" w:rsidP="0082580D">
      <w:pPr>
        <w:pStyle w:val="Lista2"/>
        <w:ind w:left="0" w:firstLine="0"/>
        <w:rPr>
          <w:rFonts w:cs="Arial"/>
        </w:rPr>
      </w:pPr>
      <w:r w:rsidRPr="004C2FAC">
        <w:rPr>
          <w:rFonts w:cs="Arial"/>
        </w:rPr>
        <w:t>Valor actualizado = $1.971’105.986 x138,05/37,99</w:t>
      </w:r>
    </w:p>
    <w:p w:rsidR="0082580D" w:rsidRPr="004C2FAC" w:rsidRDefault="0082580D" w:rsidP="0082580D">
      <w:pPr>
        <w:pStyle w:val="Lista2"/>
        <w:ind w:left="0" w:firstLine="0"/>
        <w:rPr>
          <w:rFonts w:cs="Arial"/>
        </w:rPr>
      </w:pPr>
    </w:p>
    <w:p w:rsidR="0082580D" w:rsidRPr="004C2FAC" w:rsidRDefault="0082580D" w:rsidP="0082580D">
      <w:pPr>
        <w:pStyle w:val="Lista2"/>
        <w:ind w:left="0" w:firstLine="0"/>
        <w:rPr>
          <w:rFonts w:cs="Arial"/>
        </w:rPr>
      </w:pPr>
      <w:r w:rsidRPr="004C2FAC">
        <w:rPr>
          <w:rFonts w:cs="Arial"/>
        </w:rPr>
        <w:t>Valor actualizado = $7.162’705.484</w:t>
      </w:r>
    </w:p>
    <w:p w:rsidR="0082580D" w:rsidRPr="004C2FAC" w:rsidRDefault="0082580D" w:rsidP="0082580D">
      <w:pPr>
        <w:pStyle w:val="Lista2"/>
        <w:ind w:left="0" w:firstLine="0"/>
        <w:rPr>
          <w:rFonts w:cs="Arial"/>
        </w:rPr>
      </w:pPr>
    </w:p>
    <w:p w:rsidR="00EB5D8C" w:rsidRPr="004C2FAC" w:rsidRDefault="009B7767" w:rsidP="008B4E5F">
      <w:pPr>
        <w:widowControl w:val="0"/>
        <w:rPr>
          <w:rFonts w:cs="Arial"/>
          <w:lang w:val="es-ES_tradnl"/>
        </w:rPr>
      </w:pPr>
      <w:r w:rsidRPr="004C2FAC">
        <w:rPr>
          <w:rFonts w:cs="Arial"/>
          <w:lang w:val="es-ES_tradnl"/>
        </w:rPr>
        <w:t>Por otra parte, se observa que e</w:t>
      </w:r>
      <w:r w:rsidR="00863C6A" w:rsidRPr="004C2FAC">
        <w:rPr>
          <w:rFonts w:cs="Arial"/>
          <w:lang w:val="es-ES_tradnl"/>
        </w:rPr>
        <w:t xml:space="preserve">n la pretensión segunda de la demanda, el Ministerio de Agricultura y Desarrollo rural solicitó </w:t>
      </w:r>
      <w:r w:rsidR="00A9140E" w:rsidRPr="004C2FAC">
        <w:rPr>
          <w:rFonts w:cs="Arial"/>
          <w:lang w:val="es-ES_tradnl"/>
        </w:rPr>
        <w:t xml:space="preserve">reconocer </w:t>
      </w:r>
      <w:r w:rsidR="00863C6A" w:rsidRPr="004C2FAC">
        <w:rPr>
          <w:rFonts w:cs="Arial"/>
          <w:lang w:val="es-ES_tradnl"/>
        </w:rPr>
        <w:t>intereses de</w:t>
      </w:r>
      <w:r w:rsidR="00A9140E" w:rsidRPr="004C2FAC">
        <w:rPr>
          <w:rFonts w:cs="Arial"/>
          <w:lang w:val="es-ES_tradnl"/>
        </w:rPr>
        <w:t xml:space="preserve"> conformidad con el </w:t>
      </w:r>
      <w:r w:rsidR="00863C6A" w:rsidRPr="004C2FAC">
        <w:rPr>
          <w:rFonts w:cs="Arial"/>
          <w:lang w:val="es-ES_tradnl"/>
        </w:rPr>
        <w:t>artículo 4 de la Ley 80 de 1993</w:t>
      </w:r>
      <w:r w:rsidR="00EB5D8C" w:rsidRPr="004C2FAC">
        <w:rPr>
          <w:rFonts w:cs="Arial"/>
          <w:lang w:val="es-ES_tradnl"/>
        </w:rPr>
        <w:t>.</w:t>
      </w:r>
    </w:p>
    <w:p w:rsidR="00DE35CE" w:rsidRPr="004C2FAC" w:rsidRDefault="00EB5D8C" w:rsidP="008B4E5F">
      <w:pPr>
        <w:widowControl w:val="0"/>
        <w:rPr>
          <w:rFonts w:cs="Arial"/>
          <w:lang w:val="es-ES_tradnl"/>
        </w:rPr>
      </w:pPr>
      <w:r w:rsidRPr="004C2FAC">
        <w:rPr>
          <w:rFonts w:cs="Arial"/>
          <w:lang w:val="es-ES_tradnl"/>
        </w:rPr>
        <w:t xml:space="preserve"> </w:t>
      </w:r>
    </w:p>
    <w:p w:rsidR="00122889" w:rsidRPr="004C2FAC" w:rsidRDefault="00DF4BAF" w:rsidP="008B4E5F">
      <w:pPr>
        <w:widowControl w:val="0"/>
        <w:rPr>
          <w:rFonts w:cs="Arial"/>
          <w:lang w:val="es-ES_tradnl"/>
        </w:rPr>
      </w:pPr>
      <w:r w:rsidRPr="004C2FAC">
        <w:rPr>
          <w:rFonts w:cs="Arial"/>
          <w:lang w:val="es-ES_tradnl"/>
        </w:rPr>
        <w:t>E</w:t>
      </w:r>
      <w:r w:rsidR="00F76F7F" w:rsidRPr="004C2FAC">
        <w:rPr>
          <w:rFonts w:cs="Arial"/>
          <w:lang w:val="es-ES_tradnl"/>
        </w:rPr>
        <w:t xml:space="preserve">l concepto de intereses puede ser empleado en una doble acepción, siendo la primera, </w:t>
      </w:r>
      <w:r w:rsidR="005B47A3" w:rsidRPr="004C2FAC">
        <w:rPr>
          <w:rFonts w:cs="Arial"/>
          <w:lang w:val="es-ES_tradnl"/>
        </w:rPr>
        <w:t>el costo de oportunidad del dinero</w:t>
      </w:r>
      <w:r w:rsidR="008804D9" w:rsidRPr="004C2FAC">
        <w:rPr>
          <w:rFonts w:cs="Arial"/>
          <w:lang w:val="es-ES_tradnl"/>
        </w:rPr>
        <w:t xml:space="preserve"> </w:t>
      </w:r>
      <w:r w:rsidR="005B47A3" w:rsidRPr="004C2FAC">
        <w:rPr>
          <w:rFonts w:cs="Arial"/>
          <w:lang w:val="es-ES_tradnl"/>
        </w:rPr>
        <w:t>y la segunda</w:t>
      </w:r>
      <w:r w:rsidR="008804D9" w:rsidRPr="004C2FAC">
        <w:rPr>
          <w:rFonts w:cs="Arial"/>
          <w:lang w:val="es-ES_tradnl"/>
        </w:rPr>
        <w:t>,</w:t>
      </w:r>
      <w:r w:rsidR="005B47A3" w:rsidRPr="004C2FAC">
        <w:rPr>
          <w:rFonts w:cs="Arial"/>
          <w:lang w:val="es-ES_tradnl"/>
        </w:rPr>
        <w:t xml:space="preserve"> la medida para cuantificar un perjuicio</w:t>
      </w:r>
      <w:r w:rsidR="00122889" w:rsidRPr="004C2FAC">
        <w:rPr>
          <w:rFonts w:cs="Arial"/>
          <w:lang w:val="es-ES_tradnl"/>
        </w:rPr>
        <w:t xml:space="preserve">, </w:t>
      </w:r>
      <w:r w:rsidR="008804D9" w:rsidRPr="004C2FAC">
        <w:rPr>
          <w:rFonts w:cs="Arial"/>
          <w:lang w:val="es-ES_tradnl"/>
        </w:rPr>
        <w:t>esta última</w:t>
      </w:r>
      <w:r w:rsidR="00202BB1" w:rsidRPr="004C2FAC">
        <w:rPr>
          <w:rFonts w:cs="Arial"/>
          <w:lang w:val="es-ES_tradnl"/>
        </w:rPr>
        <w:t>,</w:t>
      </w:r>
      <w:r w:rsidR="008804D9" w:rsidRPr="004C2FAC">
        <w:rPr>
          <w:rFonts w:cs="Arial"/>
          <w:lang w:val="es-ES_tradnl"/>
        </w:rPr>
        <w:t xml:space="preserve"> </w:t>
      </w:r>
      <w:r w:rsidR="00122889" w:rsidRPr="004C2FAC">
        <w:rPr>
          <w:rFonts w:cs="Arial"/>
          <w:lang w:val="es-ES_tradnl"/>
        </w:rPr>
        <w:t>con independencia de que el litigio verse o no sobre el incumplimiento de obligaciones dinerarias</w:t>
      </w:r>
      <w:r w:rsidR="00603AD7" w:rsidRPr="004C2FAC">
        <w:rPr>
          <w:rStyle w:val="Refdenotaalpie"/>
          <w:rFonts w:cs="Arial"/>
          <w:lang w:val="es-ES_tradnl"/>
        </w:rPr>
        <w:footnoteReference w:id="81"/>
      </w:r>
      <w:r w:rsidR="00122889" w:rsidRPr="004C2FAC">
        <w:rPr>
          <w:rFonts w:cs="Arial"/>
          <w:lang w:val="es-ES_tradnl"/>
        </w:rPr>
        <w:t xml:space="preserve">. </w:t>
      </w:r>
    </w:p>
    <w:p w:rsidR="005B47A3" w:rsidRPr="004C2FAC" w:rsidRDefault="005B47A3" w:rsidP="008B4E5F">
      <w:pPr>
        <w:widowControl w:val="0"/>
        <w:rPr>
          <w:rFonts w:cs="Arial"/>
          <w:lang w:val="es-ES_tradnl"/>
        </w:rPr>
      </w:pPr>
    </w:p>
    <w:p w:rsidR="001A2F8B" w:rsidRPr="004C2FAC" w:rsidRDefault="004E19D1" w:rsidP="008B4E5F">
      <w:pPr>
        <w:widowControl w:val="0"/>
        <w:rPr>
          <w:rFonts w:cs="Arial"/>
          <w:lang w:val="es-ES_tradnl"/>
        </w:rPr>
      </w:pPr>
      <w:r w:rsidRPr="004C2FAC">
        <w:rPr>
          <w:rFonts w:cs="Arial"/>
          <w:lang w:val="es-ES_tradnl"/>
        </w:rPr>
        <w:t xml:space="preserve">Precisamente, </w:t>
      </w:r>
      <w:r w:rsidR="00D41DFD" w:rsidRPr="004C2FAC">
        <w:rPr>
          <w:rFonts w:cs="Arial"/>
          <w:lang w:val="es-ES_tradnl"/>
        </w:rPr>
        <w:t xml:space="preserve">el reconocimiento de intereses </w:t>
      </w:r>
      <w:r w:rsidR="00767D37" w:rsidRPr="004C2FAC">
        <w:rPr>
          <w:rFonts w:cs="Arial"/>
          <w:lang w:val="es-ES_tradnl"/>
        </w:rPr>
        <w:t xml:space="preserve">moratorios </w:t>
      </w:r>
      <w:r w:rsidR="00E446B1" w:rsidRPr="004C2FAC">
        <w:rPr>
          <w:rFonts w:cs="Arial"/>
          <w:lang w:val="es-ES_tradnl"/>
        </w:rPr>
        <w:t xml:space="preserve">como base </w:t>
      </w:r>
      <w:r w:rsidR="00D41DFD" w:rsidRPr="004C2FAC">
        <w:rPr>
          <w:rFonts w:cs="Arial"/>
          <w:lang w:val="es-ES_tradnl"/>
        </w:rPr>
        <w:t xml:space="preserve">para liquidar el valor del perjuicio resulta viable de acuerdo con la </w:t>
      </w:r>
      <w:r w:rsidR="001A2F8B" w:rsidRPr="004C2FAC">
        <w:rPr>
          <w:rFonts w:cs="Arial"/>
          <w:lang w:val="es-ES_tradnl"/>
        </w:rPr>
        <w:t xml:space="preserve">jurisprudencia de unificación de la Sala Plena de la Sección Tercera del Consejo de Estado, </w:t>
      </w:r>
      <w:r w:rsidR="00337225" w:rsidRPr="004C2FAC">
        <w:rPr>
          <w:rFonts w:cs="Arial"/>
          <w:lang w:val="es-ES_tradnl"/>
        </w:rPr>
        <w:t xml:space="preserve">la cual </w:t>
      </w:r>
      <w:r w:rsidR="00D41DFD" w:rsidRPr="004C2FAC">
        <w:rPr>
          <w:rFonts w:cs="Arial"/>
          <w:lang w:val="es-ES_tradnl"/>
        </w:rPr>
        <w:t xml:space="preserve">establece </w:t>
      </w:r>
      <w:r w:rsidR="00D60487" w:rsidRPr="004C2FAC">
        <w:rPr>
          <w:rFonts w:cs="Arial"/>
          <w:lang w:val="es-ES_tradnl"/>
        </w:rPr>
        <w:t xml:space="preserve">que </w:t>
      </w:r>
      <w:r w:rsidRPr="004C2FAC">
        <w:rPr>
          <w:rFonts w:cs="Arial"/>
          <w:lang w:val="es-ES_tradnl"/>
        </w:rPr>
        <w:t xml:space="preserve">se pueden reconocer </w:t>
      </w:r>
      <w:r w:rsidR="00564057" w:rsidRPr="004C2FAC">
        <w:rPr>
          <w:rFonts w:cs="Arial"/>
          <w:lang w:val="es-ES_tradnl"/>
        </w:rPr>
        <w:t>intereses moratorios</w:t>
      </w:r>
      <w:r w:rsidR="003C42FA" w:rsidRPr="004C2FAC">
        <w:rPr>
          <w:rFonts w:cs="Arial"/>
          <w:lang w:val="es-ES_tradnl"/>
        </w:rPr>
        <w:t>, a título de indemnización de perjuicios, con fundamento en las siguientes consideraciones</w:t>
      </w:r>
      <w:r w:rsidR="00564057" w:rsidRPr="004C2FAC">
        <w:rPr>
          <w:rFonts w:cs="Arial"/>
          <w:lang w:val="es-ES_tradnl"/>
        </w:rPr>
        <w:t xml:space="preserve">: </w:t>
      </w:r>
    </w:p>
    <w:p w:rsidR="00A36AC9" w:rsidRPr="004C2FAC" w:rsidRDefault="00A36AC9" w:rsidP="007F77BB">
      <w:pPr>
        <w:spacing w:before="100" w:beforeAutospacing="1" w:after="100" w:afterAutospacing="1" w:line="276" w:lineRule="auto"/>
        <w:ind w:left="567" w:right="902"/>
        <w:rPr>
          <w:rFonts w:cs="Arial"/>
          <w:i/>
          <w:color w:val="000000"/>
          <w:sz w:val="22"/>
          <w:szCs w:val="22"/>
          <w:shd w:val="clear" w:color="auto" w:fill="FFFFFF"/>
        </w:rPr>
      </w:pPr>
      <w:r w:rsidRPr="004C2FAC">
        <w:rPr>
          <w:rFonts w:cs="Arial"/>
          <w:i/>
          <w:color w:val="000000"/>
          <w:sz w:val="27"/>
          <w:szCs w:val="27"/>
          <w:shd w:val="clear" w:color="auto" w:fill="FFFFFF"/>
        </w:rPr>
        <w:lastRenderedPageBreak/>
        <w:t>“</w:t>
      </w:r>
      <w:r w:rsidRPr="004C2FAC">
        <w:rPr>
          <w:rFonts w:cs="Arial"/>
          <w:i/>
          <w:color w:val="000000"/>
          <w:sz w:val="22"/>
          <w:szCs w:val="22"/>
          <w:shd w:val="clear" w:color="auto" w:fill="FFFFFF"/>
        </w:rPr>
        <w:t>21.5 Es pertinente recordar que las obligaciones están conformadas por dos elementos indisolubles denominados débito y responsabilidad</w:t>
      </w:r>
      <w:r w:rsidRPr="004C2FAC">
        <w:rPr>
          <w:rFonts w:cs="Arial"/>
          <w:i/>
          <w:color w:val="000000"/>
          <w:sz w:val="22"/>
          <w:szCs w:val="22"/>
          <w:shd w:val="clear" w:color="auto" w:fill="FFFFFF"/>
          <w:vertAlign w:val="superscript"/>
        </w:rPr>
        <w:t>30</w:t>
      </w:r>
      <w:r w:rsidRPr="004C2FAC">
        <w:rPr>
          <w:rFonts w:cs="Arial"/>
          <w:i/>
          <w:color w:val="000000"/>
          <w:sz w:val="22"/>
          <w:szCs w:val="22"/>
          <w:shd w:val="clear" w:color="auto" w:fill="FFFFFF"/>
        </w:rPr>
        <w:t>; que en virtud del primero de ellos el deudor se encuentra compelido al cumplimiento del objeto debido, al comportamiento o conducta que el acreedor espera para su satisfacción; que el segundo representa la posibilidad del acreedor, frente a la renuencia del deudor, de exigir judicialmente no solo el pago de la prestación </w:t>
      </w:r>
      <w:r w:rsidRPr="004C2FAC">
        <w:rPr>
          <w:rFonts w:cs="Arial"/>
          <w:i/>
          <w:iCs/>
          <w:color w:val="000000"/>
          <w:sz w:val="22"/>
          <w:szCs w:val="22"/>
          <w:shd w:val="clear" w:color="auto" w:fill="FFFFFF"/>
        </w:rPr>
        <w:t>in natura</w:t>
      </w:r>
      <w:r w:rsidRPr="004C2FAC">
        <w:rPr>
          <w:rFonts w:cs="Arial"/>
          <w:i/>
          <w:color w:val="000000"/>
          <w:sz w:val="22"/>
          <w:szCs w:val="22"/>
          <w:shd w:val="clear" w:color="auto" w:fill="FFFFFF"/>
        </w:rPr>
        <w:t xml:space="preserve"> o del subrogado pecuniario, sino también de los perjuicios ocasionados, </w:t>
      </w:r>
      <w:r w:rsidRPr="004C2FAC">
        <w:rPr>
          <w:rFonts w:cs="Arial"/>
          <w:b/>
          <w:i/>
          <w:color w:val="000000"/>
          <w:sz w:val="22"/>
          <w:szCs w:val="22"/>
          <w:shd w:val="clear" w:color="auto" w:fill="FFFFFF"/>
        </w:rPr>
        <w:t>dentro de los cuales aparecen claramente los intereses moratorios</w:t>
      </w:r>
      <w:r w:rsidRPr="004C2FAC">
        <w:rPr>
          <w:rFonts w:cs="Arial"/>
          <w:i/>
          <w:color w:val="000000"/>
          <w:sz w:val="22"/>
          <w:szCs w:val="22"/>
          <w:shd w:val="clear" w:color="auto" w:fill="FFFFFF"/>
        </w:rPr>
        <w:t>.</w:t>
      </w:r>
    </w:p>
    <w:p w:rsidR="00A36AC9" w:rsidRPr="004C2FAC" w:rsidRDefault="00A36AC9" w:rsidP="007F77BB">
      <w:pPr>
        <w:spacing w:before="100" w:beforeAutospacing="1" w:after="100" w:afterAutospacing="1" w:line="276" w:lineRule="auto"/>
        <w:ind w:left="567" w:right="902"/>
        <w:rPr>
          <w:rFonts w:cs="Arial"/>
          <w:i/>
          <w:color w:val="000000"/>
          <w:sz w:val="22"/>
          <w:szCs w:val="22"/>
          <w:shd w:val="clear" w:color="auto" w:fill="FFFFFF"/>
        </w:rPr>
      </w:pPr>
      <w:r w:rsidRPr="004C2FAC">
        <w:rPr>
          <w:rFonts w:cs="Arial"/>
          <w:i/>
          <w:color w:val="000000"/>
          <w:sz w:val="22"/>
          <w:szCs w:val="22"/>
          <w:shd w:val="clear" w:color="auto" w:fill="FFFFFF"/>
        </w:rPr>
        <w:t>“21.6 Así, resulta claro para la Sala que la diferencia fundamental entre la sentencia que anula el acto administrativo que impone una multa o hace efectiva una cláusula penal pecuniaria y la que advierte la falta de pago de unas obras contratadas y realizadas, radica en que en el primer caso la sentencia constituye el título que obliga a la entidad a restituir al contratista la suma que éste había pagado, pues anula el acto administrativo que la impuso, y solo a partir de entonces se puede decir que la entidad le debe al contratista una suma de dinero, razón por la cual no se puede hablar de que haya mora de la entidad con anterioridad a la constitución del título de la obligación, es decir, al momento en que la sentencia queda en firme</w:t>
      </w:r>
      <w:r w:rsidR="007F77BB" w:rsidRPr="004C2FAC">
        <w:rPr>
          <w:rFonts w:cs="Arial"/>
          <w:i/>
          <w:color w:val="000000"/>
          <w:sz w:val="22"/>
          <w:szCs w:val="22"/>
          <w:shd w:val="clear" w:color="auto" w:fill="FFFFFF"/>
        </w:rPr>
        <w:t>”</w:t>
      </w:r>
      <w:r w:rsidR="00A42A85" w:rsidRPr="004C2FAC">
        <w:rPr>
          <w:rFonts w:cs="Arial"/>
          <w:i/>
          <w:color w:val="000000"/>
          <w:sz w:val="22"/>
          <w:szCs w:val="22"/>
          <w:shd w:val="clear" w:color="auto" w:fill="FFFFFF"/>
        </w:rPr>
        <w:t xml:space="preserve"> </w:t>
      </w:r>
      <w:r w:rsidR="00A42A85" w:rsidRPr="004C2FAC">
        <w:rPr>
          <w:rFonts w:cs="Arial"/>
          <w:color w:val="000000"/>
          <w:sz w:val="22"/>
          <w:szCs w:val="22"/>
          <w:shd w:val="clear" w:color="auto" w:fill="FFFFFF"/>
        </w:rPr>
        <w:t>(la negrilla no es del texto)</w:t>
      </w:r>
      <w:r w:rsidR="00E446B1" w:rsidRPr="004C2FAC">
        <w:rPr>
          <w:rStyle w:val="Refdenotaalpie"/>
          <w:rFonts w:cs="Arial"/>
          <w:i/>
          <w:color w:val="000000"/>
          <w:sz w:val="22"/>
          <w:szCs w:val="22"/>
          <w:shd w:val="clear" w:color="auto" w:fill="FFFFFF"/>
        </w:rPr>
        <w:footnoteReference w:id="82"/>
      </w:r>
    </w:p>
    <w:p w:rsidR="00A36AC9" w:rsidRPr="004C2FAC" w:rsidRDefault="00A36AC9" w:rsidP="008B4E5F">
      <w:pPr>
        <w:widowControl w:val="0"/>
        <w:rPr>
          <w:rFonts w:cs="Arial"/>
          <w:lang w:val="es-ES_tradnl"/>
        </w:rPr>
      </w:pPr>
    </w:p>
    <w:p w:rsidR="00721C9D" w:rsidRPr="004C2FAC" w:rsidRDefault="006436EF" w:rsidP="008B4E5F">
      <w:pPr>
        <w:widowControl w:val="0"/>
        <w:rPr>
          <w:rFonts w:cs="Arial"/>
          <w:lang w:val="es-ES_tradnl"/>
        </w:rPr>
      </w:pPr>
      <w:r w:rsidRPr="004C2FAC">
        <w:rPr>
          <w:rFonts w:cs="Arial"/>
          <w:lang w:val="es-ES_tradnl"/>
        </w:rPr>
        <w:t xml:space="preserve">Como consecuencia, </w:t>
      </w:r>
      <w:r w:rsidR="00BF34AA" w:rsidRPr="004C2FAC">
        <w:rPr>
          <w:rFonts w:cs="Arial"/>
          <w:lang w:val="es-ES_tradnl"/>
        </w:rPr>
        <w:t xml:space="preserve">toda vez que en el presente caso se declarará el incumplimiento de los contratos </w:t>
      </w:r>
      <w:r w:rsidR="00D60487" w:rsidRPr="004C2FAC">
        <w:rPr>
          <w:rFonts w:cs="Arial"/>
          <w:lang w:val="es-ES_tradnl"/>
        </w:rPr>
        <w:t xml:space="preserve">de trueque de arroz </w:t>
      </w:r>
      <w:r w:rsidR="00BF34AA" w:rsidRPr="004C2FAC">
        <w:rPr>
          <w:rFonts w:cs="Arial"/>
          <w:lang w:val="es-ES_tradnl"/>
        </w:rPr>
        <w:t xml:space="preserve">y que </w:t>
      </w:r>
      <w:r w:rsidR="004E19D1" w:rsidRPr="004C2FAC">
        <w:rPr>
          <w:rFonts w:cs="Arial"/>
          <w:lang w:val="es-ES_tradnl"/>
        </w:rPr>
        <w:t xml:space="preserve">el perjuicio correspondiente se encuentra probado por </w:t>
      </w:r>
      <w:r w:rsidR="003B63FC" w:rsidRPr="004C2FAC">
        <w:rPr>
          <w:rFonts w:cs="Arial"/>
          <w:lang w:val="es-ES_tradnl"/>
        </w:rPr>
        <w:t xml:space="preserve">la no entrega </w:t>
      </w:r>
      <w:r w:rsidR="00721C9D" w:rsidRPr="004C2FAC">
        <w:rPr>
          <w:rFonts w:cs="Arial"/>
          <w:lang w:val="es-ES_tradnl"/>
        </w:rPr>
        <w:t xml:space="preserve">del arroz </w:t>
      </w:r>
      <w:r w:rsidR="003B63FC" w:rsidRPr="004C2FAC">
        <w:rPr>
          <w:rFonts w:cs="Arial"/>
          <w:lang w:val="es-ES_tradnl"/>
        </w:rPr>
        <w:t>dentro del plazo previsto</w:t>
      </w:r>
      <w:r w:rsidR="00BF34AA" w:rsidRPr="004C2FAC">
        <w:rPr>
          <w:rFonts w:cs="Arial"/>
          <w:lang w:val="es-ES_tradnl"/>
        </w:rPr>
        <w:t xml:space="preserve">, resulta pertinente </w:t>
      </w:r>
      <w:r w:rsidR="00610E8B" w:rsidRPr="004C2FAC">
        <w:rPr>
          <w:rFonts w:cs="Arial"/>
          <w:lang w:val="es-ES_tradnl"/>
        </w:rPr>
        <w:t>acceder a la pretensión del demandante</w:t>
      </w:r>
      <w:r w:rsidR="00721C9D" w:rsidRPr="004C2FAC">
        <w:rPr>
          <w:rFonts w:cs="Arial"/>
          <w:lang w:val="es-ES_tradnl"/>
        </w:rPr>
        <w:t xml:space="preserve"> en cuanto se refiere al reconocimiento de </w:t>
      </w:r>
      <w:r w:rsidR="00303553" w:rsidRPr="004C2FAC">
        <w:rPr>
          <w:rFonts w:cs="Arial"/>
          <w:lang w:val="es-ES_tradnl"/>
        </w:rPr>
        <w:t xml:space="preserve">perjuicios con base en los </w:t>
      </w:r>
      <w:r w:rsidR="00721C9D" w:rsidRPr="004C2FAC">
        <w:rPr>
          <w:rFonts w:cs="Arial"/>
          <w:lang w:val="es-ES_tradnl"/>
        </w:rPr>
        <w:t>intereses</w:t>
      </w:r>
      <w:r w:rsidR="0010563C" w:rsidRPr="004C2FAC">
        <w:rPr>
          <w:rFonts w:cs="Arial"/>
          <w:lang w:val="es-ES_tradnl"/>
        </w:rPr>
        <w:t xml:space="preserve"> de ley</w:t>
      </w:r>
      <w:r w:rsidR="00721C9D" w:rsidRPr="004C2FAC">
        <w:rPr>
          <w:rFonts w:cs="Arial"/>
          <w:lang w:val="es-ES_tradnl"/>
        </w:rPr>
        <w:t>.</w:t>
      </w:r>
    </w:p>
    <w:p w:rsidR="00721C9D" w:rsidRPr="004C2FAC" w:rsidRDefault="00721C9D" w:rsidP="008B4E5F">
      <w:pPr>
        <w:widowControl w:val="0"/>
        <w:rPr>
          <w:rFonts w:cs="Arial"/>
          <w:lang w:val="es-ES_tradnl"/>
        </w:rPr>
      </w:pPr>
    </w:p>
    <w:p w:rsidR="00AB3ADA" w:rsidRPr="004C2FAC" w:rsidRDefault="0010563C" w:rsidP="008B4E5F">
      <w:pPr>
        <w:widowControl w:val="0"/>
        <w:rPr>
          <w:rFonts w:cs="Arial"/>
          <w:lang w:val="es-ES_tradnl"/>
        </w:rPr>
      </w:pPr>
      <w:r w:rsidRPr="004C2FAC">
        <w:rPr>
          <w:rFonts w:cs="Arial"/>
          <w:lang w:val="es-ES_tradnl"/>
        </w:rPr>
        <w:t xml:space="preserve">Sin embargo, </w:t>
      </w:r>
      <w:r w:rsidR="001C2F1F" w:rsidRPr="004C2FAC">
        <w:rPr>
          <w:rFonts w:cs="Arial"/>
          <w:lang w:val="es-ES_tradnl"/>
        </w:rPr>
        <w:t>s</w:t>
      </w:r>
      <w:r w:rsidR="00721C9D" w:rsidRPr="004C2FAC">
        <w:rPr>
          <w:rFonts w:cs="Arial"/>
          <w:lang w:val="es-ES_tradnl"/>
        </w:rPr>
        <w:t>e debe precisar que en este caso se a</w:t>
      </w:r>
      <w:r w:rsidR="00CA3212" w:rsidRPr="004C2FAC">
        <w:rPr>
          <w:rFonts w:cs="Arial"/>
          <w:lang w:val="es-ES_tradnl"/>
        </w:rPr>
        <w:t xml:space="preserve">plicará el </w:t>
      </w:r>
      <w:r w:rsidR="00721C9D" w:rsidRPr="004C2FAC">
        <w:rPr>
          <w:rFonts w:cs="Arial"/>
          <w:lang w:val="es-ES_tradnl"/>
        </w:rPr>
        <w:t>inter</w:t>
      </w:r>
      <w:r w:rsidR="00303553" w:rsidRPr="004C2FAC">
        <w:rPr>
          <w:rFonts w:cs="Arial"/>
          <w:lang w:val="es-ES_tradnl"/>
        </w:rPr>
        <w:t>é</w:t>
      </w:r>
      <w:r w:rsidR="00721C9D" w:rsidRPr="004C2FAC">
        <w:rPr>
          <w:rFonts w:cs="Arial"/>
          <w:lang w:val="es-ES_tradnl"/>
        </w:rPr>
        <w:t>s</w:t>
      </w:r>
      <w:r w:rsidR="00303553" w:rsidRPr="004C2FAC">
        <w:rPr>
          <w:rFonts w:cs="Arial"/>
          <w:lang w:val="es-ES_tradnl"/>
        </w:rPr>
        <w:t xml:space="preserve"> </w:t>
      </w:r>
      <w:r w:rsidR="00CA3212" w:rsidRPr="004C2FAC">
        <w:rPr>
          <w:rFonts w:cs="Arial"/>
          <w:lang w:val="es-ES_tradnl"/>
        </w:rPr>
        <w:t xml:space="preserve">legal </w:t>
      </w:r>
      <w:r w:rsidR="00721C9D" w:rsidRPr="004C2FAC">
        <w:rPr>
          <w:rFonts w:cs="Arial"/>
          <w:lang w:val="es-ES_tradnl"/>
        </w:rPr>
        <w:t>del Código Civil</w:t>
      </w:r>
      <w:r w:rsidR="00CA3212" w:rsidRPr="004C2FAC">
        <w:rPr>
          <w:rStyle w:val="Refdenotaalpie"/>
          <w:rFonts w:cs="Arial"/>
          <w:lang w:val="es-ES_tradnl"/>
        </w:rPr>
        <w:footnoteReference w:id="83"/>
      </w:r>
      <w:r w:rsidR="00721C9D" w:rsidRPr="004C2FAC">
        <w:rPr>
          <w:rFonts w:cs="Arial"/>
          <w:lang w:val="es-ES_tradnl"/>
        </w:rPr>
        <w:t xml:space="preserve">, </w:t>
      </w:r>
      <w:r w:rsidR="00D00DFE" w:rsidRPr="004C2FAC">
        <w:rPr>
          <w:rFonts w:cs="Arial"/>
          <w:lang w:val="es-ES_tradnl"/>
        </w:rPr>
        <w:t xml:space="preserve">es decir que se </w:t>
      </w:r>
      <w:r w:rsidR="00016F5C" w:rsidRPr="004C2FAC">
        <w:rPr>
          <w:rFonts w:cs="Arial"/>
          <w:lang w:val="es-ES_tradnl"/>
        </w:rPr>
        <w:t xml:space="preserve">reconocerá </w:t>
      </w:r>
      <w:r w:rsidR="00182946" w:rsidRPr="004C2FAC">
        <w:rPr>
          <w:rFonts w:cs="Arial"/>
          <w:lang w:val="es-ES_tradnl"/>
        </w:rPr>
        <w:t xml:space="preserve">como parte de la </w:t>
      </w:r>
      <w:r w:rsidR="00A42A85" w:rsidRPr="004C2FAC">
        <w:rPr>
          <w:rFonts w:cs="Arial"/>
          <w:lang w:val="es-ES_tradnl"/>
        </w:rPr>
        <w:t xml:space="preserve">indemnización, </w:t>
      </w:r>
      <w:r w:rsidR="00182946" w:rsidRPr="004C2FAC">
        <w:rPr>
          <w:rFonts w:cs="Arial"/>
          <w:lang w:val="es-ES_tradnl"/>
        </w:rPr>
        <w:t>la suma que correspond</w:t>
      </w:r>
      <w:r w:rsidR="005D4264" w:rsidRPr="004C2FAC">
        <w:rPr>
          <w:rFonts w:cs="Arial"/>
          <w:lang w:val="es-ES_tradnl"/>
        </w:rPr>
        <w:t>a</w:t>
      </w:r>
      <w:r w:rsidR="00182946" w:rsidRPr="004C2FAC">
        <w:rPr>
          <w:rFonts w:cs="Arial"/>
          <w:lang w:val="es-ES_tradnl"/>
        </w:rPr>
        <w:t xml:space="preserve"> a</w:t>
      </w:r>
      <w:r w:rsidR="00D23620" w:rsidRPr="004C2FAC">
        <w:rPr>
          <w:rFonts w:cs="Arial"/>
          <w:lang w:val="es-ES_tradnl"/>
        </w:rPr>
        <w:t xml:space="preserve"> liquidar un interés del </w:t>
      </w:r>
      <w:r w:rsidR="000D0EE6" w:rsidRPr="004C2FAC">
        <w:rPr>
          <w:rFonts w:cs="Arial"/>
          <w:lang w:val="es-ES_tradnl"/>
        </w:rPr>
        <w:t>6</w:t>
      </w:r>
      <w:r w:rsidR="008757D0" w:rsidRPr="004C2FAC">
        <w:rPr>
          <w:rFonts w:cs="Arial"/>
          <w:lang w:val="es-ES_tradnl"/>
        </w:rPr>
        <w:t>%</w:t>
      </w:r>
      <w:r w:rsidR="00AB3ADA" w:rsidRPr="004C2FAC">
        <w:rPr>
          <w:rFonts w:cs="Arial"/>
          <w:lang w:val="es-ES_tradnl"/>
        </w:rPr>
        <w:t xml:space="preserve">, sobre el valor de la obligación, en este caso, el monto que se fijó en este proceso para determinar el valor del arroz no </w:t>
      </w:r>
      <w:r w:rsidR="00AB3ADA" w:rsidRPr="004C2FAC">
        <w:rPr>
          <w:rFonts w:cs="Arial"/>
          <w:lang w:val="es-ES_tradnl"/>
        </w:rPr>
        <w:lastRenderedPageBreak/>
        <w:t>entregado.</w:t>
      </w:r>
    </w:p>
    <w:p w:rsidR="00AB3ADA" w:rsidRPr="004C2FAC" w:rsidRDefault="00AB3ADA" w:rsidP="00D00DFE">
      <w:pPr>
        <w:widowControl w:val="0"/>
        <w:rPr>
          <w:rFonts w:cs="Arial"/>
          <w:lang w:val="es-ES_tradnl"/>
        </w:rPr>
      </w:pPr>
    </w:p>
    <w:p w:rsidR="00D00DFE" w:rsidRPr="004C2FAC" w:rsidRDefault="00303553" w:rsidP="00D00DFE">
      <w:pPr>
        <w:widowControl w:val="0"/>
        <w:rPr>
          <w:rFonts w:cs="Arial"/>
          <w:lang w:val="es-ES_tradnl"/>
        </w:rPr>
      </w:pPr>
      <w:r w:rsidRPr="004C2FAC">
        <w:rPr>
          <w:rFonts w:cs="Arial"/>
          <w:lang w:val="es-ES_tradnl"/>
        </w:rPr>
        <w:t>Se explica que a</w:t>
      </w:r>
      <w:r w:rsidR="00D00DFE" w:rsidRPr="004C2FAC">
        <w:rPr>
          <w:rFonts w:cs="Arial"/>
          <w:lang w:val="es-ES_tradnl"/>
        </w:rPr>
        <w:t xml:space="preserve">unque el demandante invocó </w:t>
      </w:r>
      <w:r w:rsidR="00EC7AE6" w:rsidRPr="004C2FAC">
        <w:rPr>
          <w:rFonts w:cs="Arial"/>
          <w:lang w:val="es-ES_tradnl"/>
        </w:rPr>
        <w:t xml:space="preserve">el artículo 4 de </w:t>
      </w:r>
      <w:r w:rsidR="00D00DFE" w:rsidRPr="004C2FAC">
        <w:rPr>
          <w:rFonts w:cs="Arial"/>
          <w:lang w:val="es-ES_tradnl"/>
        </w:rPr>
        <w:t>la Ley 80 de 1993</w:t>
      </w:r>
      <w:r w:rsidR="00B47675" w:rsidRPr="004C2FAC">
        <w:rPr>
          <w:rFonts w:cs="Arial"/>
          <w:lang w:val="es-ES_tradnl"/>
        </w:rPr>
        <w:t xml:space="preserve"> en cuanto se refiere a la regla de interés supletivo</w:t>
      </w:r>
      <w:r w:rsidR="005D4264" w:rsidRPr="004C2FAC">
        <w:rPr>
          <w:rFonts w:cs="Arial"/>
          <w:lang w:val="es-ES_tradnl"/>
        </w:rPr>
        <w:t xml:space="preserve">, </w:t>
      </w:r>
      <w:r w:rsidR="00182946" w:rsidRPr="004C2FAC">
        <w:rPr>
          <w:rFonts w:cs="Arial"/>
          <w:lang w:val="es-ES_tradnl"/>
        </w:rPr>
        <w:t>la liquidación no se apoya</w:t>
      </w:r>
      <w:r w:rsidR="00D23620" w:rsidRPr="004C2FAC">
        <w:rPr>
          <w:rFonts w:cs="Arial"/>
          <w:lang w:val="es-ES_tradnl"/>
        </w:rPr>
        <w:t xml:space="preserve">rá </w:t>
      </w:r>
      <w:r w:rsidR="00182946" w:rsidRPr="004C2FAC">
        <w:rPr>
          <w:rFonts w:cs="Arial"/>
          <w:lang w:val="es-ES_tradnl"/>
        </w:rPr>
        <w:t xml:space="preserve">en esa norma legal, </w:t>
      </w:r>
      <w:r w:rsidR="0004374F" w:rsidRPr="004C2FAC">
        <w:rPr>
          <w:rFonts w:cs="Arial"/>
          <w:lang w:val="es-ES_tradnl"/>
        </w:rPr>
        <w:t xml:space="preserve">dado </w:t>
      </w:r>
      <w:r w:rsidR="00D00DFE" w:rsidRPr="004C2FAC">
        <w:rPr>
          <w:rFonts w:cs="Arial"/>
          <w:lang w:val="es-ES_tradnl"/>
        </w:rPr>
        <w:t xml:space="preserve">que las operaciones de trueque se regían por el derecho privado, en los términos del Decreto 2001 de 1993 y no por la </w:t>
      </w:r>
      <w:r w:rsidR="0004374F" w:rsidRPr="004C2FAC">
        <w:rPr>
          <w:rFonts w:cs="Arial"/>
          <w:lang w:val="es-ES_tradnl"/>
        </w:rPr>
        <w:t xml:space="preserve">citada </w:t>
      </w:r>
      <w:r w:rsidR="00D00DFE" w:rsidRPr="004C2FAC">
        <w:rPr>
          <w:rFonts w:cs="Arial"/>
          <w:lang w:val="es-ES_tradnl"/>
        </w:rPr>
        <w:t>Ley 80 de 1993.</w:t>
      </w:r>
    </w:p>
    <w:p w:rsidR="00D00DFE" w:rsidRPr="004C2FAC" w:rsidRDefault="00D00DFE" w:rsidP="00D00DFE">
      <w:pPr>
        <w:widowControl w:val="0"/>
        <w:rPr>
          <w:rFonts w:cs="Arial"/>
          <w:lang w:val="es-ES_tradnl"/>
        </w:rPr>
      </w:pPr>
    </w:p>
    <w:p w:rsidR="004A2E2A" w:rsidRPr="004C2FAC" w:rsidRDefault="0004374F" w:rsidP="00D00DFE">
      <w:pPr>
        <w:widowControl w:val="0"/>
        <w:rPr>
          <w:rFonts w:cs="Arial"/>
          <w:lang w:val="es-ES_tradnl"/>
        </w:rPr>
      </w:pPr>
      <w:r w:rsidRPr="004C2FAC">
        <w:rPr>
          <w:rFonts w:cs="Arial"/>
          <w:lang w:val="es-ES_tradnl"/>
        </w:rPr>
        <w:t xml:space="preserve">También es bueno advertir que no procede </w:t>
      </w:r>
      <w:r w:rsidR="00D23620" w:rsidRPr="004C2FAC">
        <w:rPr>
          <w:rFonts w:cs="Arial"/>
          <w:lang w:val="es-ES_tradnl"/>
        </w:rPr>
        <w:t xml:space="preserve">liquidar un interés moratorio correspondiente al doble del </w:t>
      </w:r>
      <w:r w:rsidRPr="004C2FAC">
        <w:rPr>
          <w:rFonts w:cs="Arial"/>
          <w:lang w:val="es-ES_tradnl"/>
        </w:rPr>
        <w:t xml:space="preserve">interés bancario corriente, como parámetro para liquidar el perjuicio que sufrió </w:t>
      </w:r>
      <w:r w:rsidR="00306550" w:rsidRPr="004C2FAC">
        <w:rPr>
          <w:rFonts w:cs="Arial"/>
          <w:lang w:val="es-ES_tradnl"/>
        </w:rPr>
        <w:t>el</w:t>
      </w:r>
      <w:r w:rsidRPr="004C2FAC">
        <w:rPr>
          <w:rFonts w:cs="Arial"/>
          <w:lang w:val="es-ES_tradnl"/>
        </w:rPr>
        <w:t xml:space="preserve"> IDEMA, toda vez que </w:t>
      </w:r>
      <w:r w:rsidR="00306550" w:rsidRPr="004C2FAC">
        <w:rPr>
          <w:rFonts w:cs="Arial"/>
          <w:lang w:val="es-ES_tradnl"/>
        </w:rPr>
        <w:t xml:space="preserve">el </w:t>
      </w:r>
      <w:r w:rsidRPr="004C2FAC">
        <w:rPr>
          <w:rFonts w:cs="Arial"/>
          <w:lang w:val="es-ES_tradnl"/>
        </w:rPr>
        <w:t xml:space="preserve">artículo 884 </w:t>
      </w:r>
      <w:r w:rsidR="00D35B9B" w:rsidRPr="004C2FAC">
        <w:rPr>
          <w:rFonts w:cs="Arial"/>
          <w:lang w:val="es-ES_tradnl"/>
        </w:rPr>
        <w:t xml:space="preserve">del Código de Comercio </w:t>
      </w:r>
      <w:r w:rsidRPr="004C2FAC">
        <w:rPr>
          <w:rFonts w:cs="Arial"/>
          <w:lang w:val="es-ES_tradnl"/>
        </w:rPr>
        <w:t xml:space="preserve">se refiere a los negocios en que </w:t>
      </w:r>
      <w:r w:rsidR="00306550" w:rsidRPr="004C2FAC">
        <w:rPr>
          <w:rFonts w:cs="Arial"/>
          <w:lang w:val="es-ES_tradnl"/>
        </w:rPr>
        <w:t xml:space="preserve">haya de pagarse réditos de un capital, </w:t>
      </w:r>
      <w:r w:rsidR="004D343D" w:rsidRPr="004C2FAC">
        <w:rPr>
          <w:rFonts w:cs="Arial"/>
          <w:lang w:val="es-ES_tradnl"/>
        </w:rPr>
        <w:t xml:space="preserve">lo cual </w:t>
      </w:r>
      <w:r w:rsidR="005D4264" w:rsidRPr="004C2FAC">
        <w:rPr>
          <w:rFonts w:cs="Arial"/>
          <w:lang w:val="es-ES_tradnl"/>
        </w:rPr>
        <w:t xml:space="preserve">no se corresponde con los contratos en el </w:t>
      </w:r>
      <w:r w:rsidR="005D4264" w:rsidRPr="004C2FAC">
        <w:rPr>
          <w:rFonts w:cs="Arial"/>
          <w:i/>
          <w:lang w:val="es-ES_tradnl"/>
        </w:rPr>
        <w:t>sub lite</w:t>
      </w:r>
      <w:r w:rsidR="005D4264" w:rsidRPr="004C2FAC">
        <w:rPr>
          <w:rFonts w:cs="Arial"/>
          <w:lang w:val="es-ES_tradnl"/>
        </w:rPr>
        <w:t xml:space="preserve">, además de que </w:t>
      </w:r>
      <w:r w:rsidR="004A2E2A" w:rsidRPr="004C2FAC">
        <w:rPr>
          <w:rFonts w:cs="Arial"/>
          <w:lang w:val="es-ES_tradnl"/>
        </w:rPr>
        <w:t>l</w:t>
      </w:r>
      <w:r w:rsidR="004D343D" w:rsidRPr="004C2FAC">
        <w:rPr>
          <w:rFonts w:cs="Arial"/>
          <w:lang w:val="es-ES_tradnl"/>
        </w:rPr>
        <w:t xml:space="preserve">a tasación de los referidos intereses moratorios </w:t>
      </w:r>
      <w:r w:rsidR="004A2E2A" w:rsidRPr="004C2FAC">
        <w:rPr>
          <w:rFonts w:cs="Arial"/>
          <w:lang w:val="es-ES_tradnl"/>
        </w:rPr>
        <w:t xml:space="preserve">en el derecho comercial procede sobre </w:t>
      </w:r>
      <w:r w:rsidR="004D343D" w:rsidRPr="004C2FAC">
        <w:rPr>
          <w:rFonts w:cs="Arial"/>
          <w:lang w:val="es-ES_tradnl"/>
        </w:rPr>
        <w:t xml:space="preserve">obligaciones </w:t>
      </w:r>
      <w:r w:rsidR="00D23620" w:rsidRPr="004C2FAC">
        <w:rPr>
          <w:rFonts w:cs="Arial"/>
          <w:lang w:val="es-ES_tradnl"/>
        </w:rPr>
        <w:t xml:space="preserve">contractuales de naturaleza </w:t>
      </w:r>
      <w:r w:rsidR="004D343D" w:rsidRPr="004C2FAC">
        <w:rPr>
          <w:rFonts w:cs="Arial"/>
          <w:lang w:val="es-ES_tradnl"/>
        </w:rPr>
        <w:t>dineraria</w:t>
      </w:r>
      <w:r w:rsidR="004A2E2A" w:rsidRPr="004C2FAC">
        <w:rPr>
          <w:rFonts w:cs="Arial"/>
          <w:lang w:val="es-ES_tradnl"/>
        </w:rPr>
        <w:t>.</w:t>
      </w:r>
    </w:p>
    <w:p w:rsidR="00D81AC2" w:rsidRPr="004C2FAC" w:rsidRDefault="00D81AC2" w:rsidP="00D00DFE">
      <w:pPr>
        <w:widowControl w:val="0"/>
        <w:rPr>
          <w:rFonts w:cs="Arial"/>
          <w:lang w:val="es-ES_tradnl"/>
        </w:rPr>
      </w:pPr>
    </w:p>
    <w:p w:rsidR="0004374F" w:rsidRPr="004C2FAC" w:rsidRDefault="00B47675" w:rsidP="00D00DFE">
      <w:pPr>
        <w:widowControl w:val="0"/>
        <w:rPr>
          <w:rFonts w:cs="Arial"/>
          <w:lang w:val="es-ES_tradnl"/>
        </w:rPr>
      </w:pPr>
      <w:r w:rsidRPr="004C2FAC">
        <w:rPr>
          <w:rFonts w:cs="Arial"/>
          <w:lang w:val="es-ES_tradnl"/>
        </w:rPr>
        <w:t>Por tanto, e</w:t>
      </w:r>
      <w:r w:rsidR="00D35B9B" w:rsidRPr="004C2FAC">
        <w:rPr>
          <w:rFonts w:cs="Arial"/>
          <w:lang w:val="es-ES_tradnl"/>
        </w:rPr>
        <w:t xml:space="preserve">n este caso se reconocerá </w:t>
      </w:r>
      <w:r w:rsidR="00D81AC2" w:rsidRPr="004C2FAC">
        <w:rPr>
          <w:rFonts w:cs="Arial"/>
          <w:lang w:val="es-ES_tradnl"/>
        </w:rPr>
        <w:t>como perjuicio, por el incumplimiento del trueque</w:t>
      </w:r>
      <w:r w:rsidR="004A2E2A" w:rsidRPr="004C2FAC">
        <w:rPr>
          <w:rFonts w:cs="Arial"/>
          <w:lang w:val="es-ES_tradnl"/>
        </w:rPr>
        <w:t>,</w:t>
      </w:r>
      <w:r w:rsidR="00D81AC2" w:rsidRPr="004C2FAC">
        <w:rPr>
          <w:rFonts w:cs="Arial"/>
          <w:lang w:val="es-ES_tradnl"/>
        </w:rPr>
        <w:t xml:space="preserve"> </w:t>
      </w:r>
      <w:r w:rsidR="00D35B9B" w:rsidRPr="004C2FAC">
        <w:rPr>
          <w:rFonts w:cs="Arial"/>
          <w:lang w:val="es-ES_tradnl"/>
        </w:rPr>
        <w:t xml:space="preserve">el valor del arroz debidamente indexado </w:t>
      </w:r>
      <w:r w:rsidR="004A2E2A" w:rsidRPr="004C2FAC">
        <w:rPr>
          <w:rFonts w:cs="Arial"/>
          <w:lang w:val="es-ES_tradnl"/>
        </w:rPr>
        <w:t xml:space="preserve">más </w:t>
      </w:r>
      <w:r w:rsidR="000D0EE6" w:rsidRPr="004C2FAC">
        <w:rPr>
          <w:rFonts w:cs="Arial"/>
          <w:lang w:val="es-ES_tradnl"/>
        </w:rPr>
        <w:t>el</w:t>
      </w:r>
      <w:r w:rsidR="00D35B9B" w:rsidRPr="004C2FAC">
        <w:rPr>
          <w:rFonts w:cs="Arial"/>
          <w:lang w:val="es-ES_tradnl"/>
        </w:rPr>
        <w:t xml:space="preserve"> </w:t>
      </w:r>
      <w:r w:rsidR="004A2E2A" w:rsidRPr="004C2FAC">
        <w:rPr>
          <w:rFonts w:cs="Arial"/>
          <w:lang w:val="es-ES_tradnl"/>
        </w:rPr>
        <w:t>interés legal civil.</w:t>
      </w:r>
      <w:r w:rsidR="00D81AC2" w:rsidRPr="004C2FAC">
        <w:rPr>
          <w:rFonts w:cs="Arial"/>
          <w:lang w:val="es-ES_tradnl"/>
        </w:rPr>
        <w:t xml:space="preserve"> </w:t>
      </w:r>
      <w:r w:rsidR="00D35B9B" w:rsidRPr="004C2FAC">
        <w:rPr>
          <w:rFonts w:cs="Arial"/>
          <w:lang w:val="es-ES_tradnl"/>
        </w:rPr>
        <w:t xml:space="preserve"> </w:t>
      </w:r>
    </w:p>
    <w:p w:rsidR="004D343D" w:rsidRPr="004C2FAC" w:rsidRDefault="004D343D" w:rsidP="00D00DFE">
      <w:pPr>
        <w:widowControl w:val="0"/>
        <w:rPr>
          <w:rFonts w:cs="Arial"/>
          <w:lang w:val="es-ES_tradnl"/>
        </w:rPr>
      </w:pPr>
    </w:p>
    <w:p w:rsidR="00D00DFE" w:rsidRPr="004C2FAC" w:rsidRDefault="004D343D" w:rsidP="00D00DFE">
      <w:pPr>
        <w:widowControl w:val="0"/>
        <w:rPr>
          <w:rFonts w:cs="Arial"/>
          <w:lang w:val="es-ES_tradnl"/>
        </w:rPr>
      </w:pPr>
      <w:r w:rsidRPr="004C2FAC">
        <w:rPr>
          <w:rFonts w:cs="Arial"/>
          <w:lang w:val="es-ES_tradnl"/>
        </w:rPr>
        <w:t>Ahora bien, respecto del plazo de entrega del arroz, que se tomará como fecha a partir de la cual se liquida el perjuicio, se re</w:t>
      </w:r>
      <w:r w:rsidR="001C2F1F" w:rsidRPr="004C2FAC">
        <w:rPr>
          <w:rFonts w:cs="Arial"/>
          <w:lang w:val="es-ES_tradnl"/>
        </w:rPr>
        <w:t xml:space="preserve">itera </w:t>
      </w:r>
      <w:r w:rsidRPr="004C2FAC">
        <w:rPr>
          <w:rFonts w:cs="Arial"/>
          <w:lang w:val="es-ES_tradnl"/>
        </w:rPr>
        <w:t xml:space="preserve">que el </w:t>
      </w:r>
      <w:r w:rsidR="00B47675" w:rsidRPr="004C2FAC">
        <w:rPr>
          <w:rFonts w:cs="Arial"/>
          <w:lang w:val="es-ES_tradnl"/>
        </w:rPr>
        <w:t>I</w:t>
      </w:r>
      <w:r w:rsidR="00D00DFE" w:rsidRPr="004C2FAC">
        <w:rPr>
          <w:rFonts w:cs="Arial"/>
          <w:lang w:val="es-ES_tradnl"/>
        </w:rPr>
        <w:t xml:space="preserve">DEMA buscó un acuerdo de dación en pago, para el cual otorgó plazo hasta el 16 de diciembre de 1996, que se venció sin que se hubieran cumplido los requisitos para perfeccionar la dación. </w:t>
      </w:r>
    </w:p>
    <w:p w:rsidR="00D81AC2" w:rsidRPr="004C2FAC" w:rsidRDefault="00D81AC2" w:rsidP="00D66CC9">
      <w:pPr>
        <w:pStyle w:val="Lista2"/>
        <w:ind w:left="0" w:right="51" w:firstLine="0"/>
        <w:rPr>
          <w:rFonts w:cs="Arial"/>
        </w:rPr>
      </w:pPr>
    </w:p>
    <w:p w:rsidR="00D66CC9" w:rsidRPr="004C2FAC" w:rsidRDefault="00202BB1" w:rsidP="00D66CC9">
      <w:pPr>
        <w:pStyle w:val="Lista2"/>
        <w:ind w:left="0" w:right="51" w:firstLine="0"/>
        <w:rPr>
          <w:rFonts w:cs="Arial"/>
        </w:rPr>
      </w:pPr>
      <w:r w:rsidRPr="004C2FAC">
        <w:rPr>
          <w:rFonts w:cs="Arial"/>
        </w:rPr>
        <w:t xml:space="preserve">Por tanto, </w:t>
      </w:r>
      <w:r w:rsidR="009D4630" w:rsidRPr="004C2FAC">
        <w:rPr>
          <w:rFonts w:cs="Arial"/>
        </w:rPr>
        <w:t xml:space="preserve">con las bases mencionadas, </w:t>
      </w:r>
      <w:r w:rsidR="00ED154E" w:rsidRPr="004C2FAC">
        <w:rPr>
          <w:rFonts w:cs="Arial"/>
        </w:rPr>
        <w:t>a continuación se liquidan los intereses de</w:t>
      </w:r>
      <w:r w:rsidR="007A0AEF" w:rsidRPr="004C2FAC">
        <w:rPr>
          <w:rFonts w:cs="Arial"/>
        </w:rPr>
        <w:t xml:space="preserve"> mora a título de indemnización</w:t>
      </w:r>
      <w:r w:rsidR="00D66CC9" w:rsidRPr="004C2FAC">
        <w:rPr>
          <w:rFonts w:cs="Arial"/>
        </w:rPr>
        <w:t>:</w:t>
      </w:r>
    </w:p>
    <w:p w:rsidR="00723FCF" w:rsidRPr="004C2FAC" w:rsidRDefault="00723FCF" w:rsidP="00D66CC9">
      <w:pPr>
        <w:pStyle w:val="Lista2"/>
        <w:ind w:left="0" w:right="51" w:firstLine="0"/>
        <w:rPr>
          <w:rFonts w:cs="Arial"/>
        </w:rPr>
      </w:pPr>
    </w:p>
    <w:p w:rsidR="00723FCF" w:rsidRPr="004C2FAC" w:rsidRDefault="00723FCF" w:rsidP="00D66CC9">
      <w:pPr>
        <w:pStyle w:val="Lista2"/>
        <w:ind w:left="0" w:right="51" w:firstLine="0"/>
        <w:rPr>
          <w:rFonts w:cs="Arial"/>
        </w:rPr>
      </w:pPr>
      <w:r w:rsidRPr="004C2FAC">
        <w:rPr>
          <w:rFonts w:cs="Arial"/>
        </w:rPr>
        <w:t xml:space="preserve">=valor del incumplimiento x </w:t>
      </w:r>
      <w:r w:rsidR="00ED154E" w:rsidRPr="004C2FAC">
        <w:rPr>
          <w:rFonts w:cs="Arial"/>
        </w:rPr>
        <w:t>(</w:t>
      </w:r>
      <w:r w:rsidRPr="004C2FAC">
        <w:rPr>
          <w:rFonts w:cs="Arial"/>
        </w:rPr>
        <w:t xml:space="preserve">tasa de interés </w:t>
      </w:r>
      <w:r w:rsidR="00ED154E" w:rsidRPr="004C2FAC">
        <w:rPr>
          <w:rFonts w:cs="Arial"/>
        </w:rPr>
        <w:t>/100)</w:t>
      </w:r>
      <w:r w:rsidRPr="004C2FAC">
        <w:rPr>
          <w:rFonts w:cs="Arial"/>
        </w:rPr>
        <w:t xml:space="preserve"> </w:t>
      </w:r>
      <w:r w:rsidR="00ED154E" w:rsidRPr="004C2FAC">
        <w:rPr>
          <w:rFonts w:cs="Arial"/>
        </w:rPr>
        <w:t xml:space="preserve">x </w:t>
      </w:r>
      <w:r w:rsidRPr="004C2FAC">
        <w:rPr>
          <w:rFonts w:cs="Arial"/>
        </w:rPr>
        <w:t>días en mora /365</w:t>
      </w:r>
      <w:r w:rsidR="00AC14EF" w:rsidRPr="004C2FAC">
        <w:rPr>
          <w:rStyle w:val="Refdenotaalpie"/>
          <w:rFonts w:cs="Arial"/>
        </w:rPr>
        <w:footnoteReference w:id="84"/>
      </w:r>
      <w:r w:rsidR="00AC14EF" w:rsidRPr="004C2FAC">
        <w:rPr>
          <w:rFonts w:cs="Arial"/>
        </w:rPr>
        <w:t>.</w:t>
      </w:r>
    </w:p>
    <w:p w:rsidR="001474C7" w:rsidRPr="004C2FAC" w:rsidRDefault="00131A5E" w:rsidP="00D66CC9">
      <w:pPr>
        <w:pStyle w:val="Lista2"/>
        <w:ind w:left="0" w:right="51" w:firstLine="0"/>
        <w:rPr>
          <w:rFonts w:cs="Arial"/>
        </w:rPr>
      </w:pPr>
      <w:r w:rsidRPr="004C2FAC">
        <w:rPr>
          <w:rFonts w:cs="Arial"/>
        </w:rPr>
        <w:t xml:space="preserve">= </w:t>
      </w:r>
      <w:r w:rsidR="00C1355D" w:rsidRPr="004C2FAC">
        <w:rPr>
          <w:rFonts w:cs="Arial"/>
        </w:rPr>
        <w:t>$</w:t>
      </w:r>
      <w:r w:rsidRPr="004C2FAC">
        <w:rPr>
          <w:rFonts w:cs="Arial"/>
        </w:rPr>
        <w:t xml:space="preserve">1.971’105.986 x </w:t>
      </w:r>
      <w:r w:rsidR="002538F1" w:rsidRPr="004C2FAC">
        <w:rPr>
          <w:rFonts w:cs="Arial"/>
        </w:rPr>
        <w:t>0,</w:t>
      </w:r>
      <w:r w:rsidR="000D0EE6" w:rsidRPr="004C2FAC">
        <w:rPr>
          <w:rFonts w:cs="Arial"/>
        </w:rPr>
        <w:t>6</w:t>
      </w:r>
      <w:r w:rsidR="00ED017B" w:rsidRPr="004C2FAC">
        <w:rPr>
          <w:rFonts w:cs="Arial"/>
        </w:rPr>
        <w:t xml:space="preserve"> x</w:t>
      </w:r>
      <w:r w:rsidR="006123CA" w:rsidRPr="004C2FAC">
        <w:rPr>
          <w:rFonts w:cs="Arial"/>
        </w:rPr>
        <w:t xml:space="preserve"> 7</w:t>
      </w:r>
      <w:r w:rsidR="007A0AEF" w:rsidRPr="004C2FAC">
        <w:rPr>
          <w:rFonts w:cs="Arial"/>
        </w:rPr>
        <w:t>.</w:t>
      </w:r>
      <w:r w:rsidR="006123CA" w:rsidRPr="004C2FAC">
        <w:rPr>
          <w:rFonts w:cs="Arial"/>
        </w:rPr>
        <w:t>606</w:t>
      </w:r>
      <w:r w:rsidR="007A0AEF" w:rsidRPr="004C2FAC">
        <w:rPr>
          <w:rStyle w:val="Refdenotaalpie"/>
          <w:rFonts w:cs="Arial"/>
        </w:rPr>
        <w:footnoteReference w:id="85"/>
      </w:r>
      <w:r w:rsidR="006123CA" w:rsidRPr="004C2FAC">
        <w:rPr>
          <w:rFonts w:cs="Arial"/>
        </w:rPr>
        <w:t>/ 365</w:t>
      </w:r>
      <w:r w:rsidRPr="004C2FAC">
        <w:rPr>
          <w:rFonts w:cs="Arial"/>
        </w:rPr>
        <w:t xml:space="preserve"> </w:t>
      </w:r>
    </w:p>
    <w:p w:rsidR="00AE547A" w:rsidRPr="004C2FAC" w:rsidRDefault="007119F6" w:rsidP="00AE547A">
      <w:pPr>
        <w:rPr>
          <w:rFonts w:cs="Arial"/>
          <w:color w:val="000000"/>
        </w:rPr>
      </w:pPr>
      <w:r w:rsidRPr="004C2FAC">
        <w:rPr>
          <w:rFonts w:cs="Arial"/>
        </w:rPr>
        <w:lastRenderedPageBreak/>
        <w:t xml:space="preserve">= </w:t>
      </w:r>
      <w:r w:rsidR="00AE547A" w:rsidRPr="004C2FAC">
        <w:rPr>
          <w:rFonts w:cs="Arial"/>
          <w:color w:val="000000"/>
        </w:rPr>
        <w:t xml:space="preserve"> $ </w:t>
      </w:r>
      <w:r w:rsidR="0010563C" w:rsidRPr="004C2FAC">
        <w:rPr>
          <w:rFonts w:cs="Arial"/>
          <w:color w:val="000000"/>
        </w:rPr>
        <w:t>2.464.476.514</w:t>
      </w:r>
      <w:r w:rsidR="00AE547A" w:rsidRPr="004C2FAC">
        <w:rPr>
          <w:rFonts w:cs="Arial"/>
          <w:color w:val="000000"/>
        </w:rPr>
        <w:t xml:space="preserve"> </w:t>
      </w:r>
    </w:p>
    <w:p w:rsidR="00AE547A" w:rsidRPr="004C2FAC" w:rsidRDefault="00AE547A" w:rsidP="00D66CC9">
      <w:pPr>
        <w:pStyle w:val="Lista2"/>
        <w:ind w:left="0" w:right="51" w:firstLine="0"/>
        <w:rPr>
          <w:rFonts w:cs="Arial"/>
          <w:b/>
        </w:rPr>
      </w:pPr>
    </w:p>
    <w:p w:rsidR="001158A7" w:rsidRPr="004C2FAC" w:rsidRDefault="00AB3ADA" w:rsidP="00D66CC9">
      <w:pPr>
        <w:pStyle w:val="Lista2"/>
        <w:ind w:left="0" w:right="51" w:firstLine="0"/>
        <w:rPr>
          <w:rFonts w:cs="Arial"/>
        </w:rPr>
      </w:pPr>
      <w:r w:rsidRPr="004C2FAC">
        <w:rPr>
          <w:rFonts w:cs="Arial"/>
        </w:rPr>
        <w:t>Es útil observar que en e</w:t>
      </w:r>
      <w:r w:rsidR="009C60A4" w:rsidRPr="004C2FAC">
        <w:rPr>
          <w:rFonts w:cs="Arial"/>
        </w:rPr>
        <w:t xml:space="preserve">l cálculo anterior </w:t>
      </w:r>
      <w:r w:rsidRPr="004C2FAC">
        <w:rPr>
          <w:rFonts w:cs="Arial"/>
        </w:rPr>
        <w:t xml:space="preserve">se acoge la regla </w:t>
      </w:r>
      <w:r w:rsidR="00A56792" w:rsidRPr="004C2FAC">
        <w:rPr>
          <w:rFonts w:cs="Arial"/>
        </w:rPr>
        <w:t xml:space="preserve">interés simple </w:t>
      </w:r>
      <w:r w:rsidRPr="004C2FAC">
        <w:rPr>
          <w:rFonts w:cs="Arial"/>
        </w:rPr>
        <w:t xml:space="preserve">del artículo 1617 del Código Civil, </w:t>
      </w:r>
      <w:r w:rsidR="00E8707C" w:rsidRPr="004C2FAC">
        <w:rPr>
          <w:rFonts w:cs="Arial"/>
        </w:rPr>
        <w:t xml:space="preserve">con base en la cual </w:t>
      </w:r>
      <w:r w:rsidRPr="004C2FAC">
        <w:rPr>
          <w:rFonts w:cs="Arial"/>
        </w:rPr>
        <w:t>los intereses se calculan</w:t>
      </w:r>
      <w:r w:rsidR="009E1F0D" w:rsidRPr="004C2FAC">
        <w:rPr>
          <w:rFonts w:cs="Arial"/>
        </w:rPr>
        <w:t xml:space="preserve"> </w:t>
      </w:r>
      <w:r w:rsidRPr="004C2FAC">
        <w:rPr>
          <w:rFonts w:cs="Arial"/>
        </w:rPr>
        <w:t xml:space="preserve">sobre el valor </w:t>
      </w:r>
      <w:r w:rsidR="00E57D46" w:rsidRPr="004C2FAC">
        <w:rPr>
          <w:rFonts w:cs="Arial"/>
        </w:rPr>
        <w:t xml:space="preserve">inicial </w:t>
      </w:r>
      <w:r w:rsidRPr="004C2FAC">
        <w:rPr>
          <w:rFonts w:cs="Arial"/>
        </w:rPr>
        <w:t>de la obligación</w:t>
      </w:r>
      <w:r w:rsidR="00E57D46" w:rsidRPr="004C2FAC">
        <w:rPr>
          <w:rFonts w:cs="Arial"/>
        </w:rPr>
        <w:t xml:space="preserve"> y no sobre el valor </w:t>
      </w:r>
      <w:r w:rsidR="00502C01" w:rsidRPr="004C2FAC">
        <w:rPr>
          <w:rFonts w:cs="Arial"/>
        </w:rPr>
        <w:t>actualizado</w:t>
      </w:r>
      <w:r w:rsidR="00A64A21" w:rsidRPr="004C2FAC">
        <w:rPr>
          <w:rFonts w:cs="Arial"/>
        </w:rPr>
        <w:t xml:space="preserve"> de la misma</w:t>
      </w:r>
      <w:r w:rsidR="00ED14C6" w:rsidRPr="004C2FAC">
        <w:rPr>
          <w:rStyle w:val="Refdenotaalpie"/>
          <w:rFonts w:cs="Arial"/>
        </w:rPr>
        <w:footnoteReference w:id="86"/>
      </w:r>
      <w:r w:rsidR="009E1F0D" w:rsidRPr="004C2FAC">
        <w:rPr>
          <w:rFonts w:cs="Arial"/>
        </w:rPr>
        <w:t xml:space="preserve">. </w:t>
      </w:r>
      <w:r w:rsidR="00A56792" w:rsidRPr="004C2FAC">
        <w:rPr>
          <w:rFonts w:cs="Arial"/>
        </w:rPr>
        <w:t>Se observa que</w:t>
      </w:r>
      <w:r w:rsidR="00760247" w:rsidRPr="004C2FAC">
        <w:rPr>
          <w:rFonts w:cs="Arial"/>
        </w:rPr>
        <w:t xml:space="preserve">, en este caso, </w:t>
      </w:r>
      <w:r w:rsidR="00A56792" w:rsidRPr="004C2FAC">
        <w:rPr>
          <w:rFonts w:cs="Arial"/>
        </w:rPr>
        <w:t>e</w:t>
      </w:r>
      <w:r w:rsidR="009E1F0D" w:rsidRPr="004C2FAC">
        <w:rPr>
          <w:rFonts w:cs="Arial"/>
        </w:rPr>
        <w:t xml:space="preserve">l valor actualizado </w:t>
      </w:r>
      <w:r w:rsidR="00502C01" w:rsidRPr="004C2FAC">
        <w:rPr>
          <w:rFonts w:cs="Arial"/>
        </w:rPr>
        <w:t xml:space="preserve">representa el monto que </w:t>
      </w:r>
      <w:r w:rsidR="00E57D46" w:rsidRPr="004C2FAC">
        <w:rPr>
          <w:rFonts w:cs="Arial"/>
        </w:rPr>
        <w:t>alcanzaría la obligación a la fecha de la sentencia</w:t>
      </w:r>
      <w:r w:rsidR="001556FE" w:rsidRPr="004C2FAC">
        <w:rPr>
          <w:rFonts w:cs="Arial"/>
        </w:rPr>
        <w:t xml:space="preserve"> y </w:t>
      </w:r>
      <w:r w:rsidR="00A64A21" w:rsidRPr="004C2FAC">
        <w:rPr>
          <w:rFonts w:cs="Arial"/>
        </w:rPr>
        <w:t xml:space="preserve">se corresponde con el concepto del daño emergente. </w:t>
      </w:r>
      <w:r w:rsidR="00FB6C51" w:rsidRPr="004C2FAC">
        <w:rPr>
          <w:rFonts w:cs="Arial"/>
        </w:rPr>
        <w:t>P</w:t>
      </w:r>
      <w:r w:rsidR="001556FE" w:rsidRPr="004C2FAC">
        <w:rPr>
          <w:rFonts w:cs="Arial"/>
        </w:rPr>
        <w:t xml:space="preserve">or ello, </w:t>
      </w:r>
      <w:r w:rsidR="00A56792" w:rsidRPr="004C2FAC">
        <w:rPr>
          <w:rFonts w:cs="Arial"/>
        </w:rPr>
        <w:t>bajo las reglas de los intereses del Código Civil</w:t>
      </w:r>
      <w:r w:rsidR="001556FE" w:rsidRPr="004C2FAC">
        <w:rPr>
          <w:rFonts w:cs="Arial"/>
        </w:rPr>
        <w:t>,</w:t>
      </w:r>
      <w:r w:rsidR="00A56792" w:rsidRPr="004C2FAC">
        <w:rPr>
          <w:rFonts w:cs="Arial"/>
        </w:rPr>
        <w:t xml:space="preserve"> </w:t>
      </w:r>
      <w:r w:rsidR="009E1F0D" w:rsidRPr="004C2FAC">
        <w:rPr>
          <w:rFonts w:cs="Arial"/>
        </w:rPr>
        <w:t xml:space="preserve">no </w:t>
      </w:r>
      <w:r w:rsidR="00587DD9" w:rsidRPr="004C2FAC">
        <w:rPr>
          <w:rFonts w:cs="Arial"/>
        </w:rPr>
        <w:t xml:space="preserve">es pertinente </w:t>
      </w:r>
      <w:r w:rsidR="009E1F0D" w:rsidRPr="004C2FAC">
        <w:rPr>
          <w:rFonts w:cs="Arial"/>
        </w:rPr>
        <w:t>tomar</w:t>
      </w:r>
      <w:r w:rsidR="001556FE" w:rsidRPr="004C2FAC">
        <w:rPr>
          <w:rFonts w:cs="Arial"/>
        </w:rPr>
        <w:t xml:space="preserve"> </w:t>
      </w:r>
      <w:r w:rsidR="00F253B7" w:rsidRPr="004C2FAC">
        <w:rPr>
          <w:rFonts w:cs="Arial"/>
        </w:rPr>
        <w:t>e</w:t>
      </w:r>
      <w:r w:rsidR="00760247" w:rsidRPr="004C2FAC">
        <w:rPr>
          <w:rFonts w:cs="Arial"/>
        </w:rPr>
        <w:t>se</w:t>
      </w:r>
      <w:r w:rsidR="00F253B7" w:rsidRPr="004C2FAC">
        <w:rPr>
          <w:rFonts w:cs="Arial"/>
        </w:rPr>
        <w:t xml:space="preserve"> valor presente </w:t>
      </w:r>
      <w:r w:rsidR="001556FE" w:rsidRPr="004C2FAC">
        <w:rPr>
          <w:rFonts w:cs="Arial"/>
        </w:rPr>
        <w:t xml:space="preserve">como </w:t>
      </w:r>
      <w:r w:rsidR="009E1F0D" w:rsidRPr="004C2FAC">
        <w:rPr>
          <w:rFonts w:cs="Arial"/>
        </w:rPr>
        <w:t xml:space="preserve">valor </w:t>
      </w:r>
      <w:r w:rsidR="00760247" w:rsidRPr="004C2FAC">
        <w:rPr>
          <w:rFonts w:cs="Arial"/>
        </w:rPr>
        <w:t xml:space="preserve">inicial </w:t>
      </w:r>
      <w:r w:rsidR="009E1F0D" w:rsidRPr="004C2FAC">
        <w:rPr>
          <w:rFonts w:cs="Arial"/>
        </w:rPr>
        <w:t>de la obligación</w:t>
      </w:r>
      <w:r w:rsidR="00CC0D0A" w:rsidRPr="004C2FAC">
        <w:rPr>
          <w:rStyle w:val="Refdenotaalpie"/>
          <w:rFonts w:cs="Arial"/>
        </w:rPr>
        <w:footnoteReference w:id="87"/>
      </w:r>
      <w:r w:rsidR="009C60A4" w:rsidRPr="004C2FAC">
        <w:rPr>
          <w:rFonts w:cs="Arial"/>
        </w:rPr>
        <w:t>, para efectos de liquidar los intereses</w:t>
      </w:r>
      <w:r w:rsidR="00EA0071" w:rsidRPr="004C2FAC">
        <w:rPr>
          <w:rFonts w:cs="Arial"/>
        </w:rPr>
        <w:t xml:space="preserve">, </w:t>
      </w:r>
      <w:r w:rsidR="00FB6C51" w:rsidRPr="004C2FAC">
        <w:rPr>
          <w:rFonts w:cs="Arial"/>
        </w:rPr>
        <w:t xml:space="preserve">es decir el lucro cesante, </w:t>
      </w:r>
      <w:r w:rsidR="00EA0071" w:rsidRPr="004C2FAC">
        <w:rPr>
          <w:rFonts w:cs="Arial"/>
        </w:rPr>
        <w:t xml:space="preserve">dado que en el Código Civil no se establecen fórmulas acumulativas </w:t>
      </w:r>
      <w:r w:rsidR="00F253B7" w:rsidRPr="004C2FAC">
        <w:rPr>
          <w:rFonts w:cs="Arial"/>
        </w:rPr>
        <w:t>de</w:t>
      </w:r>
      <w:r w:rsidR="00EA0071" w:rsidRPr="004C2FAC">
        <w:rPr>
          <w:rFonts w:cs="Arial"/>
        </w:rPr>
        <w:t xml:space="preserve"> capital</w:t>
      </w:r>
      <w:r w:rsidR="00F253B7" w:rsidRPr="004C2FAC">
        <w:rPr>
          <w:rFonts w:cs="Arial"/>
        </w:rPr>
        <w:t>, ni modalidades de interés compuesto</w:t>
      </w:r>
      <w:r w:rsidR="00CC2BC2" w:rsidRPr="004C2FAC">
        <w:rPr>
          <w:rStyle w:val="Refdenotaalpie"/>
          <w:rFonts w:cs="Arial"/>
        </w:rPr>
        <w:footnoteReference w:id="88"/>
      </w:r>
      <w:r w:rsidR="00CC2BC2" w:rsidRPr="004C2FAC">
        <w:rPr>
          <w:rFonts w:cs="Arial"/>
        </w:rPr>
        <w:t xml:space="preserve">. </w:t>
      </w:r>
    </w:p>
    <w:p w:rsidR="00587DD9" w:rsidRPr="004C2FAC" w:rsidRDefault="00587DD9" w:rsidP="00D66CC9">
      <w:pPr>
        <w:pStyle w:val="Lista2"/>
        <w:ind w:left="0" w:right="51" w:firstLine="0"/>
        <w:rPr>
          <w:rFonts w:cs="Arial"/>
          <w:b/>
        </w:rPr>
      </w:pPr>
    </w:p>
    <w:p w:rsidR="0051183C" w:rsidRPr="004C2FAC" w:rsidRDefault="00C85279" w:rsidP="00D66CC9">
      <w:pPr>
        <w:pStyle w:val="Lista2"/>
        <w:ind w:left="0" w:right="51" w:firstLine="0"/>
        <w:rPr>
          <w:rFonts w:cs="Arial"/>
        </w:rPr>
      </w:pPr>
      <w:r w:rsidRPr="004C2FAC">
        <w:rPr>
          <w:rFonts w:cs="Arial"/>
        </w:rPr>
        <w:t>En este caso se puede agregar que no existe un</w:t>
      </w:r>
      <w:r w:rsidR="00D174B8" w:rsidRPr="004C2FAC">
        <w:rPr>
          <w:rFonts w:cs="Arial"/>
        </w:rPr>
        <w:t xml:space="preserve">a disposición legal ni un aspecto </w:t>
      </w:r>
      <w:r w:rsidRPr="004C2FAC">
        <w:rPr>
          <w:rFonts w:cs="Arial"/>
        </w:rPr>
        <w:t xml:space="preserve">fáctico que permita incorporar en </w:t>
      </w:r>
      <w:r w:rsidR="0037242D" w:rsidRPr="004C2FAC">
        <w:rPr>
          <w:rFonts w:cs="Arial"/>
        </w:rPr>
        <w:t>la fórmula de inter</w:t>
      </w:r>
      <w:r w:rsidR="006318F4" w:rsidRPr="004C2FAC">
        <w:rPr>
          <w:rFonts w:cs="Arial"/>
        </w:rPr>
        <w:t>és simple del artículo 1617 del Código Civil, otros conceptos en orden a ajustar el valor de</w:t>
      </w:r>
      <w:r w:rsidR="002041AB" w:rsidRPr="004C2FAC">
        <w:rPr>
          <w:rFonts w:cs="Arial"/>
        </w:rPr>
        <w:t xml:space="preserve"> la obligación, para efectos de liquidar el interés del 6%</w:t>
      </w:r>
      <w:r w:rsidR="003C14DA" w:rsidRPr="004C2FAC">
        <w:rPr>
          <w:rFonts w:cs="Arial"/>
        </w:rPr>
        <w:t xml:space="preserve">. </w:t>
      </w:r>
    </w:p>
    <w:p w:rsidR="0051183C" w:rsidRPr="004C2FAC" w:rsidRDefault="0051183C" w:rsidP="00D66CC9">
      <w:pPr>
        <w:pStyle w:val="Lista2"/>
        <w:ind w:left="0" w:right="51" w:firstLine="0"/>
        <w:rPr>
          <w:rFonts w:cs="Arial"/>
        </w:rPr>
      </w:pPr>
    </w:p>
    <w:p w:rsidR="009D3955" w:rsidRPr="004C2FAC" w:rsidRDefault="003C14DA" w:rsidP="00D66CC9">
      <w:pPr>
        <w:pStyle w:val="Lista2"/>
        <w:ind w:left="0" w:right="51" w:firstLine="0"/>
        <w:rPr>
          <w:rFonts w:cs="Arial"/>
        </w:rPr>
      </w:pPr>
      <w:r w:rsidRPr="004C2FAC">
        <w:rPr>
          <w:rFonts w:cs="Arial"/>
        </w:rPr>
        <w:t>S</w:t>
      </w:r>
      <w:r w:rsidR="006318F4" w:rsidRPr="004C2FAC">
        <w:rPr>
          <w:rFonts w:cs="Arial"/>
        </w:rPr>
        <w:t xml:space="preserve">e </w:t>
      </w:r>
      <w:r w:rsidR="0051183C" w:rsidRPr="004C2FAC">
        <w:rPr>
          <w:rFonts w:cs="Arial"/>
        </w:rPr>
        <w:t>advierte que la</w:t>
      </w:r>
      <w:r w:rsidR="00E43064" w:rsidRPr="004C2FAC">
        <w:rPr>
          <w:rFonts w:cs="Arial"/>
        </w:rPr>
        <w:t>s</w:t>
      </w:r>
      <w:r w:rsidR="0051183C" w:rsidRPr="004C2FAC">
        <w:rPr>
          <w:rFonts w:cs="Arial"/>
        </w:rPr>
        <w:t xml:space="preserve"> sumas adicionadas al valor de la obligación</w:t>
      </w:r>
      <w:r w:rsidR="00572714" w:rsidRPr="004C2FAC">
        <w:rPr>
          <w:rFonts w:cs="Arial"/>
        </w:rPr>
        <w:t xml:space="preserve">, </w:t>
      </w:r>
      <w:r w:rsidR="00231071" w:rsidRPr="004C2FAC">
        <w:rPr>
          <w:rFonts w:cs="Arial"/>
        </w:rPr>
        <w:t>con independencia de</w:t>
      </w:r>
      <w:r w:rsidR="0051183C" w:rsidRPr="004C2FAC">
        <w:rPr>
          <w:rFonts w:cs="Arial"/>
        </w:rPr>
        <w:t xml:space="preserve"> la </w:t>
      </w:r>
      <w:r w:rsidR="00E43064" w:rsidRPr="004C2FAC">
        <w:rPr>
          <w:rFonts w:cs="Arial"/>
        </w:rPr>
        <w:t xml:space="preserve">fórmula y la </w:t>
      </w:r>
      <w:r w:rsidR="002041AB" w:rsidRPr="004C2FAC">
        <w:rPr>
          <w:rFonts w:cs="Arial"/>
        </w:rPr>
        <w:t xml:space="preserve">denominación </w:t>
      </w:r>
      <w:r w:rsidR="00231071" w:rsidRPr="004C2FAC">
        <w:rPr>
          <w:rFonts w:cs="Arial"/>
        </w:rPr>
        <w:t>que se utilice</w:t>
      </w:r>
      <w:r w:rsidR="00E43064" w:rsidRPr="004C2FAC">
        <w:rPr>
          <w:rFonts w:cs="Arial"/>
        </w:rPr>
        <w:t>,</w:t>
      </w:r>
      <w:r w:rsidR="00231071" w:rsidRPr="004C2FAC">
        <w:rPr>
          <w:rFonts w:cs="Arial"/>
        </w:rPr>
        <w:t xml:space="preserve"> </w:t>
      </w:r>
      <w:r w:rsidRPr="004C2FAC">
        <w:rPr>
          <w:rFonts w:cs="Arial"/>
        </w:rPr>
        <w:t>también debe</w:t>
      </w:r>
      <w:r w:rsidR="0051183C" w:rsidRPr="004C2FAC">
        <w:rPr>
          <w:rFonts w:cs="Arial"/>
        </w:rPr>
        <w:t>n</w:t>
      </w:r>
      <w:r w:rsidRPr="004C2FAC">
        <w:rPr>
          <w:rFonts w:cs="Arial"/>
        </w:rPr>
        <w:t xml:space="preserve"> ser considerad</w:t>
      </w:r>
      <w:r w:rsidR="00231071" w:rsidRPr="004C2FAC">
        <w:rPr>
          <w:rFonts w:cs="Arial"/>
        </w:rPr>
        <w:t>a</w:t>
      </w:r>
      <w:r w:rsidR="008F32C5" w:rsidRPr="004C2FAC">
        <w:rPr>
          <w:rFonts w:cs="Arial"/>
        </w:rPr>
        <w:t>s</w:t>
      </w:r>
      <w:r w:rsidRPr="004C2FAC">
        <w:rPr>
          <w:rFonts w:cs="Arial"/>
        </w:rPr>
        <w:t xml:space="preserve"> como rédito del capital, </w:t>
      </w:r>
      <w:r w:rsidR="00572714" w:rsidRPr="004C2FAC">
        <w:rPr>
          <w:rFonts w:cs="Arial"/>
        </w:rPr>
        <w:t xml:space="preserve">de conformidad con las reglas de intereses contenidas en </w:t>
      </w:r>
      <w:r w:rsidRPr="004C2FAC">
        <w:rPr>
          <w:rFonts w:cs="Arial"/>
        </w:rPr>
        <w:t xml:space="preserve">la Ley </w:t>
      </w:r>
      <w:r w:rsidR="006318F4" w:rsidRPr="004C2FAC">
        <w:rPr>
          <w:rFonts w:cs="Arial"/>
        </w:rPr>
        <w:t>45 de 1990</w:t>
      </w:r>
      <w:r w:rsidR="00D174B8" w:rsidRPr="004C2FAC">
        <w:rPr>
          <w:rStyle w:val="Refdenotaalpie"/>
          <w:rFonts w:cs="Arial"/>
        </w:rPr>
        <w:footnoteReference w:id="89"/>
      </w:r>
      <w:r w:rsidR="00572714" w:rsidRPr="004C2FAC">
        <w:rPr>
          <w:rFonts w:cs="Arial"/>
        </w:rPr>
        <w:t xml:space="preserve">. </w:t>
      </w:r>
    </w:p>
    <w:p w:rsidR="009D3955" w:rsidRPr="004C2FAC" w:rsidRDefault="009D3955" w:rsidP="00D66CC9">
      <w:pPr>
        <w:pStyle w:val="Lista2"/>
        <w:ind w:left="0" w:right="51" w:firstLine="0"/>
        <w:rPr>
          <w:rFonts w:cs="Arial"/>
        </w:rPr>
      </w:pPr>
    </w:p>
    <w:p w:rsidR="0016438A" w:rsidRPr="004C2FAC" w:rsidRDefault="00FB6C51" w:rsidP="00D66CC9">
      <w:pPr>
        <w:pStyle w:val="Lista2"/>
        <w:ind w:left="0" w:right="51" w:firstLine="0"/>
        <w:rPr>
          <w:rFonts w:cs="Arial"/>
        </w:rPr>
      </w:pPr>
      <w:r w:rsidRPr="004C2FAC">
        <w:rPr>
          <w:rFonts w:cs="Arial"/>
        </w:rPr>
        <w:t xml:space="preserve">En este orden de ideas, </w:t>
      </w:r>
      <w:r w:rsidR="00147E6E">
        <w:rPr>
          <w:rFonts w:cs="Arial"/>
        </w:rPr>
        <w:t>nd</w:t>
      </w:r>
      <w:r w:rsidR="0016438A" w:rsidRPr="004C2FAC">
        <w:rPr>
          <w:rFonts w:cs="Arial"/>
        </w:rPr>
        <w:t xml:space="preserve"> </w:t>
      </w:r>
    </w:p>
    <w:p w:rsidR="0016438A" w:rsidRPr="004C2FAC" w:rsidRDefault="0016438A" w:rsidP="00D66CC9">
      <w:pPr>
        <w:pStyle w:val="Lista2"/>
        <w:ind w:left="0" w:firstLine="0"/>
        <w:rPr>
          <w:rFonts w:cs="Arial"/>
        </w:rPr>
      </w:pPr>
    </w:p>
    <w:p w:rsidR="001D347D" w:rsidRPr="004C2FAC" w:rsidRDefault="001D347D" w:rsidP="00D66CC9">
      <w:pPr>
        <w:pStyle w:val="Lista2"/>
        <w:ind w:left="0" w:firstLine="0"/>
        <w:rPr>
          <w:rFonts w:cs="Arial"/>
          <w:b/>
        </w:rPr>
      </w:pPr>
      <w:r w:rsidRPr="004C2FAC">
        <w:rPr>
          <w:rFonts w:cs="Arial"/>
          <w:b/>
        </w:rPr>
        <w:t>7.4. Valor total de la condena</w:t>
      </w:r>
    </w:p>
    <w:p w:rsidR="001D347D" w:rsidRPr="004C2FAC" w:rsidRDefault="001D347D" w:rsidP="00D66CC9">
      <w:pPr>
        <w:pStyle w:val="Lista2"/>
        <w:ind w:left="0" w:firstLine="0"/>
        <w:rPr>
          <w:rFonts w:cs="Arial"/>
        </w:rPr>
      </w:pPr>
    </w:p>
    <w:p w:rsidR="00CC6E4E" w:rsidRPr="004C2FAC" w:rsidRDefault="001D347D" w:rsidP="003E0C5E">
      <w:pPr>
        <w:rPr>
          <w:rFonts w:cs="Arial"/>
        </w:rPr>
      </w:pPr>
      <w:r w:rsidRPr="004C2FAC">
        <w:rPr>
          <w:rFonts w:cs="Arial"/>
        </w:rPr>
        <w:t>De acuerdo con los acápites anteriores, el valor to</w:t>
      </w:r>
      <w:r w:rsidR="00A42A85" w:rsidRPr="004C2FAC">
        <w:rPr>
          <w:rFonts w:cs="Arial"/>
        </w:rPr>
        <w:t>t</w:t>
      </w:r>
      <w:r w:rsidRPr="004C2FAC">
        <w:rPr>
          <w:rFonts w:cs="Arial"/>
        </w:rPr>
        <w:t>al de la co</w:t>
      </w:r>
      <w:r w:rsidR="005F5818" w:rsidRPr="004C2FAC">
        <w:rPr>
          <w:rFonts w:cs="Arial"/>
        </w:rPr>
        <w:t>n</w:t>
      </w:r>
      <w:r w:rsidRPr="004C2FAC">
        <w:rPr>
          <w:rFonts w:cs="Arial"/>
        </w:rPr>
        <w:t>dena asciende a</w:t>
      </w:r>
      <w:r w:rsidR="000D0537" w:rsidRPr="004C2FAC">
        <w:rPr>
          <w:rFonts w:cs="Arial"/>
        </w:rPr>
        <w:t xml:space="preserve">l monto de </w:t>
      </w:r>
      <w:r w:rsidR="00534B3F" w:rsidRPr="004C2FAC">
        <w:rPr>
          <w:rFonts w:cs="Arial"/>
        </w:rPr>
        <w:t>$</w:t>
      </w:r>
      <w:r w:rsidR="00155A7D" w:rsidRPr="004C2FAC">
        <w:rPr>
          <w:rFonts w:cs="Arial"/>
        </w:rPr>
        <w:t>9.627’181.998</w:t>
      </w:r>
      <w:r w:rsidR="0070381B" w:rsidRPr="004C2FAC">
        <w:rPr>
          <w:rFonts w:cs="Arial"/>
        </w:rPr>
        <w:t xml:space="preserve">, </w:t>
      </w:r>
      <w:r w:rsidR="00894D0F" w:rsidRPr="004C2FAC">
        <w:rPr>
          <w:rFonts w:cs="Arial"/>
        </w:rPr>
        <w:t>es decir:</w:t>
      </w:r>
      <w:r w:rsidR="00E60A54" w:rsidRPr="004C2FAC">
        <w:rPr>
          <w:rFonts w:cs="Arial"/>
        </w:rPr>
        <w:t xml:space="preserve"> $7.162’705.484 +</w:t>
      </w:r>
      <w:r w:rsidR="00894D0F" w:rsidRPr="004C2FAC">
        <w:rPr>
          <w:rFonts w:cs="Arial"/>
        </w:rPr>
        <w:t xml:space="preserve"> $</w:t>
      </w:r>
      <w:r w:rsidR="00A05F6E" w:rsidRPr="004C2FAC">
        <w:rPr>
          <w:rFonts w:cs="Arial"/>
        </w:rPr>
        <w:t>2.464’476. 514.</w:t>
      </w:r>
    </w:p>
    <w:p w:rsidR="00512067" w:rsidRPr="004C2FAC" w:rsidRDefault="00512067" w:rsidP="008B4E5F">
      <w:pPr>
        <w:widowControl w:val="0"/>
        <w:rPr>
          <w:rFonts w:cs="Arial"/>
          <w:b/>
          <w:lang w:val="es-ES_tradnl"/>
        </w:rPr>
      </w:pPr>
    </w:p>
    <w:p w:rsidR="005A0C65" w:rsidRPr="004C2FAC" w:rsidRDefault="00434B7B" w:rsidP="00AF40F3">
      <w:pPr>
        <w:widowControl w:val="0"/>
        <w:rPr>
          <w:rFonts w:cs="Arial"/>
          <w:b/>
          <w:bCs/>
        </w:rPr>
      </w:pPr>
      <w:r w:rsidRPr="004C2FAC">
        <w:rPr>
          <w:rFonts w:cs="Arial"/>
          <w:b/>
          <w:lang w:val="es-ES_tradnl"/>
        </w:rPr>
        <w:t>7</w:t>
      </w:r>
      <w:r w:rsidR="0004209B" w:rsidRPr="004C2FAC">
        <w:rPr>
          <w:rFonts w:cs="Arial"/>
          <w:b/>
          <w:lang w:val="es-ES_tradnl"/>
        </w:rPr>
        <w:t>.</w:t>
      </w:r>
      <w:r w:rsidR="00A34588" w:rsidRPr="004C2FAC">
        <w:rPr>
          <w:rFonts w:cs="Arial"/>
          <w:b/>
          <w:lang w:val="es-ES_tradnl"/>
        </w:rPr>
        <w:t>5</w:t>
      </w:r>
      <w:r w:rsidR="0004209B" w:rsidRPr="004C2FAC">
        <w:rPr>
          <w:rFonts w:cs="Arial"/>
          <w:b/>
          <w:lang w:val="es-ES_tradnl"/>
        </w:rPr>
        <w:t>.</w:t>
      </w:r>
      <w:r w:rsidR="00FA1D83" w:rsidRPr="004C2FAC">
        <w:rPr>
          <w:rFonts w:cs="Arial"/>
          <w:b/>
          <w:lang w:val="es-ES_tradnl"/>
        </w:rPr>
        <w:t xml:space="preserve"> </w:t>
      </w:r>
      <w:r w:rsidR="00F72367" w:rsidRPr="004C2FAC">
        <w:rPr>
          <w:rFonts w:cs="Arial"/>
          <w:b/>
          <w:bCs/>
        </w:rPr>
        <w:t>Prescripción de la acción derivada del contrato de seguro</w:t>
      </w:r>
    </w:p>
    <w:p w:rsidR="00574579" w:rsidRPr="004C2FAC" w:rsidRDefault="00574579" w:rsidP="00AF40F3">
      <w:pPr>
        <w:rPr>
          <w:rFonts w:cs="Arial"/>
        </w:rPr>
      </w:pPr>
    </w:p>
    <w:p w:rsidR="00574579" w:rsidRPr="004C2FAC" w:rsidRDefault="00574579" w:rsidP="00AF40F3">
      <w:pPr>
        <w:rPr>
          <w:rFonts w:cs="Arial"/>
        </w:rPr>
      </w:pPr>
      <w:r w:rsidRPr="004C2FAC">
        <w:rPr>
          <w:rFonts w:cs="Arial"/>
        </w:rPr>
        <w:t xml:space="preserve">Se observa que según los documentos obrantes en el plenario, el IDEMA decidió revocar los actos administrativos mediante los cuales hizo efectivas dos de las garantías por cuanto estimó que debía acudir ante un Juez, empero no procedió a presentar la demanda correspondiente. </w:t>
      </w:r>
    </w:p>
    <w:p w:rsidR="00574579" w:rsidRPr="004C2FAC" w:rsidRDefault="00574579" w:rsidP="00AF40F3">
      <w:pPr>
        <w:rPr>
          <w:rFonts w:cs="Arial"/>
        </w:rPr>
      </w:pPr>
    </w:p>
    <w:p w:rsidR="00574579" w:rsidRPr="004C2FAC" w:rsidRDefault="00574579" w:rsidP="00AF40F3">
      <w:pPr>
        <w:rPr>
          <w:rFonts w:cs="Arial"/>
        </w:rPr>
      </w:pPr>
      <w:r w:rsidRPr="004C2FAC">
        <w:rPr>
          <w:rFonts w:cs="Arial"/>
        </w:rPr>
        <w:lastRenderedPageBreak/>
        <w:t>Solo hasta mayo de 1999 el Ministerio de Agricultura y Desarrollo Rural avocó los informes sobre los trueques que habían sido celebrados con COLCEREALES</w:t>
      </w:r>
      <w:r w:rsidRPr="004C2FAC">
        <w:rPr>
          <w:rStyle w:val="Refdenotaalpie"/>
          <w:rFonts w:cs="Arial"/>
        </w:rPr>
        <w:footnoteReference w:id="90"/>
      </w:r>
      <w:r w:rsidRPr="004C2FAC">
        <w:rPr>
          <w:rFonts w:cs="Arial"/>
        </w:rPr>
        <w:t xml:space="preserve"> con la intermediación de la firma Torres Cortés y Cía. </w:t>
      </w:r>
    </w:p>
    <w:p w:rsidR="00574579" w:rsidRPr="004C2FAC" w:rsidRDefault="00574579" w:rsidP="00AF40F3">
      <w:pPr>
        <w:rPr>
          <w:rFonts w:cs="Arial"/>
          <w:i/>
        </w:rPr>
      </w:pPr>
    </w:p>
    <w:p w:rsidR="00574579" w:rsidRPr="004C2FAC" w:rsidRDefault="00574579" w:rsidP="00AF40F3">
      <w:pPr>
        <w:rPr>
          <w:rFonts w:cs="Arial"/>
        </w:rPr>
      </w:pPr>
      <w:r w:rsidRPr="004C2FAC">
        <w:rPr>
          <w:rFonts w:cs="Arial"/>
        </w:rPr>
        <w:t>Ninguno de los documentos antecedentes allegados a este proceso da cuenta de la cesión de las pólizas de seguro, en favor del Ministerio de Agricultura y Desarrollo Rural.</w:t>
      </w:r>
    </w:p>
    <w:p w:rsidR="00574579" w:rsidRPr="004C2FAC" w:rsidRDefault="00574579" w:rsidP="00AF40F3">
      <w:pPr>
        <w:rPr>
          <w:rFonts w:cs="Arial"/>
        </w:rPr>
      </w:pPr>
    </w:p>
    <w:p w:rsidR="00574579" w:rsidRPr="004C2FAC" w:rsidRDefault="00574579" w:rsidP="00AF40F3">
      <w:pPr>
        <w:rPr>
          <w:rFonts w:cs="Arial"/>
        </w:rPr>
      </w:pPr>
      <w:r w:rsidRPr="004C2FAC">
        <w:rPr>
          <w:rFonts w:cs="Arial"/>
        </w:rPr>
        <w:t>Tampoco se reveló en la demanda cómo se finiquitó la liquidación del IDEMA y no se demostró que se hubieran cedido las pólizas de seguro al Ministerio de Agricultura y Desarrollo Rural.</w:t>
      </w:r>
    </w:p>
    <w:p w:rsidR="00574579" w:rsidRPr="004C2FAC" w:rsidRDefault="00574579" w:rsidP="00AF40F3">
      <w:pPr>
        <w:rPr>
          <w:rFonts w:cs="Arial"/>
          <w:sz w:val="22"/>
          <w:szCs w:val="22"/>
        </w:rPr>
      </w:pPr>
    </w:p>
    <w:p w:rsidR="006A1D4B" w:rsidRPr="004C2FAC" w:rsidRDefault="00574579" w:rsidP="00AF40F3">
      <w:pPr>
        <w:rPr>
          <w:rFonts w:cs="Arial"/>
          <w:bCs/>
        </w:rPr>
      </w:pPr>
      <w:r w:rsidRPr="004C2FAC">
        <w:rPr>
          <w:rFonts w:cs="Arial"/>
          <w:bCs/>
        </w:rPr>
        <w:t xml:space="preserve">En este caso </w:t>
      </w:r>
      <w:r w:rsidR="000E206C" w:rsidRPr="004C2FAC">
        <w:rPr>
          <w:rFonts w:cs="Arial"/>
          <w:bCs/>
        </w:rPr>
        <w:t>prospera l</w:t>
      </w:r>
      <w:r w:rsidR="005A0C65" w:rsidRPr="004C2FAC">
        <w:rPr>
          <w:rFonts w:cs="Arial"/>
          <w:bCs/>
        </w:rPr>
        <w:t xml:space="preserve">a excepción de prescripción </w:t>
      </w:r>
      <w:r w:rsidR="00CA02E0" w:rsidRPr="004C2FAC">
        <w:rPr>
          <w:rFonts w:cs="Arial"/>
          <w:bCs/>
        </w:rPr>
        <w:t xml:space="preserve">en relación con </w:t>
      </w:r>
      <w:r w:rsidR="000E206C" w:rsidRPr="004C2FAC">
        <w:rPr>
          <w:rFonts w:cs="Arial"/>
          <w:bCs/>
        </w:rPr>
        <w:t xml:space="preserve">los </w:t>
      </w:r>
      <w:r w:rsidR="005A0C65" w:rsidRPr="004C2FAC">
        <w:rPr>
          <w:rFonts w:cs="Arial"/>
          <w:bCs/>
        </w:rPr>
        <w:t xml:space="preserve">contrato </w:t>
      </w:r>
      <w:r w:rsidR="000E206C" w:rsidRPr="004C2FAC">
        <w:rPr>
          <w:rFonts w:cs="Arial"/>
          <w:bCs/>
        </w:rPr>
        <w:t>d</w:t>
      </w:r>
      <w:r w:rsidR="005A0C65" w:rsidRPr="004C2FAC">
        <w:rPr>
          <w:rFonts w:cs="Arial"/>
          <w:bCs/>
        </w:rPr>
        <w:t>e seguro instrumentado</w:t>
      </w:r>
      <w:r w:rsidR="000E206C" w:rsidRPr="004C2FAC">
        <w:rPr>
          <w:rFonts w:cs="Arial"/>
          <w:bCs/>
        </w:rPr>
        <w:t>s</w:t>
      </w:r>
      <w:r w:rsidR="005A0C65" w:rsidRPr="004C2FAC">
        <w:rPr>
          <w:rFonts w:cs="Arial"/>
          <w:bCs/>
        </w:rPr>
        <w:t xml:space="preserve"> en las pólizas de cumplimiento 193363</w:t>
      </w:r>
      <w:r w:rsidR="003D50BD" w:rsidRPr="004C2FAC">
        <w:rPr>
          <w:rFonts w:cs="Arial"/>
          <w:bCs/>
        </w:rPr>
        <w:t>,</w:t>
      </w:r>
      <w:r w:rsidR="005A0C65" w:rsidRPr="004C2FAC">
        <w:rPr>
          <w:rFonts w:cs="Arial"/>
          <w:bCs/>
        </w:rPr>
        <w:t xml:space="preserve"> 193364</w:t>
      </w:r>
      <w:r w:rsidR="003D50BD" w:rsidRPr="004C2FAC">
        <w:rPr>
          <w:rFonts w:cs="Arial"/>
          <w:bCs/>
        </w:rPr>
        <w:t xml:space="preserve"> y 231844</w:t>
      </w:r>
      <w:r w:rsidR="000E206C" w:rsidRPr="004C2FAC">
        <w:rPr>
          <w:rFonts w:cs="Arial"/>
          <w:bCs/>
        </w:rPr>
        <w:t xml:space="preserve">, con </w:t>
      </w:r>
      <w:r w:rsidR="005A0C65" w:rsidRPr="004C2FAC">
        <w:rPr>
          <w:rFonts w:cs="Arial"/>
          <w:bCs/>
        </w:rPr>
        <w:t>apoy</w:t>
      </w:r>
      <w:r w:rsidR="000E206C" w:rsidRPr="004C2FAC">
        <w:rPr>
          <w:rFonts w:cs="Arial"/>
          <w:bCs/>
        </w:rPr>
        <w:t>o</w:t>
      </w:r>
      <w:r w:rsidR="005A0C65" w:rsidRPr="004C2FAC">
        <w:rPr>
          <w:rFonts w:cs="Arial"/>
          <w:bCs/>
        </w:rPr>
        <w:t xml:space="preserve"> en el artículo 1081 del Código d</w:t>
      </w:r>
      <w:r w:rsidR="006A1D4B" w:rsidRPr="004C2FAC">
        <w:rPr>
          <w:rFonts w:cs="Arial"/>
          <w:bCs/>
        </w:rPr>
        <w:t>e Comercio</w:t>
      </w:r>
      <w:r w:rsidR="00CA02E0" w:rsidRPr="004C2FAC">
        <w:rPr>
          <w:rStyle w:val="Refdenotaalpie"/>
          <w:rFonts w:cs="Arial"/>
          <w:bCs/>
        </w:rPr>
        <w:footnoteReference w:id="91"/>
      </w:r>
      <w:r w:rsidR="00E25CA1" w:rsidRPr="004C2FAC">
        <w:rPr>
          <w:rFonts w:cs="Arial"/>
          <w:bCs/>
        </w:rPr>
        <w:t>,</w:t>
      </w:r>
      <w:r w:rsidR="006A1D4B" w:rsidRPr="004C2FAC">
        <w:rPr>
          <w:rFonts w:cs="Arial"/>
          <w:bCs/>
        </w:rPr>
        <w:t xml:space="preserve"> el cual establece la prescripción ordinaria en el lapso de dos años </w:t>
      </w:r>
      <w:r w:rsidR="006A1D4B" w:rsidRPr="004C2FAC">
        <w:rPr>
          <w:rFonts w:cs="Arial"/>
          <w:bCs/>
          <w:i/>
        </w:rPr>
        <w:t>“desde el momento en que el interesado haya tenido o debido tener conocimiento del hechos que da lugar a la acción”.</w:t>
      </w:r>
    </w:p>
    <w:p w:rsidR="006A1D4B" w:rsidRPr="004C2FAC" w:rsidRDefault="006A1D4B" w:rsidP="00AF40F3">
      <w:pPr>
        <w:rPr>
          <w:rFonts w:cs="Arial"/>
          <w:bCs/>
        </w:rPr>
      </w:pPr>
    </w:p>
    <w:p w:rsidR="006A7CE3" w:rsidRPr="004C2FAC" w:rsidRDefault="000E206C" w:rsidP="00AF40F3">
      <w:pPr>
        <w:rPr>
          <w:rFonts w:cs="Arial"/>
          <w:bCs/>
        </w:rPr>
      </w:pPr>
      <w:r w:rsidRPr="004C2FAC">
        <w:rPr>
          <w:rFonts w:cs="Arial"/>
          <w:bCs/>
        </w:rPr>
        <w:t>Tal como lo e</w:t>
      </w:r>
      <w:r w:rsidR="006A1D4B" w:rsidRPr="004C2FAC">
        <w:rPr>
          <w:rFonts w:cs="Arial"/>
          <w:bCs/>
        </w:rPr>
        <w:t xml:space="preserve">xplicó </w:t>
      </w:r>
      <w:r w:rsidRPr="004C2FAC">
        <w:rPr>
          <w:rFonts w:cs="Arial"/>
          <w:bCs/>
        </w:rPr>
        <w:t xml:space="preserve">la compañía aseguradora, </w:t>
      </w:r>
      <w:r w:rsidR="006A1D4B" w:rsidRPr="004C2FAC">
        <w:rPr>
          <w:rFonts w:cs="Arial"/>
          <w:bCs/>
        </w:rPr>
        <w:t>de acuerdo con la jurisprudencia de la Corte Suprema de Justicia</w:t>
      </w:r>
      <w:r w:rsidR="006A1D4B" w:rsidRPr="004C2FAC">
        <w:rPr>
          <w:rStyle w:val="Refdenotaalpie"/>
          <w:rFonts w:cs="Arial"/>
          <w:bCs/>
        </w:rPr>
        <w:footnoteReference w:id="92"/>
      </w:r>
      <w:r w:rsidR="00AB0879" w:rsidRPr="004C2FAC">
        <w:rPr>
          <w:rFonts w:cs="Arial"/>
          <w:bCs/>
        </w:rPr>
        <w:t>,</w:t>
      </w:r>
      <w:r w:rsidR="004A265C" w:rsidRPr="004C2FAC">
        <w:rPr>
          <w:rFonts w:cs="Arial"/>
          <w:bCs/>
        </w:rPr>
        <w:t xml:space="preserve"> </w:t>
      </w:r>
      <w:r w:rsidR="004A265C" w:rsidRPr="004C2FAC">
        <w:rPr>
          <w:rFonts w:cs="Arial"/>
          <w:bCs/>
          <w:i/>
        </w:rPr>
        <w:t>“por interesado debe entenderse quien deriva algún derecho del contrato de seguro”,</w:t>
      </w:r>
      <w:r w:rsidR="004A265C" w:rsidRPr="004C2FAC">
        <w:rPr>
          <w:rFonts w:cs="Arial"/>
          <w:bCs/>
        </w:rPr>
        <w:t xml:space="preserve"> es decir</w:t>
      </w:r>
      <w:r w:rsidR="00E25CA1" w:rsidRPr="004C2FAC">
        <w:rPr>
          <w:rFonts w:cs="Arial"/>
          <w:bCs/>
        </w:rPr>
        <w:t>,</w:t>
      </w:r>
      <w:r w:rsidR="004A265C" w:rsidRPr="004C2FAC">
        <w:rPr>
          <w:rFonts w:cs="Arial"/>
          <w:bCs/>
        </w:rPr>
        <w:t xml:space="preserve"> el tomador, el asegurado y el beneficiario.</w:t>
      </w:r>
      <w:r w:rsidR="00B32845" w:rsidRPr="004C2FAC">
        <w:rPr>
          <w:rFonts w:cs="Arial"/>
          <w:bCs/>
        </w:rPr>
        <w:t xml:space="preserve"> </w:t>
      </w:r>
    </w:p>
    <w:p w:rsidR="006A7CE3" w:rsidRPr="004C2FAC" w:rsidRDefault="006A7CE3" w:rsidP="00AF40F3">
      <w:pPr>
        <w:rPr>
          <w:rFonts w:cs="Arial"/>
          <w:bCs/>
        </w:rPr>
      </w:pPr>
    </w:p>
    <w:p w:rsidR="00855454" w:rsidRPr="004C2FAC" w:rsidRDefault="000E206C" w:rsidP="00AF40F3">
      <w:pPr>
        <w:rPr>
          <w:rFonts w:cs="Arial"/>
          <w:bCs/>
        </w:rPr>
      </w:pPr>
      <w:r w:rsidRPr="004C2FAC">
        <w:rPr>
          <w:rFonts w:cs="Arial"/>
          <w:bCs/>
        </w:rPr>
        <w:lastRenderedPageBreak/>
        <w:t>En la contestación de la demanda</w:t>
      </w:r>
      <w:r w:rsidR="00CA02E0" w:rsidRPr="004C2FAC">
        <w:rPr>
          <w:rFonts w:cs="Arial"/>
          <w:bCs/>
        </w:rPr>
        <w:t>,</w:t>
      </w:r>
      <w:r w:rsidRPr="004C2FAC">
        <w:rPr>
          <w:rFonts w:cs="Arial"/>
          <w:bCs/>
        </w:rPr>
        <w:t xml:space="preserve"> </w:t>
      </w:r>
      <w:r w:rsidR="00CA02E0" w:rsidRPr="004C2FAC">
        <w:rPr>
          <w:rFonts w:cs="Arial"/>
          <w:bCs/>
        </w:rPr>
        <w:t>l</w:t>
      </w:r>
      <w:r w:rsidR="00FF5FE8" w:rsidRPr="004C2FAC">
        <w:rPr>
          <w:rFonts w:cs="Arial"/>
          <w:bCs/>
        </w:rPr>
        <w:t>a compañía de seguros s</w:t>
      </w:r>
      <w:r w:rsidR="00B32845" w:rsidRPr="004C2FAC">
        <w:rPr>
          <w:rFonts w:cs="Arial"/>
          <w:bCs/>
        </w:rPr>
        <w:t xml:space="preserve">e detuvo en </w:t>
      </w:r>
      <w:r w:rsidR="006A7CE3" w:rsidRPr="004C2FAC">
        <w:rPr>
          <w:rFonts w:cs="Arial"/>
          <w:bCs/>
        </w:rPr>
        <w:t xml:space="preserve">analizar </w:t>
      </w:r>
      <w:r w:rsidR="00B32845" w:rsidRPr="004C2FAC">
        <w:rPr>
          <w:rFonts w:cs="Arial"/>
          <w:bCs/>
        </w:rPr>
        <w:t xml:space="preserve">la vigencia de las pólizas de seguro, y </w:t>
      </w:r>
      <w:r w:rsidR="00E25CA1" w:rsidRPr="004C2FAC">
        <w:rPr>
          <w:rFonts w:cs="Arial"/>
          <w:bCs/>
        </w:rPr>
        <w:t xml:space="preserve">consideró </w:t>
      </w:r>
      <w:r w:rsidR="00B32845" w:rsidRPr="004C2FAC">
        <w:rPr>
          <w:rFonts w:cs="Arial"/>
          <w:bCs/>
        </w:rPr>
        <w:t xml:space="preserve">que la demanda ha debido presentarse antes de expirar el plazo de dos años contado a partir del vencimiento de cada una de </w:t>
      </w:r>
      <w:r w:rsidR="00FF5FE8" w:rsidRPr="004C2FAC">
        <w:rPr>
          <w:rFonts w:cs="Arial"/>
          <w:bCs/>
        </w:rPr>
        <w:t xml:space="preserve">ellas. </w:t>
      </w:r>
      <w:r w:rsidR="00B32845" w:rsidRPr="004C2FAC">
        <w:rPr>
          <w:rFonts w:cs="Arial"/>
          <w:bCs/>
        </w:rPr>
        <w:t xml:space="preserve">Por ello, </w:t>
      </w:r>
      <w:r w:rsidR="0086159A" w:rsidRPr="004C2FAC">
        <w:rPr>
          <w:rFonts w:cs="Arial"/>
          <w:bCs/>
        </w:rPr>
        <w:t xml:space="preserve">sostuvo </w:t>
      </w:r>
      <w:r w:rsidR="00B32845" w:rsidRPr="004C2FAC">
        <w:rPr>
          <w:rFonts w:cs="Arial"/>
          <w:bCs/>
        </w:rPr>
        <w:t xml:space="preserve">que las acciones </w:t>
      </w:r>
      <w:r w:rsidR="0086159A" w:rsidRPr="004C2FAC">
        <w:rPr>
          <w:rFonts w:cs="Arial"/>
          <w:bCs/>
        </w:rPr>
        <w:t xml:space="preserve">para hacer valer cada una de las pólizas de seguro </w:t>
      </w:r>
      <w:r w:rsidR="00B32845" w:rsidRPr="004C2FAC">
        <w:rPr>
          <w:rFonts w:cs="Arial"/>
          <w:bCs/>
        </w:rPr>
        <w:t xml:space="preserve">prescribieron </w:t>
      </w:r>
      <w:r w:rsidR="0086159A" w:rsidRPr="004C2FAC">
        <w:rPr>
          <w:rFonts w:cs="Arial"/>
          <w:bCs/>
        </w:rPr>
        <w:t>en los siguientes plazos</w:t>
      </w:r>
      <w:r w:rsidR="00B32845" w:rsidRPr="004C2FAC">
        <w:rPr>
          <w:rFonts w:cs="Arial"/>
          <w:bCs/>
        </w:rPr>
        <w:t>: para la póliza 231844, el 27 de noviembre de 1998</w:t>
      </w:r>
      <w:r w:rsidR="00AA77C3" w:rsidRPr="004C2FAC">
        <w:rPr>
          <w:rFonts w:cs="Arial"/>
          <w:bCs/>
        </w:rPr>
        <w:t>;</w:t>
      </w:r>
      <w:r w:rsidR="00B32845" w:rsidRPr="004C2FAC">
        <w:rPr>
          <w:rFonts w:cs="Arial"/>
          <w:bCs/>
        </w:rPr>
        <w:t xml:space="preserve"> para la póliza 193363, el 30 de diciembre de</w:t>
      </w:r>
      <w:r w:rsidR="00AA77C3" w:rsidRPr="004C2FAC">
        <w:rPr>
          <w:rFonts w:cs="Arial"/>
          <w:bCs/>
        </w:rPr>
        <w:t xml:space="preserve"> </w:t>
      </w:r>
      <w:r w:rsidR="00B32845" w:rsidRPr="004C2FAC">
        <w:rPr>
          <w:rFonts w:cs="Arial"/>
          <w:bCs/>
        </w:rPr>
        <w:t>1998 y para la póliza 193364, el 15 de julio de 1998.</w:t>
      </w:r>
    </w:p>
    <w:p w:rsidR="00855454" w:rsidRPr="004C2FAC" w:rsidRDefault="00855454" w:rsidP="00AF40F3">
      <w:pPr>
        <w:rPr>
          <w:rFonts w:cs="Arial"/>
          <w:bCs/>
        </w:rPr>
      </w:pPr>
    </w:p>
    <w:p w:rsidR="00855454" w:rsidRPr="004C2FAC" w:rsidRDefault="00855454" w:rsidP="00AF40F3">
      <w:pPr>
        <w:rPr>
          <w:rFonts w:cs="Arial"/>
          <w:bCs/>
        </w:rPr>
      </w:pPr>
      <w:r w:rsidRPr="004C2FAC">
        <w:rPr>
          <w:rFonts w:cs="Arial"/>
          <w:bCs/>
        </w:rPr>
        <w:t>Aunque la fecha a partir de la cual empezaba a correr el término de prescripción no era la de la expiración de la</w:t>
      </w:r>
      <w:r w:rsidR="003A6C58" w:rsidRPr="004C2FAC">
        <w:rPr>
          <w:rFonts w:cs="Arial"/>
          <w:bCs/>
        </w:rPr>
        <w:t>s</w:t>
      </w:r>
      <w:r w:rsidRPr="004C2FAC">
        <w:rPr>
          <w:rFonts w:cs="Arial"/>
          <w:bCs/>
        </w:rPr>
        <w:t xml:space="preserve"> póliza</w:t>
      </w:r>
      <w:r w:rsidR="003A6C58" w:rsidRPr="004C2FAC">
        <w:rPr>
          <w:rFonts w:cs="Arial"/>
          <w:bCs/>
        </w:rPr>
        <w:t>s</w:t>
      </w:r>
      <w:r w:rsidRPr="004C2FAC">
        <w:rPr>
          <w:rFonts w:cs="Arial"/>
          <w:bCs/>
        </w:rPr>
        <w:t>, sino la del incumplimiento que ocurrió en vigencia de las pólizas</w:t>
      </w:r>
      <w:r w:rsidR="003A6C58" w:rsidRPr="004C2FAC">
        <w:rPr>
          <w:rFonts w:cs="Arial"/>
          <w:bCs/>
        </w:rPr>
        <w:t xml:space="preserve"> o la de su conocimiento por parte del IDEMA</w:t>
      </w:r>
      <w:r w:rsidRPr="004C2FAC">
        <w:rPr>
          <w:rFonts w:cs="Arial"/>
          <w:bCs/>
        </w:rPr>
        <w:t>, la Sala encuentra que la excepción de la compañía de seguros está llamada a prosperar</w:t>
      </w:r>
      <w:r w:rsidR="0086159A" w:rsidRPr="004C2FAC">
        <w:rPr>
          <w:rFonts w:cs="Arial"/>
          <w:bCs/>
        </w:rPr>
        <w:t xml:space="preserve">, dado que en todo caso transcurrieron más de dos años en relación con </w:t>
      </w:r>
      <w:r w:rsidR="003B0CC7" w:rsidRPr="004C2FAC">
        <w:rPr>
          <w:rFonts w:cs="Arial"/>
          <w:bCs/>
        </w:rPr>
        <w:t>cada una de las pólizas.</w:t>
      </w:r>
      <w:r w:rsidR="0086159A" w:rsidRPr="004C2FAC">
        <w:rPr>
          <w:rFonts w:cs="Arial"/>
          <w:bCs/>
        </w:rPr>
        <w:t xml:space="preserve"> </w:t>
      </w:r>
    </w:p>
    <w:p w:rsidR="00B32845" w:rsidRPr="004C2FAC" w:rsidRDefault="00B32845" w:rsidP="00AF40F3">
      <w:pPr>
        <w:rPr>
          <w:rFonts w:cs="Arial"/>
          <w:b/>
          <w:bCs/>
        </w:rPr>
      </w:pPr>
    </w:p>
    <w:p w:rsidR="00185950" w:rsidRPr="004C2FAC" w:rsidRDefault="003A6C58" w:rsidP="00AF40F3">
      <w:pPr>
        <w:rPr>
          <w:rFonts w:cs="Arial"/>
          <w:color w:val="000000"/>
          <w:shd w:val="clear" w:color="auto" w:fill="FFFFFF"/>
        </w:rPr>
      </w:pPr>
      <w:r w:rsidRPr="004C2FAC">
        <w:rPr>
          <w:rFonts w:cs="Arial"/>
          <w:color w:val="000000"/>
          <w:shd w:val="clear" w:color="auto" w:fill="FFFFFF"/>
        </w:rPr>
        <w:t xml:space="preserve">Por otra parte, es bueno advertir que </w:t>
      </w:r>
      <w:r w:rsidR="003362F2" w:rsidRPr="004C2FAC">
        <w:rPr>
          <w:rFonts w:cs="Arial"/>
          <w:color w:val="000000"/>
          <w:shd w:val="clear" w:color="auto" w:fill="FFFFFF"/>
        </w:rPr>
        <w:t xml:space="preserve">la </w:t>
      </w:r>
      <w:r w:rsidR="00F72367" w:rsidRPr="004C2FAC">
        <w:rPr>
          <w:rFonts w:cs="Arial"/>
          <w:color w:val="000000"/>
          <w:shd w:val="clear" w:color="auto" w:fill="FFFFFF"/>
        </w:rPr>
        <w:t>prescripción de</w:t>
      </w:r>
      <w:r w:rsidR="003362F2" w:rsidRPr="004C2FAC">
        <w:rPr>
          <w:rFonts w:cs="Arial"/>
          <w:color w:val="000000"/>
          <w:shd w:val="clear" w:color="auto" w:fill="FFFFFF"/>
        </w:rPr>
        <w:t xml:space="preserve"> la acción derivada del </w:t>
      </w:r>
      <w:r w:rsidR="00F72367" w:rsidRPr="004C2FAC">
        <w:rPr>
          <w:rFonts w:cs="Arial"/>
          <w:color w:val="000000"/>
          <w:shd w:val="clear" w:color="auto" w:fill="FFFFFF"/>
        </w:rPr>
        <w:t xml:space="preserve">contrato de seguro </w:t>
      </w:r>
      <w:r w:rsidR="003362F2" w:rsidRPr="004C2FAC">
        <w:rPr>
          <w:rFonts w:cs="Arial"/>
          <w:color w:val="000000"/>
          <w:shd w:val="clear" w:color="auto" w:fill="FFFFFF"/>
        </w:rPr>
        <w:t xml:space="preserve">puede ser alegada en forma independiente </w:t>
      </w:r>
      <w:r w:rsidR="003B0CC7" w:rsidRPr="004C2FAC">
        <w:rPr>
          <w:rFonts w:cs="Arial"/>
          <w:color w:val="000000"/>
          <w:shd w:val="clear" w:color="auto" w:fill="FFFFFF"/>
        </w:rPr>
        <w:t xml:space="preserve">a la </w:t>
      </w:r>
      <w:r w:rsidR="003362F2" w:rsidRPr="004C2FAC">
        <w:rPr>
          <w:rFonts w:cs="Arial"/>
          <w:color w:val="000000"/>
          <w:shd w:val="clear" w:color="auto" w:fill="FFFFFF"/>
        </w:rPr>
        <w:t>caducidad de la acción</w:t>
      </w:r>
      <w:r w:rsidRPr="004C2FAC">
        <w:rPr>
          <w:rFonts w:cs="Arial"/>
          <w:color w:val="000000"/>
          <w:shd w:val="clear" w:color="auto" w:fill="FFFFFF"/>
        </w:rPr>
        <w:t xml:space="preserve"> contractual</w:t>
      </w:r>
      <w:r w:rsidR="003362F2" w:rsidRPr="004C2FAC">
        <w:rPr>
          <w:rFonts w:cs="Arial"/>
          <w:color w:val="000000"/>
          <w:shd w:val="clear" w:color="auto" w:fill="FFFFFF"/>
        </w:rPr>
        <w:t xml:space="preserve">, toda vez que se trata de fenómenos jurídicos diferentes, como lo </w:t>
      </w:r>
      <w:r w:rsidR="00F72367" w:rsidRPr="004C2FAC">
        <w:rPr>
          <w:rFonts w:cs="Arial"/>
          <w:color w:val="000000"/>
          <w:shd w:val="clear" w:color="auto" w:fill="FFFFFF"/>
        </w:rPr>
        <w:t xml:space="preserve">ha observado </w:t>
      </w:r>
      <w:r w:rsidR="003362F2" w:rsidRPr="004C2FAC">
        <w:rPr>
          <w:rFonts w:cs="Arial"/>
          <w:color w:val="000000"/>
          <w:shd w:val="clear" w:color="auto" w:fill="FFFFFF"/>
        </w:rPr>
        <w:t xml:space="preserve">esta Subsección, </w:t>
      </w:r>
      <w:r w:rsidR="00185950" w:rsidRPr="004C2FAC">
        <w:rPr>
          <w:rFonts w:cs="Arial"/>
          <w:color w:val="000000"/>
          <w:shd w:val="clear" w:color="auto" w:fill="FFFFFF"/>
        </w:rPr>
        <w:t>de la siguiente manera</w:t>
      </w:r>
      <w:r w:rsidR="003362F2" w:rsidRPr="004C2FAC">
        <w:rPr>
          <w:rFonts w:cs="Arial"/>
          <w:color w:val="000000"/>
          <w:shd w:val="clear" w:color="auto" w:fill="FFFFFF"/>
        </w:rPr>
        <w:t>:</w:t>
      </w:r>
    </w:p>
    <w:p w:rsidR="00185950" w:rsidRPr="004C2FAC" w:rsidRDefault="00185950" w:rsidP="00185950">
      <w:pPr>
        <w:pStyle w:val="NormalWeb"/>
        <w:spacing w:before="0" w:beforeAutospacing="0" w:after="0" w:afterAutospacing="0" w:line="240" w:lineRule="auto"/>
        <w:ind w:left="851" w:right="283"/>
        <w:rPr>
          <w:rFonts w:cs="Arial"/>
          <w:i/>
          <w:color w:val="000000"/>
        </w:rPr>
      </w:pPr>
    </w:p>
    <w:p w:rsidR="00185950" w:rsidRPr="004C2FAC" w:rsidRDefault="00185950" w:rsidP="00AF40F3">
      <w:pPr>
        <w:pStyle w:val="NormalWeb"/>
        <w:spacing w:before="0" w:beforeAutospacing="0" w:after="0" w:afterAutospacing="0" w:line="276" w:lineRule="auto"/>
        <w:ind w:left="567" w:right="902"/>
        <w:rPr>
          <w:rFonts w:cs="Arial"/>
          <w:i/>
          <w:sz w:val="22"/>
          <w:szCs w:val="22"/>
        </w:rPr>
      </w:pPr>
      <w:r w:rsidRPr="004C2FAC">
        <w:rPr>
          <w:rFonts w:cs="Arial"/>
          <w:i/>
          <w:color w:val="000000"/>
          <w:sz w:val="22"/>
          <w:szCs w:val="22"/>
        </w:rPr>
        <w:t>“</w:t>
      </w:r>
      <w:r w:rsidRPr="004C2FAC">
        <w:rPr>
          <w:rFonts w:cs="Arial"/>
          <w:i/>
          <w:sz w:val="22"/>
          <w:szCs w:val="22"/>
        </w:rPr>
        <w:t xml:space="preserve">Ahora bien, la diferencia entre la prescripción consagrada en el artículo 1081 del Código de Comercio y la caducidad de la acción contractual establecida en el artículo 136 del Código Contencioso Administrativo, se puede concretar con base en la sentencia de la Corte Constitucional, </w:t>
      </w:r>
      <w:r w:rsidRPr="004C2FAC">
        <w:rPr>
          <w:rFonts w:cs="Arial"/>
          <w:i/>
          <w:sz w:val="22"/>
          <w:szCs w:val="22"/>
          <w:lang w:val="es-MX"/>
        </w:rPr>
        <w:t xml:space="preserve">C 574 de 14 de octubre de 1998, </w:t>
      </w:r>
      <w:r w:rsidRPr="004C2FAC">
        <w:rPr>
          <w:rFonts w:cs="Arial"/>
          <w:i/>
          <w:sz w:val="22"/>
          <w:szCs w:val="22"/>
        </w:rPr>
        <w:t>según se lee en los siguientes extractos:</w:t>
      </w:r>
    </w:p>
    <w:p w:rsidR="003362F2" w:rsidRPr="004C2FAC" w:rsidRDefault="003362F2" w:rsidP="00AF40F3">
      <w:pPr>
        <w:pStyle w:val="NormalWeb"/>
        <w:spacing w:before="0" w:beforeAutospacing="0" w:after="0" w:afterAutospacing="0" w:line="276" w:lineRule="auto"/>
        <w:ind w:left="567" w:right="902"/>
        <w:rPr>
          <w:rFonts w:cs="Arial"/>
          <w:i/>
          <w:sz w:val="22"/>
          <w:szCs w:val="22"/>
        </w:rPr>
      </w:pPr>
    </w:p>
    <w:p w:rsidR="00185950" w:rsidRPr="004C2FAC" w:rsidRDefault="00367D6D" w:rsidP="00AF40F3">
      <w:pPr>
        <w:pStyle w:val="NormalWeb"/>
        <w:spacing w:before="0" w:beforeAutospacing="0" w:after="0" w:afterAutospacing="0" w:line="276" w:lineRule="auto"/>
        <w:ind w:left="567" w:right="902"/>
        <w:rPr>
          <w:rFonts w:cs="Arial"/>
          <w:i/>
          <w:color w:val="000000"/>
          <w:sz w:val="22"/>
          <w:szCs w:val="22"/>
        </w:rPr>
      </w:pPr>
      <w:r w:rsidRPr="004C2FAC">
        <w:rPr>
          <w:rFonts w:cs="Arial"/>
          <w:i/>
          <w:sz w:val="22"/>
          <w:szCs w:val="22"/>
        </w:rPr>
        <w:t>“</w:t>
      </w:r>
      <w:r w:rsidR="003362F2" w:rsidRPr="004C2FAC">
        <w:rPr>
          <w:rFonts w:cs="Arial"/>
          <w:i/>
          <w:sz w:val="22"/>
          <w:szCs w:val="22"/>
        </w:rPr>
        <w:t>(…)</w:t>
      </w:r>
    </w:p>
    <w:p w:rsidR="00185950" w:rsidRPr="004C2FAC" w:rsidRDefault="00185950" w:rsidP="00AF40F3">
      <w:pPr>
        <w:pStyle w:val="NormalWeb"/>
        <w:spacing w:line="276" w:lineRule="auto"/>
        <w:ind w:left="567" w:right="902"/>
        <w:rPr>
          <w:rFonts w:cs="Arial"/>
          <w:i/>
          <w:color w:val="000000"/>
          <w:sz w:val="22"/>
          <w:szCs w:val="22"/>
        </w:rPr>
      </w:pPr>
      <w:r w:rsidRPr="004C2FAC">
        <w:rPr>
          <w:rFonts w:cs="Arial"/>
          <w:i/>
          <w:color w:val="000000"/>
          <w:sz w:val="22"/>
          <w:szCs w:val="22"/>
        </w:rPr>
        <w:t>‘</w:t>
      </w:r>
      <w:r w:rsidRPr="004C2FAC">
        <w:rPr>
          <w:rFonts w:cs="Arial"/>
          <w:b/>
          <w:bCs/>
          <w:i/>
          <w:color w:val="000000"/>
          <w:sz w:val="22"/>
          <w:szCs w:val="22"/>
        </w:rPr>
        <w:t xml:space="preserve">PRESCRIPCION Y CADUCIDAD </w:t>
      </w:r>
      <w:r w:rsidRPr="004C2FAC">
        <w:rPr>
          <w:rFonts w:cs="Arial"/>
          <w:i/>
          <w:color w:val="000000"/>
          <w:sz w:val="22"/>
          <w:szCs w:val="22"/>
        </w:rPr>
        <w:t>- Diferencia</w:t>
      </w:r>
    </w:p>
    <w:p w:rsidR="00185950" w:rsidRPr="004C2FAC" w:rsidRDefault="00185950" w:rsidP="00AF40F3">
      <w:pPr>
        <w:pStyle w:val="NormalWeb"/>
        <w:spacing w:line="276" w:lineRule="auto"/>
        <w:ind w:left="567" w:right="902"/>
        <w:rPr>
          <w:rFonts w:cs="Arial"/>
          <w:i/>
          <w:sz w:val="22"/>
          <w:szCs w:val="22"/>
        </w:rPr>
      </w:pPr>
      <w:r w:rsidRPr="004C2FAC">
        <w:rPr>
          <w:rFonts w:cs="Arial"/>
          <w:i/>
          <w:iCs/>
          <w:color w:val="000000"/>
          <w:sz w:val="22"/>
          <w:szCs w:val="22"/>
        </w:rPr>
        <w:t xml:space="preserve">‘La prescripción requiere, al contrario de la caducidad, alegación de parte y, en tal virtud, no puede ser declarada de oficio por el juez. Además, puede ser objeto de suspensión frente a algunas personas dentro de ciertas circunstancias, a diferencia de la caducidad que no la admite. La </w:t>
      </w:r>
      <w:r w:rsidRPr="004C2FAC">
        <w:rPr>
          <w:rFonts w:cs="Arial"/>
          <w:i/>
          <w:iCs/>
          <w:color w:val="000000"/>
          <w:sz w:val="22"/>
          <w:szCs w:val="22"/>
        </w:rPr>
        <w:lastRenderedPageBreak/>
        <w:t>prescripción es renunciable una vez ocurrida, mientras que el juez no podría jamás aceptar tal determinación de las partes con relación a la caducidad.’</w:t>
      </w:r>
      <w:r w:rsidRPr="004C2FAC">
        <w:rPr>
          <w:rStyle w:val="Refdenotaalpie"/>
          <w:rFonts w:cs="Arial"/>
          <w:i/>
          <w:sz w:val="22"/>
          <w:szCs w:val="22"/>
        </w:rPr>
        <w:footnoteReference w:id="93"/>
      </w:r>
      <w:r w:rsidRPr="004C2FAC">
        <w:rPr>
          <w:rFonts w:cs="Arial"/>
          <w:i/>
          <w:sz w:val="22"/>
          <w:szCs w:val="22"/>
        </w:rPr>
        <w:t xml:space="preserve"> </w:t>
      </w:r>
    </w:p>
    <w:p w:rsidR="00185950" w:rsidRPr="004C2FAC" w:rsidRDefault="00185950" w:rsidP="00AF40F3">
      <w:pPr>
        <w:pStyle w:val="NormalWeb"/>
        <w:spacing w:line="276" w:lineRule="auto"/>
        <w:ind w:left="567" w:right="902"/>
        <w:rPr>
          <w:rFonts w:cs="Arial"/>
          <w:i/>
          <w:sz w:val="22"/>
          <w:szCs w:val="22"/>
        </w:rPr>
      </w:pPr>
      <w:r w:rsidRPr="004C2FAC">
        <w:rPr>
          <w:rFonts w:cs="Arial"/>
          <w:i/>
          <w:sz w:val="22"/>
          <w:szCs w:val="22"/>
        </w:rPr>
        <w:t xml:space="preserve">“Ahora bien, en torno al contrato de seguro se puede indicar que la prescripción consagrada en el artículo 1081 del Código de Comercio se refiere a la extinción del derecho, al paso que la caducidad de la acción contractual establecida en el Código Contencioso Administrativo implica la improcedencia de la acción, por manera que la prescripción constituye una defensa de carácter renunciable, al paso que la caducidad se debe tener como un presupuesto de la competencia del Juez para entrar a conocer el caso y, por lo tanto, de carácter irrenunciable. </w:t>
      </w:r>
    </w:p>
    <w:p w:rsidR="00185950" w:rsidRPr="004C2FAC" w:rsidRDefault="00185950" w:rsidP="00AF40F3">
      <w:pPr>
        <w:tabs>
          <w:tab w:val="left" w:pos="1560"/>
        </w:tabs>
        <w:spacing w:line="276" w:lineRule="auto"/>
        <w:ind w:left="567" w:right="902"/>
        <w:rPr>
          <w:rFonts w:cs="Arial"/>
          <w:i/>
          <w:sz w:val="22"/>
          <w:szCs w:val="22"/>
          <w:lang w:val="es-MX" w:eastAsia="es-MX"/>
        </w:rPr>
      </w:pPr>
      <w:r w:rsidRPr="004C2FAC">
        <w:rPr>
          <w:rFonts w:cs="Arial"/>
          <w:i/>
          <w:sz w:val="22"/>
          <w:szCs w:val="22"/>
          <w:lang w:val="es-MX" w:eastAsia="es-MX"/>
        </w:rPr>
        <w:t>“Desde otro ángulo, la defensa con fundamento en la prescripción constituye un derecho de la parte a quien favorece, mientras que la caducidad de la acción impone una carga para la parte demandante cual es la de impetrar la acción en determinado plazo como presupuesto para poder acceder a la Jurisdicción de lo Contencioso Administrativo</w:t>
      </w:r>
      <w:r w:rsidRPr="004C2FAC">
        <w:rPr>
          <w:rFonts w:cs="Arial"/>
          <w:i/>
          <w:sz w:val="22"/>
          <w:szCs w:val="22"/>
        </w:rPr>
        <w:t>”</w:t>
      </w:r>
      <w:r w:rsidRPr="004C2FAC">
        <w:rPr>
          <w:rStyle w:val="Refdenotaalpie"/>
          <w:rFonts w:cs="Arial"/>
          <w:i/>
          <w:sz w:val="22"/>
          <w:szCs w:val="22"/>
        </w:rPr>
        <w:footnoteReference w:id="94"/>
      </w:r>
      <w:r w:rsidRPr="004C2FAC">
        <w:rPr>
          <w:rFonts w:cs="Arial"/>
          <w:i/>
          <w:sz w:val="22"/>
          <w:szCs w:val="22"/>
          <w:lang w:val="es-MX" w:eastAsia="es-MX"/>
        </w:rPr>
        <w:t>.</w:t>
      </w:r>
    </w:p>
    <w:p w:rsidR="00185950" w:rsidRPr="004C2FAC" w:rsidRDefault="00185950" w:rsidP="00367D6D">
      <w:pPr>
        <w:spacing w:line="276" w:lineRule="auto"/>
        <w:ind w:left="567" w:right="-284"/>
        <w:rPr>
          <w:rFonts w:cs="Arial"/>
          <w:color w:val="000000"/>
          <w:sz w:val="22"/>
          <w:szCs w:val="22"/>
          <w:shd w:val="clear" w:color="auto" w:fill="FFFFFF"/>
        </w:rPr>
      </w:pPr>
    </w:p>
    <w:p w:rsidR="00F72367" w:rsidRPr="004C2FAC" w:rsidRDefault="00185950" w:rsidP="00AF40F3">
      <w:pPr>
        <w:ind w:right="51"/>
        <w:rPr>
          <w:rFonts w:cs="Arial"/>
          <w:color w:val="000000"/>
          <w:shd w:val="clear" w:color="auto" w:fill="FFFFFF"/>
        </w:rPr>
      </w:pPr>
      <w:r w:rsidRPr="004C2FAC">
        <w:rPr>
          <w:rFonts w:cs="Arial"/>
          <w:color w:val="000000"/>
          <w:shd w:val="clear" w:color="auto" w:fill="FFFFFF"/>
        </w:rPr>
        <w:t>Con fundamento en la diferencia</w:t>
      </w:r>
      <w:r w:rsidR="00367D6D" w:rsidRPr="004C2FAC">
        <w:rPr>
          <w:rFonts w:cs="Arial"/>
          <w:color w:val="000000"/>
          <w:shd w:val="clear" w:color="auto" w:fill="FFFFFF"/>
        </w:rPr>
        <w:t xml:space="preserve"> </w:t>
      </w:r>
      <w:r w:rsidRPr="004C2FAC">
        <w:rPr>
          <w:rFonts w:cs="Arial"/>
          <w:color w:val="000000"/>
          <w:shd w:val="clear" w:color="auto" w:fill="FFFFFF"/>
        </w:rPr>
        <w:t>entre las figuras de la caducidad y de la prescripción, esta Subsección A</w:t>
      </w:r>
      <w:r w:rsidR="00367D6D" w:rsidRPr="004C2FAC">
        <w:rPr>
          <w:rFonts w:cs="Arial"/>
          <w:color w:val="000000"/>
          <w:shd w:val="clear" w:color="auto" w:fill="FFFFFF"/>
        </w:rPr>
        <w:t xml:space="preserve"> ha advertido </w:t>
      </w:r>
      <w:r w:rsidRPr="004C2FAC">
        <w:rPr>
          <w:rFonts w:cs="Arial"/>
          <w:color w:val="000000"/>
          <w:shd w:val="clear" w:color="auto" w:fill="FFFFFF"/>
        </w:rPr>
        <w:t xml:space="preserve">la posible ocurrencia de </w:t>
      </w:r>
      <w:r w:rsidR="003A6C58" w:rsidRPr="004C2FAC">
        <w:rPr>
          <w:rFonts w:cs="Arial"/>
          <w:color w:val="000000"/>
          <w:shd w:val="clear" w:color="auto" w:fill="FFFFFF"/>
        </w:rPr>
        <w:t xml:space="preserve">las siguientes </w:t>
      </w:r>
      <w:r w:rsidRPr="004C2FAC">
        <w:rPr>
          <w:rFonts w:cs="Arial"/>
          <w:color w:val="000000"/>
          <w:shd w:val="clear" w:color="auto" w:fill="FFFFFF"/>
        </w:rPr>
        <w:t>hipótesis:</w:t>
      </w:r>
      <w:r w:rsidR="00F72367" w:rsidRPr="004C2FAC">
        <w:rPr>
          <w:rFonts w:cs="Arial"/>
          <w:color w:val="000000"/>
          <w:shd w:val="clear" w:color="auto" w:fill="FFFFFF"/>
        </w:rPr>
        <w:t xml:space="preserve"> </w:t>
      </w:r>
    </w:p>
    <w:p w:rsidR="005F5818" w:rsidRPr="004C2FAC" w:rsidRDefault="005F5818" w:rsidP="00F72367">
      <w:pPr>
        <w:spacing w:line="240" w:lineRule="auto"/>
        <w:ind w:left="851" w:right="708"/>
        <w:rPr>
          <w:rFonts w:cs="Arial"/>
          <w:color w:val="000000"/>
          <w:sz w:val="27"/>
          <w:szCs w:val="27"/>
          <w:shd w:val="clear" w:color="auto" w:fill="FFFFFF"/>
        </w:rPr>
      </w:pPr>
    </w:p>
    <w:p w:rsidR="00F72367" w:rsidRPr="004C2FAC" w:rsidRDefault="00F72367" w:rsidP="00367D6D">
      <w:pPr>
        <w:pStyle w:val="NormalWeb"/>
        <w:spacing w:before="0" w:beforeAutospacing="0" w:after="0" w:afterAutospacing="0" w:line="276" w:lineRule="auto"/>
        <w:ind w:left="567" w:right="567"/>
        <w:rPr>
          <w:rFonts w:cs="Arial"/>
          <w:b/>
          <w:i/>
          <w:color w:val="000000"/>
          <w:sz w:val="22"/>
          <w:szCs w:val="22"/>
        </w:rPr>
      </w:pPr>
      <w:r w:rsidRPr="004C2FAC">
        <w:rPr>
          <w:rFonts w:cs="Arial"/>
          <w:i/>
          <w:color w:val="000000"/>
          <w:sz w:val="22"/>
          <w:szCs w:val="22"/>
        </w:rPr>
        <w:t>“</w:t>
      </w:r>
      <w:r w:rsidRPr="004C2FAC">
        <w:rPr>
          <w:rFonts w:cs="Arial"/>
          <w:b/>
          <w:i/>
          <w:color w:val="000000"/>
          <w:sz w:val="22"/>
          <w:szCs w:val="22"/>
        </w:rPr>
        <w:t>6. Prescripción y caducidad de la acción.</w:t>
      </w:r>
    </w:p>
    <w:p w:rsidR="00F72367" w:rsidRPr="004C2FAC" w:rsidRDefault="00F72367"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3A6C58" w:rsidP="00367D6D">
      <w:pPr>
        <w:pStyle w:val="NormalWeb"/>
        <w:spacing w:before="0" w:beforeAutospacing="0" w:after="0" w:afterAutospacing="0" w:line="276" w:lineRule="auto"/>
        <w:ind w:left="567" w:right="567"/>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 xml:space="preserve">Un caso particular de las normas especiales del contrato de seguro de cumplimiento en favor de entidades estatales, en relación con los presupuestos procesales, es el del término de caducidad de la acción contractual previsto en el numeral 10 del artículo 136 del Código Contencioso Administrativo, acerca del cual el Consejo de Estado ha observado que en el escenario de la acción contractual ‘ejecutiva’, la regulación de la caducidad de la acción no desplaza la eventual aplicación de la figura de la prescripción, no obstante lo cual el término de prescripción no puede ser invocado para ampliar o reabrir el plazo </w:t>
      </w:r>
      <w:r w:rsidR="00F72367" w:rsidRPr="004C2FAC">
        <w:rPr>
          <w:rFonts w:cs="Arial"/>
          <w:i/>
          <w:color w:val="000000"/>
          <w:sz w:val="22"/>
          <w:szCs w:val="22"/>
        </w:rPr>
        <w:lastRenderedPageBreak/>
        <w:t xml:space="preserve">de caducidad de la acción fijado en la ley, teniendo en cuenta que este último es de orden público, de carácter mandatorio e inmodificable entre las partes y su ocurrencia priva de competencia a la Jurisdicción de lo Contencioso Administrativo para pronunciarse sobre el fondo de las pretensiones de la demanda. </w:t>
      </w:r>
    </w:p>
    <w:p w:rsidR="00F72367" w:rsidRPr="004C2FAC" w:rsidRDefault="00F72367"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5A0C65" w:rsidP="00367D6D">
      <w:pPr>
        <w:pStyle w:val="NormalWeb"/>
        <w:spacing w:before="0" w:beforeAutospacing="0" w:after="0" w:afterAutospacing="0" w:line="276" w:lineRule="auto"/>
        <w:ind w:left="567" w:right="567"/>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Ahora bien, en el caso de la acción contractual ‘ordinaria’ cuya caducidad se encuentra consagrada en la letra d) del numeral 10 del artículo 136 del Código Contencioso Administrativo y la prescripción de la misma prevista para el contrato de seguro en el artículo 1081 del Código de Comercio, la Sala precisa lo siguiente:</w:t>
      </w:r>
    </w:p>
    <w:p w:rsidR="00F72367" w:rsidRPr="004C2FAC" w:rsidRDefault="00F72367"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5A0C65" w:rsidP="00367D6D">
      <w:pPr>
        <w:pStyle w:val="NormalWeb"/>
        <w:spacing w:before="0" w:beforeAutospacing="0" w:after="0" w:afterAutospacing="0" w:line="276" w:lineRule="auto"/>
        <w:ind w:left="567" w:right="567"/>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Se encuentran tres hipótesis en términos de la ocurrencia de la prescripción de la acción derivada del contrato de seguro y la caducidad de la acción ordinaria contractual, así:</w:t>
      </w:r>
    </w:p>
    <w:p w:rsidR="00007B65" w:rsidRPr="004C2FAC" w:rsidRDefault="00007B65"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F72367"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FD2CF9" w:rsidP="00367D6D">
      <w:pPr>
        <w:pStyle w:val="NormalWeb"/>
        <w:numPr>
          <w:ilvl w:val="0"/>
          <w:numId w:val="33"/>
        </w:numPr>
        <w:spacing w:before="0" w:beforeAutospacing="0" w:after="0" w:afterAutospacing="0" w:line="276" w:lineRule="auto"/>
        <w:ind w:left="567" w:right="567" w:firstLine="0"/>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 xml:space="preserve">En primer lugar cabe contemplar el evento en el cual la prescripción de la acción del contrato de seguro resulta mayor en plazo que el término de caducidad de la acción contractual ordinaria, evento que se resuelve por razón de la ocurrencia de la caducidad de la acción puesto que una vez configurada la caducidad de la acción el fallador pierde competencia para atender las pretensiones de la demanda, sin que pueda proceder a considerar la posible ocurrencia de la prescripción o su declaratoria. </w:t>
      </w:r>
    </w:p>
    <w:p w:rsidR="00F72367" w:rsidRPr="004C2FAC" w:rsidRDefault="00F72367"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FD2CF9" w:rsidP="00367D6D">
      <w:pPr>
        <w:pStyle w:val="NormalWeb"/>
        <w:numPr>
          <w:ilvl w:val="0"/>
          <w:numId w:val="33"/>
        </w:numPr>
        <w:spacing w:before="0" w:beforeAutospacing="0" w:after="0" w:afterAutospacing="0" w:line="276" w:lineRule="auto"/>
        <w:ind w:left="567" w:right="567" w:firstLine="0"/>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El segundo evento estaría configurado por la circunstancia de que la prescripción de la acción contractual ordinaria del referido artículo 1081 del Código de Comercio ocurra en un plazo más corto que el de la caducidad del artículo 136 del CCA, situación en la cual la configuración de la prescripción podría ser invocada como causa de nulidad del acto administrativo</w:t>
      </w:r>
      <w:r w:rsidR="00F72367" w:rsidRPr="004C2FAC">
        <w:rPr>
          <w:rStyle w:val="Refdenotaalpie"/>
          <w:rFonts w:cs="Arial"/>
          <w:i/>
          <w:color w:val="000000"/>
          <w:sz w:val="22"/>
          <w:szCs w:val="22"/>
        </w:rPr>
        <w:footnoteReference w:id="95"/>
      </w:r>
      <w:r w:rsidR="00F72367" w:rsidRPr="004C2FAC">
        <w:rPr>
          <w:rFonts w:cs="Arial"/>
          <w:i/>
          <w:color w:val="000000"/>
          <w:sz w:val="22"/>
          <w:szCs w:val="22"/>
        </w:rPr>
        <w:t xml:space="preserve"> que habría sido expedido con posterioridad a la ocurrencia de la prescripción y, por lo tanto, cabría su declaración judicial en el proceso ordinario ante la Jurisdicción de lo Contencioso Administrativo.</w:t>
      </w:r>
    </w:p>
    <w:p w:rsidR="00F72367" w:rsidRPr="004C2FAC" w:rsidRDefault="00F72367" w:rsidP="00367D6D">
      <w:pPr>
        <w:pStyle w:val="Prrafodelista"/>
        <w:spacing w:line="276" w:lineRule="auto"/>
        <w:ind w:left="567" w:right="567"/>
        <w:rPr>
          <w:rFonts w:cs="Arial"/>
          <w:i/>
          <w:color w:val="000000"/>
          <w:sz w:val="22"/>
          <w:szCs w:val="22"/>
        </w:rPr>
      </w:pPr>
    </w:p>
    <w:p w:rsidR="00F72367" w:rsidRPr="004C2FAC" w:rsidRDefault="00FD2CF9" w:rsidP="00367D6D">
      <w:pPr>
        <w:pStyle w:val="NormalWeb"/>
        <w:numPr>
          <w:ilvl w:val="0"/>
          <w:numId w:val="33"/>
        </w:numPr>
        <w:spacing w:before="0" w:beforeAutospacing="0" w:after="0" w:afterAutospacing="0" w:line="276" w:lineRule="auto"/>
        <w:ind w:left="567" w:right="567" w:firstLine="0"/>
        <w:rPr>
          <w:rFonts w:cs="Arial"/>
          <w:i/>
          <w:color w:val="000000"/>
          <w:sz w:val="22"/>
          <w:szCs w:val="22"/>
        </w:rPr>
      </w:pPr>
      <w:r w:rsidRPr="004C2FAC">
        <w:rPr>
          <w:rFonts w:cs="Arial"/>
          <w:i/>
          <w:color w:val="000000"/>
          <w:sz w:val="22"/>
          <w:szCs w:val="22"/>
        </w:rPr>
        <w:t>“</w:t>
      </w:r>
      <w:r w:rsidR="00F72367" w:rsidRPr="004C2FAC">
        <w:rPr>
          <w:rFonts w:cs="Arial"/>
          <w:i/>
          <w:color w:val="000000"/>
          <w:sz w:val="22"/>
          <w:szCs w:val="22"/>
        </w:rPr>
        <w:t>El tercer evento tendría lugar si los plazos de prescripción y caducidad de la acción empezaran a correr en un mismo momento y por razón del término idéntico de dos (2) años que establece la ley para ambas instituciones, ocurrirían simultáneamente.</w:t>
      </w:r>
    </w:p>
    <w:p w:rsidR="00F72367" w:rsidRPr="004C2FAC" w:rsidRDefault="00F72367" w:rsidP="00367D6D">
      <w:pPr>
        <w:pStyle w:val="NormalWeb"/>
        <w:spacing w:before="0" w:beforeAutospacing="0" w:after="0" w:afterAutospacing="0" w:line="276" w:lineRule="auto"/>
        <w:ind w:left="567" w:right="567"/>
        <w:rPr>
          <w:rFonts w:cs="Arial"/>
          <w:color w:val="000000"/>
          <w:sz w:val="22"/>
          <w:szCs w:val="22"/>
        </w:rPr>
      </w:pPr>
    </w:p>
    <w:p w:rsidR="00F72367" w:rsidRPr="004C2FAC" w:rsidRDefault="00473EF9" w:rsidP="00367D6D">
      <w:pPr>
        <w:pStyle w:val="NormalWeb"/>
        <w:spacing w:before="0" w:beforeAutospacing="0" w:after="0" w:afterAutospacing="0" w:line="276" w:lineRule="auto"/>
        <w:ind w:left="567" w:right="567"/>
        <w:rPr>
          <w:rFonts w:cs="Arial"/>
          <w:i/>
          <w:color w:val="000000"/>
          <w:sz w:val="22"/>
          <w:szCs w:val="22"/>
        </w:rPr>
      </w:pPr>
      <w:r w:rsidRPr="004C2FAC">
        <w:rPr>
          <w:rFonts w:cs="Arial"/>
          <w:i/>
          <w:color w:val="000000"/>
          <w:sz w:val="22"/>
          <w:szCs w:val="22"/>
        </w:rPr>
        <w:t>“(…)</w:t>
      </w:r>
      <w:r w:rsidR="00FD2CF9" w:rsidRPr="004C2FAC">
        <w:rPr>
          <w:rFonts w:cs="Arial"/>
          <w:i/>
          <w:color w:val="000000"/>
          <w:sz w:val="22"/>
          <w:szCs w:val="22"/>
        </w:rPr>
        <w:t>.</w:t>
      </w:r>
    </w:p>
    <w:p w:rsidR="00473EF9" w:rsidRPr="004C2FAC" w:rsidRDefault="00473EF9" w:rsidP="00367D6D">
      <w:pPr>
        <w:pStyle w:val="NormalWeb"/>
        <w:spacing w:before="0" w:beforeAutospacing="0" w:after="0" w:afterAutospacing="0" w:line="276" w:lineRule="auto"/>
        <w:ind w:left="567" w:right="567"/>
        <w:rPr>
          <w:rFonts w:cs="Arial"/>
          <w:i/>
          <w:color w:val="000000"/>
          <w:sz w:val="22"/>
          <w:szCs w:val="22"/>
        </w:rPr>
      </w:pPr>
    </w:p>
    <w:p w:rsidR="00F72367" w:rsidRPr="004C2FAC" w:rsidRDefault="00473EF9" w:rsidP="00065D8F">
      <w:pPr>
        <w:pStyle w:val="NormalWeb"/>
        <w:spacing w:before="0" w:beforeAutospacing="0" w:after="0" w:afterAutospacing="0" w:line="240" w:lineRule="auto"/>
        <w:ind w:left="567" w:right="567"/>
        <w:rPr>
          <w:rFonts w:cs="Arial"/>
          <w:i/>
          <w:color w:val="000000"/>
          <w:sz w:val="22"/>
          <w:szCs w:val="22"/>
        </w:rPr>
      </w:pPr>
      <w:r w:rsidRPr="004C2FAC">
        <w:rPr>
          <w:rFonts w:cs="Arial"/>
          <w:i/>
          <w:color w:val="000000"/>
          <w:sz w:val="22"/>
          <w:szCs w:val="22"/>
        </w:rPr>
        <w:lastRenderedPageBreak/>
        <w:t>“</w:t>
      </w:r>
      <w:r w:rsidR="00F72367" w:rsidRPr="004C2FAC">
        <w:rPr>
          <w:rFonts w:cs="Arial"/>
          <w:i/>
          <w:color w:val="000000"/>
          <w:sz w:val="22"/>
          <w:szCs w:val="22"/>
        </w:rPr>
        <w:t>Por lo anterior, la hipótesis de ocurrencia más usual será la que se formuló en segundo lugar, es decir que la prescripción de la acción del contrato de seguro de cumplimiento ocurre con anterioridad a la caducidad de la acción ordinaria contractual, en tanto que su término empieza a correr a partir del primer acto administrativo en la secuencia cronológica antes descrita</w:t>
      </w:r>
      <w:r w:rsidR="009B12C3" w:rsidRPr="004C2FAC">
        <w:rPr>
          <w:rFonts w:cs="Arial"/>
          <w:i/>
          <w:color w:val="000000"/>
          <w:sz w:val="22"/>
          <w:szCs w:val="22"/>
        </w:rPr>
        <w:t>”</w:t>
      </w:r>
      <w:r w:rsidR="002B37BD" w:rsidRPr="004C2FAC">
        <w:rPr>
          <w:rStyle w:val="Refdenotaalpie"/>
          <w:rFonts w:cs="Arial"/>
          <w:i/>
          <w:sz w:val="22"/>
          <w:szCs w:val="22"/>
        </w:rPr>
        <w:footnoteReference w:id="96"/>
      </w:r>
      <w:r w:rsidR="002B37BD" w:rsidRPr="004C2FAC">
        <w:rPr>
          <w:rFonts w:cs="Arial"/>
          <w:i/>
          <w:sz w:val="22"/>
          <w:szCs w:val="22"/>
        </w:rPr>
        <w:t>.</w:t>
      </w:r>
    </w:p>
    <w:p w:rsidR="00473EF9" w:rsidRPr="004C2FAC" w:rsidRDefault="00473EF9" w:rsidP="00F72367">
      <w:pPr>
        <w:pStyle w:val="NormalWeb"/>
        <w:spacing w:before="0" w:beforeAutospacing="0" w:after="0" w:afterAutospacing="0" w:line="240" w:lineRule="auto"/>
        <w:ind w:left="851" w:right="283"/>
        <w:rPr>
          <w:rFonts w:cs="Arial"/>
          <w:i/>
          <w:color w:val="000000"/>
        </w:rPr>
      </w:pPr>
    </w:p>
    <w:p w:rsidR="00BD619C" w:rsidRPr="004C2FAC" w:rsidRDefault="000C0EDB" w:rsidP="00AF40F3">
      <w:pPr>
        <w:ind w:right="51"/>
        <w:rPr>
          <w:rFonts w:cs="Arial"/>
        </w:rPr>
      </w:pPr>
      <w:r w:rsidRPr="004C2FAC">
        <w:rPr>
          <w:rFonts w:cs="Arial"/>
        </w:rPr>
        <w:t>A juicio de l</w:t>
      </w:r>
      <w:r w:rsidR="00FD2CF9" w:rsidRPr="004C2FAC">
        <w:rPr>
          <w:rFonts w:cs="Arial"/>
        </w:rPr>
        <w:t>a</w:t>
      </w:r>
      <w:r w:rsidRPr="004C2FAC">
        <w:rPr>
          <w:rFonts w:cs="Arial"/>
        </w:rPr>
        <w:t xml:space="preserve"> doctrina</w:t>
      </w:r>
      <w:r w:rsidR="00FD2CF9" w:rsidRPr="004C2FAC">
        <w:rPr>
          <w:rFonts w:cs="Arial"/>
        </w:rPr>
        <w:t xml:space="preserve"> tradicional </w:t>
      </w:r>
      <w:r w:rsidRPr="004C2FAC">
        <w:rPr>
          <w:rFonts w:cs="Arial"/>
        </w:rPr>
        <w:t>en materia de seguros</w:t>
      </w:r>
      <w:r w:rsidR="00FD2CF9" w:rsidRPr="004C2FAC">
        <w:rPr>
          <w:rStyle w:val="Refdenotaalpie"/>
          <w:rFonts w:cs="Arial"/>
        </w:rPr>
        <w:footnoteReference w:id="97"/>
      </w:r>
      <w:r w:rsidRPr="004C2FAC">
        <w:rPr>
          <w:rFonts w:cs="Arial"/>
        </w:rPr>
        <w:t>, el artículo 1081 del Código de Comercio establece dos tipos de prescripciones</w:t>
      </w:r>
      <w:r w:rsidR="003B0CC7" w:rsidRPr="004C2FAC">
        <w:rPr>
          <w:rFonts w:cs="Arial"/>
        </w:rPr>
        <w:t>:</w:t>
      </w:r>
      <w:r w:rsidRPr="004C2FAC">
        <w:rPr>
          <w:rFonts w:cs="Arial"/>
        </w:rPr>
        <w:t xml:space="preserve"> ordinaria y extraordinaria</w:t>
      </w:r>
      <w:r w:rsidR="003B0CC7" w:rsidRPr="004C2FAC">
        <w:rPr>
          <w:rFonts w:cs="Arial"/>
        </w:rPr>
        <w:t>;</w:t>
      </w:r>
      <w:r w:rsidRPr="004C2FAC">
        <w:rPr>
          <w:rFonts w:cs="Arial"/>
        </w:rPr>
        <w:t xml:space="preserve"> algunos afirman que la diferencia estriba en que el derecho a reclamar nace</w:t>
      </w:r>
      <w:r w:rsidR="003B0CC7" w:rsidRPr="004C2FAC">
        <w:rPr>
          <w:rFonts w:cs="Arial"/>
        </w:rPr>
        <w:t>,</w:t>
      </w:r>
      <w:r w:rsidRPr="004C2FAC">
        <w:rPr>
          <w:rFonts w:cs="Arial"/>
        </w:rPr>
        <w:t xml:space="preserve"> en un caso</w:t>
      </w:r>
      <w:r w:rsidR="003B0CC7" w:rsidRPr="004C2FAC">
        <w:rPr>
          <w:rFonts w:cs="Arial"/>
        </w:rPr>
        <w:t>,</w:t>
      </w:r>
      <w:r w:rsidRPr="004C2FAC">
        <w:rPr>
          <w:rFonts w:cs="Arial"/>
        </w:rPr>
        <w:t xml:space="preserve"> con la ocurrencia del siniestro y</w:t>
      </w:r>
      <w:r w:rsidR="00DA0486" w:rsidRPr="004C2FAC">
        <w:rPr>
          <w:rFonts w:cs="Arial"/>
        </w:rPr>
        <w:t>,</w:t>
      </w:r>
      <w:r w:rsidRPr="004C2FAC">
        <w:rPr>
          <w:rFonts w:cs="Arial"/>
        </w:rPr>
        <w:t xml:space="preserve"> en otro</w:t>
      </w:r>
      <w:r w:rsidR="00BD619C" w:rsidRPr="004C2FAC">
        <w:rPr>
          <w:rFonts w:cs="Arial"/>
        </w:rPr>
        <w:t>,</w:t>
      </w:r>
      <w:r w:rsidRPr="004C2FAC">
        <w:rPr>
          <w:rFonts w:cs="Arial"/>
        </w:rPr>
        <w:t xml:space="preserve"> con la reclamación judicial o extrajudicial de la víctima; lo cual a la vez depende del tipo y del contenido del </w:t>
      </w:r>
      <w:r w:rsidR="00DA0486" w:rsidRPr="004C2FAC">
        <w:rPr>
          <w:rFonts w:cs="Arial"/>
        </w:rPr>
        <w:t xml:space="preserve">contrato de </w:t>
      </w:r>
      <w:r w:rsidRPr="004C2FAC">
        <w:rPr>
          <w:rFonts w:cs="Arial"/>
        </w:rPr>
        <w:t>seguro</w:t>
      </w:r>
      <w:r w:rsidR="00DA0486" w:rsidRPr="004C2FAC">
        <w:rPr>
          <w:rFonts w:cs="Arial"/>
        </w:rPr>
        <w:t xml:space="preserve"> correspondiente</w:t>
      </w:r>
      <w:r w:rsidRPr="004C2FAC">
        <w:rPr>
          <w:rFonts w:cs="Arial"/>
        </w:rPr>
        <w:t xml:space="preserve">. </w:t>
      </w:r>
    </w:p>
    <w:p w:rsidR="00BD619C" w:rsidRPr="004C2FAC" w:rsidRDefault="00BD619C" w:rsidP="000C0EDB">
      <w:pPr>
        <w:ind w:right="-284"/>
        <w:rPr>
          <w:rFonts w:cs="Arial"/>
        </w:rPr>
      </w:pPr>
    </w:p>
    <w:p w:rsidR="000C0EDB" w:rsidRPr="004C2FAC" w:rsidRDefault="00CE2E6E" w:rsidP="00392905">
      <w:pPr>
        <w:ind w:right="51"/>
        <w:rPr>
          <w:rFonts w:cs="Arial"/>
          <w:i/>
        </w:rPr>
      </w:pPr>
      <w:r w:rsidRPr="004C2FAC">
        <w:rPr>
          <w:rFonts w:cs="Arial"/>
        </w:rPr>
        <w:t xml:space="preserve">Sobre la </w:t>
      </w:r>
      <w:r w:rsidR="00FD2CF9" w:rsidRPr="004C2FAC">
        <w:rPr>
          <w:rFonts w:cs="Arial"/>
        </w:rPr>
        <w:t xml:space="preserve">referida </w:t>
      </w:r>
      <w:r w:rsidRPr="004C2FAC">
        <w:rPr>
          <w:rFonts w:cs="Arial"/>
        </w:rPr>
        <w:t xml:space="preserve">dicotomía </w:t>
      </w:r>
      <w:r w:rsidR="00DA0486" w:rsidRPr="004C2FAC">
        <w:rPr>
          <w:rFonts w:cs="Arial"/>
        </w:rPr>
        <w:t xml:space="preserve">es útil </w:t>
      </w:r>
      <w:r w:rsidRPr="004C2FAC">
        <w:rPr>
          <w:rFonts w:cs="Arial"/>
        </w:rPr>
        <w:t xml:space="preserve">advertir que </w:t>
      </w:r>
      <w:r w:rsidR="000C0EDB" w:rsidRPr="004C2FAC">
        <w:rPr>
          <w:rFonts w:cs="Arial"/>
        </w:rPr>
        <w:t xml:space="preserve">la realización del riesgo asegurado </w:t>
      </w:r>
      <w:r w:rsidRPr="004C2FAC">
        <w:rPr>
          <w:rFonts w:cs="Arial"/>
        </w:rPr>
        <w:t xml:space="preserve">puede emanar </w:t>
      </w:r>
      <w:r w:rsidR="000C0EDB" w:rsidRPr="004C2FAC">
        <w:rPr>
          <w:rFonts w:cs="Arial"/>
        </w:rPr>
        <w:t xml:space="preserve">de diversas fuentes, dado que una es la relación jurídica que se establece entre </w:t>
      </w:r>
      <w:r w:rsidR="00C775BC" w:rsidRPr="004C2FAC">
        <w:rPr>
          <w:rFonts w:cs="Arial"/>
        </w:rPr>
        <w:t xml:space="preserve">el asegurado y la aseguradora, para la cual corre la prescripción ordinaria </w:t>
      </w:r>
      <w:r w:rsidR="000C0EDB" w:rsidRPr="004C2FAC">
        <w:rPr>
          <w:rFonts w:cs="Arial"/>
        </w:rPr>
        <w:t xml:space="preserve">y </w:t>
      </w:r>
      <w:r w:rsidR="00C775BC" w:rsidRPr="004C2FAC">
        <w:rPr>
          <w:rFonts w:cs="Arial"/>
        </w:rPr>
        <w:t xml:space="preserve">otra es la relación que surge entre un perjudicado o damnificado y </w:t>
      </w:r>
      <w:r w:rsidR="000C0EDB" w:rsidRPr="004C2FAC">
        <w:rPr>
          <w:rFonts w:cs="Arial"/>
        </w:rPr>
        <w:t>la aseguradora</w:t>
      </w:r>
      <w:r w:rsidR="00C775BC" w:rsidRPr="004C2FAC">
        <w:rPr>
          <w:rFonts w:cs="Arial"/>
        </w:rPr>
        <w:t>, caso en el cual se puede predicar la prescripción extraordinaria</w:t>
      </w:r>
      <w:r w:rsidR="00DA0486" w:rsidRPr="004C2FAC">
        <w:rPr>
          <w:rFonts w:cs="Arial"/>
        </w:rPr>
        <w:t xml:space="preserve">. Por ello, </w:t>
      </w:r>
      <w:r w:rsidR="000C0EDB" w:rsidRPr="004C2FAC">
        <w:rPr>
          <w:rFonts w:cs="Arial"/>
        </w:rPr>
        <w:t xml:space="preserve">se trata de derechos diversos y </w:t>
      </w:r>
      <w:r w:rsidR="000C0EDB" w:rsidRPr="004C2FAC">
        <w:rPr>
          <w:rFonts w:cs="Arial"/>
          <w:i/>
        </w:rPr>
        <w:t>“no es extraño, entonces, que los dos derechos no queden, al mismo tiempo incorporados a cada uno de los patrimonios de su respectivo acreedor”</w:t>
      </w:r>
      <w:r w:rsidR="000C0EDB" w:rsidRPr="004C2FAC">
        <w:rPr>
          <w:rStyle w:val="Refdenotaalpie"/>
          <w:rFonts w:cs="Arial"/>
          <w:i/>
        </w:rPr>
        <w:footnoteReference w:id="98"/>
      </w:r>
      <w:r w:rsidR="00DA0486" w:rsidRPr="004C2FAC">
        <w:rPr>
          <w:rFonts w:cs="Arial"/>
          <w:i/>
        </w:rPr>
        <w:t>.</w:t>
      </w:r>
    </w:p>
    <w:p w:rsidR="000C0EDB" w:rsidRPr="004C2FAC" w:rsidRDefault="000C0EDB" w:rsidP="00392905">
      <w:pPr>
        <w:ind w:right="51"/>
        <w:rPr>
          <w:rFonts w:cs="Arial"/>
        </w:rPr>
      </w:pPr>
    </w:p>
    <w:p w:rsidR="00C077AB" w:rsidRPr="004C2FAC" w:rsidRDefault="006A7CE3" w:rsidP="00392905">
      <w:pPr>
        <w:widowControl w:val="0"/>
        <w:autoSpaceDE w:val="0"/>
        <w:autoSpaceDN w:val="0"/>
        <w:adjustRightInd w:val="0"/>
        <w:ind w:right="51"/>
        <w:rPr>
          <w:rFonts w:cs="Arial"/>
        </w:rPr>
      </w:pPr>
      <w:r w:rsidRPr="004C2FAC">
        <w:rPr>
          <w:rFonts w:cs="Arial"/>
        </w:rPr>
        <w:t xml:space="preserve">Ahora bien, </w:t>
      </w:r>
      <w:r w:rsidR="00CE2E6E" w:rsidRPr="004C2FAC">
        <w:rPr>
          <w:rFonts w:cs="Arial"/>
        </w:rPr>
        <w:t>en el caso concreto</w:t>
      </w:r>
      <w:r w:rsidR="00617E0E" w:rsidRPr="004C2FAC">
        <w:rPr>
          <w:rFonts w:cs="Arial"/>
        </w:rPr>
        <w:t xml:space="preserve"> de</w:t>
      </w:r>
      <w:r w:rsidR="00CE2E6E" w:rsidRPr="004C2FAC">
        <w:rPr>
          <w:rFonts w:cs="Arial"/>
        </w:rPr>
        <w:t xml:space="preserve"> la prescripción derivada del contrato de seguro</w:t>
      </w:r>
      <w:r w:rsidR="00617E0E" w:rsidRPr="004C2FAC">
        <w:rPr>
          <w:rFonts w:cs="Arial"/>
        </w:rPr>
        <w:t xml:space="preserve"> de cumplimiento de las operaciones de trueque, e</w:t>
      </w:r>
      <w:r w:rsidR="00C46131" w:rsidRPr="004C2FAC">
        <w:rPr>
          <w:rFonts w:cs="Arial"/>
        </w:rPr>
        <w:t>l término empez</w:t>
      </w:r>
      <w:r w:rsidR="00693D26" w:rsidRPr="004C2FAC">
        <w:rPr>
          <w:rFonts w:cs="Arial"/>
        </w:rPr>
        <w:t>ó</w:t>
      </w:r>
      <w:r w:rsidR="00C46131" w:rsidRPr="004C2FAC">
        <w:rPr>
          <w:rFonts w:cs="Arial"/>
        </w:rPr>
        <w:t xml:space="preserve"> a correr </w:t>
      </w:r>
      <w:r w:rsidR="00CE2E6E" w:rsidRPr="004C2FAC">
        <w:rPr>
          <w:rFonts w:cs="Arial"/>
        </w:rPr>
        <w:t>desde la materialización del riesgo asegurado</w:t>
      </w:r>
      <w:r w:rsidR="00693D26" w:rsidRPr="004C2FAC">
        <w:rPr>
          <w:rFonts w:cs="Arial"/>
        </w:rPr>
        <w:t>,</w:t>
      </w:r>
      <w:r w:rsidR="00CE2E6E" w:rsidRPr="004C2FAC">
        <w:rPr>
          <w:rFonts w:cs="Arial"/>
        </w:rPr>
        <w:t xml:space="preserve"> </w:t>
      </w:r>
      <w:r w:rsidR="00C077AB" w:rsidRPr="004C2FAC">
        <w:rPr>
          <w:rFonts w:cs="Arial"/>
        </w:rPr>
        <w:t>esto es</w:t>
      </w:r>
      <w:r w:rsidR="00693D26" w:rsidRPr="004C2FAC">
        <w:rPr>
          <w:rFonts w:cs="Arial"/>
        </w:rPr>
        <w:t>,</w:t>
      </w:r>
      <w:r w:rsidR="00C077AB" w:rsidRPr="004C2FAC">
        <w:rPr>
          <w:rFonts w:cs="Arial"/>
        </w:rPr>
        <w:t xml:space="preserve"> desde el momento en que el IDEMA conoció o debió conocer del incumplimiento</w:t>
      </w:r>
      <w:r w:rsidR="00617E0E" w:rsidRPr="004C2FAC">
        <w:rPr>
          <w:rFonts w:cs="Arial"/>
        </w:rPr>
        <w:t xml:space="preserve"> respectivo</w:t>
      </w:r>
      <w:r w:rsidR="00C077AB" w:rsidRPr="004C2FAC">
        <w:rPr>
          <w:rFonts w:cs="Arial"/>
        </w:rPr>
        <w:t xml:space="preserve">. </w:t>
      </w:r>
    </w:p>
    <w:p w:rsidR="00C077AB" w:rsidRPr="004C2FAC" w:rsidRDefault="00C077AB" w:rsidP="00392905">
      <w:pPr>
        <w:widowControl w:val="0"/>
        <w:autoSpaceDE w:val="0"/>
        <w:autoSpaceDN w:val="0"/>
        <w:adjustRightInd w:val="0"/>
        <w:ind w:right="51"/>
        <w:rPr>
          <w:rFonts w:cs="Arial"/>
        </w:rPr>
      </w:pPr>
    </w:p>
    <w:p w:rsidR="006A7CE3" w:rsidRPr="004C2FAC" w:rsidRDefault="00C077AB" w:rsidP="00392905">
      <w:pPr>
        <w:widowControl w:val="0"/>
        <w:autoSpaceDE w:val="0"/>
        <w:autoSpaceDN w:val="0"/>
        <w:adjustRightInd w:val="0"/>
        <w:ind w:right="51"/>
        <w:rPr>
          <w:rFonts w:cs="Arial"/>
        </w:rPr>
      </w:pPr>
      <w:r w:rsidRPr="004C2FAC">
        <w:rPr>
          <w:rFonts w:cs="Arial"/>
        </w:rPr>
        <w:t>De acuerdo con las pruebas allegadas al proceso</w:t>
      </w:r>
      <w:r w:rsidR="00617E0E" w:rsidRPr="004C2FAC">
        <w:rPr>
          <w:rFonts w:cs="Arial"/>
        </w:rPr>
        <w:t>,</w:t>
      </w:r>
      <w:r w:rsidRPr="004C2FAC">
        <w:rPr>
          <w:rFonts w:cs="Arial"/>
        </w:rPr>
        <w:t xml:space="preserve"> se establecen</w:t>
      </w:r>
      <w:r w:rsidR="006A7CE3" w:rsidRPr="004C2FAC">
        <w:rPr>
          <w:rFonts w:cs="Arial"/>
        </w:rPr>
        <w:t xml:space="preserve"> los siguientes </w:t>
      </w:r>
      <w:r w:rsidR="006A7CE3" w:rsidRPr="004C2FAC">
        <w:rPr>
          <w:rFonts w:cs="Arial"/>
        </w:rPr>
        <w:lastRenderedPageBreak/>
        <w:t xml:space="preserve">plazos </w:t>
      </w:r>
      <w:r w:rsidR="008B1104" w:rsidRPr="004C2FAC">
        <w:rPr>
          <w:rFonts w:cs="Arial"/>
        </w:rPr>
        <w:t xml:space="preserve">iniciales </w:t>
      </w:r>
      <w:r w:rsidR="006A7CE3" w:rsidRPr="004C2FAC">
        <w:rPr>
          <w:rFonts w:cs="Arial"/>
        </w:rPr>
        <w:t>para el cumplimiento</w:t>
      </w:r>
      <w:r w:rsidRPr="004C2FAC">
        <w:rPr>
          <w:rFonts w:cs="Arial"/>
        </w:rPr>
        <w:t xml:space="preserve"> de los contratos de trueque de arroz</w:t>
      </w:r>
      <w:r w:rsidR="006A7CE3" w:rsidRPr="004C2FAC">
        <w:rPr>
          <w:rFonts w:cs="Arial"/>
        </w:rPr>
        <w:t xml:space="preserve">: </w:t>
      </w:r>
      <w:r w:rsidR="006A7CE3" w:rsidRPr="004C2FAC">
        <w:rPr>
          <w:rFonts w:cs="Arial"/>
          <w:b/>
        </w:rPr>
        <w:t>i)</w:t>
      </w:r>
      <w:r w:rsidR="006A7CE3" w:rsidRPr="004C2FAC">
        <w:rPr>
          <w:rFonts w:cs="Arial"/>
        </w:rPr>
        <w:t xml:space="preserve"> las operaciones realizadas a través de la Bolsa Nacional Agropecuaria el 14 de febrero de 1995 contaron con un el plazo de entrega hasta el 30 de marzo de 1995, siendo transacciones a término y </w:t>
      </w:r>
      <w:r w:rsidR="006A7CE3" w:rsidRPr="004C2FAC">
        <w:rPr>
          <w:rFonts w:cs="Arial"/>
          <w:b/>
        </w:rPr>
        <w:t>ii)</w:t>
      </w:r>
      <w:r w:rsidR="006A7CE3" w:rsidRPr="004C2FAC">
        <w:rPr>
          <w:rFonts w:cs="Arial"/>
        </w:rPr>
        <w:t xml:space="preserve"> </w:t>
      </w:r>
      <w:r w:rsidRPr="004C2FAC">
        <w:rPr>
          <w:rFonts w:cs="Arial"/>
        </w:rPr>
        <w:t>e</w:t>
      </w:r>
      <w:r w:rsidR="006A7CE3" w:rsidRPr="004C2FAC">
        <w:rPr>
          <w:rFonts w:cs="Arial"/>
        </w:rPr>
        <w:t>n el contrato 8861 de septiembre 22 de 1995 se estableció como término para cumplir la negociación, el 2 de diciembre de 1995.</w:t>
      </w:r>
    </w:p>
    <w:p w:rsidR="006A7CE3" w:rsidRPr="004C2FAC" w:rsidRDefault="006A7CE3" w:rsidP="006A7CE3">
      <w:pPr>
        <w:widowControl w:val="0"/>
        <w:autoSpaceDE w:val="0"/>
        <w:autoSpaceDN w:val="0"/>
        <w:adjustRightInd w:val="0"/>
        <w:rPr>
          <w:rFonts w:cs="Arial"/>
        </w:rPr>
      </w:pPr>
    </w:p>
    <w:p w:rsidR="00A009A9" w:rsidRPr="004C2FAC" w:rsidRDefault="006A7CE3" w:rsidP="006A7CE3">
      <w:pPr>
        <w:widowControl w:val="0"/>
        <w:autoSpaceDE w:val="0"/>
        <w:autoSpaceDN w:val="0"/>
        <w:adjustRightInd w:val="0"/>
        <w:rPr>
          <w:rFonts w:cs="Arial"/>
        </w:rPr>
      </w:pPr>
      <w:r w:rsidRPr="004C2FAC">
        <w:rPr>
          <w:rFonts w:cs="Arial"/>
        </w:rPr>
        <w:t xml:space="preserve">En ambos casos, se conoce que el IDEMA </w:t>
      </w:r>
      <w:r w:rsidR="00C077AB" w:rsidRPr="004C2FAC">
        <w:rPr>
          <w:rFonts w:cs="Arial"/>
        </w:rPr>
        <w:t xml:space="preserve">identificó </w:t>
      </w:r>
      <w:r w:rsidRPr="004C2FAC">
        <w:rPr>
          <w:rFonts w:cs="Arial"/>
        </w:rPr>
        <w:t>el incumplimiento en la entrega del arroz, a</w:t>
      </w:r>
      <w:r w:rsidR="00C077AB" w:rsidRPr="004C2FAC">
        <w:rPr>
          <w:rFonts w:cs="Arial"/>
        </w:rPr>
        <w:t xml:space="preserve"> más tardar, </w:t>
      </w:r>
      <w:r w:rsidRPr="004C2FAC">
        <w:rPr>
          <w:rFonts w:cs="Arial"/>
        </w:rPr>
        <w:t xml:space="preserve">el 18 de noviembre de 1996, por cuanto para esa fecha suscribió el acuerdo </w:t>
      </w:r>
      <w:r w:rsidR="00617E0E" w:rsidRPr="004C2FAC">
        <w:rPr>
          <w:rFonts w:cs="Arial"/>
        </w:rPr>
        <w:t xml:space="preserve">de </w:t>
      </w:r>
      <w:r w:rsidRPr="004C2FAC">
        <w:rPr>
          <w:rFonts w:cs="Arial"/>
        </w:rPr>
        <w:t xml:space="preserve">dación en pago, que </w:t>
      </w:r>
      <w:r w:rsidR="00617E0E" w:rsidRPr="004C2FAC">
        <w:rPr>
          <w:rFonts w:cs="Arial"/>
        </w:rPr>
        <w:t>no se cumplió en el plazo allí fijado.</w:t>
      </w:r>
      <w:r w:rsidRPr="004C2FAC">
        <w:rPr>
          <w:rFonts w:cs="Arial"/>
        </w:rPr>
        <w:t xml:space="preserve"> </w:t>
      </w:r>
    </w:p>
    <w:p w:rsidR="00A009A9" w:rsidRPr="004C2FAC" w:rsidRDefault="00A009A9" w:rsidP="006A7CE3">
      <w:pPr>
        <w:widowControl w:val="0"/>
        <w:autoSpaceDE w:val="0"/>
        <w:autoSpaceDN w:val="0"/>
        <w:adjustRightInd w:val="0"/>
        <w:rPr>
          <w:rFonts w:cs="Arial"/>
        </w:rPr>
      </w:pPr>
    </w:p>
    <w:p w:rsidR="00A009A9" w:rsidRPr="004C2FAC" w:rsidRDefault="006A7CE3" w:rsidP="006A7CE3">
      <w:pPr>
        <w:widowControl w:val="0"/>
        <w:autoSpaceDE w:val="0"/>
        <w:autoSpaceDN w:val="0"/>
        <w:adjustRightInd w:val="0"/>
        <w:rPr>
          <w:rFonts w:cs="Arial"/>
        </w:rPr>
      </w:pPr>
      <w:r w:rsidRPr="004C2FAC">
        <w:rPr>
          <w:rFonts w:cs="Arial"/>
        </w:rPr>
        <w:t xml:space="preserve">Por ello, </w:t>
      </w:r>
      <w:r w:rsidR="00F413EB" w:rsidRPr="004C2FAC">
        <w:rPr>
          <w:rFonts w:cs="Arial"/>
        </w:rPr>
        <w:t xml:space="preserve">en este </w:t>
      </w:r>
      <w:r w:rsidR="00C46131" w:rsidRPr="004C2FAC">
        <w:rPr>
          <w:rFonts w:cs="Arial"/>
        </w:rPr>
        <w:t xml:space="preserve">proceso, para desatar la excepción </w:t>
      </w:r>
      <w:r w:rsidR="00617E0E" w:rsidRPr="004C2FAC">
        <w:rPr>
          <w:rFonts w:cs="Arial"/>
        </w:rPr>
        <w:t xml:space="preserve">de prescripción </w:t>
      </w:r>
      <w:r w:rsidR="00C46131" w:rsidRPr="004C2FAC">
        <w:rPr>
          <w:rFonts w:cs="Arial"/>
        </w:rPr>
        <w:t xml:space="preserve">propuesta </w:t>
      </w:r>
      <w:r w:rsidR="00617E0E" w:rsidRPr="004C2FAC">
        <w:rPr>
          <w:rFonts w:cs="Arial"/>
        </w:rPr>
        <w:t xml:space="preserve">por la compañía de seguros, </w:t>
      </w:r>
      <w:r w:rsidRPr="004C2FAC">
        <w:rPr>
          <w:rFonts w:cs="Arial"/>
        </w:rPr>
        <w:t xml:space="preserve">se toma la </w:t>
      </w:r>
      <w:r w:rsidR="00A009A9" w:rsidRPr="004C2FAC">
        <w:rPr>
          <w:rFonts w:cs="Arial"/>
        </w:rPr>
        <w:t xml:space="preserve">última </w:t>
      </w:r>
      <w:r w:rsidRPr="004C2FAC">
        <w:rPr>
          <w:rFonts w:cs="Arial"/>
        </w:rPr>
        <w:t xml:space="preserve">fecha </w:t>
      </w:r>
      <w:r w:rsidR="00A009A9" w:rsidRPr="004C2FAC">
        <w:rPr>
          <w:rFonts w:cs="Arial"/>
        </w:rPr>
        <w:t xml:space="preserve">citada </w:t>
      </w:r>
      <w:r w:rsidRPr="004C2FAC">
        <w:rPr>
          <w:rFonts w:cs="Arial"/>
        </w:rPr>
        <w:t xml:space="preserve">como punto de partida para </w:t>
      </w:r>
      <w:r w:rsidR="008B1104" w:rsidRPr="004C2FAC">
        <w:rPr>
          <w:rFonts w:cs="Arial"/>
        </w:rPr>
        <w:t xml:space="preserve">efecto de establecer </w:t>
      </w:r>
      <w:r w:rsidRPr="004C2FAC">
        <w:rPr>
          <w:rFonts w:cs="Arial"/>
        </w:rPr>
        <w:t xml:space="preserve">el término de </w:t>
      </w:r>
      <w:r w:rsidR="00693D26" w:rsidRPr="004C2FAC">
        <w:rPr>
          <w:rFonts w:cs="Arial"/>
        </w:rPr>
        <w:t xml:space="preserve">la </w:t>
      </w:r>
      <w:r w:rsidRPr="004C2FAC">
        <w:rPr>
          <w:rFonts w:cs="Arial"/>
        </w:rPr>
        <w:t>prescripción de la acción, la cual ocurrió, entonces</w:t>
      </w:r>
      <w:r w:rsidR="00C46131" w:rsidRPr="004C2FAC">
        <w:rPr>
          <w:rFonts w:cs="Arial"/>
        </w:rPr>
        <w:t>,</w:t>
      </w:r>
      <w:r w:rsidRPr="004C2FAC">
        <w:rPr>
          <w:rFonts w:cs="Arial"/>
        </w:rPr>
        <w:t xml:space="preserve"> el 19 de noviembre de 1998</w:t>
      </w:r>
      <w:r w:rsidR="00A009A9" w:rsidRPr="004C2FAC">
        <w:rPr>
          <w:rFonts w:cs="Arial"/>
        </w:rPr>
        <w:t>, para la prescripción ordinaria y el 19 de noviembre de 2001 para la prescripción extraordinaria. ´</w:t>
      </w:r>
    </w:p>
    <w:p w:rsidR="00A009A9" w:rsidRPr="004C2FAC" w:rsidRDefault="00A009A9" w:rsidP="006A7CE3">
      <w:pPr>
        <w:widowControl w:val="0"/>
        <w:autoSpaceDE w:val="0"/>
        <w:autoSpaceDN w:val="0"/>
        <w:adjustRightInd w:val="0"/>
        <w:rPr>
          <w:rFonts w:cs="Arial"/>
        </w:rPr>
      </w:pPr>
    </w:p>
    <w:p w:rsidR="00EB5C62" w:rsidRPr="004C2FAC" w:rsidRDefault="00A009A9" w:rsidP="006A7CE3">
      <w:pPr>
        <w:widowControl w:val="0"/>
        <w:autoSpaceDE w:val="0"/>
        <w:autoSpaceDN w:val="0"/>
        <w:adjustRightInd w:val="0"/>
        <w:rPr>
          <w:rFonts w:cs="Arial"/>
        </w:rPr>
      </w:pPr>
      <w:r w:rsidRPr="004C2FAC">
        <w:rPr>
          <w:rFonts w:cs="Arial"/>
        </w:rPr>
        <w:t xml:space="preserve">Se hace la referencia a las dos prescripciones, </w:t>
      </w:r>
      <w:r w:rsidR="006373C0" w:rsidRPr="004C2FAC">
        <w:rPr>
          <w:rFonts w:cs="Arial"/>
        </w:rPr>
        <w:t xml:space="preserve">aun cuando, se entiende que operó la prescripción ordinaria, por cuanto no cabe establecer un amparo frente al Ministerio de Agricultura y Desarrollo Rural, como un posible tercero, con plazo de </w:t>
      </w:r>
      <w:r w:rsidR="00EB5C62" w:rsidRPr="004C2FAC">
        <w:rPr>
          <w:rFonts w:cs="Arial"/>
        </w:rPr>
        <w:t xml:space="preserve">cinco </w:t>
      </w:r>
      <w:r w:rsidR="006373C0" w:rsidRPr="004C2FAC">
        <w:rPr>
          <w:rFonts w:cs="Arial"/>
        </w:rPr>
        <w:t xml:space="preserve">años para </w:t>
      </w:r>
      <w:r w:rsidR="00EB5C62" w:rsidRPr="004C2FAC">
        <w:rPr>
          <w:rFonts w:cs="Arial"/>
        </w:rPr>
        <w:t xml:space="preserve">alegar la afectación, </w:t>
      </w:r>
      <w:r w:rsidR="006373C0" w:rsidRPr="004C2FAC">
        <w:rPr>
          <w:rFonts w:cs="Arial"/>
        </w:rPr>
        <w:t>toda vez que los contratos de seguros s</w:t>
      </w:r>
      <w:r w:rsidR="00F12E99" w:rsidRPr="004C2FAC">
        <w:rPr>
          <w:rFonts w:cs="Arial"/>
        </w:rPr>
        <w:t xml:space="preserve">olo versaron sobre </w:t>
      </w:r>
      <w:r w:rsidR="007A6DEE" w:rsidRPr="004C2FAC">
        <w:rPr>
          <w:rFonts w:cs="Arial"/>
        </w:rPr>
        <w:t>los</w:t>
      </w:r>
      <w:r w:rsidR="006373C0" w:rsidRPr="004C2FAC">
        <w:rPr>
          <w:rFonts w:cs="Arial"/>
        </w:rPr>
        <w:t xml:space="preserve"> amparo</w:t>
      </w:r>
      <w:r w:rsidR="007A6DEE" w:rsidRPr="004C2FAC">
        <w:rPr>
          <w:rFonts w:cs="Arial"/>
        </w:rPr>
        <w:t>s</w:t>
      </w:r>
      <w:r w:rsidR="006373C0" w:rsidRPr="004C2FAC">
        <w:rPr>
          <w:rFonts w:cs="Arial"/>
        </w:rPr>
        <w:t xml:space="preserve"> de cumplim</w:t>
      </w:r>
      <w:r w:rsidR="00EB5C62" w:rsidRPr="004C2FAC">
        <w:rPr>
          <w:rFonts w:cs="Arial"/>
        </w:rPr>
        <w:t xml:space="preserve">iento, respecto de los cuales, correspondió al IDEMA </w:t>
      </w:r>
      <w:r w:rsidR="00C46131" w:rsidRPr="004C2FAC">
        <w:rPr>
          <w:rFonts w:cs="Arial"/>
        </w:rPr>
        <w:t xml:space="preserve">presentar la demanda </w:t>
      </w:r>
      <w:r w:rsidR="00EB5C62" w:rsidRPr="004C2FAC">
        <w:rPr>
          <w:rFonts w:cs="Arial"/>
        </w:rPr>
        <w:t xml:space="preserve">en el plazo de dos años, </w:t>
      </w:r>
      <w:r w:rsidR="00104CFF" w:rsidRPr="004C2FAC">
        <w:rPr>
          <w:rFonts w:cs="Arial"/>
        </w:rPr>
        <w:t>so pena de quedar expuest</w:t>
      </w:r>
      <w:r w:rsidR="00C46DDD" w:rsidRPr="004C2FAC">
        <w:rPr>
          <w:rFonts w:cs="Arial"/>
        </w:rPr>
        <w:t>o</w:t>
      </w:r>
      <w:r w:rsidR="00104CFF" w:rsidRPr="004C2FAC">
        <w:rPr>
          <w:rFonts w:cs="Arial"/>
        </w:rPr>
        <w:t xml:space="preserve"> a la excepción de prescripción, como sucedió en este litigio.</w:t>
      </w:r>
    </w:p>
    <w:p w:rsidR="006A7CE3" w:rsidRPr="004C2FAC" w:rsidRDefault="006A7CE3" w:rsidP="006A7CE3">
      <w:pPr>
        <w:widowControl w:val="0"/>
        <w:autoSpaceDE w:val="0"/>
        <w:autoSpaceDN w:val="0"/>
        <w:adjustRightInd w:val="0"/>
        <w:rPr>
          <w:rFonts w:cs="Arial"/>
        </w:rPr>
      </w:pPr>
    </w:p>
    <w:p w:rsidR="006A7CE3" w:rsidRPr="004C2FAC" w:rsidRDefault="00F12E99" w:rsidP="006A7CE3">
      <w:pPr>
        <w:widowControl w:val="0"/>
        <w:autoSpaceDE w:val="0"/>
        <w:autoSpaceDN w:val="0"/>
        <w:adjustRightInd w:val="0"/>
        <w:rPr>
          <w:rFonts w:cs="Arial"/>
        </w:rPr>
      </w:pPr>
      <w:r w:rsidRPr="004C2FAC">
        <w:rPr>
          <w:rFonts w:cs="Arial"/>
        </w:rPr>
        <w:t>Finalmente</w:t>
      </w:r>
      <w:r w:rsidR="00104CFF" w:rsidRPr="004C2FAC">
        <w:rPr>
          <w:rFonts w:cs="Arial"/>
        </w:rPr>
        <w:t>,</w:t>
      </w:r>
      <w:r w:rsidRPr="004C2FAC">
        <w:rPr>
          <w:rFonts w:cs="Arial"/>
        </w:rPr>
        <w:t xml:space="preserve"> se observa que</w:t>
      </w:r>
      <w:r w:rsidR="00AB0879" w:rsidRPr="004C2FAC">
        <w:rPr>
          <w:rFonts w:cs="Arial"/>
        </w:rPr>
        <w:t>,</w:t>
      </w:r>
      <w:r w:rsidRPr="004C2FAC">
        <w:rPr>
          <w:rFonts w:cs="Arial"/>
        </w:rPr>
        <w:t xml:space="preserve"> siendo </w:t>
      </w:r>
      <w:r w:rsidR="006A7CE3" w:rsidRPr="004C2FAC">
        <w:rPr>
          <w:rFonts w:cs="Arial"/>
        </w:rPr>
        <w:t xml:space="preserve">el conocimiento del siniestro </w:t>
      </w:r>
      <w:r w:rsidR="00104CFF" w:rsidRPr="004C2FAC">
        <w:rPr>
          <w:rFonts w:cs="Arial"/>
        </w:rPr>
        <w:t xml:space="preserve">por parte del beneficiario </w:t>
      </w:r>
      <w:r w:rsidR="006A7CE3" w:rsidRPr="004C2FAC">
        <w:rPr>
          <w:rFonts w:cs="Arial"/>
        </w:rPr>
        <w:t xml:space="preserve">el hito que marca el derecho a reclamar </w:t>
      </w:r>
      <w:r w:rsidRPr="004C2FAC">
        <w:rPr>
          <w:rFonts w:cs="Arial"/>
        </w:rPr>
        <w:t xml:space="preserve">el seguro </w:t>
      </w:r>
      <w:r w:rsidR="006D3F6E" w:rsidRPr="004C2FAC">
        <w:rPr>
          <w:rFonts w:cs="Arial"/>
        </w:rPr>
        <w:t xml:space="preserve">en caso de incumplimiento </w:t>
      </w:r>
      <w:r w:rsidR="006A7CE3" w:rsidRPr="004C2FAC">
        <w:rPr>
          <w:rFonts w:cs="Arial"/>
        </w:rPr>
        <w:t xml:space="preserve">y </w:t>
      </w:r>
      <w:r w:rsidRPr="004C2FAC">
        <w:rPr>
          <w:rFonts w:cs="Arial"/>
        </w:rPr>
        <w:t>que</w:t>
      </w:r>
      <w:r w:rsidR="006D3F6E" w:rsidRPr="004C2FAC">
        <w:rPr>
          <w:rFonts w:cs="Arial"/>
        </w:rPr>
        <w:t xml:space="preserve">, como consecuencia, </w:t>
      </w:r>
      <w:r w:rsidRPr="004C2FAC">
        <w:rPr>
          <w:rFonts w:cs="Arial"/>
        </w:rPr>
        <w:t xml:space="preserve">determina </w:t>
      </w:r>
      <w:r w:rsidR="006A7CE3" w:rsidRPr="004C2FAC">
        <w:rPr>
          <w:rFonts w:cs="Arial"/>
        </w:rPr>
        <w:t>el inicio del cómputo de la prescripción</w:t>
      </w:r>
      <w:r w:rsidR="006D3F6E" w:rsidRPr="004C2FAC">
        <w:rPr>
          <w:rFonts w:cs="Arial"/>
        </w:rPr>
        <w:t xml:space="preserve"> de la acción</w:t>
      </w:r>
      <w:r w:rsidR="006A7CE3" w:rsidRPr="004C2FAC">
        <w:rPr>
          <w:rFonts w:cs="Arial"/>
        </w:rPr>
        <w:t xml:space="preserve">, se </w:t>
      </w:r>
      <w:r w:rsidRPr="004C2FAC">
        <w:rPr>
          <w:rFonts w:cs="Arial"/>
        </w:rPr>
        <w:t xml:space="preserve">tiene que </w:t>
      </w:r>
      <w:r w:rsidR="006A7CE3" w:rsidRPr="004C2FAC">
        <w:rPr>
          <w:rFonts w:cs="Arial"/>
        </w:rPr>
        <w:t>concluir que</w:t>
      </w:r>
      <w:r w:rsidR="00104CFF" w:rsidRPr="004C2FAC">
        <w:rPr>
          <w:rFonts w:cs="Arial"/>
        </w:rPr>
        <w:t>,</w:t>
      </w:r>
      <w:r w:rsidR="006A7CE3" w:rsidRPr="004C2FAC">
        <w:rPr>
          <w:rFonts w:cs="Arial"/>
        </w:rPr>
        <w:t xml:space="preserve"> como en este </w:t>
      </w:r>
      <w:r w:rsidRPr="004C2FAC">
        <w:rPr>
          <w:rFonts w:cs="Arial"/>
        </w:rPr>
        <w:t xml:space="preserve">caso </w:t>
      </w:r>
      <w:r w:rsidR="006A7CE3" w:rsidRPr="004C2FAC">
        <w:rPr>
          <w:rFonts w:cs="Arial"/>
        </w:rPr>
        <w:t xml:space="preserve">solo presentó la demanda el 10 de diciembre de 2004, </w:t>
      </w:r>
      <w:r w:rsidRPr="004C2FAC">
        <w:rPr>
          <w:rFonts w:cs="Arial"/>
        </w:rPr>
        <w:t xml:space="preserve">es procedente </w:t>
      </w:r>
      <w:r w:rsidR="00104CFF" w:rsidRPr="004C2FAC">
        <w:rPr>
          <w:rFonts w:cs="Arial"/>
        </w:rPr>
        <w:t xml:space="preserve">acceder a la </w:t>
      </w:r>
      <w:r w:rsidR="006A7CE3" w:rsidRPr="004C2FAC">
        <w:rPr>
          <w:rFonts w:cs="Arial"/>
        </w:rPr>
        <w:t>declara</w:t>
      </w:r>
      <w:r w:rsidR="00104CFF" w:rsidRPr="004C2FAC">
        <w:rPr>
          <w:rFonts w:cs="Arial"/>
        </w:rPr>
        <w:t xml:space="preserve">ción de </w:t>
      </w:r>
      <w:r w:rsidR="006A7CE3" w:rsidRPr="004C2FAC">
        <w:rPr>
          <w:rFonts w:cs="Arial"/>
        </w:rPr>
        <w:t>la excepción de prescripción derivada del contrato de seguro.</w:t>
      </w:r>
    </w:p>
    <w:p w:rsidR="00C74D31" w:rsidRPr="004C2FAC" w:rsidRDefault="00C74D31" w:rsidP="00F57658">
      <w:pPr>
        <w:widowControl w:val="0"/>
        <w:autoSpaceDE w:val="0"/>
        <w:autoSpaceDN w:val="0"/>
        <w:adjustRightInd w:val="0"/>
        <w:rPr>
          <w:rFonts w:cs="Arial"/>
        </w:rPr>
      </w:pPr>
    </w:p>
    <w:p w:rsidR="004A2024" w:rsidRPr="004C2FAC" w:rsidRDefault="00434B7B" w:rsidP="00F57658">
      <w:pPr>
        <w:rPr>
          <w:rFonts w:cs="Arial"/>
          <w:b/>
        </w:rPr>
      </w:pPr>
      <w:r w:rsidRPr="004C2FAC">
        <w:rPr>
          <w:rFonts w:cs="Arial"/>
          <w:b/>
        </w:rPr>
        <w:t>8</w:t>
      </w:r>
      <w:r w:rsidR="004A2024" w:rsidRPr="004C2FAC">
        <w:rPr>
          <w:rFonts w:cs="Arial"/>
          <w:b/>
        </w:rPr>
        <w:t>.</w:t>
      </w:r>
      <w:r w:rsidR="00DF31D8" w:rsidRPr="004C2FAC">
        <w:rPr>
          <w:rFonts w:cs="Arial"/>
          <w:b/>
        </w:rPr>
        <w:t xml:space="preserve"> </w:t>
      </w:r>
      <w:r w:rsidR="004A2024" w:rsidRPr="004C2FAC">
        <w:rPr>
          <w:rFonts w:cs="Arial"/>
          <w:b/>
        </w:rPr>
        <w:t>Costas</w:t>
      </w:r>
    </w:p>
    <w:p w:rsidR="004A2024" w:rsidRPr="004C2FAC" w:rsidRDefault="004A2024" w:rsidP="00F57658">
      <w:pPr>
        <w:rPr>
          <w:rFonts w:cs="Arial"/>
        </w:rPr>
      </w:pPr>
    </w:p>
    <w:p w:rsidR="004A2024" w:rsidRPr="004C2FAC" w:rsidRDefault="004A2024" w:rsidP="00F57658">
      <w:pPr>
        <w:rPr>
          <w:rFonts w:cs="Arial"/>
          <w:bCs/>
        </w:rPr>
      </w:pPr>
      <w:r w:rsidRPr="004C2FAC">
        <w:rPr>
          <w:rFonts w:cs="Arial"/>
          <w:bCs/>
        </w:rPr>
        <w:t xml:space="preserve">Habida cuenta </w:t>
      </w:r>
      <w:r w:rsidR="007A6DEE" w:rsidRPr="004C2FAC">
        <w:rPr>
          <w:rFonts w:cs="Arial"/>
          <w:bCs/>
        </w:rPr>
        <w:t xml:space="preserve">de </w:t>
      </w:r>
      <w:r w:rsidRPr="004C2FAC">
        <w:rPr>
          <w:rFonts w:cs="Arial"/>
          <w:bCs/>
        </w:rPr>
        <w:t>que para e</w:t>
      </w:r>
      <w:r w:rsidR="007A6DEE" w:rsidRPr="004C2FAC">
        <w:rPr>
          <w:rFonts w:cs="Arial"/>
          <w:bCs/>
        </w:rPr>
        <w:t xml:space="preserve">ste proceso aplica </w:t>
      </w:r>
      <w:r w:rsidRPr="004C2FAC">
        <w:rPr>
          <w:rFonts w:cs="Arial"/>
          <w:bCs/>
        </w:rPr>
        <w:t>el artículo 55 de la Ley 446 de 1998</w:t>
      </w:r>
      <w:r w:rsidR="007A6DEE" w:rsidRPr="004C2FAC">
        <w:rPr>
          <w:rFonts w:cs="Arial"/>
          <w:bCs/>
        </w:rPr>
        <w:t xml:space="preserve">, el cual </w:t>
      </w:r>
      <w:r w:rsidRPr="004C2FAC">
        <w:rPr>
          <w:rFonts w:cs="Arial"/>
          <w:bCs/>
        </w:rPr>
        <w:t xml:space="preserve">indica que sólo hay lugar a la imposición de costas cuando alguna de las partes hubiere actuado temerariamente y, en el </w:t>
      </w:r>
      <w:r w:rsidRPr="004C2FAC">
        <w:rPr>
          <w:rFonts w:cs="Arial"/>
          <w:bCs/>
          <w:i/>
          <w:iCs/>
        </w:rPr>
        <w:t>sub lite</w:t>
      </w:r>
      <w:r w:rsidRPr="004C2FAC">
        <w:rPr>
          <w:rFonts w:cs="Arial"/>
          <w:bCs/>
        </w:rPr>
        <w:t xml:space="preserve">, ninguna </w:t>
      </w:r>
      <w:r w:rsidR="00F45323" w:rsidRPr="004C2FAC">
        <w:rPr>
          <w:rFonts w:cs="Arial"/>
          <w:bCs/>
        </w:rPr>
        <w:t xml:space="preserve">de ellas </w:t>
      </w:r>
      <w:r w:rsidRPr="004C2FAC">
        <w:rPr>
          <w:rFonts w:cs="Arial"/>
          <w:bCs/>
        </w:rPr>
        <w:t xml:space="preserve">actuó de esa forma, </w:t>
      </w:r>
      <w:r w:rsidR="00F45323" w:rsidRPr="004C2FAC">
        <w:rPr>
          <w:rFonts w:cs="Arial"/>
          <w:bCs/>
        </w:rPr>
        <w:t xml:space="preserve">se concluye que </w:t>
      </w:r>
      <w:r w:rsidRPr="004C2FAC">
        <w:rPr>
          <w:rFonts w:cs="Arial"/>
          <w:bCs/>
        </w:rPr>
        <w:t xml:space="preserve">en el presente asunto no habrá lugar a </w:t>
      </w:r>
      <w:r w:rsidR="00F45323" w:rsidRPr="004C2FAC">
        <w:rPr>
          <w:rFonts w:cs="Arial"/>
          <w:bCs/>
        </w:rPr>
        <w:t>la condena en costas</w:t>
      </w:r>
      <w:r w:rsidRPr="004C2FAC">
        <w:rPr>
          <w:rFonts w:cs="Arial"/>
          <w:bCs/>
        </w:rPr>
        <w:t>.</w:t>
      </w:r>
    </w:p>
    <w:p w:rsidR="004A2024" w:rsidRPr="004C2FAC" w:rsidRDefault="004A2024" w:rsidP="00F57658">
      <w:pPr>
        <w:pStyle w:val="Textoindependiente22"/>
        <w:numPr>
          <w:ilvl w:val="12"/>
          <w:numId w:val="0"/>
        </w:numPr>
        <w:overflowPunct/>
        <w:autoSpaceDE/>
        <w:autoSpaceDN/>
        <w:adjustRightInd/>
        <w:textAlignment w:val="auto"/>
        <w:rPr>
          <w:rFonts w:cs="Arial"/>
          <w:szCs w:val="24"/>
        </w:rPr>
      </w:pPr>
    </w:p>
    <w:p w:rsidR="004A2024" w:rsidRPr="004C2FAC" w:rsidRDefault="004A2024" w:rsidP="00F57658">
      <w:pPr>
        <w:pStyle w:val="Textoindependiente22"/>
        <w:numPr>
          <w:ilvl w:val="12"/>
          <w:numId w:val="0"/>
        </w:numPr>
        <w:overflowPunct/>
        <w:autoSpaceDE/>
        <w:autoSpaceDN/>
        <w:adjustRightInd/>
        <w:textAlignment w:val="auto"/>
        <w:rPr>
          <w:rFonts w:cs="Arial"/>
          <w:szCs w:val="24"/>
        </w:rPr>
      </w:pPr>
      <w:r w:rsidRPr="004C2FAC">
        <w:rPr>
          <w:rFonts w:cs="Arial"/>
          <w:szCs w:val="24"/>
        </w:rPr>
        <w:t>En mérito de lo expuesto, el Consejo de Estado, en Sala de lo Contencioso Administrativo, Sección Tercera, Subsección A, administrando justicia en nombre de la República de Colombia y por autoridad de la ley,</w:t>
      </w:r>
    </w:p>
    <w:p w:rsidR="00FC5AA7" w:rsidRPr="004C2FAC" w:rsidRDefault="00FC5AA7" w:rsidP="00FC5AA7"/>
    <w:p w:rsidR="00B32AE2" w:rsidRPr="004C2FAC" w:rsidRDefault="00B32AE2" w:rsidP="00FC5AA7"/>
    <w:p w:rsidR="004A2024" w:rsidRPr="004C2FAC" w:rsidRDefault="004A2024" w:rsidP="00F57658">
      <w:pPr>
        <w:pStyle w:val="Ttulo5"/>
        <w:rPr>
          <w:bCs/>
          <w:sz w:val="24"/>
          <w:szCs w:val="24"/>
        </w:rPr>
      </w:pPr>
      <w:r w:rsidRPr="004C2FAC">
        <w:rPr>
          <w:bCs/>
          <w:sz w:val="24"/>
          <w:szCs w:val="24"/>
        </w:rPr>
        <w:t>F A L L A</w:t>
      </w:r>
    </w:p>
    <w:p w:rsidR="00FC5AA7" w:rsidRPr="004C2FAC" w:rsidRDefault="00FC5AA7" w:rsidP="00F57658">
      <w:pPr>
        <w:rPr>
          <w:rFonts w:cs="Arial"/>
          <w:b/>
          <w:bCs/>
        </w:rPr>
      </w:pPr>
    </w:p>
    <w:p w:rsidR="00B32AE2" w:rsidRPr="004C2FAC" w:rsidRDefault="00B32AE2" w:rsidP="00F57658">
      <w:pPr>
        <w:rPr>
          <w:rFonts w:cs="Arial"/>
          <w:b/>
          <w:bCs/>
        </w:rPr>
      </w:pPr>
    </w:p>
    <w:p w:rsidR="004A2024" w:rsidRPr="004C2FAC" w:rsidRDefault="004A2024" w:rsidP="00F57658">
      <w:pPr>
        <w:rPr>
          <w:rFonts w:cs="Arial"/>
          <w:bCs/>
        </w:rPr>
      </w:pPr>
      <w:r w:rsidRPr="004C2FAC">
        <w:rPr>
          <w:rFonts w:cs="Arial"/>
          <w:b/>
          <w:bCs/>
        </w:rPr>
        <w:t>REV</w:t>
      </w:r>
      <w:r w:rsidR="005048C5" w:rsidRPr="004C2FAC">
        <w:rPr>
          <w:rFonts w:cs="Arial"/>
          <w:b/>
          <w:bCs/>
        </w:rPr>
        <w:t>O</w:t>
      </w:r>
      <w:r w:rsidRPr="004C2FAC">
        <w:rPr>
          <w:rFonts w:cs="Arial"/>
          <w:b/>
          <w:bCs/>
        </w:rPr>
        <w:t>CA</w:t>
      </w:r>
      <w:r w:rsidR="007D1D90" w:rsidRPr="004C2FAC">
        <w:rPr>
          <w:rFonts w:cs="Arial"/>
          <w:b/>
          <w:bCs/>
        </w:rPr>
        <w:t>R</w:t>
      </w:r>
      <w:r w:rsidRPr="004C2FAC">
        <w:rPr>
          <w:rFonts w:cs="Arial"/>
          <w:bCs/>
        </w:rPr>
        <w:t xml:space="preserve"> la sentencia proferida por el Tribunal Administrativo de Cundinamarca, </w:t>
      </w:r>
      <w:r w:rsidR="009E3EB2" w:rsidRPr="004C2FAC">
        <w:rPr>
          <w:rFonts w:cs="Arial"/>
          <w:bCs/>
        </w:rPr>
        <w:t xml:space="preserve">Sección Tercera, Subsección C de Descongestión, </w:t>
      </w:r>
      <w:r w:rsidRPr="004C2FAC">
        <w:rPr>
          <w:rFonts w:cs="Arial"/>
          <w:bCs/>
        </w:rPr>
        <w:t xml:space="preserve">el </w:t>
      </w:r>
      <w:r w:rsidR="009E3EB2" w:rsidRPr="004C2FAC">
        <w:rPr>
          <w:rFonts w:cs="Arial"/>
          <w:bCs/>
        </w:rPr>
        <w:t>21</w:t>
      </w:r>
      <w:r w:rsidRPr="004C2FAC">
        <w:rPr>
          <w:rFonts w:cs="Arial"/>
          <w:bCs/>
        </w:rPr>
        <w:t xml:space="preserve"> de </w:t>
      </w:r>
      <w:r w:rsidR="009E3EB2" w:rsidRPr="004C2FAC">
        <w:rPr>
          <w:rFonts w:cs="Arial"/>
          <w:bCs/>
        </w:rPr>
        <w:t xml:space="preserve">agosto </w:t>
      </w:r>
      <w:r w:rsidRPr="004C2FAC">
        <w:rPr>
          <w:rFonts w:cs="Arial"/>
          <w:bCs/>
        </w:rPr>
        <w:t>de 201</w:t>
      </w:r>
      <w:r w:rsidR="009E3EB2" w:rsidRPr="004C2FAC">
        <w:rPr>
          <w:rFonts w:cs="Arial"/>
          <w:bCs/>
        </w:rPr>
        <w:t>4</w:t>
      </w:r>
      <w:r w:rsidR="006D3F6E" w:rsidRPr="004C2FAC">
        <w:rPr>
          <w:rFonts w:cs="Arial"/>
          <w:bCs/>
        </w:rPr>
        <w:t>,</w:t>
      </w:r>
      <w:r w:rsidRPr="004C2FAC">
        <w:rPr>
          <w:rFonts w:cs="Arial"/>
          <w:bCs/>
        </w:rPr>
        <w:t xml:space="preserve"> y en su lugar</w:t>
      </w:r>
      <w:r w:rsidR="006D3F6E" w:rsidRPr="004C2FAC">
        <w:rPr>
          <w:rFonts w:cs="Arial"/>
          <w:bCs/>
        </w:rPr>
        <w:t>,</w:t>
      </w:r>
      <w:r w:rsidRPr="004C2FAC">
        <w:rPr>
          <w:rFonts w:cs="Arial"/>
          <w:bCs/>
        </w:rPr>
        <w:t xml:space="preserve"> se dispone: </w:t>
      </w:r>
    </w:p>
    <w:p w:rsidR="00B32AE2" w:rsidRPr="004C2FAC" w:rsidRDefault="00B32AE2" w:rsidP="00F57658">
      <w:pPr>
        <w:rPr>
          <w:rFonts w:cs="Arial"/>
          <w:bCs/>
        </w:rPr>
      </w:pPr>
    </w:p>
    <w:p w:rsidR="00B32AE2" w:rsidRPr="004C2FAC" w:rsidRDefault="00B32AE2" w:rsidP="00BD138D">
      <w:pPr>
        <w:pStyle w:val="Continuarlista2"/>
        <w:ind w:left="0" w:right="51"/>
        <w:rPr>
          <w:rFonts w:cs="Arial"/>
          <w:b/>
          <w:bCs/>
        </w:rPr>
      </w:pPr>
    </w:p>
    <w:p w:rsidR="00F31320" w:rsidRPr="004C2FAC" w:rsidRDefault="009E3EB2" w:rsidP="00BD138D">
      <w:pPr>
        <w:pStyle w:val="Continuarlista2"/>
        <w:ind w:left="0" w:right="51"/>
        <w:rPr>
          <w:rFonts w:cs="Arial"/>
        </w:rPr>
      </w:pPr>
      <w:r w:rsidRPr="004C2FAC">
        <w:rPr>
          <w:rFonts w:cs="Arial"/>
          <w:b/>
          <w:bCs/>
        </w:rPr>
        <w:t>PRIMERO</w:t>
      </w:r>
      <w:r w:rsidR="004A2024" w:rsidRPr="004C2FAC">
        <w:rPr>
          <w:rFonts w:cs="Arial"/>
          <w:b/>
          <w:bCs/>
        </w:rPr>
        <w:t>:</w:t>
      </w:r>
      <w:r w:rsidR="004A2024" w:rsidRPr="004C2FAC">
        <w:rPr>
          <w:rFonts w:cs="Arial"/>
          <w:bCs/>
        </w:rPr>
        <w:t xml:space="preserve"> </w:t>
      </w:r>
      <w:r w:rsidR="009D26A2" w:rsidRPr="004C2FAC">
        <w:rPr>
          <w:rFonts w:cs="Arial"/>
          <w:b/>
          <w:bCs/>
        </w:rPr>
        <w:t>DECLARAR EL INCUMPLIMIENTO</w:t>
      </w:r>
      <w:r w:rsidR="009D26A2" w:rsidRPr="004C2FAC">
        <w:rPr>
          <w:rFonts w:cs="Arial"/>
          <w:bCs/>
        </w:rPr>
        <w:t xml:space="preserve"> </w:t>
      </w:r>
      <w:r w:rsidR="00B55DFF" w:rsidRPr="004C2FAC">
        <w:rPr>
          <w:rFonts w:cs="Arial"/>
          <w:bCs/>
        </w:rPr>
        <w:t xml:space="preserve">del </w:t>
      </w:r>
      <w:r w:rsidR="00077AB8" w:rsidRPr="004C2FAC">
        <w:rPr>
          <w:rFonts w:cs="Arial"/>
        </w:rPr>
        <w:t xml:space="preserve">contrato de trueque directo No. 8861 de septiembre de 1995 y </w:t>
      </w:r>
      <w:r w:rsidR="00B55DFF" w:rsidRPr="004C2FAC">
        <w:rPr>
          <w:rFonts w:cs="Arial"/>
        </w:rPr>
        <w:t>de l</w:t>
      </w:r>
      <w:r w:rsidR="00BD138D" w:rsidRPr="004C2FAC">
        <w:rPr>
          <w:rFonts w:cs="Arial"/>
        </w:rPr>
        <w:t xml:space="preserve">os contratos </w:t>
      </w:r>
      <w:r w:rsidR="00B55DFF" w:rsidRPr="004C2FAC">
        <w:rPr>
          <w:rFonts w:cs="Arial"/>
        </w:rPr>
        <w:t>de trueque</w:t>
      </w:r>
      <w:r w:rsidR="00077AB8" w:rsidRPr="004C2FAC">
        <w:rPr>
          <w:rFonts w:cs="Arial"/>
        </w:rPr>
        <w:t xml:space="preserve"> números  DT 13074, 13075, 13066 y 13067 de 1995, celebrad</w:t>
      </w:r>
      <w:r w:rsidR="00BD138D" w:rsidRPr="004C2FAC">
        <w:rPr>
          <w:rFonts w:cs="Arial"/>
        </w:rPr>
        <w:t>o</w:t>
      </w:r>
      <w:r w:rsidR="00077AB8" w:rsidRPr="004C2FAC">
        <w:rPr>
          <w:rFonts w:cs="Arial"/>
        </w:rPr>
        <w:t xml:space="preserve">s entre el IDEMA y la sociedad Torres Cortés y </w:t>
      </w:r>
      <w:r w:rsidR="00BD138D" w:rsidRPr="004C2FAC">
        <w:rPr>
          <w:rFonts w:cs="Arial"/>
        </w:rPr>
        <w:t>Cí</w:t>
      </w:r>
      <w:r w:rsidR="00077AB8" w:rsidRPr="004C2FAC">
        <w:rPr>
          <w:rFonts w:cs="Arial"/>
        </w:rPr>
        <w:t xml:space="preserve">a, obrando esta última por cuenta de </w:t>
      </w:r>
      <w:r w:rsidR="00F31320" w:rsidRPr="004C2FAC">
        <w:rPr>
          <w:rFonts w:cs="Arial"/>
        </w:rPr>
        <w:t>Compañía Colombiana de Cereales Colcereales S.A. sigla COLCEREALES S.A.</w:t>
      </w:r>
    </w:p>
    <w:p w:rsidR="00D8080C" w:rsidRPr="004C2FAC" w:rsidRDefault="00D8080C" w:rsidP="00BD138D">
      <w:pPr>
        <w:pStyle w:val="Continuarlista2"/>
        <w:ind w:left="0" w:right="51"/>
        <w:rPr>
          <w:rFonts w:cs="Arial"/>
          <w:b/>
          <w:i/>
        </w:rPr>
      </w:pPr>
    </w:p>
    <w:p w:rsidR="009B3C5D" w:rsidRPr="004C2FAC" w:rsidRDefault="009B3C5D" w:rsidP="00BD138D">
      <w:pPr>
        <w:pStyle w:val="Continuarlista2"/>
        <w:ind w:left="0" w:right="51"/>
        <w:rPr>
          <w:rFonts w:cs="Arial"/>
          <w:b/>
          <w:i/>
        </w:rPr>
      </w:pPr>
    </w:p>
    <w:p w:rsidR="00C30A73" w:rsidRPr="004C2FAC" w:rsidRDefault="00F31320" w:rsidP="00BD138D">
      <w:pPr>
        <w:pStyle w:val="Continuarlista2"/>
        <w:ind w:left="0" w:right="51"/>
        <w:rPr>
          <w:rFonts w:cs="Arial"/>
        </w:rPr>
      </w:pPr>
      <w:r w:rsidRPr="004C2FAC">
        <w:rPr>
          <w:rFonts w:cs="Arial"/>
          <w:b/>
        </w:rPr>
        <w:t>SEGUNDO</w:t>
      </w:r>
      <w:r w:rsidRPr="004C2FAC">
        <w:rPr>
          <w:rFonts w:cs="Arial"/>
        </w:rPr>
        <w:t>:</w:t>
      </w:r>
      <w:r w:rsidRPr="004C2FAC">
        <w:rPr>
          <w:rFonts w:cs="Arial"/>
          <w:i/>
        </w:rPr>
        <w:t xml:space="preserve"> </w:t>
      </w:r>
      <w:r w:rsidRPr="004C2FAC">
        <w:rPr>
          <w:rFonts w:cs="Arial"/>
          <w:b/>
        </w:rPr>
        <w:t xml:space="preserve">CONDENAR </w:t>
      </w:r>
      <w:r w:rsidRPr="004C2FAC">
        <w:rPr>
          <w:rFonts w:cs="Arial"/>
        </w:rPr>
        <w:t xml:space="preserve">a </w:t>
      </w:r>
      <w:r w:rsidR="00C30A73" w:rsidRPr="004C2FAC">
        <w:rPr>
          <w:rFonts w:cs="Arial"/>
        </w:rPr>
        <w:t>la Compañía Colombiana de Cereales Colcereales S.A. sigla COLCEREALES S.A.</w:t>
      </w:r>
      <w:r w:rsidR="007E40DF" w:rsidRPr="004C2FAC">
        <w:rPr>
          <w:rFonts w:cs="Arial"/>
        </w:rPr>
        <w:t>,</w:t>
      </w:r>
      <w:r w:rsidR="00C30A73" w:rsidRPr="004C2FAC">
        <w:rPr>
          <w:rFonts w:cs="Arial"/>
        </w:rPr>
        <w:t xml:space="preserve"> a pagar a</w:t>
      </w:r>
      <w:r w:rsidR="007E40DF" w:rsidRPr="004C2FAC">
        <w:rPr>
          <w:rFonts w:cs="Arial"/>
        </w:rPr>
        <w:t xml:space="preserve"> favor del MINISTERIO DE AGRICULTURA Y DESARROLLO RURAL</w:t>
      </w:r>
      <w:r w:rsidR="00C30A73" w:rsidRPr="004C2FAC">
        <w:rPr>
          <w:rFonts w:cs="Arial"/>
        </w:rPr>
        <w:t xml:space="preserve"> la suma de </w:t>
      </w:r>
      <w:r w:rsidR="00155A7D" w:rsidRPr="004C2FAC">
        <w:rPr>
          <w:rFonts w:cs="Arial"/>
        </w:rPr>
        <w:t xml:space="preserve">NUEVE </w:t>
      </w:r>
      <w:r w:rsidR="00CE0ED8" w:rsidRPr="004C2FAC">
        <w:rPr>
          <w:rFonts w:cs="Arial"/>
        </w:rPr>
        <w:t xml:space="preserve">MIL </w:t>
      </w:r>
      <w:r w:rsidR="00155A7D" w:rsidRPr="004C2FAC">
        <w:rPr>
          <w:rFonts w:cs="Arial"/>
        </w:rPr>
        <w:t>SEISCIENTOS VEINTISIETE</w:t>
      </w:r>
      <w:r w:rsidR="0089242D" w:rsidRPr="004C2FAC">
        <w:rPr>
          <w:rFonts w:cs="Arial"/>
        </w:rPr>
        <w:t xml:space="preserve"> </w:t>
      </w:r>
      <w:r w:rsidR="00CE0ED8" w:rsidRPr="004C2FAC">
        <w:rPr>
          <w:rFonts w:cs="Arial"/>
        </w:rPr>
        <w:t xml:space="preserve">MILLONES </w:t>
      </w:r>
      <w:r w:rsidR="008E19F0" w:rsidRPr="004C2FAC">
        <w:rPr>
          <w:rFonts w:cs="Arial"/>
        </w:rPr>
        <w:t xml:space="preserve">CIENTO OCHENTA Y UN MIL NOVECIENTOS NOVENTA Y </w:t>
      </w:r>
      <w:r w:rsidR="0089242D" w:rsidRPr="004C2FAC">
        <w:rPr>
          <w:rFonts w:cs="Arial"/>
        </w:rPr>
        <w:t xml:space="preserve">OCHO </w:t>
      </w:r>
      <w:r w:rsidR="00CE0ED8" w:rsidRPr="004C2FAC">
        <w:rPr>
          <w:rFonts w:cs="Arial"/>
        </w:rPr>
        <w:t>PESO</w:t>
      </w:r>
      <w:r w:rsidR="008A26FD" w:rsidRPr="004C2FAC">
        <w:rPr>
          <w:rFonts w:cs="Arial"/>
        </w:rPr>
        <w:t>S</w:t>
      </w:r>
      <w:r w:rsidR="00CE0ED8" w:rsidRPr="004C2FAC">
        <w:rPr>
          <w:rFonts w:cs="Arial"/>
        </w:rPr>
        <w:t xml:space="preserve"> (</w:t>
      </w:r>
      <w:r w:rsidR="00155A7D" w:rsidRPr="004C2FAC">
        <w:rPr>
          <w:rFonts w:cs="Arial"/>
        </w:rPr>
        <w:t>$9.627’181.998</w:t>
      </w:r>
      <w:r w:rsidR="00CE0ED8" w:rsidRPr="004C2FAC">
        <w:rPr>
          <w:rFonts w:cs="Arial"/>
        </w:rPr>
        <w:t>)</w:t>
      </w:r>
      <w:r w:rsidR="000844E3" w:rsidRPr="004C2FAC">
        <w:rPr>
          <w:rFonts w:cs="Arial"/>
        </w:rPr>
        <w:t xml:space="preserve"> moneda legal colombiana.</w:t>
      </w:r>
    </w:p>
    <w:p w:rsidR="000844E3" w:rsidRPr="004C2FAC" w:rsidRDefault="000844E3" w:rsidP="00BD138D">
      <w:pPr>
        <w:pStyle w:val="Continuarlista2"/>
        <w:ind w:left="0" w:right="51"/>
        <w:rPr>
          <w:rFonts w:cs="Arial"/>
          <w:b/>
        </w:rPr>
      </w:pPr>
    </w:p>
    <w:p w:rsidR="009B3C5D" w:rsidRPr="004C2FAC" w:rsidRDefault="009B3C5D" w:rsidP="00BD138D">
      <w:pPr>
        <w:pStyle w:val="Continuarlista2"/>
        <w:ind w:left="0" w:right="51"/>
        <w:rPr>
          <w:rFonts w:cs="Arial"/>
          <w:b/>
        </w:rPr>
      </w:pPr>
    </w:p>
    <w:p w:rsidR="009E3EB2" w:rsidRPr="004C2FAC" w:rsidRDefault="000844E3" w:rsidP="00BD138D">
      <w:pPr>
        <w:pStyle w:val="Continuarlista2"/>
        <w:ind w:left="0" w:right="51"/>
        <w:rPr>
          <w:rFonts w:cs="Arial"/>
          <w:bCs/>
        </w:rPr>
      </w:pPr>
      <w:r w:rsidRPr="004C2FAC">
        <w:rPr>
          <w:rFonts w:cs="Arial"/>
          <w:b/>
        </w:rPr>
        <w:t>TERCERO:</w:t>
      </w:r>
      <w:r w:rsidR="009E3EB2" w:rsidRPr="004C2FAC">
        <w:rPr>
          <w:rFonts w:cs="Arial"/>
          <w:bCs/>
        </w:rPr>
        <w:t xml:space="preserve"> </w:t>
      </w:r>
      <w:r w:rsidR="009D26A2" w:rsidRPr="004C2FAC">
        <w:rPr>
          <w:rFonts w:cs="Arial"/>
          <w:b/>
          <w:bCs/>
        </w:rPr>
        <w:t xml:space="preserve">DECLARAR PROBADA LA EXCEPCIÓN DE PRESCRIPCIÓN </w:t>
      </w:r>
      <w:r w:rsidR="009E3EB2" w:rsidRPr="004C2FAC">
        <w:rPr>
          <w:rFonts w:cs="Arial"/>
          <w:bCs/>
        </w:rPr>
        <w:t>de la acción derivada del contrato de seguro, de conformidad con lo expuesto en la parte motiva de esta providencia.</w:t>
      </w:r>
    </w:p>
    <w:p w:rsidR="00D8080C" w:rsidRPr="004C2FAC" w:rsidRDefault="00D8080C" w:rsidP="00BD138D">
      <w:pPr>
        <w:pStyle w:val="Continuarlista2"/>
        <w:ind w:left="0" w:right="51"/>
        <w:rPr>
          <w:rFonts w:cs="Arial"/>
          <w:bCs/>
        </w:rPr>
      </w:pPr>
    </w:p>
    <w:p w:rsidR="009B3C5D" w:rsidRPr="004C2FAC" w:rsidRDefault="009B3C5D" w:rsidP="00BD138D">
      <w:pPr>
        <w:pStyle w:val="Continuarlista2"/>
        <w:ind w:left="0" w:right="51"/>
        <w:rPr>
          <w:rFonts w:cs="Arial"/>
          <w:bCs/>
        </w:rPr>
      </w:pPr>
    </w:p>
    <w:p w:rsidR="004A2024" w:rsidRPr="004C2FAC" w:rsidRDefault="000844E3" w:rsidP="00BD138D">
      <w:pPr>
        <w:ind w:right="51"/>
        <w:rPr>
          <w:rFonts w:cs="Arial"/>
          <w:b/>
          <w:bCs/>
        </w:rPr>
      </w:pPr>
      <w:r w:rsidRPr="004C2FAC">
        <w:rPr>
          <w:rFonts w:cs="Arial"/>
          <w:b/>
          <w:bCs/>
        </w:rPr>
        <w:t>CUARTO</w:t>
      </w:r>
      <w:r w:rsidR="004A2024" w:rsidRPr="004C2FAC">
        <w:rPr>
          <w:rFonts w:cs="Arial"/>
          <w:b/>
          <w:bCs/>
        </w:rPr>
        <w:t>:</w:t>
      </w:r>
      <w:r w:rsidR="004A2024" w:rsidRPr="004C2FAC">
        <w:rPr>
          <w:rFonts w:cs="Arial"/>
          <w:bCs/>
        </w:rPr>
        <w:t xml:space="preserve"> </w:t>
      </w:r>
      <w:r w:rsidRPr="004C2FAC">
        <w:rPr>
          <w:rFonts w:cs="Arial"/>
          <w:b/>
          <w:bCs/>
        </w:rPr>
        <w:t xml:space="preserve">DENEGAR </w:t>
      </w:r>
      <w:r w:rsidR="007E40DF" w:rsidRPr="004C2FAC">
        <w:rPr>
          <w:rFonts w:cs="Arial"/>
          <w:bCs/>
        </w:rPr>
        <w:t>l</w:t>
      </w:r>
      <w:r w:rsidRPr="004C2FAC">
        <w:rPr>
          <w:rFonts w:cs="Arial"/>
          <w:bCs/>
        </w:rPr>
        <w:t>as demás</w:t>
      </w:r>
      <w:r w:rsidRPr="004C2FAC">
        <w:rPr>
          <w:rFonts w:cs="Arial"/>
          <w:b/>
          <w:bCs/>
        </w:rPr>
        <w:t xml:space="preserve"> </w:t>
      </w:r>
      <w:r w:rsidR="004A2024" w:rsidRPr="004C2FAC">
        <w:rPr>
          <w:rFonts w:cs="Arial"/>
          <w:bCs/>
        </w:rPr>
        <w:t>pretensiones de la demanda</w:t>
      </w:r>
      <w:r w:rsidR="004A2024" w:rsidRPr="004C2FAC">
        <w:rPr>
          <w:rFonts w:cs="Arial"/>
          <w:b/>
          <w:bCs/>
        </w:rPr>
        <w:t>.</w:t>
      </w:r>
    </w:p>
    <w:p w:rsidR="00FC5AA7" w:rsidRPr="004C2FAC" w:rsidRDefault="00FC5AA7" w:rsidP="00BD138D">
      <w:pPr>
        <w:ind w:right="51"/>
        <w:rPr>
          <w:rFonts w:cs="Arial"/>
          <w:b/>
          <w:bCs/>
        </w:rPr>
      </w:pPr>
    </w:p>
    <w:p w:rsidR="009B3C5D" w:rsidRPr="004C2FAC" w:rsidRDefault="009B3C5D" w:rsidP="00BD138D">
      <w:pPr>
        <w:ind w:right="51"/>
        <w:rPr>
          <w:rFonts w:cs="Arial"/>
          <w:b/>
          <w:bCs/>
        </w:rPr>
      </w:pPr>
    </w:p>
    <w:p w:rsidR="00FC5AA7" w:rsidRPr="004C2FAC" w:rsidRDefault="007E40DF" w:rsidP="00BD138D">
      <w:pPr>
        <w:ind w:right="51"/>
        <w:rPr>
          <w:rFonts w:cs="Arial"/>
          <w:bCs/>
        </w:rPr>
      </w:pPr>
      <w:r w:rsidRPr="004C2FAC">
        <w:rPr>
          <w:rFonts w:cs="Arial"/>
          <w:b/>
          <w:bCs/>
        </w:rPr>
        <w:t>QUINTO</w:t>
      </w:r>
      <w:r w:rsidR="004A2024" w:rsidRPr="004C2FAC">
        <w:rPr>
          <w:rFonts w:cs="Arial"/>
          <w:b/>
          <w:bCs/>
        </w:rPr>
        <w:t>: SIN</w:t>
      </w:r>
      <w:r w:rsidR="004A2024" w:rsidRPr="004C2FAC">
        <w:rPr>
          <w:rFonts w:cs="Arial"/>
          <w:bCs/>
        </w:rPr>
        <w:t xml:space="preserve"> condena en costas</w:t>
      </w:r>
      <w:r w:rsidR="00FC5AA7" w:rsidRPr="004C2FAC">
        <w:rPr>
          <w:rFonts w:cs="Arial"/>
          <w:bCs/>
        </w:rPr>
        <w:t>.</w:t>
      </w:r>
    </w:p>
    <w:p w:rsidR="00B32AE2" w:rsidRPr="004C2FAC" w:rsidRDefault="00B32AE2" w:rsidP="00BD138D">
      <w:pPr>
        <w:ind w:right="51"/>
        <w:rPr>
          <w:rFonts w:cs="Arial"/>
          <w:b/>
        </w:rPr>
      </w:pPr>
    </w:p>
    <w:p w:rsidR="00F4238C" w:rsidRPr="004C2FAC" w:rsidRDefault="00F4238C" w:rsidP="00BD138D">
      <w:pPr>
        <w:ind w:right="51"/>
        <w:rPr>
          <w:rFonts w:cs="Arial"/>
          <w:bCs/>
        </w:rPr>
      </w:pPr>
      <w:r w:rsidRPr="004C2FAC">
        <w:rPr>
          <w:rFonts w:cs="Arial"/>
          <w:b/>
        </w:rPr>
        <w:t xml:space="preserve">SEXTO: </w:t>
      </w:r>
      <w:r w:rsidRPr="004C2FAC">
        <w:rPr>
          <w:rFonts w:cs="Arial"/>
        </w:rPr>
        <w:t>Por</w:t>
      </w:r>
      <w:r w:rsidRPr="004C2FAC">
        <w:rPr>
          <w:rFonts w:cs="Arial"/>
          <w:b/>
        </w:rPr>
        <w:t xml:space="preserve"> </w:t>
      </w:r>
      <w:r w:rsidRPr="004C2FAC">
        <w:rPr>
          <w:rFonts w:cs="Arial"/>
        </w:rPr>
        <w:t>secretaría de la Sección Tercera del Consejo de Estado expídanse a las partes las copias auténticas de la sentencia, con su constancia de ejecutoria</w:t>
      </w:r>
      <w:r w:rsidR="005D0F0E" w:rsidRPr="004C2FAC">
        <w:rPr>
          <w:rFonts w:cs="Arial"/>
        </w:rPr>
        <w:t>.</w:t>
      </w:r>
    </w:p>
    <w:p w:rsidR="004A2024" w:rsidRPr="004C2FAC" w:rsidRDefault="004A2024" w:rsidP="00BD138D">
      <w:pPr>
        <w:pStyle w:val="Ttulo5"/>
        <w:ind w:right="51"/>
        <w:rPr>
          <w:sz w:val="24"/>
          <w:szCs w:val="24"/>
        </w:rPr>
      </w:pPr>
    </w:p>
    <w:p w:rsidR="00F4238C" w:rsidRPr="004C2FAC" w:rsidRDefault="00F4238C" w:rsidP="00F4238C"/>
    <w:p w:rsidR="004A2024" w:rsidRPr="004C2FAC" w:rsidRDefault="004A2024" w:rsidP="00F57658">
      <w:pPr>
        <w:pStyle w:val="Ttulo5"/>
        <w:rPr>
          <w:sz w:val="24"/>
          <w:szCs w:val="24"/>
        </w:rPr>
      </w:pPr>
      <w:r w:rsidRPr="004C2FAC">
        <w:rPr>
          <w:sz w:val="24"/>
          <w:szCs w:val="24"/>
        </w:rPr>
        <w:t>NOTIFÍQUESE Y CÚMPLASE</w:t>
      </w:r>
    </w:p>
    <w:p w:rsidR="004A2024" w:rsidRPr="004C2FAC" w:rsidRDefault="004A2024" w:rsidP="00F57658"/>
    <w:p w:rsidR="004A2024" w:rsidRPr="004C2FAC" w:rsidRDefault="004A2024" w:rsidP="00F57658"/>
    <w:p w:rsidR="004A2024" w:rsidRPr="004C2FAC" w:rsidRDefault="004A2024" w:rsidP="00F57658">
      <w:pPr>
        <w:rPr>
          <w:sz w:val="22"/>
          <w:szCs w:val="22"/>
        </w:rPr>
      </w:pPr>
    </w:p>
    <w:p w:rsidR="004A2024" w:rsidRPr="004C2FAC" w:rsidRDefault="004A2024" w:rsidP="00F57658">
      <w:pPr>
        <w:widowControl w:val="0"/>
        <w:jc w:val="center"/>
        <w:rPr>
          <w:rFonts w:cs="Arial"/>
          <w:b/>
          <w:sz w:val="22"/>
          <w:szCs w:val="22"/>
        </w:rPr>
      </w:pPr>
      <w:r w:rsidRPr="004C2FAC">
        <w:rPr>
          <w:rFonts w:cs="Arial"/>
          <w:b/>
          <w:sz w:val="22"/>
          <w:szCs w:val="22"/>
        </w:rPr>
        <w:t xml:space="preserve">MARTA NUBIA VELÁSQUEZ RICO </w:t>
      </w:r>
    </w:p>
    <w:p w:rsidR="004A2024" w:rsidRPr="004C2FAC" w:rsidRDefault="004A2024" w:rsidP="00F57658">
      <w:pPr>
        <w:widowControl w:val="0"/>
        <w:jc w:val="center"/>
        <w:rPr>
          <w:rFonts w:cs="Arial"/>
          <w:b/>
          <w:sz w:val="22"/>
          <w:szCs w:val="22"/>
        </w:rPr>
      </w:pPr>
    </w:p>
    <w:p w:rsidR="007E40DF" w:rsidRPr="004C2FAC" w:rsidRDefault="007E40DF" w:rsidP="00F57658">
      <w:pPr>
        <w:widowControl w:val="0"/>
        <w:jc w:val="center"/>
        <w:rPr>
          <w:rFonts w:cs="Arial"/>
          <w:b/>
          <w:sz w:val="22"/>
          <w:szCs w:val="22"/>
        </w:rPr>
      </w:pPr>
    </w:p>
    <w:p w:rsidR="00847F04" w:rsidRPr="004C2FAC" w:rsidRDefault="00847F04" w:rsidP="00F57658">
      <w:pPr>
        <w:widowControl w:val="0"/>
        <w:jc w:val="center"/>
        <w:rPr>
          <w:rFonts w:cs="Arial"/>
          <w:b/>
          <w:sz w:val="22"/>
          <w:szCs w:val="22"/>
        </w:rPr>
      </w:pPr>
    </w:p>
    <w:p w:rsidR="004A2024" w:rsidRPr="004C2FAC" w:rsidRDefault="004A2024" w:rsidP="00F57658">
      <w:pPr>
        <w:widowControl w:val="0"/>
        <w:jc w:val="center"/>
        <w:rPr>
          <w:rFonts w:cs="Arial"/>
          <w:b/>
          <w:sz w:val="22"/>
          <w:szCs w:val="22"/>
        </w:rPr>
      </w:pPr>
    </w:p>
    <w:p w:rsidR="004A2024" w:rsidRPr="00BE4FD8" w:rsidRDefault="004A2024" w:rsidP="00F57658">
      <w:pPr>
        <w:widowControl w:val="0"/>
        <w:jc w:val="center"/>
        <w:rPr>
          <w:sz w:val="22"/>
          <w:szCs w:val="22"/>
        </w:rPr>
      </w:pPr>
      <w:r w:rsidRPr="004C2FAC">
        <w:rPr>
          <w:rFonts w:cs="Arial"/>
          <w:b/>
          <w:sz w:val="22"/>
          <w:szCs w:val="22"/>
        </w:rPr>
        <w:t>CARLOS ALBERTO ZAMBRANO BARRERA</w:t>
      </w:r>
    </w:p>
    <w:sectPr w:rsidR="004A2024" w:rsidRPr="00BE4FD8" w:rsidSect="00B9262F">
      <w:headerReference w:type="even" r:id="rId11"/>
      <w:headerReference w:type="default" r:id="rId12"/>
      <w:footerReference w:type="even" r:id="rId13"/>
      <w:footerReference w:type="default" r:id="rId14"/>
      <w:pgSz w:w="12242" w:h="18722" w:code="5"/>
      <w:pgMar w:top="1701" w:right="1701" w:bottom="1701"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22" w:rsidRDefault="008F7722" w:rsidP="00C85395">
      <w:r>
        <w:separator/>
      </w:r>
    </w:p>
  </w:endnote>
  <w:endnote w:type="continuationSeparator" w:id="0">
    <w:p w:rsidR="008F7722" w:rsidRDefault="008F7722"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C2" w:rsidRDefault="002E46C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46C2" w:rsidRDefault="002E46C2" w:rsidP="006434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C2" w:rsidRDefault="002E46C2">
    <w:pPr>
      <w:pStyle w:val="Piedepgina"/>
      <w:jc w:val="center"/>
    </w:pPr>
    <w:r>
      <w:fldChar w:fldCharType="begin"/>
    </w:r>
    <w:r>
      <w:instrText>PAGE   \* MERGEFORMAT</w:instrText>
    </w:r>
    <w:r>
      <w:fldChar w:fldCharType="separate"/>
    </w:r>
    <w:r w:rsidR="00451E51">
      <w:rPr>
        <w:noProof/>
      </w:rPr>
      <w:t>3</w:t>
    </w:r>
    <w:r>
      <w:fldChar w:fldCharType="end"/>
    </w:r>
  </w:p>
  <w:p w:rsidR="002E46C2" w:rsidRDefault="002E46C2" w:rsidP="006434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22" w:rsidRDefault="008F7722" w:rsidP="00C85395">
      <w:r>
        <w:separator/>
      </w:r>
    </w:p>
  </w:footnote>
  <w:footnote w:type="continuationSeparator" w:id="0">
    <w:p w:rsidR="008F7722" w:rsidRDefault="008F7722" w:rsidP="00C85395">
      <w:r>
        <w:continuationSeparator/>
      </w:r>
    </w:p>
  </w:footnote>
  <w:footnote w:id="1">
    <w:p w:rsidR="002E46C2" w:rsidRPr="007143B3" w:rsidRDefault="002E46C2">
      <w:pPr>
        <w:pStyle w:val="Textonotapie"/>
        <w:rPr>
          <w:lang w:val="es-CO"/>
        </w:rPr>
      </w:pPr>
      <w:r>
        <w:rPr>
          <w:rStyle w:val="Refdenotaalpie"/>
        </w:rPr>
        <w:footnoteRef/>
      </w:r>
      <w:r>
        <w:t xml:space="preserve"> </w:t>
      </w:r>
      <w:r>
        <w:rPr>
          <w:lang w:val="es-CO"/>
        </w:rPr>
        <w:t>En adelante se podrá identificar simplemente como COLCEREALES.</w:t>
      </w:r>
    </w:p>
  </w:footnote>
  <w:footnote w:id="2">
    <w:p w:rsidR="002E46C2" w:rsidRDefault="002E46C2" w:rsidP="007955F0">
      <w:pPr>
        <w:pStyle w:val="Textonotapie"/>
        <w:spacing w:line="240" w:lineRule="auto"/>
        <w:rPr>
          <w:lang w:val="es-CO"/>
        </w:rPr>
      </w:pPr>
      <w:r>
        <w:rPr>
          <w:rStyle w:val="Refdenotaalpie"/>
        </w:rPr>
        <w:footnoteRef/>
      </w:r>
      <w:r>
        <w:t xml:space="preserve"> </w:t>
      </w:r>
      <w:r>
        <w:rPr>
          <w:lang w:val="es-CO"/>
        </w:rPr>
        <w:t xml:space="preserve">De acuerdo con el certificado expedido por la Superintendencia Bancaria, -folio 29, cuaderno 1, mediante acuerdo de fusión, LIBERTY SEGUROS S.A. absorbió a LATINOAMERICANA DE SEGUROS S.A. </w:t>
      </w:r>
    </w:p>
    <w:p w:rsidR="002E46C2" w:rsidRPr="00EB7479" w:rsidRDefault="002E46C2" w:rsidP="007955F0">
      <w:pPr>
        <w:pStyle w:val="Textonotapie"/>
        <w:spacing w:line="240" w:lineRule="auto"/>
        <w:rPr>
          <w:lang w:val="es-CO"/>
        </w:rPr>
      </w:pPr>
      <w:r>
        <w:rPr>
          <w:lang w:val="es-CO"/>
        </w:rPr>
        <w:t xml:space="preserve"> </w:t>
      </w:r>
    </w:p>
  </w:footnote>
  <w:footnote w:id="3">
    <w:p w:rsidR="002E46C2" w:rsidRPr="008A449B" w:rsidRDefault="002E46C2">
      <w:pPr>
        <w:pStyle w:val="Textonotapie"/>
        <w:rPr>
          <w:lang w:val="es-CO"/>
        </w:rPr>
      </w:pPr>
      <w:r>
        <w:rPr>
          <w:rStyle w:val="Refdenotaalpie"/>
        </w:rPr>
        <w:footnoteRef/>
      </w:r>
      <w:r>
        <w:t xml:space="preserve"> </w:t>
      </w:r>
      <w:r>
        <w:rPr>
          <w:lang w:val="es-CO"/>
        </w:rPr>
        <w:t>Folios 7 y 8 cuaderno 1.</w:t>
      </w:r>
    </w:p>
  </w:footnote>
  <w:footnote w:id="4">
    <w:p w:rsidR="002E46C2" w:rsidRPr="0023091D" w:rsidRDefault="002E46C2">
      <w:pPr>
        <w:pStyle w:val="Textonotapie"/>
        <w:rPr>
          <w:lang w:val="es-CO"/>
        </w:rPr>
      </w:pPr>
      <w:r>
        <w:rPr>
          <w:rStyle w:val="Refdenotaalpie"/>
        </w:rPr>
        <w:footnoteRef/>
      </w:r>
      <w:r>
        <w:t xml:space="preserve"> </w:t>
      </w:r>
      <w:r>
        <w:rPr>
          <w:lang w:val="es-CO"/>
        </w:rPr>
        <w:t>Folio 21 cuaderno 1.</w:t>
      </w:r>
    </w:p>
  </w:footnote>
  <w:footnote w:id="5">
    <w:p w:rsidR="002E46C2" w:rsidRPr="00FD4510" w:rsidRDefault="002E46C2">
      <w:pPr>
        <w:pStyle w:val="Textonotapie"/>
        <w:rPr>
          <w:lang w:val="es-CO"/>
        </w:rPr>
      </w:pPr>
      <w:r>
        <w:rPr>
          <w:rStyle w:val="Refdenotaalpie"/>
        </w:rPr>
        <w:footnoteRef/>
      </w:r>
      <w:r>
        <w:t xml:space="preserve"> </w:t>
      </w:r>
      <w:r>
        <w:rPr>
          <w:lang w:val="es-CO"/>
        </w:rPr>
        <w:t>Folio 171, cuaderno 1.</w:t>
      </w:r>
    </w:p>
  </w:footnote>
  <w:footnote w:id="6">
    <w:p w:rsidR="002E46C2" w:rsidRPr="0022600A" w:rsidRDefault="002E46C2" w:rsidP="0011264C">
      <w:pPr>
        <w:pStyle w:val="Textonotapie"/>
        <w:spacing w:line="240" w:lineRule="auto"/>
        <w:rPr>
          <w:lang w:val="es-CO"/>
        </w:rPr>
      </w:pPr>
      <w:r>
        <w:rPr>
          <w:rStyle w:val="Refdenotaalpie"/>
        </w:rPr>
        <w:footnoteRef/>
      </w:r>
      <w:r>
        <w:t xml:space="preserve"> Consta en el expediente el aviso devuelto, folio 105, cuaderno 4 y el e</w:t>
      </w:r>
      <w:r>
        <w:rPr>
          <w:lang w:val="es-CO"/>
        </w:rPr>
        <w:t>dicto publicado el15 de octubre de 2006, diario El Tiempo, folio 119, cuaderno 1.</w:t>
      </w:r>
    </w:p>
  </w:footnote>
  <w:footnote w:id="7">
    <w:p w:rsidR="002E46C2" w:rsidRPr="00CE191E" w:rsidRDefault="002E46C2">
      <w:pPr>
        <w:pStyle w:val="Textonotapie"/>
        <w:rPr>
          <w:lang w:val="es-CO"/>
        </w:rPr>
      </w:pPr>
      <w:r>
        <w:rPr>
          <w:rStyle w:val="Refdenotaalpie"/>
        </w:rPr>
        <w:footnoteRef/>
      </w:r>
      <w:r>
        <w:t xml:space="preserve"> </w:t>
      </w:r>
      <w:r>
        <w:rPr>
          <w:lang w:val="es-CO"/>
        </w:rPr>
        <w:t>Folios 131 y 132 cuaderno 1.</w:t>
      </w:r>
    </w:p>
  </w:footnote>
  <w:footnote w:id="8">
    <w:p w:rsidR="002E46C2" w:rsidRPr="002A5317" w:rsidRDefault="002E46C2">
      <w:pPr>
        <w:pStyle w:val="Textonotapie"/>
        <w:rPr>
          <w:lang w:val="es-CO"/>
        </w:rPr>
      </w:pPr>
      <w:r>
        <w:rPr>
          <w:rStyle w:val="Refdenotaalpie"/>
        </w:rPr>
        <w:footnoteRef/>
      </w:r>
      <w:r>
        <w:t xml:space="preserve"> </w:t>
      </w:r>
      <w:r>
        <w:rPr>
          <w:lang w:val="es-CO"/>
        </w:rPr>
        <w:t>Folios 282 y 183, cuaderno 1.</w:t>
      </w:r>
    </w:p>
  </w:footnote>
  <w:footnote w:id="9">
    <w:p w:rsidR="002E46C2" w:rsidRPr="00054354" w:rsidRDefault="002E46C2">
      <w:pPr>
        <w:pStyle w:val="Textonotapie"/>
        <w:rPr>
          <w:lang w:val="es-MX"/>
        </w:rPr>
      </w:pPr>
      <w:r>
        <w:rPr>
          <w:rStyle w:val="Refdenotaalpie"/>
        </w:rPr>
        <w:footnoteRef/>
      </w:r>
      <w:r>
        <w:t xml:space="preserve"> </w:t>
      </w:r>
      <w:r>
        <w:rPr>
          <w:lang w:val="es-MX"/>
        </w:rPr>
        <w:t>Página 10 de la sentencia, folio 943 vuelto, cuaderno principal de la segunda instancia.</w:t>
      </w:r>
    </w:p>
  </w:footnote>
  <w:footnote w:id="10">
    <w:p w:rsidR="002E46C2" w:rsidRPr="00755991" w:rsidRDefault="002E46C2">
      <w:pPr>
        <w:pStyle w:val="Textonotapie"/>
        <w:rPr>
          <w:lang w:val="es-MX"/>
        </w:rPr>
      </w:pPr>
      <w:r>
        <w:rPr>
          <w:rStyle w:val="Refdenotaalpie"/>
        </w:rPr>
        <w:footnoteRef/>
      </w:r>
      <w:r>
        <w:t xml:space="preserve"> </w:t>
      </w:r>
      <w:r>
        <w:rPr>
          <w:lang w:val="es-MX"/>
        </w:rPr>
        <w:t>Página 13 de la sentencia, folio 445 cuaderno principal segunda instancia.</w:t>
      </w:r>
    </w:p>
  </w:footnote>
  <w:footnote w:id="11">
    <w:p w:rsidR="002E46C2" w:rsidRPr="009E260E" w:rsidRDefault="002E46C2">
      <w:pPr>
        <w:pStyle w:val="Textonotapie"/>
        <w:rPr>
          <w:lang w:val="es-MX"/>
        </w:rPr>
      </w:pPr>
      <w:r>
        <w:rPr>
          <w:rStyle w:val="Refdenotaalpie"/>
        </w:rPr>
        <w:footnoteRef/>
      </w:r>
      <w:r>
        <w:t xml:space="preserve"> Página 14 de la sentencia, folio 446 cuaderno principal segunda instancia.</w:t>
      </w:r>
    </w:p>
  </w:footnote>
  <w:footnote w:id="12">
    <w:p w:rsidR="002E46C2" w:rsidRPr="005929B7" w:rsidRDefault="002E46C2">
      <w:pPr>
        <w:pStyle w:val="Textonotapie"/>
        <w:rPr>
          <w:lang w:val="es-MX"/>
        </w:rPr>
      </w:pPr>
      <w:r>
        <w:rPr>
          <w:rStyle w:val="Refdenotaalpie"/>
        </w:rPr>
        <w:footnoteRef/>
      </w:r>
      <w:r>
        <w:t xml:space="preserve"> </w:t>
      </w:r>
      <w:r>
        <w:rPr>
          <w:lang w:val="es-MX"/>
        </w:rPr>
        <w:t xml:space="preserve">Página 17 de la sentencia, folio 447 cuaderno principal de la segunda instancia, </w:t>
      </w:r>
    </w:p>
  </w:footnote>
  <w:footnote w:id="13">
    <w:p w:rsidR="002E46C2" w:rsidRPr="00056B50" w:rsidRDefault="002E46C2">
      <w:pPr>
        <w:pStyle w:val="Textonotapie"/>
        <w:rPr>
          <w:lang w:val="es-MX"/>
        </w:rPr>
      </w:pPr>
      <w:r>
        <w:rPr>
          <w:rStyle w:val="Refdenotaalpie"/>
        </w:rPr>
        <w:footnoteRef/>
      </w:r>
      <w:r>
        <w:t xml:space="preserve"> Página 19 de la sentencia, folio 448 cuaderno principal de la segunda instancia.</w:t>
      </w:r>
    </w:p>
  </w:footnote>
  <w:footnote w:id="14">
    <w:p w:rsidR="002E46C2" w:rsidRPr="00343E13" w:rsidRDefault="002E46C2">
      <w:pPr>
        <w:pStyle w:val="Textonotapie"/>
        <w:rPr>
          <w:lang w:val="es-MX"/>
        </w:rPr>
      </w:pPr>
      <w:r>
        <w:rPr>
          <w:rStyle w:val="Refdenotaalpie"/>
        </w:rPr>
        <w:footnoteRef/>
      </w:r>
      <w:r>
        <w:t xml:space="preserve"> </w:t>
      </w:r>
      <w:r>
        <w:rPr>
          <w:lang w:val="es-MX"/>
        </w:rPr>
        <w:t>folio 457 cuaderno principal de la segunda instancia.</w:t>
      </w:r>
    </w:p>
  </w:footnote>
  <w:footnote w:id="15">
    <w:p w:rsidR="002E46C2" w:rsidRDefault="002E46C2" w:rsidP="00246A27">
      <w:pPr>
        <w:pStyle w:val="Textonotapie"/>
        <w:spacing w:line="240" w:lineRule="auto"/>
        <w:rPr>
          <w:lang w:val="es-CO"/>
        </w:rPr>
      </w:pPr>
      <w:r>
        <w:rPr>
          <w:rStyle w:val="Refdenotaalpie"/>
        </w:rPr>
        <w:footnoteRef/>
      </w:r>
      <w:r>
        <w:t xml:space="preserve"> </w:t>
      </w:r>
      <w:r>
        <w:rPr>
          <w:lang w:val="es-CO"/>
        </w:rPr>
        <w:t>Decreto 2136 de 1992, mediante el cual se reestructuró el IDEMA, en calidad de Empresa Industrial y Comercial del Estado del orden nacional, vinculada al Ministerio de Agricultura y Desarrollo Rural.</w:t>
      </w:r>
    </w:p>
    <w:p w:rsidR="002E46C2" w:rsidRPr="008C5072" w:rsidRDefault="002E46C2" w:rsidP="00246A27">
      <w:pPr>
        <w:pStyle w:val="Textonotapie"/>
        <w:spacing w:line="240" w:lineRule="auto"/>
        <w:rPr>
          <w:lang w:val="es-CO"/>
        </w:rPr>
      </w:pPr>
    </w:p>
  </w:footnote>
  <w:footnote w:id="16">
    <w:p w:rsidR="002E46C2" w:rsidRPr="002237A6" w:rsidRDefault="002E46C2" w:rsidP="00246A27">
      <w:pPr>
        <w:spacing w:line="240" w:lineRule="auto"/>
        <w:rPr>
          <w:rStyle w:val="Nmerodepgina"/>
          <w:rFonts w:cs="Arial"/>
          <w:i/>
          <w:iCs/>
          <w:sz w:val="20"/>
          <w:szCs w:val="20"/>
        </w:rPr>
      </w:pPr>
      <w:r w:rsidRPr="002A1C25">
        <w:rPr>
          <w:rStyle w:val="Refdenotaalpie"/>
          <w:sz w:val="20"/>
          <w:szCs w:val="20"/>
        </w:rPr>
        <w:footnoteRef/>
      </w:r>
      <w:r w:rsidRPr="002A1C25">
        <w:rPr>
          <w:sz w:val="20"/>
          <w:szCs w:val="20"/>
        </w:rPr>
        <w:t xml:space="preserve"> </w:t>
      </w:r>
      <w:r w:rsidRPr="002A1C25">
        <w:rPr>
          <w:rStyle w:val="Nmerodepgina"/>
          <w:rFonts w:cs="Arial"/>
          <w:iCs/>
          <w:sz w:val="20"/>
          <w:szCs w:val="20"/>
        </w:rPr>
        <w:t>“</w:t>
      </w:r>
      <w:r w:rsidRPr="002237A6">
        <w:rPr>
          <w:rStyle w:val="Nmerodepgina"/>
          <w:rFonts w:cs="Arial"/>
          <w:i/>
          <w:iCs/>
          <w:sz w:val="20"/>
          <w:szCs w:val="20"/>
        </w:rPr>
        <w:t xml:space="preserve">Para los solos efectos de esta ley: </w:t>
      </w:r>
    </w:p>
    <w:p w:rsidR="002E46C2" w:rsidRPr="002237A6" w:rsidRDefault="002E46C2" w:rsidP="00246A27">
      <w:pPr>
        <w:spacing w:line="240" w:lineRule="auto"/>
        <w:rPr>
          <w:rStyle w:val="Nmerodepgina"/>
          <w:rFonts w:cs="Arial"/>
          <w:i/>
          <w:iCs/>
          <w:sz w:val="20"/>
          <w:szCs w:val="20"/>
        </w:rPr>
      </w:pPr>
    </w:p>
    <w:p w:rsidR="002E46C2" w:rsidRPr="002237A6" w:rsidRDefault="002E46C2" w:rsidP="00246A27">
      <w:pPr>
        <w:spacing w:line="240" w:lineRule="auto"/>
        <w:rPr>
          <w:rStyle w:val="Nmerodepgina"/>
          <w:rFonts w:cs="Arial"/>
          <w:i/>
          <w:iCs/>
          <w:sz w:val="20"/>
          <w:szCs w:val="20"/>
          <w:u w:val="single"/>
        </w:rPr>
      </w:pPr>
      <w:r w:rsidRPr="002237A6">
        <w:rPr>
          <w:rStyle w:val="Nmerodepgina"/>
          <w:rFonts w:cs="Arial"/>
          <w:i/>
          <w:iCs/>
          <w:sz w:val="20"/>
          <w:szCs w:val="20"/>
        </w:rPr>
        <w:t>“1o.</w:t>
      </w:r>
      <w:r w:rsidRPr="002237A6">
        <w:rPr>
          <w:rStyle w:val="Nmerodepgina"/>
          <w:rFonts w:cs="Arial"/>
          <w:i/>
          <w:iCs/>
          <w:sz w:val="20"/>
          <w:szCs w:val="20"/>
          <w:u w:val="single"/>
        </w:rPr>
        <w:t xml:space="preserve"> Se denominan entidades estatales: </w:t>
      </w:r>
    </w:p>
    <w:p w:rsidR="002E46C2" w:rsidRPr="002237A6" w:rsidRDefault="002E46C2" w:rsidP="00246A27">
      <w:pPr>
        <w:spacing w:line="240" w:lineRule="auto"/>
        <w:rPr>
          <w:rStyle w:val="Nmerodepgina"/>
          <w:rFonts w:cs="Arial"/>
          <w:i/>
          <w:iCs/>
          <w:sz w:val="20"/>
          <w:szCs w:val="20"/>
        </w:rPr>
      </w:pPr>
    </w:p>
    <w:p w:rsidR="002E46C2" w:rsidRPr="002A1C25" w:rsidRDefault="002E46C2" w:rsidP="00246A27">
      <w:pPr>
        <w:spacing w:line="240" w:lineRule="auto"/>
        <w:rPr>
          <w:rFonts w:cs="Arial"/>
          <w:i/>
          <w:sz w:val="20"/>
          <w:szCs w:val="20"/>
        </w:rPr>
      </w:pPr>
      <w:r w:rsidRPr="002237A6">
        <w:rPr>
          <w:rStyle w:val="Nmerodepgina"/>
          <w:rFonts w:cs="Arial"/>
          <w:i/>
          <w:iCs/>
          <w:sz w:val="20"/>
          <w:szCs w:val="20"/>
        </w:rPr>
        <w:t>“a) La Nación, las regiones, los departamentos, las provincias,</w:t>
      </w:r>
      <w:r w:rsidRPr="002237A6">
        <w:rPr>
          <w:rStyle w:val="Nmerodepgina"/>
          <w:rFonts w:cs="Arial"/>
          <w:b/>
          <w:i/>
          <w:iCs/>
          <w:sz w:val="20"/>
          <w:szCs w:val="20"/>
        </w:rPr>
        <w:t xml:space="preserve"> </w:t>
      </w:r>
      <w:r w:rsidRPr="002237A6">
        <w:rPr>
          <w:rStyle w:val="Nmerodepgina"/>
          <w:rFonts w:cs="Arial"/>
          <w:i/>
          <w:iCs/>
          <w:sz w:val="20"/>
          <w:szCs w:val="20"/>
        </w:rPr>
        <w:t>el distrito capital</w:t>
      </w:r>
      <w:r w:rsidRPr="002237A6">
        <w:rPr>
          <w:rStyle w:val="Nmerodepgina"/>
          <w:rFonts w:cs="Arial"/>
          <w:b/>
          <w:i/>
          <w:iCs/>
          <w:sz w:val="20"/>
          <w:szCs w:val="20"/>
        </w:rPr>
        <w:t xml:space="preserve"> </w:t>
      </w:r>
      <w:r w:rsidRPr="002237A6">
        <w:rPr>
          <w:rStyle w:val="Nmerodepgina"/>
          <w:rFonts w:cs="Arial"/>
          <w:i/>
          <w:iCs/>
          <w:sz w:val="20"/>
          <w:szCs w:val="20"/>
        </w:rPr>
        <w:t xml:space="preserve">y los distritos especiales, las áreas metropolitanas, las asociaciones de municipios, los territorios indígenas y los municipios; los establecimientos públicos, </w:t>
      </w:r>
      <w:r w:rsidRPr="002237A6">
        <w:rPr>
          <w:rStyle w:val="Nmerodepgina"/>
          <w:rFonts w:cs="Arial"/>
          <w:i/>
          <w:iCs/>
          <w:sz w:val="20"/>
          <w:szCs w:val="20"/>
          <w:u w:val="single"/>
        </w:rPr>
        <w:t>las empresas industriales y comerciales del Estado</w:t>
      </w:r>
      <w:r w:rsidRPr="002237A6">
        <w:rPr>
          <w:rStyle w:val="Nmerodepgina"/>
          <w:rFonts w:cs="Arial"/>
          <w:i/>
          <w:iCs/>
          <w:sz w:val="20"/>
          <w:szCs w:val="20"/>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Pr="002A1C25">
        <w:rPr>
          <w:rStyle w:val="Nmerodepgina"/>
          <w:rFonts w:cs="Arial"/>
          <w:iCs/>
          <w:sz w:val="20"/>
          <w:szCs w:val="20"/>
        </w:rPr>
        <w:t>” ( se subraya)</w:t>
      </w:r>
      <w:r>
        <w:rPr>
          <w:rStyle w:val="Nmerodepgina"/>
          <w:rFonts w:cs="Arial"/>
          <w:iCs/>
          <w:sz w:val="20"/>
          <w:szCs w:val="20"/>
        </w:rPr>
        <w:t>.</w:t>
      </w:r>
      <w:r w:rsidRPr="002A1C25">
        <w:rPr>
          <w:rStyle w:val="Nmerodepgina"/>
          <w:rFonts w:cs="Arial"/>
          <w:iCs/>
          <w:sz w:val="20"/>
          <w:szCs w:val="20"/>
        </w:rPr>
        <w:t xml:space="preserve"> </w:t>
      </w:r>
    </w:p>
    <w:p w:rsidR="002E46C2" w:rsidRPr="002A1C25" w:rsidRDefault="002E46C2" w:rsidP="00246A27">
      <w:pPr>
        <w:pStyle w:val="Textonotapie"/>
        <w:rPr>
          <w:lang w:val="es-CO"/>
        </w:rPr>
      </w:pPr>
    </w:p>
  </w:footnote>
  <w:footnote w:id="17">
    <w:p w:rsidR="002E46C2" w:rsidRPr="002A1C25" w:rsidRDefault="002E46C2" w:rsidP="002D40B7">
      <w:pPr>
        <w:spacing w:line="240" w:lineRule="auto"/>
        <w:rPr>
          <w:rFonts w:cs="Arial"/>
          <w:i/>
          <w:iCs/>
          <w:sz w:val="20"/>
          <w:szCs w:val="20"/>
        </w:rPr>
      </w:pPr>
      <w:r w:rsidRPr="002A1C25">
        <w:rPr>
          <w:rStyle w:val="Refdenotaalpie"/>
          <w:rFonts w:cs="Arial"/>
          <w:sz w:val="20"/>
          <w:szCs w:val="20"/>
        </w:rPr>
        <w:footnoteRef/>
      </w:r>
      <w:r w:rsidRPr="002A1C25">
        <w:rPr>
          <w:rFonts w:cs="Arial"/>
          <w:sz w:val="20"/>
          <w:szCs w:val="20"/>
        </w:rPr>
        <w:t xml:space="preserve"> </w:t>
      </w:r>
      <w:r w:rsidRPr="002A1C25">
        <w:rPr>
          <w:rFonts w:cs="Arial"/>
          <w:sz w:val="20"/>
          <w:szCs w:val="20"/>
          <w:lang w:val="es-ES_tradnl"/>
        </w:rPr>
        <w:t xml:space="preserve">Artículo 75, Ley 80 de 1993: </w:t>
      </w:r>
      <w:r w:rsidRPr="002A1C25">
        <w:rPr>
          <w:rFonts w:cs="Arial"/>
          <w:iCs/>
          <w:sz w:val="20"/>
          <w:szCs w:val="20"/>
          <w:lang w:val="es-ES_tradnl"/>
        </w:rPr>
        <w:t>“</w:t>
      </w:r>
      <w:r w:rsidRPr="002A1C25">
        <w:rPr>
          <w:rFonts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r>
        <w:rPr>
          <w:rFonts w:cs="Arial"/>
          <w:i/>
          <w:iCs/>
          <w:sz w:val="20"/>
          <w:szCs w:val="20"/>
        </w:rPr>
        <w:t>.</w:t>
      </w:r>
    </w:p>
    <w:p w:rsidR="002E46C2" w:rsidRPr="002A1C25" w:rsidRDefault="002E46C2" w:rsidP="002D40B7">
      <w:pPr>
        <w:spacing w:line="240" w:lineRule="auto"/>
        <w:rPr>
          <w:rFonts w:cs="Arial"/>
          <w:i/>
          <w:sz w:val="20"/>
          <w:szCs w:val="20"/>
        </w:rPr>
      </w:pPr>
    </w:p>
  </w:footnote>
  <w:footnote w:id="18">
    <w:p w:rsidR="002E46C2" w:rsidRPr="00E964C5" w:rsidRDefault="002E46C2" w:rsidP="00822904">
      <w:pPr>
        <w:tabs>
          <w:tab w:val="center" w:pos="0"/>
          <w:tab w:val="left" w:pos="1134"/>
        </w:tabs>
        <w:adjustRightInd w:val="0"/>
        <w:spacing w:line="240" w:lineRule="auto"/>
        <w:textAlignment w:val="center"/>
        <w:rPr>
          <w:rFonts w:cs="Arial"/>
          <w:i/>
          <w:iCs/>
          <w:sz w:val="20"/>
          <w:szCs w:val="20"/>
          <w:lang w:val="es-ES_tradnl"/>
        </w:rPr>
      </w:pPr>
      <w:r w:rsidRPr="002A1C25">
        <w:rPr>
          <w:rStyle w:val="Refdenotaalpie"/>
          <w:sz w:val="20"/>
          <w:szCs w:val="20"/>
        </w:rPr>
        <w:footnoteRef/>
      </w:r>
      <w:r w:rsidRPr="002A1C25">
        <w:rPr>
          <w:sz w:val="20"/>
          <w:szCs w:val="20"/>
        </w:rPr>
        <w:t xml:space="preserve"> </w:t>
      </w:r>
      <w:r w:rsidRPr="002A1C25">
        <w:rPr>
          <w:rFonts w:cs="Arial"/>
          <w:i/>
          <w:iCs/>
          <w:sz w:val="20"/>
          <w:szCs w:val="20"/>
          <w:lang w:val="es-ES_tradnl"/>
        </w:rPr>
        <w:t>“Artículo 82</w:t>
      </w:r>
      <w:r>
        <w:rPr>
          <w:rFonts w:cs="Arial"/>
          <w:i/>
          <w:iCs/>
          <w:sz w:val="20"/>
          <w:szCs w:val="20"/>
          <w:lang w:val="es-ES_tradnl"/>
        </w:rPr>
        <w:t xml:space="preserve"> CCA</w:t>
      </w:r>
      <w:r w:rsidRPr="002A1C25">
        <w:rPr>
          <w:rFonts w:cs="Arial"/>
          <w:i/>
          <w:iCs/>
          <w:sz w:val="20"/>
          <w:szCs w:val="20"/>
          <w:lang w:val="es-ES_tradnl"/>
        </w:rPr>
        <w:t xml:space="preserve">. Objeto de la jurisdicción de lo contencioso administrativo. La jurisdicción de lo contencioso administrativo está instituida para juzgar las controversias y litigios originados en la actividad de las </w:t>
      </w:r>
      <w:r w:rsidRPr="002A1C25">
        <w:rPr>
          <w:rFonts w:cs="Arial"/>
          <w:b/>
          <w:bCs/>
          <w:i/>
          <w:iCs/>
          <w:sz w:val="20"/>
          <w:szCs w:val="20"/>
          <w:lang w:val="es-ES_tradnl"/>
        </w:rPr>
        <w:t xml:space="preserve">entidades públicas </w:t>
      </w:r>
      <w:r w:rsidRPr="002A1C25">
        <w:rPr>
          <w:rFonts w:cs="Arial"/>
          <w:i/>
          <w:iCs/>
          <w:sz w:val="20"/>
          <w:szCs w:val="20"/>
          <w:lang w:val="es-ES_tradnl"/>
        </w:rPr>
        <w:t>incluidas las sociedades de economía mixta con capital público superior al 50% y de las personas privadas que desempeñen funciones propias de los</w:t>
      </w:r>
      <w:r w:rsidRPr="00E964C5">
        <w:rPr>
          <w:rFonts w:cs="Arial"/>
          <w:i/>
          <w:iCs/>
          <w:sz w:val="20"/>
          <w:szCs w:val="20"/>
          <w:lang w:val="es-ES_tradnl"/>
        </w:rPr>
        <w:t xml:space="preserve"> distintos órganos del Estado. Se ejerce por el Consejo de Estado, los tribunales administrativos y los juzgados administrativos de conformidad con la Constitución y la ley”</w:t>
      </w:r>
      <w:r>
        <w:rPr>
          <w:rFonts w:cs="Arial"/>
          <w:i/>
          <w:iCs/>
          <w:sz w:val="20"/>
          <w:szCs w:val="20"/>
          <w:lang w:val="es-ES_tradnl"/>
        </w:rPr>
        <w:t>.</w:t>
      </w:r>
    </w:p>
    <w:p w:rsidR="002E46C2" w:rsidRPr="00E964C5" w:rsidRDefault="002E46C2" w:rsidP="00822904">
      <w:pPr>
        <w:pStyle w:val="Textonotapie"/>
        <w:spacing w:line="240" w:lineRule="auto"/>
        <w:rPr>
          <w:lang w:val="es-MX"/>
        </w:rPr>
      </w:pPr>
    </w:p>
  </w:footnote>
  <w:footnote w:id="19">
    <w:p w:rsidR="002E46C2" w:rsidRPr="00CF1943" w:rsidRDefault="002E46C2" w:rsidP="00F76C10">
      <w:pPr>
        <w:pStyle w:val="Textonotapie"/>
        <w:rPr>
          <w:lang w:val="es-CO"/>
        </w:rPr>
      </w:pPr>
      <w:r>
        <w:rPr>
          <w:rStyle w:val="Refdenotaalpie"/>
        </w:rPr>
        <w:footnoteRef/>
      </w:r>
      <w:r>
        <w:t xml:space="preserve"> </w:t>
      </w:r>
      <w:r>
        <w:rPr>
          <w:lang w:val="es-CO"/>
        </w:rPr>
        <w:t>Artículos 2 y 75.</w:t>
      </w:r>
    </w:p>
  </w:footnote>
  <w:footnote w:id="20">
    <w:p w:rsidR="002E46C2" w:rsidRDefault="002E46C2" w:rsidP="00F76C10">
      <w:pPr>
        <w:pStyle w:val="Textonotapie"/>
        <w:spacing w:line="240" w:lineRule="auto"/>
        <w:rPr>
          <w:lang w:val="es-CO"/>
        </w:rPr>
      </w:pPr>
      <w:r>
        <w:rPr>
          <w:rStyle w:val="Refdenotaalpie"/>
        </w:rPr>
        <w:footnoteRef/>
      </w:r>
      <w: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Pr>
          <w:lang w:val="es-CO"/>
        </w:rPr>
        <w:t>la Ley 446 de 1998, la cual entró a regir el 8 de julio de 1998 y se modificó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rsidR="002E46C2" w:rsidRPr="00C045C1" w:rsidRDefault="002E46C2" w:rsidP="00F76C10">
      <w:pPr>
        <w:pStyle w:val="Textonotapie"/>
        <w:spacing w:line="240" w:lineRule="auto"/>
        <w:rPr>
          <w:lang w:val="es-CO"/>
        </w:rPr>
      </w:pPr>
    </w:p>
  </w:footnote>
  <w:footnote w:id="21">
    <w:p w:rsidR="002E46C2" w:rsidRPr="005140E3" w:rsidRDefault="002E46C2" w:rsidP="009250D8">
      <w:pPr>
        <w:pStyle w:val="Textonotapie"/>
        <w:spacing w:line="240" w:lineRule="auto"/>
        <w:ind w:right="51"/>
      </w:pPr>
      <w:r w:rsidRPr="005140E3">
        <w:rPr>
          <w:rStyle w:val="Refdenotaalpie"/>
        </w:rPr>
        <w:footnoteRef/>
      </w:r>
      <w:r w:rsidRPr="005140E3">
        <w:t xml:space="preserve"> De acuerdo con el salario mínimo mensual legal vigente del año 2004</w:t>
      </w:r>
      <w:r>
        <w:t xml:space="preserve"> ($358.000)</w:t>
      </w:r>
      <w:r w:rsidRPr="005140E3">
        <w:t>, toda vez que la demanda se presentó el 10 de diciembre de 2004 y el recurso de apelación</w:t>
      </w:r>
      <w:r>
        <w:t xml:space="preserve">, en este proceso, </w:t>
      </w:r>
      <w:r w:rsidRPr="005140E3">
        <w:t xml:space="preserve"> se interpuso el 15 de </w:t>
      </w:r>
      <w:r>
        <w:t xml:space="preserve">septiembre </w:t>
      </w:r>
      <w:r w:rsidRPr="005140E3">
        <w:t>de 201</w:t>
      </w:r>
      <w:r>
        <w:t>4</w:t>
      </w:r>
      <w:r w:rsidRPr="005140E3">
        <w:t xml:space="preserve">, </w:t>
      </w:r>
      <w:r>
        <w:t>habiendo entrado a regir la Ley 1450 de 2011, mediante la cual se adoptaron las cuantías previstas en la Ley 1437 de 2011 (CPACA)</w:t>
      </w:r>
      <w:r w:rsidRPr="005140E3">
        <w:t>.</w:t>
      </w:r>
    </w:p>
    <w:p w:rsidR="002E46C2" w:rsidRPr="009F63C0" w:rsidRDefault="002E46C2" w:rsidP="009250D8">
      <w:pPr>
        <w:pStyle w:val="Textonotapie"/>
        <w:spacing w:line="240" w:lineRule="auto"/>
        <w:ind w:right="51"/>
        <w:rPr>
          <w:sz w:val="18"/>
          <w:szCs w:val="18"/>
          <w:lang w:val="es-CO"/>
        </w:rPr>
      </w:pPr>
    </w:p>
  </w:footnote>
  <w:footnote w:id="22">
    <w:p w:rsidR="002E46C2" w:rsidRPr="001E5911" w:rsidRDefault="002E46C2" w:rsidP="00B82FF8">
      <w:pPr>
        <w:spacing w:line="240" w:lineRule="auto"/>
        <w:rPr>
          <w:sz w:val="20"/>
          <w:szCs w:val="20"/>
          <w:lang w:val="es-CO"/>
        </w:rPr>
      </w:pPr>
      <w:r w:rsidRPr="00FF56C2">
        <w:rPr>
          <w:rStyle w:val="Refdenotaalpie"/>
          <w:sz w:val="20"/>
          <w:szCs w:val="20"/>
        </w:rPr>
        <w:footnoteRef/>
      </w:r>
      <w:r w:rsidRPr="00FF56C2">
        <w:rPr>
          <w:sz w:val="20"/>
          <w:szCs w:val="20"/>
        </w:rPr>
        <w:t xml:space="preserve"> </w:t>
      </w:r>
      <w:r w:rsidRPr="00FF56C2">
        <w:rPr>
          <w:rFonts w:cs="Arial"/>
          <w:sz w:val="20"/>
          <w:szCs w:val="20"/>
        </w:rPr>
        <w:t xml:space="preserve">Consejo de Estado, </w:t>
      </w:r>
      <w:r w:rsidRPr="00FF56C2">
        <w:rPr>
          <w:rFonts w:cs="Arial"/>
          <w:sz w:val="20"/>
          <w:szCs w:val="20"/>
          <w:lang w:val="es-MX"/>
        </w:rPr>
        <w:t xml:space="preserve">Sala de lo Contencioso Administrativo, Sección Tercera, </w:t>
      </w:r>
      <w:r w:rsidRPr="00FF56C2">
        <w:rPr>
          <w:rFonts w:cs="Arial"/>
          <w:sz w:val="20"/>
          <w:szCs w:val="20"/>
        </w:rPr>
        <w:t>Consejero Ponente: Alier Eduardo Hernández Enríquez, sentencia de m</w:t>
      </w:r>
      <w:r w:rsidRPr="00FF56C2">
        <w:rPr>
          <w:rFonts w:cs="Arial"/>
          <w:sz w:val="20"/>
          <w:szCs w:val="20"/>
          <w:lang w:val="es-MX"/>
        </w:rPr>
        <w:t>arzo 21 de 2007, radicación: 25000-23-26-000-1998-00574-01(29102), actor: Instituto de Mercadeo Agropecuario -IDEMA-, demandado: Jhon David Isaac Cure y otro</w:t>
      </w:r>
      <w:r w:rsidRPr="00BD3254">
        <w:rPr>
          <w:rFonts w:cs="Arial"/>
          <w:sz w:val="20"/>
          <w:szCs w:val="20"/>
          <w:lang w:val="es-MX"/>
        </w:rPr>
        <w:t xml:space="preserve">. En el mismo sentido: </w:t>
      </w:r>
      <w:r w:rsidRPr="00BD3254">
        <w:rPr>
          <w:rFonts w:cs="Arial"/>
          <w:sz w:val="20"/>
          <w:szCs w:val="20"/>
        </w:rPr>
        <w:t>Consejo de Estado, Sala de lo Contencioso Administrativo, Sección</w:t>
      </w:r>
      <w:r w:rsidRPr="00BD3254">
        <w:rPr>
          <w:rFonts w:cs="Arial"/>
          <w:b/>
          <w:sz w:val="20"/>
          <w:szCs w:val="20"/>
        </w:rPr>
        <w:t xml:space="preserve"> </w:t>
      </w:r>
      <w:r w:rsidRPr="00BD3254">
        <w:rPr>
          <w:rFonts w:cs="Arial"/>
          <w:sz w:val="20"/>
          <w:szCs w:val="20"/>
        </w:rPr>
        <w:t xml:space="preserve">Tercera – Subsección A, </w:t>
      </w:r>
      <w:r w:rsidRPr="00BD3254">
        <w:rPr>
          <w:sz w:val="20"/>
          <w:szCs w:val="20"/>
          <w:lang w:val="es-CO"/>
        </w:rPr>
        <w:t xml:space="preserve">Consejero Ponente: Mauricio Fajardo Gómez, sentencia de </w:t>
      </w:r>
      <w:r w:rsidRPr="00BD3254">
        <w:rPr>
          <w:rFonts w:cs="Arial"/>
          <w:sz w:val="20"/>
          <w:szCs w:val="20"/>
        </w:rPr>
        <w:t>21 de marzo de 2012, r</w:t>
      </w:r>
      <w:r w:rsidRPr="00BD3254">
        <w:rPr>
          <w:rFonts w:cs="Arial"/>
          <w:bCs/>
          <w:sz w:val="20"/>
          <w:szCs w:val="20"/>
        </w:rPr>
        <w:t>adicación: 5200123310001999051501, expediente: 21.666, actor: Silvio Palacios Palacios, demandado: municipio de Sandoná, referencia.: contractual – apelación sentencia</w:t>
      </w:r>
      <w:r>
        <w:rPr>
          <w:rFonts w:cs="Arial"/>
          <w:bCs/>
          <w:sz w:val="20"/>
          <w:szCs w:val="20"/>
        </w:rPr>
        <w:t>.</w:t>
      </w:r>
    </w:p>
  </w:footnote>
  <w:footnote w:id="23">
    <w:p w:rsidR="002E46C2" w:rsidRDefault="002E46C2" w:rsidP="0065188E">
      <w:pPr>
        <w:spacing w:line="240" w:lineRule="auto"/>
        <w:ind w:right="-1"/>
        <w:rPr>
          <w:rFonts w:cs="Arial"/>
          <w:sz w:val="20"/>
          <w:szCs w:val="20"/>
        </w:rPr>
      </w:pPr>
      <w:r w:rsidRPr="007D7AD2">
        <w:rPr>
          <w:rStyle w:val="Refdenotaalpie"/>
          <w:rFonts w:cs="Arial"/>
          <w:sz w:val="20"/>
          <w:szCs w:val="20"/>
        </w:rPr>
        <w:footnoteRef/>
      </w:r>
      <w:r w:rsidRPr="007D7AD2">
        <w:rPr>
          <w:rFonts w:cs="Arial"/>
          <w:sz w:val="20"/>
          <w:szCs w:val="20"/>
        </w:rPr>
        <w:t xml:space="preserve"> </w:t>
      </w:r>
      <w:r w:rsidRPr="00DF1E4A">
        <w:rPr>
          <w:rFonts w:cs="Arial"/>
          <w:sz w:val="20"/>
          <w:szCs w:val="20"/>
        </w:rPr>
        <w:t xml:space="preserve">Consejo </w:t>
      </w:r>
      <w:r>
        <w:rPr>
          <w:rFonts w:cs="Arial"/>
          <w:sz w:val="20"/>
          <w:szCs w:val="20"/>
        </w:rPr>
        <w:t>d</w:t>
      </w:r>
      <w:r w:rsidRPr="00DF1E4A">
        <w:rPr>
          <w:rFonts w:cs="Arial"/>
          <w:sz w:val="20"/>
          <w:szCs w:val="20"/>
        </w:rPr>
        <w:t xml:space="preserve">e Estado, Sala Plena </w:t>
      </w:r>
      <w:r>
        <w:rPr>
          <w:rFonts w:cs="Arial"/>
          <w:sz w:val="20"/>
          <w:szCs w:val="20"/>
        </w:rPr>
        <w:t>d</w:t>
      </w:r>
      <w:r w:rsidRPr="00DF1E4A">
        <w:rPr>
          <w:rFonts w:cs="Arial"/>
          <w:sz w:val="20"/>
          <w:szCs w:val="20"/>
        </w:rPr>
        <w:t xml:space="preserve">e </w:t>
      </w:r>
      <w:r>
        <w:rPr>
          <w:rFonts w:cs="Arial"/>
          <w:sz w:val="20"/>
          <w:szCs w:val="20"/>
        </w:rPr>
        <w:t>l</w:t>
      </w:r>
      <w:r w:rsidRPr="00DF1E4A">
        <w:rPr>
          <w:rFonts w:cs="Arial"/>
          <w:sz w:val="20"/>
          <w:szCs w:val="20"/>
        </w:rPr>
        <w:t xml:space="preserve">o Contencioso Administrativo, </w:t>
      </w:r>
      <w:r>
        <w:rPr>
          <w:rFonts w:cs="Arial"/>
          <w:sz w:val="20"/>
          <w:szCs w:val="20"/>
        </w:rPr>
        <w:t>m</w:t>
      </w:r>
      <w:r w:rsidRPr="00DF1E4A">
        <w:rPr>
          <w:rFonts w:cs="Arial"/>
          <w:sz w:val="20"/>
          <w:szCs w:val="20"/>
        </w:rPr>
        <w:t xml:space="preserve">agistrado </w:t>
      </w:r>
      <w:r>
        <w:rPr>
          <w:rFonts w:cs="Arial"/>
          <w:sz w:val="20"/>
          <w:szCs w:val="20"/>
        </w:rPr>
        <w:t>p</w:t>
      </w:r>
      <w:r w:rsidRPr="00DF1E4A">
        <w:rPr>
          <w:rFonts w:cs="Arial"/>
          <w:sz w:val="20"/>
          <w:szCs w:val="20"/>
        </w:rPr>
        <w:t>onente</w:t>
      </w:r>
      <w:r>
        <w:rPr>
          <w:rFonts w:cs="Arial"/>
          <w:sz w:val="20"/>
          <w:szCs w:val="20"/>
        </w:rPr>
        <w:t>:</w:t>
      </w:r>
      <w:r w:rsidRPr="00DF1E4A">
        <w:rPr>
          <w:rFonts w:cs="Arial"/>
          <w:sz w:val="20"/>
          <w:szCs w:val="20"/>
        </w:rPr>
        <w:t xml:space="preserve"> Joaqu</w:t>
      </w:r>
      <w:r>
        <w:rPr>
          <w:rFonts w:cs="Arial"/>
          <w:sz w:val="20"/>
          <w:szCs w:val="20"/>
        </w:rPr>
        <w:t>í</w:t>
      </w:r>
      <w:r w:rsidRPr="00DF1E4A">
        <w:rPr>
          <w:rFonts w:cs="Arial"/>
          <w:sz w:val="20"/>
          <w:szCs w:val="20"/>
        </w:rPr>
        <w:t xml:space="preserve">n Jaraba Del Castillo, </w:t>
      </w:r>
      <w:r w:rsidRPr="00DF1E4A">
        <w:rPr>
          <w:rFonts w:cs="Arial"/>
          <w:sz w:val="20"/>
          <w:szCs w:val="20"/>
          <w:lang w:val="es-CO"/>
        </w:rPr>
        <w:t xml:space="preserve">S-262, </w:t>
      </w:r>
      <w:r>
        <w:rPr>
          <w:rFonts w:cs="Arial"/>
          <w:sz w:val="20"/>
          <w:szCs w:val="20"/>
          <w:lang w:val="es-CO"/>
        </w:rPr>
        <w:t>s</w:t>
      </w:r>
      <w:r w:rsidRPr="00DF1E4A">
        <w:rPr>
          <w:rFonts w:cs="Arial"/>
          <w:sz w:val="20"/>
          <w:szCs w:val="20"/>
          <w:lang w:val="es-CO"/>
        </w:rPr>
        <w:t xml:space="preserve">entencia </w:t>
      </w:r>
      <w:r>
        <w:rPr>
          <w:rFonts w:cs="Arial"/>
          <w:sz w:val="20"/>
          <w:szCs w:val="20"/>
          <w:lang w:val="es-CO"/>
        </w:rPr>
        <w:t>d</w:t>
      </w:r>
      <w:r w:rsidRPr="00DF1E4A">
        <w:rPr>
          <w:rFonts w:cs="Arial"/>
          <w:sz w:val="20"/>
          <w:szCs w:val="20"/>
          <w:lang w:val="es-CO"/>
        </w:rPr>
        <w:t xml:space="preserve">e 9 </w:t>
      </w:r>
      <w:r>
        <w:rPr>
          <w:rFonts w:cs="Arial"/>
          <w:sz w:val="20"/>
          <w:szCs w:val="20"/>
          <w:lang w:val="es-CO"/>
        </w:rPr>
        <w:t>d</w:t>
      </w:r>
      <w:r w:rsidRPr="00DF1E4A">
        <w:rPr>
          <w:rFonts w:cs="Arial"/>
          <w:sz w:val="20"/>
          <w:szCs w:val="20"/>
          <w:lang w:val="es-CO"/>
        </w:rPr>
        <w:t xml:space="preserve">e </w:t>
      </w:r>
      <w:r>
        <w:rPr>
          <w:rFonts w:cs="Arial"/>
          <w:sz w:val="20"/>
          <w:szCs w:val="20"/>
          <w:lang w:val="es-CO"/>
        </w:rPr>
        <w:t>m</w:t>
      </w:r>
      <w:r w:rsidRPr="00DF1E4A">
        <w:rPr>
          <w:rFonts w:cs="Arial"/>
          <w:sz w:val="20"/>
          <w:szCs w:val="20"/>
          <w:lang w:val="es-CO"/>
        </w:rPr>
        <w:t xml:space="preserve">arzo </w:t>
      </w:r>
      <w:r>
        <w:rPr>
          <w:rFonts w:cs="Arial"/>
          <w:sz w:val="20"/>
          <w:szCs w:val="20"/>
          <w:lang w:val="es-CO"/>
        </w:rPr>
        <w:t>d</w:t>
      </w:r>
      <w:r w:rsidRPr="00DF1E4A">
        <w:rPr>
          <w:rFonts w:cs="Arial"/>
          <w:sz w:val="20"/>
          <w:szCs w:val="20"/>
          <w:lang w:val="es-CO"/>
        </w:rPr>
        <w:t xml:space="preserve">e 1998, </w:t>
      </w:r>
      <w:r>
        <w:rPr>
          <w:rFonts w:cs="Arial"/>
          <w:sz w:val="20"/>
          <w:szCs w:val="20"/>
          <w:lang w:val="es-CO"/>
        </w:rPr>
        <w:t>r</w:t>
      </w:r>
      <w:r w:rsidRPr="00DF1E4A">
        <w:rPr>
          <w:rFonts w:cs="Arial"/>
          <w:sz w:val="20"/>
          <w:szCs w:val="20"/>
        </w:rPr>
        <w:t xml:space="preserve">adicación: S-262. </w:t>
      </w:r>
      <w:r>
        <w:rPr>
          <w:rFonts w:cs="Arial"/>
          <w:sz w:val="20"/>
          <w:szCs w:val="20"/>
        </w:rPr>
        <w:t>a</w:t>
      </w:r>
      <w:r w:rsidRPr="00DF1E4A">
        <w:rPr>
          <w:rFonts w:cs="Arial"/>
          <w:sz w:val="20"/>
          <w:szCs w:val="20"/>
        </w:rPr>
        <w:t xml:space="preserve">ctor: Sociedad Colombiana </w:t>
      </w:r>
      <w:r>
        <w:rPr>
          <w:rFonts w:cs="Arial"/>
          <w:sz w:val="20"/>
          <w:szCs w:val="20"/>
        </w:rPr>
        <w:t>d</w:t>
      </w:r>
      <w:r w:rsidRPr="00DF1E4A">
        <w:rPr>
          <w:rFonts w:cs="Arial"/>
          <w:sz w:val="20"/>
          <w:szCs w:val="20"/>
        </w:rPr>
        <w:t xml:space="preserve">e Construcciones - Sococo S.A., </w:t>
      </w:r>
      <w:r>
        <w:rPr>
          <w:rFonts w:cs="Arial"/>
          <w:sz w:val="20"/>
          <w:szCs w:val="20"/>
        </w:rPr>
        <w:t>d</w:t>
      </w:r>
      <w:r w:rsidRPr="00DF1E4A">
        <w:rPr>
          <w:rFonts w:cs="Arial"/>
          <w:sz w:val="20"/>
          <w:szCs w:val="20"/>
        </w:rPr>
        <w:t xml:space="preserve">emandado: </w:t>
      </w:r>
      <w:r w:rsidRPr="00B60B4B">
        <w:rPr>
          <w:rFonts w:cs="Arial"/>
          <w:sz w:val="20"/>
          <w:szCs w:val="20"/>
        </w:rPr>
        <w:t xml:space="preserve">Nación, Ministerio de Obras Públicas y Transporte  - Instituto Nacional de Vías, referencia: recurso extraordinario de </w:t>
      </w:r>
      <w:r>
        <w:rPr>
          <w:rFonts w:cs="Arial"/>
          <w:sz w:val="20"/>
          <w:szCs w:val="20"/>
        </w:rPr>
        <w:t>s</w:t>
      </w:r>
      <w:r w:rsidRPr="00B60B4B">
        <w:rPr>
          <w:rFonts w:cs="Arial"/>
          <w:sz w:val="20"/>
          <w:szCs w:val="20"/>
        </w:rPr>
        <w:t>úplica</w:t>
      </w:r>
      <w:r>
        <w:rPr>
          <w:rFonts w:cs="Arial"/>
          <w:sz w:val="20"/>
          <w:szCs w:val="20"/>
        </w:rPr>
        <w:t>.</w:t>
      </w:r>
    </w:p>
    <w:p w:rsidR="002E46C2" w:rsidRDefault="002E46C2" w:rsidP="0065188E">
      <w:pPr>
        <w:spacing w:line="240" w:lineRule="auto"/>
        <w:ind w:right="-1"/>
        <w:rPr>
          <w:rFonts w:cs="Arial"/>
          <w:sz w:val="20"/>
          <w:szCs w:val="20"/>
        </w:rPr>
      </w:pPr>
    </w:p>
    <w:p w:rsidR="002E46C2" w:rsidRDefault="002E46C2" w:rsidP="0065188E">
      <w:pPr>
        <w:spacing w:line="240" w:lineRule="auto"/>
        <w:ind w:right="-1"/>
        <w:rPr>
          <w:rFonts w:cs="Arial"/>
          <w:i/>
          <w:sz w:val="20"/>
          <w:szCs w:val="20"/>
        </w:rPr>
      </w:pPr>
      <w:r>
        <w:rPr>
          <w:rFonts w:cs="Arial"/>
          <w:sz w:val="20"/>
          <w:szCs w:val="20"/>
        </w:rPr>
        <w:t>“</w:t>
      </w:r>
      <w:r w:rsidRPr="00CE22F8">
        <w:rPr>
          <w:rFonts w:cs="Arial"/>
          <w:i/>
          <w:sz w:val="20"/>
          <w:szCs w:val="20"/>
        </w:rPr>
        <w:t>Y si bien las sentencias de la Sala Plena traídas como sustento del presente recurso hacen relación a las acciones indemnizatorias de reparación directa por hechos de la administración ocurridos con anterioridad a la vigencia del decreto 528 de 1.964, que modificó el régimen de prescripción extintiva por el de caducidad de tres años, las mismas premisas le son aplicables a la acción contractual, que hasta la fecha de vigencia del Decreto 01 de 1.984 se regía igualmente por dicho sistema de prescripción.</w:t>
      </w:r>
    </w:p>
    <w:p w:rsidR="002E46C2" w:rsidRPr="00CE22F8" w:rsidRDefault="002E46C2" w:rsidP="0065188E">
      <w:pPr>
        <w:spacing w:line="240" w:lineRule="auto"/>
        <w:ind w:right="-1"/>
        <w:rPr>
          <w:rFonts w:cs="Arial"/>
          <w:i/>
          <w:sz w:val="20"/>
          <w:szCs w:val="20"/>
        </w:rPr>
      </w:pPr>
    </w:p>
    <w:p w:rsidR="002E46C2" w:rsidRPr="00B60B4B" w:rsidRDefault="002E46C2" w:rsidP="007F00F9">
      <w:pPr>
        <w:spacing w:line="240" w:lineRule="auto"/>
        <w:ind w:right="-1"/>
        <w:rPr>
          <w:rFonts w:cs="Arial"/>
          <w:lang w:val="es-CO"/>
        </w:rPr>
      </w:pPr>
      <w:r>
        <w:rPr>
          <w:rFonts w:cs="Arial"/>
          <w:i/>
          <w:sz w:val="20"/>
          <w:szCs w:val="20"/>
        </w:rPr>
        <w:t>“</w:t>
      </w:r>
      <w:r w:rsidRPr="00CE22F8">
        <w:rPr>
          <w:rFonts w:cs="Arial"/>
          <w:i/>
          <w:sz w:val="20"/>
          <w:szCs w:val="20"/>
        </w:rPr>
        <w:t>De allí que al aplicar la anterior tesis de Sala Plena al caso controvertido, como los hechos constitutivos del incumplimiento contractual que motivaron la presente demanda se refieren a la no cancelación de las obras ejecutadas por encima del valor del contrato  según se consignó  en el Acta de Liquidación No. 53 de 1.978, es evidente que a la fecha de presentación de la demanda   - 5 de agosto de 1.986  -  no habían transcurrido los 20 años de la prescripción extintiva, sin que el término de caducidad de dos años que para ese tipo de acciones introdujo el Código Contencioso de 1.984 pueda afectar el término de prescripción que se inició en 1.978”</w:t>
      </w:r>
      <w:r>
        <w:rPr>
          <w:rFonts w:cs="Arial"/>
          <w:i/>
          <w:sz w:val="20"/>
          <w:szCs w:val="20"/>
        </w:rPr>
        <w:t>.</w:t>
      </w:r>
    </w:p>
  </w:footnote>
  <w:footnote w:id="24">
    <w:p w:rsidR="002E46C2" w:rsidRDefault="002E46C2" w:rsidP="0065188E">
      <w:pPr>
        <w:pStyle w:val="Textonotapie"/>
        <w:spacing w:line="240" w:lineRule="auto"/>
        <w:rPr>
          <w:rFonts w:cs="Arial"/>
        </w:rPr>
      </w:pPr>
      <w:r w:rsidRPr="00B60B4B">
        <w:rPr>
          <w:rStyle w:val="Refdenotaalpie"/>
          <w:rFonts w:cs="Arial"/>
        </w:rPr>
        <w:footnoteRef/>
      </w:r>
      <w:r w:rsidRPr="00B60B4B">
        <w:rPr>
          <w:rFonts w:cs="Arial"/>
        </w:rPr>
        <w:t xml:space="preserve"> Consejo de Estado, Sección Tercera, expediente 17333, demandante: Sociedad Constructora Regional de Vías CORVIAS, demandado: municipio de Ocamonte.</w:t>
      </w:r>
    </w:p>
    <w:p w:rsidR="002E46C2" w:rsidRPr="00B60B4B" w:rsidRDefault="002E46C2" w:rsidP="0065188E">
      <w:pPr>
        <w:pStyle w:val="Textonotapie"/>
        <w:spacing w:line="240" w:lineRule="auto"/>
        <w:rPr>
          <w:rFonts w:cs="Arial"/>
          <w:lang w:val="es-CO"/>
        </w:rPr>
      </w:pPr>
    </w:p>
  </w:footnote>
  <w:footnote w:id="25">
    <w:p w:rsidR="002E46C2" w:rsidRPr="002768E0" w:rsidRDefault="002E46C2" w:rsidP="0065188E">
      <w:pPr>
        <w:pStyle w:val="Textonotapie"/>
        <w:spacing w:line="240" w:lineRule="auto"/>
        <w:rPr>
          <w:rFonts w:cs="Arial"/>
          <w:lang w:val="es-CO"/>
        </w:rPr>
      </w:pPr>
      <w:r w:rsidRPr="002768E0">
        <w:rPr>
          <w:rStyle w:val="Refdenotaalpie"/>
          <w:rFonts w:cs="Arial"/>
        </w:rPr>
        <w:footnoteRef/>
      </w:r>
      <w:r w:rsidRPr="002768E0">
        <w:rPr>
          <w:rFonts w:cs="Arial"/>
        </w:rPr>
        <w:t xml:space="preserve"> Consejo de Estado, Sección Tercera, magistrada ponente </w:t>
      </w:r>
      <w:r w:rsidRPr="002768E0">
        <w:rPr>
          <w:rFonts w:cs="Arial"/>
          <w:lang w:val="es-CO"/>
        </w:rPr>
        <w:t>Maria Helena Giraldo, radicación</w:t>
      </w:r>
      <w:r>
        <w:rPr>
          <w:rFonts w:cs="Arial"/>
          <w:lang w:val="es-CO"/>
        </w:rPr>
        <w:t xml:space="preserve"> 070001233100019940013101, s</w:t>
      </w:r>
      <w:r w:rsidRPr="002768E0">
        <w:rPr>
          <w:rFonts w:cs="Arial"/>
        </w:rPr>
        <w:t xml:space="preserve">entencia de  14 de febrero de 2002, </w:t>
      </w:r>
      <w:r w:rsidRPr="002768E0">
        <w:rPr>
          <w:rFonts w:cs="Arial"/>
          <w:lang w:val="es-CO"/>
        </w:rPr>
        <w:t>demandante: Consultores Civiles e Hidráulicos Ltda.</w:t>
      </w:r>
      <w:r>
        <w:rPr>
          <w:rFonts w:cs="Arial"/>
          <w:lang w:val="es-CO"/>
        </w:rPr>
        <w:t>, demandado:</w:t>
      </w:r>
      <w:r w:rsidRPr="002768E0">
        <w:rPr>
          <w:rFonts w:cs="Arial"/>
          <w:lang w:val="es-CO"/>
        </w:rPr>
        <w:t xml:space="preserve"> </w:t>
      </w:r>
      <w:r>
        <w:rPr>
          <w:rFonts w:cs="Arial"/>
          <w:lang w:val="es-CO"/>
        </w:rPr>
        <w:t>m</w:t>
      </w:r>
      <w:r w:rsidRPr="002768E0">
        <w:rPr>
          <w:rFonts w:cs="Arial"/>
          <w:lang w:val="es-CO"/>
        </w:rPr>
        <w:t>unicipio de Arauca</w:t>
      </w:r>
      <w:r>
        <w:rPr>
          <w:rFonts w:cs="Arial"/>
          <w:lang w:val="es-CO"/>
        </w:rPr>
        <w:t>.</w:t>
      </w:r>
    </w:p>
    <w:p w:rsidR="002E46C2" w:rsidRPr="00B60B4B" w:rsidRDefault="002E46C2" w:rsidP="0065188E">
      <w:pPr>
        <w:pStyle w:val="Textonotapie"/>
        <w:spacing w:line="240" w:lineRule="auto"/>
        <w:rPr>
          <w:rFonts w:cs="Arial"/>
          <w:lang w:val="es-CO"/>
        </w:rPr>
      </w:pPr>
    </w:p>
  </w:footnote>
  <w:footnote w:id="26">
    <w:p w:rsidR="002E46C2" w:rsidRDefault="002E46C2" w:rsidP="0065188E">
      <w:pPr>
        <w:pStyle w:val="Textonotapie"/>
        <w:spacing w:line="240" w:lineRule="auto"/>
        <w:rPr>
          <w:rFonts w:cs="Arial"/>
          <w:lang w:val="es-CO"/>
        </w:rPr>
      </w:pPr>
      <w:r w:rsidRPr="00B60B4B">
        <w:rPr>
          <w:rStyle w:val="Refdenotaalpie"/>
          <w:rFonts w:cs="Arial"/>
        </w:rPr>
        <w:footnoteRef/>
      </w:r>
      <w:r w:rsidRPr="00B60B4B">
        <w:rPr>
          <w:rFonts w:cs="Arial"/>
        </w:rPr>
        <w:t xml:space="preserve"> </w:t>
      </w:r>
      <w:r w:rsidRPr="00B60B4B">
        <w:rPr>
          <w:rFonts w:cs="Arial"/>
          <w:lang w:val="es-CO"/>
        </w:rPr>
        <w:t xml:space="preserve">Consejo de </w:t>
      </w:r>
      <w:r>
        <w:rPr>
          <w:rFonts w:cs="Arial"/>
          <w:lang w:val="es-CO"/>
        </w:rPr>
        <w:t>E</w:t>
      </w:r>
      <w:r w:rsidRPr="00B60B4B">
        <w:rPr>
          <w:rFonts w:cs="Arial"/>
          <w:lang w:val="es-CO"/>
        </w:rPr>
        <w:t xml:space="preserve">stado, </w:t>
      </w:r>
      <w:r>
        <w:rPr>
          <w:rFonts w:cs="Arial"/>
          <w:lang w:val="es-CO"/>
        </w:rPr>
        <w:t>S</w:t>
      </w:r>
      <w:r w:rsidRPr="00B60B4B">
        <w:rPr>
          <w:rFonts w:cs="Arial"/>
          <w:lang w:val="es-CO"/>
        </w:rPr>
        <w:t xml:space="preserve">ección Tercera, Consejera Ponente Maria Helena Giraldo, sentencia de enero 23 de 2003, </w:t>
      </w:r>
      <w:r>
        <w:rPr>
          <w:rFonts w:cs="Arial"/>
          <w:lang w:val="es-CO"/>
        </w:rPr>
        <w:t>d</w:t>
      </w:r>
      <w:r w:rsidRPr="00B60B4B">
        <w:rPr>
          <w:rFonts w:cs="Arial"/>
          <w:lang w:val="es-CO"/>
        </w:rPr>
        <w:t>emandante</w:t>
      </w:r>
      <w:r>
        <w:rPr>
          <w:rFonts w:cs="Arial"/>
          <w:lang w:val="es-CO"/>
        </w:rPr>
        <w:t>:</w:t>
      </w:r>
      <w:r w:rsidRPr="00B60B4B">
        <w:rPr>
          <w:rFonts w:cs="Arial"/>
          <w:lang w:val="es-CO"/>
        </w:rPr>
        <w:t xml:space="preserve"> Roger Fadul Pantoja.</w:t>
      </w:r>
    </w:p>
    <w:p w:rsidR="002E46C2" w:rsidRPr="00B60B4B" w:rsidRDefault="002E46C2" w:rsidP="0065188E">
      <w:pPr>
        <w:pStyle w:val="Textonotapie"/>
        <w:spacing w:line="240" w:lineRule="auto"/>
        <w:rPr>
          <w:rFonts w:cs="Arial"/>
          <w:lang w:val="es-CO"/>
        </w:rPr>
      </w:pPr>
    </w:p>
  </w:footnote>
  <w:footnote w:id="27">
    <w:p w:rsidR="002E46C2" w:rsidRDefault="002E46C2" w:rsidP="006D1059">
      <w:pPr>
        <w:pStyle w:val="Textonotapie"/>
        <w:spacing w:line="240" w:lineRule="auto"/>
        <w:rPr>
          <w:rFonts w:cs="Arial"/>
          <w:i/>
          <w:shd w:val="clear" w:color="auto" w:fill="FFFFFF"/>
        </w:rPr>
      </w:pPr>
      <w:r w:rsidRPr="00B60B4B">
        <w:rPr>
          <w:rStyle w:val="Refdenotaalpie"/>
          <w:rFonts w:cs="Arial"/>
        </w:rPr>
        <w:footnoteRef/>
      </w:r>
      <w:r w:rsidRPr="00B60B4B">
        <w:rPr>
          <w:rFonts w:cs="Arial"/>
        </w:rPr>
        <w:t xml:space="preserve"> </w:t>
      </w:r>
      <w:r w:rsidRPr="00D14D82">
        <w:rPr>
          <w:rFonts w:cs="Arial"/>
          <w:bCs/>
          <w:shd w:val="clear" w:color="auto" w:fill="FFFFFF"/>
        </w:rPr>
        <w:t>Artículo</w:t>
      </w:r>
      <w:bookmarkStart w:id="1" w:name="38"/>
      <w:r w:rsidRPr="00D14D82">
        <w:rPr>
          <w:rFonts w:cs="Arial"/>
          <w:bCs/>
          <w:shd w:val="clear" w:color="auto" w:fill="FFFFFF"/>
        </w:rPr>
        <w:t> </w:t>
      </w:r>
      <w:bookmarkEnd w:id="1"/>
      <w:r w:rsidRPr="00D14D82">
        <w:rPr>
          <w:rFonts w:cs="Arial"/>
          <w:bCs/>
          <w:shd w:val="clear" w:color="auto" w:fill="FFFFFF"/>
        </w:rPr>
        <w:t>38, Ley 153 de 1987</w:t>
      </w:r>
      <w:r w:rsidRPr="00D14D82">
        <w:rPr>
          <w:rFonts w:cs="Arial"/>
          <w:i/>
          <w:shd w:val="clear" w:color="auto" w:fill="FFFFFF"/>
        </w:rPr>
        <w:t>.</w:t>
      </w:r>
      <w:r>
        <w:rPr>
          <w:rFonts w:cs="Arial"/>
          <w:i/>
          <w:shd w:val="clear" w:color="auto" w:fill="FFFFFF"/>
        </w:rPr>
        <w:t xml:space="preserve"> </w:t>
      </w:r>
      <w:r w:rsidRPr="00B60B4B">
        <w:rPr>
          <w:rFonts w:cs="Arial"/>
          <w:i/>
          <w:shd w:val="clear" w:color="auto" w:fill="FFFFFF"/>
        </w:rPr>
        <w:t>”En todo contrato se entenderán incorporadas las leyes vigentes al tiempo de su celebración.</w:t>
      </w:r>
    </w:p>
    <w:p w:rsidR="002E46C2" w:rsidRDefault="002E46C2" w:rsidP="006D1059">
      <w:pPr>
        <w:pStyle w:val="Textonotapie"/>
        <w:spacing w:line="240" w:lineRule="auto"/>
        <w:rPr>
          <w:rFonts w:cs="Arial"/>
          <w:i/>
        </w:rPr>
      </w:pPr>
    </w:p>
    <w:p w:rsidR="002E46C2" w:rsidRPr="00B60B4B" w:rsidRDefault="002E46C2" w:rsidP="006D1059">
      <w:pPr>
        <w:pStyle w:val="Textonotapie"/>
        <w:spacing w:line="240" w:lineRule="auto"/>
        <w:rPr>
          <w:rFonts w:cs="Arial"/>
          <w:i/>
        </w:rPr>
      </w:pPr>
      <w:r>
        <w:rPr>
          <w:rFonts w:cs="Arial"/>
          <w:i/>
        </w:rPr>
        <w:t>“</w:t>
      </w:r>
      <w:r w:rsidRPr="00B60B4B">
        <w:rPr>
          <w:rFonts w:cs="Arial"/>
          <w:i/>
        </w:rPr>
        <w:t>Exceptúanse de esta disposición:</w:t>
      </w:r>
    </w:p>
    <w:p w:rsidR="002E46C2" w:rsidRPr="00B60B4B" w:rsidRDefault="002E46C2" w:rsidP="00FE4A7E">
      <w:pPr>
        <w:pStyle w:val="NormalWeb"/>
        <w:shd w:val="clear" w:color="auto" w:fill="FFFFFF"/>
        <w:spacing w:after="0" w:afterAutospacing="0" w:line="240" w:lineRule="auto"/>
        <w:rPr>
          <w:rFonts w:cs="Arial"/>
          <w:i/>
          <w:sz w:val="20"/>
          <w:szCs w:val="20"/>
        </w:rPr>
      </w:pPr>
      <w:r>
        <w:rPr>
          <w:rFonts w:cs="Arial"/>
          <w:i/>
          <w:sz w:val="20"/>
          <w:szCs w:val="20"/>
        </w:rPr>
        <w:t>“</w:t>
      </w:r>
      <w:r w:rsidRPr="00B60B4B">
        <w:rPr>
          <w:rFonts w:cs="Arial"/>
          <w:i/>
          <w:sz w:val="20"/>
          <w:szCs w:val="20"/>
        </w:rPr>
        <w:t>1. Las leyes concernientes al modo de reclamar en juicio los derechos que resultaren del contrato, y</w:t>
      </w:r>
    </w:p>
    <w:p w:rsidR="002E46C2" w:rsidRPr="00B60B4B" w:rsidRDefault="002E46C2" w:rsidP="00FE4A7E">
      <w:pPr>
        <w:pStyle w:val="NormalWeb"/>
        <w:shd w:val="clear" w:color="auto" w:fill="FFFFFF"/>
        <w:spacing w:after="0" w:afterAutospacing="0" w:line="240" w:lineRule="auto"/>
        <w:rPr>
          <w:rFonts w:cs="Arial"/>
          <w:i/>
          <w:sz w:val="20"/>
          <w:szCs w:val="20"/>
        </w:rPr>
      </w:pPr>
      <w:r>
        <w:rPr>
          <w:rFonts w:cs="Arial"/>
          <w:i/>
          <w:sz w:val="20"/>
          <w:szCs w:val="20"/>
        </w:rPr>
        <w:t>“</w:t>
      </w:r>
      <w:r w:rsidRPr="00B60B4B">
        <w:rPr>
          <w:rFonts w:cs="Arial"/>
          <w:i/>
          <w:sz w:val="20"/>
          <w:szCs w:val="20"/>
        </w:rPr>
        <w:t>2. Las que señalan penas para el caso de infracción de lo estipulado; la cual infracción será castigada con arreglo á la ley bajo la cual se hubiere cometido”</w:t>
      </w:r>
      <w:r>
        <w:rPr>
          <w:rFonts w:cs="Arial"/>
          <w:i/>
          <w:sz w:val="20"/>
          <w:szCs w:val="20"/>
        </w:rPr>
        <w:t>.</w:t>
      </w:r>
    </w:p>
    <w:p w:rsidR="002E46C2" w:rsidRPr="00B60B4B" w:rsidRDefault="002E46C2" w:rsidP="00822904">
      <w:pPr>
        <w:pStyle w:val="Textonotapie"/>
        <w:spacing w:line="240" w:lineRule="auto"/>
        <w:rPr>
          <w:rFonts w:cs="Arial"/>
          <w:lang w:val="es-CO"/>
        </w:rPr>
      </w:pPr>
    </w:p>
  </w:footnote>
  <w:footnote w:id="28">
    <w:p w:rsidR="002E46C2" w:rsidRDefault="002E46C2" w:rsidP="0065188E">
      <w:pPr>
        <w:pStyle w:val="Textonotapie"/>
        <w:spacing w:line="240" w:lineRule="auto"/>
        <w:rPr>
          <w:rFonts w:cs="Arial"/>
          <w:i/>
          <w:shd w:val="clear" w:color="auto" w:fill="FFFFFF"/>
        </w:rPr>
      </w:pPr>
      <w:r w:rsidRPr="00B60B4B">
        <w:rPr>
          <w:rStyle w:val="Refdenotaalpie"/>
          <w:rFonts w:cs="Arial"/>
        </w:rPr>
        <w:footnoteRef/>
      </w:r>
      <w:r w:rsidRPr="00B60B4B">
        <w:rPr>
          <w:rFonts w:cs="Arial"/>
        </w:rPr>
        <w:t xml:space="preserve"> </w:t>
      </w:r>
      <w:r w:rsidRPr="00977A5C">
        <w:rPr>
          <w:rFonts w:cs="Arial"/>
          <w:bCs/>
          <w:shd w:val="clear" w:color="auto" w:fill="FFFFFF"/>
        </w:rPr>
        <w:t>Ley 153 de 1887, artículo</w:t>
      </w:r>
      <w:bookmarkStart w:id="2" w:name="40"/>
      <w:r w:rsidRPr="00977A5C">
        <w:rPr>
          <w:rFonts w:cs="Arial"/>
          <w:bCs/>
          <w:shd w:val="clear" w:color="auto" w:fill="FFFFFF"/>
        </w:rPr>
        <w:t> </w:t>
      </w:r>
      <w:bookmarkEnd w:id="2"/>
      <w:r w:rsidRPr="00977A5C">
        <w:rPr>
          <w:rFonts w:cs="Arial"/>
          <w:bCs/>
          <w:shd w:val="clear" w:color="auto" w:fill="FFFFFF"/>
        </w:rPr>
        <w:t>40.</w:t>
      </w:r>
      <w:r w:rsidRPr="00B60B4B">
        <w:rPr>
          <w:rFonts w:cs="Arial"/>
          <w:shd w:val="clear" w:color="auto" w:fill="FFFFFF"/>
        </w:rPr>
        <w:t> </w:t>
      </w:r>
      <w:r>
        <w:rPr>
          <w:rFonts w:cs="Arial"/>
          <w:shd w:val="clear" w:color="auto" w:fill="FFFFFF"/>
        </w:rPr>
        <w:t>“</w:t>
      </w:r>
      <w:r w:rsidRPr="004F26D8">
        <w:rPr>
          <w:rFonts w:cs="Arial"/>
          <w:i/>
          <w:shd w:val="clear" w:color="auto" w:fill="FFFFFF"/>
        </w:rPr>
        <w:t>Las leyes concernientes á la sustanciación y ritualidad de los juicios prevalecen sobre las anteriores desde el momento en que deben empezar á regir. Pero los términos que hubieren empezado á correr, y las actuaciones y diligencias que ya estuvieren iniciadas, se regirán por la ley vigente al tiempo de su iniciación</w:t>
      </w:r>
      <w:r>
        <w:rPr>
          <w:rFonts w:cs="Arial"/>
          <w:i/>
          <w:shd w:val="clear" w:color="auto" w:fill="FFFFFF"/>
        </w:rPr>
        <w:t>”.</w:t>
      </w:r>
    </w:p>
    <w:p w:rsidR="002E46C2" w:rsidRPr="004F26D8" w:rsidRDefault="002E46C2" w:rsidP="0065188E">
      <w:pPr>
        <w:pStyle w:val="Textonotapie"/>
        <w:spacing w:line="240" w:lineRule="auto"/>
        <w:rPr>
          <w:rFonts w:cs="Arial"/>
          <w:i/>
          <w:lang w:val="es-CO"/>
        </w:rPr>
      </w:pPr>
    </w:p>
  </w:footnote>
  <w:footnote w:id="29">
    <w:p w:rsidR="002E46C2" w:rsidRPr="00BF3299" w:rsidRDefault="002E46C2" w:rsidP="009250D8">
      <w:pPr>
        <w:pStyle w:val="Encabezado"/>
        <w:spacing w:line="240" w:lineRule="auto"/>
        <w:ind w:right="51"/>
        <w:rPr>
          <w:sz w:val="20"/>
          <w:lang w:val="es-CO"/>
        </w:rPr>
      </w:pPr>
      <w:r>
        <w:rPr>
          <w:rStyle w:val="Refdenotaalpie"/>
        </w:rPr>
        <w:footnoteRef/>
      </w:r>
      <w:r>
        <w:t xml:space="preserve"> </w:t>
      </w:r>
      <w:r w:rsidRPr="00BF3299">
        <w:rPr>
          <w:sz w:val="20"/>
        </w:rPr>
        <w:t xml:space="preserve">Consejo de Estado, Sala de lo Contencioso Administrativo, Sección Tercera, Subsección A, </w:t>
      </w:r>
      <w:r w:rsidRPr="00BF3299">
        <w:rPr>
          <w:sz w:val="20"/>
          <w:lang w:val="es-CO"/>
        </w:rPr>
        <w:t>Consejero ponente (e): Hernán Andrade Rincón, s</w:t>
      </w:r>
      <w:r w:rsidRPr="00BF3299">
        <w:rPr>
          <w:sz w:val="20"/>
        </w:rPr>
        <w:t xml:space="preserve">entencia de </w:t>
      </w:r>
      <w:r w:rsidRPr="00BF3299">
        <w:rPr>
          <w:rFonts w:cs="Arial"/>
          <w:sz w:val="20"/>
        </w:rPr>
        <w:t>16 de julio de dos mil quince 2015, radicación:  25000232600020050017601 (40325), actor: Ministerio de Agricultura y Desarrollo Rural, demandado</w:t>
      </w:r>
      <w:r>
        <w:rPr>
          <w:rFonts w:cs="Arial"/>
          <w:sz w:val="20"/>
        </w:rPr>
        <w:t>s</w:t>
      </w:r>
      <w:r w:rsidRPr="00BF3299">
        <w:rPr>
          <w:rFonts w:cs="Arial"/>
          <w:sz w:val="20"/>
        </w:rPr>
        <w:t>: Agropecuaria El Palmarito Limitada y Seguros del Estado S.A.</w:t>
      </w:r>
    </w:p>
    <w:p w:rsidR="002E46C2" w:rsidRPr="001F76A1" w:rsidRDefault="002E46C2" w:rsidP="0065188E">
      <w:pPr>
        <w:pStyle w:val="Textonotapie"/>
        <w:rPr>
          <w:lang w:val="es-CO"/>
        </w:rPr>
      </w:pPr>
    </w:p>
  </w:footnote>
  <w:footnote w:id="30">
    <w:p w:rsidR="002E46C2" w:rsidRDefault="002E46C2" w:rsidP="00B72DA7">
      <w:pPr>
        <w:spacing w:line="240" w:lineRule="auto"/>
        <w:rPr>
          <w:rFonts w:cs="Arial"/>
          <w:sz w:val="20"/>
          <w:szCs w:val="20"/>
        </w:rPr>
      </w:pPr>
      <w:r w:rsidRPr="00B72DA7">
        <w:rPr>
          <w:rStyle w:val="Refdenotaalpie"/>
          <w:sz w:val="20"/>
          <w:szCs w:val="20"/>
        </w:rPr>
        <w:footnoteRef/>
      </w:r>
      <w:r w:rsidRPr="00B72DA7">
        <w:rPr>
          <w:sz w:val="20"/>
          <w:szCs w:val="20"/>
        </w:rPr>
        <w:t xml:space="preserve"> </w:t>
      </w:r>
      <w:r w:rsidRPr="0050296F">
        <w:rPr>
          <w:b/>
          <w:sz w:val="20"/>
          <w:szCs w:val="20"/>
        </w:rPr>
        <w:t>1.</w:t>
      </w:r>
      <w:r w:rsidRPr="00B72DA7">
        <w:rPr>
          <w:sz w:val="20"/>
          <w:szCs w:val="20"/>
        </w:rPr>
        <w:t xml:space="preserve"> Consejo de Estado,  Sala de lo Contencioso Administrativo, Sección Tercera, Subsección C, Consejero Ponente: Enrique Gil Botero, 9 de mayo de 2011, radicación: 17001-23-31-000-1996-03070-01(17863), actor: </w:t>
      </w:r>
      <w:r w:rsidRPr="00B72DA7">
        <w:rPr>
          <w:bCs/>
          <w:sz w:val="20"/>
          <w:szCs w:val="20"/>
        </w:rPr>
        <w:t>Central Hidroeléctrica de Caldas S.A. Chec, d</w:t>
      </w:r>
      <w:r w:rsidRPr="00B72DA7">
        <w:rPr>
          <w:sz w:val="20"/>
          <w:szCs w:val="20"/>
        </w:rPr>
        <w:t>emandado: m</w:t>
      </w:r>
      <w:r w:rsidRPr="00B72DA7">
        <w:rPr>
          <w:bCs/>
          <w:sz w:val="20"/>
          <w:szCs w:val="20"/>
        </w:rPr>
        <w:t xml:space="preserve">unicipio de Manizales, referencia: acción contractual; </w:t>
      </w:r>
      <w:r w:rsidRPr="0050296F">
        <w:rPr>
          <w:b/>
          <w:bCs/>
          <w:sz w:val="20"/>
          <w:szCs w:val="20"/>
        </w:rPr>
        <w:t>2.</w:t>
      </w:r>
      <w:r w:rsidRPr="00B72DA7">
        <w:rPr>
          <w:b/>
          <w:bCs/>
          <w:sz w:val="20"/>
          <w:szCs w:val="20"/>
        </w:rPr>
        <w:t xml:space="preserve"> </w:t>
      </w:r>
      <w:r w:rsidRPr="00B72DA7">
        <w:rPr>
          <w:rFonts w:cs="Arial"/>
          <w:sz w:val="20"/>
          <w:szCs w:val="20"/>
        </w:rPr>
        <w:t>Consejo de Estado, Sala de lo Contencioso Administrativo, Sección Tercera, Subsección B, Consejera Ponente: Stella Conto Diaz Del Castillo, Sentencia de 28 de septiembre de 2012, radicación: 25000-23-26-000-1997-13541-01(25747), a</w:t>
      </w:r>
      <w:r w:rsidRPr="00B72DA7">
        <w:rPr>
          <w:rFonts w:cs="Arial"/>
          <w:spacing w:val="-3"/>
          <w:sz w:val="20"/>
          <w:szCs w:val="20"/>
        </w:rPr>
        <w:t>ctor: Bruno Felipe Acero Salamanca, d</w:t>
      </w:r>
      <w:r w:rsidRPr="00B72DA7">
        <w:rPr>
          <w:rFonts w:cs="Arial"/>
          <w:sz w:val="20"/>
          <w:szCs w:val="20"/>
        </w:rPr>
        <w:t xml:space="preserve">emandado: Junta Administradora Seccional de Deportes de Santafé de Bogotá, referencia: apelación sentencia - acción contractual. </w:t>
      </w:r>
      <w:r w:rsidRPr="0050296F">
        <w:rPr>
          <w:rFonts w:cs="Arial"/>
          <w:b/>
          <w:sz w:val="20"/>
          <w:szCs w:val="20"/>
        </w:rPr>
        <w:t>3.</w:t>
      </w:r>
      <w:r w:rsidRPr="00B72DA7">
        <w:rPr>
          <w:sz w:val="20"/>
          <w:szCs w:val="20"/>
        </w:rPr>
        <w:t xml:space="preserve"> </w:t>
      </w:r>
      <w:r w:rsidRPr="00B72DA7">
        <w:rPr>
          <w:rFonts w:cs="Arial"/>
          <w:sz w:val="20"/>
          <w:szCs w:val="20"/>
        </w:rPr>
        <w:t>Consejo de Estado, Sala de lo Contencioso Administrativo, Sección Tercera - Subsección “B”, Consejero Ponente: Ramiro Pazos Guerrero, sentencia de</w:t>
      </w:r>
      <w:r w:rsidRPr="00B72DA7">
        <w:rPr>
          <w:rFonts w:cs="Arial"/>
          <w:b/>
          <w:sz w:val="20"/>
          <w:szCs w:val="20"/>
        </w:rPr>
        <w:t xml:space="preserve"> </w:t>
      </w:r>
      <w:r w:rsidRPr="00B72DA7">
        <w:rPr>
          <w:rFonts w:cs="Arial"/>
          <w:sz w:val="20"/>
          <w:szCs w:val="20"/>
        </w:rPr>
        <w:t>23 de noviembre de 2016,  radicación: 13001233100019980199800179 (36.647), a</w:t>
      </w:r>
      <w:r w:rsidRPr="00B72DA7">
        <w:rPr>
          <w:rFonts w:cs="Arial"/>
          <w:spacing w:val="-3"/>
          <w:sz w:val="20"/>
          <w:szCs w:val="20"/>
        </w:rPr>
        <w:t>ctor: Instituto de Mercadeo Agropecuario IDEMA, d</w:t>
      </w:r>
      <w:r w:rsidRPr="00B72DA7">
        <w:rPr>
          <w:rFonts w:cs="Arial"/>
          <w:sz w:val="20"/>
          <w:szCs w:val="20"/>
        </w:rPr>
        <w:t>emandado: Rafael Cure Cure y otro, acción: contractual.</w:t>
      </w:r>
    </w:p>
    <w:p w:rsidR="002E46C2" w:rsidRPr="000724BD" w:rsidRDefault="002E46C2" w:rsidP="00B72DA7">
      <w:pPr>
        <w:spacing w:line="240" w:lineRule="auto"/>
        <w:rPr>
          <w:rFonts w:cs="Arial"/>
          <w:sz w:val="20"/>
          <w:szCs w:val="20"/>
        </w:rPr>
      </w:pPr>
    </w:p>
    <w:p w:rsidR="002E46C2" w:rsidRPr="000724BD" w:rsidRDefault="002E46C2" w:rsidP="00B72DA7">
      <w:pPr>
        <w:pStyle w:val="Puesto1"/>
        <w:jc w:val="both"/>
        <w:rPr>
          <w:b w:val="0"/>
          <w:bCs w:val="0"/>
          <w:sz w:val="20"/>
          <w:szCs w:val="20"/>
        </w:rPr>
      </w:pPr>
    </w:p>
    <w:p w:rsidR="002E46C2" w:rsidRPr="000724BD" w:rsidRDefault="002E46C2" w:rsidP="00B72DA7">
      <w:pPr>
        <w:pStyle w:val="Textonotapie"/>
        <w:rPr>
          <w:lang w:val="es-CO"/>
        </w:rPr>
      </w:pPr>
    </w:p>
  </w:footnote>
  <w:footnote w:id="31">
    <w:p w:rsidR="002E46C2" w:rsidRPr="002C032F" w:rsidRDefault="002E46C2" w:rsidP="0065188E">
      <w:pPr>
        <w:pStyle w:val="Textonotapie"/>
        <w:spacing w:line="240" w:lineRule="auto"/>
        <w:rPr>
          <w:rFonts w:cs="Arial"/>
          <w:i/>
          <w:lang w:val="es-CO"/>
        </w:rPr>
      </w:pPr>
      <w:r w:rsidRPr="002C032F">
        <w:rPr>
          <w:rStyle w:val="Refdenotaalpie"/>
          <w:rFonts w:cs="Arial"/>
        </w:rPr>
        <w:footnoteRef/>
      </w:r>
      <w:r w:rsidRPr="002C032F">
        <w:rPr>
          <w:rFonts w:cs="Arial"/>
        </w:rPr>
        <w:t xml:space="preserve"> “</w:t>
      </w:r>
      <w:smartTag w:uri="urn:schemas-microsoft-com:office:smarttags" w:element="PersonName">
        <w:smartTagPr>
          <w:attr w:name="ProductID" w:val="la Jurisdicci￳n"/>
        </w:smartTagPr>
        <w:r w:rsidRPr="002C032F">
          <w:rPr>
            <w:rFonts w:cs="Arial"/>
            <w:i/>
            <w:lang w:val="es-CO"/>
          </w:rPr>
          <w:t>La Jurisdicción</w:t>
        </w:r>
      </w:smartTag>
      <w:r w:rsidRPr="002C032F">
        <w:rPr>
          <w:rFonts w:cs="Arial"/>
          <w:i/>
          <w:lang w:val="es-CO"/>
        </w:rPr>
        <w:t xml:space="preserve"> de lo Contencioso Administrativo está instituida para conocer, además de lo dispuesto en </w:t>
      </w:r>
      <w:smartTag w:uri="urn:schemas-microsoft-com:office:smarttags" w:element="PersonName">
        <w:smartTagPr>
          <w:attr w:name="ProductID" w:val="la Constituci￳n Pol￭tica"/>
        </w:smartTagPr>
        <w:r w:rsidRPr="002C032F">
          <w:rPr>
            <w:rFonts w:cs="Arial"/>
            <w:i/>
            <w:lang w:val="es-CO"/>
          </w:rPr>
          <w:t>la Constitución Política</w:t>
        </w:r>
      </w:smartTag>
      <w:r w:rsidRPr="002C032F">
        <w:rPr>
          <w:rFonts w:cs="Arial"/>
          <w:i/>
          <w:lang w:val="es-CO"/>
        </w:rPr>
        <w:t xml:space="preserve"> y en leyes especiales, </w:t>
      </w:r>
      <w:r w:rsidRPr="002C032F">
        <w:rPr>
          <w:rFonts w:cs="Arial"/>
          <w:b/>
          <w:i/>
          <w:lang w:val="es-CO"/>
        </w:rPr>
        <w:t xml:space="preserve">de las controversias y litigios originados en actos, </w:t>
      </w:r>
      <w:r w:rsidRPr="002C032F">
        <w:rPr>
          <w:rFonts w:cs="Arial"/>
          <w:b/>
          <w:i/>
          <w:u w:val="single"/>
          <w:lang w:val="es-CO"/>
        </w:rPr>
        <w:t>contratos</w:t>
      </w:r>
      <w:r w:rsidRPr="002C032F">
        <w:rPr>
          <w:rFonts w:cs="Arial"/>
          <w:i/>
          <w:lang w:val="es-CO"/>
        </w:rPr>
        <w:t xml:space="preserve">, hechos, omisiones y operaciones, sujetos al derecho administrativo, en los que estén involucradas las entidades públicas, o los particulares cuando ejerzan función administrativa. </w:t>
      </w:r>
    </w:p>
    <w:p w:rsidR="002E46C2" w:rsidRDefault="002E46C2" w:rsidP="0065188E">
      <w:pPr>
        <w:pStyle w:val="Textonotapie"/>
        <w:rPr>
          <w:rFonts w:cs="Arial"/>
          <w:i/>
          <w:lang w:val="es-CO"/>
        </w:rPr>
      </w:pPr>
    </w:p>
    <w:p w:rsidR="002E46C2" w:rsidRDefault="002E46C2" w:rsidP="0065188E">
      <w:pPr>
        <w:pStyle w:val="Textonotapie"/>
        <w:rPr>
          <w:rFonts w:cs="Arial"/>
          <w:i/>
          <w:lang w:val="es-CO"/>
        </w:rPr>
      </w:pPr>
      <w:r>
        <w:rPr>
          <w:rFonts w:cs="Arial"/>
          <w:i/>
          <w:lang w:val="es-CO"/>
        </w:rPr>
        <w:t>“</w:t>
      </w:r>
      <w:r w:rsidRPr="002C032F">
        <w:rPr>
          <w:rFonts w:cs="Arial"/>
          <w:i/>
          <w:lang w:val="es-CO"/>
        </w:rPr>
        <w:t xml:space="preserve">Igualmente conocerá de los siguientes procesos: </w:t>
      </w:r>
    </w:p>
    <w:p w:rsidR="002E46C2" w:rsidRPr="002C032F" w:rsidRDefault="002E46C2" w:rsidP="0065188E">
      <w:pPr>
        <w:pStyle w:val="Textonotapie"/>
        <w:rPr>
          <w:rFonts w:cs="Arial"/>
          <w:i/>
          <w:lang w:val="es-CO"/>
        </w:rPr>
      </w:pPr>
    </w:p>
    <w:p w:rsidR="002E46C2" w:rsidRDefault="002E46C2" w:rsidP="0065188E">
      <w:pPr>
        <w:pStyle w:val="Textonotapie"/>
        <w:spacing w:line="240" w:lineRule="auto"/>
        <w:rPr>
          <w:rFonts w:cs="Arial"/>
          <w:i/>
          <w:lang w:val="es-CO"/>
        </w:rPr>
      </w:pPr>
      <w:r>
        <w:rPr>
          <w:rFonts w:cs="Arial"/>
          <w:i/>
          <w:lang w:val="es-CO"/>
        </w:rPr>
        <w:t>“</w:t>
      </w:r>
      <w:r w:rsidRPr="002C032F">
        <w:rPr>
          <w:rFonts w:cs="Arial"/>
          <w:i/>
          <w:lang w:val="es-CO"/>
        </w:rPr>
        <w:t>(…)</w:t>
      </w:r>
      <w:r>
        <w:rPr>
          <w:rFonts w:cs="Arial"/>
          <w:i/>
          <w:lang w:val="es-CO"/>
        </w:rPr>
        <w:t>.</w:t>
      </w:r>
    </w:p>
    <w:p w:rsidR="002E46C2" w:rsidRPr="002C032F" w:rsidRDefault="002E46C2" w:rsidP="0065188E">
      <w:pPr>
        <w:pStyle w:val="Textonotapie"/>
        <w:spacing w:line="240" w:lineRule="auto"/>
        <w:rPr>
          <w:rFonts w:cs="Arial"/>
          <w:i/>
          <w:lang w:val="es-CO"/>
        </w:rPr>
      </w:pPr>
    </w:p>
    <w:p w:rsidR="002E46C2" w:rsidRDefault="002E46C2" w:rsidP="0065188E">
      <w:pPr>
        <w:pStyle w:val="Textonotapie"/>
        <w:spacing w:line="240" w:lineRule="auto"/>
        <w:rPr>
          <w:rFonts w:cs="Arial"/>
          <w:lang w:val="es-CO"/>
        </w:rPr>
      </w:pPr>
      <w:r w:rsidRPr="00C013F3">
        <w:rPr>
          <w:rFonts w:cs="Arial"/>
          <w:i/>
          <w:lang w:val="es-CO"/>
        </w:rPr>
        <w:t>“</w:t>
      </w:r>
      <w:r w:rsidRPr="002C032F">
        <w:rPr>
          <w:rFonts w:cs="Arial"/>
          <w:b/>
          <w:i/>
          <w:lang w:val="es-CO"/>
        </w:rPr>
        <w:t>1. Los relativos a los contratos, cualquiera que sea su régimen, en los que sea parte una entidad pública o un particular en ejercicio de funciones propias del Estado</w:t>
      </w:r>
      <w:r>
        <w:rPr>
          <w:rFonts w:cs="Arial"/>
          <w:b/>
          <w:i/>
          <w:lang w:val="es-CO"/>
        </w:rPr>
        <w:t xml:space="preserve"> </w:t>
      </w:r>
      <w:r w:rsidRPr="002C032F">
        <w:rPr>
          <w:rFonts w:cs="Arial"/>
          <w:i/>
          <w:lang w:val="es-CO"/>
        </w:rPr>
        <w:t>(…)</w:t>
      </w:r>
      <w:r w:rsidRPr="002C032F">
        <w:rPr>
          <w:rFonts w:cs="Arial"/>
          <w:lang w:val="es-CO"/>
        </w:rPr>
        <w:t>”. (Se destaca).</w:t>
      </w:r>
    </w:p>
    <w:p w:rsidR="002E46C2" w:rsidRPr="002C032F" w:rsidRDefault="002E46C2" w:rsidP="0065188E">
      <w:pPr>
        <w:pStyle w:val="Textonotapie"/>
        <w:spacing w:line="240" w:lineRule="auto"/>
        <w:rPr>
          <w:rFonts w:cs="Arial"/>
        </w:rPr>
      </w:pPr>
    </w:p>
  </w:footnote>
  <w:footnote w:id="32">
    <w:p w:rsidR="002E46C2" w:rsidRDefault="002E46C2" w:rsidP="0065188E">
      <w:pPr>
        <w:pStyle w:val="Textonotapie"/>
        <w:spacing w:line="240" w:lineRule="auto"/>
        <w:rPr>
          <w:rFonts w:cs="Arial"/>
          <w:i/>
        </w:rPr>
      </w:pPr>
      <w:r w:rsidRPr="00AB5703">
        <w:rPr>
          <w:rStyle w:val="Refdenotaalpie"/>
          <w:rFonts w:cs="Arial"/>
        </w:rPr>
        <w:footnoteRef/>
      </w:r>
      <w:r w:rsidRPr="00AB5703">
        <w:rPr>
          <w:rFonts w:cs="Arial"/>
        </w:rPr>
        <w:t xml:space="preserve"> Cita original del auto</w:t>
      </w:r>
      <w:r w:rsidRPr="00544484">
        <w:rPr>
          <w:rFonts w:cs="Arial"/>
          <w:i/>
        </w:rPr>
        <w:t xml:space="preserve">: </w:t>
      </w:r>
      <w:r>
        <w:rPr>
          <w:rFonts w:cs="Arial"/>
          <w:i/>
        </w:rPr>
        <w:t>“</w:t>
      </w:r>
      <w:r w:rsidRPr="00544484">
        <w:rPr>
          <w:rFonts w:cs="Arial"/>
          <w:i/>
        </w:rPr>
        <w:t xml:space="preserve">Como quiera que se trata de un contrato de compraventa, éste, dado que no está expresamente regulado por </w:t>
      </w:r>
      <w:smartTag w:uri="urn:schemas-microsoft-com:office:smarttags" w:element="PersonName">
        <w:smartTagPr>
          <w:attr w:name="ProductID" w:val="la Ley"/>
        </w:smartTagPr>
        <w:r w:rsidRPr="00544484">
          <w:rPr>
            <w:rFonts w:cs="Arial"/>
            <w:i/>
          </w:rPr>
          <w:t>la Ley</w:t>
        </w:r>
      </w:smartTag>
      <w:r w:rsidRPr="00544484">
        <w:rPr>
          <w:rFonts w:cs="Arial"/>
          <w:i/>
        </w:rPr>
        <w:t xml:space="preserve"> 80 de 1993, se rige por las normas de derecho privado, ya sean las del Código Civil o las del Código de Comercio, en los asuntos relacionados con: i) la selección del contratista; ii) los elementos de existencia del contrato; iii) los requisitos de validez del contrato; iv) las cláusulas contractuales y v) la ejecución y liquidación de los contratos</w:t>
      </w:r>
      <w:r>
        <w:rPr>
          <w:rFonts w:cs="Arial"/>
          <w:i/>
        </w:rPr>
        <w:t>”.</w:t>
      </w:r>
    </w:p>
    <w:p w:rsidR="002E46C2" w:rsidRPr="00544484" w:rsidRDefault="002E46C2" w:rsidP="0065188E">
      <w:pPr>
        <w:pStyle w:val="Textonotapie"/>
        <w:spacing w:line="240" w:lineRule="auto"/>
        <w:rPr>
          <w:rFonts w:cs="Arial"/>
          <w:i/>
        </w:rPr>
      </w:pPr>
    </w:p>
  </w:footnote>
  <w:footnote w:id="33">
    <w:p w:rsidR="002E46C2" w:rsidRPr="00544484" w:rsidRDefault="002E46C2" w:rsidP="0065188E">
      <w:pPr>
        <w:spacing w:line="240" w:lineRule="auto"/>
        <w:rPr>
          <w:rFonts w:cs="Arial"/>
          <w:i/>
          <w:sz w:val="20"/>
          <w:szCs w:val="20"/>
          <w:lang w:eastAsia="es-CO"/>
        </w:rPr>
      </w:pPr>
      <w:r w:rsidRPr="00AB5703">
        <w:rPr>
          <w:rStyle w:val="Refdenotaalpie"/>
          <w:rFonts w:cs="Arial"/>
          <w:sz w:val="20"/>
          <w:szCs w:val="20"/>
        </w:rPr>
        <w:footnoteRef/>
      </w:r>
      <w:r w:rsidRPr="00AB5703">
        <w:rPr>
          <w:rFonts w:cs="Arial"/>
          <w:sz w:val="20"/>
          <w:szCs w:val="20"/>
        </w:rPr>
        <w:t xml:space="preserve"> </w:t>
      </w:r>
      <w:r>
        <w:rPr>
          <w:rFonts w:cs="Arial"/>
          <w:sz w:val="20"/>
          <w:szCs w:val="20"/>
        </w:rPr>
        <w:t>C</w:t>
      </w:r>
      <w:r w:rsidRPr="00AB5703">
        <w:rPr>
          <w:rFonts w:cs="Arial"/>
          <w:sz w:val="20"/>
          <w:szCs w:val="20"/>
        </w:rPr>
        <w:t xml:space="preserve">ita original del auto: </w:t>
      </w:r>
      <w:r>
        <w:rPr>
          <w:rFonts w:cs="Arial"/>
          <w:sz w:val="20"/>
          <w:szCs w:val="20"/>
        </w:rPr>
        <w:t>“</w:t>
      </w:r>
      <w:r w:rsidRPr="00544484">
        <w:rPr>
          <w:rFonts w:cs="Arial"/>
          <w:i/>
          <w:sz w:val="20"/>
          <w:szCs w:val="20"/>
        </w:rPr>
        <w:t xml:space="preserve">De conformidad con el decreto 28 del 28 de febrero de 2005, </w:t>
      </w:r>
      <w:smartTag w:uri="urn:schemas-microsoft-com:office:smarttags" w:element="PersonName">
        <w:smartTagPr>
          <w:attr w:name="ProductID" w:val="la BENEFICENCIA DE"/>
        </w:smartTagPr>
        <w:r w:rsidRPr="00544484">
          <w:rPr>
            <w:rFonts w:cs="Arial"/>
            <w:i/>
            <w:sz w:val="20"/>
            <w:szCs w:val="20"/>
          </w:rPr>
          <w:t>la BENEFICENCIA DE</w:t>
        </w:r>
      </w:smartTag>
      <w:r w:rsidRPr="00544484">
        <w:rPr>
          <w:rFonts w:cs="Arial"/>
          <w:i/>
          <w:sz w:val="20"/>
          <w:szCs w:val="20"/>
        </w:rPr>
        <w:t xml:space="preserve"> CUNDINAMARCA es </w:t>
      </w:r>
      <w:r w:rsidRPr="00544484">
        <w:rPr>
          <w:rFonts w:cs="Arial"/>
          <w:i/>
          <w:sz w:val="20"/>
          <w:szCs w:val="20"/>
          <w:lang w:eastAsia="es-CO"/>
        </w:rPr>
        <w:t xml:space="preserve">un establecimiento público departamental, </w:t>
      </w:r>
      <w:r w:rsidRPr="00544484">
        <w:rPr>
          <w:rFonts w:cs="Arial"/>
          <w:i/>
          <w:sz w:val="20"/>
          <w:szCs w:val="20"/>
        </w:rPr>
        <w:t>encargado de brindar protección social y mejorar la calidad de la vida de sus usuarios</w:t>
      </w:r>
      <w:r w:rsidRPr="00544484">
        <w:rPr>
          <w:rFonts w:cs="Arial"/>
          <w:i/>
          <w:sz w:val="20"/>
          <w:szCs w:val="20"/>
          <w:lang w:eastAsia="es-CO"/>
        </w:rPr>
        <w:t>”</w:t>
      </w:r>
      <w:r>
        <w:rPr>
          <w:rFonts w:cs="Arial"/>
          <w:i/>
          <w:sz w:val="20"/>
          <w:szCs w:val="20"/>
          <w:lang w:eastAsia="es-CO"/>
        </w:rPr>
        <w:t>.</w:t>
      </w:r>
    </w:p>
    <w:p w:rsidR="002E46C2" w:rsidRPr="00544484" w:rsidRDefault="002E46C2" w:rsidP="0065188E">
      <w:pPr>
        <w:spacing w:line="240" w:lineRule="auto"/>
        <w:rPr>
          <w:rFonts w:cs="Arial"/>
          <w:i/>
          <w:sz w:val="20"/>
          <w:szCs w:val="20"/>
        </w:rPr>
      </w:pPr>
    </w:p>
  </w:footnote>
  <w:footnote w:id="34">
    <w:p w:rsidR="002E46C2" w:rsidRPr="00E76ACE" w:rsidRDefault="002E46C2" w:rsidP="0065188E">
      <w:pPr>
        <w:spacing w:line="240" w:lineRule="auto"/>
        <w:rPr>
          <w:rFonts w:cs="Arial"/>
          <w:sz w:val="20"/>
          <w:szCs w:val="20"/>
          <w:lang w:val="es-ES_tradnl"/>
        </w:rPr>
      </w:pPr>
      <w:r w:rsidRPr="00E76ACE">
        <w:rPr>
          <w:rStyle w:val="Refdenotaalpie"/>
          <w:rFonts w:cs="Arial"/>
          <w:sz w:val="20"/>
          <w:szCs w:val="20"/>
        </w:rPr>
        <w:footnoteRef/>
      </w:r>
      <w:r w:rsidRPr="00E76ACE">
        <w:rPr>
          <w:rFonts w:cs="Arial"/>
          <w:sz w:val="20"/>
          <w:szCs w:val="20"/>
        </w:rPr>
        <w:t xml:space="preserve"> </w:t>
      </w:r>
      <w:r w:rsidRPr="00E76ACE">
        <w:rPr>
          <w:rFonts w:cs="Arial"/>
          <w:bCs/>
          <w:sz w:val="20"/>
          <w:szCs w:val="20"/>
        </w:rPr>
        <w:t xml:space="preserve">Consejo </w:t>
      </w:r>
      <w:r>
        <w:rPr>
          <w:rFonts w:cs="Arial"/>
          <w:bCs/>
          <w:sz w:val="20"/>
          <w:szCs w:val="20"/>
        </w:rPr>
        <w:t>d</w:t>
      </w:r>
      <w:r w:rsidRPr="00E76ACE">
        <w:rPr>
          <w:rFonts w:cs="Arial"/>
          <w:bCs/>
          <w:sz w:val="20"/>
          <w:szCs w:val="20"/>
        </w:rPr>
        <w:t xml:space="preserve">e Estado, Sala </w:t>
      </w:r>
      <w:r>
        <w:rPr>
          <w:rFonts w:cs="Arial"/>
          <w:bCs/>
          <w:sz w:val="20"/>
          <w:szCs w:val="20"/>
        </w:rPr>
        <w:t>d</w:t>
      </w:r>
      <w:r w:rsidRPr="00E76ACE">
        <w:rPr>
          <w:rFonts w:cs="Arial"/>
          <w:bCs/>
          <w:sz w:val="20"/>
          <w:szCs w:val="20"/>
        </w:rPr>
        <w:t xml:space="preserve">e </w:t>
      </w:r>
      <w:r>
        <w:rPr>
          <w:rFonts w:cs="Arial"/>
          <w:bCs/>
          <w:sz w:val="20"/>
          <w:szCs w:val="20"/>
        </w:rPr>
        <w:t>l</w:t>
      </w:r>
      <w:r w:rsidRPr="00E76ACE">
        <w:rPr>
          <w:rFonts w:cs="Arial"/>
          <w:bCs/>
          <w:sz w:val="20"/>
          <w:szCs w:val="20"/>
        </w:rPr>
        <w:t>o Contencioso Administrativo, Secci</w:t>
      </w:r>
      <w:r>
        <w:rPr>
          <w:rFonts w:cs="Arial"/>
          <w:bCs/>
          <w:sz w:val="20"/>
          <w:szCs w:val="20"/>
        </w:rPr>
        <w:t>ó</w:t>
      </w:r>
      <w:r w:rsidRPr="00E76ACE">
        <w:rPr>
          <w:rFonts w:cs="Arial"/>
          <w:bCs/>
          <w:sz w:val="20"/>
          <w:szCs w:val="20"/>
        </w:rPr>
        <w:t>n Tercera, Subsecci</w:t>
      </w:r>
      <w:r>
        <w:rPr>
          <w:rFonts w:cs="Arial"/>
          <w:bCs/>
          <w:sz w:val="20"/>
          <w:szCs w:val="20"/>
        </w:rPr>
        <w:t>ó</w:t>
      </w:r>
      <w:r w:rsidRPr="00E76ACE">
        <w:rPr>
          <w:rFonts w:cs="Arial"/>
          <w:bCs/>
          <w:sz w:val="20"/>
          <w:szCs w:val="20"/>
        </w:rPr>
        <w:t xml:space="preserve">n A, Auto </w:t>
      </w:r>
      <w:r>
        <w:rPr>
          <w:rFonts w:cs="Arial"/>
          <w:bCs/>
          <w:sz w:val="20"/>
          <w:szCs w:val="20"/>
        </w:rPr>
        <w:t>d</w:t>
      </w:r>
      <w:r w:rsidRPr="00E76ACE">
        <w:rPr>
          <w:rFonts w:cs="Arial"/>
          <w:bCs/>
          <w:sz w:val="20"/>
          <w:szCs w:val="20"/>
        </w:rPr>
        <w:t xml:space="preserve">e </w:t>
      </w:r>
      <w:r w:rsidRPr="00E76ACE">
        <w:rPr>
          <w:rFonts w:cs="Arial"/>
          <w:spacing w:val="2"/>
          <w:sz w:val="20"/>
          <w:szCs w:val="20"/>
        </w:rPr>
        <w:t xml:space="preserve">10 </w:t>
      </w:r>
      <w:r>
        <w:rPr>
          <w:rFonts w:cs="Arial"/>
          <w:spacing w:val="2"/>
          <w:sz w:val="20"/>
          <w:szCs w:val="20"/>
        </w:rPr>
        <w:t>d</w:t>
      </w:r>
      <w:r w:rsidRPr="00E76ACE">
        <w:rPr>
          <w:rFonts w:cs="Arial"/>
          <w:spacing w:val="2"/>
          <w:sz w:val="20"/>
          <w:szCs w:val="20"/>
        </w:rPr>
        <w:t xml:space="preserve">e Julio </w:t>
      </w:r>
      <w:r>
        <w:rPr>
          <w:rFonts w:cs="Arial"/>
          <w:spacing w:val="2"/>
          <w:sz w:val="20"/>
          <w:szCs w:val="20"/>
        </w:rPr>
        <w:t>d</w:t>
      </w:r>
      <w:r w:rsidRPr="00E76ACE">
        <w:rPr>
          <w:rFonts w:cs="Arial"/>
          <w:spacing w:val="2"/>
          <w:sz w:val="20"/>
          <w:szCs w:val="20"/>
        </w:rPr>
        <w:t xml:space="preserve">e 2013, </w:t>
      </w:r>
      <w:r>
        <w:rPr>
          <w:rFonts w:cs="Arial"/>
          <w:spacing w:val="2"/>
          <w:sz w:val="20"/>
          <w:szCs w:val="20"/>
        </w:rPr>
        <w:t>r</w:t>
      </w:r>
      <w:r w:rsidRPr="00E76ACE">
        <w:rPr>
          <w:rFonts w:cs="Arial"/>
          <w:sz w:val="20"/>
          <w:szCs w:val="20"/>
        </w:rPr>
        <w:t xml:space="preserve">adicación </w:t>
      </w:r>
      <w:r>
        <w:rPr>
          <w:rFonts w:cs="Arial"/>
          <w:sz w:val="20"/>
          <w:szCs w:val="20"/>
        </w:rPr>
        <w:t>n</w:t>
      </w:r>
      <w:r w:rsidRPr="00E76ACE">
        <w:rPr>
          <w:rFonts w:cs="Arial"/>
          <w:sz w:val="20"/>
          <w:szCs w:val="20"/>
        </w:rPr>
        <w:t>úmero: 25000-23-36-000-2012-00403-01(46112), Actor: Luis Carlos Ort</w:t>
      </w:r>
      <w:r>
        <w:rPr>
          <w:rFonts w:cs="Arial"/>
          <w:sz w:val="20"/>
          <w:szCs w:val="20"/>
        </w:rPr>
        <w:t>íz</w:t>
      </w:r>
      <w:r w:rsidRPr="00E76ACE">
        <w:rPr>
          <w:rFonts w:cs="Arial"/>
          <w:sz w:val="20"/>
          <w:szCs w:val="20"/>
        </w:rPr>
        <w:t xml:space="preserve"> Rodr</w:t>
      </w:r>
      <w:r>
        <w:rPr>
          <w:rFonts w:cs="Arial"/>
          <w:sz w:val="20"/>
          <w:szCs w:val="20"/>
        </w:rPr>
        <w:t>í</w:t>
      </w:r>
      <w:r w:rsidRPr="00E76ACE">
        <w:rPr>
          <w:rFonts w:cs="Arial"/>
          <w:sz w:val="20"/>
          <w:szCs w:val="20"/>
        </w:rPr>
        <w:t xml:space="preserve">guez, </w:t>
      </w:r>
      <w:r>
        <w:rPr>
          <w:rFonts w:cs="Arial"/>
          <w:sz w:val="20"/>
          <w:szCs w:val="20"/>
        </w:rPr>
        <w:t>d</w:t>
      </w:r>
      <w:r w:rsidRPr="00E76ACE">
        <w:rPr>
          <w:rFonts w:cs="Arial"/>
          <w:sz w:val="20"/>
          <w:szCs w:val="20"/>
        </w:rPr>
        <w:t xml:space="preserve">emandado: Departamento </w:t>
      </w:r>
      <w:r>
        <w:rPr>
          <w:rFonts w:cs="Arial"/>
          <w:sz w:val="20"/>
          <w:szCs w:val="20"/>
        </w:rPr>
        <w:t>d</w:t>
      </w:r>
      <w:r w:rsidRPr="00E76ACE">
        <w:rPr>
          <w:rFonts w:cs="Arial"/>
          <w:sz w:val="20"/>
          <w:szCs w:val="20"/>
        </w:rPr>
        <w:t xml:space="preserve">e Cundinamarca - Beneficencia </w:t>
      </w:r>
      <w:r>
        <w:rPr>
          <w:rFonts w:cs="Arial"/>
          <w:sz w:val="20"/>
          <w:szCs w:val="20"/>
        </w:rPr>
        <w:t>d</w:t>
      </w:r>
      <w:r w:rsidRPr="00E76ACE">
        <w:rPr>
          <w:rFonts w:cs="Arial"/>
          <w:sz w:val="20"/>
          <w:szCs w:val="20"/>
        </w:rPr>
        <w:t xml:space="preserve">e Cundinamarca, </w:t>
      </w:r>
      <w:r>
        <w:rPr>
          <w:rFonts w:cs="Arial"/>
          <w:sz w:val="20"/>
          <w:szCs w:val="20"/>
        </w:rPr>
        <w:t>r</w:t>
      </w:r>
      <w:r w:rsidRPr="00E76ACE">
        <w:rPr>
          <w:rFonts w:cs="Arial"/>
          <w:sz w:val="20"/>
          <w:szCs w:val="20"/>
        </w:rPr>
        <w:t xml:space="preserve">eferencia: </w:t>
      </w:r>
      <w:r>
        <w:rPr>
          <w:rFonts w:cs="Arial"/>
          <w:sz w:val="20"/>
          <w:szCs w:val="20"/>
        </w:rPr>
        <w:t>m</w:t>
      </w:r>
      <w:r w:rsidRPr="00E76ACE">
        <w:rPr>
          <w:rFonts w:cs="Arial"/>
          <w:sz w:val="20"/>
          <w:szCs w:val="20"/>
        </w:rPr>
        <w:t xml:space="preserve">edio </w:t>
      </w:r>
      <w:r>
        <w:rPr>
          <w:rFonts w:cs="Arial"/>
          <w:sz w:val="20"/>
          <w:szCs w:val="20"/>
        </w:rPr>
        <w:t>d</w:t>
      </w:r>
      <w:r w:rsidRPr="00E76ACE">
        <w:rPr>
          <w:rFonts w:cs="Arial"/>
          <w:sz w:val="20"/>
          <w:szCs w:val="20"/>
        </w:rPr>
        <w:t xml:space="preserve">e </w:t>
      </w:r>
      <w:r>
        <w:rPr>
          <w:rFonts w:cs="Arial"/>
          <w:sz w:val="20"/>
          <w:szCs w:val="20"/>
        </w:rPr>
        <w:t>c</w:t>
      </w:r>
      <w:r w:rsidRPr="00E76ACE">
        <w:rPr>
          <w:rFonts w:cs="Arial"/>
          <w:sz w:val="20"/>
          <w:szCs w:val="20"/>
        </w:rPr>
        <w:t xml:space="preserve">ontrol </w:t>
      </w:r>
      <w:r>
        <w:rPr>
          <w:rFonts w:cs="Arial"/>
          <w:sz w:val="20"/>
          <w:szCs w:val="20"/>
        </w:rPr>
        <w:t>d</w:t>
      </w:r>
      <w:r w:rsidRPr="00E76ACE">
        <w:rPr>
          <w:rFonts w:cs="Arial"/>
          <w:sz w:val="20"/>
          <w:szCs w:val="20"/>
        </w:rPr>
        <w:t xml:space="preserve">e </w:t>
      </w:r>
      <w:r>
        <w:rPr>
          <w:rFonts w:cs="Arial"/>
          <w:sz w:val="20"/>
          <w:szCs w:val="20"/>
        </w:rPr>
        <w:t>c</w:t>
      </w:r>
      <w:r w:rsidRPr="00E76ACE">
        <w:rPr>
          <w:rFonts w:cs="Arial"/>
          <w:sz w:val="20"/>
          <w:szCs w:val="20"/>
        </w:rPr>
        <w:t xml:space="preserve">ontroversias </w:t>
      </w:r>
      <w:r>
        <w:rPr>
          <w:rFonts w:cs="Arial"/>
          <w:sz w:val="20"/>
          <w:szCs w:val="20"/>
        </w:rPr>
        <w:t>c</w:t>
      </w:r>
      <w:r w:rsidRPr="00E76ACE">
        <w:rPr>
          <w:rFonts w:cs="Arial"/>
          <w:sz w:val="20"/>
          <w:szCs w:val="20"/>
        </w:rPr>
        <w:t>ontractuales (</w:t>
      </w:r>
      <w:r>
        <w:rPr>
          <w:rFonts w:cs="Arial"/>
          <w:sz w:val="20"/>
          <w:szCs w:val="20"/>
        </w:rPr>
        <w:t>a</w:t>
      </w:r>
      <w:r w:rsidRPr="00E76ACE">
        <w:rPr>
          <w:rFonts w:cs="Arial"/>
          <w:sz w:val="20"/>
          <w:szCs w:val="20"/>
        </w:rPr>
        <w:t>uto)</w:t>
      </w:r>
      <w:r>
        <w:rPr>
          <w:rFonts w:cs="Arial"/>
          <w:sz w:val="20"/>
          <w:szCs w:val="20"/>
        </w:rPr>
        <w:t>.</w:t>
      </w:r>
    </w:p>
    <w:p w:rsidR="002E46C2" w:rsidRPr="00E76ACE" w:rsidRDefault="002E46C2" w:rsidP="0065188E">
      <w:pPr>
        <w:pStyle w:val="Textonotapie"/>
        <w:spacing w:line="240" w:lineRule="auto"/>
        <w:rPr>
          <w:rFonts w:cs="Arial"/>
          <w:lang w:val="es-CO"/>
        </w:rPr>
      </w:pPr>
    </w:p>
  </w:footnote>
  <w:footnote w:id="35">
    <w:p w:rsidR="002E46C2" w:rsidRPr="00E76ACE" w:rsidRDefault="002E46C2" w:rsidP="0065188E">
      <w:pPr>
        <w:spacing w:line="240" w:lineRule="auto"/>
        <w:rPr>
          <w:rFonts w:cs="Arial"/>
          <w:sz w:val="20"/>
          <w:szCs w:val="20"/>
        </w:rPr>
      </w:pPr>
      <w:r w:rsidRPr="00E76ACE">
        <w:rPr>
          <w:rStyle w:val="Refdenotaalpie"/>
          <w:rFonts w:cs="Arial"/>
          <w:sz w:val="20"/>
          <w:szCs w:val="20"/>
        </w:rPr>
        <w:footnoteRef/>
      </w:r>
      <w:r w:rsidRPr="00E76ACE">
        <w:rPr>
          <w:rFonts w:cs="Arial"/>
          <w:sz w:val="20"/>
          <w:szCs w:val="20"/>
        </w:rPr>
        <w:t xml:space="preserve"> Consejo </w:t>
      </w:r>
      <w:r>
        <w:rPr>
          <w:rFonts w:cs="Arial"/>
          <w:sz w:val="20"/>
          <w:szCs w:val="20"/>
        </w:rPr>
        <w:t>d</w:t>
      </w:r>
      <w:r w:rsidRPr="00E76ACE">
        <w:rPr>
          <w:rFonts w:cs="Arial"/>
          <w:sz w:val="20"/>
          <w:szCs w:val="20"/>
        </w:rPr>
        <w:t xml:space="preserve">e Estado, Sala </w:t>
      </w:r>
      <w:r>
        <w:rPr>
          <w:rFonts w:cs="Arial"/>
          <w:sz w:val="20"/>
          <w:szCs w:val="20"/>
        </w:rPr>
        <w:t>d</w:t>
      </w:r>
      <w:r w:rsidRPr="00E76ACE">
        <w:rPr>
          <w:rFonts w:cs="Arial"/>
          <w:sz w:val="20"/>
          <w:szCs w:val="20"/>
        </w:rPr>
        <w:t xml:space="preserve">e </w:t>
      </w:r>
      <w:r>
        <w:rPr>
          <w:rFonts w:cs="Arial"/>
          <w:sz w:val="20"/>
          <w:szCs w:val="20"/>
        </w:rPr>
        <w:t>l</w:t>
      </w:r>
      <w:r w:rsidRPr="00E76ACE">
        <w:rPr>
          <w:rFonts w:cs="Arial"/>
          <w:sz w:val="20"/>
          <w:szCs w:val="20"/>
        </w:rPr>
        <w:t>o Contencioso Administrativo, Sección Tercera, Subsecci</w:t>
      </w:r>
      <w:r>
        <w:rPr>
          <w:rFonts w:cs="Arial"/>
          <w:sz w:val="20"/>
          <w:szCs w:val="20"/>
        </w:rPr>
        <w:t>ó</w:t>
      </w:r>
      <w:r w:rsidRPr="00E76ACE">
        <w:rPr>
          <w:rFonts w:cs="Arial"/>
          <w:sz w:val="20"/>
          <w:szCs w:val="20"/>
        </w:rPr>
        <w:t xml:space="preserve">n A, Consejero Ponente: Carlos Alberto Zambrano Barrera, </w:t>
      </w:r>
      <w:r>
        <w:rPr>
          <w:rFonts w:cs="Arial"/>
          <w:sz w:val="20"/>
          <w:szCs w:val="20"/>
        </w:rPr>
        <w:t>s</w:t>
      </w:r>
      <w:r w:rsidRPr="00E76ACE">
        <w:rPr>
          <w:rFonts w:cs="Arial"/>
          <w:sz w:val="20"/>
          <w:szCs w:val="20"/>
        </w:rPr>
        <w:t xml:space="preserve">entencia </w:t>
      </w:r>
      <w:r>
        <w:rPr>
          <w:rFonts w:cs="Arial"/>
          <w:sz w:val="20"/>
          <w:szCs w:val="20"/>
        </w:rPr>
        <w:t>d</w:t>
      </w:r>
      <w:r w:rsidRPr="00E76ACE">
        <w:rPr>
          <w:rFonts w:cs="Arial"/>
          <w:sz w:val="20"/>
          <w:szCs w:val="20"/>
        </w:rPr>
        <w:t xml:space="preserve">e 9 </w:t>
      </w:r>
      <w:r>
        <w:rPr>
          <w:rFonts w:cs="Arial"/>
          <w:sz w:val="20"/>
          <w:szCs w:val="20"/>
        </w:rPr>
        <w:t>d</w:t>
      </w:r>
      <w:r w:rsidRPr="00E76ACE">
        <w:rPr>
          <w:rFonts w:cs="Arial"/>
          <w:sz w:val="20"/>
          <w:szCs w:val="20"/>
        </w:rPr>
        <w:t xml:space="preserve">e </w:t>
      </w:r>
      <w:r>
        <w:rPr>
          <w:rFonts w:cs="Arial"/>
          <w:sz w:val="20"/>
          <w:szCs w:val="20"/>
        </w:rPr>
        <w:t>o</w:t>
      </w:r>
      <w:r w:rsidRPr="00E76ACE">
        <w:rPr>
          <w:rFonts w:cs="Arial"/>
          <w:sz w:val="20"/>
          <w:szCs w:val="20"/>
        </w:rPr>
        <w:t xml:space="preserve">ctubre </w:t>
      </w:r>
      <w:r>
        <w:rPr>
          <w:rFonts w:cs="Arial"/>
          <w:sz w:val="20"/>
          <w:szCs w:val="20"/>
        </w:rPr>
        <w:t>d</w:t>
      </w:r>
      <w:r w:rsidRPr="00E76ACE">
        <w:rPr>
          <w:rFonts w:cs="Arial"/>
          <w:sz w:val="20"/>
          <w:szCs w:val="20"/>
        </w:rPr>
        <w:t xml:space="preserve">e 2013, </w:t>
      </w:r>
      <w:r>
        <w:rPr>
          <w:rFonts w:cs="Arial"/>
          <w:sz w:val="20"/>
          <w:szCs w:val="20"/>
        </w:rPr>
        <w:t>r</w:t>
      </w:r>
      <w:r w:rsidRPr="00E76ACE">
        <w:rPr>
          <w:rFonts w:cs="Arial"/>
          <w:bCs/>
          <w:sz w:val="20"/>
          <w:szCs w:val="20"/>
        </w:rPr>
        <w:t xml:space="preserve">adicación </w:t>
      </w:r>
      <w:r>
        <w:rPr>
          <w:rFonts w:cs="Arial"/>
          <w:bCs/>
          <w:sz w:val="20"/>
          <w:szCs w:val="20"/>
        </w:rPr>
        <w:t>n</w:t>
      </w:r>
      <w:r w:rsidRPr="00E76ACE">
        <w:rPr>
          <w:rFonts w:cs="Arial"/>
          <w:bCs/>
          <w:sz w:val="20"/>
          <w:szCs w:val="20"/>
        </w:rPr>
        <w:t>úmero: 85001-23-31-000-2002-00289</w:t>
      </w:r>
      <w:r w:rsidRPr="00E76ACE">
        <w:rPr>
          <w:rFonts w:cs="Arial"/>
          <w:sz w:val="20"/>
          <w:szCs w:val="20"/>
        </w:rPr>
        <w:t xml:space="preserve">-01(25440), </w:t>
      </w:r>
      <w:r>
        <w:rPr>
          <w:rFonts w:cs="Arial"/>
          <w:sz w:val="20"/>
          <w:szCs w:val="20"/>
        </w:rPr>
        <w:t>a</w:t>
      </w:r>
      <w:r w:rsidRPr="00E76ACE">
        <w:rPr>
          <w:rFonts w:cs="Arial"/>
          <w:sz w:val="20"/>
          <w:szCs w:val="20"/>
        </w:rPr>
        <w:t xml:space="preserve">ctor: Cooperativa </w:t>
      </w:r>
      <w:r>
        <w:rPr>
          <w:rFonts w:cs="Arial"/>
          <w:sz w:val="20"/>
          <w:szCs w:val="20"/>
        </w:rPr>
        <w:t>d</w:t>
      </w:r>
      <w:r w:rsidRPr="00E76ACE">
        <w:rPr>
          <w:rFonts w:cs="Arial"/>
          <w:sz w:val="20"/>
          <w:szCs w:val="20"/>
        </w:rPr>
        <w:t xml:space="preserve">e Desarrollo Territorial – Codeter, </w:t>
      </w:r>
      <w:r>
        <w:rPr>
          <w:rFonts w:cs="Arial"/>
          <w:sz w:val="20"/>
          <w:szCs w:val="20"/>
        </w:rPr>
        <w:t>d</w:t>
      </w:r>
      <w:r w:rsidRPr="00E76ACE">
        <w:rPr>
          <w:rFonts w:cs="Arial"/>
          <w:sz w:val="20"/>
          <w:szCs w:val="20"/>
        </w:rPr>
        <w:t>emandado: Corporaci</w:t>
      </w:r>
      <w:r>
        <w:rPr>
          <w:rFonts w:cs="Arial"/>
          <w:sz w:val="20"/>
          <w:szCs w:val="20"/>
        </w:rPr>
        <w:t>ó</w:t>
      </w:r>
      <w:r w:rsidRPr="00E76ACE">
        <w:rPr>
          <w:rFonts w:cs="Arial"/>
          <w:sz w:val="20"/>
          <w:szCs w:val="20"/>
        </w:rPr>
        <w:t>n Aut</w:t>
      </w:r>
      <w:r>
        <w:rPr>
          <w:rFonts w:cs="Arial"/>
          <w:sz w:val="20"/>
          <w:szCs w:val="20"/>
        </w:rPr>
        <w:t>ó</w:t>
      </w:r>
      <w:r w:rsidRPr="00E76ACE">
        <w:rPr>
          <w:rFonts w:cs="Arial"/>
          <w:sz w:val="20"/>
          <w:szCs w:val="20"/>
        </w:rPr>
        <w:t xml:space="preserve">noma Regional </w:t>
      </w:r>
      <w:r>
        <w:rPr>
          <w:rFonts w:cs="Arial"/>
          <w:sz w:val="20"/>
          <w:szCs w:val="20"/>
        </w:rPr>
        <w:t>d</w:t>
      </w:r>
      <w:r w:rsidRPr="00E76ACE">
        <w:rPr>
          <w:rFonts w:cs="Arial"/>
          <w:sz w:val="20"/>
          <w:szCs w:val="20"/>
        </w:rPr>
        <w:t xml:space="preserve">e </w:t>
      </w:r>
      <w:r>
        <w:rPr>
          <w:rFonts w:cs="Arial"/>
          <w:sz w:val="20"/>
          <w:szCs w:val="20"/>
        </w:rPr>
        <w:t>l</w:t>
      </w:r>
      <w:r w:rsidRPr="00E76ACE">
        <w:rPr>
          <w:rFonts w:cs="Arial"/>
          <w:sz w:val="20"/>
          <w:szCs w:val="20"/>
        </w:rPr>
        <w:t>a Orinoquia</w:t>
      </w:r>
      <w:r>
        <w:rPr>
          <w:rFonts w:cs="Arial"/>
          <w:sz w:val="20"/>
          <w:szCs w:val="20"/>
        </w:rPr>
        <w:t>.</w:t>
      </w:r>
      <w:r w:rsidRPr="00E76ACE">
        <w:rPr>
          <w:rFonts w:cs="Arial"/>
          <w:sz w:val="20"/>
          <w:szCs w:val="20"/>
        </w:rPr>
        <w:t>-Corporinoquia -</w:t>
      </w:r>
      <w:r>
        <w:rPr>
          <w:rFonts w:cs="Arial"/>
          <w:sz w:val="20"/>
          <w:szCs w:val="20"/>
        </w:rPr>
        <w:t>r</w:t>
      </w:r>
      <w:r w:rsidRPr="00E76ACE">
        <w:rPr>
          <w:rFonts w:cs="Arial"/>
          <w:sz w:val="20"/>
          <w:szCs w:val="20"/>
        </w:rPr>
        <w:t xml:space="preserve">eferencia: </w:t>
      </w:r>
      <w:r>
        <w:rPr>
          <w:rFonts w:cs="Arial"/>
          <w:sz w:val="20"/>
          <w:szCs w:val="20"/>
        </w:rPr>
        <w:t>c</w:t>
      </w:r>
      <w:r w:rsidRPr="00E76ACE">
        <w:rPr>
          <w:rFonts w:cs="Arial"/>
          <w:sz w:val="20"/>
          <w:szCs w:val="20"/>
        </w:rPr>
        <w:t>ontratos</w:t>
      </w:r>
    </w:p>
    <w:p w:rsidR="002E46C2" w:rsidRPr="00E76ACE" w:rsidRDefault="002E46C2" w:rsidP="0065188E">
      <w:pPr>
        <w:pStyle w:val="Textonotapie"/>
        <w:rPr>
          <w:lang w:val="es-CO"/>
        </w:rPr>
      </w:pPr>
    </w:p>
  </w:footnote>
  <w:footnote w:id="36">
    <w:p w:rsidR="002E46C2" w:rsidRDefault="002E46C2" w:rsidP="00D26AC5">
      <w:pPr>
        <w:spacing w:line="240" w:lineRule="auto"/>
        <w:ind w:right="51"/>
        <w:rPr>
          <w:i/>
          <w:sz w:val="20"/>
          <w:szCs w:val="20"/>
        </w:rPr>
      </w:pPr>
      <w:r w:rsidRPr="00B727F3">
        <w:rPr>
          <w:rStyle w:val="Refdenotaalpie"/>
        </w:rPr>
        <w:footnoteRef/>
      </w:r>
      <w:r w:rsidRPr="00B727F3">
        <w:t xml:space="preserve"> </w:t>
      </w:r>
      <w:r w:rsidRPr="00B727F3">
        <w:rPr>
          <w:sz w:val="20"/>
          <w:szCs w:val="20"/>
        </w:rPr>
        <w:t>“Al</w:t>
      </w:r>
      <w:r w:rsidRPr="00B727F3">
        <w:rPr>
          <w:sz w:val="28"/>
          <w:szCs w:val="28"/>
        </w:rPr>
        <w:t xml:space="preserve"> </w:t>
      </w:r>
      <w:r w:rsidRPr="00B727F3">
        <w:rPr>
          <w:i/>
          <w:sz w:val="20"/>
          <w:szCs w:val="20"/>
        </w:rPr>
        <w:t xml:space="preserve">respecto estima la Sala que </w:t>
      </w:r>
      <w:r w:rsidRPr="00B727F3">
        <w:rPr>
          <w:b/>
          <w:i/>
          <w:sz w:val="20"/>
          <w:szCs w:val="20"/>
        </w:rPr>
        <w:t>el único entendimiento posible del contenido normativo de los referidos preceptos de ley 80/93, que consagran</w:t>
      </w:r>
      <w:r w:rsidRPr="00B727F3">
        <w:rPr>
          <w:i/>
          <w:sz w:val="20"/>
          <w:szCs w:val="20"/>
        </w:rPr>
        <w:t xml:space="preserve"> </w:t>
      </w:r>
      <w:r w:rsidRPr="00B727F3">
        <w:rPr>
          <w:b/>
          <w:i/>
          <w:sz w:val="20"/>
          <w:szCs w:val="20"/>
        </w:rPr>
        <w:t>la responsabilidad civil de las entidades estatales</w:t>
      </w:r>
      <w:r w:rsidRPr="00B727F3">
        <w:rPr>
          <w:i/>
          <w:sz w:val="20"/>
          <w:szCs w:val="20"/>
        </w:rPr>
        <w:t xml:space="preserve">, no es otro que el de considerar que dicha responsabilidad concierne a aspectos relativos a conductas positivas o negativas, </w:t>
      </w:r>
      <w:r w:rsidRPr="00B727F3">
        <w:rPr>
          <w:b/>
          <w:i/>
          <w:sz w:val="20"/>
          <w:szCs w:val="20"/>
        </w:rPr>
        <w:t>imputables a las entidades públicas</w:t>
      </w:r>
      <w:r w:rsidRPr="00B727F3">
        <w:rPr>
          <w:i/>
          <w:sz w:val="20"/>
          <w:szCs w:val="20"/>
        </w:rPr>
        <w:t xml:space="preserve">, que causan perjuicio a los contratistas, derivadas de la inobservancia de preceptos de las normas civiles que rigen su actividad contractual, y a las cuales expresamente dicha ley remite, responsabilidad de naturaleza especial que no puede hacerse exigible mediante la formulación de las pretensiones autorizadas por el art. 87 del C.C.A.” </w:t>
      </w:r>
      <w:r w:rsidRPr="00B727F3">
        <w:rPr>
          <w:sz w:val="20"/>
          <w:szCs w:val="20"/>
        </w:rPr>
        <w:t>(</w:t>
      </w:r>
      <w:r w:rsidRPr="00750B62">
        <w:rPr>
          <w:sz w:val="20"/>
          <w:szCs w:val="20"/>
        </w:rPr>
        <w:t>la negrilla no es del texto).</w:t>
      </w:r>
    </w:p>
    <w:p w:rsidR="002E46C2" w:rsidRDefault="002E46C2" w:rsidP="00D26AC5">
      <w:pPr>
        <w:pStyle w:val="Textonotapie"/>
        <w:ind w:right="51"/>
        <w:rPr>
          <w:lang w:val="es-CO"/>
        </w:rPr>
      </w:pPr>
    </w:p>
  </w:footnote>
  <w:footnote w:id="37">
    <w:p w:rsidR="002E46C2" w:rsidRDefault="002E46C2" w:rsidP="00CE65DD">
      <w:pPr>
        <w:pStyle w:val="Textonotapie"/>
        <w:spacing w:line="240" w:lineRule="auto"/>
        <w:rPr>
          <w:lang w:val="es-CO"/>
        </w:rPr>
      </w:pPr>
      <w:r>
        <w:rPr>
          <w:rStyle w:val="Refdenotaalpie"/>
        </w:rPr>
        <w:footnoteRef/>
      </w:r>
      <w:r>
        <w:t xml:space="preserve"> </w:t>
      </w:r>
      <w:r>
        <w:rPr>
          <w:lang w:val="es-CO"/>
        </w:rPr>
        <w:t>La Ley 446 de 1998 modificó el artículo 87 del CCA, adoptando un contenido amplio de la acción contractual y de las pretensiones que se podían incoar en ejercicio de la misma, sometiéndolas a unas reglas comunes de caducidad.</w:t>
      </w:r>
    </w:p>
    <w:p w:rsidR="002E46C2" w:rsidRDefault="002E46C2" w:rsidP="00CE65DD">
      <w:pPr>
        <w:pStyle w:val="Textonotapie"/>
        <w:spacing w:line="240" w:lineRule="auto"/>
        <w:rPr>
          <w:lang w:val="es-CO"/>
        </w:rPr>
      </w:pPr>
    </w:p>
  </w:footnote>
  <w:footnote w:id="38">
    <w:p w:rsidR="002E46C2" w:rsidRDefault="002E46C2" w:rsidP="00CE65DD">
      <w:pPr>
        <w:pStyle w:val="Textonotapie"/>
        <w:rPr>
          <w:lang w:val="es-CO"/>
        </w:rPr>
      </w:pPr>
      <w:r>
        <w:rPr>
          <w:rStyle w:val="Refdenotaalpie"/>
        </w:rPr>
        <w:footnoteRef/>
      </w:r>
      <w:r>
        <w:t xml:space="preserve"> </w:t>
      </w:r>
      <w:r>
        <w:rPr>
          <w:bCs/>
        </w:rPr>
        <w:t>Sentencia C-563/98.</w:t>
      </w:r>
    </w:p>
  </w:footnote>
  <w:footnote w:id="39">
    <w:p w:rsidR="002E46C2" w:rsidRDefault="002E46C2" w:rsidP="00CE65DD">
      <w:pPr>
        <w:pStyle w:val="Textonotapie"/>
        <w:spacing w:line="240" w:lineRule="auto"/>
        <w:rPr>
          <w:rFonts w:cs="Arial"/>
          <w:i/>
        </w:rPr>
      </w:pPr>
      <w:r>
        <w:rPr>
          <w:rStyle w:val="Refdenotaalpie"/>
          <w:rFonts w:cs="Arial"/>
        </w:rPr>
        <w:footnoteRef/>
      </w:r>
      <w:r>
        <w:rPr>
          <w:rFonts w:cs="Arial"/>
        </w:rPr>
        <w:t xml:space="preserve"> Cita original de la sentencia: “</w:t>
      </w:r>
      <w:r>
        <w:rPr>
          <w:rFonts w:cs="Arial"/>
          <w:i/>
        </w:rPr>
        <w:t>Estatuto de la Contratación Administrativa, Bogotá, Edit. Temis, 1993, pags. 57 y 58”.</w:t>
      </w:r>
    </w:p>
    <w:p w:rsidR="002E46C2" w:rsidRDefault="002E46C2" w:rsidP="00CE65DD">
      <w:pPr>
        <w:pStyle w:val="Textonotapie"/>
        <w:spacing w:line="240" w:lineRule="auto"/>
        <w:rPr>
          <w:i/>
        </w:rPr>
      </w:pPr>
    </w:p>
  </w:footnote>
  <w:footnote w:id="40">
    <w:p w:rsidR="002E46C2" w:rsidRPr="00011810" w:rsidRDefault="002E46C2" w:rsidP="00DB08F7">
      <w:pPr>
        <w:pStyle w:val="Textonotapie"/>
        <w:spacing w:line="240" w:lineRule="auto"/>
        <w:rPr>
          <w:lang w:val="es-CO"/>
        </w:rPr>
      </w:pPr>
      <w:r>
        <w:rPr>
          <w:rStyle w:val="Refdenotaalpie"/>
        </w:rPr>
        <w:footnoteRef/>
      </w:r>
      <w:r>
        <w:t xml:space="preserve"> Decreto 1050 de 1968. “</w:t>
      </w:r>
      <w:r w:rsidRPr="008D6A62">
        <w:rPr>
          <w:rFonts w:cs="Arial"/>
          <w:bCs/>
          <w:i/>
          <w:color w:val="000000"/>
          <w:shd w:val="clear" w:color="auto" w:fill="FFFFFF"/>
        </w:rPr>
        <w:t>Artículo 6o</w:t>
      </w:r>
      <w:r w:rsidRPr="008D6A62">
        <w:rPr>
          <w:rFonts w:cs="Arial"/>
          <w:i/>
          <w:color w:val="000000"/>
          <w:shd w:val="clear" w:color="auto" w:fill="FFFFFF"/>
        </w:rPr>
        <w:t xml:space="preserve">.- De las empresas industriales y comerciales del Estado. Son organismos creados por la ley, o autorizados por esta, que desarrollan actividades de naturaleza industrial o comercial </w:t>
      </w:r>
      <w:r w:rsidRPr="008D6A62">
        <w:rPr>
          <w:rFonts w:cs="Arial"/>
          <w:b/>
          <w:i/>
          <w:color w:val="000000"/>
          <w:shd w:val="clear" w:color="auto" w:fill="FFFFFF"/>
        </w:rPr>
        <w:t>conforme a las reglas del derecho privado</w:t>
      </w:r>
      <w:r w:rsidRPr="008D6A62">
        <w:rPr>
          <w:rFonts w:cs="Arial"/>
          <w:i/>
          <w:color w:val="000000"/>
          <w:shd w:val="clear" w:color="auto" w:fill="FFFFFF"/>
        </w:rPr>
        <w:t xml:space="preserve">, salvo las excepciones que consagra la ley, y que reúnen las siguientes características </w:t>
      </w:r>
      <w:r w:rsidRPr="00011810">
        <w:rPr>
          <w:rFonts w:cs="Arial"/>
          <w:i/>
          <w:color w:val="000000"/>
          <w:shd w:val="clear" w:color="auto" w:fill="FFFFFF"/>
        </w:rPr>
        <w:t>(…)</w:t>
      </w:r>
      <w:r>
        <w:rPr>
          <w:rFonts w:cs="Arial"/>
          <w:i/>
          <w:color w:val="000000"/>
          <w:shd w:val="clear" w:color="auto" w:fill="FFFFFF"/>
        </w:rPr>
        <w:t>”</w:t>
      </w:r>
      <w:r w:rsidRPr="00011810">
        <w:rPr>
          <w:rFonts w:cs="Arial"/>
          <w:color w:val="000000"/>
          <w:shd w:val="clear" w:color="auto" w:fill="FFFFFF"/>
        </w:rPr>
        <w:t xml:space="preserve"> </w:t>
      </w:r>
      <w:r>
        <w:rPr>
          <w:rFonts w:cs="Arial"/>
          <w:color w:val="000000"/>
          <w:shd w:val="clear" w:color="auto" w:fill="FFFFFF"/>
        </w:rPr>
        <w:t>l</w:t>
      </w:r>
      <w:r w:rsidRPr="00011810">
        <w:rPr>
          <w:rFonts w:cs="Arial"/>
          <w:color w:val="000000"/>
          <w:shd w:val="clear" w:color="auto" w:fill="FFFFFF"/>
        </w:rPr>
        <w:t xml:space="preserve">a negrilla no es del texto. </w:t>
      </w:r>
    </w:p>
    <w:p w:rsidR="002E46C2" w:rsidRPr="00F16670" w:rsidRDefault="002E46C2" w:rsidP="00DB08F7">
      <w:pPr>
        <w:pStyle w:val="Textonotapie"/>
        <w:spacing w:line="240" w:lineRule="auto"/>
        <w:ind w:right="-284"/>
        <w:rPr>
          <w:lang w:val="es-CO"/>
        </w:rPr>
      </w:pPr>
      <w:r>
        <w:rPr>
          <w:lang w:val="es-CO"/>
        </w:rPr>
        <w:t xml:space="preserve"> </w:t>
      </w:r>
    </w:p>
  </w:footnote>
  <w:footnote w:id="41">
    <w:p w:rsidR="002E46C2" w:rsidRDefault="002E46C2" w:rsidP="00DB08F7">
      <w:pPr>
        <w:pStyle w:val="Textonotapie"/>
        <w:spacing w:line="240" w:lineRule="auto"/>
        <w:rPr>
          <w:lang w:val="es-CO"/>
        </w:rPr>
      </w:pPr>
      <w:r>
        <w:rPr>
          <w:rStyle w:val="Refdenotaalpie"/>
        </w:rPr>
        <w:footnoteRef/>
      </w:r>
      <w:r>
        <w:t xml:space="preserve"> P</w:t>
      </w:r>
      <w:r>
        <w:rPr>
          <w:lang w:val="es-CO"/>
        </w:rPr>
        <w:t>ara la época que se presentó la demanda en este proceso, l</w:t>
      </w:r>
      <w:r>
        <w:t xml:space="preserve">a </w:t>
      </w:r>
      <w:r>
        <w:rPr>
          <w:lang w:val="es-CO"/>
        </w:rPr>
        <w:t>jurisdicción de lo contencioso administrativo era la competente en asuntos contractuales, con base en el  Decreto 01 de 1984 (C.C.A.) y las modificaciones introducidas por la ley 80 de 1993 y la Ley 446 de 1998, que implantaron el criterio orgánico, aplicable en atención a la condición estatal del IDEMA,  como regla general de competencia, para conocer de las controversias contractuales de esa entidad pública.</w:t>
      </w:r>
    </w:p>
    <w:p w:rsidR="002E46C2" w:rsidRPr="004B4B6E" w:rsidRDefault="002E46C2" w:rsidP="00DB08F7">
      <w:pPr>
        <w:pStyle w:val="Textonotapie"/>
        <w:spacing w:line="240" w:lineRule="auto"/>
        <w:rPr>
          <w:lang w:val="es-CO"/>
        </w:rPr>
      </w:pPr>
    </w:p>
  </w:footnote>
  <w:footnote w:id="42">
    <w:p w:rsidR="002E46C2" w:rsidRPr="00AC463D" w:rsidRDefault="002E46C2">
      <w:pPr>
        <w:pStyle w:val="Textonotapie"/>
        <w:rPr>
          <w:lang w:val="es-CO"/>
        </w:rPr>
      </w:pPr>
      <w:r>
        <w:rPr>
          <w:rStyle w:val="Refdenotaalpie"/>
        </w:rPr>
        <w:footnoteRef/>
      </w:r>
      <w:r>
        <w:t xml:space="preserve"> </w:t>
      </w:r>
      <w:r>
        <w:rPr>
          <w:lang w:val="es-CO"/>
        </w:rPr>
        <w:t>Fecha en la que empezó a regir la Ley 80 de 1993.</w:t>
      </w:r>
    </w:p>
  </w:footnote>
  <w:footnote w:id="43">
    <w:p w:rsidR="002E46C2" w:rsidRDefault="002E46C2" w:rsidP="00EF62E8">
      <w:pPr>
        <w:pStyle w:val="Textonotapie"/>
        <w:spacing w:line="240" w:lineRule="auto"/>
        <w:rPr>
          <w:lang w:val="es-CO"/>
        </w:rPr>
      </w:pPr>
      <w:r>
        <w:rPr>
          <w:rStyle w:val="Refdenotaalpie"/>
        </w:rPr>
        <w:footnoteRef/>
      </w:r>
      <w:r>
        <w:t xml:space="preserve"> </w:t>
      </w:r>
      <w:r>
        <w:rPr>
          <w:lang w:val="es-CO"/>
        </w:rPr>
        <w:t xml:space="preserve">Fecha en que empezó a regir la modificación de los artículos 87 y 136 del CCA, en relación con el alcance de la acción de controversias contractuales y las reglas de la caducidad. </w:t>
      </w:r>
    </w:p>
    <w:p w:rsidR="002E46C2" w:rsidRPr="00AC463D" w:rsidRDefault="002E46C2" w:rsidP="00EF62E8">
      <w:pPr>
        <w:pStyle w:val="Textonotapie"/>
        <w:spacing w:line="240" w:lineRule="auto"/>
        <w:rPr>
          <w:lang w:val="es-CO"/>
        </w:rPr>
      </w:pPr>
    </w:p>
  </w:footnote>
  <w:footnote w:id="44">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Style w:val="Refdenotaalpie"/>
        </w:rPr>
        <w:footnoteRef/>
      </w:r>
      <w:r>
        <w:t xml:space="preserve"> </w:t>
      </w:r>
      <w:r w:rsidRPr="00F454D3">
        <w:rPr>
          <w:i/>
          <w:sz w:val="20"/>
          <w:szCs w:val="20"/>
        </w:rPr>
        <w:t xml:space="preserve">“Ley 23 de 1991. </w:t>
      </w:r>
      <w:r>
        <w:rPr>
          <w:i/>
          <w:sz w:val="20"/>
          <w:szCs w:val="20"/>
        </w:rPr>
        <w:t>“</w:t>
      </w:r>
      <w:r w:rsidRPr="00057183">
        <w:rPr>
          <w:rFonts w:cs="Arial"/>
          <w:bCs/>
          <w:i/>
          <w:color w:val="000000"/>
          <w:sz w:val="20"/>
          <w:szCs w:val="20"/>
        </w:rPr>
        <w:t>A</w:t>
      </w:r>
      <w:r>
        <w:rPr>
          <w:rFonts w:cs="Arial"/>
          <w:bCs/>
          <w:i/>
          <w:color w:val="000000"/>
          <w:sz w:val="20"/>
          <w:szCs w:val="20"/>
        </w:rPr>
        <w:t xml:space="preserve">rtículo </w:t>
      </w:r>
      <w:r w:rsidRPr="00057183">
        <w:rPr>
          <w:rFonts w:cs="Arial"/>
          <w:bCs/>
          <w:i/>
          <w:color w:val="000000"/>
          <w:sz w:val="20"/>
          <w:szCs w:val="20"/>
        </w:rPr>
        <w:t>60</w:t>
      </w:r>
      <w:r w:rsidRPr="00F454D3">
        <w:rPr>
          <w:rFonts w:cs="Arial"/>
          <w:i/>
          <w:color w:val="000000"/>
          <w:sz w:val="20"/>
          <w:szCs w:val="20"/>
        </w:rPr>
        <w:t> Antes de la presentación ante la Jurisdicción Contencioso Administrativa de cualquiera de las acciones a que se refiere el inciso 1o. del artículo anterior, las partes podrán formular ante el Fiscal de la Corporación la correspondiente petición, enviando copia de ella a la entidad que corresponda, o al particular, según el caso.</w:t>
      </w:r>
    </w:p>
    <w:p w:rsidR="002E46C2" w:rsidRPr="00F454D3" w:rsidRDefault="002E46C2" w:rsidP="009E65EB">
      <w:pPr>
        <w:pStyle w:val="NormalWeb"/>
        <w:shd w:val="clear" w:color="auto" w:fill="FFFFFF"/>
        <w:spacing w:before="0" w:beforeAutospacing="0" w:after="0" w:afterAutospacing="0" w:line="240" w:lineRule="auto"/>
        <w:rPr>
          <w:rFonts w:cs="Arial"/>
          <w:i/>
          <w:color w:val="000000"/>
          <w:sz w:val="20"/>
          <w:szCs w:val="20"/>
        </w:rPr>
      </w:pPr>
    </w:p>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Fonts w:cs="Arial"/>
          <w:i/>
          <w:color w:val="000000"/>
          <w:sz w:val="20"/>
          <w:szCs w:val="20"/>
        </w:rPr>
        <w:t>“</w:t>
      </w:r>
      <w:r w:rsidRPr="00F454D3">
        <w:rPr>
          <w:rFonts w:cs="Arial"/>
          <w:i/>
          <w:color w:val="000000"/>
          <w:sz w:val="20"/>
          <w:szCs w:val="20"/>
        </w:rPr>
        <w:t>Dentro de los diez (10) días siguientes a la fecha de la petición, el Agente del Ministerio Público la calificará y si encuentra serias y razonables las solicitudes, citará a los interesados para que concurran a la audiencia de conciliación el día y a la hora que señale dentro del mes siguiente a la fecha de la citación.</w:t>
      </w:r>
    </w:p>
    <w:p w:rsidR="002E46C2" w:rsidRPr="00F454D3" w:rsidRDefault="002E46C2" w:rsidP="009E65EB">
      <w:pPr>
        <w:pStyle w:val="NormalWeb"/>
        <w:shd w:val="clear" w:color="auto" w:fill="FFFFFF"/>
        <w:spacing w:before="0" w:beforeAutospacing="0" w:after="0" w:afterAutospacing="0" w:line="240" w:lineRule="auto"/>
        <w:rPr>
          <w:rFonts w:cs="Arial"/>
          <w:i/>
          <w:color w:val="000000"/>
          <w:sz w:val="20"/>
          <w:szCs w:val="20"/>
        </w:rPr>
      </w:pPr>
    </w:p>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Fonts w:cs="Arial"/>
          <w:i/>
          <w:color w:val="000000"/>
          <w:sz w:val="20"/>
          <w:szCs w:val="20"/>
        </w:rPr>
        <w:t>“</w:t>
      </w:r>
      <w:r w:rsidRPr="00F454D3">
        <w:rPr>
          <w:rFonts w:cs="Arial"/>
          <w:i/>
          <w:color w:val="000000"/>
          <w:sz w:val="20"/>
          <w:szCs w:val="20"/>
        </w:rPr>
        <w:t>Los interesados deberán presentar durante la audiencia los medios de prueba de que dispongan para sustentar sus pretensiones y enumerarán, precisa y detalladamente, aquellos que por no estar en su poder sólo harían valer en el proceso judicial.</w:t>
      </w:r>
    </w:p>
    <w:p w:rsidR="002E46C2" w:rsidRPr="00F454D3" w:rsidRDefault="002E46C2" w:rsidP="009E65EB">
      <w:pPr>
        <w:pStyle w:val="NormalWeb"/>
        <w:shd w:val="clear" w:color="auto" w:fill="FFFFFF"/>
        <w:spacing w:before="0" w:beforeAutospacing="0" w:after="0" w:afterAutospacing="0" w:line="240" w:lineRule="auto"/>
        <w:rPr>
          <w:rFonts w:cs="Arial"/>
          <w:i/>
          <w:color w:val="000000"/>
          <w:sz w:val="20"/>
          <w:szCs w:val="20"/>
        </w:rPr>
      </w:pPr>
    </w:p>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Fonts w:cs="Arial"/>
          <w:i/>
          <w:color w:val="000000"/>
          <w:sz w:val="20"/>
          <w:szCs w:val="20"/>
        </w:rPr>
        <w:t>“</w:t>
      </w:r>
      <w:r w:rsidRPr="00F454D3">
        <w:rPr>
          <w:rFonts w:cs="Arial"/>
          <w:i/>
          <w:color w:val="000000"/>
          <w:sz w:val="20"/>
          <w:szCs w:val="20"/>
        </w:rPr>
        <w:t>Si se lograre acuerdo, las partes suscribirán un acta que refrendará el Fiscal, la cual enviará inmediatamente a la Sección respectiva, para que el Consejero o Magistrado a quien le corresponda por reparto defina si ella resulta lesiva para los intereses patrimoniales del Estado, o si puede hallarse viciada de nulidad absoluta, caso en el cual dictará providencia motivada en que así lo declare, contra la cual no procede recurso alguno.</w:t>
      </w:r>
    </w:p>
    <w:p w:rsidR="002E46C2" w:rsidRPr="00F454D3" w:rsidRDefault="002E46C2" w:rsidP="009E65EB">
      <w:pPr>
        <w:pStyle w:val="NormalWeb"/>
        <w:shd w:val="clear" w:color="auto" w:fill="FFFFFF"/>
        <w:spacing w:before="0" w:beforeAutospacing="0" w:after="0" w:afterAutospacing="0" w:line="240" w:lineRule="auto"/>
        <w:rPr>
          <w:rFonts w:cs="Arial"/>
          <w:i/>
          <w:color w:val="000000"/>
          <w:sz w:val="20"/>
          <w:szCs w:val="20"/>
        </w:rPr>
      </w:pPr>
    </w:p>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Fonts w:cs="Arial"/>
          <w:i/>
          <w:color w:val="000000"/>
          <w:sz w:val="20"/>
          <w:szCs w:val="20"/>
        </w:rPr>
        <w:t>“</w:t>
      </w:r>
      <w:r w:rsidRPr="00F454D3">
        <w:rPr>
          <w:rFonts w:cs="Arial"/>
          <w:i/>
          <w:color w:val="000000"/>
          <w:sz w:val="20"/>
          <w:szCs w:val="20"/>
        </w:rPr>
        <w:t>El Acta de Conciliación debidamente suscrita y aprobada por el Consejero o Magistrado a que se refiere el inciso anterior tendrá efectos de cosa juzgada y prestará mérito ejecutivo</w:t>
      </w:r>
      <w:r>
        <w:rPr>
          <w:rFonts w:cs="Arial"/>
          <w:i/>
          <w:color w:val="000000"/>
          <w:sz w:val="20"/>
          <w:szCs w:val="20"/>
        </w:rPr>
        <w:t>”</w:t>
      </w:r>
      <w:r w:rsidRPr="00F454D3">
        <w:rPr>
          <w:rFonts w:cs="Arial"/>
          <w:i/>
          <w:color w:val="000000"/>
          <w:sz w:val="20"/>
          <w:szCs w:val="20"/>
        </w:rPr>
        <w:t>.</w:t>
      </w:r>
    </w:p>
    <w:p w:rsidR="002E46C2" w:rsidRPr="003C68B4" w:rsidRDefault="002E46C2" w:rsidP="009E65EB">
      <w:pPr>
        <w:pStyle w:val="NormalWeb"/>
        <w:shd w:val="clear" w:color="auto" w:fill="FFFFFF"/>
        <w:spacing w:before="0" w:beforeAutospacing="0" w:after="0" w:afterAutospacing="0" w:line="240" w:lineRule="auto"/>
        <w:rPr>
          <w:lang w:val="es-CO"/>
        </w:rPr>
      </w:pPr>
    </w:p>
  </w:footnote>
  <w:footnote w:id="45">
    <w:p w:rsidR="002E46C2" w:rsidRDefault="002E46C2" w:rsidP="009E65EB">
      <w:pPr>
        <w:pStyle w:val="NormalWeb"/>
        <w:shd w:val="clear" w:color="auto" w:fill="FFFFFF"/>
        <w:spacing w:before="0" w:beforeAutospacing="0" w:after="0" w:afterAutospacing="0" w:line="240" w:lineRule="auto"/>
        <w:rPr>
          <w:rFonts w:cs="Arial"/>
          <w:i/>
          <w:color w:val="000000"/>
          <w:sz w:val="20"/>
          <w:szCs w:val="20"/>
        </w:rPr>
      </w:pPr>
      <w:r>
        <w:rPr>
          <w:rStyle w:val="Refdenotaalpie"/>
        </w:rPr>
        <w:footnoteRef/>
      </w:r>
      <w:r>
        <w:t xml:space="preserve"> </w:t>
      </w:r>
      <w:r w:rsidRPr="00B32E96">
        <w:rPr>
          <w:sz w:val="20"/>
          <w:szCs w:val="20"/>
        </w:rPr>
        <w:t>“</w:t>
      </w:r>
      <w:r w:rsidRPr="009E65EB">
        <w:rPr>
          <w:rFonts w:cs="Arial"/>
          <w:bCs/>
          <w:i/>
          <w:color w:val="000000"/>
          <w:sz w:val="20"/>
          <w:szCs w:val="20"/>
        </w:rPr>
        <w:t>Artículo 2469 C.C.. Definición de la Transacción</w:t>
      </w:r>
      <w:r w:rsidRPr="009E65EB">
        <w:rPr>
          <w:rFonts w:cs="Arial"/>
          <w:i/>
          <w:color w:val="000000"/>
          <w:sz w:val="20"/>
          <w:szCs w:val="20"/>
        </w:rPr>
        <w:t>. La transacción es un contrato en que las partes terminan extrajudicialmente un litigio pendiente o precaven un litigio eventual.</w:t>
      </w:r>
    </w:p>
    <w:p w:rsidR="002E46C2" w:rsidRPr="009E65EB" w:rsidRDefault="002E46C2" w:rsidP="009E65EB">
      <w:pPr>
        <w:pStyle w:val="NormalWeb"/>
        <w:shd w:val="clear" w:color="auto" w:fill="FFFFFF"/>
        <w:spacing w:before="0" w:beforeAutospacing="0" w:after="0" w:afterAutospacing="0" w:line="240" w:lineRule="auto"/>
        <w:rPr>
          <w:rFonts w:cs="Arial"/>
          <w:i/>
          <w:color w:val="000000"/>
          <w:sz w:val="20"/>
          <w:szCs w:val="20"/>
        </w:rPr>
      </w:pPr>
    </w:p>
    <w:p w:rsidR="002E46C2" w:rsidRPr="00B32E96" w:rsidRDefault="002E46C2" w:rsidP="009E65EB">
      <w:pPr>
        <w:shd w:val="clear" w:color="auto" w:fill="FFFFFF"/>
        <w:spacing w:line="240" w:lineRule="auto"/>
        <w:rPr>
          <w:rFonts w:cs="Arial"/>
          <w:i/>
          <w:color w:val="000000"/>
          <w:sz w:val="20"/>
          <w:szCs w:val="20"/>
        </w:rPr>
      </w:pPr>
      <w:r w:rsidRPr="009E65EB">
        <w:rPr>
          <w:rFonts w:cs="Arial"/>
          <w:i/>
          <w:color w:val="000000"/>
          <w:sz w:val="20"/>
          <w:szCs w:val="20"/>
        </w:rPr>
        <w:t>“</w:t>
      </w:r>
      <w:r w:rsidRPr="00B32E96">
        <w:rPr>
          <w:rFonts w:cs="Arial"/>
          <w:i/>
          <w:color w:val="000000"/>
          <w:sz w:val="20"/>
          <w:szCs w:val="20"/>
        </w:rPr>
        <w:t>No es transacción el acto que sólo consiste en la renuncia de un derecho que no se disputa</w:t>
      </w:r>
      <w:r>
        <w:rPr>
          <w:rFonts w:cs="Arial"/>
          <w:i/>
          <w:color w:val="000000"/>
          <w:sz w:val="20"/>
          <w:szCs w:val="20"/>
        </w:rPr>
        <w:t>”</w:t>
      </w:r>
      <w:r w:rsidRPr="00B32E96">
        <w:rPr>
          <w:rFonts w:cs="Arial"/>
          <w:i/>
          <w:color w:val="000000"/>
          <w:sz w:val="20"/>
          <w:szCs w:val="20"/>
        </w:rPr>
        <w:t>.</w:t>
      </w:r>
    </w:p>
    <w:p w:rsidR="002E46C2" w:rsidRPr="009E65EB" w:rsidRDefault="002E46C2">
      <w:pPr>
        <w:pStyle w:val="Textonotapie"/>
        <w:rPr>
          <w:i/>
          <w:lang w:val="es-CO"/>
        </w:rPr>
      </w:pPr>
    </w:p>
  </w:footnote>
  <w:footnote w:id="46">
    <w:p w:rsidR="002E46C2" w:rsidRPr="00364389" w:rsidRDefault="002E46C2" w:rsidP="00FF5811">
      <w:pPr>
        <w:pStyle w:val="Textonotapie"/>
        <w:rPr>
          <w:lang w:val="es-CO"/>
        </w:rPr>
      </w:pPr>
      <w:r>
        <w:rPr>
          <w:rStyle w:val="Refdenotaalpie"/>
        </w:rPr>
        <w:footnoteRef/>
      </w:r>
      <w:r>
        <w:t xml:space="preserve"> </w:t>
      </w:r>
      <w:r>
        <w:rPr>
          <w:lang w:val="es-CO"/>
        </w:rPr>
        <w:t>Folios 140 y 141, cuaderno 2.</w:t>
      </w:r>
    </w:p>
  </w:footnote>
  <w:footnote w:id="47">
    <w:p w:rsidR="002E46C2" w:rsidRPr="008B65F6" w:rsidRDefault="002E46C2" w:rsidP="00FF5811">
      <w:pPr>
        <w:pStyle w:val="Textonotapie"/>
        <w:rPr>
          <w:lang w:val="es-CO"/>
        </w:rPr>
      </w:pPr>
      <w:r>
        <w:rPr>
          <w:rStyle w:val="Refdenotaalpie"/>
        </w:rPr>
        <w:footnoteRef/>
      </w:r>
      <w:r>
        <w:t xml:space="preserve"> </w:t>
      </w:r>
      <w:r>
        <w:rPr>
          <w:lang w:val="es-CO"/>
        </w:rPr>
        <w:t>Folios 1 y 2, 140 y 141, cuaderno 2.</w:t>
      </w:r>
    </w:p>
  </w:footnote>
  <w:footnote w:id="48">
    <w:p w:rsidR="002E46C2" w:rsidRPr="00390811" w:rsidRDefault="002E46C2" w:rsidP="00FF5811">
      <w:pPr>
        <w:pStyle w:val="Textonotapie"/>
        <w:rPr>
          <w:lang w:val="es-CO"/>
        </w:rPr>
      </w:pPr>
      <w:r>
        <w:rPr>
          <w:rStyle w:val="Refdenotaalpie"/>
        </w:rPr>
        <w:footnoteRef/>
      </w:r>
      <w:r>
        <w:t xml:space="preserve"> </w:t>
      </w:r>
      <w:r>
        <w:rPr>
          <w:lang w:val="es-CO"/>
        </w:rPr>
        <w:t>Folios 1 y 2, 140 y 141, cuaderno 2.</w:t>
      </w:r>
    </w:p>
  </w:footnote>
  <w:footnote w:id="49">
    <w:p w:rsidR="002E46C2" w:rsidRPr="00B7758B" w:rsidRDefault="002E46C2" w:rsidP="00B7758B">
      <w:pPr>
        <w:pStyle w:val="Textonotapie"/>
        <w:spacing w:line="240" w:lineRule="auto"/>
        <w:rPr>
          <w:lang w:val="es-CO"/>
        </w:rPr>
      </w:pPr>
      <w:r w:rsidRPr="009E65EB">
        <w:rPr>
          <w:rStyle w:val="Refdenotaalpie"/>
          <w:i/>
        </w:rPr>
        <w:footnoteRef/>
      </w:r>
      <w:r w:rsidRPr="009E65EB">
        <w:rPr>
          <w:i/>
        </w:rPr>
        <w:t xml:space="preserve"> “</w:t>
      </w:r>
      <w:r w:rsidRPr="009E65EB">
        <w:rPr>
          <w:rFonts w:cs="Arial"/>
          <w:bCs/>
          <w:i/>
          <w:color w:val="000000"/>
          <w:shd w:val="clear" w:color="auto" w:fill="FFFFFF"/>
        </w:rPr>
        <w:t>Artículo 1539 CC. No ocurrencia del acontecimient</w:t>
      </w:r>
      <w:r w:rsidRPr="00B7758B">
        <w:rPr>
          <w:rFonts w:cs="Arial"/>
          <w:bCs/>
          <w:i/>
          <w:color w:val="000000"/>
          <w:shd w:val="clear" w:color="auto" w:fill="FFFFFF"/>
        </w:rPr>
        <w:t>o de la condici</w:t>
      </w:r>
      <w:r>
        <w:rPr>
          <w:rFonts w:cs="Arial"/>
          <w:bCs/>
          <w:i/>
          <w:color w:val="000000"/>
          <w:shd w:val="clear" w:color="auto" w:fill="FFFFFF"/>
        </w:rPr>
        <w:t>ó</w:t>
      </w:r>
      <w:r w:rsidRPr="00B7758B">
        <w:rPr>
          <w:rFonts w:cs="Arial"/>
          <w:bCs/>
          <w:i/>
          <w:color w:val="000000"/>
          <w:shd w:val="clear" w:color="auto" w:fill="FFFFFF"/>
        </w:rPr>
        <w:t>n.</w:t>
      </w:r>
      <w:r w:rsidRPr="00B7758B">
        <w:rPr>
          <w:rFonts w:cs="Arial"/>
          <w:i/>
          <w:color w:val="000000"/>
          <w:shd w:val="clear" w:color="auto" w:fill="FFFFFF"/>
        </w:rPr>
        <w:t> Se reputa haber fallado la condición positiva o haberse cumplido la negativa, cuando ha llegado a ser cierto que no sucederá el acontecimiento contemplado en ella, o cuando ha expirado el tiempo dentro del cual el acontecimiento ha debido verificarse y no se ha verificado</w:t>
      </w:r>
      <w:r>
        <w:rPr>
          <w:rFonts w:cs="Arial"/>
          <w:i/>
          <w:color w:val="000000"/>
          <w:shd w:val="clear" w:color="auto" w:fill="FFFFFF"/>
        </w:rPr>
        <w:t>”</w:t>
      </w:r>
      <w:r w:rsidRPr="00B7758B">
        <w:rPr>
          <w:rFonts w:cs="Arial"/>
          <w:i/>
          <w:color w:val="000000"/>
          <w:shd w:val="clear" w:color="auto" w:fill="FFFFFF"/>
        </w:rPr>
        <w:t>.</w:t>
      </w:r>
    </w:p>
  </w:footnote>
  <w:footnote w:id="50">
    <w:p w:rsidR="002E46C2" w:rsidRPr="001B0AC9" w:rsidRDefault="002E46C2" w:rsidP="00263472">
      <w:pPr>
        <w:pStyle w:val="Textonotapie"/>
        <w:rPr>
          <w:lang w:val="es-CO"/>
        </w:rPr>
      </w:pPr>
      <w:r>
        <w:rPr>
          <w:rStyle w:val="Refdenotaalpie"/>
        </w:rPr>
        <w:footnoteRef/>
      </w:r>
      <w:r>
        <w:t xml:space="preserve"> Operaciones 13066 y 13067, folios 191 y 192, cuaderno 2.</w:t>
      </w:r>
    </w:p>
  </w:footnote>
  <w:footnote w:id="51">
    <w:p w:rsidR="002E46C2" w:rsidRPr="00210008" w:rsidRDefault="002E46C2" w:rsidP="00263472">
      <w:pPr>
        <w:pStyle w:val="Textonotapie"/>
        <w:rPr>
          <w:lang w:val="es-CO"/>
        </w:rPr>
      </w:pPr>
      <w:r>
        <w:rPr>
          <w:rStyle w:val="Refdenotaalpie"/>
        </w:rPr>
        <w:footnoteRef/>
      </w:r>
      <w:r>
        <w:t xml:space="preserve"> </w:t>
      </w:r>
      <w:r>
        <w:rPr>
          <w:lang w:val="es-CO"/>
        </w:rPr>
        <w:t>Folio 77 y 78 cuaderno 1 y folio 53, cuaderno 2.</w:t>
      </w:r>
    </w:p>
  </w:footnote>
  <w:footnote w:id="52">
    <w:p w:rsidR="002E46C2" w:rsidRPr="00657D38" w:rsidRDefault="002E46C2" w:rsidP="00263472">
      <w:pPr>
        <w:pStyle w:val="Textonotapie"/>
        <w:rPr>
          <w:lang w:val="es-CO"/>
        </w:rPr>
      </w:pPr>
      <w:r>
        <w:rPr>
          <w:rStyle w:val="Refdenotaalpie"/>
        </w:rPr>
        <w:footnoteRef/>
      </w:r>
      <w:r>
        <w:t xml:space="preserve"> Operaciones 13074 y 13075, f</w:t>
      </w:r>
      <w:r>
        <w:rPr>
          <w:lang w:val="es-CO"/>
        </w:rPr>
        <w:t>olios 193 y 194, cuaderno 2.</w:t>
      </w:r>
    </w:p>
  </w:footnote>
  <w:footnote w:id="53">
    <w:p w:rsidR="002E46C2" w:rsidRPr="00E30721" w:rsidRDefault="002E46C2" w:rsidP="00263472">
      <w:pPr>
        <w:pStyle w:val="Textonotapie"/>
        <w:rPr>
          <w:lang w:val="es-CO"/>
        </w:rPr>
      </w:pPr>
      <w:r>
        <w:rPr>
          <w:rStyle w:val="Refdenotaalpie"/>
        </w:rPr>
        <w:footnoteRef/>
      </w:r>
      <w:r>
        <w:t xml:space="preserve"> Folio 52 cuaderno 2</w:t>
      </w:r>
      <w:r>
        <w:rPr>
          <w:lang w:val="es-CO"/>
        </w:rPr>
        <w:t xml:space="preserve">.  </w:t>
      </w:r>
    </w:p>
  </w:footnote>
  <w:footnote w:id="54">
    <w:p w:rsidR="002E46C2" w:rsidRPr="002553CC" w:rsidRDefault="002E46C2">
      <w:pPr>
        <w:pStyle w:val="Textonotapie"/>
        <w:rPr>
          <w:lang w:val="es-CO"/>
        </w:rPr>
      </w:pPr>
      <w:r>
        <w:rPr>
          <w:rStyle w:val="Refdenotaalpie"/>
        </w:rPr>
        <w:footnoteRef/>
      </w:r>
      <w:r>
        <w:t xml:space="preserve"> </w:t>
      </w:r>
      <w:r>
        <w:rPr>
          <w:lang w:val="es-CO"/>
        </w:rPr>
        <w:t>Folios 113 a 115 cuaderno 1</w:t>
      </w:r>
    </w:p>
  </w:footnote>
  <w:footnote w:id="55">
    <w:p w:rsidR="002E46C2" w:rsidRPr="00943A16" w:rsidRDefault="002E46C2" w:rsidP="00263472">
      <w:pPr>
        <w:pStyle w:val="Textonotapie"/>
        <w:rPr>
          <w:lang w:val="es-CO"/>
        </w:rPr>
      </w:pPr>
      <w:r>
        <w:rPr>
          <w:rStyle w:val="Refdenotaalpie"/>
        </w:rPr>
        <w:footnoteRef/>
      </w:r>
      <w:r>
        <w:t xml:space="preserve"> </w:t>
      </w:r>
      <w:r>
        <w:rPr>
          <w:lang w:val="es-CO"/>
        </w:rPr>
        <w:t>Folio 65, cuaderno 1.</w:t>
      </w:r>
    </w:p>
  </w:footnote>
  <w:footnote w:id="56">
    <w:p w:rsidR="002E46C2" w:rsidRPr="00B344A7" w:rsidRDefault="002E46C2">
      <w:pPr>
        <w:pStyle w:val="Textonotapie"/>
        <w:rPr>
          <w:lang w:val="es-CO"/>
        </w:rPr>
      </w:pPr>
      <w:r>
        <w:rPr>
          <w:rStyle w:val="Refdenotaalpie"/>
        </w:rPr>
        <w:footnoteRef/>
      </w:r>
      <w:r>
        <w:t xml:space="preserve"> </w:t>
      </w:r>
      <w:r>
        <w:rPr>
          <w:lang w:val="es-CO"/>
        </w:rPr>
        <w:t>Folio 113 cuaderno 1.</w:t>
      </w:r>
    </w:p>
  </w:footnote>
  <w:footnote w:id="57">
    <w:p w:rsidR="002E46C2" w:rsidRPr="005D28D1" w:rsidRDefault="002E46C2" w:rsidP="009122F9">
      <w:pPr>
        <w:pStyle w:val="Textonotapie"/>
        <w:rPr>
          <w:lang w:val="es-CO"/>
        </w:rPr>
      </w:pPr>
      <w:r>
        <w:rPr>
          <w:rStyle w:val="Refdenotaalpie"/>
        </w:rPr>
        <w:footnoteRef/>
      </w:r>
      <w:r>
        <w:t xml:space="preserve"> </w:t>
      </w:r>
      <w:r>
        <w:rPr>
          <w:lang w:val="es-CO"/>
        </w:rPr>
        <w:t>Folio 62, cuaderno 1.</w:t>
      </w:r>
    </w:p>
  </w:footnote>
  <w:footnote w:id="58">
    <w:p w:rsidR="002E46C2" w:rsidRPr="00F470C0" w:rsidRDefault="002E46C2" w:rsidP="009122F9">
      <w:pPr>
        <w:pStyle w:val="Textonotapie"/>
        <w:rPr>
          <w:lang w:val="es-CO"/>
        </w:rPr>
      </w:pPr>
      <w:r>
        <w:rPr>
          <w:rStyle w:val="Refdenotaalpie"/>
        </w:rPr>
        <w:footnoteRef/>
      </w:r>
      <w:r>
        <w:t xml:space="preserve"> </w:t>
      </w:r>
      <w:r>
        <w:rPr>
          <w:lang w:val="es-CO"/>
        </w:rPr>
        <w:t xml:space="preserve">Folio 187, cuaderno 1. </w:t>
      </w:r>
    </w:p>
  </w:footnote>
  <w:footnote w:id="59">
    <w:p w:rsidR="002E46C2" w:rsidRPr="008372D5" w:rsidRDefault="002E46C2">
      <w:pPr>
        <w:pStyle w:val="Textonotapie"/>
        <w:rPr>
          <w:lang w:val="es-CO"/>
        </w:rPr>
      </w:pPr>
      <w:r>
        <w:rPr>
          <w:rStyle w:val="Refdenotaalpie"/>
        </w:rPr>
        <w:footnoteRef/>
      </w:r>
      <w:r>
        <w:t xml:space="preserve"> </w:t>
      </w:r>
      <w:r>
        <w:rPr>
          <w:lang w:val="es-CO"/>
        </w:rPr>
        <w:t>Folios 1 y 2 cuaderno 2.</w:t>
      </w:r>
    </w:p>
  </w:footnote>
  <w:footnote w:id="60">
    <w:p w:rsidR="002E46C2" w:rsidRPr="004A4D20" w:rsidRDefault="002E46C2" w:rsidP="004A4D20">
      <w:pPr>
        <w:pStyle w:val="Textonotapie"/>
        <w:rPr>
          <w:lang w:val="es-CO"/>
        </w:rPr>
      </w:pPr>
      <w:r>
        <w:rPr>
          <w:rStyle w:val="Refdenotaalpie"/>
        </w:rPr>
        <w:footnoteRef/>
      </w:r>
      <w:r>
        <w:t xml:space="preserve"> </w:t>
      </w:r>
      <w:r>
        <w:rPr>
          <w:lang w:val="es-CO"/>
        </w:rPr>
        <w:t>Folio 56, cuaderno 1.</w:t>
      </w:r>
    </w:p>
  </w:footnote>
  <w:footnote w:id="61">
    <w:p w:rsidR="002E46C2" w:rsidRPr="004A4D20" w:rsidRDefault="002E46C2" w:rsidP="005F7402">
      <w:pPr>
        <w:pStyle w:val="Textonotapie"/>
        <w:rPr>
          <w:lang w:val="es-CO"/>
        </w:rPr>
      </w:pPr>
      <w:r>
        <w:rPr>
          <w:rStyle w:val="Refdenotaalpie"/>
        </w:rPr>
        <w:footnoteRef/>
      </w:r>
      <w:r>
        <w:t xml:space="preserve"> </w:t>
      </w:r>
      <w:r>
        <w:rPr>
          <w:lang w:val="es-CO"/>
        </w:rPr>
        <w:t>Folio 57, cuaderno 1.</w:t>
      </w:r>
    </w:p>
  </w:footnote>
  <w:footnote w:id="62">
    <w:p w:rsidR="002E46C2" w:rsidRPr="00846896" w:rsidRDefault="002E46C2" w:rsidP="009507E7">
      <w:pPr>
        <w:pStyle w:val="Textonotapie"/>
        <w:rPr>
          <w:lang w:val="es-CO"/>
        </w:rPr>
      </w:pPr>
      <w:r>
        <w:rPr>
          <w:rStyle w:val="Refdenotaalpie"/>
        </w:rPr>
        <w:footnoteRef/>
      </w:r>
      <w:r>
        <w:t xml:space="preserve"> </w:t>
      </w:r>
      <w:r>
        <w:rPr>
          <w:lang w:val="es-CO"/>
        </w:rPr>
        <w:t>Folios 58 y 59 cuaderno 1.</w:t>
      </w:r>
    </w:p>
  </w:footnote>
  <w:footnote w:id="63">
    <w:p w:rsidR="002E46C2" w:rsidRPr="001E5B87" w:rsidRDefault="002E46C2" w:rsidP="009122F9">
      <w:pPr>
        <w:pStyle w:val="Textonotapie"/>
        <w:rPr>
          <w:lang w:val="es-CO"/>
        </w:rPr>
      </w:pPr>
      <w:r>
        <w:rPr>
          <w:rStyle w:val="Refdenotaalpie"/>
        </w:rPr>
        <w:footnoteRef/>
      </w:r>
      <w:r>
        <w:t xml:space="preserve"> </w:t>
      </w:r>
      <w:r>
        <w:rPr>
          <w:lang w:val="es-CO"/>
        </w:rPr>
        <w:t xml:space="preserve">Folios 177 a 171, cuaderno 2. </w:t>
      </w:r>
    </w:p>
  </w:footnote>
  <w:footnote w:id="64">
    <w:p w:rsidR="002E46C2" w:rsidRPr="00EA3BA4" w:rsidRDefault="002E46C2" w:rsidP="009122F9">
      <w:pPr>
        <w:pStyle w:val="Textonotapie"/>
        <w:rPr>
          <w:lang w:val="es-CO"/>
        </w:rPr>
      </w:pPr>
      <w:r>
        <w:rPr>
          <w:rStyle w:val="Refdenotaalpie"/>
        </w:rPr>
        <w:footnoteRef/>
      </w:r>
      <w:r>
        <w:t xml:space="preserve"> </w:t>
      </w:r>
      <w:r>
        <w:rPr>
          <w:lang w:val="es-CO"/>
        </w:rPr>
        <w:t>Folio 86 cuaderno 1.</w:t>
      </w:r>
    </w:p>
  </w:footnote>
  <w:footnote w:id="65">
    <w:p w:rsidR="002E46C2" w:rsidRPr="00EB23FC" w:rsidRDefault="002E46C2" w:rsidP="009122F9">
      <w:pPr>
        <w:pStyle w:val="Textonotapie"/>
        <w:rPr>
          <w:lang w:val="es-CO"/>
        </w:rPr>
      </w:pPr>
      <w:r>
        <w:rPr>
          <w:rStyle w:val="Refdenotaalpie"/>
        </w:rPr>
        <w:footnoteRef/>
      </w:r>
      <w:r>
        <w:t xml:space="preserve"> </w:t>
      </w:r>
      <w:r>
        <w:rPr>
          <w:lang w:val="es-CO"/>
        </w:rPr>
        <w:t>Folio 94 cuaderno1.</w:t>
      </w:r>
    </w:p>
  </w:footnote>
  <w:footnote w:id="66">
    <w:p w:rsidR="002E46C2" w:rsidRPr="00D139C9" w:rsidRDefault="002E46C2" w:rsidP="00D26AC5">
      <w:pPr>
        <w:spacing w:line="240" w:lineRule="auto"/>
        <w:ind w:right="51"/>
        <w:rPr>
          <w:rFonts w:cs="Arial"/>
          <w:i/>
          <w:sz w:val="20"/>
          <w:szCs w:val="20"/>
          <w:lang w:val="es-CO"/>
        </w:rPr>
      </w:pPr>
      <w:r w:rsidRPr="00D139C9">
        <w:rPr>
          <w:rStyle w:val="Refdenotaalpie"/>
          <w:rFonts w:cs="Arial"/>
          <w:i/>
          <w:sz w:val="20"/>
          <w:szCs w:val="20"/>
        </w:rPr>
        <w:footnoteRef/>
      </w:r>
      <w:r w:rsidRPr="00D139C9">
        <w:rPr>
          <w:rFonts w:cs="Arial"/>
          <w:i/>
          <w:sz w:val="20"/>
          <w:szCs w:val="20"/>
        </w:rPr>
        <w:t xml:space="preserve"> </w:t>
      </w:r>
      <w:r w:rsidRPr="00D139C9">
        <w:rPr>
          <w:rStyle w:val="FontStyle65"/>
          <w:rFonts w:ascii="Arial" w:hAnsi="Arial" w:cs="Arial"/>
          <w:i/>
          <w:sz w:val="20"/>
          <w:szCs w:val="20"/>
          <w:lang w:val="es-ES_tradnl" w:eastAsia="es-ES_tradnl"/>
        </w:rPr>
        <w:t xml:space="preserve">La Ley 5ª de 1944 creo el Instituto de Mercadeo Agropecuario –IDEMA-,  cuya estructura jurídica se estableció por medio de los Decretos 2420 y 3120 de 1968. </w:t>
      </w:r>
      <w:r>
        <w:rPr>
          <w:rStyle w:val="FontStyle65"/>
          <w:rFonts w:ascii="Arial" w:hAnsi="Arial" w:cs="Arial"/>
          <w:i/>
          <w:sz w:val="20"/>
          <w:szCs w:val="20"/>
          <w:lang w:val="es-ES_tradnl" w:eastAsia="es-ES_tradnl"/>
        </w:rPr>
        <w:t xml:space="preserve"> </w:t>
      </w:r>
      <w:r w:rsidRPr="00D139C9">
        <w:rPr>
          <w:rStyle w:val="FontStyle65"/>
          <w:rFonts w:ascii="Arial" w:hAnsi="Arial" w:cs="Arial"/>
          <w:i/>
          <w:sz w:val="20"/>
          <w:szCs w:val="20"/>
          <w:lang w:val="es-ES_tradnl" w:eastAsia="es-ES_tradnl"/>
        </w:rPr>
        <w:t>Con base en las facultades otorgadas por la Ley 28 de 1974, el Decreto 133 de 1976 modificó dicha estructura y le asignó al IDEMA la naturaleza de Empresa Industrial y Comercial del Estado, la cual se sostuvo en el Decreto 2136 de 1992</w:t>
      </w:r>
      <w:r>
        <w:rPr>
          <w:rStyle w:val="FontStyle65"/>
          <w:rFonts w:ascii="Arial" w:hAnsi="Arial" w:cs="Arial"/>
          <w:i/>
          <w:sz w:val="20"/>
          <w:szCs w:val="20"/>
          <w:lang w:val="es-ES_tradnl" w:eastAsia="es-ES_tradnl"/>
        </w:rPr>
        <w:t xml:space="preserve"> y en el Decreto 2001 de 2003, </w:t>
      </w:r>
      <w:r w:rsidRPr="00D139C9">
        <w:rPr>
          <w:rStyle w:val="FontStyle65"/>
          <w:rFonts w:ascii="Arial" w:hAnsi="Arial" w:cs="Arial"/>
          <w:i/>
          <w:sz w:val="20"/>
          <w:szCs w:val="20"/>
          <w:lang w:val="es-ES_tradnl" w:eastAsia="es-ES_tradnl"/>
        </w:rPr>
        <w:t>contentivo</w:t>
      </w:r>
      <w:r>
        <w:rPr>
          <w:rStyle w:val="FontStyle65"/>
          <w:rFonts w:ascii="Arial" w:hAnsi="Arial" w:cs="Arial"/>
          <w:i/>
          <w:sz w:val="20"/>
          <w:szCs w:val="20"/>
          <w:lang w:val="es-ES_tradnl" w:eastAsia="es-ES_tradnl"/>
        </w:rPr>
        <w:t>s</w:t>
      </w:r>
      <w:r w:rsidRPr="00D139C9">
        <w:rPr>
          <w:rStyle w:val="FontStyle65"/>
          <w:rFonts w:ascii="Arial" w:hAnsi="Arial" w:cs="Arial"/>
          <w:i/>
          <w:sz w:val="20"/>
          <w:szCs w:val="20"/>
          <w:lang w:val="es-ES_tradnl" w:eastAsia="es-ES_tradnl"/>
        </w:rPr>
        <w:t xml:space="preserve"> de</w:t>
      </w:r>
      <w:r>
        <w:rPr>
          <w:rStyle w:val="FontStyle65"/>
          <w:rFonts w:ascii="Arial" w:hAnsi="Arial" w:cs="Arial"/>
          <w:i/>
          <w:sz w:val="20"/>
          <w:szCs w:val="20"/>
          <w:lang w:val="es-ES_tradnl" w:eastAsia="es-ES_tradnl"/>
        </w:rPr>
        <w:t xml:space="preserve"> las modificaciones a la </w:t>
      </w:r>
      <w:r w:rsidRPr="00D139C9">
        <w:rPr>
          <w:rStyle w:val="FontStyle65"/>
          <w:rFonts w:ascii="Arial" w:hAnsi="Arial" w:cs="Arial"/>
          <w:i/>
          <w:sz w:val="20"/>
          <w:szCs w:val="20"/>
          <w:lang w:val="es-ES_tradnl" w:eastAsia="es-ES_tradnl"/>
        </w:rPr>
        <w:t>estructura jurídica de esa empresa estatal.</w:t>
      </w:r>
    </w:p>
  </w:footnote>
  <w:footnote w:id="67">
    <w:p w:rsidR="002E46C2" w:rsidRPr="00447581" w:rsidRDefault="002E46C2" w:rsidP="00D26AC5">
      <w:pPr>
        <w:pStyle w:val="NormalWeb"/>
        <w:spacing w:line="240" w:lineRule="auto"/>
        <w:ind w:right="51"/>
        <w:rPr>
          <w:rFonts w:cs="Arial"/>
          <w:lang w:val="es-CO"/>
        </w:rPr>
      </w:pPr>
      <w:r w:rsidRPr="00234BCE">
        <w:rPr>
          <w:rStyle w:val="Refdenotaalpie"/>
          <w:rFonts w:cs="Arial"/>
          <w:sz w:val="20"/>
          <w:szCs w:val="20"/>
        </w:rPr>
        <w:footnoteRef/>
      </w:r>
      <w:r w:rsidRPr="00234BCE">
        <w:rPr>
          <w:rFonts w:cs="Arial"/>
          <w:sz w:val="20"/>
          <w:szCs w:val="20"/>
        </w:rPr>
        <w:t xml:space="preserve"> </w:t>
      </w:r>
      <w:r>
        <w:rPr>
          <w:rFonts w:cs="Arial"/>
          <w:sz w:val="20"/>
          <w:szCs w:val="20"/>
        </w:rPr>
        <w:t>Ley 344 de 1996. “</w:t>
      </w:r>
      <w:r w:rsidRPr="00234BCE">
        <w:rPr>
          <w:rFonts w:cs="Arial"/>
          <w:i/>
          <w:sz w:val="20"/>
          <w:szCs w:val="20"/>
        </w:rPr>
        <w:t>P</w:t>
      </w:r>
      <w:r w:rsidRPr="009518C2">
        <w:rPr>
          <w:rFonts w:cs="Arial"/>
          <w:bCs/>
          <w:i/>
          <w:color w:val="000000"/>
          <w:sz w:val="20"/>
          <w:szCs w:val="20"/>
          <w:shd w:val="clear" w:color="auto" w:fill="FFFFFF"/>
        </w:rPr>
        <w:t>or la cual se dictan normas tendientes a la racionalización del gasto público, se conceden unas facultades extraordinarias y se expiden otras disposiciones</w:t>
      </w:r>
      <w:r w:rsidRPr="00234BCE">
        <w:rPr>
          <w:rFonts w:cs="Arial"/>
          <w:bCs/>
          <w:i/>
          <w:color w:val="000000"/>
          <w:sz w:val="20"/>
          <w:szCs w:val="20"/>
          <w:shd w:val="clear" w:color="auto" w:fill="FFFFFF"/>
        </w:rPr>
        <w:t>”</w:t>
      </w:r>
      <w:r w:rsidRPr="009518C2">
        <w:rPr>
          <w:rFonts w:cs="Arial"/>
          <w:bCs/>
          <w:i/>
          <w:color w:val="000000"/>
          <w:sz w:val="20"/>
          <w:szCs w:val="20"/>
          <w:shd w:val="clear" w:color="auto" w:fill="FFFFFF"/>
        </w:rPr>
        <w:t>.</w:t>
      </w:r>
    </w:p>
  </w:footnote>
  <w:footnote w:id="68">
    <w:p w:rsidR="002E46C2" w:rsidRPr="00447581" w:rsidRDefault="002E46C2" w:rsidP="00434B7B">
      <w:pPr>
        <w:spacing w:line="240" w:lineRule="auto"/>
        <w:ind w:right="708"/>
        <w:rPr>
          <w:rFonts w:cs="Arial"/>
          <w:i/>
          <w:sz w:val="20"/>
          <w:szCs w:val="20"/>
        </w:rPr>
      </w:pPr>
      <w:r w:rsidRPr="00447581">
        <w:rPr>
          <w:rStyle w:val="Refdenotaalpie"/>
          <w:rFonts w:cs="Arial"/>
          <w:i/>
          <w:sz w:val="20"/>
          <w:szCs w:val="20"/>
        </w:rPr>
        <w:footnoteRef/>
      </w:r>
      <w:r w:rsidRPr="00447581">
        <w:rPr>
          <w:rFonts w:cs="Arial"/>
          <w:i/>
          <w:sz w:val="20"/>
          <w:szCs w:val="20"/>
        </w:rPr>
        <w:t xml:space="preserve"> La </w:t>
      </w:r>
      <w:r w:rsidRPr="00337178">
        <w:rPr>
          <w:rFonts w:cs="Arial"/>
          <w:i/>
          <w:sz w:val="20"/>
          <w:szCs w:val="20"/>
        </w:rPr>
        <w:t>Ley 101 de 1993,</w:t>
      </w:r>
      <w:r w:rsidRPr="00447581">
        <w:rPr>
          <w:rFonts w:cs="Arial"/>
          <w:i/>
          <w:sz w:val="20"/>
          <w:szCs w:val="20"/>
        </w:rPr>
        <w:t xml:space="preserve"> dispuso</w:t>
      </w:r>
    </w:p>
    <w:p w:rsidR="002E46C2" w:rsidRPr="00447581" w:rsidRDefault="002E46C2" w:rsidP="00434B7B">
      <w:pPr>
        <w:spacing w:before="100" w:beforeAutospacing="1" w:after="100" w:afterAutospacing="1" w:line="240" w:lineRule="auto"/>
        <w:rPr>
          <w:rFonts w:cs="Arial"/>
          <w:i/>
          <w:sz w:val="20"/>
          <w:szCs w:val="20"/>
        </w:rPr>
      </w:pPr>
      <w:bookmarkStart w:id="5" w:name="48"/>
      <w:r>
        <w:rPr>
          <w:rFonts w:cs="Arial"/>
          <w:bCs/>
          <w:i/>
          <w:sz w:val="20"/>
          <w:szCs w:val="20"/>
        </w:rPr>
        <w:t>“</w:t>
      </w:r>
      <w:r w:rsidRPr="00337178">
        <w:rPr>
          <w:rFonts w:cs="Arial"/>
          <w:bCs/>
          <w:i/>
          <w:sz w:val="20"/>
          <w:szCs w:val="20"/>
        </w:rPr>
        <w:t>Artículo 48. Intervención del IDEMA en la comercialización.</w:t>
      </w:r>
      <w:bookmarkEnd w:id="5"/>
      <w:r w:rsidRPr="00447581">
        <w:rPr>
          <w:rFonts w:cs="Arial"/>
          <w:i/>
          <w:sz w:val="20"/>
          <w:szCs w:val="20"/>
        </w:rPr>
        <w:t>  Modifíquese el artículo 2o. del Decreto 2136 de diciembre 30 de 1992, que quedará así:</w:t>
      </w:r>
    </w:p>
    <w:p w:rsidR="002E46C2" w:rsidRPr="00447581" w:rsidRDefault="002E46C2" w:rsidP="00434B7B">
      <w:pPr>
        <w:spacing w:before="100" w:beforeAutospacing="1" w:after="100" w:afterAutospacing="1" w:line="240" w:lineRule="auto"/>
        <w:rPr>
          <w:rFonts w:cs="Arial"/>
          <w:i/>
          <w:sz w:val="20"/>
          <w:szCs w:val="20"/>
        </w:rPr>
      </w:pPr>
      <w:r w:rsidRPr="00447581">
        <w:rPr>
          <w:rFonts w:cs="Arial"/>
          <w:i/>
          <w:sz w:val="20"/>
          <w:szCs w:val="20"/>
        </w:rPr>
        <w:t>"El Instituto de Mercadeo Agropecuario, IDEMA, tendrá como objetivos contribuir al abastecimiento de productos básicos de origen agropecuario y promover la modernización y el adecuado funcionamiento de los mercados de dichos productos, preferencialmente en las zonas marginales del país.</w:t>
      </w:r>
    </w:p>
    <w:p w:rsidR="002E46C2" w:rsidRDefault="002E46C2" w:rsidP="00434B7B">
      <w:pPr>
        <w:spacing w:before="100" w:beforeAutospacing="1" w:after="100" w:afterAutospacing="1" w:line="240" w:lineRule="auto"/>
        <w:rPr>
          <w:rFonts w:cs="Arial"/>
          <w:i/>
          <w:sz w:val="20"/>
          <w:szCs w:val="20"/>
        </w:rPr>
      </w:pPr>
      <w:r>
        <w:rPr>
          <w:rFonts w:cs="Arial"/>
          <w:i/>
          <w:sz w:val="20"/>
          <w:szCs w:val="20"/>
        </w:rPr>
        <w:t>“(…).</w:t>
      </w:r>
    </w:p>
    <w:p w:rsidR="002E46C2" w:rsidRPr="00301CD8" w:rsidRDefault="002E46C2" w:rsidP="00434B7B">
      <w:pPr>
        <w:spacing w:before="100" w:beforeAutospacing="1" w:after="100" w:afterAutospacing="1" w:line="240" w:lineRule="auto"/>
        <w:rPr>
          <w:rFonts w:cs="Arial"/>
          <w:i/>
          <w:sz w:val="20"/>
          <w:szCs w:val="20"/>
        </w:rPr>
      </w:pPr>
      <w:bookmarkStart w:id="6" w:name="49"/>
      <w:r>
        <w:rPr>
          <w:rFonts w:cs="Arial"/>
          <w:bCs/>
          <w:i/>
          <w:sz w:val="20"/>
          <w:szCs w:val="20"/>
        </w:rPr>
        <w:t>“</w:t>
      </w:r>
      <w:r w:rsidRPr="00337178">
        <w:rPr>
          <w:rFonts w:cs="Arial"/>
          <w:bCs/>
          <w:i/>
          <w:sz w:val="20"/>
          <w:szCs w:val="20"/>
        </w:rPr>
        <w:t>Artículo 49.</w:t>
      </w:r>
      <w:bookmarkEnd w:id="6"/>
      <w:r w:rsidRPr="00301CD8">
        <w:rPr>
          <w:rFonts w:cs="Arial"/>
          <w:i/>
          <w:sz w:val="20"/>
          <w:szCs w:val="20"/>
        </w:rPr>
        <w:t xml:space="preserve">  </w:t>
      </w:r>
      <w:r>
        <w:rPr>
          <w:rFonts w:cs="Arial"/>
          <w:i/>
          <w:sz w:val="20"/>
          <w:szCs w:val="20"/>
        </w:rPr>
        <w:t>“</w:t>
      </w:r>
      <w:r w:rsidRPr="00301CD8">
        <w:rPr>
          <w:rFonts w:cs="Arial"/>
          <w:i/>
          <w:sz w:val="20"/>
          <w:szCs w:val="20"/>
        </w:rPr>
        <w:t>Sin perjuicio de las funciones establecidas en el Decreto 2136 de 1992, el IDEMA tendrá además las siguientes funciones:</w:t>
      </w:r>
    </w:p>
    <w:p w:rsidR="002E46C2" w:rsidRPr="00301CD8" w:rsidRDefault="002E46C2" w:rsidP="00434B7B">
      <w:pPr>
        <w:spacing w:before="100" w:beforeAutospacing="1" w:after="100" w:afterAutospacing="1" w:line="240" w:lineRule="auto"/>
        <w:rPr>
          <w:rFonts w:cs="Arial"/>
          <w:i/>
          <w:sz w:val="20"/>
          <w:szCs w:val="20"/>
        </w:rPr>
      </w:pPr>
      <w:r>
        <w:rPr>
          <w:rFonts w:cs="Arial"/>
          <w:i/>
          <w:sz w:val="20"/>
          <w:szCs w:val="20"/>
        </w:rPr>
        <w:t>“</w:t>
      </w:r>
      <w:r w:rsidRPr="00301CD8">
        <w:rPr>
          <w:rFonts w:cs="Arial"/>
          <w:i/>
          <w:sz w:val="20"/>
          <w:szCs w:val="20"/>
        </w:rPr>
        <w:t>1. Otorgar especial apoyo a la comercialización de productos nacionales de origen agropecuario, especialmente no perecederos. Para el efecto el IDEMA podrá construir o cofinanciar la infraestructura física comercial que se requiera y dotarla de los equipos necesarios.</w:t>
      </w:r>
    </w:p>
    <w:p w:rsidR="002E46C2" w:rsidRPr="00301CD8" w:rsidRDefault="002E46C2" w:rsidP="00434B7B">
      <w:pPr>
        <w:spacing w:before="100" w:beforeAutospacing="1" w:after="100" w:afterAutospacing="1" w:line="240" w:lineRule="auto"/>
        <w:rPr>
          <w:rFonts w:cs="Arial"/>
          <w:i/>
          <w:sz w:val="20"/>
          <w:szCs w:val="20"/>
        </w:rPr>
      </w:pPr>
      <w:r>
        <w:rPr>
          <w:rFonts w:cs="Arial"/>
          <w:i/>
          <w:sz w:val="20"/>
          <w:szCs w:val="20"/>
        </w:rPr>
        <w:t>“</w:t>
      </w:r>
      <w:r w:rsidRPr="00301CD8">
        <w:rPr>
          <w:rFonts w:cs="Arial"/>
          <w:i/>
          <w:sz w:val="20"/>
          <w:szCs w:val="20"/>
        </w:rPr>
        <w:t>(…)</w:t>
      </w:r>
      <w:r>
        <w:rPr>
          <w:rFonts w:cs="Arial"/>
          <w:i/>
          <w:sz w:val="20"/>
          <w:szCs w:val="20"/>
        </w:rPr>
        <w:t>.</w:t>
      </w:r>
    </w:p>
    <w:p w:rsidR="002E46C2" w:rsidRDefault="002E46C2" w:rsidP="00434B7B">
      <w:pPr>
        <w:spacing w:before="100" w:beforeAutospacing="1" w:after="100" w:afterAutospacing="1" w:line="240" w:lineRule="auto"/>
        <w:rPr>
          <w:rFonts w:cs="Arial"/>
          <w:i/>
          <w:sz w:val="20"/>
          <w:szCs w:val="20"/>
        </w:rPr>
      </w:pPr>
      <w:r>
        <w:rPr>
          <w:rFonts w:cs="Arial"/>
          <w:i/>
          <w:sz w:val="20"/>
          <w:szCs w:val="20"/>
        </w:rPr>
        <w:t>“</w:t>
      </w:r>
      <w:r w:rsidRPr="00EF4B6B">
        <w:rPr>
          <w:rFonts w:cs="Arial"/>
          <w:i/>
          <w:sz w:val="20"/>
          <w:szCs w:val="20"/>
        </w:rPr>
        <w:t xml:space="preserve">3. Contribuir al mejoramiento del abastecimiento de productos básicos, especialmente granos, a través del manejo de existencias mínimas de seguridad formadas en su totalidad con productos nacionales. </w:t>
      </w:r>
      <w:r>
        <w:rPr>
          <w:rFonts w:cs="Arial"/>
          <w:i/>
          <w:sz w:val="20"/>
          <w:szCs w:val="20"/>
        </w:rPr>
        <w:t>(…).</w:t>
      </w:r>
    </w:p>
    <w:p w:rsidR="002E46C2" w:rsidRPr="00EF4B6B" w:rsidRDefault="002E46C2" w:rsidP="00434B7B">
      <w:pPr>
        <w:spacing w:before="100" w:beforeAutospacing="1" w:after="100" w:afterAutospacing="1" w:line="240" w:lineRule="auto"/>
        <w:rPr>
          <w:rFonts w:cs="Arial"/>
          <w:i/>
          <w:sz w:val="20"/>
          <w:szCs w:val="20"/>
        </w:rPr>
      </w:pPr>
      <w:r>
        <w:rPr>
          <w:rFonts w:cs="Arial"/>
          <w:i/>
          <w:sz w:val="20"/>
          <w:szCs w:val="20"/>
        </w:rPr>
        <w:t xml:space="preserve"> “</w:t>
      </w:r>
      <w:r w:rsidRPr="00EF4B6B">
        <w:rPr>
          <w:rFonts w:cs="Arial"/>
          <w:i/>
          <w:sz w:val="20"/>
          <w:szCs w:val="20"/>
        </w:rPr>
        <w:t>4. Apoyar o realizar la distribución minorista de productos básicos en zonas marginales o campesinas, al igual que en aquellas zonas urbanas con altos índices de necesidades básicas insatisfechas.</w:t>
      </w:r>
    </w:p>
    <w:p w:rsidR="002E46C2" w:rsidRPr="00EF4B6B" w:rsidRDefault="002E46C2" w:rsidP="00434B7B">
      <w:pPr>
        <w:spacing w:before="100" w:beforeAutospacing="1" w:after="100" w:afterAutospacing="1" w:line="240" w:lineRule="auto"/>
        <w:rPr>
          <w:rFonts w:cs="Arial"/>
          <w:i/>
          <w:sz w:val="20"/>
          <w:szCs w:val="20"/>
        </w:rPr>
      </w:pPr>
      <w:r>
        <w:rPr>
          <w:rFonts w:cs="Arial"/>
          <w:i/>
          <w:sz w:val="20"/>
          <w:szCs w:val="20"/>
        </w:rPr>
        <w:t>“</w:t>
      </w:r>
      <w:r w:rsidRPr="00EF4B6B">
        <w:rPr>
          <w:rFonts w:cs="Arial"/>
          <w:i/>
          <w:sz w:val="20"/>
          <w:szCs w:val="20"/>
        </w:rPr>
        <w:t>(…)</w:t>
      </w:r>
      <w:r>
        <w:rPr>
          <w:rFonts w:cs="Arial"/>
          <w:i/>
          <w:sz w:val="20"/>
          <w:szCs w:val="20"/>
        </w:rPr>
        <w:t>.</w:t>
      </w:r>
    </w:p>
    <w:p w:rsidR="002E46C2" w:rsidRPr="00EF4B6B" w:rsidRDefault="002E46C2" w:rsidP="00434B7B">
      <w:pPr>
        <w:spacing w:before="100" w:beforeAutospacing="1" w:after="100" w:afterAutospacing="1" w:line="240" w:lineRule="auto"/>
        <w:rPr>
          <w:rFonts w:cs="Arial"/>
          <w:i/>
          <w:sz w:val="20"/>
          <w:szCs w:val="20"/>
        </w:rPr>
      </w:pPr>
      <w:r>
        <w:rPr>
          <w:rFonts w:cs="Arial"/>
          <w:i/>
          <w:sz w:val="20"/>
          <w:szCs w:val="20"/>
        </w:rPr>
        <w:t>“</w:t>
      </w:r>
      <w:r w:rsidRPr="00EF4B6B">
        <w:rPr>
          <w:rFonts w:cs="Arial"/>
          <w:i/>
          <w:sz w:val="20"/>
          <w:szCs w:val="20"/>
        </w:rPr>
        <w:t>10. Con sujeción al plan anual de Inversión, comprar a futuro a los productores, y vender a futuro a los intermediarios o usuarios finales los bienes agropecuarios que decida la Junta Directiva</w:t>
      </w:r>
      <w:r>
        <w:rPr>
          <w:rFonts w:cs="Arial"/>
          <w:i/>
          <w:sz w:val="20"/>
          <w:szCs w:val="20"/>
        </w:rPr>
        <w:t>”.</w:t>
      </w:r>
    </w:p>
    <w:p w:rsidR="002E46C2" w:rsidRPr="00EF4B6B" w:rsidRDefault="002E46C2" w:rsidP="00434B7B">
      <w:pPr>
        <w:pStyle w:val="Textonotapie"/>
        <w:rPr>
          <w:rFonts w:cs="Arial"/>
          <w:lang w:val="es-CO"/>
        </w:rPr>
      </w:pPr>
    </w:p>
  </w:footnote>
  <w:footnote w:id="69">
    <w:p w:rsidR="002E46C2" w:rsidRDefault="002E46C2" w:rsidP="00E66151">
      <w:pPr>
        <w:pStyle w:val="Textonotapie"/>
        <w:rPr>
          <w:rFonts w:cs="Calibri"/>
          <w:lang w:val="es-CO"/>
        </w:rPr>
      </w:pPr>
      <w:r>
        <w:rPr>
          <w:rStyle w:val="Refdenotaalpie"/>
        </w:rPr>
        <w:footnoteRef/>
      </w:r>
      <w:r>
        <w:t xml:space="preserve"> </w:t>
      </w:r>
      <w:r>
        <w:rPr>
          <w:lang w:val="es-CO"/>
        </w:rPr>
        <w:t>Folios 195 y 196, cuaderno 2.</w:t>
      </w:r>
    </w:p>
  </w:footnote>
  <w:footnote w:id="70">
    <w:p w:rsidR="002E46C2" w:rsidRDefault="002E46C2" w:rsidP="00E66151">
      <w:pPr>
        <w:pStyle w:val="Textonotapie"/>
        <w:rPr>
          <w:lang w:val="es-CO"/>
        </w:rPr>
      </w:pPr>
      <w:r>
        <w:rPr>
          <w:rStyle w:val="Refdenotaalpie"/>
        </w:rPr>
        <w:footnoteRef/>
      </w:r>
      <w:r>
        <w:t xml:space="preserve"> </w:t>
      </w:r>
      <w:r>
        <w:rPr>
          <w:lang w:val="es-CO"/>
        </w:rPr>
        <w:t>Folio 209, cuaderno 2.</w:t>
      </w:r>
    </w:p>
  </w:footnote>
  <w:footnote w:id="71">
    <w:p w:rsidR="002E46C2" w:rsidRPr="00484ED6" w:rsidRDefault="002E46C2">
      <w:pPr>
        <w:pStyle w:val="Textonotapie"/>
        <w:rPr>
          <w:lang w:val="es-CO"/>
        </w:rPr>
      </w:pPr>
      <w:r>
        <w:rPr>
          <w:rStyle w:val="Refdenotaalpie"/>
        </w:rPr>
        <w:footnoteRef/>
      </w:r>
      <w:r>
        <w:t xml:space="preserve"> </w:t>
      </w:r>
      <w:r>
        <w:rPr>
          <w:lang w:val="es-CO"/>
        </w:rPr>
        <w:t>Folios 195 a 342 del cuaderno 2.</w:t>
      </w:r>
    </w:p>
  </w:footnote>
  <w:footnote w:id="72">
    <w:p w:rsidR="002E46C2" w:rsidRPr="001A6777" w:rsidRDefault="002E46C2">
      <w:pPr>
        <w:pStyle w:val="Textonotapie"/>
        <w:rPr>
          <w:lang w:val="es-CO"/>
        </w:rPr>
      </w:pPr>
      <w:r>
        <w:rPr>
          <w:rStyle w:val="Refdenotaalpie"/>
        </w:rPr>
        <w:footnoteRef/>
      </w:r>
      <w:r>
        <w:t xml:space="preserve"> </w:t>
      </w:r>
      <w:r>
        <w:rPr>
          <w:lang w:val="es-CO"/>
        </w:rPr>
        <w:t>Contentivo de la cuantificación del perjuicio, cuaderno de la prueba correspondiente.</w:t>
      </w:r>
    </w:p>
  </w:footnote>
  <w:footnote w:id="73">
    <w:p w:rsidR="002E46C2" w:rsidRPr="006F5B69" w:rsidRDefault="002E46C2">
      <w:pPr>
        <w:pStyle w:val="Textonotapie"/>
        <w:rPr>
          <w:lang w:val="es-CO"/>
        </w:rPr>
      </w:pPr>
      <w:r>
        <w:rPr>
          <w:rStyle w:val="Refdenotaalpie"/>
        </w:rPr>
        <w:footnoteRef/>
      </w:r>
      <w:r>
        <w:t xml:space="preserve"> </w:t>
      </w:r>
      <w:r>
        <w:rPr>
          <w:lang w:val="es-CO"/>
        </w:rPr>
        <w:t>Folio 293, cuaderno  1,</w:t>
      </w:r>
    </w:p>
  </w:footnote>
  <w:footnote w:id="74">
    <w:p w:rsidR="002E46C2" w:rsidRPr="00703DC4" w:rsidRDefault="002E46C2">
      <w:pPr>
        <w:pStyle w:val="Textonotapie"/>
        <w:rPr>
          <w:lang w:val="es-CO"/>
        </w:rPr>
      </w:pPr>
      <w:r>
        <w:rPr>
          <w:rStyle w:val="Refdenotaalpie"/>
        </w:rPr>
        <w:footnoteRef/>
      </w:r>
      <w:r>
        <w:t xml:space="preserve"> </w:t>
      </w:r>
      <w:r>
        <w:rPr>
          <w:lang w:val="es-CO"/>
        </w:rPr>
        <w:t>Folios 199 a 201, cuaderno 2.</w:t>
      </w:r>
    </w:p>
  </w:footnote>
  <w:footnote w:id="75">
    <w:p w:rsidR="002E46C2" w:rsidRPr="00AE5829" w:rsidRDefault="002E46C2">
      <w:pPr>
        <w:pStyle w:val="Textonotapie"/>
        <w:rPr>
          <w:lang w:val="es-CO"/>
        </w:rPr>
      </w:pPr>
      <w:r>
        <w:rPr>
          <w:rStyle w:val="Refdenotaalpie"/>
        </w:rPr>
        <w:footnoteRef/>
      </w:r>
      <w:r>
        <w:t xml:space="preserve"> </w:t>
      </w:r>
      <w:r>
        <w:rPr>
          <w:lang w:val="es-CO"/>
        </w:rPr>
        <w:t xml:space="preserve">Folio 188 y 189, cuaderno 2. </w:t>
      </w:r>
    </w:p>
  </w:footnote>
  <w:footnote w:id="76">
    <w:p w:rsidR="002E46C2" w:rsidRPr="00052F9D" w:rsidRDefault="002E46C2">
      <w:pPr>
        <w:pStyle w:val="Textonotapie"/>
        <w:rPr>
          <w:lang w:val="es-CO"/>
        </w:rPr>
      </w:pPr>
      <w:r>
        <w:rPr>
          <w:rStyle w:val="Refdenotaalpie"/>
        </w:rPr>
        <w:footnoteRef/>
      </w:r>
      <w:r>
        <w:t xml:space="preserve"> </w:t>
      </w:r>
      <w:r>
        <w:rPr>
          <w:lang w:val="es-CO"/>
        </w:rPr>
        <w:t xml:space="preserve">Folio 212  del cuaderno 2. </w:t>
      </w:r>
    </w:p>
  </w:footnote>
  <w:footnote w:id="77">
    <w:p w:rsidR="002E46C2" w:rsidRDefault="002E46C2" w:rsidP="00F0083F">
      <w:pPr>
        <w:pStyle w:val="Textonotapie"/>
        <w:rPr>
          <w:rFonts w:cs="Calibri"/>
          <w:lang w:val="es-CO"/>
        </w:rPr>
      </w:pPr>
      <w:r>
        <w:rPr>
          <w:rStyle w:val="Refdenotaalpie"/>
        </w:rPr>
        <w:footnoteRef/>
      </w:r>
      <w:r>
        <w:t xml:space="preserve"> </w:t>
      </w:r>
      <w:r>
        <w:rPr>
          <w:lang w:val="es-CO"/>
        </w:rPr>
        <w:t>Contentivo de la cuantificación del perjuicio, cuaderno de la prueba correspondiente.</w:t>
      </w:r>
    </w:p>
  </w:footnote>
  <w:footnote w:id="78">
    <w:p w:rsidR="002E46C2" w:rsidRPr="00E60A54" w:rsidRDefault="002E46C2">
      <w:pPr>
        <w:pStyle w:val="Textonotapie"/>
        <w:rPr>
          <w:lang w:val="es-CO"/>
        </w:rPr>
      </w:pPr>
      <w:r>
        <w:rPr>
          <w:rStyle w:val="Refdenotaalpie"/>
        </w:rPr>
        <w:footnoteRef/>
      </w:r>
      <w:r>
        <w:t xml:space="preserve"> </w:t>
      </w:r>
      <w:r>
        <w:rPr>
          <w:lang w:val="es-CO"/>
        </w:rPr>
        <w:t>La indemnización de perjuicios comprende el daño emergente y el lucro cesante.</w:t>
      </w:r>
    </w:p>
  </w:footnote>
  <w:footnote w:id="79">
    <w:p w:rsidR="002E46C2" w:rsidRDefault="002E46C2" w:rsidP="0082580D">
      <w:pPr>
        <w:pStyle w:val="Textonotapie"/>
        <w:spacing w:line="240" w:lineRule="auto"/>
      </w:pPr>
      <w:r w:rsidRPr="00516213">
        <w:rPr>
          <w:rStyle w:val="Refdenotaalpie"/>
        </w:rPr>
        <w:footnoteRef/>
      </w:r>
      <w:r w:rsidRPr="00516213">
        <w:t xml:space="preserve"> Corresponde al último dato publicado por el DANE  a la fecha de esta sentencia</w:t>
      </w:r>
      <w:r>
        <w:t>, para el mes de septiembre de 2017,</w:t>
      </w:r>
      <w:r w:rsidRPr="00516213">
        <w:t xml:space="preserve"> de acuerdo con la información</w:t>
      </w:r>
      <w:r>
        <w:t xml:space="preserve"> disponible en </w:t>
      </w:r>
      <w:hyperlink r:id="rId1" w:history="1">
        <w:r w:rsidRPr="00875E6E">
          <w:rPr>
            <w:rStyle w:val="Hipervnculo"/>
            <w:sz w:val="20"/>
          </w:rPr>
          <w:t>http://obieebr.banrep.gov.co/</w:t>
        </w:r>
      </w:hyperlink>
      <w:r>
        <w:t xml:space="preserve">, igualmente contenida </w:t>
      </w:r>
      <w:r w:rsidRPr="00516213">
        <w:t xml:space="preserve">en la página </w:t>
      </w:r>
      <w:hyperlink r:id="rId2" w:history="1">
        <w:r w:rsidRPr="00516213">
          <w:rPr>
            <w:rStyle w:val="Hipervnculo"/>
            <w:sz w:val="20"/>
          </w:rPr>
          <w:t>www.dane.gov.co</w:t>
        </w:r>
      </w:hyperlink>
      <w:r w:rsidRPr="00516213">
        <w:t>, estadísticas, serie de empalme de IPC.</w:t>
      </w:r>
    </w:p>
    <w:p w:rsidR="002E46C2" w:rsidRPr="00E17D6A" w:rsidRDefault="002E46C2" w:rsidP="0082580D">
      <w:pPr>
        <w:pStyle w:val="Textonotapie"/>
        <w:spacing w:line="240" w:lineRule="auto"/>
        <w:rPr>
          <w:lang w:val="es-CO"/>
        </w:rPr>
      </w:pPr>
      <w:r w:rsidRPr="00E17D6A">
        <w:rPr>
          <w:lang w:val="es-CO"/>
        </w:rPr>
        <w:t xml:space="preserve"> </w:t>
      </w:r>
    </w:p>
  </w:footnote>
  <w:footnote w:id="80">
    <w:p w:rsidR="002E46C2" w:rsidRPr="00B21C09" w:rsidRDefault="002E46C2" w:rsidP="0082580D">
      <w:pPr>
        <w:pStyle w:val="Textonotapie"/>
        <w:spacing w:line="240" w:lineRule="auto"/>
        <w:rPr>
          <w:lang w:val="es-CO"/>
        </w:rPr>
      </w:pPr>
      <w:r>
        <w:rPr>
          <w:rStyle w:val="Refdenotaalpie"/>
        </w:rPr>
        <w:footnoteRef/>
      </w:r>
      <w:r>
        <w:t xml:space="preserve"> El índice inicial c</w:t>
      </w:r>
      <w:r>
        <w:rPr>
          <w:lang w:val="es-CO"/>
        </w:rPr>
        <w:t xml:space="preserve">orresponde al dato publicado para el mes de diciembre de 1996, de acuerdo con la serie disponible en </w:t>
      </w:r>
      <w:hyperlink r:id="rId3" w:history="1">
        <w:r w:rsidRPr="00875E6E">
          <w:rPr>
            <w:rStyle w:val="Hipervnculo"/>
            <w:i/>
            <w:sz w:val="20"/>
            <w:lang w:val="es-CO"/>
          </w:rPr>
          <w:t>http://obieebr.banrep.gov.co/</w:t>
        </w:r>
      </w:hyperlink>
      <w:r>
        <w:rPr>
          <w:i/>
          <w:lang w:val="es-CO"/>
        </w:rPr>
        <w:t xml:space="preserve">. </w:t>
      </w:r>
      <w:r w:rsidRPr="00B21C09">
        <w:rPr>
          <w:lang w:val="es-CO"/>
        </w:rPr>
        <w:t xml:space="preserve">Fecha de consulta 2 de octubre de 2017. </w:t>
      </w:r>
    </w:p>
  </w:footnote>
  <w:footnote w:id="81">
    <w:p w:rsidR="002E46C2" w:rsidRPr="008C05FE" w:rsidRDefault="002E46C2" w:rsidP="00603AD7">
      <w:pPr>
        <w:spacing w:before="100" w:beforeAutospacing="1" w:after="100" w:afterAutospacing="1" w:line="240" w:lineRule="auto"/>
        <w:rPr>
          <w:rFonts w:cs="Arial"/>
          <w:bCs/>
          <w:color w:val="000000"/>
          <w:sz w:val="20"/>
          <w:szCs w:val="20"/>
          <w:shd w:val="clear" w:color="auto" w:fill="FFFFFF"/>
        </w:rPr>
      </w:pPr>
      <w:r w:rsidRPr="008C05FE">
        <w:rPr>
          <w:rStyle w:val="Refdenotaalpie"/>
          <w:sz w:val="20"/>
          <w:szCs w:val="20"/>
        </w:rPr>
        <w:footnoteRef/>
      </w:r>
      <w:r w:rsidRPr="008C05FE">
        <w:rPr>
          <w:sz w:val="20"/>
          <w:szCs w:val="20"/>
        </w:rPr>
        <w:t xml:space="preserve"> </w:t>
      </w:r>
      <w:r w:rsidRPr="008C05FE">
        <w:rPr>
          <w:rFonts w:cs="Arial"/>
          <w:bCs/>
          <w:color w:val="000000"/>
          <w:sz w:val="20"/>
          <w:szCs w:val="20"/>
        </w:rPr>
        <w:t xml:space="preserve">Consejo de Estado, </w:t>
      </w:r>
      <w:r w:rsidRPr="008C05FE">
        <w:rPr>
          <w:rFonts w:cs="Arial"/>
          <w:bCs/>
          <w:color w:val="000000"/>
          <w:sz w:val="20"/>
          <w:szCs w:val="20"/>
          <w:shd w:val="clear" w:color="auto" w:fill="FFFFFF"/>
        </w:rPr>
        <w:t>Sala de lo Contencioso Administrativo, Sección Tercera, Sala Plena, Consejero ponente: Danilo Rojas Betancourth, sentencia de 12 de julio de 2012, radicación número: 85001-23-31-000-1995-00174-01(15024), actor: NIMROD MIR LTDA, demandado: municipio de CHÁMEZA-CASANARE, referencia: controversias contractuales; apelación sentencia.</w:t>
      </w:r>
    </w:p>
    <w:p w:rsidR="002E46C2" w:rsidRPr="005777CA" w:rsidRDefault="002E46C2" w:rsidP="004C2FAC">
      <w:pPr>
        <w:spacing w:line="240" w:lineRule="auto"/>
        <w:rPr>
          <w:sz w:val="20"/>
          <w:szCs w:val="20"/>
          <w:lang w:val="es-CO"/>
        </w:rPr>
      </w:pPr>
    </w:p>
  </w:footnote>
  <w:footnote w:id="82">
    <w:p w:rsidR="002E46C2" w:rsidRPr="00E446B1" w:rsidRDefault="002E46C2" w:rsidP="004C2FAC">
      <w:pPr>
        <w:shd w:val="clear" w:color="auto" w:fill="FFFFFF"/>
        <w:spacing w:line="240" w:lineRule="auto"/>
        <w:rPr>
          <w:lang w:val="es-CO"/>
        </w:rPr>
      </w:pPr>
      <w:r w:rsidRPr="004C2FAC">
        <w:rPr>
          <w:rStyle w:val="Refdenotaalpie"/>
          <w:sz w:val="20"/>
          <w:szCs w:val="20"/>
        </w:rPr>
        <w:footnoteRef/>
      </w:r>
      <w:r w:rsidRPr="004C2FAC">
        <w:rPr>
          <w:sz w:val="20"/>
          <w:szCs w:val="20"/>
        </w:rPr>
        <w:t xml:space="preserve"> </w:t>
      </w:r>
      <w:r w:rsidRPr="004C2FAC">
        <w:rPr>
          <w:rFonts w:cs="Arial"/>
          <w:bCs/>
          <w:color w:val="000000"/>
          <w:sz w:val="20"/>
          <w:szCs w:val="20"/>
        </w:rPr>
        <w:t xml:space="preserve">Consejo de Estado, </w:t>
      </w:r>
      <w:r w:rsidRPr="004C2FAC">
        <w:rPr>
          <w:rFonts w:cs="Arial"/>
          <w:bCs/>
          <w:color w:val="000000"/>
          <w:sz w:val="20"/>
          <w:szCs w:val="20"/>
          <w:shd w:val="clear" w:color="auto" w:fill="FFFFFF"/>
        </w:rPr>
        <w:t>Sala de lo Contencioso Administrativo, Sección Tercera, Sala Plena, Consejero ponente: Danilo Rojas Betancourth, sentencia de 12 de julio de 2012, radicación número: 85001-23-31-000-1995-00174-01(15024), actor: NIMROD MIR LTDA, demandado: municipio de CHÁMEZA-CASANARE, referencia: controversias contractuales; apelación sentencia</w:t>
      </w:r>
      <w:r w:rsidRPr="004C2FAC">
        <w:rPr>
          <w:rFonts w:cs="Arial"/>
          <w:b/>
          <w:bCs/>
          <w:color w:val="000000"/>
          <w:sz w:val="20"/>
          <w:szCs w:val="20"/>
          <w:shd w:val="clear" w:color="auto" w:fill="FFFFFF"/>
        </w:rPr>
        <w:t>.</w:t>
      </w:r>
    </w:p>
  </w:footnote>
  <w:footnote w:id="83">
    <w:p w:rsidR="002E46C2" w:rsidRDefault="002E46C2">
      <w:pPr>
        <w:pStyle w:val="Textonotapie"/>
        <w:rPr>
          <w:lang w:val="es-CO"/>
        </w:rPr>
      </w:pPr>
      <w:r>
        <w:rPr>
          <w:rStyle w:val="Refdenotaalpie"/>
        </w:rPr>
        <w:footnoteRef/>
      </w:r>
      <w:r>
        <w:t xml:space="preserve"> </w:t>
      </w:r>
      <w:r>
        <w:rPr>
          <w:lang w:val="es-CO"/>
        </w:rPr>
        <w:t>Artículo 1617 del Código Civil.</w:t>
      </w:r>
    </w:p>
    <w:p w:rsidR="002E46C2" w:rsidRPr="00CA3212" w:rsidRDefault="002E46C2">
      <w:pPr>
        <w:pStyle w:val="Textonotapie"/>
        <w:rPr>
          <w:lang w:val="es-CO"/>
        </w:rPr>
      </w:pPr>
    </w:p>
  </w:footnote>
  <w:footnote w:id="84">
    <w:p w:rsidR="002E46C2" w:rsidRDefault="002E46C2" w:rsidP="00AC14EF">
      <w:pPr>
        <w:pStyle w:val="Textonotapie"/>
        <w:spacing w:line="240" w:lineRule="auto"/>
        <w:rPr>
          <w:lang w:val="es-CO"/>
        </w:rPr>
      </w:pPr>
      <w:r>
        <w:rPr>
          <w:rStyle w:val="Refdenotaalpie"/>
        </w:rPr>
        <w:footnoteRef/>
      </w:r>
      <w:r>
        <w:t xml:space="preserve"> </w:t>
      </w:r>
      <w:r>
        <w:rPr>
          <w:lang w:val="es-CO"/>
        </w:rPr>
        <w:t>Esta fórmula contempla los días reales transcurridos y utiliza la base año de 365 días.</w:t>
      </w:r>
    </w:p>
    <w:p w:rsidR="002E46C2" w:rsidRPr="005E79D2" w:rsidRDefault="002E46C2" w:rsidP="00AC14EF">
      <w:pPr>
        <w:pStyle w:val="Textonotapie"/>
        <w:spacing w:line="240" w:lineRule="auto"/>
        <w:rPr>
          <w:lang w:val="es-CO"/>
        </w:rPr>
      </w:pPr>
    </w:p>
  </w:footnote>
  <w:footnote w:id="85">
    <w:p w:rsidR="002E46C2" w:rsidRDefault="002E46C2" w:rsidP="007A0AEF">
      <w:pPr>
        <w:pStyle w:val="Textonotapie"/>
        <w:spacing w:line="240" w:lineRule="auto"/>
        <w:rPr>
          <w:lang w:val="es-CO"/>
        </w:rPr>
      </w:pPr>
      <w:r w:rsidRPr="00BD635B">
        <w:rPr>
          <w:rStyle w:val="Refdenotaalpie"/>
        </w:rPr>
        <w:footnoteRef/>
      </w:r>
      <w:r w:rsidRPr="00BD635B">
        <w:t xml:space="preserve"> Número de días transcurridos entre el 16 de diciembre  de 1996 y la fecha de la sentencia, 12</w:t>
      </w:r>
      <w:r w:rsidRPr="00BD635B">
        <w:rPr>
          <w:lang w:val="es-CO"/>
        </w:rPr>
        <w:t xml:space="preserve"> de octubre de 2017.</w:t>
      </w:r>
    </w:p>
    <w:p w:rsidR="002E46C2" w:rsidRPr="007A0AEF" w:rsidRDefault="002E46C2" w:rsidP="007A0AEF">
      <w:pPr>
        <w:pStyle w:val="Textonotapie"/>
        <w:spacing w:line="240" w:lineRule="auto"/>
        <w:rPr>
          <w:lang w:val="es-CO"/>
        </w:rPr>
      </w:pPr>
    </w:p>
  </w:footnote>
  <w:footnote w:id="86">
    <w:p w:rsidR="002E46C2" w:rsidRDefault="002E46C2" w:rsidP="00AB11A9">
      <w:pPr>
        <w:pStyle w:val="Textonotapie"/>
        <w:spacing w:line="240" w:lineRule="auto"/>
        <w:rPr>
          <w:rFonts w:cs="Arial"/>
          <w:color w:val="333333"/>
        </w:rPr>
      </w:pPr>
      <w:r>
        <w:rPr>
          <w:rStyle w:val="Refdenotaalpie"/>
        </w:rPr>
        <w:footnoteRef/>
      </w:r>
      <w:r>
        <w:t xml:space="preserve"> </w:t>
      </w:r>
      <w:r>
        <w:rPr>
          <w:lang w:val="es-CO"/>
        </w:rPr>
        <w:t xml:space="preserve">El interés simple es el rédito del capital inicial. Se diferencia del interés compuesto en que en el cálculo del interés simple los intereses ganados no se acumulan al capital.  Precisamente, una de las reglas del artículo 1617 del Código Civil indica la modalidad de interés simple, para liquidar la indemnización de perjuicios, en la siguiente forma: </w:t>
      </w:r>
      <w:r w:rsidRPr="00CC0D0A">
        <w:rPr>
          <w:rFonts w:cs="Arial"/>
          <w:i/>
          <w:color w:val="333333"/>
        </w:rPr>
        <w:t>“3.)</w:t>
      </w:r>
      <w:r>
        <w:rPr>
          <w:rFonts w:cs="Arial"/>
          <w:i/>
          <w:color w:val="333333"/>
        </w:rPr>
        <w:t xml:space="preserve"> </w:t>
      </w:r>
      <w:r w:rsidRPr="00CC0D0A">
        <w:rPr>
          <w:rFonts w:cs="Arial"/>
          <w:i/>
          <w:color w:val="333333"/>
        </w:rPr>
        <w:t>Los intereses atrasados no producen interés”</w:t>
      </w:r>
      <w:r w:rsidRPr="00CC0D0A">
        <w:rPr>
          <w:rFonts w:cs="Arial"/>
          <w:color w:val="333333"/>
        </w:rPr>
        <w:t>.</w:t>
      </w:r>
    </w:p>
    <w:p w:rsidR="002E46C2" w:rsidRPr="00ED14C6" w:rsidRDefault="002E46C2" w:rsidP="00AB11A9">
      <w:pPr>
        <w:pStyle w:val="Textonotapie"/>
        <w:spacing w:line="240" w:lineRule="auto"/>
        <w:rPr>
          <w:lang w:val="es-CO"/>
        </w:rPr>
      </w:pPr>
    </w:p>
  </w:footnote>
  <w:footnote w:id="87">
    <w:p w:rsidR="002E46C2" w:rsidRPr="00C50AE4" w:rsidRDefault="002E46C2" w:rsidP="00C50AE4">
      <w:pPr>
        <w:spacing w:line="240" w:lineRule="auto"/>
        <w:rPr>
          <w:rFonts w:cs="Arial"/>
          <w:b/>
          <w:sz w:val="20"/>
          <w:szCs w:val="20"/>
        </w:rPr>
      </w:pPr>
      <w:r w:rsidRPr="00E373EB">
        <w:rPr>
          <w:rStyle w:val="Refdenotaalpie"/>
          <w:sz w:val="20"/>
          <w:szCs w:val="20"/>
        </w:rPr>
        <w:footnoteRef/>
      </w:r>
      <w:r w:rsidRPr="00E373EB">
        <w:rPr>
          <w:sz w:val="20"/>
          <w:szCs w:val="20"/>
        </w:rPr>
        <w:t xml:space="preserve"> Se pueden citar, como ejemplo, las siguientes sentencias, en las cuales se liquidó el interés del 6%, </w:t>
      </w:r>
      <w:r w:rsidRPr="00E373EB">
        <w:rPr>
          <w:b/>
          <w:sz w:val="20"/>
          <w:szCs w:val="20"/>
        </w:rPr>
        <w:t>1.</w:t>
      </w:r>
      <w:r w:rsidRPr="00E373EB">
        <w:rPr>
          <w:sz w:val="20"/>
          <w:szCs w:val="20"/>
        </w:rPr>
        <w:t xml:space="preserve"> Consejo de Estado, Sala de lo Contencioso Administrativo, Sección Tercera, Subsección A, </w:t>
      </w:r>
      <w:r w:rsidRPr="00E373EB">
        <w:rPr>
          <w:rFonts w:cs="Arial"/>
          <w:sz w:val="20"/>
          <w:szCs w:val="20"/>
        </w:rPr>
        <w:t>Consejero .Ponente. Carlos Alberto Zambrano Barrera, sentencia de 12 de noviembre 2014, expediente 28855, actor: Vigías de Colombia SRL – 472, d</w:t>
      </w:r>
      <w:r w:rsidRPr="00E373EB">
        <w:rPr>
          <w:rFonts w:cs="Arial"/>
          <w:color w:val="000000"/>
          <w:sz w:val="20"/>
          <w:szCs w:val="20"/>
        </w:rPr>
        <w:t xml:space="preserve">emandado: Corporación Autónoma de Cundinamarca —CAR—. </w:t>
      </w:r>
      <w:r w:rsidRPr="00E373EB">
        <w:rPr>
          <w:rFonts w:cs="Arial"/>
          <w:i/>
          <w:sz w:val="20"/>
          <w:szCs w:val="20"/>
        </w:rPr>
        <w:t>“</w:t>
      </w:r>
      <w:r w:rsidRPr="00E373EB">
        <w:rPr>
          <w:rFonts w:cs="Arial"/>
          <w:b/>
          <w:i/>
          <w:sz w:val="20"/>
          <w:szCs w:val="20"/>
        </w:rPr>
        <w:t>Sobre la suma histórica sin actualizar</w:t>
      </w:r>
      <w:r w:rsidRPr="00E373EB">
        <w:rPr>
          <w:rFonts w:cs="Arial"/>
          <w:i/>
          <w:sz w:val="20"/>
          <w:szCs w:val="20"/>
        </w:rPr>
        <w:t xml:space="preserve"> se liquidará un interés técnico legal del seis por ciento (6%) anual, entre la fecha en que se debió percibir la utilidad y la de esta providencia” </w:t>
      </w:r>
      <w:r w:rsidRPr="00E373EB">
        <w:rPr>
          <w:rFonts w:cs="Arial"/>
          <w:sz w:val="20"/>
          <w:szCs w:val="20"/>
        </w:rPr>
        <w:t>(la negrilla no es del texto).</w:t>
      </w:r>
      <w:r>
        <w:rPr>
          <w:rFonts w:cs="Arial"/>
          <w:sz w:val="20"/>
          <w:szCs w:val="20"/>
        </w:rPr>
        <w:t xml:space="preserve"> </w:t>
      </w:r>
      <w:r w:rsidRPr="00B4264E">
        <w:rPr>
          <w:rFonts w:cs="Arial"/>
          <w:b/>
          <w:sz w:val="20"/>
          <w:szCs w:val="20"/>
        </w:rPr>
        <w:t>2.</w:t>
      </w:r>
      <w:r>
        <w:rPr>
          <w:rFonts w:cs="Arial"/>
          <w:sz w:val="20"/>
          <w:szCs w:val="20"/>
        </w:rPr>
        <w:t xml:space="preserve"> </w:t>
      </w:r>
      <w:r w:rsidRPr="007D36FA">
        <w:rPr>
          <w:sz w:val="20"/>
          <w:szCs w:val="20"/>
        </w:rPr>
        <w:t xml:space="preserve">Consejo de Estado, Sala de lo Contencioso Administrativo, Sección Tercera, Subsección A, </w:t>
      </w:r>
      <w:r w:rsidRPr="007D36FA">
        <w:rPr>
          <w:rFonts w:cs="Arial"/>
          <w:sz w:val="20"/>
          <w:szCs w:val="20"/>
        </w:rPr>
        <w:t>Consejero</w:t>
      </w:r>
      <w:r>
        <w:rPr>
          <w:rFonts w:cs="Arial"/>
          <w:sz w:val="20"/>
          <w:szCs w:val="20"/>
        </w:rPr>
        <w:t xml:space="preserve"> </w:t>
      </w:r>
      <w:r w:rsidRPr="007D36FA">
        <w:rPr>
          <w:rFonts w:cs="Arial"/>
          <w:sz w:val="20"/>
          <w:szCs w:val="20"/>
        </w:rPr>
        <w:t>Ponente</w:t>
      </w:r>
      <w:r>
        <w:rPr>
          <w:rFonts w:cs="Arial"/>
          <w:sz w:val="20"/>
          <w:szCs w:val="20"/>
        </w:rPr>
        <w:t>:</w:t>
      </w:r>
      <w:r w:rsidRPr="007D36FA">
        <w:rPr>
          <w:rFonts w:cs="Arial"/>
          <w:sz w:val="20"/>
          <w:szCs w:val="20"/>
        </w:rPr>
        <w:t xml:space="preserve"> Mauricio Fajardo Gómez, </w:t>
      </w:r>
      <w:r w:rsidRPr="00B4264E">
        <w:rPr>
          <w:rFonts w:cs="Arial"/>
          <w:sz w:val="20"/>
          <w:szCs w:val="20"/>
        </w:rPr>
        <w:t>expediente18446, actor: 11 de mayo de 2011, actor: Plinio Ruiz Pazos Vs COOMNARIÑO y Municipio de Yancuan</w:t>
      </w:r>
      <w:r>
        <w:rPr>
          <w:rFonts w:cs="Arial"/>
          <w:sz w:val="20"/>
          <w:szCs w:val="20"/>
        </w:rPr>
        <w:t>q</w:t>
      </w:r>
      <w:r w:rsidRPr="00B4264E">
        <w:rPr>
          <w:rFonts w:cs="Arial"/>
          <w:sz w:val="20"/>
          <w:szCs w:val="20"/>
        </w:rPr>
        <w:t>uer</w:t>
      </w:r>
      <w:r>
        <w:rPr>
          <w:rFonts w:cs="Arial"/>
          <w:sz w:val="20"/>
          <w:szCs w:val="20"/>
        </w:rPr>
        <w:t>. “</w:t>
      </w:r>
      <w:r w:rsidRPr="00C50AE4">
        <w:rPr>
          <w:rFonts w:cs="Arial"/>
          <w:i/>
          <w:sz w:val="20"/>
          <w:szCs w:val="20"/>
        </w:rPr>
        <w:t xml:space="preserve">El actor solicitó el reconocimiento de intereses del 6%, sobre la utilidad correspondiente al valor de obra que no fue ejecutado, los cuales serán reconocidos por la Sala, </w:t>
      </w:r>
      <w:r w:rsidRPr="00C50AE4">
        <w:rPr>
          <w:rFonts w:cs="Arial"/>
          <w:b/>
          <w:i/>
          <w:sz w:val="20"/>
          <w:szCs w:val="20"/>
        </w:rPr>
        <w:t xml:space="preserve">a manera de réditos del capital correspondiente a la utilidad a la cual tenía legítimo derecho con la ejecución del contrato, de conformidad con el siguiente cálculo. </w:t>
      </w:r>
      <w:r w:rsidRPr="00B4264E">
        <w:rPr>
          <w:rFonts w:cs="Arial"/>
          <w:b/>
          <w:i/>
          <w:sz w:val="20"/>
          <w:szCs w:val="20"/>
        </w:rPr>
        <w:t xml:space="preserve">Intereses legales. </w:t>
      </w:r>
      <w:r w:rsidRPr="009D3955">
        <w:rPr>
          <w:rFonts w:cs="Arial"/>
          <w:b/>
          <w:i/>
          <w:sz w:val="20"/>
          <w:szCs w:val="20"/>
        </w:rPr>
        <w:t>Fórmula: Capital histórico</w:t>
      </w:r>
      <w:r w:rsidRPr="00C50AE4">
        <w:rPr>
          <w:rFonts w:cs="Arial"/>
          <w:i/>
          <w:sz w:val="20"/>
          <w:szCs w:val="20"/>
        </w:rPr>
        <w:t xml:space="preserve"> x período de tiempo x tasa de interés</w:t>
      </w:r>
      <w:r w:rsidRPr="00C50AE4">
        <w:rPr>
          <w:rFonts w:cs="Arial"/>
          <w:sz w:val="20"/>
          <w:szCs w:val="20"/>
        </w:rPr>
        <w:t xml:space="preserve"> (…).</w:t>
      </w:r>
      <w:r w:rsidRPr="009D3955">
        <w:rPr>
          <w:rFonts w:cs="Arial"/>
          <w:i/>
          <w:sz w:val="20"/>
          <w:szCs w:val="20"/>
        </w:rPr>
        <w:t>Así, pues, el valor actualizado y los intereses legales correspondientes a las utilidades dejadas de percibir por el contratista particular, por la no ejecución del contrato número 0044A-CO-1996, por razones imputables a la entidad pública contratante, serán reconocidos como indemnización de perjuicios por concepto de lucro cesante y serán compensados de la suma correspondiente al anticipo que se encuentra pendiente de amortizar”</w:t>
      </w:r>
      <w:r>
        <w:rPr>
          <w:rFonts w:cs="Arial"/>
          <w:sz w:val="20"/>
          <w:szCs w:val="20"/>
        </w:rPr>
        <w:t xml:space="preserve"> (la negrilla no es del texto).</w:t>
      </w:r>
    </w:p>
    <w:p w:rsidR="002E46C2" w:rsidRPr="005C5890" w:rsidRDefault="002E46C2">
      <w:pPr>
        <w:pStyle w:val="Textonotapie"/>
        <w:rPr>
          <w:rFonts w:cs="Arial"/>
          <w:i/>
          <w:lang w:val="es-CO"/>
        </w:rPr>
      </w:pPr>
    </w:p>
  </w:footnote>
  <w:footnote w:id="88">
    <w:p w:rsidR="002E46C2" w:rsidRPr="00E8707C" w:rsidRDefault="002E46C2" w:rsidP="00CC2BC2">
      <w:pPr>
        <w:spacing w:line="240" w:lineRule="auto"/>
        <w:ind w:right="51"/>
        <w:rPr>
          <w:rFonts w:cs="Arial"/>
          <w:i/>
          <w:sz w:val="20"/>
          <w:szCs w:val="20"/>
        </w:rPr>
      </w:pPr>
      <w:r w:rsidRPr="00E8707C">
        <w:rPr>
          <w:rStyle w:val="Refdenotaalpie"/>
          <w:sz w:val="20"/>
          <w:szCs w:val="20"/>
        </w:rPr>
        <w:footnoteRef/>
      </w:r>
      <w:r w:rsidRPr="00E8707C">
        <w:rPr>
          <w:sz w:val="20"/>
          <w:szCs w:val="20"/>
        </w:rPr>
        <w:t xml:space="preserve"> </w:t>
      </w:r>
      <w:r w:rsidRPr="00E8707C">
        <w:rPr>
          <w:rFonts w:cs="Arial"/>
          <w:bCs/>
          <w:sz w:val="20"/>
          <w:szCs w:val="20"/>
        </w:rPr>
        <w:t xml:space="preserve">Corte Suprema de Justicia, </w:t>
      </w:r>
      <w:r w:rsidRPr="00E8707C">
        <w:rPr>
          <w:rFonts w:cs="Arial"/>
          <w:sz w:val="20"/>
          <w:szCs w:val="20"/>
        </w:rPr>
        <w:t>Sala de Casación Civil, sentencia de 27 de agosto de 2008, exp. No. 11001-3103-022-1997-14171-</w:t>
      </w:r>
      <w:smartTag w:uri="urn:schemas-microsoft-com:office:smarttags" w:element="metricconverter">
        <w:smartTagPr>
          <w:attr w:name="ProductID" w:val="01, M"/>
        </w:smartTagPr>
        <w:r w:rsidRPr="00E8707C">
          <w:rPr>
            <w:rFonts w:cs="Arial"/>
            <w:sz w:val="20"/>
            <w:szCs w:val="20"/>
          </w:rPr>
          <w:t>01, M</w:t>
        </w:r>
      </w:smartTag>
      <w:r w:rsidRPr="00E8707C">
        <w:rPr>
          <w:rFonts w:cs="Arial"/>
          <w:sz w:val="20"/>
          <w:szCs w:val="20"/>
        </w:rPr>
        <w:t>.P. William Namén Vargas</w:t>
      </w:r>
      <w:r w:rsidRPr="00E8707C">
        <w:rPr>
          <w:rFonts w:cs="Arial"/>
          <w:bCs/>
          <w:sz w:val="20"/>
          <w:szCs w:val="20"/>
        </w:rPr>
        <w:t>.</w:t>
      </w:r>
      <w:r w:rsidRPr="00E8707C">
        <w:rPr>
          <w:rFonts w:cs="Arial"/>
          <w:i/>
          <w:sz w:val="20"/>
          <w:szCs w:val="20"/>
        </w:rPr>
        <w:t xml:space="preserve"> </w:t>
      </w:r>
    </w:p>
    <w:p w:rsidR="002E46C2" w:rsidRDefault="002E46C2" w:rsidP="00CC2BC2">
      <w:pPr>
        <w:spacing w:line="240" w:lineRule="auto"/>
        <w:ind w:right="51"/>
        <w:rPr>
          <w:rFonts w:cs="Arial"/>
          <w:i/>
        </w:rPr>
      </w:pPr>
    </w:p>
    <w:p w:rsidR="002E46C2" w:rsidRDefault="002E46C2" w:rsidP="007B2EE7">
      <w:pPr>
        <w:spacing w:line="240" w:lineRule="auto"/>
        <w:ind w:right="51"/>
        <w:rPr>
          <w:rFonts w:cs="Arial"/>
          <w:i/>
        </w:rPr>
      </w:pPr>
      <w:r w:rsidRPr="00E8707C">
        <w:rPr>
          <w:rFonts w:cs="Arial"/>
          <w:i/>
          <w:sz w:val="20"/>
          <w:szCs w:val="20"/>
        </w:rPr>
        <w:t xml:space="preserve">“c) Los intereses moratorios, (…), son exigibles con la obligación principal y [se] deben mientras perdure, sancionan el incumplimiento del deudor y cumplen función compensatoria del daño causado al acreedor </w:t>
      </w:r>
      <w:r w:rsidRPr="00E8707C">
        <w:rPr>
          <w:rFonts w:cs="Arial"/>
          <w:b/>
          <w:i/>
          <w:sz w:val="20"/>
          <w:szCs w:val="20"/>
        </w:rPr>
        <w:t>mediante la fijación de una tasa tarifada por el legislador, la cual, si bien no es simétrica con la magnitud del daño, se establece en consideración a éste</w:t>
      </w:r>
      <w:r w:rsidRPr="00E8707C">
        <w:rPr>
          <w:rFonts w:cs="Arial"/>
          <w:i/>
          <w:sz w:val="20"/>
          <w:szCs w:val="20"/>
        </w:rPr>
        <w:t xml:space="preserve"> y no impide optar por la indemnización ordinaria de perjuicios ni reclamar el daño suplementario o adicional, acreditando su existencia y cuantía, con sujeción a las reglas generales. </w:t>
      </w:r>
      <w:r w:rsidRPr="00E8707C">
        <w:rPr>
          <w:rFonts w:cs="Arial"/>
          <w:b/>
          <w:i/>
          <w:sz w:val="20"/>
          <w:szCs w:val="20"/>
        </w:rPr>
        <w:t>A partir de la mora respecto de idéntico período y la misma obligación, estos intereses no son acumulables ni pueden cobrarse de manera simultánea con los remuneratorios</w:t>
      </w:r>
      <w:r w:rsidRPr="00E8707C">
        <w:rPr>
          <w:rFonts w:cs="Arial"/>
          <w:i/>
          <w:sz w:val="20"/>
          <w:szCs w:val="20"/>
        </w:rPr>
        <w:t xml:space="preserve">, con excepción de los causados y debidos con anterioridad. Producida la mora de la obligación principal sus efectos se extienden a la prestación de pagar intereses mientras no se cumpla lo debido” </w:t>
      </w:r>
      <w:r w:rsidRPr="00E8707C">
        <w:rPr>
          <w:rFonts w:cs="Arial"/>
          <w:sz w:val="20"/>
          <w:szCs w:val="20"/>
        </w:rPr>
        <w:t>(la negrilla no es del texto).</w:t>
      </w:r>
    </w:p>
    <w:p w:rsidR="002E46C2" w:rsidRPr="00CC2BC2" w:rsidRDefault="002E46C2" w:rsidP="00CC2BC2">
      <w:pPr>
        <w:pStyle w:val="Textonotapie"/>
        <w:ind w:right="51"/>
        <w:rPr>
          <w:lang w:val="es-CO"/>
        </w:rPr>
      </w:pPr>
    </w:p>
  </w:footnote>
  <w:footnote w:id="89">
    <w:p w:rsidR="002E46C2" w:rsidRDefault="002E46C2" w:rsidP="007B2EE7">
      <w:pPr>
        <w:pStyle w:val="Textonotapie"/>
        <w:spacing w:line="240" w:lineRule="auto"/>
        <w:rPr>
          <w:rFonts w:cs="Arial"/>
          <w:b/>
          <w:i/>
        </w:rPr>
      </w:pPr>
      <w:r w:rsidRPr="007B2EE7">
        <w:rPr>
          <w:rStyle w:val="Refdenotaalpie"/>
        </w:rPr>
        <w:footnoteRef/>
      </w:r>
      <w:r w:rsidRPr="007B2EE7">
        <w:t xml:space="preserve"> Ley 45 de 1990, </w:t>
      </w:r>
      <w:r>
        <w:t>“</w:t>
      </w:r>
      <w:r w:rsidRPr="007B2EE7">
        <w:rPr>
          <w:rFonts w:cs="Arial"/>
          <w:i/>
        </w:rPr>
        <w:t>Artículo 68. Sumas que se reputan intereses</w:t>
      </w:r>
      <w:r w:rsidRPr="00E373EB">
        <w:rPr>
          <w:rFonts w:cs="Arial"/>
          <w:i/>
        </w:rPr>
        <w:t xml:space="preserve">. </w:t>
      </w:r>
      <w:r w:rsidRPr="00E373EB">
        <w:rPr>
          <w:rFonts w:cs="Arial"/>
          <w:b/>
          <w:i/>
        </w:rPr>
        <w:t>Para todos los efectos legales se reputarán intereses las sumas que el acreedor reciba del deudor sin contraprestación distinta al crédito otorgado, aun cuando las mismas se justifiquen por concepto de honorarios, comisiones u otros semejantes</w:t>
      </w:r>
      <w:r w:rsidRPr="00E373EB">
        <w:rPr>
          <w:rFonts w:cs="Arial"/>
          <w:i/>
        </w:rPr>
        <w:t>.”</w:t>
      </w:r>
      <w:r w:rsidRPr="00E373EB">
        <w:rPr>
          <w:rFonts w:cs="Arial"/>
          <w:b/>
          <w:i/>
        </w:rPr>
        <w:t xml:space="preserve"> </w:t>
      </w:r>
      <w:r w:rsidRPr="00E373EB">
        <w:rPr>
          <w:rFonts w:cs="Arial"/>
          <w:i/>
        </w:rPr>
        <w:t>(la negrilla no es del texto).</w:t>
      </w:r>
    </w:p>
    <w:p w:rsidR="002E46C2" w:rsidRPr="007B2EE7" w:rsidRDefault="002E46C2" w:rsidP="007B2EE7">
      <w:pPr>
        <w:pStyle w:val="Textonotapie"/>
        <w:spacing w:line="240" w:lineRule="auto"/>
        <w:rPr>
          <w:lang w:val="es-CO"/>
        </w:rPr>
      </w:pPr>
    </w:p>
  </w:footnote>
  <w:footnote w:id="90">
    <w:p w:rsidR="002E46C2" w:rsidRDefault="002E46C2" w:rsidP="00574579">
      <w:pPr>
        <w:pStyle w:val="Textonotapie"/>
        <w:spacing w:line="240" w:lineRule="auto"/>
        <w:rPr>
          <w:lang w:val="es-CO"/>
        </w:rPr>
      </w:pPr>
      <w:r>
        <w:rPr>
          <w:rStyle w:val="Refdenotaalpie"/>
        </w:rPr>
        <w:footnoteRef/>
      </w:r>
      <w:r>
        <w:t xml:space="preserve"> </w:t>
      </w:r>
      <w:r>
        <w:rPr>
          <w:lang w:val="es-CO"/>
        </w:rPr>
        <w:t xml:space="preserve">Informe de una contadora pública titulada, presentado al Ministerio con fecha mayo 12 de 1999, folios 195 a 213. </w:t>
      </w:r>
    </w:p>
    <w:p w:rsidR="002E46C2" w:rsidRPr="001B59A5" w:rsidRDefault="002E46C2" w:rsidP="00574579">
      <w:pPr>
        <w:pStyle w:val="Textonotapie"/>
        <w:spacing w:line="240" w:lineRule="auto"/>
        <w:rPr>
          <w:lang w:val="es-CO"/>
        </w:rPr>
      </w:pPr>
    </w:p>
  </w:footnote>
  <w:footnote w:id="91">
    <w:p w:rsidR="002E46C2" w:rsidRDefault="002E46C2" w:rsidP="00992C83">
      <w:pPr>
        <w:shd w:val="clear" w:color="auto" w:fill="FFFFFF"/>
        <w:spacing w:line="240" w:lineRule="auto"/>
        <w:ind w:right="-91"/>
        <w:rPr>
          <w:rFonts w:cs="Arial"/>
          <w:i/>
          <w:color w:val="000000"/>
          <w:sz w:val="20"/>
          <w:szCs w:val="20"/>
          <w:lang w:val="es-MX" w:eastAsia="es-MX"/>
        </w:rPr>
      </w:pPr>
      <w:r w:rsidRPr="00CA02E0">
        <w:rPr>
          <w:rStyle w:val="Refdenotaalpie"/>
          <w:sz w:val="20"/>
          <w:szCs w:val="20"/>
        </w:rPr>
        <w:footnoteRef/>
      </w:r>
      <w:r w:rsidRPr="00CA02E0">
        <w:rPr>
          <w:sz w:val="20"/>
          <w:szCs w:val="20"/>
        </w:rPr>
        <w:t xml:space="preserve"> </w:t>
      </w:r>
      <w:r w:rsidRPr="00CA02E0">
        <w:rPr>
          <w:rFonts w:cs="Arial"/>
          <w:bCs/>
          <w:i/>
          <w:color w:val="000000"/>
          <w:sz w:val="20"/>
          <w:szCs w:val="20"/>
          <w:lang w:val="es-MX" w:eastAsia="es-MX"/>
        </w:rPr>
        <w:t>“Artículo 1081. Prescripción de Acciones</w:t>
      </w:r>
      <w:r w:rsidRPr="00CA02E0">
        <w:rPr>
          <w:rFonts w:cs="Arial"/>
          <w:i/>
          <w:color w:val="000000"/>
          <w:sz w:val="20"/>
          <w:szCs w:val="20"/>
          <w:lang w:val="es-MX" w:eastAsia="es-MX"/>
        </w:rPr>
        <w:t>. La prescripción de las acciones que se derivan del contrato de seguro o de las disposiciones que lo rigen podrá ser ordinaria o extraordinaria.</w:t>
      </w:r>
    </w:p>
    <w:p w:rsidR="002E46C2" w:rsidRPr="00CA02E0" w:rsidRDefault="002E46C2" w:rsidP="00992C83">
      <w:pPr>
        <w:shd w:val="clear" w:color="auto" w:fill="FFFFFF"/>
        <w:spacing w:line="240" w:lineRule="auto"/>
        <w:ind w:right="-91"/>
        <w:rPr>
          <w:rFonts w:cs="Arial"/>
          <w:i/>
          <w:color w:val="000000"/>
          <w:sz w:val="20"/>
          <w:szCs w:val="20"/>
          <w:lang w:val="es-MX" w:eastAsia="es-MX"/>
        </w:rPr>
      </w:pPr>
    </w:p>
    <w:p w:rsidR="002E46C2" w:rsidRDefault="002E46C2" w:rsidP="0090150E">
      <w:pPr>
        <w:shd w:val="clear" w:color="auto" w:fill="FFFFFF"/>
        <w:spacing w:line="240" w:lineRule="auto"/>
        <w:ind w:right="51"/>
        <w:rPr>
          <w:rFonts w:cs="Arial"/>
          <w:i/>
          <w:color w:val="000000"/>
          <w:sz w:val="20"/>
          <w:szCs w:val="20"/>
          <w:lang w:val="es-MX" w:eastAsia="es-MX"/>
        </w:rPr>
      </w:pPr>
      <w:r>
        <w:rPr>
          <w:rFonts w:cs="Arial"/>
          <w:i/>
          <w:color w:val="000000"/>
          <w:sz w:val="20"/>
          <w:szCs w:val="20"/>
          <w:lang w:val="es-MX" w:eastAsia="es-MX"/>
        </w:rPr>
        <w:t>“</w:t>
      </w:r>
      <w:r w:rsidRPr="00CA02E0">
        <w:rPr>
          <w:rFonts w:cs="Arial"/>
          <w:i/>
          <w:color w:val="000000"/>
          <w:sz w:val="20"/>
          <w:szCs w:val="20"/>
          <w:lang w:val="es-MX" w:eastAsia="es-MX"/>
        </w:rPr>
        <w:t>La prescripción ordinaria será de dos años y empezará a correr desde el momento en que el interesado haya tenido o debido tener conocimiento del hecho que da base a la acción.</w:t>
      </w:r>
    </w:p>
    <w:p w:rsidR="002E46C2" w:rsidRPr="00CA02E0" w:rsidRDefault="002E46C2" w:rsidP="0090150E">
      <w:pPr>
        <w:shd w:val="clear" w:color="auto" w:fill="FFFFFF"/>
        <w:spacing w:line="240" w:lineRule="auto"/>
        <w:ind w:right="51"/>
        <w:rPr>
          <w:rFonts w:cs="Arial"/>
          <w:i/>
          <w:color w:val="000000"/>
          <w:sz w:val="20"/>
          <w:szCs w:val="20"/>
          <w:lang w:val="es-MX" w:eastAsia="es-MX"/>
        </w:rPr>
      </w:pPr>
    </w:p>
    <w:p w:rsidR="002E46C2" w:rsidRPr="00CA02E0" w:rsidRDefault="002E46C2" w:rsidP="0090150E">
      <w:pPr>
        <w:shd w:val="clear" w:color="auto" w:fill="FFFFFF"/>
        <w:spacing w:line="240" w:lineRule="auto"/>
        <w:ind w:right="51"/>
        <w:rPr>
          <w:rFonts w:cs="Arial"/>
          <w:i/>
          <w:color w:val="000000"/>
          <w:sz w:val="20"/>
          <w:szCs w:val="20"/>
          <w:lang w:val="es-MX" w:eastAsia="es-MX"/>
        </w:rPr>
      </w:pPr>
      <w:r>
        <w:rPr>
          <w:rFonts w:cs="Arial"/>
          <w:i/>
          <w:color w:val="000000"/>
          <w:sz w:val="20"/>
          <w:szCs w:val="20"/>
          <w:lang w:val="es-MX" w:eastAsia="es-MX"/>
        </w:rPr>
        <w:t>“</w:t>
      </w:r>
      <w:r w:rsidRPr="00CA02E0">
        <w:rPr>
          <w:rFonts w:cs="Arial"/>
          <w:i/>
          <w:color w:val="000000"/>
          <w:sz w:val="20"/>
          <w:szCs w:val="20"/>
          <w:lang w:val="es-MX" w:eastAsia="es-MX"/>
        </w:rPr>
        <w:t>La prescripción extraordinaria será de cinco años, correrá contra toda clase de personas y empezará a contarse desde el momento en que nace el respectivo derecho.</w:t>
      </w:r>
    </w:p>
    <w:p w:rsidR="002E46C2" w:rsidRDefault="002E46C2" w:rsidP="0090150E">
      <w:pPr>
        <w:shd w:val="clear" w:color="auto" w:fill="FFFFFF"/>
        <w:spacing w:line="240" w:lineRule="auto"/>
        <w:ind w:right="51"/>
        <w:rPr>
          <w:rFonts w:cs="Arial"/>
          <w:i/>
          <w:color w:val="000000"/>
          <w:sz w:val="20"/>
          <w:szCs w:val="20"/>
          <w:lang w:val="es-MX" w:eastAsia="es-MX"/>
        </w:rPr>
      </w:pPr>
    </w:p>
    <w:p w:rsidR="002E46C2" w:rsidRPr="00CA02E0" w:rsidRDefault="002E46C2" w:rsidP="0090150E">
      <w:pPr>
        <w:shd w:val="clear" w:color="auto" w:fill="FFFFFF"/>
        <w:spacing w:line="240" w:lineRule="auto"/>
        <w:ind w:right="51"/>
        <w:rPr>
          <w:rFonts w:cs="Arial"/>
          <w:i/>
          <w:color w:val="000000"/>
          <w:sz w:val="20"/>
          <w:szCs w:val="20"/>
          <w:lang w:val="es-MX" w:eastAsia="es-MX"/>
        </w:rPr>
      </w:pPr>
      <w:r>
        <w:rPr>
          <w:rFonts w:cs="Arial"/>
          <w:i/>
          <w:color w:val="000000"/>
          <w:sz w:val="20"/>
          <w:szCs w:val="20"/>
          <w:lang w:val="es-MX" w:eastAsia="es-MX"/>
        </w:rPr>
        <w:t>“</w:t>
      </w:r>
      <w:r w:rsidRPr="00CA02E0">
        <w:rPr>
          <w:rFonts w:cs="Arial"/>
          <w:i/>
          <w:color w:val="000000"/>
          <w:sz w:val="20"/>
          <w:szCs w:val="20"/>
          <w:lang w:val="es-MX" w:eastAsia="es-MX"/>
        </w:rPr>
        <w:t>Estos términos no pueden ser modificados por las partes”</w:t>
      </w:r>
      <w:r>
        <w:rPr>
          <w:rFonts w:cs="Arial"/>
          <w:i/>
          <w:color w:val="000000"/>
          <w:sz w:val="20"/>
          <w:szCs w:val="20"/>
          <w:lang w:val="es-MX" w:eastAsia="es-MX"/>
        </w:rPr>
        <w:t>.</w:t>
      </w:r>
    </w:p>
    <w:p w:rsidR="002E46C2" w:rsidRPr="00CA02E0" w:rsidRDefault="002E46C2" w:rsidP="0090150E">
      <w:pPr>
        <w:pStyle w:val="Textonotapie"/>
        <w:spacing w:line="240" w:lineRule="auto"/>
        <w:ind w:right="51"/>
        <w:rPr>
          <w:lang w:val="es-CO"/>
        </w:rPr>
      </w:pPr>
    </w:p>
  </w:footnote>
  <w:footnote w:id="92">
    <w:p w:rsidR="002E46C2" w:rsidRPr="006A1D4B" w:rsidRDefault="002E46C2" w:rsidP="0090150E">
      <w:pPr>
        <w:pStyle w:val="Textonotapie"/>
        <w:spacing w:line="240" w:lineRule="auto"/>
        <w:ind w:right="51"/>
        <w:rPr>
          <w:lang w:val="es-CO"/>
        </w:rPr>
      </w:pPr>
      <w:r>
        <w:rPr>
          <w:rStyle w:val="Refdenotaalpie"/>
        </w:rPr>
        <w:footnoteRef/>
      </w:r>
      <w:r>
        <w:t xml:space="preserve"> </w:t>
      </w:r>
      <w:r>
        <w:rPr>
          <w:lang w:val="es-CO"/>
        </w:rPr>
        <w:t>Sentencia de 4 de julio de 1977, Sala de Casación Civil.</w:t>
      </w:r>
    </w:p>
  </w:footnote>
  <w:footnote w:id="93">
    <w:p w:rsidR="002E46C2" w:rsidRPr="0002256B" w:rsidRDefault="002E46C2" w:rsidP="00185950">
      <w:pPr>
        <w:pStyle w:val="Textonotapie"/>
        <w:spacing w:line="240" w:lineRule="auto"/>
        <w:rPr>
          <w:lang w:val="es-MX"/>
        </w:rPr>
      </w:pPr>
      <w:r w:rsidRPr="0002256B">
        <w:rPr>
          <w:rStyle w:val="Refdenotaalpie"/>
        </w:rPr>
        <w:footnoteRef/>
      </w:r>
      <w:r w:rsidRPr="0002256B">
        <w:t xml:space="preserve"> Mediante </w:t>
      </w:r>
      <w:r>
        <w:t>s</w:t>
      </w:r>
      <w:r w:rsidRPr="0002256B">
        <w:rPr>
          <w:lang w:val="es-MX"/>
        </w:rPr>
        <w:t>entencia C-574 de 14 de octubre de 1998, con ponencia del Magistrado Antonio Barrera Carbonell, la Corte Constitucional se pronunció sobre la exequibilidad del inciso del artículo 136 del Código Contencioso Administrativo, subrogado por el Decreto 2304 de 1989, en el cual se estableció el término de caducidad de las acciones contractuales en dos (2) años, norma que fue atacada por violación al principio de igualdad en relación con la regulación de la prescripción de las acciones civiles, cargo que no prosperó por razón de las diferencias existentes y aquí establecidas entre la prescripción y la caducidad.</w:t>
      </w:r>
    </w:p>
    <w:p w:rsidR="002E46C2" w:rsidRPr="009B4963" w:rsidRDefault="002E46C2" w:rsidP="00185950">
      <w:pPr>
        <w:pStyle w:val="Textonotapie"/>
        <w:spacing w:line="240" w:lineRule="auto"/>
        <w:rPr>
          <w:sz w:val="18"/>
          <w:szCs w:val="18"/>
          <w:lang w:val="es-MX"/>
        </w:rPr>
      </w:pPr>
    </w:p>
  </w:footnote>
  <w:footnote w:id="94">
    <w:p w:rsidR="002E46C2" w:rsidRPr="00DF5268" w:rsidRDefault="002E46C2" w:rsidP="00185950">
      <w:pPr>
        <w:pStyle w:val="Puesto1"/>
        <w:tabs>
          <w:tab w:val="left" w:pos="1800"/>
          <w:tab w:val="left" w:pos="1980"/>
        </w:tabs>
        <w:jc w:val="both"/>
        <w:rPr>
          <w:b w:val="0"/>
          <w:sz w:val="20"/>
          <w:szCs w:val="20"/>
          <w:lang w:val="es-CO"/>
        </w:rPr>
      </w:pPr>
      <w:r w:rsidRPr="00DF5268">
        <w:rPr>
          <w:rStyle w:val="Refdenotaalpie"/>
          <w:sz w:val="20"/>
          <w:szCs w:val="20"/>
        </w:rPr>
        <w:footnoteRef/>
      </w:r>
      <w:r w:rsidRPr="00DF5268">
        <w:rPr>
          <w:sz w:val="20"/>
          <w:szCs w:val="20"/>
        </w:rPr>
        <w:t xml:space="preserve"> </w:t>
      </w:r>
      <w:r w:rsidRPr="00DF5268">
        <w:rPr>
          <w:b w:val="0"/>
          <w:sz w:val="20"/>
          <w:szCs w:val="20"/>
          <w:lang w:val="es-CO"/>
        </w:rPr>
        <w:t xml:space="preserve">Consejo de Estado, Sala de lo Contencioso Administrativo, Sección Tercera, </w:t>
      </w:r>
      <w:r w:rsidRPr="00DF5268">
        <w:rPr>
          <w:b w:val="0"/>
          <w:sz w:val="20"/>
          <w:szCs w:val="20"/>
        </w:rPr>
        <w:t>Consejero Ponente: Mauricio Fajardo Gómez</w:t>
      </w:r>
      <w:r>
        <w:rPr>
          <w:b w:val="0"/>
          <w:sz w:val="20"/>
          <w:szCs w:val="20"/>
          <w:lang w:val="es-CO"/>
        </w:rPr>
        <w:t xml:space="preserve"> s</w:t>
      </w:r>
      <w:r w:rsidRPr="00DF5268">
        <w:rPr>
          <w:b w:val="0"/>
          <w:sz w:val="20"/>
          <w:szCs w:val="20"/>
          <w:lang w:val="es-CO"/>
        </w:rPr>
        <w:t xml:space="preserve">entencia de 19 de </w:t>
      </w:r>
      <w:r>
        <w:rPr>
          <w:b w:val="0"/>
          <w:sz w:val="20"/>
          <w:szCs w:val="20"/>
          <w:lang w:val="es-CO"/>
        </w:rPr>
        <w:t>f</w:t>
      </w:r>
      <w:r w:rsidRPr="00DF5268">
        <w:rPr>
          <w:b w:val="0"/>
          <w:sz w:val="20"/>
          <w:szCs w:val="20"/>
          <w:lang w:val="es-CO"/>
        </w:rPr>
        <w:t>ebrero de 2009, radicación número: 05001-23-31-000-2000-01720-01(24609), actor: Fondo Pasivo Social de Ferrocarriles Nacionales de Colombia, demandado: Compañía de Seguros Cóndor S.A., referencia: ejecutivo contractual - apelación sentencia.</w:t>
      </w:r>
    </w:p>
    <w:p w:rsidR="002E46C2" w:rsidRPr="00DF5268" w:rsidRDefault="002E46C2" w:rsidP="00185950">
      <w:pPr>
        <w:pStyle w:val="Textonotapie"/>
        <w:rPr>
          <w:lang w:val="es-CO"/>
        </w:rPr>
      </w:pPr>
    </w:p>
  </w:footnote>
  <w:footnote w:id="95">
    <w:p w:rsidR="002E46C2" w:rsidRPr="000F129A" w:rsidRDefault="002E46C2" w:rsidP="00F72367">
      <w:pPr>
        <w:pStyle w:val="Textonotapie"/>
        <w:spacing w:line="240" w:lineRule="auto"/>
        <w:rPr>
          <w:lang w:val="es-CO"/>
        </w:rPr>
      </w:pPr>
      <w:r w:rsidRPr="000F129A">
        <w:rPr>
          <w:rStyle w:val="Refdenotaalpie"/>
        </w:rPr>
        <w:footnoteRef/>
      </w:r>
      <w:r w:rsidRPr="000F129A">
        <w:t xml:space="preserve"> </w:t>
      </w:r>
      <w:r w:rsidRPr="000F129A">
        <w:rPr>
          <w:lang w:val="es-CO"/>
        </w:rPr>
        <w:t xml:space="preserve">Referido en ese caso al acto </w:t>
      </w:r>
      <w:r>
        <w:rPr>
          <w:lang w:val="es-CO"/>
        </w:rPr>
        <w:t>administrativo mediante el cual se declaró la</w:t>
      </w:r>
      <w:r w:rsidRPr="000F129A">
        <w:rPr>
          <w:lang w:val="es-CO"/>
        </w:rPr>
        <w:t xml:space="preserve"> caducidad del contrato</w:t>
      </w:r>
      <w:r>
        <w:rPr>
          <w:lang w:val="es-CO"/>
        </w:rPr>
        <w:t>,</w:t>
      </w:r>
      <w:r w:rsidRPr="000F129A">
        <w:rPr>
          <w:lang w:val="es-CO"/>
        </w:rPr>
        <w:t xml:space="preserve"> el cual </w:t>
      </w:r>
      <w:r>
        <w:rPr>
          <w:lang w:val="es-CO"/>
        </w:rPr>
        <w:t xml:space="preserve">es constitutivo del siniestro y da lugar a </w:t>
      </w:r>
      <w:r w:rsidRPr="000F129A">
        <w:rPr>
          <w:lang w:val="es-CO"/>
        </w:rPr>
        <w:t xml:space="preserve">hacer exigible la póliza otorgada por la compañía de seguros. </w:t>
      </w:r>
    </w:p>
    <w:p w:rsidR="002E46C2" w:rsidRPr="000F129A" w:rsidRDefault="002E46C2" w:rsidP="00F72367">
      <w:pPr>
        <w:pStyle w:val="Textonotapie"/>
        <w:spacing w:line="240" w:lineRule="auto"/>
        <w:rPr>
          <w:lang w:val="es-CO"/>
        </w:rPr>
      </w:pPr>
    </w:p>
  </w:footnote>
  <w:footnote w:id="96">
    <w:p w:rsidR="002E46C2" w:rsidRDefault="002E46C2" w:rsidP="00962012">
      <w:pPr>
        <w:pStyle w:val="Textonotapie"/>
        <w:spacing w:line="240" w:lineRule="auto"/>
        <w:ind w:right="51"/>
      </w:pPr>
      <w:r w:rsidRPr="00DF5268">
        <w:rPr>
          <w:rStyle w:val="Refdenotaalpie"/>
        </w:rPr>
        <w:footnoteRef/>
      </w:r>
      <w:r w:rsidRPr="00DF5268">
        <w:t xml:space="preserve"> Consejo de Estado, Sala de lo Contencioso Administrativo, Sección Tercera, Subsección A</w:t>
      </w:r>
      <w:r>
        <w:t>,</w:t>
      </w:r>
      <w:r w:rsidRPr="00DF5268">
        <w:t xml:space="preserve"> Consejero Ponente: Mauricio Fajardo Gómez</w:t>
      </w:r>
      <w:r>
        <w:t>,</w:t>
      </w:r>
      <w:r w:rsidRPr="00DF5268">
        <w:t xml:space="preserve"> sentencia de 27 de marzo de 2014,  radicación No. 250002326000200301705 01, expediente 29205, demandante: Seguros del Estado, demandado: Cámara de </w:t>
      </w:r>
      <w:r>
        <w:t>R</w:t>
      </w:r>
      <w:r w:rsidRPr="00DF5268">
        <w:t xml:space="preserve">epresentantes, acción: contractual. </w:t>
      </w:r>
    </w:p>
    <w:p w:rsidR="002E46C2" w:rsidRPr="00DF5268" w:rsidRDefault="002E46C2" w:rsidP="00C46DDD">
      <w:pPr>
        <w:pStyle w:val="Textonotapie"/>
        <w:spacing w:line="240" w:lineRule="auto"/>
        <w:ind w:right="-232"/>
        <w:rPr>
          <w:lang w:val="es-CO"/>
        </w:rPr>
      </w:pPr>
      <w:r w:rsidRPr="00DF5268">
        <w:t xml:space="preserve"> </w:t>
      </w:r>
    </w:p>
  </w:footnote>
  <w:footnote w:id="97">
    <w:p w:rsidR="002E46C2" w:rsidRDefault="002E46C2" w:rsidP="005D0F0E">
      <w:pPr>
        <w:pStyle w:val="Textonotapie"/>
        <w:spacing w:line="240" w:lineRule="auto"/>
        <w:ind w:right="51"/>
        <w:rPr>
          <w:lang w:val="es-CO"/>
        </w:rPr>
      </w:pPr>
      <w:r>
        <w:rPr>
          <w:rStyle w:val="Refdenotaalpie"/>
        </w:rPr>
        <w:footnoteRef/>
      </w:r>
      <w:r>
        <w:t xml:space="preserve"> Ossa G., J. Efrén, Teoría General del Contrato de Seguro, Cap XXII, de la prescripción de las acciones procedentes del contrato de seguro, Editorial Temis, Bogotá 1991,</w:t>
      </w:r>
      <w:r>
        <w:rPr>
          <w:lang w:val="es-CO"/>
        </w:rPr>
        <w:t xml:space="preserve"> página 545.</w:t>
      </w:r>
    </w:p>
    <w:p w:rsidR="002E46C2" w:rsidRPr="00FD2CF9" w:rsidRDefault="002E46C2" w:rsidP="005D0F0E">
      <w:pPr>
        <w:pStyle w:val="Textonotapie"/>
        <w:spacing w:line="240" w:lineRule="auto"/>
        <w:ind w:right="51"/>
        <w:rPr>
          <w:lang w:val="es-CO"/>
        </w:rPr>
      </w:pPr>
    </w:p>
  </w:footnote>
  <w:footnote w:id="98">
    <w:p w:rsidR="002E46C2" w:rsidRDefault="002E46C2" w:rsidP="005D0F0E">
      <w:pPr>
        <w:pStyle w:val="Textonotapie"/>
        <w:spacing w:line="240" w:lineRule="auto"/>
        <w:ind w:right="51"/>
        <w:rPr>
          <w:lang w:val="es-CO"/>
        </w:rPr>
      </w:pPr>
      <w:r>
        <w:rPr>
          <w:rStyle w:val="Refdenotaalpie"/>
        </w:rPr>
        <w:footnoteRef/>
      </w:r>
      <w:r>
        <w:t xml:space="preserve"> Ibídem.</w:t>
      </w:r>
      <w:r>
        <w:rPr>
          <w:lang w:val="es-CO"/>
        </w:rPr>
        <w:t xml:space="preserve"> </w:t>
      </w:r>
    </w:p>
    <w:p w:rsidR="002E46C2" w:rsidRPr="007D2FAA" w:rsidRDefault="002E46C2" w:rsidP="005D0F0E">
      <w:pPr>
        <w:pStyle w:val="Textonotapie"/>
        <w:spacing w:line="240" w:lineRule="auto"/>
        <w:ind w:right="51"/>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C2" w:rsidRDefault="002E46C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46C2" w:rsidRDefault="002E46C2" w:rsidP="0064345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C2" w:rsidRDefault="002E46C2" w:rsidP="00643457">
    <w:pPr>
      <w:pStyle w:val="Encabezado"/>
      <w:framePr w:wrap="around" w:vAnchor="text" w:hAnchor="margin" w:xAlign="right" w:y="1"/>
      <w:rPr>
        <w:rStyle w:val="Nmerodepgina"/>
      </w:rPr>
    </w:pPr>
  </w:p>
  <w:p w:rsidR="002E46C2" w:rsidRDefault="00876F8A" w:rsidP="00643457">
    <w:pPr>
      <w:widowControl w:val="0"/>
      <w:autoSpaceDE w:val="0"/>
      <w:autoSpaceDN w:val="0"/>
      <w:adjustRightInd w:val="0"/>
      <w:ind w:right="360"/>
    </w:pPr>
    <w:r w:rsidRPr="00A453E8">
      <w:rPr>
        <w:noProof/>
        <w:lang w:val="es-CO" w:eastAsia="es-CO"/>
      </w:rPr>
      <w:drawing>
        <wp:inline distT="0" distB="0" distL="0" distR="0">
          <wp:extent cx="895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tbl>
    <w:tblPr>
      <w:tblW w:w="4997" w:type="dxa"/>
      <w:tblInd w:w="3227" w:type="dxa"/>
      <w:tblLayout w:type="fixed"/>
      <w:tblLook w:val="04A0" w:firstRow="1" w:lastRow="0" w:firstColumn="1" w:lastColumn="0" w:noHBand="0" w:noVBand="1"/>
    </w:tblPr>
    <w:tblGrid>
      <w:gridCol w:w="1276"/>
      <w:gridCol w:w="3721"/>
    </w:tblGrid>
    <w:tr w:rsidR="002E46C2" w:rsidRPr="00D811FB" w:rsidTr="00A453E8">
      <w:tc>
        <w:tcPr>
          <w:tcW w:w="1276" w:type="dxa"/>
          <w:shd w:val="clear" w:color="auto" w:fill="auto"/>
        </w:tcPr>
        <w:p w:rsidR="002E46C2" w:rsidRPr="00A453E8" w:rsidRDefault="002E46C2" w:rsidP="00A453E8">
          <w:pPr>
            <w:widowControl w:val="0"/>
            <w:autoSpaceDE w:val="0"/>
            <w:autoSpaceDN w:val="0"/>
            <w:adjustRightInd w:val="0"/>
            <w:spacing w:line="240" w:lineRule="auto"/>
            <w:rPr>
              <w:i/>
              <w:sz w:val="18"/>
              <w:szCs w:val="18"/>
            </w:rPr>
          </w:pPr>
          <w:r w:rsidRPr="00A453E8">
            <w:rPr>
              <w:i/>
              <w:sz w:val="18"/>
              <w:szCs w:val="18"/>
            </w:rPr>
            <w:t>Radicación:</w:t>
          </w:r>
        </w:p>
      </w:tc>
      <w:tc>
        <w:tcPr>
          <w:tcW w:w="3721" w:type="dxa"/>
          <w:shd w:val="clear" w:color="auto" w:fill="auto"/>
        </w:tcPr>
        <w:p w:rsidR="002E46C2" w:rsidRPr="00A453E8" w:rsidRDefault="002E46C2" w:rsidP="00A453E8">
          <w:pPr>
            <w:widowControl w:val="0"/>
            <w:tabs>
              <w:tab w:val="left" w:pos="3505"/>
            </w:tabs>
            <w:autoSpaceDE w:val="0"/>
            <w:autoSpaceDN w:val="0"/>
            <w:adjustRightInd w:val="0"/>
            <w:spacing w:line="240" w:lineRule="auto"/>
            <w:ind w:right="70"/>
            <w:rPr>
              <w:sz w:val="18"/>
              <w:szCs w:val="18"/>
            </w:rPr>
          </w:pPr>
          <w:r w:rsidRPr="00A453E8">
            <w:rPr>
              <w:sz w:val="18"/>
              <w:szCs w:val="18"/>
            </w:rPr>
            <w:t>2500023260002005017701 (53239)</w:t>
          </w:r>
        </w:p>
      </w:tc>
    </w:tr>
    <w:tr w:rsidR="002E46C2" w:rsidRPr="00D811FB" w:rsidTr="00A453E8">
      <w:tc>
        <w:tcPr>
          <w:tcW w:w="1276" w:type="dxa"/>
          <w:shd w:val="clear" w:color="auto" w:fill="auto"/>
        </w:tcPr>
        <w:p w:rsidR="002E46C2" w:rsidRPr="00A453E8" w:rsidRDefault="002E46C2" w:rsidP="00A453E8">
          <w:pPr>
            <w:widowControl w:val="0"/>
            <w:autoSpaceDE w:val="0"/>
            <w:autoSpaceDN w:val="0"/>
            <w:adjustRightInd w:val="0"/>
            <w:spacing w:line="240" w:lineRule="auto"/>
            <w:rPr>
              <w:i/>
              <w:sz w:val="18"/>
              <w:szCs w:val="18"/>
            </w:rPr>
          </w:pPr>
          <w:r w:rsidRPr="00A453E8">
            <w:rPr>
              <w:i/>
              <w:sz w:val="18"/>
              <w:szCs w:val="18"/>
            </w:rPr>
            <w:t>Actor:</w:t>
          </w:r>
        </w:p>
      </w:tc>
      <w:tc>
        <w:tcPr>
          <w:tcW w:w="3721" w:type="dxa"/>
          <w:shd w:val="clear" w:color="auto" w:fill="auto"/>
        </w:tcPr>
        <w:p w:rsidR="002E46C2" w:rsidRPr="00A453E8" w:rsidRDefault="002E46C2" w:rsidP="00A453E8">
          <w:pPr>
            <w:widowControl w:val="0"/>
            <w:autoSpaceDE w:val="0"/>
            <w:autoSpaceDN w:val="0"/>
            <w:adjustRightInd w:val="0"/>
            <w:spacing w:line="240" w:lineRule="auto"/>
            <w:ind w:right="70"/>
            <w:rPr>
              <w:sz w:val="18"/>
              <w:szCs w:val="18"/>
            </w:rPr>
          </w:pPr>
          <w:r w:rsidRPr="00A453E8">
            <w:rPr>
              <w:sz w:val="18"/>
              <w:szCs w:val="18"/>
            </w:rPr>
            <w:t>Ministerio de Agricultura y Desarrollo Rural</w:t>
          </w:r>
        </w:p>
      </w:tc>
    </w:tr>
    <w:tr w:rsidR="002E46C2" w:rsidRPr="00D811FB" w:rsidTr="00A453E8">
      <w:tc>
        <w:tcPr>
          <w:tcW w:w="1276" w:type="dxa"/>
          <w:shd w:val="clear" w:color="auto" w:fill="auto"/>
        </w:tcPr>
        <w:p w:rsidR="002E46C2" w:rsidRPr="00A453E8" w:rsidRDefault="002E46C2" w:rsidP="00A453E8">
          <w:pPr>
            <w:widowControl w:val="0"/>
            <w:autoSpaceDE w:val="0"/>
            <w:autoSpaceDN w:val="0"/>
            <w:adjustRightInd w:val="0"/>
            <w:spacing w:line="240" w:lineRule="auto"/>
            <w:rPr>
              <w:i/>
              <w:sz w:val="18"/>
              <w:szCs w:val="18"/>
            </w:rPr>
          </w:pPr>
          <w:r w:rsidRPr="00A453E8">
            <w:rPr>
              <w:i/>
              <w:sz w:val="18"/>
              <w:szCs w:val="18"/>
            </w:rPr>
            <w:t>Demandado</w:t>
          </w:r>
        </w:p>
      </w:tc>
      <w:tc>
        <w:tcPr>
          <w:tcW w:w="3721" w:type="dxa"/>
          <w:shd w:val="clear" w:color="auto" w:fill="auto"/>
        </w:tcPr>
        <w:p w:rsidR="002E46C2" w:rsidRPr="00A453E8" w:rsidRDefault="002E46C2" w:rsidP="00A453E8">
          <w:pPr>
            <w:widowControl w:val="0"/>
            <w:autoSpaceDE w:val="0"/>
            <w:autoSpaceDN w:val="0"/>
            <w:adjustRightInd w:val="0"/>
            <w:spacing w:line="240" w:lineRule="auto"/>
            <w:ind w:right="70"/>
            <w:rPr>
              <w:sz w:val="18"/>
              <w:szCs w:val="18"/>
            </w:rPr>
          </w:pPr>
          <w:r w:rsidRPr="00A453E8">
            <w:rPr>
              <w:sz w:val="18"/>
              <w:szCs w:val="18"/>
            </w:rPr>
            <w:t>Compañía Colombiana de Cereales S.A y otra</w:t>
          </w:r>
        </w:p>
      </w:tc>
    </w:tr>
    <w:tr w:rsidR="002E46C2" w:rsidRPr="00D811FB" w:rsidTr="00A453E8">
      <w:tc>
        <w:tcPr>
          <w:tcW w:w="1276" w:type="dxa"/>
          <w:shd w:val="clear" w:color="auto" w:fill="auto"/>
        </w:tcPr>
        <w:p w:rsidR="002E46C2" w:rsidRPr="00A453E8" w:rsidRDefault="002E46C2" w:rsidP="00A453E8">
          <w:pPr>
            <w:widowControl w:val="0"/>
            <w:autoSpaceDE w:val="0"/>
            <w:autoSpaceDN w:val="0"/>
            <w:adjustRightInd w:val="0"/>
            <w:spacing w:line="240" w:lineRule="auto"/>
            <w:rPr>
              <w:i/>
              <w:sz w:val="18"/>
              <w:szCs w:val="18"/>
            </w:rPr>
          </w:pPr>
          <w:r w:rsidRPr="00A453E8">
            <w:rPr>
              <w:i/>
              <w:sz w:val="18"/>
              <w:szCs w:val="18"/>
            </w:rPr>
            <w:t>Referencia:</w:t>
          </w:r>
        </w:p>
      </w:tc>
      <w:tc>
        <w:tcPr>
          <w:tcW w:w="3721" w:type="dxa"/>
          <w:shd w:val="clear" w:color="auto" w:fill="auto"/>
        </w:tcPr>
        <w:p w:rsidR="002E46C2" w:rsidRPr="00A453E8" w:rsidRDefault="002E46C2" w:rsidP="00A453E8">
          <w:pPr>
            <w:widowControl w:val="0"/>
            <w:autoSpaceDE w:val="0"/>
            <w:autoSpaceDN w:val="0"/>
            <w:adjustRightInd w:val="0"/>
            <w:spacing w:line="240" w:lineRule="auto"/>
            <w:ind w:right="360"/>
            <w:rPr>
              <w:sz w:val="18"/>
              <w:szCs w:val="18"/>
            </w:rPr>
          </w:pPr>
          <w:r w:rsidRPr="00A453E8">
            <w:rPr>
              <w:sz w:val="18"/>
              <w:szCs w:val="18"/>
            </w:rPr>
            <w:t xml:space="preserve">Contractual </w:t>
          </w:r>
        </w:p>
      </w:tc>
    </w:tr>
  </w:tbl>
  <w:p w:rsidR="002E46C2" w:rsidRDefault="002E46C2" w:rsidP="00643457">
    <w:pPr>
      <w:widowControl w:val="0"/>
      <w:autoSpaceDE w:val="0"/>
      <w:autoSpaceDN w:val="0"/>
      <w:adjustRightInd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80865C6"/>
    <w:multiLevelType w:val="multilevel"/>
    <w:tmpl w:val="574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CE0E8D"/>
    <w:multiLevelType w:val="multilevel"/>
    <w:tmpl w:val="080E56AA"/>
    <w:lvl w:ilvl="0">
      <w:start w:val="1"/>
      <w:numFmt w:val="lowerLetter"/>
      <w:lvlText w:val="%1)"/>
      <w:legacy w:legacy="1" w:legacySpace="0" w:legacyIndent="427"/>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7"/>
  </w:num>
  <w:num w:numId="3">
    <w:abstractNumId w:val="25"/>
  </w:num>
  <w:num w:numId="4">
    <w:abstractNumId w:val="11"/>
  </w:num>
  <w:num w:numId="5">
    <w:abstractNumId w:val="14"/>
  </w:num>
  <w:num w:numId="6">
    <w:abstractNumId w:val="4"/>
  </w:num>
  <w:num w:numId="7">
    <w:abstractNumId w:val="26"/>
  </w:num>
  <w:num w:numId="8">
    <w:abstractNumId w:val="5"/>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8"/>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 w:numId="31">
    <w:abstractNumId w:val="24"/>
  </w:num>
  <w:num w:numId="32">
    <w:abstractNumId w:val="30"/>
  </w:num>
  <w:num w:numId="3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662"/>
    <w:rsid w:val="0000071A"/>
    <w:rsid w:val="0000092F"/>
    <w:rsid w:val="00000E0A"/>
    <w:rsid w:val="00000F07"/>
    <w:rsid w:val="000012E0"/>
    <w:rsid w:val="00001679"/>
    <w:rsid w:val="0000193E"/>
    <w:rsid w:val="00001C09"/>
    <w:rsid w:val="00001C23"/>
    <w:rsid w:val="00001F90"/>
    <w:rsid w:val="000025A9"/>
    <w:rsid w:val="00002764"/>
    <w:rsid w:val="00002E38"/>
    <w:rsid w:val="00003330"/>
    <w:rsid w:val="00003649"/>
    <w:rsid w:val="000036B8"/>
    <w:rsid w:val="000039FF"/>
    <w:rsid w:val="00003C47"/>
    <w:rsid w:val="000041F0"/>
    <w:rsid w:val="00004616"/>
    <w:rsid w:val="000049E1"/>
    <w:rsid w:val="0000511F"/>
    <w:rsid w:val="00005891"/>
    <w:rsid w:val="00006466"/>
    <w:rsid w:val="00006BE4"/>
    <w:rsid w:val="00006FC7"/>
    <w:rsid w:val="000072F1"/>
    <w:rsid w:val="00007B65"/>
    <w:rsid w:val="00007C4A"/>
    <w:rsid w:val="00007CAE"/>
    <w:rsid w:val="00010098"/>
    <w:rsid w:val="00010466"/>
    <w:rsid w:val="000104E1"/>
    <w:rsid w:val="0001067B"/>
    <w:rsid w:val="000107A5"/>
    <w:rsid w:val="00010DB5"/>
    <w:rsid w:val="00011810"/>
    <w:rsid w:val="00012DB3"/>
    <w:rsid w:val="00013063"/>
    <w:rsid w:val="00013615"/>
    <w:rsid w:val="00013C26"/>
    <w:rsid w:val="00013E02"/>
    <w:rsid w:val="00013EC4"/>
    <w:rsid w:val="00014013"/>
    <w:rsid w:val="00014595"/>
    <w:rsid w:val="000148A2"/>
    <w:rsid w:val="0001495C"/>
    <w:rsid w:val="000150BD"/>
    <w:rsid w:val="000151C6"/>
    <w:rsid w:val="000152A8"/>
    <w:rsid w:val="0001539B"/>
    <w:rsid w:val="0001540B"/>
    <w:rsid w:val="000155C2"/>
    <w:rsid w:val="00015C11"/>
    <w:rsid w:val="00016B27"/>
    <w:rsid w:val="00016B62"/>
    <w:rsid w:val="00016F5C"/>
    <w:rsid w:val="0001706A"/>
    <w:rsid w:val="000170A9"/>
    <w:rsid w:val="00017F4B"/>
    <w:rsid w:val="000203FE"/>
    <w:rsid w:val="00020AE9"/>
    <w:rsid w:val="00020F82"/>
    <w:rsid w:val="00021148"/>
    <w:rsid w:val="00021342"/>
    <w:rsid w:val="00021A58"/>
    <w:rsid w:val="000223BC"/>
    <w:rsid w:val="0002287B"/>
    <w:rsid w:val="0002326F"/>
    <w:rsid w:val="000232F7"/>
    <w:rsid w:val="0002353C"/>
    <w:rsid w:val="00023675"/>
    <w:rsid w:val="00023933"/>
    <w:rsid w:val="00024457"/>
    <w:rsid w:val="000247CD"/>
    <w:rsid w:val="0002571A"/>
    <w:rsid w:val="00025A21"/>
    <w:rsid w:val="00025C0C"/>
    <w:rsid w:val="00025C7D"/>
    <w:rsid w:val="000260FB"/>
    <w:rsid w:val="000262BF"/>
    <w:rsid w:val="000263A9"/>
    <w:rsid w:val="000264FE"/>
    <w:rsid w:val="00027837"/>
    <w:rsid w:val="00027A49"/>
    <w:rsid w:val="0003004D"/>
    <w:rsid w:val="00030283"/>
    <w:rsid w:val="000302C0"/>
    <w:rsid w:val="00030B1A"/>
    <w:rsid w:val="00030C95"/>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4EA7"/>
    <w:rsid w:val="000353CD"/>
    <w:rsid w:val="000359B5"/>
    <w:rsid w:val="00035DEC"/>
    <w:rsid w:val="0003632B"/>
    <w:rsid w:val="0003635B"/>
    <w:rsid w:val="000363FD"/>
    <w:rsid w:val="00036F1E"/>
    <w:rsid w:val="000400F3"/>
    <w:rsid w:val="00040808"/>
    <w:rsid w:val="00040A0A"/>
    <w:rsid w:val="00041150"/>
    <w:rsid w:val="00041167"/>
    <w:rsid w:val="000411C9"/>
    <w:rsid w:val="00041BC1"/>
    <w:rsid w:val="00041D8F"/>
    <w:rsid w:val="0004209B"/>
    <w:rsid w:val="00042364"/>
    <w:rsid w:val="0004266C"/>
    <w:rsid w:val="00042911"/>
    <w:rsid w:val="00042AFC"/>
    <w:rsid w:val="0004374F"/>
    <w:rsid w:val="000439A7"/>
    <w:rsid w:val="00043AEF"/>
    <w:rsid w:val="00043C20"/>
    <w:rsid w:val="00044136"/>
    <w:rsid w:val="000442CE"/>
    <w:rsid w:val="00044360"/>
    <w:rsid w:val="00044ABB"/>
    <w:rsid w:val="00044F75"/>
    <w:rsid w:val="0004539B"/>
    <w:rsid w:val="00045C62"/>
    <w:rsid w:val="00045C63"/>
    <w:rsid w:val="00045DCF"/>
    <w:rsid w:val="00045FCB"/>
    <w:rsid w:val="000460C4"/>
    <w:rsid w:val="0004636C"/>
    <w:rsid w:val="0004675A"/>
    <w:rsid w:val="00047466"/>
    <w:rsid w:val="0004797F"/>
    <w:rsid w:val="00047AFA"/>
    <w:rsid w:val="00050A3E"/>
    <w:rsid w:val="00050CA0"/>
    <w:rsid w:val="00050E71"/>
    <w:rsid w:val="00050EC2"/>
    <w:rsid w:val="00051050"/>
    <w:rsid w:val="0005134F"/>
    <w:rsid w:val="0005135E"/>
    <w:rsid w:val="000519A7"/>
    <w:rsid w:val="00051B2B"/>
    <w:rsid w:val="00051C12"/>
    <w:rsid w:val="000527C6"/>
    <w:rsid w:val="00052B55"/>
    <w:rsid w:val="00052F9D"/>
    <w:rsid w:val="00053041"/>
    <w:rsid w:val="00053778"/>
    <w:rsid w:val="00054130"/>
    <w:rsid w:val="0005420C"/>
    <w:rsid w:val="00054354"/>
    <w:rsid w:val="00054863"/>
    <w:rsid w:val="00054E45"/>
    <w:rsid w:val="00055411"/>
    <w:rsid w:val="00055A2C"/>
    <w:rsid w:val="00055FB1"/>
    <w:rsid w:val="00056023"/>
    <w:rsid w:val="000563B8"/>
    <w:rsid w:val="00056B50"/>
    <w:rsid w:val="00056F8F"/>
    <w:rsid w:val="000570EE"/>
    <w:rsid w:val="00057183"/>
    <w:rsid w:val="0005739B"/>
    <w:rsid w:val="00057514"/>
    <w:rsid w:val="000601CB"/>
    <w:rsid w:val="0006047E"/>
    <w:rsid w:val="0006071E"/>
    <w:rsid w:val="00060962"/>
    <w:rsid w:val="00060A10"/>
    <w:rsid w:val="00060D51"/>
    <w:rsid w:val="00061160"/>
    <w:rsid w:val="00061169"/>
    <w:rsid w:val="00061561"/>
    <w:rsid w:val="00061758"/>
    <w:rsid w:val="000619AB"/>
    <w:rsid w:val="00062A8C"/>
    <w:rsid w:val="00062AE2"/>
    <w:rsid w:val="00062EC8"/>
    <w:rsid w:val="0006314A"/>
    <w:rsid w:val="00063601"/>
    <w:rsid w:val="00063833"/>
    <w:rsid w:val="00063FDB"/>
    <w:rsid w:val="00064173"/>
    <w:rsid w:val="000641E1"/>
    <w:rsid w:val="00064582"/>
    <w:rsid w:val="0006488A"/>
    <w:rsid w:val="00064B40"/>
    <w:rsid w:val="00064D83"/>
    <w:rsid w:val="00064FE5"/>
    <w:rsid w:val="000657C5"/>
    <w:rsid w:val="00065D8F"/>
    <w:rsid w:val="00065E78"/>
    <w:rsid w:val="00066448"/>
    <w:rsid w:val="000701BA"/>
    <w:rsid w:val="000705E6"/>
    <w:rsid w:val="000708AE"/>
    <w:rsid w:val="00070FC0"/>
    <w:rsid w:val="0007108A"/>
    <w:rsid w:val="00071336"/>
    <w:rsid w:val="00071BC7"/>
    <w:rsid w:val="00071DAB"/>
    <w:rsid w:val="000722F8"/>
    <w:rsid w:val="000724BD"/>
    <w:rsid w:val="0007265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AFF"/>
    <w:rsid w:val="00077330"/>
    <w:rsid w:val="000775AE"/>
    <w:rsid w:val="0007792C"/>
    <w:rsid w:val="00077AB8"/>
    <w:rsid w:val="00077B4B"/>
    <w:rsid w:val="00077B7D"/>
    <w:rsid w:val="00077DF1"/>
    <w:rsid w:val="00077E42"/>
    <w:rsid w:val="00077F0F"/>
    <w:rsid w:val="00077F67"/>
    <w:rsid w:val="00080157"/>
    <w:rsid w:val="0008074F"/>
    <w:rsid w:val="000813E9"/>
    <w:rsid w:val="00081E4F"/>
    <w:rsid w:val="00081F74"/>
    <w:rsid w:val="00082852"/>
    <w:rsid w:val="00082D93"/>
    <w:rsid w:val="00082FB7"/>
    <w:rsid w:val="00083257"/>
    <w:rsid w:val="0008343C"/>
    <w:rsid w:val="00083AEA"/>
    <w:rsid w:val="00083BB5"/>
    <w:rsid w:val="00083C1D"/>
    <w:rsid w:val="00083C70"/>
    <w:rsid w:val="00084000"/>
    <w:rsid w:val="000843C9"/>
    <w:rsid w:val="00084419"/>
    <w:rsid w:val="0008441D"/>
    <w:rsid w:val="000844E3"/>
    <w:rsid w:val="00084943"/>
    <w:rsid w:val="0008509A"/>
    <w:rsid w:val="00085283"/>
    <w:rsid w:val="00085297"/>
    <w:rsid w:val="00085443"/>
    <w:rsid w:val="0008600E"/>
    <w:rsid w:val="000865D7"/>
    <w:rsid w:val="00086831"/>
    <w:rsid w:val="00086ABF"/>
    <w:rsid w:val="00086D58"/>
    <w:rsid w:val="00086F08"/>
    <w:rsid w:val="000874CD"/>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0F9A"/>
    <w:rsid w:val="0009105F"/>
    <w:rsid w:val="00091462"/>
    <w:rsid w:val="000923E9"/>
    <w:rsid w:val="00092A06"/>
    <w:rsid w:val="00093234"/>
    <w:rsid w:val="000935A8"/>
    <w:rsid w:val="00093655"/>
    <w:rsid w:val="00093953"/>
    <w:rsid w:val="00093CE2"/>
    <w:rsid w:val="00093FAE"/>
    <w:rsid w:val="0009407B"/>
    <w:rsid w:val="0009429B"/>
    <w:rsid w:val="000946D8"/>
    <w:rsid w:val="00094990"/>
    <w:rsid w:val="000949AA"/>
    <w:rsid w:val="00094FA5"/>
    <w:rsid w:val="000954D9"/>
    <w:rsid w:val="000958F8"/>
    <w:rsid w:val="00095DC4"/>
    <w:rsid w:val="00095DE2"/>
    <w:rsid w:val="00096035"/>
    <w:rsid w:val="0009606A"/>
    <w:rsid w:val="0009634B"/>
    <w:rsid w:val="000964A2"/>
    <w:rsid w:val="0009651A"/>
    <w:rsid w:val="0009687C"/>
    <w:rsid w:val="00097392"/>
    <w:rsid w:val="000973CF"/>
    <w:rsid w:val="00097454"/>
    <w:rsid w:val="00097E28"/>
    <w:rsid w:val="00097FFE"/>
    <w:rsid w:val="000A024C"/>
    <w:rsid w:val="000A0325"/>
    <w:rsid w:val="000A0632"/>
    <w:rsid w:val="000A10EB"/>
    <w:rsid w:val="000A15C5"/>
    <w:rsid w:val="000A1C44"/>
    <w:rsid w:val="000A1D1A"/>
    <w:rsid w:val="000A2287"/>
    <w:rsid w:val="000A263C"/>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70"/>
    <w:rsid w:val="000A700C"/>
    <w:rsid w:val="000A7800"/>
    <w:rsid w:val="000A79D1"/>
    <w:rsid w:val="000A7F66"/>
    <w:rsid w:val="000B00FB"/>
    <w:rsid w:val="000B0BFA"/>
    <w:rsid w:val="000B0E70"/>
    <w:rsid w:val="000B1216"/>
    <w:rsid w:val="000B194A"/>
    <w:rsid w:val="000B1BC1"/>
    <w:rsid w:val="000B1E8C"/>
    <w:rsid w:val="000B2B5A"/>
    <w:rsid w:val="000B2BEA"/>
    <w:rsid w:val="000B3002"/>
    <w:rsid w:val="000B3773"/>
    <w:rsid w:val="000B380C"/>
    <w:rsid w:val="000B393A"/>
    <w:rsid w:val="000B3DED"/>
    <w:rsid w:val="000B42EC"/>
    <w:rsid w:val="000B4594"/>
    <w:rsid w:val="000B45E5"/>
    <w:rsid w:val="000B48A9"/>
    <w:rsid w:val="000B4DDE"/>
    <w:rsid w:val="000B558F"/>
    <w:rsid w:val="000B572D"/>
    <w:rsid w:val="000B5AC9"/>
    <w:rsid w:val="000B5B53"/>
    <w:rsid w:val="000B5BD6"/>
    <w:rsid w:val="000B5D70"/>
    <w:rsid w:val="000B5DB0"/>
    <w:rsid w:val="000B5F09"/>
    <w:rsid w:val="000B60B3"/>
    <w:rsid w:val="000B6230"/>
    <w:rsid w:val="000B6431"/>
    <w:rsid w:val="000B697D"/>
    <w:rsid w:val="000B6FE1"/>
    <w:rsid w:val="000B71B5"/>
    <w:rsid w:val="000B7705"/>
    <w:rsid w:val="000B7709"/>
    <w:rsid w:val="000B771B"/>
    <w:rsid w:val="000C0124"/>
    <w:rsid w:val="000C0E6F"/>
    <w:rsid w:val="000C0EDB"/>
    <w:rsid w:val="000C160D"/>
    <w:rsid w:val="000C1611"/>
    <w:rsid w:val="000C189E"/>
    <w:rsid w:val="000C1CDB"/>
    <w:rsid w:val="000C1EB8"/>
    <w:rsid w:val="000C2328"/>
    <w:rsid w:val="000C26D8"/>
    <w:rsid w:val="000C2852"/>
    <w:rsid w:val="000C29B5"/>
    <w:rsid w:val="000C3490"/>
    <w:rsid w:val="000C3C31"/>
    <w:rsid w:val="000C4289"/>
    <w:rsid w:val="000C4728"/>
    <w:rsid w:val="000C4937"/>
    <w:rsid w:val="000C4C7A"/>
    <w:rsid w:val="000C55C9"/>
    <w:rsid w:val="000C613A"/>
    <w:rsid w:val="000C62FD"/>
    <w:rsid w:val="000C65CA"/>
    <w:rsid w:val="000C6608"/>
    <w:rsid w:val="000C6624"/>
    <w:rsid w:val="000C695F"/>
    <w:rsid w:val="000C7086"/>
    <w:rsid w:val="000C74FA"/>
    <w:rsid w:val="000C7A5D"/>
    <w:rsid w:val="000C7AAF"/>
    <w:rsid w:val="000C7B31"/>
    <w:rsid w:val="000C7D37"/>
    <w:rsid w:val="000C7F42"/>
    <w:rsid w:val="000C7FA2"/>
    <w:rsid w:val="000D0537"/>
    <w:rsid w:val="000D094E"/>
    <w:rsid w:val="000D099B"/>
    <w:rsid w:val="000D0AB6"/>
    <w:rsid w:val="000D0BCC"/>
    <w:rsid w:val="000D0EE6"/>
    <w:rsid w:val="000D0F31"/>
    <w:rsid w:val="000D12CC"/>
    <w:rsid w:val="000D13B1"/>
    <w:rsid w:val="000D1F94"/>
    <w:rsid w:val="000D24AB"/>
    <w:rsid w:val="000D25BF"/>
    <w:rsid w:val="000D27BB"/>
    <w:rsid w:val="000D2AE1"/>
    <w:rsid w:val="000D2D7B"/>
    <w:rsid w:val="000D2E0D"/>
    <w:rsid w:val="000D30CA"/>
    <w:rsid w:val="000D32C3"/>
    <w:rsid w:val="000D331B"/>
    <w:rsid w:val="000D36F4"/>
    <w:rsid w:val="000D3769"/>
    <w:rsid w:val="000D3852"/>
    <w:rsid w:val="000D39E6"/>
    <w:rsid w:val="000D44D5"/>
    <w:rsid w:val="000D47FA"/>
    <w:rsid w:val="000D4DED"/>
    <w:rsid w:val="000D501B"/>
    <w:rsid w:val="000D5033"/>
    <w:rsid w:val="000D512B"/>
    <w:rsid w:val="000D5E65"/>
    <w:rsid w:val="000D6865"/>
    <w:rsid w:val="000D69A6"/>
    <w:rsid w:val="000D7488"/>
    <w:rsid w:val="000D7509"/>
    <w:rsid w:val="000E0D85"/>
    <w:rsid w:val="000E11D0"/>
    <w:rsid w:val="000E12FE"/>
    <w:rsid w:val="000E17BE"/>
    <w:rsid w:val="000E17DE"/>
    <w:rsid w:val="000E1A1B"/>
    <w:rsid w:val="000E1CDC"/>
    <w:rsid w:val="000E1F75"/>
    <w:rsid w:val="000E206C"/>
    <w:rsid w:val="000E20DD"/>
    <w:rsid w:val="000E276F"/>
    <w:rsid w:val="000E2AD6"/>
    <w:rsid w:val="000E2CB1"/>
    <w:rsid w:val="000E2CF7"/>
    <w:rsid w:val="000E2DF6"/>
    <w:rsid w:val="000E325E"/>
    <w:rsid w:val="000E3283"/>
    <w:rsid w:val="000E334F"/>
    <w:rsid w:val="000E353A"/>
    <w:rsid w:val="000E35AE"/>
    <w:rsid w:val="000E363C"/>
    <w:rsid w:val="000E3BA3"/>
    <w:rsid w:val="000E3FCB"/>
    <w:rsid w:val="000E41A9"/>
    <w:rsid w:val="000E4216"/>
    <w:rsid w:val="000E426D"/>
    <w:rsid w:val="000E4364"/>
    <w:rsid w:val="000E4683"/>
    <w:rsid w:val="000E4DCC"/>
    <w:rsid w:val="000E4E92"/>
    <w:rsid w:val="000E52CC"/>
    <w:rsid w:val="000E61D2"/>
    <w:rsid w:val="000E6697"/>
    <w:rsid w:val="000E6932"/>
    <w:rsid w:val="000E6AEE"/>
    <w:rsid w:val="000E6C2F"/>
    <w:rsid w:val="000E75B2"/>
    <w:rsid w:val="000E76A0"/>
    <w:rsid w:val="000E7986"/>
    <w:rsid w:val="000F0166"/>
    <w:rsid w:val="000F03E0"/>
    <w:rsid w:val="000F05E1"/>
    <w:rsid w:val="000F0C2F"/>
    <w:rsid w:val="000F0C94"/>
    <w:rsid w:val="000F180A"/>
    <w:rsid w:val="000F22FF"/>
    <w:rsid w:val="000F265A"/>
    <w:rsid w:val="000F26E1"/>
    <w:rsid w:val="000F2755"/>
    <w:rsid w:val="000F2F49"/>
    <w:rsid w:val="000F3037"/>
    <w:rsid w:val="000F3104"/>
    <w:rsid w:val="000F327B"/>
    <w:rsid w:val="000F34A9"/>
    <w:rsid w:val="000F3716"/>
    <w:rsid w:val="000F3BDF"/>
    <w:rsid w:val="000F3DF5"/>
    <w:rsid w:val="000F48E0"/>
    <w:rsid w:val="000F494D"/>
    <w:rsid w:val="000F55D2"/>
    <w:rsid w:val="000F5774"/>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D2E"/>
    <w:rsid w:val="00102D36"/>
    <w:rsid w:val="0010300A"/>
    <w:rsid w:val="001031B3"/>
    <w:rsid w:val="001031B7"/>
    <w:rsid w:val="0010328E"/>
    <w:rsid w:val="001036A6"/>
    <w:rsid w:val="00103A87"/>
    <w:rsid w:val="00103DD6"/>
    <w:rsid w:val="00103E88"/>
    <w:rsid w:val="00103ED3"/>
    <w:rsid w:val="00103EEF"/>
    <w:rsid w:val="001048BA"/>
    <w:rsid w:val="0010497F"/>
    <w:rsid w:val="00104C98"/>
    <w:rsid w:val="00104CFF"/>
    <w:rsid w:val="00104DE5"/>
    <w:rsid w:val="0010526A"/>
    <w:rsid w:val="001055E6"/>
    <w:rsid w:val="0010563C"/>
    <w:rsid w:val="0010587D"/>
    <w:rsid w:val="00105AB1"/>
    <w:rsid w:val="00105C2B"/>
    <w:rsid w:val="00106711"/>
    <w:rsid w:val="00106CCD"/>
    <w:rsid w:val="0010721D"/>
    <w:rsid w:val="001072BE"/>
    <w:rsid w:val="00107852"/>
    <w:rsid w:val="00107FB9"/>
    <w:rsid w:val="0011056D"/>
    <w:rsid w:val="00110674"/>
    <w:rsid w:val="00110AF3"/>
    <w:rsid w:val="00110C19"/>
    <w:rsid w:val="00110C75"/>
    <w:rsid w:val="0011113C"/>
    <w:rsid w:val="00111357"/>
    <w:rsid w:val="001116E5"/>
    <w:rsid w:val="001118A8"/>
    <w:rsid w:val="00111DF5"/>
    <w:rsid w:val="00111F1F"/>
    <w:rsid w:val="0011227D"/>
    <w:rsid w:val="0011264C"/>
    <w:rsid w:val="001126A8"/>
    <w:rsid w:val="001127A4"/>
    <w:rsid w:val="001128E0"/>
    <w:rsid w:val="001128FC"/>
    <w:rsid w:val="0011390B"/>
    <w:rsid w:val="00113E3D"/>
    <w:rsid w:val="00113E4F"/>
    <w:rsid w:val="00113F61"/>
    <w:rsid w:val="001141DE"/>
    <w:rsid w:val="00114348"/>
    <w:rsid w:val="001143E9"/>
    <w:rsid w:val="0011467E"/>
    <w:rsid w:val="001146DB"/>
    <w:rsid w:val="00114B42"/>
    <w:rsid w:val="00114BD0"/>
    <w:rsid w:val="00114CA2"/>
    <w:rsid w:val="0011501F"/>
    <w:rsid w:val="00115037"/>
    <w:rsid w:val="00115723"/>
    <w:rsid w:val="001158A2"/>
    <w:rsid w:val="001158A7"/>
    <w:rsid w:val="001160A0"/>
    <w:rsid w:val="0011626C"/>
    <w:rsid w:val="0011628F"/>
    <w:rsid w:val="001168FB"/>
    <w:rsid w:val="00116C60"/>
    <w:rsid w:val="00116CBD"/>
    <w:rsid w:val="00117245"/>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629"/>
    <w:rsid w:val="00122889"/>
    <w:rsid w:val="001229B1"/>
    <w:rsid w:val="00122E0F"/>
    <w:rsid w:val="00122FBE"/>
    <w:rsid w:val="00123510"/>
    <w:rsid w:val="001235E1"/>
    <w:rsid w:val="001239DC"/>
    <w:rsid w:val="00123C45"/>
    <w:rsid w:val="00123D2C"/>
    <w:rsid w:val="00123E03"/>
    <w:rsid w:val="00124221"/>
    <w:rsid w:val="0012473C"/>
    <w:rsid w:val="00124A34"/>
    <w:rsid w:val="00124AFD"/>
    <w:rsid w:val="00124B07"/>
    <w:rsid w:val="00124BCC"/>
    <w:rsid w:val="001250FD"/>
    <w:rsid w:val="00125331"/>
    <w:rsid w:val="00125551"/>
    <w:rsid w:val="0012558D"/>
    <w:rsid w:val="00125C69"/>
    <w:rsid w:val="00126041"/>
    <w:rsid w:val="001262CA"/>
    <w:rsid w:val="001263EB"/>
    <w:rsid w:val="0012681B"/>
    <w:rsid w:val="00126933"/>
    <w:rsid w:val="00126EFE"/>
    <w:rsid w:val="00127103"/>
    <w:rsid w:val="001273CB"/>
    <w:rsid w:val="00127748"/>
    <w:rsid w:val="00127B3D"/>
    <w:rsid w:val="00127E59"/>
    <w:rsid w:val="001301D5"/>
    <w:rsid w:val="00130228"/>
    <w:rsid w:val="001302AE"/>
    <w:rsid w:val="001306FC"/>
    <w:rsid w:val="00130EAA"/>
    <w:rsid w:val="00130FC6"/>
    <w:rsid w:val="00131311"/>
    <w:rsid w:val="0013144C"/>
    <w:rsid w:val="0013154C"/>
    <w:rsid w:val="001316F1"/>
    <w:rsid w:val="00131A5E"/>
    <w:rsid w:val="0013204A"/>
    <w:rsid w:val="0013257C"/>
    <w:rsid w:val="00132875"/>
    <w:rsid w:val="001329D5"/>
    <w:rsid w:val="00132A98"/>
    <w:rsid w:val="00132BAD"/>
    <w:rsid w:val="0013334F"/>
    <w:rsid w:val="00133490"/>
    <w:rsid w:val="001344E8"/>
    <w:rsid w:val="00134B7A"/>
    <w:rsid w:val="00135CC1"/>
    <w:rsid w:val="00135EF2"/>
    <w:rsid w:val="0013608B"/>
    <w:rsid w:val="001361E1"/>
    <w:rsid w:val="00136487"/>
    <w:rsid w:val="001365E1"/>
    <w:rsid w:val="0013679B"/>
    <w:rsid w:val="0013687B"/>
    <w:rsid w:val="00136A61"/>
    <w:rsid w:val="00137151"/>
    <w:rsid w:val="001371BA"/>
    <w:rsid w:val="0013754B"/>
    <w:rsid w:val="00137C26"/>
    <w:rsid w:val="00140307"/>
    <w:rsid w:val="0014059F"/>
    <w:rsid w:val="001407A0"/>
    <w:rsid w:val="00140D45"/>
    <w:rsid w:val="00141037"/>
    <w:rsid w:val="001414A3"/>
    <w:rsid w:val="001415A6"/>
    <w:rsid w:val="001416DF"/>
    <w:rsid w:val="00142212"/>
    <w:rsid w:val="0014233F"/>
    <w:rsid w:val="00143396"/>
    <w:rsid w:val="00143B6E"/>
    <w:rsid w:val="00143CB4"/>
    <w:rsid w:val="00143D0D"/>
    <w:rsid w:val="00143DEC"/>
    <w:rsid w:val="00143E4D"/>
    <w:rsid w:val="00143E64"/>
    <w:rsid w:val="001449DF"/>
    <w:rsid w:val="00144D5C"/>
    <w:rsid w:val="00145AB1"/>
    <w:rsid w:val="00146162"/>
    <w:rsid w:val="00146202"/>
    <w:rsid w:val="0014688F"/>
    <w:rsid w:val="00146993"/>
    <w:rsid w:val="00146AFC"/>
    <w:rsid w:val="00146C5F"/>
    <w:rsid w:val="00147456"/>
    <w:rsid w:val="001474C7"/>
    <w:rsid w:val="00147963"/>
    <w:rsid w:val="00147CA9"/>
    <w:rsid w:val="00147E6E"/>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9"/>
    <w:rsid w:val="001535AA"/>
    <w:rsid w:val="001539DF"/>
    <w:rsid w:val="00153A2E"/>
    <w:rsid w:val="00153B22"/>
    <w:rsid w:val="00153CDD"/>
    <w:rsid w:val="00153CED"/>
    <w:rsid w:val="001540C2"/>
    <w:rsid w:val="00154172"/>
    <w:rsid w:val="0015437A"/>
    <w:rsid w:val="00154F12"/>
    <w:rsid w:val="001551C1"/>
    <w:rsid w:val="001556FE"/>
    <w:rsid w:val="00155915"/>
    <w:rsid w:val="00155A7D"/>
    <w:rsid w:val="00155D82"/>
    <w:rsid w:val="0015683C"/>
    <w:rsid w:val="00156D10"/>
    <w:rsid w:val="00156FAE"/>
    <w:rsid w:val="001571FF"/>
    <w:rsid w:val="0015721D"/>
    <w:rsid w:val="00157224"/>
    <w:rsid w:val="0015741E"/>
    <w:rsid w:val="001579E6"/>
    <w:rsid w:val="00157AEB"/>
    <w:rsid w:val="00157C6D"/>
    <w:rsid w:val="00157DD1"/>
    <w:rsid w:val="00157F93"/>
    <w:rsid w:val="00160378"/>
    <w:rsid w:val="001603D6"/>
    <w:rsid w:val="001610CA"/>
    <w:rsid w:val="00161891"/>
    <w:rsid w:val="00161AF9"/>
    <w:rsid w:val="0016213E"/>
    <w:rsid w:val="001621B3"/>
    <w:rsid w:val="00162248"/>
    <w:rsid w:val="001629CA"/>
    <w:rsid w:val="00162B64"/>
    <w:rsid w:val="0016305C"/>
    <w:rsid w:val="001631E3"/>
    <w:rsid w:val="0016353A"/>
    <w:rsid w:val="00163E82"/>
    <w:rsid w:val="00163FD6"/>
    <w:rsid w:val="0016412E"/>
    <w:rsid w:val="001642C0"/>
    <w:rsid w:val="001642D5"/>
    <w:rsid w:val="0016438A"/>
    <w:rsid w:val="00164505"/>
    <w:rsid w:val="00164819"/>
    <w:rsid w:val="00164C0A"/>
    <w:rsid w:val="00164F12"/>
    <w:rsid w:val="00165085"/>
    <w:rsid w:val="00165A48"/>
    <w:rsid w:val="00166260"/>
    <w:rsid w:val="0016681E"/>
    <w:rsid w:val="00166E5F"/>
    <w:rsid w:val="00167122"/>
    <w:rsid w:val="00167243"/>
    <w:rsid w:val="001674C0"/>
    <w:rsid w:val="0016750F"/>
    <w:rsid w:val="00167F39"/>
    <w:rsid w:val="001702DD"/>
    <w:rsid w:val="00170494"/>
    <w:rsid w:val="00170BDE"/>
    <w:rsid w:val="00170CD5"/>
    <w:rsid w:val="001711CC"/>
    <w:rsid w:val="0017137C"/>
    <w:rsid w:val="00171503"/>
    <w:rsid w:val="001718D9"/>
    <w:rsid w:val="00171AD6"/>
    <w:rsid w:val="00171D81"/>
    <w:rsid w:val="00171E34"/>
    <w:rsid w:val="00171E82"/>
    <w:rsid w:val="00171F50"/>
    <w:rsid w:val="00171F58"/>
    <w:rsid w:val="001721EC"/>
    <w:rsid w:val="00172414"/>
    <w:rsid w:val="00172746"/>
    <w:rsid w:val="00172979"/>
    <w:rsid w:val="00172F16"/>
    <w:rsid w:val="00173397"/>
    <w:rsid w:val="00173A1D"/>
    <w:rsid w:val="00173DD1"/>
    <w:rsid w:val="00174312"/>
    <w:rsid w:val="001749C7"/>
    <w:rsid w:val="00175220"/>
    <w:rsid w:val="0017535F"/>
    <w:rsid w:val="001753C3"/>
    <w:rsid w:val="001758E1"/>
    <w:rsid w:val="00175A7E"/>
    <w:rsid w:val="00175E8E"/>
    <w:rsid w:val="00176100"/>
    <w:rsid w:val="00176402"/>
    <w:rsid w:val="00176469"/>
    <w:rsid w:val="001767F3"/>
    <w:rsid w:val="00176843"/>
    <w:rsid w:val="001768DB"/>
    <w:rsid w:val="00176B30"/>
    <w:rsid w:val="00176E12"/>
    <w:rsid w:val="00177780"/>
    <w:rsid w:val="00177B46"/>
    <w:rsid w:val="00177DB2"/>
    <w:rsid w:val="0018002C"/>
    <w:rsid w:val="00180EA4"/>
    <w:rsid w:val="00181451"/>
    <w:rsid w:val="0018168C"/>
    <w:rsid w:val="00181F73"/>
    <w:rsid w:val="00181F94"/>
    <w:rsid w:val="00182253"/>
    <w:rsid w:val="001826B1"/>
    <w:rsid w:val="00182804"/>
    <w:rsid w:val="00182860"/>
    <w:rsid w:val="00182930"/>
    <w:rsid w:val="00182946"/>
    <w:rsid w:val="00182E44"/>
    <w:rsid w:val="0018328F"/>
    <w:rsid w:val="00183325"/>
    <w:rsid w:val="00183754"/>
    <w:rsid w:val="00183B36"/>
    <w:rsid w:val="00183B89"/>
    <w:rsid w:val="001840AD"/>
    <w:rsid w:val="00184268"/>
    <w:rsid w:val="00184384"/>
    <w:rsid w:val="001843EA"/>
    <w:rsid w:val="00184BCB"/>
    <w:rsid w:val="00184F7D"/>
    <w:rsid w:val="001852A9"/>
    <w:rsid w:val="00185455"/>
    <w:rsid w:val="00185950"/>
    <w:rsid w:val="00185DF2"/>
    <w:rsid w:val="001869FA"/>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0D2"/>
    <w:rsid w:val="001931C4"/>
    <w:rsid w:val="00193652"/>
    <w:rsid w:val="001937A3"/>
    <w:rsid w:val="00193993"/>
    <w:rsid w:val="001939B9"/>
    <w:rsid w:val="00194569"/>
    <w:rsid w:val="001946DE"/>
    <w:rsid w:val="00194AAF"/>
    <w:rsid w:val="001957C6"/>
    <w:rsid w:val="001957C8"/>
    <w:rsid w:val="00195920"/>
    <w:rsid w:val="001959D7"/>
    <w:rsid w:val="00195F15"/>
    <w:rsid w:val="00196B97"/>
    <w:rsid w:val="00196EE5"/>
    <w:rsid w:val="00197000"/>
    <w:rsid w:val="0019721F"/>
    <w:rsid w:val="00197FE9"/>
    <w:rsid w:val="001A0DD9"/>
    <w:rsid w:val="001A1538"/>
    <w:rsid w:val="001A1942"/>
    <w:rsid w:val="001A1BEE"/>
    <w:rsid w:val="001A23D2"/>
    <w:rsid w:val="001A2665"/>
    <w:rsid w:val="001A2F8B"/>
    <w:rsid w:val="001A3250"/>
    <w:rsid w:val="001A332C"/>
    <w:rsid w:val="001A3504"/>
    <w:rsid w:val="001A3F9A"/>
    <w:rsid w:val="001A4082"/>
    <w:rsid w:val="001A41AC"/>
    <w:rsid w:val="001A45EE"/>
    <w:rsid w:val="001A52B2"/>
    <w:rsid w:val="001A5C66"/>
    <w:rsid w:val="001A5D20"/>
    <w:rsid w:val="001A5ECF"/>
    <w:rsid w:val="001A604A"/>
    <w:rsid w:val="001A6777"/>
    <w:rsid w:val="001A73A4"/>
    <w:rsid w:val="001A7480"/>
    <w:rsid w:val="001A77F6"/>
    <w:rsid w:val="001B08DC"/>
    <w:rsid w:val="001B09CA"/>
    <w:rsid w:val="001B0AC9"/>
    <w:rsid w:val="001B0F84"/>
    <w:rsid w:val="001B1497"/>
    <w:rsid w:val="001B15F6"/>
    <w:rsid w:val="001B1C4A"/>
    <w:rsid w:val="001B1D26"/>
    <w:rsid w:val="001B22E6"/>
    <w:rsid w:val="001B26A4"/>
    <w:rsid w:val="001B26CD"/>
    <w:rsid w:val="001B28D2"/>
    <w:rsid w:val="001B2F11"/>
    <w:rsid w:val="001B3038"/>
    <w:rsid w:val="001B332A"/>
    <w:rsid w:val="001B3436"/>
    <w:rsid w:val="001B36E3"/>
    <w:rsid w:val="001B3D0C"/>
    <w:rsid w:val="001B4C5E"/>
    <w:rsid w:val="001B5156"/>
    <w:rsid w:val="001B523A"/>
    <w:rsid w:val="001B54C5"/>
    <w:rsid w:val="001B5658"/>
    <w:rsid w:val="001B59A5"/>
    <w:rsid w:val="001B5D42"/>
    <w:rsid w:val="001B5E36"/>
    <w:rsid w:val="001B60FB"/>
    <w:rsid w:val="001B6109"/>
    <w:rsid w:val="001B667E"/>
    <w:rsid w:val="001B6A1E"/>
    <w:rsid w:val="001B7012"/>
    <w:rsid w:val="001B7AEB"/>
    <w:rsid w:val="001C08EB"/>
    <w:rsid w:val="001C0F3C"/>
    <w:rsid w:val="001C10C6"/>
    <w:rsid w:val="001C11DD"/>
    <w:rsid w:val="001C1419"/>
    <w:rsid w:val="001C1747"/>
    <w:rsid w:val="001C181C"/>
    <w:rsid w:val="001C1BD5"/>
    <w:rsid w:val="001C2A4B"/>
    <w:rsid w:val="001C2C4F"/>
    <w:rsid w:val="001C2C99"/>
    <w:rsid w:val="001C2F1F"/>
    <w:rsid w:val="001C3642"/>
    <w:rsid w:val="001C3851"/>
    <w:rsid w:val="001C4757"/>
    <w:rsid w:val="001C47A1"/>
    <w:rsid w:val="001C4863"/>
    <w:rsid w:val="001C5898"/>
    <w:rsid w:val="001C59EF"/>
    <w:rsid w:val="001C5E87"/>
    <w:rsid w:val="001C6080"/>
    <w:rsid w:val="001C69E1"/>
    <w:rsid w:val="001C6D0F"/>
    <w:rsid w:val="001C7217"/>
    <w:rsid w:val="001C795F"/>
    <w:rsid w:val="001D01DA"/>
    <w:rsid w:val="001D01E0"/>
    <w:rsid w:val="001D04B3"/>
    <w:rsid w:val="001D0797"/>
    <w:rsid w:val="001D07EF"/>
    <w:rsid w:val="001D0D8E"/>
    <w:rsid w:val="001D10FB"/>
    <w:rsid w:val="001D11D4"/>
    <w:rsid w:val="001D1545"/>
    <w:rsid w:val="001D176C"/>
    <w:rsid w:val="001D1D8A"/>
    <w:rsid w:val="001D1E1B"/>
    <w:rsid w:val="001D22F7"/>
    <w:rsid w:val="001D29F0"/>
    <w:rsid w:val="001D2F1E"/>
    <w:rsid w:val="001D347D"/>
    <w:rsid w:val="001D370C"/>
    <w:rsid w:val="001D3789"/>
    <w:rsid w:val="001D3841"/>
    <w:rsid w:val="001D3A14"/>
    <w:rsid w:val="001D3DEB"/>
    <w:rsid w:val="001D3EBA"/>
    <w:rsid w:val="001D45B7"/>
    <w:rsid w:val="001D469F"/>
    <w:rsid w:val="001D4F2A"/>
    <w:rsid w:val="001D52E5"/>
    <w:rsid w:val="001D5BBA"/>
    <w:rsid w:val="001D6366"/>
    <w:rsid w:val="001D6B91"/>
    <w:rsid w:val="001D6FE4"/>
    <w:rsid w:val="001D735C"/>
    <w:rsid w:val="001D7B51"/>
    <w:rsid w:val="001E0457"/>
    <w:rsid w:val="001E056A"/>
    <w:rsid w:val="001E0757"/>
    <w:rsid w:val="001E13FB"/>
    <w:rsid w:val="001E1D3A"/>
    <w:rsid w:val="001E26A9"/>
    <w:rsid w:val="001E2A0B"/>
    <w:rsid w:val="001E2CCD"/>
    <w:rsid w:val="001E2F7A"/>
    <w:rsid w:val="001E32C6"/>
    <w:rsid w:val="001E3B25"/>
    <w:rsid w:val="001E4055"/>
    <w:rsid w:val="001E4547"/>
    <w:rsid w:val="001E4FCD"/>
    <w:rsid w:val="001E5619"/>
    <w:rsid w:val="001E5708"/>
    <w:rsid w:val="001E57FC"/>
    <w:rsid w:val="001E5911"/>
    <w:rsid w:val="001E5B87"/>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E8B"/>
    <w:rsid w:val="001E7F63"/>
    <w:rsid w:val="001F0064"/>
    <w:rsid w:val="001F02F1"/>
    <w:rsid w:val="001F0525"/>
    <w:rsid w:val="001F05AB"/>
    <w:rsid w:val="001F0996"/>
    <w:rsid w:val="001F09F2"/>
    <w:rsid w:val="001F0AE7"/>
    <w:rsid w:val="001F0D0F"/>
    <w:rsid w:val="001F0F10"/>
    <w:rsid w:val="001F1071"/>
    <w:rsid w:val="001F17DB"/>
    <w:rsid w:val="001F1B6A"/>
    <w:rsid w:val="001F278D"/>
    <w:rsid w:val="001F2F82"/>
    <w:rsid w:val="001F3870"/>
    <w:rsid w:val="001F3B44"/>
    <w:rsid w:val="001F3F4E"/>
    <w:rsid w:val="001F4664"/>
    <w:rsid w:val="001F48D2"/>
    <w:rsid w:val="001F495C"/>
    <w:rsid w:val="001F4A51"/>
    <w:rsid w:val="001F4BD7"/>
    <w:rsid w:val="001F4CC0"/>
    <w:rsid w:val="001F5566"/>
    <w:rsid w:val="001F57DC"/>
    <w:rsid w:val="001F597A"/>
    <w:rsid w:val="001F5AA1"/>
    <w:rsid w:val="001F6597"/>
    <w:rsid w:val="001F6B09"/>
    <w:rsid w:val="001F722E"/>
    <w:rsid w:val="001F72C1"/>
    <w:rsid w:val="001F75A8"/>
    <w:rsid w:val="001F76A1"/>
    <w:rsid w:val="001F79EB"/>
    <w:rsid w:val="002001B2"/>
    <w:rsid w:val="0020045A"/>
    <w:rsid w:val="00200792"/>
    <w:rsid w:val="00200C9E"/>
    <w:rsid w:val="00200D1D"/>
    <w:rsid w:val="0020130B"/>
    <w:rsid w:val="00201352"/>
    <w:rsid w:val="0020160A"/>
    <w:rsid w:val="00201AF5"/>
    <w:rsid w:val="00201B92"/>
    <w:rsid w:val="00202244"/>
    <w:rsid w:val="002025B2"/>
    <w:rsid w:val="002028B9"/>
    <w:rsid w:val="00202BB1"/>
    <w:rsid w:val="00202E63"/>
    <w:rsid w:val="00202E7C"/>
    <w:rsid w:val="002031E2"/>
    <w:rsid w:val="00203279"/>
    <w:rsid w:val="002034FF"/>
    <w:rsid w:val="002037DD"/>
    <w:rsid w:val="00203D12"/>
    <w:rsid w:val="002041AB"/>
    <w:rsid w:val="00204316"/>
    <w:rsid w:val="00204534"/>
    <w:rsid w:val="00204628"/>
    <w:rsid w:val="00204833"/>
    <w:rsid w:val="00204934"/>
    <w:rsid w:val="0020506A"/>
    <w:rsid w:val="00205325"/>
    <w:rsid w:val="0020578A"/>
    <w:rsid w:val="00205871"/>
    <w:rsid w:val="00205B0C"/>
    <w:rsid w:val="00205D5C"/>
    <w:rsid w:val="00206350"/>
    <w:rsid w:val="00210008"/>
    <w:rsid w:val="002106E1"/>
    <w:rsid w:val="00210801"/>
    <w:rsid w:val="00210A27"/>
    <w:rsid w:val="0021125D"/>
    <w:rsid w:val="002114CA"/>
    <w:rsid w:val="002116A2"/>
    <w:rsid w:val="00212A33"/>
    <w:rsid w:val="00212D7A"/>
    <w:rsid w:val="002131D3"/>
    <w:rsid w:val="00213686"/>
    <w:rsid w:val="00213F54"/>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6F7"/>
    <w:rsid w:val="00220976"/>
    <w:rsid w:val="00220BA7"/>
    <w:rsid w:val="00220DE1"/>
    <w:rsid w:val="00221732"/>
    <w:rsid w:val="00221A92"/>
    <w:rsid w:val="00221DCA"/>
    <w:rsid w:val="00221E02"/>
    <w:rsid w:val="002227B4"/>
    <w:rsid w:val="00223036"/>
    <w:rsid w:val="002237A6"/>
    <w:rsid w:val="00223AB3"/>
    <w:rsid w:val="00223F9C"/>
    <w:rsid w:val="00224546"/>
    <w:rsid w:val="00225217"/>
    <w:rsid w:val="0022528E"/>
    <w:rsid w:val="002255C6"/>
    <w:rsid w:val="002256F7"/>
    <w:rsid w:val="002261AE"/>
    <w:rsid w:val="00226410"/>
    <w:rsid w:val="002265BE"/>
    <w:rsid w:val="002266BC"/>
    <w:rsid w:val="00226776"/>
    <w:rsid w:val="00226B31"/>
    <w:rsid w:val="0022702B"/>
    <w:rsid w:val="002272ED"/>
    <w:rsid w:val="002275C2"/>
    <w:rsid w:val="002276F5"/>
    <w:rsid w:val="002277E4"/>
    <w:rsid w:val="00227C2C"/>
    <w:rsid w:val="00227DAF"/>
    <w:rsid w:val="002302F7"/>
    <w:rsid w:val="002302F9"/>
    <w:rsid w:val="0023051E"/>
    <w:rsid w:val="002307B9"/>
    <w:rsid w:val="0023091D"/>
    <w:rsid w:val="00231071"/>
    <w:rsid w:val="00231315"/>
    <w:rsid w:val="00231799"/>
    <w:rsid w:val="0023220D"/>
    <w:rsid w:val="002324A0"/>
    <w:rsid w:val="0023287D"/>
    <w:rsid w:val="002329C2"/>
    <w:rsid w:val="00232BD9"/>
    <w:rsid w:val="00232DE0"/>
    <w:rsid w:val="0023311E"/>
    <w:rsid w:val="002332F2"/>
    <w:rsid w:val="00233346"/>
    <w:rsid w:val="00233A07"/>
    <w:rsid w:val="002342B7"/>
    <w:rsid w:val="002342C5"/>
    <w:rsid w:val="00234489"/>
    <w:rsid w:val="00234644"/>
    <w:rsid w:val="002348DC"/>
    <w:rsid w:val="00234BCE"/>
    <w:rsid w:val="00235167"/>
    <w:rsid w:val="00235279"/>
    <w:rsid w:val="0023538B"/>
    <w:rsid w:val="0023539B"/>
    <w:rsid w:val="00235F3E"/>
    <w:rsid w:val="0023631B"/>
    <w:rsid w:val="00236353"/>
    <w:rsid w:val="00236684"/>
    <w:rsid w:val="002369BE"/>
    <w:rsid w:val="00236A65"/>
    <w:rsid w:val="00236B13"/>
    <w:rsid w:val="00236B7D"/>
    <w:rsid w:val="00236D03"/>
    <w:rsid w:val="002373B2"/>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294"/>
    <w:rsid w:val="002446B5"/>
    <w:rsid w:val="00244845"/>
    <w:rsid w:val="00245C45"/>
    <w:rsid w:val="00245DAE"/>
    <w:rsid w:val="0024630C"/>
    <w:rsid w:val="0024640E"/>
    <w:rsid w:val="00246749"/>
    <w:rsid w:val="00246A27"/>
    <w:rsid w:val="00246BDB"/>
    <w:rsid w:val="0024793E"/>
    <w:rsid w:val="00247FE6"/>
    <w:rsid w:val="00250035"/>
    <w:rsid w:val="002504A7"/>
    <w:rsid w:val="0025072E"/>
    <w:rsid w:val="002507D5"/>
    <w:rsid w:val="00250D86"/>
    <w:rsid w:val="00251132"/>
    <w:rsid w:val="00251351"/>
    <w:rsid w:val="00251826"/>
    <w:rsid w:val="002518AF"/>
    <w:rsid w:val="00251B6D"/>
    <w:rsid w:val="00251D32"/>
    <w:rsid w:val="00251DAB"/>
    <w:rsid w:val="002522C2"/>
    <w:rsid w:val="00252527"/>
    <w:rsid w:val="00252B5E"/>
    <w:rsid w:val="00252BA5"/>
    <w:rsid w:val="00252BC4"/>
    <w:rsid w:val="0025303C"/>
    <w:rsid w:val="002532CD"/>
    <w:rsid w:val="002537E4"/>
    <w:rsid w:val="002538F1"/>
    <w:rsid w:val="00253A56"/>
    <w:rsid w:val="00253AB7"/>
    <w:rsid w:val="0025419D"/>
    <w:rsid w:val="00254286"/>
    <w:rsid w:val="002542F6"/>
    <w:rsid w:val="00254A92"/>
    <w:rsid w:val="00254BB6"/>
    <w:rsid w:val="00254FF7"/>
    <w:rsid w:val="002552CF"/>
    <w:rsid w:val="0025532D"/>
    <w:rsid w:val="002553CC"/>
    <w:rsid w:val="002554D3"/>
    <w:rsid w:val="002558C1"/>
    <w:rsid w:val="00255ED6"/>
    <w:rsid w:val="00256335"/>
    <w:rsid w:val="0025686C"/>
    <w:rsid w:val="00256BC5"/>
    <w:rsid w:val="002571B8"/>
    <w:rsid w:val="00257805"/>
    <w:rsid w:val="00257B4D"/>
    <w:rsid w:val="00257CD1"/>
    <w:rsid w:val="00257CDE"/>
    <w:rsid w:val="00257E22"/>
    <w:rsid w:val="00257F1A"/>
    <w:rsid w:val="00260B22"/>
    <w:rsid w:val="00260DF0"/>
    <w:rsid w:val="00260EC7"/>
    <w:rsid w:val="00261371"/>
    <w:rsid w:val="00262450"/>
    <w:rsid w:val="002625B1"/>
    <w:rsid w:val="0026267C"/>
    <w:rsid w:val="002629D6"/>
    <w:rsid w:val="00262C70"/>
    <w:rsid w:val="00262FB9"/>
    <w:rsid w:val="00263472"/>
    <w:rsid w:val="002636B7"/>
    <w:rsid w:val="002639F9"/>
    <w:rsid w:val="00263CBC"/>
    <w:rsid w:val="00263F56"/>
    <w:rsid w:val="00263F5E"/>
    <w:rsid w:val="00263FA2"/>
    <w:rsid w:val="00264320"/>
    <w:rsid w:val="002643F7"/>
    <w:rsid w:val="002647C3"/>
    <w:rsid w:val="00264DF5"/>
    <w:rsid w:val="002652D6"/>
    <w:rsid w:val="0026563D"/>
    <w:rsid w:val="002657BA"/>
    <w:rsid w:val="00265AB0"/>
    <w:rsid w:val="00265D85"/>
    <w:rsid w:val="00266100"/>
    <w:rsid w:val="002661CD"/>
    <w:rsid w:val="0026623F"/>
    <w:rsid w:val="00266472"/>
    <w:rsid w:val="002665F3"/>
    <w:rsid w:val="00266A3D"/>
    <w:rsid w:val="00266A4A"/>
    <w:rsid w:val="00266CB6"/>
    <w:rsid w:val="00267437"/>
    <w:rsid w:val="0027012B"/>
    <w:rsid w:val="0027040D"/>
    <w:rsid w:val="00270A3D"/>
    <w:rsid w:val="00271675"/>
    <w:rsid w:val="00271735"/>
    <w:rsid w:val="00271AC8"/>
    <w:rsid w:val="0027215F"/>
    <w:rsid w:val="00272594"/>
    <w:rsid w:val="002728AF"/>
    <w:rsid w:val="00273A64"/>
    <w:rsid w:val="00273C8B"/>
    <w:rsid w:val="00273EC6"/>
    <w:rsid w:val="00274A86"/>
    <w:rsid w:val="00274BD0"/>
    <w:rsid w:val="00275125"/>
    <w:rsid w:val="002752EE"/>
    <w:rsid w:val="002753DC"/>
    <w:rsid w:val="002756BE"/>
    <w:rsid w:val="00275819"/>
    <w:rsid w:val="00275A30"/>
    <w:rsid w:val="00275A73"/>
    <w:rsid w:val="00275E16"/>
    <w:rsid w:val="00276074"/>
    <w:rsid w:val="002767D6"/>
    <w:rsid w:val="002768E0"/>
    <w:rsid w:val="00276A7E"/>
    <w:rsid w:val="00276D00"/>
    <w:rsid w:val="00277145"/>
    <w:rsid w:val="002800AE"/>
    <w:rsid w:val="00280108"/>
    <w:rsid w:val="002801A0"/>
    <w:rsid w:val="002804FA"/>
    <w:rsid w:val="00280A5B"/>
    <w:rsid w:val="00280BBE"/>
    <w:rsid w:val="00280C95"/>
    <w:rsid w:val="00280F23"/>
    <w:rsid w:val="00281262"/>
    <w:rsid w:val="002812AE"/>
    <w:rsid w:val="002812FE"/>
    <w:rsid w:val="00281CE6"/>
    <w:rsid w:val="00281E29"/>
    <w:rsid w:val="00281FE6"/>
    <w:rsid w:val="00282E23"/>
    <w:rsid w:val="00283192"/>
    <w:rsid w:val="00283254"/>
    <w:rsid w:val="00283A2B"/>
    <w:rsid w:val="00284571"/>
    <w:rsid w:val="0028472F"/>
    <w:rsid w:val="0028487F"/>
    <w:rsid w:val="00284B77"/>
    <w:rsid w:val="00284E7D"/>
    <w:rsid w:val="00285144"/>
    <w:rsid w:val="00285331"/>
    <w:rsid w:val="002854DE"/>
    <w:rsid w:val="0028580D"/>
    <w:rsid w:val="00285A0C"/>
    <w:rsid w:val="002862F4"/>
    <w:rsid w:val="00286525"/>
    <w:rsid w:val="00286DC0"/>
    <w:rsid w:val="002878B7"/>
    <w:rsid w:val="00287A12"/>
    <w:rsid w:val="00290523"/>
    <w:rsid w:val="00290AE9"/>
    <w:rsid w:val="00290C4F"/>
    <w:rsid w:val="00290EAA"/>
    <w:rsid w:val="002912B8"/>
    <w:rsid w:val="00291BDA"/>
    <w:rsid w:val="00291C94"/>
    <w:rsid w:val="00292500"/>
    <w:rsid w:val="00292C17"/>
    <w:rsid w:val="00292E39"/>
    <w:rsid w:val="00293449"/>
    <w:rsid w:val="00293488"/>
    <w:rsid w:val="00293661"/>
    <w:rsid w:val="00293818"/>
    <w:rsid w:val="00293EA2"/>
    <w:rsid w:val="00294062"/>
    <w:rsid w:val="0029411C"/>
    <w:rsid w:val="002945AF"/>
    <w:rsid w:val="002949F2"/>
    <w:rsid w:val="002951D3"/>
    <w:rsid w:val="002956BD"/>
    <w:rsid w:val="00295DBC"/>
    <w:rsid w:val="00295FFC"/>
    <w:rsid w:val="002966C1"/>
    <w:rsid w:val="00296918"/>
    <w:rsid w:val="00296BBA"/>
    <w:rsid w:val="0029712D"/>
    <w:rsid w:val="0029732D"/>
    <w:rsid w:val="0029772C"/>
    <w:rsid w:val="002977A9"/>
    <w:rsid w:val="00297F59"/>
    <w:rsid w:val="00297F73"/>
    <w:rsid w:val="00297FF0"/>
    <w:rsid w:val="002A014F"/>
    <w:rsid w:val="002A094E"/>
    <w:rsid w:val="002A0D0B"/>
    <w:rsid w:val="002A0DC8"/>
    <w:rsid w:val="002A0DD0"/>
    <w:rsid w:val="002A0F75"/>
    <w:rsid w:val="002A10CB"/>
    <w:rsid w:val="002A1626"/>
    <w:rsid w:val="002A1A21"/>
    <w:rsid w:val="002A1C25"/>
    <w:rsid w:val="002A1E9F"/>
    <w:rsid w:val="002A20E0"/>
    <w:rsid w:val="002A2123"/>
    <w:rsid w:val="002A216E"/>
    <w:rsid w:val="002A249C"/>
    <w:rsid w:val="002A3299"/>
    <w:rsid w:val="002A351A"/>
    <w:rsid w:val="002A380C"/>
    <w:rsid w:val="002A39E7"/>
    <w:rsid w:val="002A3CE2"/>
    <w:rsid w:val="002A40F4"/>
    <w:rsid w:val="002A452D"/>
    <w:rsid w:val="002A477D"/>
    <w:rsid w:val="002A496D"/>
    <w:rsid w:val="002A4AED"/>
    <w:rsid w:val="002A4C62"/>
    <w:rsid w:val="002A4CCB"/>
    <w:rsid w:val="002A5317"/>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FC"/>
    <w:rsid w:val="002B212D"/>
    <w:rsid w:val="002B2D32"/>
    <w:rsid w:val="002B2E2B"/>
    <w:rsid w:val="002B32EC"/>
    <w:rsid w:val="002B35E5"/>
    <w:rsid w:val="002B37BD"/>
    <w:rsid w:val="002B3C6E"/>
    <w:rsid w:val="002B4008"/>
    <w:rsid w:val="002B4081"/>
    <w:rsid w:val="002B42E0"/>
    <w:rsid w:val="002B45E0"/>
    <w:rsid w:val="002B4FE1"/>
    <w:rsid w:val="002B5548"/>
    <w:rsid w:val="002B55EC"/>
    <w:rsid w:val="002B5767"/>
    <w:rsid w:val="002B58EC"/>
    <w:rsid w:val="002B5979"/>
    <w:rsid w:val="002B5AF6"/>
    <w:rsid w:val="002B5B51"/>
    <w:rsid w:val="002B5EAB"/>
    <w:rsid w:val="002B5F3D"/>
    <w:rsid w:val="002B6248"/>
    <w:rsid w:val="002B64D4"/>
    <w:rsid w:val="002B6536"/>
    <w:rsid w:val="002B6579"/>
    <w:rsid w:val="002B6584"/>
    <w:rsid w:val="002B6A76"/>
    <w:rsid w:val="002B6A96"/>
    <w:rsid w:val="002B6B08"/>
    <w:rsid w:val="002B749B"/>
    <w:rsid w:val="002B7E65"/>
    <w:rsid w:val="002B7F95"/>
    <w:rsid w:val="002C020E"/>
    <w:rsid w:val="002C0328"/>
    <w:rsid w:val="002C0CA0"/>
    <w:rsid w:val="002C109F"/>
    <w:rsid w:val="002C11EE"/>
    <w:rsid w:val="002C1221"/>
    <w:rsid w:val="002C1826"/>
    <w:rsid w:val="002C1DCF"/>
    <w:rsid w:val="002C24E6"/>
    <w:rsid w:val="002C254E"/>
    <w:rsid w:val="002C256F"/>
    <w:rsid w:val="002C284C"/>
    <w:rsid w:val="002C30EE"/>
    <w:rsid w:val="002C329E"/>
    <w:rsid w:val="002C32F8"/>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C7F5C"/>
    <w:rsid w:val="002D06C7"/>
    <w:rsid w:val="002D0DAD"/>
    <w:rsid w:val="002D0DB5"/>
    <w:rsid w:val="002D121E"/>
    <w:rsid w:val="002D1D9B"/>
    <w:rsid w:val="002D1E26"/>
    <w:rsid w:val="002D2A78"/>
    <w:rsid w:val="002D31E4"/>
    <w:rsid w:val="002D339F"/>
    <w:rsid w:val="002D3D0C"/>
    <w:rsid w:val="002D3EFB"/>
    <w:rsid w:val="002D40B7"/>
    <w:rsid w:val="002D41DE"/>
    <w:rsid w:val="002D423B"/>
    <w:rsid w:val="002D4371"/>
    <w:rsid w:val="002D494C"/>
    <w:rsid w:val="002D55BA"/>
    <w:rsid w:val="002D5AF5"/>
    <w:rsid w:val="002D5AFD"/>
    <w:rsid w:val="002D5E88"/>
    <w:rsid w:val="002D6703"/>
    <w:rsid w:val="002D6BD9"/>
    <w:rsid w:val="002D6D54"/>
    <w:rsid w:val="002D6EAA"/>
    <w:rsid w:val="002D7265"/>
    <w:rsid w:val="002D73AD"/>
    <w:rsid w:val="002E012E"/>
    <w:rsid w:val="002E0228"/>
    <w:rsid w:val="002E07A2"/>
    <w:rsid w:val="002E08CD"/>
    <w:rsid w:val="002E0E48"/>
    <w:rsid w:val="002E133B"/>
    <w:rsid w:val="002E2283"/>
    <w:rsid w:val="002E22D0"/>
    <w:rsid w:val="002E23F5"/>
    <w:rsid w:val="002E2418"/>
    <w:rsid w:val="002E2935"/>
    <w:rsid w:val="002E29BD"/>
    <w:rsid w:val="002E30C3"/>
    <w:rsid w:val="002E3228"/>
    <w:rsid w:val="002E37B1"/>
    <w:rsid w:val="002E43E0"/>
    <w:rsid w:val="002E454F"/>
    <w:rsid w:val="002E46C2"/>
    <w:rsid w:val="002E50D4"/>
    <w:rsid w:val="002E52D3"/>
    <w:rsid w:val="002E5983"/>
    <w:rsid w:val="002E5CBD"/>
    <w:rsid w:val="002E5CBE"/>
    <w:rsid w:val="002E6029"/>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A87"/>
    <w:rsid w:val="002F7D0C"/>
    <w:rsid w:val="003002F1"/>
    <w:rsid w:val="0030059C"/>
    <w:rsid w:val="003006D5"/>
    <w:rsid w:val="00300761"/>
    <w:rsid w:val="00300893"/>
    <w:rsid w:val="003013CA"/>
    <w:rsid w:val="003013DC"/>
    <w:rsid w:val="00301814"/>
    <w:rsid w:val="00301A21"/>
    <w:rsid w:val="00301E02"/>
    <w:rsid w:val="00302139"/>
    <w:rsid w:val="003021D8"/>
    <w:rsid w:val="00302582"/>
    <w:rsid w:val="003025E8"/>
    <w:rsid w:val="003028EA"/>
    <w:rsid w:val="00302A0B"/>
    <w:rsid w:val="00302A9A"/>
    <w:rsid w:val="00302BC7"/>
    <w:rsid w:val="00302CA8"/>
    <w:rsid w:val="00302E4A"/>
    <w:rsid w:val="00302E6C"/>
    <w:rsid w:val="00303092"/>
    <w:rsid w:val="003034A0"/>
    <w:rsid w:val="00303553"/>
    <w:rsid w:val="00303592"/>
    <w:rsid w:val="003036CF"/>
    <w:rsid w:val="003036E6"/>
    <w:rsid w:val="00303965"/>
    <w:rsid w:val="003039D9"/>
    <w:rsid w:val="00303E1A"/>
    <w:rsid w:val="00304446"/>
    <w:rsid w:val="0030485C"/>
    <w:rsid w:val="00304F03"/>
    <w:rsid w:val="00304FB2"/>
    <w:rsid w:val="00305567"/>
    <w:rsid w:val="00305689"/>
    <w:rsid w:val="003057D3"/>
    <w:rsid w:val="003058B0"/>
    <w:rsid w:val="00306550"/>
    <w:rsid w:val="003067FF"/>
    <w:rsid w:val="0030684A"/>
    <w:rsid w:val="0030685B"/>
    <w:rsid w:val="0030696C"/>
    <w:rsid w:val="003073E8"/>
    <w:rsid w:val="003074FD"/>
    <w:rsid w:val="00307674"/>
    <w:rsid w:val="003076F9"/>
    <w:rsid w:val="00307DC8"/>
    <w:rsid w:val="00307FCC"/>
    <w:rsid w:val="003117AC"/>
    <w:rsid w:val="003117BE"/>
    <w:rsid w:val="003117FE"/>
    <w:rsid w:val="00312187"/>
    <w:rsid w:val="003125DF"/>
    <w:rsid w:val="0031298C"/>
    <w:rsid w:val="00312A7A"/>
    <w:rsid w:val="00312D07"/>
    <w:rsid w:val="00312E2A"/>
    <w:rsid w:val="00313735"/>
    <w:rsid w:val="00313DA5"/>
    <w:rsid w:val="00313EC4"/>
    <w:rsid w:val="00314376"/>
    <w:rsid w:val="00314C04"/>
    <w:rsid w:val="00314C3A"/>
    <w:rsid w:val="00314D45"/>
    <w:rsid w:val="003151BB"/>
    <w:rsid w:val="00315316"/>
    <w:rsid w:val="00315445"/>
    <w:rsid w:val="003155F2"/>
    <w:rsid w:val="00315645"/>
    <w:rsid w:val="00315CBF"/>
    <w:rsid w:val="0031642D"/>
    <w:rsid w:val="0031657D"/>
    <w:rsid w:val="00316628"/>
    <w:rsid w:val="00316713"/>
    <w:rsid w:val="003168C1"/>
    <w:rsid w:val="00317346"/>
    <w:rsid w:val="003200BE"/>
    <w:rsid w:val="00320451"/>
    <w:rsid w:val="00320862"/>
    <w:rsid w:val="00320998"/>
    <w:rsid w:val="00320A42"/>
    <w:rsid w:val="00321512"/>
    <w:rsid w:val="00321DB8"/>
    <w:rsid w:val="00322199"/>
    <w:rsid w:val="003225A7"/>
    <w:rsid w:val="00322B12"/>
    <w:rsid w:val="00322EB1"/>
    <w:rsid w:val="00322F6B"/>
    <w:rsid w:val="00323032"/>
    <w:rsid w:val="003231D6"/>
    <w:rsid w:val="00323369"/>
    <w:rsid w:val="00323492"/>
    <w:rsid w:val="00323DE4"/>
    <w:rsid w:val="00324961"/>
    <w:rsid w:val="0032511B"/>
    <w:rsid w:val="003255C6"/>
    <w:rsid w:val="003256DB"/>
    <w:rsid w:val="00325715"/>
    <w:rsid w:val="00325EE5"/>
    <w:rsid w:val="0032632B"/>
    <w:rsid w:val="003263A9"/>
    <w:rsid w:val="003269EA"/>
    <w:rsid w:val="00326B68"/>
    <w:rsid w:val="00326BF6"/>
    <w:rsid w:val="0032714E"/>
    <w:rsid w:val="00327181"/>
    <w:rsid w:val="00327359"/>
    <w:rsid w:val="003274AC"/>
    <w:rsid w:val="003300B2"/>
    <w:rsid w:val="00330134"/>
    <w:rsid w:val="003301C9"/>
    <w:rsid w:val="003301CF"/>
    <w:rsid w:val="003301D9"/>
    <w:rsid w:val="003306B0"/>
    <w:rsid w:val="0033132A"/>
    <w:rsid w:val="003315CD"/>
    <w:rsid w:val="003320FA"/>
    <w:rsid w:val="00332CAF"/>
    <w:rsid w:val="00332D87"/>
    <w:rsid w:val="00332DCC"/>
    <w:rsid w:val="0033319E"/>
    <w:rsid w:val="00333292"/>
    <w:rsid w:val="00333536"/>
    <w:rsid w:val="0033354E"/>
    <w:rsid w:val="003335B9"/>
    <w:rsid w:val="00333EDE"/>
    <w:rsid w:val="0033446A"/>
    <w:rsid w:val="00334E06"/>
    <w:rsid w:val="00334E6C"/>
    <w:rsid w:val="00334F5C"/>
    <w:rsid w:val="0033510A"/>
    <w:rsid w:val="003353E9"/>
    <w:rsid w:val="00335B9F"/>
    <w:rsid w:val="00335FAA"/>
    <w:rsid w:val="00335FED"/>
    <w:rsid w:val="0033603F"/>
    <w:rsid w:val="003360F4"/>
    <w:rsid w:val="00336183"/>
    <w:rsid w:val="003362F2"/>
    <w:rsid w:val="00336A59"/>
    <w:rsid w:val="00336C78"/>
    <w:rsid w:val="00336F21"/>
    <w:rsid w:val="00336F89"/>
    <w:rsid w:val="00337178"/>
    <w:rsid w:val="00337225"/>
    <w:rsid w:val="0033755D"/>
    <w:rsid w:val="00337B19"/>
    <w:rsid w:val="00340286"/>
    <w:rsid w:val="00340754"/>
    <w:rsid w:val="00340CAB"/>
    <w:rsid w:val="0034161F"/>
    <w:rsid w:val="00341811"/>
    <w:rsid w:val="0034197D"/>
    <w:rsid w:val="00341A9C"/>
    <w:rsid w:val="00341BC4"/>
    <w:rsid w:val="00341DA2"/>
    <w:rsid w:val="00341EFB"/>
    <w:rsid w:val="00341FAC"/>
    <w:rsid w:val="0034274C"/>
    <w:rsid w:val="00342976"/>
    <w:rsid w:val="00342D98"/>
    <w:rsid w:val="0034305A"/>
    <w:rsid w:val="0034358B"/>
    <w:rsid w:val="00343824"/>
    <w:rsid w:val="00343C66"/>
    <w:rsid w:val="00343E13"/>
    <w:rsid w:val="003441BC"/>
    <w:rsid w:val="00344797"/>
    <w:rsid w:val="00344AF4"/>
    <w:rsid w:val="00344BA0"/>
    <w:rsid w:val="00345482"/>
    <w:rsid w:val="0034598C"/>
    <w:rsid w:val="003460F6"/>
    <w:rsid w:val="003462E7"/>
    <w:rsid w:val="00346464"/>
    <w:rsid w:val="0034695C"/>
    <w:rsid w:val="00346B74"/>
    <w:rsid w:val="00346E8A"/>
    <w:rsid w:val="00346F7D"/>
    <w:rsid w:val="00346FF5"/>
    <w:rsid w:val="00346FFD"/>
    <w:rsid w:val="0034765D"/>
    <w:rsid w:val="003501A3"/>
    <w:rsid w:val="003501D4"/>
    <w:rsid w:val="00350314"/>
    <w:rsid w:val="00350430"/>
    <w:rsid w:val="0035060B"/>
    <w:rsid w:val="0035084D"/>
    <w:rsid w:val="003509F2"/>
    <w:rsid w:val="00350CA9"/>
    <w:rsid w:val="00350D2D"/>
    <w:rsid w:val="00350E83"/>
    <w:rsid w:val="00350FAB"/>
    <w:rsid w:val="00351577"/>
    <w:rsid w:val="003518DB"/>
    <w:rsid w:val="0035202F"/>
    <w:rsid w:val="0035212A"/>
    <w:rsid w:val="00352389"/>
    <w:rsid w:val="003525C9"/>
    <w:rsid w:val="003526AF"/>
    <w:rsid w:val="003527DF"/>
    <w:rsid w:val="00352F6C"/>
    <w:rsid w:val="00353572"/>
    <w:rsid w:val="00353E99"/>
    <w:rsid w:val="003540F3"/>
    <w:rsid w:val="00354174"/>
    <w:rsid w:val="00354389"/>
    <w:rsid w:val="003550AA"/>
    <w:rsid w:val="00355664"/>
    <w:rsid w:val="003556EB"/>
    <w:rsid w:val="0035574F"/>
    <w:rsid w:val="003557A8"/>
    <w:rsid w:val="003557AC"/>
    <w:rsid w:val="00355995"/>
    <w:rsid w:val="0035706D"/>
    <w:rsid w:val="00357082"/>
    <w:rsid w:val="003572C6"/>
    <w:rsid w:val="003576E2"/>
    <w:rsid w:val="00357777"/>
    <w:rsid w:val="003578A6"/>
    <w:rsid w:val="003578F0"/>
    <w:rsid w:val="00357AC2"/>
    <w:rsid w:val="0036009F"/>
    <w:rsid w:val="0036024B"/>
    <w:rsid w:val="003607B3"/>
    <w:rsid w:val="00360DDE"/>
    <w:rsid w:val="003610C3"/>
    <w:rsid w:val="003615A0"/>
    <w:rsid w:val="0036194C"/>
    <w:rsid w:val="00361CDF"/>
    <w:rsid w:val="00361F13"/>
    <w:rsid w:val="0036264B"/>
    <w:rsid w:val="00362735"/>
    <w:rsid w:val="00362925"/>
    <w:rsid w:val="003636A7"/>
    <w:rsid w:val="003636F5"/>
    <w:rsid w:val="00364320"/>
    <w:rsid w:val="00364389"/>
    <w:rsid w:val="00364520"/>
    <w:rsid w:val="0036502C"/>
    <w:rsid w:val="0036514F"/>
    <w:rsid w:val="003651FD"/>
    <w:rsid w:val="0036520B"/>
    <w:rsid w:val="003654DD"/>
    <w:rsid w:val="0036578C"/>
    <w:rsid w:val="00365E02"/>
    <w:rsid w:val="00366431"/>
    <w:rsid w:val="00366AB8"/>
    <w:rsid w:val="00366DEC"/>
    <w:rsid w:val="0036705C"/>
    <w:rsid w:val="00367535"/>
    <w:rsid w:val="00367B03"/>
    <w:rsid w:val="00367D6D"/>
    <w:rsid w:val="00370132"/>
    <w:rsid w:val="003708C7"/>
    <w:rsid w:val="00370C14"/>
    <w:rsid w:val="00371089"/>
    <w:rsid w:val="0037159A"/>
    <w:rsid w:val="00371CA4"/>
    <w:rsid w:val="0037242D"/>
    <w:rsid w:val="00372635"/>
    <w:rsid w:val="003728AB"/>
    <w:rsid w:val="003728FC"/>
    <w:rsid w:val="00372A36"/>
    <w:rsid w:val="00372D1F"/>
    <w:rsid w:val="0037352E"/>
    <w:rsid w:val="00373820"/>
    <w:rsid w:val="00373F22"/>
    <w:rsid w:val="00374161"/>
    <w:rsid w:val="0037467B"/>
    <w:rsid w:val="00374689"/>
    <w:rsid w:val="003749C4"/>
    <w:rsid w:val="003756FA"/>
    <w:rsid w:val="00375BCB"/>
    <w:rsid w:val="00376B13"/>
    <w:rsid w:val="00376F4A"/>
    <w:rsid w:val="003773AC"/>
    <w:rsid w:val="003773C4"/>
    <w:rsid w:val="00377656"/>
    <w:rsid w:val="00377A40"/>
    <w:rsid w:val="00377B26"/>
    <w:rsid w:val="00377F29"/>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D3"/>
    <w:rsid w:val="003835F9"/>
    <w:rsid w:val="00383C34"/>
    <w:rsid w:val="00383F7D"/>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289"/>
    <w:rsid w:val="00387367"/>
    <w:rsid w:val="00387748"/>
    <w:rsid w:val="0039006A"/>
    <w:rsid w:val="00390811"/>
    <w:rsid w:val="00390CE7"/>
    <w:rsid w:val="00391B14"/>
    <w:rsid w:val="00391B76"/>
    <w:rsid w:val="00391EDE"/>
    <w:rsid w:val="0039201C"/>
    <w:rsid w:val="0039257F"/>
    <w:rsid w:val="00392905"/>
    <w:rsid w:val="00392CA5"/>
    <w:rsid w:val="00392CF9"/>
    <w:rsid w:val="00393040"/>
    <w:rsid w:val="00393203"/>
    <w:rsid w:val="003939D6"/>
    <w:rsid w:val="00393B17"/>
    <w:rsid w:val="00394284"/>
    <w:rsid w:val="00394839"/>
    <w:rsid w:val="00395CBD"/>
    <w:rsid w:val="003961BA"/>
    <w:rsid w:val="00396226"/>
    <w:rsid w:val="00396CFF"/>
    <w:rsid w:val="00396D0A"/>
    <w:rsid w:val="00396D6A"/>
    <w:rsid w:val="00396E27"/>
    <w:rsid w:val="00396F5E"/>
    <w:rsid w:val="0039782E"/>
    <w:rsid w:val="00397D10"/>
    <w:rsid w:val="00397EAC"/>
    <w:rsid w:val="00397F26"/>
    <w:rsid w:val="00397F52"/>
    <w:rsid w:val="003A00AA"/>
    <w:rsid w:val="003A06A2"/>
    <w:rsid w:val="003A0767"/>
    <w:rsid w:val="003A0C0C"/>
    <w:rsid w:val="003A1EA2"/>
    <w:rsid w:val="003A23B6"/>
    <w:rsid w:val="003A2786"/>
    <w:rsid w:val="003A2C38"/>
    <w:rsid w:val="003A2C6A"/>
    <w:rsid w:val="003A2D52"/>
    <w:rsid w:val="003A3003"/>
    <w:rsid w:val="003A3104"/>
    <w:rsid w:val="003A3111"/>
    <w:rsid w:val="003A3408"/>
    <w:rsid w:val="003A36EB"/>
    <w:rsid w:val="003A3955"/>
    <w:rsid w:val="003A422A"/>
    <w:rsid w:val="003A4362"/>
    <w:rsid w:val="003A4979"/>
    <w:rsid w:val="003A54A2"/>
    <w:rsid w:val="003A559E"/>
    <w:rsid w:val="003A66C0"/>
    <w:rsid w:val="003A6C58"/>
    <w:rsid w:val="003A6C61"/>
    <w:rsid w:val="003A7311"/>
    <w:rsid w:val="003A745F"/>
    <w:rsid w:val="003A746B"/>
    <w:rsid w:val="003A76A2"/>
    <w:rsid w:val="003B00EE"/>
    <w:rsid w:val="003B01C0"/>
    <w:rsid w:val="003B0CC7"/>
    <w:rsid w:val="003B0D5D"/>
    <w:rsid w:val="003B1033"/>
    <w:rsid w:val="003B10EC"/>
    <w:rsid w:val="003B1291"/>
    <w:rsid w:val="003B1347"/>
    <w:rsid w:val="003B148D"/>
    <w:rsid w:val="003B1977"/>
    <w:rsid w:val="003B1C58"/>
    <w:rsid w:val="003B246F"/>
    <w:rsid w:val="003B2738"/>
    <w:rsid w:val="003B2918"/>
    <w:rsid w:val="003B2A11"/>
    <w:rsid w:val="003B2A8F"/>
    <w:rsid w:val="003B2E34"/>
    <w:rsid w:val="003B34A9"/>
    <w:rsid w:val="003B3931"/>
    <w:rsid w:val="003B3F95"/>
    <w:rsid w:val="003B42B5"/>
    <w:rsid w:val="003B4B46"/>
    <w:rsid w:val="003B4F61"/>
    <w:rsid w:val="003B60A8"/>
    <w:rsid w:val="003B61E5"/>
    <w:rsid w:val="003B63FC"/>
    <w:rsid w:val="003B669A"/>
    <w:rsid w:val="003B67FC"/>
    <w:rsid w:val="003B7984"/>
    <w:rsid w:val="003B7AC4"/>
    <w:rsid w:val="003B7B8A"/>
    <w:rsid w:val="003C00AD"/>
    <w:rsid w:val="003C02F8"/>
    <w:rsid w:val="003C057F"/>
    <w:rsid w:val="003C0A47"/>
    <w:rsid w:val="003C0A9F"/>
    <w:rsid w:val="003C13A4"/>
    <w:rsid w:val="003C14DA"/>
    <w:rsid w:val="003C1975"/>
    <w:rsid w:val="003C1C06"/>
    <w:rsid w:val="003C1CCD"/>
    <w:rsid w:val="003C1FB0"/>
    <w:rsid w:val="003C2299"/>
    <w:rsid w:val="003C2652"/>
    <w:rsid w:val="003C2951"/>
    <w:rsid w:val="003C2B0F"/>
    <w:rsid w:val="003C2C8E"/>
    <w:rsid w:val="003C2E5E"/>
    <w:rsid w:val="003C32EF"/>
    <w:rsid w:val="003C3C76"/>
    <w:rsid w:val="003C400E"/>
    <w:rsid w:val="003C40F2"/>
    <w:rsid w:val="003C4224"/>
    <w:rsid w:val="003C42FA"/>
    <w:rsid w:val="003C4435"/>
    <w:rsid w:val="003C49BF"/>
    <w:rsid w:val="003C4ABB"/>
    <w:rsid w:val="003C519C"/>
    <w:rsid w:val="003C584C"/>
    <w:rsid w:val="003C5A32"/>
    <w:rsid w:val="003C6067"/>
    <w:rsid w:val="003C6089"/>
    <w:rsid w:val="003C632F"/>
    <w:rsid w:val="003C63FD"/>
    <w:rsid w:val="003C6495"/>
    <w:rsid w:val="003C64E2"/>
    <w:rsid w:val="003C681E"/>
    <w:rsid w:val="003C68B4"/>
    <w:rsid w:val="003C69EF"/>
    <w:rsid w:val="003C6AE4"/>
    <w:rsid w:val="003C6D0A"/>
    <w:rsid w:val="003C6F0A"/>
    <w:rsid w:val="003C7F5C"/>
    <w:rsid w:val="003D07F9"/>
    <w:rsid w:val="003D0836"/>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670"/>
    <w:rsid w:val="003D36B0"/>
    <w:rsid w:val="003D3945"/>
    <w:rsid w:val="003D3AB4"/>
    <w:rsid w:val="003D3B07"/>
    <w:rsid w:val="003D3C09"/>
    <w:rsid w:val="003D4403"/>
    <w:rsid w:val="003D50BD"/>
    <w:rsid w:val="003D5398"/>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AF"/>
    <w:rsid w:val="003E082B"/>
    <w:rsid w:val="003E0B80"/>
    <w:rsid w:val="003E0C5E"/>
    <w:rsid w:val="003E0CD2"/>
    <w:rsid w:val="003E0D40"/>
    <w:rsid w:val="003E0E40"/>
    <w:rsid w:val="003E0EF8"/>
    <w:rsid w:val="003E1E71"/>
    <w:rsid w:val="003E209B"/>
    <w:rsid w:val="003E25A3"/>
    <w:rsid w:val="003E2ADF"/>
    <w:rsid w:val="003E2FA8"/>
    <w:rsid w:val="003E3029"/>
    <w:rsid w:val="003E31D4"/>
    <w:rsid w:val="003E3271"/>
    <w:rsid w:val="003E343D"/>
    <w:rsid w:val="003E357B"/>
    <w:rsid w:val="003E37A2"/>
    <w:rsid w:val="003E38F6"/>
    <w:rsid w:val="003E3D5C"/>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6F1"/>
    <w:rsid w:val="003E6CE9"/>
    <w:rsid w:val="003E73B5"/>
    <w:rsid w:val="003E75ED"/>
    <w:rsid w:val="003E768F"/>
    <w:rsid w:val="003E7C5E"/>
    <w:rsid w:val="003E7D95"/>
    <w:rsid w:val="003F02C4"/>
    <w:rsid w:val="003F0457"/>
    <w:rsid w:val="003F0746"/>
    <w:rsid w:val="003F0E64"/>
    <w:rsid w:val="003F104A"/>
    <w:rsid w:val="003F2208"/>
    <w:rsid w:val="003F22B5"/>
    <w:rsid w:val="003F2643"/>
    <w:rsid w:val="003F2F8B"/>
    <w:rsid w:val="003F41E0"/>
    <w:rsid w:val="003F45A4"/>
    <w:rsid w:val="003F505D"/>
    <w:rsid w:val="003F56B8"/>
    <w:rsid w:val="003F5D88"/>
    <w:rsid w:val="003F5DA9"/>
    <w:rsid w:val="003F6130"/>
    <w:rsid w:val="003F629D"/>
    <w:rsid w:val="003F63C9"/>
    <w:rsid w:val="003F78B7"/>
    <w:rsid w:val="003F7BB3"/>
    <w:rsid w:val="004003C1"/>
    <w:rsid w:val="00400836"/>
    <w:rsid w:val="00400B67"/>
    <w:rsid w:val="00400BDF"/>
    <w:rsid w:val="00401278"/>
    <w:rsid w:val="00401E9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706"/>
    <w:rsid w:val="00405A0B"/>
    <w:rsid w:val="00405C53"/>
    <w:rsid w:val="0040605D"/>
    <w:rsid w:val="00406883"/>
    <w:rsid w:val="00406B37"/>
    <w:rsid w:val="00406BA2"/>
    <w:rsid w:val="004071F0"/>
    <w:rsid w:val="0040728D"/>
    <w:rsid w:val="00407346"/>
    <w:rsid w:val="00407934"/>
    <w:rsid w:val="00407E75"/>
    <w:rsid w:val="00407EA2"/>
    <w:rsid w:val="004104BD"/>
    <w:rsid w:val="004105D1"/>
    <w:rsid w:val="00410C69"/>
    <w:rsid w:val="00410D24"/>
    <w:rsid w:val="004111B9"/>
    <w:rsid w:val="00411BD1"/>
    <w:rsid w:val="00411D06"/>
    <w:rsid w:val="00411DC2"/>
    <w:rsid w:val="00412182"/>
    <w:rsid w:val="004128E3"/>
    <w:rsid w:val="004129E2"/>
    <w:rsid w:val="00413557"/>
    <w:rsid w:val="0041409E"/>
    <w:rsid w:val="004141BD"/>
    <w:rsid w:val="00414361"/>
    <w:rsid w:val="00414521"/>
    <w:rsid w:val="004145B2"/>
    <w:rsid w:val="00414640"/>
    <w:rsid w:val="00414D4A"/>
    <w:rsid w:val="00414DAB"/>
    <w:rsid w:val="0041562D"/>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10D7"/>
    <w:rsid w:val="0042116F"/>
    <w:rsid w:val="0042193F"/>
    <w:rsid w:val="004219B0"/>
    <w:rsid w:val="00421EA7"/>
    <w:rsid w:val="00422545"/>
    <w:rsid w:val="004226E0"/>
    <w:rsid w:val="00422752"/>
    <w:rsid w:val="00422B0C"/>
    <w:rsid w:val="00422CD1"/>
    <w:rsid w:val="00422D28"/>
    <w:rsid w:val="004236A8"/>
    <w:rsid w:val="004239F6"/>
    <w:rsid w:val="00423C55"/>
    <w:rsid w:val="00423DF6"/>
    <w:rsid w:val="00423EC8"/>
    <w:rsid w:val="00424634"/>
    <w:rsid w:val="004250D8"/>
    <w:rsid w:val="0042541A"/>
    <w:rsid w:val="004254CB"/>
    <w:rsid w:val="004259E2"/>
    <w:rsid w:val="00425FB1"/>
    <w:rsid w:val="00426165"/>
    <w:rsid w:val="0042654B"/>
    <w:rsid w:val="004269CA"/>
    <w:rsid w:val="00426AC4"/>
    <w:rsid w:val="00426D1C"/>
    <w:rsid w:val="00426DD9"/>
    <w:rsid w:val="00426E70"/>
    <w:rsid w:val="00427150"/>
    <w:rsid w:val="00427509"/>
    <w:rsid w:val="00427A4A"/>
    <w:rsid w:val="004300C8"/>
    <w:rsid w:val="0043026B"/>
    <w:rsid w:val="00430650"/>
    <w:rsid w:val="00430A90"/>
    <w:rsid w:val="00431612"/>
    <w:rsid w:val="004318E7"/>
    <w:rsid w:val="00431A3B"/>
    <w:rsid w:val="00431A61"/>
    <w:rsid w:val="00431DC9"/>
    <w:rsid w:val="0043223A"/>
    <w:rsid w:val="004323C6"/>
    <w:rsid w:val="0043258F"/>
    <w:rsid w:val="00432602"/>
    <w:rsid w:val="00432816"/>
    <w:rsid w:val="00432DEA"/>
    <w:rsid w:val="0043338F"/>
    <w:rsid w:val="004333F8"/>
    <w:rsid w:val="004337E4"/>
    <w:rsid w:val="004337F0"/>
    <w:rsid w:val="0043399D"/>
    <w:rsid w:val="00433FD9"/>
    <w:rsid w:val="0043453E"/>
    <w:rsid w:val="004345D5"/>
    <w:rsid w:val="00434B7B"/>
    <w:rsid w:val="00434B8B"/>
    <w:rsid w:val="00434DE1"/>
    <w:rsid w:val="00434FB7"/>
    <w:rsid w:val="00435553"/>
    <w:rsid w:val="00435873"/>
    <w:rsid w:val="00435C78"/>
    <w:rsid w:val="00435CA9"/>
    <w:rsid w:val="00436400"/>
    <w:rsid w:val="0043738D"/>
    <w:rsid w:val="004378B3"/>
    <w:rsid w:val="00437957"/>
    <w:rsid w:val="00437958"/>
    <w:rsid w:val="00440786"/>
    <w:rsid w:val="004407B2"/>
    <w:rsid w:val="004408BD"/>
    <w:rsid w:val="00440D49"/>
    <w:rsid w:val="00441125"/>
    <w:rsid w:val="00441A8C"/>
    <w:rsid w:val="00441BDF"/>
    <w:rsid w:val="00441C05"/>
    <w:rsid w:val="00441C82"/>
    <w:rsid w:val="00442344"/>
    <w:rsid w:val="00442483"/>
    <w:rsid w:val="004425FA"/>
    <w:rsid w:val="00443966"/>
    <w:rsid w:val="004439FD"/>
    <w:rsid w:val="00443B39"/>
    <w:rsid w:val="00443CF5"/>
    <w:rsid w:val="004442A0"/>
    <w:rsid w:val="00444997"/>
    <w:rsid w:val="004449A2"/>
    <w:rsid w:val="00445009"/>
    <w:rsid w:val="0044564D"/>
    <w:rsid w:val="00445973"/>
    <w:rsid w:val="00445A76"/>
    <w:rsid w:val="00445DF3"/>
    <w:rsid w:val="00445E0C"/>
    <w:rsid w:val="004462F0"/>
    <w:rsid w:val="0044654D"/>
    <w:rsid w:val="0044672C"/>
    <w:rsid w:val="00446834"/>
    <w:rsid w:val="00446E91"/>
    <w:rsid w:val="00446F74"/>
    <w:rsid w:val="00447176"/>
    <w:rsid w:val="004474F8"/>
    <w:rsid w:val="00447922"/>
    <w:rsid w:val="004479A4"/>
    <w:rsid w:val="004479AF"/>
    <w:rsid w:val="00450201"/>
    <w:rsid w:val="004502E7"/>
    <w:rsid w:val="0045050A"/>
    <w:rsid w:val="00450A50"/>
    <w:rsid w:val="0045101C"/>
    <w:rsid w:val="00451469"/>
    <w:rsid w:val="00451E51"/>
    <w:rsid w:val="00452085"/>
    <w:rsid w:val="00452461"/>
    <w:rsid w:val="00452C7F"/>
    <w:rsid w:val="00452CCF"/>
    <w:rsid w:val="004532D7"/>
    <w:rsid w:val="004533EA"/>
    <w:rsid w:val="0045365B"/>
    <w:rsid w:val="004537FA"/>
    <w:rsid w:val="00453BEE"/>
    <w:rsid w:val="00454A42"/>
    <w:rsid w:val="00454FBF"/>
    <w:rsid w:val="00456344"/>
    <w:rsid w:val="0045671B"/>
    <w:rsid w:val="00456969"/>
    <w:rsid w:val="00456CB8"/>
    <w:rsid w:val="00456E50"/>
    <w:rsid w:val="00457612"/>
    <w:rsid w:val="00457AD3"/>
    <w:rsid w:val="00460860"/>
    <w:rsid w:val="004608DE"/>
    <w:rsid w:val="00460A20"/>
    <w:rsid w:val="00460D69"/>
    <w:rsid w:val="004610E9"/>
    <w:rsid w:val="0046111E"/>
    <w:rsid w:val="00461308"/>
    <w:rsid w:val="00461326"/>
    <w:rsid w:val="00461893"/>
    <w:rsid w:val="00461F2A"/>
    <w:rsid w:val="00461F8B"/>
    <w:rsid w:val="0046266B"/>
    <w:rsid w:val="00462B0A"/>
    <w:rsid w:val="0046340E"/>
    <w:rsid w:val="004645BE"/>
    <w:rsid w:val="00464C91"/>
    <w:rsid w:val="00464DE5"/>
    <w:rsid w:val="00464E7A"/>
    <w:rsid w:val="00464FFC"/>
    <w:rsid w:val="0046527B"/>
    <w:rsid w:val="00465D91"/>
    <w:rsid w:val="0046630C"/>
    <w:rsid w:val="00466B86"/>
    <w:rsid w:val="00466C21"/>
    <w:rsid w:val="00466D73"/>
    <w:rsid w:val="004672FB"/>
    <w:rsid w:val="00467A8C"/>
    <w:rsid w:val="00467BCD"/>
    <w:rsid w:val="00467C78"/>
    <w:rsid w:val="00467E0E"/>
    <w:rsid w:val="004700EC"/>
    <w:rsid w:val="004707A9"/>
    <w:rsid w:val="00471353"/>
    <w:rsid w:val="004713A8"/>
    <w:rsid w:val="0047153F"/>
    <w:rsid w:val="00471727"/>
    <w:rsid w:val="0047180E"/>
    <w:rsid w:val="004718F8"/>
    <w:rsid w:val="00471959"/>
    <w:rsid w:val="00471D30"/>
    <w:rsid w:val="00471FF3"/>
    <w:rsid w:val="004721D3"/>
    <w:rsid w:val="00472C38"/>
    <w:rsid w:val="00472EB7"/>
    <w:rsid w:val="00473008"/>
    <w:rsid w:val="004731B8"/>
    <w:rsid w:val="00473353"/>
    <w:rsid w:val="00473431"/>
    <w:rsid w:val="00473596"/>
    <w:rsid w:val="00473617"/>
    <w:rsid w:val="00473C92"/>
    <w:rsid w:val="00473CC9"/>
    <w:rsid w:val="00473EF9"/>
    <w:rsid w:val="00473F85"/>
    <w:rsid w:val="0047431E"/>
    <w:rsid w:val="00474381"/>
    <w:rsid w:val="00474545"/>
    <w:rsid w:val="00474858"/>
    <w:rsid w:val="00474C10"/>
    <w:rsid w:val="00474CBA"/>
    <w:rsid w:val="0047541B"/>
    <w:rsid w:val="004757C0"/>
    <w:rsid w:val="00475823"/>
    <w:rsid w:val="00475F00"/>
    <w:rsid w:val="00475FE0"/>
    <w:rsid w:val="004760FF"/>
    <w:rsid w:val="0047617F"/>
    <w:rsid w:val="00476915"/>
    <w:rsid w:val="004771A6"/>
    <w:rsid w:val="00477472"/>
    <w:rsid w:val="00477595"/>
    <w:rsid w:val="004800C2"/>
    <w:rsid w:val="0048042B"/>
    <w:rsid w:val="00480828"/>
    <w:rsid w:val="0048082C"/>
    <w:rsid w:val="004808DE"/>
    <w:rsid w:val="00480AB2"/>
    <w:rsid w:val="00481155"/>
    <w:rsid w:val="004819AA"/>
    <w:rsid w:val="00481E5E"/>
    <w:rsid w:val="00481EDD"/>
    <w:rsid w:val="004821C2"/>
    <w:rsid w:val="00482642"/>
    <w:rsid w:val="00482EFA"/>
    <w:rsid w:val="0048301E"/>
    <w:rsid w:val="004831AB"/>
    <w:rsid w:val="004832D9"/>
    <w:rsid w:val="00483B19"/>
    <w:rsid w:val="00483DE5"/>
    <w:rsid w:val="00483E29"/>
    <w:rsid w:val="00483F76"/>
    <w:rsid w:val="0048404C"/>
    <w:rsid w:val="004845B4"/>
    <w:rsid w:val="00484746"/>
    <w:rsid w:val="0048477B"/>
    <w:rsid w:val="00484ECA"/>
    <w:rsid w:val="00484ED6"/>
    <w:rsid w:val="00484F35"/>
    <w:rsid w:val="00485139"/>
    <w:rsid w:val="004852EB"/>
    <w:rsid w:val="004854D4"/>
    <w:rsid w:val="004857EA"/>
    <w:rsid w:val="0048581E"/>
    <w:rsid w:val="00485832"/>
    <w:rsid w:val="004858D1"/>
    <w:rsid w:val="004858DF"/>
    <w:rsid w:val="00485CB0"/>
    <w:rsid w:val="0048603E"/>
    <w:rsid w:val="004860AE"/>
    <w:rsid w:val="0048662D"/>
    <w:rsid w:val="00486729"/>
    <w:rsid w:val="0048692D"/>
    <w:rsid w:val="00486DBD"/>
    <w:rsid w:val="0048739B"/>
    <w:rsid w:val="0048739F"/>
    <w:rsid w:val="0049043A"/>
    <w:rsid w:val="00490589"/>
    <w:rsid w:val="004909A1"/>
    <w:rsid w:val="00490D1D"/>
    <w:rsid w:val="004913FE"/>
    <w:rsid w:val="0049176E"/>
    <w:rsid w:val="004918D7"/>
    <w:rsid w:val="004921C4"/>
    <w:rsid w:val="0049294D"/>
    <w:rsid w:val="0049385E"/>
    <w:rsid w:val="00493A1E"/>
    <w:rsid w:val="00493C80"/>
    <w:rsid w:val="00494029"/>
    <w:rsid w:val="004946BA"/>
    <w:rsid w:val="00494813"/>
    <w:rsid w:val="00495722"/>
    <w:rsid w:val="004959E1"/>
    <w:rsid w:val="00495BAC"/>
    <w:rsid w:val="004960F5"/>
    <w:rsid w:val="00496245"/>
    <w:rsid w:val="0049624D"/>
    <w:rsid w:val="004963F8"/>
    <w:rsid w:val="004966F2"/>
    <w:rsid w:val="00496BC1"/>
    <w:rsid w:val="00496DDF"/>
    <w:rsid w:val="004970DB"/>
    <w:rsid w:val="004970DC"/>
    <w:rsid w:val="00497EB1"/>
    <w:rsid w:val="004A0066"/>
    <w:rsid w:val="004A1FAE"/>
    <w:rsid w:val="004A2024"/>
    <w:rsid w:val="004A265C"/>
    <w:rsid w:val="004A2E2A"/>
    <w:rsid w:val="004A30D9"/>
    <w:rsid w:val="004A3226"/>
    <w:rsid w:val="004A3485"/>
    <w:rsid w:val="004A3B5C"/>
    <w:rsid w:val="004A3DFF"/>
    <w:rsid w:val="004A3E8A"/>
    <w:rsid w:val="004A43F5"/>
    <w:rsid w:val="004A46AC"/>
    <w:rsid w:val="004A4896"/>
    <w:rsid w:val="004A4973"/>
    <w:rsid w:val="004A49A0"/>
    <w:rsid w:val="004A4D20"/>
    <w:rsid w:val="004A50B6"/>
    <w:rsid w:val="004A518A"/>
    <w:rsid w:val="004A5E7D"/>
    <w:rsid w:val="004A64B6"/>
    <w:rsid w:val="004A6623"/>
    <w:rsid w:val="004A67AB"/>
    <w:rsid w:val="004A6802"/>
    <w:rsid w:val="004A6E46"/>
    <w:rsid w:val="004A6EE8"/>
    <w:rsid w:val="004A71EC"/>
    <w:rsid w:val="004A7E65"/>
    <w:rsid w:val="004B00CD"/>
    <w:rsid w:val="004B05FC"/>
    <w:rsid w:val="004B0AEE"/>
    <w:rsid w:val="004B0CD5"/>
    <w:rsid w:val="004B0CDF"/>
    <w:rsid w:val="004B10D9"/>
    <w:rsid w:val="004B195F"/>
    <w:rsid w:val="004B19DD"/>
    <w:rsid w:val="004B19FB"/>
    <w:rsid w:val="004B1C4D"/>
    <w:rsid w:val="004B25F6"/>
    <w:rsid w:val="004B287C"/>
    <w:rsid w:val="004B2E84"/>
    <w:rsid w:val="004B2F7B"/>
    <w:rsid w:val="004B3A33"/>
    <w:rsid w:val="004B3F63"/>
    <w:rsid w:val="004B41DF"/>
    <w:rsid w:val="004B41F5"/>
    <w:rsid w:val="004B4384"/>
    <w:rsid w:val="004B47B4"/>
    <w:rsid w:val="004B4921"/>
    <w:rsid w:val="004B4B64"/>
    <w:rsid w:val="004B4B6E"/>
    <w:rsid w:val="004B4ED7"/>
    <w:rsid w:val="004B5048"/>
    <w:rsid w:val="004B5834"/>
    <w:rsid w:val="004B596A"/>
    <w:rsid w:val="004B5BD1"/>
    <w:rsid w:val="004B5C0F"/>
    <w:rsid w:val="004B5DD7"/>
    <w:rsid w:val="004B6191"/>
    <w:rsid w:val="004B717B"/>
    <w:rsid w:val="004B723D"/>
    <w:rsid w:val="004B729C"/>
    <w:rsid w:val="004B75E0"/>
    <w:rsid w:val="004B7968"/>
    <w:rsid w:val="004C06E9"/>
    <w:rsid w:val="004C0766"/>
    <w:rsid w:val="004C098C"/>
    <w:rsid w:val="004C0EF0"/>
    <w:rsid w:val="004C13F7"/>
    <w:rsid w:val="004C1A8C"/>
    <w:rsid w:val="004C1F31"/>
    <w:rsid w:val="004C21CC"/>
    <w:rsid w:val="004C2E8C"/>
    <w:rsid w:val="004C2FAC"/>
    <w:rsid w:val="004C3F58"/>
    <w:rsid w:val="004C4383"/>
    <w:rsid w:val="004C47A3"/>
    <w:rsid w:val="004C5078"/>
    <w:rsid w:val="004C5447"/>
    <w:rsid w:val="004C572A"/>
    <w:rsid w:val="004C5AD5"/>
    <w:rsid w:val="004C5FF5"/>
    <w:rsid w:val="004C61C6"/>
    <w:rsid w:val="004C64BB"/>
    <w:rsid w:val="004C683D"/>
    <w:rsid w:val="004C6C95"/>
    <w:rsid w:val="004C6EED"/>
    <w:rsid w:val="004C704B"/>
    <w:rsid w:val="004C71B7"/>
    <w:rsid w:val="004C72AE"/>
    <w:rsid w:val="004C73F1"/>
    <w:rsid w:val="004C762D"/>
    <w:rsid w:val="004C7E06"/>
    <w:rsid w:val="004C7F19"/>
    <w:rsid w:val="004D038A"/>
    <w:rsid w:val="004D06BF"/>
    <w:rsid w:val="004D07CD"/>
    <w:rsid w:val="004D0CFF"/>
    <w:rsid w:val="004D101F"/>
    <w:rsid w:val="004D113B"/>
    <w:rsid w:val="004D13EE"/>
    <w:rsid w:val="004D1AD5"/>
    <w:rsid w:val="004D1B24"/>
    <w:rsid w:val="004D1E96"/>
    <w:rsid w:val="004D2045"/>
    <w:rsid w:val="004D2855"/>
    <w:rsid w:val="004D2A42"/>
    <w:rsid w:val="004D2BAE"/>
    <w:rsid w:val="004D3300"/>
    <w:rsid w:val="004D343D"/>
    <w:rsid w:val="004D36D2"/>
    <w:rsid w:val="004D3965"/>
    <w:rsid w:val="004D3A1C"/>
    <w:rsid w:val="004D3D4B"/>
    <w:rsid w:val="004D3E47"/>
    <w:rsid w:val="004D3F1C"/>
    <w:rsid w:val="004D435E"/>
    <w:rsid w:val="004D440D"/>
    <w:rsid w:val="004D460E"/>
    <w:rsid w:val="004D4F8B"/>
    <w:rsid w:val="004D5238"/>
    <w:rsid w:val="004D54F8"/>
    <w:rsid w:val="004D5589"/>
    <w:rsid w:val="004D56AA"/>
    <w:rsid w:val="004D5AFB"/>
    <w:rsid w:val="004D6118"/>
    <w:rsid w:val="004D6317"/>
    <w:rsid w:val="004D6498"/>
    <w:rsid w:val="004D7779"/>
    <w:rsid w:val="004D7B07"/>
    <w:rsid w:val="004D7BE9"/>
    <w:rsid w:val="004E0042"/>
    <w:rsid w:val="004E02FA"/>
    <w:rsid w:val="004E041F"/>
    <w:rsid w:val="004E0476"/>
    <w:rsid w:val="004E0AF9"/>
    <w:rsid w:val="004E0FC2"/>
    <w:rsid w:val="004E136C"/>
    <w:rsid w:val="004E138D"/>
    <w:rsid w:val="004E1694"/>
    <w:rsid w:val="004E19D1"/>
    <w:rsid w:val="004E1A86"/>
    <w:rsid w:val="004E1FF5"/>
    <w:rsid w:val="004E20E1"/>
    <w:rsid w:val="004E2853"/>
    <w:rsid w:val="004E3C01"/>
    <w:rsid w:val="004E3C71"/>
    <w:rsid w:val="004E3D35"/>
    <w:rsid w:val="004E43BE"/>
    <w:rsid w:val="004E4416"/>
    <w:rsid w:val="004E476C"/>
    <w:rsid w:val="004E47BA"/>
    <w:rsid w:val="004E47ED"/>
    <w:rsid w:val="004E4A38"/>
    <w:rsid w:val="004E4BDD"/>
    <w:rsid w:val="004E5006"/>
    <w:rsid w:val="004E53A4"/>
    <w:rsid w:val="004E5838"/>
    <w:rsid w:val="004E5B79"/>
    <w:rsid w:val="004E5BC2"/>
    <w:rsid w:val="004E5BFC"/>
    <w:rsid w:val="004E5C0A"/>
    <w:rsid w:val="004E5D24"/>
    <w:rsid w:val="004E5E3B"/>
    <w:rsid w:val="004E5E98"/>
    <w:rsid w:val="004E64F3"/>
    <w:rsid w:val="004E667F"/>
    <w:rsid w:val="004E6704"/>
    <w:rsid w:val="004E6C4A"/>
    <w:rsid w:val="004E6E35"/>
    <w:rsid w:val="004E6FE1"/>
    <w:rsid w:val="004E703B"/>
    <w:rsid w:val="004E73A8"/>
    <w:rsid w:val="004E76A4"/>
    <w:rsid w:val="004E7C47"/>
    <w:rsid w:val="004E7C85"/>
    <w:rsid w:val="004F0657"/>
    <w:rsid w:val="004F0988"/>
    <w:rsid w:val="004F0E2D"/>
    <w:rsid w:val="004F1469"/>
    <w:rsid w:val="004F1AFD"/>
    <w:rsid w:val="004F24C0"/>
    <w:rsid w:val="004F2953"/>
    <w:rsid w:val="004F2CEA"/>
    <w:rsid w:val="004F30EB"/>
    <w:rsid w:val="004F3227"/>
    <w:rsid w:val="004F3296"/>
    <w:rsid w:val="004F33A3"/>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9AF"/>
    <w:rsid w:val="005016BD"/>
    <w:rsid w:val="0050191C"/>
    <w:rsid w:val="00501E0D"/>
    <w:rsid w:val="005020E5"/>
    <w:rsid w:val="00502232"/>
    <w:rsid w:val="0050266A"/>
    <w:rsid w:val="005026E3"/>
    <w:rsid w:val="00502800"/>
    <w:rsid w:val="0050296F"/>
    <w:rsid w:val="00502C01"/>
    <w:rsid w:val="00502C21"/>
    <w:rsid w:val="00502CE5"/>
    <w:rsid w:val="00502D19"/>
    <w:rsid w:val="0050351D"/>
    <w:rsid w:val="00503B1A"/>
    <w:rsid w:val="00503E4D"/>
    <w:rsid w:val="005041A5"/>
    <w:rsid w:val="005043FD"/>
    <w:rsid w:val="0050480C"/>
    <w:rsid w:val="005048C5"/>
    <w:rsid w:val="00505206"/>
    <w:rsid w:val="005054AD"/>
    <w:rsid w:val="00505DD5"/>
    <w:rsid w:val="00505E80"/>
    <w:rsid w:val="0050635E"/>
    <w:rsid w:val="005064F7"/>
    <w:rsid w:val="005065F1"/>
    <w:rsid w:val="00506A0A"/>
    <w:rsid w:val="00506AFC"/>
    <w:rsid w:val="00506C39"/>
    <w:rsid w:val="00506DDD"/>
    <w:rsid w:val="00507C18"/>
    <w:rsid w:val="0051097A"/>
    <w:rsid w:val="00510B76"/>
    <w:rsid w:val="00510C80"/>
    <w:rsid w:val="005110F0"/>
    <w:rsid w:val="005114BC"/>
    <w:rsid w:val="005116D5"/>
    <w:rsid w:val="0051183C"/>
    <w:rsid w:val="00511CA4"/>
    <w:rsid w:val="00511F18"/>
    <w:rsid w:val="00512067"/>
    <w:rsid w:val="005121E3"/>
    <w:rsid w:val="0051229D"/>
    <w:rsid w:val="00512605"/>
    <w:rsid w:val="00512666"/>
    <w:rsid w:val="00512715"/>
    <w:rsid w:val="00512B04"/>
    <w:rsid w:val="00513A11"/>
    <w:rsid w:val="00514008"/>
    <w:rsid w:val="0051426B"/>
    <w:rsid w:val="0051448B"/>
    <w:rsid w:val="00514901"/>
    <w:rsid w:val="00514ABC"/>
    <w:rsid w:val="00514E96"/>
    <w:rsid w:val="00514EF4"/>
    <w:rsid w:val="0051505B"/>
    <w:rsid w:val="00515BB9"/>
    <w:rsid w:val="00515C6F"/>
    <w:rsid w:val="0051656F"/>
    <w:rsid w:val="005165A9"/>
    <w:rsid w:val="00516799"/>
    <w:rsid w:val="00516B05"/>
    <w:rsid w:val="00516FA8"/>
    <w:rsid w:val="005171E3"/>
    <w:rsid w:val="005173D2"/>
    <w:rsid w:val="005174D1"/>
    <w:rsid w:val="005179C9"/>
    <w:rsid w:val="00517FC4"/>
    <w:rsid w:val="00520076"/>
    <w:rsid w:val="00520B31"/>
    <w:rsid w:val="00521475"/>
    <w:rsid w:val="005220B2"/>
    <w:rsid w:val="005220F8"/>
    <w:rsid w:val="005221BC"/>
    <w:rsid w:val="0052220F"/>
    <w:rsid w:val="005228E8"/>
    <w:rsid w:val="005229F9"/>
    <w:rsid w:val="00522D29"/>
    <w:rsid w:val="00522E0B"/>
    <w:rsid w:val="00522E69"/>
    <w:rsid w:val="00522E81"/>
    <w:rsid w:val="00522F45"/>
    <w:rsid w:val="0052386F"/>
    <w:rsid w:val="00523B2D"/>
    <w:rsid w:val="005243F4"/>
    <w:rsid w:val="00524545"/>
    <w:rsid w:val="00524928"/>
    <w:rsid w:val="005249F9"/>
    <w:rsid w:val="00524A73"/>
    <w:rsid w:val="00524DAF"/>
    <w:rsid w:val="00524FA6"/>
    <w:rsid w:val="0052500E"/>
    <w:rsid w:val="0052509D"/>
    <w:rsid w:val="0052529B"/>
    <w:rsid w:val="00525395"/>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7FF"/>
    <w:rsid w:val="00531AC9"/>
    <w:rsid w:val="00531B91"/>
    <w:rsid w:val="00532390"/>
    <w:rsid w:val="0053257C"/>
    <w:rsid w:val="0053285C"/>
    <w:rsid w:val="00532936"/>
    <w:rsid w:val="0053294C"/>
    <w:rsid w:val="00532B4A"/>
    <w:rsid w:val="00532EBC"/>
    <w:rsid w:val="005333B8"/>
    <w:rsid w:val="00533A58"/>
    <w:rsid w:val="00534978"/>
    <w:rsid w:val="005349B2"/>
    <w:rsid w:val="00534A88"/>
    <w:rsid w:val="00534B3F"/>
    <w:rsid w:val="00534D4A"/>
    <w:rsid w:val="0053534C"/>
    <w:rsid w:val="005357BA"/>
    <w:rsid w:val="00536950"/>
    <w:rsid w:val="005369BF"/>
    <w:rsid w:val="00536E00"/>
    <w:rsid w:val="005371F7"/>
    <w:rsid w:val="0053730A"/>
    <w:rsid w:val="005377F2"/>
    <w:rsid w:val="005378C7"/>
    <w:rsid w:val="00537E80"/>
    <w:rsid w:val="00540263"/>
    <w:rsid w:val="005405BF"/>
    <w:rsid w:val="00540610"/>
    <w:rsid w:val="0054082A"/>
    <w:rsid w:val="00540B98"/>
    <w:rsid w:val="00540E9D"/>
    <w:rsid w:val="00541B1F"/>
    <w:rsid w:val="00541E23"/>
    <w:rsid w:val="0054244D"/>
    <w:rsid w:val="00542950"/>
    <w:rsid w:val="00542A89"/>
    <w:rsid w:val="005431B3"/>
    <w:rsid w:val="0054354F"/>
    <w:rsid w:val="00543619"/>
    <w:rsid w:val="00543624"/>
    <w:rsid w:val="00543CB5"/>
    <w:rsid w:val="00544273"/>
    <w:rsid w:val="0054431B"/>
    <w:rsid w:val="005445E9"/>
    <w:rsid w:val="00544750"/>
    <w:rsid w:val="00544DA9"/>
    <w:rsid w:val="00545091"/>
    <w:rsid w:val="00545736"/>
    <w:rsid w:val="00545CC1"/>
    <w:rsid w:val="00545E71"/>
    <w:rsid w:val="005463BF"/>
    <w:rsid w:val="0054678C"/>
    <w:rsid w:val="00546B5E"/>
    <w:rsid w:val="005472AF"/>
    <w:rsid w:val="005472FC"/>
    <w:rsid w:val="0054734B"/>
    <w:rsid w:val="005478C9"/>
    <w:rsid w:val="005478D9"/>
    <w:rsid w:val="0054793A"/>
    <w:rsid w:val="00547A0D"/>
    <w:rsid w:val="00547F55"/>
    <w:rsid w:val="0055034E"/>
    <w:rsid w:val="00550CED"/>
    <w:rsid w:val="005514B5"/>
    <w:rsid w:val="0055156F"/>
    <w:rsid w:val="00551580"/>
    <w:rsid w:val="00551649"/>
    <w:rsid w:val="00551832"/>
    <w:rsid w:val="00551FE0"/>
    <w:rsid w:val="00552016"/>
    <w:rsid w:val="00552C81"/>
    <w:rsid w:val="00552EDD"/>
    <w:rsid w:val="005533D8"/>
    <w:rsid w:val="005535E3"/>
    <w:rsid w:val="00554026"/>
    <w:rsid w:val="00554A38"/>
    <w:rsid w:val="00555051"/>
    <w:rsid w:val="0055519F"/>
    <w:rsid w:val="005551EE"/>
    <w:rsid w:val="00555A1F"/>
    <w:rsid w:val="00556047"/>
    <w:rsid w:val="005561EB"/>
    <w:rsid w:val="00556858"/>
    <w:rsid w:val="00556E36"/>
    <w:rsid w:val="00557AED"/>
    <w:rsid w:val="00557D18"/>
    <w:rsid w:val="00560485"/>
    <w:rsid w:val="00560568"/>
    <w:rsid w:val="00560595"/>
    <w:rsid w:val="00560606"/>
    <w:rsid w:val="00560701"/>
    <w:rsid w:val="00560E4B"/>
    <w:rsid w:val="005610CE"/>
    <w:rsid w:val="00561378"/>
    <w:rsid w:val="00561947"/>
    <w:rsid w:val="00561B8A"/>
    <w:rsid w:val="00561E71"/>
    <w:rsid w:val="00561E93"/>
    <w:rsid w:val="00561FCE"/>
    <w:rsid w:val="00562265"/>
    <w:rsid w:val="00562528"/>
    <w:rsid w:val="005627F2"/>
    <w:rsid w:val="00562E55"/>
    <w:rsid w:val="00563351"/>
    <w:rsid w:val="00563446"/>
    <w:rsid w:val="0056352B"/>
    <w:rsid w:val="00563577"/>
    <w:rsid w:val="00564057"/>
    <w:rsid w:val="00564559"/>
    <w:rsid w:val="00564ACF"/>
    <w:rsid w:val="00564DB8"/>
    <w:rsid w:val="00564E67"/>
    <w:rsid w:val="00565175"/>
    <w:rsid w:val="00565312"/>
    <w:rsid w:val="005654F4"/>
    <w:rsid w:val="00566293"/>
    <w:rsid w:val="00566E31"/>
    <w:rsid w:val="00566FCB"/>
    <w:rsid w:val="00567342"/>
    <w:rsid w:val="00567504"/>
    <w:rsid w:val="0056773E"/>
    <w:rsid w:val="00567871"/>
    <w:rsid w:val="00567C87"/>
    <w:rsid w:val="00567DA6"/>
    <w:rsid w:val="0057014E"/>
    <w:rsid w:val="00570A0C"/>
    <w:rsid w:val="005711BE"/>
    <w:rsid w:val="005714D6"/>
    <w:rsid w:val="005714EE"/>
    <w:rsid w:val="00571565"/>
    <w:rsid w:val="005715D5"/>
    <w:rsid w:val="00571D58"/>
    <w:rsid w:val="00571E3C"/>
    <w:rsid w:val="00572248"/>
    <w:rsid w:val="00572585"/>
    <w:rsid w:val="00572612"/>
    <w:rsid w:val="0057263C"/>
    <w:rsid w:val="00572714"/>
    <w:rsid w:val="00572AE3"/>
    <w:rsid w:val="00572C0C"/>
    <w:rsid w:val="00572C7A"/>
    <w:rsid w:val="00572CA4"/>
    <w:rsid w:val="005731F0"/>
    <w:rsid w:val="0057326B"/>
    <w:rsid w:val="005740EE"/>
    <w:rsid w:val="00574163"/>
    <w:rsid w:val="00574271"/>
    <w:rsid w:val="0057430B"/>
    <w:rsid w:val="0057439C"/>
    <w:rsid w:val="0057449A"/>
    <w:rsid w:val="00574579"/>
    <w:rsid w:val="005746D6"/>
    <w:rsid w:val="00574990"/>
    <w:rsid w:val="00574995"/>
    <w:rsid w:val="00574EA9"/>
    <w:rsid w:val="005755E2"/>
    <w:rsid w:val="00575954"/>
    <w:rsid w:val="00575A4C"/>
    <w:rsid w:val="00575AC1"/>
    <w:rsid w:val="0057611F"/>
    <w:rsid w:val="0057634F"/>
    <w:rsid w:val="0057694D"/>
    <w:rsid w:val="00576CB9"/>
    <w:rsid w:val="00577651"/>
    <w:rsid w:val="00577653"/>
    <w:rsid w:val="005777CA"/>
    <w:rsid w:val="005777E9"/>
    <w:rsid w:val="005778BA"/>
    <w:rsid w:val="005807EC"/>
    <w:rsid w:val="00580D0D"/>
    <w:rsid w:val="00581454"/>
    <w:rsid w:val="00581F99"/>
    <w:rsid w:val="0058216F"/>
    <w:rsid w:val="005821CB"/>
    <w:rsid w:val="00582269"/>
    <w:rsid w:val="00583180"/>
    <w:rsid w:val="00583231"/>
    <w:rsid w:val="00583697"/>
    <w:rsid w:val="00583744"/>
    <w:rsid w:val="00584341"/>
    <w:rsid w:val="00584FB8"/>
    <w:rsid w:val="00585561"/>
    <w:rsid w:val="005859F0"/>
    <w:rsid w:val="00585B61"/>
    <w:rsid w:val="00586FD6"/>
    <w:rsid w:val="005870BD"/>
    <w:rsid w:val="005870E7"/>
    <w:rsid w:val="0058758F"/>
    <w:rsid w:val="00587CE9"/>
    <w:rsid w:val="00587DD9"/>
    <w:rsid w:val="00587EAB"/>
    <w:rsid w:val="005902AE"/>
    <w:rsid w:val="005906DD"/>
    <w:rsid w:val="00590BB9"/>
    <w:rsid w:val="00590BBB"/>
    <w:rsid w:val="00590C87"/>
    <w:rsid w:val="00590DF3"/>
    <w:rsid w:val="00590FB6"/>
    <w:rsid w:val="00591908"/>
    <w:rsid w:val="00591F55"/>
    <w:rsid w:val="00592028"/>
    <w:rsid w:val="00592036"/>
    <w:rsid w:val="0059261F"/>
    <w:rsid w:val="0059284E"/>
    <w:rsid w:val="00592980"/>
    <w:rsid w:val="005929B7"/>
    <w:rsid w:val="00592BAD"/>
    <w:rsid w:val="00593096"/>
    <w:rsid w:val="00593208"/>
    <w:rsid w:val="0059365F"/>
    <w:rsid w:val="00593EA3"/>
    <w:rsid w:val="00594872"/>
    <w:rsid w:val="00594A0E"/>
    <w:rsid w:val="00595E09"/>
    <w:rsid w:val="005963F7"/>
    <w:rsid w:val="005969DB"/>
    <w:rsid w:val="00596E02"/>
    <w:rsid w:val="005973B0"/>
    <w:rsid w:val="005975A2"/>
    <w:rsid w:val="00597628"/>
    <w:rsid w:val="005977AF"/>
    <w:rsid w:val="005977CF"/>
    <w:rsid w:val="005A01F7"/>
    <w:rsid w:val="005A036C"/>
    <w:rsid w:val="005A074A"/>
    <w:rsid w:val="005A08D2"/>
    <w:rsid w:val="005A0AA4"/>
    <w:rsid w:val="005A0C65"/>
    <w:rsid w:val="005A0F8E"/>
    <w:rsid w:val="005A11EF"/>
    <w:rsid w:val="005A179D"/>
    <w:rsid w:val="005A1CD6"/>
    <w:rsid w:val="005A22E9"/>
    <w:rsid w:val="005A29A0"/>
    <w:rsid w:val="005A29AC"/>
    <w:rsid w:val="005A2BFC"/>
    <w:rsid w:val="005A338E"/>
    <w:rsid w:val="005A3403"/>
    <w:rsid w:val="005A3C81"/>
    <w:rsid w:val="005A3E3C"/>
    <w:rsid w:val="005A4225"/>
    <w:rsid w:val="005A4E9A"/>
    <w:rsid w:val="005A514A"/>
    <w:rsid w:val="005A5197"/>
    <w:rsid w:val="005A5C5C"/>
    <w:rsid w:val="005A6612"/>
    <w:rsid w:val="005A670B"/>
    <w:rsid w:val="005A6716"/>
    <w:rsid w:val="005A6895"/>
    <w:rsid w:val="005A6C56"/>
    <w:rsid w:val="005A75E6"/>
    <w:rsid w:val="005A7732"/>
    <w:rsid w:val="005A7A7A"/>
    <w:rsid w:val="005A7D38"/>
    <w:rsid w:val="005A7EBA"/>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031"/>
    <w:rsid w:val="005B313E"/>
    <w:rsid w:val="005B328B"/>
    <w:rsid w:val="005B35BA"/>
    <w:rsid w:val="005B3B75"/>
    <w:rsid w:val="005B3C70"/>
    <w:rsid w:val="005B3D81"/>
    <w:rsid w:val="005B441D"/>
    <w:rsid w:val="005B47A3"/>
    <w:rsid w:val="005B4D2B"/>
    <w:rsid w:val="005B5013"/>
    <w:rsid w:val="005B532B"/>
    <w:rsid w:val="005B5750"/>
    <w:rsid w:val="005B5A36"/>
    <w:rsid w:val="005B5A37"/>
    <w:rsid w:val="005B5A71"/>
    <w:rsid w:val="005B5ACF"/>
    <w:rsid w:val="005B5C3F"/>
    <w:rsid w:val="005B5CC8"/>
    <w:rsid w:val="005B5F01"/>
    <w:rsid w:val="005B5FDA"/>
    <w:rsid w:val="005B6291"/>
    <w:rsid w:val="005B6425"/>
    <w:rsid w:val="005B65F0"/>
    <w:rsid w:val="005B6827"/>
    <w:rsid w:val="005B6AB5"/>
    <w:rsid w:val="005B6F15"/>
    <w:rsid w:val="005B76F2"/>
    <w:rsid w:val="005B7A0E"/>
    <w:rsid w:val="005B7B3B"/>
    <w:rsid w:val="005B7B41"/>
    <w:rsid w:val="005C03E7"/>
    <w:rsid w:val="005C0C13"/>
    <w:rsid w:val="005C0D68"/>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930"/>
    <w:rsid w:val="005C4C5A"/>
    <w:rsid w:val="005C503F"/>
    <w:rsid w:val="005C55BE"/>
    <w:rsid w:val="005C5750"/>
    <w:rsid w:val="005C5890"/>
    <w:rsid w:val="005C5B55"/>
    <w:rsid w:val="005C5C10"/>
    <w:rsid w:val="005C5C86"/>
    <w:rsid w:val="005C5F45"/>
    <w:rsid w:val="005C5F78"/>
    <w:rsid w:val="005C66E5"/>
    <w:rsid w:val="005C68CB"/>
    <w:rsid w:val="005C69F3"/>
    <w:rsid w:val="005C6A33"/>
    <w:rsid w:val="005C6C9C"/>
    <w:rsid w:val="005C6CB3"/>
    <w:rsid w:val="005C704D"/>
    <w:rsid w:val="005C707E"/>
    <w:rsid w:val="005C70F2"/>
    <w:rsid w:val="005C7722"/>
    <w:rsid w:val="005D011C"/>
    <w:rsid w:val="005D05CB"/>
    <w:rsid w:val="005D0F0E"/>
    <w:rsid w:val="005D16E2"/>
    <w:rsid w:val="005D171F"/>
    <w:rsid w:val="005D1C07"/>
    <w:rsid w:val="005D1F62"/>
    <w:rsid w:val="005D2211"/>
    <w:rsid w:val="005D2486"/>
    <w:rsid w:val="005D2567"/>
    <w:rsid w:val="005D287C"/>
    <w:rsid w:val="005D28D1"/>
    <w:rsid w:val="005D4085"/>
    <w:rsid w:val="005D4264"/>
    <w:rsid w:val="005D4305"/>
    <w:rsid w:val="005D4B0D"/>
    <w:rsid w:val="005D4F00"/>
    <w:rsid w:val="005D5D8C"/>
    <w:rsid w:val="005D6C55"/>
    <w:rsid w:val="005D6EBE"/>
    <w:rsid w:val="005D6F26"/>
    <w:rsid w:val="005D71CA"/>
    <w:rsid w:val="005D791C"/>
    <w:rsid w:val="005D7CD4"/>
    <w:rsid w:val="005E0015"/>
    <w:rsid w:val="005E04D2"/>
    <w:rsid w:val="005E09F5"/>
    <w:rsid w:val="005E1592"/>
    <w:rsid w:val="005E15F5"/>
    <w:rsid w:val="005E1B87"/>
    <w:rsid w:val="005E1FDA"/>
    <w:rsid w:val="005E249F"/>
    <w:rsid w:val="005E299B"/>
    <w:rsid w:val="005E33C9"/>
    <w:rsid w:val="005E3769"/>
    <w:rsid w:val="005E376E"/>
    <w:rsid w:val="005E37AB"/>
    <w:rsid w:val="005E39B4"/>
    <w:rsid w:val="005E3BB9"/>
    <w:rsid w:val="005E3C01"/>
    <w:rsid w:val="005E3E37"/>
    <w:rsid w:val="005E3E56"/>
    <w:rsid w:val="005E409B"/>
    <w:rsid w:val="005E41C8"/>
    <w:rsid w:val="005E4505"/>
    <w:rsid w:val="005E454E"/>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9D2"/>
    <w:rsid w:val="005E7CB8"/>
    <w:rsid w:val="005E7EDF"/>
    <w:rsid w:val="005F0023"/>
    <w:rsid w:val="005F02F3"/>
    <w:rsid w:val="005F0821"/>
    <w:rsid w:val="005F099D"/>
    <w:rsid w:val="005F111A"/>
    <w:rsid w:val="005F1698"/>
    <w:rsid w:val="005F1773"/>
    <w:rsid w:val="005F1E02"/>
    <w:rsid w:val="005F1E5F"/>
    <w:rsid w:val="005F1F44"/>
    <w:rsid w:val="005F20C7"/>
    <w:rsid w:val="005F24ED"/>
    <w:rsid w:val="005F2B2F"/>
    <w:rsid w:val="005F2C0A"/>
    <w:rsid w:val="005F2DB8"/>
    <w:rsid w:val="005F3065"/>
    <w:rsid w:val="005F30DA"/>
    <w:rsid w:val="005F3562"/>
    <w:rsid w:val="005F36CB"/>
    <w:rsid w:val="005F37E5"/>
    <w:rsid w:val="005F3A5C"/>
    <w:rsid w:val="005F4984"/>
    <w:rsid w:val="005F4B74"/>
    <w:rsid w:val="005F4BD5"/>
    <w:rsid w:val="005F4C89"/>
    <w:rsid w:val="005F4F50"/>
    <w:rsid w:val="005F508F"/>
    <w:rsid w:val="005F5818"/>
    <w:rsid w:val="005F585A"/>
    <w:rsid w:val="005F5BF4"/>
    <w:rsid w:val="005F6058"/>
    <w:rsid w:val="005F64B0"/>
    <w:rsid w:val="005F69EA"/>
    <w:rsid w:val="005F6E07"/>
    <w:rsid w:val="005F6F05"/>
    <w:rsid w:val="005F7163"/>
    <w:rsid w:val="005F729F"/>
    <w:rsid w:val="005F7402"/>
    <w:rsid w:val="005F786C"/>
    <w:rsid w:val="005F791C"/>
    <w:rsid w:val="005F7D19"/>
    <w:rsid w:val="005F7F46"/>
    <w:rsid w:val="0060000C"/>
    <w:rsid w:val="006001C2"/>
    <w:rsid w:val="006003F3"/>
    <w:rsid w:val="0060086E"/>
    <w:rsid w:val="00601472"/>
    <w:rsid w:val="0060188E"/>
    <w:rsid w:val="00601A76"/>
    <w:rsid w:val="00601BB2"/>
    <w:rsid w:val="00601D05"/>
    <w:rsid w:val="00601D07"/>
    <w:rsid w:val="00601DF5"/>
    <w:rsid w:val="00602070"/>
    <w:rsid w:val="006022A8"/>
    <w:rsid w:val="006023A5"/>
    <w:rsid w:val="006023AA"/>
    <w:rsid w:val="00602F73"/>
    <w:rsid w:val="0060314F"/>
    <w:rsid w:val="0060326B"/>
    <w:rsid w:val="00603688"/>
    <w:rsid w:val="006039AB"/>
    <w:rsid w:val="00603AD7"/>
    <w:rsid w:val="00603D67"/>
    <w:rsid w:val="00604478"/>
    <w:rsid w:val="00604539"/>
    <w:rsid w:val="00604A77"/>
    <w:rsid w:val="00604BC9"/>
    <w:rsid w:val="00605138"/>
    <w:rsid w:val="006052B9"/>
    <w:rsid w:val="00605319"/>
    <w:rsid w:val="006054E1"/>
    <w:rsid w:val="00605564"/>
    <w:rsid w:val="0060558C"/>
    <w:rsid w:val="0060597F"/>
    <w:rsid w:val="0060685D"/>
    <w:rsid w:val="006069D8"/>
    <w:rsid w:val="00606B72"/>
    <w:rsid w:val="00606E77"/>
    <w:rsid w:val="006073D0"/>
    <w:rsid w:val="00607E59"/>
    <w:rsid w:val="00607E85"/>
    <w:rsid w:val="00610094"/>
    <w:rsid w:val="00610182"/>
    <w:rsid w:val="006103A9"/>
    <w:rsid w:val="00610487"/>
    <w:rsid w:val="0061051E"/>
    <w:rsid w:val="00610E8B"/>
    <w:rsid w:val="0061152A"/>
    <w:rsid w:val="006118F7"/>
    <w:rsid w:val="00611AA3"/>
    <w:rsid w:val="00611E8C"/>
    <w:rsid w:val="006123CA"/>
    <w:rsid w:val="006134CD"/>
    <w:rsid w:val="006134F7"/>
    <w:rsid w:val="00613C19"/>
    <w:rsid w:val="006144E0"/>
    <w:rsid w:val="006145CA"/>
    <w:rsid w:val="006146D9"/>
    <w:rsid w:val="006149DF"/>
    <w:rsid w:val="00614CED"/>
    <w:rsid w:val="00614E7A"/>
    <w:rsid w:val="00615081"/>
    <w:rsid w:val="00615298"/>
    <w:rsid w:val="00615805"/>
    <w:rsid w:val="00615AB4"/>
    <w:rsid w:val="00616060"/>
    <w:rsid w:val="00616542"/>
    <w:rsid w:val="00616A1C"/>
    <w:rsid w:val="00616F53"/>
    <w:rsid w:val="00617159"/>
    <w:rsid w:val="00617D2F"/>
    <w:rsid w:val="00617E0E"/>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21C6"/>
    <w:rsid w:val="00622891"/>
    <w:rsid w:val="0062320A"/>
    <w:rsid w:val="006238BB"/>
    <w:rsid w:val="00624545"/>
    <w:rsid w:val="00624830"/>
    <w:rsid w:val="006248E0"/>
    <w:rsid w:val="00624B00"/>
    <w:rsid w:val="00624D3B"/>
    <w:rsid w:val="00624E1F"/>
    <w:rsid w:val="006252DC"/>
    <w:rsid w:val="0062588A"/>
    <w:rsid w:val="00625BA7"/>
    <w:rsid w:val="00625EBB"/>
    <w:rsid w:val="00625ED9"/>
    <w:rsid w:val="00626059"/>
    <w:rsid w:val="0062614B"/>
    <w:rsid w:val="00626208"/>
    <w:rsid w:val="006270DA"/>
    <w:rsid w:val="00627269"/>
    <w:rsid w:val="00627659"/>
    <w:rsid w:val="00627D80"/>
    <w:rsid w:val="00627FA8"/>
    <w:rsid w:val="00630122"/>
    <w:rsid w:val="0063059B"/>
    <w:rsid w:val="006311A7"/>
    <w:rsid w:val="006316A4"/>
    <w:rsid w:val="006318F4"/>
    <w:rsid w:val="00631A8A"/>
    <w:rsid w:val="0063210E"/>
    <w:rsid w:val="006323F5"/>
    <w:rsid w:val="006324D8"/>
    <w:rsid w:val="00632580"/>
    <w:rsid w:val="0063264C"/>
    <w:rsid w:val="00632CC1"/>
    <w:rsid w:val="00632F00"/>
    <w:rsid w:val="00632F04"/>
    <w:rsid w:val="0063301E"/>
    <w:rsid w:val="00633813"/>
    <w:rsid w:val="006338C3"/>
    <w:rsid w:val="00633AF1"/>
    <w:rsid w:val="006344E5"/>
    <w:rsid w:val="00634781"/>
    <w:rsid w:val="00634933"/>
    <w:rsid w:val="0063497A"/>
    <w:rsid w:val="00634C6E"/>
    <w:rsid w:val="00634DBE"/>
    <w:rsid w:val="00635AA9"/>
    <w:rsid w:val="00635B65"/>
    <w:rsid w:val="00635F72"/>
    <w:rsid w:val="006364B2"/>
    <w:rsid w:val="006369B3"/>
    <w:rsid w:val="00636ABD"/>
    <w:rsid w:val="0063714C"/>
    <w:rsid w:val="006373C0"/>
    <w:rsid w:val="00637A6B"/>
    <w:rsid w:val="00637CEB"/>
    <w:rsid w:val="006404A2"/>
    <w:rsid w:val="00640D79"/>
    <w:rsid w:val="006413E7"/>
    <w:rsid w:val="00641421"/>
    <w:rsid w:val="00641545"/>
    <w:rsid w:val="00641A19"/>
    <w:rsid w:val="00642114"/>
    <w:rsid w:val="0064263D"/>
    <w:rsid w:val="0064307B"/>
    <w:rsid w:val="00643457"/>
    <w:rsid w:val="006436EF"/>
    <w:rsid w:val="006438D5"/>
    <w:rsid w:val="00643971"/>
    <w:rsid w:val="00643A63"/>
    <w:rsid w:val="00644A66"/>
    <w:rsid w:val="00644D3A"/>
    <w:rsid w:val="00644E42"/>
    <w:rsid w:val="0064591E"/>
    <w:rsid w:val="00645B24"/>
    <w:rsid w:val="00645CD9"/>
    <w:rsid w:val="00645DDE"/>
    <w:rsid w:val="00646187"/>
    <w:rsid w:val="00646485"/>
    <w:rsid w:val="006467ED"/>
    <w:rsid w:val="0064722C"/>
    <w:rsid w:val="0064729C"/>
    <w:rsid w:val="006477F8"/>
    <w:rsid w:val="00647B34"/>
    <w:rsid w:val="00647CF0"/>
    <w:rsid w:val="00647D8B"/>
    <w:rsid w:val="00647EB7"/>
    <w:rsid w:val="00647FFE"/>
    <w:rsid w:val="00650CFF"/>
    <w:rsid w:val="00650DE7"/>
    <w:rsid w:val="006510BB"/>
    <w:rsid w:val="006513B2"/>
    <w:rsid w:val="006515AE"/>
    <w:rsid w:val="0065188E"/>
    <w:rsid w:val="00651B45"/>
    <w:rsid w:val="00651D72"/>
    <w:rsid w:val="006520F6"/>
    <w:rsid w:val="006523E9"/>
    <w:rsid w:val="00652676"/>
    <w:rsid w:val="00652E25"/>
    <w:rsid w:val="006531EA"/>
    <w:rsid w:val="00653209"/>
    <w:rsid w:val="00653664"/>
    <w:rsid w:val="006538E5"/>
    <w:rsid w:val="00653E29"/>
    <w:rsid w:val="00653E55"/>
    <w:rsid w:val="00654256"/>
    <w:rsid w:val="0065433E"/>
    <w:rsid w:val="006547DA"/>
    <w:rsid w:val="00654EC5"/>
    <w:rsid w:val="006553F7"/>
    <w:rsid w:val="0065579A"/>
    <w:rsid w:val="0065605F"/>
    <w:rsid w:val="0065649E"/>
    <w:rsid w:val="00656E06"/>
    <w:rsid w:val="00656FFD"/>
    <w:rsid w:val="006572DC"/>
    <w:rsid w:val="00657413"/>
    <w:rsid w:val="00657650"/>
    <w:rsid w:val="00657A30"/>
    <w:rsid w:val="00657D38"/>
    <w:rsid w:val="00657FA9"/>
    <w:rsid w:val="00660B62"/>
    <w:rsid w:val="00660BF0"/>
    <w:rsid w:val="00660C52"/>
    <w:rsid w:val="00660F40"/>
    <w:rsid w:val="00661C22"/>
    <w:rsid w:val="0066224C"/>
    <w:rsid w:val="00663011"/>
    <w:rsid w:val="00663695"/>
    <w:rsid w:val="0066395B"/>
    <w:rsid w:val="0066396D"/>
    <w:rsid w:val="00663A5A"/>
    <w:rsid w:val="00663ECF"/>
    <w:rsid w:val="00663F07"/>
    <w:rsid w:val="00664055"/>
    <w:rsid w:val="00664B5A"/>
    <w:rsid w:val="00664DEB"/>
    <w:rsid w:val="00664E85"/>
    <w:rsid w:val="0066523A"/>
    <w:rsid w:val="006655CA"/>
    <w:rsid w:val="006658C6"/>
    <w:rsid w:val="00665ADB"/>
    <w:rsid w:val="00665C87"/>
    <w:rsid w:val="00665E29"/>
    <w:rsid w:val="006665F1"/>
    <w:rsid w:val="006678F3"/>
    <w:rsid w:val="00667994"/>
    <w:rsid w:val="00667B47"/>
    <w:rsid w:val="00670171"/>
    <w:rsid w:val="006710F9"/>
    <w:rsid w:val="0067201E"/>
    <w:rsid w:val="0067260F"/>
    <w:rsid w:val="00672648"/>
    <w:rsid w:val="00673979"/>
    <w:rsid w:val="00673BC7"/>
    <w:rsid w:val="00673DDA"/>
    <w:rsid w:val="00674359"/>
    <w:rsid w:val="00674694"/>
    <w:rsid w:val="006746FD"/>
    <w:rsid w:val="00674826"/>
    <w:rsid w:val="00675B44"/>
    <w:rsid w:val="00675C10"/>
    <w:rsid w:val="00675C90"/>
    <w:rsid w:val="00675D8B"/>
    <w:rsid w:val="006763BD"/>
    <w:rsid w:val="00676761"/>
    <w:rsid w:val="006767A8"/>
    <w:rsid w:val="00676950"/>
    <w:rsid w:val="00676AFC"/>
    <w:rsid w:val="00676BA7"/>
    <w:rsid w:val="006776D6"/>
    <w:rsid w:val="00677F25"/>
    <w:rsid w:val="006802F8"/>
    <w:rsid w:val="00680380"/>
    <w:rsid w:val="00680831"/>
    <w:rsid w:val="00680ABE"/>
    <w:rsid w:val="00680C5A"/>
    <w:rsid w:val="00680ECB"/>
    <w:rsid w:val="00681428"/>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3DF"/>
    <w:rsid w:val="0068765F"/>
    <w:rsid w:val="006879FC"/>
    <w:rsid w:val="00687CC8"/>
    <w:rsid w:val="00687EEB"/>
    <w:rsid w:val="00690057"/>
    <w:rsid w:val="006903F6"/>
    <w:rsid w:val="0069071B"/>
    <w:rsid w:val="00690A75"/>
    <w:rsid w:val="00691568"/>
    <w:rsid w:val="00691682"/>
    <w:rsid w:val="00691816"/>
    <w:rsid w:val="00692422"/>
    <w:rsid w:val="00692EAB"/>
    <w:rsid w:val="00693072"/>
    <w:rsid w:val="00693480"/>
    <w:rsid w:val="006934D4"/>
    <w:rsid w:val="006934D9"/>
    <w:rsid w:val="00693574"/>
    <w:rsid w:val="006938D2"/>
    <w:rsid w:val="00693A93"/>
    <w:rsid w:val="00693C9A"/>
    <w:rsid w:val="00693D26"/>
    <w:rsid w:val="0069453B"/>
    <w:rsid w:val="0069499B"/>
    <w:rsid w:val="006949D3"/>
    <w:rsid w:val="00694AB8"/>
    <w:rsid w:val="00694CAE"/>
    <w:rsid w:val="00694F08"/>
    <w:rsid w:val="00694F89"/>
    <w:rsid w:val="00695400"/>
    <w:rsid w:val="00695838"/>
    <w:rsid w:val="0069636C"/>
    <w:rsid w:val="00696370"/>
    <w:rsid w:val="00696703"/>
    <w:rsid w:val="006969CD"/>
    <w:rsid w:val="00696D73"/>
    <w:rsid w:val="00697225"/>
    <w:rsid w:val="006A087D"/>
    <w:rsid w:val="006A0B8D"/>
    <w:rsid w:val="006A117B"/>
    <w:rsid w:val="006A153D"/>
    <w:rsid w:val="006A16C1"/>
    <w:rsid w:val="006A17E4"/>
    <w:rsid w:val="006A189C"/>
    <w:rsid w:val="006A18A3"/>
    <w:rsid w:val="006A18B8"/>
    <w:rsid w:val="006A1A9C"/>
    <w:rsid w:val="006A1C0E"/>
    <w:rsid w:val="006A1D4A"/>
    <w:rsid w:val="006A1D4B"/>
    <w:rsid w:val="006A232B"/>
    <w:rsid w:val="006A24A2"/>
    <w:rsid w:val="006A25E6"/>
    <w:rsid w:val="006A2B1E"/>
    <w:rsid w:val="006A2E97"/>
    <w:rsid w:val="006A2FAC"/>
    <w:rsid w:val="006A32F8"/>
    <w:rsid w:val="006A3823"/>
    <w:rsid w:val="006A452A"/>
    <w:rsid w:val="006A4887"/>
    <w:rsid w:val="006A49F1"/>
    <w:rsid w:val="006A4B3F"/>
    <w:rsid w:val="006A4D70"/>
    <w:rsid w:val="006A551E"/>
    <w:rsid w:val="006A5712"/>
    <w:rsid w:val="006A5A57"/>
    <w:rsid w:val="006A5AF6"/>
    <w:rsid w:val="006A5B1C"/>
    <w:rsid w:val="006A5B9E"/>
    <w:rsid w:val="006A6101"/>
    <w:rsid w:val="006A6B66"/>
    <w:rsid w:val="006A7CE3"/>
    <w:rsid w:val="006A7F33"/>
    <w:rsid w:val="006A7FA8"/>
    <w:rsid w:val="006B0164"/>
    <w:rsid w:val="006B0A2A"/>
    <w:rsid w:val="006B0BA6"/>
    <w:rsid w:val="006B153B"/>
    <w:rsid w:val="006B1903"/>
    <w:rsid w:val="006B1985"/>
    <w:rsid w:val="006B1989"/>
    <w:rsid w:val="006B1AD7"/>
    <w:rsid w:val="006B2004"/>
    <w:rsid w:val="006B26B6"/>
    <w:rsid w:val="006B26C4"/>
    <w:rsid w:val="006B289F"/>
    <w:rsid w:val="006B2C66"/>
    <w:rsid w:val="006B325D"/>
    <w:rsid w:val="006B3552"/>
    <w:rsid w:val="006B391C"/>
    <w:rsid w:val="006B3AFC"/>
    <w:rsid w:val="006B40F4"/>
    <w:rsid w:val="006B44F9"/>
    <w:rsid w:val="006B4607"/>
    <w:rsid w:val="006B4BD9"/>
    <w:rsid w:val="006B4FD9"/>
    <w:rsid w:val="006B54A1"/>
    <w:rsid w:val="006B54AB"/>
    <w:rsid w:val="006B5B35"/>
    <w:rsid w:val="006B5C0D"/>
    <w:rsid w:val="006B6234"/>
    <w:rsid w:val="006B6D7D"/>
    <w:rsid w:val="006B7495"/>
    <w:rsid w:val="006B7ADE"/>
    <w:rsid w:val="006B7EFC"/>
    <w:rsid w:val="006C04E3"/>
    <w:rsid w:val="006C0521"/>
    <w:rsid w:val="006C0CCC"/>
    <w:rsid w:val="006C1380"/>
    <w:rsid w:val="006C14D8"/>
    <w:rsid w:val="006C1AAC"/>
    <w:rsid w:val="006C1C63"/>
    <w:rsid w:val="006C1F59"/>
    <w:rsid w:val="006C2416"/>
    <w:rsid w:val="006C2515"/>
    <w:rsid w:val="006C2829"/>
    <w:rsid w:val="006C3426"/>
    <w:rsid w:val="006C3E20"/>
    <w:rsid w:val="006C3ED3"/>
    <w:rsid w:val="006C418B"/>
    <w:rsid w:val="006C4372"/>
    <w:rsid w:val="006C4508"/>
    <w:rsid w:val="006C4B97"/>
    <w:rsid w:val="006C4C5A"/>
    <w:rsid w:val="006C5039"/>
    <w:rsid w:val="006C567E"/>
    <w:rsid w:val="006C59A7"/>
    <w:rsid w:val="006C5B24"/>
    <w:rsid w:val="006C5C74"/>
    <w:rsid w:val="006C643A"/>
    <w:rsid w:val="006C655B"/>
    <w:rsid w:val="006C6C09"/>
    <w:rsid w:val="006C6E74"/>
    <w:rsid w:val="006C71F5"/>
    <w:rsid w:val="006C735B"/>
    <w:rsid w:val="006C73BC"/>
    <w:rsid w:val="006C7407"/>
    <w:rsid w:val="006C7447"/>
    <w:rsid w:val="006C74F9"/>
    <w:rsid w:val="006C7652"/>
    <w:rsid w:val="006C780F"/>
    <w:rsid w:val="006C7E46"/>
    <w:rsid w:val="006C7EDE"/>
    <w:rsid w:val="006C7FCE"/>
    <w:rsid w:val="006D04B9"/>
    <w:rsid w:val="006D1059"/>
    <w:rsid w:val="006D1180"/>
    <w:rsid w:val="006D1374"/>
    <w:rsid w:val="006D16F5"/>
    <w:rsid w:val="006D1826"/>
    <w:rsid w:val="006D1F96"/>
    <w:rsid w:val="006D211D"/>
    <w:rsid w:val="006D2492"/>
    <w:rsid w:val="006D2A89"/>
    <w:rsid w:val="006D2C28"/>
    <w:rsid w:val="006D2E8D"/>
    <w:rsid w:val="006D3294"/>
    <w:rsid w:val="006D34C9"/>
    <w:rsid w:val="006D38BE"/>
    <w:rsid w:val="006D38E6"/>
    <w:rsid w:val="006D3F6C"/>
    <w:rsid w:val="006D3F6E"/>
    <w:rsid w:val="006D41DA"/>
    <w:rsid w:val="006D42F4"/>
    <w:rsid w:val="006D5136"/>
    <w:rsid w:val="006D5C59"/>
    <w:rsid w:val="006D6665"/>
    <w:rsid w:val="006D68B9"/>
    <w:rsid w:val="006D69DF"/>
    <w:rsid w:val="006D7221"/>
    <w:rsid w:val="006D736A"/>
    <w:rsid w:val="006D765F"/>
    <w:rsid w:val="006D7845"/>
    <w:rsid w:val="006E0053"/>
    <w:rsid w:val="006E051B"/>
    <w:rsid w:val="006E07DA"/>
    <w:rsid w:val="006E0F9A"/>
    <w:rsid w:val="006E1484"/>
    <w:rsid w:val="006E1781"/>
    <w:rsid w:val="006E195D"/>
    <w:rsid w:val="006E1DB3"/>
    <w:rsid w:val="006E1F2D"/>
    <w:rsid w:val="006E2650"/>
    <w:rsid w:val="006E2E13"/>
    <w:rsid w:val="006E2E33"/>
    <w:rsid w:val="006E2FB5"/>
    <w:rsid w:val="006E30AC"/>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FD2"/>
    <w:rsid w:val="006E7440"/>
    <w:rsid w:val="006E7F5D"/>
    <w:rsid w:val="006F01FF"/>
    <w:rsid w:val="006F0203"/>
    <w:rsid w:val="006F04AE"/>
    <w:rsid w:val="006F0954"/>
    <w:rsid w:val="006F14E8"/>
    <w:rsid w:val="006F16CD"/>
    <w:rsid w:val="006F17E1"/>
    <w:rsid w:val="006F1E5F"/>
    <w:rsid w:val="006F27C6"/>
    <w:rsid w:val="006F2810"/>
    <w:rsid w:val="006F287C"/>
    <w:rsid w:val="006F37A1"/>
    <w:rsid w:val="006F3EC8"/>
    <w:rsid w:val="006F40A8"/>
    <w:rsid w:val="006F4820"/>
    <w:rsid w:val="006F4DA6"/>
    <w:rsid w:val="006F522F"/>
    <w:rsid w:val="006F5355"/>
    <w:rsid w:val="006F5381"/>
    <w:rsid w:val="006F58F6"/>
    <w:rsid w:val="006F5977"/>
    <w:rsid w:val="006F5B69"/>
    <w:rsid w:val="006F5DD1"/>
    <w:rsid w:val="006F62FC"/>
    <w:rsid w:val="006F77AD"/>
    <w:rsid w:val="006F79EE"/>
    <w:rsid w:val="006F7C9B"/>
    <w:rsid w:val="006F7FB9"/>
    <w:rsid w:val="007001D5"/>
    <w:rsid w:val="007006F1"/>
    <w:rsid w:val="00700A70"/>
    <w:rsid w:val="00700DD4"/>
    <w:rsid w:val="0070148B"/>
    <w:rsid w:val="00701BFB"/>
    <w:rsid w:val="0070290A"/>
    <w:rsid w:val="00702A93"/>
    <w:rsid w:val="00702E80"/>
    <w:rsid w:val="0070381B"/>
    <w:rsid w:val="0070398D"/>
    <w:rsid w:val="00703CAF"/>
    <w:rsid w:val="00703DC4"/>
    <w:rsid w:val="00703E2D"/>
    <w:rsid w:val="0070454C"/>
    <w:rsid w:val="0070474A"/>
    <w:rsid w:val="0070527E"/>
    <w:rsid w:val="00705999"/>
    <w:rsid w:val="00705C19"/>
    <w:rsid w:val="00705D76"/>
    <w:rsid w:val="00706032"/>
    <w:rsid w:val="007062CE"/>
    <w:rsid w:val="00706366"/>
    <w:rsid w:val="00706368"/>
    <w:rsid w:val="00706ACD"/>
    <w:rsid w:val="00706DCB"/>
    <w:rsid w:val="00707220"/>
    <w:rsid w:val="00707451"/>
    <w:rsid w:val="00707B8E"/>
    <w:rsid w:val="0071015C"/>
    <w:rsid w:val="007108CB"/>
    <w:rsid w:val="00711019"/>
    <w:rsid w:val="0071114E"/>
    <w:rsid w:val="0071123B"/>
    <w:rsid w:val="007113E6"/>
    <w:rsid w:val="0071145C"/>
    <w:rsid w:val="0071176E"/>
    <w:rsid w:val="0071193A"/>
    <w:rsid w:val="007119F6"/>
    <w:rsid w:val="00711C44"/>
    <w:rsid w:val="00711CAF"/>
    <w:rsid w:val="00711FFC"/>
    <w:rsid w:val="007126A5"/>
    <w:rsid w:val="007126A8"/>
    <w:rsid w:val="007127A5"/>
    <w:rsid w:val="007134A1"/>
    <w:rsid w:val="00713968"/>
    <w:rsid w:val="007143B3"/>
    <w:rsid w:val="007143D1"/>
    <w:rsid w:val="0071457A"/>
    <w:rsid w:val="00714706"/>
    <w:rsid w:val="0071472C"/>
    <w:rsid w:val="00714813"/>
    <w:rsid w:val="00714EC6"/>
    <w:rsid w:val="007159AB"/>
    <w:rsid w:val="007159CB"/>
    <w:rsid w:val="00715B46"/>
    <w:rsid w:val="00715DD7"/>
    <w:rsid w:val="00715F83"/>
    <w:rsid w:val="00716F1D"/>
    <w:rsid w:val="0071715E"/>
    <w:rsid w:val="00717688"/>
    <w:rsid w:val="00717B6E"/>
    <w:rsid w:val="00717C78"/>
    <w:rsid w:val="00720FDC"/>
    <w:rsid w:val="00721684"/>
    <w:rsid w:val="00721762"/>
    <w:rsid w:val="007219EE"/>
    <w:rsid w:val="00721A74"/>
    <w:rsid w:val="00721C9D"/>
    <w:rsid w:val="007222BC"/>
    <w:rsid w:val="00722823"/>
    <w:rsid w:val="007229B8"/>
    <w:rsid w:val="00723389"/>
    <w:rsid w:val="00723C2E"/>
    <w:rsid w:val="00723EF9"/>
    <w:rsid w:val="00723FCF"/>
    <w:rsid w:val="00724307"/>
    <w:rsid w:val="007247C9"/>
    <w:rsid w:val="00724A7D"/>
    <w:rsid w:val="007255DF"/>
    <w:rsid w:val="0072567B"/>
    <w:rsid w:val="0072570E"/>
    <w:rsid w:val="00725A33"/>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5ED"/>
    <w:rsid w:val="00731653"/>
    <w:rsid w:val="007318E5"/>
    <w:rsid w:val="00731AB5"/>
    <w:rsid w:val="0073288C"/>
    <w:rsid w:val="00732BA4"/>
    <w:rsid w:val="00732DBB"/>
    <w:rsid w:val="00732FC2"/>
    <w:rsid w:val="0073337A"/>
    <w:rsid w:val="007337C5"/>
    <w:rsid w:val="00733A59"/>
    <w:rsid w:val="0073400F"/>
    <w:rsid w:val="00734265"/>
    <w:rsid w:val="007343D8"/>
    <w:rsid w:val="0073492D"/>
    <w:rsid w:val="00735103"/>
    <w:rsid w:val="0073556E"/>
    <w:rsid w:val="0073558C"/>
    <w:rsid w:val="0073584C"/>
    <w:rsid w:val="00735D6A"/>
    <w:rsid w:val="00736498"/>
    <w:rsid w:val="00736587"/>
    <w:rsid w:val="007366F1"/>
    <w:rsid w:val="00736AC2"/>
    <w:rsid w:val="00736DA1"/>
    <w:rsid w:val="00737028"/>
    <w:rsid w:val="00737099"/>
    <w:rsid w:val="00737BFA"/>
    <w:rsid w:val="00737ED0"/>
    <w:rsid w:val="007408D2"/>
    <w:rsid w:val="0074095D"/>
    <w:rsid w:val="00740A52"/>
    <w:rsid w:val="00740D0A"/>
    <w:rsid w:val="00740D86"/>
    <w:rsid w:val="00741091"/>
    <w:rsid w:val="007416D9"/>
    <w:rsid w:val="00741D9F"/>
    <w:rsid w:val="00741FFD"/>
    <w:rsid w:val="0074242A"/>
    <w:rsid w:val="0074243D"/>
    <w:rsid w:val="0074248D"/>
    <w:rsid w:val="00742E08"/>
    <w:rsid w:val="00742E7C"/>
    <w:rsid w:val="00742FD6"/>
    <w:rsid w:val="0074337C"/>
    <w:rsid w:val="00743938"/>
    <w:rsid w:val="007441D6"/>
    <w:rsid w:val="00744274"/>
    <w:rsid w:val="0074461B"/>
    <w:rsid w:val="007448FB"/>
    <w:rsid w:val="0074490E"/>
    <w:rsid w:val="00744930"/>
    <w:rsid w:val="00744E0E"/>
    <w:rsid w:val="00745108"/>
    <w:rsid w:val="007454FE"/>
    <w:rsid w:val="00745C76"/>
    <w:rsid w:val="00745E7A"/>
    <w:rsid w:val="0074692B"/>
    <w:rsid w:val="00746EE0"/>
    <w:rsid w:val="00746FD4"/>
    <w:rsid w:val="00747761"/>
    <w:rsid w:val="00747CB1"/>
    <w:rsid w:val="00750679"/>
    <w:rsid w:val="0075073C"/>
    <w:rsid w:val="00750828"/>
    <w:rsid w:val="00750AEA"/>
    <w:rsid w:val="00750B62"/>
    <w:rsid w:val="00750E67"/>
    <w:rsid w:val="00750EDC"/>
    <w:rsid w:val="00751B7F"/>
    <w:rsid w:val="00751D35"/>
    <w:rsid w:val="007523D5"/>
    <w:rsid w:val="007526EB"/>
    <w:rsid w:val="007528AF"/>
    <w:rsid w:val="00752B49"/>
    <w:rsid w:val="00752D2C"/>
    <w:rsid w:val="00752DAB"/>
    <w:rsid w:val="00753F3B"/>
    <w:rsid w:val="007544F4"/>
    <w:rsid w:val="00755022"/>
    <w:rsid w:val="00755183"/>
    <w:rsid w:val="0075571C"/>
    <w:rsid w:val="00755991"/>
    <w:rsid w:val="007559B0"/>
    <w:rsid w:val="00755B2D"/>
    <w:rsid w:val="007562A9"/>
    <w:rsid w:val="007562E9"/>
    <w:rsid w:val="00756491"/>
    <w:rsid w:val="00756698"/>
    <w:rsid w:val="00756ABC"/>
    <w:rsid w:val="007575E2"/>
    <w:rsid w:val="007577F5"/>
    <w:rsid w:val="00757A5E"/>
    <w:rsid w:val="0076011B"/>
    <w:rsid w:val="00760247"/>
    <w:rsid w:val="00760D2F"/>
    <w:rsid w:val="00761999"/>
    <w:rsid w:val="00761A7B"/>
    <w:rsid w:val="00761C0D"/>
    <w:rsid w:val="00761CCC"/>
    <w:rsid w:val="00761D13"/>
    <w:rsid w:val="00762220"/>
    <w:rsid w:val="00762490"/>
    <w:rsid w:val="00762768"/>
    <w:rsid w:val="007629A8"/>
    <w:rsid w:val="00762B2D"/>
    <w:rsid w:val="00762E13"/>
    <w:rsid w:val="00762FB1"/>
    <w:rsid w:val="00763010"/>
    <w:rsid w:val="00763814"/>
    <w:rsid w:val="0076476E"/>
    <w:rsid w:val="007648D0"/>
    <w:rsid w:val="007652ED"/>
    <w:rsid w:val="0076533F"/>
    <w:rsid w:val="00765470"/>
    <w:rsid w:val="00765689"/>
    <w:rsid w:val="00765A1A"/>
    <w:rsid w:val="00765CF4"/>
    <w:rsid w:val="00765D51"/>
    <w:rsid w:val="00765F6E"/>
    <w:rsid w:val="007662A6"/>
    <w:rsid w:val="007664FF"/>
    <w:rsid w:val="00766B81"/>
    <w:rsid w:val="00766BC4"/>
    <w:rsid w:val="00767231"/>
    <w:rsid w:val="00767925"/>
    <w:rsid w:val="00767BD1"/>
    <w:rsid w:val="00767D37"/>
    <w:rsid w:val="007707C5"/>
    <w:rsid w:val="00770A92"/>
    <w:rsid w:val="00770DC0"/>
    <w:rsid w:val="00770F0B"/>
    <w:rsid w:val="00770F3C"/>
    <w:rsid w:val="00771331"/>
    <w:rsid w:val="00771917"/>
    <w:rsid w:val="007722F4"/>
    <w:rsid w:val="0077299C"/>
    <w:rsid w:val="00772AC2"/>
    <w:rsid w:val="00773817"/>
    <w:rsid w:val="00773856"/>
    <w:rsid w:val="00773DA7"/>
    <w:rsid w:val="00773FFD"/>
    <w:rsid w:val="0077434A"/>
    <w:rsid w:val="00774802"/>
    <w:rsid w:val="00774869"/>
    <w:rsid w:val="00774CAA"/>
    <w:rsid w:val="00775A4F"/>
    <w:rsid w:val="00775B45"/>
    <w:rsid w:val="00775B55"/>
    <w:rsid w:val="00775E12"/>
    <w:rsid w:val="00776037"/>
    <w:rsid w:val="007762A6"/>
    <w:rsid w:val="007767A1"/>
    <w:rsid w:val="007768D1"/>
    <w:rsid w:val="00776982"/>
    <w:rsid w:val="00777040"/>
    <w:rsid w:val="007772AA"/>
    <w:rsid w:val="00777C6E"/>
    <w:rsid w:val="00777EA9"/>
    <w:rsid w:val="00777F45"/>
    <w:rsid w:val="0078021A"/>
    <w:rsid w:val="0078049E"/>
    <w:rsid w:val="00780BE8"/>
    <w:rsid w:val="00780C72"/>
    <w:rsid w:val="00781015"/>
    <w:rsid w:val="00781AB3"/>
    <w:rsid w:val="00781C44"/>
    <w:rsid w:val="00781D43"/>
    <w:rsid w:val="0078251C"/>
    <w:rsid w:val="00782D13"/>
    <w:rsid w:val="00782F6C"/>
    <w:rsid w:val="00783065"/>
    <w:rsid w:val="00783488"/>
    <w:rsid w:val="007834A4"/>
    <w:rsid w:val="007838A3"/>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6FB"/>
    <w:rsid w:val="007908A3"/>
    <w:rsid w:val="00790B7A"/>
    <w:rsid w:val="00790EA6"/>
    <w:rsid w:val="00790F8F"/>
    <w:rsid w:val="00791076"/>
    <w:rsid w:val="007911BA"/>
    <w:rsid w:val="007914E0"/>
    <w:rsid w:val="00791549"/>
    <w:rsid w:val="007915E7"/>
    <w:rsid w:val="00791729"/>
    <w:rsid w:val="007919F9"/>
    <w:rsid w:val="007921EA"/>
    <w:rsid w:val="007922C7"/>
    <w:rsid w:val="007922EE"/>
    <w:rsid w:val="0079266A"/>
    <w:rsid w:val="007928B4"/>
    <w:rsid w:val="007928F1"/>
    <w:rsid w:val="007929D5"/>
    <w:rsid w:val="00792B5B"/>
    <w:rsid w:val="00792CC3"/>
    <w:rsid w:val="00792E5B"/>
    <w:rsid w:val="00793575"/>
    <w:rsid w:val="007939DB"/>
    <w:rsid w:val="00793A09"/>
    <w:rsid w:val="007940F3"/>
    <w:rsid w:val="007940F7"/>
    <w:rsid w:val="00794AED"/>
    <w:rsid w:val="00794D4E"/>
    <w:rsid w:val="00794FF1"/>
    <w:rsid w:val="0079526E"/>
    <w:rsid w:val="00795348"/>
    <w:rsid w:val="007955F0"/>
    <w:rsid w:val="00795C54"/>
    <w:rsid w:val="00795CC2"/>
    <w:rsid w:val="007962B6"/>
    <w:rsid w:val="007968FD"/>
    <w:rsid w:val="00796E33"/>
    <w:rsid w:val="0079706D"/>
    <w:rsid w:val="0079739C"/>
    <w:rsid w:val="007975D2"/>
    <w:rsid w:val="007979BB"/>
    <w:rsid w:val="00797C17"/>
    <w:rsid w:val="00797C49"/>
    <w:rsid w:val="00797DE5"/>
    <w:rsid w:val="00797FD7"/>
    <w:rsid w:val="007A0224"/>
    <w:rsid w:val="007A0264"/>
    <w:rsid w:val="007A030C"/>
    <w:rsid w:val="007A0452"/>
    <w:rsid w:val="007A05B9"/>
    <w:rsid w:val="007A0AEF"/>
    <w:rsid w:val="007A13DB"/>
    <w:rsid w:val="007A16C4"/>
    <w:rsid w:val="007A18FC"/>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151"/>
    <w:rsid w:val="007A45A5"/>
    <w:rsid w:val="007A4CEC"/>
    <w:rsid w:val="007A50E1"/>
    <w:rsid w:val="007A5126"/>
    <w:rsid w:val="007A52C2"/>
    <w:rsid w:val="007A53D8"/>
    <w:rsid w:val="007A5E1A"/>
    <w:rsid w:val="007A62B1"/>
    <w:rsid w:val="007A62C9"/>
    <w:rsid w:val="007A65B3"/>
    <w:rsid w:val="007A6BA3"/>
    <w:rsid w:val="007A6C8D"/>
    <w:rsid w:val="007A6CB2"/>
    <w:rsid w:val="007A6DEE"/>
    <w:rsid w:val="007A7C17"/>
    <w:rsid w:val="007A7EDE"/>
    <w:rsid w:val="007A7FCD"/>
    <w:rsid w:val="007B0976"/>
    <w:rsid w:val="007B0A94"/>
    <w:rsid w:val="007B0B28"/>
    <w:rsid w:val="007B0D07"/>
    <w:rsid w:val="007B0FB0"/>
    <w:rsid w:val="007B0FEB"/>
    <w:rsid w:val="007B141B"/>
    <w:rsid w:val="007B196B"/>
    <w:rsid w:val="007B1CB3"/>
    <w:rsid w:val="007B2008"/>
    <w:rsid w:val="007B2316"/>
    <w:rsid w:val="007B25B2"/>
    <w:rsid w:val="007B2EE7"/>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4F96"/>
    <w:rsid w:val="007B525E"/>
    <w:rsid w:val="007B55BC"/>
    <w:rsid w:val="007B5746"/>
    <w:rsid w:val="007B58D0"/>
    <w:rsid w:val="007B5F41"/>
    <w:rsid w:val="007B61B8"/>
    <w:rsid w:val="007B61EE"/>
    <w:rsid w:val="007B6331"/>
    <w:rsid w:val="007B669A"/>
    <w:rsid w:val="007B6754"/>
    <w:rsid w:val="007B6A27"/>
    <w:rsid w:val="007B6AC3"/>
    <w:rsid w:val="007B6B69"/>
    <w:rsid w:val="007B6C69"/>
    <w:rsid w:val="007B700D"/>
    <w:rsid w:val="007B7145"/>
    <w:rsid w:val="007B73F9"/>
    <w:rsid w:val="007B77F8"/>
    <w:rsid w:val="007B78D4"/>
    <w:rsid w:val="007C00F2"/>
    <w:rsid w:val="007C045B"/>
    <w:rsid w:val="007C0518"/>
    <w:rsid w:val="007C074E"/>
    <w:rsid w:val="007C08EF"/>
    <w:rsid w:val="007C0A00"/>
    <w:rsid w:val="007C0BCA"/>
    <w:rsid w:val="007C0D5A"/>
    <w:rsid w:val="007C100E"/>
    <w:rsid w:val="007C11A3"/>
    <w:rsid w:val="007C1332"/>
    <w:rsid w:val="007C1398"/>
    <w:rsid w:val="007C161F"/>
    <w:rsid w:val="007C166F"/>
    <w:rsid w:val="007C1D05"/>
    <w:rsid w:val="007C2207"/>
    <w:rsid w:val="007C22F1"/>
    <w:rsid w:val="007C2AB4"/>
    <w:rsid w:val="007C3395"/>
    <w:rsid w:val="007C3B64"/>
    <w:rsid w:val="007C40F2"/>
    <w:rsid w:val="007C45A5"/>
    <w:rsid w:val="007C49BB"/>
    <w:rsid w:val="007C4C0C"/>
    <w:rsid w:val="007C4C39"/>
    <w:rsid w:val="007C5623"/>
    <w:rsid w:val="007C65FE"/>
    <w:rsid w:val="007C6828"/>
    <w:rsid w:val="007C6CD4"/>
    <w:rsid w:val="007D039D"/>
    <w:rsid w:val="007D0B01"/>
    <w:rsid w:val="007D0B11"/>
    <w:rsid w:val="007D120D"/>
    <w:rsid w:val="007D1531"/>
    <w:rsid w:val="007D153F"/>
    <w:rsid w:val="007D1CAC"/>
    <w:rsid w:val="007D1D04"/>
    <w:rsid w:val="007D1D90"/>
    <w:rsid w:val="007D2083"/>
    <w:rsid w:val="007D2271"/>
    <w:rsid w:val="007D2366"/>
    <w:rsid w:val="007D2BE5"/>
    <w:rsid w:val="007D2C3D"/>
    <w:rsid w:val="007D2F34"/>
    <w:rsid w:val="007D3637"/>
    <w:rsid w:val="007D36FA"/>
    <w:rsid w:val="007D382F"/>
    <w:rsid w:val="007D3847"/>
    <w:rsid w:val="007D4EDB"/>
    <w:rsid w:val="007D5364"/>
    <w:rsid w:val="007D54DA"/>
    <w:rsid w:val="007D560E"/>
    <w:rsid w:val="007D56CB"/>
    <w:rsid w:val="007D5C60"/>
    <w:rsid w:val="007D6C82"/>
    <w:rsid w:val="007D6D4D"/>
    <w:rsid w:val="007E00AA"/>
    <w:rsid w:val="007E06D5"/>
    <w:rsid w:val="007E0B27"/>
    <w:rsid w:val="007E0B49"/>
    <w:rsid w:val="007E12D5"/>
    <w:rsid w:val="007E1719"/>
    <w:rsid w:val="007E184C"/>
    <w:rsid w:val="007E1A71"/>
    <w:rsid w:val="007E1E5F"/>
    <w:rsid w:val="007E2258"/>
    <w:rsid w:val="007E2762"/>
    <w:rsid w:val="007E2FA5"/>
    <w:rsid w:val="007E319A"/>
    <w:rsid w:val="007E3252"/>
    <w:rsid w:val="007E3536"/>
    <w:rsid w:val="007E3929"/>
    <w:rsid w:val="007E40B3"/>
    <w:rsid w:val="007E40DF"/>
    <w:rsid w:val="007E4317"/>
    <w:rsid w:val="007E46A8"/>
    <w:rsid w:val="007E475A"/>
    <w:rsid w:val="007E54BF"/>
    <w:rsid w:val="007E5C7E"/>
    <w:rsid w:val="007E604B"/>
    <w:rsid w:val="007E62B0"/>
    <w:rsid w:val="007E6394"/>
    <w:rsid w:val="007E6851"/>
    <w:rsid w:val="007E68B4"/>
    <w:rsid w:val="007E7249"/>
    <w:rsid w:val="007E7366"/>
    <w:rsid w:val="007E73F6"/>
    <w:rsid w:val="007E7418"/>
    <w:rsid w:val="007E7783"/>
    <w:rsid w:val="007E79BC"/>
    <w:rsid w:val="007F0011"/>
    <w:rsid w:val="007F00F9"/>
    <w:rsid w:val="007F01CA"/>
    <w:rsid w:val="007F0702"/>
    <w:rsid w:val="007F0D0D"/>
    <w:rsid w:val="007F1365"/>
    <w:rsid w:val="007F168A"/>
    <w:rsid w:val="007F176C"/>
    <w:rsid w:val="007F23EA"/>
    <w:rsid w:val="007F25A5"/>
    <w:rsid w:val="007F2A4A"/>
    <w:rsid w:val="007F2A7C"/>
    <w:rsid w:val="007F3124"/>
    <w:rsid w:val="007F365E"/>
    <w:rsid w:val="007F4119"/>
    <w:rsid w:val="007F4473"/>
    <w:rsid w:val="007F46A1"/>
    <w:rsid w:val="007F48D6"/>
    <w:rsid w:val="007F4ADC"/>
    <w:rsid w:val="007F4B78"/>
    <w:rsid w:val="007F4D31"/>
    <w:rsid w:val="007F54E8"/>
    <w:rsid w:val="007F585B"/>
    <w:rsid w:val="007F600F"/>
    <w:rsid w:val="007F6217"/>
    <w:rsid w:val="007F62C3"/>
    <w:rsid w:val="007F65FB"/>
    <w:rsid w:val="007F673E"/>
    <w:rsid w:val="007F6848"/>
    <w:rsid w:val="007F6C11"/>
    <w:rsid w:val="007F6D4B"/>
    <w:rsid w:val="007F6FA6"/>
    <w:rsid w:val="007F723B"/>
    <w:rsid w:val="007F77BB"/>
    <w:rsid w:val="007F7ACF"/>
    <w:rsid w:val="007F7B1F"/>
    <w:rsid w:val="00800305"/>
    <w:rsid w:val="008006F9"/>
    <w:rsid w:val="00800871"/>
    <w:rsid w:val="00800A70"/>
    <w:rsid w:val="00801036"/>
    <w:rsid w:val="00801243"/>
    <w:rsid w:val="0080151B"/>
    <w:rsid w:val="00801B70"/>
    <w:rsid w:val="00801E41"/>
    <w:rsid w:val="00802DAC"/>
    <w:rsid w:val="008033F8"/>
    <w:rsid w:val="00803680"/>
    <w:rsid w:val="00803683"/>
    <w:rsid w:val="00803BF2"/>
    <w:rsid w:val="00803FFA"/>
    <w:rsid w:val="0080449C"/>
    <w:rsid w:val="0080485B"/>
    <w:rsid w:val="0080489D"/>
    <w:rsid w:val="00804D16"/>
    <w:rsid w:val="00805203"/>
    <w:rsid w:val="0080540F"/>
    <w:rsid w:val="00805448"/>
    <w:rsid w:val="00805481"/>
    <w:rsid w:val="00805812"/>
    <w:rsid w:val="00805893"/>
    <w:rsid w:val="00805D43"/>
    <w:rsid w:val="0080602D"/>
    <w:rsid w:val="00806267"/>
    <w:rsid w:val="0080697B"/>
    <w:rsid w:val="008069D9"/>
    <w:rsid w:val="00806A6C"/>
    <w:rsid w:val="00806C74"/>
    <w:rsid w:val="00807029"/>
    <w:rsid w:val="008073FF"/>
    <w:rsid w:val="00807646"/>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AA"/>
    <w:rsid w:val="008145BA"/>
    <w:rsid w:val="00814D65"/>
    <w:rsid w:val="00814E8B"/>
    <w:rsid w:val="008150E2"/>
    <w:rsid w:val="008154D6"/>
    <w:rsid w:val="00815728"/>
    <w:rsid w:val="00815E22"/>
    <w:rsid w:val="0081633F"/>
    <w:rsid w:val="008168B7"/>
    <w:rsid w:val="008168C7"/>
    <w:rsid w:val="00816EE6"/>
    <w:rsid w:val="008170EC"/>
    <w:rsid w:val="0081729C"/>
    <w:rsid w:val="00817476"/>
    <w:rsid w:val="00817C73"/>
    <w:rsid w:val="00817E6C"/>
    <w:rsid w:val="00820D8C"/>
    <w:rsid w:val="00821C07"/>
    <w:rsid w:val="00821F60"/>
    <w:rsid w:val="00822904"/>
    <w:rsid w:val="00822994"/>
    <w:rsid w:val="008229AE"/>
    <w:rsid w:val="00822B54"/>
    <w:rsid w:val="008236E5"/>
    <w:rsid w:val="00824385"/>
    <w:rsid w:val="008248B0"/>
    <w:rsid w:val="00824A74"/>
    <w:rsid w:val="00825475"/>
    <w:rsid w:val="0082551F"/>
    <w:rsid w:val="008255AD"/>
    <w:rsid w:val="0082580D"/>
    <w:rsid w:val="00825A26"/>
    <w:rsid w:val="00825E83"/>
    <w:rsid w:val="00826013"/>
    <w:rsid w:val="00826D27"/>
    <w:rsid w:val="00826FBD"/>
    <w:rsid w:val="0082732F"/>
    <w:rsid w:val="00827899"/>
    <w:rsid w:val="008278D4"/>
    <w:rsid w:val="00827A08"/>
    <w:rsid w:val="00827BA1"/>
    <w:rsid w:val="00827D03"/>
    <w:rsid w:val="00827D28"/>
    <w:rsid w:val="008301C1"/>
    <w:rsid w:val="008301DB"/>
    <w:rsid w:val="0083024A"/>
    <w:rsid w:val="008308C4"/>
    <w:rsid w:val="00831F10"/>
    <w:rsid w:val="008321AA"/>
    <w:rsid w:val="0083229F"/>
    <w:rsid w:val="008325B6"/>
    <w:rsid w:val="00833220"/>
    <w:rsid w:val="00833361"/>
    <w:rsid w:val="00833809"/>
    <w:rsid w:val="00833BE6"/>
    <w:rsid w:val="008341D9"/>
    <w:rsid w:val="0083429E"/>
    <w:rsid w:val="008345AA"/>
    <w:rsid w:val="008348D0"/>
    <w:rsid w:val="00834BF3"/>
    <w:rsid w:val="00835228"/>
    <w:rsid w:val="00835586"/>
    <w:rsid w:val="008355A8"/>
    <w:rsid w:val="0083566A"/>
    <w:rsid w:val="00835921"/>
    <w:rsid w:val="00835BF2"/>
    <w:rsid w:val="00835C93"/>
    <w:rsid w:val="00835DC2"/>
    <w:rsid w:val="00835DD2"/>
    <w:rsid w:val="008361FD"/>
    <w:rsid w:val="00836578"/>
    <w:rsid w:val="00836CC1"/>
    <w:rsid w:val="00836CD7"/>
    <w:rsid w:val="008372D5"/>
    <w:rsid w:val="00837A87"/>
    <w:rsid w:val="00840160"/>
    <w:rsid w:val="008405BB"/>
    <w:rsid w:val="0084083E"/>
    <w:rsid w:val="00840A0D"/>
    <w:rsid w:val="00840AAD"/>
    <w:rsid w:val="00840E3E"/>
    <w:rsid w:val="00841021"/>
    <w:rsid w:val="00841482"/>
    <w:rsid w:val="008417EC"/>
    <w:rsid w:val="00841922"/>
    <w:rsid w:val="00841C3D"/>
    <w:rsid w:val="00841CBB"/>
    <w:rsid w:val="008420A7"/>
    <w:rsid w:val="0084223A"/>
    <w:rsid w:val="00843058"/>
    <w:rsid w:val="0084329E"/>
    <w:rsid w:val="008435B1"/>
    <w:rsid w:val="008435EC"/>
    <w:rsid w:val="008438A7"/>
    <w:rsid w:val="00843B40"/>
    <w:rsid w:val="00844258"/>
    <w:rsid w:val="0084426A"/>
    <w:rsid w:val="00844897"/>
    <w:rsid w:val="00844AAA"/>
    <w:rsid w:val="00844FAA"/>
    <w:rsid w:val="0084523B"/>
    <w:rsid w:val="0084555D"/>
    <w:rsid w:val="00845CB5"/>
    <w:rsid w:val="00845CED"/>
    <w:rsid w:val="008462BA"/>
    <w:rsid w:val="0084646F"/>
    <w:rsid w:val="00846896"/>
    <w:rsid w:val="00847056"/>
    <w:rsid w:val="0084720E"/>
    <w:rsid w:val="00847D1E"/>
    <w:rsid w:val="00847D60"/>
    <w:rsid w:val="00847F04"/>
    <w:rsid w:val="00850264"/>
    <w:rsid w:val="00850648"/>
    <w:rsid w:val="008506F9"/>
    <w:rsid w:val="00850802"/>
    <w:rsid w:val="00850C11"/>
    <w:rsid w:val="00850FF1"/>
    <w:rsid w:val="008512EE"/>
    <w:rsid w:val="008517EF"/>
    <w:rsid w:val="008518B0"/>
    <w:rsid w:val="008519C5"/>
    <w:rsid w:val="00851D0D"/>
    <w:rsid w:val="00851E28"/>
    <w:rsid w:val="00852782"/>
    <w:rsid w:val="00852BDF"/>
    <w:rsid w:val="00853002"/>
    <w:rsid w:val="00853716"/>
    <w:rsid w:val="00853961"/>
    <w:rsid w:val="008539F4"/>
    <w:rsid w:val="00853C94"/>
    <w:rsid w:val="00853CCA"/>
    <w:rsid w:val="00853D66"/>
    <w:rsid w:val="0085432E"/>
    <w:rsid w:val="008543E8"/>
    <w:rsid w:val="00854DBC"/>
    <w:rsid w:val="00855254"/>
    <w:rsid w:val="00855295"/>
    <w:rsid w:val="00855454"/>
    <w:rsid w:val="008556A8"/>
    <w:rsid w:val="00855C1B"/>
    <w:rsid w:val="00855F32"/>
    <w:rsid w:val="00856441"/>
    <w:rsid w:val="00856570"/>
    <w:rsid w:val="00856CB6"/>
    <w:rsid w:val="00856D15"/>
    <w:rsid w:val="00856EB8"/>
    <w:rsid w:val="00856F57"/>
    <w:rsid w:val="00857758"/>
    <w:rsid w:val="00857CB7"/>
    <w:rsid w:val="00860496"/>
    <w:rsid w:val="0086055D"/>
    <w:rsid w:val="008609D2"/>
    <w:rsid w:val="00860D5A"/>
    <w:rsid w:val="00860FF7"/>
    <w:rsid w:val="0086159A"/>
    <w:rsid w:val="00861950"/>
    <w:rsid w:val="00861A08"/>
    <w:rsid w:val="008620D8"/>
    <w:rsid w:val="00863552"/>
    <w:rsid w:val="008635C4"/>
    <w:rsid w:val="008638CF"/>
    <w:rsid w:val="00863C6A"/>
    <w:rsid w:val="00863C73"/>
    <w:rsid w:val="00863D08"/>
    <w:rsid w:val="00863DF4"/>
    <w:rsid w:val="008641C7"/>
    <w:rsid w:val="00864467"/>
    <w:rsid w:val="00864789"/>
    <w:rsid w:val="00864AE3"/>
    <w:rsid w:val="00864C94"/>
    <w:rsid w:val="00864CF1"/>
    <w:rsid w:val="00864D47"/>
    <w:rsid w:val="0086611F"/>
    <w:rsid w:val="0086649B"/>
    <w:rsid w:val="00866680"/>
    <w:rsid w:val="0086727E"/>
    <w:rsid w:val="00867C00"/>
    <w:rsid w:val="00867F1A"/>
    <w:rsid w:val="008702C8"/>
    <w:rsid w:val="0087045C"/>
    <w:rsid w:val="008704AE"/>
    <w:rsid w:val="00870516"/>
    <w:rsid w:val="008705C5"/>
    <w:rsid w:val="00870ED8"/>
    <w:rsid w:val="00871F2E"/>
    <w:rsid w:val="00872095"/>
    <w:rsid w:val="008720D3"/>
    <w:rsid w:val="00872C1B"/>
    <w:rsid w:val="00873151"/>
    <w:rsid w:val="00873328"/>
    <w:rsid w:val="008733E6"/>
    <w:rsid w:val="00873865"/>
    <w:rsid w:val="008741C3"/>
    <w:rsid w:val="00874269"/>
    <w:rsid w:val="0087471D"/>
    <w:rsid w:val="00874796"/>
    <w:rsid w:val="008747D7"/>
    <w:rsid w:val="008747EC"/>
    <w:rsid w:val="008757D0"/>
    <w:rsid w:val="00875AFB"/>
    <w:rsid w:val="00875F93"/>
    <w:rsid w:val="00876286"/>
    <w:rsid w:val="008768A4"/>
    <w:rsid w:val="00876917"/>
    <w:rsid w:val="00876C7F"/>
    <w:rsid w:val="00876D61"/>
    <w:rsid w:val="00876F7E"/>
    <w:rsid w:val="00876F8A"/>
    <w:rsid w:val="0087708A"/>
    <w:rsid w:val="00877443"/>
    <w:rsid w:val="008779FC"/>
    <w:rsid w:val="00877EFB"/>
    <w:rsid w:val="0088008C"/>
    <w:rsid w:val="008804D9"/>
    <w:rsid w:val="00880B1C"/>
    <w:rsid w:val="00880EA2"/>
    <w:rsid w:val="00881C37"/>
    <w:rsid w:val="00882012"/>
    <w:rsid w:val="00882136"/>
    <w:rsid w:val="008828BD"/>
    <w:rsid w:val="00882D51"/>
    <w:rsid w:val="00882DA6"/>
    <w:rsid w:val="00883990"/>
    <w:rsid w:val="00883CE1"/>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9C"/>
    <w:rsid w:val="008867DF"/>
    <w:rsid w:val="008869FA"/>
    <w:rsid w:val="0088721D"/>
    <w:rsid w:val="008873E2"/>
    <w:rsid w:val="00887429"/>
    <w:rsid w:val="0088761C"/>
    <w:rsid w:val="00887B80"/>
    <w:rsid w:val="00887FEB"/>
    <w:rsid w:val="008901DA"/>
    <w:rsid w:val="00890595"/>
    <w:rsid w:val="008906ED"/>
    <w:rsid w:val="00890D4D"/>
    <w:rsid w:val="008910E0"/>
    <w:rsid w:val="0089123E"/>
    <w:rsid w:val="008917EA"/>
    <w:rsid w:val="00891D37"/>
    <w:rsid w:val="0089242D"/>
    <w:rsid w:val="0089281D"/>
    <w:rsid w:val="00892A84"/>
    <w:rsid w:val="00892C9A"/>
    <w:rsid w:val="00893914"/>
    <w:rsid w:val="0089424A"/>
    <w:rsid w:val="008943CD"/>
    <w:rsid w:val="00894759"/>
    <w:rsid w:val="00894B32"/>
    <w:rsid w:val="00894BFE"/>
    <w:rsid w:val="00894D0F"/>
    <w:rsid w:val="00894E5B"/>
    <w:rsid w:val="008951E1"/>
    <w:rsid w:val="008954B2"/>
    <w:rsid w:val="00895669"/>
    <w:rsid w:val="00895977"/>
    <w:rsid w:val="00895B24"/>
    <w:rsid w:val="00895B30"/>
    <w:rsid w:val="00895F3B"/>
    <w:rsid w:val="0089648F"/>
    <w:rsid w:val="0089671B"/>
    <w:rsid w:val="00896C68"/>
    <w:rsid w:val="008A0308"/>
    <w:rsid w:val="008A048D"/>
    <w:rsid w:val="008A0B0A"/>
    <w:rsid w:val="008A0DF1"/>
    <w:rsid w:val="008A0EAA"/>
    <w:rsid w:val="008A0EDF"/>
    <w:rsid w:val="008A0FC6"/>
    <w:rsid w:val="008A1200"/>
    <w:rsid w:val="008A229A"/>
    <w:rsid w:val="008A23F4"/>
    <w:rsid w:val="008A24D8"/>
    <w:rsid w:val="008A2556"/>
    <w:rsid w:val="008A25F0"/>
    <w:rsid w:val="008A26FD"/>
    <w:rsid w:val="008A2C14"/>
    <w:rsid w:val="008A2F0A"/>
    <w:rsid w:val="008A31B0"/>
    <w:rsid w:val="008A328B"/>
    <w:rsid w:val="008A3C56"/>
    <w:rsid w:val="008A4461"/>
    <w:rsid w:val="008A449B"/>
    <w:rsid w:val="008A4AD4"/>
    <w:rsid w:val="008A4D34"/>
    <w:rsid w:val="008A4DFC"/>
    <w:rsid w:val="008A4FD8"/>
    <w:rsid w:val="008A5271"/>
    <w:rsid w:val="008A528A"/>
    <w:rsid w:val="008A5647"/>
    <w:rsid w:val="008A5A9E"/>
    <w:rsid w:val="008A5EA8"/>
    <w:rsid w:val="008A6295"/>
    <w:rsid w:val="008A68B0"/>
    <w:rsid w:val="008A6924"/>
    <w:rsid w:val="008A6964"/>
    <w:rsid w:val="008A6AA0"/>
    <w:rsid w:val="008A6C60"/>
    <w:rsid w:val="008A6EC1"/>
    <w:rsid w:val="008A7356"/>
    <w:rsid w:val="008A7852"/>
    <w:rsid w:val="008A7A7F"/>
    <w:rsid w:val="008A7D2A"/>
    <w:rsid w:val="008B0331"/>
    <w:rsid w:val="008B03BA"/>
    <w:rsid w:val="008B05A7"/>
    <w:rsid w:val="008B0B7D"/>
    <w:rsid w:val="008B0D97"/>
    <w:rsid w:val="008B0E4F"/>
    <w:rsid w:val="008B1104"/>
    <w:rsid w:val="008B1989"/>
    <w:rsid w:val="008B277D"/>
    <w:rsid w:val="008B2827"/>
    <w:rsid w:val="008B2A4E"/>
    <w:rsid w:val="008B2B9E"/>
    <w:rsid w:val="008B2DC1"/>
    <w:rsid w:val="008B2EC5"/>
    <w:rsid w:val="008B33A5"/>
    <w:rsid w:val="008B35EC"/>
    <w:rsid w:val="008B3602"/>
    <w:rsid w:val="008B3807"/>
    <w:rsid w:val="008B3C30"/>
    <w:rsid w:val="008B3C94"/>
    <w:rsid w:val="008B4033"/>
    <w:rsid w:val="008B4051"/>
    <w:rsid w:val="008B42D3"/>
    <w:rsid w:val="008B4888"/>
    <w:rsid w:val="008B48A2"/>
    <w:rsid w:val="008B48B5"/>
    <w:rsid w:val="008B48EF"/>
    <w:rsid w:val="008B49FE"/>
    <w:rsid w:val="008B4E5F"/>
    <w:rsid w:val="008B5256"/>
    <w:rsid w:val="008B525F"/>
    <w:rsid w:val="008B5FF9"/>
    <w:rsid w:val="008B6206"/>
    <w:rsid w:val="008B65F6"/>
    <w:rsid w:val="008B676F"/>
    <w:rsid w:val="008B6838"/>
    <w:rsid w:val="008B692B"/>
    <w:rsid w:val="008B6A19"/>
    <w:rsid w:val="008B6D1E"/>
    <w:rsid w:val="008B743E"/>
    <w:rsid w:val="008B75B2"/>
    <w:rsid w:val="008B798D"/>
    <w:rsid w:val="008B7E4C"/>
    <w:rsid w:val="008B7FC2"/>
    <w:rsid w:val="008C0045"/>
    <w:rsid w:val="008C004D"/>
    <w:rsid w:val="008C05B1"/>
    <w:rsid w:val="008C05FE"/>
    <w:rsid w:val="008C08B2"/>
    <w:rsid w:val="008C0BE7"/>
    <w:rsid w:val="008C0C6B"/>
    <w:rsid w:val="008C10E6"/>
    <w:rsid w:val="008C1B95"/>
    <w:rsid w:val="008C2107"/>
    <w:rsid w:val="008C254A"/>
    <w:rsid w:val="008C26B1"/>
    <w:rsid w:val="008C272E"/>
    <w:rsid w:val="008C2B22"/>
    <w:rsid w:val="008C3414"/>
    <w:rsid w:val="008C3726"/>
    <w:rsid w:val="008C4479"/>
    <w:rsid w:val="008C466B"/>
    <w:rsid w:val="008C4918"/>
    <w:rsid w:val="008C4ABA"/>
    <w:rsid w:val="008C4D1C"/>
    <w:rsid w:val="008C4F3E"/>
    <w:rsid w:val="008C4F9A"/>
    <w:rsid w:val="008C567A"/>
    <w:rsid w:val="008C5A2F"/>
    <w:rsid w:val="008C5F24"/>
    <w:rsid w:val="008C6693"/>
    <w:rsid w:val="008C699A"/>
    <w:rsid w:val="008C6B82"/>
    <w:rsid w:val="008C6F2F"/>
    <w:rsid w:val="008C6F5B"/>
    <w:rsid w:val="008C70F4"/>
    <w:rsid w:val="008C7909"/>
    <w:rsid w:val="008C7968"/>
    <w:rsid w:val="008C7AB1"/>
    <w:rsid w:val="008D0A63"/>
    <w:rsid w:val="008D0EFE"/>
    <w:rsid w:val="008D11B7"/>
    <w:rsid w:val="008D142B"/>
    <w:rsid w:val="008D18E6"/>
    <w:rsid w:val="008D1A5C"/>
    <w:rsid w:val="008D1D9A"/>
    <w:rsid w:val="008D1E1D"/>
    <w:rsid w:val="008D2212"/>
    <w:rsid w:val="008D253C"/>
    <w:rsid w:val="008D25A6"/>
    <w:rsid w:val="008D278C"/>
    <w:rsid w:val="008D2995"/>
    <w:rsid w:val="008D2A1D"/>
    <w:rsid w:val="008D2B52"/>
    <w:rsid w:val="008D2C95"/>
    <w:rsid w:val="008D324C"/>
    <w:rsid w:val="008D32BE"/>
    <w:rsid w:val="008D32F6"/>
    <w:rsid w:val="008D34C2"/>
    <w:rsid w:val="008D38C3"/>
    <w:rsid w:val="008D3A9E"/>
    <w:rsid w:val="008D3C0E"/>
    <w:rsid w:val="008D3E15"/>
    <w:rsid w:val="008D3E7B"/>
    <w:rsid w:val="008D3E99"/>
    <w:rsid w:val="008D44E9"/>
    <w:rsid w:val="008D450A"/>
    <w:rsid w:val="008D4656"/>
    <w:rsid w:val="008D487E"/>
    <w:rsid w:val="008D48AC"/>
    <w:rsid w:val="008D4A87"/>
    <w:rsid w:val="008D4AE7"/>
    <w:rsid w:val="008D4C96"/>
    <w:rsid w:val="008D4E6C"/>
    <w:rsid w:val="008D4F01"/>
    <w:rsid w:val="008D5203"/>
    <w:rsid w:val="008D54BE"/>
    <w:rsid w:val="008D5663"/>
    <w:rsid w:val="008D58C8"/>
    <w:rsid w:val="008D5EE5"/>
    <w:rsid w:val="008D60C7"/>
    <w:rsid w:val="008D6267"/>
    <w:rsid w:val="008D6471"/>
    <w:rsid w:val="008D6778"/>
    <w:rsid w:val="008D6A62"/>
    <w:rsid w:val="008D777A"/>
    <w:rsid w:val="008D7B69"/>
    <w:rsid w:val="008D7ED7"/>
    <w:rsid w:val="008E0141"/>
    <w:rsid w:val="008E03A4"/>
    <w:rsid w:val="008E063F"/>
    <w:rsid w:val="008E08FB"/>
    <w:rsid w:val="008E098E"/>
    <w:rsid w:val="008E0995"/>
    <w:rsid w:val="008E0BAF"/>
    <w:rsid w:val="008E0CFD"/>
    <w:rsid w:val="008E1105"/>
    <w:rsid w:val="008E19F0"/>
    <w:rsid w:val="008E1B41"/>
    <w:rsid w:val="008E1BA8"/>
    <w:rsid w:val="008E1BD8"/>
    <w:rsid w:val="008E3204"/>
    <w:rsid w:val="008E34CE"/>
    <w:rsid w:val="008E3518"/>
    <w:rsid w:val="008E3BC5"/>
    <w:rsid w:val="008E3CD0"/>
    <w:rsid w:val="008E4153"/>
    <w:rsid w:val="008E5331"/>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E5B"/>
    <w:rsid w:val="008F2EA9"/>
    <w:rsid w:val="008F310F"/>
    <w:rsid w:val="008F32C5"/>
    <w:rsid w:val="008F3904"/>
    <w:rsid w:val="008F3AB8"/>
    <w:rsid w:val="008F47A3"/>
    <w:rsid w:val="008F4D08"/>
    <w:rsid w:val="008F504C"/>
    <w:rsid w:val="008F54DE"/>
    <w:rsid w:val="008F5638"/>
    <w:rsid w:val="008F56CB"/>
    <w:rsid w:val="008F5E45"/>
    <w:rsid w:val="008F5E92"/>
    <w:rsid w:val="008F60AA"/>
    <w:rsid w:val="008F60E4"/>
    <w:rsid w:val="008F62B9"/>
    <w:rsid w:val="008F635E"/>
    <w:rsid w:val="008F6A1B"/>
    <w:rsid w:val="008F6A39"/>
    <w:rsid w:val="008F6EB6"/>
    <w:rsid w:val="008F7722"/>
    <w:rsid w:val="008F7BDD"/>
    <w:rsid w:val="008F7D30"/>
    <w:rsid w:val="009002EC"/>
    <w:rsid w:val="00900396"/>
    <w:rsid w:val="00900687"/>
    <w:rsid w:val="009006DC"/>
    <w:rsid w:val="009008AE"/>
    <w:rsid w:val="00900913"/>
    <w:rsid w:val="00900A8E"/>
    <w:rsid w:val="00900C39"/>
    <w:rsid w:val="0090150E"/>
    <w:rsid w:val="00901552"/>
    <w:rsid w:val="0090155D"/>
    <w:rsid w:val="0090169C"/>
    <w:rsid w:val="0090187A"/>
    <w:rsid w:val="00901945"/>
    <w:rsid w:val="00901A1D"/>
    <w:rsid w:val="00901A4D"/>
    <w:rsid w:val="00901D16"/>
    <w:rsid w:val="009020BE"/>
    <w:rsid w:val="0090258A"/>
    <w:rsid w:val="009025AF"/>
    <w:rsid w:val="00902696"/>
    <w:rsid w:val="009034F0"/>
    <w:rsid w:val="00903537"/>
    <w:rsid w:val="00903784"/>
    <w:rsid w:val="00903827"/>
    <w:rsid w:val="00903974"/>
    <w:rsid w:val="00903A0B"/>
    <w:rsid w:val="00904101"/>
    <w:rsid w:val="00904572"/>
    <w:rsid w:val="00904910"/>
    <w:rsid w:val="00904BBC"/>
    <w:rsid w:val="00904CF0"/>
    <w:rsid w:val="00904DCD"/>
    <w:rsid w:val="00905703"/>
    <w:rsid w:val="00905C28"/>
    <w:rsid w:val="009060C9"/>
    <w:rsid w:val="009061AB"/>
    <w:rsid w:val="0090634D"/>
    <w:rsid w:val="00906B25"/>
    <w:rsid w:val="00906FBE"/>
    <w:rsid w:val="0090701A"/>
    <w:rsid w:val="009070F3"/>
    <w:rsid w:val="0090782C"/>
    <w:rsid w:val="00907985"/>
    <w:rsid w:val="00907C38"/>
    <w:rsid w:val="00910107"/>
    <w:rsid w:val="009101E5"/>
    <w:rsid w:val="0091034A"/>
    <w:rsid w:val="0091089B"/>
    <w:rsid w:val="009109C6"/>
    <w:rsid w:val="00911192"/>
    <w:rsid w:val="0091143C"/>
    <w:rsid w:val="009115C4"/>
    <w:rsid w:val="009115DD"/>
    <w:rsid w:val="0091197C"/>
    <w:rsid w:val="009121AF"/>
    <w:rsid w:val="009122F9"/>
    <w:rsid w:val="00912B35"/>
    <w:rsid w:val="00912DAE"/>
    <w:rsid w:val="009138AB"/>
    <w:rsid w:val="00914197"/>
    <w:rsid w:val="009142F1"/>
    <w:rsid w:val="00914418"/>
    <w:rsid w:val="009151D3"/>
    <w:rsid w:val="009155CE"/>
    <w:rsid w:val="00915658"/>
    <w:rsid w:val="00915866"/>
    <w:rsid w:val="0091597B"/>
    <w:rsid w:val="00915AC0"/>
    <w:rsid w:val="00916031"/>
    <w:rsid w:val="009163AD"/>
    <w:rsid w:val="009169FB"/>
    <w:rsid w:val="00916B68"/>
    <w:rsid w:val="00916DA1"/>
    <w:rsid w:val="00917351"/>
    <w:rsid w:val="00917941"/>
    <w:rsid w:val="00917F35"/>
    <w:rsid w:val="00917FFC"/>
    <w:rsid w:val="0092007C"/>
    <w:rsid w:val="00920284"/>
    <w:rsid w:val="009202DD"/>
    <w:rsid w:val="009203F9"/>
    <w:rsid w:val="009204F9"/>
    <w:rsid w:val="00920C00"/>
    <w:rsid w:val="00920ED7"/>
    <w:rsid w:val="00921097"/>
    <w:rsid w:val="0092109D"/>
    <w:rsid w:val="00921432"/>
    <w:rsid w:val="00921946"/>
    <w:rsid w:val="00921A9E"/>
    <w:rsid w:val="00921CED"/>
    <w:rsid w:val="00921D4C"/>
    <w:rsid w:val="0092225E"/>
    <w:rsid w:val="00922894"/>
    <w:rsid w:val="00922ADD"/>
    <w:rsid w:val="00922BB7"/>
    <w:rsid w:val="0092314A"/>
    <w:rsid w:val="0092372A"/>
    <w:rsid w:val="00923B2F"/>
    <w:rsid w:val="00923DFA"/>
    <w:rsid w:val="00923E80"/>
    <w:rsid w:val="00923F62"/>
    <w:rsid w:val="00924384"/>
    <w:rsid w:val="00924996"/>
    <w:rsid w:val="00924A16"/>
    <w:rsid w:val="00924B50"/>
    <w:rsid w:val="00924F9C"/>
    <w:rsid w:val="009250D8"/>
    <w:rsid w:val="00925488"/>
    <w:rsid w:val="009255A4"/>
    <w:rsid w:val="00925851"/>
    <w:rsid w:val="00925D8E"/>
    <w:rsid w:val="00925FE7"/>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1D44"/>
    <w:rsid w:val="00932477"/>
    <w:rsid w:val="00932800"/>
    <w:rsid w:val="00932BA8"/>
    <w:rsid w:val="009337C1"/>
    <w:rsid w:val="009339E5"/>
    <w:rsid w:val="00933DFA"/>
    <w:rsid w:val="00933F29"/>
    <w:rsid w:val="0093445F"/>
    <w:rsid w:val="0093460D"/>
    <w:rsid w:val="0093471F"/>
    <w:rsid w:val="009347F4"/>
    <w:rsid w:val="00934B6A"/>
    <w:rsid w:val="00934C7B"/>
    <w:rsid w:val="0093535C"/>
    <w:rsid w:val="009356DD"/>
    <w:rsid w:val="00935892"/>
    <w:rsid w:val="00935F7A"/>
    <w:rsid w:val="009364EB"/>
    <w:rsid w:val="009374F0"/>
    <w:rsid w:val="0093786C"/>
    <w:rsid w:val="00937CC0"/>
    <w:rsid w:val="00940022"/>
    <w:rsid w:val="009406C7"/>
    <w:rsid w:val="009407FD"/>
    <w:rsid w:val="00940C0D"/>
    <w:rsid w:val="00941962"/>
    <w:rsid w:val="00941B33"/>
    <w:rsid w:val="00941C3F"/>
    <w:rsid w:val="00941EF0"/>
    <w:rsid w:val="00942482"/>
    <w:rsid w:val="009424FB"/>
    <w:rsid w:val="009426F3"/>
    <w:rsid w:val="00942AD4"/>
    <w:rsid w:val="00942FDF"/>
    <w:rsid w:val="00943181"/>
    <w:rsid w:val="00943601"/>
    <w:rsid w:val="009437FA"/>
    <w:rsid w:val="0094382E"/>
    <w:rsid w:val="009438EE"/>
    <w:rsid w:val="00943A16"/>
    <w:rsid w:val="00943EDA"/>
    <w:rsid w:val="00944723"/>
    <w:rsid w:val="0094487E"/>
    <w:rsid w:val="00944AB1"/>
    <w:rsid w:val="00944E95"/>
    <w:rsid w:val="009450B2"/>
    <w:rsid w:val="0094555B"/>
    <w:rsid w:val="009465C9"/>
    <w:rsid w:val="00946A3B"/>
    <w:rsid w:val="00946B9D"/>
    <w:rsid w:val="009470DF"/>
    <w:rsid w:val="00947571"/>
    <w:rsid w:val="009477AC"/>
    <w:rsid w:val="009479F7"/>
    <w:rsid w:val="00947A9D"/>
    <w:rsid w:val="009507E7"/>
    <w:rsid w:val="00950963"/>
    <w:rsid w:val="00950C9B"/>
    <w:rsid w:val="00950CD5"/>
    <w:rsid w:val="00951388"/>
    <w:rsid w:val="00951472"/>
    <w:rsid w:val="009518C2"/>
    <w:rsid w:val="0095216D"/>
    <w:rsid w:val="00952175"/>
    <w:rsid w:val="00952896"/>
    <w:rsid w:val="009529D7"/>
    <w:rsid w:val="00952A71"/>
    <w:rsid w:val="00952C77"/>
    <w:rsid w:val="00953F45"/>
    <w:rsid w:val="009540A3"/>
    <w:rsid w:val="009542D6"/>
    <w:rsid w:val="00954957"/>
    <w:rsid w:val="00954A4F"/>
    <w:rsid w:val="009552CC"/>
    <w:rsid w:val="00955311"/>
    <w:rsid w:val="009559C8"/>
    <w:rsid w:val="00955C3B"/>
    <w:rsid w:val="00955CBA"/>
    <w:rsid w:val="0095656E"/>
    <w:rsid w:val="009565FA"/>
    <w:rsid w:val="00956CBA"/>
    <w:rsid w:val="0095733D"/>
    <w:rsid w:val="009574C8"/>
    <w:rsid w:val="009578AD"/>
    <w:rsid w:val="00957AE8"/>
    <w:rsid w:val="00957F2A"/>
    <w:rsid w:val="00957F3C"/>
    <w:rsid w:val="00960012"/>
    <w:rsid w:val="0096023D"/>
    <w:rsid w:val="00960722"/>
    <w:rsid w:val="00960A76"/>
    <w:rsid w:val="00960C6A"/>
    <w:rsid w:val="00960EB0"/>
    <w:rsid w:val="00960F3F"/>
    <w:rsid w:val="00961124"/>
    <w:rsid w:val="009611CD"/>
    <w:rsid w:val="009612E9"/>
    <w:rsid w:val="009615E3"/>
    <w:rsid w:val="009618FE"/>
    <w:rsid w:val="00961FDA"/>
    <w:rsid w:val="00962012"/>
    <w:rsid w:val="009622A6"/>
    <w:rsid w:val="00962520"/>
    <w:rsid w:val="009629A7"/>
    <w:rsid w:val="009629B3"/>
    <w:rsid w:val="00962CA5"/>
    <w:rsid w:val="00962E12"/>
    <w:rsid w:val="00963207"/>
    <w:rsid w:val="00963AF0"/>
    <w:rsid w:val="00963C7C"/>
    <w:rsid w:val="00964D70"/>
    <w:rsid w:val="009657C2"/>
    <w:rsid w:val="009667FE"/>
    <w:rsid w:val="009669C2"/>
    <w:rsid w:val="00966D8C"/>
    <w:rsid w:val="00966FF0"/>
    <w:rsid w:val="0096794B"/>
    <w:rsid w:val="00967BE7"/>
    <w:rsid w:val="00967C7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7C"/>
    <w:rsid w:val="009757B8"/>
    <w:rsid w:val="00975976"/>
    <w:rsid w:val="0097630E"/>
    <w:rsid w:val="00976BF6"/>
    <w:rsid w:val="00976C76"/>
    <w:rsid w:val="00976F90"/>
    <w:rsid w:val="00977710"/>
    <w:rsid w:val="00977A5C"/>
    <w:rsid w:val="00977BF2"/>
    <w:rsid w:val="00980747"/>
    <w:rsid w:val="00980D7C"/>
    <w:rsid w:val="009812F7"/>
    <w:rsid w:val="009818C5"/>
    <w:rsid w:val="0098196E"/>
    <w:rsid w:val="00981C4D"/>
    <w:rsid w:val="009823E2"/>
    <w:rsid w:val="00982615"/>
    <w:rsid w:val="00982634"/>
    <w:rsid w:val="00982780"/>
    <w:rsid w:val="009827F5"/>
    <w:rsid w:val="00982BCC"/>
    <w:rsid w:val="00983050"/>
    <w:rsid w:val="0098368A"/>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4E5"/>
    <w:rsid w:val="0098764F"/>
    <w:rsid w:val="0098786B"/>
    <w:rsid w:val="00987881"/>
    <w:rsid w:val="00987AEE"/>
    <w:rsid w:val="00987CAD"/>
    <w:rsid w:val="0099012B"/>
    <w:rsid w:val="0099063B"/>
    <w:rsid w:val="00990B32"/>
    <w:rsid w:val="0099102F"/>
    <w:rsid w:val="0099126E"/>
    <w:rsid w:val="0099188D"/>
    <w:rsid w:val="009918D1"/>
    <w:rsid w:val="00992273"/>
    <w:rsid w:val="00992ACA"/>
    <w:rsid w:val="00992C83"/>
    <w:rsid w:val="00992EFD"/>
    <w:rsid w:val="00992F4A"/>
    <w:rsid w:val="0099301C"/>
    <w:rsid w:val="0099367F"/>
    <w:rsid w:val="009936F4"/>
    <w:rsid w:val="00993C18"/>
    <w:rsid w:val="00994761"/>
    <w:rsid w:val="009947E1"/>
    <w:rsid w:val="00994968"/>
    <w:rsid w:val="00994A15"/>
    <w:rsid w:val="00994AD0"/>
    <w:rsid w:val="009951F0"/>
    <w:rsid w:val="009952E5"/>
    <w:rsid w:val="009954FD"/>
    <w:rsid w:val="00995A8C"/>
    <w:rsid w:val="00995B43"/>
    <w:rsid w:val="00995D4B"/>
    <w:rsid w:val="0099612A"/>
    <w:rsid w:val="0099682D"/>
    <w:rsid w:val="00997BF7"/>
    <w:rsid w:val="00997C6B"/>
    <w:rsid w:val="00997C92"/>
    <w:rsid w:val="00997FE1"/>
    <w:rsid w:val="009A0012"/>
    <w:rsid w:val="009A02B4"/>
    <w:rsid w:val="009A05E8"/>
    <w:rsid w:val="009A090D"/>
    <w:rsid w:val="009A0C1E"/>
    <w:rsid w:val="009A15C9"/>
    <w:rsid w:val="009A1CF9"/>
    <w:rsid w:val="009A1F5E"/>
    <w:rsid w:val="009A2401"/>
    <w:rsid w:val="009A25E1"/>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A46"/>
    <w:rsid w:val="009A6B54"/>
    <w:rsid w:val="009A6B91"/>
    <w:rsid w:val="009A6D72"/>
    <w:rsid w:val="009A70E8"/>
    <w:rsid w:val="009A7138"/>
    <w:rsid w:val="009A7257"/>
    <w:rsid w:val="009A7A0D"/>
    <w:rsid w:val="009B055A"/>
    <w:rsid w:val="009B0743"/>
    <w:rsid w:val="009B0814"/>
    <w:rsid w:val="009B106F"/>
    <w:rsid w:val="009B10CC"/>
    <w:rsid w:val="009B12C3"/>
    <w:rsid w:val="009B1301"/>
    <w:rsid w:val="009B142D"/>
    <w:rsid w:val="009B1B3F"/>
    <w:rsid w:val="009B2364"/>
    <w:rsid w:val="009B356F"/>
    <w:rsid w:val="009B3C5D"/>
    <w:rsid w:val="009B49FC"/>
    <w:rsid w:val="009B4B03"/>
    <w:rsid w:val="009B4F08"/>
    <w:rsid w:val="009B5FAF"/>
    <w:rsid w:val="009B618F"/>
    <w:rsid w:val="009B67D1"/>
    <w:rsid w:val="009B681A"/>
    <w:rsid w:val="009B70C0"/>
    <w:rsid w:val="009B75F0"/>
    <w:rsid w:val="009B7767"/>
    <w:rsid w:val="009C0180"/>
    <w:rsid w:val="009C026B"/>
    <w:rsid w:val="009C0387"/>
    <w:rsid w:val="009C0630"/>
    <w:rsid w:val="009C0915"/>
    <w:rsid w:val="009C0AA3"/>
    <w:rsid w:val="009C142F"/>
    <w:rsid w:val="009C16DA"/>
    <w:rsid w:val="009C1707"/>
    <w:rsid w:val="009C18B9"/>
    <w:rsid w:val="009C1A11"/>
    <w:rsid w:val="009C1C05"/>
    <w:rsid w:val="009C31BA"/>
    <w:rsid w:val="009C34C8"/>
    <w:rsid w:val="009C351B"/>
    <w:rsid w:val="009C36D7"/>
    <w:rsid w:val="009C3722"/>
    <w:rsid w:val="009C4EC5"/>
    <w:rsid w:val="009C5061"/>
    <w:rsid w:val="009C5B27"/>
    <w:rsid w:val="009C5D9D"/>
    <w:rsid w:val="009C5EFF"/>
    <w:rsid w:val="009C60A4"/>
    <w:rsid w:val="009C611F"/>
    <w:rsid w:val="009C640F"/>
    <w:rsid w:val="009C6B50"/>
    <w:rsid w:val="009C6F6E"/>
    <w:rsid w:val="009C7477"/>
    <w:rsid w:val="009C7BD9"/>
    <w:rsid w:val="009C7E1A"/>
    <w:rsid w:val="009D0073"/>
    <w:rsid w:val="009D05EB"/>
    <w:rsid w:val="009D06B4"/>
    <w:rsid w:val="009D0836"/>
    <w:rsid w:val="009D0F27"/>
    <w:rsid w:val="009D0F31"/>
    <w:rsid w:val="009D102B"/>
    <w:rsid w:val="009D1258"/>
    <w:rsid w:val="009D14E8"/>
    <w:rsid w:val="009D1633"/>
    <w:rsid w:val="009D1818"/>
    <w:rsid w:val="009D19F8"/>
    <w:rsid w:val="009D1A98"/>
    <w:rsid w:val="009D205B"/>
    <w:rsid w:val="009D26A2"/>
    <w:rsid w:val="009D2947"/>
    <w:rsid w:val="009D2993"/>
    <w:rsid w:val="009D2A60"/>
    <w:rsid w:val="009D2CB7"/>
    <w:rsid w:val="009D2EBA"/>
    <w:rsid w:val="009D35D3"/>
    <w:rsid w:val="009D3955"/>
    <w:rsid w:val="009D4524"/>
    <w:rsid w:val="009D4630"/>
    <w:rsid w:val="009D46D5"/>
    <w:rsid w:val="009D4AD8"/>
    <w:rsid w:val="009D522E"/>
    <w:rsid w:val="009D53E6"/>
    <w:rsid w:val="009D5817"/>
    <w:rsid w:val="009D5A8F"/>
    <w:rsid w:val="009D5BFD"/>
    <w:rsid w:val="009D5D94"/>
    <w:rsid w:val="009D66A1"/>
    <w:rsid w:val="009D6830"/>
    <w:rsid w:val="009D6B05"/>
    <w:rsid w:val="009D7414"/>
    <w:rsid w:val="009D7836"/>
    <w:rsid w:val="009D7E34"/>
    <w:rsid w:val="009E0546"/>
    <w:rsid w:val="009E1922"/>
    <w:rsid w:val="009E1B0A"/>
    <w:rsid w:val="009E1E3C"/>
    <w:rsid w:val="009E1F0D"/>
    <w:rsid w:val="009E24F0"/>
    <w:rsid w:val="009E252F"/>
    <w:rsid w:val="009E260E"/>
    <w:rsid w:val="009E2A37"/>
    <w:rsid w:val="009E2CF8"/>
    <w:rsid w:val="009E2FD2"/>
    <w:rsid w:val="009E32C2"/>
    <w:rsid w:val="009E358C"/>
    <w:rsid w:val="009E3A7D"/>
    <w:rsid w:val="009E3AD1"/>
    <w:rsid w:val="009E3B49"/>
    <w:rsid w:val="009E3E34"/>
    <w:rsid w:val="009E3EB2"/>
    <w:rsid w:val="009E4AE3"/>
    <w:rsid w:val="009E4B5C"/>
    <w:rsid w:val="009E4E38"/>
    <w:rsid w:val="009E516A"/>
    <w:rsid w:val="009E57B9"/>
    <w:rsid w:val="009E5B2F"/>
    <w:rsid w:val="009E5C74"/>
    <w:rsid w:val="009E65EB"/>
    <w:rsid w:val="009E6653"/>
    <w:rsid w:val="009E69FC"/>
    <w:rsid w:val="009E6EEE"/>
    <w:rsid w:val="009E7429"/>
    <w:rsid w:val="009E7A62"/>
    <w:rsid w:val="009E7CF0"/>
    <w:rsid w:val="009E7F7F"/>
    <w:rsid w:val="009F03DD"/>
    <w:rsid w:val="009F072F"/>
    <w:rsid w:val="009F0786"/>
    <w:rsid w:val="009F1CBA"/>
    <w:rsid w:val="009F267C"/>
    <w:rsid w:val="009F28D6"/>
    <w:rsid w:val="009F2BFE"/>
    <w:rsid w:val="009F2C0B"/>
    <w:rsid w:val="009F2CDD"/>
    <w:rsid w:val="009F2E3F"/>
    <w:rsid w:val="009F2E8D"/>
    <w:rsid w:val="009F3122"/>
    <w:rsid w:val="009F3D3D"/>
    <w:rsid w:val="009F4549"/>
    <w:rsid w:val="009F48DE"/>
    <w:rsid w:val="009F4A80"/>
    <w:rsid w:val="009F4EB9"/>
    <w:rsid w:val="009F5339"/>
    <w:rsid w:val="009F54C7"/>
    <w:rsid w:val="009F5A4E"/>
    <w:rsid w:val="009F5AC5"/>
    <w:rsid w:val="009F6209"/>
    <w:rsid w:val="009F73AA"/>
    <w:rsid w:val="009F7535"/>
    <w:rsid w:val="009F7E65"/>
    <w:rsid w:val="00A00011"/>
    <w:rsid w:val="00A0041D"/>
    <w:rsid w:val="00A0081B"/>
    <w:rsid w:val="00A009A9"/>
    <w:rsid w:val="00A00A3E"/>
    <w:rsid w:val="00A00B4B"/>
    <w:rsid w:val="00A00B72"/>
    <w:rsid w:val="00A00CD2"/>
    <w:rsid w:val="00A00FDA"/>
    <w:rsid w:val="00A01FF6"/>
    <w:rsid w:val="00A02C85"/>
    <w:rsid w:val="00A02D0F"/>
    <w:rsid w:val="00A02E32"/>
    <w:rsid w:val="00A03090"/>
    <w:rsid w:val="00A03260"/>
    <w:rsid w:val="00A033DF"/>
    <w:rsid w:val="00A039B9"/>
    <w:rsid w:val="00A03E1B"/>
    <w:rsid w:val="00A041D8"/>
    <w:rsid w:val="00A0486E"/>
    <w:rsid w:val="00A05239"/>
    <w:rsid w:val="00A055DD"/>
    <w:rsid w:val="00A05F6E"/>
    <w:rsid w:val="00A0605C"/>
    <w:rsid w:val="00A060E1"/>
    <w:rsid w:val="00A06475"/>
    <w:rsid w:val="00A064AC"/>
    <w:rsid w:val="00A06D06"/>
    <w:rsid w:val="00A077CA"/>
    <w:rsid w:val="00A07902"/>
    <w:rsid w:val="00A07D52"/>
    <w:rsid w:val="00A07E5A"/>
    <w:rsid w:val="00A10418"/>
    <w:rsid w:val="00A106E3"/>
    <w:rsid w:val="00A107FF"/>
    <w:rsid w:val="00A109CC"/>
    <w:rsid w:val="00A10ACC"/>
    <w:rsid w:val="00A10CCB"/>
    <w:rsid w:val="00A11170"/>
    <w:rsid w:val="00A1166E"/>
    <w:rsid w:val="00A11693"/>
    <w:rsid w:val="00A11A69"/>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748"/>
    <w:rsid w:val="00A14892"/>
    <w:rsid w:val="00A153C8"/>
    <w:rsid w:val="00A15E12"/>
    <w:rsid w:val="00A15F2E"/>
    <w:rsid w:val="00A16119"/>
    <w:rsid w:val="00A16135"/>
    <w:rsid w:val="00A17099"/>
    <w:rsid w:val="00A171BD"/>
    <w:rsid w:val="00A174C2"/>
    <w:rsid w:val="00A17572"/>
    <w:rsid w:val="00A1763C"/>
    <w:rsid w:val="00A17826"/>
    <w:rsid w:val="00A179CD"/>
    <w:rsid w:val="00A17E98"/>
    <w:rsid w:val="00A20048"/>
    <w:rsid w:val="00A2053E"/>
    <w:rsid w:val="00A20D95"/>
    <w:rsid w:val="00A2171E"/>
    <w:rsid w:val="00A22349"/>
    <w:rsid w:val="00A225D4"/>
    <w:rsid w:val="00A23031"/>
    <w:rsid w:val="00A2362C"/>
    <w:rsid w:val="00A23BF7"/>
    <w:rsid w:val="00A23F79"/>
    <w:rsid w:val="00A2423A"/>
    <w:rsid w:val="00A24972"/>
    <w:rsid w:val="00A254E9"/>
    <w:rsid w:val="00A25554"/>
    <w:rsid w:val="00A258C2"/>
    <w:rsid w:val="00A25B5A"/>
    <w:rsid w:val="00A25D2C"/>
    <w:rsid w:val="00A25E83"/>
    <w:rsid w:val="00A26CA2"/>
    <w:rsid w:val="00A2701E"/>
    <w:rsid w:val="00A272E8"/>
    <w:rsid w:val="00A27C0B"/>
    <w:rsid w:val="00A27D9E"/>
    <w:rsid w:val="00A3018E"/>
    <w:rsid w:val="00A30302"/>
    <w:rsid w:val="00A30444"/>
    <w:rsid w:val="00A307E4"/>
    <w:rsid w:val="00A30CE5"/>
    <w:rsid w:val="00A30D83"/>
    <w:rsid w:val="00A30E64"/>
    <w:rsid w:val="00A314F2"/>
    <w:rsid w:val="00A31522"/>
    <w:rsid w:val="00A3159F"/>
    <w:rsid w:val="00A31E85"/>
    <w:rsid w:val="00A31F9E"/>
    <w:rsid w:val="00A32199"/>
    <w:rsid w:val="00A323E8"/>
    <w:rsid w:val="00A324BD"/>
    <w:rsid w:val="00A32AF1"/>
    <w:rsid w:val="00A32E09"/>
    <w:rsid w:val="00A32F64"/>
    <w:rsid w:val="00A33150"/>
    <w:rsid w:val="00A3352B"/>
    <w:rsid w:val="00A34178"/>
    <w:rsid w:val="00A34416"/>
    <w:rsid w:val="00A34588"/>
    <w:rsid w:val="00A34598"/>
    <w:rsid w:val="00A34A3A"/>
    <w:rsid w:val="00A351BB"/>
    <w:rsid w:val="00A3557E"/>
    <w:rsid w:val="00A355EF"/>
    <w:rsid w:val="00A358B3"/>
    <w:rsid w:val="00A35A8B"/>
    <w:rsid w:val="00A35D46"/>
    <w:rsid w:val="00A36078"/>
    <w:rsid w:val="00A3609B"/>
    <w:rsid w:val="00A36486"/>
    <w:rsid w:val="00A364B8"/>
    <w:rsid w:val="00A36875"/>
    <w:rsid w:val="00A36AC9"/>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3F7"/>
    <w:rsid w:val="00A41AE7"/>
    <w:rsid w:val="00A41C82"/>
    <w:rsid w:val="00A420D8"/>
    <w:rsid w:val="00A42A42"/>
    <w:rsid w:val="00A42A85"/>
    <w:rsid w:val="00A42BD7"/>
    <w:rsid w:val="00A42E16"/>
    <w:rsid w:val="00A42ED5"/>
    <w:rsid w:val="00A43131"/>
    <w:rsid w:val="00A4346C"/>
    <w:rsid w:val="00A43895"/>
    <w:rsid w:val="00A43898"/>
    <w:rsid w:val="00A43BAA"/>
    <w:rsid w:val="00A44123"/>
    <w:rsid w:val="00A44AAE"/>
    <w:rsid w:val="00A44F2D"/>
    <w:rsid w:val="00A453E0"/>
    <w:rsid w:val="00A453E8"/>
    <w:rsid w:val="00A45AD1"/>
    <w:rsid w:val="00A46604"/>
    <w:rsid w:val="00A46799"/>
    <w:rsid w:val="00A46C4C"/>
    <w:rsid w:val="00A47866"/>
    <w:rsid w:val="00A478D7"/>
    <w:rsid w:val="00A47BD8"/>
    <w:rsid w:val="00A47D03"/>
    <w:rsid w:val="00A47F33"/>
    <w:rsid w:val="00A505AE"/>
    <w:rsid w:val="00A506E6"/>
    <w:rsid w:val="00A50912"/>
    <w:rsid w:val="00A509DC"/>
    <w:rsid w:val="00A50BE3"/>
    <w:rsid w:val="00A50DE1"/>
    <w:rsid w:val="00A50F0F"/>
    <w:rsid w:val="00A51173"/>
    <w:rsid w:val="00A5146E"/>
    <w:rsid w:val="00A5152B"/>
    <w:rsid w:val="00A51FF4"/>
    <w:rsid w:val="00A5298C"/>
    <w:rsid w:val="00A52BEA"/>
    <w:rsid w:val="00A53051"/>
    <w:rsid w:val="00A5328C"/>
    <w:rsid w:val="00A538C9"/>
    <w:rsid w:val="00A539C4"/>
    <w:rsid w:val="00A53A4D"/>
    <w:rsid w:val="00A53CBA"/>
    <w:rsid w:val="00A53E3D"/>
    <w:rsid w:val="00A543A1"/>
    <w:rsid w:val="00A54640"/>
    <w:rsid w:val="00A54A81"/>
    <w:rsid w:val="00A54CAE"/>
    <w:rsid w:val="00A554A9"/>
    <w:rsid w:val="00A5586C"/>
    <w:rsid w:val="00A55A6A"/>
    <w:rsid w:val="00A55A94"/>
    <w:rsid w:val="00A560A5"/>
    <w:rsid w:val="00A56792"/>
    <w:rsid w:val="00A569FA"/>
    <w:rsid w:val="00A56EDB"/>
    <w:rsid w:val="00A60268"/>
    <w:rsid w:val="00A602C9"/>
    <w:rsid w:val="00A60701"/>
    <w:rsid w:val="00A60BDE"/>
    <w:rsid w:val="00A61006"/>
    <w:rsid w:val="00A61337"/>
    <w:rsid w:val="00A6139A"/>
    <w:rsid w:val="00A6175B"/>
    <w:rsid w:val="00A617A9"/>
    <w:rsid w:val="00A61868"/>
    <w:rsid w:val="00A6196E"/>
    <w:rsid w:val="00A61BD7"/>
    <w:rsid w:val="00A61CD5"/>
    <w:rsid w:val="00A621E5"/>
    <w:rsid w:val="00A621F0"/>
    <w:rsid w:val="00A6239D"/>
    <w:rsid w:val="00A6255C"/>
    <w:rsid w:val="00A625EB"/>
    <w:rsid w:val="00A6278E"/>
    <w:rsid w:val="00A62ADE"/>
    <w:rsid w:val="00A62EFC"/>
    <w:rsid w:val="00A62F38"/>
    <w:rsid w:val="00A63096"/>
    <w:rsid w:val="00A630E2"/>
    <w:rsid w:val="00A633B8"/>
    <w:rsid w:val="00A63529"/>
    <w:rsid w:val="00A638A6"/>
    <w:rsid w:val="00A64343"/>
    <w:rsid w:val="00A6464B"/>
    <w:rsid w:val="00A6470E"/>
    <w:rsid w:val="00A649DB"/>
    <w:rsid w:val="00A64A21"/>
    <w:rsid w:val="00A64ADC"/>
    <w:rsid w:val="00A6504A"/>
    <w:rsid w:val="00A651AB"/>
    <w:rsid w:val="00A65794"/>
    <w:rsid w:val="00A65BC9"/>
    <w:rsid w:val="00A6603F"/>
    <w:rsid w:val="00A6616D"/>
    <w:rsid w:val="00A66577"/>
    <w:rsid w:val="00A665F2"/>
    <w:rsid w:val="00A667D7"/>
    <w:rsid w:val="00A672D4"/>
    <w:rsid w:val="00A673BE"/>
    <w:rsid w:val="00A67C23"/>
    <w:rsid w:val="00A67CC1"/>
    <w:rsid w:val="00A67D52"/>
    <w:rsid w:val="00A7090B"/>
    <w:rsid w:val="00A70D48"/>
    <w:rsid w:val="00A71309"/>
    <w:rsid w:val="00A71D26"/>
    <w:rsid w:val="00A71E5F"/>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1AF"/>
    <w:rsid w:val="00A778A1"/>
    <w:rsid w:val="00A779D0"/>
    <w:rsid w:val="00A80747"/>
    <w:rsid w:val="00A807F2"/>
    <w:rsid w:val="00A80990"/>
    <w:rsid w:val="00A8135A"/>
    <w:rsid w:val="00A81980"/>
    <w:rsid w:val="00A824C5"/>
    <w:rsid w:val="00A827B7"/>
    <w:rsid w:val="00A8299E"/>
    <w:rsid w:val="00A829D5"/>
    <w:rsid w:val="00A82A0C"/>
    <w:rsid w:val="00A82CA2"/>
    <w:rsid w:val="00A82D4A"/>
    <w:rsid w:val="00A8319E"/>
    <w:rsid w:val="00A83524"/>
    <w:rsid w:val="00A838FB"/>
    <w:rsid w:val="00A83A98"/>
    <w:rsid w:val="00A83C1F"/>
    <w:rsid w:val="00A84290"/>
    <w:rsid w:val="00A84B26"/>
    <w:rsid w:val="00A854D3"/>
    <w:rsid w:val="00A8559A"/>
    <w:rsid w:val="00A85719"/>
    <w:rsid w:val="00A85854"/>
    <w:rsid w:val="00A85F7E"/>
    <w:rsid w:val="00A86BD3"/>
    <w:rsid w:val="00A86BF5"/>
    <w:rsid w:val="00A86EC0"/>
    <w:rsid w:val="00A87E2B"/>
    <w:rsid w:val="00A90448"/>
    <w:rsid w:val="00A905B6"/>
    <w:rsid w:val="00A9096C"/>
    <w:rsid w:val="00A90AF3"/>
    <w:rsid w:val="00A90F95"/>
    <w:rsid w:val="00A912B5"/>
    <w:rsid w:val="00A9140E"/>
    <w:rsid w:val="00A914F8"/>
    <w:rsid w:val="00A91511"/>
    <w:rsid w:val="00A91826"/>
    <w:rsid w:val="00A919D8"/>
    <w:rsid w:val="00A91A0D"/>
    <w:rsid w:val="00A92499"/>
    <w:rsid w:val="00A925E9"/>
    <w:rsid w:val="00A9324E"/>
    <w:rsid w:val="00A93797"/>
    <w:rsid w:val="00A93840"/>
    <w:rsid w:val="00A94114"/>
    <w:rsid w:val="00A9440E"/>
    <w:rsid w:val="00A947C9"/>
    <w:rsid w:val="00A948B2"/>
    <w:rsid w:val="00A94B57"/>
    <w:rsid w:val="00A952E2"/>
    <w:rsid w:val="00A95647"/>
    <w:rsid w:val="00A95991"/>
    <w:rsid w:val="00A95C65"/>
    <w:rsid w:val="00A96685"/>
    <w:rsid w:val="00A967BA"/>
    <w:rsid w:val="00A969FB"/>
    <w:rsid w:val="00A97615"/>
    <w:rsid w:val="00A9794E"/>
    <w:rsid w:val="00A97A96"/>
    <w:rsid w:val="00A97BEB"/>
    <w:rsid w:val="00A97E70"/>
    <w:rsid w:val="00A97FBD"/>
    <w:rsid w:val="00AA0C81"/>
    <w:rsid w:val="00AA0DBD"/>
    <w:rsid w:val="00AA0F1C"/>
    <w:rsid w:val="00AA1149"/>
    <w:rsid w:val="00AA14D3"/>
    <w:rsid w:val="00AA1F14"/>
    <w:rsid w:val="00AA2041"/>
    <w:rsid w:val="00AA2316"/>
    <w:rsid w:val="00AA2407"/>
    <w:rsid w:val="00AA2EC8"/>
    <w:rsid w:val="00AA3457"/>
    <w:rsid w:val="00AA38CF"/>
    <w:rsid w:val="00AA3943"/>
    <w:rsid w:val="00AA39D8"/>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65E3"/>
    <w:rsid w:val="00AA66F1"/>
    <w:rsid w:val="00AA67A0"/>
    <w:rsid w:val="00AA6803"/>
    <w:rsid w:val="00AA6A25"/>
    <w:rsid w:val="00AA6BD2"/>
    <w:rsid w:val="00AA6CC3"/>
    <w:rsid w:val="00AA6E65"/>
    <w:rsid w:val="00AA7201"/>
    <w:rsid w:val="00AA77C3"/>
    <w:rsid w:val="00AA79E6"/>
    <w:rsid w:val="00AA7A75"/>
    <w:rsid w:val="00AA7BB0"/>
    <w:rsid w:val="00AA7ECA"/>
    <w:rsid w:val="00AB00B4"/>
    <w:rsid w:val="00AB0384"/>
    <w:rsid w:val="00AB04CA"/>
    <w:rsid w:val="00AB0879"/>
    <w:rsid w:val="00AB0E1C"/>
    <w:rsid w:val="00AB0E50"/>
    <w:rsid w:val="00AB1027"/>
    <w:rsid w:val="00AB11A9"/>
    <w:rsid w:val="00AB1262"/>
    <w:rsid w:val="00AB1C78"/>
    <w:rsid w:val="00AB20FB"/>
    <w:rsid w:val="00AB2C4D"/>
    <w:rsid w:val="00AB2F1E"/>
    <w:rsid w:val="00AB3522"/>
    <w:rsid w:val="00AB35D0"/>
    <w:rsid w:val="00AB36AE"/>
    <w:rsid w:val="00AB372B"/>
    <w:rsid w:val="00AB3ADA"/>
    <w:rsid w:val="00AB3BF4"/>
    <w:rsid w:val="00AB3D5C"/>
    <w:rsid w:val="00AB4F52"/>
    <w:rsid w:val="00AB5445"/>
    <w:rsid w:val="00AB5614"/>
    <w:rsid w:val="00AB56D7"/>
    <w:rsid w:val="00AB5854"/>
    <w:rsid w:val="00AB5A67"/>
    <w:rsid w:val="00AB61C3"/>
    <w:rsid w:val="00AB6557"/>
    <w:rsid w:val="00AB65AD"/>
    <w:rsid w:val="00AB6C88"/>
    <w:rsid w:val="00AB6D47"/>
    <w:rsid w:val="00AB70EE"/>
    <w:rsid w:val="00AB7942"/>
    <w:rsid w:val="00AB7E4C"/>
    <w:rsid w:val="00AC00F6"/>
    <w:rsid w:val="00AC0260"/>
    <w:rsid w:val="00AC061A"/>
    <w:rsid w:val="00AC0866"/>
    <w:rsid w:val="00AC0D50"/>
    <w:rsid w:val="00AC0F8A"/>
    <w:rsid w:val="00AC13BB"/>
    <w:rsid w:val="00AC13D3"/>
    <w:rsid w:val="00AC14EF"/>
    <w:rsid w:val="00AC1829"/>
    <w:rsid w:val="00AC1D7F"/>
    <w:rsid w:val="00AC1EC3"/>
    <w:rsid w:val="00AC28CC"/>
    <w:rsid w:val="00AC2D68"/>
    <w:rsid w:val="00AC30A1"/>
    <w:rsid w:val="00AC317C"/>
    <w:rsid w:val="00AC3891"/>
    <w:rsid w:val="00AC3900"/>
    <w:rsid w:val="00AC3AAE"/>
    <w:rsid w:val="00AC3C21"/>
    <w:rsid w:val="00AC45B0"/>
    <w:rsid w:val="00AC463D"/>
    <w:rsid w:val="00AC4903"/>
    <w:rsid w:val="00AC4A22"/>
    <w:rsid w:val="00AC4A9F"/>
    <w:rsid w:val="00AC4AD3"/>
    <w:rsid w:val="00AC4DBF"/>
    <w:rsid w:val="00AC52BC"/>
    <w:rsid w:val="00AC54BF"/>
    <w:rsid w:val="00AC5547"/>
    <w:rsid w:val="00AC596F"/>
    <w:rsid w:val="00AC5ADC"/>
    <w:rsid w:val="00AC5F8D"/>
    <w:rsid w:val="00AC6209"/>
    <w:rsid w:val="00AC64D6"/>
    <w:rsid w:val="00AC6513"/>
    <w:rsid w:val="00AC6645"/>
    <w:rsid w:val="00AC6AD1"/>
    <w:rsid w:val="00AC6E15"/>
    <w:rsid w:val="00AC6F9A"/>
    <w:rsid w:val="00AC706E"/>
    <w:rsid w:val="00AC7142"/>
    <w:rsid w:val="00AC78E6"/>
    <w:rsid w:val="00AD102F"/>
    <w:rsid w:val="00AD12E8"/>
    <w:rsid w:val="00AD151B"/>
    <w:rsid w:val="00AD193B"/>
    <w:rsid w:val="00AD1B13"/>
    <w:rsid w:val="00AD1EB8"/>
    <w:rsid w:val="00AD20DF"/>
    <w:rsid w:val="00AD2296"/>
    <w:rsid w:val="00AD2B5A"/>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88F"/>
    <w:rsid w:val="00AD693C"/>
    <w:rsid w:val="00AD69F4"/>
    <w:rsid w:val="00AD6E13"/>
    <w:rsid w:val="00AD76CA"/>
    <w:rsid w:val="00AD7E95"/>
    <w:rsid w:val="00AD7EEC"/>
    <w:rsid w:val="00AE01EC"/>
    <w:rsid w:val="00AE065C"/>
    <w:rsid w:val="00AE09C7"/>
    <w:rsid w:val="00AE0B4D"/>
    <w:rsid w:val="00AE0CC9"/>
    <w:rsid w:val="00AE1B40"/>
    <w:rsid w:val="00AE1C9F"/>
    <w:rsid w:val="00AE2327"/>
    <w:rsid w:val="00AE2348"/>
    <w:rsid w:val="00AE2715"/>
    <w:rsid w:val="00AE2760"/>
    <w:rsid w:val="00AE2BEE"/>
    <w:rsid w:val="00AE2E18"/>
    <w:rsid w:val="00AE3873"/>
    <w:rsid w:val="00AE3D24"/>
    <w:rsid w:val="00AE3D93"/>
    <w:rsid w:val="00AE3F2A"/>
    <w:rsid w:val="00AE4417"/>
    <w:rsid w:val="00AE4421"/>
    <w:rsid w:val="00AE51B8"/>
    <w:rsid w:val="00AE5355"/>
    <w:rsid w:val="00AE547A"/>
    <w:rsid w:val="00AE5573"/>
    <w:rsid w:val="00AE569D"/>
    <w:rsid w:val="00AE572F"/>
    <w:rsid w:val="00AE577A"/>
    <w:rsid w:val="00AE5829"/>
    <w:rsid w:val="00AE597D"/>
    <w:rsid w:val="00AE5C4E"/>
    <w:rsid w:val="00AE67EC"/>
    <w:rsid w:val="00AE699E"/>
    <w:rsid w:val="00AE6B4A"/>
    <w:rsid w:val="00AE6BD2"/>
    <w:rsid w:val="00AE7DDA"/>
    <w:rsid w:val="00AE7F8F"/>
    <w:rsid w:val="00AF02AA"/>
    <w:rsid w:val="00AF034F"/>
    <w:rsid w:val="00AF0CE7"/>
    <w:rsid w:val="00AF0EA7"/>
    <w:rsid w:val="00AF0F34"/>
    <w:rsid w:val="00AF13F9"/>
    <w:rsid w:val="00AF146F"/>
    <w:rsid w:val="00AF1889"/>
    <w:rsid w:val="00AF1CD2"/>
    <w:rsid w:val="00AF1E7A"/>
    <w:rsid w:val="00AF1F91"/>
    <w:rsid w:val="00AF2437"/>
    <w:rsid w:val="00AF2A92"/>
    <w:rsid w:val="00AF2AC4"/>
    <w:rsid w:val="00AF2F71"/>
    <w:rsid w:val="00AF3116"/>
    <w:rsid w:val="00AF3479"/>
    <w:rsid w:val="00AF3CA2"/>
    <w:rsid w:val="00AF3EFE"/>
    <w:rsid w:val="00AF4007"/>
    <w:rsid w:val="00AF406E"/>
    <w:rsid w:val="00AF40F3"/>
    <w:rsid w:val="00AF4274"/>
    <w:rsid w:val="00AF47F2"/>
    <w:rsid w:val="00AF4DAF"/>
    <w:rsid w:val="00AF5550"/>
    <w:rsid w:val="00AF5755"/>
    <w:rsid w:val="00AF5B68"/>
    <w:rsid w:val="00AF5E48"/>
    <w:rsid w:val="00AF652E"/>
    <w:rsid w:val="00AF714C"/>
    <w:rsid w:val="00AF72C7"/>
    <w:rsid w:val="00AF788F"/>
    <w:rsid w:val="00AF795C"/>
    <w:rsid w:val="00AF7F51"/>
    <w:rsid w:val="00B00134"/>
    <w:rsid w:val="00B002F3"/>
    <w:rsid w:val="00B018B7"/>
    <w:rsid w:val="00B01C90"/>
    <w:rsid w:val="00B01D31"/>
    <w:rsid w:val="00B02021"/>
    <w:rsid w:val="00B02229"/>
    <w:rsid w:val="00B02311"/>
    <w:rsid w:val="00B0281D"/>
    <w:rsid w:val="00B02BC3"/>
    <w:rsid w:val="00B02E35"/>
    <w:rsid w:val="00B02F5B"/>
    <w:rsid w:val="00B0344E"/>
    <w:rsid w:val="00B03B8C"/>
    <w:rsid w:val="00B03C88"/>
    <w:rsid w:val="00B04115"/>
    <w:rsid w:val="00B041B2"/>
    <w:rsid w:val="00B04421"/>
    <w:rsid w:val="00B045B4"/>
    <w:rsid w:val="00B046B4"/>
    <w:rsid w:val="00B04A7A"/>
    <w:rsid w:val="00B04EFB"/>
    <w:rsid w:val="00B04FF9"/>
    <w:rsid w:val="00B0539B"/>
    <w:rsid w:val="00B05405"/>
    <w:rsid w:val="00B05577"/>
    <w:rsid w:val="00B05908"/>
    <w:rsid w:val="00B059DA"/>
    <w:rsid w:val="00B059F7"/>
    <w:rsid w:val="00B05C9D"/>
    <w:rsid w:val="00B05DB5"/>
    <w:rsid w:val="00B06D49"/>
    <w:rsid w:val="00B06F4A"/>
    <w:rsid w:val="00B07261"/>
    <w:rsid w:val="00B07467"/>
    <w:rsid w:val="00B10427"/>
    <w:rsid w:val="00B111F3"/>
    <w:rsid w:val="00B11D3F"/>
    <w:rsid w:val="00B123F5"/>
    <w:rsid w:val="00B126F7"/>
    <w:rsid w:val="00B12BB8"/>
    <w:rsid w:val="00B13922"/>
    <w:rsid w:val="00B140CE"/>
    <w:rsid w:val="00B143A4"/>
    <w:rsid w:val="00B14550"/>
    <w:rsid w:val="00B147C3"/>
    <w:rsid w:val="00B14BF4"/>
    <w:rsid w:val="00B150AA"/>
    <w:rsid w:val="00B15876"/>
    <w:rsid w:val="00B15A06"/>
    <w:rsid w:val="00B15F13"/>
    <w:rsid w:val="00B1616D"/>
    <w:rsid w:val="00B16211"/>
    <w:rsid w:val="00B1659A"/>
    <w:rsid w:val="00B166D8"/>
    <w:rsid w:val="00B16996"/>
    <w:rsid w:val="00B16A9B"/>
    <w:rsid w:val="00B16B17"/>
    <w:rsid w:val="00B1707B"/>
    <w:rsid w:val="00B172A3"/>
    <w:rsid w:val="00B1733A"/>
    <w:rsid w:val="00B1759E"/>
    <w:rsid w:val="00B176B8"/>
    <w:rsid w:val="00B1784C"/>
    <w:rsid w:val="00B179AF"/>
    <w:rsid w:val="00B17A8A"/>
    <w:rsid w:val="00B17BA2"/>
    <w:rsid w:val="00B17CF4"/>
    <w:rsid w:val="00B17DF6"/>
    <w:rsid w:val="00B17E7F"/>
    <w:rsid w:val="00B20BE0"/>
    <w:rsid w:val="00B21067"/>
    <w:rsid w:val="00B21262"/>
    <w:rsid w:val="00B21373"/>
    <w:rsid w:val="00B21C09"/>
    <w:rsid w:val="00B21DA9"/>
    <w:rsid w:val="00B21F22"/>
    <w:rsid w:val="00B22480"/>
    <w:rsid w:val="00B226C2"/>
    <w:rsid w:val="00B2270A"/>
    <w:rsid w:val="00B233BE"/>
    <w:rsid w:val="00B233E6"/>
    <w:rsid w:val="00B23617"/>
    <w:rsid w:val="00B24979"/>
    <w:rsid w:val="00B24C4A"/>
    <w:rsid w:val="00B25162"/>
    <w:rsid w:val="00B25426"/>
    <w:rsid w:val="00B25AA2"/>
    <w:rsid w:val="00B25B82"/>
    <w:rsid w:val="00B25C9D"/>
    <w:rsid w:val="00B25CEE"/>
    <w:rsid w:val="00B2612E"/>
    <w:rsid w:val="00B26427"/>
    <w:rsid w:val="00B2723E"/>
    <w:rsid w:val="00B27308"/>
    <w:rsid w:val="00B27352"/>
    <w:rsid w:val="00B2768F"/>
    <w:rsid w:val="00B27AFF"/>
    <w:rsid w:val="00B27DD6"/>
    <w:rsid w:val="00B304E2"/>
    <w:rsid w:val="00B30861"/>
    <w:rsid w:val="00B308DD"/>
    <w:rsid w:val="00B30B8D"/>
    <w:rsid w:val="00B310AD"/>
    <w:rsid w:val="00B311AF"/>
    <w:rsid w:val="00B3127D"/>
    <w:rsid w:val="00B31754"/>
    <w:rsid w:val="00B319C9"/>
    <w:rsid w:val="00B31FC9"/>
    <w:rsid w:val="00B32235"/>
    <w:rsid w:val="00B3260B"/>
    <w:rsid w:val="00B32845"/>
    <w:rsid w:val="00B3289C"/>
    <w:rsid w:val="00B328A1"/>
    <w:rsid w:val="00B32AE2"/>
    <w:rsid w:val="00B32AEA"/>
    <w:rsid w:val="00B32B74"/>
    <w:rsid w:val="00B32E96"/>
    <w:rsid w:val="00B33004"/>
    <w:rsid w:val="00B3328F"/>
    <w:rsid w:val="00B3387E"/>
    <w:rsid w:val="00B3415C"/>
    <w:rsid w:val="00B344A7"/>
    <w:rsid w:val="00B347B3"/>
    <w:rsid w:val="00B34845"/>
    <w:rsid w:val="00B34EF4"/>
    <w:rsid w:val="00B34F18"/>
    <w:rsid w:val="00B351C7"/>
    <w:rsid w:val="00B35501"/>
    <w:rsid w:val="00B359AD"/>
    <w:rsid w:val="00B36710"/>
    <w:rsid w:val="00B36D25"/>
    <w:rsid w:val="00B3790F"/>
    <w:rsid w:val="00B37950"/>
    <w:rsid w:val="00B37B58"/>
    <w:rsid w:val="00B37E14"/>
    <w:rsid w:val="00B37F29"/>
    <w:rsid w:val="00B400DF"/>
    <w:rsid w:val="00B4013E"/>
    <w:rsid w:val="00B4026E"/>
    <w:rsid w:val="00B40F37"/>
    <w:rsid w:val="00B4124B"/>
    <w:rsid w:val="00B41B04"/>
    <w:rsid w:val="00B41BD2"/>
    <w:rsid w:val="00B41C3B"/>
    <w:rsid w:val="00B41DFB"/>
    <w:rsid w:val="00B4203C"/>
    <w:rsid w:val="00B420BB"/>
    <w:rsid w:val="00B423C0"/>
    <w:rsid w:val="00B4264E"/>
    <w:rsid w:val="00B42BD9"/>
    <w:rsid w:val="00B4362D"/>
    <w:rsid w:val="00B43686"/>
    <w:rsid w:val="00B43B84"/>
    <w:rsid w:val="00B448E8"/>
    <w:rsid w:val="00B44C49"/>
    <w:rsid w:val="00B44C79"/>
    <w:rsid w:val="00B44CC4"/>
    <w:rsid w:val="00B44DCD"/>
    <w:rsid w:val="00B44F4A"/>
    <w:rsid w:val="00B45A78"/>
    <w:rsid w:val="00B45A7C"/>
    <w:rsid w:val="00B45B16"/>
    <w:rsid w:val="00B45E14"/>
    <w:rsid w:val="00B46415"/>
    <w:rsid w:val="00B464AF"/>
    <w:rsid w:val="00B465F1"/>
    <w:rsid w:val="00B46A48"/>
    <w:rsid w:val="00B46BCE"/>
    <w:rsid w:val="00B46D5B"/>
    <w:rsid w:val="00B46F88"/>
    <w:rsid w:val="00B4705D"/>
    <w:rsid w:val="00B47675"/>
    <w:rsid w:val="00B478D7"/>
    <w:rsid w:val="00B47BD8"/>
    <w:rsid w:val="00B500CE"/>
    <w:rsid w:val="00B5026B"/>
    <w:rsid w:val="00B50380"/>
    <w:rsid w:val="00B51305"/>
    <w:rsid w:val="00B5162E"/>
    <w:rsid w:val="00B51BE5"/>
    <w:rsid w:val="00B51DE9"/>
    <w:rsid w:val="00B51E5E"/>
    <w:rsid w:val="00B51F48"/>
    <w:rsid w:val="00B520BD"/>
    <w:rsid w:val="00B524B6"/>
    <w:rsid w:val="00B5287C"/>
    <w:rsid w:val="00B52A45"/>
    <w:rsid w:val="00B52C93"/>
    <w:rsid w:val="00B537E4"/>
    <w:rsid w:val="00B53BF7"/>
    <w:rsid w:val="00B53EBD"/>
    <w:rsid w:val="00B5401D"/>
    <w:rsid w:val="00B54024"/>
    <w:rsid w:val="00B54151"/>
    <w:rsid w:val="00B547B3"/>
    <w:rsid w:val="00B549AA"/>
    <w:rsid w:val="00B54C28"/>
    <w:rsid w:val="00B54E6E"/>
    <w:rsid w:val="00B55D75"/>
    <w:rsid w:val="00B55DBF"/>
    <w:rsid w:val="00B55DFF"/>
    <w:rsid w:val="00B56259"/>
    <w:rsid w:val="00B56439"/>
    <w:rsid w:val="00B5719A"/>
    <w:rsid w:val="00B5728B"/>
    <w:rsid w:val="00B57479"/>
    <w:rsid w:val="00B57CE2"/>
    <w:rsid w:val="00B57CF0"/>
    <w:rsid w:val="00B57E79"/>
    <w:rsid w:val="00B57F84"/>
    <w:rsid w:val="00B57FEA"/>
    <w:rsid w:val="00B6022E"/>
    <w:rsid w:val="00B6061D"/>
    <w:rsid w:val="00B60D96"/>
    <w:rsid w:val="00B615B5"/>
    <w:rsid w:val="00B616D6"/>
    <w:rsid w:val="00B61842"/>
    <w:rsid w:val="00B62153"/>
    <w:rsid w:val="00B62654"/>
    <w:rsid w:val="00B63089"/>
    <w:rsid w:val="00B63212"/>
    <w:rsid w:val="00B63811"/>
    <w:rsid w:val="00B63907"/>
    <w:rsid w:val="00B6390D"/>
    <w:rsid w:val="00B63ED8"/>
    <w:rsid w:val="00B641EB"/>
    <w:rsid w:val="00B6487A"/>
    <w:rsid w:val="00B64A51"/>
    <w:rsid w:val="00B64B92"/>
    <w:rsid w:val="00B64CDC"/>
    <w:rsid w:val="00B653D9"/>
    <w:rsid w:val="00B654C1"/>
    <w:rsid w:val="00B655B4"/>
    <w:rsid w:val="00B66073"/>
    <w:rsid w:val="00B660B2"/>
    <w:rsid w:val="00B6640B"/>
    <w:rsid w:val="00B66643"/>
    <w:rsid w:val="00B66BCD"/>
    <w:rsid w:val="00B66C39"/>
    <w:rsid w:val="00B6765D"/>
    <w:rsid w:val="00B6797E"/>
    <w:rsid w:val="00B679EC"/>
    <w:rsid w:val="00B67BA1"/>
    <w:rsid w:val="00B67DA1"/>
    <w:rsid w:val="00B67E7D"/>
    <w:rsid w:val="00B70411"/>
    <w:rsid w:val="00B7045F"/>
    <w:rsid w:val="00B705A4"/>
    <w:rsid w:val="00B70D13"/>
    <w:rsid w:val="00B70EF5"/>
    <w:rsid w:val="00B71383"/>
    <w:rsid w:val="00B7171D"/>
    <w:rsid w:val="00B71782"/>
    <w:rsid w:val="00B71DE5"/>
    <w:rsid w:val="00B71FD7"/>
    <w:rsid w:val="00B721AF"/>
    <w:rsid w:val="00B72305"/>
    <w:rsid w:val="00B726B9"/>
    <w:rsid w:val="00B727F3"/>
    <w:rsid w:val="00B72994"/>
    <w:rsid w:val="00B72DA7"/>
    <w:rsid w:val="00B72E37"/>
    <w:rsid w:val="00B72F3B"/>
    <w:rsid w:val="00B7326B"/>
    <w:rsid w:val="00B73A31"/>
    <w:rsid w:val="00B73A7F"/>
    <w:rsid w:val="00B73E22"/>
    <w:rsid w:val="00B73E86"/>
    <w:rsid w:val="00B740C1"/>
    <w:rsid w:val="00B742B6"/>
    <w:rsid w:val="00B743E6"/>
    <w:rsid w:val="00B750D9"/>
    <w:rsid w:val="00B7516E"/>
    <w:rsid w:val="00B7529B"/>
    <w:rsid w:val="00B75542"/>
    <w:rsid w:val="00B7591D"/>
    <w:rsid w:val="00B75959"/>
    <w:rsid w:val="00B75ACC"/>
    <w:rsid w:val="00B7607C"/>
    <w:rsid w:val="00B765D2"/>
    <w:rsid w:val="00B77076"/>
    <w:rsid w:val="00B77319"/>
    <w:rsid w:val="00B774A4"/>
    <w:rsid w:val="00B7758B"/>
    <w:rsid w:val="00B77ABA"/>
    <w:rsid w:val="00B77B8C"/>
    <w:rsid w:val="00B77BEC"/>
    <w:rsid w:val="00B80502"/>
    <w:rsid w:val="00B80569"/>
    <w:rsid w:val="00B80816"/>
    <w:rsid w:val="00B80C34"/>
    <w:rsid w:val="00B80C36"/>
    <w:rsid w:val="00B80C45"/>
    <w:rsid w:val="00B80EBF"/>
    <w:rsid w:val="00B811A4"/>
    <w:rsid w:val="00B81580"/>
    <w:rsid w:val="00B817BF"/>
    <w:rsid w:val="00B81C6F"/>
    <w:rsid w:val="00B81C84"/>
    <w:rsid w:val="00B81D4B"/>
    <w:rsid w:val="00B820EB"/>
    <w:rsid w:val="00B82202"/>
    <w:rsid w:val="00B825EC"/>
    <w:rsid w:val="00B82A0F"/>
    <w:rsid w:val="00B82FEE"/>
    <w:rsid w:val="00B82FF8"/>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AA4"/>
    <w:rsid w:val="00B85E43"/>
    <w:rsid w:val="00B85E58"/>
    <w:rsid w:val="00B863EE"/>
    <w:rsid w:val="00B8679F"/>
    <w:rsid w:val="00B868B1"/>
    <w:rsid w:val="00B86B46"/>
    <w:rsid w:val="00B86B6B"/>
    <w:rsid w:val="00B86E4C"/>
    <w:rsid w:val="00B87333"/>
    <w:rsid w:val="00B8777B"/>
    <w:rsid w:val="00B87F7D"/>
    <w:rsid w:val="00B90C87"/>
    <w:rsid w:val="00B9114E"/>
    <w:rsid w:val="00B9131E"/>
    <w:rsid w:val="00B9133C"/>
    <w:rsid w:val="00B91D63"/>
    <w:rsid w:val="00B920A3"/>
    <w:rsid w:val="00B92190"/>
    <w:rsid w:val="00B922D1"/>
    <w:rsid w:val="00B9262F"/>
    <w:rsid w:val="00B92F3A"/>
    <w:rsid w:val="00B930ED"/>
    <w:rsid w:val="00B93146"/>
    <w:rsid w:val="00B931E1"/>
    <w:rsid w:val="00B93952"/>
    <w:rsid w:val="00B93A00"/>
    <w:rsid w:val="00B93E2B"/>
    <w:rsid w:val="00B94232"/>
    <w:rsid w:val="00B9469A"/>
    <w:rsid w:val="00B94739"/>
    <w:rsid w:val="00B947B7"/>
    <w:rsid w:val="00B94D63"/>
    <w:rsid w:val="00B9511A"/>
    <w:rsid w:val="00B9521D"/>
    <w:rsid w:val="00B96484"/>
    <w:rsid w:val="00B9658E"/>
    <w:rsid w:val="00B96F3A"/>
    <w:rsid w:val="00B97448"/>
    <w:rsid w:val="00B97AB8"/>
    <w:rsid w:val="00BA0048"/>
    <w:rsid w:val="00BA00FE"/>
    <w:rsid w:val="00BA0296"/>
    <w:rsid w:val="00BA0AB0"/>
    <w:rsid w:val="00BA0E2A"/>
    <w:rsid w:val="00BA1990"/>
    <w:rsid w:val="00BA1DB2"/>
    <w:rsid w:val="00BA1FFF"/>
    <w:rsid w:val="00BA218C"/>
    <w:rsid w:val="00BA289C"/>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1537"/>
    <w:rsid w:val="00BB3075"/>
    <w:rsid w:val="00BB3146"/>
    <w:rsid w:val="00BB34E9"/>
    <w:rsid w:val="00BB37A1"/>
    <w:rsid w:val="00BB3E9F"/>
    <w:rsid w:val="00BB4205"/>
    <w:rsid w:val="00BB42FE"/>
    <w:rsid w:val="00BB45F0"/>
    <w:rsid w:val="00BB4639"/>
    <w:rsid w:val="00BB4DB9"/>
    <w:rsid w:val="00BB4F13"/>
    <w:rsid w:val="00BB505A"/>
    <w:rsid w:val="00BB55C3"/>
    <w:rsid w:val="00BB5AC0"/>
    <w:rsid w:val="00BB5DE0"/>
    <w:rsid w:val="00BB600E"/>
    <w:rsid w:val="00BB64AD"/>
    <w:rsid w:val="00BB659C"/>
    <w:rsid w:val="00BB6697"/>
    <w:rsid w:val="00BB67AC"/>
    <w:rsid w:val="00BB6985"/>
    <w:rsid w:val="00BB7A0B"/>
    <w:rsid w:val="00BC0091"/>
    <w:rsid w:val="00BC0312"/>
    <w:rsid w:val="00BC0B50"/>
    <w:rsid w:val="00BC0CF7"/>
    <w:rsid w:val="00BC0EC4"/>
    <w:rsid w:val="00BC1110"/>
    <w:rsid w:val="00BC12E1"/>
    <w:rsid w:val="00BC1A46"/>
    <w:rsid w:val="00BC2930"/>
    <w:rsid w:val="00BC2B8B"/>
    <w:rsid w:val="00BC2BC7"/>
    <w:rsid w:val="00BC300F"/>
    <w:rsid w:val="00BC37C0"/>
    <w:rsid w:val="00BC3F7E"/>
    <w:rsid w:val="00BC4149"/>
    <w:rsid w:val="00BC429F"/>
    <w:rsid w:val="00BC44A5"/>
    <w:rsid w:val="00BC4576"/>
    <w:rsid w:val="00BC46B5"/>
    <w:rsid w:val="00BC4EF6"/>
    <w:rsid w:val="00BC5092"/>
    <w:rsid w:val="00BC5493"/>
    <w:rsid w:val="00BC597A"/>
    <w:rsid w:val="00BC660E"/>
    <w:rsid w:val="00BC6D07"/>
    <w:rsid w:val="00BC72BA"/>
    <w:rsid w:val="00BC759A"/>
    <w:rsid w:val="00BC78EC"/>
    <w:rsid w:val="00BC7A07"/>
    <w:rsid w:val="00BC7BD1"/>
    <w:rsid w:val="00BC7D56"/>
    <w:rsid w:val="00BD024A"/>
    <w:rsid w:val="00BD09B8"/>
    <w:rsid w:val="00BD0FE7"/>
    <w:rsid w:val="00BD1216"/>
    <w:rsid w:val="00BD138D"/>
    <w:rsid w:val="00BD1570"/>
    <w:rsid w:val="00BD1E53"/>
    <w:rsid w:val="00BD2142"/>
    <w:rsid w:val="00BD2270"/>
    <w:rsid w:val="00BD23F5"/>
    <w:rsid w:val="00BD2873"/>
    <w:rsid w:val="00BD2892"/>
    <w:rsid w:val="00BD2B77"/>
    <w:rsid w:val="00BD2C79"/>
    <w:rsid w:val="00BD3254"/>
    <w:rsid w:val="00BD3675"/>
    <w:rsid w:val="00BD3729"/>
    <w:rsid w:val="00BD3A1C"/>
    <w:rsid w:val="00BD3AB2"/>
    <w:rsid w:val="00BD3E68"/>
    <w:rsid w:val="00BD4730"/>
    <w:rsid w:val="00BD485E"/>
    <w:rsid w:val="00BD4C06"/>
    <w:rsid w:val="00BD534F"/>
    <w:rsid w:val="00BD5491"/>
    <w:rsid w:val="00BD562C"/>
    <w:rsid w:val="00BD56C8"/>
    <w:rsid w:val="00BD56D1"/>
    <w:rsid w:val="00BD57D3"/>
    <w:rsid w:val="00BD5EB0"/>
    <w:rsid w:val="00BD619C"/>
    <w:rsid w:val="00BD635B"/>
    <w:rsid w:val="00BD6819"/>
    <w:rsid w:val="00BD6F70"/>
    <w:rsid w:val="00BD748C"/>
    <w:rsid w:val="00BD75A8"/>
    <w:rsid w:val="00BD765D"/>
    <w:rsid w:val="00BD782D"/>
    <w:rsid w:val="00BD7876"/>
    <w:rsid w:val="00BD7995"/>
    <w:rsid w:val="00BD7C53"/>
    <w:rsid w:val="00BE0084"/>
    <w:rsid w:val="00BE04D3"/>
    <w:rsid w:val="00BE0B5E"/>
    <w:rsid w:val="00BE0E48"/>
    <w:rsid w:val="00BE103E"/>
    <w:rsid w:val="00BE171D"/>
    <w:rsid w:val="00BE1CD9"/>
    <w:rsid w:val="00BE1D6E"/>
    <w:rsid w:val="00BE26EE"/>
    <w:rsid w:val="00BE2759"/>
    <w:rsid w:val="00BE2EDE"/>
    <w:rsid w:val="00BE3091"/>
    <w:rsid w:val="00BE33C6"/>
    <w:rsid w:val="00BE362C"/>
    <w:rsid w:val="00BE364C"/>
    <w:rsid w:val="00BE38AA"/>
    <w:rsid w:val="00BE3F1E"/>
    <w:rsid w:val="00BE4740"/>
    <w:rsid w:val="00BE4778"/>
    <w:rsid w:val="00BE47AB"/>
    <w:rsid w:val="00BE4E64"/>
    <w:rsid w:val="00BE4FD8"/>
    <w:rsid w:val="00BE5AA2"/>
    <w:rsid w:val="00BE5AF0"/>
    <w:rsid w:val="00BE67C2"/>
    <w:rsid w:val="00BE68EB"/>
    <w:rsid w:val="00BE6FE8"/>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3299"/>
    <w:rsid w:val="00BF349C"/>
    <w:rsid w:val="00BF34AA"/>
    <w:rsid w:val="00BF3E21"/>
    <w:rsid w:val="00BF3EEF"/>
    <w:rsid w:val="00BF3EF6"/>
    <w:rsid w:val="00BF43CE"/>
    <w:rsid w:val="00BF44E8"/>
    <w:rsid w:val="00BF45D7"/>
    <w:rsid w:val="00BF464C"/>
    <w:rsid w:val="00BF4852"/>
    <w:rsid w:val="00BF4903"/>
    <w:rsid w:val="00BF4AA1"/>
    <w:rsid w:val="00BF4D18"/>
    <w:rsid w:val="00BF5C59"/>
    <w:rsid w:val="00BF5F44"/>
    <w:rsid w:val="00BF603B"/>
    <w:rsid w:val="00BF6A77"/>
    <w:rsid w:val="00BF6E64"/>
    <w:rsid w:val="00BF70C1"/>
    <w:rsid w:val="00BF7197"/>
    <w:rsid w:val="00BF72A8"/>
    <w:rsid w:val="00BF72CB"/>
    <w:rsid w:val="00BF7A62"/>
    <w:rsid w:val="00C00FEE"/>
    <w:rsid w:val="00C013F3"/>
    <w:rsid w:val="00C01532"/>
    <w:rsid w:val="00C016CC"/>
    <w:rsid w:val="00C017AE"/>
    <w:rsid w:val="00C021DE"/>
    <w:rsid w:val="00C02379"/>
    <w:rsid w:val="00C023DA"/>
    <w:rsid w:val="00C0262D"/>
    <w:rsid w:val="00C0290E"/>
    <w:rsid w:val="00C02C88"/>
    <w:rsid w:val="00C02FC8"/>
    <w:rsid w:val="00C0389F"/>
    <w:rsid w:val="00C0407D"/>
    <w:rsid w:val="00C045C1"/>
    <w:rsid w:val="00C045C9"/>
    <w:rsid w:val="00C04A89"/>
    <w:rsid w:val="00C04C22"/>
    <w:rsid w:val="00C04C98"/>
    <w:rsid w:val="00C05477"/>
    <w:rsid w:val="00C05573"/>
    <w:rsid w:val="00C05661"/>
    <w:rsid w:val="00C05758"/>
    <w:rsid w:val="00C05C0E"/>
    <w:rsid w:val="00C06095"/>
    <w:rsid w:val="00C060E8"/>
    <w:rsid w:val="00C06160"/>
    <w:rsid w:val="00C0649C"/>
    <w:rsid w:val="00C06543"/>
    <w:rsid w:val="00C06B28"/>
    <w:rsid w:val="00C06C47"/>
    <w:rsid w:val="00C06CD5"/>
    <w:rsid w:val="00C06D84"/>
    <w:rsid w:val="00C06E43"/>
    <w:rsid w:val="00C07133"/>
    <w:rsid w:val="00C077AB"/>
    <w:rsid w:val="00C07D73"/>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55D"/>
    <w:rsid w:val="00C139F1"/>
    <w:rsid w:val="00C13F37"/>
    <w:rsid w:val="00C1429E"/>
    <w:rsid w:val="00C1443F"/>
    <w:rsid w:val="00C1495C"/>
    <w:rsid w:val="00C14D22"/>
    <w:rsid w:val="00C15267"/>
    <w:rsid w:val="00C15596"/>
    <w:rsid w:val="00C156FE"/>
    <w:rsid w:val="00C1583F"/>
    <w:rsid w:val="00C16260"/>
    <w:rsid w:val="00C1672E"/>
    <w:rsid w:val="00C170B1"/>
    <w:rsid w:val="00C171E0"/>
    <w:rsid w:val="00C171FE"/>
    <w:rsid w:val="00C172D3"/>
    <w:rsid w:val="00C172E5"/>
    <w:rsid w:val="00C174F0"/>
    <w:rsid w:val="00C176ED"/>
    <w:rsid w:val="00C17DB5"/>
    <w:rsid w:val="00C17E0A"/>
    <w:rsid w:val="00C200BD"/>
    <w:rsid w:val="00C20128"/>
    <w:rsid w:val="00C22027"/>
    <w:rsid w:val="00C23021"/>
    <w:rsid w:val="00C233A9"/>
    <w:rsid w:val="00C238AC"/>
    <w:rsid w:val="00C23D12"/>
    <w:rsid w:val="00C24356"/>
    <w:rsid w:val="00C24B43"/>
    <w:rsid w:val="00C24B97"/>
    <w:rsid w:val="00C255E7"/>
    <w:rsid w:val="00C258A1"/>
    <w:rsid w:val="00C25AAF"/>
    <w:rsid w:val="00C25CA1"/>
    <w:rsid w:val="00C25DA7"/>
    <w:rsid w:val="00C26B2B"/>
    <w:rsid w:val="00C26B8F"/>
    <w:rsid w:val="00C26EE6"/>
    <w:rsid w:val="00C26F45"/>
    <w:rsid w:val="00C27311"/>
    <w:rsid w:val="00C27317"/>
    <w:rsid w:val="00C27542"/>
    <w:rsid w:val="00C27BBA"/>
    <w:rsid w:val="00C27FE7"/>
    <w:rsid w:val="00C30211"/>
    <w:rsid w:val="00C30A73"/>
    <w:rsid w:val="00C30B0F"/>
    <w:rsid w:val="00C30D32"/>
    <w:rsid w:val="00C30DF3"/>
    <w:rsid w:val="00C30F98"/>
    <w:rsid w:val="00C31269"/>
    <w:rsid w:val="00C3135C"/>
    <w:rsid w:val="00C31B32"/>
    <w:rsid w:val="00C324A8"/>
    <w:rsid w:val="00C327FD"/>
    <w:rsid w:val="00C32B00"/>
    <w:rsid w:val="00C32FD1"/>
    <w:rsid w:val="00C32FF8"/>
    <w:rsid w:val="00C332A3"/>
    <w:rsid w:val="00C33526"/>
    <w:rsid w:val="00C335DF"/>
    <w:rsid w:val="00C33699"/>
    <w:rsid w:val="00C33E0C"/>
    <w:rsid w:val="00C33EA3"/>
    <w:rsid w:val="00C34C23"/>
    <w:rsid w:val="00C355F6"/>
    <w:rsid w:val="00C35BFE"/>
    <w:rsid w:val="00C35F82"/>
    <w:rsid w:val="00C36356"/>
    <w:rsid w:val="00C369B5"/>
    <w:rsid w:val="00C36CDB"/>
    <w:rsid w:val="00C36DC0"/>
    <w:rsid w:val="00C376BD"/>
    <w:rsid w:val="00C37AFE"/>
    <w:rsid w:val="00C37D8D"/>
    <w:rsid w:val="00C37EB2"/>
    <w:rsid w:val="00C37F5A"/>
    <w:rsid w:val="00C401B2"/>
    <w:rsid w:val="00C406F3"/>
    <w:rsid w:val="00C407D1"/>
    <w:rsid w:val="00C410B6"/>
    <w:rsid w:val="00C4119D"/>
    <w:rsid w:val="00C4122A"/>
    <w:rsid w:val="00C41F98"/>
    <w:rsid w:val="00C4201E"/>
    <w:rsid w:val="00C42A9F"/>
    <w:rsid w:val="00C42B8C"/>
    <w:rsid w:val="00C42C21"/>
    <w:rsid w:val="00C43112"/>
    <w:rsid w:val="00C432A4"/>
    <w:rsid w:val="00C43CE6"/>
    <w:rsid w:val="00C44863"/>
    <w:rsid w:val="00C44888"/>
    <w:rsid w:val="00C44CEC"/>
    <w:rsid w:val="00C45201"/>
    <w:rsid w:val="00C4545D"/>
    <w:rsid w:val="00C45896"/>
    <w:rsid w:val="00C459A8"/>
    <w:rsid w:val="00C45B1A"/>
    <w:rsid w:val="00C46131"/>
    <w:rsid w:val="00C46280"/>
    <w:rsid w:val="00C46289"/>
    <w:rsid w:val="00C46532"/>
    <w:rsid w:val="00C467A0"/>
    <w:rsid w:val="00C46879"/>
    <w:rsid w:val="00C469D5"/>
    <w:rsid w:val="00C46DDD"/>
    <w:rsid w:val="00C46F8D"/>
    <w:rsid w:val="00C471B1"/>
    <w:rsid w:val="00C47D02"/>
    <w:rsid w:val="00C50162"/>
    <w:rsid w:val="00C50236"/>
    <w:rsid w:val="00C508FC"/>
    <w:rsid w:val="00C50AE4"/>
    <w:rsid w:val="00C510F4"/>
    <w:rsid w:val="00C519DF"/>
    <w:rsid w:val="00C51AF1"/>
    <w:rsid w:val="00C51D12"/>
    <w:rsid w:val="00C51DEE"/>
    <w:rsid w:val="00C521E3"/>
    <w:rsid w:val="00C52422"/>
    <w:rsid w:val="00C52776"/>
    <w:rsid w:val="00C53418"/>
    <w:rsid w:val="00C53C60"/>
    <w:rsid w:val="00C54127"/>
    <w:rsid w:val="00C54181"/>
    <w:rsid w:val="00C543BD"/>
    <w:rsid w:val="00C54422"/>
    <w:rsid w:val="00C548D8"/>
    <w:rsid w:val="00C54A56"/>
    <w:rsid w:val="00C550FC"/>
    <w:rsid w:val="00C552FF"/>
    <w:rsid w:val="00C558D2"/>
    <w:rsid w:val="00C567F2"/>
    <w:rsid w:val="00C56CEC"/>
    <w:rsid w:val="00C56CF1"/>
    <w:rsid w:val="00C56D81"/>
    <w:rsid w:val="00C56E5E"/>
    <w:rsid w:val="00C56FC0"/>
    <w:rsid w:val="00C575C0"/>
    <w:rsid w:val="00C60AF5"/>
    <w:rsid w:val="00C6113E"/>
    <w:rsid w:val="00C61251"/>
    <w:rsid w:val="00C61390"/>
    <w:rsid w:val="00C6186F"/>
    <w:rsid w:val="00C61876"/>
    <w:rsid w:val="00C61936"/>
    <w:rsid w:val="00C61956"/>
    <w:rsid w:val="00C61A15"/>
    <w:rsid w:val="00C61A9C"/>
    <w:rsid w:val="00C61E82"/>
    <w:rsid w:val="00C61EB2"/>
    <w:rsid w:val="00C6209C"/>
    <w:rsid w:val="00C622D5"/>
    <w:rsid w:val="00C6249C"/>
    <w:rsid w:val="00C62536"/>
    <w:rsid w:val="00C625D4"/>
    <w:rsid w:val="00C62A62"/>
    <w:rsid w:val="00C62D6E"/>
    <w:rsid w:val="00C62E57"/>
    <w:rsid w:val="00C62EE4"/>
    <w:rsid w:val="00C63945"/>
    <w:rsid w:val="00C6499D"/>
    <w:rsid w:val="00C64B59"/>
    <w:rsid w:val="00C64E3A"/>
    <w:rsid w:val="00C651FF"/>
    <w:rsid w:val="00C6529F"/>
    <w:rsid w:val="00C65AFB"/>
    <w:rsid w:val="00C65D72"/>
    <w:rsid w:val="00C65F0E"/>
    <w:rsid w:val="00C65F4B"/>
    <w:rsid w:val="00C66202"/>
    <w:rsid w:val="00C664F9"/>
    <w:rsid w:val="00C6667B"/>
    <w:rsid w:val="00C6668E"/>
    <w:rsid w:val="00C667BC"/>
    <w:rsid w:val="00C66849"/>
    <w:rsid w:val="00C66FE0"/>
    <w:rsid w:val="00C675FB"/>
    <w:rsid w:val="00C67648"/>
    <w:rsid w:val="00C67C03"/>
    <w:rsid w:val="00C700DD"/>
    <w:rsid w:val="00C709A4"/>
    <w:rsid w:val="00C70C9D"/>
    <w:rsid w:val="00C70EA8"/>
    <w:rsid w:val="00C7107A"/>
    <w:rsid w:val="00C715F0"/>
    <w:rsid w:val="00C71714"/>
    <w:rsid w:val="00C717A1"/>
    <w:rsid w:val="00C72423"/>
    <w:rsid w:val="00C7256E"/>
    <w:rsid w:val="00C72910"/>
    <w:rsid w:val="00C72A55"/>
    <w:rsid w:val="00C72C1A"/>
    <w:rsid w:val="00C73353"/>
    <w:rsid w:val="00C7355D"/>
    <w:rsid w:val="00C739B9"/>
    <w:rsid w:val="00C73A5B"/>
    <w:rsid w:val="00C7417C"/>
    <w:rsid w:val="00C7441B"/>
    <w:rsid w:val="00C74B22"/>
    <w:rsid w:val="00C74D31"/>
    <w:rsid w:val="00C75319"/>
    <w:rsid w:val="00C7569E"/>
    <w:rsid w:val="00C7588A"/>
    <w:rsid w:val="00C7611A"/>
    <w:rsid w:val="00C7651D"/>
    <w:rsid w:val="00C768E5"/>
    <w:rsid w:val="00C775BC"/>
    <w:rsid w:val="00C776B6"/>
    <w:rsid w:val="00C7783F"/>
    <w:rsid w:val="00C77886"/>
    <w:rsid w:val="00C77C5F"/>
    <w:rsid w:val="00C8016B"/>
    <w:rsid w:val="00C807DD"/>
    <w:rsid w:val="00C80C3F"/>
    <w:rsid w:val="00C80C44"/>
    <w:rsid w:val="00C80D13"/>
    <w:rsid w:val="00C80FF8"/>
    <w:rsid w:val="00C810AB"/>
    <w:rsid w:val="00C818DA"/>
    <w:rsid w:val="00C81A08"/>
    <w:rsid w:val="00C81C86"/>
    <w:rsid w:val="00C81F08"/>
    <w:rsid w:val="00C8342C"/>
    <w:rsid w:val="00C84061"/>
    <w:rsid w:val="00C8432B"/>
    <w:rsid w:val="00C845ED"/>
    <w:rsid w:val="00C84D90"/>
    <w:rsid w:val="00C850E1"/>
    <w:rsid w:val="00C8524F"/>
    <w:rsid w:val="00C85279"/>
    <w:rsid w:val="00C85395"/>
    <w:rsid w:val="00C854AB"/>
    <w:rsid w:val="00C85644"/>
    <w:rsid w:val="00C8608C"/>
    <w:rsid w:val="00C86543"/>
    <w:rsid w:val="00C86844"/>
    <w:rsid w:val="00C86BAC"/>
    <w:rsid w:val="00C86C7C"/>
    <w:rsid w:val="00C874B4"/>
    <w:rsid w:val="00C8781B"/>
    <w:rsid w:val="00C87887"/>
    <w:rsid w:val="00C87E5D"/>
    <w:rsid w:val="00C902A2"/>
    <w:rsid w:val="00C90332"/>
    <w:rsid w:val="00C90583"/>
    <w:rsid w:val="00C906B5"/>
    <w:rsid w:val="00C90C3E"/>
    <w:rsid w:val="00C91C0F"/>
    <w:rsid w:val="00C920A2"/>
    <w:rsid w:val="00C924F0"/>
    <w:rsid w:val="00C924F2"/>
    <w:rsid w:val="00C92E53"/>
    <w:rsid w:val="00C9336F"/>
    <w:rsid w:val="00C9361A"/>
    <w:rsid w:val="00C93DFD"/>
    <w:rsid w:val="00C940F8"/>
    <w:rsid w:val="00C94172"/>
    <w:rsid w:val="00C945C7"/>
    <w:rsid w:val="00C94C1D"/>
    <w:rsid w:val="00C94CE6"/>
    <w:rsid w:val="00C94CF4"/>
    <w:rsid w:val="00C9568F"/>
    <w:rsid w:val="00C95BB6"/>
    <w:rsid w:val="00C95DB1"/>
    <w:rsid w:val="00C95F1E"/>
    <w:rsid w:val="00C95F45"/>
    <w:rsid w:val="00C96836"/>
    <w:rsid w:val="00C9684B"/>
    <w:rsid w:val="00C969E0"/>
    <w:rsid w:val="00C96B5E"/>
    <w:rsid w:val="00C96C6A"/>
    <w:rsid w:val="00C971B9"/>
    <w:rsid w:val="00C9721A"/>
    <w:rsid w:val="00C97AE8"/>
    <w:rsid w:val="00CA00D2"/>
    <w:rsid w:val="00CA02E0"/>
    <w:rsid w:val="00CA09CD"/>
    <w:rsid w:val="00CA0BB8"/>
    <w:rsid w:val="00CA0BC7"/>
    <w:rsid w:val="00CA0CF7"/>
    <w:rsid w:val="00CA1C2A"/>
    <w:rsid w:val="00CA1EB0"/>
    <w:rsid w:val="00CA2196"/>
    <w:rsid w:val="00CA2227"/>
    <w:rsid w:val="00CA2580"/>
    <w:rsid w:val="00CA2A42"/>
    <w:rsid w:val="00CA2EA3"/>
    <w:rsid w:val="00CA2F00"/>
    <w:rsid w:val="00CA3212"/>
    <w:rsid w:val="00CA3381"/>
    <w:rsid w:val="00CA3469"/>
    <w:rsid w:val="00CA380B"/>
    <w:rsid w:val="00CA3935"/>
    <w:rsid w:val="00CA3E4C"/>
    <w:rsid w:val="00CA4181"/>
    <w:rsid w:val="00CA462B"/>
    <w:rsid w:val="00CA4DFF"/>
    <w:rsid w:val="00CA505D"/>
    <w:rsid w:val="00CA5188"/>
    <w:rsid w:val="00CA53D6"/>
    <w:rsid w:val="00CA5487"/>
    <w:rsid w:val="00CA5649"/>
    <w:rsid w:val="00CA5A56"/>
    <w:rsid w:val="00CA6044"/>
    <w:rsid w:val="00CA6D0D"/>
    <w:rsid w:val="00CA7542"/>
    <w:rsid w:val="00CA7654"/>
    <w:rsid w:val="00CA7A16"/>
    <w:rsid w:val="00CA7A52"/>
    <w:rsid w:val="00CA7D88"/>
    <w:rsid w:val="00CB02BC"/>
    <w:rsid w:val="00CB0547"/>
    <w:rsid w:val="00CB0A90"/>
    <w:rsid w:val="00CB1066"/>
    <w:rsid w:val="00CB15FD"/>
    <w:rsid w:val="00CB19FF"/>
    <w:rsid w:val="00CB2251"/>
    <w:rsid w:val="00CB2794"/>
    <w:rsid w:val="00CB2C7B"/>
    <w:rsid w:val="00CB3478"/>
    <w:rsid w:val="00CB370D"/>
    <w:rsid w:val="00CB3C74"/>
    <w:rsid w:val="00CB43BD"/>
    <w:rsid w:val="00CB44D9"/>
    <w:rsid w:val="00CB48CD"/>
    <w:rsid w:val="00CB4F0E"/>
    <w:rsid w:val="00CB4F9F"/>
    <w:rsid w:val="00CB5240"/>
    <w:rsid w:val="00CB5348"/>
    <w:rsid w:val="00CB54CF"/>
    <w:rsid w:val="00CB5E7A"/>
    <w:rsid w:val="00CB6523"/>
    <w:rsid w:val="00CB6638"/>
    <w:rsid w:val="00CB6E1D"/>
    <w:rsid w:val="00CB6F60"/>
    <w:rsid w:val="00CB7169"/>
    <w:rsid w:val="00CC013C"/>
    <w:rsid w:val="00CC0670"/>
    <w:rsid w:val="00CC0855"/>
    <w:rsid w:val="00CC09C6"/>
    <w:rsid w:val="00CC0D0A"/>
    <w:rsid w:val="00CC0F02"/>
    <w:rsid w:val="00CC19FA"/>
    <w:rsid w:val="00CC1EFA"/>
    <w:rsid w:val="00CC2127"/>
    <w:rsid w:val="00CC2563"/>
    <w:rsid w:val="00CC277D"/>
    <w:rsid w:val="00CC28DB"/>
    <w:rsid w:val="00CC2BC2"/>
    <w:rsid w:val="00CC2D1C"/>
    <w:rsid w:val="00CC3933"/>
    <w:rsid w:val="00CC3AE2"/>
    <w:rsid w:val="00CC3C4B"/>
    <w:rsid w:val="00CC3D6E"/>
    <w:rsid w:val="00CC3F6F"/>
    <w:rsid w:val="00CC4910"/>
    <w:rsid w:val="00CC4B8A"/>
    <w:rsid w:val="00CC510B"/>
    <w:rsid w:val="00CC5189"/>
    <w:rsid w:val="00CC53EF"/>
    <w:rsid w:val="00CC5486"/>
    <w:rsid w:val="00CC5F0E"/>
    <w:rsid w:val="00CC5FEF"/>
    <w:rsid w:val="00CC64E7"/>
    <w:rsid w:val="00CC676D"/>
    <w:rsid w:val="00CC6901"/>
    <w:rsid w:val="00CC6C05"/>
    <w:rsid w:val="00CC6E4E"/>
    <w:rsid w:val="00CC72CE"/>
    <w:rsid w:val="00CC76E3"/>
    <w:rsid w:val="00CC7A01"/>
    <w:rsid w:val="00CC7A5F"/>
    <w:rsid w:val="00CC7DEB"/>
    <w:rsid w:val="00CD0409"/>
    <w:rsid w:val="00CD0427"/>
    <w:rsid w:val="00CD0444"/>
    <w:rsid w:val="00CD07B8"/>
    <w:rsid w:val="00CD0932"/>
    <w:rsid w:val="00CD1359"/>
    <w:rsid w:val="00CD1708"/>
    <w:rsid w:val="00CD1892"/>
    <w:rsid w:val="00CD1F03"/>
    <w:rsid w:val="00CD200A"/>
    <w:rsid w:val="00CD256B"/>
    <w:rsid w:val="00CD2724"/>
    <w:rsid w:val="00CD27CC"/>
    <w:rsid w:val="00CD292E"/>
    <w:rsid w:val="00CD2FE9"/>
    <w:rsid w:val="00CD336C"/>
    <w:rsid w:val="00CD3C1D"/>
    <w:rsid w:val="00CD4030"/>
    <w:rsid w:val="00CD419C"/>
    <w:rsid w:val="00CD461C"/>
    <w:rsid w:val="00CD4680"/>
    <w:rsid w:val="00CD4798"/>
    <w:rsid w:val="00CD49AC"/>
    <w:rsid w:val="00CD4ABF"/>
    <w:rsid w:val="00CD4B41"/>
    <w:rsid w:val="00CD4F4C"/>
    <w:rsid w:val="00CD5693"/>
    <w:rsid w:val="00CD5B28"/>
    <w:rsid w:val="00CD5F12"/>
    <w:rsid w:val="00CD6154"/>
    <w:rsid w:val="00CD620F"/>
    <w:rsid w:val="00CD6721"/>
    <w:rsid w:val="00CD69C8"/>
    <w:rsid w:val="00CD6AEC"/>
    <w:rsid w:val="00CD6CFD"/>
    <w:rsid w:val="00CD6D0A"/>
    <w:rsid w:val="00CD7D57"/>
    <w:rsid w:val="00CD7F20"/>
    <w:rsid w:val="00CE02A3"/>
    <w:rsid w:val="00CE0ED8"/>
    <w:rsid w:val="00CE1600"/>
    <w:rsid w:val="00CE1711"/>
    <w:rsid w:val="00CE191E"/>
    <w:rsid w:val="00CE1F6C"/>
    <w:rsid w:val="00CE279E"/>
    <w:rsid w:val="00CE28D6"/>
    <w:rsid w:val="00CE2A05"/>
    <w:rsid w:val="00CE2A56"/>
    <w:rsid w:val="00CE2E0B"/>
    <w:rsid w:val="00CE2E6E"/>
    <w:rsid w:val="00CE393F"/>
    <w:rsid w:val="00CE3A70"/>
    <w:rsid w:val="00CE3D31"/>
    <w:rsid w:val="00CE403B"/>
    <w:rsid w:val="00CE45BA"/>
    <w:rsid w:val="00CE53C4"/>
    <w:rsid w:val="00CE54E0"/>
    <w:rsid w:val="00CE54E1"/>
    <w:rsid w:val="00CE5782"/>
    <w:rsid w:val="00CE58FA"/>
    <w:rsid w:val="00CE59CD"/>
    <w:rsid w:val="00CE5F51"/>
    <w:rsid w:val="00CE5FDA"/>
    <w:rsid w:val="00CE65DD"/>
    <w:rsid w:val="00CE66C8"/>
    <w:rsid w:val="00CE6713"/>
    <w:rsid w:val="00CE76FA"/>
    <w:rsid w:val="00CE7847"/>
    <w:rsid w:val="00CE7889"/>
    <w:rsid w:val="00CE7EAC"/>
    <w:rsid w:val="00CF0047"/>
    <w:rsid w:val="00CF0303"/>
    <w:rsid w:val="00CF046D"/>
    <w:rsid w:val="00CF0675"/>
    <w:rsid w:val="00CF06B3"/>
    <w:rsid w:val="00CF101F"/>
    <w:rsid w:val="00CF11BE"/>
    <w:rsid w:val="00CF1310"/>
    <w:rsid w:val="00CF16F5"/>
    <w:rsid w:val="00CF1943"/>
    <w:rsid w:val="00CF1BC1"/>
    <w:rsid w:val="00CF2B2B"/>
    <w:rsid w:val="00CF3030"/>
    <w:rsid w:val="00CF31DA"/>
    <w:rsid w:val="00CF3526"/>
    <w:rsid w:val="00CF3B0B"/>
    <w:rsid w:val="00CF3B2E"/>
    <w:rsid w:val="00CF3F7F"/>
    <w:rsid w:val="00CF42B4"/>
    <w:rsid w:val="00CF4384"/>
    <w:rsid w:val="00CF4478"/>
    <w:rsid w:val="00CF44F9"/>
    <w:rsid w:val="00CF4B33"/>
    <w:rsid w:val="00CF4BD5"/>
    <w:rsid w:val="00CF56BC"/>
    <w:rsid w:val="00CF5DE2"/>
    <w:rsid w:val="00CF65F3"/>
    <w:rsid w:val="00CF6B59"/>
    <w:rsid w:val="00CF76FD"/>
    <w:rsid w:val="00CF7E2C"/>
    <w:rsid w:val="00D001C4"/>
    <w:rsid w:val="00D0045E"/>
    <w:rsid w:val="00D00478"/>
    <w:rsid w:val="00D005C3"/>
    <w:rsid w:val="00D00911"/>
    <w:rsid w:val="00D00A78"/>
    <w:rsid w:val="00D00DFE"/>
    <w:rsid w:val="00D00E78"/>
    <w:rsid w:val="00D01151"/>
    <w:rsid w:val="00D012B4"/>
    <w:rsid w:val="00D01476"/>
    <w:rsid w:val="00D01627"/>
    <w:rsid w:val="00D01665"/>
    <w:rsid w:val="00D01C27"/>
    <w:rsid w:val="00D026A6"/>
    <w:rsid w:val="00D02898"/>
    <w:rsid w:val="00D02C74"/>
    <w:rsid w:val="00D03C09"/>
    <w:rsid w:val="00D03D3D"/>
    <w:rsid w:val="00D046C3"/>
    <w:rsid w:val="00D057C5"/>
    <w:rsid w:val="00D05AEF"/>
    <w:rsid w:val="00D05B72"/>
    <w:rsid w:val="00D06201"/>
    <w:rsid w:val="00D063AC"/>
    <w:rsid w:val="00D0645D"/>
    <w:rsid w:val="00D06746"/>
    <w:rsid w:val="00D06A78"/>
    <w:rsid w:val="00D06A91"/>
    <w:rsid w:val="00D06E8E"/>
    <w:rsid w:val="00D06EC1"/>
    <w:rsid w:val="00D06FC3"/>
    <w:rsid w:val="00D071B2"/>
    <w:rsid w:val="00D07561"/>
    <w:rsid w:val="00D078F9"/>
    <w:rsid w:val="00D07DB4"/>
    <w:rsid w:val="00D07ED3"/>
    <w:rsid w:val="00D10258"/>
    <w:rsid w:val="00D104E0"/>
    <w:rsid w:val="00D10530"/>
    <w:rsid w:val="00D10A24"/>
    <w:rsid w:val="00D10D1B"/>
    <w:rsid w:val="00D119CF"/>
    <w:rsid w:val="00D11B39"/>
    <w:rsid w:val="00D11C4E"/>
    <w:rsid w:val="00D11C7C"/>
    <w:rsid w:val="00D11C84"/>
    <w:rsid w:val="00D12059"/>
    <w:rsid w:val="00D1209D"/>
    <w:rsid w:val="00D125E5"/>
    <w:rsid w:val="00D12B24"/>
    <w:rsid w:val="00D12C2C"/>
    <w:rsid w:val="00D12F47"/>
    <w:rsid w:val="00D1306D"/>
    <w:rsid w:val="00D1308D"/>
    <w:rsid w:val="00D135C1"/>
    <w:rsid w:val="00D137FD"/>
    <w:rsid w:val="00D139C9"/>
    <w:rsid w:val="00D1408D"/>
    <w:rsid w:val="00D14239"/>
    <w:rsid w:val="00D14645"/>
    <w:rsid w:val="00D148D4"/>
    <w:rsid w:val="00D14D82"/>
    <w:rsid w:val="00D14E0D"/>
    <w:rsid w:val="00D1523C"/>
    <w:rsid w:val="00D152B5"/>
    <w:rsid w:val="00D15B8B"/>
    <w:rsid w:val="00D15D58"/>
    <w:rsid w:val="00D15F59"/>
    <w:rsid w:val="00D15FCB"/>
    <w:rsid w:val="00D165F4"/>
    <w:rsid w:val="00D16940"/>
    <w:rsid w:val="00D174B8"/>
    <w:rsid w:val="00D178D3"/>
    <w:rsid w:val="00D17B48"/>
    <w:rsid w:val="00D202A8"/>
    <w:rsid w:val="00D206FC"/>
    <w:rsid w:val="00D2092D"/>
    <w:rsid w:val="00D20DE3"/>
    <w:rsid w:val="00D210C6"/>
    <w:rsid w:val="00D2125C"/>
    <w:rsid w:val="00D21845"/>
    <w:rsid w:val="00D21949"/>
    <w:rsid w:val="00D21D1F"/>
    <w:rsid w:val="00D2248D"/>
    <w:rsid w:val="00D22F0C"/>
    <w:rsid w:val="00D23163"/>
    <w:rsid w:val="00D233FD"/>
    <w:rsid w:val="00D235D3"/>
    <w:rsid w:val="00D23620"/>
    <w:rsid w:val="00D240BC"/>
    <w:rsid w:val="00D2454F"/>
    <w:rsid w:val="00D247B7"/>
    <w:rsid w:val="00D24ADA"/>
    <w:rsid w:val="00D2506C"/>
    <w:rsid w:val="00D25462"/>
    <w:rsid w:val="00D25B08"/>
    <w:rsid w:val="00D2611B"/>
    <w:rsid w:val="00D26AC5"/>
    <w:rsid w:val="00D26AFB"/>
    <w:rsid w:val="00D26C56"/>
    <w:rsid w:val="00D26EB7"/>
    <w:rsid w:val="00D276E8"/>
    <w:rsid w:val="00D2787E"/>
    <w:rsid w:val="00D27BB0"/>
    <w:rsid w:val="00D27D5D"/>
    <w:rsid w:val="00D302C2"/>
    <w:rsid w:val="00D3031D"/>
    <w:rsid w:val="00D30407"/>
    <w:rsid w:val="00D30C3C"/>
    <w:rsid w:val="00D30E08"/>
    <w:rsid w:val="00D31283"/>
    <w:rsid w:val="00D31DA6"/>
    <w:rsid w:val="00D31F8D"/>
    <w:rsid w:val="00D322AB"/>
    <w:rsid w:val="00D327E7"/>
    <w:rsid w:val="00D3288A"/>
    <w:rsid w:val="00D3299A"/>
    <w:rsid w:val="00D32D41"/>
    <w:rsid w:val="00D32F91"/>
    <w:rsid w:val="00D33234"/>
    <w:rsid w:val="00D33505"/>
    <w:rsid w:val="00D336DB"/>
    <w:rsid w:val="00D339F2"/>
    <w:rsid w:val="00D33E6C"/>
    <w:rsid w:val="00D34301"/>
    <w:rsid w:val="00D34338"/>
    <w:rsid w:val="00D3477B"/>
    <w:rsid w:val="00D35476"/>
    <w:rsid w:val="00D355E3"/>
    <w:rsid w:val="00D35B9B"/>
    <w:rsid w:val="00D35BB7"/>
    <w:rsid w:val="00D360A8"/>
    <w:rsid w:val="00D3620E"/>
    <w:rsid w:val="00D363DE"/>
    <w:rsid w:val="00D3653D"/>
    <w:rsid w:val="00D36855"/>
    <w:rsid w:val="00D36E6C"/>
    <w:rsid w:val="00D371DF"/>
    <w:rsid w:val="00D37741"/>
    <w:rsid w:val="00D4011A"/>
    <w:rsid w:val="00D404CD"/>
    <w:rsid w:val="00D4101C"/>
    <w:rsid w:val="00D41218"/>
    <w:rsid w:val="00D414E8"/>
    <w:rsid w:val="00D41B85"/>
    <w:rsid w:val="00D41C38"/>
    <w:rsid w:val="00D41DFD"/>
    <w:rsid w:val="00D41EBD"/>
    <w:rsid w:val="00D42F40"/>
    <w:rsid w:val="00D43162"/>
    <w:rsid w:val="00D4343B"/>
    <w:rsid w:val="00D43617"/>
    <w:rsid w:val="00D43652"/>
    <w:rsid w:val="00D436A4"/>
    <w:rsid w:val="00D43935"/>
    <w:rsid w:val="00D43AE4"/>
    <w:rsid w:val="00D44056"/>
    <w:rsid w:val="00D440B4"/>
    <w:rsid w:val="00D44207"/>
    <w:rsid w:val="00D44948"/>
    <w:rsid w:val="00D44B87"/>
    <w:rsid w:val="00D44C25"/>
    <w:rsid w:val="00D45019"/>
    <w:rsid w:val="00D4522C"/>
    <w:rsid w:val="00D45595"/>
    <w:rsid w:val="00D4562D"/>
    <w:rsid w:val="00D45945"/>
    <w:rsid w:val="00D45ABC"/>
    <w:rsid w:val="00D45B0F"/>
    <w:rsid w:val="00D45B65"/>
    <w:rsid w:val="00D461BC"/>
    <w:rsid w:val="00D46289"/>
    <w:rsid w:val="00D46743"/>
    <w:rsid w:val="00D46AA4"/>
    <w:rsid w:val="00D4761B"/>
    <w:rsid w:val="00D50682"/>
    <w:rsid w:val="00D50970"/>
    <w:rsid w:val="00D509DE"/>
    <w:rsid w:val="00D50A49"/>
    <w:rsid w:val="00D51386"/>
    <w:rsid w:val="00D51749"/>
    <w:rsid w:val="00D5184E"/>
    <w:rsid w:val="00D51ABC"/>
    <w:rsid w:val="00D51E0B"/>
    <w:rsid w:val="00D520AC"/>
    <w:rsid w:val="00D522A8"/>
    <w:rsid w:val="00D52632"/>
    <w:rsid w:val="00D52987"/>
    <w:rsid w:val="00D52FE5"/>
    <w:rsid w:val="00D53410"/>
    <w:rsid w:val="00D53CDB"/>
    <w:rsid w:val="00D53DA3"/>
    <w:rsid w:val="00D53F1B"/>
    <w:rsid w:val="00D53F42"/>
    <w:rsid w:val="00D54136"/>
    <w:rsid w:val="00D54835"/>
    <w:rsid w:val="00D54A71"/>
    <w:rsid w:val="00D54BD4"/>
    <w:rsid w:val="00D550F9"/>
    <w:rsid w:val="00D55D06"/>
    <w:rsid w:val="00D56298"/>
    <w:rsid w:val="00D563A2"/>
    <w:rsid w:val="00D56892"/>
    <w:rsid w:val="00D577DF"/>
    <w:rsid w:val="00D57D66"/>
    <w:rsid w:val="00D57FA6"/>
    <w:rsid w:val="00D60289"/>
    <w:rsid w:val="00D60487"/>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B94"/>
    <w:rsid w:val="00D63FD6"/>
    <w:rsid w:val="00D6417B"/>
    <w:rsid w:val="00D641E6"/>
    <w:rsid w:val="00D6465C"/>
    <w:rsid w:val="00D64D84"/>
    <w:rsid w:val="00D651A9"/>
    <w:rsid w:val="00D65406"/>
    <w:rsid w:val="00D65A6E"/>
    <w:rsid w:val="00D65BDF"/>
    <w:rsid w:val="00D6606D"/>
    <w:rsid w:val="00D666F7"/>
    <w:rsid w:val="00D667AD"/>
    <w:rsid w:val="00D66BE9"/>
    <w:rsid w:val="00D66CC9"/>
    <w:rsid w:val="00D67045"/>
    <w:rsid w:val="00D6723F"/>
    <w:rsid w:val="00D672F0"/>
    <w:rsid w:val="00D67590"/>
    <w:rsid w:val="00D6786E"/>
    <w:rsid w:val="00D67ADD"/>
    <w:rsid w:val="00D67DE1"/>
    <w:rsid w:val="00D701CB"/>
    <w:rsid w:val="00D704CB"/>
    <w:rsid w:val="00D70853"/>
    <w:rsid w:val="00D708D0"/>
    <w:rsid w:val="00D71401"/>
    <w:rsid w:val="00D716C7"/>
    <w:rsid w:val="00D71990"/>
    <w:rsid w:val="00D71AE5"/>
    <w:rsid w:val="00D71CBC"/>
    <w:rsid w:val="00D71DCE"/>
    <w:rsid w:val="00D72008"/>
    <w:rsid w:val="00D7217D"/>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6116"/>
    <w:rsid w:val="00D76432"/>
    <w:rsid w:val="00D766A4"/>
    <w:rsid w:val="00D7671E"/>
    <w:rsid w:val="00D76A3E"/>
    <w:rsid w:val="00D77160"/>
    <w:rsid w:val="00D804A5"/>
    <w:rsid w:val="00D8080C"/>
    <w:rsid w:val="00D80FB9"/>
    <w:rsid w:val="00D8115A"/>
    <w:rsid w:val="00D811FB"/>
    <w:rsid w:val="00D81276"/>
    <w:rsid w:val="00D8136A"/>
    <w:rsid w:val="00D81807"/>
    <w:rsid w:val="00D81AC2"/>
    <w:rsid w:val="00D81D81"/>
    <w:rsid w:val="00D81DA1"/>
    <w:rsid w:val="00D81EFA"/>
    <w:rsid w:val="00D82486"/>
    <w:rsid w:val="00D82818"/>
    <w:rsid w:val="00D83148"/>
    <w:rsid w:val="00D833DE"/>
    <w:rsid w:val="00D83725"/>
    <w:rsid w:val="00D8398F"/>
    <w:rsid w:val="00D83DAE"/>
    <w:rsid w:val="00D83FF9"/>
    <w:rsid w:val="00D84432"/>
    <w:rsid w:val="00D84D60"/>
    <w:rsid w:val="00D85337"/>
    <w:rsid w:val="00D853ED"/>
    <w:rsid w:val="00D85B83"/>
    <w:rsid w:val="00D85E16"/>
    <w:rsid w:val="00D85FCB"/>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20A6"/>
    <w:rsid w:val="00D9231D"/>
    <w:rsid w:val="00D925AA"/>
    <w:rsid w:val="00D92AA2"/>
    <w:rsid w:val="00D92CA6"/>
    <w:rsid w:val="00D92DB9"/>
    <w:rsid w:val="00D92F1A"/>
    <w:rsid w:val="00D92F40"/>
    <w:rsid w:val="00D93D7D"/>
    <w:rsid w:val="00D93FE1"/>
    <w:rsid w:val="00D941F0"/>
    <w:rsid w:val="00D943A4"/>
    <w:rsid w:val="00D94C0B"/>
    <w:rsid w:val="00D95034"/>
    <w:rsid w:val="00D952A6"/>
    <w:rsid w:val="00D953F3"/>
    <w:rsid w:val="00D955D9"/>
    <w:rsid w:val="00D9568F"/>
    <w:rsid w:val="00D95ADE"/>
    <w:rsid w:val="00D95B78"/>
    <w:rsid w:val="00D97394"/>
    <w:rsid w:val="00D973ED"/>
    <w:rsid w:val="00D977DE"/>
    <w:rsid w:val="00D979C9"/>
    <w:rsid w:val="00D97B9D"/>
    <w:rsid w:val="00DA0016"/>
    <w:rsid w:val="00DA0486"/>
    <w:rsid w:val="00DA08B5"/>
    <w:rsid w:val="00DA0CC8"/>
    <w:rsid w:val="00DA1C9A"/>
    <w:rsid w:val="00DA1F03"/>
    <w:rsid w:val="00DA1F7D"/>
    <w:rsid w:val="00DA25D3"/>
    <w:rsid w:val="00DA29EB"/>
    <w:rsid w:val="00DA2AB1"/>
    <w:rsid w:val="00DA2CD3"/>
    <w:rsid w:val="00DA3495"/>
    <w:rsid w:val="00DA3753"/>
    <w:rsid w:val="00DA3D5F"/>
    <w:rsid w:val="00DA4013"/>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7DC"/>
    <w:rsid w:val="00DA6E96"/>
    <w:rsid w:val="00DA7344"/>
    <w:rsid w:val="00DA7530"/>
    <w:rsid w:val="00DA758D"/>
    <w:rsid w:val="00DA7754"/>
    <w:rsid w:val="00DA7979"/>
    <w:rsid w:val="00DA7ED2"/>
    <w:rsid w:val="00DA7F5B"/>
    <w:rsid w:val="00DB015D"/>
    <w:rsid w:val="00DB030A"/>
    <w:rsid w:val="00DB08F7"/>
    <w:rsid w:val="00DB0A6B"/>
    <w:rsid w:val="00DB0B04"/>
    <w:rsid w:val="00DB0F5E"/>
    <w:rsid w:val="00DB141E"/>
    <w:rsid w:val="00DB1A74"/>
    <w:rsid w:val="00DB1AE7"/>
    <w:rsid w:val="00DB1E3C"/>
    <w:rsid w:val="00DB1E84"/>
    <w:rsid w:val="00DB1E93"/>
    <w:rsid w:val="00DB2098"/>
    <w:rsid w:val="00DB2154"/>
    <w:rsid w:val="00DB27AE"/>
    <w:rsid w:val="00DB2A33"/>
    <w:rsid w:val="00DB2C9A"/>
    <w:rsid w:val="00DB2E06"/>
    <w:rsid w:val="00DB2FB5"/>
    <w:rsid w:val="00DB2FCD"/>
    <w:rsid w:val="00DB3504"/>
    <w:rsid w:val="00DB35BB"/>
    <w:rsid w:val="00DB37C6"/>
    <w:rsid w:val="00DB3C15"/>
    <w:rsid w:val="00DB3D89"/>
    <w:rsid w:val="00DB40D0"/>
    <w:rsid w:val="00DB4D94"/>
    <w:rsid w:val="00DB4FBF"/>
    <w:rsid w:val="00DB50AC"/>
    <w:rsid w:val="00DB54DF"/>
    <w:rsid w:val="00DB560F"/>
    <w:rsid w:val="00DB56C2"/>
    <w:rsid w:val="00DB6019"/>
    <w:rsid w:val="00DB617F"/>
    <w:rsid w:val="00DB78BD"/>
    <w:rsid w:val="00DC049D"/>
    <w:rsid w:val="00DC0933"/>
    <w:rsid w:val="00DC0A97"/>
    <w:rsid w:val="00DC0B94"/>
    <w:rsid w:val="00DC14DC"/>
    <w:rsid w:val="00DC1726"/>
    <w:rsid w:val="00DC23D7"/>
    <w:rsid w:val="00DC2515"/>
    <w:rsid w:val="00DC2528"/>
    <w:rsid w:val="00DC26B4"/>
    <w:rsid w:val="00DC28B2"/>
    <w:rsid w:val="00DC2BC6"/>
    <w:rsid w:val="00DC2EB9"/>
    <w:rsid w:val="00DC2FA5"/>
    <w:rsid w:val="00DC3205"/>
    <w:rsid w:val="00DC3235"/>
    <w:rsid w:val="00DC3346"/>
    <w:rsid w:val="00DC3377"/>
    <w:rsid w:val="00DC34AF"/>
    <w:rsid w:val="00DC3519"/>
    <w:rsid w:val="00DC35F9"/>
    <w:rsid w:val="00DC385D"/>
    <w:rsid w:val="00DC3A6B"/>
    <w:rsid w:val="00DC3DA6"/>
    <w:rsid w:val="00DC403D"/>
    <w:rsid w:val="00DC4338"/>
    <w:rsid w:val="00DC4400"/>
    <w:rsid w:val="00DC4882"/>
    <w:rsid w:val="00DC5324"/>
    <w:rsid w:val="00DC5743"/>
    <w:rsid w:val="00DC575B"/>
    <w:rsid w:val="00DC5892"/>
    <w:rsid w:val="00DC6072"/>
    <w:rsid w:val="00DC61A4"/>
    <w:rsid w:val="00DC641E"/>
    <w:rsid w:val="00DC6C2C"/>
    <w:rsid w:val="00DC6D48"/>
    <w:rsid w:val="00DC7872"/>
    <w:rsid w:val="00DD00A3"/>
    <w:rsid w:val="00DD070A"/>
    <w:rsid w:val="00DD086F"/>
    <w:rsid w:val="00DD13F7"/>
    <w:rsid w:val="00DD1F00"/>
    <w:rsid w:val="00DD214C"/>
    <w:rsid w:val="00DD2969"/>
    <w:rsid w:val="00DD2A87"/>
    <w:rsid w:val="00DD2B15"/>
    <w:rsid w:val="00DD2B4D"/>
    <w:rsid w:val="00DD2C7C"/>
    <w:rsid w:val="00DD2D30"/>
    <w:rsid w:val="00DD2EBC"/>
    <w:rsid w:val="00DD2F37"/>
    <w:rsid w:val="00DD3D85"/>
    <w:rsid w:val="00DD3E54"/>
    <w:rsid w:val="00DD42B7"/>
    <w:rsid w:val="00DD4375"/>
    <w:rsid w:val="00DD4F20"/>
    <w:rsid w:val="00DD550A"/>
    <w:rsid w:val="00DD560C"/>
    <w:rsid w:val="00DD5F9B"/>
    <w:rsid w:val="00DD5FF5"/>
    <w:rsid w:val="00DD60ED"/>
    <w:rsid w:val="00DD693C"/>
    <w:rsid w:val="00DD6B36"/>
    <w:rsid w:val="00DD723B"/>
    <w:rsid w:val="00DD72AC"/>
    <w:rsid w:val="00DD7335"/>
    <w:rsid w:val="00DD75BF"/>
    <w:rsid w:val="00DD7A02"/>
    <w:rsid w:val="00DD7E7E"/>
    <w:rsid w:val="00DE0B15"/>
    <w:rsid w:val="00DE0BE8"/>
    <w:rsid w:val="00DE0CAD"/>
    <w:rsid w:val="00DE119E"/>
    <w:rsid w:val="00DE1350"/>
    <w:rsid w:val="00DE181C"/>
    <w:rsid w:val="00DE1BF2"/>
    <w:rsid w:val="00DE238A"/>
    <w:rsid w:val="00DE27C1"/>
    <w:rsid w:val="00DE287B"/>
    <w:rsid w:val="00DE2CAE"/>
    <w:rsid w:val="00DE2D15"/>
    <w:rsid w:val="00DE2DF5"/>
    <w:rsid w:val="00DE318B"/>
    <w:rsid w:val="00DE31B4"/>
    <w:rsid w:val="00DE3502"/>
    <w:rsid w:val="00DE35CE"/>
    <w:rsid w:val="00DE3878"/>
    <w:rsid w:val="00DE3E88"/>
    <w:rsid w:val="00DE3F88"/>
    <w:rsid w:val="00DE3FE7"/>
    <w:rsid w:val="00DE42B2"/>
    <w:rsid w:val="00DE44DF"/>
    <w:rsid w:val="00DE471F"/>
    <w:rsid w:val="00DE4951"/>
    <w:rsid w:val="00DE4B7C"/>
    <w:rsid w:val="00DE544D"/>
    <w:rsid w:val="00DE59B3"/>
    <w:rsid w:val="00DE5B48"/>
    <w:rsid w:val="00DE70B7"/>
    <w:rsid w:val="00DE71F7"/>
    <w:rsid w:val="00DE7AEF"/>
    <w:rsid w:val="00DF0788"/>
    <w:rsid w:val="00DF08E4"/>
    <w:rsid w:val="00DF09F9"/>
    <w:rsid w:val="00DF0D46"/>
    <w:rsid w:val="00DF0F91"/>
    <w:rsid w:val="00DF10C5"/>
    <w:rsid w:val="00DF1365"/>
    <w:rsid w:val="00DF16E7"/>
    <w:rsid w:val="00DF2193"/>
    <w:rsid w:val="00DF2492"/>
    <w:rsid w:val="00DF29C5"/>
    <w:rsid w:val="00DF2B16"/>
    <w:rsid w:val="00DF2B9E"/>
    <w:rsid w:val="00DF2D10"/>
    <w:rsid w:val="00DF2E47"/>
    <w:rsid w:val="00DF3006"/>
    <w:rsid w:val="00DF31D8"/>
    <w:rsid w:val="00DF4031"/>
    <w:rsid w:val="00DF40B5"/>
    <w:rsid w:val="00DF4BAF"/>
    <w:rsid w:val="00DF4F51"/>
    <w:rsid w:val="00DF6A3E"/>
    <w:rsid w:val="00DF6AE8"/>
    <w:rsid w:val="00DF6BD5"/>
    <w:rsid w:val="00DF6CE0"/>
    <w:rsid w:val="00DF6E80"/>
    <w:rsid w:val="00DF6FAA"/>
    <w:rsid w:val="00DF7CDA"/>
    <w:rsid w:val="00E00AAD"/>
    <w:rsid w:val="00E00E90"/>
    <w:rsid w:val="00E01743"/>
    <w:rsid w:val="00E01B74"/>
    <w:rsid w:val="00E020C0"/>
    <w:rsid w:val="00E021CF"/>
    <w:rsid w:val="00E024F1"/>
    <w:rsid w:val="00E02858"/>
    <w:rsid w:val="00E02BC7"/>
    <w:rsid w:val="00E02D0E"/>
    <w:rsid w:val="00E0345B"/>
    <w:rsid w:val="00E03EC2"/>
    <w:rsid w:val="00E040C1"/>
    <w:rsid w:val="00E04144"/>
    <w:rsid w:val="00E04B6C"/>
    <w:rsid w:val="00E04BE8"/>
    <w:rsid w:val="00E04D00"/>
    <w:rsid w:val="00E05181"/>
    <w:rsid w:val="00E051C2"/>
    <w:rsid w:val="00E056BF"/>
    <w:rsid w:val="00E056CD"/>
    <w:rsid w:val="00E057C8"/>
    <w:rsid w:val="00E05BCD"/>
    <w:rsid w:val="00E05E77"/>
    <w:rsid w:val="00E06381"/>
    <w:rsid w:val="00E068AD"/>
    <w:rsid w:val="00E06AA4"/>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FAB"/>
    <w:rsid w:val="00E1305B"/>
    <w:rsid w:val="00E1395F"/>
    <w:rsid w:val="00E13B2F"/>
    <w:rsid w:val="00E13E5F"/>
    <w:rsid w:val="00E14129"/>
    <w:rsid w:val="00E14476"/>
    <w:rsid w:val="00E14586"/>
    <w:rsid w:val="00E14794"/>
    <w:rsid w:val="00E158FD"/>
    <w:rsid w:val="00E15D1E"/>
    <w:rsid w:val="00E16378"/>
    <w:rsid w:val="00E16538"/>
    <w:rsid w:val="00E165DE"/>
    <w:rsid w:val="00E16CB1"/>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B48"/>
    <w:rsid w:val="00E23CA9"/>
    <w:rsid w:val="00E23E25"/>
    <w:rsid w:val="00E24157"/>
    <w:rsid w:val="00E24226"/>
    <w:rsid w:val="00E24F0F"/>
    <w:rsid w:val="00E251BD"/>
    <w:rsid w:val="00E259C5"/>
    <w:rsid w:val="00E25B48"/>
    <w:rsid w:val="00E25CA1"/>
    <w:rsid w:val="00E25FAA"/>
    <w:rsid w:val="00E267CC"/>
    <w:rsid w:val="00E26ACE"/>
    <w:rsid w:val="00E26BE2"/>
    <w:rsid w:val="00E26C01"/>
    <w:rsid w:val="00E27368"/>
    <w:rsid w:val="00E27608"/>
    <w:rsid w:val="00E27753"/>
    <w:rsid w:val="00E27898"/>
    <w:rsid w:val="00E27A87"/>
    <w:rsid w:val="00E3006A"/>
    <w:rsid w:val="00E301BA"/>
    <w:rsid w:val="00E302BB"/>
    <w:rsid w:val="00E30587"/>
    <w:rsid w:val="00E30721"/>
    <w:rsid w:val="00E30D6E"/>
    <w:rsid w:val="00E30E09"/>
    <w:rsid w:val="00E31A21"/>
    <w:rsid w:val="00E31EBB"/>
    <w:rsid w:val="00E323E2"/>
    <w:rsid w:val="00E3287D"/>
    <w:rsid w:val="00E32C35"/>
    <w:rsid w:val="00E32FBC"/>
    <w:rsid w:val="00E33045"/>
    <w:rsid w:val="00E33373"/>
    <w:rsid w:val="00E336F7"/>
    <w:rsid w:val="00E33973"/>
    <w:rsid w:val="00E33A83"/>
    <w:rsid w:val="00E33E42"/>
    <w:rsid w:val="00E3413B"/>
    <w:rsid w:val="00E3471B"/>
    <w:rsid w:val="00E3491A"/>
    <w:rsid w:val="00E34AED"/>
    <w:rsid w:val="00E34C5B"/>
    <w:rsid w:val="00E35615"/>
    <w:rsid w:val="00E36512"/>
    <w:rsid w:val="00E36658"/>
    <w:rsid w:val="00E36BBC"/>
    <w:rsid w:val="00E3705B"/>
    <w:rsid w:val="00E371BB"/>
    <w:rsid w:val="00E373EB"/>
    <w:rsid w:val="00E37594"/>
    <w:rsid w:val="00E375A5"/>
    <w:rsid w:val="00E37792"/>
    <w:rsid w:val="00E37867"/>
    <w:rsid w:val="00E37F26"/>
    <w:rsid w:val="00E37F9A"/>
    <w:rsid w:val="00E4087C"/>
    <w:rsid w:val="00E4093D"/>
    <w:rsid w:val="00E40E31"/>
    <w:rsid w:val="00E4166F"/>
    <w:rsid w:val="00E41DE5"/>
    <w:rsid w:val="00E4299E"/>
    <w:rsid w:val="00E42C70"/>
    <w:rsid w:val="00E43064"/>
    <w:rsid w:val="00E430D1"/>
    <w:rsid w:val="00E4322A"/>
    <w:rsid w:val="00E4385F"/>
    <w:rsid w:val="00E44327"/>
    <w:rsid w:val="00E44544"/>
    <w:rsid w:val="00E446B1"/>
    <w:rsid w:val="00E44F0C"/>
    <w:rsid w:val="00E44FDC"/>
    <w:rsid w:val="00E45325"/>
    <w:rsid w:val="00E4592D"/>
    <w:rsid w:val="00E45C87"/>
    <w:rsid w:val="00E46700"/>
    <w:rsid w:val="00E46712"/>
    <w:rsid w:val="00E4688F"/>
    <w:rsid w:val="00E46DD5"/>
    <w:rsid w:val="00E477FD"/>
    <w:rsid w:val="00E47DD3"/>
    <w:rsid w:val="00E5008F"/>
    <w:rsid w:val="00E50557"/>
    <w:rsid w:val="00E513C9"/>
    <w:rsid w:val="00E51D24"/>
    <w:rsid w:val="00E51E1B"/>
    <w:rsid w:val="00E522AC"/>
    <w:rsid w:val="00E523DE"/>
    <w:rsid w:val="00E5296F"/>
    <w:rsid w:val="00E53545"/>
    <w:rsid w:val="00E5414A"/>
    <w:rsid w:val="00E54450"/>
    <w:rsid w:val="00E54FE9"/>
    <w:rsid w:val="00E550ED"/>
    <w:rsid w:val="00E5513B"/>
    <w:rsid w:val="00E5521E"/>
    <w:rsid w:val="00E55444"/>
    <w:rsid w:val="00E55B31"/>
    <w:rsid w:val="00E55D2D"/>
    <w:rsid w:val="00E562B6"/>
    <w:rsid w:val="00E566F4"/>
    <w:rsid w:val="00E566FD"/>
    <w:rsid w:val="00E569C8"/>
    <w:rsid w:val="00E56FFE"/>
    <w:rsid w:val="00E5706F"/>
    <w:rsid w:val="00E57389"/>
    <w:rsid w:val="00E576C6"/>
    <w:rsid w:val="00E57D46"/>
    <w:rsid w:val="00E60461"/>
    <w:rsid w:val="00E60487"/>
    <w:rsid w:val="00E60549"/>
    <w:rsid w:val="00E60858"/>
    <w:rsid w:val="00E608E5"/>
    <w:rsid w:val="00E60A54"/>
    <w:rsid w:val="00E61BB2"/>
    <w:rsid w:val="00E61BC7"/>
    <w:rsid w:val="00E62142"/>
    <w:rsid w:val="00E6222F"/>
    <w:rsid w:val="00E625DE"/>
    <w:rsid w:val="00E632C0"/>
    <w:rsid w:val="00E635C6"/>
    <w:rsid w:val="00E63E80"/>
    <w:rsid w:val="00E640F3"/>
    <w:rsid w:val="00E64255"/>
    <w:rsid w:val="00E643ED"/>
    <w:rsid w:val="00E64588"/>
    <w:rsid w:val="00E64FC2"/>
    <w:rsid w:val="00E651A8"/>
    <w:rsid w:val="00E655C5"/>
    <w:rsid w:val="00E65D30"/>
    <w:rsid w:val="00E65DB0"/>
    <w:rsid w:val="00E65EB4"/>
    <w:rsid w:val="00E66151"/>
    <w:rsid w:val="00E66299"/>
    <w:rsid w:val="00E66673"/>
    <w:rsid w:val="00E67280"/>
    <w:rsid w:val="00E67570"/>
    <w:rsid w:val="00E678C9"/>
    <w:rsid w:val="00E67B35"/>
    <w:rsid w:val="00E67EDE"/>
    <w:rsid w:val="00E70030"/>
    <w:rsid w:val="00E70484"/>
    <w:rsid w:val="00E704D1"/>
    <w:rsid w:val="00E7091E"/>
    <w:rsid w:val="00E710F5"/>
    <w:rsid w:val="00E71131"/>
    <w:rsid w:val="00E714FD"/>
    <w:rsid w:val="00E717F8"/>
    <w:rsid w:val="00E718E0"/>
    <w:rsid w:val="00E71F35"/>
    <w:rsid w:val="00E7236A"/>
    <w:rsid w:val="00E72584"/>
    <w:rsid w:val="00E728C4"/>
    <w:rsid w:val="00E72FAA"/>
    <w:rsid w:val="00E730A9"/>
    <w:rsid w:val="00E73832"/>
    <w:rsid w:val="00E7398E"/>
    <w:rsid w:val="00E73C42"/>
    <w:rsid w:val="00E73DEA"/>
    <w:rsid w:val="00E73F52"/>
    <w:rsid w:val="00E74526"/>
    <w:rsid w:val="00E74B58"/>
    <w:rsid w:val="00E75283"/>
    <w:rsid w:val="00E752C9"/>
    <w:rsid w:val="00E752CD"/>
    <w:rsid w:val="00E7531A"/>
    <w:rsid w:val="00E7557C"/>
    <w:rsid w:val="00E75909"/>
    <w:rsid w:val="00E759BE"/>
    <w:rsid w:val="00E75E82"/>
    <w:rsid w:val="00E75FEB"/>
    <w:rsid w:val="00E76553"/>
    <w:rsid w:val="00E76615"/>
    <w:rsid w:val="00E77A8B"/>
    <w:rsid w:val="00E8039D"/>
    <w:rsid w:val="00E804C6"/>
    <w:rsid w:val="00E8061F"/>
    <w:rsid w:val="00E8149C"/>
    <w:rsid w:val="00E8161D"/>
    <w:rsid w:val="00E820D3"/>
    <w:rsid w:val="00E8227B"/>
    <w:rsid w:val="00E827B5"/>
    <w:rsid w:val="00E8348B"/>
    <w:rsid w:val="00E83B39"/>
    <w:rsid w:val="00E83EB7"/>
    <w:rsid w:val="00E8408B"/>
    <w:rsid w:val="00E84152"/>
    <w:rsid w:val="00E849DC"/>
    <w:rsid w:val="00E84FE1"/>
    <w:rsid w:val="00E8504A"/>
    <w:rsid w:val="00E850F6"/>
    <w:rsid w:val="00E857BF"/>
    <w:rsid w:val="00E85818"/>
    <w:rsid w:val="00E85BF2"/>
    <w:rsid w:val="00E85D1E"/>
    <w:rsid w:val="00E85EC3"/>
    <w:rsid w:val="00E862D7"/>
    <w:rsid w:val="00E863A9"/>
    <w:rsid w:val="00E86E9C"/>
    <w:rsid w:val="00E86F81"/>
    <w:rsid w:val="00E8707C"/>
    <w:rsid w:val="00E87356"/>
    <w:rsid w:val="00E8751A"/>
    <w:rsid w:val="00E875E6"/>
    <w:rsid w:val="00E87794"/>
    <w:rsid w:val="00E8782F"/>
    <w:rsid w:val="00E87FAE"/>
    <w:rsid w:val="00E90115"/>
    <w:rsid w:val="00E90207"/>
    <w:rsid w:val="00E90234"/>
    <w:rsid w:val="00E90537"/>
    <w:rsid w:val="00E90730"/>
    <w:rsid w:val="00E91945"/>
    <w:rsid w:val="00E91C17"/>
    <w:rsid w:val="00E91D83"/>
    <w:rsid w:val="00E921E7"/>
    <w:rsid w:val="00E9260B"/>
    <w:rsid w:val="00E928A7"/>
    <w:rsid w:val="00E92AF2"/>
    <w:rsid w:val="00E92D40"/>
    <w:rsid w:val="00E92FB4"/>
    <w:rsid w:val="00E9353C"/>
    <w:rsid w:val="00E936F5"/>
    <w:rsid w:val="00E939A0"/>
    <w:rsid w:val="00E93D8F"/>
    <w:rsid w:val="00E93FA0"/>
    <w:rsid w:val="00E94033"/>
    <w:rsid w:val="00E9418D"/>
    <w:rsid w:val="00E94469"/>
    <w:rsid w:val="00E946C3"/>
    <w:rsid w:val="00E94B00"/>
    <w:rsid w:val="00E94F4E"/>
    <w:rsid w:val="00E956A1"/>
    <w:rsid w:val="00E95A5F"/>
    <w:rsid w:val="00E95DD2"/>
    <w:rsid w:val="00E962DA"/>
    <w:rsid w:val="00E964C5"/>
    <w:rsid w:val="00E96569"/>
    <w:rsid w:val="00E966F5"/>
    <w:rsid w:val="00E96ACF"/>
    <w:rsid w:val="00E9722C"/>
    <w:rsid w:val="00E97C01"/>
    <w:rsid w:val="00E97D54"/>
    <w:rsid w:val="00EA0071"/>
    <w:rsid w:val="00EA038B"/>
    <w:rsid w:val="00EA0A6D"/>
    <w:rsid w:val="00EA0EB1"/>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3BA4"/>
    <w:rsid w:val="00EA4226"/>
    <w:rsid w:val="00EA4236"/>
    <w:rsid w:val="00EA468F"/>
    <w:rsid w:val="00EA4ADC"/>
    <w:rsid w:val="00EA4B61"/>
    <w:rsid w:val="00EA4B84"/>
    <w:rsid w:val="00EA4FA9"/>
    <w:rsid w:val="00EA501B"/>
    <w:rsid w:val="00EA52C7"/>
    <w:rsid w:val="00EA5882"/>
    <w:rsid w:val="00EA5930"/>
    <w:rsid w:val="00EA5953"/>
    <w:rsid w:val="00EA68D8"/>
    <w:rsid w:val="00EA6A98"/>
    <w:rsid w:val="00EA6B70"/>
    <w:rsid w:val="00EB0334"/>
    <w:rsid w:val="00EB094F"/>
    <w:rsid w:val="00EB0D19"/>
    <w:rsid w:val="00EB11A6"/>
    <w:rsid w:val="00EB1443"/>
    <w:rsid w:val="00EB1ACE"/>
    <w:rsid w:val="00EB1B3E"/>
    <w:rsid w:val="00EB20F5"/>
    <w:rsid w:val="00EB23FC"/>
    <w:rsid w:val="00EB24C5"/>
    <w:rsid w:val="00EB2710"/>
    <w:rsid w:val="00EB2C46"/>
    <w:rsid w:val="00EB345F"/>
    <w:rsid w:val="00EB3DC9"/>
    <w:rsid w:val="00EB448B"/>
    <w:rsid w:val="00EB4510"/>
    <w:rsid w:val="00EB4D6B"/>
    <w:rsid w:val="00EB5972"/>
    <w:rsid w:val="00EB5C62"/>
    <w:rsid w:val="00EB5D4C"/>
    <w:rsid w:val="00EB5D8C"/>
    <w:rsid w:val="00EB736A"/>
    <w:rsid w:val="00EB7479"/>
    <w:rsid w:val="00EC0C4A"/>
    <w:rsid w:val="00EC0E87"/>
    <w:rsid w:val="00EC187C"/>
    <w:rsid w:val="00EC1F2F"/>
    <w:rsid w:val="00EC226E"/>
    <w:rsid w:val="00EC26FC"/>
    <w:rsid w:val="00EC2722"/>
    <w:rsid w:val="00EC294E"/>
    <w:rsid w:val="00EC3479"/>
    <w:rsid w:val="00EC36AC"/>
    <w:rsid w:val="00EC37E2"/>
    <w:rsid w:val="00EC382A"/>
    <w:rsid w:val="00EC39A6"/>
    <w:rsid w:val="00EC3A0F"/>
    <w:rsid w:val="00EC3CA2"/>
    <w:rsid w:val="00EC4168"/>
    <w:rsid w:val="00EC4212"/>
    <w:rsid w:val="00EC43C5"/>
    <w:rsid w:val="00EC45F7"/>
    <w:rsid w:val="00EC4986"/>
    <w:rsid w:val="00EC4DEB"/>
    <w:rsid w:val="00EC4F17"/>
    <w:rsid w:val="00EC504A"/>
    <w:rsid w:val="00EC5083"/>
    <w:rsid w:val="00EC60DD"/>
    <w:rsid w:val="00EC6AEA"/>
    <w:rsid w:val="00EC70C7"/>
    <w:rsid w:val="00EC729E"/>
    <w:rsid w:val="00EC72E4"/>
    <w:rsid w:val="00EC75B4"/>
    <w:rsid w:val="00EC7AE6"/>
    <w:rsid w:val="00ED0160"/>
    <w:rsid w:val="00ED017B"/>
    <w:rsid w:val="00ED03AF"/>
    <w:rsid w:val="00ED03BB"/>
    <w:rsid w:val="00ED05B8"/>
    <w:rsid w:val="00ED06D7"/>
    <w:rsid w:val="00ED08EF"/>
    <w:rsid w:val="00ED0A38"/>
    <w:rsid w:val="00ED0E1D"/>
    <w:rsid w:val="00ED13A5"/>
    <w:rsid w:val="00ED13AC"/>
    <w:rsid w:val="00ED13FC"/>
    <w:rsid w:val="00ED14C6"/>
    <w:rsid w:val="00ED154E"/>
    <w:rsid w:val="00ED1571"/>
    <w:rsid w:val="00ED164D"/>
    <w:rsid w:val="00ED1A31"/>
    <w:rsid w:val="00ED1C06"/>
    <w:rsid w:val="00ED1D82"/>
    <w:rsid w:val="00ED1D86"/>
    <w:rsid w:val="00ED1DF3"/>
    <w:rsid w:val="00ED2BFA"/>
    <w:rsid w:val="00ED2FDA"/>
    <w:rsid w:val="00ED3AD9"/>
    <w:rsid w:val="00ED3C21"/>
    <w:rsid w:val="00ED3D80"/>
    <w:rsid w:val="00ED3EDA"/>
    <w:rsid w:val="00ED4051"/>
    <w:rsid w:val="00ED433B"/>
    <w:rsid w:val="00ED4900"/>
    <w:rsid w:val="00ED4F33"/>
    <w:rsid w:val="00ED5008"/>
    <w:rsid w:val="00ED552B"/>
    <w:rsid w:val="00ED5723"/>
    <w:rsid w:val="00ED58E2"/>
    <w:rsid w:val="00ED5C2C"/>
    <w:rsid w:val="00ED5FB4"/>
    <w:rsid w:val="00ED68FD"/>
    <w:rsid w:val="00ED6957"/>
    <w:rsid w:val="00ED69E3"/>
    <w:rsid w:val="00ED6BEF"/>
    <w:rsid w:val="00ED6D3F"/>
    <w:rsid w:val="00ED7518"/>
    <w:rsid w:val="00ED776E"/>
    <w:rsid w:val="00ED77A2"/>
    <w:rsid w:val="00EE02C7"/>
    <w:rsid w:val="00EE051F"/>
    <w:rsid w:val="00EE0C88"/>
    <w:rsid w:val="00EE0CAA"/>
    <w:rsid w:val="00EE1096"/>
    <w:rsid w:val="00EE14D8"/>
    <w:rsid w:val="00EE16D3"/>
    <w:rsid w:val="00EE1B79"/>
    <w:rsid w:val="00EE20F3"/>
    <w:rsid w:val="00EE2B7E"/>
    <w:rsid w:val="00EE2C4F"/>
    <w:rsid w:val="00EE368E"/>
    <w:rsid w:val="00EE38A0"/>
    <w:rsid w:val="00EE3AB2"/>
    <w:rsid w:val="00EE4344"/>
    <w:rsid w:val="00EE457B"/>
    <w:rsid w:val="00EE491E"/>
    <w:rsid w:val="00EE4EFD"/>
    <w:rsid w:val="00EE4F79"/>
    <w:rsid w:val="00EE509E"/>
    <w:rsid w:val="00EE5194"/>
    <w:rsid w:val="00EE5424"/>
    <w:rsid w:val="00EE5652"/>
    <w:rsid w:val="00EE5A01"/>
    <w:rsid w:val="00EE5A0A"/>
    <w:rsid w:val="00EE5FBB"/>
    <w:rsid w:val="00EE611E"/>
    <w:rsid w:val="00EE6122"/>
    <w:rsid w:val="00EE619A"/>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34A8"/>
    <w:rsid w:val="00EF35AA"/>
    <w:rsid w:val="00EF3686"/>
    <w:rsid w:val="00EF39AB"/>
    <w:rsid w:val="00EF3C9E"/>
    <w:rsid w:val="00EF3D8B"/>
    <w:rsid w:val="00EF3DBE"/>
    <w:rsid w:val="00EF3E03"/>
    <w:rsid w:val="00EF425B"/>
    <w:rsid w:val="00EF4344"/>
    <w:rsid w:val="00EF43C5"/>
    <w:rsid w:val="00EF4751"/>
    <w:rsid w:val="00EF47F3"/>
    <w:rsid w:val="00EF4ACF"/>
    <w:rsid w:val="00EF4C02"/>
    <w:rsid w:val="00EF50EF"/>
    <w:rsid w:val="00EF5281"/>
    <w:rsid w:val="00EF5640"/>
    <w:rsid w:val="00EF5BD3"/>
    <w:rsid w:val="00EF62E8"/>
    <w:rsid w:val="00EF6B09"/>
    <w:rsid w:val="00EF6B94"/>
    <w:rsid w:val="00EF7118"/>
    <w:rsid w:val="00EF7318"/>
    <w:rsid w:val="00EF7344"/>
    <w:rsid w:val="00EF7472"/>
    <w:rsid w:val="00EF756D"/>
    <w:rsid w:val="00EF7D3F"/>
    <w:rsid w:val="00EF7F59"/>
    <w:rsid w:val="00F0011A"/>
    <w:rsid w:val="00F001F7"/>
    <w:rsid w:val="00F0028F"/>
    <w:rsid w:val="00F006C6"/>
    <w:rsid w:val="00F00732"/>
    <w:rsid w:val="00F0083F"/>
    <w:rsid w:val="00F00A7F"/>
    <w:rsid w:val="00F00B55"/>
    <w:rsid w:val="00F00C50"/>
    <w:rsid w:val="00F00D63"/>
    <w:rsid w:val="00F01167"/>
    <w:rsid w:val="00F0138F"/>
    <w:rsid w:val="00F017AA"/>
    <w:rsid w:val="00F0181F"/>
    <w:rsid w:val="00F0183B"/>
    <w:rsid w:val="00F019AD"/>
    <w:rsid w:val="00F019E6"/>
    <w:rsid w:val="00F01D8C"/>
    <w:rsid w:val="00F01E81"/>
    <w:rsid w:val="00F020AB"/>
    <w:rsid w:val="00F024C8"/>
    <w:rsid w:val="00F027C1"/>
    <w:rsid w:val="00F02894"/>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6F68"/>
    <w:rsid w:val="00F0748C"/>
    <w:rsid w:val="00F075C0"/>
    <w:rsid w:val="00F07B71"/>
    <w:rsid w:val="00F07D2B"/>
    <w:rsid w:val="00F07E24"/>
    <w:rsid w:val="00F07E68"/>
    <w:rsid w:val="00F100BC"/>
    <w:rsid w:val="00F10421"/>
    <w:rsid w:val="00F105AD"/>
    <w:rsid w:val="00F106A9"/>
    <w:rsid w:val="00F10920"/>
    <w:rsid w:val="00F10E82"/>
    <w:rsid w:val="00F10F16"/>
    <w:rsid w:val="00F10F6A"/>
    <w:rsid w:val="00F1129C"/>
    <w:rsid w:val="00F112C3"/>
    <w:rsid w:val="00F11F08"/>
    <w:rsid w:val="00F12140"/>
    <w:rsid w:val="00F12230"/>
    <w:rsid w:val="00F124F5"/>
    <w:rsid w:val="00F125A4"/>
    <w:rsid w:val="00F12724"/>
    <w:rsid w:val="00F1276E"/>
    <w:rsid w:val="00F127C6"/>
    <w:rsid w:val="00F1290D"/>
    <w:rsid w:val="00F12E99"/>
    <w:rsid w:val="00F130A4"/>
    <w:rsid w:val="00F133CD"/>
    <w:rsid w:val="00F13508"/>
    <w:rsid w:val="00F13892"/>
    <w:rsid w:val="00F1391E"/>
    <w:rsid w:val="00F13974"/>
    <w:rsid w:val="00F13A73"/>
    <w:rsid w:val="00F13C84"/>
    <w:rsid w:val="00F13DD6"/>
    <w:rsid w:val="00F1409C"/>
    <w:rsid w:val="00F146FB"/>
    <w:rsid w:val="00F14D29"/>
    <w:rsid w:val="00F1524D"/>
    <w:rsid w:val="00F1588C"/>
    <w:rsid w:val="00F15CD8"/>
    <w:rsid w:val="00F15D91"/>
    <w:rsid w:val="00F15DBF"/>
    <w:rsid w:val="00F15FE0"/>
    <w:rsid w:val="00F160F3"/>
    <w:rsid w:val="00F16231"/>
    <w:rsid w:val="00F163C4"/>
    <w:rsid w:val="00F1664B"/>
    <w:rsid w:val="00F16657"/>
    <w:rsid w:val="00F16740"/>
    <w:rsid w:val="00F1683A"/>
    <w:rsid w:val="00F16CBC"/>
    <w:rsid w:val="00F17792"/>
    <w:rsid w:val="00F17A93"/>
    <w:rsid w:val="00F17CD8"/>
    <w:rsid w:val="00F17D5C"/>
    <w:rsid w:val="00F17D87"/>
    <w:rsid w:val="00F17F85"/>
    <w:rsid w:val="00F202D1"/>
    <w:rsid w:val="00F206FC"/>
    <w:rsid w:val="00F20760"/>
    <w:rsid w:val="00F2082B"/>
    <w:rsid w:val="00F20860"/>
    <w:rsid w:val="00F20C1B"/>
    <w:rsid w:val="00F21177"/>
    <w:rsid w:val="00F212BB"/>
    <w:rsid w:val="00F21484"/>
    <w:rsid w:val="00F21667"/>
    <w:rsid w:val="00F216BA"/>
    <w:rsid w:val="00F21AC1"/>
    <w:rsid w:val="00F21CFE"/>
    <w:rsid w:val="00F21D7B"/>
    <w:rsid w:val="00F2220C"/>
    <w:rsid w:val="00F22443"/>
    <w:rsid w:val="00F226E4"/>
    <w:rsid w:val="00F227B1"/>
    <w:rsid w:val="00F235BA"/>
    <w:rsid w:val="00F2376B"/>
    <w:rsid w:val="00F23D20"/>
    <w:rsid w:val="00F24105"/>
    <w:rsid w:val="00F247A1"/>
    <w:rsid w:val="00F24A0B"/>
    <w:rsid w:val="00F24C92"/>
    <w:rsid w:val="00F24E6A"/>
    <w:rsid w:val="00F253B7"/>
    <w:rsid w:val="00F25AAA"/>
    <w:rsid w:val="00F25C04"/>
    <w:rsid w:val="00F25EFD"/>
    <w:rsid w:val="00F26482"/>
    <w:rsid w:val="00F26A41"/>
    <w:rsid w:val="00F26DE6"/>
    <w:rsid w:val="00F27068"/>
    <w:rsid w:val="00F271CC"/>
    <w:rsid w:val="00F273AF"/>
    <w:rsid w:val="00F27562"/>
    <w:rsid w:val="00F276CB"/>
    <w:rsid w:val="00F27936"/>
    <w:rsid w:val="00F27F36"/>
    <w:rsid w:val="00F30437"/>
    <w:rsid w:val="00F31320"/>
    <w:rsid w:val="00F31596"/>
    <w:rsid w:val="00F316E4"/>
    <w:rsid w:val="00F31A35"/>
    <w:rsid w:val="00F31D39"/>
    <w:rsid w:val="00F31F35"/>
    <w:rsid w:val="00F320B2"/>
    <w:rsid w:val="00F3214C"/>
    <w:rsid w:val="00F323A5"/>
    <w:rsid w:val="00F3295C"/>
    <w:rsid w:val="00F32A10"/>
    <w:rsid w:val="00F32C88"/>
    <w:rsid w:val="00F32ED0"/>
    <w:rsid w:val="00F3349F"/>
    <w:rsid w:val="00F336CC"/>
    <w:rsid w:val="00F3388E"/>
    <w:rsid w:val="00F339FB"/>
    <w:rsid w:val="00F3448A"/>
    <w:rsid w:val="00F346AC"/>
    <w:rsid w:val="00F3489D"/>
    <w:rsid w:val="00F34DCB"/>
    <w:rsid w:val="00F350B2"/>
    <w:rsid w:val="00F3517E"/>
    <w:rsid w:val="00F356E9"/>
    <w:rsid w:val="00F35810"/>
    <w:rsid w:val="00F3656B"/>
    <w:rsid w:val="00F365AE"/>
    <w:rsid w:val="00F367C4"/>
    <w:rsid w:val="00F36A64"/>
    <w:rsid w:val="00F36AC1"/>
    <w:rsid w:val="00F36CF8"/>
    <w:rsid w:val="00F370AF"/>
    <w:rsid w:val="00F372CE"/>
    <w:rsid w:val="00F37490"/>
    <w:rsid w:val="00F3764A"/>
    <w:rsid w:val="00F377CB"/>
    <w:rsid w:val="00F37F44"/>
    <w:rsid w:val="00F404F0"/>
    <w:rsid w:val="00F40790"/>
    <w:rsid w:val="00F4086D"/>
    <w:rsid w:val="00F40A82"/>
    <w:rsid w:val="00F40D2C"/>
    <w:rsid w:val="00F40EEA"/>
    <w:rsid w:val="00F40F57"/>
    <w:rsid w:val="00F410D0"/>
    <w:rsid w:val="00F413EB"/>
    <w:rsid w:val="00F41F98"/>
    <w:rsid w:val="00F42111"/>
    <w:rsid w:val="00F4238C"/>
    <w:rsid w:val="00F4278D"/>
    <w:rsid w:val="00F428D0"/>
    <w:rsid w:val="00F4293C"/>
    <w:rsid w:val="00F437B5"/>
    <w:rsid w:val="00F43902"/>
    <w:rsid w:val="00F43908"/>
    <w:rsid w:val="00F43A2F"/>
    <w:rsid w:val="00F43A74"/>
    <w:rsid w:val="00F44032"/>
    <w:rsid w:val="00F44CCB"/>
    <w:rsid w:val="00F452CC"/>
    <w:rsid w:val="00F45323"/>
    <w:rsid w:val="00F454D3"/>
    <w:rsid w:val="00F455B6"/>
    <w:rsid w:val="00F45969"/>
    <w:rsid w:val="00F45B67"/>
    <w:rsid w:val="00F45CB1"/>
    <w:rsid w:val="00F45E63"/>
    <w:rsid w:val="00F461C3"/>
    <w:rsid w:val="00F470C0"/>
    <w:rsid w:val="00F4727F"/>
    <w:rsid w:val="00F472B3"/>
    <w:rsid w:val="00F47C1E"/>
    <w:rsid w:val="00F47CB8"/>
    <w:rsid w:val="00F47EA4"/>
    <w:rsid w:val="00F50042"/>
    <w:rsid w:val="00F50461"/>
    <w:rsid w:val="00F5087A"/>
    <w:rsid w:val="00F50D0C"/>
    <w:rsid w:val="00F50F0B"/>
    <w:rsid w:val="00F51372"/>
    <w:rsid w:val="00F51ABB"/>
    <w:rsid w:val="00F51B41"/>
    <w:rsid w:val="00F51D8E"/>
    <w:rsid w:val="00F5263D"/>
    <w:rsid w:val="00F5267E"/>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4D36"/>
    <w:rsid w:val="00F556DB"/>
    <w:rsid w:val="00F55E0B"/>
    <w:rsid w:val="00F560FD"/>
    <w:rsid w:val="00F5645B"/>
    <w:rsid w:val="00F5672A"/>
    <w:rsid w:val="00F568A1"/>
    <w:rsid w:val="00F56BF1"/>
    <w:rsid w:val="00F57323"/>
    <w:rsid w:val="00F57658"/>
    <w:rsid w:val="00F57787"/>
    <w:rsid w:val="00F5789C"/>
    <w:rsid w:val="00F57CAA"/>
    <w:rsid w:val="00F60483"/>
    <w:rsid w:val="00F608C6"/>
    <w:rsid w:val="00F60EA8"/>
    <w:rsid w:val="00F616C1"/>
    <w:rsid w:val="00F618AC"/>
    <w:rsid w:val="00F622A1"/>
    <w:rsid w:val="00F622DF"/>
    <w:rsid w:val="00F62432"/>
    <w:rsid w:val="00F6275A"/>
    <w:rsid w:val="00F6299C"/>
    <w:rsid w:val="00F62A9B"/>
    <w:rsid w:val="00F62CED"/>
    <w:rsid w:val="00F6324B"/>
    <w:rsid w:val="00F63BC6"/>
    <w:rsid w:val="00F64138"/>
    <w:rsid w:val="00F64B6D"/>
    <w:rsid w:val="00F64DDC"/>
    <w:rsid w:val="00F65244"/>
    <w:rsid w:val="00F65597"/>
    <w:rsid w:val="00F657AC"/>
    <w:rsid w:val="00F6589A"/>
    <w:rsid w:val="00F65A6F"/>
    <w:rsid w:val="00F65BAF"/>
    <w:rsid w:val="00F66497"/>
    <w:rsid w:val="00F665CB"/>
    <w:rsid w:val="00F66979"/>
    <w:rsid w:val="00F66A85"/>
    <w:rsid w:val="00F66B64"/>
    <w:rsid w:val="00F66C6C"/>
    <w:rsid w:val="00F66F21"/>
    <w:rsid w:val="00F67419"/>
    <w:rsid w:val="00F674DF"/>
    <w:rsid w:val="00F67997"/>
    <w:rsid w:val="00F702E5"/>
    <w:rsid w:val="00F70711"/>
    <w:rsid w:val="00F70AB5"/>
    <w:rsid w:val="00F70F36"/>
    <w:rsid w:val="00F7117C"/>
    <w:rsid w:val="00F7139D"/>
    <w:rsid w:val="00F71487"/>
    <w:rsid w:val="00F71BB1"/>
    <w:rsid w:val="00F72007"/>
    <w:rsid w:val="00F72021"/>
    <w:rsid w:val="00F7209F"/>
    <w:rsid w:val="00F72367"/>
    <w:rsid w:val="00F72534"/>
    <w:rsid w:val="00F72A91"/>
    <w:rsid w:val="00F72CF3"/>
    <w:rsid w:val="00F72E18"/>
    <w:rsid w:val="00F72EA5"/>
    <w:rsid w:val="00F73538"/>
    <w:rsid w:val="00F73E3D"/>
    <w:rsid w:val="00F73EFB"/>
    <w:rsid w:val="00F7404D"/>
    <w:rsid w:val="00F740D2"/>
    <w:rsid w:val="00F7425C"/>
    <w:rsid w:val="00F74577"/>
    <w:rsid w:val="00F74F73"/>
    <w:rsid w:val="00F75052"/>
    <w:rsid w:val="00F754BD"/>
    <w:rsid w:val="00F76319"/>
    <w:rsid w:val="00F7684E"/>
    <w:rsid w:val="00F76C10"/>
    <w:rsid w:val="00F76F69"/>
    <w:rsid w:val="00F76F7F"/>
    <w:rsid w:val="00F77089"/>
    <w:rsid w:val="00F773C8"/>
    <w:rsid w:val="00F774B1"/>
    <w:rsid w:val="00F779C8"/>
    <w:rsid w:val="00F77A8A"/>
    <w:rsid w:val="00F77DCC"/>
    <w:rsid w:val="00F80CF2"/>
    <w:rsid w:val="00F80D7F"/>
    <w:rsid w:val="00F810DD"/>
    <w:rsid w:val="00F813EB"/>
    <w:rsid w:val="00F8153A"/>
    <w:rsid w:val="00F81556"/>
    <w:rsid w:val="00F81EB2"/>
    <w:rsid w:val="00F82597"/>
    <w:rsid w:val="00F82E49"/>
    <w:rsid w:val="00F82F8C"/>
    <w:rsid w:val="00F832F1"/>
    <w:rsid w:val="00F83C8D"/>
    <w:rsid w:val="00F84576"/>
    <w:rsid w:val="00F84F50"/>
    <w:rsid w:val="00F84FA4"/>
    <w:rsid w:val="00F8520D"/>
    <w:rsid w:val="00F855A8"/>
    <w:rsid w:val="00F85977"/>
    <w:rsid w:val="00F85D97"/>
    <w:rsid w:val="00F86316"/>
    <w:rsid w:val="00F8684A"/>
    <w:rsid w:val="00F868AF"/>
    <w:rsid w:val="00F86C23"/>
    <w:rsid w:val="00F87022"/>
    <w:rsid w:val="00F871F2"/>
    <w:rsid w:val="00F87343"/>
    <w:rsid w:val="00F87383"/>
    <w:rsid w:val="00F873DC"/>
    <w:rsid w:val="00F901AB"/>
    <w:rsid w:val="00F90790"/>
    <w:rsid w:val="00F90BF5"/>
    <w:rsid w:val="00F90F19"/>
    <w:rsid w:val="00F914B6"/>
    <w:rsid w:val="00F91B00"/>
    <w:rsid w:val="00F91E45"/>
    <w:rsid w:val="00F92084"/>
    <w:rsid w:val="00F9256F"/>
    <w:rsid w:val="00F92AC7"/>
    <w:rsid w:val="00F92E6B"/>
    <w:rsid w:val="00F93B15"/>
    <w:rsid w:val="00F9477C"/>
    <w:rsid w:val="00F9493E"/>
    <w:rsid w:val="00F949E7"/>
    <w:rsid w:val="00F94F23"/>
    <w:rsid w:val="00F95131"/>
    <w:rsid w:val="00F9527D"/>
    <w:rsid w:val="00F95428"/>
    <w:rsid w:val="00F954B0"/>
    <w:rsid w:val="00F95753"/>
    <w:rsid w:val="00F95905"/>
    <w:rsid w:val="00F95BCC"/>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F79"/>
    <w:rsid w:val="00FA0870"/>
    <w:rsid w:val="00FA0B13"/>
    <w:rsid w:val="00FA1C42"/>
    <w:rsid w:val="00FA1C68"/>
    <w:rsid w:val="00FA1CE9"/>
    <w:rsid w:val="00FA1D83"/>
    <w:rsid w:val="00FA1E79"/>
    <w:rsid w:val="00FA223B"/>
    <w:rsid w:val="00FA24CE"/>
    <w:rsid w:val="00FA2556"/>
    <w:rsid w:val="00FA2625"/>
    <w:rsid w:val="00FA288C"/>
    <w:rsid w:val="00FA2A08"/>
    <w:rsid w:val="00FA2EC7"/>
    <w:rsid w:val="00FA303C"/>
    <w:rsid w:val="00FA3445"/>
    <w:rsid w:val="00FA36BA"/>
    <w:rsid w:val="00FA383C"/>
    <w:rsid w:val="00FA3FB6"/>
    <w:rsid w:val="00FA4048"/>
    <w:rsid w:val="00FA4FDA"/>
    <w:rsid w:val="00FA5011"/>
    <w:rsid w:val="00FA545F"/>
    <w:rsid w:val="00FA56A2"/>
    <w:rsid w:val="00FA57B9"/>
    <w:rsid w:val="00FA587B"/>
    <w:rsid w:val="00FA58B2"/>
    <w:rsid w:val="00FA5A5D"/>
    <w:rsid w:val="00FA5B5A"/>
    <w:rsid w:val="00FA5F69"/>
    <w:rsid w:val="00FA64A2"/>
    <w:rsid w:val="00FA66BD"/>
    <w:rsid w:val="00FA66F1"/>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5F1"/>
    <w:rsid w:val="00FB2E10"/>
    <w:rsid w:val="00FB31B3"/>
    <w:rsid w:val="00FB336A"/>
    <w:rsid w:val="00FB3520"/>
    <w:rsid w:val="00FB3DAE"/>
    <w:rsid w:val="00FB3DB2"/>
    <w:rsid w:val="00FB4187"/>
    <w:rsid w:val="00FB4240"/>
    <w:rsid w:val="00FB474D"/>
    <w:rsid w:val="00FB48F3"/>
    <w:rsid w:val="00FB4B10"/>
    <w:rsid w:val="00FB4C64"/>
    <w:rsid w:val="00FB4D57"/>
    <w:rsid w:val="00FB4DC5"/>
    <w:rsid w:val="00FB4E50"/>
    <w:rsid w:val="00FB5003"/>
    <w:rsid w:val="00FB53C9"/>
    <w:rsid w:val="00FB5806"/>
    <w:rsid w:val="00FB5841"/>
    <w:rsid w:val="00FB631E"/>
    <w:rsid w:val="00FB6952"/>
    <w:rsid w:val="00FB699F"/>
    <w:rsid w:val="00FB6AD8"/>
    <w:rsid w:val="00FB6C51"/>
    <w:rsid w:val="00FB70DB"/>
    <w:rsid w:val="00FB73E5"/>
    <w:rsid w:val="00FB7445"/>
    <w:rsid w:val="00FB7447"/>
    <w:rsid w:val="00FB75BC"/>
    <w:rsid w:val="00FB7AAF"/>
    <w:rsid w:val="00FB7EDC"/>
    <w:rsid w:val="00FC1205"/>
    <w:rsid w:val="00FC1928"/>
    <w:rsid w:val="00FC192D"/>
    <w:rsid w:val="00FC1B7A"/>
    <w:rsid w:val="00FC1C91"/>
    <w:rsid w:val="00FC2817"/>
    <w:rsid w:val="00FC2CFF"/>
    <w:rsid w:val="00FC2EE7"/>
    <w:rsid w:val="00FC3574"/>
    <w:rsid w:val="00FC3ADF"/>
    <w:rsid w:val="00FC3D85"/>
    <w:rsid w:val="00FC3E97"/>
    <w:rsid w:val="00FC3F76"/>
    <w:rsid w:val="00FC3FBF"/>
    <w:rsid w:val="00FC4D3E"/>
    <w:rsid w:val="00FC4DDA"/>
    <w:rsid w:val="00FC534C"/>
    <w:rsid w:val="00FC55AB"/>
    <w:rsid w:val="00FC55BF"/>
    <w:rsid w:val="00FC5AA7"/>
    <w:rsid w:val="00FC5C11"/>
    <w:rsid w:val="00FC603D"/>
    <w:rsid w:val="00FC6E28"/>
    <w:rsid w:val="00FC7178"/>
    <w:rsid w:val="00FC7867"/>
    <w:rsid w:val="00FC7E2A"/>
    <w:rsid w:val="00FC7F88"/>
    <w:rsid w:val="00FD0148"/>
    <w:rsid w:val="00FD0168"/>
    <w:rsid w:val="00FD0437"/>
    <w:rsid w:val="00FD0598"/>
    <w:rsid w:val="00FD062D"/>
    <w:rsid w:val="00FD0A3A"/>
    <w:rsid w:val="00FD0B27"/>
    <w:rsid w:val="00FD11E5"/>
    <w:rsid w:val="00FD14B4"/>
    <w:rsid w:val="00FD15F4"/>
    <w:rsid w:val="00FD1E8D"/>
    <w:rsid w:val="00FD249A"/>
    <w:rsid w:val="00FD2CC7"/>
    <w:rsid w:val="00FD2CF9"/>
    <w:rsid w:val="00FD324B"/>
    <w:rsid w:val="00FD3455"/>
    <w:rsid w:val="00FD3858"/>
    <w:rsid w:val="00FD3A95"/>
    <w:rsid w:val="00FD3DDB"/>
    <w:rsid w:val="00FD4223"/>
    <w:rsid w:val="00FD44FB"/>
    <w:rsid w:val="00FD4510"/>
    <w:rsid w:val="00FD478D"/>
    <w:rsid w:val="00FD47A4"/>
    <w:rsid w:val="00FD5088"/>
    <w:rsid w:val="00FD50B8"/>
    <w:rsid w:val="00FD568E"/>
    <w:rsid w:val="00FD5B49"/>
    <w:rsid w:val="00FD5C3E"/>
    <w:rsid w:val="00FD6AD6"/>
    <w:rsid w:val="00FD6D41"/>
    <w:rsid w:val="00FD6E92"/>
    <w:rsid w:val="00FD7189"/>
    <w:rsid w:val="00FD72EE"/>
    <w:rsid w:val="00FD76C4"/>
    <w:rsid w:val="00FD7C79"/>
    <w:rsid w:val="00FE0C8A"/>
    <w:rsid w:val="00FE17F0"/>
    <w:rsid w:val="00FE22D4"/>
    <w:rsid w:val="00FE22E6"/>
    <w:rsid w:val="00FE2BAB"/>
    <w:rsid w:val="00FE2DFE"/>
    <w:rsid w:val="00FE3128"/>
    <w:rsid w:val="00FE3C33"/>
    <w:rsid w:val="00FE3E93"/>
    <w:rsid w:val="00FE42DF"/>
    <w:rsid w:val="00FE490F"/>
    <w:rsid w:val="00FE494F"/>
    <w:rsid w:val="00FE4A7E"/>
    <w:rsid w:val="00FE5761"/>
    <w:rsid w:val="00FE5EA8"/>
    <w:rsid w:val="00FE6103"/>
    <w:rsid w:val="00FE618D"/>
    <w:rsid w:val="00FE648A"/>
    <w:rsid w:val="00FE64F0"/>
    <w:rsid w:val="00FE6757"/>
    <w:rsid w:val="00FE698D"/>
    <w:rsid w:val="00FE737F"/>
    <w:rsid w:val="00FF0141"/>
    <w:rsid w:val="00FF068E"/>
    <w:rsid w:val="00FF0934"/>
    <w:rsid w:val="00FF0BE2"/>
    <w:rsid w:val="00FF0C0B"/>
    <w:rsid w:val="00FF0F68"/>
    <w:rsid w:val="00FF11E7"/>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F99"/>
    <w:rsid w:val="00FF414D"/>
    <w:rsid w:val="00FF474C"/>
    <w:rsid w:val="00FF49F4"/>
    <w:rsid w:val="00FF4C3A"/>
    <w:rsid w:val="00FF4E9A"/>
    <w:rsid w:val="00FF508F"/>
    <w:rsid w:val="00FF5232"/>
    <w:rsid w:val="00FF550D"/>
    <w:rsid w:val="00FF56C2"/>
    <w:rsid w:val="00FF573E"/>
    <w:rsid w:val="00FF5811"/>
    <w:rsid w:val="00FF5A26"/>
    <w:rsid w:val="00FF5AD7"/>
    <w:rsid w:val="00FF5FE8"/>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99655014-0E9B-4815-B78B-92FFBBC7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9C"/>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1">
    <w:name w:val="Puesto1"/>
    <w:aliases w:val=" Car"/>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aliases w:val=" Car Car"/>
    <w:link w:val="Puesto1"/>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Textoindependiente27">
    <w:name w:val="Texto independiente 27"/>
    <w:basedOn w:val="Normal"/>
    <w:rsid w:val="007A13DB"/>
    <w:pPr>
      <w:overflowPunct w:val="0"/>
      <w:autoSpaceDE w:val="0"/>
      <w:autoSpaceDN w:val="0"/>
      <w:adjustRightInd w:val="0"/>
      <w:textAlignment w:val="baseline"/>
    </w:pPr>
    <w:rPr>
      <w:szCs w:val="20"/>
    </w:rPr>
  </w:style>
  <w:style w:type="character" w:customStyle="1" w:styleId="FontStyle65">
    <w:name w:val="Font Style65"/>
    <w:rsid w:val="0097577C"/>
    <w:rPr>
      <w:rFonts w:ascii="Times New Roman" w:hAnsi="Times New Roman" w:cs="Times New Roman"/>
      <w:sz w:val="22"/>
      <w:szCs w:val="22"/>
    </w:rPr>
  </w:style>
  <w:style w:type="paragraph" w:customStyle="1" w:styleId="Style28">
    <w:name w:val="Style28"/>
    <w:basedOn w:val="Normal"/>
    <w:rsid w:val="0097577C"/>
    <w:pPr>
      <w:widowControl w:val="0"/>
      <w:autoSpaceDE w:val="0"/>
      <w:autoSpaceDN w:val="0"/>
      <w:adjustRightInd w:val="0"/>
      <w:spacing w:line="199" w:lineRule="exact"/>
      <w:ind w:firstLine="451"/>
    </w:pPr>
  </w:style>
  <w:style w:type="paragraph" w:customStyle="1" w:styleId="Style49">
    <w:name w:val="Style49"/>
    <w:basedOn w:val="Normal"/>
    <w:rsid w:val="0097577C"/>
    <w:pPr>
      <w:widowControl w:val="0"/>
      <w:autoSpaceDE w:val="0"/>
      <w:autoSpaceDN w:val="0"/>
      <w:adjustRightInd w:val="0"/>
      <w:spacing w:line="198" w:lineRule="exact"/>
      <w:ind w:firstLine="437"/>
    </w:pPr>
  </w:style>
  <w:style w:type="character" w:customStyle="1" w:styleId="FontStyle77">
    <w:name w:val="Font Style77"/>
    <w:rsid w:val="0097577C"/>
    <w:rPr>
      <w:rFonts w:ascii="Times New Roman" w:hAnsi="Times New Roman" w:cs="Times New Roman"/>
      <w:b/>
      <w:bCs/>
      <w:sz w:val="20"/>
      <w:szCs w:val="20"/>
    </w:rPr>
  </w:style>
  <w:style w:type="paragraph" w:customStyle="1" w:styleId="Style40">
    <w:name w:val="Style40"/>
    <w:basedOn w:val="Normal"/>
    <w:rsid w:val="0097577C"/>
    <w:pPr>
      <w:widowControl w:val="0"/>
      <w:autoSpaceDE w:val="0"/>
      <w:autoSpaceDN w:val="0"/>
      <w:adjustRightInd w:val="0"/>
      <w:spacing w:line="240" w:lineRule="auto"/>
    </w:pPr>
  </w:style>
  <w:style w:type="character" w:customStyle="1" w:styleId="FontStyle64">
    <w:name w:val="Font Style64"/>
    <w:rsid w:val="0097577C"/>
    <w:rPr>
      <w:rFonts w:ascii="Times New Roman" w:hAnsi="Times New Roman" w:cs="Times New Roman"/>
      <w:b/>
      <w:bCs/>
      <w:spacing w:val="-10"/>
      <w:sz w:val="22"/>
      <w:szCs w:val="22"/>
    </w:rPr>
  </w:style>
  <w:style w:type="paragraph" w:customStyle="1" w:styleId="Textoindependiente31">
    <w:name w:val="Texto independiente 31"/>
    <w:basedOn w:val="Normal"/>
    <w:rsid w:val="003E0D40"/>
    <w:pPr>
      <w:suppressAutoHyphens/>
      <w:overflowPunct w:val="0"/>
      <w:autoSpaceDE w:val="0"/>
      <w:autoSpaceDN w:val="0"/>
      <w:adjustRightInd w:val="0"/>
      <w:textAlignment w:val="baseline"/>
    </w:pPr>
    <w:rPr>
      <w:sz w:val="26"/>
      <w:szCs w:val="20"/>
      <w:lang w:val="es-ES_tradnl"/>
    </w:rPr>
  </w:style>
  <w:style w:type="paragraph" w:customStyle="1" w:styleId="Style34">
    <w:name w:val="Style34"/>
    <w:basedOn w:val="Normal"/>
    <w:rsid w:val="003E0D40"/>
    <w:pPr>
      <w:widowControl w:val="0"/>
      <w:autoSpaceDE w:val="0"/>
      <w:autoSpaceDN w:val="0"/>
      <w:adjustRightInd w:val="0"/>
      <w:spacing w:line="240"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366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187041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097778">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20271277">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63017790">
      <w:bodyDiv w:val="1"/>
      <w:marLeft w:val="0"/>
      <w:marRight w:val="0"/>
      <w:marTop w:val="0"/>
      <w:marBottom w:val="0"/>
      <w:divBdr>
        <w:top w:val="none" w:sz="0" w:space="0" w:color="auto"/>
        <w:left w:val="none" w:sz="0" w:space="0" w:color="auto"/>
        <w:bottom w:val="none" w:sz="0" w:space="0" w:color="auto"/>
        <w:right w:val="none" w:sz="0" w:space="0" w:color="auto"/>
      </w:divBdr>
    </w:div>
    <w:div w:id="1066031043">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50294895">
      <w:bodyDiv w:val="1"/>
      <w:marLeft w:val="0"/>
      <w:marRight w:val="0"/>
      <w:marTop w:val="0"/>
      <w:marBottom w:val="0"/>
      <w:divBdr>
        <w:top w:val="none" w:sz="0" w:space="0" w:color="auto"/>
        <w:left w:val="none" w:sz="0" w:space="0" w:color="auto"/>
        <w:bottom w:val="none" w:sz="0" w:space="0" w:color="auto"/>
        <w:right w:val="none" w:sz="0" w:space="0" w:color="auto"/>
      </w:divBdr>
    </w:div>
    <w:div w:id="1179393771">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313172966">
      <w:bodyDiv w:val="1"/>
      <w:marLeft w:val="0"/>
      <w:marRight w:val="0"/>
      <w:marTop w:val="0"/>
      <w:marBottom w:val="0"/>
      <w:divBdr>
        <w:top w:val="none" w:sz="0" w:space="0" w:color="auto"/>
        <w:left w:val="none" w:sz="0" w:space="0" w:color="auto"/>
        <w:bottom w:val="none" w:sz="0" w:space="0" w:color="auto"/>
        <w:right w:val="none" w:sz="0" w:space="0" w:color="auto"/>
      </w:divBdr>
    </w:div>
    <w:div w:id="1342780218">
      <w:bodyDiv w:val="1"/>
      <w:marLeft w:val="0"/>
      <w:marRight w:val="0"/>
      <w:marTop w:val="0"/>
      <w:marBottom w:val="0"/>
      <w:divBdr>
        <w:top w:val="none" w:sz="0" w:space="0" w:color="auto"/>
        <w:left w:val="none" w:sz="0" w:space="0" w:color="auto"/>
        <w:bottom w:val="none" w:sz="0" w:space="0" w:color="auto"/>
        <w:right w:val="none" w:sz="0" w:space="0" w:color="auto"/>
      </w:divBdr>
    </w:div>
    <w:div w:id="1356612271">
      <w:bodyDiv w:val="1"/>
      <w:marLeft w:val="0"/>
      <w:marRight w:val="0"/>
      <w:marTop w:val="0"/>
      <w:marBottom w:val="0"/>
      <w:divBdr>
        <w:top w:val="none" w:sz="0" w:space="0" w:color="auto"/>
        <w:left w:val="none" w:sz="0" w:space="0" w:color="auto"/>
        <w:bottom w:val="none" w:sz="0" w:space="0" w:color="auto"/>
        <w:right w:val="none" w:sz="0" w:space="0" w:color="auto"/>
      </w:divBdr>
    </w:div>
    <w:div w:id="1368483136">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42811755">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obieebr.banrep.gov.co/" TargetMode="External"/><Relationship Id="rId2" Type="http://schemas.openxmlformats.org/officeDocument/2006/relationships/hyperlink" Target="http://www.DANE.GOV.CO" TargetMode="External"/><Relationship Id="rId1" Type="http://schemas.openxmlformats.org/officeDocument/2006/relationships/hyperlink" Target="http://obieebr.banrep.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734C-A287-427B-ACE0-979B94A501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019B4-FC6B-4C75-977A-A6D9FEA52879}">
  <ds:schemaRefs>
    <ds:schemaRef ds:uri="http://schemas.microsoft.com/sharepoint/v3/contenttype/forms"/>
  </ds:schemaRefs>
</ds:datastoreItem>
</file>

<file path=customXml/itemProps3.xml><?xml version="1.0" encoding="utf-8"?>
<ds:datastoreItem xmlns:ds="http://schemas.openxmlformats.org/officeDocument/2006/customXml" ds:itemID="{051F571A-C08D-4AFF-A81E-5A0D87358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DCE37-EFA2-4F54-929E-646D9267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16120</Words>
  <Characters>88660</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104571</CharactersWithSpaces>
  <SharedDoc>false</SharedDoc>
  <HLinks>
    <vt:vector size="18" baseType="variant">
      <vt:variant>
        <vt:i4>5439571</vt:i4>
      </vt:variant>
      <vt:variant>
        <vt:i4>6</vt:i4>
      </vt:variant>
      <vt:variant>
        <vt:i4>0</vt:i4>
      </vt:variant>
      <vt:variant>
        <vt:i4>5</vt:i4>
      </vt:variant>
      <vt:variant>
        <vt:lpwstr>http://obieebr.banrep.gov.co/</vt:lpwstr>
      </vt:variant>
      <vt:variant>
        <vt:lpwstr/>
      </vt:variant>
      <vt:variant>
        <vt:i4>2162726</vt:i4>
      </vt:variant>
      <vt:variant>
        <vt:i4>3</vt:i4>
      </vt:variant>
      <vt:variant>
        <vt:i4>0</vt:i4>
      </vt:variant>
      <vt:variant>
        <vt:i4>5</vt:i4>
      </vt:variant>
      <vt:variant>
        <vt:lpwstr>http://www.dane.gov.co/</vt:lpwstr>
      </vt:variant>
      <vt:variant>
        <vt:lpwstr/>
      </vt:variant>
      <vt:variant>
        <vt:i4>8257660</vt:i4>
      </vt:variant>
      <vt:variant>
        <vt:i4>0</vt:i4>
      </vt:variant>
      <vt:variant>
        <vt:i4>0</vt:i4>
      </vt:variant>
      <vt:variant>
        <vt:i4>5</vt:i4>
      </vt:variant>
      <vt:variant>
        <vt:lpwstr>http://obieebr.banrep.gov.co/-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Andres Urrego</cp:lastModifiedBy>
  <cp:revision>2</cp:revision>
  <cp:lastPrinted>2017-11-27T15:40:00Z</cp:lastPrinted>
  <dcterms:created xsi:type="dcterms:W3CDTF">2020-06-25T19:19:00Z</dcterms:created>
  <dcterms:modified xsi:type="dcterms:W3CDTF">2020-06-25T19:19:00Z</dcterms:modified>
</cp:coreProperties>
</file>