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33" w:rsidRDefault="00BB7D33" w:rsidP="00E13CEC">
      <w:pPr>
        <w:jc w:val="both"/>
        <w:rPr>
          <w:rFonts w:ascii="Arial" w:hAnsi="Arial" w:cs="Arial"/>
          <w:b/>
          <w:sz w:val="24"/>
        </w:rPr>
      </w:pPr>
    </w:p>
    <w:p w:rsidR="00327AC5" w:rsidRPr="00BB7D33" w:rsidRDefault="00327AC5" w:rsidP="00E13CEC">
      <w:pPr>
        <w:jc w:val="both"/>
        <w:rPr>
          <w:rFonts w:ascii="Arial" w:hAnsi="Arial" w:cs="Arial"/>
          <w:b/>
          <w:sz w:val="24"/>
        </w:rPr>
      </w:pPr>
    </w:p>
    <w:p w:rsidR="00BB7D33" w:rsidRPr="00BB7D33" w:rsidRDefault="00BB7D33" w:rsidP="00E13CEC">
      <w:pPr>
        <w:jc w:val="both"/>
        <w:rPr>
          <w:rFonts w:ascii="Arial" w:hAnsi="Arial" w:cs="Arial"/>
          <w:b/>
          <w:sz w:val="24"/>
        </w:rPr>
      </w:pPr>
    </w:p>
    <w:p w:rsidR="00E13CEC" w:rsidRPr="00327AC5" w:rsidRDefault="00244BA4" w:rsidP="00E13CEC">
      <w:pPr>
        <w:jc w:val="both"/>
        <w:rPr>
          <w:rFonts w:ascii="Arial" w:hAnsi="Arial" w:cs="Arial"/>
        </w:rPr>
      </w:pPr>
      <w:r>
        <w:rPr>
          <w:rFonts w:ascii="Arial" w:hAnsi="Arial" w:cs="Arial"/>
          <w:b/>
        </w:rPr>
        <w:t>PACTO ARBITRAL -</w:t>
      </w:r>
      <w:r w:rsidR="00E13CEC" w:rsidRPr="00327AC5">
        <w:rPr>
          <w:rFonts w:ascii="Arial" w:hAnsi="Arial" w:cs="Arial"/>
          <w:b/>
        </w:rPr>
        <w:t xml:space="preserve"> Sentencias de unificación</w:t>
      </w:r>
      <w:r w:rsidR="00E13CEC" w:rsidRPr="00327AC5">
        <w:rPr>
          <w:rFonts w:ascii="Arial" w:hAnsi="Arial" w:cs="Arial"/>
        </w:rPr>
        <w:t xml:space="preserve"> </w:t>
      </w:r>
    </w:p>
    <w:p w:rsidR="00E13CEC" w:rsidRPr="00327AC5" w:rsidRDefault="00E13CEC" w:rsidP="00E13CEC">
      <w:pPr>
        <w:jc w:val="both"/>
        <w:rPr>
          <w:rFonts w:ascii="Arial" w:hAnsi="Arial" w:cs="Arial"/>
        </w:rPr>
      </w:pPr>
    </w:p>
    <w:p w:rsidR="00E13CEC" w:rsidRPr="00327AC5" w:rsidRDefault="00E13CEC" w:rsidP="00E13CEC">
      <w:pPr>
        <w:jc w:val="both"/>
        <w:rPr>
          <w:rFonts w:ascii="Arial" w:hAnsi="Arial" w:cs="Arial"/>
        </w:rPr>
      </w:pPr>
      <w:r w:rsidRPr="00327AC5">
        <w:rPr>
          <w:rFonts w:ascii="Arial" w:hAnsi="Arial" w:cs="Arial"/>
        </w:rPr>
        <w:t>La Sala Plena de la Sección Tercera de esta Corporación  unificó su jurisprudencia en torno a la irrenunciabilidad tácita del pacto arbitral, a la luz de las disposiciones del Decreto-ley 1818 de 1998, y concluyó que, así como las partes deciden, de común acuerdo, someter sus diferencias al conocimiento de la justicia arbitral, empleando para ello la celebración de un pacto cuyas principales características son que sea expreso y solemne, de la misma manera aquéllas deben observar de consuno tales condiciones (forma expresa y solmene) si su voluntad es deshacerlo o dejarlo sin efectos, de suerte que, si optan libremente por la justicia arbitral y no proceden como acaba de indicarse para cambiar lo previamente convenido, no tienen la posibilidad de escoger entre acudir a ésta o a los jueces institucionales del Estado, teniendo en cuenta que su voluntad inequívoca fue someterse a la decisión de árbitros.</w:t>
      </w:r>
      <w:r w:rsidRPr="00327AC5">
        <w:t xml:space="preserve"> </w:t>
      </w:r>
      <w:r w:rsidRPr="00327AC5">
        <w:rPr>
          <w:rFonts w:ascii="Arial" w:hAnsi="Arial" w:cs="Arial"/>
        </w:rPr>
        <w:t xml:space="preserve">La tesis que acogió la Sala en la providencia de unificación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 su formación, de tal suerte que, para ello, debe haber también un acuerdo expreso y escrito, lo cual excluye, por ende, la posibilidad de que el pacto arbitral pueda ser válidamente modificado o dejado sin efecto de manera tácita o por inferencia que haga el juez institucional, a partir del mero comportamiento procesal de las partes. Al respecto, es válido señalar que, por regla general, “en derecho las cosas se deshacen como se hacen”. No sobra destacar que la solemnidad a cuya observancia las normas legales supeditan la existencia del pacto arbitral, lejos de responder a un simple capricho del legislador o a un anhelo del juez, reviste la mayor importancia y encuentra fundamento en el interés público que dicho pacto involucra, en atención a los importantísimos y muy significativos efectos de estirpe procesal que tal acuerdo está llamado a generar, asunto en el cual, como es obvio, se encuentran directamente involucradas tanto la seguridad jurídica como, más importante todavía, la efectividad del derecho fundamental de acceso a la administración de justicia, del cual son titulares las partes que intervienen en la celebración de tales acuerdos –una de las cuales deberá ser, al menos, una entidad estatal–, puesto que, a partir de su perfeccionamiento, dichas partes quedarán atadas a lo que hubieren decidido o convenido cuando alguna de ellas requiera poner en movimiento la función judicial del Estado.  </w:t>
      </w:r>
    </w:p>
    <w:p w:rsidR="00E13CEC" w:rsidRPr="00327AC5" w:rsidRDefault="00E13CEC" w:rsidP="00E13CEC">
      <w:pPr>
        <w:jc w:val="both"/>
        <w:rPr>
          <w:rFonts w:ascii="Arial" w:hAnsi="Arial" w:cs="Arial"/>
        </w:rPr>
      </w:pPr>
    </w:p>
    <w:p w:rsidR="00E13CEC" w:rsidRDefault="00244BA4" w:rsidP="00E13CEC">
      <w:pPr>
        <w:jc w:val="both"/>
        <w:rPr>
          <w:rFonts w:ascii="Arial" w:hAnsi="Arial" w:cs="Arial"/>
          <w:b/>
        </w:rPr>
      </w:pPr>
      <w:r>
        <w:rPr>
          <w:rFonts w:ascii="Arial" w:hAnsi="Arial" w:cs="Arial"/>
          <w:b/>
        </w:rPr>
        <w:t>PACTO ARBITRAL - Características - Autonomía</w:t>
      </w:r>
    </w:p>
    <w:p w:rsidR="00244BA4" w:rsidRPr="00327AC5" w:rsidRDefault="00244BA4" w:rsidP="00E13CEC">
      <w:pPr>
        <w:jc w:val="both"/>
        <w:rPr>
          <w:rFonts w:ascii="Arial" w:hAnsi="Arial" w:cs="Arial"/>
        </w:rPr>
      </w:pPr>
    </w:p>
    <w:p w:rsidR="00244BA4" w:rsidRDefault="00E13CEC" w:rsidP="00E13CEC">
      <w:pPr>
        <w:jc w:val="both"/>
        <w:rPr>
          <w:rFonts w:ascii="Arial" w:hAnsi="Arial" w:cs="Arial"/>
        </w:rPr>
      </w:pPr>
      <w:r w:rsidRPr="00327AC5">
        <w:rPr>
          <w:rFonts w:ascii="Arial" w:hAnsi="Arial" w:cs="Arial"/>
        </w:rPr>
        <w:t>La autonomía de la cláusula compromisoria constituye una de sus principales características, al punto que los árbitros se encuentran habilitados para decidir la controversia aún en el evento de que el contrato sobre el cual deban fallar sea nulo o inexistente, es decir, la nulidad del contrato no afecta la validez y eficacia de la cláusula compr</w:t>
      </w:r>
      <w:r w:rsidR="00327AC5">
        <w:rPr>
          <w:rFonts w:ascii="Arial" w:hAnsi="Arial" w:cs="Arial"/>
        </w:rPr>
        <w:t>omisoria pactada por las partes</w:t>
      </w:r>
      <w:r w:rsidRPr="00327AC5">
        <w:rPr>
          <w:rFonts w:ascii="Arial" w:hAnsi="Arial" w:cs="Arial"/>
        </w:rPr>
        <w:t>.</w:t>
      </w:r>
      <w:r w:rsidR="00327AC5">
        <w:rPr>
          <w:rFonts w:ascii="Arial" w:hAnsi="Arial" w:cs="Arial"/>
        </w:rPr>
        <w:t xml:space="preserve"> </w:t>
      </w:r>
      <w:r w:rsidRPr="00327AC5">
        <w:rPr>
          <w:rFonts w:ascii="Arial" w:hAnsi="Arial" w:cs="Arial"/>
        </w:rPr>
        <w:t xml:space="preserve">Así, pues, los efectos que comporta la cláusula compromisoria son de tal importancia que, incluso, por razón de su autonomía, la misma subsiste aunque no ocurra lo mismo con el contrato que le dio origen –bien por razón de su nulidad, o bien por su inexistencia–; por lo mismo y con mayor razón, hay que admitir, entonces, que ella debe permanecer incólume en el mundo jurídico si las partes que la convienen nada deciden de manera expresa, conjunta y por escrito, acerca de su modificación o eliminación. Por consiguiente, la inferencia o deducción que, en sentido contrario, haga el juez institucional o permanente, a partir de la conducta procesal asumida por las partes del contrato estatal, a fin de concluir que cada una decidió, de manera unilateral, renunciar a la cláusula compromisoria o eliminarla, a pesar de que conjuntamente hayan convenido en forma expresa y por escrito tal posibilidad, desconoce abiertamente el carácter autónomo que caracteriza a la cláusula compromisoria. </w:t>
      </w:r>
    </w:p>
    <w:p w:rsidR="00244BA4" w:rsidRPr="00244BA4" w:rsidRDefault="00244BA4" w:rsidP="00E13CEC">
      <w:pPr>
        <w:jc w:val="both"/>
        <w:rPr>
          <w:rFonts w:ascii="Arial" w:hAnsi="Arial" w:cs="Arial"/>
          <w:b/>
        </w:rPr>
      </w:pPr>
    </w:p>
    <w:p w:rsidR="00244BA4" w:rsidRPr="00244BA4" w:rsidRDefault="00244BA4" w:rsidP="00E13CEC">
      <w:pPr>
        <w:jc w:val="both"/>
        <w:rPr>
          <w:rFonts w:ascii="Arial" w:hAnsi="Arial" w:cs="Arial"/>
          <w:b/>
        </w:rPr>
      </w:pPr>
      <w:r w:rsidRPr="00244BA4">
        <w:rPr>
          <w:rFonts w:ascii="Arial" w:hAnsi="Arial" w:cs="Arial"/>
          <w:b/>
        </w:rPr>
        <w:t xml:space="preserve">CONTRATO ESTATAL - Pacto arbitral </w:t>
      </w:r>
    </w:p>
    <w:p w:rsidR="00244BA4" w:rsidRDefault="00244BA4" w:rsidP="00E13CEC">
      <w:pPr>
        <w:jc w:val="both"/>
        <w:rPr>
          <w:rFonts w:ascii="Arial" w:hAnsi="Arial" w:cs="Arial"/>
        </w:rPr>
      </w:pPr>
    </w:p>
    <w:p w:rsidR="00E13CEC" w:rsidRPr="00327AC5" w:rsidRDefault="00E13CEC" w:rsidP="00E13CEC">
      <w:pPr>
        <w:jc w:val="both"/>
        <w:rPr>
          <w:rFonts w:ascii="Arial" w:hAnsi="Arial" w:cs="Arial"/>
        </w:rPr>
      </w:pPr>
      <w:r w:rsidRPr="00327AC5">
        <w:rPr>
          <w:rFonts w:ascii="Arial" w:hAnsi="Arial" w:cs="Arial"/>
        </w:rPr>
        <w:t xml:space="preserve">Por lo anterior, si las partes de un contrato estatal celebran un pacto compromisorio (cláusula compromisoria o compromiso), con lo cual deciden, de manera consciente y voluntaria, habilitar la competencia de los árbitros para conocer de los litigios que surjan entre ellas y que se encuentren comprendidos dentro del correspondiente pacto arbitral, a </w:t>
      </w:r>
      <w:r w:rsidRPr="00327AC5">
        <w:rPr>
          <w:rFonts w:ascii="Arial" w:hAnsi="Arial" w:cs="Arial"/>
        </w:rPr>
        <w:lastRenderedPageBreak/>
        <w:t xml:space="preserve">la vez que derogar la jurisdicción y la competencia de los jueces institucionales o permanentes, resulta evidente que, si estos últimos advierten la existencia de ese pacto, bien pueden y, más aún, deben rechazar la demanda, sin tener que esperar a que el extremo pasivo de la misma proponga la respectiva excepción, por cuanto, en esas condiciones, carecen de jurisdicción y de competencia y, por lo tanto, sus actuaciones resultarían afectadas de nulidad, conforme a lo dispuesto en los numerales 1 y 2 del artículo 140 del C. de P. C. En suma, cuando las partes deciden sustraer del conocimiento de la jurisdicción de lo contencioso administrativo la decisión de los conflictos que lleguen a surgir de un contrato estatal, para someterlos a la justicia arbitral, ninguna de ellas tiene la posibilidad de optar, de manera unilateral e inconsulta, entre acudir a la juscia institucional o a la arbitral; por el contrario, sólo tiene una opción, cual es la de someterse a la decisión arbitral, de modo que, si una de las partes que concurrió a la celebración de un pacto arbitral acude al juez de lo contencioso administrativo, en lugar de convocar un tribunal de </w:t>
      </w:r>
      <w:bookmarkStart w:id="0" w:name="_GoBack"/>
      <w:bookmarkEnd w:id="0"/>
      <w:r w:rsidRPr="00327AC5">
        <w:rPr>
          <w:rFonts w:ascii="Arial" w:hAnsi="Arial" w:cs="Arial"/>
        </w:rPr>
        <w:t xml:space="preserve">arbitramento, dicho pacto no desaparece, ni siquiera si el demandado no excepciona falta de jurisdicción.  </w:t>
      </w:r>
    </w:p>
    <w:p w:rsidR="00E13CEC" w:rsidRPr="00327AC5" w:rsidRDefault="00E13CEC" w:rsidP="00E13CEC">
      <w:pPr>
        <w:jc w:val="both"/>
        <w:rPr>
          <w:rFonts w:ascii="Arial" w:hAnsi="Arial" w:cs="Arial"/>
        </w:rPr>
      </w:pPr>
    </w:p>
    <w:p w:rsidR="00E13CEC" w:rsidRDefault="00E13CEC" w:rsidP="00E13CEC">
      <w:pPr>
        <w:jc w:val="both"/>
        <w:rPr>
          <w:rFonts w:ascii="Arial" w:hAnsi="Arial" w:cs="Arial"/>
          <w:sz w:val="24"/>
        </w:rPr>
      </w:pPr>
    </w:p>
    <w:p w:rsidR="00611220" w:rsidRPr="00BB7D33" w:rsidRDefault="00611220" w:rsidP="00BB7D33">
      <w:pPr>
        <w:jc w:val="center"/>
        <w:rPr>
          <w:rFonts w:ascii="Arial" w:hAnsi="Arial" w:cs="Arial"/>
          <w:b/>
          <w:sz w:val="24"/>
        </w:rPr>
      </w:pPr>
      <w:r w:rsidRPr="00BB7D33">
        <w:rPr>
          <w:rFonts w:ascii="Arial" w:hAnsi="Arial" w:cs="Arial"/>
          <w:b/>
          <w:sz w:val="24"/>
        </w:rPr>
        <w:t>CONSEJO DE ESTADO</w:t>
      </w:r>
    </w:p>
    <w:p w:rsidR="00611220" w:rsidRPr="00BB7D33" w:rsidRDefault="00611220" w:rsidP="00BB7D33">
      <w:pPr>
        <w:jc w:val="center"/>
        <w:rPr>
          <w:rFonts w:ascii="Arial" w:hAnsi="Arial" w:cs="Arial"/>
          <w:b/>
          <w:sz w:val="24"/>
        </w:rPr>
      </w:pPr>
    </w:p>
    <w:p w:rsidR="00611220" w:rsidRPr="00BB7D33" w:rsidRDefault="00611220" w:rsidP="00BB7D33">
      <w:pPr>
        <w:jc w:val="center"/>
        <w:rPr>
          <w:rFonts w:ascii="Arial" w:hAnsi="Arial" w:cs="Arial"/>
          <w:b/>
          <w:sz w:val="24"/>
        </w:rPr>
      </w:pPr>
      <w:r w:rsidRPr="00BB7D33">
        <w:rPr>
          <w:rFonts w:ascii="Arial" w:hAnsi="Arial" w:cs="Arial"/>
          <w:b/>
          <w:sz w:val="24"/>
        </w:rPr>
        <w:t>SALA DE LO CONTENCIOSO ADMINISTRATIVO</w:t>
      </w:r>
    </w:p>
    <w:p w:rsidR="00611220" w:rsidRPr="00BB7D33" w:rsidRDefault="00611220" w:rsidP="00BB7D33">
      <w:pPr>
        <w:jc w:val="center"/>
        <w:rPr>
          <w:rFonts w:ascii="Arial" w:hAnsi="Arial" w:cs="Arial"/>
          <w:b/>
          <w:sz w:val="24"/>
        </w:rPr>
      </w:pPr>
    </w:p>
    <w:p w:rsidR="00BB7D33" w:rsidRPr="00BB7D33" w:rsidRDefault="00BB7D33" w:rsidP="00BB7D33">
      <w:pPr>
        <w:jc w:val="center"/>
        <w:rPr>
          <w:rFonts w:ascii="Arial" w:hAnsi="Arial" w:cs="Arial"/>
          <w:b/>
          <w:sz w:val="24"/>
        </w:rPr>
      </w:pPr>
      <w:r w:rsidRPr="00BB7D33">
        <w:rPr>
          <w:rFonts w:ascii="Arial" w:hAnsi="Arial" w:cs="Arial"/>
          <w:b/>
          <w:sz w:val="24"/>
        </w:rPr>
        <w:t>SECCION TERCERA</w:t>
      </w:r>
    </w:p>
    <w:p w:rsidR="00BB7D33" w:rsidRPr="00BB7D33" w:rsidRDefault="00BB7D33" w:rsidP="00BB7D33">
      <w:pPr>
        <w:jc w:val="center"/>
        <w:rPr>
          <w:rFonts w:ascii="Arial" w:hAnsi="Arial" w:cs="Arial"/>
          <w:b/>
          <w:sz w:val="24"/>
        </w:rPr>
      </w:pPr>
    </w:p>
    <w:p w:rsidR="00611220" w:rsidRPr="00BB7D33" w:rsidRDefault="00BB7D33" w:rsidP="00BB7D33">
      <w:pPr>
        <w:jc w:val="center"/>
        <w:rPr>
          <w:rFonts w:ascii="Arial" w:hAnsi="Arial" w:cs="Arial"/>
          <w:b/>
          <w:sz w:val="24"/>
        </w:rPr>
      </w:pPr>
      <w:r w:rsidRPr="00BB7D33">
        <w:rPr>
          <w:rFonts w:ascii="Arial" w:hAnsi="Arial" w:cs="Arial"/>
          <w:b/>
          <w:sz w:val="24"/>
        </w:rPr>
        <w:t>SUBSECCIÓN A</w:t>
      </w:r>
    </w:p>
    <w:p w:rsidR="00611220" w:rsidRPr="00BB7D33" w:rsidRDefault="00611220" w:rsidP="00BB7D33">
      <w:pPr>
        <w:jc w:val="center"/>
        <w:rPr>
          <w:rFonts w:ascii="Arial" w:hAnsi="Arial" w:cs="Arial"/>
          <w:b/>
          <w:sz w:val="24"/>
        </w:rPr>
      </w:pPr>
    </w:p>
    <w:p w:rsidR="00611220" w:rsidRPr="00BB7D33" w:rsidRDefault="00611220" w:rsidP="00BB7D33">
      <w:pPr>
        <w:jc w:val="center"/>
        <w:rPr>
          <w:rFonts w:ascii="Arial" w:hAnsi="Arial" w:cs="Arial"/>
          <w:b/>
          <w:sz w:val="24"/>
        </w:rPr>
      </w:pPr>
      <w:r w:rsidRPr="00BB7D33">
        <w:rPr>
          <w:rFonts w:ascii="Arial" w:hAnsi="Arial" w:cs="Arial"/>
          <w:b/>
          <w:sz w:val="24"/>
        </w:rPr>
        <w:t>Consejero Ponente: CARLOS ALBERTO ZAMBRANO BARRERA</w:t>
      </w:r>
    </w:p>
    <w:p w:rsidR="00611220" w:rsidRPr="00BB7D33" w:rsidRDefault="00611220" w:rsidP="00BB7D33">
      <w:pPr>
        <w:jc w:val="both"/>
        <w:rPr>
          <w:rFonts w:ascii="Arial" w:hAnsi="Arial" w:cs="Arial"/>
          <w:sz w:val="24"/>
        </w:rPr>
      </w:pPr>
    </w:p>
    <w:p w:rsidR="00611220" w:rsidRPr="00BB7D33" w:rsidRDefault="00611220" w:rsidP="00BB7D33">
      <w:pPr>
        <w:jc w:val="both"/>
        <w:rPr>
          <w:rFonts w:ascii="Arial" w:hAnsi="Arial" w:cs="Arial"/>
          <w:sz w:val="24"/>
        </w:rPr>
      </w:pPr>
      <w:r w:rsidRPr="00BB7D33">
        <w:rPr>
          <w:rFonts w:ascii="Arial" w:hAnsi="Arial" w:cs="Arial"/>
          <w:sz w:val="24"/>
          <w:lang w:val="es-ES_tradnl"/>
        </w:rPr>
        <w:t xml:space="preserve">Bogotá D.C., </w:t>
      </w:r>
      <w:r w:rsidRPr="00BB7D33">
        <w:rPr>
          <w:rFonts w:ascii="Arial" w:hAnsi="Arial" w:cs="Arial"/>
          <w:sz w:val="24"/>
        </w:rPr>
        <w:t xml:space="preserve">seis (6) de septiembre de dos mil diecisiete (2017) </w:t>
      </w:r>
    </w:p>
    <w:p w:rsidR="00611220" w:rsidRPr="002E5558" w:rsidRDefault="00611220" w:rsidP="00BB7D33">
      <w:pPr>
        <w:jc w:val="both"/>
        <w:rPr>
          <w:rFonts w:ascii="Arial" w:hAnsi="Arial" w:cs="Arial"/>
          <w:b/>
          <w:sz w:val="24"/>
        </w:rPr>
      </w:pPr>
    </w:p>
    <w:p w:rsidR="00611220" w:rsidRPr="002E5558" w:rsidRDefault="00BB7D33" w:rsidP="00BB7D33">
      <w:pPr>
        <w:jc w:val="both"/>
        <w:rPr>
          <w:rFonts w:ascii="Arial" w:hAnsi="Arial" w:cs="Arial"/>
          <w:b/>
          <w:caps/>
          <w:sz w:val="24"/>
        </w:rPr>
      </w:pPr>
      <w:r w:rsidRPr="002E5558">
        <w:rPr>
          <w:rFonts w:ascii="Arial" w:hAnsi="Arial" w:cs="Arial"/>
          <w:b/>
          <w:bCs/>
          <w:sz w:val="24"/>
        </w:rPr>
        <w:t xml:space="preserve">Radicación número: </w:t>
      </w:r>
      <w:r w:rsidR="00611220" w:rsidRPr="002E5558">
        <w:rPr>
          <w:rFonts w:ascii="Arial" w:hAnsi="Arial" w:cs="Arial"/>
          <w:b/>
          <w:caps/>
          <w:sz w:val="24"/>
        </w:rPr>
        <w:t>25000-23-26-000-2007-00637-01</w:t>
      </w:r>
      <w:r w:rsidRPr="002E5558">
        <w:rPr>
          <w:rFonts w:ascii="Arial" w:hAnsi="Arial" w:cs="Arial"/>
          <w:b/>
          <w:sz w:val="24"/>
        </w:rPr>
        <w:t>(</w:t>
      </w:r>
      <w:r w:rsidRPr="002E5558">
        <w:rPr>
          <w:rFonts w:ascii="Arial" w:hAnsi="Arial" w:cs="Arial"/>
          <w:b/>
          <w:caps/>
          <w:sz w:val="24"/>
        </w:rPr>
        <w:t>44</w:t>
      </w:r>
      <w:r w:rsidR="00611220" w:rsidRPr="002E5558">
        <w:rPr>
          <w:rFonts w:ascii="Arial" w:hAnsi="Arial" w:cs="Arial"/>
          <w:b/>
          <w:caps/>
          <w:sz w:val="24"/>
        </w:rPr>
        <w:t>248</w:t>
      </w:r>
      <w:r w:rsidRPr="002E5558">
        <w:rPr>
          <w:rFonts w:ascii="Arial" w:hAnsi="Arial" w:cs="Arial"/>
          <w:b/>
          <w:caps/>
          <w:sz w:val="24"/>
        </w:rPr>
        <w:t>)</w:t>
      </w:r>
      <w:r w:rsidR="005C27A8" w:rsidRPr="002E5558">
        <w:rPr>
          <w:rFonts w:ascii="Arial" w:hAnsi="Arial" w:cs="Arial"/>
          <w:b/>
          <w:caps/>
          <w:sz w:val="24"/>
        </w:rPr>
        <w:t>.</w:t>
      </w:r>
    </w:p>
    <w:p w:rsidR="00BB7D33" w:rsidRPr="002E5558" w:rsidRDefault="00BB7D33" w:rsidP="00BB7D33">
      <w:pPr>
        <w:jc w:val="both"/>
        <w:rPr>
          <w:rFonts w:ascii="Arial" w:hAnsi="Arial" w:cs="Arial"/>
          <w:b/>
          <w:sz w:val="24"/>
        </w:rPr>
      </w:pPr>
    </w:p>
    <w:p w:rsidR="00611220" w:rsidRPr="002E5558" w:rsidRDefault="00BB7D33" w:rsidP="00BB7D33">
      <w:pPr>
        <w:jc w:val="both"/>
        <w:rPr>
          <w:rFonts w:ascii="Arial" w:hAnsi="Arial" w:cs="Arial"/>
          <w:b/>
          <w:sz w:val="24"/>
        </w:rPr>
      </w:pPr>
      <w:r w:rsidRPr="002E5558">
        <w:rPr>
          <w:rFonts w:ascii="Arial" w:hAnsi="Arial" w:cs="Arial"/>
          <w:b/>
          <w:sz w:val="24"/>
        </w:rPr>
        <w:t xml:space="preserve">Actor: </w:t>
      </w:r>
      <w:r w:rsidR="002E5558" w:rsidRPr="002E5558">
        <w:rPr>
          <w:rFonts w:ascii="Arial" w:hAnsi="Arial" w:cs="Arial"/>
          <w:b/>
          <w:sz w:val="24"/>
        </w:rPr>
        <w:t>UNIÓN DE CABLEOPERADORES DEL CENTRO S.A – CABLECENTRO</w:t>
      </w:r>
    </w:p>
    <w:p w:rsidR="00BB7D33" w:rsidRPr="002E5558" w:rsidRDefault="00BB7D33" w:rsidP="00BB7D33">
      <w:pPr>
        <w:jc w:val="both"/>
        <w:rPr>
          <w:rFonts w:ascii="Arial" w:hAnsi="Arial" w:cs="Arial"/>
          <w:b/>
          <w:sz w:val="24"/>
        </w:rPr>
      </w:pPr>
    </w:p>
    <w:p w:rsidR="00611220" w:rsidRPr="002E5558" w:rsidRDefault="00BB7D33" w:rsidP="00BB7D33">
      <w:pPr>
        <w:jc w:val="both"/>
        <w:rPr>
          <w:rFonts w:ascii="Arial" w:hAnsi="Arial" w:cs="Arial"/>
          <w:b/>
          <w:sz w:val="24"/>
        </w:rPr>
      </w:pPr>
      <w:r w:rsidRPr="002E5558">
        <w:rPr>
          <w:rFonts w:ascii="Arial" w:hAnsi="Arial" w:cs="Arial"/>
          <w:b/>
          <w:sz w:val="24"/>
        </w:rPr>
        <w:t>Demandado</w:t>
      </w:r>
      <w:r w:rsidR="002E5558" w:rsidRPr="002E5558">
        <w:rPr>
          <w:rFonts w:ascii="Arial" w:hAnsi="Arial" w:cs="Arial"/>
          <w:b/>
          <w:sz w:val="24"/>
        </w:rPr>
        <w:t>: COMISIÓN NACIONAL DE TELEVISIÓN</w:t>
      </w:r>
    </w:p>
    <w:p w:rsidR="00BB7D33" w:rsidRPr="002E5558" w:rsidRDefault="00BB7D33" w:rsidP="00BB7D33">
      <w:pPr>
        <w:jc w:val="both"/>
        <w:rPr>
          <w:rFonts w:ascii="Arial" w:hAnsi="Arial" w:cs="Arial"/>
          <w:b/>
          <w:sz w:val="24"/>
        </w:rPr>
      </w:pPr>
    </w:p>
    <w:p w:rsidR="00BB7D33" w:rsidRPr="002E5558" w:rsidRDefault="00BB7D33" w:rsidP="00BB7D33">
      <w:pPr>
        <w:jc w:val="both"/>
        <w:rPr>
          <w:rFonts w:ascii="Arial" w:hAnsi="Arial" w:cs="Arial"/>
          <w:b/>
          <w:sz w:val="24"/>
        </w:rPr>
      </w:pPr>
    </w:p>
    <w:p w:rsidR="00611220" w:rsidRPr="00E13CEC" w:rsidRDefault="00BB7D33" w:rsidP="00BB7D33">
      <w:pPr>
        <w:jc w:val="both"/>
        <w:rPr>
          <w:rFonts w:ascii="Arial" w:hAnsi="Arial" w:cs="Arial"/>
          <w:sz w:val="24"/>
        </w:rPr>
      </w:pPr>
      <w:r w:rsidRPr="002E5558">
        <w:rPr>
          <w:rFonts w:ascii="Arial" w:hAnsi="Arial" w:cs="Arial"/>
          <w:b/>
          <w:bCs/>
          <w:sz w:val="24"/>
        </w:rPr>
        <w:t xml:space="preserve">Referencia: </w:t>
      </w:r>
      <w:r w:rsidR="002E5558" w:rsidRPr="002E5558">
        <w:rPr>
          <w:rFonts w:ascii="Arial" w:hAnsi="Arial" w:cs="Arial"/>
          <w:b/>
          <w:sz w:val="24"/>
        </w:rPr>
        <w:t>CONTROVERSIAS CONTRACTUALES</w:t>
      </w:r>
    </w:p>
    <w:p w:rsidR="00BB7D33" w:rsidRPr="002E5558" w:rsidRDefault="00BB7D33" w:rsidP="00BB7D33">
      <w:pPr>
        <w:jc w:val="both"/>
        <w:rPr>
          <w:rFonts w:ascii="Arial" w:hAnsi="Arial" w:cs="Arial"/>
          <w:b/>
          <w:sz w:val="24"/>
        </w:rPr>
      </w:pPr>
    </w:p>
    <w:p w:rsidR="00BB7D33" w:rsidRPr="002E5558" w:rsidRDefault="00BB7D33" w:rsidP="00BB7D33">
      <w:pPr>
        <w:jc w:val="both"/>
        <w:rPr>
          <w:rFonts w:ascii="Arial" w:hAnsi="Arial" w:cs="Arial"/>
          <w:b/>
          <w:bCs/>
          <w:sz w:val="24"/>
        </w:rPr>
      </w:pPr>
    </w:p>
    <w:p w:rsidR="00611220" w:rsidRPr="002E5558" w:rsidRDefault="00611220" w:rsidP="00BB7D33">
      <w:pPr>
        <w:jc w:val="both"/>
        <w:rPr>
          <w:rFonts w:ascii="Arial" w:hAnsi="Arial" w:cs="Arial"/>
          <w:b/>
          <w:sz w:val="24"/>
          <w:highlight w:val="yellow"/>
        </w:rPr>
      </w:pPr>
    </w:p>
    <w:p w:rsidR="00611220" w:rsidRPr="00E36E8A" w:rsidRDefault="00611220" w:rsidP="00250901">
      <w:pPr>
        <w:pStyle w:val="Textoindependiente"/>
        <w:rPr>
          <w:rFonts w:ascii="Century Gothic" w:hAnsi="Century Gothic"/>
          <w:sz w:val="22"/>
          <w:szCs w:val="22"/>
        </w:rPr>
      </w:pPr>
      <w:r w:rsidRPr="00E36E8A">
        <w:rPr>
          <w:rFonts w:ascii="Century Gothic" w:hAnsi="Century Gothic"/>
          <w:sz w:val="22"/>
          <w:szCs w:val="22"/>
        </w:rPr>
        <w:t xml:space="preserve">Encontrándose el proceso de la referencia para proferir fallo, </w:t>
      </w:r>
      <w:r>
        <w:rPr>
          <w:rFonts w:ascii="Century Gothic" w:hAnsi="Century Gothic"/>
          <w:sz w:val="22"/>
          <w:szCs w:val="22"/>
        </w:rPr>
        <w:t xml:space="preserve">la Sala </w:t>
      </w:r>
      <w:r w:rsidRPr="0074774D">
        <w:rPr>
          <w:rFonts w:ascii="Century Gothic" w:hAnsi="Century Gothic"/>
          <w:sz w:val="22"/>
          <w:szCs w:val="22"/>
        </w:rPr>
        <w:t>advierte</w:t>
      </w:r>
      <w:r>
        <w:rPr>
          <w:rFonts w:ascii="Century Gothic" w:hAnsi="Century Gothic"/>
          <w:sz w:val="22"/>
          <w:szCs w:val="22"/>
        </w:rPr>
        <w:t xml:space="preserve"> que existe una causal</w:t>
      </w:r>
      <w:r w:rsidRPr="0074774D">
        <w:rPr>
          <w:rFonts w:ascii="Century Gothic" w:hAnsi="Century Gothic"/>
          <w:sz w:val="22"/>
          <w:szCs w:val="22"/>
        </w:rPr>
        <w:t xml:space="preserve"> </w:t>
      </w:r>
      <w:r>
        <w:rPr>
          <w:rFonts w:ascii="Century Gothic" w:hAnsi="Century Gothic"/>
          <w:sz w:val="22"/>
          <w:szCs w:val="22"/>
        </w:rPr>
        <w:t>de nulidad procesal, que impide</w:t>
      </w:r>
      <w:r w:rsidRPr="0074774D">
        <w:rPr>
          <w:rFonts w:ascii="Century Gothic" w:hAnsi="Century Gothic"/>
          <w:sz w:val="22"/>
          <w:szCs w:val="22"/>
        </w:rPr>
        <w:t xml:space="preserve"> proseguir el trámite de segunda instancia.</w:t>
      </w:r>
    </w:p>
    <w:p w:rsidR="00611220" w:rsidRPr="00E36E8A" w:rsidRDefault="00611220" w:rsidP="00250901">
      <w:pPr>
        <w:pStyle w:val="Textoindependiente"/>
        <w:spacing w:line="240" w:lineRule="auto"/>
        <w:ind w:left="601" w:right="318"/>
        <w:rPr>
          <w:rFonts w:ascii="Century Gothic" w:hAnsi="Century Gothic" w:cs="Arial"/>
          <w:sz w:val="22"/>
          <w:szCs w:val="22"/>
          <w:highlight w:val="yellow"/>
        </w:rPr>
      </w:pPr>
    </w:p>
    <w:p w:rsidR="00611220" w:rsidRPr="00E36E8A" w:rsidRDefault="00611220" w:rsidP="00250901">
      <w:pPr>
        <w:pStyle w:val="Ttulo3"/>
        <w:jc w:val="center"/>
        <w:rPr>
          <w:rFonts w:ascii="Century Gothic" w:hAnsi="Century Gothic" w:cs="Arial"/>
          <w:b/>
          <w:sz w:val="22"/>
          <w:szCs w:val="22"/>
        </w:rPr>
      </w:pPr>
      <w:r w:rsidRPr="00E36E8A">
        <w:rPr>
          <w:rFonts w:ascii="Century Gothic" w:hAnsi="Century Gothic" w:cs="Arial"/>
          <w:b/>
          <w:sz w:val="22"/>
          <w:szCs w:val="22"/>
        </w:rPr>
        <w:t>I. A</w:t>
      </w:r>
      <w:r>
        <w:rPr>
          <w:rFonts w:ascii="Century Gothic" w:hAnsi="Century Gothic" w:cs="Arial"/>
          <w:b/>
          <w:sz w:val="22"/>
          <w:szCs w:val="22"/>
        </w:rPr>
        <w:t xml:space="preserve"> </w:t>
      </w:r>
      <w:r w:rsidRPr="00E36E8A">
        <w:rPr>
          <w:rFonts w:ascii="Century Gothic" w:hAnsi="Century Gothic" w:cs="Arial"/>
          <w:b/>
          <w:sz w:val="22"/>
          <w:szCs w:val="22"/>
        </w:rPr>
        <w:t>N</w:t>
      </w:r>
      <w:r>
        <w:rPr>
          <w:rFonts w:ascii="Century Gothic" w:hAnsi="Century Gothic" w:cs="Arial"/>
          <w:b/>
          <w:sz w:val="22"/>
          <w:szCs w:val="22"/>
        </w:rPr>
        <w:t xml:space="preserve"> </w:t>
      </w:r>
      <w:r w:rsidRPr="00E36E8A">
        <w:rPr>
          <w:rFonts w:ascii="Century Gothic" w:hAnsi="Century Gothic" w:cs="Arial"/>
          <w:b/>
          <w:sz w:val="22"/>
          <w:szCs w:val="22"/>
        </w:rPr>
        <w:t>T</w:t>
      </w:r>
      <w:r>
        <w:rPr>
          <w:rFonts w:ascii="Century Gothic" w:hAnsi="Century Gothic" w:cs="Arial"/>
          <w:b/>
          <w:sz w:val="22"/>
          <w:szCs w:val="22"/>
        </w:rPr>
        <w:t xml:space="preserve"> </w:t>
      </w:r>
      <w:r w:rsidRPr="00E36E8A">
        <w:rPr>
          <w:rFonts w:ascii="Century Gothic" w:hAnsi="Century Gothic" w:cs="Arial"/>
          <w:b/>
          <w:sz w:val="22"/>
          <w:szCs w:val="22"/>
        </w:rPr>
        <w:t>E</w:t>
      </w:r>
      <w:r>
        <w:rPr>
          <w:rFonts w:ascii="Century Gothic" w:hAnsi="Century Gothic" w:cs="Arial"/>
          <w:b/>
          <w:sz w:val="22"/>
          <w:szCs w:val="22"/>
        </w:rPr>
        <w:t xml:space="preserve"> </w:t>
      </w:r>
      <w:r w:rsidRPr="00E36E8A">
        <w:rPr>
          <w:rFonts w:ascii="Century Gothic" w:hAnsi="Century Gothic" w:cs="Arial"/>
          <w:b/>
          <w:sz w:val="22"/>
          <w:szCs w:val="22"/>
        </w:rPr>
        <w:t>C</w:t>
      </w:r>
      <w:r>
        <w:rPr>
          <w:rFonts w:ascii="Century Gothic" w:hAnsi="Century Gothic" w:cs="Arial"/>
          <w:b/>
          <w:sz w:val="22"/>
          <w:szCs w:val="22"/>
        </w:rPr>
        <w:t xml:space="preserve"> </w:t>
      </w:r>
      <w:r w:rsidRPr="00E36E8A">
        <w:rPr>
          <w:rFonts w:ascii="Century Gothic" w:hAnsi="Century Gothic" w:cs="Arial"/>
          <w:b/>
          <w:sz w:val="22"/>
          <w:szCs w:val="22"/>
        </w:rPr>
        <w:t>E</w:t>
      </w:r>
      <w:r>
        <w:rPr>
          <w:rFonts w:ascii="Century Gothic" w:hAnsi="Century Gothic" w:cs="Arial"/>
          <w:b/>
          <w:sz w:val="22"/>
          <w:szCs w:val="22"/>
        </w:rPr>
        <w:t xml:space="preserve"> </w:t>
      </w:r>
      <w:r w:rsidRPr="00E36E8A">
        <w:rPr>
          <w:rFonts w:ascii="Century Gothic" w:hAnsi="Century Gothic" w:cs="Arial"/>
          <w:b/>
          <w:sz w:val="22"/>
          <w:szCs w:val="22"/>
        </w:rPr>
        <w:t>D</w:t>
      </w:r>
      <w:r>
        <w:rPr>
          <w:rFonts w:ascii="Century Gothic" w:hAnsi="Century Gothic" w:cs="Arial"/>
          <w:b/>
          <w:sz w:val="22"/>
          <w:szCs w:val="22"/>
        </w:rPr>
        <w:t xml:space="preserve"> </w:t>
      </w:r>
      <w:r w:rsidRPr="00E36E8A">
        <w:rPr>
          <w:rFonts w:ascii="Century Gothic" w:hAnsi="Century Gothic" w:cs="Arial"/>
          <w:b/>
          <w:sz w:val="22"/>
          <w:szCs w:val="22"/>
        </w:rPr>
        <w:t>E</w:t>
      </w:r>
      <w:r>
        <w:rPr>
          <w:rFonts w:ascii="Century Gothic" w:hAnsi="Century Gothic" w:cs="Arial"/>
          <w:b/>
          <w:sz w:val="22"/>
          <w:szCs w:val="22"/>
        </w:rPr>
        <w:t xml:space="preserve"> </w:t>
      </w:r>
      <w:r w:rsidRPr="00E36E8A">
        <w:rPr>
          <w:rFonts w:ascii="Century Gothic" w:hAnsi="Century Gothic" w:cs="Arial"/>
          <w:b/>
          <w:sz w:val="22"/>
          <w:szCs w:val="22"/>
        </w:rPr>
        <w:t>N</w:t>
      </w:r>
      <w:r>
        <w:rPr>
          <w:rFonts w:ascii="Century Gothic" w:hAnsi="Century Gothic" w:cs="Arial"/>
          <w:b/>
          <w:sz w:val="22"/>
          <w:szCs w:val="22"/>
        </w:rPr>
        <w:t xml:space="preserve"> </w:t>
      </w:r>
      <w:r w:rsidRPr="00E36E8A">
        <w:rPr>
          <w:rFonts w:ascii="Century Gothic" w:hAnsi="Century Gothic" w:cs="Arial"/>
          <w:b/>
          <w:sz w:val="22"/>
          <w:szCs w:val="22"/>
        </w:rPr>
        <w:t>T</w:t>
      </w:r>
      <w:r>
        <w:rPr>
          <w:rFonts w:ascii="Century Gothic" w:hAnsi="Century Gothic" w:cs="Arial"/>
          <w:b/>
          <w:sz w:val="22"/>
          <w:szCs w:val="22"/>
        </w:rPr>
        <w:t xml:space="preserve"> </w:t>
      </w:r>
      <w:r w:rsidRPr="00E36E8A">
        <w:rPr>
          <w:rFonts w:ascii="Century Gothic" w:hAnsi="Century Gothic" w:cs="Arial"/>
          <w:b/>
          <w:sz w:val="22"/>
          <w:szCs w:val="22"/>
        </w:rPr>
        <w:t>E</w:t>
      </w:r>
      <w:r>
        <w:rPr>
          <w:rFonts w:ascii="Century Gothic" w:hAnsi="Century Gothic" w:cs="Arial"/>
          <w:b/>
          <w:sz w:val="22"/>
          <w:szCs w:val="22"/>
        </w:rPr>
        <w:t xml:space="preserve"> </w:t>
      </w:r>
      <w:r w:rsidRPr="00E36E8A">
        <w:rPr>
          <w:rFonts w:ascii="Century Gothic" w:hAnsi="Century Gothic" w:cs="Arial"/>
          <w:b/>
          <w:sz w:val="22"/>
          <w:szCs w:val="22"/>
        </w:rPr>
        <w:t>S</w:t>
      </w:r>
    </w:p>
    <w:p w:rsidR="00611220" w:rsidRPr="00E36E8A" w:rsidRDefault="00611220" w:rsidP="00250901">
      <w:pPr>
        <w:rPr>
          <w:rFonts w:ascii="Century Gothic" w:hAnsi="Century Gothic"/>
          <w:highlight w:val="yellow"/>
        </w:rPr>
      </w:pPr>
    </w:p>
    <w:p w:rsidR="00611220" w:rsidRPr="00E36E8A" w:rsidRDefault="00611220" w:rsidP="00250901">
      <w:pPr>
        <w:spacing w:line="360" w:lineRule="auto"/>
        <w:jc w:val="both"/>
        <w:rPr>
          <w:rFonts w:ascii="Century Gothic" w:hAnsi="Century Gothic" w:cs="Arial"/>
          <w:bCs/>
        </w:rPr>
      </w:pPr>
      <w:r w:rsidRPr="00E36E8A">
        <w:rPr>
          <w:rFonts w:ascii="Century Gothic" w:hAnsi="Century Gothic" w:cs="Arial"/>
          <w:b/>
          <w:bCs/>
        </w:rPr>
        <w:t xml:space="preserve">1.- La demanda.- </w:t>
      </w:r>
      <w:r w:rsidRPr="00E36E8A">
        <w:rPr>
          <w:rFonts w:ascii="Century Gothic" w:hAnsi="Century Gothic" w:cs="Arial"/>
          <w:bCs/>
        </w:rPr>
        <w:t xml:space="preserve"> </w:t>
      </w:r>
    </w:p>
    <w:p w:rsidR="00611220" w:rsidRPr="00E36E8A" w:rsidRDefault="00611220" w:rsidP="00250901">
      <w:pPr>
        <w:spacing w:line="360" w:lineRule="auto"/>
        <w:jc w:val="both"/>
        <w:rPr>
          <w:rFonts w:ascii="Century Gothic" w:hAnsi="Century Gothic" w:cs="Arial"/>
          <w:bCs/>
          <w:highlight w:val="yellow"/>
        </w:rPr>
      </w:pPr>
    </w:p>
    <w:p w:rsidR="00611220" w:rsidRPr="00A46BB3" w:rsidRDefault="00611220" w:rsidP="00250901">
      <w:pPr>
        <w:pStyle w:val="Textoindependiente3"/>
        <w:tabs>
          <w:tab w:val="clear" w:pos="426"/>
        </w:tabs>
        <w:rPr>
          <w:rFonts w:ascii="Century Gothic" w:hAnsi="Century Gothic"/>
          <w:sz w:val="22"/>
          <w:szCs w:val="22"/>
        </w:rPr>
      </w:pPr>
      <w:r w:rsidRPr="00E36E8A">
        <w:rPr>
          <w:rFonts w:ascii="Century Gothic" w:hAnsi="Century Gothic" w:cs="Arial"/>
          <w:sz w:val="22"/>
          <w:szCs w:val="22"/>
        </w:rPr>
        <w:t xml:space="preserve">Por conducto de apoderado y mediante escrito radicado el 27 de julio de 2007 en los Juzgados Administrativos del Circuito de Bogotá, </w:t>
      </w:r>
      <w:r>
        <w:rPr>
          <w:rFonts w:ascii="Century Gothic" w:hAnsi="Century Gothic" w:cs="Arial"/>
          <w:sz w:val="22"/>
          <w:szCs w:val="22"/>
        </w:rPr>
        <w:t xml:space="preserve">la </w:t>
      </w:r>
      <w:r w:rsidRPr="00E36E8A">
        <w:rPr>
          <w:rFonts w:ascii="Century Gothic" w:hAnsi="Century Gothic"/>
          <w:sz w:val="22"/>
          <w:szCs w:val="22"/>
        </w:rPr>
        <w:t>Unión de Cableoperadores del Centro S.A – CABLECENTRO</w:t>
      </w:r>
      <w:r>
        <w:rPr>
          <w:rFonts w:ascii="Century Gothic" w:hAnsi="Century Gothic"/>
          <w:sz w:val="22"/>
          <w:szCs w:val="22"/>
        </w:rPr>
        <w:t xml:space="preserve"> formuló demanda, en ejercicio de la acción de controversias contractuales consagrada en el artículo 87 del Código Contencioso Administrativo, contra la Comisión Nacional de Televisión, con el fin de obtener que </w:t>
      </w:r>
      <w:r w:rsidRPr="00844C92">
        <w:rPr>
          <w:rFonts w:ascii="Century Gothic" w:hAnsi="Century Gothic"/>
          <w:b/>
          <w:sz w:val="22"/>
          <w:szCs w:val="22"/>
        </w:rPr>
        <w:lastRenderedPageBreak/>
        <w:t>i)</w:t>
      </w:r>
      <w:r>
        <w:rPr>
          <w:rFonts w:ascii="Century Gothic" w:hAnsi="Century Gothic"/>
          <w:sz w:val="22"/>
          <w:szCs w:val="22"/>
        </w:rPr>
        <w:t xml:space="preserve"> se declare: la nulidad de los siguientes actos administrativos, </w:t>
      </w:r>
      <w:r w:rsidRPr="00A46BB3">
        <w:rPr>
          <w:rFonts w:ascii="Century Gothic" w:hAnsi="Century Gothic"/>
          <w:b/>
          <w:sz w:val="22"/>
          <w:szCs w:val="22"/>
        </w:rPr>
        <w:t>i.i)</w:t>
      </w:r>
      <w:r>
        <w:rPr>
          <w:rFonts w:ascii="Century Gothic" w:hAnsi="Century Gothic"/>
          <w:sz w:val="22"/>
          <w:szCs w:val="22"/>
        </w:rPr>
        <w:t xml:space="preserve"> acto de radicado EE200411086 del 28 de septiembre de 2004, mediante el cual se requirió el pago de la suma de mil doscientos sesenta y tres millones ochenta y cuatro mil setecientos noventa y tres pesos ($1.263’084.793), por concepto de ajustes por diferencias de bases de liquidación determinadas por JAVH MC GREGOR, </w:t>
      </w:r>
      <w:r w:rsidRPr="00844C92">
        <w:rPr>
          <w:rFonts w:ascii="Century Gothic" w:hAnsi="Century Gothic"/>
          <w:b/>
          <w:sz w:val="22"/>
          <w:szCs w:val="22"/>
        </w:rPr>
        <w:t>i</w:t>
      </w:r>
      <w:r>
        <w:rPr>
          <w:rFonts w:ascii="Century Gothic" w:hAnsi="Century Gothic"/>
          <w:b/>
          <w:sz w:val="22"/>
          <w:szCs w:val="22"/>
        </w:rPr>
        <w:t>.</w:t>
      </w:r>
      <w:r w:rsidRPr="00844C92">
        <w:rPr>
          <w:rFonts w:ascii="Century Gothic" w:hAnsi="Century Gothic"/>
          <w:b/>
          <w:sz w:val="22"/>
          <w:szCs w:val="22"/>
        </w:rPr>
        <w:t>i</w:t>
      </w:r>
      <w:r>
        <w:rPr>
          <w:rFonts w:ascii="Century Gothic" w:hAnsi="Century Gothic"/>
          <w:b/>
          <w:sz w:val="22"/>
          <w:szCs w:val="22"/>
        </w:rPr>
        <w:t>i</w:t>
      </w:r>
      <w:r w:rsidRPr="00844C92">
        <w:rPr>
          <w:rFonts w:ascii="Century Gothic" w:hAnsi="Century Gothic"/>
          <w:b/>
          <w:sz w:val="22"/>
          <w:szCs w:val="22"/>
        </w:rPr>
        <w:t xml:space="preserve">) </w:t>
      </w:r>
      <w:r>
        <w:rPr>
          <w:rFonts w:ascii="Century Gothic" w:hAnsi="Century Gothic"/>
          <w:sz w:val="22"/>
          <w:szCs w:val="22"/>
        </w:rPr>
        <w:t xml:space="preserve">resolución 1017 del 4 de octubre de 2006, mediante la cual la Comisión Nacional de Televisión ordenó a Cablecentro S.A el pago de la suma de noventa y un millones trescientos veintidós mil seiscientos setenta pesos ($91’322.670), por no realizar la liquidación de la compensación sobre la totalidad de los ingresos brutos provenientes exclusivamente del servicio de televisión por suscripción y </w:t>
      </w:r>
      <w:r w:rsidRPr="00A46BB3">
        <w:rPr>
          <w:rFonts w:ascii="Century Gothic" w:hAnsi="Century Gothic"/>
          <w:b/>
          <w:sz w:val="22"/>
          <w:szCs w:val="22"/>
        </w:rPr>
        <w:t>i.iii</w:t>
      </w:r>
      <w:r w:rsidRPr="00844C92">
        <w:rPr>
          <w:rFonts w:ascii="Century Gothic" w:hAnsi="Century Gothic"/>
          <w:b/>
          <w:sz w:val="22"/>
          <w:szCs w:val="22"/>
        </w:rPr>
        <w:t>)</w:t>
      </w:r>
      <w:r>
        <w:rPr>
          <w:rFonts w:ascii="Century Gothic" w:hAnsi="Century Gothic"/>
          <w:sz w:val="22"/>
          <w:szCs w:val="22"/>
        </w:rPr>
        <w:t xml:space="preserve"> la resolución 104 del 6 de febrero de 2007, mediante la cual se confirmó la resolución 1017 del 4 de octubre de 2006, </w:t>
      </w:r>
      <w:r>
        <w:rPr>
          <w:rFonts w:ascii="Century Gothic" w:hAnsi="Century Gothic"/>
          <w:b/>
          <w:sz w:val="22"/>
          <w:szCs w:val="22"/>
        </w:rPr>
        <w:t>ii</w:t>
      </w:r>
      <w:r w:rsidRPr="00DC727C">
        <w:rPr>
          <w:rFonts w:ascii="Century Gothic" w:hAnsi="Century Gothic"/>
          <w:b/>
          <w:sz w:val="22"/>
          <w:szCs w:val="22"/>
        </w:rPr>
        <w:t xml:space="preserve">) </w:t>
      </w:r>
      <w:r>
        <w:rPr>
          <w:rFonts w:ascii="Century Gothic" w:hAnsi="Century Gothic"/>
          <w:sz w:val="22"/>
          <w:szCs w:val="22"/>
        </w:rPr>
        <w:t xml:space="preserve">que caducó la facultad sancionatoria radicada en cabeza de la Comisión Nacional de Televisión, para adelantar la actuación administrativa 0012 del 4 de enero de 2005, por medio de la cual se investigó al concesionario Cablecentro S.A, por presunta infracción de no usar como base de liquidación los ingresos brutos provenientes del servicio de televisión por suscripción e inherentes al mismo, estableciéndose como consecuencia el cobro de las supuestas diferencias indicadas por JAVH MC GREGOR, así como la multa impuesta mediante resolución 10127 de 2006,  confirmada por la resolución 104 de 2007, </w:t>
      </w:r>
      <w:r>
        <w:rPr>
          <w:rFonts w:ascii="Century Gothic" w:hAnsi="Century Gothic"/>
          <w:b/>
          <w:sz w:val="22"/>
          <w:szCs w:val="22"/>
        </w:rPr>
        <w:t>iii</w:t>
      </w:r>
      <w:r w:rsidRPr="00DC727C">
        <w:rPr>
          <w:rFonts w:ascii="Century Gothic" w:hAnsi="Century Gothic"/>
          <w:b/>
          <w:sz w:val="22"/>
          <w:szCs w:val="22"/>
        </w:rPr>
        <w:t>)</w:t>
      </w:r>
      <w:r>
        <w:rPr>
          <w:rFonts w:ascii="Century Gothic" w:hAnsi="Century Gothic"/>
          <w:sz w:val="22"/>
          <w:szCs w:val="22"/>
        </w:rPr>
        <w:t xml:space="preserve"> que la sociedad Cablecentro S.A , no está obligada al pago de la suma de mil doscientos sesenta y tres millones ochenta y cuatro mil setecientos noventa y tres pesos ($1.263’084.793) y sus correspondientes intereses,</w:t>
      </w:r>
      <w:r w:rsidRPr="00A46BB3">
        <w:rPr>
          <w:rFonts w:ascii="Century Gothic" w:hAnsi="Century Gothic"/>
          <w:b/>
          <w:sz w:val="22"/>
          <w:szCs w:val="22"/>
        </w:rPr>
        <w:t xml:space="preserve"> iv</w:t>
      </w:r>
      <w:r w:rsidRPr="00DC727C">
        <w:rPr>
          <w:rFonts w:ascii="Century Gothic" w:hAnsi="Century Gothic"/>
          <w:b/>
          <w:sz w:val="22"/>
          <w:szCs w:val="22"/>
        </w:rPr>
        <w:t>)</w:t>
      </w:r>
      <w:r>
        <w:rPr>
          <w:rFonts w:ascii="Century Gothic" w:hAnsi="Century Gothic"/>
          <w:sz w:val="22"/>
          <w:szCs w:val="22"/>
        </w:rPr>
        <w:t xml:space="preserve"> que Cablecentro S.A no está obligada a efectuar el reajuste de las autoliquidaciones presentadas y el consiguientes pago ordenado por la Comisión Nacional de Televisión mediante auto EE200411086 y las consecuentes obligaciones contenidas en las resoluciones 1017 de 2006 y 104 de 2007 y </w:t>
      </w:r>
      <w:r>
        <w:rPr>
          <w:rFonts w:ascii="Century Gothic" w:hAnsi="Century Gothic"/>
          <w:b/>
          <w:sz w:val="22"/>
          <w:szCs w:val="22"/>
        </w:rPr>
        <w:t>v</w:t>
      </w:r>
      <w:r w:rsidRPr="00DC727C">
        <w:rPr>
          <w:rFonts w:ascii="Century Gothic" w:hAnsi="Century Gothic"/>
          <w:b/>
          <w:sz w:val="22"/>
          <w:szCs w:val="22"/>
        </w:rPr>
        <w:t>)</w:t>
      </w:r>
      <w:r>
        <w:rPr>
          <w:rFonts w:ascii="Century Gothic" w:hAnsi="Century Gothic"/>
          <w:sz w:val="22"/>
          <w:szCs w:val="22"/>
        </w:rPr>
        <w:t xml:space="preserve"> que el competente para dirimir los conflictos relacionados con la tarifa de compensación en los contratos de concesión, es el Tribunal de Arbitramento que deberá constituirse en virtud de la cláusula compromisoria suscrita por las partes en el contrato de la referencia; además , pidió </w:t>
      </w:r>
      <w:r>
        <w:rPr>
          <w:rFonts w:ascii="Century Gothic" w:hAnsi="Century Gothic"/>
          <w:b/>
          <w:sz w:val="22"/>
          <w:szCs w:val="22"/>
        </w:rPr>
        <w:t xml:space="preserve">vi) </w:t>
      </w:r>
      <w:r>
        <w:rPr>
          <w:rFonts w:ascii="Century Gothic" w:hAnsi="Century Gothic"/>
          <w:sz w:val="22"/>
          <w:szCs w:val="22"/>
        </w:rPr>
        <w:t xml:space="preserve">que se ordene a la Comisión Nacional de Televisión el restablecimiento del derecho de Cablecentro S.A, respecto de que la demandante no estaba obligada al pago de $1.263’084.793 y sus interés, ni al pago de $91’322.670, </w:t>
      </w:r>
      <w:r>
        <w:rPr>
          <w:rFonts w:ascii="Century Gothic" w:hAnsi="Century Gothic"/>
          <w:b/>
          <w:sz w:val="22"/>
          <w:szCs w:val="22"/>
        </w:rPr>
        <w:t xml:space="preserve">vii) </w:t>
      </w:r>
      <w:r>
        <w:rPr>
          <w:rFonts w:ascii="Century Gothic" w:hAnsi="Century Gothic"/>
          <w:sz w:val="22"/>
          <w:szCs w:val="22"/>
        </w:rPr>
        <w:t xml:space="preserve">que se ordene reembolsar los valores cancelados y pagar la indemnización de los perjuicios causados y </w:t>
      </w:r>
      <w:r>
        <w:rPr>
          <w:rFonts w:ascii="Century Gothic" w:hAnsi="Century Gothic"/>
          <w:b/>
          <w:sz w:val="22"/>
          <w:szCs w:val="22"/>
        </w:rPr>
        <w:t xml:space="preserve">viii) </w:t>
      </w:r>
      <w:r>
        <w:rPr>
          <w:rFonts w:ascii="Century Gothic" w:hAnsi="Century Gothic"/>
          <w:sz w:val="22"/>
          <w:szCs w:val="22"/>
        </w:rPr>
        <w:t xml:space="preserve">que el juez administrativo determine cuáles conceptos podían ser considerados dentro del término “ingreso bruto” para calcular la contraprestación que Cablecentro S.A debía pagar a la Comisión Nacional de Televisión, durante el período objeto de la auditoria efectuada por JAVH MC GREGOR.      </w:t>
      </w:r>
    </w:p>
    <w:p w:rsidR="00611220" w:rsidRPr="00E36E8A" w:rsidRDefault="00611220" w:rsidP="00250901">
      <w:pPr>
        <w:pStyle w:val="Textoindependiente3"/>
        <w:tabs>
          <w:tab w:val="clear" w:pos="426"/>
        </w:tabs>
        <w:rPr>
          <w:rFonts w:ascii="Century Gothic" w:hAnsi="Century Gothic" w:cs="Arial"/>
          <w:sz w:val="22"/>
          <w:szCs w:val="22"/>
          <w:highlight w:val="yellow"/>
        </w:rPr>
      </w:pPr>
    </w:p>
    <w:p w:rsidR="00611220" w:rsidRPr="005374DD" w:rsidRDefault="00611220" w:rsidP="00250901">
      <w:pPr>
        <w:pStyle w:val="Textoindependiente3"/>
        <w:tabs>
          <w:tab w:val="clear" w:pos="426"/>
        </w:tabs>
        <w:rPr>
          <w:rFonts w:ascii="Century Gothic" w:hAnsi="Century Gothic" w:cs="Arial"/>
          <w:b/>
          <w:sz w:val="22"/>
          <w:szCs w:val="22"/>
        </w:rPr>
      </w:pPr>
      <w:r>
        <w:rPr>
          <w:rFonts w:ascii="Century Gothic" w:hAnsi="Century Gothic" w:cs="Arial"/>
          <w:b/>
          <w:sz w:val="22"/>
          <w:szCs w:val="22"/>
        </w:rPr>
        <w:t>2.- Hechos.-</w:t>
      </w:r>
    </w:p>
    <w:p w:rsidR="00611220" w:rsidRPr="00E36E8A" w:rsidRDefault="00611220" w:rsidP="00250901">
      <w:pPr>
        <w:pStyle w:val="Textoindependiente3"/>
        <w:tabs>
          <w:tab w:val="clear" w:pos="426"/>
        </w:tabs>
        <w:rPr>
          <w:rFonts w:ascii="Century Gothic" w:hAnsi="Century Gothic" w:cs="Arial"/>
          <w:sz w:val="22"/>
          <w:szCs w:val="22"/>
          <w:highlight w:val="yellow"/>
        </w:rPr>
      </w:pPr>
    </w:p>
    <w:p w:rsidR="00611220" w:rsidRPr="005374DD" w:rsidRDefault="00611220" w:rsidP="00250901">
      <w:pPr>
        <w:pStyle w:val="Textoindependiente3"/>
        <w:tabs>
          <w:tab w:val="clear" w:pos="426"/>
        </w:tabs>
        <w:rPr>
          <w:rFonts w:ascii="Century Gothic" w:hAnsi="Century Gothic" w:cs="Arial"/>
          <w:sz w:val="22"/>
          <w:szCs w:val="22"/>
        </w:rPr>
      </w:pPr>
      <w:r w:rsidRPr="005374DD">
        <w:rPr>
          <w:rFonts w:ascii="Century Gothic" w:hAnsi="Century Gothic" w:cs="Arial"/>
          <w:sz w:val="22"/>
          <w:szCs w:val="22"/>
        </w:rPr>
        <w:t>Los fundamentos fácticos de las pretensiones se pueden compendiar así:</w:t>
      </w:r>
    </w:p>
    <w:p w:rsidR="00611220" w:rsidRPr="00E36E8A" w:rsidRDefault="00611220" w:rsidP="00250901">
      <w:pPr>
        <w:pStyle w:val="Textoindependiente3"/>
        <w:tabs>
          <w:tab w:val="clear" w:pos="426"/>
        </w:tabs>
        <w:rPr>
          <w:rFonts w:ascii="Century Gothic" w:hAnsi="Century Gothic" w:cs="Arial"/>
          <w:sz w:val="22"/>
          <w:szCs w:val="22"/>
          <w:highlight w:val="yellow"/>
        </w:rPr>
      </w:pPr>
    </w:p>
    <w:p w:rsidR="00611220" w:rsidRPr="005374DD" w:rsidRDefault="00611220" w:rsidP="00250901">
      <w:pPr>
        <w:pStyle w:val="Textoindependiente3"/>
        <w:tabs>
          <w:tab w:val="clear" w:pos="426"/>
        </w:tabs>
        <w:rPr>
          <w:rFonts w:ascii="Century Gothic" w:hAnsi="Century Gothic" w:cs="Arial"/>
          <w:sz w:val="22"/>
          <w:szCs w:val="22"/>
        </w:rPr>
      </w:pPr>
      <w:r w:rsidRPr="005374DD">
        <w:rPr>
          <w:rFonts w:ascii="Century Gothic" w:hAnsi="Century Gothic" w:cs="Arial"/>
          <w:b/>
          <w:sz w:val="22"/>
          <w:szCs w:val="22"/>
        </w:rPr>
        <w:t>2.1.-</w:t>
      </w:r>
      <w:r>
        <w:rPr>
          <w:rFonts w:ascii="Century Gothic" w:hAnsi="Century Gothic" w:cs="Arial"/>
          <w:b/>
          <w:sz w:val="22"/>
          <w:szCs w:val="22"/>
        </w:rPr>
        <w:t xml:space="preserve"> </w:t>
      </w:r>
      <w:r>
        <w:rPr>
          <w:rFonts w:ascii="Century Gothic" w:hAnsi="Century Gothic" w:cs="Arial"/>
          <w:sz w:val="22"/>
          <w:szCs w:val="22"/>
        </w:rPr>
        <w:t xml:space="preserve">La sociedad </w:t>
      </w:r>
      <w:r w:rsidRPr="00E36E8A">
        <w:rPr>
          <w:rFonts w:ascii="Century Gothic" w:hAnsi="Century Gothic"/>
          <w:sz w:val="22"/>
          <w:szCs w:val="22"/>
        </w:rPr>
        <w:t>Unión de Cableoperadores del Centro S.A – CABLECENTRO</w:t>
      </w:r>
      <w:r>
        <w:rPr>
          <w:rFonts w:ascii="Century Gothic" w:hAnsi="Century Gothic"/>
          <w:sz w:val="22"/>
          <w:szCs w:val="22"/>
        </w:rPr>
        <w:t xml:space="preserve"> -, suscribió contrato de concesión 208, del 20 de diciembre de 1999, con la Comisión Nacional de Televisión, para la operación y explotación del servicio público de televisión por suscripción en la zona centro del país.   </w:t>
      </w:r>
    </w:p>
    <w:p w:rsidR="00611220" w:rsidRPr="00E36E8A" w:rsidRDefault="00611220" w:rsidP="00250901">
      <w:pPr>
        <w:pStyle w:val="Textoindependiente3"/>
        <w:tabs>
          <w:tab w:val="clear" w:pos="426"/>
        </w:tabs>
        <w:rPr>
          <w:rFonts w:ascii="Century Gothic" w:hAnsi="Century Gothic" w:cs="Arial"/>
          <w:sz w:val="22"/>
          <w:szCs w:val="22"/>
          <w:highlight w:val="yellow"/>
        </w:rPr>
      </w:pPr>
    </w:p>
    <w:p w:rsidR="00611220" w:rsidRDefault="00611220" w:rsidP="00250901">
      <w:pPr>
        <w:pStyle w:val="Textoindependiente3"/>
        <w:tabs>
          <w:tab w:val="clear" w:pos="426"/>
        </w:tabs>
        <w:rPr>
          <w:rFonts w:ascii="Century Gothic" w:hAnsi="Century Gothic" w:cs="Tahoma"/>
          <w:sz w:val="22"/>
          <w:szCs w:val="22"/>
        </w:rPr>
      </w:pPr>
      <w:r w:rsidRPr="005374DD">
        <w:rPr>
          <w:rFonts w:ascii="Century Gothic" w:hAnsi="Century Gothic" w:cs="Tahoma"/>
          <w:b/>
          <w:sz w:val="22"/>
          <w:szCs w:val="22"/>
        </w:rPr>
        <w:t>2.2.-</w:t>
      </w:r>
      <w:r w:rsidRPr="005374DD">
        <w:rPr>
          <w:rFonts w:ascii="Century Gothic" w:hAnsi="Century Gothic" w:cs="Tahoma"/>
          <w:sz w:val="22"/>
          <w:szCs w:val="22"/>
        </w:rPr>
        <w:t xml:space="preserve"> </w:t>
      </w:r>
      <w:r>
        <w:rPr>
          <w:rFonts w:ascii="Century Gothic" w:hAnsi="Century Gothic" w:cs="Tahoma"/>
          <w:sz w:val="22"/>
          <w:szCs w:val="22"/>
        </w:rPr>
        <w:t>El 9 de diciembre de 2003, la Comisión Nacional de Televisión suscribió contrato de auditoria con JAVH MC GREGOR, para la prestación del servicio de auditoría integral, financiera, administrativa y de plataforma tecnológica, para los contratos de concesión del servicio público de televisión por suscripción y satelital.</w:t>
      </w:r>
    </w:p>
    <w:p w:rsidR="00611220" w:rsidRPr="004D2902" w:rsidRDefault="00611220" w:rsidP="00250901">
      <w:pPr>
        <w:pStyle w:val="Textoindependiente3"/>
        <w:tabs>
          <w:tab w:val="clear" w:pos="426"/>
        </w:tabs>
        <w:rPr>
          <w:rFonts w:ascii="Century Gothic" w:hAnsi="Century Gothic" w:cs="Tahoma"/>
          <w:sz w:val="22"/>
          <w:szCs w:val="22"/>
        </w:rPr>
      </w:pPr>
    </w:p>
    <w:p w:rsidR="00611220" w:rsidRPr="004D2902" w:rsidRDefault="00611220" w:rsidP="00250901">
      <w:pPr>
        <w:pStyle w:val="Textoindependiente3"/>
        <w:tabs>
          <w:tab w:val="clear" w:pos="426"/>
        </w:tabs>
        <w:rPr>
          <w:rFonts w:ascii="Century Gothic" w:hAnsi="Century Gothic" w:cs="Tahoma"/>
          <w:sz w:val="22"/>
          <w:szCs w:val="22"/>
        </w:rPr>
      </w:pPr>
      <w:r w:rsidRPr="004D2902">
        <w:rPr>
          <w:rFonts w:ascii="Century Gothic" w:hAnsi="Century Gothic" w:cs="Tahoma"/>
          <w:b/>
          <w:sz w:val="22"/>
          <w:szCs w:val="22"/>
        </w:rPr>
        <w:t xml:space="preserve">2.3.- </w:t>
      </w:r>
      <w:r>
        <w:rPr>
          <w:rFonts w:ascii="Century Gothic" w:hAnsi="Century Gothic" w:cs="Tahoma"/>
          <w:sz w:val="22"/>
          <w:szCs w:val="22"/>
        </w:rPr>
        <w:t>La firma auditora informó que el concesionario</w:t>
      </w:r>
      <w:r>
        <w:rPr>
          <w:rFonts w:ascii="Century Gothic" w:hAnsi="Century Gothic"/>
          <w:sz w:val="22"/>
          <w:szCs w:val="22"/>
        </w:rPr>
        <w:t xml:space="preserve"> C</w:t>
      </w:r>
      <w:r w:rsidRPr="00E36E8A">
        <w:rPr>
          <w:rFonts w:ascii="Century Gothic" w:hAnsi="Century Gothic"/>
          <w:sz w:val="22"/>
          <w:szCs w:val="22"/>
        </w:rPr>
        <w:t>ablecentro</w:t>
      </w:r>
      <w:r>
        <w:rPr>
          <w:rFonts w:ascii="Century Gothic" w:hAnsi="Century Gothic"/>
          <w:sz w:val="22"/>
          <w:szCs w:val="22"/>
        </w:rPr>
        <w:t xml:space="preserve"> S.A no incluyó la totalidad de los ingresos brutos base de liquidación y determinó que se adeuda, por concepto de diferencias en la base de liquidación, la suma de mil doscientos sesenta y tres millones ochenta y cuatro mil setecientos noventa y tres pesos (1.263’084.793); por tanto, mediante comunicación EE200411086, se requirió a Cablecentro S.A para el pago de dicha suma. </w:t>
      </w:r>
    </w:p>
    <w:p w:rsidR="00611220" w:rsidRPr="00E36E8A" w:rsidRDefault="00611220" w:rsidP="00250901">
      <w:pPr>
        <w:pStyle w:val="Textoindependiente3"/>
        <w:tabs>
          <w:tab w:val="clear" w:pos="426"/>
        </w:tabs>
        <w:rPr>
          <w:rFonts w:ascii="Century Gothic" w:hAnsi="Century Gothic" w:cs="Tahoma"/>
          <w:sz w:val="22"/>
          <w:szCs w:val="22"/>
          <w:highlight w:val="yellow"/>
        </w:rPr>
      </w:pPr>
    </w:p>
    <w:p w:rsidR="00611220" w:rsidRDefault="00611220" w:rsidP="00250901">
      <w:pPr>
        <w:pStyle w:val="Textoindependiente3"/>
        <w:tabs>
          <w:tab w:val="clear" w:pos="426"/>
        </w:tabs>
        <w:rPr>
          <w:rFonts w:ascii="Century Gothic" w:hAnsi="Century Gothic"/>
          <w:sz w:val="22"/>
          <w:szCs w:val="22"/>
        </w:rPr>
      </w:pPr>
      <w:r w:rsidRPr="004935CF">
        <w:rPr>
          <w:rFonts w:ascii="Century Gothic" w:hAnsi="Century Gothic" w:cs="Tahoma"/>
          <w:b/>
          <w:sz w:val="22"/>
          <w:szCs w:val="22"/>
        </w:rPr>
        <w:t xml:space="preserve">2.4.- </w:t>
      </w:r>
      <w:r>
        <w:rPr>
          <w:rFonts w:ascii="Century Gothic" w:hAnsi="Century Gothic" w:cs="Tahoma"/>
          <w:sz w:val="22"/>
          <w:szCs w:val="22"/>
        </w:rPr>
        <w:t xml:space="preserve">La anterior actuación administrativa concluyó con la expedición de la resolución 1017 de 2006, por medio de la cual la Junta Directiva de la Comisión Nacional de Televisión impuso sanción a Cablecentro S.A, equivalente al 5% del valor actualizado del contrato, es decir, </w:t>
      </w:r>
      <w:r>
        <w:rPr>
          <w:rFonts w:ascii="Century Gothic" w:hAnsi="Century Gothic"/>
          <w:sz w:val="22"/>
          <w:szCs w:val="22"/>
        </w:rPr>
        <w:t>la suma de noventa y un millones trescientos veintidós mil seiscientos setenta pesos ($91’322.670).</w:t>
      </w:r>
    </w:p>
    <w:p w:rsidR="00611220" w:rsidRPr="00E36E8A" w:rsidRDefault="00611220" w:rsidP="00250901">
      <w:pPr>
        <w:pStyle w:val="Textoindependiente3"/>
        <w:tabs>
          <w:tab w:val="clear" w:pos="426"/>
        </w:tabs>
        <w:rPr>
          <w:rFonts w:ascii="Century Gothic" w:hAnsi="Century Gothic" w:cs="Tahoma"/>
          <w:b/>
          <w:sz w:val="22"/>
          <w:szCs w:val="22"/>
          <w:highlight w:val="yellow"/>
        </w:rPr>
      </w:pPr>
    </w:p>
    <w:p w:rsidR="00611220" w:rsidRPr="004935CF" w:rsidRDefault="00611220" w:rsidP="00250901">
      <w:pPr>
        <w:pStyle w:val="Textoindependiente3"/>
        <w:tabs>
          <w:tab w:val="clear" w:pos="426"/>
        </w:tabs>
        <w:rPr>
          <w:rFonts w:ascii="Century Gothic" w:hAnsi="Century Gothic" w:cs="Tahoma"/>
          <w:sz w:val="22"/>
          <w:szCs w:val="22"/>
        </w:rPr>
      </w:pPr>
      <w:r w:rsidRPr="004935CF">
        <w:rPr>
          <w:rFonts w:ascii="Century Gothic" w:hAnsi="Century Gothic" w:cs="Tahoma"/>
          <w:b/>
          <w:sz w:val="22"/>
          <w:szCs w:val="22"/>
        </w:rPr>
        <w:t xml:space="preserve">2.5.- </w:t>
      </w:r>
      <w:r>
        <w:rPr>
          <w:rFonts w:ascii="Century Gothic" w:hAnsi="Century Gothic" w:cs="Tahoma"/>
          <w:sz w:val="22"/>
          <w:szCs w:val="22"/>
        </w:rPr>
        <w:t>El representante legal de Cablecentro S.A interpuso recurso de reposición contra la resolución 1017 de 2006, el cual fue resuelto por la Comisión Nacional de Televisión modificando el ordinal segundo de la citada resolución y confirmando los ordinales restantes.</w:t>
      </w:r>
    </w:p>
    <w:p w:rsidR="00611220" w:rsidRPr="00E36E8A" w:rsidRDefault="00611220" w:rsidP="00250901">
      <w:pPr>
        <w:pStyle w:val="Textoindependiente3"/>
        <w:tabs>
          <w:tab w:val="clear" w:pos="426"/>
        </w:tabs>
        <w:rPr>
          <w:rFonts w:ascii="Century Gothic" w:hAnsi="Century Gothic" w:cs="Tahoma"/>
          <w:sz w:val="22"/>
          <w:szCs w:val="22"/>
          <w:highlight w:val="yellow"/>
        </w:rPr>
      </w:pPr>
    </w:p>
    <w:p w:rsidR="00611220" w:rsidRPr="009F0609" w:rsidRDefault="00611220" w:rsidP="00250901">
      <w:pPr>
        <w:pStyle w:val="Textoindependiente21"/>
        <w:tabs>
          <w:tab w:val="left" w:pos="567"/>
        </w:tabs>
        <w:ind w:right="-4" w:firstLine="0"/>
        <w:rPr>
          <w:rFonts w:ascii="Century Gothic" w:hAnsi="Century Gothic" w:cs="Tahoma"/>
          <w:b/>
          <w:sz w:val="22"/>
          <w:szCs w:val="22"/>
        </w:rPr>
      </w:pPr>
      <w:r w:rsidRPr="009F0609">
        <w:rPr>
          <w:rFonts w:ascii="Century Gothic" w:hAnsi="Century Gothic" w:cs="Arial"/>
          <w:b/>
          <w:bCs/>
          <w:sz w:val="22"/>
          <w:szCs w:val="22"/>
        </w:rPr>
        <w:t xml:space="preserve">3.- </w:t>
      </w:r>
      <w:r w:rsidRPr="009F0609">
        <w:rPr>
          <w:rFonts w:ascii="Century Gothic" w:hAnsi="Century Gothic" w:cs="Tahoma"/>
          <w:b/>
          <w:sz w:val="22"/>
          <w:szCs w:val="22"/>
        </w:rPr>
        <w:t>La actuación procesal</w:t>
      </w:r>
      <w:r>
        <w:rPr>
          <w:rFonts w:ascii="Century Gothic" w:hAnsi="Century Gothic" w:cs="Tahoma"/>
          <w:b/>
          <w:sz w:val="22"/>
          <w:szCs w:val="22"/>
        </w:rPr>
        <w:t>.-</w:t>
      </w:r>
    </w:p>
    <w:p w:rsidR="00611220" w:rsidRPr="00E36E8A" w:rsidRDefault="00611220" w:rsidP="00250901">
      <w:pPr>
        <w:pStyle w:val="Textoindependiente21"/>
        <w:ind w:firstLine="708"/>
        <w:rPr>
          <w:rFonts w:ascii="Century Gothic" w:hAnsi="Century Gothic" w:cs="Tahoma"/>
          <w:sz w:val="22"/>
          <w:szCs w:val="22"/>
          <w:highlight w:val="yellow"/>
        </w:rPr>
      </w:pPr>
    </w:p>
    <w:p w:rsidR="00611220" w:rsidRPr="0079116E" w:rsidRDefault="00611220" w:rsidP="00250901">
      <w:pPr>
        <w:pStyle w:val="Textoindependiente21"/>
        <w:ind w:right="0" w:firstLine="0"/>
        <w:rPr>
          <w:rFonts w:ascii="Century Gothic" w:hAnsi="Century Gothic" w:cs="Tahoma"/>
          <w:sz w:val="22"/>
          <w:szCs w:val="22"/>
        </w:rPr>
      </w:pPr>
      <w:r w:rsidRPr="009F0609">
        <w:rPr>
          <w:rFonts w:ascii="Century Gothic" w:hAnsi="Century Gothic" w:cs="Tahoma"/>
          <w:sz w:val="22"/>
          <w:szCs w:val="22"/>
        </w:rPr>
        <w:t xml:space="preserve">Por auto </w:t>
      </w:r>
      <w:r>
        <w:rPr>
          <w:rFonts w:ascii="Century Gothic" w:hAnsi="Century Gothic" w:cs="Tahoma"/>
          <w:sz w:val="22"/>
          <w:szCs w:val="22"/>
        </w:rPr>
        <w:t xml:space="preserve">del 30 de octubre de 2007, el Juzgado 31 Administrativo de Bogotá remitió por competencia el expediente al Tribunal Administrativo de Cundinamarca - Sección Tercera, para que continuara con el trámite del proceso, así que dicho Tribunal, mediante auto del 11 de abril de 2008, </w:t>
      </w:r>
      <w:r w:rsidRPr="0079116E">
        <w:rPr>
          <w:rFonts w:ascii="Century Gothic" w:hAnsi="Century Gothic" w:cs="Tahoma"/>
          <w:sz w:val="22"/>
          <w:szCs w:val="22"/>
        </w:rPr>
        <w:t xml:space="preserve">admitió la demanda, ordenó la notificación personal de la providencia al representante legal de la Comisión Nacional de Televisión y al agente del Ministerio Público, </w:t>
      </w:r>
      <w:r w:rsidRPr="00457DB8">
        <w:rPr>
          <w:rFonts w:ascii="Century Gothic" w:hAnsi="Century Gothic" w:cs="Tahoma"/>
          <w:sz w:val="22"/>
          <w:szCs w:val="22"/>
        </w:rPr>
        <w:t xml:space="preserve">dispuso la fijación en lista </w:t>
      </w:r>
      <w:r w:rsidRPr="00457DB8">
        <w:rPr>
          <w:rFonts w:ascii="Century Gothic" w:hAnsi="Century Gothic" w:cs="Tahoma"/>
          <w:sz w:val="22"/>
          <w:szCs w:val="22"/>
        </w:rPr>
        <w:lastRenderedPageBreak/>
        <w:t>del negocio</w:t>
      </w:r>
      <w:r>
        <w:rPr>
          <w:rFonts w:ascii="Century Gothic" w:hAnsi="Century Gothic" w:cs="Tahoma"/>
          <w:sz w:val="22"/>
          <w:szCs w:val="22"/>
        </w:rPr>
        <w:t>, señaló los gastos de notificación</w:t>
      </w:r>
      <w:r w:rsidRPr="00457DB8">
        <w:rPr>
          <w:rFonts w:ascii="Century Gothic" w:hAnsi="Century Gothic" w:cs="Tahoma"/>
          <w:sz w:val="22"/>
          <w:szCs w:val="22"/>
        </w:rPr>
        <w:t xml:space="preserve"> </w:t>
      </w:r>
      <w:r>
        <w:rPr>
          <w:rFonts w:ascii="Century Gothic" w:hAnsi="Century Gothic" w:cs="Tahoma"/>
          <w:sz w:val="22"/>
          <w:szCs w:val="22"/>
        </w:rPr>
        <w:t>y demás gastos ordinarios del proceso y reconoció personería a la apoderada</w:t>
      </w:r>
      <w:r w:rsidRPr="00457DB8">
        <w:rPr>
          <w:rFonts w:ascii="Century Gothic" w:hAnsi="Century Gothic" w:cs="Tahoma"/>
          <w:sz w:val="22"/>
          <w:szCs w:val="22"/>
        </w:rPr>
        <w:t xml:space="preserve"> de la parte demandante (fl. 56, C. 1).</w:t>
      </w:r>
    </w:p>
    <w:p w:rsidR="00611220" w:rsidRDefault="00611220" w:rsidP="00250901">
      <w:pPr>
        <w:pStyle w:val="Textoindependiente21"/>
        <w:ind w:right="0" w:firstLine="0"/>
        <w:rPr>
          <w:rFonts w:ascii="Century Gothic" w:hAnsi="Century Gothic" w:cs="Tahoma"/>
          <w:sz w:val="22"/>
          <w:szCs w:val="22"/>
          <w:highlight w:val="yellow"/>
        </w:rPr>
      </w:pPr>
    </w:p>
    <w:p w:rsidR="00611220" w:rsidRPr="00A57F61" w:rsidRDefault="00611220" w:rsidP="00250901">
      <w:pPr>
        <w:pStyle w:val="Textoindependiente21"/>
        <w:ind w:right="0" w:firstLine="0"/>
        <w:rPr>
          <w:rFonts w:ascii="Century Gothic" w:hAnsi="Century Gothic" w:cs="Tahoma"/>
          <w:sz w:val="22"/>
          <w:szCs w:val="22"/>
        </w:rPr>
      </w:pPr>
      <w:r w:rsidRPr="00892D60">
        <w:rPr>
          <w:rFonts w:ascii="Century Gothic" w:hAnsi="Century Gothic" w:cs="Tahoma"/>
          <w:sz w:val="22"/>
          <w:szCs w:val="22"/>
        </w:rPr>
        <w:t xml:space="preserve">Dentro del término de fijación en lista, </w:t>
      </w:r>
      <w:r>
        <w:rPr>
          <w:rFonts w:ascii="Century Gothic" w:hAnsi="Century Gothic" w:cs="Tahoma"/>
          <w:sz w:val="22"/>
          <w:szCs w:val="22"/>
        </w:rPr>
        <w:t>e</w:t>
      </w:r>
      <w:r w:rsidRPr="00A57F61">
        <w:rPr>
          <w:rFonts w:ascii="Century Gothic" w:hAnsi="Century Gothic" w:cs="Tahoma"/>
          <w:sz w:val="22"/>
          <w:szCs w:val="22"/>
        </w:rPr>
        <w:t>l apoderado de</w:t>
      </w:r>
      <w:r>
        <w:rPr>
          <w:rFonts w:ascii="Century Gothic" w:hAnsi="Century Gothic" w:cs="Tahoma"/>
          <w:sz w:val="22"/>
          <w:szCs w:val="22"/>
        </w:rPr>
        <w:t xml:space="preserve"> la Comisión Nacional de Televisión </w:t>
      </w:r>
      <w:r w:rsidRPr="00A57F61">
        <w:rPr>
          <w:rFonts w:ascii="Century Gothic" w:hAnsi="Century Gothic" w:cs="Tahoma"/>
          <w:sz w:val="22"/>
          <w:szCs w:val="22"/>
        </w:rPr>
        <w:t>contestó la demanda, se opuso a la prosperidad de las pretensiones y, en cuanto a los hechos</w:t>
      </w:r>
      <w:r>
        <w:rPr>
          <w:rFonts w:ascii="Century Gothic" w:hAnsi="Century Gothic" w:cs="Tahoma"/>
          <w:sz w:val="22"/>
          <w:szCs w:val="22"/>
        </w:rPr>
        <w:t>, aceptó algunos como ciertos y los otros como no ciertos</w:t>
      </w:r>
      <w:r w:rsidRPr="00A57F61">
        <w:rPr>
          <w:rFonts w:ascii="Century Gothic" w:hAnsi="Century Gothic" w:cs="Tahoma"/>
          <w:sz w:val="22"/>
          <w:szCs w:val="22"/>
        </w:rPr>
        <w:t xml:space="preserve"> (fls. </w:t>
      </w:r>
      <w:r>
        <w:rPr>
          <w:rFonts w:ascii="Century Gothic" w:hAnsi="Century Gothic" w:cs="Tahoma"/>
          <w:sz w:val="22"/>
          <w:szCs w:val="22"/>
        </w:rPr>
        <w:t>60 a 145</w:t>
      </w:r>
      <w:r w:rsidRPr="00A57F61">
        <w:rPr>
          <w:rFonts w:ascii="Century Gothic" w:hAnsi="Century Gothic" w:cs="Tahoma"/>
          <w:sz w:val="22"/>
          <w:szCs w:val="22"/>
        </w:rPr>
        <w:t xml:space="preserve"> C. 1).</w:t>
      </w:r>
    </w:p>
    <w:p w:rsidR="00611220" w:rsidRPr="00E36E8A" w:rsidRDefault="00611220" w:rsidP="00250901">
      <w:pPr>
        <w:pStyle w:val="Textoindependiente21"/>
        <w:ind w:right="0" w:firstLine="0"/>
        <w:rPr>
          <w:rFonts w:ascii="Century Gothic" w:hAnsi="Century Gothic" w:cs="Tahoma"/>
          <w:sz w:val="22"/>
          <w:szCs w:val="22"/>
          <w:highlight w:val="yellow"/>
        </w:rPr>
      </w:pPr>
    </w:p>
    <w:p w:rsidR="00611220" w:rsidRPr="00BC7A5D" w:rsidRDefault="00611220" w:rsidP="00250901">
      <w:pPr>
        <w:pStyle w:val="Lista2"/>
        <w:widowControl w:val="0"/>
        <w:tabs>
          <w:tab w:val="num" w:pos="709"/>
        </w:tabs>
        <w:spacing w:line="360" w:lineRule="auto"/>
        <w:ind w:left="0" w:firstLine="0"/>
        <w:jc w:val="both"/>
        <w:rPr>
          <w:rFonts w:cs="Arial"/>
          <w:b/>
          <w:sz w:val="22"/>
          <w:szCs w:val="22"/>
        </w:rPr>
      </w:pPr>
      <w:r w:rsidRPr="00BC7A5D">
        <w:rPr>
          <w:rFonts w:cs="Arial"/>
          <w:b/>
          <w:sz w:val="22"/>
          <w:szCs w:val="22"/>
        </w:rPr>
        <w:t xml:space="preserve">4.- La sentencia de primera instancia.- </w:t>
      </w:r>
    </w:p>
    <w:p w:rsidR="00611220" w:rsidRPr="00E36E8A" w:rsidRDefault="00611220" w:rsidP="00250901">
      <w:pPr>
        <w:pStyle w:val="Lista2"/>
        <w:widowControl w:val="0"/>
        <w:tabs>
          <w:tab w:val="num" w:pos="709"/>
        </w:tabs>
        <w:spacing w:line="360" w:lineRule="auto"/>
        <w:ind w:left="0" w:firstLine="0"/>
        <w:jc w:val="both"/>
        <w:rPr>
          <w:rFonts w:cs="Arial"/>
          <w:sz w:val="22"/>
          <w:szCs w:val="22"/>
          <w:highlight w:val="yellow"/>
        </w:rPr>
      </w:pPr>
    </w:p>
    <w:p w:rsidR="00611220" w:rsidRPr="00BC7A5D" w:rsidRDefault="00611220" w:rsidP="00250901">
      <w:pPr>
        <w:pStyle w:val="Textoindependiente21"/>
        <w:ind w:right="0" w:firstLine="0"/>
        <w:rPr>
          <w:rFonts w:ascii="Century Gothic" w:hAnsi="Century Gothic" w:cs="Tahoma"/>
          <w:sz w:val="22"/>
          <w:szCs w:val="22"/>
        </w:rPr>
      </w:pPr>
      <w:r w:rsidRPr="00BC7A5D">
        <w:rPr>
          <w:rFonts w:ascii="Century Gothic" w:hAnsi="Century Gothic" w:cs="Tahoma"/>
          <w:sz w:val="22"/>
          <w:szCs w:val="22"/>
        </w:rPr>
        <w:t xml:space="preserve">Mediante </w:t>
      </w:r>
      <w:r>
        <w:rPr>
          <w:rFonts w:ascii="Century Gothic" w:hAnsi="Century Gothic" w:cs="Tahoma"/>
          <w:sz w:val="22"/>
          <w:szCs w:val="22"/>
        </w:rPr>
        <w:t>fallo del 10 de agosto de 2011, el Tribunal Administrativo de Cundinamarca, Sección Tercera – Subsección B, declaró probada la excepción de caducidad de la acción en relación con el acto administrativo definitivo contenido en la comunicación EE200411806, declaró la nulidad de las resoluciones 1017 y 104 proferidas por la Comisión Nacional de Televisión, ordenó a la demandada devolver $106’781.400 a Cablecentro S.A. y negó las demás pretensiones de la demanda.</w:t>
      </w:r>
    </w:p>
    <w:p w:rsidR="00611220" w:rsidRPr="00E36E8A" w:rsidRDefault="00611220" w:rsidP="00250901">
      <w:pPr>
        <w:pStyle w:val="Textoindependiente21"/>
        <w:ind w:right="0" w:firstLine="0"/>
        <w:rPr>
          <w:rFonts w:ascii="Century Gothic" w:hAnsi="Century Gothic" w:cs="Tahoma"/>
          <w:sz w:val="22"/>
          <w:szCs w:val="22"/>
          <w:highlight w:val="yellow"/>
        </w:rPr>
      </w:pPr>
    </w:p>
    <w:p w:rsidR="00611220" w:rsidRPr="00367218" w:rsidRDefault="00611220" w:rsidP="0025090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El Tribunal argumentó </w:t>
      </w:r>
      <w:r w:rsidRPr="00367218">
        <w:rPr>
          <w:rFonts w:ascii="Century Gothic" w:hAnsi="Century Gothic" w:cs="Tahoma"/>
          <w:sz w:val="22"/>
          <w:szCs w:val="22"/>
        </w:rPr>
        <w:t>que</w:t>
      </w:r>
      <w:r>
        <w:rPr>
          <w:rFonts w:ascii="Century Gothic" w:hAnsi="Century Gothic" w:cs="Tahoma"/>
          <w:sz w:val="22"/>
          <w:szCs w:val="22"/>
        </w:rPr>
        <w:t xml:space="preserve"> existió falsa motivación de los actos administrativos demandados, toda vez que la interpretación de las normas hecha en los mismos no corresponde al contenido de éstas, por lo cual resultaba procedente declarar la nulidad de dichos actos administrativos; por lo mismo, la Sala se abstuvo de abordar los demás cargos.</w:t>
      </w:r>
    </w:p>
    <w:p w:rsidR="00611220" w:rsidRPr="00E36E8A" w:rsidRDefault="00611220" w:rsidP="00250901">
      <w:pPr>
        <w:pStyle w:val="Textoindependiente21"/>
        <w:ind w:right="0" w:firstLine="0"/>
        <w:rPr>
          <w:rFonts w:ascii="Century Gothic" w:hAnsi="Century Gothic" w:cs="Tahoma"/>
          <w:sz w:val="22"/>
          <w:szCs w:val="22"/>
          <w:highlight w:val="yellow"/>
        </w:rPr>
      </w:pPr>
    </w:p>
    <w:p w:rsidR="00611220" w:rsidRDefault="00611220" w:rsidP="00250901">
      <w:pPr>
        <w:pStyle w:val="Textoindependiente21"/>
        <w:ind w:right="0" w:firstLine="0"/>
        <w:rPr>
          <w:rFonts w:ascii="Century Gothic" w:hAnsi="Century Gothic" w:cs="Tahoma"/>
          <w:sz w:val="22"/>
          <w:szCs w:val="22"/>
        </w:rPr>
      </w:pPr>
      <w:r w:rsidRPr="00CC492A">
        <w:rPr>
          <w:rFonts w:ascii="Century Gothic" w:hAnsi="Century Gothic" w:cs="Tahoma"/>
          <w:sz w:val="22"/>
          <w:szCs w:val="22"/>
        </w:rPr>
        <w:t xml:space="preserve">Por otra parte, </w:t>
      </w:r>
      <w:r>
        <w:rPr>
          <w:rFonts w:ascii="Century Gothic" w:hAnsi="Century Gothic" w:cs="Tahoma"/>
          <w:sz w:val="22"/>
          <w:szCs w:val="22"/>
        </w:rPr>
        <w:t xml:space="preserve">respecto de la devolución del valor cancelado a la Comisión Nacional de Televisión por parte de Cablecentro S.A el 17 de octubre de 2007 </w:t>
      </w:r>
      <w:r>
        <w:rPr>
          <w:rFonts w:ascii="Century Gothic" w:hAnsi="Century Gothic"/>
          <w:sz w:val="22"/>
          <w:szCs w:val="22"/>
        </w:rPr>
        <w:t>($91’322.670)</w:t>
      </w:r>
      <w:r>
        <w:rPr>
          <w:rFonts w:ascii="Century Gothic" w:hAnsi="Century Gothic" w:cs="Tahoma"/>
          <w:sz w:val="22"/>
          <w:szCs w:val="22"/>
        </w:rPr>
        <w:t xml:space="preserve">, ordenó que la demandada devolviera actualizado dicho valor ($106’781.400). </w:t>
      </w:r>
    </w:p>
    <w:p w:rsidR="00611220" w:rsidRDefault="00611220" w:rsidP="00250901">
      <w:pPr>
        <w:pStyle w:val="Textoindependiente21"/>
        <w:ind w:right="0" w:firstLine="0"/>
        <w:rPr>
          <w:rFonts w:ascii="Century Gothic" w:hAnsi="Century Gothic" w:cs="Tahoma"/>
          <w:sz w:val="22"/>
          <w:szCs w:val="22"/>
        </w:rPr>
      </w:pPr>
    </w:p>
    <w:p w:rsidR="00611220" w:rsidRPr="00CC492A" w:rsidRDefault="00611220" w:rsidP="0025090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Finalmente, la Sala manifestó que las pretensiones segunda a quinta no estaban llamadas a prosperar, porque no se trata de declaraciones ligadas a las causales de nulidad invocadas en contra de los actos administrativos demandados (fls. 306 a 318 C. Consejo).   </w:t>
      </w:r>
    </w:p>
    <w:p w:rsidR="00611220" w:rsidRPr="00E36E8A" w:rsidRDefault="00611220" w:rsidP="00250901">
      <w:pPr>
        <w:pStyle w:val="Lista2"/>
        <w:widowControl w:val="0"/>
        <w:tabs>
          <w:tab w:val="num" w:pos="709"/>
        </w:tabs>
        <w:spacing w:line="360" w:lineRule="auto"/>
        <w:ind w:left="0" w:firstLine="0"/>
        <w:jc w:val="both"/>
        <w:rPr>
          <w:rFonts w:cs="Arial"/>
          <w:sz w:val="22"/>
          <w:szCs w:val="22"/>
          <w:highlight w:val="yellow"/>
        </w:rPr>
      </w:pPr>
    </w:p>
    <w:p w:rsidR="00611220" w:rsidRPr="00CC492A" w:rsidRDefault="00611220" w:rsidP="00250901">
      <w:pPr>
        <w:spacing w:line="360" w:lineRule="auto"/>
        <w:ind w:right="-1"/>
        <w:jc w:val="both"/>
        <w:rPr>
          <w:rFonts w:ascii="Century Gothic" w:hAnsi="Century Gothic" w:cs="Arial"/>
          <w:b/>
          <w:bCs/>
          <w:color w:val="000000"/>
        </w:rPr>
      </w:pPr>
      <w:r w:rsidRPr="00CC492A">
        <w:rPr>
          <w:rFonts w:ascii="Century Gothic" w:hAnsi="Century Gothic" w:cs="Arial"/>
          <w:b/>
          <w:bCs/>
          <w:color w:val="000000"/>
        </w:rPr>
        <w:t xml:space="preserve">5.- El recurso de apelación.- </w:t>
      </w:r>
    </w:p>
    <w:p w:rsidR="00611220" w:rsidRPr="00E36E8A" w:rsidRDefault="00611220" w:rsidP="00250901">
      <w:pPr>
        <w:spacing w:line="360" w:lineRule="auto"/>
        <w:ind w:right="-1"/>
        <w:jc w:val="both"/>
        <w:rPr>
          <w:rFonts w:ascii="Century Gothic" w:hAnsi="Century Gothic" w:cs="Arial"/>
          <w:bCs/>
          <w:color w:val="000000"/>
          <w:highlight w:val="yellow"/>
        </w:rPr>
      </w:pPr>
    </w:p>
    <w:p w:rsidR="00611220" w:rsidRDefault="00611220" w:rsidP="00250901">
      <w:pPr>
        <w:pStyle w:val="Textoindependiente21"/>
        <w:ind w:right="47" w:firstLine="0"/>
        <w:rPr>
          <w:rFonts w:ascii="Century Gothic" w:hAnsi="Century Gothic" w:cs="Tahoma"/>
          <w:sz w:val="22"/>
          <w:szCs w:val="22"/>
        </w:rPr>
      </w:pPr>
      <w:r w:rsidRPr="009E42C7">
        <w:rPr>
          <w:rFonts w:ascii="Century Gothic" w:hAnsi="Century Gothic" w:cs="Tahoma"/>
          <w:sz w:val="22"/>
          <w:szCs w:val="22"/>
        </w:rPr>
        <w:t xml:space="preserve">Inconforme con la anterior decisión, el apoderado de la parte actora interpuso recurso de apelación, </w:t>
      </w:r>
      <w:r>
        <w:rPr>
          <w:rFonts w:ascii="Century Gothic" w:hAnsi="Century Gothic" w:cs="Tahoma"/>
          <w:sz w:val="22"/>
          <w:szCs w:val="22"/>
        </w:rPr>
        <w:t>en el cual solicitó revocar</w:t>
      </w:r>
      <w:r w:rsidRPr="006046D8">
        <w:rPr>
          <w:rFonts w:ascii="Century Gothic" w:hAnsi="Century Gothic" w:cs="Tahoma"/>
          <w:sz w:val="22"/>
          <w:szCs w:val="22"/>
        </w:rPr>
        <w:t xml:space="preserve"> la sentencia recurrida y, en su </w:t>
      </w:r>
      <w:r w:rsidRPr="006046D8">
        <w:rPr>
          <w:rFonts w:ascii="Century Gothic" w:hAnsi="Century Gothic" w:cs="Tahoma"/>
          <w:sz w:val="22"/>
          <w:szCs w:val="22"/>
        </w:rPr>
        <w:lastRenderedPageBreak/>
        <w:t xml:space="preserve">lugar, </w:t>
      </w:r>
      <w:r>
        <w:rPr>
          <w:rFonts w:ascii="Century Gothic" w:hAnsi="Century Gothic" w:cs="Tahoma"/>
          <w:sz w:val="22"/>
          <w:szCs w:val="22"/>
        </w:rPr>
        <w:t xml:space="preserve">reconocer en favor de su representada y ordenar a la demandada devolver la totalidad de las sumas pagadas por Cablecentro S.A.  </w:t>
      </w:r>
    </w:p>
    <w:p w:rsidR="00611220" w:rsidRDefault="00611220" w:rsidP="00250901">
      <w:pPr>
        <w:pStyle w:val="Textoindependiente21"/>
        <w:ind w:right="47" w:firstLine="0"/>
        <w:rPr>
          <w:rFonts w:ascii="Century Gothic" w:hAnsi="Century Gothic" w:cs="Tahoma"/>
          <w:sz w:val="22"/>
          <w:szCs w:val="22"/>
        </w:rPr>
      </w:pPr>
    </w:p>
    <w:p w:rsidR="00611220" w:rsidRPr="00E36E8A" w:rsidRDefault="00611220" w:rsidP="00250901">
      <w:pPr>
        <w:pStyle w:val="Textoindependiente21"/>
        <w:ind w:right="47" w:firstLine="0"/>
        <w:rPr>
          <w:rFonts w:ascii="Century Gothic" w:hAnsi="Century Gothic" w:cs="Tahoma"/>
          <w:sz w:val="22"/>
          <w:szCs w:val="22"/>
          <w:highlight w:val="yellow"/>
        </w:rPr>
      </w:pPr>
      <w:r>
        <w:rPr>
          <w:rFonts w:ascii="Century Gothic" w:hAnsi="Century Gothic" w:cs="Tahoma"/>
          <w:sz w:val="22"/>
          <w:szCs w:val="22"/>
        </w:rPr>
        <w:t>El apoderado de la entidad demandada también presentó recurso de apelación en</w:t>
      </w:r>
      <w:r w:rsidRPr="00103A85">
        <w:rPr>
          <w:rFonts w:ascii="Century Gothic" w:hAnsi="Century Gothic" w:cs="Tahoma"/>
          <w:sz w:val="22"/>
          <w:szCs w:val="22"/>
        </w:rPr>
        <w:t xml:space="preserve"> </w:t>
      </w:r>
      <w:r w:rsidRPr="009E42C7">
        <w:rPr>
          <w:rFonts w:ascii="Century Gothic" w:hAnsi="Century Gothic" w:cs="Tahoma"/>
          <w:sz w:val="22"/>
          <w:szCs w:val="22"/>
        </w:rPr>
        <w:t xml:space="preserve">la oportunidad prevista por el ordenamiento jurídico (fls. </w:t>
      </w:r>
      <w:r>
        <w:rPr>
          <w:rFonts w:ascii="Century Gothic" w:hAnsi="Century Gothic" w:cs="Tahoma"/>
          <w:sz w:val="22"/>
          <w:szCs w:val="22"/>
        </w:rPr>
        <w:t>331 a 360</w:t>
      </w:r>
      <w:r w:rsidRPr="009E42C7">
        <w:rPr>
          <w:rFonts w:ascii="Century Gothic" w:hAnsi="Century Gothic" w:cs="Tahoma"/>
          <w:sz w:val="22"/>
          <w:szCs w:val="22"/>
        </w:rPr>
        <w:t xml:space="preserve"> C. Consejo</w:t>
      </w:r>
      <w:r>
        <w:rPr>
          <w:rFonts w:ascii="Century Gothic" w:hAnsi="Century Gothic" w:cs="Tahoma"/>
          <w:sz w:val="22"/>
          <w:szCs w:val="22"/>
        </w:rPr>
        <w:t>) con el fin de que se revoquen los ordinales segundo y tercero de la parte resolutiva de la sentencia recurrida y, en su lugar, se niegue la nulidad de las resoluciones 1017 y 104.</w:t>
      </w:r>
    </w:p>
    <w:p w:rsidR="00611220" w:rsidRPr="00E36E8A" w:rsidRDefault="00611220" w:rsidP="00250901">
      <w:pPr>
        <w:pStyle w:val="Textoindependiente21"/>
        <w:ind w:right="47" w:firstLine="0"/>
        <w:rPr>
          <w:rFonts w:ascii="Century Gothic" w:hAnsi="Century Gothic" w:cs="Tahoma"/>
          <w:sz w:val="22"/>
          <w:szCs w:val="22"/>
          <w:highlight w:val="yellow"/>
        </w:rPr>
      </w:pPr>
    </w:p>
    <w:p w:rsidR="00611220" w:rsidRPr="00103A85" w:rsidRDefault="00611220" w:rsidP="00250901">
      <w:pPr>
        <w:pStyle w:val="Textoindependiente21"/>
        <w:ind w:right="47" w:firstLine="0"/>
        <w:rPr>
          <w:rFonts w:ascii="Century Gothic" w:hAnsi="Century Gothic" w:cs="Tahoma"/>
          <w:b/>
          <w:sz w:val="22"/>
          <w:szCs w:val="22"/>
        </w:rPr>
      </w:pPr>
      <w:r w:rsidRPr="00103A85">
        <w:rPr>
          <w:rFonts w:ascii="Century Gothic" w:hAnsi="Century Gothic" w:cs="Tahoma"/>
          <w:b/>
          <w:sz w:val="22"/>
          <w:szCs w:val="22"/>
        </w:rPr>
        <w:t xml:space="preserve">6.- La actuación de segunda instancia. </w:t>
      </w:r>
    </w:p>
    <w:p w:rsidR="00611220" w:rsidRDefault="00611220" w:rsidP="00250901">
      <w:pPr>
        <w:pStyle w:val="Textoindependiente21"/>
        <w:ind w:right="47" w:firstLine="0"/>
        <w:rPr>
          <w:rFonts w:ascii="Century Gothic" w:hAnsi="Century Gothic" w:cs="Tahoma"/>
          <w:sz w:val="22"/>
          <w:szCs w:val="22"/>
          <w:highlight w:val="yellow"/>
        </w:rPr>
      </w:pPr>
    </w:p>
    <w:p w:rsidR="00611220" w:rsidRPr="00E10A25" w:rsidRDefault="00611220" w:rsidP="00250901">
      <w:pPr>
        <w:pStyle w:val="Textoindependiente21"/>
        <w:ind w:right="47" w:firstLine="0"/>
        <w:rPr>
          <w:rFonts w:ascii="Century Gothic" w:hAnsi="Century Gothic" w:cs="Tahoma"/>
          <w:sz w:val="22"/>
          <w:szCs w:val="22"/>
        </w:rPr>
      </w:pPr>
      <w:r w:rsidRPr="00E10A25">
        <w:rPr>
          <w:rFonts w:ascii="Century Gothic" w:hAnsi="Century Gothic" w:cs="Tahoma"/>
          <w:sz w:val="22"/>
          <w:szCs w:val="22"/>
        </w:rPr>
        <w:t xml:space="preserve">El recurso de apelación </w:t>
      </w:r>
      <w:r>
        <w:rPr>
          <w:rFonts w:ascii="Century Gothic" w:hAnsi="Century Gothic" w:cs="Tahoma"/>
          <w:sz w:val="22"/>
          <w:szCs w:val="22"/>
        </w:rPr>
        <w:t>fue concedido por auto del 11 de mayo de 2012 (fl 418 C. Consejo) y admitido por esta Corporación mediante providencia del 3 de septiembre del mismo año.</w:t>
      </w:r>
    </w:p>
    <w:p w:rsidR="00611220" w:rsidRPr="00E36E8A" w:rsidRDefault="00611220" w:rsidP="00250901">
      <w:pPr>
        <w:pStyle w:val="Textoindependiente21"/>
        <w:ind w:firstLine="0"/>
        <w:rPr>
          <w:rFonts w:ascii="Century Gothic" w:hAnsi="Century Gothic" w:cs="Tahoma"/>
          <w:sz w:val="22"/>
          <w:szCs w:val="22"/>
          <w:highlight w:val="yellow"/>
        </w:rPr>
      </w:pPr>
    </w:p>
    <w:p w:rsidR="00611220" w:rsidRPr="00E36E8A" w:rsidRDefault="00611220" w:rsidP="00250901">
      <w:pPr>
        <w:pStyle w:val="Textoindependiente21"/>
        <w:ind w:firstLine="0"/>
        <w:rPr>
          <w:rFonts w:ascii="Century Gothic" w:hAnsi="Century Gothic" w:cs="Tahoma"/>
          <w:sz w:val="22"/>
          <w:szCs w:val="22"/>
          <w:highlight w:val="yellow"/>
        </w:rPr>
      </w:pPr>
      <w:r w:rsidRPr="00E10A25">
        <w:rPr>
          <w:rFonts w:ascii="Century Gothic" w:hAnsi="Century Gothic" w:cs="Tahoma"/>
          <w:sz w:val="22"/>
          <w:szCs w:val="22"/>
        </w:rPr>
        <w:t xml:space="preserve">Por auto del </w:t>
      </w:r>
      <w:r>
        <w:rPr>
          <w:rFonts w:ascii="Century Gothic" w:hAnsi="Century Gothic" w:cs="Tahoma"/>
          <w:sz w:val="22"/>
          <w:szCs w:val="22"/>
        </w:rPr>
        <w:t xml:space="preserve">9 de octubre de 2013 </w:t>
      </w:r>
      <w:r w:rsidRPr="00E10A25">
        <w:rPr>
          <w:rFonts w:ascii="Century Gothic" w:hAnsi="Century Gothic" w:cs="Tahoma"/>
          <w:sz w:val="22"/>
          <w:szCs w:val="22"/>
        </w:rPr>
        <w:t xml:space="preserve">(fl. </w:t>
      </w:r>
      <w:r>
        <w:rPr>
          <w:rFonts w:ascii="Century Gothic" w:hAnsi="Century Gothic" w:cs="Tahoma"/>
          <w:sz w:val="22"/>
          <w:szCs w:val="22"/>
        </w:rPr>
        <w:t>440</w:t>
      </w:r>
      <w:r w:rsidRPr="00E10A25">
        <w:rPr>
          <w:rFonts w:ascii="Century Gothic" w:hAnsi="Century Gothic" w:cs="Tahoma"/>
          <w:sz w:val="22"/>
          <w:szCs w:val="22"/>
        </w:rPr>
        <w:t xml:space="preserve"> C. Consejo), se corrió traslado a las partes, para alegar de conclusión y al Ministerio Público, para que emitiera su concepto.</w:t>
      </w:r>
    </w:p>
    <w:p w:rsidR="00611220" w:rsidRPr="00E36E8A" w:rsidRDefault="00611220" w:rsidP="00250901">
      <w:pPr>
        <w:pStyle w:val="Textoindependiente21"/>
        <w:ind w:firstLine="0"/>
        <w:rPr>
          <w:rFonts w:ascii="Century Gothic" w:hAnsi="Century Gothic" w:cs="Tahoma"/>
          <w:sz w:val="22"/>
          <w:szCs w:val="22"/>
          <w:highlight w:val="yellow"/>
        </w:rPr>
      </w:pPr>
    </w:p>
    <w:p w:rsidR="00611220" w:rsidRPr="00B35044" w:rsidRDefault="00611220" w:rsidP="00250901">
      <w:pPr>
        <w:pStyle w:val="Textoindependiente21"/>
        <w:ind w:firstLine="0"/>
        <w:rPr>
          <w:rFonts w:ascii="Century Gothic" w:hAnsi="Century Gothic" w:cs="Tahoma"/>
          <w:sz w:val="22"/>
          <w:szCs w:val="22"/>
        </w:rPr>
      </w:pPr>
      <w:r w:rsidRPr="00B35044">
        <w:rPr>
          <w:rFonts w:ascii="Century Gothic" w:hAnsi="Century Gothic" w:cs="Tahoma"/>
          <w:sz w:val="22"/>
          <w:szCs w:val="22"/>
        </w:rPr>
        <w:t>La</w:t>
      </w:r>
      <w:r>
        <w:rPr>
          <w:rFonts w:ascii="Century Gothic" w:hAnsi="Century Gothic" w:cs="Tahoma"/>
          <w:sz w:val="22"/>
          <w:szCs w:val="22"/>
        </w:rPr>
        <w:t xml:space="preserve"> parte demandante solicitó</w:t>
      </w:r>
      <w:r w:rsidRPr="00B35044">
        <w:rPr>
          <w:rFonts w:ascii="Century Gothic" w:hAnsi="Century Gothic" w:cs="Tahoma"/>
          <w:sz w:val="22"/>
          <w:szCs w:val="22"/>
        </w:rPr>
        <w:t xml:space="preserve"> revocar el fallo de primera instancia y, en consecuencia, </w:t>
      </w:r>
      <w:r>
        <w:rPr>
          <w:rFonts w:ascii="Century Gothic" w:hAnsi="Century Gothic" w:cs="Tahoma"/>
          <w:sz w:val="22"/>
          <w:szCs w:val="22"/>
        </w:rPr>
        <w:t>reconocer y ordenar a la demandada que efectúe la devolución de la totalidad de las sumas relacionadas en la comunicación EE200411806, que fueron pagadas por Cablecentro S.A.</w:t>
      </w:r>
    </w:p>
    <w:p w:rsidR="00611220" w:rsidRPr="00E36E8A" w:rsidRDefault="00611220" w:rsidP="00250901">
      <w:pPr>
        <w:pStyle w:val="Textoindependiente21"/>
        <w:ind w:firstLine="0"/>
        <w:rPr>
          <w:rFonts w:ascii="Century Gothic" w:hAnsi="Century Gothic" w:cs="Tahoma"/>
          <w:sz w:val="22"/>
          <w:szCs w:val="22"/>
          <w:highlight w:val="yellow"/>
        </w:rPr>
      </w:pPr>
    </w:p>
    <w:p w:rsidR="00611220" w:rsidRPr="00554869" w:rsidRDefault="00611220" w:rsidP="00250901">
      <w:pPr>
        <w:pStyle w:val="Textoindependiente21"/>
        <w:ind w:firstLine="0"/>
        <w:rPr>
          <w:rFonts w:ascii="Century Gothic" w:hAnsi="Century Gothic" w:cs="Tahoma"/>
          <w:sz w:val="22"/>
          <w:szCs w:val="22"/>
        </w:rPr>
      </w:pPr>
      <w:r w:rsidRPr="00554869">
        <w:rPr>
          <w:rFonts w:ascii="Century Gothic" w:hAnsi="Century Gothic" w:cs="Tahoma"/>
          <w:sz w:val="22"/>
          <w:szCs w:val="22"/>
        </w:rPr>
        <w:t xml:space="preserve">La parte demandada solicitó </w:t>
      </w:r>
      <w:r>
        <w:rPr>
          <w:rFonts w:ascii="Century Gothic" w:hAnsi="Century Gothic" w:cs="Tahoma"/>
          <w:sz w:val="22"/>
          <w:szCs w:val="22"/>
        </w:rPr>
        <w:t xml:space="preserve">revocar los ordinales segundo, tercero y cuarto de la parte resolutiva de la sentencia del 10 de agosto de 2011 y, en su lugar, denegar las pretensiones a que allí se hace referencia, en los mismos términos en que se negaron las otras pretensiones de la demanda. </w:t>
      </w:r>
    </w:p>
    <w:p w:rsidR="00611220" w:rsidRPr="00E36E8A" w:rsidRDefault="00611220" w:rsidP="00250901">
      <w:pPr>
        <w:pStyle w:val="Textoindependiente21"/>
        <w:ind w:firstLine="0"/>
        <w:rPr>
          <w:rFonts w:ascii="Century Gothic" w:hAnsi="Century Gothic" w:cs="Tahoma"/>
          <w:sz w:val="22"/>
          <w:szCs w:val="22"/>
          <w:highlight w:val="yellow"/>
        </w:rPr>
      </w:pPr>
    </w:p>
    <w:p w:rsidR="00611220" w:rsidRPr="00AA2CE5" w:rsidRDefault="00611220" w:rsidP="00250901">
      <w:pPr>
        <w:pStyle w:val="Textoindependiente21"/>
        <w:ind w:firstLine="0"/>
        <w:rPr>
          <w:rFonts w:ascii="Century Gothic" w:hAnsi="Century Gothic" w:cs="Tahoma"/>
          <w:sz w:val="22"/>
          <w:szCs w:val="22"/>
        </w:rPr>
      </w:pPr>
      <w:r w:rsidRPr="00AA2CE5">
        <w:rPr>
          <w:rFonts w:ascii="Century Gothic" w:hAnsi="Century Gothic" w:cs="Tahoma"/>
          <w:sz w:val="22"/>
          <w:szCs w:val="22"/>
        </w:rPr>
        <w:t>El Ministerio Público guardó silencio.</w:t>
      </w:r>
    </w:p>
    <w:p w:rsidR="00611220" w:rsidRPr="00E36E8A" w:rsidRDefault="00611220" w:rsidP="00250901">
      <w:pPr>
        <w:spacing w:line="360" w:lineRule="auto"/>
        <w:jc w:val="center"/>
        <w:rPr>
          <w:rFonts w:ascii="Century Gothic" w:hAnsi="Century Gothic" w:cs="Arial"/>
          <w:b/>
          <w:bCs/>
          <w:color w:val="000000"/>
          <w:highlight w:val="yellow"/>
        </w:rPr>
      </w:pPr>
    </w:p>
    <w:p w:rsidR="00611220" w:rsidRPr="00AA2CE5" w:rsidRDefault="00611220" w:rsidP="00250901">
      <w:pPr>
        <w:spacing w:line="360" w:lineRule="auto"/>
        <w:jc w:val="center"/>
        <w:rPr>
          <w:rFonts w:ascii="Century Gothic" w:hAnsi="Century Gothic" w:cs="Arial"/>
          <w:b/>
          <w:bCs/>
          <w:color w:val="000000"/>
        </w:rPr>
      </w:pPr>
      <w:r w:rsidRPr="00AA2CE5">
        <w:rPr>
          <w:rFonts w:ascii="Century Gothic" w:hAnsi="Century Gothic" w:cs="Arial"/>
          <w:b/>
          <w:bCs/>
          <w:color w:val="000000"/>
        </w:rPr>
        <w:t>CONSIDERACIONES</w:t>
      </w:r>
    </w:p>
    <w:p w:rsidR="00611220" w:rsidRPr="00E36E8A" w:rsidRDefault="00611220" w:rsidP="00250901">
      <w:pPr>
        <w:spacing w:line="360" w:lineRule="auto"/>
        <w:jc w:val="both"/>
        <w:rPr>
          <w:rFonts w:ascii="Century Gothic" w:hAnsi="Century Gothic" w:cs="Arial"/>
          <w:bCs/>
          <w:color w:val="000000"/>
          <w:highlight w:val="yellow"/>
        </w:rPr>
      </w:pPr>
    </w:p>
    <w:p w:rsidR="00611220" w:rsidRPr="0023437F" w:rsidRDefault="00611220" w:rsidP="00250901">
      <w:pPr>
        <w:spacing w:line="360" w:lineRule="auto"/>
        <w:jc w:val="both"/>
        <w:rPr>
          <w:rFonts w:ascii="Century Gothic" w:hAnsi="Century Gothic"/>
        </w:rPr>
      </w:pPr>
      <w:r w:rsidRPr="0023437F">
        <w:rPr>
          <w:rFonts w:ascii="Century Gothic" w:hAnsi="Century Gothic"/>
        </w:rPr>
        <w:t xml:space="preserve">En el contrato </w:t>
      </w:r>
      <w:r>
        <w:rPr>
          <w:rFonts w:ascii="Century Gothic" w:hAnsi="Century Gothic"/>
        </w:rPr>
        <w:t xml:space="preserve">de concesión 208 </w:t>
      </w:r>
      <w:r w:rsidRPr="0023437F">
        <w:rPr>
          <w:rFonts w:ascii="Century Gothic" w:hAnsi="Century Gothic"/>
        </w:rPr>
        <w:t xml:space="preserve">(fls. </w:t>
      </w:r>
      <w:r>
        <w:rPr>
          <w:rFonts w:ascii="Century Gothic" w:hAnsi="Century Gothic"/>
        </w:rPr>
        <w:t>699 a 707</w:t>
      </w:r>
      <w:r w:rsidRPr="0023437F">
        <w:rPr>
          <w:rFonts w:ascii="Century Gothic" w:hAnsi="Century Gothic"/>
        </w:rPr>
        <w:t xml:space="preserve"> C. </w:t>
      </w:r>
      <w:r>
        <w:rPr>
          <w:rFonts w:ascii="Century Gothic" w:hAnsi="Century Gothic"/>
        </w:rPr>
        <w:t>3</w:t>
      </w:r>
      <w:r w:rsidRPr="0023437F">
        <w:rPr>
          <w:rFonts w:ascii="Century Gothic" w:hAnsi="Century Gothic"/>
        </w:rPr>
        <w:t xml:space="preserve">), celebrado el </w:t>
      </w:r>
      <w:r>
        <w:rPr>
          <w:rFonts w:ascii="Century Gothic" w:hAnsi="Century Gothic"/>
        </w:rPr>
        <w:t>20 de diciembre</w:t>
      </w:r>
      <w:r w:rsidRPr="0023437F">
        <w:rPr>
          <w:rFonts w:ascii="Century Gothic" w:hAnsi="Century Gothic"/>
        </w:rPr>
        <w:t xml:space="preserve"> de 199</w:t>
      </w:r>
      <w:r>
        <w:rPr>
          <w:rFonts w:ascii="Century Gothic" w:hAnsi="Century Gothic"/>
        </w:rPr>
        <w:t>9</w:t>
      </w:r>
      <w:r w:rsidRPr="0023437F">
        <w:rPr>
          <w:rFonts w:ascii="Century Gothic" w:hAnsi="Century Gothic"/>
        </w:rPr>
        <w:t>,</w:t>
      </w:r>
      <w:r>
        <w:rPr>
          <w:rFonts w:ascii="Century Gothic" w:hAnsi="Century Gothic"/>
        </w:rPr>
        <w:t xml:space="preserve"> las partes incluyeron </w:t>
      </w:r>
      <w:r w:rsidRPr="0023437F">
        <w:rPr>
          <w:rFonts w:ascii="Century Gothic" w:hAnsi="Century Gothic"/>
        </w:rPr>
        <w:t>l</w:t>
      </w:r>
      <w:r>
        <w:rPr>
          <w:rFonts w:ascii="Century Gothic" w:hAnsi="Century Gothic"/>
        </w:rPr>
        <w:t>a</w:t>
      </w:r>
      <w:r w:rsidRPr="0023437F">
        <w:rPr>
          <w:rFonts w:ascii="Century Gothic" w:hAnsi="Century Gothic"/>
        </w:rPr>
        <w:t xml:space="preserve"> siguiente </w:t>
      </w:r>
      <w:r>
        <w:rPr>
          <w:rFonts w:ascii="Century Gothic" w:hAnsi="Century Gothic"/>
        </w:rPr>
        <w:t>cláusula compromisoria (se transcribe como obra en el expediente):</w:t>
      </w:r>
    </w:p>
    <w:p w:rsidR="00611220" w:rsidRPr="00E36E8A" w:rsidRDefault="00611220" w:rsidP="00250901">
      <w:pPr>
        <w:spacing w:line="360" w:lineRule="auto"/>
        <w:jc w:val="both"/>
        <w:rPr>
          <w:rFonts w:ascii="Century Gothic" w:hAnsi="Century Gothic"/>
          <w:highlight w:val="yellow"/>
        </w:rPr>
      </w:pPr>
    </w:p>
    <w:p w:rsidR="00611220" w:rsidRPr="001C2844" w:rsidRDefault="00611220" w:rsidP="00250901">
      <w:pPr>
        <w:ind w:left="601" w:right="318"/>
        <w:jc w:val="both"/>
        <w:rPr>
          <w:rFonts w:ascii="Century Gothic" w:hAnsi="Century Gothic"/>
          <w:i/>
          <w:sz w:val="20"/>
          <w:szCs w:val="20"/>
        </w:rPr>
      </w:pPr>
      <w:r w:rsidRPr="001C2844">
        <w:rPr>
          <w:rFonts w:ascii="Century Gothic" w:hAnsi="Century Gothic"/>
          <w:i/>
          <w:sz w:val="20"/>
          <w:szCs w:val="20"/>
        </w:rPr>
        <w:t>“</w:t>
      </w:r>
      <w:r w:rsidRPr="001C2844">
        <w:rPr>
          <w:rFonts w:ascii="Century Gothic" w:hAnsi="Century Gothic"/>
          <w:b/>
          <w:i/>
          <w:sz w:val="20"/>
          <w:szCs w:val="20"/>
        </w:rPr>
        <w:t xml:space="preserve">CLÁUSULA 30.- CLAUSULA COMPROMISORIA. </w:t>
      </w:r>
      <w:r w:rsidRPr="001C2844">
        <w:rPr>
          <w:rFonts w:ascii="Century Gothic" w:hAnsi="Century Gothic"/>
          <w:i/>
          <w:sz w:val="20"/>
          <w:szCs w:val="20"/>
        </w:rPr>
        <w:t xml:space="preserve">Toda controversia o diferencia relativa a este contrato y a su ejecución y liquidación, se resolverá por un Tribunal de Arbitramento, que se sujetará a lo dispuesto en las leyes vigentes sobre la materia y en el reglamento de la Corte de Arbitraje y Conciliación de la Cámara de Comercio de Santa Fe de Bogotá, D.C, lugar en el cual funcionará y tendrá su </w:t>
      </w:r>
      <w:r w:rsidRPr="001C2844">
        <w:rPr>
          <w:rFonts w:ascii="Century Gothic" w:hAnsi="Century Gothic"/>
          <w:i/>
          <w:sz w:val="20"/>
          <w:szCs w:val="20"/>
        </w:rPr>
        <w:lastRenderedPageBreak/>
        <w:t>sede el Tribunal de acuerdo con las siguientes reglas: a. El Tribual estará integrado por tres (3) árbitros designados de común acuerdo por las partes; si ello no fuere posible serán designados por la Corte de Arbitraje b. La organización interna del Tribunal se sujetará a las reglas previstas para el efecto por el centro de arbitraje y conciliación de la Cámara de Comercio de Santa Fe de Bogotá; c. El Tribunal decidirá en derecho. En ningún caso se someterán al Tribunal las causales y los efectos de la cláusula de caducidad” (fl. 706 C. 3).</w:t>
      </w:r>
    </w:p>
    <w:p w:rsidR="00611220" w:rsidRPr="00E36E8A" w:rsidRDefault="00611220" w:rsidP="00250901">
      <w:pPr>
        <w:spacing w:line="360" w:lineRule="auto"/>
        <w:jc w:val="both"/>
        <w:rPr>
          <w:rFonts w:ascii="Century Gothic" w:hAnsi="Century Gothic"/>
          <w:highlight w:val="yellow"/>
        </w:rPr>
      </w:pPr>
    </w:p>
    <w:p w:rsidR="00611220" w:rsidRPr="00C056B0" w:rsidRDefault="00611220" w:rsidP="00250901">
      <w:pPr>
        <w:spacing w:line="360" w:lineRule="auto"/>
        <w:jc w:val="both"/>
        <w:rPr>
          <w:rFonts w:ascii="Century Gothic" w:hAnsi="Century Gothic"/>
        </w:rPr>
      </w:pPr>
      <w:r>
        <w:rPr>
          <w:rFonts w:ascii="Century Gothic" w:hAnsi="Century Gothic"/>
        </w:rPr>
        <w:t>Así las cosas, n</w:t>
      </w:r>
      <w:r w:rsidRPr="00C056B0">
        <w:rPr>
          <w:rFonts w:ascii="Century Gothic" w:hAnsi="Century Gothic"/>
        </w:rPr>
        <w:t xml:space="preserve">o cabe duda de que las partes decidieron sustraer del conocimiento de la jurisdicción del Estado las controversias que, de manera general, se suscitaran del contrato 208 del 20 de diciembre de 1999, para asignárselas a la justicia arbitral; no obstante, el Tribunal de primera instancia guardó silencio acerca de los efectos de la cláusula compromisoria en la competencia para conocer del negocio en esta jurisdicción. </w:t>
      </w:r>
    </w:p>
    <w:p w:rsidR="00611220" w:rsidRPr="00E36E8A" w:rsidRDefault="00611220" w:rsidP="00250901">
      <w:pPr>
        <w:spacing w:line="360" w:lineRule="auto"/>
        <w:jc w:val="both"/>
        <w:rPr>
          <w:rFonts w:ascii="Century Gothic" w:hAnsi="Century Gothic"/>
          <w:highlight w:val="yellow"/>
        </w:rPr>
      </w:pPr>
    </w:p>
    <w:p w:rsidR="00611220" w:rsidRPr="00D1444E" w:rsidRDefault="00611220" w:rsidP="00250901">
      <w:pPr>
        <w:pStyle w:val="NormalWeb"/>
        <w:spacing w:before="0" w:beforeAutospacing="0" w:after="0" w:afterAutospacing="0" w:line="360" w:lineRule="auto"/>
        <w:jc w:val="both"/>
        <w:rPr>
          <w:rFonts w:ascii="Century Gothic" w:hAnsi="Century Gothic"/>
          <w:sz w:val="22"/>
          <w:szCs w:val="22"/>
        </w:rPr>
      </w:pPr>
      <w:r>
        <w:rPr>
          <w:rFonts w:ascii="Century Gothic" w:hAnsi="Century Gothic"/>
          <w:sz w:val="22"/>
          <w:szCs w:val="22"/>
        </w:rPr>
        <w:t>La</w:t>
      </w:r>
      <w:r w:rsidRPr="00D1444E">
        <w:rPr>
          <w:rFonts w:ascii="Century Gothic" w:hAnsi="Century Gothic"/>
          <w:sz w:val="22"/>
          <w:szCs w:val="22"/>
        </w:rPr>
        <w:t xml:space="preserve"> Sala Plena de la Sección Tercera de esta Corporación</w:t>
      </w:r>
      <w:r w:rsidRPr="00D1444E">
        <w:rPr>
          <w:rStyle w:val="Refdenotaalpie"/>
          <w:rFonts w:ascii="Century Gothic" w:hAnsi="Century Gothic"/>
          <w:sz w:val="22"/>
          <w:szCs w:val="22"/>
        </w:rPr>
        <w:footnoteReference w:id="1"/>
      </w:r>
      <w:r w:rsidRPr="00D1444E">
        <w:rPr>
          <w:rFonts w:ascii="Century Gothic" w:hAnsi="Century Gothic"/>
          <w:sz w:val="22"/>
          <w:szCs w:val="22"/>
        </w:rPr>
        <w:t xml:space="preserve"> unificó su jurisprudencia en torno a la irrenunciabilidad tácita del pacto arbitral, a la luz de las disposiciones del Decreto-ley 1818 de 1998, y concluyó que, así como las partes deciden, de común acuerdo, someter sus diferencias al conocimiento de la justicia arbitral, empleando para ello la celebración de un pacto cuyas principales características son que sea expreso y solemne, de la misma manera aquéllas deben observar de consuno tales condiciones (forma expresa y solmene) si su voluntad es deshacerlo o dejarlo sin efectos, de suerte que, si optan libremente por la justicia arbitral y no proceden como acaba de indicarse para cambiar lo previamente convenido, no tienen la posibilidad de escoger entre acudir a ésta o a los jueces institucionales del Estado, teniendo en cuenta que su voluntad inequívoca fue someterse a la decisión de árbitros.</w:t>
      </w:r>
    </w:p>
    <w:p w:rsidR="00611220" w:rsidRPr="00E36E8A" w:rsidRDefault="00611220" w:rsidP="00250901">
      <w:pPr>
        <w:spacing w:line="360" w:lineRule="auto"/>
        <w:jc w:val="both"/>
        <w:rPr>
          <w:rFonts w:ascii="Century Gothic" w:hAnsi="Century Gothic"/>
          <w:highlight w:val="yellow"/>
        </w:rPr>
      </w:pPr>
    </w:p>
    <w:p w:rsidR="00611220" w:rsidRPr="000515F3" w:rsidRDefault="00611220" w:rsidP="00250901">
      <w:pPr>
        <w:pStyle w:val="Textoindependiente2"/>
        <w:ind w:right="0"/>
        <w:rPr>
          <w:rFonts w:ascii="Century Gothic" w:hAnsi="Century Gothic"/>
          <w:sz w:val="22"/>
          <w:szCs w:val="22"/>
        </w:rPr>
      </w:pPr>
      <w:r w:rsidRPr="000515F3">
        <w:rPr>
          <w:rFonts w:ascii="Century Gothic" w:hAnsi="Century Gothic"/>
          <w:sz w:val="22"/>
          <w:szCs w:val="22"/>
        </w:rPr>
        <w:t>La tesis que acogió la Sala en la providencia de unificación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 su formación, de tal suerte que, para ello, debe haber también un acuerdo expreso y escrito, lo cual excluye, por ende, la posibilidad de que el pacto arbitral pueda ser válidamente modificado o dejado sin efecto de manera tácita o por inferencia que haga el juez institucional, a partir del mero comportamiento procesal de las partes. Al respecto, es válido señalar que, por regla general, “</w:t>
      </w:r>
      <w:r w:rsidRPr="000515F3">
        <w:rPr>
          <w:rFonts w:ascii="Century Gothic" w:hAnsi="Century Gothic"/>
          <w:i/>
          <w:sz w:val="22"/>
          <w:szCs w:val="22"/>
        </w:rPr>
        <w:t>en derecho las cosas se deshacen como se hacen</w:t>
      </w:r>
      <w:r w:rsidRPr="000515F3">
        <w:rPr>
          <w:rFonts w:ascii="Century Gothic" w:hAnsi="Century Gothic"/>
          <w:sz w:val="22"/>
          <w:szCs w:val="22"/>
        </w:rPr>
        <w:t>”.</w:t>
      </w:r>
    </w:p>
    <w:p w:rsidR="00611220" w:rsidRPr="00E36E8A" w:rsidRDefault="00611220" w:rsidP="00250901">
      <w:pPr>
        <w:spacing w:line="360" w:lineRule="auto"/>
        <w:jc w:val="both"/>
        <w:rPr>
          <w:rFonts w:ascii="Century Gothic" w:hAnsi="Century Gothic" w:cs="Arial"/>
          <w:highlight w:val="yellow"/>
        </w:rPr>
      </w:pPr>
    </w:p>
    <w:p w:rsidR="00611220" w:rsidRPr="00CD7D7D" w:rsidRDefault="00611220" w:rsidP="00250901">
      <w:pPr>
        <w:spacing w:line="360" w:lineRule="auto"/>
        <w:jc w:val="both"/>
        <w:rPr>
          <w:rFonts w:ascii="Century Gothic" w:hAnsi="Century Gothic" w:cs="Arial"/>
        </w:rPr>
      </w:pPr>
      <w:r w:rsidRPr="00CD7D7D">
        <w:rPr>
          <w:rFonts w:ascii="Century Gothic" w:hAnsi="Century Gothic" w:cs="Arial"/>
        </w:rPr>
        <w:lastRenderedPageBreak/>
        <w:t xml:space="preserve">No sobra destacar que la solemnidad a cuya observancia las normas legales supeditan la existencia del pacto arbitral, lejos de responder a un simple capricho del legislador o </w:t>
      </w:r>
      <w:r>
        <w:rPr>
          <w:rFonts w:ascii="Century Gothic" w:hAnsi="Century Gothic" w:cs="Arial"/>
        </w:rPr>
        <w:t xml:space="preserve">a </w:t>
      </w:r>
      <w:r w:rsidRPr="00CD7D7D">
        <w:rPr>
          <w:rFonts w:ascii="Century Gothic" w:hAnsi="Century Gothic" w:cs="Arial"/>
        </w:rPr>
        <w:t xml:space="preserve">un anhelo del juez, reviste la mayor importancia y encuentra fundamento en el interés público que dicho pacto involucra, en atención a los importantísimos y muy significativos efectos de estirpe procesal que tal acuerdo está llamado a generar, asunto en el cual, como es obvio, se encuentran directamente involucradas tanto la seguridad jurídica como, más importante todavía, la efectividad del derecho fundamental de acceso a la administración de justicia, del cual son titulares las partes que intervienen en la celebración de tales acuerdos –una de las cuales deberá ser, al menos, una entidad estatal–, puesto que, a partir de su perfeccionamiento, dichas partes quedarán atadas a lo que hubieren decidido o convenido cuando alguna de ellas requiera poner en movimiento la función judicial del Estado.  </w:t>
      </w:r>
    </w:p>
    <w:p w:rsidR="00611220" w:rsidRPr="00E36E8A" w:rsidRDefault="00611220" w:rsidP="00250901">
      <w:pPr>
        <w:spacing w:line="360" w:lineRule="auto"/>
        <w:jc w:val="both"/>
        <w:rPr>
          <w:rFonts w:ascii="Century Gothic" w:hAnsi="Century Gothic" w:cs="Arial"/>
          <w:highlight w:val="yellow"/>
        </w:rPr>
      </w:pPr>
    </w:p>
    <w:p w:rsidR="00611220" w:rsidRPr="00125BEE" w:rsidRDefault="00611220" w:rsidP="00250901">
      <w:pPr>
        <w:spacing w:line="360" w:lineRule="auto"/>
        <w:jc w:val="both"/>
        <w:rPr>
          <w:rFonts w:ascii="Century Gothic" w:hAnsi="Century Gothic" w:cs="Arial"/>
        </w:rPr>
      </w:pPr>
      <w:r w:rsidRPr="00125BEE">
        <w:rPr>
          <w:rFonts w:ascii="Century Gothic" w:hAnsi="Century Gothic" w:cs="Arial"/>
        </w:rPr>
        <w:t>La autonomía de la cláusula compromisoria constituye una de sus principales características, al punto que los árbitros se encuentran habilitados para decidir la controversia aún en el evento de que el contrato sobre el cual deban fallar sea nulo o inexistente, es decir, la nulidad del contrato no afecta la validez y eficacia de la cláusula compromisoria pactada por las partes</w:t>
      </w:r>
      <w:r w:rsidRPr="00125BEE">
        <w:rPr>
          <w:rStyle w:val="Refdenotaalpie"/>
          <w:rFonts w:ascii="Century Gothic" w:hAnsi="Century Gothic" w:cs="Arial"/>
        </w:rPr>
        <w:footnoteReference w:id="2"/>
      </w:r>
      <w:r w:rsidRPr="00125BEE">
        <w:rPr>
          <w:rFonts w:ascii="Century Gothic" w:hAnsi="Century Gothic" w:cs="Arial"/>
        </w:rPr>
        <w:t>.</w:t>
      </w:r>
    </w:p>
    <w:p w:rsidR="00611220" w:rsidRPr="00E36E8A" w:rsidRDefault="00611220" w:rsidP="00250901">
      <w:pPr>
        <w:spacing w:line="360" w:lineRule="auto"/>
        <w:jc w:val="both"/>
        <w:rPr>
          <w:rFonts w:ascii="Century Gothic" w:hAnsi="Century Gothic"/>
          <w:highlight w:val="yellow"/>
        </w:rPr>
      </w:pPr>
    </w:p>
    <w:p w:rsidR="00611220" w:rsidRPr="00244099" w:rsidRDefault="00611220" w:rsidP="00250901">
      <w:pPr>
        <w:spacing w:line="360" w:lineRule="auto"/>
        <w:jc w:val="both"/>
        <w:rPr>
          <w:rFonts w:ascii="Century Gothic" w:hAnsi="Century Gothic"/>
        </w:rPr>
      </w:pPr>
      <w:r w:rsidRPr="00244099">
        <w:rPr>
          <w:rFonts w:ascii="Century Gothic" w:hAnsi="Century Gothic"/>
        </w:rPr>
        <w:t>Así, pues, los efectos que comporta la cláusula compromisoria son de tal importancia que, incluso, por razón de su autonomía, la misma subsiste aunque no ocurra lo mismo con el contrato que le dio origen –bien por razón de su nulidad, o bien por su inexistencia–; por lo mismo y con mayor razón, hay que admitir, entonces, que ella debe permanecer incólume en el mundo jurídico si las partes que la convienen nada deciden de manera expresa, conjunta y por escrito, acerca de su modificación o eliminación.</w:t>
      </w:r>
    </w:p>
    <w:p w:rsidR="00611220" w:rsidRPr="00E36E8A" w:rsidRDefault="00611220" w:rsidP="00250901">
      <w:pPr>
        <w:spacing w:line="360" w:lineRule="auto"/>
        <w:jc w:val="both"/>
        <w:rPr>
          <w:rFonts w:ascii="Century Gothic" w:hAnsi="Century Gothic"/>
          <w:highlight w:val="yellow"/>
        </w:rPr>
      </w:pPr>
    </w:p>
    <w:p w:rsidR="00611220" w:rsidRPr="00244099" w:rsidRDefault="00611220" w:rsidP="00250901">
      <w:pPr>
        <w:spacing w:line="360" w:lineRule="auto"/>
        <w:jc w:val="both"/>
        <w:rPr>
          <w:rFonts w:ascii="Century Gothic" w:hAnsi="Century Gothic"/>
        </w:rPr>
      </w:pPr>
      <w:r w:rsidRPr="00244099">
        <w:rPr>
          <w:rFonts w:ascii="Century Gothic" w:hAnsi="Century Gothic"/>
        </w:rPr>
        <w:t xml:space="preserve">Por consiguiente, la inferencia o deducción que, en sentido contrario, haga el juez institucional o permanente, a partir de la conducta procesal asumida por las partes del contrato estatal, a fin de concluir que cada una decidió, de manera unilateral, renunciar a la cláusula compromisoria o eliminarla, a pesar de que conjuntamente hayan convenido en forma expresa y por escrito tal posibilidad, desconoce abiertamente el carácter autónomo que caracteriza a la cláusula compromisoria.  </w:t>
      </w:r>
    </w:p>
    <w:p w:rsidR="00611220" w:rsidRPr="00E36E8A" w:rsidRDefault="00611220" w:rsidP="00250901">
      <w:pPr>
        <w:widowControl w:val="0"/>
        <w:spacing w:line="360" w:lineRule="auto"/>
        <w:jc w:val="both"/>
        <w:rPr>
          <w:rFonts w:ascii="Century Gothic" w:hAnsi="Century Gothic"/>
          <w:highlight w:val="yellow"/>
        </w:rPr>
      </w:pPr>
    </w:p>
    <w:p w:rsidR="00611220" w:rsidRPr="00B2797B" w:rsidRDefault="00611220" w:rsidP="00250901">
      <w:pPr>
        <w:spacing w:line="360" w:lineRule="auto"/>
        <w:jc w:val="both"/>
        <w:rPr>
          <w:rFonts w:ascii="Century Gothic" w:hAnsi="Century Gothic" w:cs="Arial"/>
        </w:rPr>
      </w:pPr>
      <w:r w:rsidRPr="00B2797B">
        <w:rPr>
          <w:rFonts w:ascii="Century Gothic" w:hAnsi="Century Gothic"/>
        </w:rPr>
        <w:t xml:space="preserve">Por lo anterior, </w:t>
      </w:r>
      <w:r w:rsidRPr="00B2797B">
        <w:rPr>
          <w:rFonts w:ascii="Century Gothic" w:hAnsi="Century Gothic" w:cs="Arial"/>
        </w:rPr>
        <w:t xml:space="preserve">si las partes de un contrato estatal celebran un pacto compromisorio (cláusula compromisoria o compromiso), con lo cual deciden, de manera </w:t>
      </w:r>
      <w:r w:rsidRPr="00B2797B">
        <w:rPr>
          <w:rFonts w:ascii="Century Gothic" w:hAnsi="Century Gothic" w:cs="Arial"/>
        </w:rPr>
        <w:lastRenderedPageBreak/>
        <w:t>consciente y voluntaria, habilitar la competencia de los árbitros para conocer de los litigios que surjan entre ellas y que se encuentren comprendidos dentro del correspondiente pacto arbitral, a la vez que derogar la jurisdicción y la competencia de los jueces institucionales o permanentes, resulta evidente que, si estos últimos advierten la existencia de ese pacto, bien pueden y, más aún, deben rechazar la demanda, sin tener que esperar a que el extremo pasivo de la misma proponga la respectiva excepción, por cuanto, en esas condiciones, carecen de jurisdicción y de competencia y, por lo tanto, sus actuaciones resultarían afectadas de nulidad, conforme a lo dispuesto en los numerales 1 y 2 del artículo 140 del C. de P. C.</w:t>
      </w:r>
    </w:p>
    <w:p w:rsidR="00611220" w:rsidRPr="00E36E8A" w:rsidRDefault="00611220" w:rsidP="00250901">
      <w:pPr>
        <w:spacing w:line="360" w:lineRule="auto"/>
        <w:jc w:val="both"/>
        <w:rPr>
          <w:rFonts w:ascii="Century Gothic" w:hAnsi="Century Gothic"/>
          <w:highlight w:val="yellow"/>
        </w:rPr>
      </w:pPr>
    </w:p>
    <w:p w:rsidR="00611220" w:rsidRPr="00EF025D" w:rsidRDefault="00611220" w:rsidP="00250901">
      <w:pPr>
        <w:pStyle w:val="Textoindependiente2"/>
        <w:ind w:right="0"/>
        <w:rPr>
          <w:rFonts w:ascii="Century Gothic" w:hAnsi="Century Gothic"/>
          <w:sz w:val="22"/>
          <w:szCs w:val="22"/>
        </w:rPr>
      </w:pPr>
      <w:r w:rsidRPr="00EF025D">
        <w:rPr>
          <w:rFonts w:ascii="Century Gothic" w:hAnsi="Century Gothic"/>
          <w:sz w:val="22"/>
          <w:szCs w:val="22"/>
        </w:rPr>
        <w:t xml:space="preserve">En suma, cuando las partes deciden sustraer del conocimiento de la jurisdicción de lo contencioso administrativo la decisión de los conflictos que lleguen a surgir de un contrato estatal, para someterlos a la justicia arbitral, ninguna de ellas tiene la posibilidad de optar, de manera unilateral e inconsulta, entre acudir a la justicia institucional o a la arbitral; por el contrario, sólo tiene una opción, cual es la de someterse a la decisión arbitral, de modo que, si una de las partes que concurrió a la celebración de un pacto arbitral acude al juez de lo contencioso administrativo, en lugar de convocar un tribunal de arbitramento, dicho pacto no desaparece, ni siquiera si el demandado no excepciona falta de jurisdicción.  </w:t>
      </w:r>
    </w:p>
    <w:p w:rsidR="00611220" w:rsidRPr="00E36E8A" w:rsidRDefault="00611220" w:rsidP="00250901">
      <w:pPr>
        <w:spacing w:line="360" w:lineRule="auto"/>
        <w:jc w:val="both"/>
        <w:rPr>
          <w:rFonts w:ascii="Century Gothic" w:hAnsi="Century Gothic" w:cs="Arial"/>
          <w:highlight w:val="yellow"/>
        </w:rPr>
      </w:pPr>
    </w:p>
    <w:p w:rsidR="00611220" w:rsidRPr="00EF025D" w:rsidRDefault="00611220" w:rsidP="00250901">
      <w:pPr>
        <w:spacing w:line="360" w:lineRule="auto"/>
        <w:jc w:val="both"/>
        <w:rPr>
          <w:rFonts w:ascii="Century Gothic" w:hAnsi="Century Gothic" w:cs="Arial"/>
        </w:rPr>
      </w:pPr>
      <w:r w:rsidRPr="00EF025D">
        <w:rPr>
          <w:rFonts w:ascii="Century Gothic" w:hAnsi="Century Gothic" w:cs="Arial"/>
        </w:rPr>
        <w:t xml:space="preserve">En este caso, no hay razón para desconocer la eficacia de la cláusula compromisoria contenida en la cláusula trigésima del contrato de concesión 208 de 1999; por consiguiente, todo lo actuado en este proceso resulta nulo. </w:t>
      </w:r>
    </w:p>
    <w:p w:rsidR="00611220" w:rsidRPr="00B1151C" w:rsidRDefault="00611220" w:rsidP="00250901">
      <w:pPr>
        <w:spacing w:line="360" w:lineRule="auto"/>
        <w:jc w:val="both"/>
        <w:rPr>
          <w:rFonts w:ascii="Century Gothic" w:hAnsi="Century Gothic" w:cs="Arial"/>
        </w:rPr>
      </w:pPr>
    </w:p>
    <w:p w:rsidR="00611220" w:rsidRPr="00B1151C" w:rsidRDefault="00611220" w:rsidP="00250901">
      <w:pPr>
        <w:spacing w:line="360" w:lineRule="auto"/>
        <w:jc w:val="both"/>
        <w:rPr>
          <w:rFonts w:ascii="Century Gothic" w:hAnsi="Century Gothic"/>
        </w:rPr>
      </w:pPr>
      <w:r w:rsidRPr="00B1151C">
        <w:rPr>
          <w:rFonts w:ascii="Century Gothic" w:hAnsi="Century Gothic"/>
        </w:rPr>
        <w:t>Por lo anterior, la Sala estima que, en este caso, se configuran las causales de nulidad procesal contempladas en los numerales 1 y 2 del artículo 140 del C. de P. C., las cuales son insan</w:t>
      </w:r>
      <w:r>
        <w:rPr>
          <w:rFonts w:ascii="Century Gothic" w:hAnsi="Century Gothic"/>
        </w:rPr>
        <w:t>eables, según lo dispuesto en</w:t>
      </w:r>
      <w:r w:rsidRPr="00B1151C">
        <w:rPr>
          <w:rFonts w:ascii="Century Gothic" w:hAnsi="Century Gothic"/>
        </w:rPr>
        <w:t xml:space="preserve"> el inciso final del artículo 144 ibídem, por cuanto, en virtud de la cláusula compromisoria, la jurisdicción de lo contencioso administrativo no es la competente para conocer de las pretensiones formuladas en la demanda, pues corresponde conocer de ellas a la justicia arbitral. Así, pues, la Sala declarará de oficio la nulidad de todo lo actuado en este proceso, desde el auto admisorio de la demanda, inclusive.</w:t>
      </w:r>
    </w:p>
    <w:p w:rsidR="00611220" w:rsidRPr="00E36E8A" w:rsidRDefault="00611220" w:rsidP="00250901">
      <w:pPr>
        <w:spacing w:line="360" w:lineRule="auto"/>
        <w:jc w:val="both"/>
        <w:rPr>
          <w:rFonts w:ascii="Century Gothic" w:hAnsi="Century Gothic"/>
          <w:highlight w:val="yellow"/>
        </w:rPr>
      </w:pPr>
    </w:p>
    <w:p w:rsidR="00611220" w:rsidRPr="00E5120B" w:rsidRDefault="00611220" w:rsidP="00250901">
      <w:pPr>
        <w:spacing w:line="360" w:lineRule="auto"/>
        <w:jc w:val="both"/>
        <w:rPr>
          <w:rFonts w:ascii="Century Gothic" w:hAnsi="Century Gothic"/>
          <w:highlight w:val="yellow"/>
        </w:rPr>
      </w:pPr>
      <w:r w:rsidRPr="00B93A5E">
        <w:rPr>
          <w:rFonts w:ascii="Century Gothic" w:hAnsi="Century Gothic"/>
        </w:rPr>
        <w:t xml:space="preserve">Ahora bien, para evitar que se produzca una eventual vulneración del derecho fundamental de acceso a la administración de justicia y para impedir que las partes queden sin obtener decisión de fondo en relación con la controversia suscitada, la Sala acudirá a la solución prevista por la Corte Constitucional a través de la sentencia integradora C-662 de 2004 y, en tal virtud, ordenará enviar el expediente </w:t>
      </w:r>
      <w:r w:rsidRPr="00B93A5E">
        <w:rPr>
          <w:rFonts w:ascii="Century Gothic" w:hAnsi="Century Gothic"/>
        </w:rPr>
        <w:lastRenderedPageBreak/>
        <w:t xml:space="preserve">a la Cámara de Comercio de Bogotá, </w:t>
      </w:r>
      <w:r>
        <w:rPr>
          <w:rFonts w:ascii="Century Gothic" w:hAnsi="Century Gothic"/>
        </w:rPr>
        <w:t xml:space="preserve">para tal efecto </w:t>
      </w:r>
      <w:r w:rsidRPr="00B93A5E">
        <w:rPr>
          <w:rFonts w:ascii="Century Gothic" w:hAnsi="Century Gothic"/>
        </w:rPr>
        <w:t>fijará un término máximo de seis (6) meses contados a partir de la ejecutoria de la presente providencia, para que la parte demandante solicite la convocatoria de un Tribunal de Arbitramento tendiente a resolver las diferencias planteadas entre las partes en torno a las pretensiones de la demanda que dio inicio al presente proceso y dispondrá que, para efectos del conteo del término de caducidad de la acción, el Tribunal de Arbitramento tenga en cuenta la fecha d</w:t>
      </w:r>
      <w:r>
        <w:rPr>
          <w:rFonts w:ascii="Century Gothic" w:hAnsi="Century Gothic"/>
        </w:rPr>
        <w:t>e presentación de la demanda</w:t>
      </w:r>
      <w:r w:rsidRPr="00E5120B">
        <w:rPr>
          <w:rFonts w:ascii="Century Gothic" w:hAnsi="Century Gothic"/>
        </w:rPr>
        <w:t xml:space="preserve"> esto es, el 27 de julio de 2007 (ver nota de prestación personal visible a folio 32, C. 1). </w:t>
      </w:r>
    </w:p>
    <w:p w:rsidR="00611220" w:rsidRPr="00B17C57" w:rsidRDefault="00611220" w:rsidP="00250901">
      <w:pPr>
        <w:spacing w:line="360" w:lineRule="auto"/>
        <w:jc w:val="both"/>
        <w:rPr>
          <w:rFonts w:ascii="Century Gothic" w:hAnsi="Century Gothic"/>
          <w:bCs/>
        </w:rPr>
      </w:pPr>
    </w:p>
    <w:p w:rsidR="00611220" w:rsidRPr="00B17C57" w:rsidRDefault="00611220" w:rsidP="00250901">
      <w:pPr>
        <w:widowControl w:val="0"/>
        <w:autoSpaceDE w:val="0"/>
        <w:autoSpaceDN w:val="0"/>
        <w:adjustRightInd w:val="0"/>
        <w:spacing w:line="360" w:lineRule="auto"/>
        <w:jc w:val="both"/>
        <w:rPr>
          <w:rFonts w:ascii="Century Gothic" w:hAnsi="Century Gothic"/>
        </w:rPr>
      </w:pPr>
      <w:r w:rsidRPr="00B17C57">
        <w:rPr>
          <w:rFonts w:ascii="Century Gothic" w:hAnsi="Century Gothic"/>
        </w:rPr>
        <w:t>En mérito de lo expuesto, el Consejo de Estado, Sala de lo Contencioso Administrativo, Sección Tercera, Subsección “A”,</w:t>
      </w:r>
    </w:p>
    <w:p w:rsidR="00611220" w:rsidRPr="00E36E8A" w:rsidRDefault="00611220" w:rsidP="00250901">
      <w:pPr>
        <w:widowControl w:val="0"/>
        <w:autoSpaceDE w:val="0"/>
        <w:autoSpaceDN w:val="0"/>
        <w:adjustRightInd w:val="0"/>
        <w:spacing w:line="360" w:lineRule="auto"/>
        <w:rPr>
          <w:rFonts w:ascii="Century Gothic" w:hAnsi="Century Gothic"/>
          <w:highlight w:val="yellow"/>
        </w:rPr>
      </w:pPr>
    </w:p>
    <w:p w:rsidR="00611220" w:rsidRPr="00B17C57" w:rsidRDefault="00611220" w:rsidP="00250901">
      <w:pPr>
        <w:widowControl w:val="0"/>
        <w:autoSpaceDE w:val="0"/>
        <w:autoSpaceDN w:val="0"/>
        <w:adjustRightInd w:val="0"/>
        <w:spacing w:line="360" w:lineRule="auto"/>
        <w:jc w:val="center"/>
        <w:rPr>
          <w:rFonts w:ascii="Century Gothic" w:hAnsi="Century Gothic"/>
          <w:b/>
        </w:rPr>
      </w:pPr>
      <w:r w:rsidRPr="00B17C57">
        <w:rPr>
          <w:rFonts w:ascii="Century Gothic" w:hAnsi="Century Gothic"/>
          <w:b/>
        </w:rPr>
        <w:t xml:space="preserve">R E S U E LVE </w:t>
      </w:r>
    </w:p>
    <w:p w:rsidR="00611220" w:rsidRPr="00E36E8A" w:rsidRDefault="00611220" w:rsidP="00250901">
      <w:pPr>
        <w:widowControl w:val="0"/>
        <w:autoSpaceDE w:val="0"/>
        <w:autoSpaceDN w:val="0"/>
        <w:adjustRightInd w:val="0"/>
        <w:spacing w:line="360" w:lineRule="auto"/>
        <w:rPr>
          <w:rFonts w:ascii="Century Gothic" w:hAnsi="Century Gothic"/>
          <w:highlight w:val="yellow"/>
        </w:rPr>
      </w:pPr>
    </w:p>
    <w:p w:rsidR="00611220" w:rsidRPr="00EB4346" w:rsidRDefault="00611220" w:rsidP="00250901">
      <w:pPr>
        <w:widowControl w:val="0"/>
        <w:autoSpaceDE w:val="0"/>
        <w:autoSpaceDN w:val="0"/>
        <w:adjustRightInd w:val="0"/>
        <w:spacing w:line="360" w:lineRule="auto"/>
        <w:jc w:val="both"/>
        <w:rPr>
          <w:rFonts w:ascii="Century Gothic" w:hAnsi="Century Gothic"/>
        </w:rPr>
      </w:pPr>
      <w:r w:rsidRPr="00EB4346">
        <w:rPr>
          <w:rFonts w:ascii="Century Gothic" w:hAnsi="Century Gothic"/>
          <w:b/>
        </w:rPr>
        <w:t xml:space="preserve">PRIMERO.- DECLÁRASE </w:t>
      </w:r>
      <w:r w:rsidRPr="00EB4346">
        <w:rPr>
          <w:rFonts w:ascii="Century Gothic" w:hAnsi="Century Gothic"/>
        </w:rPr>
        <w:t>la nulidad de todo lo actuado en el presente proceso</w:t>
      </w:r>
      <w:r>
        <w:rPr>
          <w:rFonts w:ascii="Century Gothic" w:hAnsi="Century Gothic"/>
        </w:rPr>
        <w:t>, inclusive el auto admisorio de la demanda</w:t>
      </w:r>
      <w:r w:rsidRPr="00EB4346">
        <w:rPr>
          <w:rFonts w:ascii="Century Gothic" w:hAnsi="Century Gothic"/>
        </w:rPr>
        <w:t>, por las razones expuestas en la parte motiva.</w:t>
      </w:r>
    </w:p>
    <w:p w:rsidR="00611220" w:rsidRPr="00E36E8A" w:rsidRDefault="00611220" w:rsidP="00250901">
      <w:pPr>
        <w:widowControl w:val="0"/>
        <w:autoSpaceDE w:val="0"/>
        <w:autoSpaceDN w:val="0"/>
        <w:adjustRightInd w:val="0"/>
        <w:spacing w:line="360" w:lineRule="auto"/>
        <w:jc w:val="both"/>
        <w:rPr>
          <w:rFonts w:ascii="Century Gothic" w:hAnsi="Century Gothic"/>
          <w:b/>
          <w:highlight w:val="yellow"/>
        </w:rPr>
      </w:pPr>
    </w:p>
    <w:p w:rsidR="00611220" w:rsidRPr="00EB4346" w:rsidRDefault="00611220" w:rsidP="00250901">
      <w:pPr>
        <w:widowControl w:val="0"/>
        <w:autoSpaceDE w:val="0"/>
        <w:autoSpaceDN w:val="0"/>
        <w:adjustRightInd w:val="0"/>
        <w:spacing w:line="360" w:lineRule="auto"/>
        <w:jc w:val="both"/>
        <w:rPr>
          <w:rFonts w:ascii="Century Gothic" w:hAnsi="Century Gothic"/>
        </w:rPr>
      </w:pPr>
      <w:r w:rsidRPr="00EB4346">
        <w:rPr>
          <w:rFonts w:ascii="Century Gothic" w:hAnsi="Century Gothic"/>
          <w:b/>
        </w:rPr>
        <w:t xml:space="preserve">SEGUNDO.- </w:t>
      </w:r>
      <w:r w:rsidRPr="00EB4346">
        <w:rPr>
          <w:rFonts w:ascii="Century Gothic" w:hAnsi="Century Gothic"/>
        </w:rPr>
        <w:t>En firme esta providencia,</w:t>
      </w:r>
      <w:r>
        <w:rPr>
          <w:rFonts w:ascii="Century Gothic" w:hAnsi="Century Gothic"/>
          <w:b/>
        </w:rPr>
        <w:t xml:space="preserve"> ENVÍESE</w:t>
      </w:r>
      <w:r w:rsidRPr="00EB4346">
        <w:rPr>
          <w:rFonts w:ascii="Century Gothic" w:hAnsi="Century Gothic"/>
          <w:b/>
        </w:rPr>
        <w:t xml:space="preserve"> </w:t>
      </w:r>
      <w:r w:rsidRPr="00EB4346">
        <w:rPr>
          <w:rFonts w:ascii="Century Gothic" w:hAnsi="Century Gothic"/>
        </w:rPr>
        <w:t xml:space="preserve">el expediente a la Cámara de Comercio de Bogotá, para lo de su cargo. </w:t>
      </w:r>
    </w:p>
    <w:p w:rsidR="00611220" w:rsidRPr="00E36E8A" w:rsidRDefault="00611220" w:rsidP="00250901">
      <w:pPr>
        <w:widowControl w:val="0"/>
        <w:autoSpaceDE w:val="0"/>
        <w:autoSpaceDN w:val="0"/>
        <w:adjustRightInd w:val="0"/>
        <w:spacing w:line="360" w:lineRule="auto"/>
        <w:jc w:val="both"/>
        <w:rPr>
          <w:rFonts w:ascii="Century Gothic" w:hAnsi="Century Gothic"/>
          <w:b/>
          <w:highlight w:val="yellow"/>
        </w:rPr>
      </w:pPr>
    </w:p>
    <w:p w:rsidR="00611220" w:rsidRPr="00EB4346" w:rsidRDefault="00611220" w:rsidP="00250901">
      <w:pPr>
        <w:widowControl w:val="0"/>
        <w:autoSpaceDE w:val="0"/>
        <w:autoSpaceDN w:val="0"/>
        <w:adjustRightInd w:val="0"/>
        <w:spacing w:line="360" w:lineRule="auto"/>
        <w:jc w:val="both"/>
        <w:rPr>
          <w:rFonts w:ascii="Century Gothic" w:hAnsi="Century Gothic" w:cs="Arial"/>
        </w:rPr>
      </w:pPr>
      <w:r w:rsidRPr="00EB4346">
        <w:rPr>
          <w:rFonts w:ascii="Century Gothic" w:hAnsi="Century Gothic"/>
          <w:b/>
        </w:rPr>
        <w:t>TERCERO.-</w:t>
      </w:r>
      <w:r w:rsidRPr="00EB4346">
        <w:rPr>
          <w:rFonts w:ascii="Century Gothic" w:hAnsi="Century Gothic"/>
        </w:rPr>
        <w:t xml:space="preserve"> Comuníquese esta decisión al Tribunal de origen, para lo que corresponda.</w:t>
      </w:r>
    </w:p>
    <w:p w:rsidR="00611220" w:rsidRDefault="00611220" w:rsidP="00250901">
      <w:pPr>
        <w:widowControl w:val="0"/>
        <w:autoSpaceDE w:val="0"/>
        <w:autoSpaceDN w:val="0"/>
        <w:adjustRightInd w:val="0"/>
        <w:ind w:firstLine="567"/>
        <w:jc w:val="center"/>
        <w:rPr>
          <w:rFonts w:ascii="Century Gothic" w:hAnsi="Century Gothic"/>
          <w:b/>
          <w:highlight w:val="yellow"/>
        </w:rPr>
      </w:pPr>
    </w:p>
    <w:p w:rsidR="00611220" w:rsidRPr="00E36E8A" w:rsidRDefault="00611220" w:rsidP="00250901">
      <w:pPr>
        <w:widowControl w:val="0"/>
        <w:autoSpaceDE w:val="0"/>
        <w:autoSpaceDN w:val="0"/>
        <w:adjustRightInd w:val="0"/>
        <w:ind w:firstLine="567"/>
        <w:jc w:val="center"/>
        <w:rPr>
          <w:rFonts w:ascii="Century Gothic" w:hAnsi="Century Gothic"/>
          <w:b/>
          <w:highlight w:val="yellow"/>
        </w:rPr>
      </w:pPr>
    </w:p>
    <w:p w:rsidR="00611220" w:rsidRDefault="00611220" w:rsidP="00250901">
      <w:pPr>
        <w:widowControl w:val="0"/>
        <w:autoSpaceDE w:val="0"/>
        <w:autoSpaceDN w:val="0"/>
        <w:adjustRightInd w:val="0"/>
        <w:jc w:val="center"/>
        <w:rPr>
          <w:rFonts w:ascii="Century Gothic" w:hAnsi="Century Gothic"/>
          <w:b/>
        </w:rPr>
      </w:pPr>
      <w:r>
        <w:rPr>
          <w:rFonts w:ascii="Century Gothic" w:hAnsi="Century Gothic"/>
          <w:b/>
        </w:rPr>
        <w:t xml:space="preserve">           </w:t>
      </w:r>
      <w:r w:rsidRPr="00EB4346">
        <w:rPr>
          <w:rFonts w:ascii="Century Gothic" w:hAnsi="Century Gothic"/>
          <w:b/>
        </w:rPr>
        <w:t>NOTI</w:t>
      </w:r>
      <w:r>
        <w:rPr>
          <w:rFonts w:ascii="Century Gothic" w:hAnsi="Century Gothic"/>
          <w:b/>
        </w:rPr>
        <w:t>FÍQUESE, COMUNÍQUESE Y CÚMPLASE</w:t>
      </w:r>
    </w:p>
    <w:p w:rsidR="00611220" w:rsidRDefault="00611220" w:rsidP="00250901">
      <w:pPr>
        <w:widowControl w:val="0"/>
        <w:autoSpaceDE w:val="0"/>
        <w:autoSpaceDN w:val="0"/>
        <w:adjustRightInd w:val="0"/>
        <w:jc w:val="center"/>
        <w:rPr>
          <w:rFonts w:ascii="Century Gothic" w:hAnsi="Century Gothic"/>
          <w:b/>
        </w:rPr>
      </w:pPr>
    </w:p>
    <w:p w:rsidR="00611220" w:rsidRDefault="00611220" w:rsidP="00250901">
      <w:pPr>
        <w:widowControl w:val="0"/>
        <w:autoSpaceDE w:val="0"/>
        <w:autoSpaceDN w:val="0"/>
        <w:adjustRightInd w:val="0"/>
        <w:jc w:val="center"/>
        <w:rPr>
          <w:rFonts w:ascii="Century Gothic" w:hAnsi="Century Gothic"/>
          <w:b/>
        </w:rPr>
      </w:pPr>
    </w:p>
    <w:p w:rsidR="00611220" w:rsidRDefault="00611220" w:rsidP="00250901">
      <w:pPr>
        <w:widowControl w:val="0"/>
        <w:autoSpaceDE w:val="0"/>
        <w:autoSpaceDN w:val="0"/>
        <w:adjustRightInd w:val="0"/>
        <w:jc w:val="center"/>
        <w:rPr>
          <w:rFonts w:ascii="Century Gothic" w:hAnsi="Century Gothic"/>
          <w:b/>
        </w:rPr>
      </w:pPr>
    </w:p>
    <w:p w:rsidR="00611220" w:rsidRDefault="00611220" w:rsidP="00250901">
      <w:pPr>
        <w:widowControl w:val="0"/>
        <w:autoSpaceDE w:val="0"/>
        <w:autoSpaceDN w:val="0"/>
        <w:adjustRightInd w:val="0"/>
        <w:jc w:val="center"/>
        <w:rPr>
          <w:rFonts w:ascii="Century Gothic" w:hAnsi="Century Gothic"/>
          <w:b/>
        </w:rPr>
      </w:pPr>
    </w:p>
    <w:p w:rsidR="00611220" w:rsidRPr="002B1457" w:rsidRDefault="00611220" w:rsidP="00250901">
      <w:pPr>
        <w:widowControl w:val="0"/>
        <w:autoSpaceDE w:val="0"/>
        <w:autoSpaceDN w:val="0"/>
        <w:adjustRightInd w:val="0"/>
        <w:jc w:val="center"/>
        <w:rPr>
          <w:rFonts w:ascii="Century Gothic" w:hAnsi="Century Gothic"/>
          <w:b/>
        </w:rPr>
      </w:pPr>
    </w:p>
    <w:p w:rsidR="00611220" w:rsidRPr="00E36E8A" w:rsidRDefault="00611220" w:rsidP="00250901">
      <w:pPr>
        <w:widowControl w:val="0"/>
        <w:autoSpaceDE w:val="0"/>
        <w:autoSpaceDN w:val="0"/>
        <w:adjustRightInd w:val="0"/>
        <w:ind w:firstLine="567"/>
        <w:jc w:val="center"/>
        <w:rPr>
          <w:rFonts w:ascii="Century Gothic" w:hAnsi="Century Gothic"/>
          <w:b/>
        </w:rPr>
      </w:pPr>
      <w:r w:rsidRPr="002B1457">
        <w:rPr>
          <w:rFonts w:ascii="Century Gothic" w:hAnsi="Century Gothic"/>
          <w:b/>
        </w:rPr>
        <w:t>CARLOS ALBERTO ZAMBRANO BARRERA</w:t>
      </w:r>
    </w:p>
    <w:p w:rsidR="00611220" w:rsidRPr="00E36E8A" w:rsidRDefault="00611220" w:rsidP="00250901">
      <w:pPr>
        <w:widowControl w:val="0"/>
        <w:autoSpaceDE w:val="0"/>
        <w:autoSpaceDN w:val="0"/>
        <w:adjustRightInd w:val="0"/>
        <w:ind w:firstLine="567"/>
        <w:jc w:val="center"/>
        <w:rPr>
          <w:rFonts w:ascii="Century Gothic" w:hAnsi="Century Gothic" w:cs="Arial"/>
        </w:rPr>
      </w:pPr>
    </w:p>
    <w:p w:rsidR="00611220" w:rsidRDefault="00611220">
      <w:pPr>
        <w:rPr>
          <w:rFonts w:ascii="Century Gothic" w:hAnsi="Century Gothic"/>
        </w:rPr>
      </w:pPr>
    </w:p>
    <w:p w:rsidR="00611220" w:rsidRPr="002B1457" w:rsidRDefault="00611220">
      <w:pPr>
        <w:rPr>
          <w:rFonts w:ascii="Century Gothic" w:hAnsi="Century Gothic"/>
          <w:sz w:val="14"/>
          <w:szCs w:val="14"/>
        </w:rPr>
      </w:pPr>
      <w:r w:rsidRPr="002B1457">
        <w:rPr>
          <w:rFonts w:ascii="Century Gothic" w:hAnsi="Century Gothic"/>
          <w:sz w:val="14"/>
          <w:szCs w:val="14"/>
        </w:rPr>
        <w:t>C</w:t>
      </w:r>
      <w:r>
        <w:rPr>
          <w:rFonts w:ascii="Century Gothic" w:hAnsi="Century Gothic"/>
          <w:sz w:val="14"/>
          <w:szCs w:val="14"/>
        </w:rPr>
        <w:t>5/F</w:t>
      </w:r>
      <w:r w:rsidRPr="002B1457">
        <w:rPr>
          <w:rFonts w:ascii="Century Gothic" w:hAnsi="Century Gothic"/>
          <w:sz w:val="14"/>
          <w:szCs w:val="14"/>
        </w:rPr>
        <w:t>529/CCM</w:t>
      </w:r>
    </w:p>
    <w:p w:rsidR="00101DB8" w:rsidRDefault="00101DB8" w:rsidP="00101DB8"/>
    <w:p w:rsidR="005C79DA" w:rsidRDefault="005C79DA"/>
    <w:sectPr w:rsidR="005C79DA" w:rsidSect="00244BA4">
      <w:pgSz w:w="12242" w:h="18722" w:code="14"/>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D24" w:rsidRDefault="00512D24" w:rsidP="00611220">
      <w:r>
        <w:separator/>
      </w:r>
    </w:p>
  </w:endnote>
  <w:endnote w:type="continuationSeparator" w:id="0">
    <w:p w:rsidR="00512D24" w:rsidRDefault="00512D24" w:rsidP="0061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D24" w:rsidRDefault="00512D24" w:rsidP="00611220">
      <w:r>
        <w:separator/>
      </w:r>
    </w:p>
  </w:footnote>
  <w:footnote w:type="continuationSeparator" w:id="0">
    <w:p w:rsidR="00512D24" w:rsidRDefault="00512D24" w:rsidP="00611220">
      <w:r>
        <w:continuationSeparator/>
      </w:r>
    </w:p>
  </w:footnote>
  <w:footnote w:id="1">
    <w:p w:rsidR="00611220" w:rsidRPr="00AC1ADD" w:rsidRDefault="00611220" w:rsidP="00250901">
      <w:pPr>
        <w:pStyle w:val="Textonotapie"/>
        <w:jc w:val="both"/>
        <w:rPr>
          <w:rFonts w:ascii="Times New Roman" w:hAnsi="Times New Roman"/>
          <w:lang w:val="es-MX"/>
        </w:rPr>
      </w:pPr>
      <w:r w:rsidRPr="00AC1ADD">
        <w:rPr>
          <w:rStyle w:val="Refdenotaalpie"/>
          <w:rFonts w:ascii="Times New Roman" w:hAnsi="Times New Roman"/>
        </w:rPr>
        <w:footnoteRef/>
      </w:r>
      <w:r w:rsidRPr="00AC1ADD">
        <w:rPr>
          <w:rFonts w:ascii="Times New Roman" w:hAnsi="Times New Roman"/>
        </w:rPr>
        <w:t xml:space="preserve"> </w:t>
      </w:r>
      <w:r w:rsidRPr="00741CA3">
        <w:rPr>
          <w:rFonts w:ascii="Century Gothic" w:hAnsi="Century Gothic"/>
          <w:sz w:val="16"/>
          <w:szCs w:val="16"/>
          <w:lang w:val="es-MX"/>
        </w:rPr>
        <w:t>Consejo de Estado, Sala de lo Contencioso Administrativo, Sección Tercera, auto de unificación del 18 de abril del 2013, exp. 17.859</w:t>
      </w:r>
      <w:r w:rsidRPr="00AC1ADD">
        <w:rPr>
          <w:rFonts w:ascii="Times New Roman" w:hAnsi="Times New Roman"/>
          <w:lang w:val="es-MX"/>
        </w:rPr>
        <w:t xml:space="preserve"> </w:t>
      </w:r>
    </w:p>
  </w:footnote>
  <w:footnote w:id="2">
    <w:p w:rsidR="00611220" w:rsidRPr="00AC1ADD" w:rsidRDefault="00611220" w:rsidP="00250901">
      <w:pPr>
        <w:pStyle w:val="Textonotapie"/>
        <w:jc w:val="both"/>
        <w:rPr>
          <w:rFonts w:ascii="Times New Roman" w:hAnsi="Times New Roman"/>
          <w:lang w:val="es-CO"/>
        </w:rPr>
      </w:pPr>
      <w:r w:rsidRPr="00AC1ADD">
        <w:rPr>
          <w:rStyle w:val="Refdenotaalpie"/>
          <w:rFonts w:ascii="Times New Roman" w:hAnsi="Times New Roman"/>
        </w:rPr>
        <w:footnoteRef/>
      </w:r>
      <w:r w:rsidRPr="00AC1ADD">
        <w:rPr>
          <w:rFonts w:ascii="Times New Roman" w:hAnsi="Times New Roman"/>
        </w:rPr>
        <w:t xml:space="preserve"> </w:t>
      </w:r>
      <w:r w:rsidRPr="00741CA3">
        <w:rPr>
          <w:rFonts w:ascii="Century Gothic" w:hAnsi="Century Gothic"/>
          <w:sz w:val="16"/>
          <w:szCs w:val="16"/>
          <w:lang w:val="es-CO"/>
        </w:rPr>
        <w:t>Consejo de Estado, Sala de lo Contencioso Administrativo, Sección Tercera, sentencia del 4 de diciembre de 2006, exp. 32.871.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B8"/>
    <w:rsid w:val="00004195"/>
    <w:rsid w:val="00004A7E"/>
    <w:rsid w:val="000053D5"/>
    <w:rsid w:val="000074E3"/>
    <w:rsid w:val="00091089"/>
    <w:rsid w:val="00097C95"/>
    <w:rsid w:val="000C341E"/>
    <w:rsid w:val="00101DB8"/>
    <w:rsid w:val="00146383"/>
    <w:rsid w:val="00150788"/>
    <w:rsid w:val="0017525C"/>
    <w:rsid w:val="00183E3E"/>
    <w:rsid w:val="001F5612"/>
    <w:rsid w:val="002065E2"/>
    <w:rsid w:val="00244BA4"/>
    <w:rsid w:val="00250901"/>
    <w:rsid w:val="002E268C"/>
    <w:rsid w:val="002E5558"/>
    <w:rsid w:val="00302CB0"/>
    <w:rsid w:val="00327AC5"/>
    <w:rsid w:val="003301AF"/>
    <w:rsid w:val="00331131"/>
    <w:rsid w:val="00335DA3"/>
    <w:rsid w:val="00357E21"/>
    <w:rsid w:val="00370D84"/>
    <w:rsid w:val="0037132D"/>
    <w:rsid w:val="00391406"/>
    <w:rsid w:val="003928D0"/>
    <w:rsid w:val="0039788D"/>
    <w:rsid w:val="003D0292"/>
    <w:rsid w:val="003D11E1"/>
    <w:rsid w:val="003D6B58"/>
    <w:rsid w:val="003D73FB"/>
    <w:rsid w:val="003F3900"/>
    <w:rsid w:val="003F408C"/>
    <w:rsid w:val="00422168"/>
    <w:rsid w:val="0043415D"/>
    <w:rsid w:val="00465D2C"/>
    <w:rsid w:val="004D2728"/>
    <w:rsid w:val="00512D24"/>
    <w:rsid w:val="0052309D"/>
    <w:rsid w:val="00525E7E"/>
    <w:rsid w:val="00565234"/>
    <w:rsid w:val="005733EE"/>
    <w:rsid w:val="00590F55"/>
    <w:rsid w:val="005C229B"/>
    <w:rsid w:val="005C27A8"/>
    <w:rsid w:val="005C79DA"/>
    <w:rsid w:val="00611220"/>
    <w:rsid w:val="00641533"/>
    <w:rsid w:val="0066212B"/>
    <w:rsid w:val="006656CD"/>
    <w:rsid w:val="006C0D8A"/>
    <w:rsid w:val="006D4D5F"/>
    <w:rsid w:val="006F1375"/>
    <w:rsid w:val="007949F8"/>
    <w:rsid w:val="00797A7C"/>
    <w:rsid w:val="007A0A80"/>
    <w:rsid w:val="007A423A"/>
    <w:rsid w:val="007C4D92"/>
    <w:rsid w:val="007D4EC7"/>
    <w:rsid w:val="007F52B5"/>
    <w:rsid w:val="0081599D"/>
    <w:rsid w:val="00817A0D"/>
    <w:rsid w:val="008728C8"/>
    <w:rsid w:val="00956096"/>
    <w:rsid w:val="0098045E"/>
    <w:rsid w:val="009B0D9F"/>
    <w:rsid w:val="009E12A5"/>
    <w:rsid w:val="00A22C92"/>
    <w:rsid w:val="00A765AA"/>
    <w:rsid w:val="00A80E05"/>
    <w:rsid w:val="00A93400"/>
    <w:rsid w:val="00AB2023"/>
    <w:rsid w:val="00AE1623"/>
    <w:rsid w:val="00AF6E53"/>
    <w:rsid w:val="00B17C40"/>
    <w:rsid w:val="00B329B3"/>
    <w:rsid w:val="00B57DD7"/>
    <w:rsid w:val="00B76585"/>
    <w:rsid w:val="00BA48D4"/>
    <w:rsid w:val="00BA6C36"/>
    <w:rsid w:val="00BB7D33"/>
    <w:rsid w:val="00BF247B"/>
    <w:rsid w:val="00BF49C5"/>
    <w:rsid w:val="00C97409"/>
    <w:rsid w:val="00CB715D"/>
    <w:rsid w:val="00CC2259"/>
    <w:rsid w:val="00CC592D"/>
    <w:rsid w:val="00CE0F58"/>
    <w:rsid w:val="00CE54A4"/>
    <w:rsid w:val="00D04DDE"/>
    <w:rsid w:val="00D3573C"/>
    <w:rsid w:val="00D9576D"/>
    <w:rsid w:val="00DB0864"/>
    <w:rsid w:val="00E128EB"/>
    <w:rsid w:val="00E13CEC"/>
    <w:rsid w:val="00E142DB"/>
    <w:rsid w:val="00E420D9"/>
    <w:rsid w:val="00E75BAF"/>
    <w:rsid w:val="00EA58ED"/>
    <w:rsid w:val="00EC44A0"/>
    <w:rsid w:val="00EE419B"/>
    <w:rsid w:val="00F13A81"/>
    <w:rsid w:val="00F41809"/>
    <w:rsid w:val="00F55077"/>
    <w:rsid w:val="00F763D1"/>
    <w:rsid w:val="00F9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1B12"/>
  <w15:chartTrackingRefBased/>
  <w15:docId w15:val="{8A06EEDF-CE4F-4DFE-BD38-141EF66D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qFormat/>
    <w:rsid w:val="00611220"/>
    <w:pPr>
      <w:keepNext/>
      <w:spacing w:line="360" w:lineRule="auto"/>
      <w:ind w:right="-1"/>
      <w:jc w:val="both"/>
      <w:outlineLvl w:val="2"/>
    </w:pPr>
    <w:rPr>
      <w:rFonts w:ascii="Garamond" w:eastAsia="Times New Roman" w:hAnsi="Garamond"/>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611220"/>
    <w:rPr>
      <w:rFonts w:ascii="Garamond" w:eastAsia="Times New Roman" w:hAnsi="Garamond"/>
      <w:bCs/>
      <w:sz w:val="28"/>
      <w:szCs w:val="24"/>
      <w:lang w:eastAsia="es-ES"/>
    </w:rPr>
  </w:style>
  <w:style w:type="paragraph" w:styleId="Textoindependiente">
    <w:name w:val="Body Text"/>
    <w:basedOn w:val="Normal"/>
    <w:link w:val="TextoindependienteCar"/>
    <w:rsid w:val="00611220"/>
    <w:pPr>
      <w:spacing w:line="360" w:lineRule="auto"/>
      <w:ind w:right="-1"/>
      <w:jc w:val="both"/>
    </w:pPr>
    <w:rPr>
      <w:rFonts w:ascii="Garamond" w:eastAsia="Times New Roman" w:hAnsi="Garamond"/>
      <w:bCs/>
      <w:sz w:val="24"/>
      <w:szCs w:val="24"/>
      <w:lang w:eastAsia="es-ES"/>
    </w:rPr>
  </w:style>
  <w:style w:type="character" w:customStyle="1" w:styleId="TextoindependienteCar">
    <w:name w:val="Texto independiente Car"/>
    <w:link w:val="Textoindependiente"/>
    <w:rsid w:val="00611220"/>
    <w:rPr>
      <w:rFonts w:ascii="Garamond" w:eastAsia="Times New Roman" w:hAnsi="Garamond"/>
      <w:bCs/>
      <w:sz w:val="24"/>
      <w:szCs w:val="24"/>
      <w:lang w:eastAsia="es-ES"/>
    </w:rPr>
  </w:style>
  <w:style w:type="paragraph" w:styleId="Textoindependiente3">
    <w:name w:val="Body Text 3"/>
    <w:basedOn w:val="Normal"/>
    <w:link w:val="Textoindependiente3Car"/>
    <w:rsid w:val="00611220"/>
    <w:pPr>
      <w:tabs>
        <w:tab w:val="left" w:pos="426"/>
      </w:tabs>
      <w:spacing w:line="360" w:lineRule="auto"/>
      <w:jc w:val="both"/>
    </w:pPr>
    <w:rPr>
      <w:rFonts w:ascii="Garamond" w:eastAsia="Times New Roman" w:hAnsi="Garamond"/>
      <w:bCs/>
      <w:sz w:val="28"/>
      <w:szCs w:val="24"/>
      <w:lang w:eastAsia="es-ES"/>
    </w:rPr>
  </w:style>
  <w:style w:type="character" w:customStyle="1" w:styleId="Textoindependiente3Car">
    <w:name w:val="Texto independiente 3 Car"/>
    <w:link w:val="Textoindependiente3"/>
    <w:rsid w:val="00611220"/>
    <w:rPr>
      <w:rFonts w:ascii="Garamond" w:eastAsia="Times New Roman" w:hAnsi="Garamond"/>
      <w:bCs/>
      <w:sz w:val="28"/>
      <w:szCs w:val="24"/>
      <w:lang w:eastAsia="es-ES"/>
    </w:rPr>
  </w:style>
  <w:style w:type="paragraph" w:styleId="Textoindependiente2">
    <w:name w:val="Body Text 2"/>
    <w:basedOn w:val="Normal"/>
    <w:link w:val="Textoindependiente2Car"/>
    <w:rsid w:val="00611220"/>
    <w:pPr>
      <w:tabs>
        <w:tab w:val="left" w:pos="426"/>
      </w:tabs>
      <w:spacing w:line="360" w:lineRule="auto"/>
      <w:ind w:right="-1"/>
      <w:jc w:val="both"/>
    </w:pPr>
    <w:rPr>
      <w:rFonts w:ascii="Garamond" w:eastAsia="Times New Roman" w:hAnsi="Garamond"/>
      <w:sz w:val="28"/>
      <w:szCs w:val="24"/>
      <w:lang w:eastAsia="es-ES"/>
    </w:rPr>
  </w:style>
  <w:style w:type="character" w:customStyle="1" w:styleId="Textoindependiente2Car">
    <w:name w:val="Texto independiente 2 Car"/>
    <w:link w:val="Textoindependiente2"/>
    <w:rsid w:val="00611220"/>
    <w:rPr>
      <w:rFonts w:ascii="Garamond" w:eastAsia="Times New Roman" w:hAnsi="Garamond"/>
      <w:sz w:val="28"/>
      <w:szCs w:val="24"/>
      <w:lang w:eastAsia="es-ES"/>
    </w:rPr>
  </w:style>
  <w:style w:type="character" w:styleId="Refdenotaalpie">
    <w:name w:val="footnote reference"/>
    <w:aliases w:val="Texto de nota al pie,Ref. de nota al pie 2,Pie de Página,FC,referencia nota al pie,Nota de pie,Texto nota al pie,Appel note de bas de page,Texto de nota al p,Pie de Pàgina,F,Pie de P_gin,Pie de P_,Texto de nota al pi,Pie de P_g,f"/>
    <w:semiHidden/>
    <w:rsid w:val="00611220"/>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semiHidden/>
    <w:rsid w:val="00611220"/>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611220"/>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611220"/>
    <w:rPr>
      <w:rFonts w:ascii="Arial" w:eastAsia="Times New Roman" w:hAnsi="Arial"/>
      <w:lang w:val="es-ES_tradnl" w:eastAsia="es-ES"/>
    </w:rPr>
  </w:style>
  <w:style w:type="paragraph" w:styleId="NormalWeb">
    <w:name w:val="Normal (Web)"/>
    <w:basedOn w:val="Normal"/>
    <w:uiPriority w:val="99"/>
    <w:unhideWhenUsed/>
    <w:rsid w:val="00611220"/>
    <w:pPr>
      <w:spacing w:before="100" w:beforeAutospacing="1" w:after="100" w:afterAutospacing="1"/>
    </w:pPr>
    <w:rPr>
      <w:rFonts w:ascii="Arial" w:eastAsia="Times New Roman" w:hAnsi="Arial" w:cs="Arial"/>
      <w:color w:val="000000"/>
      <w:sz w:val="24"/>
      <w:szCs w:val="24"/>
      <w:lang w:eastAsia="es-CO"/>
    </w:rPr>
  </w:style>
  <w:style w:type="paragraph" w:styleId="Lista2">
    <w:name w:val="List 2"/>
    <w:basedOn w:val="Normal"/>
    <w:rsid w:val="00611220"/>
    <w:pPr>
      <w:overflowPunct w:val="0"/>
      <w:autoSpaceDE w:val="0"/>
      <w:autoSpaceDN w:val="0"/>
      <w:adjustRightInd w:val="0"/>
      <w:ind w:left="566" w:hanging="283"/>
      <w:textAlignment w:val="baseline"/>
    </w:pPr>
    <w:rPr>
      <w:rFonts w:ascii="Century Gothic" w:eastAsia="Times New Roman" w:hAnsi="Century Gothic"/>
      <w:sz w:val="24"/>
      <w:szCs w:val="20"/>
      <w:lang w:eastAsia="es-ES"/>
    </w:rPr>
  </w:style>
  <w:style w:type="paragraph" w:customStyle="1" w:styleId="Textoindependiente21">
    <w:name w:val="Texto independiente 21"/>
    <w:basedOn w:val="Normal"/>
    <w:rsid w:val="00611220"/>
    <w:pPr>
      <w:spacing w:line="360" w:lineRule="auto"/>
      <w:ind w:right="79" w:firstLine="1416"/>
      <w:jc w:val="both"/>
    </w:pPr>
    <w:rPr>
      <w:rFonts w:ascii="CG Times" w:eastAsia="Times New Roman" w:hAnsi="CG Times"/>
      <w:sz w:val="32"/>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E916B-9496-499C-9AC7-3902D3FBD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44F74-9649-4E39-A49D-0DBE3D4A5111}">
  <ds:schemaRefs>
    <ds:schemaRef ds:uri="http://schemas.microsoft.com/sharepoint/v3/contenttype/forms"/>
  </ds:schemaRefs>
</ds:datastoreItem>
</file>

<file path=customXml/itemProps3.xml><?xml version="1.0" encoding="utf-8"?>
<ds:datastoreItem xmlns:ds="http://schemas.openxmlformats.org/officeDocument/2006/customXml" ds:itemID="{A12BB818-C5CB-41E2-9F05-7FB383A189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3905</Words>
  <Characters>21479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Alejandro Raul Sarmiento Cantillo</cp:lastModifiedBy>
  <cp:revision>4</cp:revision>
  <dcterms:created xsi:type="dcterms:W3CDTF">2020-06-14T17:01:00Z</dcterms:created>
  <dcterms:modified xsi:type="dcterms:W3CDTF">2020-06-25T19:55:00Z</dcterms:modified>
</cp:coreProperties>
</file>